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B97E" w14:textId="0A7FE4BA" w:rsidR="00787C16" w:rsidRPr="005025F8" w:rsidRDefault="005F79E4" w:rsidP="00FF6442">
      <w:pPr>
        <w:jc w:val="center"/>
        <w:rPr>
          <w:rFonts w:cstheme="minorHAnsi"/>
          <w:b/>
          <w:bCs/>
        </w:rPr>
      </w:pPr>
      <w:r w:rsidRPr="005025F8">
        <w:rPr>
          <w:rFonts w:cstheme="minorHAnsi"/>
          <w:b/>
          <w:bCs/>
        </w:rPr>
        <w:t>TIMELINE</w:t>
      </w:r>
      <w:r w:rsidR="005F28F9" w:rsidRPr="005025F8">
        <w:rPr>
          <w:rFonts w:cstheme="minorHAnsi"/>
          <w:b/>
          <w:bCs/>
        </w:rPr>
        <w:t>:  CIEX / ABSA BANK INVESTIGATION</w:t>
      </w:r>
    </w:p>
    <w:tbl>
      <w:tblPr>
        <w:tblStyle w:val="TableGrid"/>
        <w:tblW w:w="9781" w:type="dxa"/>
        <w:tblInd w:w="-572" w:type="dxa"/>
        <w:tblLook w:val="04A0" w:firstRow="1" w:lastRow="0" w:firstColumn="1" w:lastColumn="0" w:noHBand="0" w:noVBand="1"/>
      </w:tblPr>
      <w:tblGrid>
        <w:gridCol w:w="1696"/>
        <w:gridCol w:w="8085"/>
      </w:tblGrid>
      <w:tr w:rsidR="00FF6442" w:rsidRPr="005025F8" w14:paraId="705AA6D7" w14:textId="77777777" w:rsidTr="005025F8">
        <w:trPr>
          <w:cantSplit/>
        </w:trPr>
        <w:tc>
          <w:tcPr>
            <w:tcW w:w="1696" w:type="dxa"/>
            <w:shd w:val="pct15" w:color="auto" w:fill="auto"/>
          </w:tcPr>
          <w:p w14:paraId="7768724A" w14:textId="20D32B3D" w:rsidR="00FF6442" w:rsidRPr="005025F8" w:rsidRDefault="00396684" w:rsidP="00FF6442">
            <w:pPr>
              <w:spacing w:before="120" w:after="120"/>
              <w:rPr>
                <w:rFonts w:cstheme="minorHAnsi"/>
                <w:b/>
                <w:bCs/>
              </w:rPr>
            </w:pPr>
            <w:r w:rsidRPr="005025F8">
              <w:rPr>
                <w:rFonts w:cstheme="minorHAnsi"/>
                <w:b/>
                <w:bCs/>
              </w:rPr>
              <w:t>Date filed</w:t>
            </w:r>
          </w:p>
        </w:tc>
        <w:tc>
          <w:tcPr>
            <w:tcW w:w="8085" w:type="dxa"/>
            <w:shd w:val="pct15" w:color="auto" w:fill="auto"/>
          </w:tcPr>
          <w:p w14:paraId="7CF57A1D" w14:textId="40A31F79" w:rsidR="00FF6442" w:rsidRPr="005025F8" w:rsidRDefault="00396684" w:rsidP="00FF6442">
            <w:pPr>
              <w:spacing w:before="120" w:after="120"/>
              <w:rPr>
                <w:rFonts w:cstheme="minorHAnsi"/>
                <w:b/>
                <w:bCs/>
              </w:rPr>
            </w:pPr>
            <w:r w:rsidRPr="005025F8">
              <w:rPr>
                <w:rFonts w:cstheme="minorHAnsi"/>
                <w:b/>
                <w:bCs/>
              </w:rPr>
              <w:t>Document</w:t>
            </w:r>
          </w:p>
        </w:tc>
      </w:tr>
      <w:tr w:rsidR="00602372" w:rsidRPr="005025F8" w14:paraId="15AD0288" w14:textId="77777777" w:rsidTr="005025F8">
        <w:trPr>
          <w:cantSplit/>
        </w:trPr>
        <w:tc>
          <w:tcPr>
            <w:tcW w:w="1696" w:type="dxa"/>
          </w:tcPr>
          <w:p w14:paraId="370FF809" w14:textId="1B8F560E" w:rsidR="00602372" w:rsidRPr="005025F8" w:rsidRDefault="00602372" w:rsidP="00FF6442">
            <w:pPr>
              <w:spacing w:before="120" w:after="120"/>
              <w:rPr>
                <w:rFonts w:cstheme="minorHAnsi"/>
              </w:rPr>
            </w:pPr>
            <w:r w:rsidRPr="005025F8">
              <w:rPr>
                <w:rFonts w:cstheme="minorHAnsi"/>
              </w:rPr>
              <w:t>1999</w:t>
            </w:r>
          </w:p>
        </w:tc>
        <w:tc>
          <w:tcPr>
            <w:tcW w:w="8085" w:type="dxa"/>
          </w:tcPr>
          <w:p w14:paraId="7AAB38BF" w14:textId="460D74B8" w:rsidR="00602372" w:rsidRPr="005025F8" w:rsidRDefault="00602372" w:rsidP="00FF6442">
            <w:pPr>
              <w:spacing w:before="120" w:after="120"/>
              <w:rPr>
                <w:rFonts w:cstheme="minorHAnsi"/>
              </w:rPr>
            </w:pPr>
            <w:r w:rsidRPr="005025F8">
              <w:rPr>
                <w:rFonts w:cstheme="minorHAnsi"/>
              </w:rPr>
              <w:t>The CIEX report commissioned by the government in 1999 alleged impropriety and irregularity in relation to these transactions.</w:t>
            </w:r>
          </w:p>
        </w:tc>
      </w:tr>
      <w:tr w:rsidR="00602372" w:rsidRPr="005025F8" w14:paraId="341172CB" w14:textId="77777777" w:rsidTr="005025F8">
        <w:trPr>
          <w:cantSplit/>
        </w:trPr>
        <w:tc>
          <w:tcPr>
            <w:tcW w:w="1696" w:type="dxa"/>
          </w:tcPr>
          <w:p w14:paraId="308CB394" w14:textId="06F954AB" w:rsidR="00602372" w:rsidRPr="005025F8" w:rsidRDefault="00602372" w:rsidP="00FF6442">
            <w:pPr>
              <w:spacing w:before="120" w:after="120"/>
              <w:rPr>
                <w:rFonts w:cstheme="minorHAnsi"/>
              </w:rPr>
            </w:pPr>
            <w:r w:rsidRPr="005025F8">
              <w:rPr>
                <w:rFonts w:cstheme="minorHAnsi"/>
              </w:rPr>
              <w:t>2010</w:t>
            </w:r>
          </w:p>
        </w:tc>
        <w:tc>
          <w:tcPr>
            <w:tcW w:w="8085" w:type="dxa"/>
          </w:tcPr>
          <w:p w14:paraId="20D204DE" w14:textId="5FFF8E7A" w:rsidR="00602372" w:rsidRPr="005025F8" w:rsidRDefault="00602372" w:rsidP="00FF6442">
            <w:pPr>
              <w:spacing w:before="120" w:after="120"/>
              <w:rPr>
                <w:rFonts w:cstheme="minorHAnsi"/>
              </w:rPr>
            </w:pPr>
            <w:r w:rsidRPr="005025F8">
              <w:rPr>
                <w:rFonts w:cstheme="minorHAnsi"/>
              </w:rPr>
              <w:t>Complaint lodged by Accountability in Southern Africa</w:t>
            </w:r>
          </w:p>
        </w:tc>
      </w:tr>
      <w:tr w:rsidR="002C6F7C" w:rsidRPr="005025F8" w14:paraId="7F6092C7" w14:textId="77777777" w:rsidTr="005025F8">
        <w:trPr>
          <w:cantSplit/>
        </w:trPr>
        <w:tc>
          <w:tcPr>
            <w:tcW w:w="1696" w:type="dxa"/>
          </w:tcPr>
          <w:p w14:paraId="4822A4B6" w14:textId="71DBED0C" w:rsidR="002C6F7C" w:rsidRPr="005025F8" w:rsidRDefault="002C6F7C" w:rsidP="00FF6442">
            <w:pPr>
              <w:spacing w:before="120" w:after="120"/>
              <w:rPr>
                <w:rFonts w:cstheme="minorHAnsi"/>
              </w:rPr>
            </w:pPr>
            <w:r w:rsidRPr="005025F8">
              <w:rPr>
                <w:rFonts w:cstheme="minorHAnsi"/>
              </w:rPr>
              <w:t>15 October 2016</w:t>
            </w:r>
          </w:p>
        </w:tc>
        <w:tc>
          <w:tcPr>
            <w:tcW w:w="8085" w:type="dxa"/>
          </w:tcPr>
          <w:p w14:paraId="7415B228" w14:textId="7CEA6F5E" w:rsidR="002C6F7C" w:rsidRPr="005025F8" w:rsidRDefault="002C6F7C" w:rsidP="00FF6442">
            <w:pPr>
              <w:spacing w:before="120" w:after="120"/>
              <w:rPr>
                <w:rFonts w:cstheme="minorHAnsi"/>
              </w:rPr>
            </w:pPr>
            <w:r w:rsidRPr="005025F8">
              <w:rPr>
                <w:rFonts w:cstheme="minorHAnsi"/>
              </w:rPr>
              <w:t>Adv B Mkhwebane appointed</w:t>
            </w:r>
          </w:p>
        </w:tc>
      </w:tr>
      <w:tr w:rsidR="005F28F9" w:rsidRPr="005025F8" w14:paraId="3E583038" w14:textId="77777777" w:rsidTr="005025F8">
        <w:trPr>
          <w:cantSplit/>
        </w:trPr>
        <w:tc>
          <w:tcPr>
            <w:tcW w:w="1696" w:type="dxa"/>
          </w:tcPr>
          <w:p w14:paraId="48200712" w14:textId="3AC64C51" w:rsidR="005F28F9" w:rsidRPr="005025F8" w:rsidRDefault="005F28F9" w:rsidP="00FF6442">
            <w:pPr>
              <w:spacing w:before="120" w:after="120"/>
              <w:rPr>
                <w:rFonts w:cstheme="minorHAnsi"/>
              </w:rPr>
            </w:pPr>
            <w:r w:rsidRPr="005025F8">
              <w:rPr>
                <w:rFonts w:cstheme="minorHAnsi"/>
              </w:rPr>
              <w:t>20 Dec 2016</w:t>
            </w:r>
          </w:p>
        </w:tc>
        <w:tc>
          <w:tcPr>
            <w:tcW w:w="8085" w:type="dxa"/>
          </w:tcPr>
          <w:p w14:paraId="0FBC1AAE" w14:textId="3AF4817D" w:rsidR="005F28F9" w:rsidRPr="005025F8" w:rsidRDefault="005F28F9" w:rsidP="00FF6442">
            <w:pPr>
              <w:spacing w:before="120" w:after="120"/>
              <w:rPr>
                <w:rFonts w:cstheme="minorHAnsi"/>
              </w:rPr>
            </w:pPr>
            <w:r w:rsidRPr="005025F8">
              <w:rPr>
                <w:rFonts w:cstheme="minorHAnsi"/>
              </w:rPr>
              <w:t>Issue provisional report 12 of 2016/2017</w:t>
            </w:r>
          </w:p>
        </w:tc>
      </w:tr>
      <w:tr w:rsidR="00FF6442" w:rsidRPr="005025F8" w14:paraId="4FDED257" w14:textId="77777777" w:rsidTr="005025F8">
        <w:trPr>
          <w:cantSplit/>
        </w:trPr>
        <w:tc>
          <w:tcPr>
            <w:tcW w:w="1696" w:type="dxa"/>
          </w:tcPr>
          <w:p w14:paraId="38A4346E" w14:textId="57CA77D1" w:rsidR="00FF6442" w:rsidRPr="005025F8" w:rsidRDefault="00CF7668" w:rsidP="00FF6442">
            <w:pPr>
              <w:spacing w:before="120" w:after="120"/>
              <w:rPr>
                <w:rFonts w:cstheme="minorHAnsi"/>
              </w:rPr>
            </w:pPr>
            <w:r w:rsidRPr="005025F8">
              <w:rPr>
                <w:rFonts w:cstheme="minorHAnsi"/>
              </w:rPr>
              <w:t>19 June 2017</w:t>
            </w:r>
          </w:p>
        </w:tc>
        <w:tc>
          <w:tcPr>
            <w:tcW w:w="8085" w:type="dxa"/>
          </w:tcPr>
          <w:p w14:paraId="0E7C4139" w14:textId="252341EC" w:rsidR="00FF6442" w:rsidRPr="005025F8" w:rsidRDefault="00396684" w:rsidP="003A1122">
            <w:pPr>
              <w:tabs>
                <w:tab w:val="right" w:pos="6588"/>
              </w:tabs>
              <w:spacing w:before="120" w:after="120"/>
              <w:rPr>
                <w:rFonts w:cstheme="minorHAnsi"/>
              </w:rPr>
            </w:pPr>
            <w:r w:rsidRPr="005025F8">
              <w:rPr>
                <w:rFonts w:cstheme="minorHAnsi"/>
              </w:rPr>
              <w:t>The Public Protector’s Report 8 of 2017/18</w:t>
            </w:r>
            <w:r w:rsidR="005F28F9" w:rsidRPr="005025F8">
              <w:rPr>
                <w:rFonts w:cstheme="minorHAnsi"/>
              </w:rPr>
              <w:t xml:space="preserve">  - </w:t>
            </w:r>
            <w:r w:rsidR="003A1122" w:rsidRPr="005025F8">
              <w:rPr>
                <w:rFonts w:cstheme="minorHAnsi"/>
              </w:rPr>
              <w:tab/>
              <w:t>P.12</w:t>
            </w:r>
          </w:p>
        </w:tc>
      </w:tr>
      <w:tr w:rsidR="00FF6442" w:rsidRPr="005025F8" w14:paraId="3AF569EE" w14:textId="77777777" w:rsidTr="005025F8">
        <w:trPr>
          <w:cantSplit/>
        </w:trPr>
        <w:tc>
          <w:tcPr>
            <w:tcW w:w="1696" w:type="dxa"/>
            <w:tcBorders>
              <w:bottom w:val="single" w:sz="4" w:space="0" w:color="auto"/>
            </w:tcBorders>
          </w:tcPr>
          <w:p w14:paraId="1956F491" w14:textId="51C56280" w:rsidR="00FF6442" w:rsidRPr="005025F8" w:rsidRDefault="00BB4C2B" w:rsidP="00FF6442">
            <w:pPr>
              <w:spacing w:before="120" w:after="120"/>
              <w:rPr>
                <w:rFonts w:cstheme="minorHAnsi"/>
              </w:rPr>
            </w:pPr>
            <w:r w:rsidRPr="005025F8">
              <w:rPr>
                <w:rFonts w:cstheme="minorHAnsi"/>
              </w:rPr>
              <w:t>26 June 2017</w:t>
            </w:r>
          </w:p>
        </w:tc>
        <w:tc>
          <w:tcPr>
            <w:tcW w:w="8085" w:type="dxa"/>
          </w:tcPr>
          <w:p w14:paraId="1B071C1A" w14:textId="00C74A2D" w:rsidR="003A1122" w:rsidRPr="005025F8" w:rsidRDefault="003A1122" w:rsidP="00FF6442">
            <w:pPr>
              <w:spacing w:before="120" w:after="120"/>
              <w:rPr>
                <w:rFonts w:cstheme="minorHAnsi"/>
              </w:rPr>
            </w:pPr>
            <w:r w:rsidRPr="005025F8">
              <w:rPr>
                <w:rFonts w:cstheme="minorHAnsi"/>
              </w:rPr>
              <w:t xml:space="preserve">Urgent application </w:t>
            </w:r>
            <w:r w:rsidR="00F45C8F" w:rsidRPr="005025F8">
              <w:rPr>
                <w:rFonts w:cstheme="minorHAnsi"/>
              </w:rPr>
              <w:t>to set aside one part of remedy</w:t>
            </w:r>
          </w:p>
          <w:p w14:paraId="37F13119" w14:textId="40117BED" w:rsidR="00FF6442" w:rsidRPr="005025F8" w:rsidRDefault="003A1122" w:rsidP="00A92CD8">
            <w:pPr>
              <w:spacing w:before="120" w:after="120"/>
              <w:rPr>
                <w:rFonts w:cstheme="minorHAnsi"/>
              </w:rPr>
            </w:pPr>
            <w:r w:rsidRPr="005025F8">
              <w:rPr>
                <w:rFonts w:cstheme="minorHAnsi"/>
              </w:rPr>
              <w:t xml:space="preserve">paragraph 7.2 instructs the third respondent, the Chairperson of the Portfolio Committee on Justice and Correctional Services, Dr </w:t>
            </w:r>
            <w:proofErr w:type="spellStart"/>
            <w:r w:rsidRPr="005025F8">
              <w:rPr>
                <w:rFonts w:cstheme="minorHAnsi"/>
              </w:rPr>
              <w:t>Mathole</w:t>
            </w:r>
            <w:proofErr w:type="spellEnd"/>
            <w:r w:rsidRPr="005025F8">
              <w:rPr>
                <w:rFonts w:cstheme="minorHAnsi"/>
              </w:rPr>
              <w:t xml:space="preserve"> </w:t>
            </w:r>
            <w:proofErr w:type="spellStart"/>
            <w:r w:rsidRPr="005025F8">
              <w:rPr>
                <w:rFonts w:cstheme="minorHAnsi"/>
              </w:rPr>
              <w:t>Motshekga</w:t>
            </w:r>
            <w:proofErr w:type="spellEnd"/>
            <w:r w:rsidRPr="005025F8">
              <w:rPr>
                <w:rFonts w:cstheme="minorHAnsi"/>
              </w:rPr>
              <w:t xml:space="preserve">, (“the Chairperson of the portfolio committee”) to </w:t>
            </w:r>
            <w:r w:rsidR="00602372" w:rsidRPr="005025F8">
              <w:rPr>
                <w:rFonts w:cstheme="minorHAnsi"/>
              </w:rPr>
              <w:t xml:space="preserve">initiate a process </w:t>
            </w:r>
            <w:r w:rsidRPr="005025F8">
              <w:rPr>
                <w:rFonts w:cstheme="minorHAnsi"/>
              </w:rPr>
              <w:t xml:space="preserve">to amend </w:t>
            </w:r>
            <w:r w:rsidR="00602372" w:rsidRPr="005025F8">
              <w:rPr>
                <w:rFonts w:cstheme="minorHAnsi"/>
              </w:rPr>
              <w:t xml:space="preserve">s 224 of </w:t>
            </w:r>
            <w:r w:rsidRPr="005025F8">
              <w:rPr>
                <w:rFonts w:cstheme="minorHAnsi"/>
              </w:rPr>
              <w:t>the Constitution to alter the constitutional mandate of the Reserve Bank</w:t>
            </w:r>
            <w:r w:rsidR="00602372" w:rsidRPr="005025F8">
              <w:rPr>
                <w:rFonts w:cstheme="minorHAnsi"/>
              </w:rPr>
              <w:t>.  The wording of the constitutional amendment is set out in para 7.2.1</w:t>
            </w:r>
          </w:p>
        </w:tc>
      </w:tr>
      <w:tr w:rsidR="00F11314" w:rsidRPr="005025F8" w14:paraId="59F5A5BA" w14:textId="77777777" w:rsidTr="005025F8">
        <w:trPr>
          <w:cantSplit/>
        </w:trPr>
        <w:tc>
          <w:tcPr>
            <w:tcW w:w="1696" w:type="dxa"/>
          </w:tcPr>
          <w:p w14:paraId="61316BC3" w14:textId="77777777" w:rsidR="00F11314" w:rsidRPr="005025F8" w:rsidRDefault="00F11314" w:rsidP="00DC48C9">
            <w:pPr>
              <w:spacing w:before="120" w:after="120"/>
              <w:rPr>
                <w:rFonts w:cstheme="minorHAnsi"/>
              </w:rPr>
            </w:pPr>
            <w:r w:rsidRPr="005025F8">
              <w:rPr>
                <w:rFonts w:cstheme="minorHAnsi"/>
                <w:highlight w:val="yellow"/>
              </w:rPr>
              <w:t>6 July 2017</w:t>
            </w:r>
          </w:p>
        </w:tc>
        <w:tc>
          <w:tcPr>
            <w:tcW w:w="8085" w:type="dxa"/>
          </w:tcPr>
          <w:p w14:paraId="3FFFF8B9" w14:textId="582E5D10" w:rsidR="00F11314" w:rsidRPr="005025F8" w:rsidRDefault="00F11314" w:rsidP="00DC48C9">
            <w:pPr>
              <w:spacing w:before="120" w:after="120"/>
              <w:rPr>
                <w:rFonts w:cstheme="minorHAnsi"/>
              </w:rPr>
            </w:pPr>
            <w:r w:rsidRPr="005025F8">
              <w:rPr>
                <w:rFonts w:cstheme="minorHAnsi"/>
              </w:rPr>
              <w:t>Minister of Finance v Public Protector</w:t>
            </w:r>
            <w:r w:rsidRPr="005025F8">
              <w:rPr>
                <w:rFonts w:cstheme="minorHAnsi"/>
              </w:rPr>
              <w:t xml:space="preserve"> case no: 46255/17</w:t>
            </w:r>
          </w:p>
        </w:tc>
      </w:tr>
      <w:tr w:rsidR="00F45C8F" w:rsidRPr="005025F8" w14:paraId="5FB912BC" w14:textId="77777777" w:rsidTr="005025F8">
        <w:trPr>
          <w:cantSplit/>
        </w:trPr>
        <w:tc>
          <w:tcPr>
            <w:tcW w:w="1696" w:type="dxa"/>
          </w:tcPr>
          <w:p w14:paraId="237973FF" w14:textId="6BEAE2F4" w:rsidR="00F45C8F" w:rsidRPr="005025F8" w:rsidRDefault="00F11314" w:rsidP="00BF5876">
            <w:pPr>
              <w:spacing w:before="120" w:after="120"/>
              <w:rPr>
                <w:rFonts w:cstheme="minorHAnsi"/>
              </w:rPr>
            </w:pPr>
            <w:r w:rsidRPr="005025F8">
              <w:rPr>
                <w:rFonts w:cstheme="minorHAnsi"/>
              </w:rPr>
              <w:t>31 July 2017</w:t>
            </w:r>
          </w:p>
        </w:tc>
        <w:tc>
          <w:tcPr>
            <w:tcW w:w="8085" w:type="dxa"/>
          </w:tcPr>
          <w:p w14:paraId="0563C63F" w14:textId="32C0CDAC" w:rsidR="00F45C8F" w:rsidRPr="005025F8" w:rsidRDefault="00F11314" w:rsidP="00BF5876">
            <w:pPr>
              <w:spacing w:before="120" w:after="120"/>
              <w:rPr>
                <w:rFonts w:cstheme="minorHAnsi"/>
              </w:rPr>
            </w:pPr>
            <w:r w:rsidRPr="005025F8">
              <w:rPr>
                <w:rFonts w:cstheme="minorHAnsi"/>
              </w:rPr>
              <w:t>SARB v Public Protector  case no. 52883/17</w:t>
            </w:r>
          </w:p>
        </w:tc>
      </w:tr>
      <w:tr w:rsidR="00F11314" w:rsidRPr="005025F8" w14:paraId="0E68AF2A" w14:textId="77777777" w:rsidTr="005025F8">
        <w:trPr>
          <w:cantSplit/>
        </w:trPr>
        <w:tc>
          <w:tcPr>
            <w:tcW w:w="1696" w:type="dxa"/>
          </w:tcPr>
          <w:p w14:paraId="41B31E01" w14:textId="30F07482" w:rsidR="00F11314" w:rsidRPr="005025F8" w:rsidRDefault="00F11314" w:rsidP="00F11314">
            <w:pPr>
              <w:spacing w:before="120" w:after="120"/>
              <w:rPr>
                <w:rFonts w:cstheme="minorHAnsi"/>
              </w:rPr>
            </w:pPr>
            <w:r w:rsidRPr="005025F8">
              <w:rPr>
                <w:rFonts w:cstheme="minorHAnsi"/>
              </w:rPr>
              <w:t>13 July 2017</w:t>
            </w:r>
          </w:p>
        </w:tc>
        <w:tc>
          <w:tcPr>
            <w:tcW w:w="8085" w:type="dxa"/>
          </w:tcPr>
          <w:p w14:paraId="0F92D100" w14:textId="6C1AFAB8" w:rsidR="00F11314" w:rsidRPr="005025F8" w:rsidRDefault="00F11314" w:rsidP="00F11314">
            <w:pPr>
              <w:spacing w:before="120" w:after="120"/>
              <w:rPr>
                <w:rFonts w:cstheme="minorHAnsi"/>
              </w:rPr>
            </w:pPr>
            <w:r w:rsidRPr="005025F8">
              <w:rPr>
                <w:rFonts w:cstheme="minorHAnsi"/>
              </w:rPr>
              <w:t xml:space="preserve">ABSA bank </w:t>
            </w:r>
            <w:r w:rsidRPr="005025F8">
              <w:rPr>
                <w:rFonts w:cstheme="minorHAnsi"/>
              </w:rPr>
              <w:t xml:space="preserve">v Public Protector </w:t>
            </w:r>
            <w:r w:rsidRPr="005025F8">
              <w:rPr>
                <w:rFonts w:cstheme="minorHAnsi"/>
              </w:rPr>
              <w:t>case no</w:t>
            </w:r>
            <w:r w:rsidRPr="005025F8">
              <w:rPr>
                <w:rFonts w:cstheme="minorHAnsi"/>
              </w:rPr>
              <w:t>.</w:t>
            </w:r>
            <w:r w:rsidRPr="005025F8">
              <w:rPr>
                <w:rFonts w:cstheme="minorHAnsi"/>
              </w:rPr>
              <w:t xml:space="preserve"> 48123/17</w:t>
            </w:r>
            <w:r w:rsidRPr="005025F8">
              <w:rPr>
                <w:rFonts w:cstheme="minorHAnsi"/>
              </w:rPr>
              <w:t xml:space="preserve"> </w:t>
            </w:r>
          </w:p>
        </w:tc>
      </w:tr>
      <w:tr w:rsidR="00F11314" w:rsidRPr="005025F8" w14:paraId="4AAC9345" w14:textId="77777777" w:rsidTr="005025F8">
        <w:trPr>
          <w:cantSplit/>
        </w:trPr>
        <w:tc>
          <w:tcPr>
            <w:tcW w:w="1696" w:type="dxa"/>
          </w:tcPr>
          <w:p w14:paraId="1279D9B7" w14:textId="7DECE975" w:rsidR="00F11314" w:rsidRPr="005025F8" w:rsidRDefault="00F11314" w:rsidP="00F11314">
            <w:pPr>
              <w:spacing w:before="120" w:after="120"/>
              <w:rPr>
                <w:rFonts w:cstheme="minorHAnsi"/>
                <w:highlight w:val="green"/>
              </w:rPr>
            </w:pPr>
            <w:r w:rsidRPr="005025F8">
              <w:rPr>
                <w:rFonts w:cstheme="minorHAnsi"/>
                <w:highlight w:val="green"/>
              </w:rPr>
              <w:t>15 August 2017</w:t>
            </w:r>
          </w:p>
        </w:tc>
        <w:tc>
          <w:tcPr>
            <w:tcW w:w="8085" w:type="dxa"/>
          </w:tcPr>
          <w:p w14:paraId="33205AF4" w14:textId="77777777" w:rsidR="00F11314" w:rsidRPr="005025F8" w:rsidRDefault="00F11314" w:rsidP="00F11314">
            <w:pPr>
              <w:spacing w:before="120" w:after="120"/>
              <w:rPr>
                <w:rFonts w:cstheme="minorHAnsi"/>
                <w:highlight w:val="green"/>
              </w:rPr>
            </w:pPr>
            <w:r w:rsidRPr="005025F8">
              <w:rPr>
                <w:rFonts w:cstheme="minorHAnsi"/>
                <w:highlight w:val="green"/>
              </w:rPr>
              <w:t xml:space="preserve">Annexure 1B:  </w:t>
            </w:r>
            <w:r w:rsidRPr="005025F8">
              <w:rPr>
                <w:rFonts w:cstheme="minorHAnsi"/>
                <w:b/>
                <w:bCs/>
                <w:highlight w:val="green"/>
                <w:u w:val="single"/>
              </w:rPr>
              <w:t>South African Reserve Bank v Public Protector &amp; Others</w:t>
            </w:r>
            <w:r w:rsidRPr="005025F8">
              <w:rPr>
                <w:rFonts w:cstheme="minorHAnsi"/>
                <w:highlight w:val="green"/>
              </w:rPr>
              <w:t xml:space="preserve"> (43769/17) [2017] ZAGPPHC 443; [2017] 4 All SA 269 (GP); 2017 (6) SA 198 (GP) (15 August 2017)  P.71</w:t>
            </w:r>
          </w:p>
          <w:p w14:paraId="67A1F122" w14:textId="68EBE98F" w:rsidR="003E713D" w:rsidRPr="005025F8" w:rsidRDefault="003E713D" w:rsidP="00F11314">
            <w:pPr>
              <w:spacing w:before="120" w:after="120"/>
              <w:rPr>
                <w:rFonts w:cstheme="minorHAnsi"/>
                <w:highlight w:val="green"/>
              </w:rPr>
            </w:pPr>
            <w:r w:rsidRPr="005025F8">
              <w:rPr>
                <w:rFonts w:cstheme="minorHAnsi"/>
              </w:rPr>
              <w:t>Urgent application by SARB setting aside the remedial action taken by the first respondent, the PP in  Report 8 of 2017/1018 into the Alleged Failure to Recover Misappropriated Funds. (The  report followed an investigation and a preliminary report by the PP into a complaint about the alleged failure by government in 1999 to implement the recommendation of a covert UK based asset recovery agency, CIEX, suggesting that the government recover monies paid by the Reserve Bank to Bankorp, a private commercial bank.</w:t>
            </w:r>
          </w:p>
        </w:tc>
      </w:tr>
      <w:tr w:rsidR="00A92CD8" w:rsidRPr="005025F8" w14:paraId="5E0DABFE" w14:textId="77777777" w:rsidTr="005025F8">
        <w:trPr>
          <w:cantSplit/>
        </w:trPr>
        <w:tc>
          <w:tcPr>
            <w:tcW w:w="1696" w:type="dxa"/>
          </w:tcPr>
          <w:p w14:paraId="571E7D26" w14:textId="77777777" w:rsidR="00A92CD8" w:rsidRPr="005025F8" w:rsidRDefault="00A92CD8" w:rsidP="00F11314">
            <w:pPr>
              <w:spacing w:before="120" w:after="120"/>
              <w:rPr>
                <w:rFonts w:cstheme="minorHAnsi"/>
                <w:highlight w:val="green"/>
              </w:rPr>
            </w:pPr>
          </w:p>
        </w:tc>
        <w:tc>
          <w:tcPr>
            <w:tcW w:w="8085" w:type="dxa"/>
          </w:tcPr>
          <w:p w14:paraId="20D78A5E" w14:textId="77777777" w:rsidR="00A92CD8" w:rsidRDefault="00A92CD8" w:rsidP="00F11314">
            <w:pPr>
              <w:spacing w:before="120" w:after="120"/>
              <w:rPr>
                <w:rFonts w:cstheme="minorHAnsi"/>
                <w:color w:val="000000"/>
              </w:rPr>
            </w:pPr>
            <w:r w:rsidRPr="005025F8">
              <w:rPr>
                <w:rFonts w:cstheme="minorHAnsi"/>
                <w:color w:val="000000"/>
              </w:rPr>
              <w:t>60.1 The second, third and fifth respondents are joined as applicants.</w:t>
            </w:r>
            <w:r w:rsidRPr="005025F8">
              <w:rPr>
                <w:rFonts w:cstheme="minorHAnsi"/>
                <w:color w:val="000000"/>
              </w:rPr>
              <w:br/>
            </w:r>
          </w:p>
          <w:p w14:paraId="4EA2217C" w14:textId="77777777" w:rsidR="00A92CD8" w:rsidRDefault="00A92CD8" w:rsidP="00F11314">
            <w:pPr>
              <w:spacing w:before="120" w:after="120"/>
              <w:rPr>
                <w:rFonts w:cstheme="minorHAnsi"/>
                <w:color w:val="000000"/>
              </w:rPr>
            </w:pPr>
            <w:r w:rsidRPr="005025F8">
              <w:rPr>
                <w:rFonts w:cstheme="minorHAnsi"/>
                <w:color w:val="000000"/>
              </w:rPr>
              <w:t>60.2 The remedial action in paragraph 7.2 of the Public Protector’s Report 8 of 2017/1018 into the Alleged Failure to Recover Misappropriated Funds, issued on 19 June 2017, is reviewed and set aside.</w:t>
            </w:r>
            <w:r w:rsidRPr="005025F8">
              <w:rPr>
                <w:rFonts w:cstheme="minorHAnsi"/>
                <w:color w:val="000000"/>
              </w:rPr>
              <w:br/>
            </w:r>
          </w:p>
          <w:p w14:paraId="300C6453" w14:textId="77777777" w:rsidR="00A92CD8" w:rsidRDefault="00A92CD8" w:rsidP="00F11314">
            <w:pPr>
              <w:spacing w:before="120" w:after="120"/>
              <w:rPr>
                <w:rFonts w:cstheme="minorHAnsi"/>
                <w:color w:val="000000"/>
              </w:rPr>
            </w:pPr>
            <w:r w:rsidRPr="005025F8">
              <w:rPr>
                <w:rFonts w:cstheme="minorHAnsi"/>
                <w:color w:val="000000"/>
              </w:rPr>
              <w:t>60.3 The obligation placed upon the Chairperson of the Portfolio Committee on Justice and Correctional Services and the South African Reserve Bank under paragraph 8.1 of the Report to submit an action plan to the Public Protector in relation to remedial action in paragraph 7.2 of the Report is reviewed and set aside.</w:t>
            </w:r>
            <w:r w:rsidRPr="005025F8">
              <w:rPr>
                <w:rFonts w:cstheme="minorHAnsi"/>
                <w:color w:val="000000"/>
              </w:rPr>
              <w:br/>
            </w:r>
          </w:p>
          <w:p w14:paraId="47B3F6BE" w14:textId="3CEB75A1" w:rsidR="00A92CD8" w:rsidRPr="005025F8" w:rsidRDefault="00A92CD8" w:rsidP="00F11314">
            <w:pPr>
              <w:spacing w:before="120" w:after="120"/>
              <w:rPr>
                <w:rFonts w:cstheme="minorHAnsi"/>
                <w:highlight w:val="green"/>
              </w:rPr>
            </w:pPr>
            <w:r w:rsidRPr="005025F8">
              <w:rPr>
                <w:rFonts w:cstheme="minorHAnsi"/>
                <w:color w:val="000000"/>
              </w:rPr>
              <w:t xml:space="preserve">60.4 The Public Protector is ordered to pay the costs of the application up to and including the filing of her answering affidavit, such costs to include the costs of employing two </w:t>
            </w:r>
            <w:proofErr w:type="gramStart"/>
            <w:r w:rsidRPr="005025F8">
              <w:rPr>
                <w:rFonts w:cstheme="minorHAnsi"/>
                <w:color w:val="000000"/>
              </w:rPr>
              <w:t>counsel</w:t>
            </w:r>
            <w:proofErr w:type="gramEnd"/>
            <w:r w:rsidRPr="005025F8">
              <w:rPr>
                <w:rFonts w:cstheme="minorHAnsi"/>
                <w:color w:val="000000"/>
              </w:rPr>
              <w:t>.</w:t>
            </w:r>
          </w:p>
        </w:tc>
      </w:tr>
      <w:tr w:rsidR="00416B73" w:rsidRPr="005025F8" w14:paraId="6AE7045D" w14:textId="77777777" w:rsidTr="005025F8">
        <w:trPr>
          <w:cantSplit/>
        </w:trPr>
        <w:tc>
          <w:tcPr>
            <w:tcW w:w="1696" w:type="dxa"/>
          </w:tcPr>
          <w:p w14:paraId="32DA339C" w14:textId="50C04FE5" w:rsidR="00416B73" w:rsidRPr="005025F8" w:rsidRDefault="00416B73" w:rsidP="00416B73">
            <w:pPr>
              <w:spacing w:before="120" w:after="120"/>
              <w:rPr>
                <w:rFonts w:cstheme="minorHAnsi"/>
              </w:rPr>
            </w:pPr>
            <w:r w:rsidRPr="005025F8">
              <w:rPr>
                <w:rFonts w:cstheme="minorHAnsi"/>
              </w:rPr>
              <w:t>16 February 2018</w:t>
            </w:r>
          </w:p>
        </w:tc>
        <w:tc>
          <w:tcPr>
            <w:tcW w:w="8085" w:type="dxa"/>
          </w:tcPr>
          <w:p w14:paraId="77FAC867" w14:textId="50900B32" w:rsidR="00416B73" w:rsidRPr="005025F8" w:rsidRDefault="00416B73" w:rsidP="00416B73">
            <w:pPr>
              <w:spacing w:before="120" w:after="120"/>
              <w:rPr>
                <w:rFonts w:cstheme="minorHAnsi"/>
              </w:rPr>
            </w:pPr>
            <w:r w:rsidRPr="005025F8">
              <w:rPr>
                <w:rFonts w:cstheme="minorHAnsi"/>
              </w:rPr>
              <w:t xml:space="preserve">Annexure 1C:  </w:t>
            </w:r>
            <w:r w:rsidRPr="005025F8">
              <w:rPr>
                <w:rFonts w:cstheme="minorHAnsi"/>
                <w:b/>
                <w:bCs/>
                <w:u w:val="single"/>
              </w:rPr>
              <w:t>Absa Bank Limited &amp; Others v Public Protector &amp; Others</w:t>
            </w:r>
            <w:r w:rsidRPr="005025F8">
              <w:rPr>
                <w:rFonts w:cstheme="minorHAnsi"/>
              </w:rPr>
              <w:t xml:space="preserve"> (48123/2017; 52883/2017; 46255/2017 [2018] ZAGPPHC 2 [2018] 2 All SA 1 (GP) (16 February 2018)</w:t>
            </w:r>
            <w:r w:rsidRPr="005025F8">
              <w:rPr>
                <w:rFonts w:cstheme="minorHAnsi"/>
              </w:rPr>
              <w:t xml:space="preserve"> per Pretorius J, </w:t>
            </w:r>
            <w:proofErr w:type="spellStart"/>
            <w:r w:rsidRPr="005025F8">
              <w:rPr>
                <w:rFonts w:cstheme="minorHAnsi"/>
              </w:rPr>
              <w:t>Mngqibisi-Thusi</w:t>
            </w:r>
            <w:proofErr w:type="spellEnd"/>
            <w:r w:rsidRPr="005025F8">
              <w:rPr>
                <w:rFonts w:cstheme="minorHAnsi"/>
              </w:rPr>
              <w:t xml:space="preserve"> J and Fourie J - </w:t>
            </w:r>
          </w:p>
        </w:tc>
      </w:tr>
      <w:tr w:rsidR="003E713D" w:rsidRPr="005025F8" w14:paraId="77E9C2C1" w14:textId="77777777" w:rsidTr="005025F8">
        <w:trPr>
          <w:cantSplit/>
        </w:trPr>
        <w:tc>
          <w:tcPr>
            <w:tcW w:w="1696" w:type="dxa"/>
          </w:tcPr>
          <w:p w14:paraId="637BF0B0" w14:textId="77777777" w:rsidR="003E713D" w:rsidRPr="005025F8" w:rsidRDefault="003E713D" w:rsidP="00416B73">
            <w:pPr>
              <w:spacing w:before="120" w:after="120"/>
              <w:rPr>
                <w:rFonts w:cstheme="minorHAnsi"/>
              </w:rPr>
            </w:pPr>
          </w:p>
        </w:tc>
        <w:tc>
          <w:tcPr>
            <w:tcW w:w="8085" w:type="dxa"/>
          </w:tcPr>
          <w:p w14:paraId="24CD6D60" w14:textId="187B1710" w:rsidR="003E713D" w:rsidRPr="005025F8" w:rsidRDefault="003E713D" w:rsidP="003E713D">
            <w:pPr>
              <w:rPr>
                <w:rFonts w:cstheme="minorHAnsi"/>
              </w:rPr>
            </w:pPr>
            <w:r w:rsidRPr="005025F8">
              <w:rPr>
                <w:rFonts w:cstheme="minorHAnsi"/>
                <w:color w:val="000000"/>
              </w:rPr>
              <w:t>1.    Both points in limine raised by the Public Protector are dismissed;</w:t>
            </w:r>
            <w:r w:rsidRPr="005025F8">
              <w:rPr>
                <w:rFonts w:cstheme="minorHAnsi"/>
                <w:color w:val="000000"/>
              </w:rPr>
              <w:br/>
            </w:r>
            <w:r w:rsidRPr="005025F8">
              <w:rPr>
                <w:rFonts w:cstheme="minorHAnsi"/>
                <w:color w:val="000000"/>
              </w:rPr>
              <w:br/>
              <w:t>2.    The remedial action as set out in paragraphs 7.1.1, 7.1.1.1, 7.1.1.2 and 7.1.2 of the Public Protector's Report 8 of 2017/2018 into the "Alleged Failure to Recover Misappropriated Funds" ("the Report") issued by the Public Protector on 19 June 2017 is reviewed and set aside;</w:t>
            </w:r>
            <w:r w:rsidRPr="005025F8">
              <w:rPr>
                <w:rFonts w:cstheme="minorHAnsi"/>
                <w:color w:val="000000"/>
              </w:rPr>
              <w:br/>
            </w:r>
            <w:r w:rsidRPr="005025F8">
              <w:rPr>
                <w:rFonts w:cstheme="minorHAnsi"/>
                <w:color w:val="000000"/>
              </w:rPr>
              <w:br/>
              <w:t>3.    The remedial action imposing the obligation referred to in paragraph 8.1 of the report to submit an action plan to the Public Protector in relation to paragraphs 7.1.1, 7.1.1.1, 7.1.1.2, and 7.1.2 of the Report is reviewed and set aside;</w:t>
            </w:r>
            <w:r w:rsidRPr="005025F8">
              <w:rPr>
                <w:rFonts w:cstheme="minorHAnsi"/>
                <w:color w:val="000000"/>
              </w:rPr>
              <w:br/>
            </w:r>
            <w:r w:rsidRPr="005025F8">
              <w:rPr>
                <w:rFonts w:cstheme="minorHAnsi"/>
                <w:color w:val="000000"/>
              </w:rPr>
              <w:br/>
            </w:r>
            <w:r w:rsidRPr="005025F8">
              <w:rPr>
                <w:rFonts w:cstheme="minorHAnsi"/>
              </w:rPr>
              <w:t xml:space="preserve">PP to pay the costs of ABSA on an attorney and client scale, including costs of 3 counsel. PP to pay 85% of the costs of the SARB on an attorney and client scale, including 3 </w:t>
            </w:r>
            <w:proofErr w:type="gramStart"/>
            <w:r w:rsidRPr="005025F8">
              <w:rPr>
                <w:rFonts w:cstheme="minorHAnsi"/>
              </w:rPr>
              <w:t>counsel</w:t>
            </w:r>
            <w:proofErr w:type="gramEnd"/>
            <w:r w:rsidRPr="005025F8">
              <w:rPr>
                <w:rFonts w:cstheme="minorHAnsi"/>
              </w:rPr>
              <w:t>. PP to pay 15% of the costs of SARB on an attorney client scale, including the costs of 3 counsel de boniis propriis</w:t>
            </w:r>
          </w:p>
        </w:tc>
      </w:tr>
      <w:tr w:rsidR="00416B73" w:rsidRPr="005025F8" w14:paraId="6643E237" w14:textId="77777777" w:rsidTr="005025F8">
        <w:trPr>
          <w:cantSplit/>
        </w:trPr>
        <w:tc>
          <w:tcPr>
            <w:tcW w:w="1696" w:type="dxa"/>
          </w:tcPr>
          <w:p w14:paraId="30E73382" w14:textId="2EC305D7" w:rsidR="00416B73" w:rsidRPr="005025F8" w:rsidRDefault="00416B73" w:rsidP="00416B73">
            <w:pPr>
              <w:spacing w:before="120" w:after="120"/>
              <w:rPr>
                <w:rFonts w:cstheme="minorHAnsi"/>
              </w:rPr>
            </w:pPr>
            <w:r w:rsidRPr="005025F8">
              <w:rPr>
                <w:rFonts w:cstheme="minorHAnsi"/>
              </w:rPr>
              <w:t>28 March 2018</w:t>
            </w:r>
          </w:p>
        </w:tc>
        <w:tc>
          <w:tcPr>
            <w:tcW w:w="8085" w:type="dxa"/>
          </w:tcPr>
          <w:p w14:paraId="79377EE8" w14:textId="77777777" w:rsidR="00416B73" w:rsidRPr="005025F8" w:rsidRDefault="00416B73" w:rsidP="00416B73">
            <w:pPr>
              <w:spacing w:before="120" w:after="120"/>
              <w:rPr>
                <w:rFonts w:cstheme="minorHAnsi"/>
              </w:rPr>
            </w:pPr>
            <w:r w:rsidRPr="005025F8">
              <w:rPr>
                <w:rFonts w:cstheme="minorHAnsi"/>
              </w:rPr>
              <w:t>Public Protector v SARB case no: 52883/17 (Pretorius J)</w:t>
            </w:r>
          </w:p>
          <w:p w14:paraId="0FE83193" w14:textId="77777777" w:rsidR="003E713D" w:rsidRPr="005025F8" w:rsidRDefault="003E713D" w:rsidP="00416B73">
            <w:pPr>
              <w:spacing w:before="120" w:after="120"/>
              <w:rPr>
                <w:rFonts w:cstheme="minorHAnsi"/>
              </w:rPr>
            </w:pPr>
            <w:r w:rsidRPr="005025F8">
              <w:rPr>
                <w:rFonts w:cstheme="minorHAnsi"/>
              </w:rPr>
              <w:t>Application for leave to appeal is dismissed with costs.</w:t>
            </w:r>
          </w:p>
          <w:p w14:paraId="30AFE07D" w14:textId="61EC7667" w:rsidR="003E713D" w:rsidRPr="005025F8" w:rsidRDefault="003E713D" w:rsidP="00416B73">
            <w:pPr>
              <w:spacing w:before="120" w:after="120"/>
              <w:rPr>
                <w:rFonts w:cstheme="minorHAnsi"/>
              </w:rPr>
            </w:pPr>
            <w:r w:rsidRPr="005025F8">
              <w:rPr>
                <w:rFonts w:cstheme="minorHAnsi"/>
              </w:rPr>
              <w:t>PP applied for leave to appeal the de bonis propriis costs order that was granted against her personally; SARB sought leave to cross appeal for an order declaring that PP abused her office during her investigation</w:t>
            </w:r>
            <w:r w:rsidRPr="005025F8">
              <w:rPr>
                <w:rFonts w:cstheme="minorHAnsi"/>
              </w:rPr>
              <w:t>.</w:t>
            </w:r>
          </w:p>
        </w:tc>
      </w:tr>
      <w:tr w:rsidR="00416B73" w:rsidRPr="005025F8" w14:paraId="3D95C9C0" w14:textId="77777777" w:rsidTr="005025F8">
        <w:trPr>
          <w:cantSplit/>
        </w:trPr>
        <w:tc>
          <w:tcPr>
            <w:tcW w:w="1696" w:type="dxa"/>
          </w:tcPr>
          <w:p w14:paraId="58B43F08" w14:textId="1E11E7A9" w:rsidR="00416B73" w:rsidRPr="005025F8" w:rsidRDefault="00416B73" w:rsidP="00416B73">
            <w:pPr>
              <w:spacing w:before="120" w:after="120"/>
              <w:rPr>
                <w:rFonts w:cstheme="minorHAnsi"/>
              </w:rPr>
            </w:pPr>
            <w:r w:rsidRPr="005025F8">
              <w:rPr>
                <w:rFonts w:cstheme="minorHAnsi"/>
              </w:rPr>
              <w:t>22 July 2019</w:t>
            </w:r>
          </w:p>
        </w:tc>
        <w:tc>
          <w:tcPr>
            <w:tcW w:w="8085" w:type="dxa"/>
          </w:tcPr>
          <w:p w14:paraId="66187732" w14:textId="77777777" w:rsidR="00416B73" w:rsidRPr="005025F8" w:rsidRDefault="00416B73" w:rsidP="00416B73">
            <w:pPr>
              <w:spacing w:before="120" w:after="120"/>
              <w:rPr>
                <w:rFonts w:cstheme="minorHAnsi"/>
              </w:rPr>
            </w:pPr>
            <w:r w:rsidRPr="005025F8">
              <w:rPr>
                <w:rFonts w:cstheme="minorHAnsi"/>
              </w:rPr>
              <w:t xml:space="preserve">Public Protector v SARB case CCT 107/18 </w:t>
            </w:r>
          </w:p>
          <w:p w14:paraId="16766235" w14:textId="44A33BF7" w:rsidR="00416B73" w:rsidRPr="005025F8" w:rsidRDefault="00416B73" w:rsidP="00416B73">
            <w:pPr>
              <w:spacing w:before="120" w:after="120"/>
              <w:rPr>
                <w:rFonts w:cstheme="minorHAnsi"/>
              </w:rPr>
            </w:pPr>
            <w:proofErr w:type="spellStart"/>
            <w:r w:rsidRPr="005025F8">
              <w:rPr>
                <w:rFonts w:cstheme="minorHAnsi"/>
              </w:rPr>
              <w:t>Khampepe</w:t>
            </w:r>
            <w:proofErr w:type="spellEnd"/>
            <w:r w:rsidRPr="005025F8">
              <w:rPr>
                <w:rFonts w:cstheme="minorHAnsi"/>
              </w:rPr>
              <w:t xml:space="preserve"> J &amp; Theron J for majority</w:t>
            </w:r>
            <w:r w:rsidR="005025F8" w:rsidRPr="005025F8">
              <w:rPr>
                <w:rFonts w:cstheme="minorHAnsi"/>
              </w:rPr>
              <w:t xml:space="preserve"> (</w:t>
            </w:r>
            <w:r w:rsidR="005025F8" w:rsidRPr="005025F8">
              <w:rPr>
                <w:rFonts w:cstheme="minorHAnsi"/>
              </w:rPr>
              <w:t xml:space="preserve">with Basson AJ, Cameron J, Dlodlo AJ, Froneman J, G, </w:t>
            </w:r>
            <w:proofErr w:type="spellStart"/>
            <w:r w:rsidR="005025F8" w:rsidRPr="005025F8">
              <w:rPr>
                <w:rFonts w:cstheme="minorHAnsi"/>
              </w:rPr>
              <w:t>Mhlantla</w:t>
            </w:r>
            <w:proofErr w:type="spellEnd"/>
            <w:r w:rsidR="005025F8" w:rsidRPr="005025F8">
              <w:rPr>
                <w:rFonts w:cstheme="minorHAnsi"/>
              </w:rPr>
              <w:t xml:space="preserve"> J, </w:t>
            </w:r>
            <w:proofErr w:type="spellStart"/>
            <w:r w:rsidR="005025F8" w:rsidRPr="005025F8">
              <w:rPr>
                <w:rFonts w:cstheme="minorHAnsi"/>
              </w:rPr>
              <w:t>Petse</w:t>
            </w:r>
            <w:proofErr w:type="spellEnd"/>
            <w:r w:rsidR="005025F8" w:rsidRPr="005025F8">
              <w:rPr>
                <w:rFonts w:cstheme="minorHAnsi"/>
              </w:rPr>
              <w:t xml:space="preserve"> AJ</w:t>
            </w:r>
            <w:r w:rsidR="005025F8" w:rsidRPr="005025F8">
              <w:rPr>
                <w:rFonts w:cstheme="minorHAnsi"/>
              </w:rPr>
              <w:t>)</w:t>
            </w:r>
          </w:p>
          <w:p w14:paraId="6FF22CE3" w14:textId="77777777" w:rsidR="00416B73" w:rsidRPr="005025F8" w:rsidRDefault="00416B73" w:rsidP="00416B73">
            <w:pPr>
              <w:spacing w:before="120" w:after="120"/>
              <w:rPr>
                <w:rFonts w:cstheme="minorHAnsi"/>
              </w:rPr>
            </w:pPr>
            <w:r w:rsidRPr="005025F8">
              <w:rPr>
                <w:rFonts w:cstheme="minorHAnsi"/>
              </w:rPr>
              <w:t xml:space="preserve">Mogoeng CJ dissenting </w:t>
            </w:r>
          </w:p>
          <w:p w14:paraId="756B8038" w14:textId="77777777" w:rsidR="005025F8" w:rsidRPr="005025F8" w:rsidRDefault="005025F8" w:rsidP="00416B73">
            <w:pPr>
              <w:spacing w:before="120" w:after="120"/>
              <w:rPr>
                <w:rFonts w:cstheme="minorHAnsi"/>
              </w:rPr>
            </w:pPr>
          </w:p>
          <w:p w14:paraId="15E2EC74" w14:textId="0A1627B0" w:rsidR="005025F8" w:rsidRPr="005025F8" w:rsidRDefault="005025F8" w:rsidP="00416B73">
            <w:pPr>
              <w:spacing w:before="120" w:after="120"/>
              <w:rPr>
                <w:rFonts w:cstheme="minorHAnsi"/>
              </w:rPr>
            </w:pPr>
            <w:r w:rsidRPr="005025F8">
              <w:rPr>
                <w:rFonts w:cstheme="minorHAnsi"/>
              </w:rPr>
              <w:t>Appeal to CC re two issues: (a) appeal by PP against  the award of the full bench of Gauteng  of punitive costs in favour of SARB against PP in her personal capacity; (b)</w:t>
            </w:r>
            <w:r w:rsidRPr="005025F8">
              <w:rPr>
                <w:rFonts w:cstheme="minorHAnsi"/>
              </w:rPr>
              <w:t xml:space="preserve"> </w:t>
            </w:r>
            <w:r w:rsidRPr="005025F8">
              <w:rPr>
                <w:rFonts w:cstheme="minorHAnsi"/>
              </w:rPr>
              <w:t>cross appeal by Reserve Bank for a declaratory order  to the effect that the PP abused her office in conducting the investigation that gave rise to her impugned report</w:t>
            </w:r>
          </w:p>
        </w:tc>
      </w:tr>
      <w:tr w:rsidR="00416B73" w:rsidRPr="005025F8" w14:paraId="4C9EA09E" w14:textId="77777777" w:rsidTr="005025F8">
        <w:trPr>
          <w:cantSplit/>
        </w:trPr>
        <w:tc>
          <w:tcPr>
            <w:tcW w:w="1696" w:type="dxa"/>
          </w:tcPr>
          <w:p w14:paraId="702CE648" w14:textId="5EE89989" w:rsidR="00416B73" w:rsidRPr="005025F8" w:rsidRDefault="00416B73" w:rsidP="00416B73">
            <w:pPr>
              <w:spacing w:before="120" w:after="120"/>
              <w:rPr>
                <w:rFonts w:cstheme="minorHAnsi"/>
              </w:rPr>
            </w:pPr>
          </w:p>
        </w:tc>
        <w:tc>
          <w:tcPr>
            <w:tcW w:w="8085" w:type="dxa"/>
          </w:tcPr>
          <w:p w14:paraId="058B5092" w14:textId="716DA6BC" w:rsidR="00416B73" w:rsidRPr="005025F8" w:rsidRDefault="005025F8" w:rsidP="005025F8">
            <w:pPr>
              <w:rPr>
                <w:rFonts w:cstheme="minorHAnsi"/>
              </w:rPr>
            </w:pPr>
            <w:r w:rsidRPr="005025F8">
              <w:rPr>
                <w:rFonts w:cstheme="minorHAnsi"/>
                <w:color w:val="000000"/>
              </w:rPr>
              <w:t>1. The Public Protector’s application for leave to appeal is granted.</w:t>
            </w:r>
            <w:r w:rsidRPr="005025F8">
              <w:rPr>
                <w:rFonts w:cstheme="minorHAnsi"/>
                <w:color w:val="000000"/>
              </w:rPr>
              <w:br/>
            </w:r>
            <w:r w:rsidRPr="005025F8">
              <w:rPr>
                <w:rFonts w:cstheme="minorHAnsi"/>
                <w:color w:val="000000"/>
              </w:rPr>
              <w:br/>
              <w:t>2. The appeal is dismissed with no order as to costs in this Court.</w:t>
            </w:r>
            <w:r w:rsidRPr="005025F8">
              <w:rPr>
                <w:rFonts w:cstheme="minorHAnsi"/>
                <w:color w:val="000000"/>
              </w:rPr>
              <w:br/>
            </w:r>
            <w:r w:rsidRPr="005025F8">
              <w:rPr>
                <w:rFonts w:cstheme="minorHAnsi"/>
                <w:color w:val="000000"/>
              </w:rPr>
              <w:br/>
              <w:t>3. The Reserve Bank’s application for leave to cross-appeal is dismissed with no order as to costs in this Court.</w:t>
            </w:r>
          </w:p>
        </w:tc>
      </w:tr>
    </w:tbl>
    <w:p w14:paraId="3EC98EBC" w14:textId="7CC5E405" w:rsidR="00396684" w:rsidRPr="005025F8" w:rsidRDefault="00396684">
      <w:pPr>
        <w:rPr>
          <w:rFonts w:cstheme="minorHAnsi"/>
        </w:rPr>
      </w:pPr>
    </w:p>
    <w:sectPr w:rsidR="00396684" w:rsidRPr="005025F8" w:rsidSect="005025F8">
      <w:headerReference w:type="default" r:id="rId7"/>
      <w:headerReference w:type="first" r:id="rId8"/>
      <w:pgSz w:w="11906" w:h="16838"/>
      <w:pgMar w:top="851" w:right="1134"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5C3C" w14:textId="77777777" w:rsidR="00674A69" w:rsidRDefault="00674A69" w:rsidP="00FB274D">
      <w:pPr>
        <w:spacing w:after="0" w:line="240" w:lineRule="auto"/>
      </w:pPr>
      <w:r>
        <w:separator/>
      </w:r>
    </w:p>
  </w:endnote>
  <w:endnote w:type="continuationSeparator" w:id="0">
    <w:p w14:paraId="39F2ADAF" w14:textId="77777777" w:rsidR="00674A69" w:rsidRDefault="00674A69" w:rsidP="00FB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71E1" w14:textId="77777777" w:rsidR="00674A69" w:rsidRDefault="00674A69" w:rsidP="00FB274D">
      <w:pPr>
        <w:spacing w:after="0" w:line="240" w:lineRule="auto"/>
      </w:pPr>
      <w:r>
        <w:separator/>
      </w:r>
    </w:p>
  </w:footnote>
  <w:footnote w:type="continuationSeparator" w:id="0">
    <w:p w14:paraId="1DEFCC18" w14:textId="77777777" w:rsidR="00674A69" w:rsidRDefault="00674A69" w:rsidP="00FB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93282"/>
      <w:docPartObj>
        <w:docPartGallery w:val="Page Numbers (Top of Page)"/>
        <w:docPartUnique/>
      </w:docPartObj>
    </w:sdtPr>
    <w:sdtEndPr>
      <w:rPr>
        <w:rFonts w:ascii="Arial" w:hAnsi="Arial" w:cs="Arial"/>
        <w:noProof/>
        <w:sz w:val="24"/>
        <w:szCs w:val="24"/>
      </w:rPr>
    </w:sdtEndPr>
    <w:sdtContent>
      <w:p w14:paraId="43553AA8" w14:textId="4215912F" w:rsidR="00FB274D" w:rsidRPr="00FB274D" w:rsidRDefault="00FB274D">
        <w:pPr>
          <w:pStyle w:val="Header"/>
          <w:jc w:val="right"/>
          <w:rPr>
            <w:rFonts w:ascii="Arial" w:hAnsi="Arial" w:cs="Arial"/>
            <w:sz w:val="24"/>
            <w:szCs w:val="24"/>
          </w:rPr>
        </w:pPr>
        <w:r w:rsidRPr="00FB274D">
          <w:rPr>
            <w:rFonts w:ascii="Arial" w:hAnsi="Arial" w:cs="Arial"/>
            <w:sz w:val="24"/>
            <w:szCs w:val="24"/>
          </w:rPr>
          <w:fldChar w:fldCharType="begin"/>
        </w:r>
        <w:r w:rsidRPr="00FB274D">
          <w:rPr>
            <w:rFonts w:ascii="Arial" w:hAnsi="Arial" w:cs="Arial"/>
            <w:sz w:val="24"/>
            <w:szCs w:val="24"/>
          </w:rPr>
          <w:instrText xml:space="preserve"> PAGE   \* MERGEFORMAT </w:instrText>
        </w:r>
        <w:r w:rsidRPr="00FB274D">
          <w:rPr>
            <w:rFonts w:ascii="Arial" w:hAnsi="Arial" w:cs="Arial"/>
            <w:sz w:val="24"/>
            <w:szCs w:val="24"/>
          </w:rPr>
          <w:fldChar w:fldCharType="separate"/>
        </w:r>
        <w:r w:rsidRPr="00FB274D">
          <w:rPr>
            <w:rFonts w:ascii="Arial" w:hAnsi="Arial" w:cs="Arial"/>
            <w:noProof/>
            <w:sz w:val="24"/>
            <w:szCs w:val="24"/>
          </w:rPr>
          <w:t>2</w:t>
        </w:r>
        <w:r w:rsidRPr="00FB274D">
          <w:rPr>
            <w:rFonts w:ascii="Arial" w:hAnsi="Arial" w:cs="Arial"/>
            <w:noProof/>
            <w:sz w:val="24"/>
            <w:szCs w:val="24"/>
          </w:rPr>
          <w:fldChar w:fldCharType="end"/>
        </w:r>
      </w:p>
    </w:sdtContent>
  </w:sdt>
  <w:p w14:paraId="42330AE9" w14:textId="77777777" w:rsidR="00FB274D" w:rsidRDefault="00FB2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11950"/>
      <w:docPartObj>
        <w:docPartGallery w:val="Page Numbers (Top of Page)"/>
        <w:docPartUnique/>
      </w:docPartObj>
    </w:sdtPr>
    <w:sdtEndPr>
      <w:rPr>
        <w:noProof/>
      </w:rPr>
    </w:sdtEndPr>
    <w:sdtContent>
      <w:p w14:paraId="572BD265" w14:textId="58911D11" w:rsidR="000061CB" w:rsidRDefault="000061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75D65B" w14:textId="77777777" w:rsidR="000061CB" w:rsidRDefault="0000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972"/>
    <w:multiLevelType w:val="multilevel"/>
    <w:tmpl w:val="EAC63F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665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42"/>
    <w:rsid w:val="000061CB"/>
    <w:rsid w:val="000158DC"/>
    <w:rsid w:val="00042DAB"/>
    <w:rsid w:val="00140C7B"/>
    <w:rsid w:val="002244C6"/>
    <w:rsid w:val="00242454"/>
    <w:rsid w:val="00273B0C"/>
    <w:rsid w:val="002C135C"/>
    <w:rsid w:val="002C6F7C"/>
    <w:rsid w:val="002D48FE"/>
    <w:rsid w:val="002D6CE2"/>
    <w:rsid w:val="002E0CEB"/>
    <w:rsid w:val="002E4D69"/>
    <w:rsid w:val="00317E5A"/>
    <w:rsid w:val="00333CD8"/>
    <w:rsid w:val="00396684"/>
    <w:rsid w:val="003A1122"/>
    <w:rsid w:val="003A4CA8"/>
    <w:rsid w:val="003B0E00"/>
    <w:rsid w:val="003B1F51"/>
    <w:rsid w:val="003C3E3B"/>
    <w:rsid w:val="003E713D"/>
    <w:rsid w:val="00416B73"/>
    <w:rsid w:val="0044644A"/>
    <w:rsid w:val="004A3156"/>
    <w:rsid w:val="004B7E41"/>
    <w:rsid w:val="004E772F"/>
    <w:rsid w:val="005025F8"/>
    <w:rsid w:val="0051784D"/>
    <w:rsid w:val="0055784A"/>
    <w:rsid w:val="005C1545"/>
    <w:rsid w:val="005F28F9"/>
    <w:rsid w:val="005F6050"/>
    <w:rsid w:val="005F798D"/>
    <w:rsid w:val="005F79E4"/>
    <w:rsid w:val="00602372"/>
    <w:rsid w:val="00662AC6"/>
    <w:rsid w:val="00664D01"/>
    <w:rsid w:val="00674A69"/>
    <w:rsid w:val="006A367A"/>
    <w:rsid w:val="006B074C"/>
    <w:rsid w:val="006B0E9B"/>
    <w:rsid w:val="006B3485"/>
    <w:rsid w:val="006D0D82"/>
    <w:rsid w:val="006D78F3"/>
    <w:rsid w:val="0072356B"/>
    <w:rsid w:val="007838C6"/>
    <w:rsid w:val="00787C16"/>
    <w:rsid w:val="007E3BF0"/>
    <w:rsid w:val="008006D8"/>
    <w:rsid w:val="00880503"/>
    <w:rsid w:val="008C2F24"/>
    <w:rsid w:val="008C4A48"/>
    <w:rsid w:val="008C7750"/>
    <w:rsid w:val="00913AD3"/>
    <w:rsid w:val="00914003"/>
    <w:rsid w:val="00927268"/>
    <w:rsid w:val="0095596B"/>
    <w:rsid w:val="009A6BA2"/>
    <w:rsid w:val="00A12B51"/>
    <w:rsid w:val="00A15D00"/>
    <w:rsid w:val="00A92CD8"/>
    <w:rsid w:val="00AA5D76"/>
    <w:rsid w:val="00B71217"/>
    <w:rsid w:val="00BA1644"/>
    <w:rsid w:val="00BB27CD"/>
    <w:rsid w:val="00BB4C2B"/>
    <w:rsid w:val="00BF5876"/>
    <w:rsid w:val="00C75BCD"/>
    <w:rsid w:val="00C81AC7"/>
    <w:rsid w:val="00CF7668"/>
    <w:rsid w:val="00D55ABD"/>
    <w:rsid w:val="00F11314"/>
    <w:rsid w:val="00F1677B"/>
    <w:rsid w:val="00F45C8F"/>
    <w:rsid w:val="00F5551B"/>
    <w:rsid w:val="00FB274D"/>
    <w:rsid w:val="00FF644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50D8"/>
  <w15:chartTrackingRefBased/>
  <w15:docId w15:val="{874D283B-87FD-4EBB-8303-CC464F61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D01"/>
    <w:pPr>
      <w:ind w:left="720"/>
      <w:contextualSpacing/>
    </w:pPr>
  </w:style>
  <w:style w:type="paragraph" w:customStyle="1" w:styleId="Level2">
    <w:name w:val="Level 2"/>
    <w:basedOn w:val="Normal"/>
    <w:qFormat/>
    <w:rsid w:val="00664D01"/>
    <w:pPr>
      <w:spacing w:line="480" w:lineRule="auto"/>
      <w:jc w:val="both"/>
    </w:pPr>
    <w:rPr>
      <w:rFonts w:ascii="Arial" w:eastAsia="Calibri" w:hAnsi="Arial" w:cs="Times New Roman"/>
      <w:sz w:val="24"/>
      <w:lang w:val="en-ZA"/>
    </w:rPr>
  </w:style>
  <w:style w:type="paragraph" w:styleId="Header">
    <w:name w:val="header"/>
    <w:basedOn w:val="Normal"/>
    <w:link w:val="HeaderChar"/>
    <w:uiPriority w:val="99"/>
    <w:unhideWhenUsed/>
    <w:rsid w:val="00FB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4D"/>
  </w:style>
  <w:style w:type="paragraph" w:styleId="Footer">
    <w:name w:val="footer"/>
    <w:basedOn w:val="Normal"/>
    <w:link w:val="FooterChar"/>
    <w:uiPriority w:val="99"/>
    <w:unhideWhenUsed/>
    <w:rsid w:val="00FB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4D"/>
  </w:style>
  <w:style w:type="paragraph" w:customStyle="1" w:styleId="TableParagraph">
    <w:name w:val="Table Paragraph"/>
    <w:basedOn w:val="Normal"/>
    <w:uiPriority w:val="1"/>
    <w:qFormat/>
    <w:rsid w:val="00396684"/>
    <w:pPr>
      <w:widowControl w:val="0"/>
      <w:autoSpaceDE w:val="0"/>
      <w:autoSpaceDN w:val="0"/>
      <w:adjustRightInd w:val="0"/>
      <w:spacing w:before="115" w:after="0" w:line="240" w:lineRule="auto"/>
      <w:ind w:left="107"/>
    </w:pPr>
    <w:rPr>
      <w:rFonts w:ascii="Arial" w:eastAsiaTheme="minorEastAsia"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569">
      <w:bodyDiv w:val="1"/>
      <w:marLeft w:val="0"/>
      <w:marRight w:val="0"/>
      <w:marTop w:val="0"/>
      <w:marBottom w:val="0"/>
      <w:divBdr>
        <w:top w:val="none" w:sz="0" w:space="0" w:color="auto"/>
        <w:left w:val="none" w:sz="0" w:space="0" w:color="auto"/>
        <w:bottom w:val="none" w:sz="0" w:space="0" w:color="auto"/>
        <w:right w:val="none" w:sz="0" w:space="0" w:color="auto"/>
      </w:divBdr>
    </w:div>
    <w:div w:id="921258343">
      <w:bodyDiv w:val="1"/>
      <w:marLeft w:val="0"/>
      <w:marRight w:val="0"/>
      <w:marTop w:val="0"/>
      <w:marBottom w:val="0"/>
      <w:divBdr>
        <w:top w:val="none" w:sz="0" w:space="0" w:color="auto"/>
        <w:left w:val="none" w:sz="0" w:space="0" w:color="auto"/>
        <w:bottom w:val="none" w:sz="0" w:space="0" w:color="auto"/>
        <w:right w:val="none" w:sz="0" w:space="0" w:color="auto"/>
      </w:divBdr>
    </w:div>
    <w:div w:id="142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Jordaan</dc:creator>
  <cp:keywords/>
  <dc:description/>
  <cp:lastModifiedBy>Nazreen Bawa</cp:lastModifiedBy>
  <cp:revision>3</cp:revision>
  <dcterms:created xsi:type="dcterms:W3CDTF">2022-07-17T22:34:00Z</dcterms:created>
  <dcterms:modified xsi:type="dcterms:W3CDTF">2022-07-17T22:34:00Z</dcterms:modified>
</cp:coreProperties>
</file>