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C326" w14:textId="77777777" w:rsidR="00945532" w:rsidRPr="003F7C28" w:rsidRDefault="00945532" w:rsidP="003F7C28">
      <w:pPr>
        <w:spacing w:after="0" w:line="360" w:lineRule="auto"/>
        <w:ind w:firstLine="720"/>
        <w:jc w:val="both"/>
        <w:rPr>
          <w:rFonts w:ascii="Arial" w:hAnsi="Arial" w:cs="Arial"/>
        </w:rPr>
      </w:pPr>
      <w:bookmarkStart w:id="0" w:name="_GoBack"/>
      <w:bookmarkEnd w:id="0"/>
    </w:p>
    <w:p w14:paraId="797696CA" w14:textId="77777777" w:rsidR="00C17565" w:rsidRPr="003F7C28" w:rsidRDefault="00E76F90" w:rsidP="009B1386">
      <w:pPr>
        <w:spacing w:after="0" w:line="360" w:lineRule="auto"/>
        <w:jc w:val="center"/>
        <w:rPr>
          <w:rFonts w:ascii="Arial" w:hAnsi="Arial" w:cs="Arial"/>
          <w:b/>
        </w:rPr>
      </w:pPr>
      <w:r w:rsidRPr="003F7C28">
        <w:rPr>
          <w:rFonts w:ascii="Arial" w:hAnsi="Arial" w:cs="Arial"/>
          <w:b/>
        </w:rPr>
        <w:t>ISSUES FOR CONSIDERATION ELECTORAL AMENDMENT BILL DELIBERATIONS</w:t>
      </w:r>
    </w:p>
    <w:p w14:paraId="47A51F6E" w14:textId="77777777" w:rsidR="003F7C28" w:rsidRDefault="003F7C28" w:rsidP="009B1386">
      <w:pPr>
        <w:spacing w:after="0" w:line="240" w:lineRule="auto"/>
        <w:jc w:val="both"/>
        <w:rPr>
          <w:rFonts w:ascii="Arial" w:hAnsi="Arial" w:cs="Arial"/>
        </w:rPr>
      </w:pPr>
    </w:p>
    <w:p w14:paraId="5583CBAD" w14:textId="56D86B9C" w:rsidR="00270D6A" w:rsidRPr="003F7C28" w:rsidRDefault="00E76F90" w:rsidP="003F7C28">
      <w:pPr>
        <w:spacing w:after="0" w:line="360" w:lineRule="auto"/>
        <w:jc w:val="both"/>
        <w:rPr>
          <w:rFonts w:ascii="Arial" w:hAnsi="Arial" w:cs="Arial"/>
        </w:rPr>
      </w:pPr>
      <w:r w:rsidRPr="003F7C28">
        <w:rPr>
          <w:rFonts w:ascii="Arial" w:hAnsi="Arial" w:cs="Arial"/>
        </w:rPr>
        <w:t>2 May 2022</w:t>
      </w:r>
    </w:p>
    <w:p w14:paraId="19C2F918" w14:textId="77777777" w:rsidR="003F7C28" w:rsidRDefault="003F7C28" w:rsidP="009B1386">
      <w:pPr>
        <w:tabs>
          <w:tab w:val="left" w:pos="1276"/>
        </w:tabs>
        <w:spacing w:after="0" w:line="240" w:lineRule="auto"/>
        <w:ind w:left="426" w:hanging="426"/>
        <w:jc w:val="both"/>
        <w:rPr>
          <w:rFonts w:ascii="Arial" w:hAnsi="Arial" w:cs="Arial"/>
          <w:b/>
        </w:rPr>
      </w:pPr>
    </w:p>
    <w:p w14:paraId="3C299546" w14:textId="67DAD32D" w:rsidR="00270D6A" w:rsidRDefault="00270D6A" w:rsidP="003F7C28">
      <w:pPr>
        <w:tabs>
          <w:tab w:val="left" w:pos="1276"/>
        </w:tabs>
        <w:spacing w:after="0" w:line="360" w:lineRule="auto"/>
        <w:ind w:left="426" w:hanging="426"/>
        <w:jc w:val="both"/>
        <w:rPr>
          <w:rFonts w:ascii="Arial" w:hAnsi="Arial" w:cs="Arial"/>
          <w:b/>
        </w:rPr>
      </w:pPr>
      <w:r w:rsidRPr="003F7C28">
        <w:rPr>
          <w:rFonts w:ascii="Arial" w:hAnsi="Arial" w:cs="Arial"/>
          <w:b/>
        </w:rPr>
        <w:t>Clause 1</w:t>
      </w:r>
    </w:p>
    <w:p w14:paraId="50E44DCC" w14:textId="77777777" w:rsidR="003F7C28" w:rsidRPr="003F7C28" w:rsidRDefault="003F7C28" w:rsidP="009B1386">
      <w:pPr>
        <w:tabs>
          <w:tab w:val="left" w:pos="1276"/>
        </w:tabs>
        <w:spacing w:after="0" w:line="240" w:lineRule="auto"/>
        <w:ind w:left="426" w:hanging="426"/>
        <w:jc w:val="both"/>
        <w:rPr>
          <w:rFonts w:ascii="Arial" w:hAnsi="Arial" w:cs="Arial"/>
          <w:b/>
        </w:rPr>
      </w:pPr>
    </w:p>
    <w:p w14:paraId="0A9C41EB" w14:textId="03F1BD0F" w:rsidR="003F7C28" w:rsidRDefault="00270D6A"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Is the definition of “region” sufficiently clear</w:t>
      </w:r>
      <w:r w:rsidR="00E76F90" w:rsidRPr="003F7C28">
        <w:rPr>
          <w:rFonts w:ascii="Arial" w:hAnsi="Arial" w:cs="Arial"/>
        </w:rPr>
        <w:t xml:space="preserve"> as compared to a province</w:t>
      </w:r>
      <w:r w:rsidRPr="003F7C28">
        <w:rPr>
          <w:rFonts w:ascii="Arial" w:hAnsi="Arial" w:cs="Arial"/>
        </w:rPr>
        <w:t>?</w:t>
      </w:r>
      <w:r w:rsidR="004E4A40" w:rsidRPr="003F7C28">
        <w:rPr>
          <w:rFonts w:ascii="Arial" w:hAnsi="Arial" w:cs="Arial"/>
        </w:rPr>
        <w:t xml:space="preserve"> </w:t>
      </w:r>
    </w:p>
    <w:p w14:paraId="4878FBF1" w14:textId="77777777" w:rsidR="003F7C28" w:rsidRDefault="003F7C28" w:rsidP="009B1386">
      <w:pPr>
        <w:pStyle w:val="ListParagraph"/>
        <w:spacing w:after="0" w:line="240" w:lineRule="auto"/>
        <w:ind w:left="709" w:hanging="709"/>
        <w:jc w:val="both"/>
        <w:rPr>
          <w:rFonts w:ascii="Arial" w:hAnsi="Arial" w:cs="Arial"/>
        </w:rPr>
      </w:pPr>
    </w:p>
    <w:p w14:paraId="225067B6" w14:textId="38DE476E" w:rsidR="00270D6A" w:rsidRPr="003F7C28" w:rsidRDefault="004E4A40" w:rsidP="003F7C28">
      <w:pPr>
        <w:pStyle w:val="ListParagraph"/>
        <w:spacing w:after="0" w:line="360" w:lineRule="auto"/>
        <w:ind w:left="709"/>
        <w:jc w:val="both"/>
        <w:rPr>
          <w:rFonts w:ascii="Arial" w:hAnsi="Arial" w:cs="Arial"/>
          <w:color w:val="0000FF"/>
        </w:rPr>
      </w:pPr>
      <w:r w:rsidRPr="003F7C28">
        <w:rPr>
          <w:rFonts w:ascii="Arial" w:hAnsi="Arial" w:cs="Arial"/>
          <w:color w:val="0000FF"/>
        </w:rPr>
        <w:t xml:space="preserve">Yes. The term “region” is synonymous with </w:t>
      </w:r>
      <w:r w:rsidR="00B43A57" w:rsidRPr="003F7C28">
        <w:rPr>
          <w:rFonts w:ascii="Arial" w:hAnsi="Arial" w:cs="Arial"/>
          <w:color w:val="0000FF"/>
        </w:rPr>
        <w:t>the p</w:t>
      </w:r>
      <w:r w:rsidRPr="003F7C28">
        <w:rPr>
          <w:rFonts w:ascii="Arial" w:hAnsi="Arial" w:cs="Arial"/>
          <w:color w:val="0000FF"/>
        </w:rPr>
        <w:t>rovince</w:t>
      </w:r>
      <w:r w:rsidR="00B43A57" w:rsidRPr="003F7C28">
        <w:rPr>
          <w:rFonts w:ascii="Arial" w:hAnsi="Arial" w:cs="Arial"/>
          <w:color w:val="0000FF"/>
        </w:rPr>
        <w:t>s. Using different terms</w:t>
      </w:r>
      <w:r w:rsidRPr="003F7C28">
        <w:rPr>
          <w:rFonts w:ascii="Arial" w:hAnsi="Arial" w:cs="Arial"/>
          <w:color w:val="0000FF"/>
        </w:rPr>
        <w:t xml:space="preserve"> follows what is current</w:t>
      </w:r>
      <w:r w:rsidR="00B43A57" w:rsidRPr="003F7C28">
        <w:rPr>
          <w:rFonts w:ascii="Arial" w:hAnsi="Arial" w:cs="Arial"/>
          <w:color w:val="0000FF"/>
        </w:rPr>
        <w:t>ly</w:t>
      </w:r>
      <w:r w:rsidRPr="003F7C28">
        <w:rPr>
          <w:rFonts w:ascii="Arial" w:hAnsi="Arial" w:cs="Arial"/>
          <w:color w:val="0000FF"/>
        </w:rPr>
        <w:t xml:space="preserve"> provided for in the Electoral Act –</w:t>
      </w:r>
      <w:r w:rsidR="00B43A57" w:rsidRPr="003F7C28">
        <w:rPr>
          <w:rFonts w:ascii="Arial" w:hAnsi="Arial" w:cs="Arial"/>
          <w:color w:val="0000FF"/>
        </w:rPr>
        <w:t xml:space="preserve"> </w:t>
      </w:r>
      <w:r w:rsidRPr="003F7C28">
        <w:rPr>
          <w:rFonts w:ascii="Arial" w:hAnsi="Arial" w:cs="Arial"/>
          <w:color w:val="0000FF"/>
        </w:rPr>
        <w:t>so as not to confuse the provincial</w:t>
      </w:r>
      <w:r w:rsidR="004A0453" w:rsidRPr="003F7C28">
        <w:rPr>
          <w:rFonts w:ascii="Arial" w:hAnsi="Arial" w:cs="Arial"/>
          <w:color w:val="0000FF"/>
        </w:rPr>
        <w:t>-</w:t>
      </w:r>
      <w:r w:rsidRPr="003F7C28">
        <w:rPr>
          <w:rFonts w:ascii="Arial" w:hAnsi="Arial" w:cs="Arial"/>
          <w:color w:val="0000FF"/>
        </w:rPr>
        <w:t>to</w:t>
      </w:r>
      <w:r w:rsidR="004A0453" w:rsidRPr="003F7C28">
        <w:rPr>
          <w:rFonts w:ascii="Arial" w:hAnsi="Arial" w:cs="Arial"/>
          <w:color w:val="0000FF"/>
        </w:rPr>
        <w:t>-</w:t>
      </w:r>
      <w:r w:rsidRPr="003F7C28">
        <w:rPr>
          <w:rFonts w:ascii="Arial" w:hAnsi="Arial" w:cs="Arial"/>
          <w:color w:val="0000FF"/>
        </w:rPr>
        <w:t>national seats in the National Assembly and the elections for the provincial legislatures.</w:t>
      </w:r>
    </w:p>
    <w:p w14:paraId="73AC1519" w14:textId="77777777" w:rsidR="00B43A57" w:rsidRPr="003F7C28" w:rsidRDefault="00B43A57" w:rsidP="003F7C28">
      <w:pPr>
        <w:pStyle w:val="ListParagraph"/>
        <w:spacing w:after="0" w:line="240" w:lineRule="auto"/>
        <w:ind w:left="709" w:hanging="709"/>
        <w:jc w:val="both"/>
        <w:rPr>
          <w:rFonts w:ascii="Arial" w:hAnsi="Arial" w:cs="Arial"/>
        </w:rPr>
      </w:pPr>
    </w:p>
    <w:p w14:paraId="1CCCB815" w14:textId="42671868" w:rsidR="003F7C28" w:rsidRDefault="00270D6A"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 xml:space="preserve">Is there a need to </w:t>
      </w:r>
      <w:r w:rsidR="00062550" w:rsidRPr="003F7C28">
        <w:rPr>
          <w:rFonts w:ascii="Arial" w:hAnsi="Arial" w:cs="Arial"/>
        </w:rPr>
        <w:t>re</w:t>
      </w:r>
      <w:r w:rsidRPr="003F7C28">
        <w:rPr>
          <w:rFonts w:ascii="Arial" w:hAnsi="Arial" w:cs="Arial"/>
        </w:rPr>
        <w:t>define</w:t>
      </w:r>
      <w:r w:rsidR="00062550" w:rsidRPr="003F7C28">
        <w:rPr>
          <w:rFonts w:ascii="Arial" w:hAnsi="Arial" w:cs="Arial"/>
        </w:rPr>
        <w:t xml:space="preserve"> </w:t>
      </w:r>
      <w:r w:rsidR="00E76F90" w:rsidRPr="003F7C28">
        <w:rPr>
          <w:rFonts w:ascii="Arial" w:hAnsi="Arial" w:cs="Arial"/>
        </w:rPr>
        <w:t>“</w:t>
      </w:r>
      <w:r w:rsidR="00062550" w:rsidRPr="003F7C28">
        <w:rPr>
          <w:rFonts w:ascii="Arial" w:hAnsi="Arial" w:cs="Arial"/>
        </w:rPr>
        <w:t>Party Liaison Committees</w:t>
      </w:r>
      <w:r w:rsidR="00E76F90" w:rsidRPr="003F7C28">
        <w:rPr>
          <w:rFonts w:ascii="Arial" w:hAnsi="Arial" w:cs="Arial"/>
        </w:rPr>
        <w:t>”</w:t>
      </w:r>
      <w:r w:rsidR="00062550" w:rsidRPr="003F7C28">
        <w:rPr>
          <w:rFonts w:ascii="Arial" w:hAnsi="Arial" w:cs="Arial"/>
        </w:rPr>
        <w:t xml:space="preserve"> as</w:t>
      </w:r>
      <w:r w:rsidRPr="003F7C28">
        <w:rPr>
          <w:rFonts w:ascii="Arial" w:hAnsi="Arial" w:cs="Arial"/>
        </w:rPr>
        <w:t xml:space="preserve"> “Liaison Committees” or “Electoral Liaison </w:t>
      </w:r>
      <w:r w:rsidR="00E76F90" w:rsidRPr="003F7C28">
        <w:rPr>
          <w:rFonts w:ascii="Arial" w:hAnsi="Arial" w:cs="Arial"/>
        </w:rPr>
        <w:t>Committee’s”</w:t>
      </w:r>
      <w:r w:rsidRPr="003F7C28">
        <w:rPr>
          <w:rFonts w:ascii="Arial" w:hAnsi="Arial" w:cs="Arial"/>
        </w:rPr>
        <w:t xml:space="preserve"> along with the inclusion of such in amendments to </w:t>
      </w:r>
      <w:r w:rsidR="001B3867" w:rsidRPr="003F7C28">
        <w:rPr>
          <w:rFonts w:ascii="Arial" w:hAnsi="Arial" w:cs="Arial"/>
        </w:rPr>
        <w:t>Sections 20, 62 and 64 of the Electoral Act as well as related Clauses in the Electoral Commission Act</w:t>
      </w:r>
      <w:r w:rsidRPr="003F7C28">
        <w:rPr>
          <w:rFonts w:ascii="Arial" w:hAnsi="Arial" w:cs="Arial"/>
        </w:rPr>
        <w:t xml:space="preserve"> to allow for the inclusion of Independents Candidates in these consultative bodies?</w:t>
      </w:r>
      <w:r w:rsidR="004E4A40" w:rsidRPr="003F7C28">
        <w:rPr>
          <w:rFonts w:ascii="Arial" w:hAnsi="Arial" w:cs="Arial"/>
        </w:rPr>
        <w:t xml:space="preserve">  </w:t>
      </w:r>
    </w:p>
    <w:p w14:paraId="54A29333" w14:textId="77777777" w:rsidR="003F7C28" w:rsidRDefault="003F7C28" w:rsidP="003F7C28">
      <w:pPr>
        <w:pStyle w:val="ListParagraph"/>
        <w:spacing w:after="0" w:line="240" w:lineRule="auto"/>
        <w:ind w:left="709" w:hanging="709"/>
        <w:jc w:val="both"/>
        <w:rPr>
          <w:rFonts w:ascii="Arial" w:hAnsi="Arial" w:cs="Arial"/>
        </w:rPr>
      </w:pPr>
    </w:p>
    <w:p w14:paraId="01A77D53" w14:textId="082038A2" w:rsidR="00270D6A" w:rsidRPr="003F7C28" w:rsidRDefault="004E4A40" w:rsidP="003F7C28">
      <w:pPr>
        <w:pStyle w:val="ListParagraph"/>
        <w:spacing w:after="0" w:line="360" w:lineRule="auto"/>
        <w:ind w:left="709"/>
        <w:jc w:val="both"/>
        <w:rPr>
          <w:rFonts w:ascii="Arial" w:hAnsi="Arial" w:cs="Arial"/>
          <w:color w:val="0000FF"/>
        </w:rPr>
      </w:pPr>
      <w:r w:rsidRPr="003F7C28">
        <w:rPr>
          <w:rFonts w:ascii="Arial" w:hAnsi="Arial" w:cs="Arial"/>
          <w:color w:val="0000FF"/>
        </w:rPr>
        <w:t>The term can be changed as proposed in sections 1, 20, 62 and 64 of the Electoral Act. Section 5(1)</w:t>
      </w:r>
      <w:r w:rsidRPr="003F7C28">
        <w:rPr>
          <w:rFonts w:ascii="Arial" w:hAnsi="Arial" w:cs="Arial"/>
          <w:i/>
          <w:color w:val="0000FF"/>
        </w:rPr>
        <w:t>(g)</w:t>
      </w:r>
      <w:r w:rsidRPr="003F7C28">
        <w:rPr>
          <w:rFonts w:ascii="Arial" w:hAnsi="Arial" w:cs="Arial"/>
          <w:color w:val="0000FF"/>
        </w:rPr>
        <w:t xml:space="preserve"> of the Electoral Commission Act </w:t>
      </w:r>
      <w:r w:rsidRPr="003F7C28">
        <w:rPr>
          <w:rFonts w:ascii="Arial" w:hAnsi="Arial" w:cs="Arial"/>
          <w:b/>
          <w:color w:val="0000FF"/>
          <w:u w:val="single"/>
        </w:rPr>
        <w:t>must</w:t>
      </w:r>
      <w:r w:rsidRPr="003F7C28">
        <w:rPr>
          <w:rFonts w:ascii="Arial" w:hAnsi="Arial" w:cs="Arial"/>
          <w:color w:val="0000FF"/>
        </w:rPr>
        <w:t xml:space="preserve"> be amended as the Commission established party liaison committees under that provision in Regulations.</w:t>
      </w:r>
    </w:p>
    <w:p w14:paraId="2732ED5E" w14:textId="77777777" w:rsidR="003F7C28" w:rsidRPr="003F7C28" w:rsidRDefault="003F7C28" w:rsidP="009B1386">
      <w:pPr>
        <w:pStyle w:val="ListParagraph"/>
        <w:spacing w:after="0" w:line="240" w:lineRule="auto"/>
        <w:ind w:left="709" w:hanging="709"/>
        <w:jc w:val="both"/>
        <w:rPr>
          <w:rFonts w:ascii="Arial" w:hAnsi="Arial" w:cs="Arial"/>
        </w:rPr>
      </w:pPr>
    </w:p>
    <w:p w14:paraId="117F8237" w14:textId="77777777" w:rsidR="003E35BC" w:rsidRPr="003F7C28" w:rsidRDefault="00270D6A" w:rsidP="003F7C28">
      <w:pPr>
        <w:spacing w:after="0" w:line="360" w:lineRule="auto"/>
        <w:ind w:left="709" w:hanging="709"/>
        <w:jc w:val="both"/>
        <w:rPr>
          <w:rFonts w:ascii="Arial" w:hAnsi="Arial" w:cs="Arial"/>
          <w:b/>
        </w:rPr>
      </w:pPr>
      <w:r w:rsidRPr="003F7C28">
        <w:rPr>
          <w:rFonts w:ascii="Arial" w:hAnsi="Arial" w:cs="Arial"/>
          <w:b/>
        </w:rPr>
        <w:t>Clause 4</w:t>
      </w:r>
    </w:p>
    <w:p w14:paraId="39437C18" w14:textId="57295313" w:rsidR="003F7C28" w:rsidRDefault="00D33B29"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 xml:space="preserve">Should </w:t>
      </w:r>
      <w:r w:rsidR="003E35BC" w:rsidRPr="003F7C28">
        <w:rPr>
          <w:rFonts w:ascii="Arial" w:hAnsi="Arial" w:cs="Arial"/>
        </w:rPr>
        <w:t>amendment</w:t>
      </w:r>
      <w:r w:rsidRPr="003F7C28">
        <w:rPr>
          <w:rFonts w:ascii="Arial" w:hAnsi="Arial" w:cs="Arial"/>
        </w:rPr>
        <w:t>s</w:t>
      </w:r>
      <w:r w:rsidR="003E35BC" w:rsidRPr="003F7C28">
        <w:rPr>
          <w:rFonts w:ascii="Arial" w:hAnsi="Arial" w:cs="Arial"/>
        </w:rPr>
        <w:t xml:space="preserve"> to 31A</w:t>
      </w:r>
      <w:r w:rsidRPr="00DA27FA">
        <w:rPr>
          <w:rFonts w:ascii="Arial" w:hAnsi="Arial" w:cs="Arial"/>
          <w:i/>
        </w:rPr>
        <w:t>(a)</w:t>
      </w:r>
      <w:r w:rsidR="00E76F90" w:rsidRPr="003F7C28">
        <w:rPr>
          <w:rFonts w:ascii="Arial" w:hAnsi="Arial" w:cs="Arial"/>
        </w:rPr>
        <w:t xml:space="preserve"> and 31B</w:t>
      </w:r>
      <w:r w:rsidRPr="003F7C28">
        <w:rPr>
          <w:rFonts w:ascii="Arial" w:hAnsi="Arial" w:cs="Arial"/>
        </w:rPr>
        <w:t>(3)</w:t>
      </w:r>
      <w:r w:rsidRPr="00DA27FA">
        <w:rPr>
          <w:rFonts w:ascii="Arial" w:hAnsi="Arial" w:cs="Arial"/>
          <w:i/>
        </w:rPr>
        <w:t>(f)</w:t>
      </w:r>
      <w:r w:rsidR="003E35BC" w:rsidRPr="003F7C28">
        <w:rPr>
          <w:rFonts w:ascii="Arial" w:hAnsi="Arial" w:cs="Arial"/>
        </w:rPr>
        <w:t xml:space="preserve">, </w:t>
      </w:r>
      <w:r w:rsidR="000A3BC2" w:rsidRPr="003F7C28">
        <w:rPr>
          <w:rFonts w:ascii="Arial" w:hAnsi="Arial" w:cs="Arial"/>
        </w:rPr>
        <w:t>be removed to bring independents in line with political party candidates in terms of not being required to be ordinarily resident in the region in which they are registered to stand in an election?</w:t>
      </w:r>
      <w:r w:rsidR="004E4A40" w:rsidRPr="003F7C28">
        <w:rPr>
          <w:rFonts w:ascii="Arial" w:hAnsi="Arial" w:cs="Arial"/>
        </w:rPr>
        <w:t xml:space="preserve">  </w:t>
      </w:r>
    </w:p>
    <w:p w14:paraId="2B84DD29" w14:textId="77777777" w:rsidR="003F7C28" w:rsidRDefault="003F7C28" w:rsidP="009B1386">
      <w:pPr>
        <w:pStyle w:val="ListParagraph"/>
        <w:spacing w:after="0" w:line="240" w:lineRule="auto"/>
        <w:ind w:left="709" w:hanging="709"/>
        <w:jc w:val="both"/>
        <w:rPr>
          <w:rFonts w:ascii="Arial" w:hAnsi="Arial" w:cs="Arial"/>
        </w:rPr>
      </w:pPr>
    </w:p>
    <w:p w14:paraId="30C4BF9B" w14:textId="267A57BC" w:rsidR="004E4A40" w:rsidRPr="003F7C28" w:rsidRDefault="004E4A40" w:rsidP="003F7C28">
      <w:pPr>
        <w:pStyle w:val="ListParagraph"/>
        <w:spacing w:after="0" w:line="360" w:lineRule="auto"/>
        <w:ind w:left="709"/>
        <w:jc w:val="both"/>
        <w:rPr>
          <w:rFonts w:ascii="Arial" w:hAnsi="Arial" w:cs="Arial"/>
          <w:color w:val="0000FF"/>
        </w:rPr>
      </w:pPr>
      <w:r w:rsidRPr="003F7C28">
        <w:rPr>
          <w:rFonts w:ascii="Arial" w:hAnsi="Arial" w:cs="Arial"/>
          <w:color w:val="0000FF"/>
        </w:rPr>
        <w:t>At present, clause 2 currently provides that a party must provide the following with its list of candidates for national and provincial elections: “</w:t>
      </w:r>
      <w:r w:rsidRPr="003F7C28">
        <w:rPr>
          <w:rFonts w:ascii="Arial" w:hAnsi="Arial" w:cs="Arial"/>
          <w:i/>
          <w:color w:val="0000FF"/>
        </w:rPr>
        <w:t>(c) declaration, signed by each candidate appearing on the party’s regional list of candidates or provincial list of candidates referred to in Schedule 1A, confirming that he or she is registered to vote within the region or province in which the election will take place</w:t>
      </w:r>
      <w:r w:rsidRPr="003F7C28">
        <w:rPr>
          <w:rFonts w:ascii="Arial" w:hAnsi="Arial" w:cs="Arial"/>
          <w:color w:val="0000FF"/>
        </w:rPr>
        <w:t>;”. Accordingly, party candidates contesting regional seats in the National Assembly or provincial legislatures effectively are also only entitled to contest one province or region. (Party candidates on national lists do not have the same requirement.)</w:t>
      </w:r>
    </w:p>
    <w:p w14:paraId="2AD145CE" w14:textId="77777777" w:rsidR="004E4A40" w:rsidRPr="003F7C28" w:rsidRDefault="004E4A40" w:rsidP="003F7C28">
      <w:pPr>
        <w:pStyle w:val="ListParagraph"/>
        <w:spacing w:after="0" w:line="240" w:lineRule="auto"/>
        <w:ind w:left="709" w:hanging="709"/>
        <w:jc w:val="both"/>
        <w:rPr>
          <w:rFonts w:ascii="Arial" w:hAnsi="Arial" w:cs="Arial"/>
        </w:rPr>
      </w:pPr>
    </w:p>
    <w:p w14:paraId="0B8C926C" w14:textId="3E849945" w:rsidR="003F7C28" w:rsidRDefault="00D33B29"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Should there be signature requirements in 31B(3)</w:t>
      </w:r>
      <w:r w:rsidRPr="003F7C28">
        <w:rPr>
          <w:rFonts w:ascii="Arial" w:hAnsi="Arial" w:cs="Arial"/>
          <w:i/>
        </w:rPr>
        <w:t>(a)</w:t>
      </w:r>
      <w:r w:rsidRPr="003F7C28">
        <w:rPr>
          <w:rFonts w:ascii="Arial" w:hAnsi="Arial" w:cs="Arial"/>
        </w:rPr>
        <w:t xml:space="preserve"> for Independents as compared to none for party candidates?</w:t>
      </w:r>
      <w:r w:rsidR="004E4A40" w:rsidRPr="003F7C28">
        <w:rPr>
          <w:rFonts w:ascii="Arial" w:hAnsi="Arial" w:cs="Arial"/>
        </w:rPr>
        <w:t xml:space="preserve"> </w:t>
      </w:r>
    </w:p>
    <w:p w14:paraId="070FC023" w14:textId="77777777" w:rsidR="003F7C28" w:rsidRDefault="003F7C28" w:rsidP="003F7C28">
      <w:pPr>
        <w:pStyle w:val="ListParagraph"/>
        <w:spacing w:after="0" w:line="240" w:lineRule="auto"/>
        <w:ind w:left="709" w:hanging="709"/>
        <w:jc w:val="both"/>
        <w:rPr>
          <w:rFonts w:ascii="Arial" w:hAnsi="Arial" w:cs="Arial"/>
        </w:rPr>
      </w:pPr>
    </w:p>
    <w:p w14:paraId="5FDADB38" w14:textId="67D9DC1D" w:rsidR="004E4A40" w:rsidRPr="003F7C28" w:rsidRDefault="003F7C28" w:rsidP="003F7C28">
      <w:pPr>
        <w:pStyle w:val="ListParagraph"/>
        <w:spacing w:after="0" w:line="360" w:lineRule="auto"/>
        <w:ind w:left="709"/>
        <w:jc w:val="both"/>
        <w:rPr>
          <w:rFonts w:ascii="Arial" w:hAnsi="Arial" w:cs="Arial"/>
          <w:color w:val="0000FF"/>
        </w:rPr>
      </w:pPr>
      <w:r w:rsidRPr="003F7C28">
        <w:rPr>
          <w:rFonts w:ascii="Arial" w:hAnsi="Arial" w:cs="Arial"/>
          <w:color w:val="0000FF"/>
        </w:rPr>
        <w:t>T</w:t>
      </w:r>
      <w:r w:rsidR="004E4A40" w:rsidRPr="003F7C28">
        <w:rPr>
          <w:rFonts w:ascii="Arial" w:hAnsi="Arial" w:cs="Arial"/>
          <w:color w:val="0000FF"/>
        </w:rPr>
        <w:t>here is a different calculus for party candidates and independent candidates. To register under the Electoral Commission Act parties must satisfy certain eligibility requirements that do not apply to independent candidates.</w:t>
      </w:r>
    </w:p>
    <w:p w14:paraId="6EB060FB" w14:textId="2D7AECCA" w:rsidR="00D33B29" w:rsidRPr="003F7C28" w:rsidRDefault="004E4A40" w:rsidP="00DA27FA">
      <w:pPr>
        <w:pStyle w:val="ListParagraph"/>
        <w:spacing w:after="0" w:line="240" w:lineRule="auto"/>
        <w:ind w:left="709" w:hanging="709"/>
        <w:jc w:val="both"/>
        <w:rPr>
          <w:rFonts w:ascii="Arial" w:hAnsi="Arial" w:cs="Arial"/>
        </w:rPr>
      </w:pPr>
      <w:r w:rsidRPr="003F7C28">
        <w:rPr>
          <w:rFonts w:ascii="Arial" w:hAnsi="Arial" w:cs="Arial"/>
        </w:rPr>
        <w:t xml:space="preserve"> </w:t>
      </w:r>
    </w:p>
    <w:p w14:paraId="3F5C1F92" w14:textId="042979D7" w:rsidR="003F7C28" w:rsidRDefault="00D33B29"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Should the deposit for independents</w:t>
      </w:r>
      <w:r w:rsidR="00062550" w:rsidRPr="003F7C28">
        <w:rPr>
          <w:rFonts w:ascii="Arial" w:hAnsi="Arial" w:cs="Arial"/>
        </w:rPr>
        <w:t xml:space="preserve"> in 31B(3)</w:t>
      </w:r>
      <w:r w:rsidR="00062550" w:rsidRPr="003F7C28">
        <w:rPr>
          <w:rFonts w:ascii="Arial" w:hAnsi="Arial" w:cs="Arial"/>
          <w:i/>
        </w:rPr>
        <w:t>(b)</w:t>
      </w:r>
      <w:r w:rsidRPr="003F7C28">
        <w:rPr>
          <w:rFonts w:ascii="Arial" w:hAnsi="Arial" w:cs="Arial"/>
        </w:rPr>
        <w:t xml:space="preserve"> be the same as parties given that they only qualify for one seat?</w:t>
      </w:r>
      <w:r w:rsidR="004E4A40" w:rsidRPr="003F7C28">
        <w:rPr>
          <w:rFonts w:ascii="Arial" w:hAnsi="Arial" w:cs="Arial"/>
        </w:rPr>
        <w:t xml:space="preserve"> </w:t>
      </w:r>
    </w:p>
    <w:p w14:paraId="7FDF0695" w14:textId="77777777" w:rsidR="003F7C28" w:rsidRDefault="003F7C28" w:rsidP="00DA27FA">
      <w:pPr>
        <w:pStyle w:val="ListParagraph"/>
        <w:spacing w:after="0" w:line="240" w:lineRule="auto"/>
        <w:ind w:left="709" w:hanging="709"/>
        <w:jc w:val="both"/>
        <w:rPr>
          <w:rFonts w:ascii="Arial" w:hAnsi="Arial" w:cs="Arial"/>
        </w:rPr>
      </w:pPr>
    </w:p>
    <w:p w14:paraId="7F8572AB" w14:textId="4D589B87" w:rsidR="00D33B29" w:rsidRPr="003F7C28" w:rsidRDefault="003F7C28" w:rsidP="003F7C28">
      <w:pPr>
        <w:pStyle w:val="ListParagraph"/>
        <w:spacing w:after="0" w:line="360" w:lineRule="auto"/>
        <w:ind w:left="709"/>
        <w:jc w:val="both"/>
        <w:rPr>
          <w:rFonts w:ascii="Arial" w:hAnsi="Arial" w:cs="Arial"/>
          <w:color w:val="0000FF"/>
        </w:rPr>
      </w:pPr>
      <w:r w:rsidRPr="003F7C28">
        <w:rPr>
          <w:rFonts w:ascii="Arial" w:hAnsi="Arial" w:cs="Arial"/>
          <w:color w:val="0000FF"/>
        </w:rPr>
        <w:t>T</w:t>
      </w:r>
      <w:r w:rsidR="004E4A40" w:rsidRPr="003F7C28">
        <w:rPr>
          <w:rFonts w:ascii="Arial" w:hAnsi="Arial" w:cs="Arial"/>
          <w:color w:val="0000FF"/>
        </w:rPr>
        <w:t xml:space="preserve">his is not currently provided for in the Bill. The Commission must set a reasonable deposit for independent candidates; this will likely be less than the deposit for political parties. </w:t>
      </w:r>
    </w:p>
    <w:p w14:paraId="4DB8F765" w14:textId="77777777" w:rsidR="004E4A40" w:rsidRPr="003F7C28" w:rsidRDefault="004E4A40" w:rsidP="00DA27FA">
      <w:pPr>
        <w:pStyle w:val="ListParagraph"/>
        <w:spacing w:after="0" w:line="240" w:lineRule="auto"/>
        <w:ind w:left="709" w:hanging="709"/>
        <w:jc w:val="both"/>
        <w:rPr>
          <w:rFonts w:ascii="Arial" w:hAnsi="Arial" w:cs="Arial"/>
        </w:rPr>
      </w:pPr>
    </w:p>
    <w:p w14:paraId="193CEB44" w14:textId="295F6472" w:rsidR="003F7C28" w:rsidRDefault="00D33B29"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Should the requirement for the determination of the number of signatures required or the deposit needed for independents</w:t>
      </w:r>
      <w:r w:rsidR="00E76F90" w:rsidRPr="003F7C28">
        <w:rPr>
          <w:rFonts w:ascii="Arial" w:hAnsi="Arial" w:cs="Arial"/>
        </w:rPr>
        <w:t>,</w:t>
      </w:r>
      <w:r w:rsidRPr="003F7C28">
        <w:rPr>
          <w:rFonts w:ascii="Arial" w:hAnsi="Arial" w:cs="Arial"/>
        </w:rPr>
        <w:t xml:space="preserve"> be left to the IEC to formulate in regulations or should the formula for the determination of signature requirements or deposits be included in the </w:t>
      </w:r>
      <w:r w:rsidR="003F7C28">
        <w:rPr>
          <w:rFonts w:ascii="Arial" w:hAnsi="Arial" w:cs="Arial"/>
        </w:rPr>
        <w:t>B</w:t>
      </w:r>
      <w:r w:rsidRPr="003F7C28">
        <w:rPr>
          <w:rFonts w:ascii="Arial" w:hAnsi="Arial" w:cs="Arial"/>
        </w:rPr>
        <w:t>ill?</w:t>
      </w:r>
      <w:r w:rsidR="004E4A40" w:rsidRPr="003F7C28">
        <w:rPr>
          <w:rFonts w:ascii="Arial" w:hAnsi="Arial" w:cs="Arial"/>
        </w:rPr>
        <w:t xml:space="preserve">  </w:t>
      </w:r>
    </w:p>
    <w:p w14:paraId="7AF14674" w14:textId="77777777" w:rsidR="003F7C28" w:rsidRDefault="003F7C28" w:rsidP="003F7C28">
      <w:pPr>
        <w:pStyle w:val="ListParagraph"/>
        <w:spacing w:after="0" w:line="240" w:lineRule="auto"/>
        <w:ind w:left="709" w:hanging="709"/>
        <w:jc w:val="both"/>
        <w:rPr>
          <w:rFonts w:ascii="Arial" w:hAnsi="Arial" w:cs="Arial"/>
        </w:rPr>
      </w:pPr>
    </w:p>
    <w:p w14:paraId="3D8D0321" w14:textId="4B9D455A" w:rsidR="00D33B29" w:rsidRPr="003F7C28" w:rsidRDefault="004E4A40" w:rsidP="003F7C28">
      <w:pPr>
        <w:pStyle w:val="ListParagraph"/>
        <w:spacing w:after="0" w:line="360" w:lineRule="auto"/>
        <w:ind w:left="709"/>
        <w:jc w:val="both"/>
        <w:rPr>
          <w:rFonts w:ascii="Arial" w:hAnsi="Arial" w:cs="Arial"/>
          <w:color w:val="0000FF"/>
        </w:rPr>
      </w:pPr>
      <w:r w:rsidRPr="003F7C28">
        <w:rPr>
          <w:rFonts w:ascii="Arial" w:hAnsi="Arial" w:cs="Arial"/>
          <w:color w:val="0000FF"/>
        </w:rPr>
        <w:t>Counsel has expressed the view that the Commission, as an independent body, should be empowered to set this requirement which may need to change depending on population statistics in different regions and at different times. Whether the Commission should be responsible therefor or whether it should be set in the legislation is a policy question.</w:t>
      </w:r>
    </w:p>
    <w:p w14:paraId="399B4699" w14:textId="77777777" w:rsidR="004E4A40" w:rsidRPr="003F7C28" w:rsidRDefault="004E4A40" w:rsidP="003F7C28">
      <w:pPr>
        <w:pStyle w:val="ListParagraph"/>
        <w:spacing w:after="0" w:line="240" w:lineRule="auto"/>
        <w:ind w:left="709" w:hanging="709"/>
        <w:jc w:val="both"/>
        <w:rPr>
          <w:rFonts w:ascii="Arial" w:hAnsi="Arial" w:cs="Arial"/>
        </w:rPr>
      </w:pPr>
    </w:p>
    <w:p w14:paraId="3ADD86B6" w14:textId="5127ECD9" w:rsidR="003F7C28" w:rsidRDefault="00062550"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Should the requirement in 31B(3)</w:t>
      </w:r>
      <w:r w:rsidRPr="003F7C28">
        <w:rPr>
          <w:rFonts w:ascii="Arial" w:hAnsi="Arial" w:cs="Arial"/>
          <w:i/>
        </w:rPr>
        <w:t>(f)</w:t>
      </w:r>
      <w:r w:rsidRPr="003F7C28">
        <w:rPr>
          <w:rFonts w:ascii="Arial" w:hAnsi="Arial" w:cs="Arial"/>
        </w:rPr>
        <w:t xml:space="preserve"> of not having been a member of a political party for 3 months prior to running as an independent remain, be increased or reduced?</w:t>
      </w:r>
      <w:r w:rsidR="004E4A40" w:rsidRPr="003F7C28">
        <w:rPr>
          <w:rFonts w:ascii="Arial" w:hAnsi="Arial" w:cs="Arial"/>
        </w:rPr>
        <w:t xml:space="preserve">  </w:t>
      </w:r>
    </w:p>
    <w:p w14:paraId="2988F535" w14:textId="77777777" w:rsidR="003F7C28" w:rsidRDefault="003F7C28" w:rsidP="00DA27FA">
      <w:pPr>
        <w:pStyle w:val="ListParagraph"/>
        <w:spacing w:after="0" w:line="240" w:lineRule="auto"/>
        <w:ind w:left="709" w:hanging="709"/>
        <w:jc w:val="both"/>
        <w:rPr>
          <w:rFonts w:ascii="Arial" w:hAnsi="Arial" w:cs="Arial"/>
        </w:rPr>
      </w:pPr>
    </w:p>
    <w:p w14:paraId="65BDF050" w14:textId="0633ADC0" w:rsidR="00062550" w:rsidRDefault="004E4A40" w:rsidP="003F7C28">
      <w:pPr>
        <w:pStyle w:val="ListParagraph"/>
        <w:spacing w:after="0" w:line="360" w:lineRule="auto"/>
        <w:ind w:left="709"/>
        <w:jc w:val="both"/>
        <w:rPr>
          <w:rFonts w:ascii="Arial" w:hAnsi="Arial" w:cs="Arial"/>
          <w:color w:val="0000FF"/>
        </w:rPr>
      </w:pPr>
      <w:r w:rsidRPr="003F7C28">
        <w:rPr>
          <w:rFonts w:ascii="Arial" w:hAnsi="Arial" w:cs="Arial"/>
          <w:color w:val="0000FF"/>
        </w:rPr>
        <w:t>Again, this is a policy question.</w:t>
      </w:r>
    </w:p>
    <w:p w14:paraId="079D5AC5" w14:textId="77777777" w:rsidR="003F7C28" w:rsidRPr="003F7C28" w:rsidRDefault="003F7C28" w:rsidP="00DA27FA">
      <w:pPr>
        <w:pStyle w:val="ListParagraph"/>
        <w:spacing w:after="0" w:line="240" w:lineRule="auto"/>
        <w:ind w:left="709" w:hanging="709"/>
        <w:jc w:val="both"/>
        <w:rPr>
          <w:rFonts w:ascii="Arial" w:hAnsi="Arial" w:cs="Arial"/>
          <w:color w:val="0000FF"/>
        </w:rPr>
      </w:pPr>
    </w:p>
    <w:p w14:paraId="42B91969" w14:textId="77777777" w:rsidR="000A3BC2" w:rsidRPr="003F7C28" w:rsidRDefault="001B3867" w:rsidP="003F7C28">
      <w:pPr>
        <w:spacing w:after="0" w:line="360" w:lineRule="auto"/>
        <w:ind w:left="709" w:hanging="709"/>
        <w:jc w:val="both"/>
        <w:rPr>
          <w:rFonts w:ascii="Arial" w:hAnsi="Arial" w:cs="Arial"/>
          <w:b/>
        </w:rPr>
      </w:pPr>
      <w:r w:rsidRPr="003F7C28">
        <w:rPr>
          <w:rFonts w:ascii="Arial" w:hAnsi="Arial" w:cs="Arial"/>
          <w:b/>
        </w:rPr>
        <w:t>Clause 8</w:t>
      </w:r>
    </w:p>
    <w:p w14:paraId="5A32D365" w14:textId="03B619A0" w:rsidR="003F7C28" w:rsidRDefault="001B3867"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Depending on decisions on point 5 above on deposits, this section on refunds may have to change.</w:t>
      </w:r>
      <w:r w:rsidR="004E4A40" w:rsidRPr="003F7C28">
        <w:rPr>
          <w:rFonts w:ascii="Arial" w:hAnsi="Arial" w:cs="Arial"/>
        </w:rPr>
        <w:t xml:space="preserve">  </w:t>
      </w:r>
    </w:p>
    <w:p w14:paraId="64A6B8EF" w14:textId="77777777" w:rsidR="003F7C28" w:rsidRDefault="003F7C28" w:rsidP="00DA27FA">
      <w:pPr>
        <w:pStyle w:val="ListParagraph"/>
        <w:spacing w:after="0" w:line="240" w:lineRule="auto"/>
        <w:ind w:left="709" w:hanging="709"/>
        <w:jc w:val="both"/>
        <w:rPr>
          <w:rFonts w:ascii="Arial" w:hAnsi="Arial" w:cs="Arial"/>
        </w:rPr>
      </w:pPr>
    </w:p>
    <w:p w14:paraId="52109DA5" w14:textId="6AE4C000" w:rsidR="00C421C4" w:rsidRPr="003F7C28" w:rsidRDefault="004E4A40" w:rsidP="003F7C28">
      <w:pPr>
        <w:pStyle w:val="ListParagraph"/>
        <w:spacing w:after="0" w:line="360" w:lineRule="auto"/>
        <w:ind w:left="709"/>
        <w:jc w:val="both"/>
        <w:rPr>
          <w:rFonts w:ascii="Arial" w:hAnsi="Arial" w:cs="Arial"/>
          <w:color w:val="0000FF"/>
        </w:rPr>
      </w:pPr>
      <w:r w:rsidRPr="003F7C28">
        <w:rPr>
          <w:rFonts w:ascii="Arial" w:hAnsi="Arial" w:cs="Arial"/>
          <w:color w:val="0000FF"/>
        </w:rPr>
        <w:t>Noted.</w:t>
      </w:r>
    </w:p>
    <w:p w14:paraId="5A46DDD9" w14:textId="77777777" w:rsidR="003F7C28" w:rsidRPr="003F7C28" w:rsidRDefault="003F7C28" w:rsidP="003F7C28">
      <w:pPr>
        <w:pStyle w:val="ListParagraph"/>
        <w:spacing w:after="0" w:line="240" w:lineRule="auto"/>
        <w:ind w:left="709" w:hanging="709"/>
        <w:jc w:val="both"/>
        <w:rPr>
          <w:rFonts w:ascii="Arial" w:hAnsi="Arial" w:cs="Arial"/>
        </w:rPr>
      </w:pPr>
    </w:p>
    <w:p w14:paraId="627CAE3D" w14:textId="77777777" w:rsidR="00C421C4" w:rsidRPr="003F7C28" w:rsidRDefault="00C421C4" w:rsidP="003F7C28">
      <w:pPr>
        <w:spacing w:after="0" w:line="360" w:lineRule="auto"/>
        <w:ind w:left="709" w:hanging="709"/>
        <w:jc w:val="both"/>
        <w:rPr>
          <w:rFonts w:ascii="Arial" w:hAnsi="Arial" w:cs="Arial"/>
          <w:b/>
        </w:rPr>
      </w:pPr>
      <w:r w:rsidRPr="003F7C28">
        <w:rPr>
          <w:rFonts w:ascii="Arial" w:hAnsi="Arial" w:cs="Arial"/>
          <w:b/>
        </w:rPr>
        <w:t>Clause 11</w:t>
      </w:r>
    </w:p>
    <w:p w14:paraId="0B160CE2" w14:textId="77777777" w:rsidR="003F7C28" w:rsidRDefault="00C421C4"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 xml:space="preserve">Should the clause 11(1) ratio of regional and compensatory seat to Parties remain </w:t>
      </w:r>
      <w:r w:rsidR="00E76F90" w:rsidRPr="003F7C28">
        <w:rPr>
          <w:rFonts w:ascii="Arial" w:hAnsi="Arial" w:cs="Arial"/>
        </w:rPr>
        <w:t>50/50% (</w:t>
      </w:r>
      <w:r w:rsidRPr="003F7C28">
        <w:rPr>
          <w:rFonts w:ascii="Arial" w:hAnsi="Arial" w:cs="Arial"/>
        </w:rPr>
        <w:t>200 to 200</w:t>
      </w:r>
      <w:r w:rsidR="00E76F90" w:rsidRPr="003F7C28">
        <w:rPr>
          <w:rFonts w:ascii="Arial" w:hAnsi="Arial" w:cs="Arial"/>
        </w:rPr>
        <w:t xml:space="preserve"> seats)</w:t>
      </w:r>
      <w:r w:rsidRPr="003F7C28">
        <w:rPr>
          <w:rFonts w:ascii="Arial" w:hAnsi="Arial" w:cs="Arial"/>
        </w:rPr>
        <w:t xml:space="preserve"> or change to 75% to 25%</w:t>
      </w:r>
      <w:r w:rsidR="009F0AE5" w:rsidRPr="003F7C28">
        <w:rPr>
          <w:rFonts w:ascii="Arial" w:hAnsi="Arial" w:cs="Arial"/>
        </w:rPr>
        <w:t xml:space="preserve"> or to allow all candidates to contest all 400 seats</w:t>
      </w:r>
      <w:r w:rsidRPr="003F7C28">
        <w:rPr>
          <w:rFonts w:ascii="Arial" w:hAnsi="Arial" w:cs="Arial"/>
        </w:rPr>
        <w:t>?</w:t>
      </w:r>
    </w:p>
    <w:p w14:paraId="53493DBD" w14:textId="77777777" w:rsidR="003F7C28" w:rsidRDefault="003F7C28" w:rsidP="003F7C28">
      <w:pPr>
        <w:pStyle w:val="ListParagraph"/>
        <w:spacing w:after="0" w:line="360" w:lineRule="auto"/>
        <w:ind w:left="709" w:hanging="709"/>
        <w:jc w:val="both"/>
        <w:rPr>
          <w:rFonts w:ascii="Arial" w:hAnsi="Arial" w:cs="Arial"/>
        </w:rPr>
      </w:pPr>
    </w:p>
    <w:p w14:paraId="64353831" w14:textId="6BFAAF73" w:rsidR="00C421C4" w:rsidRPr="003F7C28" w:rsidRDefault="004E4A40" w:rsidP="003F7C28">
      <w:pPr>
        <w:pStyle w:val="ListParagraph"/>
        <w:spacing w:after="0" w:line="360" w:lineRule="auto"/>
        <w:ind w:left="709"/>
        <w:jc w:val="both"/>
        <w:rPr>
          <w:rFonts w:ascii="Arial" w:hAnsi="Arial" w:cs="Arial"/>
          <w:color w:val="0000FF"/>
        </w:rPr>
      </w:pPr>
      <w:r w:rsidRPr="003F7C28">
        <w:rPr>
          <w:rFonts w:ascii="Arial" w:hAnsi="Arial" w:cs="Arial"/>
          <w:color w:val="0000FF"/>
        </w:rPr>
        <w:t>This is a policy question.</w:t>
      </w:r>
    </w:p>
    <w:p w14:paraId="046AD69C" w14:textId="77777777" w:rsidR="004E4A40" w:rsidRPr="003F7C28" w:rsidRDefault="004E4A40" w:rsidP="003F7C28">
      <w:pPr>
        <w:pStyle w:val="ListParagraph"/>
        <w:spacing w:after="0" w:line="240" w:lineRule="auto"/>
        <w:ind w:left="709" w:hanging="709"/>
        <w:jc w:val="both"/>
        <w:rPr>
          <w:rFonts w:ascii="Arial" w:hAnsi="Arial" w:cs="Arial"/>
        </w:rPr>
      </w:pPr>
    </w:p>
    <w:p w14:paraId="76E25265" w14:textId="0B29BE33" w:rsidR="003F7C28" w:rsidRDefault="00826A8E"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In 11 (4 to 9) should there be reference to constituencies (66 or 200) as in the Van Zyl Slabbert report or the Lekota Bill?</w:t>
      </w:r>
      <w:r w:rsidR="004E4A40" w:rsidRPr="003F7C28">
        <w:rPr>
          <w:rFonts w:ascii="Arial" w:hAnsi="Arial" w:cs="Arial"/>
        </w:rPr>
        <w:t xml:space="preserve"> </w:t>
      </w:r>
    </w:p>
    <w:p w14:paraId="3BBBB571" w14:textId="77777777" w:rsidR="003F7C28" w:rsidRDefault="003F7C28" w:rsidP="003F7C28">
      <w:pPr>
        <w:pStyle w:val="ListParagraph"/>
        <w:spacing w:after="0" w:line="240" w:lineRule="auto"/>
        <w:ind w:left="709" w:hanging="709"/>
        <w:jc w:val="both"/>
        <w:rPr>
          <w:rFonts w:ascii="Arial" w:hAnsi="Arial" w:cs="Arial"/>
        </w:rPr>
      </w:pPr>
    </w:p>
    <w:p w14:paraId="68B9AE6D" w14:textId="027EA4F3" w:rsidR="00826A8E" w:rsidRPr="003F7C28" w:rsidRDefault="004E4A40" w:rsidP="003F7C28">
      <w:pPr>
        <w:pStyle w:val="ListParagraph"/>
        <w:spacing w:after="0" w:line="360" w:lineRule="auto"/>
        <w:ind w:left="709"/>
        <w:jc w:val="both"/>
        <w:rPr>
          <w:rFonts w:ascii="Arial" w:hAnsi="Arial" w:cs="Arial"/>
          <w:color w:val="0000FF"/>
        </w:rPr>
      </w:pPr>
      <w:r w:rsidRPr="003F7C28">
        <w:rPr>
          <w:rFonts w:ascii="Arial" w:hAnsi="Arial" w:cs="Arial"/>
          <w:color w:val="0000FF"/>
        </w:rPr>
        <w:t>A single member constituency system</w:t>
      </w:r>
      <w:r w:rsidR="00DA27FA">
        <w:rPr>
          <w:rFonts w:ascii="Arial" w:hAnsi="Arial" w:cs="Arial"/>
          <w:color w:val="0000FF"/>
        </w:rPr>
        <w:t>,</w:t>
      </w:r>
      <w:r w:rsidRPr="003F7C28">
        <w:rPr>
          <w:rFonts w:ascii="Arial" w:hAnsi="Arial" w:cs="Arial"/>
          <w:color w:val="0000FF"/>
        </w:rPr>
        <w:t xml:space="preserve"> as suggested in the Van Zyl Slabbert and Lekota proposals</w:t>
      </w:r>
      <w:r w:rsidR="00DA27FA">
        <w:rPr>
          <w:rFonts w:ascii="Arial" w:hAnsi="Arial" w:cs="Arial"/>
          <w:color w:val="0000FF"/>
        </w:rPr>
        <w:t>,</w:t>
      </w:r>
      <w:r w:rsidRPr="003F7C28">
        <w:rPr>
          <w:rFonts w:ascii="Arial" w:hAnsi="Arial" w:cs="Arial"/>
          <w:color w:val="0000FF"/>
        </w:rPr>
        <w:t xml:space="preserve"> reflects the maximalist approach of the MAC which was not accepted.</w:t>
      </w:r>
    </w:p>
    <w:p w14:paraId="3EB22B0F" w14:textId="77777777" w:rsidR="004E4A40" w:rsidRPr="003F7C28" w:rsidRDefault="004E4A40" w:rsidP="00DA27FA">
      <w:pPr>
        <w:pStyle w:val="ListParagraph"/>
        <w:spacing w:after="0" w:line="240" w:lineRule="auto"/>
        <w:ind w:left="709" w:hanging="709"/>
        <w:jc w:val="both"/>
        <w:rPr>
          <w:rFonts w:ascii="Arial" w:hAnsi="Arial" w:cs="Arial"/>
        </w:rPr>
      </w:pPr>
    </w:p>
    <w:p w14:paraId="5D2EC6A7" w14:textId="5B7261E6" w:rsidR="003F7C28" w:rsidRDefault="009F0AE5"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In clause 11(5 to 8) on regional seats should the 3 rounds remain the same or a single round according to the Droop formula as proposed by the IEC to improve proportionality and inclusion of small parties?</w:t>
      </w:r>
      <w:r w:rsidR="00826A8E" w:rsidRPr="003F7C28">
        <w:rPr>
          <w:rFonts w:ascii="Arial" w:hAnsi="Arial" w:cs="Arial"/>
        </w:rPr>
        <w:t xml:space="preserve"> Alternatively a two-stage process was proposed where all who meet the full quota for one seat, be awarded a seat – whether as parties or independents.  Once no one is left who is entitled to a seat based on meeting the full quota threshold, the remaining seats should then be given to the </w:t>
      </w:r>
      <w:r w:rsidR="004D3946" w:rsidRPr="003F7C28">
        <w:rPr>
          <w:rFonts w:ascii="Arial" w:hAnsi="Arial" w:cs="Arial"/>
        </w:rPr>
        <w:t xml:space="preserve">candidates </w:t>
      </w:r>
      <w:r w:rsidR="00826A8E" w:rsidRPr="003F7C28">
        <w:rPr>
          <w:rFonts w:ascii="Arial" w:hAnsi="Arial" w:cs="Arial"/>
        </w:rPr>
        <w:t xml:space="preserve">that have the highest average of votes per seat won.  </w:t>
      </w:r>
    </w:p>
    <w:p w14:paraId="030FE2A5" w14:textId="77777777" w:rsidR="003F7C28" w:rsidRDefault="003F7C28" w:rsidP="003F7C28">
      <w:pPr>
        <w:pStyle w:val="ListParagraph"/>
        <w:spacing w:after="0" w:line="240" w:lineRule="auto"/>
        <w:ind w:left="709" w:hanging="709"/>
        <w:jc w:val="both"/>
        <w:rPr>
          <w:rFonts w:ascii="Arial" w:hAnsi="Arial" w:cs="Arial"/>
        </w:rPr>
      </w:pPr>
    </w:p>
    <w:p w14:paraId="36658AC0" w14:textId="4E22974F" w:rsidR="009F0AE5" w:rsidRPr="003F7C28" w:rsidRDefault="005E6124" w:rsidP="003F7C28">
      <w:pPr>
        <w:pStyle w:val="ListParagraph"/>
        <w:spacing w:after="0" w:line="360" w:lineRule="auto"/>
        <w:ind w:left="709"/>
        <w:jc w:val="both"/>
        <w:rPr>
          <w:rFonts w:ascii="Arial" w:hAnsi="Arial" w:cs="Arial"/>
          <w:color w:val="0000FF"/>
        </w:rPr>
      </w:pPr>
      <w:r w:rsidRPr="003F7C28">
        <w:rPr>
          <w:rFonts w:ascii="Arial" w:hAnsi="Arial" w:cs="Arial"/>
          <w:color w:val="0000FF"/>
        </w:rPr>
        <w:t>These are policy questions. Counsel are presently working on a memorandum discussing the IEC’s proposals.</w:t>
      </w:r>
    </w:p>
    <w:p w14:paraId="5F33A826" w14:textId="77777777" w:rsidR="005E6124" w:rsidRPr="003F7C28" w:rsidRDefault="005E6124" w:rsidP="003F7C28">
      <w:pPr>
        <w:pStyle w:val="ListParagraph"/>
        <w:spacing w:after="0" w:line="240" w:lineRule="auto"/>
        <w:ind w:left="709" w:hanging="709"/>
        <w:jc w:val="both"/>
        <w:rPr>
          <w:rFonts w:ascii="Arial" w:hAnsi="Arial" w:cs="Arial"/>
        </w:rPr>
      </w:pPr>
    </w:p>
    <w:p w14:paraId="77589977" w14:textId="20139AFA" w:rsidR="003F7C28" w:rsidRDefault="009F0AE5"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Should clause 11.16 be removed in favour ensuring compliance prior to elections rather than forfeiting seats if parties don’t have enough candidates on their list after an election</w:t>
      </w:r>
      <w:r w:rsidR="004D3946" w:rsidRPr="003F7C28">
        <w:rPr>
          <w:rFonts w:ascii="Arial" w:hAnsi="Arial" w:cs="Arial"/>
        </w:rPr>
        <w:t>?</w:t>
      </w:r>
      <w:r w:rsidR="005E6124" w:rsidRPr="003F7C28">
        <w:rPr>
          <w:rFonts w:ascii="Arial" w:hAnsi="Arial" w:cs="Arial"/>
        </w:rPr>
        <w:t xml:space="preserve"> </w:t>
      </w:r>
    </w:p>
    <w:p w14:paraId="4971C451" w14:textId="77777777" w:rsidR="003F7C28" w:rsidRDefault="003F7C28" w:rsidP="003F7C28">
      <w:pPr>
        <w:pStyle w:val="ListParagraph"/>
        <w:spacing w:after="0" w:line="240" w:lineRule="auto"/>
        <w:ind w:left="709" w:hanging="709"/>
        <w:jc w:val="both"/>
        <w:rPr>
          <w:rFonts w:ascii="Arial" w:hAnsi="Arial" w:cs="Arial"/>
        </w:rPr>
      </w:pPr>
    </w:p>
    <w:p w14:paraId="7088CAF4" w14:textId="2B2D242A" w:rsidR="00826A8E" w:rsidRPr="003F7C28" w:rsidRDefault="005E6124" w:rsidP="003F7C28">
      <w:pPr>
        <w:pStyle w:val="ListParagraph"/>
        <w:spacing w:after="0" w:line="360" w:lineRule="auto"/>
        <w:ind w:left="709"/>
        <w:jc w:val="both"/>
        <w:rPr>
          <w:rFonts w:ascii="Arial" w:hAnsi="Arial" w:cs="Arial"/>
          <w:color w:val="0000FF"/>
        </w:rPr>
      </w:pPr>
      <w:r w:rsidRPr="003F7C28">
        <w:rPr>
          <w:rFonts w:ascii="Arial" w:hAnsi="Arial" w:cs="Arial"/>
          <w:color w:val="0000FF"/>
        </w:rPr>
        <w:t>These are policy questions. Counsel are presently working on a memorandum discussing the IEC’s proposals which impact on this question.</w:t>
      </w:r>
    </w:p>
    <w:p w14:paraId="0679B4C3" w14:textId="77777777" w:rsidR="005E6124" w:rsidRPr="003F7C28" w:rsidRDefault="005E6124" w:rsidP="003F7C28">
      <w:pPr>
        <w:pStyle w:val="ListParagraph"/>
        <w:spacing w:after="0" w:line="240" w:lineRule="auto"/>
        <w:ind w:left="709" w:hanging="709"/>
        <w:jc w:val="both"/>
        <w:rPr>
          <w:rFonts w:ascii="Arial" w:hAnsi="Arial" w:cs="Arial"/>
        </w:rPr>
      </w:pPr>
    </w:p>
    <w:p w14:paraId="15B462E8" w14:textId="7DD133B3" w:rsidR="003F7C28" w:rsidRDefault="00826A8E"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In clause 11 (11 to 16 and 25) should the IEC draft a proposal for inclusion in the bill of the 3 ballot system for National Assembly Compensatory; National Assembly Regional and Provincial Legislature either with a requirement for being ordinarily resident in the region for all candidates or a removal of this requirement for all candidates?</w:t>
      </w:r>
      <w:r w:rsidR="004B26D4" w:rsidRPr="003F7C28">
        <w:rPr>
          <w:rFonts w:ascii="Arial" w:hAnsi="Arial" w:cs="Arial"/>
        </w:rPr>
        <w:t xml:space="preserve">  </w:t>
      </w:r>
    </w:p>
    <w:p w14:paraId="5FF28445" w14:textId="77777777" w:rsidR="003F7C28" w:rsidRDefault="003F7C28" w:rsidP="003F7C28">
      <w:pPr>
        <w:pStyle w:val="ListParagraph"/>
        <w:spacing w:after="0" w:line="240" w:lineRule="auto"/>
        <w:ind w:left="709" w:hanging="709"/>
        <w:jc w:val="both"/>
        <w:rPr>
          <w:rFonts w:ascii="Arial" w:hAnsi="Arial" w:cs="Arial"/>
        </w:rPr>
      </w:pPr>
    </w:p>
    <w:p w14:paraId="4ADEDF5C" w14:textId="5DB94F10" w:rsidR="005C057D" w:rsidRPr="003F7C28" w:rsidRDefault="004B26D4" w:rsidP="003F7C28">
      <w:pPr>
        <w:pStyle w:val="ListParagraph"/>
        <w:spacing w:after="0" w:line="360" w:lineRule="auto"/>
        <w:ind w:left="709"/>
        <w:jc w:val="both"/>
        <w:rPr>
          <w:rFonts w:ascii="Arial" w:hAnsi="Arial" w:cs="Arial"/>
          <w:color w:val="0000FF"/>
        </w:rPr>
      </w:pPr>
      <w:r w:rsidRPr="003F7C28">
        <w:rPr>
          <w:rFonts w:ascii="Arial" w:hAnsi="Arial" w:cs="Arial"/>
          <w:color w:val="0000FF"/>
        </w:rPr>
        <w:t>These are policy questions. Counsel are presently working on a memorandum discussing the IEC’s proposals.</w:t>
      </w:r>
    </w:p>
    <w:p w14:paraId="3364D619" w14:textId="77777777" w:rsidR="004B26D4" w:rsidRPr="003F7C28" w:rsidRDefault="004B26D4" w:rsidP="003F7C28">
      <w:pPr>
        <w:pStyle w:val="ListParagraph"/>
        <w:spacing w:after="0" w:line="240" w:lineRule="auto"/>
        <w:ind w:left="709" w:hanging="709"/>
        <w:jc w:val="both"/>
        <w:rPr>
          <w:rFonts w:ascii="Arial" w:hAnsi="Arial" w:cs="Arial"/>
        </w:rPr>
      </w:pPr>
    </w:p>
    <w:p w14:paraId="1C7EC933" w14:textId="291B0E87" w:rsidR="003F7C28" w:rsidRDefault="005C057D"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 xml:space="preserve">In Clause 11(34) </w:t>
      </w:r>
      <w:r w:rsidR="004D3946" w:rsidRPr="003F7C28">
        <w:rPr>
          <w:rFonts w:ascii="Arial" w:hAnsi="Arial" w:cs="Arial"/>
        </w:rPr>
        <w:t>h</w:t>
      </w:r>
      <w:r w:rsidR="00E76F90" w:rsidRPr="003F7C28">
        <w:rPr>
          <w:rFonts w:ascii="Arial" w:hAnsi="Arial" w:cs="Arial"/>
        </w:rPr>
        <w:t>ow would it be responded in court to the objection that the major disadvantage of independents having their surplus votes discarded, effectively means they have no choice but to run as parties which then means the bill does not truly fairly address the Constitutional Court ruling for the inclusion of independents in the National Assembly and NCOP?</w:t>
      </w:r>
      <w:r w:rsidR="004B26D4" w:rsidRPr="003F7C28">
        <w:rPr>
          <w:rFonts w:ascii="Arial" w:hAnsi="Arial" w:cs="Arial"/>
        </w:rPr>
        <w:t xml:space="preserve">  </w:t>
      </w:r>
    </w:p>
    <w:p w14:paraId="69FE43AD" w14:textId="77777777" w:rsidR="003F7C28" w:rsidRDefault="003F7C28" w:rsidP="003F7C28">
      <w:pPr>
        <w:pStyle w:val="ListParagraph"/>
        <w:spacing w:after="0" w:line="240" w:lineRule="auto"/>
        <w:ind w:left="709" w:hanging="709"/>
        <w:jc w:val="both"/>
        <w:rPr>
          <w:rFonts w:ascii="Arial" w:hAnsi="Arial" w:cs="Arial"/>
        </w:rPr>
      </w:pPr>
    </w:p>
    <w:p w14:paraId="632BBBD7" w14:textId="5A7734D7" w:rsidR="00E76F90" w:rsidRPr="003F7C28" w:rsidRDefault="004B26D4" w:rsidP="003F7C28">
      <w:pPr>
        <w:pStyle w:val="ListParagraph"/>
        <w:spacing w:after="0" w:line="360" w:lineRule="auto"/>
        <w:ind w:left="709"/>
        <w:jc w:val="both"/>
        <w:rPr>
          <w:rFonts w:ascii="Arial" w:hAnsi="Arial" w:cs="Arial"/>
          <w:color w:val="0000FF"/>
        </w:rPr>
      </w:pPr>
      <w:r w:rsidRPr="003F7C28">
        <w:rPr>
          <w:rFonts w:ascii="Arial" w:hAnsi="Arial" w:cs="Arial"/>
          <w:color w:val="0000FF"/>
        </w:rPr>
        <w:t>This raises complex legal, constitutional and policy questions which Counsel require more time to consider.</w:t>
      </w:r>
    </w:p>
    <w:p w14:paraId="2A32F2A6" w14:textId="77777777" w:rsidR="003F7C28" w:rsidRPr="003F7C28" w:rsidRDefault="003F7C28" w:rsidP="00DA27FA">
      <w:pPr>
        <w:pStyle w:val="ListParagraph"/>
        <w:spacing w:after="0" w:line="240" w:lineRule="auto"/>
        <w:ind w:left="709" w:hanging="709"/>
        <w:jc w:val="both"/>
        <w:rPr>
          <w:rFonts w:ascii="Arial" w:hAnsi="Arial" w:cs="Arial"/>
        </w:rPr>
      </w:pPr>
    </w:p>
    <w:p w14:paraId="76A9507A" w14:textId="0E09123C" w:rsidR="003F7C28" w:rsidRDefault="00E76F90"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In Clause 11(34) s</w:t>
      </w:r>
      <w:r w:rsidR="005C057D" w:rsidRPr="003F7C28">
        <w:rPr>
          <w:rFonts w:ascii="Arial" w:hAnsi="Arial" w:cs="Arial"/>
        </w:rPr>
        <w:t xml:space="preserve">hould there be by-elections for replacing independents what would </w:t>
      </w:r>
      <w:r w:rsidR="004D3946" w:rsidRPr="003F7C28">
        <w:rPr>
          <w:rFonts w:ascii="Arial" w:hAnsi="Arial" w:cs="Arial"/>
        </w:rPr>
        <w:t xml:space="preserve">this </w:t>
      </w:r>
      <w:r w:rsidR="005C057D" w:rsidRPr="003F7C28">
        <w:rPr>
          <w:rFonts w:ascii="Arial" w:hAnsi="Arial" w:cs="Arial"/>
        </w:rPr>
        <w:t>cost a</w:t>
      </w:r>
      <w:r w:rsidR="004D3946" w:rsidRPr="003F7C28">
        <w:rPr>
          <w:rFonts w:ascii="Arial" w:hAnsi="Arial" w:cs="Arial"/>
        </w:rPr>
        <w:t xml:space="preserve">ccording to which calculation of </w:t>
      </w:r>
      <w:r w:rsidR="005C057D" w:rsidRPr="003F7C28">
        <w:rPr>
          <w:rFonts w:ascii="Arial" w:hAnsi="Arial" w:cs="Arial"/>
        </w:rPr>
        <w:t>projected number of by-elections? Alternatively should</w:t>
      </w:r>
      <w:r w:rsidRPr="003F7C28">
        <w:rPr>
          <w:rFonts w:ascii="Arial" w:hAnsi="Arial" w:cs="Arial"/>
        </w:rPr>
        <w:t xml:space="preserve"> votes be transferable as per the Lekota Bill where Independents have a list of “running mates” OR should</w:t>
      </w:r>
      <w:r w:rsidR="005C057D" w:rsidRPr="003F7C28">
        <w:rPr>
          <w:rFonts w:ascii="Arial" w:hAnsi="Arial" w:cs="Arial"/>
        </w:rPr>
        <w:t xml:space="preserve"> (all or just independent) candidates with next highest number of votes in the initial election fill the seat?</w:t>
      </w:r>
      <w:r w:rsidRPr="003F7C28">
        <w:rPr>
          <w:rFonts w:ascii="Arial" w:hAnsi="Arial" w:cs="Arial"/>
        </w:rPr>
        <w:t xml:space="preserve"> (If going with the DHA proposal of replacing vacant independent candidates’ seats with the candidate that received the next highest number of votes; will it not be argued that this gives political parties the benefit of replacing their seats with chosen candidates next on their list; whereas the independents and their support base could now be replaced by a political party or an independent with a completely different ideology?)</w:t>
      </w:r>
      <w:r w:rsidR="004B26D4" w:rsidRPr="003F7C28">
        <w:rPr>
          <w:rFonts w:ascii="Arial" w:hAnsi="Arial" w:cs="Arial"/>
        </w:rPr>
        <w:t xml:space="preserve"> </w:t>
      </w:r>
    </w:p>
    <w:p w14:paraId="7456480C" w14:textId="77777777" w:rsidR="003F7C28" w:rsidRDefault="003F7C28" w:rsidP="003F7C28">
      <w:pPr>
        <w:pStyle w:val="ListParagraph"/>
        <w:spacing w:after="0" w:line="240" w:lineRule="auto"/>
        <w:ind w:left="709" w:hanging="709"/>
        <w:jc w:val="both"/>
        <w:rPr>
          <w:rFonts w:ascii="Arial" w:hAnsi="Arial" w:cs="Arial"/>
        </w:rPr>
      </w:pPr>
    </w:p>
    <w:p w14:paraId="1FD204C5" w14:textId="62420C1C" w:rsidR="00E76F90" w:rsidRPr="003F7C28" w:rsidRDefault="00DA27FA" w:rsidP="003F7C28">
      <w:pPr>
        <w:pStyle w:val="ListParagraph"/>
        <w:spacing w:after="0" w:line="360" w:lineRule="auto"/>
        <w:ind w:left="709"/>
        <w:jc w:val="both"/>
        <w:rPr>
          <w:rFonts w:ascii="Arial" w:hAnsi="Arial" w:cs="Arial"/>
          <w:color w:val="0000FF"/>
        </w:rPr>
      </w:pPr>
      <w:r>
        <w:rPr>
          <w:rFonts w:ascii="Arial" w:hAnsi="Arial" w:cs="Arial"/>
          <w:color w:val="0000FF"/>
        </w:rPr>
        <w:t xml:space="preserve">These are policy questions. </w:t>
      </w:r>
      <w:r w:rsidR="004B26D4" w:rsidRPr="003F7C28">
        <w:rPr>
          <w:rFonts w:ascii="Arial" w:hAnsi="Arial" w:cs="Arial"/>
          <w:color w:val="0000FF"/>
        </w:rPr>
        <w:t>Counsel are presently working on a memorandum discussing an alternative to filling seats vacated by independent candidates in the N</w:t>
      </w:r>
      <w:r>
        <w:rPr>
          <w:rFonts w:ascii="Arial" w:hAnsi="Arial" w:cs="Arial"/>
          <w:color w:val="0000FF"/>
        </w:rPr>
        <w:t xml:space="preserve">ational </w:t>
      </w:r>
      <w:r w:rsidR="004B26D4" w:rsidRPr="003F7C28">
        <w:rPr>
          <w:rFonts w:ascii="Arial" w:hAnsi="Arial" w:cs="Arial"/>
          <w:color w:val="0000FF"/>
        </w:rPr>
        <w:t>A</w:t>
      </w:r>
      <w:r>
        <w:rPr>
          <w:rFonts w:ascii="Arial" w:hAnsi="Arial" w:cs="Arial"/>
          <w:color w:val="0000FF"/>
        </w:rPr>
        <w:t>ssembly</w:t>
      </w:r>
      <w:r w:rsidR="004B26D4" w:rsidRPr="003F7C28">
        <w:rPr>
          <w:rFonts w:ascii="Arial" w:hAnsi="Arial" w:cs="Arial"/>
          <w:color w:val="0000FF"/>
        </w:rPr>
        <w:t xml:space="preserve"> and </w:t>
      </w:r>
      <w:r w:rsidR="003F7C28">
        <w:rPr>
          <w:rFonts w:ascii="Arial" w:hAnsi="Arial" w:cs="Arial"/>
          <w:color w:val="0000FF"/>
        </w:rPr>
        <w:t>Provincial Legislatures (“</w:t>
      </w:r>
      <w:proofErr w:type="spellStart"/>
      <w:r w:rsidR="004B26D4" w:rsidRPr="003F7C28">
        <w:rPr>
          <w:rFonts w:ascii="Arial" w:hAnsi="Arial" w:cs="Arial"/>
          <w:color w:val="0000FF"/>
        </w:rPr>
        <w:t>pls</w:t>
      </w:r>
      <w:proofErr w:type="spellEnd"/>
      <w:r w:rsidR="003F7C28">
        <w:rPr>
          <w:rFonts w:ascii="Arial" w:hAnsi="Arial" w:cs="Arial"/>
          <w:color w:val="0000FF"/>
        </w:rPr>
        <w:t>”)</w:t>
      </w:r>
      <w:r w:rsidR="004B26D4" w:rsidRPr="003F7C28">
        <w:rPr>
          <w:rFonts w:ascii="Arial" w:hAnsi="Arial" w:cs="Arial"/>
          <w:color w:val="0000FF"/>
        </w:rPr>
        <w:t>.</w:t>
      </w:r>
    </w:p>
    <w:p w14:paraId="64F32728" w14:textId="77777777" w:rsidR="003F7C28" w:rsidRPr="003F7C28" w:rsidRDefault="003F7C28" w:rsidP="003F7C28">
      <w:pPr>
        <w:pStyle w:val="ListParagraph"/>
        <w:spacing w:after="0" w:line="240" w:lineRule="auto"/>
        <w:ind w:left="709" w:hanging="709"/>
        <w:jc w:val="both"/>
        <w:rPr>
          <w:rFonts w:ascii="Arial" w:hAnsi="Arial" w:cs="Arial"/>
        </w:rPr>
      </w:pPr>
    </w:p>
    <w:p w14:paraId="570DAEFD" w14:textId="05315C44" w:rsidR="001B3867" w:rsidRDefault="001B3867" w:rsidP="003F7C28">
      <w:pPr>
        <w:spacing w:after="0" w:line="360" w:lineRule="auto"/>
        <w:ind w:left="709" w:hanging="709"/>
        <w:jc w:val="both"/>
        <w:rPr>
          <w:rFonts w:ascii="Arial" w:hAnsi="Arial" w:cs="Arial"/>
          <w:b/>
        </w:rPr>
      </w:pPr>
      <w:r w:rsidRPr="003F7C28">
        <w:rPr>
          <w:rFonts w:ascii="Arial" w:hAnsi="Arial" w:cs="Arial"/>
          <w:b/>
        </w:rPr>
        <w:t xml:space="preserve">Not in the Bill but to be </w:t>
      </w:r>
      <w:r w:rsidR="00E76F90" w:rsidRPr="003F7C28">
        <w:rPr>
          <w:rFonts w:ascii="Arial" w:hAnsi="Arial" w:cs="Arial"/>
          <w:b/>
        </w:rPr>
        <w:t>considered for inclusion</w:t>
      </w:r>
    </w:p>
    <w:p w14:paraId="51AD4B4F" w14:textId="77777777" w:rsidR="003F7C28" w:rsidRPr="003F7C28" w:rsidRDefault="003F7C28" w:rsidP="003F7C28">
      <w:pPr>
        <w:spacing w:after="0" w:line="240" w:lineRule="auto"/>
        <w:ind w:left="709" w:hanging="709"/>
        <w:jc w:val="both"/>
        <w:rPr>
          <w:rFonts w:ascii="Arial" w:hAnsi="Arial" w:cs="Arial"/>
        </w:rPr>
      </w:pPr>
    </w:p>
    <w:p w14:paraId="3CBD5F52" w14:textId="0D0D3C53" w:rsidR="003F7C28" w:rsidRDefault="00343493" w:rsidP="003F7C28">
      <w:pPr>
        <w:pStyle w:val="ListParagraph"/>
        <w:numPr>
          <w:ilvl w:val="0"/>
          <w:numId w:val="1"/>
        </w:numPr>
        <w:spacing w:after="0" w:line="360" w:lineRule="auto"/>
        <w:ind w:left="709" w:hanging="709"/>
        <w:jc w:val="both"/>
        <w:rPr>
          <w:rFonts w:ascii="Arial" w:hAnsi="Arial" w:cs="Arial"/>
        </w:rPr>
      </w:pPr>
      <w:r w:rsidRPr="003F7C28">
        <w:rPr>
          <w:rFonts w:ascii="Arial" w:hAnsi="Arial" w:cs="Arial"/>
        </w:rPr>
        <w:t xml:space="preserve">A proposed amendment to Chapter 5 </w:t>
      </w:r>
      <w:r w:rsidR="00E76F90" w:rsidRPr="003F7C28">
        <w:rPr>
          <w:rFonts w:ascii="Arial" w:hAnsi="Arial" w:cs="Arial"/>
        </w:rPr>
        <w:t xml:space="preserve">(Section 68 and 69) </w:t>
      </w:r>
      <w:r w:rsidRPr="003F7C28">
        <w:rPr>
          <w:rFonts w:ascii="Arial" w:hAnsi="Arial" w:cs="Arial"/>
        </w:rPr>
        <w:t>of the Electoral Act is needed to allow for independents to have agents during elections.</w:t>
      </w:r>
      <w:r w:rsidR="004B26D4" w:rsidRPr="003F7C28">
        <w:rPr>
          <w:rFonts w:ascii="Arial" w:hAnsi="Arial" w:cs="Arial"/>
        </w:rPr>
        <w:t xml:space="preserve">  </w:t>
      </w:r>
    </w:p>
    <w:p w14:paraId="0F25E1D8" w14:textId="77777777" w:rsidR="003F7C28" w:rsidRDefault="003F7C28" w:rsidP="003F7C28">
      <w:pPr>
        <w:pStyle w:val="ListParagraph"/>
        <w:spacing w:after="0" w:line="240" w:lineRule="auto"/>
        <w:ind w:left="709" w:hanging="709"/>
        <w:jc w:val="both"/>
        <w:rPr>
          <w:rFonts w:ascii="Arial" w:hAnsi="Arial" w:cs="Arial"/>
        </w:rPr>
      </w:pPr>
    </w:p>
    <w:p w14:paraId="42FF0D4E" w14:textId="47FEA5A7" w:rsidR="00F27F6E" w:rsidRPr="003F7C28" w:rsidRDefault="004B26D4" w:rsidP="003F7C28">
      <w:pPr>
        <w:pStyle w:val="ListParagraph"/>
        <w:spacing w:after="0" w:line="360" w:lineRule="auto"/>
        <w:ind w:left="709"/>
        <w:jc w:val="both"/>
        <w:rPr>
          <w:rFonts w:ascii="Arial" w:hAnsi="Arial" w:cs="Arial"/>
          <w:color w:val="0000FF"/>
        </w:rPr>
      </w:pPr>
      <w:r w:rsidRPr="003F7C28">
        <w:rPr>
          <w:rFonts w:ascii="Arial" w:hAnsi="Arial" w:cs="Arial"/>
          <w:color w:val="0000FF"/>
        </w:rPr>
        <w:t>Noted.</w:t>
      </w:r>
    </w:p>
    <w:sectPr w:rsidR="00F27F6E" w:rsidRPr="003F7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14C4"/>
    <w:multiLevelType w:val="hybridMultilevel"/>
    <w:tmpl w:val="825CA1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B6737E8"/>
    <w:multiLevelType w:val="hybridMultilevel"/>
    <w:tmpl w:val="AC0618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58C3D32"/>
    <w:multiLevelType w:val="hybridMultilevel"/>
    <w:tmpl w:val="E7A089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61362D4"/>
    <w:multiLevelType w:val="hybridMultilevel"/>
    <w:tmpl w:val="AE5227BE"/>
    <w:lvl w:ilvl="0" w:tplc="195A15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12A49C2"/>
    <w:multiLevelType w:val="hybridMultilevel"/>
    <w:tmpl w:val="3EC456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32"/>
    <w:rsid w:val="00062550"/>
    <w:rsid w:val="00097CC1"/>
    <w:rsid w:val="000A3BC2"/>
    <w:rsid w:val="001256E2"/>
    <w:rsid w:val="001878A9"/>
    <w:rsid w:val="001B3867"/>
    <w:rsid w:val="00241263"/>
    <w:rsid w:val="00270D6A"/>
    <w:rsid w:val="00343493"/>
    <w:rsid w:val="003E35BC"/>
    <w:rsid w:val="003F7C28"/>
    <w:rsid w:val="004A0453"/>
    <w:rsid w:val="004B26D4"/>
    <w:rsid w:val="004D3946"/>
    <w:rsid w:val="004E4A40"/>
    <w:rsid w:val="005B6125"/>
    <w:rsid w:val="005C057D"/>
    <w:rsid w:val="005E6124"/>
    <w:rsid w:val="00667B94"/>
    <w:rsid w:val="00675D7B"/>
    <w:rsid w:val="00826A8E"/>
    <w:rsid w:val="00945532"/>
    <w:rsid w:val="009B1386"/>
    <w:rsid w:val="009C3AE7"/>
    <w:rsid w:val="009F0AE5"/>
    <w:rsid w:val="00B43A57"/>
    <w:rsid w:val="00B84E56"/>
    <w:rsid w:val="00C17565"/>
    <w:rsid w:val="00C421C4"/>
    <w:rsid w:val="00C47BC1"/>
    <w:rsid w:val="00D33B29"/>
    <w:rsid w:val="00D71527"/>
    <w:rsid w:val="00D851D0"/>
    <w:rsid w:val="00DA27FA"/>
    <w:rsid w:val="00DF0CBA"/>
    <w:rsid w:val="00E00294"/>
    <w:rsid w:val="00E06512"/>
    <w:rsid w:val="00E12943"/>
    <w:rsid w:val="00E76F90"/>
    <w:rsid w:val="00F27F6E"/>
    <w:rsid w:val="00F74E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5A17"/>
  <w15:chartTrackingRefBased/>
  <w15:docId w15:val="{4D8046DA-7750-4A9A-800C-FC59589D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65"/>
    <w:pPr>
      <w:ind w:left="720"/>
      <w:contextualSpacing/>
    </w:pPr>
  </w:style>
  <w:style w:type="paragraph" w:styleId="BalloonText">
    <w:name w:val="Balloon Text"/>
    <w:basedOn w:val="Normal"/>
    <w:link w:val="BalloonTextChar"/>
    <w:uiPriority w:val="99"/>
    <w:semiHidden/>
    <w:unhideWhenUsed/>
    <w:rsid w:val="004E4A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4A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Salmon</dc:creator>
  <cp:keywords/>
  <dc:description/>
  <cp:lastModifiedBy>Muzi Njoko</cp:lastModifiedBy>
  <cp:revision>2</cp:revision>
  <dcterms:created xsi:type="dcterms:W3CDTF">2022-06-20T15:50:00Z</dcterms:created>
  <dcterms:modified xsi:type="dcterms:W3CDTF">2022-06-20T15:50:00Z</dcterms:modified>
</cp:coreProperties>
</file>