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A" w:rsidRPr="009566F5" w:rsidRDefault="009566F5" w:rsidP="009566F5">
      <w:pPr>
        <w:spacing w:after="0" w:line="240" w:lineRule="auto"/>
        <w:rPr>
          <w:rFonts w:ascii="Arial" w:hAnsi="Arial" w:cs="Arial"/>
          <w:b/>
          <w:sz w:val="20"/>
          <w:szCs w:val="20"/>
        </w:rPr>
      </w:pPr>
      <w:r>
        <w:rPr>
          <w:rFonts w:ascii="Arial" w:hAnsi="Arial" w:cs="Arial"/>
          <w:b/>
          <w:sz w:val="20"/>
          <w:szCs w:val="20"/>
        </w:rPr>
        <w:t>Report of the Portfolio Committee on Higher Education, Science and Innovation on the 2021/22 Second a</w:t>
      </w:r>
      <w:r w:rsidRPr="009566F5">
        <w:rPr>
          <w:rFonts w:ascii="Arial" w:hAnsi="Arial" w:cs="Arial"/>
          <w:b/>
          <w:sz w:val="20"/>
          <w:szCs w:val="20"/>
        </w:rPr>
        <w:t>nd Third Quarter Performa</w:t>
      </w:r>
      <w:r>
        <w:rPr>
          <w:rFonts w:ascii="Arial" w:hAnsi="Arial" w:cs="Arial"/>
          <w:b/>
          <w:sz w:val="20"/>
          <w:szCs w:val="20"/>
        </w:rPr>
        <w:t>nce and Expenditure Reports of the Department of Higher Education a</w:t>
      </w:r>
      <w:r w:rsidRPr="009566F5">
        <w:rPr>
          <w:rFonts w:ascii="Arial" w:hAnsi="Arial" w:cs="Arial"/>
          <w:b/>
          <w:sz w:val="20"/>
          <w:szCs w:val="20"/>
        </w:rPr>
        <w:t>nd Training, 15 June 2022</w:t>
      </w:r>
      <w:r>
        <w:rPr>
          <w:rFonts w:ascii="Arial" w:hAnsi="Arial" w:cs="Arial"/>
          <w:b/>
          <w:sz w:val="20"/>
          <w:szCs w:val="20"/>
        </w:rPr>
        <w:br/>
      </w:r>
    </w:p>
    <w:p w:rsidR="00B13982" w:rsidRPr="009566F5" w:rsidRDefault="00D92F6C" w:rsidP="009566F5">
      <w:pPr>
        <w:spacing w:after="0" w:line="240" w:lineRule="auto"/>
        <w:rPr>
          <w:rFonts w:ascii="Arial" w:hAnsi="Arial" w:cs="Arial"/>
          <w:b/>
          <w:sz w:val="20"/>
          <w:szCs w:val="20"/>
        </w:rPr>
      </w:pPr>
      <w:r w:rsidRPr="009566F5">
        <w:rPr>
          <w:rFonts w:ascii="Arial" w:hAnsi="Arial" w:cs="Arial"/>
          <w:sz w:val="20"/>
          <w:szCs w:val="20"/>
        </w:rPr>
        <w:t xml:space="preserve">The Portfolio Committee on Higher Education, Science and </w:t>
      </w:r>
      <w:r w:rsidR="00D55202" w:rsidRPr="009566F5">
        <w:rPr>
          <w:rFonts w:ascii="Arial" w:hAnsi="Arial" w:cs="Arial"/>
          <w:sz w:val="20"/>
          <w:szCs w:val="20"/>
        </w:rPr>
        <w:t>Innovation</w:t>
      </w:r>
      <w:r w:rsidRPr="009566F5">
        <w:rPr>
          <w:rFonts w:ascii="Arial" w:hAnsi="Arial" w:cs="Arial"/>
          <w:sz w:val="20"/>
          <w:szCs w:val="20"/>
        </w:rPr>
        <w:t xml:space="preserve"> (</w:t>
      </w:r>
      <w:r w:rsidR="00D55202" w:rsidRPr="009566F5">
        <w:rPr>
          <w:rFonts w:ascii="Arial" w:hAnsi="Arial" w:cs="Arial"/>
          <w:sz w:val="20"/>
          <w:szCs w:val="20"/>
        </w:rPr>
        <w:t>“</w:t>
      </w:r>
      <w:r w:rsidRPr="009566F5">
        <w:rPr>
          <w:rFonts w:ascii="Arial" w:hAnsi="Arial" w:cs="Arial"/>
          <w:sz w:val="20"/>
          <w:szCs w:val="20"/>
        </w:rPr>
        <w:t>the Committee</w:t>
      </w:r>
      <w:r w:rsidR="00D55202" w:rsidRPr="009566F5">
        <w:rPr>
          <w:rFonts w:ascii="Arial" w:hAnsi="Arial" w:cs="Arial"/>
          <w:sz w:val="20"/>
          <w:szCs w:val="20"/>
        </w:rPr>
        <w:t>”</w:t>
      </w:r>
      <w:r w:rsidRPr="009566F5">
        <w:rPr>
          <w:rFonts w:ascii="Arial" w:hAnsi="Arial" w:cs="Arial"/>
          <w:sz w:val="20"/>
          <w:szCs w:val="20"/>
        </w:rPr>
        <w:t xml:space="preserve">), having considered the </w:t>
      </w:r>
      <w:r w:rsidR="00D55202" w:rsidRPr="009566F5">
        <w:rPr>
          <w:rFonts w:ascii="Arial" w:hAnsi="Arial" w:cs="Arial"/>
          <w:sz w:val="20"/>
          <w:szCs w:val="20"/>
        </w:rPr>
        <w:t xml:space="preserve">2021/22 Second and Third Quarter performance </w:t>
      </w:r>
      <w:r w:rsidRPr="009566F5">
        <w:rPr>
          <w:rFonts w:ascii="Arial" w:hAnsi="Arial" w:cs="Arial"/>
          <w:sz w:val="20"/>
          <w:szCs w:val="20"/>
        </w:rPr>
        <w:t>report</w:t>
      </w:r>
      <w:r w:rsidR="0010758B" w:rsidRPr="009566F5">
        <w:rPr>
          <w:rFonts w:ascii="Arial" w:hAnsi="Arial" w:cs="Arial"/>
          <w:sz w:val="20"/>
          <w:szCs w:val="20"/>
        </w:rPr>
        <w:t>s</w:t>
      </w:r>
      <w:r w:rsidR="00507B1E" w:rsidRPr="009566F5">
        <w:rPr>
          <w:rFonts w:ascii="Arial" w:hAnsi="Arial" w:cs="Arial"/>
          <w:sz w:val="20"/>
          <w:szCs w:val="20"/>
        </w:rPr>
        <w:t xml:space="preserve"> </w:t>
      </w:r>
      <w:r w:rsidRPr="009566F5">
        <w:rPr>
          <w:rFonts w:ascii="Arial" w:hAnsi="Arial" w:cs="Arial"/>
          <w:sz w:val="20"/>
          <w:szCs w:val="20"/>
        </w:rPr>
        <w:t>of the Department of Higher Education and Training (</w:t>
      </w:r>
      <w:r w:rsidR="00D55202" w:rsidRPr="009566F5">
        <w:rPr>
          <w:rFonts w:ascii="Arial" w:hAnsi="Arial" w:cs="Arial"/>
          <w:sz w:val="20"/>
          <w:szCs w:val="20"/>
        </w:rPr>
        <w:t>“</w:t>
      </w:r>
      <w:r w:rsidRPr="009566F5">
        <w:rPr>
          <w:rFonts w:ascii="Arial" w:hAnsi="Arial" w:cs="Arial"/>
          <w:sz w:val="20"/>
          <w:szCs w:val="20"/>
        </w:rPr>
        <w:t>the Department</w:t>
      </w:r>
      <w:r w:rsidR="00D55202" w:rsidRPr="009566F5">
        <w:rPr>
          <w:rFonts w:ascii="Arial" w:hAnsi="Arial" w:cs="Arial"/>
          <w:sz w:val="20"/>
          <w:szCs w:val="20"/>
        </w:rPr>
        <w:t>”</w:t>
      </w:r>
      <w:r w:rsidRPr="009566F5">
        <w:rPr>
          <w:rFonts w:ascii="Arial" w:hAnsi="Arial" w:cs="Arial"/>
          <w:sz w:val="20"/>
          <w:szCs w:val="20"/>
        </w:rPr>
        <w:t>), reports as follows:</w:t>
      </w:r>
    </w:p>
    <w:p w:rsidR="00D92F6C" w:rsidRPr="009566F5" w:rsidRDefault="00D92F6C" w:rsidP="009566F5">
      <w:pPr>
        <w:pStyle w:val="ListParagraph"/>
        <w:numPr>
          <w:ilvl w:val="0"/>
          <w:numId w:val="20"/>
        </w:numPr>
        <w:spacing w:after="0" w:line="240" w:lineRule="auto"/>
        <w:rPr>
          <w:rFonts w:ascii="Arial" w:hAnsi="Arial" w:cs="Arial"/>
          <w:b/>
          <w:sz w:val="20"/>
          <w:szCs w:val="20"/>
        </w:rPr>
      </w:pPr>
      <w:r w:rsidRPr="009566F5">
        <w:rPr>
          <w:rFonts w:ascii="Arial" w:hAnsi="Arial" w:cs="Arial"/>
          <w:b/>
          <w:sz w:val="20"/>
          <w:szCs w:val="20"/>
        </w:rPr>
        <w:t>INTRODUCTION</w:t>
      </w:r>
    </w:p>
    <w:p w:rsidR="00D92F6C" w:rsidRPr="009566F5" w:rsidRDefault="00D92F6C" w:rsidP="009566F5">
      <w:pPr>
        <w:spacing w:after="0" w:line="240" w:lineRule="auto"/>
        <w:rPr>
          <w:rFonts w:ascii="Arial" w:hAnsi="Arial" w:cs="Arial"/>
          <w:sz w:val="20"/>
          <w:szCs w:val="20"/>
        </w:rPr>
      </w:pPr>
      <w:r w:rsidRPr="009566F5">
        <w:rPr>
          <w:rFonts w:ascii="Arial" w:hAnsi="Arial" w:cs="Arial"/>
          <w:sz w:val="20"/>
          <w:szCs w:val="20"/>
        </w:rPr>
        <w:t>Section 40 (1) (f) of the Public Finance Management Act</w:t>
      </w:r>
      <w:r w:rsidR="0074584F" w:rsidRPr="009566F5">
        <w:rPr>
          <w:rFonts w:ascii="Arial" w:hAnsi="Arial" w:cs="Arial"/>
          <w:sz w:val="20"/>
          <w:szCs w:val="20"/>
        </w:rPr>
        <w:t xml:space="preserve"> (PFMA)</w:t>
      </w:r>
      <w:r w:rsidRPr="009566F5">
        <w:rPr>
          <w:rFonts w:ascii="Arial" w:hAnsi="Arial" w:cs="Arial"/>
          <w:sz w:val="20"/>
          <w:szCs w:val="20"/>
        </w:rPr>
        <w:t xml:space="preserve">, 1999 (Act No.1 of 1999) makes provision for the accounting officer of a department to submit all reports, returns, notices and other information to Parliament. The Act also stresses the need for accounting officers to regularly monitor and report on the performance of their </w:t>
      </w:r>
      <w:r w:rsidR="00EA3FC4" w:rsidRPr="009566F5">
        <w:rPr>
          <w:rFonts w:ascii="Arial" w:hAnsi="Arial" w:cs="Arial"/>
          <w:sz w:val="20"/>
          <w:szCs w:val="20"/>
        </w:rPr>
        <w:t>d</w:t>
      </w:r>
      <w:r w:rsidRPr="009566F5">
        <w:rPr>
          <w:rFonts w:ascii="Arial" w:hAnsi="Arial" w:cs="Arial"/>
          <w:sz w:val="20"/>
          <w:szCs w:val="20"/>
        </w:rPr>
        <w:t xml:space="preserve">epartments against the agreed budget for the year. </w:t>
      </w:r>
    </w:p>
    <w:p w:rsidR="00D92F6C" w:rsidRPr="009566F5" w:rsidRDefault="00D92F6C" w:rsidP="009566F5">
      <w:pPr>
        <w:spacing w:after="0" w:line="240" w:lineRule="auto"/>
        <w:rPr>
          <w:rFonts w:ascii="Arial" w:hAnsi="Arial" w:cs="Arial"/>
          <w:sz w:val="20"/>
          <w:szCs w:val="20"/>
        </w:rPr>
      </w:pPr>
      <w:r w:rsidRPr="009566F5">
        <w:rPr>
          <w:rFonts w:ascii="Arial" w:hAnsi="Arial" w:cs="Arial"/>
          <w:sz w:val="20"/>
          <w:szCs w:val="20"/>
        </w:rPr>
        <w:t xml:space="preserve">Section 5 (1) (c) of the Money Bills Amendment Procedure and Related Matters Act, 2009 (Act No. 9 of 2009) determines that the National Assembly (NA), through its committees, must annually assess the performance of each national department in relation to the expenditure report of </w:t>
      </w:r>
      <w:r w:rsidR="00C7765D" w:rsidRPr="009566F5">
        <w:rPr>
          <w:rFonts w:ascii="Arial" w:hAnsi="Arial" w:cs="Arial"/>
          <w:sz w:val="20"/>
          <w:szCs w:val="20"/>
        </w:rPr>
        <w:t xml:space="preserve">the </w:t>
      </w:r>
      <w:r w:rsidRPr="009566F5">
        <w:rPr>
          <w:rFonts w:ascii="Arial" w:hAnsi="Arial" w:cs="Arial"/>
          <w:sz w:val="20"/>
          <w:szCs w:val="20"/>
        </w:rPr>
        <w:t>said department published by the National Treasury in terms of section 32 of the PFMA.</w:t>
      </w:r>
    </w:p>
    <w:p w:rsidR="00D92F6C" w:rsidRPr="009566F5" w:rsidRDefault="00D92F6C" w:rsidP="009566F5">
      <w:pPr>
        <w:spacing w:after="0" w:line="240" w:lineRule="auto"/>
        <w:rPr>
          <w:rFonts w:ascii="Arial" w:hAnsi="Arial" w:cs="Arial"/>
          <w:sz w:val="20"/>
          <w:szCs w:val="20"/>
        </w:rPr>
      </w:pPr>
      <w:r w:rsidRPr="009566F5">
        <w:rPr>
          <w:rFonts w:ascii="Arial" w:hAnsi="Arial" w:cs="Arial"/>
          <w:sz w:val="20"/>
          <w:szCs w:val="20"/>
        </w:rPr>
        <w:t xml:space="preserve">The Committee </w:t>
      </w:r>
      <w:r w:rsidR="00952048" w:rsidRPr="009566F5">
        <w:rPr>
          <w:rFonts w:ascii="Arial" w:hAnsi="Arial" w:cs="Arial"/>
          <w:sz w:val="20"/>
          <w:szCs w:val="20"/>
        </w:rPr>
        <w:t xml:space="preserve">conducts in-year monitoring and assessment </w:t>
      </w:r>
      <w:r w:rsidR="00C2678F" w:rsidRPr="009566F5">
        <w:rPr>
          <w:rFonts w:ascii="Arial" w:hAnsi="Arial" w:cs="Arial"/>
          <w:sz w:val="20"/>
          <w:szCs w:val="20"/>
        </w:rPr>
        <w:t xml:space="preserve">of </w:t>
      </w:r>
      <w:r w:rsidR="00952048" w:rsidRPr="009566F5">
        <w:rPr>
          <w:rFonts w:ascii="Arial" w:hAnsi="Arial" w:cs="Arial"/>
          <w:sz w:val="20"/>
          <w:szCs w:val="20"/>
        </w:rPr>
        <w:t>the service delivery and financial performance of the Department towards achieving the performance indicators and targets as set out in the Annual Performance Plan.</w:t>
      </w:r>
      <w:r w:rsidRPr="009566F5">
        <w:rPr>
          <w:rFonts w:ascii="Arial" w:hAnsi="Arial" w:cs="Arial"/>
          <w:sz w:val="20"/>
          <w:szCs w:val="20"/>
        </w:rPr>
        <w:t xml:space="preserve"> The quarterly assessments of the Department’s financial and non-financial performance also assist the Committee in its preparation for the annual submission of the budgetary review and recommendation report (BRRR) as determined by section 5 (2) of the Money Bills Amendment Procedures and Related Matters Act, 2009 (Act No. 9 of 2009). </w:t>
      </w:r>
    </w:p>
    <w:p w:rsidR="00D92F6C" w:rsidRPr="009566F5" w:rsidRDefault="00F6743B" w:rsidP="009566F5">
      <w:pPr>
        <w:spacing w:after="0" w:line="240" w:lineRule="auto"/>
        <w:rPr>
          <w:rFonts w:ascii="Arial" w:hAnsi="Arial" w:cs="Arial"/>
          <w:sz w:val="20"/>
          <w:szCs w:val="20"/>
        </w:rPr>
      </w:pPr>
      <w:r w:rsidRPr="009566F5">
        <w:rPr>
          <w:rFonts w:ascii="Arial" w:hAnsi="Arial" w:cs="Arial"/>
          <w:sz w:val="20"/>
          <w:szCs w:val="20"/>
        </w:rPr>
        <w:t>T</w:t>
      </w:r>
      <w:r w:rsidR="00D92F6C" w:rsidRPr="009566F5">
        <w:rPr>
          <w:rFonts w:ascii="Arial" w:hAnsi="Arial" w:cs="Arial"/>
          <w:sz w:val="20"/>
          <w:szCs w:val="20"/>
        </w:rPr>
        <w:t xml:space="preserve">he Committee considered the </w:t>
      </w:r>
      <w:r w:rsidRPr="009566F5">
        <w:rPr>
          <w:rFonts w:ascii="Arial" w:hAnsi="Arial" w:cs="Arial"/>
          <w:sz w:val="20"/>
          <w:szCs w:val="20"/>
        </w:rPr>
        <w:t>2021/22 second and third quarter</w:t>
      </w:r>
      <w:r w:rsidR="008471EA" w:rsidRPr="009566F5">
        <w:rPr>
          <w:rFonts w:ascii="Arial" w:hAnsi="Arial" w:cs="Arial"/>
          <w:sz w:val="20"/>
          <w:szCs w:val="20"/>
        </w:rPr>
        <w:t xml:space="preserve"> performance </w:t>
      </w:r>
      <w:r w:rsidR="0053074D" w:rsidRPr="009566F5">
        <w:rPr>
          <w:rFonts w:ascii="Arial" w:hAnsi="Arial" w:cs="Arial"/>
          <w:sz w:val="20"/>
          <w:szCs w:val="20"/>
        </w:rPr>
        <w:t>report</w:t>
      </w:r>
      <w:r w:rsidR="007100FB" w:rsidRPr="009566F5">
        <w:rPr>
          <w:rFonts w:ascii="Arial" w:hAnsi="Arial" w:cs="Arial"/>
          <w:sz w:val="20"/>
          <w:szCs w:val="20"/>
        </w:rPr>
        <w:t>s</w:t>
      </w:r>
      <w:r w:rsidR="0053074D" w:rsidRPr="009566F5">
        <w:rPr>
          <w:rFonts w:ascii="Arial" w:hAnsi="Arial" w:cs="Arial"/>
          <w:sz w:val="20"/>
          <w:szCs w:val="20"/>
        </w:rPr>
        <w:t xml:space="preserve"> </w:t>
      </w:r>
      <w:r w:rsidR="00D92F6C" w:rsidRPr="009566F5">
        <w:rPr>
          <w:rFonts w:ascii="Arial" w:hAnsi="Arial" w:cs="Arial"/>
          <w:sz w:val="20"/>
          <w:szCs w:val="20"/>
        </w:rPr>
        <w:t xml:space="preserve">of the Department on </w:t>
      </w:r>
      <w:r w:rsidRPr="009566F5">
        <w:rPr>
          <w:rFonts w:ascii="Arial" w:hAnsi="Arial" w:cs="Arial"/>
          <w:sz w:val="20"/>
          <w:szCs w:val="20"/>
        </w:rPr>
        <w:t>4 March</w:t>
      </w:r>
      <w:r w:rsidR="0053074D" w:rsidRPr="009566F5">
        <w:rPr>
          <w:rFonts w:ascii="Arial" w:hAnsi="Arial" w:cs="Arial"/>
          <w:sz w:val="20"/>
          <w:szCs w:val="20"/>
        </w:rPr>
        <w:t xml:space="preserve"> 202</w:t>
      </w:r>
      <w:r w:rsidRPr="009566F5">
        <w:rPr>
          <w:rFonts w:ascii="Arial" w:hAnsi="Arial" w:cs="Arial"/>
          <w:sz w:val="20"/>
          <w:szCs w:val="20"/>
        </w:rPr>
        <w:t>2</w:t>
      </w:r>
      <w:r w:rsidR="00D92F6C" w:rsidRPr="009566F5">
        <w:rPr>
          <w:rFonts w:ascii="Arial" w:hAnsi="Arial" w:cs="Arial"/>
          <w:sz w:val="20"/>
          <w:szCs w:val="20"/>
        </w:rPr>
        <w:t xml:space="preserve">. </w:t>
      </w:r>
    </w:p>
    <w:p w:rsidR="00E62ECC" w:rsidRPr="009566F5" w:rsidRDefault="00E62ECC" w:rsidP="009566F5">
      <w:pPr>
        <w:spacing w:after="0" w:line="240" w:lineRule="auto"/>
        <w:rPr>
          <w:rFonts w:ascii="Arial" w:hAnsi="Arial" w:cs="Arial"/>
          <w:sz w:val="20"/>
          <w:szCs w:val="20"/>
        </w:rPr>
      </w:pPr>
    </w:p>
    <w:p w:rsidR="00FD5F41" w:rsidRPr="009566F5" w:rsidRDefault="00D92F6C" w:rsidP="009566F5">
      <w:pPr>
        <w:pStyle w:val="ListParagraph"/>
        <w:numPr>
          <w:ilvl w:val="0"/>
          <w:numId w:val="20"/>
        </w:numPr>
        <w:spacing w:after="0" w:line="240" w:lineRule="auto"/>
        <w:rPr>
          <w:rFonts w:ascii="Arial" w:hAnsi="Arial" w:cs="Arial"/>
          <w:b/>
          <w:sz w:val="20"/>
          <w:szCs w:val="20"/>
        </w:rPr>
      </w:pPr>
      <w:r w:rsidRPr="009566F5">
        <w:rPr>
          <w:rFonts w:ascii="Arial" w:hAnsi="Arial" w:cs="Arial"/>
          <w:b/>
          <w:sz w:val="20"/>
          <w:szCs w:val="20"/>
        </w:rPr>
        <w:t xml:space="preserve">OVERVIEW AND ASSESSMENT OF THE DEPARTMENT’S </w:t>
      </w:r>
      <w:r w:rsidR="0074584F" w:rsidRPr="009566F5">
        <w:rPr>
          <w:rFonts w:ascii="Arial" w:hAnsi="Arial" w:cs="Arial"/>
          <w:b/>
          <w:sz w:val="20"/>
          <w:szCs w:val="20"/>
        </w:rPr>
        <w:t xml:space="preserve">QUARTERLY </w:t>
      </w:r>
      <w:r w:rsidR="00643253" w:rsidRPr="009566F5">
        <w:rPr>
          <w:rFonts w:ascii="Arial" w:hAnsi="Arial" w:cs="Arial"/>
          <w:b/>
          <w:sz w:val="20"/>
          <w:szCs w:val="20"/>
        </w:rPr>
        <w:t xml:space="preserve">EXPENDITURE AND </w:t>
      </w:r>
      <w:r w:rsidR="0074584F" w:rsidRPr="009566F5">
        <w:rPr>
          <w:rFonts w:ascii="Arial" w:hAnsi="Arial" w:cs="Arial"/>
          <w:b/>
          <w:sz w:val="20"/>
          <w:szCs w:val="20"/>
        </w:rPr>
        <w:t>PERFORMANCE</w:t>
      </w:r>
    </w:p>
    <w:p w:rsidR="00FD5F41" w:rsidRPr="009566F5" w:rsidRDefault="00FD5F41" w:rsidP="009566F5">
      <w:pPr>
        <w:pStyle w:val="ListParagraph"/>
        <w:spacing w:after="0" w:line="240" w:lineRule="auto"/>
        <w:ind w:left="0"/>
        <w:rPr>
          <w:rFonts w:ascii="Arial" w:hAnsi="Arial" w:cs="Arial"/>
          <w:b/>
          <w:sz w:val="20"/>
          <w:szCs w:val="20"/>
        </w:rPr>
      </w:pPr>
    </w:p>
    <w:p w:rsidR="006003CD" w:rsidRPr="009566F5" w:rsidRDefault="006003CD" w:rsidP="009566F5">
      <w:pPr>
        <w:pStyle w:val="ListParagraph"/>
        <w:spacing w:after="0" w:line="240" w:lineRule="auto"/>
        <w:ind w:left="0"/>
        <w:rPr>
          <w:rFonts w:ascii="Arial" w:hAnsi="Arial" w:cs="Arial"/>
          <w:b/>
          <w:sz w:val="20"/>
          <w:szCs w:val="20"/>
        </w:rPr>
      </w:pPr>
      <w:r w:rsidRPr="009566F5">
        <w:rPr>
          <w:rFonts w:ascii="Arial" w:hAnsi="Arial" w:cs="Arial"/>
          <w:b/>
          <w:sz w:val="20"/>
          <w:szCs w:val="20"/>
        </w:rPr>
        <w:t>2.</w:t>
      </w:r>
      <w:r w:rsidR="00220F60" w:rsidRPr="009566F5">
        <w:rPr>
          <w:rFonts w:ascii="Arial" w:hAnsi="Arial" w:cs="Arial"/>
          <w:b/>
          <w:sz w:val="20"/>
          <w:szCs w:val="20"/>
        </w:rPr>
        <w:t>1</w:t>
      </w:r>
      <w:r w:rsidRPr="009566F5">
        <w:rPr>
          <w:rFonts w:ascii="Arial" w:hAnsi="Arial" w:cs="Arial"/>
          <w:b/>
          <w:sz w:val="20"/>
          <w:szCs w:val="20"/>
        </w:rPr>
        <w:t xml:space="preserve">. </w:t>
      </w:r>
      <w:r w:rsidR="00A42FD1" w:rsidRPr="009566F5">
        <w:rPr>
          <w:rFonts w:ascii="Arial" w:hAnsi="Arial" w:cs="Arial"/>
          <w:b/>
          <w:sz w:val="20"/>
          <w:szCs w:val="20"/>
        </w:rPr>
        <w:t>202</w:t>
      </w:r>
      <w:r w:rsidR="00F6743B" w:rsidRPr="009566F5">
        <w:rPr>
          <w:rFonts w:ascii="Arial" w:hAnsi="Arial" w:cs="Arial"/>
          <w:b/>
          <w:sz w:val="20"/>
          <w:szCs w:val="20"/>
        </w:rPr>
        <w:t>1</w:t>
      </w:r>
      <w:r w:rsidR="00A42FD1" w:rsidRPr="009566F5">
        <w:rPr>
          <w:rFonts w:ascii="Arial" w:hAnsi="Arial" w:cs="Arial"/>
          <w:b/>
          <w:sz w:val="20"/>
          <w:szCs w:val="20"/>
        </w:rPr>
        <w:t>/2</w:t>
      </w:r>
      <w:r w:rsidR="00F6743B" w:rsidRPr="009566F5">
        <w:rPr>
          <w:rFonts w:ascii="Arial" w:hAnsi="Arial" w:cs="Arial"/>
          <w:b/>
          <w:sz w:val="20"/>
          <w:szCs w:val="20"/>
        </w:rPr>
        <w:t>2</w:t>
      </w:r>
      <w:r w:rsidRPr="009566F5">
        <w:rPr>
          <w:rFonts w:ascii="Arial" w:hAnsi="Arial" w:cs="Arial"/>
          <w:b/>
          <w:sz w:val="20"/>
          <w:szCs w:val="20"/>
        </w:rPr>
        <w:t xml:space="preserve"> </w:t>
      </w:r>
      <w:r w:rsidR="00F6743B" w:rsidRPr="009566F5">
        <w:rPr>
          <w:rFonts w:ascii="Arial" w:hAnsi="Arial" w:cs="Arial"/>
          <w:b/>
          <w:sz w:val="20"/>
          <w:szCs w:val="20"/>
        </w:rPr>
        <w:t>SECOND</w:t>
      </w:r>
      <w:r w:rsidR="00FD5F41" w:rsidRPr="009566F5">
        <w:rPr>
          <w:rFonts w:ascii="Arial" w:hAnsi="Arial" w:cs="Arial"/>
          <w:b/>
          <w:sz w:val="20"/>
          <w:szCs w:val="20"/>
        </w:rPr>
        <w:t>-</w:t>
      </w:r>
      <w:r w:rsidRPr="009566F5">
        <w:rPr>
          <w:rFonts w:ascii="Arial" w:hAnsi="Arial" w:cs="Arial"/>
          <w:b/>
          <w:sz w:val="20"/>
          <w:szCs w:val="20"/>
        </w:rPr>
        <w:t>QUARTER PERFORMANCE</w:t>
      </w:r>
    </w:p>
    <w:p w:rsidR="006003CD" w:rsidRPr="009566F5" w:rsidRDefault="006003CD" w:rsidP="009566F5">
      <w:pPr>
        <w:spacing w:after="0" w:line="240" w:lineRule="auto"/>
        <w:rPr>
          <w:rFonts w:ascii="Arial" w:hAnsi="Arial" w:cs="Arial"/>
          <w:sz w:val="20"/>
          <w:szCs w:val="20"/>
        </w:rPr>
      </w:pPr>
      <w:r w:rsidRPr="009566F5">
        <w:rPr>
          <w:rFonts w:ascii="Arial" w:hAnsi="Arial" w:cs="Arial"/>
          <w:b/>
          <w:sz w:val="20"/>
          <w:szCs w:val="20"/>
        </w:rPr>
        <w:t>2.</w:t>
      </w:r>
      <w:r w:rsidR="00FD5F41" w:rsidRPr="009566F5">
        <w:rPr>
          <w:rFonts w:ascii="Arial" w:hAnsi="Arial" w:cs="Arial"/>
          <w:b/>
          <w:sz w:val="20"/>
          <w:szCs w:val="20"/>
        </w:rPr>
        <w:t>1</w:t>
      </w:r>
      <w:r w:rsidRPr="009566F5">
        <w:rPr>
          <w:rFonts w:ascii="Arial" w:hAnsi="Arial" w:cs="Arial"/>
          <w:b/>
          <w:sz w:val="20"/>
          <w:szCs w:val="20"/>
        </w:rPr>
        <w:t xml:space="preserve">.1. Overview of the </w:t>
      </w:r>
      <w:r w:rsidR="00F6743B" w:rsidRPr="009566F5">
        <w:rPr>
          <w:rFonts w:ascii="Arial" w:hAnsi="Arial" w:cs="Arial"/>
          <w:b/>
          <w:sz w:val="20"/>
          <w:szCs w:val="20"/>
        </w:rPr>
        <w:t>Second</w:t>
      </w:r>
      <w:r w:rsidR="00FD5F41" w:rsidRPr="009566F5">
        <w:rPr>
          <w:rFonts w:ascii="Arial" w:hAnsi="Arial" w:cs="Arial"/>
          <w:b/>
          <w:sz w:val="20"/>
          <w:szCs w:val="20"/>
        </w:rPr>
        <w:t>-</w:t>
      </w:r>
      <w:r w:rsidRPr="009566F5">
        <w:rPr>
          <w:rFonts w:ascii="Arial" w:hAnsi="Arial" w:cs="Arial"/>
          <w:b/>
          <w:sz w:val="20"/>
          <w:szCs w:val="20"/>
        </w:rPr>
        <w:t xml:space="preserve">Quarter </w:t>
      </w:r>
      <w:r w:rsidR="00B13A30" w:rsidRPr="009566F5">
        <w:rPr>
          <w:rFonts w:ascii="Arial" w:hAnsi="Arial" w:cs="Arial"/>
          <w:b/>
          <w:sz w:val="20"/>
          <w:szCs w:val="20"/>
        </w:rPr>
        <w:t>Expenditure Report</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 xml:space="preserve">Table </w:t>
      </w:r>
      <w:r w:rsidR="00220F60" w:rsidRPr="009566F5">
        <w:rPr>
          <w:rFonts w:ascii="Arial" w:hAnsi="Arial" w:cs="Arial"/>
          <w:b/>
          <w:sz w:val="20"/>
          <w:szCs w:val="20"/>
        </w:rPr>
        <w:t>1</w:t>
      </w:r>
      <w:r w:rsidRPr="009566F5">
        <w:rPr>
          <w:rFonts w:ascii="Arial" w:hAnsi="Arial" w:cs="Arial"/>
          <w:b/>
          <w:sz w:val="20"/>
          <w:szCs w:val="20"/>
        </w:rPr>
        <w:t xml:space="preserve">: Budget allocation and expenditure for the </w:t>
      </w:r>
      <w:r w:rsidR="00F6743B" w:rsidRPr="009566F5">
        <w:rPr>
          <w:rFonts w:ascii="Arial" w:hAnsi="Arial" w:cs="Arial"/>
          <w:b/>
          <w:sz w:val="20"/>
          <w:szCs w:val="20"/>
        </w:rPr>
        <w:t>Second-</w:t>
      </w:r>
      <w:r w:rsidRPr="009566F5">
        <w:rPr>
          <w:rFonts w:ascii="Arial" w:hAnsi="Arial" w:cs="Arial"/>
          <w:b/>
          <w:sz w:val="20"/>
          <w:szCs w:val="20"/>
        </w:rPr>
        <w:t xml:space="preserve">Quarter of the </w:t>
      </w:r>
      <w:r w:rsidR="00220F60" w:rsidRPr="009566F5">
        <w:rPr>
          <w:rFonts w:ascii="Arial" w:hAnsi="Arial" w:cs="Arial"/>
          <w:b/>
          <w:sz w:val="20"/>
          <w:szCs w:val="20"/>
        </w:rPr>
        <w:t>202</w:t>
      </w:r>
      <w:r w:rsidR="00F6743B" w:rsidRPr="009566F5">
        <w:rPr>
          <w:rFonts w:ascii="Arial" w:hAnsi="Arial" w:cs="Arial"/>
          <w:b/>
          <w:sz w:val="20"/>
          <w:szCs w:val="20"/>
        </w:rPr>
        <w:t>1</w:t>
      </w:r>
      <w:r w:rsidR="00220F60" w:rsidRPr="009566F5">
        <w:rPr>
          <w:rFonts w:ascii="Arial" w:hAnsi="Arial" w:cs="Arial"/>
          <w:b/>
          <w:sz w:val="20"/>
          <w:szCs w:val="20"/>
        </w:rPr>
        <w:t>/2</w:t>
      </w:r>
      <w:r w:rsidR="00F6743B" w:rsidRPr="009566F5">
        <w:rPr>
          <w:rFonts w:ascii="Arial" w:hAnsi="Arial" w:cs="Arial"/>
          <w:b/>
          <w:sz w:val="20"/>
          <w:szCs w:val="20"/>
        </w:rPr>
        <w:t>2</w:t>
      </w:r>
      <w:r w:rsidRPr="009566F5">
        <w:rPr>
          <w:rFonts w:ascii="Arial" w:hAnsi="Arial" w:cs="Arial"/>
          <w:b/>
          <w:sz w:val="20"/>
          <w:szCs w:val="20"/>
        </w:rPr>
        <w:t xml:space="preserve"> financial year</w:t>
      </w:r>
    </w:p>
    <w:tbl>
      <w:tblPr>
        <w:tblStyle w:val="TableGrid"/>
        <w:tblW w:w="10490" w:type="dxa"/>
        <w:tblInd w:w="-714" w:type="dxa"/>
        <w:tblLayout w:type="fixed"/>
        <w:tblLook w:val="04A0"/>
      </w:tblPr>
      <w:tblGrid>
        <w:gridCol w:w="1702"/>
        <w:gridCol w:w="1275"/>
        <w:gridCol w:w="1276"/>
        <w:gridCol w:w="1418"/>
        <w:gridCol w:w="1417"/>
        <w:gridCol w:w="1701"/>
        <w:gridCol w:w="1701"/>
      </w:tblGrid>
      <w:tr w:rsidR="001F12B3" w:rsidRPr="009566F5" w:rsidTr="001F12B3">
        <w:tc>
          <w:tcPr>
            <w:tcW w:w="1702" w:type="dxa"/>
            <w:shd w:val="clear" w:color="auto" w:fill="E2EFD9" w:themeFill="accent6" w:themeFillTint="33"/>
            <w:vAlign w:val="bottom"/>
          </w:tcPr>
          <w:p w:rsidR="001F12B3" w:rsidRPr="009566F5" w:rsidRDefault="001F12B3"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R million</w:t>
            </w:r>
          </w:p>
          <w:p w:rsidR="001F12B3" w:rsidRPr="009566F5" w:rsidRDefault="001F12B3" w:rsidP="009566F5">
            <w:pPr>
              <w:rPr>
                <w:rFonts w:ascii="Arial" w:eastAsia="Times New Roman" w:hAnsi="Arial" w:cs="Arial"/>
                <w:b/>
                <w:bCs/>
                <w:color w:val="000000"/>
                <w:sz w:val="20"/>
                <w:szCs w:val="20"/>
                <w:lang w:eastAsia="en-ZA"/>
              </w:rPr>
            </w:pPr>
          </w:p>
          <w:p w:rsidR="001F12B3" w:rsidRPr="009566F5" w:rsidRDefault="001F12B3" w:rsidP="009566F5">
            <w:pPr>
              <w:rPr>
                <w:rFonts w:ascii="Arial" w:eastAsia="Times New Roman" w:hAnsi="Arial" w:cs="Arial"/>
                <w:b/>
                <w:bCs/>
                <w:color w:val="000000"/>
                <w:sz w:val="20"/>
                <w:szCs w:val="20"/>
                <w:lang w:eastAsia="en-ZA"/>
              </w:rPr>
            </w:pPr>
          </w:p>
          <w:p w:rsidR="001F12B3" w:rsidRPr="009566F5" w:rsidRDefault="001F12B3" w:rsidP="009566F5">
            <w:pPr>
              <w:rPr>
                <w:rFonts w:ascii="Arial" w:eastAsia="Times New Roman" w:hAnsi="Arial" w:cs="Arial"/>
                <w:b/>
                <w:bCs/>
                <w:color w:val="000000"/>
                <w:sz w:val="20"/>
                <w:szCs w:val="20"/>
                <w:lang w:eastAsia="en-ZA"/>
              </w:rPr>
            </w:pPr>
          </w:p>
        </w:tc>
        <w:tc>
          <w:tcPr>
            <w:tcW w:w="1275" w:type="dxa"/>
            <w:shd w:val="clear" w:color="auto" w:fill="E2EFD9" w:themeFill="accent6" w:themeFillTint="33"/>
            <w:vAlign w:val="bottom"/>
          </w:tcPr>
          <w:p w:rsidR="001F12B3" w:rsidRPr="009566F5" w:rsidRDefault="001F12B3"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Available budget</w:t>
            </w:r>
          </w:p>
          <w:p w:rsidR="001F12B3" w:rsidRPr="009566F5" w:rsidRDefault="001F12B3" w:rsidP="009566F5">
            <w:pPr>
              <w:rPr>
                <w:rFonts w:ascii="Arial" w:eastAsia="Times New Roman" w:hAnsi="Arial" w:cs="Arial"/>
                <w:b/>
                <w:color w:val="000000"/>
                <w:sz w:val="20"/>
                <w:szCs w:val="20"/>
                <w:lang w:eastAsia="en-ZA"/>
              </w:rPr>
            </w:pPr>
          </w:p>
          <w:p w:rsidR="001F12B3" w:rsidRPr="009566F5" w:rsidRDefault="001F12B3" w:rsidP="009566F5">
            <w:pPr>
              <w:rPr>
                <w:rFonts w:ascii="Arial" w:eastAsia="Times New Roman" w:hAnsi="Arial" w:cs="Arial"/>
                <w:b/>
                <w:color w:val="000000"/>
                <w:sz w:val="20"/>
                <w:szCs w:val="20"/>
                <w:lang w:eastAsia="en-ZA"/>
              </w:rPr>
            </w:pPr>
          </w:p>
        </w:tc>
        <w:tc>
          <w:tcPr>
            <w:tcW w:w="1276" w:type="dxa"/>
            <w:shd w:val="clear" w:color="auto" w:fill="E2EFD9" w:themeFill="accent6" w:themeFillTint="33"/>
          </w:tcPr>
          <w:p w:rsidR="001F12B3" w:rsidRPr="009566F5" w:rsidRDefault="001F12B3" w:rsidP="009566F5">
            <w:pPr>
              <w:rPr>
                <w:rFonts w:ascii="Arial" w:hAnsi="Arial" w:cs="Arial"/>
                <w:b/>
                <w:sz w:val="20"/>
                <w:szCs w:val="20"/>
              </w:rPr>
            </w:pPr>
            <w:r w:rsidRPr="009566F5">
              <w:rPr>
                <w:rFonts w:ascii="Arial" w:hAnsi="Arial" w:cs="Arial"/>
                <w:b/>
                <w:sz w:val="20"/>
                <w:szCs w:val="20"/>
              </w:rPr>
              <w:t>Q2 Actual Expenditure</w:t>
            </w:r>
          </w:p>
        </w:tc>
        <w:tc>
          <w:tcPr>
            <w:tcW w:w="1418" w:type="dxa"/>
            <w:shd w:val="clear" w:color="auto" w:fill="E2EFD9" w:themeFill="accent6" w:themeFillTint="33"/>
          </w:tcPr>
          <w:p w:rsidR="001F12B3" w:rsidRPr="009566F5" w:rsidRDefault="001F12B3" w:rsidP="009566F5">
            <w:pPr>
              <w:rPr>
                <w:rFonts w:ascii="Arial" w:hAnsi="Arial" w:cs="Arial"/>
                <w:b/>
                <w:sz w:val="20"/>
                <w:szCs w:val="20"/>
              </w:rPr>
            </w:pPr>
            <w:r w:rsidRPr="009566F5">
              <w:rPr>
                <w:rFonts w:ascii="Arial" w:hAnsi="Arial" w:cs="Arial"/>
                <w:b/>
                <w:sz w:val="20"/>
                <w:szCs w:val="20"/>
              </w:rPr>
              <w:t>Expenditure as % of available budget</w:t>
            </w:r>
          </w:p>
        </w:tc>
        <w:tc>
          <w:tcPr>
            <w:tcW w:w="1417" w:type="dxa"/>
            <w:shd w:val="clear" w:color="auto" w:fill="E2EFD9" w:themeFill="accent6" w:themeFillTint="33"/>
          </w:tcPr>
          <w:p w:rsidR="001F12B3" w:rsidRPr="009566F5" w:rsidRDefault="001F12B3" w:rsidP="009566F5">
            <w:pPr>
              <w:rPr>
                <w:rFonts w:ascii="Arial" w:hAnsi="Arial" w:cs="Arial"/>
                <w:b/>
                <w:sz w:val="20"/>
                <w:szCs w:val="20"/>
              </w:rPr>
            </w:pPr>
            <w:r w:rsidRPr="009566F5">
              <w:rPr>
                <w:rFonts w:ascii="Arial" w:hAnsi="Arial" w:cs="Arial"/>
                <w:b/>
                <w:sz w:val="20"/>
                <w:szCs w:val="20"/>
              </w:rPr>
              <w:t>Q2 Projected expenditure</w:t>
            </w:r>
          </w:p>
        </w:tc>
        <w:tc>
          <w:tcPr>
            <w:tcW w:w="1701" w:type="dxa"/>
            <w:shd w:val="clear" w:color="auto" w:fill="E2EFD9" w:themeFill="accent6" w:themeFillTint="33"/>
          </w:tcPr>
          <w:p w:rsidR="001F12B3" w:rsidRPr="009566F5" w:rsidRDefault="001F12B3" w:rsidP="009566F5">
            <w:pPr>
              <w:rPr>
                <w:rFonts w:ascii="Arial" w:hAnsi="Arial" w:cs="Arial"/>
                <w:b/>
                <w:sz w:val="20"/>
                <w:szCs w:val="20"/>
              </w:rPr>
            </w:pPr>
            <w:r w:rsidRPr="009566F5">
              <w:rPr>
                <w:rFonts w:ascii="Arial" w:hAnsi="Arial" w:cs="Arial"/>
                <w:b/>
                <w:sz w:val="20"/>
                <w:szCs w:val="20"/>
              </w:rPr>
              <w:t>Variance from projected expenditure</w:t>
            </w:r>
          </w:p>
        </w:tc>
        <w:tc>
          <w:tcPr>
            <w:tcW w:w="1701" w:type="dxa"/>
            <w:shd w:val="clear" w:color="auto" w:fill="E2EFD9" w:themeFill="accent6" w:themeFillTint="33"/>
          </w:tcPr>
          <w:p w:rsidR="001F12B3" w:rsidRPr="009566F5" w:rsidRDefault="001F12B3" w:rsidP="009566F5">
            <w:pPr>
              <w:rPr>
                <w:rFonts w:ascii="Arial" w:hAnsi="Arial" w:cs="Arial"/>
                <w:b/>
                <w:sz w:val="20"/>
                <w:szCs w:val="20"/>
              </w:rPr>
            </w:pPr>
            <w:r w:rsidRPr="009566F5">
              <w:rPr>
                <w:rFonts w:ascii="Arial" w:hAnsi="Arial" w:cs="Arial"/>
                <w:b/>
                <w:sz w:val="20"/>
                <w:szCs w:val="20"/>
              </w:rPr>
              <w:t>% Variance from projected expenditure</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Administration</w:t>
            </w: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504.0</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201.3</w:t>
            </w:r>
          </w:p>
        </w:tc>
        <w:tc>
          <w:tcPr>
            <w:tcW w:w="1418" w:type="dxa"/>
          </w:tcPr>
          <w:p w:rsidR="00FD5F41" w:rsidRPr="009566F5" w:rsidRDefault="00A16156" w:rsidP="009566F5">
            <w:pPr>
              <w:rPr>
                <w:rFonts w:ascii="Arial" w:hAnsi="Arial" w:cs="Arial"/>
                <w:sz w:val="20"/>
                <w:szCs w:val="20"/>
              </w:rPr>
            </w:pPr>
            <w:r w:rsidRPr="009566F5">
              <w:rPr>
                <w:rFonts w:ascii="Arial" w:hAnsi="Arial" w:cs="Arial"/>
                <w:sz w:val="20"/>
                <w:szCs w:val="20"/>
              </w:rPr>
              <w:t>39.9%</w:t>
            </w:r>
          </w:p>
        </w:tc>
        <w:tc>
          <w:tcPr>
            <w:tcW w:w="1417" w:type="dxa"/>
          </w:tcPr>
          <w:p w:rsidR="00FD5F41" w:rsidRPr="009566F5" w:rsidRDefault="006D6492" w:rsidP="009566F5">
            <w:pPr>
              <w:rPr>
                <w:rFonts w:ascii="Arial" w:hAnsi="Arial" w:cs="Arial"/>
                <w:sz w:val="20"/>
                <w:szCs w:val="20"/>
              </w:rPr>
            </w:pPr>
            <w:r w:rsidRPr="009566F5">
              <w:rPr>
                <w:rFonts w:ascii="Arial" w:hAnsi="Arial" w:cs="Arial"/>
                <w:sz w:val="20"/>
                <w:szCs w:val="20"/>
              </w:rPr>
              <w:t>251.8</w:t>
            </w:r>
          </w:p>
        </w:tc>
        <w:tc>
          <w:tcPr>
            <w:tcW w:w="1701" w:type="dxa"/>
          </w:tcPr>
          <w:p w:rsidR="00FD5F41" w:rsidRPr="009566F5" w:rsidRDefault="00D91527" w:rsidP="009566F5">
            <w:pPr>
              <w:rPr>
                <w:rFonts w:ascii="Arial" w:hAnsi="Arial" w:cs="Arial"/>
                <w:sz w:val="20"/>
                <w:szCs w:val="20"/>
              </w:rPr>
            </w:pPr>
            <w:r w:rsidRPr="009566F5">
              <w:rPr>
                <w:rFonts w:ascii="Arial" w:hAnsi="Arial" w:cs="Arial"/>
                <w:sz w:val="20"/>
                <w:szCs w:val="20"/>
              </w:rPr>
              <w:t>50.5</w:t>
            </w:r>
          </w:p>
        </w:tc>
        <w:tc>
          <w:tcPr>
            <w:tcW w:w="1701" w:type="dxa"/>
          </w:tcPr>
          <w:p w:rsidR="00FD5F41" w:rsidRPr="009566F5" w:rsidRDefault="00476227" w:rsidP="009566F5">
            <w:pPr>
              <w:rPr>
                <w:rFonts w:ascii="Arial" w:hAnsi="Arial" w:cs="Arial"/>
                <w:sz w:val="20"/>
                <w:szCs w:val="20"/>
              </w:rPr>
            </w:pPr>
            <w:r w:rsidRPr="009566F5">
              <w:rPr>
                <w:rFonts w:ascii="Arial" w:hAnsi="Arial" w:cs="Arial"/>
                <w:sz w:val="20"/>
                <w:szCs w:val="20"/>
              </w:rPr>
              <w:t>20.1%</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Planning, Policy and Strategy</w:t>
            </w:r>
          </w:p>
          <w:p w:rsidR="00FD5F41" w:rsidRPr="009566F5" w:rsidRDefault="00FD5F41" w:rsidP="009566F5">
            <w:pPr>
              <w:rPr>
                <w:rFonts w:ascii="Arial" w:eastAsia="Times New Roman" w:hAnsi="Arial" w:cs="Arial"/>
                <w:bCs/>
                <w:color w:val="000000"/>
                <w:sz w:val="20"/>
                <w:szCs w:val="20"/>
                <w:lang w:eastAsia="en-ZA"/>
              </w:rPr>
            </w:pP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230.7</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107.2</w:t>
            </w:r>
          </w:p>
        </w:tc>
        <w:tc>
          <w:tcPr>
            <w:tcW w:w="1418"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5C1AEF" w:rsidP="009566F5">
            <w:pPr>
              <w:rPr>
                <w:rFonts w:ascii="Arial" w:hAnsi="Arial" w:cs="Arial"/>
                <w:sz w:val="20"/>
                <w:szCs w:val="20"/>
              </w:rPr>
            </w:pPr>
            <w:r w:rsidRPr="009566F5">
              <w:rPr>
                <w:rFonts w:ascii="Arial" w:hAnsi="Arial" w:cs="Arial"/>
                <w:sz w:val="20"/>
                <w:szCs w:val="20"/>
              </w:rPr>
              <w:t>46.5%</w:t>
            </w:r>
          </w:p>
        </w:tc>
        <w:tc>
          <w:tcPr>
            <w:tcW w:w="1417"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6D6492" w:rsidP="009566F5">
            <w:pPr>
              <w:rPr>
                <w:rFonts w:ascii="Arial" w:hAnsi="Arial" w:cs="Arial"/>
                <w:sz w:val="20"/>
                <w:szCs w:val="20"/>
              </w:rPr>
            </w:pPr>
            <w:r w:rsidRPr="009566F5">
              <w:rPr>
                <w:rFonts w:ascii="Arial" w:hAnsi="Arial" w:cs="Arial"/>
                <w:sz w:val="20"/>
                <w:szCs w:val="20"/>
              </w:rPr>
              <w:t>118.0</w:t>
            </w:r>
          </w:p>
        </w:tc>
        <w:tc>
          <w:tcPr>
            <w:tcW w:w="1701"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D91527" w:rsidP="009566F5">
            <w:pPr>
              <w:rPr>
                <w:rFonts w:ascii="Arial" w:hAnsi="Arial" w:cs="Arial"/>
                <w:sz w:val="20"/>
                <w:szCs w:val="20"/>
              </w:rPr>
            </w:pPr>
            <w:r w:rsidRPr="009566F5">
              <w:rPr>
                <w:rFonts w:ascii="Arial" w:hAnsi="Arial" w:cs="Arial"/>
                <w:sz w:val="20"/>
                <w:szCs w:val="20"/>
              </w:rPr>
              <w:t>10.8</w:t>
            </w:r>
          </w:p>
        </w:tc>
        <w:tc>
          <w:tcPr>
            <w:tcW w:w="1701" w:type="dxa"/>
          </w:tcPr>
          <w:p w:rsidR="00FD5F41" w:rsidRPr="009566F5" w:rsidRDefault="00FD5F41" w:rsidP="009566F5">
            <w:pPr>
              <w:rPr>
                <w:rFonts w:ascii="Arial" w:hAnsi="Arial" w:cs="Arial"/>
                <w:sz w:val="20"/>
                <w:szCs w:val="20"/>
              </w:rPr>
            </w:pPr>
          </w:p>
          <w:p w:rsidR="00476227" w:rsidRPr="009566F5" w:rsidRDefault="00476227"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9.2%</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University Education</w:t>
            </w: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81 223.3</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63 387.5</w:t>
            </w:r>
          </w:p>
        </w:tc>
        <w:tc>
          <w:tcPr>
            <w:tcW w:w="1418" w:type="dxa"/>
          </w:tcPr>
          <w:p w:rsidR="00755A13" w:rsidRPr="009566F5" w:rsidRDefault="00755A13" w:rsidP="009566F5">
            <w:pPr>
              <w:rPr>
                <w:rFonts w:ascii="Arial" w:hAnsi="Arial" w:cs="Arial"/>
                <w:sz w:val="20"/>
                <w:szCs w:val="20"/>
              </w:rPr>
            </w:pPr>
          </w:p>
          <w:p w:rsidR="00FD5F41" w:rsidRPr="009566F5" w:rsidRDefault="005C1AEF" w:rsidP="009566F5">
            <w:pPr>
              <w:rPr>
                <w:rFonts w:ascii="Arial" w:hAnsi="Arial" w:cs="Arial"/>
                <w:sz w:val="20"/>
                <w:szCs w:val="20"/>
              </w:rPr>
            </w:pPr>
            <w:r w:rsidRPr="009566F5">
              <w:rPr>
                <w:rFonts w:ascii="Arial" w:hAnsi="Arial" w:cs="Arial"/>
                <w:sz w:val="20"/>
                <w:szCs w:val="20"/>
              </w:rPr>
              <w:t>78.0%</w:t>
            </w:r>
          </w:p>
        </w:tc>
        <w:tc>
          <w:tcPr>
            <w:tcW w:w="1417" w:type="dxa"/>
          </w:tcPr>
          <w:p w:rsidR="00755A13" w:rsidRPr="009566F5" w:rsidRDefault="00755A13" w:rsidP="009566F5">
            <w:pPr>
              <w:rPr>
                <w:rFonts w:ascii="Arial" w:hAnsi="Arial" w:cs="Arial"/>
                <w:sz w:val="20"/>
                <w:szCs w:val="20"/>
              </w:rPr>
            </w:pPr>
          </w:p>
          <w:p w:rsidR="00FD5F41" w:rsidRPr="009566F5" w:rsidRDefault="006D6492" w:rsidP="009566F5">
            <w:pPr>
              <w:rPr>
                <w:rFonts w:ascii="Arial" w:hAnsi="Arial" w:cs="Arial"/>
                <w:sz w:val="20"/>
                <w:szCs w:val="20"/>
              </w:rPr>
            </w:pPr>
            <w:r w:rsidRPr="009566F5">
              <w:rPr>
                <w:rFonts w:ascii="Arial" w:hAnsi="Arial" w:cs="Arial"/>
                <w:sz w:val="20"/>
                <w:szCs w:val="20"/>
              </w:rPr>
              <w:t>62 822.3</w:t>
            </w:r>
          </w:p>
        </w:tc>
        <w:tc>
          <w:tcPr>
            <w:tcW w:w="1701" w:type="dxa"/>
          </w:tcPr>
          <w:p w:rsidR="00755A13" w:rsidRPr="009566F5" w:rsidRDefault="00755A13" w:rsidP="009566F5">
            <w:pPr>
              <w:rPr>
                <w:rFonts w:ascii="Arial" w:hAnsi="Arial" w:cs="Arial"/>
                <w:sz w:val="20"/>
                <w:szCs w:val="20"/>
              </w:rPr>
            </w:pPr>
          </w:p>
          <w:p w:rsidR="00FD5F41" w:rsidRPr="009566F5" w:rsidRDefault="00D91527" w:rsidP="009566F5">
            <w:pPr>
              <w:rPr>
                <w:rFonts w:ascii="Arial" w:hAnsi="Arial" w:cs="Arial"/>
                <w:sz w:val="20"/>
                <w:szCs w:val="20"/>
              </w:rPr>
            </w:pPr>
            <w:r w:rsidRPr="009566F5">
              <w:rPr>
                <w:rFonts w:ascii="Arial" w:hAnsi="Arial" w:cs="Arial"/>
                <w:sz w:val="20"/>
                <w:szCs w:val="20"/>
              </w:rPr>
              <w:t>-565.2</w:t>
            </w:r>
          </w:p>
        </w:tc>
        <w:tc>
          <w:tcPr>
            <w:tcW w:w="1701" w:type="dxa"/>
          </w:tcPr>
          <w:p w:rsidR="00FD5F41" w:rsidRPr="009566F5" w:rsidRDefault="00FD5F41"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-0.9%</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Technical and Vocational Education and Training</w:t>
            </w: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13 096.2</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5 437.1</w:t>
            </w:r>
          </w:p>
        </w:tc>
        <w:tc>
          <w:tcPr>
            <w:tcW w:w="1418"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5C1AEF" w:rsidP="009566F5">
            <w:pPr>
              <w:rPr>
                <w:rFonts w:ascii="Arial" w:hAnsi="Arial" w:cs="Arial"/>
                <w:sz w:val="20"/>
                <w:szCs w:val="20"/>
              </w:rPr>
            </w:pPr>
            <w:r w:rsidRPr="009566F5">
              <w:rPr>
                <w:rFonts w:ascii="Arial" w:hAnsi="Arial" w:cs="Arial"/>
                <w:sz w:val="20"/>
                <w:szCs w:val="20"/>
              </w:rPr>
              <w:t>41.5%</w:t>
            </w:r>
          </w:p>
        </w:tc>
        <w:tc>
          <w:tcPr>
            <w:tcW w:w="1417"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6D6492" w:rsidP="009566F5">
            <w:pPr>
              <w:rPr>
                <w:rFonts w:ascii="Arial" w:hAnsi="Arial" w:cs="Arial"/>
                <w:sz w:val="20"/>
                <w:szCs w:val="20"/>
              </w:rPr>
            </w:pPr>
            <w:r w:rsidRPr="009566F5">
              <w:rPr>
                <w:rFonts w:ascii="Arial" w:hAnsi="Arial" w:cs="Arial"/>
                <w:sz w:val="20"/>
                <w:szCs w:val="20"/>
              </w:rPr>
              <w:t>6 440.7</w:t>
            </w:r>
          </w:p>
        </w:tc>
        <w:tc>
          <w:tcPr>
            <w:tcW w:w="1701"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D91527" w:rsidP="009566F5">
            <w:pPr>
              <w:rPr>
                <w:rFonts w:ascii="Arial" w:hAnsi="Arial" w:cs="Arial"/>
                <w:sz w:val="20"/>
                <w:szCs w:val="20"/>
              </w:rPr>
            </w:pPr>
            <w:r w:rsidRPr="009566F5">
              <w:rPr>
                <w:rFonts w:ascii="Arial" w:hAnsi="Arial" w:cs="Arial"/>
                <w:sz w:val="20"/>
                <w:szCs w:val="20"/>
              </w:rPr>
              <w:t>1 003.6</w:t>
            </w:r>
          </w:p>
        </w:tc>
        <w:tc>
          <w:tcPr>
            <w:tcW w:w="1701" w:type="dxa"/>
          </w:tcPr>
          <w:p w:rsidR="00FD5F41" w:rsidRPr="009566F5" w:rsidRDefault="00FD5F41" w:rsidP="009566F5">
            <w:pPr>
              <w:rPr>
                <w:rFonts w:ascii="Arial" w:hAnsi="Arial" w:cs="Arial"/>
                <w:sz w:val="20"/>
                <w:szCs w:val="20"/>
              </w:rPr>
            </w:pPr>
          </w:p>
          <w:p w:rsidR="00476227" w:rsidRPr="009566F5" w:rsidRDefault="00476227" w:rsidP="009566F5">
            <w:pPr>
              <w:rPr>
                <w:rFonts w:ascii="Arial" w:hAnsi="Arial" w:cs="Arial"/>
                <w:sz w:val="20"/>
                <w:szCs w:val="20"/>
              </w:rPr>
            </w:pPr>
          </w:p>
          <w:p w:rsidR="00476227" w:rsidRPr="009566F5" w:rsidRDefault="00476227"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15.6%</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Skills Development</w:t>
            </w: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307.9</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149.1</w:t>
            </w:r>
          </w:p>
        </w:tc>
        <w:tc>
          <w:tcPr>
            <w:tcW w:w="1418" w:type="dxa"/>
          </w:tcPr>
          <w:p w:rsidR="00755A13" w:rsidRPr="009566F5" w:rsidRDefault="00755A13" w:rsidP="009566F5">
            <w:pPr>
              <w:rPr>
                <w:rFonts w:ascii="Arial" w:hAnsi="Arial" w:cs="Arial"/>
                <w:sz w:val="20"/>
                <w:szCs w:val="20"/>
              </w:rPr>
            </w:pPr>
          </w:p>
          <w:p w:rsidR="00FD5F41" w:rsidRPr="009566F5" w:rsidRDefault="005C1AEF" w:rsidP="009566F5">
            <w:pPr>
              <w:rPr>
                <w:rFonts w:ascii="Arial" w:hAnsi="Arial" w:cs="Arial"/>
                <w:sz w:val="20"/>
                <w:szCs w:val="20"/>
              </w:rPr>
            </w:pPr>
            <w:r w:rsidRPr="009566F5">
              <w:rPr>
                <w:rFonts w:ascii="Arial" w:hAnsi="Arial" w:cs="Arial"/>
                <w:sz w:val="20"/>
                <w:szCs w:val="20"/>
              </w:rPr>
              <w:t>48.4%</w:t>
            </w:r>
          </w:p>
        </w:tc>
        <w:tc>
          <w:tcPr>
            <w:tcW w:w="1417" w:type="dxa"/>
          </w:tcPr>
          <w:p w:rsidR="00755A13" w:rsidRPr="009566F5" w:rsidRDefault="00755A13" w:rsidP="009566F5">
            <w:pPr>
              <w:rPr>
                <w:rFonts w:ascii="Arial" w:hAnsi="Arial" w:cs="Arial"/>
                <w:sz w:val="20"/>
                <w:szCs w:val="20"/>
              </w:rPr>
            </w:pPr>
          </w:p>
          <w:p w:rsidR="00FD5F41" w:rsidRPr="009566F5" w:rsidRDefault="006D6492" w:rsidP="009566F5">
            <w:pPr>
              <w:rPr>
                <w:rFonts w:ascii="Arial" w:hAnsi="Arial" w:cs="Arial"/>
                <w:sz w:val="20"/>
                <w:szCs w:val="20"/>
              </w:rPr>
            </w:pPr>
            <w:r w:rsidRPr="009566F5">
              <w:rPr>
                <w:rFonts w:ascii="Arial" w:hAnsi="Arial" w:cs="Arial"/>
                <w:sz w:val="20"/>
                <w:szCs w:val="20"/>
              </w:rPr>
              <w:t>153.0</w:t>
            </w:r>
          </w:p>
        </w:tc>
        <w:tc>
          <w:tcPr>
            <w:tcW w:w="1701" w:type="dxa"/>
          </w:tcPr>
          <w:p w:rsidR="00755A13" w:rsidRPr="009566F5" w:rsidRDefault="00755A13" w:rsidP="009566F5">
            <w:pPr>
              <w:rPr>
                <w:rFonts w:ascii="Arial" w:hAnsi="Arial" w:cs="Arial"/>
                <w:sz w:val="20"/>
                <w:szCs w:val="20"/>
              </w:rPr>
            </w:pPr>
          </w:p>
          <w:p w:rsidR="00FD5F41" w:rsidRPr="009566F5" w:rsidRDefault="00D91527" w:rsidP="009566F5">
            <w:pPr>
              <w:rPr>
                <w:rFonts w:ascii="Arial" w:hAnsi="Arial" w:cs="Arial"/>
                <w:sz w:val="20"/>
                <w:szCs w:val="20"/>
              </w:rPr>
            </w:pPr>
            <w:r w:rsidRPr="009566F5">
              <w:rPr>
                <w:rFonts w:ascii="Arial" w:hAnsi="Arial" w:cs="Arial"/>
                <w:sz w:val="20"/>
                <w:szCs w:val="20"/>
              </w:rPr>
              <w:t>3.9</w:t>
            </w:r>
          </w:p>
        </w:tc>
        <w:tc>
          <w:tcPr>
            <w:tcW w:w="1701" w:type="dxa"/>
          </w:tcPr>
          <w:p w:rsidR="00FD5F41" w:rsidRPr="009566F5" w:rsidRDefault="00FD5F41"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2.6%</w:t>
            </w:r>
          </w:p>
        </w:tc>
      </w:tr>
      <w:tr w:rsidR="00FD5F41" w:rsidRPr="009566F5" w:rsidTr="00FD5F41">
        <w:tc>
          <w:tcPr>
            <w:tcW w:w="1702" w:type="dxa"/>
            <w:vAlign w:val="bottom"/>
          </w:tcPr>
          <w:p w:rsidR="00FD5F41" w:rsidRPr="009566F5" w:rsidRDefault="00FD5F41"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Community Education and Training</w:t>
            </w:r>
          </w:p>
        </w:tc>
        <w:tc>
          <w:tcPr>
            <w:tcW w:w="1275"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2 422.0</w:t>
            </w:r>
          </w:p>
        </w:tc>
        <w:tc>
          <w:tcPr>
            <w:tcW w:w="1276" w:type="dxa"/>
            <w:vAlign w:val="bottom"/>
          </w:tcPr>
          <w:p w:rsidR="00FD5F41" w:rsidRPr="009566F5" w:rsidRDefault="001F12B3"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969.6</w:t>
            </w:r>
          </w:p>
        </w:tc>
        <w:tc>
          <w:tcPr>
            <w:tcW w:w="1418"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5C1AEF" w:rsidP="009566F5">
            <w:pPr>
              <w:rPr>
                <w:rFonts w:ascii="Arial" w:hAnsi="Arial" w:cs="Arial"/>
                <w:sz w:val="20"/>
                <w:szCs w:val="20"/>
              </w:rPr>
            </w:pPr>
            <w:r w:rsidRPr="009566F5">
              <w:rPr>
                <w:rFonts w:ascii="Arial" w:hAnsi="Arial" w:cs="Arial"/>
                <w:sz w:val="20"/>
                <w:szCs w:val="20"/>
              </w:rPr>
              <w:t>40.0%</w:t>
            </w:r>
          </w:p>
        </w:tc>
        <w:tc>
          <w:tcPr>
            <w:tcW w:w="1417"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6D6492" w:rsidP="009566F5">
            <w:pPr>
              <w:rPr>
                <w:rFonts w:ascii="Arial" w:hAnsi="Arial" w:cs="Arial"/>
                <w:sz w:val="20"/>
                <w:szCs w:val="20"/>
              </w:rPr>
            </w:pPr>
            <w:r w:rsidRPr="009566F5">
              <w:rPr>
                <w:rFonts w:ascii="Arial" w:hAnsi="Arial" w:cs="Arial"/>
                <w:sz w:val="20"/>
                <w:szCs w:val="20"/>
              </w:rPr>
              <w:t>1 173.2</w:t>
            </w:r>
          </w:p>
        </w:tc>
        <w:tc>
          <w:tcPr>
            <w:tcW w:w="1701" w:type="dxa"/>
          </w:tcPr>
          <w:p w:rsidR="00755A13" w:rsidRPr="009566F5" w:rsidRDefault="00755A13" w:rsidP="009566F5">
            <w:pPr>
              <w:rPr>
                <w:rFonts w:ascii="Arial" w:hAnsi="Arial" w:cs="Arial"/>
                <w:sz w:val="20"/>
                <w:szCs w:val="20"/>
              </w:rPr>
            </w:pPr>
          </w:p>
          <w:p w:rsidR="00755A13" w:rsidRPr="009566F5" w:rsidRDefault="00755A13" w:rsidP="009566F5">
            <w:pPr>
              <w:rPr>
                <w:rFonts w:ascii="Arial" w:hAnsi="Arial" w:cs="Arial"/>
                <w:sz w:val="20"/>
                <w:szCs w:val="20"/>
              </w:rPr>
            </w:pPr>
          </w:p>
          <w:p w:rsidR="00FD5F41" w:rsidRPr="009566F5" w:rsidRDefault="00D91527" w:rsidP="009566F5">
            <w:pPr>
              <w:rPr>
                <w:rFonts w:ascii="Arial" w:hAnsi="Arial" w:cs="Arial"/>
                <w:sz w:val="20"/>
                <w:szCs w:val="20"/>
              </w:rPr>
            </w:pPr>
            <w:r w:rsidRPr="009566F5">
              <w:rPr>
                <w:rFonts w:ascii="Arial" w:hAnsi="Arial" w:cs="Arial"/>
                <w:sz w:val="20"/>
                <w:szCs w:val="20"/>
              </w:rPr>
              <w:t>203.6</w:t>
            </w:r>
          </w:p>
        </w:tc>
        <w:tc>
          <w:tcPr>
            <w:tcW w:w="1701" w:type="dxa"/>
          </w:tcPr>
          <w:p w:rsidR="00FD5F41" w:rsidRPr="009566F5" w:rsidRDefault="00FD5F41" w:rsidP="009566F5">
            <w:pPr>
              <w:rPr>
                <w:rFonts w:ascii="Arial" w:hAnsi="Arial" w:cs="Arial"/>
                <w:sz w:val="20"/>
                <w:szCs w:val="20"/>
              </w:rPr>
            </w:pPr>
          </w:p>
          <w:p w:rsidR="00476227" w:rsidRPr="009566F5" w:rsidRDefault="00476227"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17.4%</w:t>
            </w:r>
          </w:p>
        </w:tc>
      </w:tr>
      <w:tr w:rsidR="00FD5F41" w:rsidRPr="009566F5" w:rsidTr="00723499">
        <w:tc>
          <w:tcPr>
            <w:tcW w:w="1702" w:type="dxa"/>
            <w:tcBorders>
              <w:bottom w:val="single" w:sz="4" w:space="0" w:color="auto"/>
            </w:tcBorders>
            <w:shd w:val="clear" w:color="auto" w:fill="D9D9D9" w:themeFill="background1" w:themeFillShade="D9"/>
            <w:vAlign w:val="bottom"/>
          </w:tcPr>
          <w:p w:rsidR="00FD5F41" w:rsidRPr="009566F5" w:rsidRDefault="00FD5F41" w:rsidP="009566F5">
            <w:pPr>
              <w:rPr>
                <w:rFonts w:ascii="Arial" w:eastAsia="Times New Roman" w:hAnsi="Arial" w:cs="Arial"/>
                <w:b/>
                <w:bCs/>
                <w:color w:val="000000"/>
                <w:sz w:val="20"/>
                <w:szCs w:val="20"/>
                <w:lang w:eastAsia="en-ZA"/>
              </w:rPr>
            </w:pPr>
          </w:p>
          <w:p w:rsidR="00FD5F41" w:rsidRPr="009566F5" w:rsidRDefault="00FD5F41"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 xml:space="preserve">Sub-total </w:t>
            </w:r>
          </w:p>
        </w:tc>
        <w:tc>
          <w:tcPr>
            <w:tcW w:w="1275" w:type="dxa"/>
            <w:tcBorders>
              <w:bottom w:val="single" w:sz="4" w:space="0" w:color="auto"/>
            </w:tcBorders>
            <w:shd w:val="clear" w:color="auto" w:fill="D9D9D9" w:themeFill="background1" w:themeFillShade="D9"/>
            <w:vAlign w:val="bottom"/>
          </w:tcPr>
          <w:p w:rsidR="00FD5F41" w:rsidRPr="009566F5" w:rsidRDefault="001F12B3"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97 784.0</w:t>
            </w:r>
          </w:p>
        </w:tc>
        <w:tc>
          <w:tcPr>
            <w:tcW w:w="1276" w:type="dxa"/>
            <w:tcBorders>
              <w:bottom w:val="single" w:sz="4" w:space="0" w:color="auto"/>
            </w:tcBorders>
            <w:shd w:val="clear" w:color="auto" w:fill="D9D9D9" w:themeFill="background1" w:themeFillShade="D9"/>
            <w:vAlign w:val="bottom"/>
          </w:tcPr>
          <w:p w:rsidR="00FD5F41" w:rsidRPr="009566F5" w:rsidRDefault="001F12B3"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70</w:t>
            </w:r>
            <w:r w:rsidR="00476227" w:rsidRPr="009566F5">
              <w:rPr>
                <w:rFonts w:ascii="Arial" w:eastAsia="Times New Roman" w:hAnsi="Arial" w:cs="Arial"/>
                <w:b/>
                <w:color w:val="000000"/>
                <w:sz w:val="20"/>
                <w:szCs w:val="20"/>
                <w:lang w:eastAsia="en-ZA"/>
              </w:rPr>
              <w:t> </w:t>
            </w:r>
            <w:r w:rsidRPr="009566F5">
              <w:rPr>
                <w:rFonts w:ascii="Arial" w:eastAsia="Times New Roman" w:hAnsi="Arial" w:cs="Arial"/>
                <w:b/>
                <w:color w:val="000000"/>
                <w:sz w:val="20"/>
                <w:szCs w:val="20"/>
                <w:lang w:eastAsia="en-ZA"/>
              </w:rPr>
              <w:t>251</w:t>
            </w:r>
            <w:r w:rsidR="00476227" w:rsidRPr="009566F5">
              <w:rPr>
                <w:rFonts w:ascii="Arial" w:eastAsia="Times New Roman" w:hAnsi="Arial" w:cs="Arial"/>
                <w:b/>
                <w:color w:val="000000"/>
                <w:sz w:val="20"/>
                <w:szCs w:val="20"/>
                <w:lang w:eastAsia="en-ZA"/>
              </w:rPr>
              <w:t>.8</w:t>
            </w:r>
          </w:p>
        </w:tc>
        <w:tc>
          <w:tcPr>
            <w:tcW w:w="1418" w:type="dxa"/>
            <w:tcBorders>
              <w:bottom w:val="single" w:sz="4" w:space="0" w:color="auto"/>
            </w:tcBorders>
            <w:shd w:val="clear" w:color="auto" w:fill="D9D9D9" w:themeFill="background1" w:themeFillShade="D9"/>
          </w:tcPr>
          <w:p w:rsidR="00FC7926" w:rsidRPr="009566F5" w:rsidRDefault="00FC7926" w:rsidP="009566F5">
            <w:pPr>
              <w:rPr>
                <w:rFonts w:ascii="Arial" w:hAnsi="Arial" w:cs="Arial"/>
                <w:b/>
                <w:sz w:val="20"/>
                <w:szCs w:val="20"/>
              </w:rPr>
            </w:pPr>
          </w:p>
          <w:p w:rsidR="00FD5F41" w:rsidRPr="009566F5" w:rsidRDefault="005C1AEF" w:rsidP="009566F5">
            <w:pPr>
              <w:rPr>
                <w:rFonts w:ascii="Arial" w:hAnsi="Arial" w:cs="Arial"/>
                <w:b/>
                <w:sz w:val="20"/>
                <w:szCs w:val="20"/>
              </w:rPr>
            </w:pPr>
            <w:r w:rsidRPr="009566F5">
              <w:rPr>
                <w:rFonts w:ascii="Arial" w:hAnsi="Arial" w:cs="Arial"/>
                <w:b/>
                <w:sz w:val="20"/>
                <w:szCs w:val="20"/>
              </w:rPr>
              <w:t>71.8%</w:t>
            </w:r>
          </w:p>
        </w:tc>
        <w:tc>
          <w:tcPr>
            <w:tcW w:w="1417" w:type="dxa"/>
            <w:tcBorders>
              <w:bottom w:val="single" w:sz="4" w:space="0" w:color="auto"/>
            </w:tcBorders>
            <w:shd w:val="clear" w:color="auto" w:fill="D9D9D9" w:themeFill="background1" w:themeFillShade="D9"/>
          </w:tcPr>
          <w:p w:rsidR="00FC7926" w:rsidRPr="009566F5" w:rsidRDefault="00FC7926" w:rsidP="009566F5">
            <w:pPr>
              <w:rPr>
                <w:rFonts w:ascii="Arial" w:hAnsi="Arial" w:cs="Arial"/>
                <w:b/>
                <w:bCs/>
                <w:sz w:val="20"/>
                <w:szCs w:val="20"/>
              </w:rPr>
            </w:pPr>
          </w:p>
          <w:p w:rsidR="00FD5F41" w:rsidRPr="009566F5" w:rsidRDefault="006D6492" w:rsidP="009566F5">
            <w:pPr>
              <w:rPr>
                <w:rFonts w:ascii="Arial" w:hAnsi="Arial" w:cs="Arial"/>
                <w:b/>
                <w:sz w:val="20"/>
                <w:szCs w:val="20"/>
              </w:rPr>
            </w:pPr>
            <w:r w:rsidRPr="009566F5">
              <w:rPr>
                <w:rFonts w:ascii="Arial" w:hAnsi="Arial" w:cs="Arial"/>
                <w:b/>
                <w:bCs/>
                <w:sz w:val="20"/>
                <w:szCs w:val="20"/>
              </w:rPr>
              <w:t>70 959.1</w:t>
            </w:r>
          </w:p>
        </w:tc>
        <w:tc>
          <w:tcPr>
            <w:tcW w:w="1701" w:type="dxa"/>
            <w:tcBorders>
              <w:bottom w:val="single" w:sz="4" w:space="0" w:color="auto"/>
            </w:tcBorders>
            <w:shd w:val="clear" w:color="auto" w:fill="D9D9D9" w:themeFill="background1" w:themeFillShade="D9"/>
          </w:tcPr>
          <w:p w:rsidR="00FC7926" w:rsidRPr="009566F5" w:rsidRDefault="00FC7926" w:rsidP="009566F5">
            <w:pPr>
              <w:rPr>
                <w:rFonts w:ascii="Arial" w:hAnsi="Arial" w:cs="Arial"/>
                <w:b/>
                <w:sz w:val="20"/>
                <w:szCs w:val="20"/>
              </w:rPr>
            </w:pPr>
          </w:p>
          <w:p w:rsidR="00FD5F41" w:rsidRPr="009566F5" w:rsidRDefault="00D91527" w:rsidP="009566F5">
            <w:pPr>
              <w:rPr>
                <w:rFonts w:ascii="Arial" w:hAnsi="Arial" w:cs="Arial"/>
                <w:b/>
                <w:sz w:val="20"/>
                <w:szCs w:val="20"/>
              </w:rPr>
            </w:pPr>
            <w:r w:rsidRPr="009566F5">
              <w:rPr>
                <w:rFonts w:ascii="Arial" w:hAnsi="Arial" w:cs="Arial"/>
                <w:b/>
                <w:sz w:val="20"/>
                <w:szCs w:val="20"/>
              </w:rPr>
              <w:t>707.2</w:t>
            </w:r>
          </w:p>
        </w:tc>
        <w:tc>
          <w:tcPr>
            <w:tcW w:w="1701" w:type="dxa"/>
            <w:tcBorders>
              <w:bottom w:val="single" w:sz="4" w:space="0" w:color="auto"/>
            </w:tcBorders>
            <w:shd w:val="clear" w:color="auto" w:fill="D9D9D9" w:themeFill="background1" w:themeFillShade="D9"/>
          </w:tcPr>
          <w:p w:rsidR="00FD5F41" w:rsidRPr="009566F5" w:rsidRDefault="00FD5F41" w:rsidP="009566F5">
            <w:pPr>
              <w:rPr>
                <w:rFonts w:ascii="Arial" w:hAnsi="Arial" w:cs="Arial"/>
                <w:b/>
                <w:sz w:val="20"/>
                <w:szCs w:val="20"/>
              </w:rPr>
            </w:pPr>
          </w:p>
          <w:p w:rsidR="00476227" w:rsidRPr="009566F5" w:rsidRDefault="00476227" w:rsidP="009566F5">
            <w:pPr>
              <w:rPr>
                <w:rFonts w:ascii="Arial" w:hAnsi="Arial" w:cs="Arial"/>
                <w:b/>
                <w:sz w:val="20"/>
                <w:szCs w:val="20"/>
              </w:rPr>
            </w:pPr>
            <w:r w:rsidRPr="009566F5">
              <w:rPr>
                <w:rFonts w:ascii="Arial" w:hAnsi="Arial" w:cs="Arial"/>
                <w:b/>
                <w:sz w:val="20"/>
                <w:szCs w:val="20"/>
              </w:rPr>
              <w:t>1.0%</w:t>
            </w:r>
          </w:p>
        </w:tc>
      </w:tr>
      <w:tr w:rsidR="00476227" w:rsidRPr="009566F5" w:rsidTr="00723499">
        <w:tc>
          <w:tcPr>
            <w:tcW w:w="1702" w:type="dxa"/>
            <w:tcBorders>
              <w:bottom w:val="nil"/>
            </w:tcBorders>
            <w:shd w:val="clear" w:color="auto" w:fill="FFFFFF" w:themeFill="background1"/>
            <w:vAlign w:val="bottom"/>
          </w:tcPr>
          <w:p w:rsidR="00940C39" w:rsidRPr="009566F5" w:rsidRDefault="00940C39" w:rsidP="009566F5">
            <w:pPr>
              <w:rPr>
                <w:rFonts w:ascii="Arial" w:eastAsia="Times New Roman" w:hAnsi="Arial" w:cs="Arial"/>
                <w:b/>
                <w:bCs/>
                <w:color w:val="000000"/>
                <w:sz w:val="20"/>
                <w:szCs w:val="20"/>
                <w:lang w:eastAsia="en-ZA"/>
              </w:rPr>
            </w:pPr>
          </w:p>
          <w:p w:rsidR="00476227" w:rsidRPr="009566F5" w:rsidRDefault="00476227"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Direct charges</w:t>
            </w:r>
          </w:p>
        </w:tc>
        <w:tc>
          <w:tcPr>
            <w:tcW w:w="1275" w:type="dxa"/>
            <w:tcBorders>
              <w:bottom w:val="nil"/>
            </w:tcBorders>
            <w:shd w:val="clear" w:color="auto" w:fill="FFFFFF" w:themeFill="background1"/>
            <w:vAlign w:val="bottom"/>
          </w:tcPr>
          <w:p w:rsidR="00476227" w:rsidRPr="009566F5" w:rsidRDefault="00476227"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17 812.9</w:t>
            </w:r>
          </w:p>
        </w:tc>
        <w:tc>
          <w:tcPr>
            <w:tcW w:w="1276" w:type="dxa"/>
            <w:tcBorders>
              <w:bottom w:val="nil"/>
            </w:tcBorders>
            <w:shd w:val="clear" w:color="auto" w:fill="FFFFFF" w:themeFill="background1"/>
            <w:vAlign w:val="bottom"/>
          </w:tcPr>
          <w:p w:rsidR="00476227" w:rsidRPr="009566F5" w:rsidRDefault="00476227"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9 233.4</w:t>
            </w:r>
          </w:p>
        </w:tc>
        <w:tc>
          <w:tcPr>
            <w:tcW w:w="1418" w:type="dxa"/>
            <w:tcBorders>
              <w:bottom w:val="nil"/>
            </w:tcBorders>
            <w:shd w:val="clear" w:color="auto" w:fill="FFFFFF" w:themeFill="background1"/>
          </w:tcPr>
          <w:p w:rsidR="00940C39" w:rsidRPr="009566F5" w:rsidRDefault="00940C39" w:rsidP="009566F5">
            <w:pPr>
              <w:rPr>
                <w:rFonts w:ascii="Arial" w:hAnsi="Arial" w:cs="Arial"/>
                <w:b/>
                <w:sz w:val="20"/>
                <w:szCs w:val="20"/>
              </w:rPr>
            </w:pPr>
          </w:p>
          <w:p w:rsidR="00476227" w:rsidRPr="009566F5" w:rsidRDefault="00476227" w:rsidP="009566F5">
            <w:pPr>
              <w:rPr>
                <w:rFonts w:ascii="Arial" w:hAnsi="Arial" w:cs="Arial"/>
                <w:b/>
                <w:sz w:val="20"/>
                <w:szCs w:val="20"/>
              </w:rPr>
            </w:pPr>
            <w:r w:rsidRPr="009566F5">
              <w:rPr>
                <w:rFonts w:ascii="Arial" w:hAnsi="Arial" w:cs="Arial"/>
                <w:b/>
                <w:sz w:val="20"/>
                <w:szCs w:val="20"/>
              </w:rPr>
              <w:t>51.8%</w:t>
            </w:r>
          </w:p>
        </w:tc>
        <w:tc>
          <w:tcPr>
            <w:tcW w:w="1417" w:type="dxa"/>
            <w:tcBorders>
              <w:bottom w:val="nil"/>
            </w:tcBorders>
            <w:shd w:val="clear" w:color="auto" w:fill="FFFFFF" w:themeFill="background1"/>
          </w:tcPr>
          <w:p w:rsidR="00940C39" w:rsidRPr="009566F5" w:rsidRDefault="00940C39" w:rsidP="009566F5">
            <w:pPr>
              <w:rPr>
                <w:rFonts w:ascii="Arial" w:hAnsi="Arial" w:cs="Arial"/>
                <w:b/>
                <w:bCs/>
                <w:sz w:val="20"/>
                <w:szCs w:val="20"/>
              </w:rPr>
            </w:pPr>
          </w:p>
          <w:p w:rsidR="00476227" w:rsidRPr="009566F5" w:rsidRDefault="00476227" w:rsidP="009566F5">
            <w:pPr>
              <w:rPr>
                <w:rFonts w:ascii="Arial" w:hAnsi="Arial" w:cs="Arial"/>
                <w:b/>
                <w:bCs/>
                <w:sz w:val="20"/>
                <w:szCs w:val="20"/>
              </w:rPr>
            </w:pPr>
            <w:r w:rsidRPr="009566F5">
              <w:rPr>
                <w:rFonts w:ascii="Arial" w:hAnsi="Arial" w:cs="Arial"/>
                <w:b/>
                <w:bCs/>
                <w:sz w:val="20"/>
                <w:szCs w:val="20"/>
              </w:rPr>
              <w:t>8 906.4</w:t>
            </w:r>
          </w:p>
        </w:tc>
        <w:tc>
          <w:tcPr>
            <w:tcW w:w="1701" w:type="dxa"/>
            <w:tcBorders>
              <w:bottom w:val="nil"/>
            </w:tcBorders>
            <w:shd w:val="clear" w:color="auto" w:fill="FFFFFF" w:themeFill="background1"/>
          </w:tcPr>
          <w:p w:rsidR="00940C39" w:rsidRPr="009566F5" w:rsidRDefault="00940C39" w:rsidP="009566F5">
            <w:pPr>
              <w:rPr>
                <w:rFonts w:ascii="Arial" w:hAnsi="Arial" w:cs="Arial"/>
                <w:b/>
                <w:sz w:val="20"/>
                <w:szCs w:val="20"/>
              </w:rPr>
            </w:pPr>
          </w:p>
          <w:p w:rsidR="00476227" w:rsidRPr="009566F5" w:rsidRDefault="00476227" w:rsidP="009566F5">
            <w:pPr>
              <w:rPr>
                <w:rFonts w:ascii="Arial" w:hAnsi="Arial" w:cs="Arial"/>
                <w:b/>
                <w:sz w:val="20"/>
                <w:szCs w:val="20"/>
              </w:rPr>
            </w:pPr>
            <w:r w:rsidRPr="009566F5">
              <w:rPr>
                <w:rFonts w:ascii="Arial" w:hAnsi="Arial" w:cs="Arial"/>
                <w:b/>
                <w:sz w:val="20"/>
                <w:szCs w:val="20"/>
              </w:rPr>
              <w:t>-327.6</w:t>
            </w:r>
          </w:p>
        </w:tc>
        <w:tc>
          <w:tcPr>
            <w:tcW w:w="1701" w:type="dxa"/>
            <w:tcBorders>
              <w:bottom w:val="nil"/>
            </w:tcBorders>
            <w:shd w:val="clear" w:color="auto" w:fill="FFFFFF" w:themeFill="background1"/>
          </w:tcPr>
          <w:p w:rsidR="00940C39" w:rsidRPr="009566F5" w:rsidRDefault="00940C39" w:rsidP="009566F5">
            <w:pPr>
              <w:rPr>
                <w:rFonts w:ascii="Arial" w:hAnsi="Arial" w:cs="Arial"/>
                <w:b/>
                <w:sz w:val="20"/>
                <w:szCs w:val="20"/>
              </w:rPr>
            </w:pPr>
          </w:p>
          <w:p w:rsidR="00476227" w:rsidRPr="009566F5" w:rsidRDefault="00940C39" w:rsidP="009566F5">
            <w:pPr>
              <w:rPr>
                <w:rFonts w:ascii="Arial" w:hAnsi="Arial" w:cs="Arial"/>
                <w:b/>
                <w:sz w:val="20"/>
                <w:szCs w:val="20"/>
              </w:rPr>
            </w:pPr>
            <w:r w:rsidRPr="009566F5">
              <w:rPr>
                <w:rFonts w:ascii="Arial" w:hAnsi="Arial" w:cs="Arial"/>
                <w:b/>
                <w:sz w:val="20"/>
                <w:szCs w:val="20"/>
              </w:rPr>
              <w:t>-3.7%</w:t>
            </w:r>
          </w:p>
        </w:tc>
      </w:tr>
      <w:tr w:rsidR="00476227" w:rsidRPr="009566F5" w:rsidTr="00723499">
        <w:tc>
          <w:tcPr>
            <w:tcW w:w="1702" w:type="dxa"/>
            <w:tcBorders>
              <w:top w:val="nil"/>
              <w:bottom w:val="nil"/>
            </w:tcBorders>
            <w:shd w:val="clear" w:color="auto" w:fill="FFFFFF" w:themeFill="background1"/>
            <w:vAlign w:val="bottom"/>
          </w:tcPr>
          <w:p w:rsidR="00476227" w:rsidRPr="009566F5" w:rsidRDefault="00476227"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SETAs</w:t>
            </w:r>
          </w:p>
        </w:tc>
        <w:tc>
          <w:tcPr>
            <w:tcW w:w="1275" w:type="dxa"/>
            <w:tcBorders>
              <w:top w:val="nil"/>
              <w:bottom w:val="nil"/>
            </w:tcBorders>
            <w:shd w:val="clear" w:color="auto" w:fill="FFFFFF" w:themeFill="background1"/>
            <w:vAlign w:val="bottom"/>
          </w:tcPr>
          <w:p w:rsidR="00476227" w:rsidRPr="009566F5" w:rsidRDefault="00476227"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14 250.3</w:t>
            </w:r>
          </w:p>
        </w:tc>
        <w:tc>
          <w:tcPr>
            <w:tcW w:w="1276" w:type="dxa"/>
            <w:tcBorders>
              <w:top w:val="nil"/>
              <w:bottom w:val="nil"/>
            </w:tcBorders>
            <w:shd w:val="clear" w:color="auto" w:fill="FFFFFF" w:themeFill="background1"/>
            <w:vAlign w:val="bottom"/>
          </w:tcPr>
          <w:p w:rsidR="00476227" w:rsidRPr="009566F5" w:rsidRDefault="00476227"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7 386.7</w:t>
            </w:r>
          </w:p>
        </w:tc>
        <w:tc>
          <w:tcPr>
            <w:tcW w:w="1418" w:type="dxa"/>
            <w:tcBorders>
              <w:top w:val="nil"/>
              <w:bottom w:val="nil"/>
            </w:tcBorders>
            <w:shd w:val="clear" w:color="auto" w:fill="FFFFFF" w:themeFill="background1"/>
          </w:tcPr>
          <w:p w:rsidR="00476227" w:rsidRPr="009566F5" w:rsidRDefault="00476227" w:rsidP="009566F5">
            <w:pPr>
              <w:rPr>
                <w:rFonts w:ascii="Arial" w:hAnsi="Arial" w:cs="Arial"/>
                <w:sz w:val="20"/>
                <w:szCs w:val="20"/>
              </w:rPr>
            </w:pPr>
            <w:r w:rsidRPr="009566F5">
              <w:rPr>
                <w:rFonts w:ascii="Arial" w:hAnsi="Arial" w:cs="Arial"/>
                <w:sz w:val="20"/>
                <w:szCs w:val="20"/>
              </w:rPr>
              <w:t>51.8%</w:t>
            </w:r>
          </w:p>
        </w:tc>
        <w:tc>
          <w:tcPr>
            <w:tcW w:w="1417" w:type="dxa"/>
            <w:tcBorders>
              <w:top w:val="nil"/>
              <w:bottom w:val="nil"/>
            </w:tcBorders>
            <w:shd w:val="clear" w:color="auto" w:fill="FFFFFF" w:themeFill="background1"/>
          </w:tcPr>
          <w:p w:rsidR="00476227" w:rsidRPr="009566F5" w:rsidRDefault="00476227" w:rsidP="009566F5">
            <w:pPr>
              <w:rPr>
                <w:rFonts w:ascii="Arial" w:hAnsi="Arial" w:cs="Arial"/>
                <w:bCs/>
                <w:sz w:val="20"/>
                <w:szCs w:val="20"/>
              </w:rPr>
            </w:pPr>
            <w:r w:rsidRPr="009566F5">
              <w:rPr>
                <w:rFonts w:ascii="Arial" w:hAnsi="Arial" w:cs="Arial"/>
                <w:bCs/>
                <w:sz w:val="20"/>
                <w:szCs w:val="20"/>
              </w:rPr>
              <w:t>7 125.1</w:t>
            </w:r>
          </w:p>
        </w:tc>
        <w:tc>
          <w:tcPr>
            <w:tcW w:w="1701" w:type="dxa"/>
            <w:tcBorders>
              <w:top w:val="nil"/>
              <w:bottom w:val="nil"/>
            </w:tcBorders>
            <w:shd w:val="clear" w:color="auto" w:fill="FFFFFF" w:themeFill="background1"/>
          </w:tcPr>
          <w:p w:rsidR="00476227" w:rsidRPr="009566F5" w:rsidRDefault="00476227" w:rsidP="009566F5">
            <w:pPr>
              <w:rPr>
                <w:rFonts w:ascii="Arial" w:hAnsi="Arial" w:cs="Arial"/>
                <w:b/>
                <w:sz w:val="20"/>
                <w:szCs w:val="20"/>
              </w:rPr>
            </w:pPr>
            <w:r w:rsidRPr="009566F5">
              <w:rPr>
                <w:rFonts w:ascii="Arial" w:hAnsi="Arial" w:cs="Arial"/>
                <w:b/>
                <w:sz w:val="20"/>
                <w:szCs w:val="20"/>
              </w:rPr>
              <w:t>-261.6</w:t>
            </w:r>
          </w:p>
        </w:tc>
        <w:tc>
          <w:tcPr>
            <w:tcW w:w="1701" w:type="dxa"/>
            <w:tcBorders>
              <w:top w:val="nil"/>
              <w:bottom w:val="nil"/>
            </w:tcBorders>
            <w:shd w:val="clear" w:color="auto" w:fill="FFFFFF" w:themeFill="background1"/>
          </w:tcPr>
          <w:p w:rsidR="00476227" w:rsidRPr="009566F5" w:rsidRDefault="00940C39" w:rsidP="009566F5">
            <w:pPr>
              <w:rPr>
                <w:rFonts w:ascii="Arial" w:hAnsi="Arial" w:cs="Arial"/>
                <w:b/>
                <w:sz w:val="20"/>
                <w:szCs w:val="20"/>
              </w:rPr>
            </w:pPr>
            <w:r w:rsidRPr="009566F5">
              <w:rPr>
                <w:rFonts w:ascii="Arial" w:hAnsi="Arial" w:cs="Arial"/>
                <w:b/>
                <w:sz w:val="20"/>
                <w:szCs w:val="20"/>
              </w:rPr>
              <w:t>-3.7%</w:t>
            </w:r>
          </w:p>
        </w:tc>
      </w:tr>
      <w:tr w:rsidR="00476227" w:rsidRPr="009566F5" w:rsidTr="00723499">
        <w:tc>
          <w:tcPr>
            <w:tcW w:w="1702" w:type="dxa"/>
            <w:tcBorders>
              <w:top w:val="nil"/>
            </w:tcBorders>
            <w:shd w:val="clear" w:color="auto" w:fill="FFFFFF" w:themeFill="background1"/>
            <w:vAlign w:val="bottom"/>
          </w:tcPr>
          <w:p w:rsidR="00476227" w:rsidRPr="009566F5" w:rsidRDefault="00476227"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National Skills Fund</w:t>
            </w:r>
          </w:p>
        </w:tc>
        <w:tc>
          <w:tcPr>
            <w:tcW w:w="1275" w:type="dxa"/>
            <w:tcBorders>
              <w:top w:val="nil"/>
            </w:tcBorders>
            <w:shd w:val="clear" w:color="auto" w:fill="FFFFFF" w:themeFill="background1"/>
            <w:vAlign w:val="bottom"/>
          </w:tcPr>
          <w:p w:rsidR="00476227" w:rsidRPr="009566F5" w:rsidRDefault="00476227"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3 562.6</w:t>
            </w:r>
          </w:p>
        </w:tc>
        <w:tc>
          <w:tcPr>
            <w:tcW w:w="1276" w:type="dxa"/>
            <w:tcBorders>
              <w:top w:val="nil"/>
            </w:tcBorders>
            <w:shd w:val="clear" w:color="auto" w:fill="FFFFFF" w:themeFill="background1"/>
            <w:vAlign w:val="bottom"/>
          </w:tcPr>
          <w:p w:rsidR="00476227" w:rsidRPr="009566F5" w:rsidRDefault="00476227"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1 846.7</w:t>
            </w:r>
          </w:p>
        </w:tc>
        <w:tc>
          <w:tcPr>
            <w:tcW w:w="1418" w:type="dxa"/>
            <w:tcBorders>
              <w:top w:val="nil"/>
            </w:tcBorders>
            <w:shd w:val="clear" w:color="auto" w:fill="FFFFFF" w:themeFill="background1"/>
          </w:tcPr>
          <w:p w:rsidR="00476227" w:rsidRPr="009566F5" w:rsidRDefault="00476227" w:rsidP="009566F5">
            <w:pPr>
              <w:rPr>
                <w:rFonts w:ascii="Arial" w:hAnsi="Arial" w:cs="Arial"/>
                <w:sz w:val="20"/>
                <w:szCs w:val="20"/>
              </w:rPr>
            </w:pPr>
          </w:p>
          <w:p w:rsidR="00476227" w:rsidRPr="009566F5" w:rsidRDefault="00476227" w:rsidP="009566F5">
            <w:pPr>
              <w:rPr>
                <w:rFonts w:ascii="Arial" w:hAnsi="Arial" w:cs="Arial"/>
                <w:sz w:val="20"/>
                <w:szCs w:val="20"/>
              </w:rPr>
            </w:pPr>
            <w:r w:rsidRPr="009566F5">
              <w:rPr>
                <w:rFonts w:ascii="Arial" w:hAnsi="Arial" w:cs="Arial"/>
                <w:sz w:val="20"/>
                <w:szCs w:val="20"/>
              </w:rPr>
              <w:t>51.8%</w:t>
            </w:r>
          </w:p>
        </w:tc>
        <w:tc>
          <w:tcPr>
            <w:tcW w:w="1417" w:type="dxa"/>
            <w:tcBorders>
              <w:top w:val="nil"/>
            </w:tcBorders>
            <w:shd w:val="clear" w:color="auto" w:fill="FFFFFF" w:themeFill="background1"/>
          </w:tcPr>
          <w:p w:rsidR="00476227" w:rsidRPr="009566F5" w:rsidRDefault="00476227" w:rsidP="009566F5">
            <w:pPr>
              <w:rPr>
                <w:rFonts w:ascii="Arial" w:hAnsi="Arial" w:cs="Arial"/>
                <w:bCs/>
                <w:sz w:val="20"/>
                <w:szCs w:val="20"/>
              </w:rPr>
            </w:pPr>
          </w:p>
          <w:p w:rsidR="00476227" w:rsidRPr="009566F5" w:rsidRDefault="00476227" w:rsidP="009566F5">
            <w:pPr>
              <w:rPr>
                <w:rFonts w:ascii="Arial" w:hAnsi="Arial" w:cs="Arial"/>
                <w:bCs/>
                <w:sz w:val="20"/>
                <w:szCs w:val="20"/>
              </w:rPr>
            </w:pPr>
            <w:r w:rsidRPr="009566F5">
              <w:rPr>
                <w:rFonts w:ascii="Arial" w:hAnsi="Arial" w:cs="Arial"/>
                <w:bCs/>
                <w:sz w:val="20"/>
                <w:szCs w:val="20"/>
              </w:rPr>
              <w:t>1 781.3</w:t>
            </w:r>
          </w:p>
        </w:tc>
        <w:tc>
          <w:tcPr>
            <w:tcW w:w="1701" w:type="dxa"/>
            <w:tcBorders>
              <w:top w:val="nil"/>
            </w:tcBorders>
            <w:shd w:val="clear" w:color="auto" w:fill="FFFFFF" w:themeFill="background1"/>
          </w:tcPr>
          <w:p w:rsidR="00476227" w:rsidRPr="009566F5" w:rsidRDefault="00476227" w:rsidP="009566F5">
            <w:pPr>
              <w:rPr>
                <w:rFonts w:ascii="Arial" w:hAnsi="Arial" w:cs="Arial"/>
                <w:b/>
                <w:sz w:val="20"/>
                <w:szCs w:val="20"/>
              </w:rPr>
            </w:pPr>
          </w:p>
          <w:p w:rsidR="00476227" w:rsidRPr="009566F5" w:rsidRDefault="00476227" w:rsidP="009566F5">
            <w:pPr>
              <w:rPr>
                <w:rFonts w:ascii="Arial" w:hAnsi="Arial" w:cs="Arial"/>
                <w:b/>
                <w:sz w:val="20"/>
                <w:szCs w:val="20"/>
              </w:rPr>
            </w:pPr>
            <w:r w:rsidRPr="009566F5">
              <w:rPr>
                <w:rFonts w:ascii="Arial" w:hAnsi="Arial" w:cs="Arial"/>
                <w:b/>
                <w:sz w:val="20"/>
                <w:szCs w:val="20"/>
              </w:rPr>
              <w:t>-65.4</w:t>
            </w:r>
          </w:p>
        </w:tc>
        <w:tc>
          <w:tcPr>
            <w:tcW w:w="1701" w:type="dxa"/>
            <w:tcBorders>
              <w:top w:val="nil"/>
            </w:tcBorders>
            <w:shd w:val="clear" w:color="auto" w:fill="FFFFFF" w:themeFill="background1"/>
          </w:tcPr>
          <w:p w:rsidR="00940C39" w:rsidRPr="009566F5" w:rsidRDefault="00940C39" w:rsidP="009566F5">
            <w:pPr>
              <w:rPr>
                <w:rFonts w:ascii="Arial" w:hAnsi="Arial" w:cs="Arial"/>
                <w:b/>
                <w:sz w:val="20"/>
                <w:szCs w:val="20"/>
              </w:rPr>
            </w:pPr>
          </w:p>
          <w:p w:rsidR="00476227" w:rsidRPr="009566F5" w:rsidRDefault="00940C39" w:rsidP="009566F5">
            <w:pPr>
              <w:rPr>
                <w:rFonts w:ascii="Arial" w:hAnsi="Arial" w:cs="Arial"/>
                <w:b/>
                <w:sz w:val="20"/>
                <w:szCs w:val="20"/>
              </w:rPr>
            </w:pPr>
            <w:r w:rsidRPr="009566F5">
              <w:rPr>
                <w:rFonts w:ascii="Arial" w:hAnsi="Arial" w:cs="Arial"/>
                <w:b/>
                <w:sz w:val="20"/>
                <w:szCs w:val="20"/>
              </w:rPr>
              <w:t>-3.7%</w:t>
            </w:r>
          </w:p>
        </w:tc>
      </w:tr>
      <w:tr w:rsidR="00476227" w:rsidRPr="009566F5" w:rsidTr="00FD5F41">
        <w:tc>
          <w:tcPr>
            <w:tcW w:w="1702" w:type="dxa"/>
            <w:shd w:val="clear" w:color="auto" w:fill="D9D9D9" w:themeFill="background1" w:themeFillShade="D9"/>
            <w:vAlign w:val="bottom"/>
          </w:tcPr>
          <w:p w:rsidR="00476227" w:rsidRPr="009566F5" w:rsidRDefault="00476227"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Total</w:t>
            </w:r>
          </w:p>
        </w:tc>
        <w:tc>
          <w:tcPr>
            <w:tcW w:w="1275" w:type="dxa"/>
            <w:shd w:val="clear" w:color="auto" w:fill="D9D9D9" w:themeFill="background1" w:themeFillShade="D9"/>
            <w:vAlign w:val="bottom"/>
          </w:tcPr>
          <w:p w:rsidR="00476227" w:rsidRPr="009566F5" w:rsidRDefault="00476227" w:rsidP="009566F5">
            <w:pPr>
              <w:rPr>
                <w:rFonts w:ascii="Arial" w:eastAsia="Times New Roman" w:hAnsi="Arial" w:cs="Arial"/>
                <w:color w:val="000000"/>
                <w:sz w:val="20"/>
                <w:szCs w:val="20"/>
                <w:lang w:eastAsia="en-ZA"/>
              </w:rPr>
            </w:pPr>
            <w:r w:rsidRPr="009566F5">
              <w:rPr>
                <w:rFonts w:ascii="Arial" w:eastAsia="Times New Roman" w:hAnsi="Arial" w:cs="Arial"/>
                <w:b/>
                <w:bCs/>
                <w:color w:val="000000"/>
                <w:sz w:val="20"/>
                <w:szCs w:val="20"/>
                <w:lang w:eastAsia="en-ZA"/>
              </w:rPr>
              <w:t>115 596.9</w:t>
            </w:r>
          </w:p>
        </w:tc>
        <w:tc>
          <w:tcPr>
            <w:tcW w:w="1276" w:type="dxa"/>
            <w:shd w:val="clear" w:color="auto" w:fill="D9D9D9" w:themeFill="background1" w:themeFillShade="D9"/>
            <w:vAlign w:val="bottom"/>
          </w:tcPr>
          <w:p w:rsidR="00476227" w:rsidRPr="009566F5" w:rsidRDefault="00476227"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79 485.3</w:t>
            </w:r>
          </w:p>
        </w:tc>
        <w:tc>
          <w:tcPr>
            <w:tcW w:w="1418" w:type="dxa"/>
            <w:shd w:val="clear" w:color="auto" w:fill="D9D9D9" w:themeFill="background1" w:themeFillShade="D9"/>
          </w:tcPr>
          <w:p w:rsidR="00476227" w:rsidRPr="009566F5" w:rsidRDefault="00476227" w:rsidP="009566F5">
            <w:pPr>
              <w:rPr>
                <w:rFonts w:ascii="Arial" w:hAnsi="Arial" w:cs="Arial"/>
                <w:b/>
                <w:sz w:val="20"/>
                <w:szCs w:val="20"/>
              </w:rPr>
            </w:pPr>
            <w:r w:rsidRPr="009566F5">
              <w:rPr>
                <w:rFonts w:ascii="Arial" w:hAnsi="Arial" w:cs="Arial"/>
                <w:b/>
                <w:sz w:val="20"/>
                <w:szCs w:val="20"/>
              </w:rPr>
              <w:t>68.8%</w:t>
            </w:r>
          </w:p>
        </w:tc>
        <w:tc>
          <w:tcPr>
            <w:tcW w:w="1417" w:type="dxa"/>
            <w:shd w:val="clear" w:color="auto" w:fill="D9D9D9" w:themeFill="background1" w:themeFillShade="D9"/>
          </w:tcPr>
          <w:p w:rsidR="00476227" w:rsidRPr="009566F5" w:rsidRDefault="00476227" w:rsidP="009566F5">
            <w:pPr>
              <w:rPr>
                <w:rFonts w:ascii="Arial" w:hAnsi="Arial" w:cs="Arial"/>
                <w:b/>
                <w:bCs/>
                <w:sz w:val="20"/>
                <w:szCs w:val="20"/>
              </w:rPr>
            </w:pPr>
            <w:r w:rsidRPr="009566F5">
              <w:rPr>
                <w:rFonts w:ascii="Arial" w:hAnsi="Arial" w:cs="Arial"/>
                <w:b/>
                <w:bCs/>
                <w:sz w:val="20"/>
                <w:szCs w:val="20"/>
              </w:rPr>
              <w:t>79 865.5</w:t>
            </w:r>
          </w:p>
        </w:tc>
        <w:tc>
          <w:tcPr>
            <w:tcW w:w="1701" w:type="dxa"/>
            <w:shd w:val="clear" w:color="auto" w:fill="D9D9D9" w:themeFill="background1" w:themeFillShade="D9"/>
          </w:tcPr>
          <w:p w:rsidR="00476227" w:rsidRPr="009566F5" w:rsidRDefault="00476227" w:rsidP="009566F5">
            <w:pPr>
              <w:rPr>
                <w:rFonts w:ascii="Arial" w:hAnsi="Arial" w:cs="Arial"/>
                <w:b/>
                <w:sz w:val="20"/>
                <w:szCs w:val="20"/>
              </w:rPr>
            </w:pPr>
            <w:r w:rsidRPr="009566F5">
              <w:rPr>
                <w:rFonts w:ascii="Arial" w:hAnsi="Arial" w:cs="Arial"/>
                <w:b/>
                <w:sz w:val="20"/>
                <w:szCs w:val="20"/>
              </w:rPr>
              <w:t>380.2</w:t>
            </w:r>
          </w:p>
        </w:tc>
        <w:tc>
          <w:tcPr>
            <w:tcW w:w="1701" w:type="dxa"/>
            <w:shd w:val="clear" w:color="auto" w:fill="D9D9D9" w:themeFill="background1" w:themeFillShade="D9"/>
          </w:tcPr>
          <w:p w:rsidR="00476227" w:rsidRPr="009566F5" w:rsidRDefault="00940C39" w:rsidP="009566F5">
            <w:pPr>
              <w:rPr>
                <w:rFonts w:ascii="Arial" w:hAnsi="Arial" w:cs="Arial"/>
                <w:b/>
                <w:sz w:val="20"/>
                <w:szCs w:val="20"/>
              </w:rPr>
            </w:pPr>
            <w:r w:rsidRPr="009566F5">
              <w:rPr>
                <w:rFonts w:ascii="Arial" w:hAnsi="Arial" w:cs="Arial"/>
                <w:b/>
                <w:sz w:val="20"/>
                <w:szCs w:val="20"/>
              </w:rPr>
              <w:t>0.5%</w:t>
            </w:r>
          </w:p>
        </w:tc>
      </w:tr>
    </w:tbl>
    <w:p w:rsidR="003A6FA4" w:rsidRPr="009566F5" w:rsidRDefault="006003CD" w:rsidP="009566F5">
      <w:pPr>
        <w:spacing w:after="0" w:line="240" w:lineRule="auto"/>
        <w:rPr>
          <w:rFonts w:ascii="Arial" w:hAnsi="Arial" w:cs="Arial"/>
          <w:sz w:val="20"/>
          <w:szCs w:val="20"/>
        </w:rPr>
      </w:pPr>
      <w:r w:rsidRPr="009566F5">
        <w:rPr>
          <w:rFonts w:ascii="Arial" w:hAnsi="Arial" w:cs="Arial"/>
          <w:sz w:val="20"/>
          <w:szCs w:val="20"/>
        </w:rPr>
        <w:t>Source: National Treasury, 20</w:t>
      </w:r>
      <w:r w:rsidR="00647C69" w:rsidRPr="009566F5">
        <w:rPr>
          <w:rFonts w:ascii="Arial" w:hAnsi="Arial" w:cs="Arial"/>
          <w:sz w:val="20"/>
          <w:szCs w:val="20"/>
        </w:rPr>
        <w:t>2</w:t>
      </w:r>
      <w:r w:rsidR="00220F60" w:rsidRPr="009566F5">
        <w:rPr>
          <w:rFonts w:ascii="Arial" w:hAnsi="Arial" w:cs="Arial"/>
          <w:sz w:val="20"/>
          <w:szCs w:val="20"/>
        </w:rPr>
        <w:t>1</w:t>
      </w:r>
    </w:p>
    <w:p w:rsidR="006A241B" w:rsidRPr="009566F5" w:rsidRDefault="006A241B" w:rsidP="009566F5">
      <w:pPr>
        <w:spacing w:after="0" w:line="240" w:lineRule="auto"/>
        <w:rPr>
          <w:rFonts w:ascii="Arial" w:hAnsi="Arial" w:cs="Arial"/>
          <w:sz w:val="20"/>
          <w:szCs w:val="20"/>
        </w:rPr>
      </w:pPr>
      <w:r w:rsidRPr="009566F5">
        <w:rPr>
          <w:rFonts w:ascii="Arial" w:hAnsi="Arial" w:cs="Arial"/>
          <w:sz w:val="20"/>
          <w:szCs w:val="20"/>
        </w:rPr>
        <w:lastRenderedPageBreak/>
        <w:t>The 2021/22 budget allocation for the Department of Higher Education and Training amounted to R115,59 billion, compris</w:t>
      </w:r>
      <w:r w:rsidR="00EA3FC4" w:rsidRPr="009566F5">
        <w:rPr>
          <w:rFonts w:ascii="Arial" w:hAnsi="Arial" w:cs="Arial"/>
          <w:sz w:val="20"/>
          <w:szCs w:val="20"/>
        </w:rPr>
        <w:t>ing</w:t>
      </w:r>
      <w:r w:rsidRPr="009566F5">
        <w:rPr>
          <w:rFonts w:ascii="Arial" w:hAnsi="Arial" w:cs="Arial"/>
          <w:sz w:val="20"/>
          <w:szCs w:val="20"/>
        </w:rPr>
        <w:t xml:space="preserve"> R97,78 billion of voted funds and R17,81 billion from direct charges against the National Revenue Fund. Expenditure at the end of the Second-Quarter, excluding direct charges, amounted to R70.25 billion or 71.8 per cent, against the projected quarterly expenditure of R70.95 billion. The Department recorded lower than </w:t>
      </w:r>
      <w:r w:rsidR="00265B37" w:rsidRPr="009566F5">
        <w:rPr>
          <w:rFonts w:ascii="Arial" w:hAnsi="Arial" w:cs="Arial"/>
          <w:sz w:val="20"/>
          <w:szCs w:val="20"/>
        </w:rPr>
        <w:t xml:space="preserve">the </w:t>
      </w:r>
      <w:r w:rsidRPr="009566F5">
        <w:rPr>
          <w:rFonts w:ascii="Arial" w:hAnsi="Arial" w:cs="Arial"/>
          <w:sz w:val="20"/>
          <w:szCs w:val="20"/>
        </w:rPr>
        <w:t xml:space="preserve">projected expenditure of R707.2 million, which was ascribed to underspending on </w:t>
      </w:r>
      <w:r w:rsidR="00265B37" w:rsidRPr="009566F5">
        <w:rPr>
          <w:rFonts w:ascii="Arial" w:hAnsi="Arial" w:cs="Arial"/>
          <w:sz w:val="20"/>
          <w:szCs w:val="20"/>
        </w:rPr>
        <w:t>C</w:t>
      </w:r>
      <w:r w:rsidRPr="009566F5">
        <w:rPr>
          <w:rFonts w:ascii="Arial" w:hAnsi="Arial" w:cs="Arial"/>
          <w:sz w:val="20"/>
          <w:szCs w:val="20"/>
        </w:rPr>
        <w:t xml:space="preserve">ompensation of </w:t>
      </w:r>
      <w:r w:rsidR="00265B37" w:rsidRPr="009566F5">
        <w:rPr>
          <w:rFonts w:ascii="Arial" w:hAnsi="Arial" w:cs="Arial"/>
          <w:sz w:val="20"/>
          <w:szCs w:val="20"/>
        </w:rPr>
        <w:t>E</w:t>
      </w:r>
      <w:r w:rsidRPr="009566F5">
        <w:rPr>
          <w:rFonts w:ascii="Arial" w:hAnsi="Arial" w:cs="Arial"/>
          <w:sz w:val="20"/>
          <w:szCs w:val="20"/>
        </w:rPr>
        <w:t>mployees across all programmes due to vacant posts where processes of filling vacancies ha</w:t>
      </w:r>
      <w:r w:rsidR="00265B37" w:rsidRPr="009566F5">
        <w:rPr>
          <w:rFonts w:ascii="Arial" w:hAnsi="Arial" w:cs="Arial"/>
          <w:sz w:val="20"/>
          <w:szCs w:val="20"/>
        </w:rPr>
        <w:t>ve</w:t>
      </w:r>
      <w:r w:rsidRPr="009566F5">
        <w:rPr>
          <w:rFonts w:ascii="Arial" w:hAnsi="Arial" w:cs="Arial"/>
          <w:sz w:val="20"/>
          <w:szCs w:val="20"/>
        </w:rPr>
        <w:t xml:space="preserve"> been affected by COVID-19 r</w:t>
      </w:r>
      <w:r w:rsidR="001C5267" w:rsidRPr="009566F5">
        <w:rPr>
          <w:rFonts w:ascii="Arial" w:hAnsi="Arial" w:cs="Arial"/>
          <w:sz w:val="20"/>
          <w:szCs w:val="20"/>
        </w:rPr>
        <w:t>estrictions, and transfers and I</w:t>
      </w:r>
      <w:r w:rsidRPr="009566F5">
        <w:rPr>
          <w:rFonts w:ascii="Arial" w:hAnsi="Arial" w:cs="Arial"/>
          <w:sz w:val="20"/>
          <w:szCs w:val="20"/>
        </w:rPr>
        <w:t xml:space="preserve">nfrastructure Efficiency Grant subsidies for the Technical, Vocational Education and Training (TVET) colleges. </w:t>
      </w:r>
    </w:p>
    <w:p w:rsidR="006A241B" w:rsidRPr="009566F5" w:rsidRDefault="006A241B" w:rsidP="009566F5">
      <w:pPr>
        <w:spacing w:after="0" w:line="240" w:lineRule="auto"/>
        <w:rPr>
          <w:rFonts w:ascii="Arial" w:hAnsi="Arial" w:cs="Arial"/>
          <w:sz w:val="20"/>
          <w:szCs w:val="20"/>
        </w:rPr>
      </w:pPr>
      <w:r w:rsidRPr="009566F5">
        <w:rPr>
          <w:rFonts w:ascii="Arial" w:hAnsi="Arial" w:cs="Arial"/>
          <w:sz w:val="20"/>
          <w:szCs w:val="20"/>
        </w:rPr>
        <w:t xml:space="preserve">At the end of the Second-Quarter, the Department spent R4,34 billion or 42.1 per cent on </w:t>
      </w:r>
      <w:r w:rsidR="00EA3FC4" w:rsidRPr="009566F5">
        <w:rPr>
          <w:rFonts w:ascii="Arial" w:hAnsi="Arial" w:cs="Arial"/>
          <w:sz w:val="20"/>
          <w:szCs w:val="20"/>
        </w:rPr>
        <w:t xml:space="preserve">the </w:t>
      </w:r>
      <w:r w:rsidR="009034E8" w:rsidRPr="009566F5">
        <w:rPr>
          <w:rFonts w:ascii="Arial" w:hAnsi="Arial" w:cs="Arial"/>
          <w:sz w:val="20"/>
          <w:szCs w:val="20"/>
        </w:rPr>
        <w:t>C</w:t>
      </w:r>
      <w:r w:rsidRPr="009566F5">
        <w:rPr>
          <w:rFonts w:ascii="Arial" w:hAnsi="Arial" w:cs="Arial"/>
          <w:sz w:val="20"/>
          <w:szCs w:val="20"/>
        </w:rPr>
        <w:t xml:space="preserve">ompensation of </w:t>
      </w:r>
      <w:r w:rsidR="009034E8" w:rsidRPr="009566F5">
        <w:rPr>
          <w:rFonts w:ascii="Arial" w:hAnsi="Arial" w:cs="Arial"/>
          <w:sz w:val="20"/>
          <w:szCs w:val="20"/>
        </w:rPr>
        <w:t>E</w:t>
      </w:r>
      <w:r w:rsidRPr="009566F5">
        <w:rPr>
          <w:rFonts w:ascii="Arial" w:hAnsi="Arial" w:cs="Arial"/>
          <w:sz w:val="20"/>
          <w:szCs w:val="20"/>
        </w:rPr>
        <w:t xml:space="preserve">mployees, against the projected expenditure of R5,06 billion, with lower than </w:t>
      </w:r>
      <w:r w:rsidR="00EA3FC4" w:rsidRPr="009566F5">
        <w:rPr>
          <w:rFonts w:ascii="Arial" w:hAnsi="Arial" w:cs="Arial"/>
          <w:sz w:val="20"/>
          <w:szCs w:val="20"/>
        </w:rPr>
        <w:t xml:space="preserve">the </w:t>
      </w:r>
      <w:r w:rsidRPr="009566F5">
        <w:rPr>
          <w:rFonts w:ascii="Arial" w:hAnsi="Arial" w:cs="Arial"/>
          <w:sz w:val="20"/>
          <w:szCs w:val="20"/>
        </w:rPr>
        <w:t>projected spending of R721,3 million or 14</w:t>
      </w:r>
      <w:r w:rsidR="00265B37" w:rsidRPr="009566F5">
        <w:rPr>
          <w:rFonts w:ascii="Arial" w:hAnsi="Arial" w:cs="Arial"/>
          <w:sz w:val="20"/>
          <w:szCs w:val="20"/>
        </w:rPr>
        <w:t>.</w:t>
      </w:r>
      <w:r w:rsidRPr="009566F5">
        <w:rPr>
          <w:rFonts w:ascii="Arial" w:hAnsi="Arial" w:cs="Arial"/>
          <w:sz w:val="20"/>
          <w:szCs w:val="20"/>
        </w:rPr>
        <w:t>3 per cent. Expenditure on goods and services amounted to R183,6 million or 27.6 per cent against the available quarterly projected expenditure of R332,0 million.  The underspending on goods and services amounted to R148.4 million or 44.7 per cent of the quarterly projected expenditure.</w:t>
      </w:r>
    </w:p>
    <w:p w:rsidR="006A241B" w:rsidRPr="009566F5" w:rsidRDefault="006A241B" w:rsidP="009566F5">
      <w:pPr>
        <w:spacing w:after="0" w:line="240" w:lineRule="auto"/>
        <w:rPr>
          <w:rFonts w:ascii="Arial" w:hAnsi="Arial" w:cs="Arial"/>
          <w:sz w:val="20"/>
          <w:szCs w:val="20"/>
        </w:rPr>
      </w:pPr>
      <w:r w:rsidRPr="009566F5">
        <w:rPr>
          <w:rFonts w:ascii="Arial" w:hAnsi="Arial" w:cs="Arial"/>
          <w:sz w:val="20"/>
          <w:szCs w:val="20"/>
        </w:rPr>
        <w:t xml:space="preserve">Spending on transfers and subsidies at the end of the Quarter under review amounted to R65,72 billion or 75.5 per cent against the projected expenditure of R65,55 billion, recording higher than projected spending amounting to R172.2 million or 0.3 per cent. Spending on payments for capital assets amounted to R4.1 million or 22.7 per cent, recording a significant underspending of R9,8 million or 70.0 per cent; against the quarterly projected expenditure of R13.8 million.  </w:t>
      </w:r>
    </w:p>
    <w:p w:rsidR="003A6FA4" w:rsidRPr="009566F5" w:rsidRDefault="003A6FA4" w:rsidP="009566F5">
      <w:pPr>
        <w:tabs>
          <w:tab w:val="num" w:pos="1440"/>
        </w:tabs>
        <w:spacing w:after="0" w:line="240" w:lineRule="auto"/>
        <w:rPr>
          <w:rFonts w:ascii="Arial" w:hAnsi="Arial" w:cs="Arial"/>
          <w:sz w:val="20"/>
          <w:szCs w:val="20"/>
        </w:rPr>
      </w:pPr>
      <w:r w:rsidRPr="009566F5">
        <w:rPr>
          <w:rFonts w:ascii="Arial" w:hAnsi="Arial" w:cs="Arial"/>
          <w:sz w:val="20"/>
          <w:szCs w:val="20"/>
        </w:rPr>
        <w:t>The Department had spent R300 000 on COVID-19 personal protection equipment and supplies.</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 xml:space="preserve">2.1.2.  Overview and assessment </w:t>
      </w:r>
      <w:r w:rsidR="00CB207F" w:rsidRPr="009566F5">
        <w:rPr>
          <w:rFonts w:ascii="Arial" w:hAnsi="Arial" w:cs="Arial"/>
          <w:b/>
          <w:sz w:val="20"/>
          <w:szCs w:val="20"/>
        </w:rPr>
        <w:t>202</w:t>
      </w:r>
      <w:r w:rsidR="00165EAC" w:rsidRPr="009566F5">
        <w:rPr>
          <w:rFonts w:ascii="Arial" w:hAnsi="Arial" w:cs="Arial"/>
          <w:b/>
          <w:sz w:val="20"/>
          <w:szCs w:val="20"/>
        </w:rPr>
        <w:t>1</w:t>
      </w:r>
      <w:r w:rsidR="00CB207F" w:rsidRPr="009566F5">
        <w:rPr>
          <w:rFonts w:ascii="Arial" w:hAnsi="Arial" w:cs="Arial"/>
          <w:b/>
          <w:sz w:val="20"/>
          <w:szCs w:val="20"/>
        </w:rPr>
        <w:t>/2</w:t>
      </w:r>
      <w:r w:rsidR="00165EAC" w:rsidRPr="009566F5">
        <w:rPr>
          <w:rFonts w:ascii="Arial" w:hAnsi="Arial" w:cs="Arial"/>
          <w:b/>
          <w:sz w:val="20"/>
          <w:szCs w:val="20"/>
        </w:rPr>
        <w:t>2</w:t>
      </w:r>
      <w:r w:rsidRPr="009566F5">
        <w:rPr>
          <w:rFonts w:ascii="Arial" w:hAnsi="Arial" w:cs="Arial"/>
          <w:b/>
          <w:sz w:val="20"/>
          <w:szCs w:val="20"/>
        </w:rPr>
        <w:t xml:space="preserve"> </w:t>
      </w:r>
      <w:r w:rsidR="00165EAC" w:rsidRPr="009566F5">
        <w:rPr>
          <w:rFonts w:ascii="Arial" w:hAnsi="Arial" w:cs="Arial"/>
          <w:b/>
          <w:sz w:val="20"/>
          <w:szCs w:val="20"/>
        </w:rPr>
        <w:t>Second</w:t>
      </w:r>
      <w:r w:rsidR="004B16B4" w:rsidRPr="009566F5">
        <w:rPr>
          <w:rFonts w:ascii="Arial" w:hAnsi="Arial" w:cs="Arial"/>
          <w:b/>
          <w:sz w:val="20"/>
          <w:szCs w:val="20"/>
        </w:rPr>
        <w:t>-</w:t>
      </w:r>
      <w:r w:rsidRPr="009566F5">
        <w:rPr>
          <w:rFonts w:ascii="Arial" w:hAnsi="Arial" w:cs="Arial"/>
          <w:b/>
          <w:sz w:val="20"/>
          <w:szCs w:val="20"/>
        </w:rPr>
        <w:t xml:space="preserve">quarter service delivery performance </w:t>
      </w:r>
    </w:p>
    <w:p w:rsidR="00BF542C" w:rsidRPr="009566F5" w:rsidRDefault="00BF542C" w:rsidP="009566F5">
      <w:pPr>
        <w:spacing w:after="0" w:line="240" w:lineRule="auto"/>
        <w:rPr>
          <w:rFonts w:ascii="Arial" w:hAnsi="Arial" w:cs="Arial"/>
          <w:sz w:val="20"/>
          <w:szCs w:val="20"/>
        </w:rPr>
      </w:pPr>
      <w:r w:rsidRPr="009566F5">
        <w:rPr>
          <w:rFonts w:ascii="Arial" w:hAnsi="Arial" w:cs="Arial"/>
          <w:sz w:val="20"/>
          <w:szCs w:val="20"/>
        </w:rPr>
        <w:t>For the Quarter under review, the Department had eighteen (18) targets</w:t>
      </w:r>
      <w:r w:rsidR="00FB4579" w:rsidRPr="009566F5">
        <w:rPr>
          <w:rFonts w:ascii="Arial" w:hAnsi="Arial" w:cs="Arial"/>
          <w:sz w:val="20"/>
          <w:szCs w:val="20"/>
        </w:rPr>
        <w:t>. The targets were shared amongst the four programmes, namely, Administration, Technical and Vocational Education and Training</w:t>
      </w:r>
      <w:r w:rsidRPr="009566F5">
        <w:rPr>
          <w:rFonts w:ascii="Arial" w:hAnsi="Arial" w:cs="Arial"/>
          <w:sz w:val="20"/>
          <w:szCs w:val="20"/>
        </w:rPr>
        <w:t>,</w:t>
      </w:r>
      <w:r w:rsidR="00FB4579" w:rsidRPr="009566F5">
        <w:rPr>
          <w:rFonts w:ascii="Arial" w:hAnsi="Arial" w:cs="Arial"/>
          <w:sz w:val="20"/>
          <w:szCs w:val="20"/>
        </w:rPr>
        <w:t xml:space="preserve"> Skills Development and Community Education and Training. The Department</w:t>
      </w:r>
      <w:r w:rsidRPr="009566F5">
        <w:rPr>
          <w:rFonts w:ascii="Arial" w:hAnsi="Arial" w:cs="Arial"/>
          <w:sz w:val="20"/>
          <w:szCs w:val="20"/>
        </w:rPr>
        <w:t xml:space="preserve"> achieved nine (9) or 50 per cent of the </w:t>
      </w:r>
      <w:r w:rsidR="00B625E5" w:rsidRPr="009566F5">
        <w:rPr>
          <w:rFonts w:ascii="Arial" w:hAnsi="Arial" w:cs="Arial"/>
          <w:sz w:val="20"/>
          <w:szCs w:val="20"/>
        </w:rPr>
        <w:t xml:space="preserve">18 </w:t>
      </w:r>
      <w:r w:rsidRPr="009566F5">
        <w:rPr>
          <w:rFonts w:ascii="Arial" w:hAnsi="Arial" w:cs="Arial"/>
          <w:sz w:val="20"/>
          <w:szCs w:val="20"/>
        </w:rPr>
        <w:t>targets.</w:t>
      </w:r>
    </w:p>
    <w:p w:rsidR="006003CD" w:rsidRPr="009566F5" w:rsidRDefault="0089177D" w:rsidP="009566F5">
      <w:pPr>
        <w:spacing w:after="0" w:line="240" w:lineRule="auto"/>
        <w:rPr>
          <w:rFonts w:ascii="Arial" w:hAnsi="Arial" w:cs="Arial"/>
          <w:b/>
          <w:sz w:val="20"/>
          <w:szCs w:val="20"/>
        </w:rPr>
      </w:pPr>
      <w:r w:rsidRPr="009566F5">
        <w:rPr>
          <w:rFonts w:ascii="Arial" w:hAnsi="Arial" w:cs="Arial"/>
          <w:b/>
          <w:sz w:val="20"/>
          <w:szCs w:val="20"/>
        </w:rPr>
        <w:t xml:space="preserve"> </w:t>
      </w:r>
      <w:r w:rsidR="006003CD" w:rsidRPr="009566F5">
        <w:rPr>
          <w:rFonts w:ascii="Arial" w:hAnsi="Arial" w:cs="Arial"/>
          <w:b/>
          <w:sz w:val="20"/>
          <w:szCs w:val="20"/>
        </w:rPr>
        <w:t>(i) Programme 1: Administration</w:t>
      </w:r>
    </w:p>
    <w:p w:rsidR="00D646EC" w:rsidRPr="009566F5" w:rsidRDefault="006003CD" w:rsidP="009566F5">
      <w:pPr>
        <w:spacing w:after="0" w:line="240" w:lineRule="auto"/>
        <w:rPr>
          <w:rFonts w:ascii="Arial" w:hAnsi="Arial" w:cs="Arial"/>
          <w:sz w:val="20"/>
          <w:szCs w:val="20"/>
        </w:rPr>
      </w:pPr>
      <w:r w:rsidRPr="009566F5">
        <w:rPr>
          <w:rFonts w:ascii="Arial" w:hAnsi="Arial" w:cs="Arial"/>
          <w:sz w:val="20"/>
          <w:szCs w:val="20"/>
        </w:rPr>
        <w:t xml:space="preserve">The purpose of this Programme is to provide strategic leadership, management and support services to the Department. </w:t>
      </w:r>
      <w:r w:rsidR="00BF542C" w:rsidRPr="009566F5">
        <w:rPr>
          <w:rFonts w:ascii="Arial" w:hAnsi="Arial" w:cs="Arial"/>
          <w:sz w:val="20"/>
          <w:szCs w:val="20"/>
        </w:rPr>
        <w:t>for the Quarter under review, the progra</w:t>
      </w:r>
      <w:r w:rsidR="00AB3754" w:rsidRPr="009566F5">
        <w:rPr>
          <w:rFonts w:ascii="Arial" w:hAnsi="Arial" w:cs="Arial"/>
          <w:sz w:val="20"/>
          <w:szCs w:val="20"/>
        </w:rPr>
        <w:t xml:space="preserve">mme had two planned targets, which one was achieved. The Department achieved an unqualified audit opinion as planned. The target to have 100 per cent of valid invoices received from creditors paid within 30 days was not achieved. The Department missed the target by one per cent (1%), which was attributed to the delays as a result of technical challenges with </w:t>
      </w:r>
      <w:r w:rsidR="00265B37" w:rsidRPr="009566F5">
        <w:rPr>
          <w:rFonts w:ascii="Arial" w:hAnsi="Arial" w:cs="Arial"/>
          <w:sz w:val="20"/>
          <w:szCs w:val="20"/>
        </w:rPr>
        <w:t xml:space="preserve">the </w:t>
      </w:r>
      <w:r w:rsidR="00AB3754" w:rsidRPr="009566F5">
        <w:rPr>
          <w:rFonts w:ascii="Arial" w:hAnsi="Arial" w:cs="Arial"/>
          <w:sz w:val="20"/>
          <w:szCs w:val="20"/>
        </w:rPr>
        <w:t xml:space="preserve">LOGIS System. </w:t>
      </w:r>
    </w:p>
    <w:p w:rsidR="003A6FA4" w:rsidRPr="009566F5" w:rsidRDefault="00155F50" w:rsidP="009566F5">
      <w:pPr>
        <w:spacing w:after="0" w:line="240" w:lineRule="auto"/>
        <w:rPr>
          <w:rFonts w:ascii="Arial" w:hAnsi="Arial" w:cs="Arial"/>
          <w:sz w:val="20"/>
          <w:szCs w:val="20"/>
        </w:rPr>
      </w:pPr>
      <w:r w:rsidRPr="009566F5">
        <w:rPr>
          <w:rFonts w:ascii="Arial" w:hAnsi="Arial" w:cs="Arial"/>
          <w:sz w:val="20"/>
          <w:szCs w:val="20"/>
        </w:rPr>
        <w:t>The programme had spent R201,3 million</w:t>
      </w:r>
      <w:r w:rsidR="00666BD9" w:rsidRPr="009566F5">
        <w:rPr>
          <w:rFonts w:ascii="Arial" w:hAnsi="Arial" w:cs="Arial"/>
          <w:sz w:val="20"/>
          <w:szCs w:val="20"/>
        </w:rPr>
        <w:t>,</w:t>
      </w:r>
      <w:r w:rsidRPr="009566F5">
        <w:rPr>
          <w:rFonts w:ascii="Arial" w:hAnsi="Arial" w:cs="Arial"/>
          <w:sz w:val="20"/>
          <w:szCs w:val="20"/>
        </w:rPr>
        <w:t xml:space="preserve"> against the quarterly projected expenditure of R251,8 million, thus recording a lower than projected spending of R50,5 million or 20,1 per cent.</w:t>
      </w:r>
      <w:r w:rsidR="009B3E72" w:rsidRPr="009566F5">
        <w:rPr>
          <w:rFonts w:ascii="Arial" w:hAnsi="Arial" w:cs="Arial"/>
          <w:sz w:val="20"/>
          <w:szCs w:val="20"/>
        </w:rPr>
        <w:t xml:space="preserve"> The lower than projected spending was attributed to slow spending on compensation of employees due to unfilled vacant posts, as well as savings on operational costs as a results of COVID-19 restrictions. </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 xml:space="preserve">(ii) Programme 2: Planning, Policy and Strategy </w:t>
      </w:r>
    </w:p>
    <w:p w:rsidR="00C47272" w:rsidRPr="009566F5" w:rsidRDefault="006003CD" w:rsidP="009566F5">
      <w:pPr>
        <w:spacing w:after="0" w:line="240" w:lineRule="auto"/>
        <w:rPr>
          <w:rFonts w:ascii="Arial" w:hAnsi="Arial" w:cs="Arial"/>
          <w:sz w:val="20"/>
          <w:szCs w:val="20"/>
        </w:rPr>
      </w:pPr>
      <w:r w:rsidRPr="009566F5">
        <w:rPr>
          <w:rFonts w:ascii="Arial" w:hAnsi="Arial" w:cs="Arial"/>
          <w:sz w:val="20"/>
          <w:szCs w:val="20"/>
        </w:rPr>
        <w:t xml:space="preserve">The purpose of the Programme is to provide strategic direction in the development, implementation and monitoring of Departmental policies and the Human Resource Development Strategy for South Africa. </w:t>
      </w:r>
      <w:r w:rsidR="0057552A" w:rsidRPr="009566F5">
        <w:rPr>
          <w:rFonts w:ascii="Arial" w:hAnsi="Arial" w:cs="Arial"/>
          <w:sz w:val="20"/>
          <w:szCs w:val="20"/>
        </w:rPr>
        <w:t>The programme had no planned targets during the quarter under review.</w:t>
      </w:r>
    </w:p>
    <w:p w:rsidR="003A6FA4" w:rsidRPr="009566F5" w:rsidRDefault="003074D1" w:rsidP="009566F5">
      <w:pPr>
        <w:spacing w:after="0" w:line="240" w:lineRule="auto"/>
        <w:rPr>
          <w:rFonts w:ascii="Arial" w:hAnsi="Arial" w:cs="Arial"/>
          <w:sz w:val="20"/>
          <w:szCs w:val="20"/>
        </w:rPr>
      </w:pPr>
      <w:r w:rsidRPr="009566F5">
        <w:rPr>
          <w:rFonts w:ascii="Arial" w:hAnsi="Arial" w:cs="Arial"/>
          <w:sz w:val="20"/>
          <w:szCs w:val="20"/>
        </w:rPr>
        <w:t xml:space="preserve">At the end of the Second-Quarter, the programme had spent R107,2 million, against the quarterly projected spending of R118,0 million. The lower than projected spending of R10,8 </w:t>
      </w:r>
      <w:r w:rsidR="00EC103A" w:rsidRPr="009566F5">
        <w:rPr>
          <w:rFonts w:ascii="Arial" w:hAnsi="Arial" w:cs="Arial"/>
          <w:sz w:val="20"/>
          <w:szCs w:val="20"/>
        </w:rPr>
        <w:t>million or</w:t>
      </w:r>
      <w:r w:rsidRPr="009566F5">
        <w:rPr>
          <w:rFonts w:ascii="Arial" w:hAnsi="Arial" w:cs="Arial"/>
          <w:sz w:val="20"/>
          <w:szCs w:val="20"/>
        </w:rPr>
        <w:t xml:space="preserve"> 9.2 per cent was incurred under </w:t>
      </w:r>
      <w:r w:rsidR="00265B37" w:rsidRPr="009566F5">
        <w:rPr>
          <w:rFonts w:ascii="Arial" w:hAnsi="Arial" w:cs="Arial"/>
          <w:sz w:val="20"/>
          <w:szCs w:val="20"/>
        </w:rPr>
        <w:t>C</w:t>
      </w:r>
      <w:r w:rsidRPr="009566F5">
        <w:rPr>
          <w:rFonts w:ascii="Arial" w:hAnsi="Arial" w:cs="Arial"/>
          <w:sz w:val="20"/>
          <w:szCs w:val="20"/>
        </w:rPr>
        <w:t xml:space="preserve">ompensation of </w:t>
      </w:r>
      <w:r w:rsidR="00265B37" w:rsidRPr="009566F5">
        <w:rPr>
          <w:rFonts w:ascii="Arial" w:hAnsi="Arial" w:cs="Arial"/>
          <w:sz w:val="20"/>
          <w:szCs w:val="20"/>
        </w:rPr>
        <w:t>E</w:t>
      </w:r>
      <w:r w:rsidRPr="009566F5">
        <w:rPr>
          <w:rFonts w:ascii="Arial" w:hAnsi="Arial" w:cs="Arial"/>
          <w:sz w:val="20"/>
          <w:szCs w:val="20"/>
        </w:rPr>
        <w:t xml:space="preserve">mployees due to unfilled vacant posts. </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(iii) Programme 3: University Education</w:t>
      </w:r>
    </w:p>
    <w:p w:rsidR="00C47272" w:rsidRPr="009566F5" w:rsidRDefault="00C95102" w:rsidP="009566F5">
      <w:pPr>
        <w:spacing w:after="0" w:line="240" w:lineRule="auto"/>
        <w:rPr>
          <w:rFonts w:ascii="Arial" w:hAnsi="Arial" w:cs="Arial"/>
          <w:sz w:val="20"/>
          <w:szCs w:val="20"/>
        </w:rPr>
      </w:pPr>
      <w:r w:rsidRPr="009566F5">
        <w:rPr>
          <w:rFonts w:ascii="Arial" w:hAnsi="Arial" w:cs="Arial"/>
          <w:sz w:val="20"/>
          <w:szCs w:val="20"/>
          <w:lang w:val="en-US"/>
        </w:rPr>
        <w:t xml:space="preserve">The programme aims to develop and coordinate policy and regulatory frameworks for an effective and efficient university education system and to provide financial and other support to universities, the National Student Financial Aid Scheme and national higher education institutions. </w:t>
      </w:r>
      <w:r w:rsidR="006B039E" w:rsidRPr="009566F5">
        <w:rPr>
          <w:rFonts w:ascii="Arial" w:hAnsi="Arial" w:cs="Arial"/>
          <w:sz w:val="20"/>
          <w:szCs w:val="20"/>
        </w:rPr>
        <w:t>The programme had no planned targets during the quarter under review.</w:t>
      </w:r>
    </w:p>
    <w:p w:rsidR="003A6FA4" w:rsidRPr="009566F5" w:rsidRDefault="00520920" w:rsidP="009566F5">
      <w:pPr>
        <w:spacing w:after="0" w:line="240" w:lineRule="auto"/>
        <w:rPr>
          <w:rFonts w:ascii="Arial" w:hAnsi="Arial" w:cs="Arial"/>
          <w:sz w:val="20"/>
          <w:szCs w:val="20"/>
        </w:rPr>
      </w:pPr>
      <w:r w:rsidRPr="009566F5">
        <w:rPr>
          <w:rFonts w:ascii="Arial" w:hAnsi="Arial" w:cs="Arial"/>
          <w:sz w:val="20"/>
          <w:szCs w:val="20"/>
          <w:lang w:val="en-US"/>
        </w:rPr>
        <w:t>The programme’s expenditure at the end of the Quarter under review amounted to R63,38 billion, against the quarterly projected expenditure of R62,82 billion. The programme recorded a higher than projected spending amounting to R565,2 million or 0,9 per cent, which was ascribed to funds reprioritised from University subsidies and earmarked grants to cover the student funding shortfall at the National Student Financial Aid Scheme (NSFAS)</w:t>
      </w:r>
      <w:r w:rsidR="002B212C" w:rsidRPr="009566F5">
        <w:rPr>
          <w:rFonts w:ascii="Arial" w:hAnsi="Arial" w:cs="Arial"/>
          <w:sz w:val="20"/>
          <w:szCs w:val="20"/>
          <w:lang w:val="en-US"/>
        </w:rPr>
        <w:t xml:space="preserve">. The National Treasury noted that </w:t>
      </w:r>
      <w:r w:rsidR="002B212C" w:rsidRPr="009566F5">
        <w:rPr>
          <w:rFonts w:ascii="Arial" w:hAnsi="Arial" w:cs="Arial"/>
          <w:sz w:val="20"/>
          <w:szCs w:val="20"/>
        </w:rPr>
        <w:t>infrastructure</w:t>
      </w:r>
      <w:r w:rsidR="00265B37" w:rsidRPr="009566F5">
        <w:rPr>
          <w:rFonts w:ascii="Arial" w:hAnsi="Arial" w:cs="Arial"/>
          <w:sz w:val="20"/>
          <w:szCs w:val="20"/>
        </w:rPr>
        <w:t>-</w:t>
      </w:r>
      <w:r w:rsidR="002B212C" w:rsidRPr="009566F5">
        <w:rPr>
          <w:rFonts w:ascii="Arial" w:hAnsi="Arial" w:cs="Arial"/>
          <w:sz w:val="20"/>
          <w:szCs w:val="20"/>
        </w:rPr>
        <w:t>related transfers to the universities of Mpumalanga and Sol Plaatje planned for the Third-Quarter were brought forward to the Second-Quarter. On the other hand, delayed transfer payments of R938.3 million for university infrastructure projects were mainly due to outstanding progress reports from universities that need to be submitted b</w:t>
      </w:r>
      <w:r w:rsidR="00473A55" w:rsidRPr="009566F5">
        <w:rPr>
          <w:rFonts w:ascii="Arial" w:hAnsi="Arial" w:cs="Arial"/>
          <w:sz w:val="20"/>
          <w:szCs w:val="20"/>
        </w:rPr>
        <w:t>efore these transfers are made.</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(iv) Programme 4: Technical and Vocational Education and Training</w:t>
      </w:r>
    </w:p>
    <w:p w:rsidR="006003CD" w:rsidRPr="009566F5" w:rsidRDefault="006003CD" w:rsidP="009566F5">
      <w:pPr>
        <w:spacing w:after="0" w:line="240" w:lineRule="auto"/>
        <w:rPr>
          <w:rFonts w:ascii="Arial" w:hAnsi="Arial" w:cs="Arial"/>
          <w:sz w:val="20"/>
          <w:szCs w:val="20"/>
        </w:rPr>
      </w:pPr>
      <w:r w:rsidRPr="009566F5">
        <w:rPr>
          <w:rFonts w:ascii="Arial" w:hAnsi="Arial" w:cs="Arial"/>
          <w:sz w:val="20"/>
          <w:szCs w:val="20"/>
        </w:rPr>
        <w:lastRenderedPageBreak/>
        <w:t xml:space="preserve">The purpose of this Programme is to plan, develop, implement, monitor, maintain and evaluate national policy, programmes, assessment practices and systems for TVET. </w:t>
      </w:r>
      <w:r w:rsidR="00AC7FE6" w:rsidRPr="009566F5">
        <w:rPr>
          <w:rFonts w:ascii="Arial" w:hAnsi="Arial" w:cs="Arial"/>
          <w:sz w:val="20"/>
          <w:szCs w:val="20"/>
        </w:rPr>
        <w:t>The programme had eleven (11) targets and had achieved seven (7) or 27 per cent of the targets.</w:t>
      </w:r>
      <w:r w:rsidR="00367A8D" w:rsidRPr="009566F5">
        <w:rPr>
          <w:rFonts w:ascii="Arial" w:hAnsi="Arial" w:cs="Arial"/>
          <w:sz w:val="20"/>
          <w:szCs w:val="20"/>
        </w:rPr>
        <w:t xml:space="preserve"> </w:t>
      </w:r>
      <w:r w:rsidR="002C7001" w:rsidRPr="009566F5">
        <w:rPr>
          <w:rFonts w:ascii="Arial" w:hAnsi="Arial" w:cs="Arial"/>
          <w:sz w:val="20"/>
          <w:szCs w:val="20"/>
        </w:rPr>
        <w:t>The Department achieved a target to have a draft progress report on cooperation on agreement with Germany on the SAIVECET work approved by the Deputy Director-General by 30 September 2021.</w:t>
      </w:r>
      <w:r w:rsidR="008E08BA" w:rsidRPr="009566F5">
        <w:rPr>
          <w:rFonts w:ascii="Arial" w:hAnsi="Arial" w:cs="Arial"/>
          <w:sz w:val="20"/>
          <w:szCs w:val="20"/>
        </w:rPr>
        <w:t xml:space="preserve"> The monitoring report on the conduct, management and administration of TVET college examination and assessment was approved by the Director-General as well as a progress report on the development of TVET colleges infrastructure maintenance plans for 2022/23 relating to all sites if </w:t>
      </w:r>
      <w:r w:rsidR="005270C2" w:rsidRPr="009566F5">
        <w:rPr>
          <w:rFonts w:ascii="Arial" w:hAnsi="Arial" w:cs="Arial"/>
          <w:sz w:val="20"/>
          <w:szCs w:val="20"/>
        </w:rPr>
        <w:t>delivery.</w:t>
      </w:r>
      <w:r w:rsidR="002C7001" w:rsidRPr="009566F5">
        <w:rPr>
          <w:rFonts w:ascii="Arial" w:hAnsi="Arial" w:cs="Arial"/>
          <w:sz w:val="20"/>
          <w:szCs w:val="20"/>
        </w:rPr>
        <w:t xml:space="preserve"> </w:t>
      </w:r>
    </w:p>
    <w:p w:rsidR="005270C2" w:rsidRPr="009566F5" w:rsidRDefault="005270C2" w:rsidP="009566F5">
      <w:pPr>
        <w:spacing w:after="0" w:line="240" w:lineRule="auto"/>
        <w:rPr>
          <w:rFonts w:ascii="Arial" w:hAnsi="Arial" w:cs="Arial"/>
          <w:sz w:val="20"/>
          <w:szCs w:val="20"/>
        </w:rPr>
      </w:pPr>
      <w:r w:rsidRPr="009566F5">
        <w:rPr>
          <w:rFonts w:ascii="Arial" w:hAnsi="Arial" w:cs="Arial"/>
          <w:sz w:val="20"/>
          <w:szCs w:val="20"/>
        </w:rPr>
        <w:t>Targets that were not achieved include</w:t>
      </w:r>
      <w:r w:rsidR="001F715B" w:rsidRPr="009566F5">
        <w:rPr>
          <w:rFonts w:ascii="Arial" w:hAnsi="Arial" w:cs="Arial"/>
          <w:sz w:val="20"/>
          <w:szCs w:val="20"/>
        </w:rPr>
        <w:t>d</w:t>
      </w:r>
      <w:r w:rsidR="00D97A60" w:rsidRPr="009566F5">
        <w:rPr>
          <w:rFonts w:ascii="Arial" w:hAnsi="Arial" w:cs="Arial"/>
          <w:sz w:val="20"/>
          <w:szCs w:val="20"/>
        </w:rPr>
        <w:t>, amongst others</w:t>
      </w:r>
      <w:r w:rsidRPr="009566F5">
        <w:rPr>
          <w:rFonts w:ascii="Arial" w:hAnsi="Arial" w:cs="Arial"/>
          <w:sz w:val="20"/>
          <w:szCs w:val="20"/>
        </w:rPr>
        <w:t>;</w:t>
      </w:r>
    </w:p>
    <w:p w:rsidR="005270C2" w:rsidRPr="009566F5" w:rsidRDefault="00D97A60" w:rsidP="009566F5">
      <w:pPr>
        <w:pStyle w:val="ListParagraph"/>
        <w:numPr>
          <w:ilvl w:val="0"/>
          <w:numId w:val="21"/>
        </w:numPr>
        <w:spacing w:after="0" w:line="240" w:lineRule="auto"/>
        <w:rPr>
          <w:rFonts w:ascii="Arial" w:hAnsi="Arial" w:cs="Arial"/>
          <w:sz w:val="20"/>
          <w:szCs w:val="20"/>
        </w:rPr>
      </w:pPr>
      <w:r w:rsidRPr="009566F5">
        <w:rPr>
          <w:rFonts w:ascii="Arial" w:hAnsi="Arial" w:cs="Arial"/>
          <w:sz w:val="20"/>
          <w:szCs w:val="20"/>
        </w:rPr>
        <w:t>D</w:t>
      </w:r>
      <w:r w:rsidR="005270C2" w:rsidRPr="009566F5">
        <w:rPr>
          <w:rFonts w:ascii="Arial" w:hAnsi="Arial" w:cs="Arial"/>
          <w:sz w:val="20"/>
          <w:szCs w:val="20"/>
        </w:rPr>
        <w:t>raft concept on three-year enrolment plan with differentiation in programme enrolment circulated to stakeholders for consultation by 30 September 2021. The Department ascribed the reason for deviation to the lack of capacity and further noted that additional capacity will be obtained from other Directorates while awaiting the filling of vacant posts by Human Resources;</w:t>
      </w:r>
    </w:p>
    <w:p w:rsidR="005270C2" w:rsidRPr="009566F5" w:rsidRDefault="00D97A60" w:rsidP="009566F5">
      <w:pPr>
        <w:pStyle w:val="ListParagraph"/>
        <w:numPr>
          <w:ilvl w:val="0"/>
          <w:numId w:val="21"/>
        </w:numPr>
        <w:spacing w:after="0" w:line="240" w:lineRule="auto"/>
        <w:rPr>
          <w:rFonts w:ascii="Arial" w:hAnsi="Arial" w:cs="Arial"/>
          <w:sz w:val="20"/>
          <w:szCs w:val="20"/>
        </w:rPr>
      </w:pPr>
      <w:r w:rsidRPr="009566F5">
        <w:rPr>
          <w:rFonts w:ascii="Arial" w:hAnsi="Arial" w:cs="Arial"/>
          <w:sz w:val="20"/>
          <w:szCs w:val="20"/>
        </w:rPr>
        <w:t>D</w:t>
      </w:r>
      <w:r w:rsidR="005270C2" w:rsidRPr="009566F5">
        <w:rPr>
          <w:rFonts w:ascii="Arial" w:hAnsi="Arial" w:cs="Arial"/>
          <w:sz w:val="20"/>
          <w:szCs w:val="20"/>
        </w:rPr>
        <w:t>raft framework and guidelines to accommodate students with disabilities circulated to stakeholders for consultation by 30 September 2021. The guidelines were not circulated and consulted on as planned. It was reported that the Deputy Director-General’s approval of the revised framework and Guidelines would be obtained by end of February 2022;</w:t>
      </w:r>
    </w:p>
    <w:p w:rsidR="005270C2" w:rsidRPr="009566F5" w:rsidRDefault="000669BB" w:rsidP="009566F5">
      <w:pPr>
        <w:pStyle w:val="ListParagraph"/>
        <w:numPr>
          <w:ilvl w:val="0"/>
          <w:numId w:val="21"/>
        </w:numPr>
        <w:spacing w:after="0" w:line="240" w:lineRule="auto"/>
        <w:rPr>
          <w:rFonts w:ascii="Arial" w:hAnsi="Arial" w:cs="Arial"/>
          <w:sz w:val="20"/>
          <w:szCs w:val="20"/>
        </w:rPr>
      </w:pPr>
      <w:r w:rsidRPr="009566F5">
        <w:rPr>
          <w:rFonts w:ascii="Arial" w:hAnsi="Arial" w:cs="Arial"/>
          <w:sz w:val="20"/>
          <w:szCs w:val="20"/>
        </w:rPr>
        <w:t>Examination results per cycle for qualifying students released in 40 days from last date of exams timetable. The non-achievement was ascribed to non-compliance with the reporting standards</w:t>
      </w:r>
      <w:r w:rsidR="00D97A60" w:rsidRPr="009566F5">
        <w:rPr>
          <w:rFonts w:ascii="Arial" w:hAnsi="Arial" w:cs="Arial"/>
          <w:sz w:val="20"/>
          <w:szCs w:val="20"/>
        </w:rPr>
        <w:t xml:space="preserve"> and guidelines; and</w:t>
      </w:r>
    </w:p>
    <w:p w:rsidR="00D97A60" w:rsidRPr="009566F5" w:rsidRDefault="00D97A60" w:rsidP="009566F5">
      <w:pPr>
        <w:pStyle w:val="ListParagraph"/>
        <w:numPr>
          <w:ilvl w:val="0"/>
          <w:numId w:val="21"/>
        </w:numPr>
        <w:spacing w:after="0" w:line="240" w:lineRule="auto"/>
        <w:rPr>
          <w:rFonts w:ascii="Arial" w:hAnsi="Arial" w:cs="Arial"/>
          <w:sz w:val="20"/>
          <w:szCs w:val="20"/>
        </w:rPr>
      </w:pPr>
      <w:r w:rsidRPr="009566F5">
        <w:rPr>
          <w:rFonts w:ascii="Arial" w:hAnsi="Arial" w:cs="Arial"/>
          <w:sz w:val="20"/>
          <w:szCs w:val="20"/>
        </w:rPr>
        <w:t>Draft governance standards for TVET college councils circulated for consultation by 30 September 2021. The non-achievement was ascribed to the non-compliance with the reporting standards and guidelines.</w:t>
      </w:r>
    </w:p>
    <w:p w:rsidR="003A6FA4" w:rsidRPr="009566F5" w:rsidRDefault="00CD2DCC" w:rsidP="009566F5">
      <w:pPr>
        <w:spacing w:after="0" w:line="240" w:lineRule="auto"/>
        <w:rPr>
          <w:rFonts w:ascii="Arial" w:hAnsi="Arial" w:cs="Arial"/>
          <w:color w:val="000000" w:themeColor="text1"/>
          <w:sz w:val="20"/>
          <w:szCs w:val="20"/>
        </w:rPr>
      </w:pPr>
      <w:r w:rsidRPr="009566F5">
        <w:rPr>
          <w:rFonts w:ascii="Arial" w:hAnsi="Arial" w:cs="Arial"/>
          <w:sz w:val="20"/>
          <w:szCs w:val="20"/>
        </w:rPr>
        <w:t>At the end of the Second-Quarter, the programme had spent R</w:t>
      </w:r>
      <w:r w:rsidR="00077813" w:rsidRPr="009566F5">
        <w:rPr>
          <w:rFonts w:ascii="Arial" w:hAnsi="Arial" w:cs="Arial"/>
          <w:sz w:val="20"/>
          <w:szCs w:val="20"/>
        </w:rPr>
        <w:t>5,43 billion, against quarterly projected expenditure of R6,44 billion, recording the lower than projected spending amounting to R1,0 billion</w:t>
      </w:r>
      <w:r w:rsidR="008B38CC" w:rsidRPr="009566F5">
        <w:rPr>
          <w:rFonts w:ascii="Arial" w:hAnsi="Arial" w:cs="Arial"/>
          <w:sz w:val="20"/>
          <w:szCs w:val="20"/>
        </w:rPr>
        <w:t xml:space="preserve"> or 15</w:t>
      </w:r>
      <w:r w:rsidR="008F0F06" w:rsidRPr="009566F5">
        <w:rPr>
          <w:rFonts w:ascii="Arial" w:hAnsi="Arial" w:cs="Arial"/>
          <w:sz w:val="20"/>
          <w:szCs w:val="20"/>
        </w:rPr>
        <w:t>.</w:t>
      </w:r>
      <w:r w:rsidR="008B38CC" w:rsidRPr="009566F5">
        <w:rPr>
          <w:rFonts w:ascii="Arial" w:hAnsi="Arial" w:cs="Arial"/>
          <w:sz w:val="20"/>
          <w:szCs w:val="20"/>
        </w:rPr>
        <w:t>6 per cent. The lower than projected spending was attributed to the continued delay in the implementation of the post-provisioning norms for the TVET colleges due to disagreements with labour unions on the implementation process; the transfer of R357,3 million for TVET infrastructure which was not made as the Minister of Higher Education, Science and Innovation first wanted the Department’s infrastructure oversight unit to be established before TVET infrastructure payments can resume. It was reported that the Unit has been established and TVET infrastructure payments were expected to be made in November 2021.</w:t>
      </w:r>
    </w:p>
    <w:p w:rsidR="00643253" w:rsidRPr="009566F5" w:rsidRDefault="00643253" w:rsidP="009566F5">
      <w:pPr>
        <w:spacing w:after="0" w:line="240" w:lineRule="auto"/>
        <w:rPr>
          <w:rFonts w:ascii="Arial" w:hAnsi="Arial" w:cs="Arial"/>
          <w:b/>
          <w:sz w:val="20"/>
          <w:szCs w:val="20"/>
        </w:rPr>
      </w:pPr>
    </w:p>
    <w:p w:rsidR="00643253" w:rsidRPr="009566F5" w:rsidRDefault="00643253" w:rsidP="009566F5">
      <w:pPr>
        <w:spacing w:after="0" w:line="240" w:lineRule="auto"/>
        <w:rPr>
          <w:rFonts w:ascii="Arial" w:hAnsi="Arial" w:cs="Arial"/>
          <w:b/>
          <w:sz w:val="20"/>
          <w:szCs w:val="20"/>
        </w:rPr>
      </w:pPr>
    </w:p>
    <w:p w:rsidR="00BA6032"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(v) Programme 5: Skills Development</w:t>
      </w:r>
    </w:p>
    <w:p w:rsidR="00442C28" w:rsidRPr="009566F5" w:rsidRDefault="006003CD" w:rsidP="009566F5">
      <w:pPr>
        <w:spacing w:after="0" w:line="240" w:lineRule="auto"/>
        <w:rPr>
          <w:rFonts w:ascii="Arial" w:hAnsi="Arial" w:cs="Arial"/>
          <w:b/>
          <w:sz w:val="20"/>
          <w:szCs w:val="20"/>
        </w:rPr>
      </w:pPr>
      <w:r w:rsidRPr="009566F5">
        <w:rPr>
          <w:rFonts w:ascii="Arial" w:hAnsi="Arial" w:cs="Arial"/>
          <w:sz w:val="20"/>
          <w:szCs w:val="20"/>
        </w:rPr>
        <w:t xml:space="preserve">The purpose of the Programme is to promote and monitor the National Skills Development Strategy (NSDS III) and to develop a skills development policy and regulatory framework for an effective skills development system. </w:t>
      </w:r>
      <w:r w:rsidR="00EB3817" w:rsidRPr="009566F5">
        <w:rPr>
          <w:rFonts w:ascii="Arial" w:hAnsi="Arial" w:cs="Arial"/>
          <w:sz w:val="20"/>
          <w:szCs w:val="20"/>
        </w:rPr>
        <w:t xml:space="preserve">The programme had two planned targets for the Quarter under review. Both the targets were achieved as planned. The </w:t>
      </w:r>
      <w:r w:rsidR="00EA3FC4" w:rsidRPr="009566F5">
        <w:rPr>
          <w:rFonts w:ascii="Arial" w:hAnsi="Arial" w:cs="Arial"/>
          <w:sz w:val="20"/>
          <w:szCs w:val="20"/>
        </w:rPr>
        <w:t xml:space="preserve">DG approved the </w:t>
      </w:r>
      <w:r w:rsidR="00EB3817" w:rsidRPr="009566F5">
        <w:rPr>
          <w:rFonts w:ascii="Arial" w:hAnsi="Arial" w:cs="Arial"/>
          <w:sz w:val="20"/>
          <w:szCs w:val="20"/>
        </w:rPr>
        <w:t xml:space="preserve">report on the implementation of the National Skills Development Strategy (NSDS) by the Sector Education and Training Authorities (SETAs). The programme achieved </w:t>
      </w:r>
      <w:r w:rsidR="00265B37" w:rsidRPr="009566F5">
        <w:rPr>
          <w:rFonts w:ascii="Arial" w:hAnsi="Arial" w:cs="Arial"/>
          <w:sz w:val="20"/>
          <w:szCs w:val="20"/>
        </w:rPr>
        <w:t xml:space="preserve">a </w:t>
      </w:r>
      <w:r w:rsidR="00EB3817" w:rsidRPr="009566F5">
        <w:rPr>
          <w:rFonts w:ascii="Arial" w:hAnsi="Arial" w:cs="Arial"/>
          <w:sz w:val="20"/>
          <w:szCs w:val="20"/>
        </w:rPr>
        <w:t xml:space="preserve">34-days average lead time from qualifying trade test applications received until trade </w:t>
      </w:r>
      <w:r w:rsidR="00265B37" w:rsidRPr="009566F5">
        <w:rPr>
          <w:rFonts w:ascii="Arial" w:hAnsi="Arial" w:cs="Arial"/>
          <w:sz w:val="20"/>
          <w:szCs w:val="20"/>
        </w:rPr>
        <w:t xml:space="preserve">the </w:t>
      </w:r>
      <w:r w:rsidR="00EB3817" w:rsidRPr="009566F5">
        <w:rPr>
          <w:rFonts w:ascii="Arial" w:hAnsi="Arial" w:cs="Arial"/>
          <w:sz w:val="20"/>
          <w:szCs w:val="20"/>
        </w:rPr>
        <w:t>test is conducted.</w:t>
      </w:r>
    </w:p>
    <w:p w:rsidR="00BA6032" w:rsidRPr="009566F5" w:rsidRDefault="00BA6032" w:rsidP="009566F5">
      <w:pPr>
        <w:spacing w:after="0" w:line="240" w:lineRule="auto"/>
        <w:rPr>
          <w:rFonts w:ascii="Arial" w:hAnsi="Arial" w:cs="Arial"/>
          <w:sz w:val="20"/>
          <w:szCs w:val="20"/>
        </w:rPr>
      </w:pPr>
      <w:r w:rsidRPr="009566F5">
        <w:rPr>
          <w:rFonts w:ascii="Arial" w:hAnsi="Arial" w:cs="Arial"/>
          <w:sz w:val="20"/>
          <w:szCs w:val="20"/>
        </w:rPr>
        <w:t>The programme has spent R149,1 million, against the quarterly available budget of R153.0 million, recording a lower than projected spending amounting to R3,9 million or 2.6 per cent.</w:t>
      </w:r>
    </w:p>
    <w:p w:rsidR="00BD5168" w:rsidRPr="009566F5" w:rsidRDefault="00BD5168" w:rsidP="009566F5">
      <w:pPr>
        <w:autoSpaceDE w:val="0"/>
        <w:autoSpaceDN w:val="0"/>
        <w:adjustRightInd w:val="0"/>
        <w:spacing w:after="0" w:line="240" w:lineRule="auto"/>
        <w:rPr>
          <w:rFonts w:ascii="Arial" w:hAnsi="Arial" w:cs="Arial"/>
          <w:color w:val="000000" w:themeColor="text1"/>
          <w:sz w:val="20"/>
          <w:szCs w:val="20"/>
        </w:rPr>
      </w:pP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(vi) Programme 6: Community Education and Training</w:t>
      </w:r>
    </w:p>
    <w:p w:rsidR="00CF256B" w:rsidRPr="009566F5" w:rsidRDefault="006003CD" w:rsidP="009566F5">
      <w:pPr>
        <w:tabs>
          <w:tab w:val="num" w:pos="1440"/>
        </w:tabs>
        <w:spacing w:after="0" w:line="240" w:lineRule="auto"/>
        <w:rPr>
          <w:rFonts w:ascii="Arial" w:hAnsi="Arial" w:cs="Arial"/>
          <w:sz w:val="20"/>
          <w:szCs w:val="20"/>
        </w:rPr>
      </w:pPr>
      <w:r w:rsidRPr="009566F5">
        <w:rPr>
          <w:rFonts w:ascii="Arial" w:hAnsi="Arial" w:cs="Arial"/>
          <w:sz w:val="20"/>
          <w:szCs w:val="20"/>
        </w:rPr>
        <w:t xml:space="preserve">The purpose of this Programme is to plan, develop, implement, monitor, maintain and evaluate national policy, programme assessment practices and systems for community education and training. </w:t>
      </w:r>
      <w:r w:rsidR="00CF256B" w:rsidRPr="009566F5">
        <w:rPr>
          <w:rFonts w:ascii="Arial" w:hAnsi="Arial" w:cs="Arial"/>
          <w:sz w:val="20"/>
          <w:szCs w:val="20"/>
        </w:rPr>
        <w:t xml:space="preserve">For the 2021/22 Second-Quarter, the programme had three targets, </w:t>
      </w:r>
      <w:r w:rsidR="00265B37" w:rsidRPr="009566F5">
        <w:rPr>
          <w:rFonts w:ascii="Arial" w:hAnsi="Arial" w:cs="Arial"/>
          <w:sz w:val="20"/>
          <w:szCs w:val="20"/>
        </w:rPr>
        <w:t xml:space="preserve">of </w:t>
      </w:r>
      <w:r w:rsidR="00CF256B" w:rsidRPr="009566F5">
        <w:rPr>
          <w:rFonts w:ascii="Arial" w:hAnsi="Arial" w:cs="Arial"/>
          <w:sz w:val="20"/>
          <w:szCs w:val="20"/>
        </w:rPr>
        <w:t>which two (2) were achieved. A submission and report on the implementation of teaching and learning improvement plans at CET colleges was approved by the DG by 30 September 2021 and the draft governance standards and regulations for the CET college councils were approved by the DG on 30 September 2021.</w:t>
      </w:r>
    </w:p>
    <w:p w:rsidR="00395F9F" w:rsidRPr="009566F5" w:rsidRDefault="003F4900" w:rsidP="009566F5">
      <w:pPr>
        <w:autoSpaceDE w:val="0"/>
        <w:autoSpaceDN w:val="0"/>
        <w:adjustRightInd w:val="0"/>
        <w:spacing w:after="0" w:line="240" w:lineRule="auto"/>
        <w:rPr>
          <w:rFonts w:ascii="Arial" w:hAnsi="Arial" w:cs="Arial"/>
          <w:sz w:val="20"/>
          <w:szCs w:val="20"/>
        </w:rPr>
      </w:pPr>
      <w:r w:rsidRPr="009566F5">
        <w:rPr>
          <w:rFonts w:ascii="Arial" w:hAnsi="Arial" w:cs="Arial"/>
          <w:sz w:val="20"/>
          <w:szCs w:val="20"/>
        </w:rPr>
        <w:t xml:space="preserve">The programme had spent </w:t>
      </w:r>
      <w:r w:rsidR="00CE5C88" w:rsidRPr="009566F5">
        <w:rPr>
          <w:rFonts w:ascii="Arial" w:hAnsi="Arial" w:cs="Arial"/>
          <w:sz w:val="20"/>
          <w:szCs w:val="20"/>
        </w:rPr>
        <w:t>R969,6 million, against the quarterly projected expenditure of R1,17 billion, recording a lower than projected expenditure amounting to R20</w:t>
      </w:r>
      <w:r w:rsidR="000D3D6C" w:rsidRPr="009566F5">
        <w:rPr>
          <w:rFonts w:ascii="Arial" w:hAnsi="Arial" w:cs="Arial"/>
          <w:sz w:val="20"/>
          <w:szCs w:val="20"/>
        </w:rPr>
        <w:t>3</w:t>
      </w:r>
      <w:r w:rsidR="00CE5C88" w:rsidRPr="009566F5">
        <w:rPr>
          <w:rFonts w:ascii="Arial" w:hAnsi="Arial" w:cs="Arial"/>
          <w:sz w:val="20"/>
          <w:szCs w:val="20"/>
        </w:rPr>
        <w:t>,6 million or 17,4 per cent.</w:t>
      </w:r>
      <w:r w:rsidR="00294DC0" w:rsidRPr="009566F5">
        <w:rPr>
          <w:rFonts w:ascii="Arial" w:hAnsi="Arial" w:cs="Arial"/>
          <w:sz w:val="20"/>
          <w:szCs w:val="20"/>
        </w:rPr>
        <w:t xml:space="preserve"> The underspending was due to unfilled vacant posts, as well as claims for CET examiners and lecturers that were not processed as the claims did not have all the necessary information.</w:t>
      </w:r>
    </w:p>
    <w:p w:rsidR="003A6FA4" w:rsidRPr="009566F5" w:rsidRDefault="003A6FA4" w:rsidP="009566F5">
      <w:pPr>
        <w:autoSpaceDE w:val="0"/>
        <w:autoSpaceDN w:val="0"/>
        <w:adjustRightInd w:val="0"/>
        <w:spacing w:after="0" w:line="240" w:lineRule="auto"/>
        <w:rPr>
          <w:rFonts w:ascii="Arial" w:hAnsi="Arial" w:cs="Arial"/>
          <w:sz w:val="20"/>
          <w:szCs w:val="20"/>
        </w:rPr>
      </w:pP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2.</w:t>
      </w:r>
      <w:r w:rsidR="00CB207F" w:rsidRPr="009566F5">
        <w:rPr>
          <w:rFonts w:ascii="Arial" w:hAnsi="Arial" w:cs="Arial"/>
          <w:b/>
          <w:sz w:val="20"/>
          <w:szCs w:val="20"/>
        </w:rPr>
        <w:t>2</w:t>
      </w:r>
      <w:r w:rsidRPr="009566F5">
        <w:rPr>
          <w:rFonts w:ascii="Arial" w:hAnsi="Arial" w:cs="Arial"/>
          <w:b/>
          <w:sz w:val="20"/>
          <w:szCs w:val="20"/>
        </w:rPr>
        <w:t>. 202</w:t>
      </w:r>
      <w:r w:rsidR="00314B55" w:rsidRPr="009566F5">
        <w:rPr>
          <w:rFonts w:ascii="Arial" w:hAnsi="Arial" w:cs="Arial"/>
          <w:b/>
          <w:sz w:val="20"/>
          <w:szCs w:val="20"/>
        </w:rPr>
        <w:t>1</w:t>
      </w:r>
      <w:r w:rsidRPr="009566F5">
        <w:rPr>
          <w:rFonts w:ascii="Arial" w:hAnsi="Arial" w:cs="Arial"/>
          <w:b/>
          <w:sz w:val="20"/>
          <w:szCs w:val="20"/>
        </w:rPr>
        <w:t>/2</w:t>
      </w:r>
      <w:r w:rsidR="00314B55" w:rsidRPr="009566F5">
        <w:rPr>
          <w:rFonts w:ascii="Arial" w:hAnsi="Arial" w:cs="Arial"/>
          <w:b/>
          <w:sz w:val="20"/>
          <w:szCs w:val="20"/>
        </w:rPr>
        <w:t>2</w:t>
      </w:r>
      <w:r w:rsidRPr="009566F5">
        <w:rPr>
          <w:rFonts w:ascii="Arial" w:hAnsi="Arial" w:cs="Arial"/>
          <w:b/>
          <w:sz w:val="20"/>
          <w:szCs w:val="20"/>
        </w:rPr>
        <w:t xml:space="preserve"> </w:t>
      </w:r>
      <w:r w:rsidR="0089177D" w:rsidRPr="009566F5">
        <w:rPr>
          <w:rFonts w:ascii="Arial" w:hAnsi="Arial" w:cs="Arial"/>
          <w:b/>
          <w:sz w:val="20"/>
          <w:szCs w:val="20"/>
        </w:rPr>
        <w:t>THIRD</w:t>
      </w:r>
      <w:r w:rsidR="004B16B4" w:rsidRPr="009566F5">
        <w:rPr>
          <w:rFonts w:ascii="Arial" w:hAnsi="Arial" w:cs="Arial"/>
          <w:b/>
          <w:sz w:val="20"/>
          <w:szCs w:val="20"/>
        </w:rPr>
        <w:t>-</w:t>
      </w:r>
      <w:r w:rsidRPr="009566F5">
        <w:rPr>
          <w:rFonts w:ascii="Arial" w:hAnsi="Arial" w:cs="Arial"/>
          <w:b/>
          <w:sz w:val="20"/>
          <w:szCs w:val="20"/>
        </w:rPr>
        <w:t>QUARTER PERFORMANCE</w:t>
      </w:r>
    </w:p>
    <w:p w:rsidR="006003CD" w:rsidRPr="009566F5" w:rsidRDefault="006003CD" w:rsidP="009566F5">
      <w:pPr>
        <w:spacing w:after="0" w:line="240" w:lineRule="auto"/>
        <w:rPr>
          <w:rFonts w:ascii="Arial" w:hAnsi="Arial" w:cs="Arial"/>
          <w:sz w:val="20"/>
          <w:szCs w:val="20"/>
        </w:rPr>
      </w:pPr>
      <w:r w:rsidRPr="009566F5">
        <w:rPr>
          <w:rFonts w:ascii="Arial" w:hAnsi="Arial" w:cs="Arial"/>
          <w:b/>
          <w:sz w:val="20"/>
          <w:szCs w:val="20"/>
        </w:rPr>
        <w:t>2.</w:t>
      </w:r>
      <w:r w:rsidR="00CB207F" w:rsidRPr="009566F5">
        <w:rPr>
          <w:rFonts w:ascii="Arial" w:hAnsi="Arial" w:cs="Arial"/>
          <w:b/>
          <w:sz w:val="20"/>
          <w:szCs w:val="20"/>
        </w:rPr>
        <w:t>2</w:t>
      </w:r>
      <w:r w:rsidRPr="009566F5">
        <w:rPr>
          <w:rFonts w:ascii="Arial" w:hAnsi="Arial" w:cs="Arial"/>
          <w:b/>
          <w:sz w:val="20"/>
          <w:szCs w:val="20"/>
        </w:rPr>
        <w:t xml:space="preserve">.1. Overview of the </w:t>
      </w:r>
      <w:r w:rsidR="00606E66" w:rsidRPr="009566F5">
        <w:rPr>
          <w:rFonts w:ascii="Arial" w:hAnsi="Arial" w:cs="Arial"/>
          <w:b/>
          <w:sz w:val="20"/>
          <w:szCs w:val="20"/>
        </w:rPr>
        <w:t>202</w:t>
      </w:r>
      <w:r w:rsidR="00CB207F" w:rsidRPr="009566F5">
        <w:rPr>
          <w:rFonts w:ascii="Arial" w:hAnsi="Arial" w:cs="Arial"/>
          <w:b/>
          <w:sz w:val="20"/>
          <w:szCs w:val="20"/>
        </w:rPr>
        <w:t>1</w:t>
      </w:r>
      <w:r w:rsidR="00606E66" w:rsidRPr="009566F5">
        <w:rPr>
          <w:rFonts w:ascii="Arial" w:hAnsi="Arial" w:cs="Arial"/>
          <w:b/>
          <w:sz w:val="20"/>
          <w:szCs w:val="20"/>
        </w:rPr>
        <w:t>/2</w:t>
      </w:r>
      <w:r w:rsidR="00CB207F" w:rsidRPr="009566F5">
        <w:rPr>
          <w:rFonts w:ascii="Arial" w:hAnsi="Arial" w:cs="Arial"/>
          <w:b/>
          <w:sz w:val="20"/>
          <w:szCs w:val="20"/>
        </w:rPr>
        <w:t>2</w:t>
      </w:r>
      <w:r w:rsidR="00606E66" w:rsidRPr="009566F5">
        <w:rPr>
          <w:rFonts w:ascii="Arial" w:hAnsi="Arial" w:cs="Arial"/>
          <w:b/>
          <w:sz w:val="20"/>
          <w:szCs w:val="20"/>
        </w:rPr>
        <w:t xml:space="preserve"> </w:t>
      </w:r>
      <w:r w:rsidR="0089177D" w:rsidRPr="009566F5">
        <w:rPr>
          <w:rFonts w:ascii="Arial" w:hAnsi="Arial" w:cs="Arial"/>
          <w:b/>
          <w:sz w:val="20"/>
          <w:szCs w:val="20"/>
        </w:rPr>
        <w:t>Third</w:t>
      </w:r>
      <w:r w:rsidR="004B16B4" w:rsidRPr="009566F5">
        <w:rPr>
          <w:rFonts w:ascii="Arial" w:hAnsi="Arial" w:cs="Arial"/>
          <w:b/>
          <w:sz w:val="20"/>
          <w:szCs w:val="20"/>
        </w:rPr>
        <w:t>-</w:t>
      </w:r>
      <w:r w:rsidRPr="009566F5">
        <w:rPr>
          <w:rFonts w:ascii="Arial" w:hAnsi="Arial" w:cs="Arial"/>
          <w:b/>
          <w:sz w:val="20"/>
          <w:szCs w:val="20"/>
        </w:rPr>
        <w:t xml:space="preserve">Quarter </w:t>
      </w:r>
      <w:r w:rsidR="00B13A30" w:rsidRPr="009566F5">
        <w:rPr>
          <w:rFonts w:ascii="Arial" w:hAnsi="Arial" w:cs="Arial"/>
          <w:b/>
          <w:sz w:val="20"/>
          <w:szCs w:val="20"/>
        </w:rPr>
        <w:t>Expenditure Report</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 xml:space="preserve">Table </w:t>
      </w:r>
      <w:r w:rsidR="00CB207F" w:rsidRPr="009566F5">
        <w:rPr>
          <w:rFonts w:ascii="Arial" w:hAnsi="Arial" w:cs="Arial"/>
          <w:b/>
          <w:sz w:val="20"/>
          <w:szCs w:val="20"/>
        </w:rPr>
        <w:t>2</w:t>
      </w:r>
      <w:r w:rsidRPr="009566F5">
        <w:rPr>
          <w:rFonts w:ascii="Arial" w:hAnsi="Arial" w:cs="Arial"/>
          <w:b/>
          <w:sz w:val="20"/>
          <w:szCs w:val="20"/>
        </w:rPr>
        <w:t xml:space="preserve">: Budget allocation and expenditure for the </w:t>
      </w:r>
      <w:r w:rsidR="0089177D" w:rsidRPr="009566F5">
        <w:rPr>
          <w:rFonts w:ascii="Arial" w:hAnsi="Arial" w:cs="Arial"/>
          <w:b/>
          <w:sz w:val="20"/>
          <w:szCs w:val="20"/>
        </w:rPr>
        <w:t>Third</w:t>
      </w:r>
      <w:r w:rsidR="004B16B4" w:rsidRPr="009566F5">
        <w:rPr>
          <w:rFonts w:ascii="Arial" w:hAnsi="Arial" w:cs="Arial"/>
          <w:b/>
          <w:sz w:val="20"/>
          <w:szCs w:val="20"/>
        </w:rPr>
        <w:t>-</w:t>
      </w:r>
      <w:r w:rsidRPr="009566F5">
        <w:rPr>
          <w:rFonts w:ascii="Arial" w:hAnsi="Arial" w:cs="Arial"/>
          <w:b/>
          <w:sz w:val="20"/>
          <w:szCs w:val="20"/>
        </w:rPr>
        <w:t>Quarter of the 202</w:t>
      </w:r>
      <w:r w:rsidR="00CB207F" w:rsidRPr="009566F5">
        <w:rPr>
          <w:rFonts w:ascii="Arial" w:hAnsi="Arial" w:cs="Arial"/>
          <w:b/>
          <w:sz w:val="20"/>
          <w:szCs w:val="20"/>
        </w:rPr>
        <w:t>1</w:t>
      </w:r>
      <w:r w:rsidRPr="009566F5">
        <w:rPr>
          <w:rFonts w:ascii="Arial" w:hAnsi="Arial" w:cs="Arial"/>
          <w:b/>
          <w:sz w:val="20"/>
          <w:szCs w:val="20"/>
        </w:rPr>
        <w:t>/2</w:t>
      </w:r>
      <w:r w:rsidR="00CB207F" w:rsidRPr="009566F5">
        <w:rPr>
          <w:rFonts w:ascii="Arial" w:hAnsi="Arial" w:cs="Arial"/>
          <w:b/>
          <w:sz w:val="20"/>
          <w:szCs w:val="20"/>
        </w:rPr>
        <w:t>2</w:t>
      </w:r>
      <w:r w:rsidRPr="009566F5">
        <w:rPr>
          <w:rFonts w:ascii="Arial" w:hAnsi="Arial" w:cs="Arial"/>
          <w:b/>
          <w:sz w:val="20"/>
          <w:szCs w:val="20"/>
        </w:rPr>
        <w:t xml:space="preserve"> financial year</w:t>
      </w:r>
    </w:p>
    <w:p w:rsidR="00643253" w:rsidRPr="009566F5" w:rsidRDefault="00643253" w:rsidP="009566F5">
      <w:pPr>
        <w:spacing w:after="0" w:line="240" w:lineRule="auto"/>
        <w:rPr>
          <w:rFonts w:ascii="Arial" w:hAnsi="Arial" w:cs="Arial"/>
          <w:b/>
          <w:sz w:val="20"/>
          <w:szCs w:val="20"/>
        </w:rPr>
      </w:pPr>
    </w:p>
    <w:p w:rsidR="00EA3FC4" w:rsidRPr="009566F5" w:rsidRDefault="00EA3FC4" w:rsidP="009566F5">
      <w:pPr>
        <w:spacing w:after="0" w:line="240" w:lineRule="auto"/>
        <w:rPr>
          <w:rFonts w:ascii="Arial" w:hAnsi="Arial" w:cs="Arial"/>
          <w:b/>
          <w:sz w:val="20"/>
          <w:szCs w:val="20"/>
        </w:rPr>
      </w:pPr>
    </w:p>
    <w:tbl>
      <w:tblPr>
        <w:tblStyle w:val="TableGrid"/>
        <w:tblW w:w="9938" w:type="dxa"/>
        <w:tblLook w:val="04A0"/>
      </w:tblPr>
      <w:tblGrid>
        <w:gridCol w:w="1541"/>
        <w:gridCol w:w="1178"/>
        <w:gridCol w:w="1350"/>
        <w:gridCol w:w="1388"/>
        <w:gridCol w:w="1385"/>
        <w:gridCol w:w="1588"/>
        <w:gridCol w:w="1508"/>
      </w:tblGrid>
      <w:tr w:rsidR="007547DD" w:rsidRPr="009566F5" w:rsidTr="007547DD">
        <w:tc>
          <w:tcPr>
            <w:tcW w:w="1550" w:type="dxa"/>
            <w:shd w:val="clear" w:color="auto" w:fill="E2EFD9" w:themeFill="accent6" w:themeFillTint="33"/>
            <w:vAlign w:val="bottom"/>
          </w:tcPr>
          <w:p w:rsidR="00314B55" w:rsidRPr="009566F5" w:rsidRDefault="00314B55"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R million</w:t>
            </w:r>
          </w:p>
          <w:p w:rsidR="00314B55" w:rsidRPr="009566F5" w:rsidRDefault="00314B55" w:rsidP="009566F5">
            <w:pPr>
              <w:rPr>
                <w:rFonts w:ascii="Arial" w:eastAsia="Times New Roman" w:hAnsi="Arial" w:cs="Arial"/>
                <w:b/>
                <w:bCs/>
                <w:color w:val="000000"/>
                <w:sz w:val="20"/>
                <w:szCs w:val="20"/>
                <w:lang w:eastAsia="en-ZA"/>
              </w:rPr>
            </w:pPr>
          </w:p>
          <w:p w:rsidR="00314B55" w:rsidRPr="009566F5" w:rsidRDefault="00314B55" w:rsidP="009566F5">
            <w:pPr>
              <w:rPr>
                <w:rFonts w:ascii="Arial" w:eastAsia="Times New Roman" w:hAnsi="Arial" w:cs="Arial"/>
                <w:b/>
                <w:bCs/>
                <w:color w:val="000000"/>
                <w:sz w:val="20"/>
                <w:szCs w:val="20"/>
                <w:lang w:eastAsia="en-ZA"/>
              </w:rPr>
            </w:pPr>
          </w:p>
          <w:p w:rsidR="00314B55" w:rsidRPr="009566F5" w:rsidRDefault="00314B55" w:rsidP="009566F5">
            <w:pPr>
              <w:rPr>
                <w:rFonts w:ascii="Arial" w:eastAsia="Times New Roman" w:hAnsi="Arial" w:cs="Arial"/>
                <w:b/>
                <w:bCs/>
                <w:color w:val="000000"/>
                <w:sz w:val="20"/>
                <w:szCs w:val="20"/>
                <w:lang w:eastAsia="en-ZA"/>
              </w:rPr>
            </w:pPr>
          </w:p>
        </w:tc>
        <w:tc>
          <w:tcPr>
            <w:tcW w:w="1190" w:type="dxa"/>
            <w:shd w:val="clear" w:color="auto" w:fill="E2EFD9" w:themeFill="accent6" w:themeFillTint="33"/>
            <w:vAlign w:val="bottom"/>
          </w:tcPr>
          <w:p w:rsidR="00314B55" w:rsidRPr="009566F5" w:rsidRDefault="007547DD"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Available budget</w:t>
            </w:r>
          </w:p>
          <w:p w:rsidR="007547DD" w:rsidRPr="009566F5" w:rsidRDefault="007547DD" w:rsidP="009566F5">
            <w:pPr>
              <w:rPr>
                <w:rFonts w:ascii="Arial" w:eastAsia="Times New Roman" w:hAnsi="Arial" w:cs="Arial"/>
                <w:b/>
                <w:color w:val="000000"/>
                <w:sz w:val="20"/>
                <w:szCs w:val="20"/>
                <w:lang w:eastAsia="en-ZA"/>
              </w:rPr>
            </w:pPr>
          </w:p>
          <w:p w:rsidR="007547DD" w:rsidRPr="009566F5" w:rsidRDefault="007547DD" w:rsidP="009566F5">
            <w:pPr>
              <w:rPr>
                <w:rFonts w:ascii="Arial" w:eastAsia="Times New Roman" w:hAnsi="Arial" w:cs="Arial"/>
                <w:b/>
                <w:color w:val="000000"/>
                <w:sz w:val="20"/>
                <w:szCs w:val="20"/>
                <w:lang w:eastAsia="en-ZA"/>
              </w:rPr>
            </w:pPr>
          </w:p>
        </w:tc>
        <w:tc>
          <w:tcPr>
            <w:tcW w:w="1221" w:type="dxa"/>
            <w:shd w:val="clear" w:color="auto" w:fill="E2EFD9" w:themeFill="accent6" w:themeFillTint="33"/>
            <w:vAlign w:val="bottom"/>
          </w:tcPr>
          <w:p w:rsidR="00314B55" w:rsidRPr="009566F5" w:rsidRDefault="007547DD"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Q3 Actual expenditure</w:t>
            </w:r>
          </w:p>
          <w:p w:rsidR="007547DD" w:rsidRPr="009566F5" w:rsidRDefault="007547DD" w:rsidP="009566F5">
            <w:pPr>
              <w:rPr>
                <w:rFonts w:ascii="Arial" w:eastAsia="Times New Roman" w:hAnsi="Arial" w:cs="Arial"/>
                <w:b/>
                <w:color w:val="000000"/>
                <w:sz w:val="20"/>
                <w:szCs w:val="20"/>
                <w:lang w:eastAsia="en-ZA"/>
              </w:rPr>
            </w:pPr>
          </w:p>
          <w:p w:rsidR="00314B55" w:rsidRPr="009566F5" w:rsidRDefault="00314B55" w:rsidP="009566F5">
            <w:pPr>
              <w:rPr>
                <w:rFonts w:ascii="Arial" w:eastAsia="Times New Roman" w:hAnsi="Arial" w:cs="Arial"/>
                <w:b/>
                <w:color w:val="000000"/>
                <w:sz w:val="20"/>
                <w:szCs w:val="20"/>
                <w:lang w:eastAsia="en-ZA"/>
              </w:rPr>
            </w:pPr>
          </w:p>
        </w:tc>
        <w:tc>
          <w:tcPr>
            <w:tcW w:w="1390" w:type="dxa"/>
            <w:shd w:val="clear" w:color="auto" w:fill="E2EFD9" w:themeFill="accent6" w:themeFillTint="33"/>
          </w:tcPr>
          <w:p w:rsidR="00314B55" w:rsidRPr="009566F5" w:rsidRDefault="007547DD" w:rsidP="009566F5">
            <w:pPr>
              <w:rPr>
                <w:rFonts w:ascii="Arial" w:hAnsi="Arial" w:cs="Arial"/>
                <w:b/>
                <w:sz w:val="20"/>
                <w:szCs w:val="20"/>
              </w:rPr>
            </w:pPr>
            <w:r w:rsidRPr="009566F5">
              <w:rPr>
                <w:rFonts w:ascii="Arial" w:hAnsi="Arial" w:cs="Arial"/>
                <w:b/>
                <w:sz w:val="20"/>
                <w:szCs w:val="20"/>
              </w:rPr>
              <w:t>Expenditure as % of available budget</w:t>
            </w:r>
          </w:p>
        </w:tc>
        <w:tc>
          <w:tcPr>
            <w:tcW w:w="1391" w:type="dxa"/>
            <w:shd w:val="clear" w:color="auto" w:fill="E2EFD9" w:themeFill="accent6" w:themeFillTint="33"/>
          </w:tcPr>
          <w:p w:rsidR="00314B55" w:rsidRPr="009566F5" w:rsidRDefault="007547DD" w:rsidP="009566F5">
            <w:pPr>
              <w:rPr>
                <w:rFonts w:ascii="Arial" w:hAnsi="Arial" w:cs="Arial"/>
                <w:b/>
                <w:sz w:val="20"/>
                <w:szCs w:val="20"/>
              </w:rPr>
            </w:pPr>
            <w:r w:rsidRPr="009566F5">
              <w:rPr>
                <w:rFonts w:ascii="Arial" w:hAnsi="Arial" w:cs="Arial"/>
                <w:b/>
                <w:sz w:val="20"/>
                <w:szCs w:val="20"/>
              </w:rPr>
              <w:t>Q3 Projected expenditure</w:t>
            </w:r>
          </w:p>
        </w:tc>
        <w:tc>
          <w:tcPr>
            <w:tcW w:w="1626" w:type="dxa"/>
            <w:shd w:val="clear" w:color="auto" w:fill="E2EFD9" w:themeFill="accent6" w:themeFillTint="33"/>
          </w:tcPr>
          <w:p w:rsidR="00314B55" w:rsidRPr="009566F5" w:rsidRDefault="00D02850" w:rsidP="009566F5">
            <w:pPr>
              <w:rPr>
                <w:rFonts w:ascii="Arial" w:hAnsi="Arial" w:cs="Arial"/>
                <w:b/>
                <w:sz w:val="20"/>
                <w:szCs w:val="20"/>
              </w:rPr>
            </w:pPr>
            <w:r w:rsidRPr="009566F5">
              <w:rPr>
                <w:rFonts w:ascii="Arial" w:hAnsi="Arial" w:cs="Arial"/>
                <w:b/>
                <w:sz w:val="20"/>
                <w:szCs w:val="20"/>
              </w:rPr>
              <w:t>Variance from projected expenditure</w:t>
            </w:r>
            <w:r w:rsidR="00314B55" w:rsidRPr="009566F5">
              <w:rPr>
                <w:rFonts w:ascii="Arial" w:hAnsi="Arial" w:cs="Arial"/>
                <w:b/>
                <w:sz w:val="20"/>
                <w:szCs w:val="20"/>
              </w:rPr>
              <w:t xml:space="preserve"> </w:t>
            </w:r>
          </w:p>
        </w:tc>
        <w:tc>
          <w:tcPr>
            <w:tcW w:w="1570" w:type="dxa"/>
            <w:shd w:val="clear" w:color="auto" w:fill="E2EFD9" w:themeFill="accent6" w:themeFillTint="33"/>
          </w:tcPr>
          <w:p w:rsidR="00314B55" w:rsidRPr="009566F5" w:rsidRDefault="00D02850" w:rsidP="009566F5">
            <w:pPr>
              <w:rPr>
                <w:rFonts w:ascii="Arial" w:hAnsi="Arial" w:cs="Arial"/>
                <w:b/>
                <w:sz w:val="20"/>
                <w:szCs w:val="20"/>
              </w:rPr>
            </w:pPr>
            <w:r w:rsidRPr="009566F5">
              <w:rPr>
                <w:rFonts w:ascii="Arial" w:hAnsi="Arial" w:cs="Arial"/>
                <w:b/>
                <w:sz w:val="20"/>
                <w:szCs w:val="20"/>
              </w:rPr>
              <w:t xml:space="preserve">% variance from projected spending </w:t>
            </w:r>
          </w:p>
        </w:tc>
      </w:tr>
      <w:tr w:rsidR="00200396" w:rsidRPr="009566F5" w:rsidTr="00A17911">
        <w:tc>
          <w:tcPr>
            <w:tcW w:w="9938" w:type="dxa"/>
            <w:gridSpan w:val="7"/>
            <w:vAlign w:val="bottom"/>
          </w:tcPr>
          <w:p w:rsidR="00200396" w:rsidRPr="009566F5" w:rsidRDefault="00200396" w:rsidP="009566F5">
            <w:pPr>
              <w:rPr>
                <w:rFonts w:ascii="Arial" w:hAnsi="Arial" w:cs="Arial"/>
                <w:b/>
                <w:sz w:val="20"/>
                <w:szCs w:val="20"/>
              </w:rPr>
            </w:pP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Administration</w:t>
            </w:r>
          </w:p>
        </w:tc>
        <w:tc>
          <w:tcPr>
            <w:tcW w:w="1190" w:type="dxa"/>
          </w:tcPr>
          <w:p w:rsidR="007547DD" w:rsidRPr="009566F5" w:rsidRDefault="007547DD" w:rsidP="009566F5">
            <w:pPr>
              <w:rPr>
                <w:rFonts w:ascii="Arial" w:hAnsi="Arial" w:cs="Arial"/>
                <w:sz w:val="20"/>
                <w:szCs w:val="20"/>
              </w:rPr>
            </w:pPr>
            <w:r w:rsidRPr="009566F5">
              <w:rPr>
                <w:rFonts w:ascii="Arial" w:hAnsi="Arial" w:cs="Arial"/>
                <w:sz w:val="20"/>
                <w:szCs w:val="20"/>
              </w:rPr>
              <w:t>463.6</w:t>
            </w:r>
          </w:p>
        </w:tc>
        <w:tc>
          <w:tcPr>
            <w:tcW w:w="1221" w:type="dxa"/>
          </w:tcPr>
          <w:p w:rsidR="007547DD" w:rsidRPr="009566F5" w:rsidRDefault="007547DD" w:rsidP="009566F5">
            <w:pPr>
              <w:rPr>
                <w:rFonts w:ascii="Arial" w:hAnsi="Arial" w:cs="Arial"/>
                <w:sz w:val="20"/>
                <w:szCs w:val="20"/>
              </w:rPr>
            </w:pPr>
            <w:r w:rsidRPr="009566F5">
              <w:rPr>
                <w:rFonts w:ascii="Arial" w:hAnsi="Arial" w:cs="Arial"/>
                <w:sz w:val="20"/>
                <w:szCs w:val="20"/>
              </w:rPr>
              <w:t>311.9</w:t>
            </w:r>
          </w:p>
        </w:tc>
        <w:tc>
          <w:tcPr>
            <w:tcW w:w="1390" w:type="dxa"/>
          </w:tcPr>
          <w:p w:rsidR="007547DD" w:rsidRPr="009566F5" w:rsidRDefault="007547DD" w:rsidP="009566F5">
            <w:pPr>
              <w:rPr>
                <w:rFonts w:ascii="Arial" w:hAnsi="Arial" w:cs="Arial"/>
                <w:sz w:val="20"/>
                <w:szCs w:val="20"/>
              </w:rPr>
            </w:pPr>
            <w:r w:rsidRPr="009566F5">
              <w:rPr>
                <w:rFonts w:ascii="Arial" w:hAnsi="Arial" w:cs="Arial"/>
                <w:sz w:val="20"/>
                <w:szCs w:val="20"/>
              </w:rPr>
              <w:t>67.3%</w:t>
            </w:r>
          </w:p>
        </w:tc>
        <w:tc>
          <w:tcPr>
            <w:tcW w:w="1391" w:type="dxa"/>
          </w:tcPr>
          <w:p w:rsidR="007547DD" w:rsidRPr="009566F5" w:rsidRDefault="007547DD" w:rsidP="009566F5">
            <w:pPr>
              <w:rPr>
                <w:rFonts w:ascii="Arial" w:hAnsi="Arial" w:cs="Arial"/>
                <w:sz w:val="20"/>
                <w:szCs w:val="20"/>
              </w:rPr>
            </w:pPr>
            <w:r w:rsidRPr="009566F5">
              <w:rPr>
                <w:rFonts w:ascii="Arial" w:hAnsi="Arial" w:cs="Arial"/>
                <w:sz w:val="20"/>
                <w:szCs w:val="20"/>
              </w:rPr>
              <w:t>324.2</w:t>
            </w:r>
          </w:p>
        </w:tc>
        <w:tc>
          <w:tcPr>
            <w:tcW w:w="1626" w:type="dxa"/>
          </w:tcPr>
          <w:p w:rsidR="007547DD" w:rsidRPr="009566F5" w:rsidRDefault="007547DD" w:rsidP="009566F5">
            <w:pPr>
              <w:rPr>
                <w:rFonts w:ascii="Arial" w:hAnsi="Arial" w:cs="Arial"/>
                <w:sz w:val="20"/>
                <w:szCs w:val="20"/>
              </w:rPr>
            </w:pPr>
            <w:r w:rsidRPr="009566F5">
              <w:rPr>
                <w:rFonts w:ascii="Arial" w:hAnsi="Arial" w:cs="Arial"/>
                <w:sz w:val="20"/>
                <w:szCs w:val="20"/>
              </w:rPr>
              <w:t>12.3</w:t>
            </w:r>
          </w:p>
        </w:tc>
        <w:tc>
          <w:tcPr>
            <w:tcW w:w="1570" w:type="dxa"/>
          </w:tcPr>
          <w:p w:rsidR="007547DD" w:rsidRPr="009566F5" w:rsidRDefault="007547DD" w:rsidP="009566F5">
            <w:pPr>
              <w:rPr>
                <w:rFonts w:ascii="Arial" w:hAnsi="Arial" w:cs="Arial"/>
                <w:sz w:val="20"/>
                <w:szCs w:val="20"/>
              </w:rPr>
            </w:pPr>
            <w:r w:rsidRPr="009566F5">
              <w:rPr>
                <w:rFonts w:ascii="Arial" w:hAnsi="Arial" w:cs="Arial"/>
                <w:sz w:val="20"/>
                <w:szCs w:val="20"/>
              </w:rPr>
              <w:t>3.8%</w:t>
            </w: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Planning, Policy and Strategy</w:t>
            </w:r>
          </w:p>
        </w:tc>
        <w:tc>
          <w:tcPr>
            <w:tcW w:w="119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239.8</w:t>
            </w:r>
          </w:p>
        </w:tc>
        <w:tc>
          <w:tcPr>
            <w:tcW w:w="1221"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161.3</w:t>
            </w:r>
          </w:p>
        </w:tc>
        <w:tc>
          <w:tcPr>
            <w:tcW w:w="139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67.3%</w:t>
            </w:r>
          </w:p>
        </w:tc>
        <w:tc>
          <w:tcPr>
            <w:tcW w:w="1391"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172.2</w:t>
            </w:r>
          </w:p>
        </w:tc>
        <w:tc>
          <w:tcPr>
            <w:tcW w:w="1626"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10.9</w:t>
            </w:r>
          </w:p>
        </w:tc>
        <w:tc>
          <w:tcPr>
            <w:tcW w:w="157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6.3%</w:t>
            </w: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University Education</w:t>
            </w:r>
          </w:p>
        </w:tc>
        <w:tc>
          <w:tcPr>
            <w:tcW w:w="1190"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81 925.2</w:t>
            </w:r>
          </w:p>
        </w:tc>
        <w:tc>
          <w:tcPr>
            <w:tcW w:w="1221"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80 335.1</w:t>
            </w:r>
          </w:p>
        </w:tc>
        <w:tc>
          <w:tcPr>
            <w:tcW w:w="139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98.1%</w:t>
            </w:r>
          </w:p>
        </w:tc>
        <w:tc>
          <w:tcPr>
            <w:tcW w:w="1391"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80 599.5</w:t>
            </w:r>
          </w:p>
        </w:tc>
        <w:tc>
          <w:tcPr>
            <w:tcW w:w="1626"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264.4</w:t>
            </w:r>
          </w:p>
        </w:tc>
        <w:tc>
          <w:tcPr>
            <w:tcW w:w="157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0.3%</w:t>
            </w: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Technical and Vocational Education and Training</w:t>
            </w:r>
          </w:p>
        </w:tc>
        <w:tc>
          <w:tcPr>
            <w:tcW w:w="1190"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12 440.8</w:t>
            </w:r>
          </w:p>
        </w:tc>
        <w:tc>
          <w:tcPr>
            <w:tcW w:w="1221"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8 326.0</w:t>
            </w:r>
          </w:p>
        </w:tc>
        <w:tc>
          <w:tcPr>
            <w:tcW w:w="139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66.9%</w:t>
            </w:r>
          </w:p>
        </w:tc>
        <w:tc>
          <w:tcPr>
            <w:tcW w:w="1391"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8 632.7</w:t>
            </w:r>
          </w:p>
        </w:tc>
        <w:tc>
          <w:tcPr>
            <w:tcW w:w="1626"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306.8</w:t>
            </w:r>
          </w:p>
        </w:tc>
        <w:tc>
          <w:tcPr>
            <w:tcW w:w="1570" w:type="dxa"/>
          </w:tcPr>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p>
          <w:p w:rsidR="007547DD" w:rsidRPr="009566F5" w:rsidRDefault="007547DD" w:rsidP="009566F5">
            <w:pPr>
              <w:rPr>
                <w:rFonts w:ascii="Arial" w:hAnsi="Arial" w:cs="Arial"/>
                <w:sz w:val="20"/>
                <w:szCs w:val="20"/>
              </w:rPr>
            </w:pPr>
            <w:r w:rsidRPr="009566F5">
              <w:rPr>
                <w:rFonts w:ascii="Arial" w:hAnsi="Arial" w:cs="Arial"/>
                <w:sz w:val="20"/>
                <w:szCs w:val="20"/>
              </w:rPr>
              <w:t>3.6%</w:t>
            </w: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Skills Development</w:t>
            </w:r>
          </w:p>
        </w:tc>
        <w:tc>
          <w:tcPr>
            <w:tcW w:w="1190"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450.0</w:t>
            </w:r>
          </w:p>
        </w:tc>
        <w:tc>
          <w:tcPr>
            <w:tcW w:w="1221" w:type="dxa"/>
            <w:vAlign w:val="bottom"/>
          </w:tcPr>
          <w:p w:rsidR="007547DD" w:rsidRPr="009566F5" w:rsidRDefault="00565A94"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221.2</w:t>
            </w:r>
          </w:p>
        </w:tc>
        <w:tc>
          <w:tcPr>
            <w:tcW w:w="1390" w:type="dxa"/>
          </w:tcPr>
          <w:p w:rsidR="00565A94" w:rsidRPr="009566F5" w:rsidRDefault="00565A94" w:rsidP="009566F5">
            <w:pPr>
              <w:rPr>
                <w:rFonts w:ascii="Arial" w:hAnsi="Arial" w:cs="Arial"/>
                <w:sz w:val="20"/>
                <w:szCs w:val="20"/>
              </w:rPr>
            </w:pPr>
          </w:p>
          <w:p w:rsidR="007547DD" w:rsidRPr="009566F5" w:rsidRDefault="00565A94" w:rsidP="009566F5">
            <w:pPr>
              <w:rPr>
                <w:rFonts w:ascii="Arial" w:hAnsi="Arial" w:cs="Arial"/>
                <w:sz w:val="20"/>
                <w:szCs w:val="20"/>
              </w:rPr>
            </w:pPr>
            <w:r w:rsidRPr="009566F5">
              <w:rPr>
                <w:rFonts w:ascii="Arial" w:hAnsi="Arial" w:cs="Arial"/>
                <w:sz w:val="20"/>
                <w:szCs w:val="20"/>
              </w:rPr>
              <w:t>49.1%</w:t>
            </w:r>
          </w:p>
        </w:tc>
        <w:tc>
          <w:tcPr>
            <w:tcW w:w="1391"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243.8</w:t>
            </w:r>
          </w:p>
        </w:tc>
        <w:tc>
          <w:tcPr>
            <w:tcW w:w="1626"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22.7</w:t>
            </w:r>
          </w:p>
        </w:tc>
        <w:tc>
          <w:tcPr>
            <w:tcW w:w="1570"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9.3%</w:t>
            </w:r>
          </w:p>
        </w:tc>
      </w:tr>
      <w:tr w:rsidR="007547DD" w:rsidRPr="009566F5" w:rsidTr="007547DD">
        <w:tc>
          <w:tcPr>
            <w:tcW w:w="1550" w:type="dxa"/>
            <w:vAlign w:val="bottom"/>
          </w:tcPr>
          <w:p w:rsidR="007547DD" w:rsidRPr="009566F5" w:rsidRDefault="007547DD" w:rsidP="009566F5">
            <w:pPr>
              <w:rPr>
                <w:rFonts w:ascii="Arial" w:eastAsia="Times New Roman" w:hAnsi="Arial" w:cs="Arial"/>
                <w:bCs/>
                <w:color w:val="000000"/>
                <w:sz w:val="20"/>
                <w:szCs w:val="20"/>
                <w:lang w:eastAsia="en-ZA"/>
              </w:rPr>
            </w:pPr>
            <w:r w:rsidRPr="009566F5">
              <w:rPr>
                <w:rFonts w:ascii="Arial" w:eastAsia="Times New Roman" w:hAnsi="Arial" w:cs="Arial"/>
                <w:bCs/>
                <w:color w:val="000000"/>
                <w:sz w:val="20"/>
                <w:szCs w:val="20"/>
                <w:lang w:eastAsia="en-ZA"/>
              </w:rPr>
              <w:t>Community Education and Training</w:t>
            </w:r>
          </w:p>
        </w:tc>
        <w:tc>
          <w:tcPr>
            <w:tcW w:w="1190" w:type="dxa"/>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2 369.5</w:t>
            </w:r>
          </w:p>
        </w:tc>
        <w:tc>
          <w:tcPr>
            <w:tcW w:w="1221" w:type="dxa"/>
            <w:vAlign w:val="bottom"/>
          </w:tcPr>
          <w:p w:rsidR="007547DD" w:rsidRPr="009566F5" w:rsidRDefault="00565A94"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1 593.0</w:t>
            </w:r>
          </w:p>
        </w:tc>
        <w:tc>
          <w:tcPr>
            <w:tcW w:w="1390"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67.2%</w:t>
            </w:r>
          </w:p>
        </w:tc>
        <w:tc>
          <w:tcPr>
            <w:tcW w:w="1391"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1 620.3</w:t>
            </w:r>
          </w:p>
        </w:tc>
        <w:tc>
          <w:tcPr>
            <w:tcW w:w="1626"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27.3</w:t>
            </w:r>
          </w:p>
        </w:tc>
        <w:tc>
          <w:tcPr>
            <w:tcW w:w="1570" w:type="dxa"/>
          </w:tcPr>
          <w:p w:rsidR="007547DD" w:rsidRPr="009566F5" w:rsidRDefault="007547DD" w:rsidP="009566F5">
            <w:pPr>
              <w:rPr>
                <w:rFonts w:ascii="Arial" w:hAnsi="Arial" w:cs="Arial"/>
                <w:sz w:val="20"/>
                <w:szCs w:val="20"/>
              </w:rPr>
            </w:pPr>
          </w:p>
          <w:p w:rsidR="00565A94" w:rsidRPr="009566F5" w:rsidRDefault="00565A94" w:rsidP="009566F5">
            <w:pPr>
              <w:rPr>
                <w:rFonts w:ascii="Arial" w:hAnsi="Arial" w:cs="Arial"/>
                <w:sz w:val="20"/>
                <w:szCs w:val="20"/>
              </w:rPr>
            </w:pPr>
          </w:p>
          <w:p w:rsidR="00565A94" w:rsidRPr="009566F5" w:rsidRDefault="00565A94" w:rsidP="009566F5">
            <w:pPr>
              <w:rPr>
                <w:rFonts w:ascii="Arial" w:hAnsi="Arial" w:cs="Arial"/>
                <w:sz w:val="20"/>
                <w:szCs w:val="20"/>
              </w:rPr>
            </w:pPr>
            <w:r w:rsidRPr="009566F5">
              <w:rPr>
                <w:rFonts w:ascii="Arial" w:hAnsi="Arial" w:cs="Arial"/>
                <w:sz w:val="20"/>
                <w:szCs w:val="20"/>
              </w:rPr>
              <w:t>1.7%</w:t>
            </w:r>
          </w:p>
        </w:tc>
      </w:tr>
      <w:tr w:rsidR="007547DD" w:rsidRPr="009566F5" w:rsidTr="007547DD">
        <w:tc>
          <w:tcPr>
            <w:tcW w:w="1550" w:type="dxa"/>
            <w:tcBorders>
              <w:bottom w:val="single" w:sz="4" w:space="0" w:color="auto"/>
            </w:tcBorders>
            <w:shd w:val="clear" w:color="auto" w:fill="D9D9D9" w:themeFill="background1" w:themeFillShade="D9"/>
            <w:vAlign w:val="bottom"/>
          </w:tcPr>
          <w:p w:rsidR="007547DD" w:rsidRPr="009566F5" w:rsidRDefault="007547DD" w:rsidP="009566F5">
            <w:pPr>
              <w:rPr>
                <w:rFonts w:ascii="Arial" w:eastAsia="Times New Roman" w:hAnsi="Arial" w:cs="Arial"/>
                <w:b/>
                <w:bCs/>
                <w:color w:val="000000"/>
                <w:sz w:val="20"/>
                <w:szCs w:val="20"/>
                <w:lang w:eastAsia="en-ZA"/>
              </w:rPr>
            </w:pPr>
          </w:p>
          <w:p w:rsidR="007547DD" w:rsidRPr="009566F5" w:rsidRDefault="007547DD"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 xml:space="preserve">Sub-total </w:t>
            </w:r>
          </w:p>
        </w:tc>
        <w:tc>
          <w:tcPr>
            <w:tcW w:w="1190" w:type="dxa"/>
            <w:tcBorders>
              <w:bottom w:val="single" w:sz="4" w:space="0" w:color="auto"/>
            </w:tcBorders>
            <w:shd w:val="clear" w:color="auto" w:fill="D9D9D9" w:themeFill="background1" w:themeFillShade="D9"/>
            <w:vAlign w:val="bottom"/>
          </w:tcPr>
          <w:p w:rsidR="007547DD" w:rsidRPr="009566F5" w:rsidRDefault="007547DD"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97 889.0</w:t>
            </w:r>
          </w:p>
        </w:tc>
        <w:tc>
          <w:tcPr>
            <w:tcW w:w="1221" w:type="dxa"/>
            <w:tcBorders>
              <w:bottom w:val="single" w:sz="4" w:space="0" w:color="auto"/>
            </w:tcBorders>
            <w:shd w:val="clear" w:color="auto" w:fill="D9D9D9" w:themeFill="background1" w:themeFillShade="D9"/>
            <w:vAlign w:val="bottom"/>
          </w:tcPr>
          <w:p w:rsidR="007547DD" w:rsidRPr="009566F5" w:rsidRDefault="00565A94"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90 948.4</w:t>
            </w:r>
          </w:p>
        </w:tc>
        <w:tc>
          <w:tcPr>
            <w:tcW w:w="1390" w:type="dxa"/>
            <w:tcBorders>
              <w:bottom w:val="single" w:sz="4" w:space="0" w:color="auto"/>
            </w:tcBorders>
            <w:shd w:val="clear" w:color="auto" w:fill="D9D9D9" w:themeFill="background1" w:themeFillShade="D9"/>
          </w:tcPr>
          <w:p w:rsidR="007547DD" w:rsidRPr="009566F5" w:rsidRDefault="007547DD" w:rsidP="009566F5">
            <w:pPr>
              <w:rPr>
                <w:rFonts w:ascii="Arial" w:hAnsi="Arial" w:cs="Arial"/>
                <w:b/>
                <w:sz w:val="20"/>
                <w:szCs w:val="20"/>
              </w:rPr>
            </w:pPr>
          </w:p>
          <w:p w:rsidR="00565A94" w:rsidRPr="009566F5" w:rsidRDefault="00565A94" w:rsidP="009566F5">
            <w:pPr>
              <w:rPr>
                <w:rFonts w:ascii="Arial" w:hAnsi="Arial" w:cs="Arial"/>
                <w:b/>
                <w:sz w:val="20"/>
                <w:szCs w:val="20"/>
              </w:rPr>
            </w:pPr>
            <w:r w:rsidRPr="009566F5">
              <w:rPr>
                <w:rFonts w:ascii="Arial" w:hAnsi="Arial" w:cs="Arial"/>
                <w:b/>
                <w:sz w:val="20"/>
                <w:szCs w:val="20"/>
              </w:rPr>
              <w:t>92.9%</w:t>
            </w:r>
          </w:p>
        </w:tc>
        <w:tc>
          <w:tcPr>
            <w:tcW w:w="1391" w:type="dxa"/>
            <w:tcBorders>
              <w:bottom w:val="single" w:sz="4" w:space="0" w:color="auto"/>
            </w:tcBorders>
            <w:shd w:val="clear" w:color="auto" w:fill="D9D9D9" w:themeFill="background1" w:themeFillShade="D9"/>
          </w:tcPr>
          <w:p w:rsidR="007547DD" w:rsidRPr="009566F5" w:rsidRDefault="007547DD" w:rsidP="009566F5">
            <w:pPr>
              <w:rPr>
                <w:rFonts w:ascii="Arial" w:hAnsi="Arial" w:cs="Arial"/>
                <w:b/>
                <w:sz w:val="20"/>
                <w:szCs w:val="20"/>
              </w:rPr>
            </w:pPr>
          </w:p>
          <w:p w:rsidR="00565A94" w:rsidRPr="009566F5" w:rsidRDefault="00565A94" w:rsidP="009566F5">
            <w:pPr>
              <w:rPr>
                <w:rFonts w:ascii="Arial" w:hAnsi="Arial" w:cs="Arial"/>
                <w:b/>
                <w:sz w:val="20"/>
                <w:szCs w:val="20"/>
              </w:rPr>
            </w:pPr>
            <w:r w:rsidRPr="009566F5">
              <w:rPr>
                <w:rFonts w:ascii="Arial" w:hAnsi="Arial" w:cs="Arial"/>
                <w:b/>
                <w:sz w:val="20"/>
                <w:szCs w:val="20"/>
              </w:rPr>
              <w:t>91 592.7</w:t>
            </w:r>
          </w:p>
        </w:tc>
        <w:tc>
          <w:tcPr>
            <w:tcW w:w="1626" w:type="dxa"/>
            <w:tcBorders>
              <w:bottom w:val="single" w:sz="4" w:space="0" w:color="auto"/>
            </w:tcBorders>
            <w:shd w:val="clear" w:color="auto" w:fill="D9D9D9" w:themeFill="background1" w:themeFillShade="D9"/>
          </w:tcPr>
          <w:p w:rsidR="007547DD" w:rsidRPr="009566F5" w:rsidRDefault="007547DD" w:rsidP="009566F5">
            <w:pPr>
              <w:rPr>
                <w:rFonts w:ascii="Arial" w:hAnsi="Arial" w:cs="Arial"/>
                <w:b/>
                <w:sz w:val="20"/>
                <w:szCs w:val="20"/>
              </w:rPr>
            </w:pPr>
          </w:p>
          <w:p w:rsidR="00565A94" w:rsidRPr="009566F5" w:rsidRDefault="00565A94" w:rsidP="009566F5">
            <w:pPr>
              <w:rPr>
                <w:rFonts w:ascii="Arial" w:hAnsi="Arial" w:cs="Arial"/>
                <w:b/>
                <w:sz w:val="20"/>
                <w:szCs w:val="20"/>
              </w:rPr>
            </w:pPr>
            <w:r w:rsidRPr="009566F5">
              <w:rPr>
                <w:rFonts w:ascii="Arial" w:hAnsi="Arial" w:cs="Arial"/>
                <w:b/>
                <w:sz w:val="20"/>
                <w:szCs w:val="20"/>
              </w:rPr>
              <w:t>644.3</w:t>
            </w:r>
          </w:p>
        </w:tc>
        <w:tc>
          <w:tcPr>
            <w:tcW w:w="1570" w:type="dxa"/>
            <w:tcBorders>
              <w:bottom w:val="single" w:sz="4" w:space="0" w:color="auto"/>
            </w:tcBorders>
            <w:shd w:val="clear" w:color="auto" w:fill="D9D9D9" w:themeFill="background1" w:themeFillShade="D9"/>
          </w:tcPr>
          <w:p w:rsidR="007547DD" w:rsidRPr="009566F5" w:rsidRDefault="007547DD" w:rsidP="009566F5">
            <w:pPr>
              <w:rPr>
                <w:rFonts w:ascii="Arial" w:hAnsi="Arial" w:cs="Arial"/>
                <w:b/>
                <w:sz w:val="20"/>
                <w:szCs w:val="20"/>
              </w:rPr>
            </w:pPr>
          </w:p>
          <w:p w:rsidR="00565A94" w:rsidRPr="009566F5" w:rsidRDefault="00565A94" w:rsidP="009566F5">
            <w:pPr>
              <w:rPr>
                <w:rFonts w:ascii="Arial" w:hAnsi="Arial" w:cs="Arial"/>
                <w:b/>
                <w:sz w:val="20"/>
                <w:szCs w:val="20"/>
              </w:rPr>
            </w:pPr>
            <w:r w:rsidRPr="009566F5">
              <w:rPr>
                <w:rFonts w:ascii="Arial" w:hAnsi="Arial" w:cs="Arial"/>
                <w:b/>
                <w:sz w:val="20"/>
                <w:szCs w:val="20"/>
              </w:rPr>
              <w:t>0.7%</w:t>
            </w:r>
          </w:p>
        </w:tc>
      </w:tr>
      <w:tr w:rsidR="007547DD" w:rsidRPr="009566F5" w:rsidTr="007547DD">
        <w:tc>
          <w:tcPr>
            <w:tcW w:w="1550" w:type="dxa"/>
            <w:tcBorders>
              <w:bottom w:val="nil"/>
            </w:tcBorders>
            <w:shd w:val="clear" w:color="auto" w:fill="FFFFFF" w:themeFill="background1"/>
            <w:vAlign w:val="bottom"/>
          </w:tcPr>
          <w:p w:rsidR="007547DD" w:rsidRPr="009566F5" w:rsidRDefault="007547DD"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Direct charges</w:t>
            </w:r>
          </w:p>
        </w:tc>
        <w:tc>
          <w:tcPr>
            <w:tcW w:w="1190" w:type="dxa"/>
            <w:tcBorders>
              <w:bottom w:val="nil"/>
            </w:tcBorders>
            <w:shd w:val="clear" w:color="auto" w:fill="FFFFFF" w:themeFill="background1"/>
            <w:vAlign w:val="bottom"/>
          </w:tcPr>
          <w:p w:rsidR="007547DD" w:rsidRPr="009566F5" w:rsidRDefault="007547DD"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18 932.8</w:t>
            </w:r>
          </w:p>
          <w:p w:rsidR="009864F0" w:rsidRPr="009566F5" w:rsidRDefault="009864F0" w:rsidP="009566F5">
            <w:pPr>
              <w:rPr>
                <w:rFonts w:ascii="Arial" w:eastAsia="Times New Roman" w:hAnsi="Arial" w:cs="Arial"/>
                <w:b/>
                <w:color w:val="000000"/>
                <w:sz w:val="20"/>
                <w:szCs w:val="20"/>
                <w:lang w:eastAsia="en-ZA"/>
              </w:rPr>
            </w:pPr>
          </w:p>
        </w:tc>
        <w:tc>
          <w:tcPr>
            <w:tcW w:w="1221" w:type="dxa"/>
            <w:tcBorders>
              <w:bottom w:val="nil"/>
            </w:tcBorders>
            <w:shd w:val="clear" w:color="auto" w:fill="FFFFFF" w:themeFill="background1"/>
            <w:vAlign w:val="bottom"/>
          </w:tcPr>
          <w:p w:rsidR="007547DD" w:rsidRPr="009566F5" w:rsidRDefault="00565A94"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13 925.4</w:t>
            </w:r>
          </w:p>
          <w:p w:rsidR="009864F0" w:rsidRPr="009566F5" w:rsidRDefault="009864F0" w:rsidP="009566F5">
            <w:pPr>
              <w:rPr>
                <w:rFonts w:ascii="Arial" w:eastAsia="Times New Roman" w:hAnsi="Arial" w:cs="Arial"/>
                <w:b/>
                <w:color w:val="000000"/>
                <w:sz w:val="20"/>
                <w:szCs w:val="20"/>
                <w:lang w:eastAsia="en-ZA"/>
              </w:rPr>
            </w:pPr>
          </w:p>
        </w:tc>
        <w:tc>
          <w:tcPr>
            <w:tcW w:w="1390" w:type="dxa"/>
            <w:tcBorders>
              <w:bottom w:val="nil"/>
            </w:tcBorders>
            <w:shd w:val="clear" w:color="auto" w:fill="FFFFFF" w:themeFill="background1"/>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73.6%</w:t>
            </w:r>
          </w:p>
          <w:p w:rsidR="009864F0" w:rsidRPr="009566F5" w:rsidRDefault="009864F0" w:rsidP="009566F5">
            <w:pPr>
              <w:rPr>
                <w:rFonts w:ascii="Arial" w:hAnsi="Arial" w:cs="Arial"/>
                <w:b/>
                <w:sz w:val="20"/>
                <w:szCs w:val="20"/>
              </w:rPr>
            </w:pPr>
          </w:p>
        </w:tc>
        <w:tc>
          <w:tcPr>
            <w:tcW w:w="1391" w:type="dxa"/>
            <w:tcBorders>
              <w:bottom w:val="nil"/>
            </w:tcBorders>
            <w:shd w:val="clear" w:color="auto" w:fill="FFFFFF" w:themeFill="background1"/>
          </w:tcPr>
          <w:p w:rsidR="007547DD" w:rsidRPr="009566F5" w:rsidRDefault="007547DD" w:rsidP="009566F5">
            <w:pPr>
              <w:rPr>
                <w:rFonts w:ascii="Arial" w:hAnsi="Arial" w:cs="Arial"/>
                <w:sz w:val="20"/>
                <w:szCs w:val="20"/>
              </w:rPr>
            </w:pPr>
          </w:p>
          <w:p w:rsidR="009864F0" w:rsidRPr="009566F5" w:rsidRDefault="009864F0" w:rsidP="009566F5">
            <w:pPr>
              <w:rPr>
                <w:rFonts w:ascii="Arial" w:hAnsi="Arial" w:cs="Arial"/>
                <w:sz w:val="20"/>
                <w:szCs w:val="20"/>
              </w:rPr>
            </w:pPr>
            <w:r w:rsidRPr="009566F5">
              <w:rPr>
                <w:rFonts w:ascii="Arial" w:hAnsi="Arial" w:cs="Arial"/>
                <w:sz w:val="20"/>
                <w:szCs w:val="20"/>
              </w:rPr>
              <w:t>14 052.8</w:t>
            </w:r>
          </w:p>
        </w:tc>
        <w:tc>
          <w:tcPr>
            <w:tcW w:w="1626" w:type="dxa"/>
            <w:tcBorders>
              <w:bottom w:val="nil"/>
            </w:tcBorders>
            <w:shd w:val="clear" w:color="auto" w:fill="FFFFFF" w:themeFill="background1"/>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127.4</w:t>
            </w:r>
          </w:p>
          <w:p w:rsidR="009864F0" w:rsidRPr="009566F5" w:rsidRDefault="009864F0" w:rsidP="009566F5">
            <w:pPr>
              <w:rPr>
                <w:rFonts w:ascii="Arial" w:hAnsi="Arial" w:cs="Arial"/>
                <w:b/>
                <w:sz w:val="20"/>
                <w:szCs w:val="20"/>
              </w:rPr>
            </w:pPr>
          </w:p>
        </w:tc>
        <w:tc>
          <w:tcPr>
            <w:tcW w:w="1570" w:type="dxa"/>
            <w:tcBorders>
              <w:bottom w:val="nil"/>
            </w:tcBorders>
            <w:shd w:val="clear" w:color="auto" w:fill="FFFFFF" w:themeFill="background1"/>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0.9%</w:t>
            </w:r>
          </w:p>
        </w:tc>
      </w:tr>
      <w:tr w:rsidR="007547DD" w:rsidRPr="009566F5" w:rsidTr="007547DD">
        <w:tc>
          <w:tcPr>
            <w:tcW w:w="1550" w:type="dxa"/>
            <w:tcBorders>
              <w:top w:val="nil"/>
              <w:bottom w:val="nil"/>
            </w:tcBorders>
            <w:shd w:val="clear" w:color="auto" w:fill="FFFFFF" w:themeFill="background1"/>
            <w:vAlign w:val="bottom"/>
          </w:tcPr>
          <w:p w:rsidR="007547DD" w:rsidRPr="009566F5" w:rsidRDefault="007547DD"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SETAs</w:t>
            </w:r>
          </w:p>
        </w:tc>
        <w:tc>
          <w:tcPr>
            <w:tcW w:w="1190" w:type="dxa"/>
            <w:tcBorders>
              <w:top w:val="nil"/>
              <w:bottom w:val="nil"/>
            </w:tcBorders>
            <w:shd w:val="clear" w:color="auto" w:fill="FFFFFF" w:themeFill="background1"/>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15 146.2</w:t>
            </w:r>
          </w:p>
        </w:tc>
        <w:tc>
          <w:tcPr>
            <w:tcW w:w="1221" w:type="dxa"/>
            <w:tcBorders>
              <w:top w:val="nil"/>
              <w:bottom w:val="nil"/>
            </w:tcBorders>
            <w:shd w:val="clear" w:color="auto" w:fill="FFFFFF" w:themeFill="background1"/>
            <w:vAlign w:val="bottom"/>
          </w:tcPr>
          <w:p w:rsidR="007547DD" w:rsidRPr="009566F5" w:rsidRDefault="00565A94"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11 454.3</w:t>
            </w:r>
          </w:p>
        </w:tc>
        <w:tc>
          <w:tcPr>
            <w:tcW w:w="1390" w:type="dxa"/>
            <w:tcBorders>
              <w:top w:val="nil"/>
              <w:bottom w:val="nil"/>
            </w:tcBorders>
            <w:shd w:val="clear" w:color="auto" w:fill="FFFFFF" w:themeFill="background1"/>
          </w:tcPr>
          <w:p w:rsidR="007547DD" w:rsidRPr="009566F5" w:rsidRDefault="009864F0" w:rsidP="009566F5">
            <w:pPr>
              <w:rPr>
                <w:rFonts w:ascii="Arial" w:hAnsi="Arial" w:cs="Arial"/>
                <w:sz w:val="20"/>
                <w:szCs w:val="20"/>
              </w:rPr>
            </w:pPr>
            <w:r w:rsidRPr="009566F5">
              <w:rPr>
                <w:rFonts w:ascii="Arial" w:hAnsi="Arial" w:cs="Arial"/>
                <w:sz w:val="20"/>
                <w:szCs w:val="20"/>
              </w:rPr>
              <w:t>75.6%</w:t>
            </w:r>
          </w:p>
        </w:tc>
        <w:tc>
          <w:tcPr>
            <w:tcW w:w="1391" w:type="dxa"/>
            <w:tcBorders>
              <w:top w:val="nil"/>
              <w:bottom w:val="nil"/>
            </w:tcBorders>
            <w:shd w:val="clear" w:color="auto" w:fill="FFFFFF" w:themeFill="background1"/>
          </w:tcPr>
          <w:p w:rsidR="007547DD" w:rsidRPr="009566F5" w:rsidRDefault="009864F0" w:rsidP="009566F5">
            <w:pPr>
              <w:rPr>
                <w:rFonts w:ascii="Arial" w:hAnsi="Arial" w:cs="Arial"/>
                <w:sz w:val="20"/>
                <w:szCs w:val="20"/>
              </w:rPr>
            </w:pPr>
            <w:r w:rsidRPr="009566F5">
              <w:rPr>
                <w:rFonts w:ascii="Arial" w:hAnsi="Arial" w:cs="Arial"/>
                <w:sz w:val="20"/>
                <w:szCs w:val="20"/>
              </w:rPr>
              <w:t>11 430.2</w:t>
            </w:r>
          </w:p>
        </w:tc>
        <w:tc>
          <w:tcPr>
            <w:tcW w:w="1626" w:type="dxa"/>
            <w:tcBorders>
              <w:top w:val="nil"/>
              <w:bottom w:val="nil"/>
            </w:tcBorders>
            <w:shd w:val="clear" w:color="auto" w:fill="FFFFFF" w:themeFill="background1"/>
          </w:tcPr>
          <w:p w:rsidR="007547DD" w:rsidRPr="009566F5" w:rsidRDefault="009864F0" w:rsidP="009566F5">
            <w:pPr>
              <w:rPr>
                <w:rFonts w:ascii="Arial" w:hAnsi="Arial" w:cs="Arial"/>
                <w:sz w:val="20"/>
                <w:szCs w:val="20"/>
              </w:rPr>
            </w:pPr>
            <w:r w:rsidRPr="009566F5">
              <w:rPr>
                <w:rFonts w:ascii="Arial" w:hAnsi="Arial" w:cs="Arial"/>
                <w:sz w:val="20"/>
                <w:szCs w:val="20"/>
              </w:rPr>
              <w:t>-24.1</w:t>
            </w:r>
          </w:p>
        </w:tc>
        <w:tc>
          <w:tcPr>
            <w:tcW w:w="1570" w:type="dxa"/>
            <w:tcBorders>
              <w:top w:val="nil"/>
              <w:bottom w:val="nil"/>
            </w:tcBorders>
            <w:shd w:val="clear" w:color="auto" w:fill="FFFFFF" w:themeFill="background1"/>
          </w:tcPr>
          <w:p w:rsidR="007547DD" w:rsidRPr="009566F5" w:rsidRDefault="009864F0" w:rsidP="009566F5">
            <w:pPr>
              <w:rPr>
                <w:rFonts w:ascii="Arial" w:hAnsi="Arial" w:cs="Arial"/>
                <w:sz w:val="20"/>
                <w:szCs w:val="20"/>
              </w:rPr>
            </w:pPr>
            <w:r w:rsidRPr="009566F5">
              <w:rPr>
                <w:rFonts w:ascii="Arial" w:hAnsi="Arial" w:cs="Arial"/>
                <w:sz w:val="20"/>
                <w:szCs w:val="20"/>
              </w:rPr>
              <w:t>-0.2%</w:t>
            </w:r>
          </w:p>
        </w:tc>
      </w:tr>
      <w:tr w:rsidR="007547DD" w:rsidRPr="009566F5" w:rsidTr="007547DD">
        <w:tc>
          <w:tcPr>
            <w:tcW w:w="1550" w:type="dxa"/>
            <w:tcBorders>
              <w:top w:val="nil"/>
            </w:tcBorders>
            <w:shd w:val="clear" w:color="auto" w:fill="FFFFFF" w:themeFill="background1"/>
            <w:vAlign w:val="bottom"/>
          </w:tcPr>
          <w:p w:rsidR="007547DD" w:rsidRPr="009566F5" w:rsidRDefault="007547DD"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National Skills Fund</w:t>
            </w:r>
          </w:p>
        </w:tc>
        <w:tc>
          <w:tcPr>
            <w:tcW w:w="1190" w:type="dxa"/>
            <w:tcBorders>
              <w:top w:val="nil"/>
            </w:tcBorders>
            <w:shd w:val="clear" w:color="auto" w:fill="FFFFFF" w:themeFill="background1"/>
            <w:vAlign w:val="bottom"/>
          </w:tcPr>
          <w:p w:rsidR="007547DD" w:rsidRPr="009566F5" w:rsidRDefault="007547DD"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3 786.6</w:t>
            </w:r>
          </w:p>
        </w:tc>
        <w:tc>
          <w:tcPr>
            <w:tcW w:w="1221" w:type="dxa"/>
            <w:tcBorders>
              <w:top w:val="nil"/>
            </w:tcBorders>
            <w:shd w:val="clear" w:color="auto" w:fill="FFFFFF" w:themeFill="background1"/>
            <w:vAlign w:val="bottom"/>
          </w:tcPr>
          <w:p w:rsidR="007547DD" w:rsidRPr="009566F5" w:rsidRDefault="00565A94" w:rsidP="009566F5">
            <w:pPr>
              <w:rPr>
                <w:rFonts w:ascii="Arial" w:eastAsia="Times New Roman" w:hAnsi="Arial" w:cs="Arial"/>
                <w:color w:val="000000"/>
                <w:sz w:val="20"/>
                <w:szCs w:val="20"/>
                <w:lang w:eastAsia="en-ZA"/>
              </w:rPr>
            </w:pPr>
            <w:r w:rsidRPr="009566F5">
              <w:rPr>
                <w:rFonts w:ascii="Arial" w:eastAsia="Times New Roman" w:hAnsi="Arial" w:cs="Arial"/>
                <w:color w:val="000000"/>
                <w:sz w:val="20"/>
                <w:szCs w:val="20"/>
                <w:lang w:eastAsia="en-ZA"/>
              </w:rPr>
              <w:t>2 471.2</w:t>
            </w:r>
          </w:p>
        </w:tc>
        <w:tc>
          <w:tcPr>
            <w:tcW w:w="1390" w:type="dxa"/>
            <w:tcBorders>
              <w:top w:val="nil"/>
            </w:tcBorders>
            <w:shd w:val="clear" w:color="auto" w:fill="FFFFFF" w:themeFill="background1"/>
          </w:tcPr>
          <w:p w:rsidR="007547DD" w:rsidRPr="009566F5" w:rsidRDefault="007547DD" w:rsidP="009566F5">
            <w:pPr>
              <w:rPr>
                <w:rFonts w:ascii="Arial" w:hAnsi="Arial" w:cs="Arial"/>
                <w:sz w:val="20"/>
                <w:szCs w:val="20"/>
              </w:rPr>
            </w:pPr>
          </w:p>
          <w:p w:rsidR="009864F0" w:rsidRPr="009566F5" w:rsidRDefault="009864F0" w:rsidP="009566F5">
            <w:pPr>
              <w:rPr>
                <w:rFonts w:ascii="Arial" w:hAnsi="Arial" w:cs="Arial"/>
                <w:sz w:val="20"/>
                <w:szCs w:val="20"/>
              </w:rPr>
            </w:pPr>
            <w:r w:rsidRPr="009566F5">
              <w:rPr>
                <w:rFonts w:ascii="Arial" w:hAnsi="Arial" w:cs="Arial"/>
                <w:sz w:val="20"/>
                <w:szCs w:val="20"/>
              </w:rPr>
              <w:t>65.3%</w:t>
            </w:r>
          </w:p>
        </w:tc>
        <w:tc>
          <w:tcPr>
            <w:tcW w:w="1391" w:type="dxa"/>
            <w:tcBorders>
              <w:top w:val="nil"/>
            </w:tcBorders>
            <w:shd w:val="clear" w:color="auto" w:fill="FFFFFF" w:themeFill="background1"/>
          </w:tcPr>
          <w:p w:rsidR="007547DD" w:rsidRPr="009566F5" w:rsidRDefault="007547DD" w:rsidP="009566F5">
            <w:pPr>
              <w:rPr>
                <w:rFonts w:ascii="Arial" w:hAnsi="Arial" w:cs="Arial"/>
                <w:sz w:val="20"/>
                <w:szCs w:val="20"/>
              </w:rPr>
            </w:pPr>
          </w:p>
          <w:p w:rsidR="009864F0" w:rsidRPr="009566F5" w:rsidRDefault="009864F0" w:rsidP="009566F5">
            <w:pPr>
              <w:rPr>
                <w:rFonts w:ascii="Arial" w:hAnsi="Arial" w:cs="Arial"/>
                <w:sz w:val="20"/>
                <w:szCs w:val="20"/>
              </w:rPr>
            </w:pPr>
            <w:r w:rsidRPr="009566F5">
              <w:rPr>
                <w:rFonts w:ascii="Arial" w:hAnsi="Arial" w:cs="Arial"/>
                <w:sz w:val="20"/>
                <w:szCs w:val="20"/>
              </w:rPr>
              <w:t>2</w:t>
            </w:r>
            <w:r w:rsidR="0079304A" w:rsidRPr="009566F5">
              <w:rPr>
                <w:rFonts w:ascii="Arial" w:hAnsi="Arial" w:cs="Arial"/>
                <w:sz w:val="20"/>
                <w:szCs w:val="20"/>
              </w:rPr>
              <w:t xml:space="preserve"> </w:t>
            </w:r>
            <w:r w:rsidRPr="009566F5">
              <w:rPr>
                <w:rFonts w:ascii="Arial" w:hAnsi="Arial" w:cs="Arial"/>
                <w:sz w:val="20"/>
                <w:szCs w:val="20"/>
              </w:rPr>
              <w:t>622.6</w:t>
            </w:r>
          </w:p>
        </w:tc>
        <w:tc>
          <w:tcPr>
            <w:tcW w:w="1626" w:type="dxa"/>
            <w:tcBorders>
              <w:top w:val="nil"/>
            </w:tcBorders>
            <w:shd w:val="clear" w:color="auto" w:fill="FFFFFF" w:themeFill="background1"/>
          </w:tcPr>
          <w:p w:rsidR="007547DD" w:rsidRPr="009566F5" w:rsidRDefault="007547DD" w:rsidP="009566F5">
            <w:pPr>
              <w:rPr>
                <w:rFonts w:ascii="Arial" w:hAnsi="Arial" w:cs="Arial"/>
                <w:sz w:val="20"/>
                <w:szCs w:val="20"/>
              </w:rPr>
            </w:pPr>
          </w:p>
          <w:p w:rsidR="009864F0" w:rsidRPr="009566F5" w:rsidRDefault="009864F0" w:rsidP="009566F5">
            <w:pPr>
              <w:rPr>
                <w:rFonts w:ascii="Arial" w:hAnsi="Arial" w:cs="Arial"/>
                <w:sz w:val="20"/>
                <w:szCs w:val="20"/>
              </w:rPr>
            </w:pPr>
            <w:r w:rsidRPr="009566F5">
              <w:rPr>
                <w:rFonts w:ascii="Arial" w:hAnsi="Arial" w:cs="Arial"/>
                <w:sz w:val="20"/>
                <w:szCs w:val="20"/>
              </w:rPr>
              <w:t>151.5</w:t>
            </w:r>
          </w:p>
        </w:tc>
        <w:tc>
          <w:tcPr>
            <w:tcW w:w="1570" w:type="dxa"/>
            <w:tcBorders>
              <w:top w:val="nil"/>
            </w:tcBorders>
            <w:shd w:val="clear" w:color="auto" w:fill="FFFFFF" w:themeFill="background1"/>
          </w:tcPr>
          <w:p w:rsidR="007547DD" w:rsidRPr="009566F5" w:rsidRDefault="007547DD" w:rsidP="009566F5">
            <w:pPr>
              <w:rPr>
                <w:rFonts w:ascii="Arial" w:hAnsi="Arial" w:cs="Arial"/>
                <w:sz w:val="20"/>
                <w:szCs w:val="20"/>
              </w:rPr>
            </w:pPr>
          </w:p>
          <w:p w:rsidR="009864F0" w:rsidRPr="009566F5" w:rsidRDefault="009864F0" w:rsidP="009566F5">
            <w:pPr>
              <w:rPr>
                <w:rFonts w:ascii="Arial" w:hAnsi="Arial" w:cs="Arial"/>
                <w:sz w:val="20"/>
                <w:szCs w:val="20"/>
              </w:rPr>
            </w:pPr>
            <w:r w:rsidRPr="009566F5">
              <w:rPr>
                <w:rFonts w:ascii="Arial" w:hAnsi="Arial" w:cs="Arial"/>
                <w:sz w:val="20"/>
                <w:szCs w:val="20"/>
              </w:rPr>
              <w:t>5.8%</w:t>
            </w:r>
          </w:p>
        </w:tc>
      </w:tr>
      <w:tr w:rsidR="007547DD" w:rsidRPr="009566F5" w:rsidTr="007547DD">
        <w:tc>
          <w:tcPr>
            <w:tcW w:w="1550" w:type="dxa"/>
            <w:shd w:val="clear" w:color="auto" w:fill="BFBFBF" w:themeFill="background1" w:themeFillShade="BF"/>
            <w:vAlign w:val="bottom"/>
          </w:tcPr>
          <w:p w:rsidR="007547DD" w:rsidRPr="009566F5" w:rsidRDefault="007547DD" w:rsidP="009566F5">
            <w:pPr>
              <w:rPr>
                <w:rFonts w:ascii="Arial" w:eastAsia="Times New Roman" w:hAnsi="Arial" w:cs="Arial"/>
                <w:b/>
                <w:bCs/>
                <w:color w:val="000000"/>
                <w:sz w:val="20"/>
                <w:szCs w:val="20"/>
                <w:lang w:eastAsia="en-ZA"/>
              </w:rPr>
            </w:pPr>
          </w:p>
          <w:p w:rsidR="007547DD" w:rsidRPr="009566F5" w:rsidRDefault="007547DD" w:rsidP="009566F5">
            <w:pPr>
              <w:rPr>
                <w:rFonts w:ascii="Arial" w:eastAsia="Times New Roman" w:hAnsi="Arial" w:cs="Arial"/>
                <w:b/>
                <w:bCs/>
                <w:color w:val="000000"/>
                <w:sz w:val="20"/>
                <w:szCs w:val="20"/>
                <w:lang w:eastAsia="en-ZA"/>
              </w:rPr>
            </w:pPr>
            <w:r w:rsidRPr="009566F5">
              <w:rPr>
                <w:rFonts w:ascii="Arial" w:eastAsia="Times New Roman" w:hAnsi="Arial" w:cs="Arial"/>
                <w:b/>
                <w:bCs/>
                <w:color w:val="000000"/>
                <w:sz w:val="20"/>
                <w:szCs w:val="20"/>
                <w:lang w:eastAsia="en-ZA"/>
              </w:rPr>
              <w:t>Total</w:t>
            </w:r>
          </w:p>
        </w:tc>
        <w:tc>
          <w:tcPr>
            <w:tcW w:w="1190" w:type="dxa"/>
            <w:shd w:val="clear" w:color="auto" w:fill="BFBFBF" w:themeFill="background1" w:themeFillShade="BF"/>
            <w:vAlign w:val="bottom"/>
          </w:tcPr>
          <w:p w:rsidR="007547DD" w:rsidRPr="009566F5" w:rsidRDefault="007547DD"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116 821.8</w:t>
            </w:r>
          </w:p>
        </w:tc>
        <w:tc>
          <w:tcPr>
            <w:tcW w:w="1221" w:type="dxa"/>
            <w:shd w:val="clear" w:color="auto" w:fill="BFBFBF" w:themeFill="background1" w:themeFillShade="BF"/>
            <w:vAlign w:val="bottom"/>
          </w:tcPr>
          <w:p w:rsidR="007547DD" w:rsidRPr="009566F5" w:rsidRDefault="00565A94" w:rsidP="009566F5">
            <w:pPr>
              <w:rPr>
                <w:rFonts w:ascii="Arial" w:eastAsia="Times New Roman" w:hAnsi="Arial" w:cs="Arial"/>
                <w:b/>
                <w:color w:val="000000"/>
                <w:sz w:val="20"/>
                <w:szCs w:val="20"/>
                <w:lang w:eastAsia="en-ZA"/>
              </w:rPr>
            </w:pPr>
            <w:r w:rsidRPr="009566F5">
              <w:rPr>
                <w:rFonts w:ascii="Arial" w:eastAsia="Times New Roman" w:hAnsi="Arial" w:cs="Arial"/>
                <w:b/>
                <w:color w:val="000000"/>
                <w:sz w:val="20"/>
                <w:szCs w:val="20"/>
                <w:lang w:eastAsia="en-ZA"/>
              </w:rPr>
              <w:t>104 873.9</w:t>
            </w:r>
          </w:p>
        </w:tc>
        <w:tc>
          <w:tcPr>
            <w:tcW w:w="1390" w:type="dxa"/>
            <w:shd w:val="clear" w:color="auto" w:fill="BFBFBF" w:themeFill="background1" w:themeFillShade="BF"/>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89.8%</w:t>
            </w:r>
          </w:p>
        </w:tc>
        <w:tc>
          <w:tcPr>
            <w:tcW w:w="1391" w:type="dxa"/>
            <w:shd w:val="clear" w:color="auto" w:fill="BFBFBF" w:themeFill="background1" w:themeFillShade="BF"/>
          </w:tcPr>
          <w:p w:rsidR="009864F0" w:rsidRPr="009566F5" w:rsidRDefault="009864F0" w:rsidP="009566F5">
            <w:pPr>
              <w:rPr>
                <w:rFonts w:ascii="Arial" w:hAnsi="Arial" w:cs="Arial"/>
                <w:b/>
                <w:sz w:val="20"/>
                <w:szCs w:val="20"/>
              </w:rPr>
            </w:pPr>
          </w:p>
          <w:p w:rsidR="007547DD" w:rsidRPr="009566F5" w:rsidRDefault="009864F0" w:rsidP="009566F5">
            <w:pPr>
              <w:rPr>
                <w:rFonts w:ascii="Arial" w:hAnsi="Arial" w:cs="Arial"/>
                <w:b/>
                <w:sz w:val="20"/>
                <w:szCs w:val="20"/>
              </w:rPr>
            </w:pPr>
            <w:r w:rsidRPr="009566F5">
              <w:rPr>
                <w:rFonts w:ascii="Arial" w:hAnsi="Arial" w:cs="Arial"/>
                <w:b/>
                <w:sz w:val="20"/>
                <w:szCs w:val="20"/>
              </w:rPr>
              <w:t>105 645.5</w:t>
            </w:r>
          </w:p>
        </w:tc>
        <w:tc>
          <w:tcPr>
            <w:tcW w:w="1626" w:type="dxa"/>
            <w:shd w:val="clear" w:color="auto" w:fill="BFBFBF" w:themeFill="background1" w:themeFillShade="BF"/>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771.7</w:t>
            </w:r>
          </w:p>
        </w:tc>
        <w:tc>
          <w:tcPr>
            <w:tcW w:w="1570" w:type="dxa"/>
            <w:shd w:val="clear" w:color="auto" w:fill="BFBFBF" w:themeFill="background1" w:themeFillShade="BF"/>
          </w:tcPr>
          <w:p w:rsidR="007547DD" w:rsidRPr="009566F5" w:rsidRDefault="007547DD" w:rsidP="009566F5">
            <w:pPr>
              <w:rPr>
                <w:rFonts w:ascii="Arial" w:hAnsi="Arial" w:cs="Arial"/>
                <w:b/>
                <w:sz w:val="20"/>
                <w:szCs w:val="20"/>
              </w:rPr>
            </w:pPr>
          </w:p>
          <w:p w:rsidR="009864F0" w:rsidRPr="009566F5" w:rsidRDefault="009864F0" w:rsidP="009566F5">
            <w:pPr>
              <w:rPr>
                <w:rFonts w:ascii="Arial" w:hAnsi="Arial" w:cs="Arial"/>
                <w:b/>
                <w:sz w:val="20"/>
                <w:szCs w:val="20"/>
              </w:rPr>
            </w:pPr>
            <w:r w:rsidRPr="009566F5">
              <w:rPr>
                <w:rFonts w:ascii="Arial" w:hAnsi="Arial" w:cs="Arial"/>
                <w:b/>
                <w:sz w:val="20"/>
                <w:szCs w:val="20"/>
              </w:rPr>
              <w:t>0.7%</w:t>
            </w:r>
          </w:p>
        </w:tc>
      </w:tr>
    </w:tbl>
    <w:p w:rsidR="006003CD" w:rsidRPr="009566F5" w:rsidRDefault="006003CD" w:rsidP="009566F5">
      <w:pPr>
        <w:spacing w:after="0" w:line="240" w:lineRule="auto"/>
        <w:rPr>
          <w:rFonts w:ascii="Arial" w:hAnsi="Arial" w:cs="Arial"/>
          <w:sz w:val="20"/>
          <w:szCs w:val="20"/>
        </w:rPr>
      </w:pPr>
      <w:r w:rsidRPr="009566F5">
        <w:rPr>
          <w:rFonts w:ascii="Arial" w:hAnsi="Arial" w:cs="Arial"/>
          <w:sz w:val="20"/>
          <w:szCs w:val="20"/>
        </w:rPr>
        <w:t>Source: National Treasury, 202</w:t>
      </w:r>
      <w:r w:rsidR="000E1D11" w:rsidRPr="009566F5">
        <w:rPr>
          <w:rFonts w:ascii="Arial" w:hAnsi="Arial" w:cs="Arial"/>
          <w:sz w:val="20"/>
          <w:szCs w:val="20"/>
        </w:rPr>
        <w:t>2</w:t>
      </w:r>
    </w:p>
    <w:p w:rsidR="00976D68" w:rsidRPr="009566F5" w:rsidRDefault="00F432F7" w:rsidP="009566F5">
      <w:pPr>
        <w:autoSpaceDE w:val="0"/>
        <w:autoSpaceDN w:val="0"/>
        <w:adjustRightInd w:val="0"/>
        <w:spacing w:after="0" w:line="240" w:lineRule="auto"/>
        <w:rPr>
          <w:rFonts w:ascii="Arial" w:hAnsi="Arial" w:cs="Arial"/>
          <w:color w:val="000000"/>
          <w:sz w:val="20"/>
          <w:szCs w:val="20"/>
        </w:rPr>
      </w:pPr>
      <w:r w:rsidRPr="009566F5">
        <w:rPr>
          <w:rFonts w:ascii="Arial" w:hAnsi="Arial" w:cs="Arial"/>
          <w:color w:val="000000"/>
          <w:sz w:val="20"/>
          <w:szCs w:val="20"/>
        </w:rPr>
        <w:t>The Department’s adjusted budget for the 2021/22 financial year, amounted to R116,82 billion, inclusive of R18,93 billion of direct charges against the National Revenue Fund. For the 2021/22 Third-Quarter, the projected expenditure was R105, 64 billion, compris</w:t>
      </w:r>
      <w:r w:rsidR="00EA3FC4" w:rsidRPr="009566F5">
        <w:rPr>
          <w:rFonts w:ascii="Arial" w:hAnsi="Arial" w:cs="Arial"/>
          <w:color w:val="000000"/>
          <w:sz w:val="20"/>
          <w:szCs w:val="20"/>
        </w:rPr>
        <w:t>ing</w:t>
      </w:r>
      <w:r w:rsidRPr="009566F5">
        <w:rPr>
          <w:rFonts w:ascii="Arial" w:hAnsi="Arial" w:cs="Arial"/>
          <w:color w:val="000000"/>
          <w:sz w:val="20"/>
          <w:szCs w:val="20"/>
        </w:rPr>
        <w:t xml:space="preserve"> of R91,59 billion of voted funds and R14,05 billion of direct charges. </w:t>
      </w:r>
      <w:r w:rsidR="00976D68" w:rsidRPr="009566F5">
        <w:rPr>
          <w:rFonts w:ascii="Arial" w:hAnsi="Arial" w:cs="Arial"/>
          <w:color w:val="000000"/>
          <w:sz w:val="20"/>
          <w:szCs w:val="20"/>
        </w:rPr>
        <w:t>The Third-Quarter expenditure, excluding direct charges</w:t>
      </w:r>
      <w:r w:rsidR="008F0F06" w:rsidRPr="009566F5">
        <w:rPr>
          <w:rFonts w:ascii="Arial" w:hAnsi="Arial" w:cs="Arial"/>
          <w:color w:val="000000"/>
          <w:sz w:val="20"/>
          <w:szCs w:val="20"/>
        </w:rPr>
        <w:t>,</w:t>
      </w:r>
      <w:r w:rsidR="00976D68" w:rsidRPr="009566F5">
        <w:rPr>
          <w:rFonts w:ascii="Arial" w:hAnsi="Arial" w:cs="Arial"/>
          <w:color w:val="000000"/>
          <w:sz w:val="20"/>
          <w:szCs w:val="20"/>
        </w:rPr>
        <w:t xml:space="preserve"> amounted to R90,94 billion, recording lower than projected expenditure amounting to R644,3 or 0,7%. The lower than </w:t>
      </w:r>
      <w:r w:rsidR="00EA3FC4" w:rsidRPr="009566F5">
        <w:rPr>
          <w:rFonts w:ascii="Arial" w:hAnsi="Arial" w:cs="Arial"/>
          <w:color w:val="000000"/>
          <w:sz w:val="20"/>
          <w:szCs w:val="20"/>
        </w:rPr>
        <w:t xml:space="preserve">the </w:t>
      </w:r>
      <w:r w:rsidR="00976D68" w:rsidRPr="009566F5">
        <w:rPr>
          <w:rFonts w:ascii="Arial" w:hAnsi="Arial" w:cs="Arial"/>
          <w:color w:val="000000"/>
          <w:sz w:val="20"/>
          <w:szCs w:val="20"/>
        </w:rPr>
        <w:t xml:space="preserve">projected spending was attributed to the delays in the transfer of earmarked grants under </w:t>
      </w:r>
      <w:r w:rsidR="00EA3FC4" w:rsidRPr="009566F5">
        <w:rPr>
          <w:rFonts w:ascii="Arial" w:hAnsi="Arial" w:cs="Arial"/>
          <w:color w:val="000000"/>
          <w:sz w:val="20"/>
          <w:szCs w:val="20"/>
        </w:rPr>
        <w:t xml:space="preserve">the </w:t>
      </w:r>
      <w:r w:rsidR="00976D68" w:rsidRPr="009566F5">
        <w:rPr>
          <w:rFonts w:ascii="Arial" w:hAnsi="Arial" w:cs="Arial"/>
          <w:color w:val="000000"/>
          <w:sz w:val="20"/>
          <w:szCs w:val="20"/>
        </w:rPr>
        <w:t>University Education Programme and compensation of employees in programmes 4: TVET and 6: CET.</w:t>
      </w:r>
    </w:p>
    <w:p w:rsidR="00976D68" w:rsidRPr="009566F5" w:rsidRDefault="00976D68" w:rsidP="009566F5">
      <w:pPr>
        <w:autoSpaceDE w:val="0"/>
        <w:autoSpaceDN w:val="0"/>
        <w:adjustRightInd w:val="0"/>
        <w:spacing w:after="0" w:line="240" w:lineRule="auto"/>
        <w:rPr>
          <w:rFonts w:ascii="Arial" w:hAnsi="Arial" w:cs="Arial"/>
          <w:color w:val="000000"/>
          <w:sz w:val="20"/>
          <w:szCs w:val="20"/>
        </w:rPr>
      </w:pPr>
    </w:p>
    <w:p w:rsidR="00976D68" w:rsidRPr="009566F5" w:rsidRDefault="00976D68" w:rsidP="009566F5">
      <w:pPr>
        <w:autoSpaceDE w:val="0"/>
        <w:autoSpaceDN w:val="0"/>
        <w:adjustRightInd w:val="0"/>
        <w:spacing w:after="0" w:line="240" w:lineRule="auto"/>
        <w:rPr>
          <w:rFonts w:ascii="Arial" w:hAnsi="Arial" w:cs="Arial"/>
          <w:color w:val="000000"/>
          <w:sz w:val="20"/>
          <w:szCs w:val="20"/>
        </w:rPr>
      </w:pPr>
      <w:r w:rsidRPr="009566F5">
        <w:rPr>
          <w:rFonts w:ascii="Arial" w:hAnsi="Arial" w:cs="Arial"/>
          <w:color w:val="000000"/>
          <w:sz w:val="20"/>
          <w:szCs w:val="20"/>
        </w:rPr>
        <w:t xml:space="preserve">Spending on </w:t>
      </w:r>
      <w:r w:rsidR="00265B37" w:rsidRPr="009566F5">
        <w:rPr>
          <w:rFonts w:ascii="Arial" w:hAnsi="Arial" w:cs="Arial"/>
          <w:color w:val="000000"/>
          <w:sz w:val="20"/>
          <w:szCs w:val="20"/>
        </w:rPr>
        <w:t>C</w:t>
      </w:r>
      <w:r w:rsidRPr="009566F5">
        <w:rPr>
          <w:rFonts w:ascii="Arial" w:hAnsi="Arial" w:cs="Arial"/>
          <w:color w:val="000000"/>
          <w:sz w:val="20"/>
          <w:szCs w:val="20"/>
        </w:rPr>
        <w:t xml:space="preserve">ompensation of </w:t>
      </w:r>
      <w:r w:rsidR="00265B37" w:rsidRPr="009566F5">
        <w:rPr>
          <w:rFonts w:ascii="Arial" w:hAnsi="Arial" w:cs="Arial"/>
          <w:color w:val="000000"/>
          <w:sz w:val="20"/>
          <w:szCs w:val="20"/>
        </w:rPr>
        <w:t>E</w:t>
      </w:r>
      <w:r w:rsidRPr="009566F5">
        <w:rPr>
          <w:rFonts w:ascii="Arial" w:hAnsi="Arial" w:cs="Arial"/>
          <w:color w:val="000000"/>
          <w:sz w:val="20"/>
          <w:szCs w:val="20"/>
        </w:rPr>
        <w:t xml:space="preserve">mployees during the Quarter under review amounted to R6,74 million, against the quarterly projected expenditure amounting to R7,14 billion. The underspending on </w:t>
      </w:r>
      <w:r w:rsidR="00265B37" w:rsidRPr="009566F5">
        <w:rPr>
          <w:rFonts w:ascii="Arial" w:hAnsi="Arial" w:cs="Arial"/>
          <w:color w:val="000000"/>
          <w:sz w:val="20"/>
          <w:szCs w:val="20"/>
        </w:rPr>
        <w:t>C</w:t>
      </w:r>
      <w:r w:rsidRPr="009566F5">
        <w:rPr>
          <w:rFonts w:ascii="Arial" w:hAnsi="Arial" w:cs="Arial"/>
          <w:color w:val="000000"/>
          <w:sz w:val="20"/>
          <w:szCs w:val="20"/>
        </w:rPr>
        <w:t xml:space="preserve">ompensation of </w:t>
      </w:r>
      <w:r w:rsidR="00265B37" w:rsidRPr="009566F5">
        <w:rPr>
          <w:rFonts w:ascii="Arial" w:hAnsi="Arial" w:cs="Arial"/>
          <w:color w:val="000000"/>
          <w:sz w:val="20"/>
          <w:szCs w:val="20"/>
        </w:rPr>
        <w:t>E</w:t>
      </w:r>
      <w:r w:rsidRPr="009566F5">
        <w:rPr>
          <w:rFonts w:ascii="Arial" w:hAnsi="Arial" w:cs="Arial"/>
          <w:color w:val="000000"/>
          <w:sz w:val="20"/>
          <w:szCs w:val="20"/>
        </w:rPr>
        <w:t>mployees for the Quarter amounted to R405,0 million or 5.7 per cent. Spending on goods and services amounted to R344,3 million, with an underspending of R49,3 million a</w:t>
      </w:r>
      <w:r w:rsidR="001F715B" w:rsidRPr="009566F5">
        <w:rPr>
          <w:rFonts w:ascii="Arial" w:hAnsi="Arial" w:cs="Arial"/>
          <w:color w:val="000000"/>
          <w:sz w:val="20"/>
          <w:szCs w:val="20"/>
        </w:rPr>
        <w:t xml:space="preserve">gainst the projected budget of </w:t>
      </w:r>
      <w:r w:rsidRPr="009566F5">
        <w:rPr>
          <w:rFonts w:ascii="Arial" w:hAnsi="Arial" w:cs="Arial"/>
          <w:color w:val="000000"/>
          <w:sz w:val="20"/>
          <w:szCs w:val="20"/>
        </w:rPr>
        <w:t>R393,5 million.</w:t>
      </w:r>
      <w:r w:rsidR="007B0A5F" w:rsidRPr="009566F5">
        <w:rPr>
          <w:rFonts w:ascii="Arial" w:hAnsi="Arial" w:cs="Arial"/>
          <w:color w:val="000000"/>
          <w:sz w:val="20"/>
          <w:szCs w:val="20"/>
        </w:rPr>
        <w:t xml:space="preserve"> Expenditure on transfers and subsidies amounted to R83,84 billion against the budget of R84,04 billion</w:t>
      </w:r>
      <w:r w:rsidR="00015E7C" w:rsidRPr="009566F5">
        <w:rPr>
          <w:rFonts w:ascii="Arial" w:hAnsi="Arial" w:cs="Arial"/>
          <w:color w:val="000000"/>
          <w:sz w:val="20"/>
          <w:szCs w:val="20"/>
        </w:rPr>
        <w:t>, with a lower than projected spending of R198,0 million or 0.2 per cent.</w:t>
      </w:r>
      <w:r w:rsidR="00330279" w:rsidRPr="009566F5">
        <w:rPr>
          <w:rFonts w:ascii="Arial" w:hAnsi="Arial" w:cs="Arial"/>
          <w:color w:val="000000"/>
          <w:sz w:val="20"/>
          <w:szCs w:val="20"/>
        </w:rPr>
        <w:t xml:space="preserve"> An amount of R15,5 million was spent on payments for capital assets against the budget of R7,5 million. This translated into a higher than projected spending by R8,0 million.</w:t>
      </w:r>
    </w:p>
    <w:p w:rsidR="004907F2" w:rsidRPr="009566F5" w:rsidRDefault="004907F2" w:rsidP="009566F5">
      <w:pPr>
        <w:autoSpaceDE w:val="0"/>
        <w:autoSpaceDN w:val="0"/>
        <w:adjustRightInd w:val="0"/>
        <w:spacing w:after="0" w:line="240" w:lineRule="auto"/>
        <w:rPr>
          <w:rFonts w:ascii="Arial" w:hAnsi="Arial" w:cs="Arial"/>
          <w:color w:val="000000"/>
          <w:sz w:val="20"/>
          <w:szCs w:val="20"/>
        </w:rPr>
      </w:pPr>
    </w:p>
    <w:p w:rsidR="003A6FA4" w:rsidRPr="009566F5" w:rsidRDefault="004907F2" w:rsidP="009566F5">
      <w:pPr>
        <w:tabs>
          <w:tab w:val="num" w:pos="1440"/>
        </w:tabs>
        <w:spacing w:after="0" w:line="240" w:lineRule="auto"/>
        <w:rPr>
          <w:rFonts w:ascii="Arial" w:hAnsi="Arial" w:cs="Arial"/>
          <w:sz w:val="20"/>
          <w:szCs w:val="20"/>
        </w:rPr>
      </w:pPr>
      <w:r w:rsidRPr="009566F5">
        <w:rPr>
          <w:rFonts w:ascii="Arial" w:hAnsi="Arial" w:cs="Arial"/>
          <w:sz w:val="20"/>
          <w:szCs w:val="20"/>
        </w:rPr>
        <w:t>The Department had spent R300 000 on COVID-19 personal pro</w:t>
      </w:r>
      <w:r w:rsidR="00473A55" w:rsidRPr="009566F5">
        <w:rPr>
          <w:rFonts w:ascii="Arial" w:hAnsi="Arial" w:cs="Arial"/>
          <w:sz w:val="20"/>
          <w:szCs w:val="20"/>
        </w:rPr>
        <w:t>tection equipment and supplies.</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2.</w:t>
      </w:r>
      <w:r w:rsidR="004B16B4" w:rsidRPr="009566F5">
        <w:rPr>
          <w:rFonts w:ascii="Arial" w:hAnsi="Arial" w:cs="Arial"/>
          <w:b/>
          <w:sz w:val="20"/>
          <w:szCs w:val="20"/>
        </w:rPr>
        <w:t>2</w:t>
      </w:r>
      <w:r w:rsidRPr="009566F5">
        <w:rPr>
          <w:rFonts w:ascii="Arial" w:hAnsi="Arial" w:cs="Arial"/>
          <w:b/>
          <w:sz w:val="20"/>
          <w:szCs w:val="20"/>
        </w:rPr>
        <w:t xml:space="preserve">.2.  Overview and assessment </w:t>
      </w:r>
      <w:r w:rsidR="008C48AD" w:rsidRPr="009566F5">
        <w:rPr>
          <w:rFonts w:ascii="Arial" w:hAnsi="Arial" w:cs="Arial"/>
          <w:b/>
          <w:sz w:val="20"/>
          <w:szCs w:val="20"/>
        </w:rPr>
        <w:t>202</w:t>
      </w:r>
      <w:r w:rsidR="000E1D11" w:rsidRPr="009566F5">
        <w:rPr>
          <w:rFonts w:ascii="Arial" w:hAnsi="Arial" w:cs="Arial"/>
          <w:b/>
          <w:sz w:val="20"/>
          <w:szCs w:val="20"/>
        </w:rPr>
        <w:t>1</w:t>
      </w:r>
      <w:r w:rsidR="008C48AD" w:rsidRPr="009566F5">
        <w:rPr>
          <w:rFonts w:ascii="Arial" w:hAnsi="Arial" w:cs="Arial"/>
          <w:b/>
          <w:sz w:val="20"/>
          <w:szCs w:val="20"/>
        </w:rPr>
        <w:t>/2</w:t>
      </w:r>
      <w:r w:rsidR="000E1D11" w:rsidRPr="009566F5">
        <w:rPr>
          <w:rFonts w:ascii="Arial" w:hAnsi="Arial" w:cs="Arial"/>
          <w:b/>
          <w:sz w:val="20"/>
          <w:szCs w:val="20"/>
        </w:rPr>
        <w:t>2</w:t>
      </w:r>
      <w:r w:rsidR="008C48AD" w:rsidRPr="009566F5">
        <w:rPr>
          <w:rFonts w:ascii="Arial" w:hAnsi="Arial" w:cs="Arial"/>
          <w:b/>
          <w:sz w:val="20"/>
          <w:szCs w:val="20"/>
        </w:rPr>
        <w:t xml:space="preserve"> </w:t>
      </w:r>
      <w:r w:rsidR="000E1D11" w:rsidRPr="009566F5">
        <w:rPr>
          <w:rFonts w:ascii="Arial" w:hAnsi="Arial" w:cs="Arial"/>
          <w:b/>
          <w:sz w:val="20"/>
          <w:szCs w:val="20"/>
        </w:rPr>
        <w:t>Third</w:t>
      </w:r>
      <w:r w:rsidR="004B16B4" w:rsidRPr="009566F5">
        <w:rPr>
          <w:rFonts w:ascii="Arial" w:hAnsi="Arial" w:cs="Arial"/>
          <w:b/>
          <w:sz w:val="20"/>
          <w:szCs w:val="20"/>
        </w:rPr>
        <w:t>-</w:t>
      </w:r>
      <w:r w:rsidRPr="009566F5">
        <w:rPr>
          <w:rFonts w:ascii="Arial" w:hAnsi="Arial" w:cs="Arial"/>
          <w:b/>
          <w:sz w:val="20"/>
          <w:szCs w:val="20"/>
        </w:rPr>
        <w:t xml:space="preserve">quarter service delivery performance </w:t>
      </w:r>
    </w:p>
    <w:p w:rsidR="009E02A3" w:rsidRPr="009566F5" w:rsidRDefault="009E02A3" w:rsidP="009566F5">
      <w:pPr>
        <w:spacing w:after="0" w:line="240" w:lineRule="auto"/>
        <w:rPr>
          <w:rFonts w:ascii="Arial" w:hAnsi="Arial" w:cs="Arial"/>
          <w:sz w:val="20"/>
          <w:szCs w:val="20"/>
        </w:rPr>
      </w:pPr>
      <w:r w:rsidRPr="009566F5">
        <w:rPr>
          <w:rFonts w:ascii="Arial" w:hAnsi="Arial" w:cs="Arial"/>
          <w:sz w:val="20"/>
          <w:szCs w:val="20"/>
        </w:rPr>
        <w:t xml:space="preserve">For the </w:t>
      </w:r>
      <w:r w:rsidR="00EA3FC4" w:rsidRPr="009566F5">
        <w:rPr>
          <w:rFonts w:ascii="Arial" w:hAnsi="Arial" w:cs="Arial"/>
          <w:sz w:val="20"/>
          <w:szCs w:val="20"/>
        </w:rPr>
        <w:t xml:space="preserve">quarter </w:t>
      </w:r>
      <w:r w:rsidRPr="009566F5">
        <w:rPr>
          <w:rFonts w:ascii="Arial" w:hAnsi="Arial" w:cs="Arial"/>
          <w:sz w:val="20"/>
          <w:szCs w:val="20"/>
        </w:rPr>
        <w:t xml:space="preserve">under review, the Department had sixteen (16) targets. The targets were shared among the four programmes, namely, Administration, </w:t>
      </w:r>
      <w:r w:rsidR="008F0A78" w:rsidRPr="009566F5">
        <w:rPr>
          <w:rFonts w:ascii="Arial" w:hAnsi="Arial" w:cs="Arial"/>
          <w:sz w:val="20"/>
          <w:szCs w:val="20"/>
        </w:rPr>
        <w:t xml:space="preserve">University Education, </w:t>
      </w:r>
      <w:r w:rsidRPr="009566F5">
        <w:rPr>
          <w:rFonts w:ascii="Arial" w:hAnsi="Arial" w:cs="Arial"/>
          <w:sz w:val="20"/>
          <w:szCs w:val="20"/>
        </w:rPr>
        <w:t>Technical and Vocational Education and Training</w:t>
      </w:r>
      <w:r w:rsidR="008F0A78" w:rsidRPr="009566F5">
        <w:rPr>
          <w:rFonts w:ascii="Arial" w:hAnsi="Arial" w:cs="Arial"/>
          <w:sz w:val="20"/>
          <w:szCs w:val="20"/>
        </w:rPr>
        <w:t xml:space="preserve"> and</w:t>
      </w:r>
      <w:r w:rsidRPr="009566F5">
        <w:rPr>
          <w:rFonts w:ascii="Arial" w:hAnsi="Arial" w:cs="Arial"/>
          <w:sz w:val="20"/>
          <w:szCs w:val="20"/>
        </w:rPr>
        <w:t xml:space="preserve"> Skills Development</w:t>
      </w:r>
      <w:r w:rsidR="00DF2021" w:rsidRPr="009566F5">
        <w:rPr>
          <w:rFonts w:ascii="Arial" w:hAnsi="Arial" w:cs="Arial"/>
          <w:sz w:val="20"/>
          <w:szCs w:val="20"/>
        </w:rPr>
        <w:t>.</w:t>
      </w:r>
      <w:r w:rsidRPr="009566F5">
        <w:rPr>
          <w:rFonts w:ascii="Arial" w:hAnsi="Arial" w:cs="Arial"/>
          <w:sz w:val="20"/>
          <w:szCs w:val="20"/>
        </w:rPr>
        <w:t xml:space="preserve"> The Department achieved three (3) or 19 per cent of the 16 targets.</w:t>
      </w:r>
    </w:p>
    <w:p w:rsidR="006003CD" w:rsidRPr="009566F5" w:rsidRDefault="000E1D11" w:rsidP="009566F5">
      <w:pPr>
        <w:spacing w:after="0" w:line="240" w:lineRule="auto"/>
        <w:rPr>
          <w:rFonts w:ascii="Arial" w:hAnsi="Arial" w:cs="Arial"/>
          <w:b/>
          <w:sz w:val="20"/>
          <w:szCs w:val="20"/>
        </w:rPr>
      </w:pPr>
      <w:r w:rsidRPr="009566F5">
        <w:rPr>
          <w:rFonts w:ascii="Arial" w:hAnsi="Arial" w:cs="Arial"/>
          <w:b/>
          <w:sz w:val="20"/>
          <w:szCs w:val="20"/>
        </w:rPr>
        <w:t xml:space="preserve"> </w:t>
      </w:r>
      <w:r w:rsidR="006003CD" w:rsidRPr="009566F5">
        <w:rPr>
          <w:rFonts w:ascii="Arial" w:hAnsi="Arial" w:cs="Arial"/>
          <w:b/>
          <w:sz w:val="20"/>
          <w:szCs w:val="20"/>
        </w:rPr>
        <w:t>(i) Programme 1: Administration</w:t>
      </w:r>
    </w:p>
    <w:p w:rsidR="006F3045" w:rsidRPr="009566F5" w:rsidRDefault="000D3C55" w:rsidP="009566F5">
      <w:pPr>
        <w:spacing w:after="0" w:line="240" w:lineRule="auto"/>
        <w:rPr>
          <w:rFonts w:ascii="Arial" w:hAnsi="Arial" w:cs="Arial"/>
          <w:sz w:val="20"/>
          <w:szCs w:val="20"/>
        </w:rPr>
      </w:pPr>
      <w:r w:rsidRPr="009566F5">
        <w:rPr>
          <w:rFonts w:ascii="Arial" w:hAnsi="Arial" w:cs="Arial"/>
          <w:sz w:val="20"/>
          <w:szCs w:val="20"/>
        </w:rPr>
        <w:t xml:space="preserve">The purpose of this programme is to provide strategic leadership, management and support services to the Department. </w:t>
      </w:r>
      <w:r w:rsidR="00E522B0" w:rsidRPr="009566F5">
        <w:rPr>
          <w:rFonts w:ascii="Arial" w:hAnsi="Arial" w:cs="Arial"/>
          <w:sz w:val="20"/>
          <w:szCs w:val="20"/>
        </w:rPr>
        <w:t xml:space="preserve">The programme one target, to have 100 per cent of valid invoices received from </w:t>
      </w:r>
      <w:r w:rsidR="00E522B0" w:rsidRPr="009566F5">
        <w:rPr>
          <w:rFonts w:ascii="Arial" w:hAnsi="Arial" w:cs="Arial"/>
          <w:sz w:val="20"/>
          <w:szCs w:val="20"/>
        </w:rPr>
        <w:lastRenderedPageBreak/>
        <w:t xml:space="preserve">creditors paid within 30 days. The target was not achieved due to delays as a result of technical challenges with </w:t>
      </w:r>
      <w:r w:rsidR="00EA3FC4" w:rsidRPr="009566F5">
        <w:rPr>
          <w:rFonts w:ascii="Arial" w:hAnsi="Arial" w:cs="Arial"/>
          <w:sz w:val="20"/>
          <w:szCs w:val="20"/>
        </w:rPr>
        <w:t xml:space="preserve">the </w:t>
      </w:r>
      <w:r w:rsidR="00E522B0" w:rsidRPr="009566F5">
        <w:rPr>
          <w:rFonts w:ascii="Arial" w:hAnsi="Arial" w:cs="Arial"/>
          <w:sz w:val="20"/>
          <w:szCs w:val="20"/>
        </w:rPr>
        <w:t>LOGIS system.</w:t>
      </w:r>
    </w:p>
    <w:p w:rsidR="003A6FA4" w:rsidRPr="009566F5" w:rsidRDefault="00463FCA" w:rsidP="009566F5">
      <w:pPr>
        <w:spacing w:after="0" w:line="240" w:lineRule="auto"/>
        <w:rPr>
          <w:rFonts w:ascii="Arial" w:hAnsi="Arial" w:cs="Arial"/>
          <w:sz w:val="20"/>
          <w:szCs w:val="20"/>
        </w:rPr>
      </w:pPr>
      <w:r w:rsidRPr="009566F5">
        <w:rPr>
          <w:rFonts w:ascii="Arial" w:hAnsi="Arial" w:cs="Arial"/>
          <w:sz w:val="20"/>
          <w:szCs w:val="20"/>
        </w:rPr>
        <w:t xml:space="preserve">At the end of the 2021/22 Third-Quarter, the programme had spent R311,9 million, against the quarterly projected budget of R342,2 million, recording lower than projected spending amounting to R12,3 million or 3.8 per cent. The underspending was ascribed to unfilled vacant posts, and under goods and services due to outstanding invoices from the State Information Technology Agency (SITA) for the Department’s transversal IT systems and the delays in the receipt of invoices for operating leases from the suppliers. </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 xml:space="preserve">(ii) Programme 2: Planning, Policy and Strategy </w:t>
      </w:r>
    </w:p>
    <w:p w:rsidR="00092911" w:rsidRPr="009566F5" w:rsidRDefault="00C765F6" w:rsidP="009566F5">
      <w:pPr>
        <w:spacing w:after="0" w:line="240" w:lineRule="auto"/>
        <w:rPr>
          <w:rFonts w:ascii="Arial" w:hAnsi="Arial" w:cs="Arial"/>
          <w:sz w:val="20"/>
          <w:szCs w:val="20"/>
        </w:rPr>
      </w:pPr>
      <w:r w:rsidRPr="009566F5">
        <w:rPr>
          <w:rFonts w:ascii="Arial" w:hAnsi="Arial" w:cs="Arial"/>
          <w:sz w:val="20"/>
          <w:szCs w:val="20"/>
          <w:lang w:val="en-US"/>
        </w:rPr>
        <w:t>The programme provide</w:t>
      </w:r>
      <w:r w:rsidR="00EA3FC4" w:rsidRPr="009566F5">
        <w:rPr>
          <w:rFonts w:ascii="Arial" w:hAnsi="Arial" w:cs="Arial"/>
          <w:sz w:val="20"/>
          <w:szCs w:val="20"/>
          <w:lang w:val="en-US"/>
        </w:rPr>
        <w:t>s</w:t>
      </w:r>
      <w:r w:rsidRPr="009566F5">
        <w:rPr>
          <w:rFonts w:ascii="Arial" w:hAnsi="Arial" w:cs="Arial"/>
          <w:sz w:val="20"/>
          <w:szCs w:val="20"/>
          <w:lang w:val="en-US"/>
        </w:rPr>
        <w:t xml:space="preserve"> strategic direction in the development, implementation and monitoring of departmental policies and in the human resource development strategy for South Africa.</w:t>
      </w:r>
      <w:r w:rsidRPr="009566F5">
        <w:rPr>
          <w:rFonts w:ascii="Arial" w:hAnsi="Arial" w:cs="Arial"/>
          <w:sz w:val="20"/>
          <w:szCs w:val="20"/>
        </w:rPr>
        <w:t xml:space="preserve"> </w:t>
      </w:r>
      <w:r w:rsidR="00E522B0" w:rsidRPr="009566F5">
        <w:rPr>
          <w:rFonts w:ascii="Arial" w:hAnsi="Arial" w:cs="Arial"/>
          <w:sz w:val="20"/>
          <w:szCs w:val="20"/>
        </w:rPr>
        <w:t>The programme had no planned targets during the quarter under review.</w:t>
      </w:r>
    </w:p>
    <w:p w:rsidR="00AF3AED" w:rsidRPr="009566F5" w:rsidRDefault="00AF3AED" w:rsidP="009566F5">
      <w:pPr>
        <w:spacing w:after="0" w:line="240" w:lineRule="auto"/>
        <w:rPr>
          <w:rFonts w:ascii="Arial" w:hAnsi="Arial" w:cs="Arial"/>
          <w:sz w:val="20"/>
          <w:szCs w:val="20"/>
        </w:rPr>
      </w:pPr>
      <w:r w:rsidRPr="009566F5">
        <w:rPr>
          <w:rFonts w:ascii="Arial" w:hAnsi="Arial" w:cs="Arial"/>
          <w:sz w:val="20"/>
          <w:szCs w:val="20"/>
        </w:rPr>
        <w:t xml:space="preserve">The programme had spent R161,3 million, against the quarterly projected budget of R172,3 million, recording lower than projected spending amounting to R10,9 million or 6,3 per cent. The underspending was ascribed to the delays in the filling of vacant posts. </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(iii) Programme 3: University Education</w:t>
      </w:r>
    </w:p>
    <w:p w:rsidR="007372A4" w:rsidRPr="009566F5" w:rsidRDefault="00D646A4" w:rsidP="009566F5">
      <w:pPr>
        <w:spacing w:after="0" w:line="240" w:lineRule="auto"/>
        <w:rPr>
          <w:rFonts w:ascii="Arial" w:hAnsi="Arial" w:cs="Arial"/>
          <w:sz w:val="20"/>
          <w:szCs w:val="20"/>
          <w:lang w:val="en-US"/>
        </w:rPr>
      </w:pPr>
      <w:r w:rsidRPr="009566F5">
        <w:rPr>
          <w:rFonts w:ascii="Arial" w:hAnsi="Arial" w:cs="Arial"/>
          <w:sz w:val="20"/>
          <w:szCs w:val="20"/>
          <w:lang w:val="en-US"/>
        </w:rPr>
        <w:t>The programme develop</w:t>
      </w:r>
      <w:r w:rsidR="00265B37" w:rsidRPr="009566F5">
        <w:rPr>
          <w:rFonts w:ascii="Arial" w:hAnsi="Arial" w:cs="Arial"/>
          <w:sz w:val="20"/>
          <w:szCs w:val="20"/>
          <w:lang w:val="en-US"/>
        </w:rPr>
        <w:t>s</w:t>
      </w:r>
      <w:r w:rsidRPr="009566F5">
        <w:rPr>
          <w:rFonts w:ascii="Arial" w:hAnsi="Arial" w:cs="Arial"/>
          <w:sz w:val="20"/>
          <w:szCs w:val="20"/>
          <w:lang w:val="en-US"/>
        </w:rPr>
        <w:t xml:space="preserve"> and coordinate</w:t>
      </w:r>
      <w:r w:rsidR="00EA3FC4" w:rsidRPr="009566F5">
        <w:rPr>
          <w:rFonts w:ascii="Arial" w:hAnsi="Arial" w:cs="Arial"/>
          <w:sz w:val="20"/>
          <w:szCs w:val="20"/>
          <w:lang w:val="en-US"/>
        </w:rPr>
        <w:t>s</w:t>
      </w:r>
      <w:r w:rsidRPr="009566F5">
        <w:rPr>
          <w:rFonts w:ascii="Arial" w:hAnsi="Arial" w:cs="Arial"/>
          <w:sz w:val="20"/>
          <w:szCs w:val="20"/>
          <w:lang w:val="en-US"/>
        </w:rPr>
        <w:t xml:space="preserve"> policy and regulatory frameworks for an effective and efficient university education system and to provide financial and other support to universities, the National Student Financial Aid Scheme and national higher education institutions. </w:t>
      </w:r>
      <w:r w:rsidR="008A4E44" w:rsidRPr="009566F5">
        <w:rPr>
          <w:rFonts w:ascii="Arial" w:hAnsi="Arial" w:cs="Arial"/>
          <w:sz w:val="20"/>
          <w:szCs w:val="20"/>
          <w:lang w:val="en-US"/>
        </w:rPr>
        <w:t xml:space="preserve">There were four (4) targets during the Quarter under review, </w:t>
      </w:r>
      <w:r w:rsidR="00265B37" w:rsidRPr="009566F5">
        <w:rPr>
          <w:rFonts w:ascii="Arial" w:hAnsi="Arial" w:cs="Arial"/>
          <w:sz w:val="20"/>
          <w:szCs w:val="20"/>
          <w:lang w:val="en-US"/>
        </w:rPr>
        <w:t xml:space="preserve">of </w:t>
      </w:r>
      <w:r w:rsidR="008A4E44" w:rsidRPr="009566F5">
        <w:rPr>
          <w:rFonts w:ascii="Arial" w:hAnsi="Arial" w:cs="Arial"/>
          <w:sz w:val="20"/>
          <w:szCs w:val="20"/>
          <w:lang w:val="en-US"/>
        </w:rPr>
        <w:t xml:space="preserve">which two (2) of 50 per cent were achieved, and two </w:t>
      </w:r>
      <w:r w:rsidR="00265B37" w:rsidRPr="009566F5">
        <w:rPr>
          <w:rFonts w:ascii="Arial" w:hAnsi="Arial" w:cs="Arial"/>
          <w:sz w:val="20"/>
          <w:szCs w:val="20"/>
          <w:lang w:val="en-US"/>
        </w:rPr>
        <w:t xml:space="preserve">were </w:t>
      </w:r>
      <w:r w:rsidR="008A4E44" w:rsidRPr="009566F5">
        <w:rPr>
          <w:rFonts w:ascii="Arial" w:hAnsi="Arial" w:cs="Arial"/>
          <w:sz w:val="20"/>
          <w:szCs w:val="20"/>
          <w:lang w:val="en-US"/>
        </w:rPr>
        <w:t>not achieved. The programme had report</w:t>
      </w:r>
      <w:r w:rsidR="00B27216" w:rsidRPr="009566F5">
        <w:rPr>
          <w:rFonts w:ascii="Arial" w:hAnsi="Arial" w:cs="Arial"/>
          <w:sz w:val="20"/>
          <w:szCs w:val="20"/>
          <w:lang w:val="en-US"/>
        </w:rPr>
        <w:t>s</w:t>
      </w:r>
      <w:r w:rsidR="008A4E44" w:rsidRPr="009566F5">
        <w:rPr>
          <w:rFonts w:ascii="Arial" w:hAnsi="Arial" w:cs="Arial"/>
          <w:sz w:val="20"/>
          <w:szCs w:val="20"/>
          <w:lang w:val="en-US"/>
        </w:rPr>
        <w:t xml:space="preserve"> on the financial health of public higher education institutions and the evaluation of creative and innovation outputs by public higher education institutions approved by the DG by 14 December 2021and 27 December 2021, respectively. </w:t>
      </w:r>
    </w:p>
    <w:p w:rsidR="00A96BA5" w:rsidRPr="009566F5" w:rsidRDefault="00A96BA5" w:rsidP="009566F5">
      <w:pPr>
        <w:spacing w:after="0" w:line="240" w:lineRule="auto"/>
        <w:rPr>
          <w:rFonts w:ascii="Arial" w:hAnsi="Arial" w:cs="Arial"/>
          <w:sz w:val="20"/>
          <w:szCs w:val="20"/>
          <w:lang w:val="en-US"/>
        </w:rPr>
      </w:pPr>
      <w:r w:rsidRPr="009566F5">
        <w:rPr>
          <w:rFonts w:ascii="Arial" w:hAnsi="Arial" w:cs="Arial"/>
          <w:sz w:val="20"/>
          <w:szCs w:val="20"/>
          <w:lang w:val="en-US"/>
        </w:rPr>
        <w:t>Targets that were not achieved include</w:t>
      </w:r>
      <w:r w:rsidR="00265B37" w:rsidRPr="009566F5">
        <w:rPr>
          <w:rFonts w:ascii="Arial" w:hAnsi="Arial" w:cs="Arial"/>
          <w:sz w:val="20"/>
          <w:szCs w:val="20"/>
          <w:lang w:val="en-US"/>
        </w:rPr>
        <w:t>:</w:t>
      </w:r>
    </w:p>
    <w:p w:rsidR="00A96BA5" w:rsidRPr="009566F5" w:rsidRDefault="00A96BA5" w:rsidP="009566F5">
      <w:pPr>
        <w:pStyle w:val="ListParagraph"/>
        <w:numPr>
          <w:ilvl w:val="0"/>
          <w:numId w:val="22"/>
        </w:numPr>
        <w:spacing w:after="0" w:line="240" w:lineRule="auto"/>
        <w:rPr>
          <w:rFonts w:ascii="Arial" w:hAnsi="Arial" w:cs="Arial"/>
          <w:sz w:val="20"/>
          <w:szCs w:val="20"/>
          <w:lang w:val="en-US"/>
        </w:rPr>
      </w:pPr>
      <w:r w:rsidRPr="009566F5">
        <w:rPr>
          <w:rFonts w:ascii="Arial" w:hAnsi="Arial" w:cs="Arial"/>
          <w:sz w:val="20"/>
          <w:szCs w:val="20"/>
          <w:lang w:val="en-US"/>
        </w:rPr>
        <w:t>Norms and standards for PSET student housing approved by the Director-general for submission to the Minister for publication as policy by 31 December 2021. The Department ascribed the non-achievement to review of the norms and standards to include TVET colleges. It was reported that the draft review policy was gazetted for public comments on 29 October 2021.</w:t>
      </w:r>
    </w:p>
    <w:p w:rsidR="008A4E44" w:rsidRPr="009566F5" w:rsidRDefault="00A96BA5" w:rsidP="009566F5">
      <w:pPr>
        <w:pStyle w:val="ListParagraph"/>
        <w:numPr>
          <w:ilvl w:val="0"/>
          <w:numId w:val="22"/>
        </w:numPr>
        <w:spacing w:after="0" w:line="240" w:lineRule="auto"/>
        <w:rPr>
          <w:rFonts w:ascii="Arial" w:hAnsi="Arial" w:cs="Arial"/>
          <w:sz w:val="20"/>
          <w:szCs w:val="20"/>
        </w:rPr>
      </w:pPr>
      <w:r w:rsidRPr="009566F5">
        <w:rPr>
          <w:rFonts w:ascii="Arial" w:hAnsi="Arial" w:cs="Arial"/>
          <w:sz w:val="20"/>
          <w:szCs w:val="20"/>
        </w:rPr>
        <w:t>Updated Guidelines for the Implementation of the DHET Bursary Scheme for poor and working</w:t>
      </w:r>
      <w:r w:rsidR="00265B37" w:rsidRPr="009566F5">
        <w:rPr>
          <w:rFonts w:ascii="Arial" w:hAnsi="Arial" w:cs="Arial"/>
          <w:sz w:val="20"/>
          <w:szCs w:val="20"/>
        </w:rPr>
        <w:t>-</w:t>
      </w:r>
      <w:r w:rsidRPr="009566F5">
        <w:rPr>
          <w:rFonts w:ascii="Arial" w:hAnsi="Arial" w:cs="Arial"/>
          <w:sz w:val="20"/>
          <w:szCs w:val="20"/>
        </w:rPr>
        <w:t>class students at public universities submitted to the Minister for approval by 31 December 202. It was reported that the Guidelines could only be finalised once certainty about the NSFAS shortfall from National Treasury was confirmed as this would impact the current student funding policy.</w:t>
      </w:r>
    </w:p>
    <w:p w:rsidR="00CB66F1" w:rsidRPr="009566F5" w:rsidRDefault="00CB66F1" w:rsidP="009566F5">
      <w:pPr>
        <w:spacing w:after="0" w:line="240" w:lineRule="auto"/>
        <w:rPr>
          <w:rFonts w:ascii="Arial" w:hAnsi="Arial" w:cs="Arial"/>
          <w:sz w:val="20"/>
          <w:szCs w:val="20"/>
        </w:rPr>
      </w:pPr>
      <w:r w:rsidRPr="009566F5">
        <w:rPr>
          <w:rFonts w:ascii="Arial" w:hAnsi="Arial" w:cs="Arial"/>
          <w:sz w:val="20"/>
          <w:szCs w:val="20"/>
        </w:rPr>
        <w:t>At the end of the 2021/22 Third-Quarter, the programme had spent R</w:t>
      </w:r>
      <w:r w:rsidR="00864E75" w:rsidRPr="009566F5">
        <w:rPr>
          <w:rFonts w:ascii="Arial" w:hAnsi="Arial" w:cs="Arial"/>
          <w:sz w:val="20"/>
          <w:szCs w:val="20"/>
        </w:rPr>
        <w:t>80,33</w:t>
      </w:r>
      <w:r w:rsidRPr="009566F5">
        <w:rPr>
          <w:rFonts w:ascii="Arial" w:hAnsi="Arial" w:cs="Arial"/>
          <w:sz w:val="20"/>
          <w:szCs w:val="20"/>
        </w:rPr>
        <w:t xml:space="preserve"> billion, against the quarterly projected budget of R</w:t>
      </w:r>
      <w:r w:rsidR="00864E75" w:rsidRPr="009566F5">
        <w:rPr>
          <w:rFonts w:ascii="Arial" w:hAnsi="Arial" w:cs="Arial"/>
          <w:sz w:val="20"/>
          <w:szCs w:val="20"/>
        </w:rPr>
        <w:t>80,59</w:t>
      </w:r>
      <w:r w:rsidRPr="009566F5">
        <w:rPr>
          <w:rFonts w:ascii="Arial" w:hAnsi="Arial" w:cs="Arial"/>
          <w:sz w:val="20"/>
          <w:szCs w:val="20"/>
        </w:rPr>
        <w:t xml:space="preserve"> billion, recording lower than projected spending amounting to R264,4 million or 0,3 per cent. The lower than projected expenditure was attributed to the delays in the transfer payments of earmarked grants to higher education institutions. It was reported that the grants could not be processed as initially projected as the required progress reports were not timeously received. </w:t>
      </w:r>
    </w:p>
    <w:p w:rsidR="004462CC" w:rsidRPr="009566F5" w:rsidRDefault="004462CC" w:rsidP="009566F5">
      <w:pPr>
        <w:autoSpaceDE w:val="0"/>
        <w:autoSpaceDN w:val="0"/>
        <w:adjustRightInd w:val="0"/>
        <w:spacing w:after="0" w:line="240" w:lineRule="auto"/>
        <w:rPr>
          <w:rFonts w:ascii="Arial" w:hAnsi="Arial" w:cs="Arial"/>
          <w:sz w:val="20"/>
          <w:szCs w:val="20"/>
        </w:rPr>
      </w:pPr>
    </w:p>
    <w:p w:rsidR="006003CD" w:rsidRPr="009566F5" w:rsidRDefault="00273115" w:rsidP="009566F5">
      <w:pPr>
        <w:spacing w:after="0" w:line="240" w:lineRule="auto"/>
        <w:rPr>
          <w:rFonts w:ascii="Arial" w:hAnsi="Arial" w:cs="Arial"/>
          <w:b/>
          <w:sz w:val="20"/>
          <w:szCs w:val="20"/>
        </w:rPr>
      </w:pPr>
      <w:r w:rsidRPr="009566F5">
        <w:rPr>
          <w:rFonts w:ascii="Arial" w:hAnsi="Arial" w:cs="Arial"/>
          <w:b/>
          <w:sz w:val="20"/>
          <w:szCs w:val="20"/>
        </w:rPr>
        <w:t xml:space="preserve"> </w:t>
      </w:r>
      <w:r w:rsidR="006003CD" w:rsidRPr="009566F5">
        <w:rPr>
          <w:rFonts w:ascii="Arial" w:hAnsi="Arial" w:cs="Arial"/>
          <w:b/>
          <w:sz w:val="20"/>
          <w:szCs w:val="20"/>
        </w:rPr>
        <w:t>(iv) Programme 4: Technical and Vocational Education and Training</w:t>
      </w:r>
    </w:p>
    <w:p w:rsidR="000F605D" w:rsidRPr="009566F5" w:rsidRDefault="006003CD" w:rsidP="009566F5">
      <w:pPr>
        <w:spacing w:after="0" w:line="240" w:lineRule="auto"/>
        <w:rPr>
          <w:rFonts w:ascii="Arial" w:hAnsi="Arial" w:cs="Arial"/>
          <w:sz w:val="20"/>
          <w:szCs w:val="20"/>
        </w:rPr>
      </w:pPr>
      <w:r w:rsidRPr="009566F5">
        <w:rPr>
          <w:rFonts w:ascii="Arial" w:hAnsi="Arial" w:cs="Arial"/>
          <w:sz w:val="20"/>
          <w:szCs w:val="20"/>
        </w:rPr>
        <w:t xml:space="preserve">The purpose of this Programme is to plan, develop, implement, monitor, maintain and evaluate national policy, programmes, assessment practices and systems for TVET. </w:t>
      </w:r>
      <w:r w:rsidR="009A33C8" w:rsidRPr="009566F5">
        <w:rPr>
          <w:rFonts w:ascii="Arial" w:hAnsi="Arial" w:cs="Arial"/>
          <w:sz w:val="20"/>
          <w:szCs w:val="20"/>
        </w:rPr>
        <w:t>The programme had eight targets and the achievement was zero per cent.</w:t>
      </w:r>
    </w:p>
    <w:p w:rsidR="009A33C8" w:rsidRPr="009566F5" w:rsidRDefault="009A33C8" w:rsidP="009566F5">
      <w:pPr>
        <w:spacing w:after="0" w:line="240" w:lineRule="auto"/>
        <w:rPr>
          <w:rFonts w:ascii="Arial" w:hAnsi="Arial" w:cs="Arial"/>
          <w:sz w:val="20"/>
          <w:szCs w:val="20"/>
        </w:rPr>
      </w:pPr>
      <w:r w:rsidRPr="009566F5">
        <w:rPr>
          <w:rFonts w:ascii="Arial" w:hAnsi="Arial" w:cs="Arial"/>
          <w:sz w:val="20"/>
          <w:szCs w:val="20"/>
        </w:rPr>
        <w:t>Targets not achieved include, amongst others:</w:t>
      </w:r>
    </w:p>
    <w:p w:rsidR="00976D68" w:rsidRPr="009566F5" w:rsidRDefault="00976D68" w:rsidP="009566F5">
      <w:pPr>
        <w:pStyle w:val="ListParagraph"/>
        <w:numPr>
          <w:ilvl w:val="0"/>
          <w:numId w:val="23"/>
        </w:numPr>
        <w:spacing w:after="0" w:line="240" w:lineRule="auto"/>
        <w:ind w:left="360"/>
        <w:rPr>
          <w:rFonts w:ascii="Arial" w:hAnsi="Arial" w:cs="Arial"/>
          <w:sz w:val="20"/>
          <w:szCs w:val="20"/>
        </w:rPr>
      </w:pPr>
      <w:r w:rsidRPr="009566F5">
        <w:rPr>
          <w:rFonts w:ascii="Arial" w:hAnsi="Arial" w:cs="Arial"/>
          <w:sz w:val="20"/>
          <w:szCs w:val="20"/>
        </w:rPr>
        <w:t>Draft consolidated three-year enrolment plan approved by the Deputy Director-General by 31 December 2021</w:t>
      </w:r>
      <w:r w:rsidR="009A33C8" w:rsidRPr="009566F5">
        <w:rPr>
          <w:rFonts w:ascii="Arial" w:hAnsi="Arial" w:cs="Arial"/>
          <w:sz w:val="20"/>
          <w:szCs w:val="20"/>
        </w:rPr>
        <w:t>. The Department reported that there was a little development of the three-year enrolment plan with differentiation and that d</w:t>
      </w:r>
      <w:r w:rsidR="00265B37" w:rsidRPr="009566F5">
        <w:rPr>
          <w:rFonts w:ascii="Arial" w:hAnsi="Arial" w:cs="Arial"/>
          <w:sz w:val="20"/>
          <w:szCs w:val="20"/>
        </w:rPr>
        <w:t>u</w:t>
      </w:r>
      <w:r w:rsidR="009A33C8" w:rsidRPr="009566F5">
        <w:rPr>
          <w:rFonts w:ascii="Arial" w:hAnsi="Arial" w:cs="Arial"/>
          <w:sz w:val="20"/>
          <w:szCs w:val="20"/>
        </w:rPr>
        <w:t>e to lack of capacity, the target will only be achieved in the next financial year.</w:t>
      </w:r>
    </w:p>
    <w:p w:rsidR="009A33C8" w:rsidRPr="009566F5" w:rsidRDefault="009A33C8" w:rsidP="009566F5">
      <w:pPr>
        <w:pStyle w:val="ListParagraph"/>
        <w:numPr>
          <w:ilvl w:val="0"/>
          <w:numId w:val="23"/>
        </w:numPr>
        <w:spacing w:after="0" w:line="240" w:lineRule="auto"/>
        <w:ind w:left="360"/>
        <w:rPr>
          <w:rFonts w:ascii="Arial" w:hAnsi="Arial" w:cs="Arial"/>
          <w:sz w:val="20"/>
          <w:szCs w:val="20"/>
        </w:rPr>
      </w:pPr>
      <w:r w:rsidRPr="009566F5">
        <w:rPr>
          <w:rFonts w:ascii="Arial" w:hAnsi="Arial" w:cs="Arial"/>
          <w:sz w:val="20"/>
          <w:szCs w:val="20"/>
        </w:rPr>
        <w:t xml:space="preserve">Revised guidelines to accommodate students with disabilities approved by the Deputy Director-General by 31 December 2021. It was noted that the draft framework and </w:t>
      </w:r>
      <w:r w:rsidR="00EA3FC4" w:rsidRPr="009566F5">
        <w:rPr>
          <w:rFonts w:ascii="Arial" w:hAnsi="Arial" w:cs="Arial"/>
          <w:sz w:val="20"/>
          <w:szCs w:val="20"/>
        </w:rPr>
        <w:t>g</w:t>
      </w:r>
      <w:r w:rsidRPr="009566F5">
        <w:rPr>
          <w:rFonts w:ascii="Arial" w:hAnsi="Arial" w:cs="Arial"/>
          <w:sz w:val="20"/>
          <w:szCs w:val="20"/>
        </w:rPr>
        <w:t>uidelines were revised based on the input received during the regional workshops. Approval of the DG was not obtained in time.</w:t>
      </w:r>
    </w:p>
    <w:p w:rsidR="00976D68" w:rsidRPr="009566F5" w:rsidRDefault="00976D68" w:rsidP="009566F5">
      <w:pPr>
        <w:pStyle w:val="ListParagraph"/>
        <w:numPr>
          <w:ilvl w:val="0"/>
          <w:numId w:val="23"/>
        </w:numPr>
        <w:spacing w:after="0" w:line="240" w:lineRule="auto"/>
        <w:ind w:left="360"/>
        <w:rPr>
          <w:rFonts w:ascii="Arial" w:hAnsi="Arial" w:cs="Arial"/>
          <w:sz w:val="20"/>
          <w:szCs w:val="20"/>
        </w:rPr>
      </w:pPr>
      <w:r w:rsidRPr="009566F5">
        <w:rPr>
          <w:rFonts w:ascii="Arial" w:hAnsi="Arial" w:cs="Arial"/>
          <w:sz w:val="20"/>
          <w:szCs w:val="20"/>
        </w:rPr>
        <w:t>Examination results per cycle for qualifying students released in 40 days from last date of exams timetable</w:t>
      </w:r>
      <w:r w:rsidR="00D6376F" w:rsidRPr="009566F5">
        <w:rPr>
          <w:rFonts w:ascii="Arial" w:hAnsi="Arial" w:cs="Arial"/>
          <w:sz w:val="20"/>
          <w:szCs w:val="20"/>
        </w:rPr>
        <w:t>. Examination results per cycle for qualifying students were released in 49 days due to non-compliance with reporting standards and guidelines.</w:t>
      </w:r>
    </w:p>
    <w:p w:rsidR="00976D68" w:rsidRPr="009566F5" w:rsidRDefault="00976D68" w:rsidP="009566F5">
      <w:pPr>
        <w:pStyle w:val="ListParagraph"/>
        <w:numPr>
          <w:ilvl w:val="0"/>
          <w:numId w:val="23"/>
        </w:numPr>
        <w:spacing w:after="0" w:line="240" w:lineRule="auto"/>
        <w:ind w:left="360"/>
        <w:rPr>
          <w:rFonts w:ascii="Arial" w:hAnsi="Arial" w:cs="Arial"/>
          <w:sz w:val="20"/>
          <w:szCs w:val="20"/>
        </w:rPr>
      </w:pPr>
      <w:r w:rsidRPr="009566F5">
        <w:rPr>
          <w:rFonts w:ascii="Arial" w:hAnsi="Arial" w:cs="Arial"/>
          <w:sz w:val="20"/>
          <w:szCs w:val="20"/>
        </w:rPr>
        <w:t>Monitoring report on the conduct, management and administration of TVET college examinations and assessment app</w:t>
      </w:r>
      <w:r w:rsidR="00D6376F" w:rsidRPr="009566F5">
        <w:rPr>
          <w:rFonts w:ascii="Arial" w:hAnsi="Arial" w:cs="Arial"/>
          <w:sz w:val="20"/>
          <w:szCs w:val="20"/>
        </w:rPr>
        <w:t>roved by Director-General by</w:t>
      </w:r>
      <w:r w:rsidRPr="009566F5">
        <w:rPr>
          <w:rFonts w:ascii="Arial" w:hAnsi="Arial" w:cs="Arial"/>
          <w:sz w:val="20"/>
          <w:szCs w:val="20"/>
        </w:rPr>
        <w:t xml:space="preserve"> 31 December 2021</w:t>
      </w:r>
      <w:r w:rsidR="00D6376F" w:rsidRPr="009566F5">
        <w:rPr>
          <w:rFonts w:ascii="Arial" w:hAnsi="Arial" w:cs="Arial"/>
          <w:sz w:val="20"/>
          <w:szCs w:val="20"/>
        </w:rPr>
        <w:t>. The report was signed outside of the reporting timeframe.</w:t>
      </w:r>
    </w:p>
    <w:p w:rsidR="00D6376F" w:rsidRPr="009566F5" w:rsidRDefault="00976D68" w:rsidP="009566F5">
      <w:pPr>
        <w:pStyle w:val="ListParagraph"/>
        <w:numPr>
          <w:ilvl w:val="0"/>
          <w:numId w:val="23"/>
        </w:numPr>
        <w:spacing w:after="0" w:line="240" w:lineRule="auto"/>
        <w:ind w:left="360"/>
        <w:rPr>
          <w:rFonts w:ascii="Arial" w:hAnsi="Arial" w:cs="Arial"/>
          <w:sz w:val="20"/>
          <w:szCs w:val="20"/>
        </w:rPr>
      </w:pPr>
      <w:r w:rsidRPr="009566F5">
        <w:rPr>
          <w:rFonts w:ascii="Arial" w:hAnsi="Arial" w:cs="Arial"/>
          <w:sz w:val="20"/>
          <w:szCs w:val="20"/>
        </w:rPr>
        <w:t>Consolidated assessment framework and implementation plan for the institutional maturity model for TVET colleges approved by the Deputy Director-General by 31 December 2021</w:t>
      </w:r>
      <w:r w:rsidR="00D6376F" w:rsidRPr="009566F5">
        <w:rPr>
          <w:rFonts w:ascii="Arial" w:hAnsi="Arial" w:cs="Arial"/>
          <w:sz w:val="20"/>
          <w:szCs w:val="20"/>
        </w:rPr>
        <w:t xml:space="preserve">. The </w:t>
      </w:r>
      <w:r w:rsidR="00D6376F" w:rsidRPr="009566F5">
        <w:rPr>
          <w:rFonts w:ascii="Arial" w:hAnsi="Arial" w:cs="Arial"/>
          <w:sz w:val="20"/>
          <w:szCs w:val="20"/>
        </w:rPr>
        <w:lastRenderedPageBreak/>
        <w:t xml:space="preserve">Department reported that the Final </w:t>
      </w:r>
      <w:r w:rsidR="00265B37" w:rsidRPr="009566F5">
        <w:rPr>
          <w:rFonts w:ascii="Arial" w:hAnsi="Arial" w:cs="Arial"/>
          <w:sz w:val="20"/>
          <w:szCs w:val="20"/>
        </w:rPr>
        <w:t>D</w:t>
      </w:r>
      <w:r w:rsidR="00D6376F" w:rsidRPr="009566F5">
        <w:rPr>
          <w:rFonts w:ascii="Arial" w:hAnsi="Arial" w:cs="Arial"/>
          <w:sz w:val="20"/>
          <w:szCs w:val="20"/>
        </w:rPr>
        <w:t xml:space="preserve">raft of </w:t>
      </w:r>
      <w:r w:rsidR="00EA3FC4" w:rsidRPr="009566F5">
        <w:rPr>
          <w:rFonts w:ascii="Arial" w:hAnsi="Arial" w:cs="Arial"/>
          <w:sz w:val="20"/>
          <w:szCs w:val="20"/>
        </w:rPr>
        <w:t xml:space="preserve">the </w:t>
      </w:r>
      <w:r w:rsidR="00D6376F" w:rsidRPr="009566F5">
        <w:rPr>
          <w:rFonts w:ascii="Arial" w:hAnsi="Arial" w:cs="Arial"/>
          <w:sz w:val="20"/>
          <w:szCs w:val="20"/>
        </w:rPr>
        <w:t>maturity assessment framework was completed, and assessment methodology and reporting templates were tested at two colleges in the Western Cape.</w:t>
      </w:r>
    </w:p>
    <w:p w:rsidR="009A33C8" w:rsidRPr="009566F5" w:rsidRDefault="009A33C8" w:rsidP="009566F5">
      <w:pPr>
        <w:pStyle w:val="ListParagraph"/>
        <w:spacing w:after="0" w:line="240" w:lineRule="auto"/>
        <w:ind w:left="360"/>
        <w:rPr>
          <w:rFonts w:ascii="Arial" w:hAnsi="Arial" w:cs="Arial"/>
          <w:sz w:val="20"/>
          <w:szCs w:val="20"/>
        </w:rPr>
      </w:pPr>
    </w:p>
    <w:p w:rsidR="00913EF8" w:rsidRPr="009566F5" w:rsidRDefault="00913EF8" w:rsidP="009566F5">
      <w:pPr>
        <w:spacing w:after="0" w:line="240" w:lineRule="auto"/>
        <w:rPr>
          <w:rFonts w:ascii="Arial" w:hAnsi="Arial" w:cs="Arial"/>
          <w:sz w:val="20"/>
          <w:szCs w:val="20"/>
        </w:rPr>
      </w:pPr>
      <w:r w:rsidRPr="009566F5">
        <w:rPr>
          <w:rFonts w:ascii="Arial" w:hAnsi="Arial" w:cs="Arial"/>
          <w:sz w:val="20"/>
          <w:szCs w:val="20"/>
        </w:rPr>
        <w:t xml:space="preserve">At the end of the 2021/22 Third-Quarter, the programme had spent R8,32 billion, against the quarterly projected budget of R8,63 billion, recording lower than projected spending amounting to R306,8 million or 3,6 per cent. The underspending was mainly under </w:t>
      </w:r>
      <w:r w:rsidR="00265B37" w:rsidRPr="009566F5">
        <w:rPr>
          <w:rFonts w:ascii="Arial" w:hAnsi="Arial" w:cs="Arial"/>
          <w:sz w:val="20"/>
          <w:szCs w:val="20"/>
        </w:rPr>
        <w:t>C</w:t>
      </w:r>
      <w:r w:rsidRPr="009566F5">
        <w:rPr>
          <w:rFonts w:ascii="Arial" w:hAnsi="Arial" w:cs="Arial"/>
          <w:sz w:val="20"/>
          <w:szCs w:val="20"/>
        </w:rPr>
        <w:t xml:space="preserve">ompensation of </w:t>
      </w:r>
      <w:r w:rsidR="00265B37" w:rsidRPr="009566F5">
        <w:rPr>
          <w:rFonts w:ascii="Arial" w:hAnsi="Arial" w:cs="Arial"/>
          <w:sz w:val="20"/>
          <w:szCs w:val="20"/>
        </w:rPr>
        <w:t>E</w:t>
      </w:r>
      <w:r w:rsidRPr="009566F5">
        <w:rPr>
          <w:rFonts w:ascii="Arial" w:hAnsi="Arial" w:cs="Arial"/>
          <w:sz w:val="20"/>
          <w:szCs w:val="20"/>
        </w:rPr>
        <w:t xml:space="preserve">mployees due to unfilled vacant posts and because of claims from moderators and examiners for October/November 2021 examinations that were not received as projected. </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(v) Programme 5: Skills Development</w:t>
      </w:r>
    </w:p>
    <w:p w:rsidR="008C09A2" w:rsidRPr="009566F5" w:rsidRDefault="00230BCF" w:rsidP="009566F5">
      <w:pPr>
        <w:tabs>
          <w:tab w:val="num" w:pos="1440"/>
        </w:tabs>
        <w:spacing w:after="0" w:line="240" w:lineRule="auto"/>
        <w:rPr>
          <w:rFonts w:ascii="Arial" w:hAnsi="Arial" w:cs="Arial"/>
          <w:sz w:val="20"/>
          <w:szCs w:val="20"/>
        </w:rPr>
      </w:pPr>
      <w:r w:rsidRPr="009566F5">
        <w:rPr>
          <w:rFonts w:ascii="Arial" w:hAnsi="Arial" w:cs="Arial"/>
          <w:sz w:val="20"/>
          <w:szCs w:val="20"/>
          <w:lang w:val="en-US"/>
        </w:rPr>
        <w:t>The programme promote</w:t>
      </w:r>
      <w:r w:rsidR="00EA3FC4" w:rsidRPr="009566F5">
        <w:rPr>
          <w:rFonts w:ascii="Arial" w:hAnsi="Arial" w:cs="Arial"/>
          <w:sz w:val="20"/>
          <w:szCs w:val="20"/>
          <w:lang w:val="en-US"/>
        </w:rPr>
        <w:t>s</w:t>
      </w:r>
      <w:r w:rsidRPr="009566F5">
        <w:rPr>
          <w:rFonts w:ascii="Arial" w:hAnsi="Arial" w:cs="Arial"/>
          <w:sz w:val="20"/>
          <w:szCs w:val="20"/>
          <w:lang w:val="en-US"/>
        </w:rPr>
        <w:t xml:space="preserve"> and monitor</w:t>
      </w:r>
      <w:r w:rsidR="00265B37" w:rsidRPr="009566F5">
        <w:rPr>
          <w:rFonts w:ascii="Arial" w:hAnsi="Arial" w:cs="Arial"/>
          <w:sz w:val="20"/>
          <w:szCs w:val="20"/>
          <w:lang w:val="en-US"/>
        </w:rPr>
        <w:t>s</w:t>
      </w:r>
      <w:r w:rsidRPr="009566F5">
        <w:rPr>
          <w:rFonts w:ascii="Arial" w:hAnsi="Arial" w:cs="Arial"/>
          <w:sz w:val="20"/>
          <w:szCs w:val="20"/>
          <w:lang w:val="en-US"/>
        </w:rPr>
        <w:t xml:space="preserve"> the National Skills Development Strategy. Develop skills development policies and regulatory frameworks for an effective skills development system.</w:t>
      </w:r>
      <w:r w:rsidRPr="009566F5">
        <w:rPr>
          <w:rFonts w:ascii="Arial" w:hAnsi="Arial" w:cs="Arial"/>
          <w:sz w:val="20"/>
          <w:szCs w:val="20"/>
        </w:rPr>
        <w:t xml:space="preserve"> </w:t>
      </w:r>
      <w:r w:rsidR="00EA3FC4" w:rsidRPr="009566F5">
        <w:rPr>
          <w:rFonts w:ascii="Arial" w:hAnsi="Arial" w:cs="Arial"/>
          <w:sz w:val="20"/>
          <w:szCs w:val="20"/>
        </w:rPr>
        <w:t>F</w:t>
      </w:r>
      <w:r w:rsidR="00D52E60" w:rsidRPr="009566F5">
        <w:rPr>
          <w:rFonts w:ascii="Arial" w:hAnsi="Arial" w:cs="Arial"/>
          <w:sz w:val="20"/>
          <w:szCs w:val="20"/>
        </w:rPr>
        <w:t>or the Quarter under review, the programme had t</w:t>
      </w:r>
      <w:r w:rsidR="00265B37" w:rsidRPr="009566F5">
        <w:rPr>
          <w:rFonts w:ascii="Arial" w:hAnsi="Arial" w:cs="Arial"/>
          <w:sz w:val="20"/>
          <w:szCs w:val="20"/>
        </w:rPr>
        <w:t>h</w:t>
      </w:r>
      <w:r w:rsidR="00D52E60" w:rsidRPr="009566F5">
        <w:rPr>
          <w:rFonts w:ascii="Arial" w:hAnsi="Arial" w:cs="Arial"/>
          <w:sz w:val="20"/>
          <w:szCs w:val="20"/>
        </w:rPr>
        <w:t xml:space="preserve">ree targets, and had achieved one or 33.3 per cent of the targets. </w:t>
      </w:r>
    </w:p>
    <w:p w:rsidR="00D52E60" w:rsidRPr="009566F5" w:rsidRDefault="00D52E60" w:rsidP="009566F5">
      <w:pPr>
        <w:tabs>
          <w:tab w:val="num" w:pos="1440"/>
        </w:tabs>
        <w:spacing w:after="0" w:line="240" w:lineRule="auto"/>
        <w:rPr>
          <w:rFonts w:ascii="Arial" w:hAnsi="Arial" w:cs="Arial"/>
          <w:sz w:val="20"/>
          <w:szCs w:val="20"/>
        </w:rPr>
      </w:pPr>
      <w:r w:rsidRPr="009566F5">
        <w:rPr>
          <w:rFonts w:ascii="Arial" w:hAnsi="Arial" w:cs="Arial"/>
          <w:sz w:val="20"/>
          <w:szCs w:val="20"/>
        </w:rPr>
        <w:t>The programme did not achieve the following targets:</w:t>
      </w:r>
    </w:p>
    <w:p w:rsidR="00D52E60" w:rsidRPr="009566F5" w:rsidRDefault="00D52E60" w:rsidP="009566F5">
      <w:pPr>
        <w:pStyle w:val="ListParagraph"/>
        <w:numPr>
          <w:ilvl w:val="0"/>
          <w:numId w:val="28"/>
        </w:numPr>
        <w:tabs>
          <w:tab w:val="num" w:pos="1440"/>
        </w:tabs>
        <w:spacing w:after="0" w:line="240" w:lineRule="auto"/>
        <w:ind w:left="357" w:hanging="357"/>
        <w:rPr>
          <w:rFonts w:ascii="Arial" w:hAnsi="Arial" w:cs="Arial"/>
          <w:color w:val="000000" w:themeColor="text1"/>
          <w:sz w:val="20"/>
          <w:szCs w:val="20"/>
        </w:rPr>
      </w:pPr>
      <w:r w:rsidRPr="009566F5">
        <w:rPr>
          <w:rFonts w:ascii="Arial" w:hAnsi="Arial" w:cs="Arial"/>
          <w:color w:val="000000" w:themeColor="text1"/>
          <w:sz w:val="20"/>
          <w:szCs w:val="20"/>
        </w:rPr>
        <w:t xml:space="preserve">Average lead time from qualifying trade test applications received until trade test is conducted (40 days). It took the 42-days average lead time from qualifying </w:t>
      </w:r>
      <w:r w:rsidR="00265B37" w:rsidRPr="009566F5">
        <w:rPr>
          <w:rFonts w:ascii="Arial" w:hAnsi="Arial" w:cs="Arial"/>
          <w:color w:val="000000" w:themeColor="text1"/>
          <w:sz w:val="20"/>
          <w:szCs w:val="20"/>
        </w:rPr>
        <w:t xml:space="preserve">the </w:t>
      </w:r>
      <w:r w:rsidRPr="009566F5">
        <w:rPr>
          <w:rFonts w:ascii="Arial" w:hAnsi="Arial" w:cs="Arial"/>
          <w:color w:val="000000" w:themeColor="text1"/>
          <w:sz w:val="20"/>
          <w:szCs w:val="20"/>
        </w:rPr>
        <w:t xml:space="preserve">trade test    applications received until trade test is conducted. </w:t>
      </w:r>
    </w:p>
    <w:p w:rsidR="00D52E60" w:rsidRPr="009566F5" w:rsidRDefault="00D52E60" w:rsidP="009566F5">
      <w:pPr>
        <w:pStyle w:val="ListParagraph"/>
        <w:numPr>
          <w:ilvl w:val="0"/>
          <w:numId w:val="28"/>
        </w:numPr>
        <w:tabs>
          <w:tab w:val="num" w:pos="1440"/>
        </w:tabs>
        <w:spacing w:after="0" w:line="240" w:lineRule="auto"/>
        <w:ind w:left="357" w:hanging="357"/>
        <w:rPr>
          <w:rFonts w:ascii="Arial" w:hAnsi="Arial" w:cs="Arial"/>
          <w:color w:val="000000" w:themeColor="text1"/>
          <w:sz w:val="20"/>
          <w:szCs w:val="20"/>
        </w:rPr>
      </w:pPr>
      <w:r w:rsidRPr="009566F5">
        <w:rPr>
          <w:rFonts w:ascii="Arial" w:hAnsi="Arial" w:cs="Arial"/>
          <w:color w:val="000000" w:themeColor="text1"/>
          <w:sz w:val="20"/>
          <w:szCs w:val="20"/>
        </w:rPr>
        <w:t>Skills Strategy approved by the Minister by 31 December 2021. The non-achievement was ascribed to the delays caused by the need to ensure consultations and resultant incorporation of the comments.</w:t>
      </w:r>
    </w:p>
    <w:p w:rsidR="007D7ACD" w:rsidRPr="009566F5" w:rsidRDefault="007D7ACD" w:rsidP="009566F5">
      <w:pPr>
        <w:tabs>
          <w:tab w:val="num" w:pos="1440"/>
        </w:tabs>
        <w:spacing w:after="0" w:line="240" w:lineRule="auto"/>
        <w:rPr>
          <w:rFonts w:ascii="Arial" w:hAnsi="Arial" w:cs="Arial"/>
          <w:color w:val="000000" w:themeColor="text1"/>
          <w:sz w:val="20"/>
          <w:szCs w:val="20"/>
        </w:rPr>
      </w:pPr>
      <w:r w:rsidRPr="009566F5">
        <w:rPr>
          <w:rFonts w:ascii="Arial" w:hAnsi="Arial" w:cs="Arial"/>
          <w:color w:val="000000" w:themeColor="text1"/>
          <w:sz w:val="20"/>
          <w:szCs w:val="20"/>
        </w:rPr>
        <w:t>The programme had spent</w:t>
      </w:r>
      <w:r w:rsidR="00A80685" w:rsidRPr="009566F5">
        <w:rPr>
          <w:rFonts w:ascii="Arial" w:hAnsi="Arial" w:cs="Arial"/>
          <w:color w:val="000000" w:themeColor="text1"/>
          <w:sz w:val="20"/>
          <w:szCs w:val="20"/>
        </w:rPr>
        <w:t xml:space="preserve"> R221,2 million against the quarterly projected expenditure amounting to R243,8 million</w:t>
      </w:r>
      <w:r w:rsidRPr="009566F5">
        <w:rPr>
          <w:rFonts w:ascii="Arial" w:hAnsi="Arial" w:cs="Arial"/>
          <w:color w:val="000000" w:themeColor="text1"/>
          <w:sz w:val="20"/>
          <w:szCs w:val="20"/>
        </w:rPr>
        <w:t xml:space="preserve">, with lower than </w:t>
      </w:r>
      <w:r w:rsidR="00EA3FC4" w:rsidRPr="009566F5">
        <w:rPr>
          <w:rFonts w:ascii="Arial" w:hAnsi="Arial" w:cs="Arial"/>
          <w:color w:val="000000" w:themeColor="text1"/>
          <w:sz w:val="20"/>
          <w:szCs w:val="20"/>
        </w:rPr>
        <w:t xml:space="preserve">the </w:t>
      </w:r>
      <w:r w:rsidRPr="009566F5">
        <w:rPr>
          <w:rFonts w:ascii="Arial" w:hAnsi="Arial" w:cs="Arial"/>
          <w:color w:val="000000" w:themeColor="text1"/>
          <w:sz w:val="20"/>
          <w:szCs w:val="20"/>
        </w:rPr>
        <w:t>projected spending of R22,7 million or 9.3 per cent. The underspending was recorded under goods and services due to delays in the receipt of invoices from suppliers.</w:t>
      </w:r>
    </w:p>
    <w:p w:rsidR="006003CD" w:rsidRPr="009566F5" w:rsidRDefault="006003CD" w:rsidP="009566F5">
      <w:pPr>
        <w:spacing w:after="0" w:line="240" w:lineRule="auto"/>
        <w:rPr>
          <w:rFonts w:ascii="Arial" w:hAnsi="Arial" w:cs="Arial"/>
          <w:b/>
          <w:sz w:val="20"/>
          <w:szCs w:val="20"/>
        </w:rPr>
      </w:pPr>
      <w:r w:rsidRPr="009566F5">
        <w:rPr>
          <w:rFonts w:ascii="Arial" w:hAnsi="Arial" w:cs="Arial"/>
          <w:b/>
          <w:sz w:val="20"/>
          <w:szCs w:val="20"/>
        </w:rPr>
        <w:t>(vi) Programme 6: Community Education and Training</w:t>
      </w:r>
    </w:p>
    <w:p w:rsidR="00E522B0" w:rsidRPr="009566F5" w:rsidRDefault="006003CD" w:rsidP="009566F5">
      <w:pPr>
        <w:spacing w:after="0" w:line="240" w:lineRule="auto"/>
        <w:rPr>
          <w:rFonts w:ascii="Arial" w:hAnsi="Arial" w:cs="Arial"/>
          <w:sz w:val="20"/>
          <w:szCs w:val="20"/>
        </w:rPr>
      </w:pPr>
      <w:r w:rsidRPr="009566F5">
        <w:rPr>
          <w:rFonts w:ascii="Arial" w:hAnsi="Arial" w:cs="Arial"/>
          <w:sz w:val="20"/>
          <w:szCs w:val="20"/>
        </w:rPr>
        <w:t xml:space="preserve">The purpose of this Programme is to plan, develop, implement, monitor, maintain and evaluate national policy, programme assessment practices and systems for community education and training. </w:t>
      </w:r>
      <w:r w:rsidR="00E522B0" w:rsidRPr="009566F5">
        <w:rPr>
          <w:rFonts w:ascii="Arial" w:hAnsi="Arial" w:cs="Arial"/>
          <w:sz w:val="20"/>
          <w:szCs w:val="20"/>
        </w:rPr>
        <w:t>The programme had no planned targets during the quarter under review.</w:t>
      </w:r>
    </w:p>
    <w:p w:rsidR="00BC4803" w:rsidRPr="009566F5" w:rsidRDefault="007D7ACD" w:rsidP="009566F5">
      <w:pPr>
        <w:spacing w:after="0" w:line="240" w:lineRule="auto"/>
        <w:rPr>
          <w:rFonts w:ascii="Arial" w:hAnsi="Arial" w:cs="Arial"/>
          <w:sz w:val="20"/>
          <w:szCs w:val="20"/>
        </w:rPr>
      </w:pPr>
      <w:r w:rsidRPr="009566F5">
        <w:rPr>
          <w:rFonts w:ascii="Arial" w:hAnsi="Arial" w:cs="Arial"/>
          <w:sz w:val="20"/>
          <w:szCs w:val="20"/>
        </w:rPr>
        <w:t>At the end of the 2021/22 Third-Quarter, the programme had spent R1,59 billion, against the quarterly projected budget of R1,62 billion, recording lower than projected spending amounting to R27,3 million or 1</w:t>
      </w:r>
      <w:r w:rsidR="00265B37" w:rsidRPr="009566F5">
        <w:rPr>
          <w:rFonts w:ascii="Arial" w:hAnsi="Arial" w:cs="Arial"/>
          <w:sz w:val="20"/>
          <w:szCs w:val="20"/>
        </w:rPr>
        <w:t>.</w:t>
      </w:r>
      <w:r w:rsidRPr="009566F5">
        <w:rPr>
          <w:rFonts w:ascii="Arial" w:hAnsi="Arial" w:cs="Arial"/>
          <w:sz w:val="20"/>
          <w:szCs w:val="20"/>
        </w:rPr>
        <w:t>7 per cent. The underspending was ascribed to the delays in the receipt of claims from moderators and examiners and unfilled vacant posts.</w:t>
      </w:r>
    </w:p>
    <w:p w:rsidR="001744F3" w:rsidRPr="009566F5" w:rsidRDefault="001744F3" w:rsidP="009566F5">
      <w:pPr>
        <w:spacing w:after="0" w:line="240" w:lineRule="auto"/>
        <w:rPr>
          <w:rFonts w:ascii="Arial" w:hAnsi="Arial" w:cs="Arial"/>
          <w:sz w:val="20"/>
          <w:szCs w:val="20"/>
        </w:rPr>
      </w:pPr>
    </w:p>
    <w:p w:rsidR="00986A85" w:rsidRPr="009566F5" w:rsidRDefault="00986A85" w:rsidP="009566F5">
      <w:pPr>
        <w:pStyle w:val="ListParagraph"/>
        <w:numPr>
          <w:ilvl w:val="0"/>
          <w:numId w:val="20"/>
        </w:numPr>
        <w:spacing w:after="0" w:line="240" w:lineRule="auto"/>
        <w:rPr>
          <w:rFonts w:ascii="Arial" w:hAnsi="Arial" w:cs="Arial"/>
          <w:b/>
          <w:sz w:val="20"/>
          <w:szCs w:val="20"/>
        </w:rPr>
      </w:pPr>
      <w:r w:rsidRPr="009566F5">
        <w:rPr>
          <w:rFonts w:ascii="Arial" w:hAnsi="Arial" w:cs="Arial"/>
          <w:b/>
          <w:sz w:val="20"/>
          <w:szCs w:val="20"/>
        </w:rPr>
        <w:t>O</w:t>
      </w:r>
      <w:r w:rsidR="00507B1E" w:rsidRPr="009566F5">
        <w:rPr>
          <w:rFonts w:ascii="Arial" w:hAnsi="Arial" w:cs="Arial"/>
          <w:b/>
          <w:sz w:val="20"/>
          <w:szCs w:val="20"/>
        </w:rPr>
        <w:t>BSERVATIONS</w:t>
      </w:r>
    </w:p>
    <w:p w:rsidR="00F73C0C" w:rsidRPr="009566F5" w:rsidRDefault="00986A85" w:rsidP="009566F5">
      <w:pPr>
        <w:spacing w:after="0" w:line="240" w:lineRule="auto"/>
        <w:rPr>
          <w:rFonts w:ascii="Arial" w:hAnsi="Arial" w:cs="Arial"/>
          <w:sz w:val="20"/>
          <w:szCs w:val="20"/>
        </w:rPr>
      </w:pPr>
      <w:r w:rsidRPr="009566F5">
        <w:rPr>
          <w:rFonts w:ascii="Arial" w:hAnsi="Arial" w:cs="Arial"/>
          <w:sz w:val="20"/>
          <w:szCs w:val="20"/>
        </w:rPr>
        <w:t xml:space="preserve">The Portfolio Committee having considered the </w:t>
      </w:r>
      <w:r w:rsidR="00CB207F" w:rsidRPr="009566F5">
        <w:rPr>
          <w:rFonts w:ascii="Arial" w:hAnsi="Arial" w:cs="Arial"/>
          <w:sz w:val="20"/>
          <w:szCs w:val="20"/>
        </w:rPr>
        <w:t>202</w:t>
      </w:r>
      <w:r w:rsidR="000E1D11" w:rsidRPr="009566F5">
        <w:rPr>
          <w:rFonts w:ascii="Arial" w:hAnsi="Arial" w:cs="Arial"/>
          <w:sz w:val="20"/>
          <w:szCs w:val="20"/>
        </w:rPr>
        <w:t>1</w:t>
      </w:r>
      <w:r w:rsidR="00CB207F" w:rsidRPr="009566F5">
        <w:rPr>
          <w:rFonts w:ascii="Arial" w:hAnsi="Arial" w:cs="Arial"/>
          <w:sz w:val="20"/>
          <w:szCs w:val="20"/>
        </w:rPr>
        <w:t>/2</w:t>
      </w:r>
      <w:r w:rsidR="000E1D11" w:rsidRPr="009566F5">
        <w:rPr>
          <w:rFonts w:ascii="Arial" w:hAnsi="Arial" w:cs="Arial"/>
          <w:sz w:val="20"/>
          <w:szCs w:val="20"/>
        </w:rPr>
        <w:t>2</w:t>
      </w:r>
      <w:r w:rsidR="00CB207F" w:rsidRPr="009566F5">
        <w:rPr>
          <w:rFonts w:ascii="Arial" w:hAnsi="Arial" w:cs="Arial"/>
          <w:sz w:val="20"/>
          <w:szCs w:val="20"/>
        </w:rPr>
        <w:t xml:space="preserve"> </w:t>
      </w:r>
      <w:r w:rsidR="000E1D11" w:rsidRPr="009566F5">
        <w:rPr>
          <w:rFonts w:ascii="Arial" w:hAnsi="Arial" w:cs="Arial"/>
          <w:sz w:val="20"/>
          <w:szCs w:val="20"/>
        </w:rPr>
        <w:t>Second and Third Q</w:t>
      </w:r>
      <w:r w:rsidRPr="009566F5">
        <w:rPr>
          <w:rFonts w:ascii="Arial" w:hAnsi="Arial" w:cs="Arial"/>
          <w:sz w:val="20"/>
          <w:szCs w:val="20"/>
        </w:rPr>
        <w:t>uarter</w:t>
      </w:r>
      <w:r w:rsidR="00B86393" w:rsidRPr="009566F5">
        <w:rPr>
          <w:rFonts w:ascii="Arial" w:hAnsi="Arial" w:cs="Arial"/>
          <w:sz w:val="20"/>
          <w:szCs w:val="20"/>
        </w:rPr>
        <w:t xml:space="preserve"> </w:t>
      </w:r>
      <w:r w:rsidR="000E1D11" w:rsidRPr="009566F5">
        <w:rPr>
          <w:rFonts w:ascii="Arial" w:hAnsi="Arial" w:cs="Arial"/>
          <w:sz w:val="20"/>
          <w:szCs w:val="20"/>
        </w:rPr>
        <w:t xml:space="preserve">financial and service delivery </w:t>
      </w:r>
      <w:r w:rsidR="00B86393" w:rsidRPr="009566F5">
        <w:rPr>
          <w:rFonts w:ascii="Arial" w:hAnsi="Arial" w:cs="Arial"/>
          <w:sz w:val="20"/>
          <w:szCs w:val="20"/>
        </w:rPr>
        <w:t>performance</w:t>
      </w:r>
      <w:r w:rsidRPr="009566F5">
        <w:rPr>
          <w:rFonts w:ascii="Arial" w:hAnsi="Arial" w:cs="Arial"/>
          <w:sz w:val="20"/>
          <w:szCs w:val="20"/>
        </w:rPr>
        <w:t xml:space="preserve"> </w:t>
      </w:r>
      <w:r w:rsidR="000E1D11" w:rsidRPr="009566F5">
        <w:rPr>
          <w:rFonts w:ascii="Arial" w:hAnsi="Arial" w:cs="Arial"/>
          <w:sz w:val="20"/>
          <w:szCs w:val="20"/>
        </w:rPr>
        <w:t>reports</w:t>
      </w:r>
      <w:r w:rsidR="00B86393" w:rsidRPr="009566F5">
        <w:rPr>
          <w:rFonts w:ascii="Arial" w:hAnsi="Arial" w:cs="Arial"/>
          <w:sz w:val="20"/>
          <w:szCs w:val="20"/>
        </w:rPr>
        <w:t>,</w:t>
      </w:r>
      <w:r w:rsidRPr="009566F5">
        <w:rPr>
          <w:rFonts w:ascii="Arial" w:hAnsi="Arial" w:cs="Arial"/>
          <w:sz w:val="20"/>
          <w:szCs w:val="20"/>
        </w:rPr>
        <w:t xml:space="preserve"> ma</w:t>
      </w:r>
      <w:r w:rsidR="000E1D11" w:rsidRPr="009566F5">
        <w:rPr>
          <w:rFonts w:ascii="Arial" w:hAnsi="Arial" w:cs="Arial"/>
          <w:sz w:val="20"/>
          <w:szCs w:val="20"/>
        </w:rPr>
        <w:t>kes</w:t>
      </w:r>
      <w:r w:rsidRPr="009566F5">
        <w:rPr>
          <w:rFonts w:ascii="Arial" w:hAnsi="Arial" w:cs="Arial"/>
          <w:sz w:val="20"/>
          <w:szCs w:val="20"/>
        </w:rPr>
        <w:t xml:space="preserve"> the following observations:</w:t>
      </w:r>
    </w:p>
    <w:p w:rsidR="007B34B8" w:rsidRPr="009566F5" w:rsidRDefault="00B86393" w:rsidP="009566F5">
      <w:pPr>
        <w:spacing w:after="0" w:line="240" w:lineRule="auto"/>
        <w:rPr>
          <w:rFonts w:ascii="Arial" w:hAnsi="Arial" w:cs="Arial"/>
          <w:b/>
          <w:sz w:val="20"/>
          <w:szCs w:val="20"/>
        </w:rPr>
      </w:pPr>
      <w:r w:rsidRPr="009566F5">
        <w:rPr>
          <w:rFonts w:ascii="Arial" w:hAnsi="Arial" w:cs="Arial"/>
          <w:b/>
          <w:sz w:val="20"/>
          <w:szCs w:val="20"/>
        </w:rPr>
        <w:t>3</w:t>
      </w:r>
      <w:r w:rsidR="00986A85" w:rsidRPr="009566F5">
        <w:rPr>
          <w:rFonts w:ascii="Arial" w:hAnsi="Arial" w:cs="Arial"/>
          <w:b/>
          <w:sz w:val="20"/>
          <w:szCs w:val="20"/>
        </w:rPr>
        <w:t>.1.</w:t>
      </w:r>
      <w:r w:rsidR="00986A85" w:rsidRPr="009566F5">
        <w:rPr>
          <w:rFonts w:ascii="Arial" w:hAnsi="Arial" w:cs="Arial"/>
          <w:b/>
          <w:sz w:val="20"/>
          <w:szCs w:val="20"/>
        </w:rPr>
        <w:tab/>
      </w:r>
      <w:r w:rsidR="00A431B5" w:rsidRPr="009566F5">
        <w:rPr>
          <w:rFonts w:ascii="Arial" w:hAnsi="Arial" w:cs="Arial"/>
          <w:b/>
          <w:sz w:val="20"/>
          <w:szCs w:val="20"/>
        </w:rPr>
        <w:t xml:space="preserve">Programme 1: </w:t>
      </w:r>
      <w:r w:rsidR="007B34B8" w:rsidRPr="009566F5">
        <w:rPr>
          <w:rFonts w:ascii="Arial" w:hAnsi="Arial" w:cs="Arial"/>
          <w:b/>
          <w:sz w:val="20"/>
          <w:szCs w:val="20"/>
        </w:rPr>
        <w:t>Administration</w:t>
      </w:r>
    </w:p>
    <w:p w:rsidR="00265B37" w:rsidRPr="009566F5" w:rsidRDefault="007B34B8" w:rsidP="009566F5">
      <w:pPr>
        <w:spacing w:after="0" w:line="240" w:lineRule="auto"/>
        <w:rPr>
          <w:rFonts w:ascii="Arial" w:hAnsi="Arial" w:cs="Arial"/>
          <w:sz w:val="20"/>
          <w:szCs w:val="20"/>
        </w:rPr>
      </w:pPr>
      <w:r w:rsidRPr="009566F5">
        <w:rPr>
          <w:rFonts w:ascii="Arial" w:hAnsi="Arial" w:cs="Arial"/>
          <w:sz w:val="20"/>
          <w:szCs w:val="20"/>
        </w:rPr>
        <w:t>3.1.1.</w:t>
      </w:r>
      <w:r w:rsidRPr="009566F5">
        <w:rPr>
          <w:rFonts w:ascii="Arial" w:hAnsi="Arial" w:cs="Arial"/>
          <w:b/>
          <w:sz w:val="20"/>
          <w:szCs w:val="20"/>
        </w:rPr>
        <w:tab/>
      </w:r>
      <w:r w:rsidRPr="009566F5">
        <w:rPr>
          <w:rFonts w:ascii="Arial" w:hAnsi="Arial" w:cs="Arial"/>
          <w:sz w:val="20"/>
          <w:szCs w:val="20"/>
        </w:rPr>
        <w:t xml:space="preserve">The Committee expressed </w:t>
      </w:r>
      <w:r w:rsidR="00643253" w:rsidRPr="009566F5">
        <w:rPr>
          <w:rFonts w:ascii="Arial" w:hAnsi="Arial" w:cs="Arial"/>
          <w:sz w:val="20"/>
          <w:szCs w:val="20"/>
        </w:rPr>
        <w:t xml:space="preserve">a </w:t>
      </w:r>
      <w:r w:rsidRPr="009566F5">
        <w:rPr>
          <w:rFonts w:ascii="Arial" w:hAnsi="Arial" w:cs="Arial"/>
          <w:sz w:val="20"/>
          <w:szCs w:val="20"/>
        </w:rPr>
        <w:t xml:space="preserve">concern with respect to the unacceptable poor </w:t>
      </w:r>
      <w:r w:rsidRPr="009566F5">
        <w:rPr>
          <w:rFonts w:ascii="Arial" w:hAnsi="Arial" w:cs="Arial"/>
          <w:sz w:val="20"/>
          <w:szCs w:val="20"/>
        </w:rPr>
        <w:tab/>
        <w:t xml:space="preserve">performance </w:t>
      </w:r>
      <w:r w:rsidR="00F206EB" w:rsidRPr="009566F5">
        <w:rPr>
          <w:rFonts w:ascii="Arial" w:hAnsi="Arial" w:cs="Arial"/>
          <w:sz w:val="20"/>
          <w:szCs w:val="20"/>
        </w:rPr>
        <w:t xml:space="preserve">of 50 per cent and 19 per cent </w:t>
      </w:r>
      <w:r w:rsidRPr="009566F5">
        <w:rPr>
          <w:rFonts w:ascii="Arial" w:hAnsi="Arial" w:cs="Arial"/>
          <w:sz w:val="20"/>
          <w:szCs w:val="20"/>
        </w:rPr>
        <w:t xml:space="preserve">recorded by the Department </w:t>
      </w:r>
      <w:r w:rsidR="00265B37" w:rsidRPr="009566F5">
        <w:rPr>
          <w:rFonts w:ascii="Arial" w:hAnsi="Arial" w:cs="Arial"/>
          <w:sz w:val="20"/>
          <w:szCs w:val="20"/>
        </w:rPr>
        <w:t>during</w:t>
      </w:r>
      <w:r w:rsidRPr="009566F5">
        <w:rPr>
          <w:rFonts w:ascii="Arial" w:hAnsi="Arial" w:cs="Arial"/>
          <w:sz w:val="20"/>
          <w:szCs w:val="20"/>
        </w:rPr>
        <w:t xml:space="preserve"> </w:t>
      </w:r>
      <w:r w:rsidR="00560F6F" w:rsidRPr="009566F5">
        <w:rPr>
          <w:rFonts w:ascii="Arial" w:hAnsi="Arial" w:cs="Arial"/>
          <w:sz w:val="20"/>
          <w:szCs w:val="20"/>
        </w:rPr>
        <w:tab/>
      </w:r>
      <w:r w:rsidR="00F206EB" w:rsidRPr="009566F5">
        <w:rPr>
          <w:rFonts w:ascii="Arial" w:hAnsi="Arial" w:cs="Arial"/>
          <w:sz w:val="20"/>
          <w:szCs w:val="20"/>
        </w:rPr>
        <w:t xml:space="preserve">2021/22 Second and Third Quarters, respectively. </w:t>
      </w:r>
      <w:r w:rsidR="00560F6F" w:rsidRPr="009566F5">
        <w:rPr>
          <w:rFonts w:ascii="Arial" w:hAnsi="Arial" w:cs="Arial"/>
          <w:sz w:val="20"/>
          <w:szCs w:val="20"/>
        </w:rPr>
        <w:t xml:space="preserve">Particularly, the Committee was </w:t>
      </w:r>
      <w:r w:rsidR="00560F6F" w:rsidRPr="009566F5">
        <w:rPr>
          <w:rFonts w:ascii="Arial" w:hAnsi="Arial" w:cs="Arial"/>
          <w:sz w:val="20"/>
          <w:szCs w:val="20"/>
        </w:rPr>
        <w:tab/>
        <w:t xml:space="preserve">gravely concerned about the poor performance under programme 4: Technical and </w:t>
      </w:r>
      <w:r w:rsidR="00560F6F" w:rsidRPr="009566F5">
        <w:rPr>
          <w:rFonts w:ascii="Arial" w:hAnsi="Arial" w:cs="Arial"/>
          <w:sz w:val="20"/>
          <w:szCs w:val="20"/>
        </w:rPr>
        <w:tab/>
        <w:t>Vocational Education and Training.</w:t>
      </w:r>
    </w:p>
    <w:p w:rsidR="007B34B8" w:rsidRPr="009566F5" w:rsidRDefault="007B34B8" w:rsidP="009566F5">
      <w:pPr>
        <w:spacing w:after="0" w:line="240" w:lineRule="auto"/>
        <w:rPr>
          <w:rFonts w:ascii="Arial" w:hAnsi="Arial" w:cs="Arial"/>
          <w:sz w:val="20"/>
          <w:szCs w:val="20"/>
        </w:rPr>
      </w:pPr>
      <w:r w:rsidRPr="009566F5">
        <w:rPr>
          <w:rFonts w:ascii="Arial" w:hAnsi="Arial" w:cs="Arial"/>
          <w:sz w:val="20"/>
          <w:szCs w:val="20"/>
        </w:rPr>
        <w:t>3.1.2.</w:t>
      </w:r>
      <w:r w:rsidRPr="009566F5">
        <w:rPr>
          <w:rFonts w:ascii="Arial" w:hAnsi="Arial" w:cs="Arial"/>
          <w:sz w:val="20"/>
          <w:szCs w:val="20"/>
        </w:rPr>
        <w:tab/>
        <w:t xml:space="preserve">The delays </w:t>
      </w:r>
      <w:r w:rsidR="00F206EB" w:rsidRPr="009566F5">
        <w:rPr>
          <w:rFonts w:ascii="Arial" w:hAnsi="Arial" w:cs="Arial"/>
          <w:sz w:val="20"/>
          <w:szCs w:val="20"/>
        </w:rPr>
        <w:t xml:space="preserve">in </w:t>
      </w:r>
      <w:r w:rsidRPr="009566F5">
        <w:rPr>
          <w:rFonts w:ascii="Arial" w:hAnsi="Arial" w:cs="Arial"/>
          <w:sz w:val="20"/>
          <w:szCs w:val="20"/>
        </w:rPr>
        <w:t xml:space="preserve">the filling of vacant funded posts </w:t>
      </w:r>
      <w:r w:rsidR="00560F6F" w:rsidRPr="009566F5">
        <w:rPr>
          <w:rFonts w:ascii="Arial" w:hAnsi="Arial" w:cs="Arial"/>
          <w:sz w:val="20"/>
          <w:szCs w:val="20"/>
        </w:rPr>
        <w:t xml:space="preserve">and </w:t>
      </w:r>
      <w:r w:rsidR="00265B37" w:rsidRPr="009566F5">
        <w:rPr>
          <w:rFonts w:ascii="Arial" w:hAnsi="Arial" w:cs="Arial"/>
          <w:sz w:val="20"/>
          <w:szCs w:val="20"/>
        </w:rPr>
        <w:t>their</w:t>
      </w:r>
      <w:r w:rsidR="00560F6F" w:rsidRPr="009566F5">
        <w:rPr>
          <w:rFonts w:ascii="Arial" w:hAnsi="Arial" w:cs="Arial"/>
          <w:sz w:val="20"/>
          <w:szCs w:val="20"/>
        </w:rPr>
        <w:t xml:space="preserve"> impact on the overall </w:t>
      </w:r>
      <w:r w:rsidR="00560F6F" w:rsidRPr="009566F5">
        <w:rPr>
          <w:rFonts w:ascii="Arial" w:hAnsi="Arial" w:cs="Arial"/>
          <w:sz w:val="20"/>
          <w:szCs w:val="20"/>
        </w:rPr>
        <w:tab/>
        <w:t xml:space="preserve">organisational performance, in particular, the achievement of predetermined targets </w:t>
      </w:r>
      <w:r w:rsidR="00560F6F" w:rsidRPr="009566F5">
        <w:rPr>
          <w:rFonts w:ascii="Arial" w:hAnsi="Arial" w:cs="Arial"/>
          <w:sz w:val="20"/>
          <w:szCs w:val="20"/>
        </w:rPr>
        <w:tab/>
      </w:r>
      <w:r w:rsidRPr="009566F5">
        <w:rPr>
          <w:rFonts w:ascii="Arial" w:hAnsi="Arial" w:cs="Arial"/>
          <w:sz w:val="20"/>
          <w:szCs w:val="20"/>
        </w:rPr>
        <w:t>was noted as a serious concern</w:t>
      </w:r>
      <w:r w:rsidR="00560F6F" w:rsidRPr="009566F5">
        <w:rPr>
          <w:rFonts w:ascii="Arial" w:hAnsi="Arial" w:cs="Arial"/>
          <w:sz w:val="20"/>
          <w:szCs w:val="20"/>
        </w:rPr>
        <w:t>.</w:t>
      </w:r>
      <w:r w:rsidRPr="009566F5">
        <w:rPr>
          <w:rFonts w:ascii="Arial" w:hAnsi="Arial" w:cs="Arial"/>
          <w:sz w:val="20"/>
          <w:szCs w:val="20"/>
        </w:rPr>
        <w:t xml:space="preserve"> The</w:t>
      </w:r>
      <w:r w:rsidR="00F206EB" w:rsidRPr="009566F5">
        <w:rPr>
          <w:rFonts w:ascii="Arial" w:hAnsi="Arial" w:cs="Arial"/>
          <w:sz w:val="20"/>
          <w:szCs w:val="20"/>
        </w:rPr>
        <w:t xml:space="preserve"> Committee noted that</w:t>
      </w:r>
      <w:r w:rsidRPr="009566F5">
        <w:rPr>
          <w:rFonts w:ascii="Arial" w:hAnsi="Arial" w:cs="Arial"/>
          <w:sz w:val="20"/>
          <w:szCs w:val="20"/>
        </w:rPr>
        <w:t xml:space="preserve"> </w:t>
      </w:r>
      <w:r w:rsidR="00265B37" w:rsidRPr="009566F5">
        <w:rPr>
          <w:rFonts w:ascii="Arial" w:hAnsi="Arial" w:cs="Arial"/>
          <w:sz w:val="20"/>
          <w:szCs w:val="20"/>
        </w:rPr>
        <w:t xml:space="preserve">the </w:t>
      </w:r>
      <w:r w:rsidRPr="009566F5">
        <w:rPr>
          <w:rFonts w:ascii="Arial" w:hAnsi="Arial" w:cs="Arial"/>
          <w:sz w:val="20"/>
          <w:szCs w:val="20"/>
        </w:rPr>
        <w:t xml:space="preserve">DDG post for the </w:t>
      </w:r>
      <w:r w:rsidR="00265B37" w:rsidRPr="009566F5">
        <w:rPr>
          <w:rFonts w:ascii="Arial" w:hAnsi="Arial" w:cs="Arial"/>
          <w:sz w:val="20"/>
          <w:szCs w:val="20"/>
        </w:rPr>
        <w:tab/>
      </w:r>
      <w:r w:rsidRPr="009566F5">
        <w:rPr>
          <w:rFonts w:ascii="Arial" w:hAnsi="Arial" w:cs="Arial"/>
          <w:sz w:val="20"/>
          <w:szCs w:val="20"/>
        </w:rPr>
        <w:t>University Education Branch remained vacant.</w:t>
      </w:r>
    </w:p>
    <w:p w:rsidR="00265B37" w:rsidRPr="009566F5" w:rsidRDefault="007B34B8" w:rsidP="009566F5">
      <w:pPr>
        <w:spacing w:after="0" w:line="240" w:lineRule="auto"/>
        <w:rPr>
          <w:rFonts w:ascii="Arial" w:hAnsi="Arial" w:cs="Arial"/>
          <w:sz w:val="20"/>
          <w:szCs w:val="20"/>
        </w:rPr>
      </w:pPr>
      <w:r w:rsidRPr="009566F5">
        <w:rPr>
          <w:rFonts w:ascii="Arial" w:hAnsi="Arial" w:cs="Arial"/>
          <w:sz w:val="20"/>
          <w:szCs w:val="20"/>
        </w:rPr>
        <w:t>3.1.3.</w:t>
      </w:r>
      <w:r w:rsidRPr="009566F5">
        <w:rPr>
          <w:rFonts w:ascii="Arial" w:hAnsi="Arial" w:cs="Arial"/>
          <w:sz w:val="20"/>
          <w:szCs w:val="20"/>
        </w:rPr>
        <w:tab/>
        <w:t xml:space="preserve">The Committee </w:t>
      </w:r>
      <w:r w:rsidR="00F206EB" w:rsidRPr="009566F5">
        <w:rPr>
          <w:rFonts w:ascii="Arial" w:hAnsi="Arial" w:cs="Arial"/>
          <w:sz w:val="20"/>
          <w:szCs w:val="20"/>
        </w:rPr>
        <w:t>expressed a</w:t>
      </w:r>
      <w:r w:rsidRPr="009566F5">
        <w:rPr>
          <w:rFonts w:ascii="Arial" w:hAnsi="Arial" w:cs="Arial"/>
          <w:sz w:val="20"/>
          <w:szCs w:val="20"/>
        </w:rPr>
        <w:t xml:space="preserve"> concern </w:t>
      </w:r>
      <w:r w:rsidR="00EA3FC4" w:rsidRPr="009566F5">
        <w:rPr>
          <w:rFonts w:ascii="Arial" w:hAnsi="Arial" w:cs="Arial"/>
          <w:sz w:val="20"/>
          <w:szCs w:val="20"/>
        </w:rPr>
        <w:t>about</w:t>
      </w:r>
      <w:r w:rsidRPr="009566F5">
        <w:rPr>
          <w:rFonts w:ascii="Arial" w:hAnsi="Arial" w:cs="Arial"/>
          <w:sz w:val="20"/>
          <w:szCs w:val="20"/>
        </w:rPr>
        <w:t xml:space="preserve"> the delays by the Department in </w:t>
      </w:r>
      <w:r w:rsidR="00F206EB" w:rsidRPr="009566F5">
        <w:rPr>
          <w:rFonts w:ascii="Arial" w:hAnsi="Arial" w:cs="Arial"/>
          <w:sz w:val="20"/>
          <w:szCs w:val="20"/>
        </w:rPr>
        <w:t>the</w:t>
      </w:r>
      <w:r w:rsidRPr="009566F5">
        <w:rPr>
          <w:rFonts w:ascii="Arial" w:hAnsi="Arial" w:cs="Arial"/>
          <w:sz w:val="20"/>
          <w:szCs w:val="20"/>
        </w:rPr>
        <w:t xml:space="preserve"> payment </w:t>
      </w:r>
      <w:r w:rsidR="00265B37" w:rsidRPr="009566F5">
        <w:rPr>
          <w:rFonts w:ascii="Arial" w:hAnsi="Arial" w:cs="Arial"/>
          <w:sz w:val="20"/>
          <w:szCs w:val="20"/>
        </w:rPr>
        <w:tab/>
      </w:r>
      <w:r w:rsidRPr="009566F5">
        <w:rPr>
          <w:rFonts w:ascii="Arial" w:hAnsi="Arial" w:cs="Arial"/>
          <w:sz w:val="20"/>
          <w:szCs w:val="20"/>
        </w:rPr>
        <w:t>of invoices</w:t>
      </w:r>
      <w:r w:rsidR="00F206EB" w:rsidRPr="009566F5">
        <w:rPr>
          <w:rFonts w:ascii="Arial" w:hAnsi="Arial" w:cs="Arial"/>
          <w:sz w:val="20"/>
          <w:szCs w:val="20"/>
        </w:rPr>
        <w:t xml:space="preserve"> received from creditors within 30 days</w:t>
      </w:r>
      <w:r w:rsidR="00813395" w:rsidRPr="009566F5">
        <w:rPr>
          <w:rFonts w:ascii="Arial" w:hAnsi="Arial" w:cs="Arial"/>
          <w:sz w:val="20"/>
          <w:szCs w:val="20"/>
        </w:rPr>
        <w:t xml:space="preserve">, which impacted 11 companies. </w:t>
      </w:r>
      <w:r w:rsidR="00B84C26" w:rsidRPr="009566F5">
        <w:rPr>
          <w:rFonts w:ascii="Arial" w:hAnsi="Arial" w:cs="Arial"/>
          <w:sz w:val="20"/>
          <w:szCs w:val="20"/>
        </w:rPr>
        <w:t xml:space="preserve">The </w:t>
      </w:r>
      <w:r w:rsidR="00265B37" w:rsidRPr="009566F5">
        <w:rPr>
          <w:rFonts w:ascii="Arial" w:hAnsi="Arial" w:cs="Arial"/>
          <w:sz w:val="20"/>
          <w:szCs w:val="20"/>
        </w:rPr>
        <w:tab/>
      </w:r>
      <w:r w:rsidR="00B84C26" w:rsidRPr="009566F5">
        <w:rPr>
          <w:rFonts w:ascii="Arial" w:hAnsi="Arial" w:cs="Arial"/>
          <w:sz w:val="20"/>
          <w:szCs w:val="20"/>
        </w:rPr>
        <w:t xml:space="preserve">Committee was gravely concerned about the impact of the delays in payment of </w:t>
      </w:r>
      <w:r w:rsidR="00265B37" w:rsidRPr="009566F5">
        <w:rPr>
          <w:rFonts w:ascii="Arial" w:hAnsi="Arial" w:cs="Arial"/>
          <w:sz w:val="20"/>
          <w:szCs w:val="20"/>
        </w:rPr>
        <w:tab/>
      </w:r>
      <w:r w:rsidR="00B84C26" w:rsidRPr="009566F5">
        <w:rPr>
          <w:rFonts w:ascii="Arial" w:hAnsi="Arial" w:cs="Arial"/>
          <w:sz w:val="20"/>
          <w:szCs w:val="20"/>
        </w:rPr>
        <w:t>invoices on the</w:t>
      </w:r>
      <w:r w:rsidR="0032103E" w:rsidRPr="009566F5">
        <w:rPr>
          <w:rFonts w:ascii="Arial" w:hAnsi="Arial" w:cs="Arial"/>
          <w:sz w:val="20"/>
          <w:szCs w:val="20"/>
        </w:rPr>
        <w:t>ir</w:t>
      </w:r>
      <w:r w:rsidR="00B84C26" w:rsidRPr="009566F5">
        <w:rPr>
          <w:rFonts w:ascii="Arial" w:hAnsi="Arial" w:cs="Arial"/>
          <w:sz w:val="20"/>
          <w:szCs w:val="20"/>
        </w:rPr>
        <w:t xml:space="preserve"> sustainability, especially Small, Medium and Micro-Enterprises </w:t>
      </w:r>
      <w:r w:rsidR="00265B37" w:rsidRPr="009566F5">
        <w:rPr>
          <w:rFonts w:ascii="Arial" w:hAnsi="Arial" w:cs="Arial"/>
          <w:sz w:val="20"/>
          <w:szCs w:val="20"/>
        </w:rPr>
        <w:tab/>
      </w:r>
      <w:r w:rsidR="00B84C26" w:rsidRPr="009566F5">
        <w:rPr>
          <w:rFonts w:ascii="Arial" w:hAnsi="Arial" w:cs="Arial"/>
          <w:sz w:val="20"/>
          <w:szCs w:val="20"/>
        </w:rPr>
        <w:t>(SMMES).</w:t>
      </w:r>
    </w:p>
    <w:p w:rsidR="007B34B8" w:rsidRPr="009566F5" w:rsidRDefault="007B34B8" w:rsidP="009566F5">
      <w:pPr>
        <w:spacing w:after="0" w:line="240" w:lineRule="auto"/>
        <w:rPr>
          <w:rFonts w:ascii="Arial" w:hAnsi="Arial" w:cs="Arial"/>
          <w:sz w:val="20"/>
          <w:szCs w:val="20"/>
        </w:rPr>
      </w:pPr>
      <w:r w:rsidRPr="009566F5">
        <w:rPr>
          <w:rFonts w:ascii="Arial" w:hAnsi="Arial" w:cs="Arial"/>
          <w:sz w:val="20"/>
          <w:szCs w:val="20"/>
        </w:rPr>
        <w:t xml:space="preserve">3.1.4. </w:t>
      </w:r>
      <w:r w:rsidRPr="009566F5">
        <w:rPr>
          <w:rFonts w:ascii="Arial" w:hAnsi="Arial" w:cs="Arial"/>
          <w:sz w:val="20"/>
          <w:szCs w:val="20"/>
        </w:rPr>
        <w:tab/>
        <w:t xml:space="preserve">The lack of detail in the Department’s presentation in relation to the consequence </w:t>
      </w:r>
      <w:r w:rsidR="0032103E" w:rsidRPr="009566F5">
        <w:rPr>
          <w:rFonts w:ascii="Arial" w:hAnsi="Arial" w:cs="Arial"/>
          <w:sz w:val="20"/>
          <w:szCs w:val="20"/>
        </w:rPr>
        <w:tab/>
      </w:r>
      <w:r w:rsidRPr="009566F5">
        <w:rPr>
          <w:rFonts w:ascii="Arial" w:hAnsi="Arial" w:cs="Arial"/>
          <w:sz w:val="20"/>
          <w:szCs w:val="20"/>
        </w:rPr>
        <w:t xml:space="preserve">management meted against employees </w:t>
      </w:r>
      <w:r w:rsidR="00560F6F" w:rsidRPr="009566F5">
        <w:rPr>
          <w:rFonts w:ascii="Arial" w:hAnsi="Arial" w:cs="Arial"/>
          <w:sz w:val="20"/>
          <w:szCs w:val="20"/>
        </w:rPr>
        <w:t>responsible for</w:t>
      </w:r>
      <w:r w:rsidR="00F206EB" w:rsidRPr="009566F5">
        <w:rPr>
          <w:rFonts w:ascii="Arial" w:hAnsi="Arial" w:cs="Arial"/>
          <w:sz w:val="20"/>
          <w:szCs w:val="20"/>
        </w:rPr>
        <w:t xml:space="preserve"> </w:t>
      </w:r>
      <w:r w:rsidRPr="009566F5">
        <w:rPr>
          <w:rFonts w:ascii="Arial" w:hAnsi="Arial" w:cs="Arial"/>
          <w:sz w:val="20"/>
          <w:szCs w:val="20"/>
        </w:rPr>
        <w:t>irregular conduct</w:t>
      </w:r>
      <w:r w:rsidR="00560F6F" w:rsidRPr="009566F5">
        <w:rPr>
          <w:rFonts w:ascii="Arial" w:hAnsi="Arial" w:cs="Arial"/>
          <w:sz w:val="20"/>
          <w:szCs w:val="20"/>
        </w:rPr>
        <w:t xml:space="preserve"> was noted with </w:t>
      </w:r>
      <w:r w:rsidR="0032103E" w:rsidRPr="009566F5">
        <w:rPr>
          <w:rFonts w:ascii="Arial" w:hAnsi="Arial" w:cs="Arial"/>
          <w:sz w:val="20"/>
          <w:szCs w:val="20"/>
        </w:rPr>
        <w:tab/>
      </w:r>
      <w:r w:rsidR="00560F6F" w:rsidRPr="009566F5">
        <w:rPr>
          <w:rFonts w:ascii="Arial" w:hAnsi="Arial" w:cs="Arial"/>
          <w:sz w:val="20"/>
          <w:szCs w:val="20"/>
        </w:rPr>
        <w:t>great concern.</w:t>
      </w:r>
    </w:p>
    <w:p w:rsidR="007B34B8" w:rsidRPr="009566F5" w:rsidRDefault="007B34B8" w:rsidP="009566F5">
      <w:pPr>
        <w:spacing w:after="0" w:line="240" w:lineRule="auto"/>
        <w:rPr>
          <w:rFonts w:ascii="Arial" w:hAnsi="Arial" w:cs="Arial"/>
          <w:sz w:val="20"/>
          <w:szCs w:val="20"/>
        </w:rPr>
      </w:pPr>
      <w:r w:rsidRPr="009566F5">
        <w:rPr>
          <w:rFonts w:ascii="Arial" w:hAnsi="Arial" w:cs="Arial"/>
          <w:sz w:val="20"/>
          <w:szCs w:val="20"/>
        </w:rPr>
        <w:t>3.1.5.</w:t>
      </w:r>
      <w:r w:rsidRPr="009566F5">
        <w:rPr>
          <w:rFonts w:ascii="Arial" w:hAnsi="Arial" w:cs="Arial"/>
          <w:sz w:val="20"/>
          <w:szCs w:val="20"/>
        </w:rPr>
        <w:tab/>
        <w:t>The appoint</w:t>
      </w:r>
      <w:r w:rsidR="00F206EB" w:rsidRPr="009566F5">
        <w:rPr>
          <w:rFonts w:ascii="Arial" w:hAnsi="Arial" w:cs="Arial"/>
          <w:sz w:val="20"/>
          <w:szCs w:val="20"/>
        </w:rPr>
        <w:t>ment</w:t>
      </w:r>
      <w:r w:rsidRPr="009566F5">
        <w:rPr>
          <w:rFonts w:ascii="Arial" w:hAnsi="Arial" w:cs="Arial"/>
          <w:sz w:val="20"/>
          <w:szCs w:val="20"/>
        </w:rPr>
        <w:t xml:space="preserve"> of certain service providers without following due processes as </w:t>
      </w:r>
      <w:r w:rsidR="0032103E" w:rsidRPr="009566F5">
        <w:rPr>
          <w:rFonts w:ascii="Arial" w:hAnsi="Arial" w:cs="Arial"/>
          <w:sz w:val="20"/>
          <w:szCs w:val="20"/>
        </w:rPr>
        <w:tab/>
      </w:r>
      <w:r w:rsidRPr="009566F5">
        <w:rPr>
          <w:rFonts w:ascii="Arial" w:hAnsi="Arial" w:cs="Arial"/>
          <w:sz w:val="20"/>
          <w:szCs w:val="20"/>
        </w:rPr>
        <w:t>pointed out by the AG</w:t>
      </w:r>
      <w:r w:rsidR="00F206EB" w:rsidRPr="009566F5">
        <w:rPr>
          <w:rFonts w:ascii="Arial" w:hAnsi="Arial" w:cs="Arial"/>
          <w:sz w:val="20"/>
          <w:szCs w:val="20"/>
        </w:rPr>
        <w:t xml:space="preserve"> was of serious concern</w:t>
      </w:r>
      <w:r w:rsidRPr="009566F5">
        <w:rPr>
          <w:rFonts w:ascii="Arial" w:hAnsi="Arial" w:cs="Arial"/>
          <w:sz w:val="20"/>
          <w:szCs w:val="20"/>
        </w:rPr>
        <w:t>. The Committee</w:t>
      </w:r>
      <w:r w:rsidR="0032103E" w:rsidRPr="009566F5">
        <w:rPr>
          <w:rFonts w:ascii="Arial" w:hAnsi="Arial" w:cs="Arial"/>
          <w:sz w:val="20"/>
          <w:szCs w:val="20"/>
        </w:rPr>
        <w:t xml:space="preserve"> </w:t>
      </w:r>
      <w:r w:rsidRPr="009566F5">
        <w:rPr>
          <w:rFonts w:ascii="Arial" w:hAnsi="Arial" w:cs="Arial"/>
          <w:sz w:val="20"/>
          <w:szCs w:val="20"/>
        </w:rPr>
        <w:t xml:space="preserve">requested details about </w:t>
      </w:r>
      <w:r w:rsidR="0032103E" w:rsidRPr="009566F5">
        <w:rPr>
          <w:rFonts w:ascii="Arial" w:hAnsi="Arial" w:cs="Arial"/>
          <w:sz w:val="20"/>
          <w:szCs w:val="20"/>
        </w:rPr>
        <w:tab/>
      </w:r>
      <w:r w:rsidRPr="009566F5">
        <w:rPr>
          <w:rFonts w:ascii="Arial" w:hAnsi="Arial" w:cs="Arial"/>
          <w:sz w:val="20"/>
          <w:szCs w:val="20"/>
        </w:rPr>
        <w:t xml:space="preserve">the companies </w:t>
      </w:r>
      <w:r w:rsidR="0032103E" w:rsidRPr="009566F5">
        <w:rPr>
          <w:rFonts w:ascii="Arial" w:hAnsi="Arial" w:cs="Arial"/>
          <w:sz w:val="20"/>
          <w:szCs w:val="20"/>
        </w:rPr>
        <w:t>that</w:t>
      </w:r>
      <w:r w:rsidRPr="009566F5">
        <w:rPr>
          <w:rFonts w:ascii="Arial" w:hAnsi="Arial" w:cs="Arial"/>
          <w:sz w:val="20"/>
          <w:szCs w:val="20"/>
        </w:rPr>
        <w:t xml:space="preserve"> </w:t>
      </w:r>
      <w:r w:rsidR="00560F6F" w:rsidRPr="009566F5">
        <w:rPr>
          <w:rFonts w:ascii="Arial" w:hAnsi="Arial" w:cs="Arial"/>
          <w:sz w:val="20"/>
          <w:szCs w:val="20"/>
        </w:rPr>
        <w:t xml:space="preserve">were irregularly awarded </w:t>
      </w:r>
      <w:r w:rsidRPr="009566F5">
        <w:rPr>
          <w:rFonts w:ascii="Arial" w:hAnsi="Arial" w:cs="Arial"/>
          <w:sz w:val="20"/>
          <w:szCs w:val="20"/>
        </w:rPr>
        <w:t>contracts</w:t>
      </w:r>
      <w:r w:rsidR="00560F6F" w:rsidRPr="009566F5">
        <w:rPr>
          <w:rFonts w:ascii="Arial" w:hAnsi="Arial" w:cs="Arial"/>
          <w:sz w:val="20"/>
          <w:szCs w:val="20"/>
        </w:rPr>
        <w:t>.</w:t>
      </w:r>
      <w:r w:rsidRPr="009566F5">
        <w:rPr>
          <w:rFonts w:ascii="Arial" w:hAnsi="Arial" w:cs="Arial"/>
          <w:sz w:val="20"/>
          <w:szCs w:val="20"/>
        </w:rPr>
        <w:t xml:space="preserve"> </w:t>
      </w:r>
    </w:p>
    <w:p w:rsidR="007B34B8" w:rsidRPr="009566F5" w:rsidRDefault="007B34B8" w:rsidP="009566F5">
      <w:pPr>
        <w:spacing w:after="0" w:line="240" w:lineRule="auto"/>
        <w:rPr>
          <w:rFonts w:ascii="Arial" w:hAnsi="Arial" w:cs="Arial"/>
          <w:sz w:val="20"/>
          <w:szCs w:val="20"/>
        </w:rPr>
      </w:pPr>
      <w:r w:rsidRPr="009566F5">
        <w:rPr>
          <w:rFonts w:ascii="Arial" w:hAnsi="Arial" w:cs="Arial"/>
          <w:sz w:val="20"/>
          <w:szCs w:val="20"/>
        </w:rPr>
        <w:t>3.1.6.</w:t>
      </w:r>
      <w:r w:rsidRPr="009566F5">
        <w:rPr>
          <w:rFonts w:ascii="Arial" w:hAnsi="Arial" w:cs="Arial"/>
          <w:sz w:val="20"/>
          <w:szCs w:val="20"/>
        </w:rPr>
        <w:tab/>
        <w:t xml:space="preserve">The non-declaration of interest by some employees in the Department was noted as a </w:t>
      </w:r>
      <w:r w:rsidRPr="009566F5">
        <w:rPr>
          <w:rFonts w:ascii="Arial" w:hAnsi="Arial" w:cs="Arial"/>
          <w:sz w:val="20"/>
          <w:szCs w:val="20"/>
        </w:rPr>
        <w:tab/>
        <w:t>serious concern.</w:t>
      </w:r>
    </w:p>
    <w:p w:rsidR="007B34B8" w:rsidRPr="009566F5" w:rsidRDefault="007B34B8" w:rsidP="009566F5">
      <w:pPr>
        <w:spacing w:after="0" w:line="240" w:lineRule="auto"/>
        <w:rPr>
          <w:rFonts w:ascii="Arial" w:hAnsi="Arial" w:cs="Arial"/>
          <w:b/>
          <w:sz w:val="20"/>
          <w:szCs w:val="20"/>
        </w:rPr>
      </w:pPr>
      <w:r w:rsidRPr="009566F5">
        <w:rPr>
          <w:rFonts w:ascii="Arial" w:hAnsi="Arial" w:cs="Arial"/>
          <w:sz w:val="20"/>
          <w:szCs w:val="20"/>
        </w:rPr>
        <w:t>3.1.7.</w:t>
      </w:r>
      <w:r w:rsidRPr="009566F5">
        <w:rPr>
          <w:rFonts w:ascii="Arial" w:hAnsi="Arial" w:cs="Arial"/>
          <w:sz w:val="20"/>
          <w:szCs w:val="20"/>
        </w:rPr>
        <w:tab/>
        <w:t xml:space="preserve">The Committee welcomed the Department’s move towards having an automated </w:t>
      </w:r>
      <w:r w:rsidRPr="009566F5">
        <w:rPr>
          <w:rFonts w:ascii="Arial" w:hAnsi="Arial" w:cs="Arial"/>
          <w:sz w:val="20"/>
          <w:szCs w:val="20"/>
        </w:rPr>
        <w:tab/>
        <w:t>recruitment system</w:t>
      </w:r>
      <w:r w:rsidR="00560F6F" w:rsidRPr="009566F5">
        <w:rPr>
          <w:rFonts w:ascii="Arial" w:hAnsi="Arial" w:cs="Arial"/>
          <w:sz w:val="20"/>
          <w:szCs w:val="20"/>
        </w:rPr>
        <w:t>,</w:t>
      </w:r>
      <w:r w:rsidRPr="009566F5">
        <w:rPr>
          <w:rFonts w:ascii="Arial" w:hAnsi="Arial" w:cs="Arial"/>
          <w:sz w:val="20"/>
          <w:szCs w:val="20"/>
        </w:rPr>
        <w:t xml:space="preserve"> which is aimed at improving the turn-around time in the filling of </w:t>
      </w:r>
      <w:r w:rsidRPr="009566F5">
        <w:rPr>
          <w:rFonts w:ascii="Arial" w:hAnsi="Arial" w:cs="Arial"/>
          <w:sz w:val="20"/>
          <w:szCs w:val="20"/>
        </w:rPr>
        <w:tab/>
        <w:t>vacant funded posts.</w:t>
      </w:r>
    </w:p>
    <w:p w:rsidR="007B34B8" w:rsidRPr="009566F5" w:rsidRDefault="007B34B8" w:rsidP="009566F5">
      <w:pPr>
        <w:pStyle w:val="ListParagraph"/>
        <w:spacing w:after="0" w:line="240" w:lineRule="auto"/>
        <w:ind w:left="0"/>
        <w:rPr>
          <w:rFonts w:ascii="Arial" w:hAnsi="Arial" w:cs="Arial"/>
          <w:sz w:val="20"/>
          <w:szCs w:val="20"/>
        </w:rPr>
      </w:pPr>
      <w:r w:rsidRPr="009566F5">
        <w:rPr>
          <w:rFonts w:ascii="Arial" w:hAnsi="Arial" w:cs="Arial"/>
          <w:sz w:val="20"/>
          <w:szCs w:val="20"/>
        </w:rPr>
        <w:lastRenderedPageBreak/>
        <w:t>3.1.8.</w:t>
      </w:r>
      <w:r w:rsidRPr="009566F5">
        <w:rPr>
          <w:rFonts w:ascii="Arial" w:hAnsi="Arial" w:cs="Arial"/>
          <w:sz w:val="20"/>
          <w:szCs w:val="20"/>
        </w:rPr>
        <w:tab/>
        <w:t xml:space="preserve">The progress made with the implementation of the Audit Action Plan was noted by the </w:t>
      </w:r>
      <w:r w:rsidRPr="009566F5">
        <w:rPr>
          <w:rFonts w:ascii="Arial" w:hAnsi="Arial" w:cs="Arial"/>
          <w:sz w:val="20"/>
          <w:szCs w:val="20"/>
        </w:rPr>
        <w:tab/>
        <w:t xml:space="preserve">Committee. However, it was noted that there were no specific timeframes for the </w:t>
      </w:r>
      <w:r w:rsidRPr="009566F5">
        <w:rPr>
          <w:rFonts w:ascii="Arial" w:hAnsi="Arial" w:cs="Arial"/>
          <w:sz w:val="20"/>
          <w:szCs w:val="20"/>
        </w:rPr>
        <w:tab/>
        <w:t xml:space="preserve">implementation of the AG’s findings </w:t>
      </w:r>
      <w:r w:rsidR="00EA3FC4" w:rsidRPr="009566F5">
        <w:rPr>
          <w:rFonts w:ascii="Arial" w:hAnsi="Arial" w:cs="Arial"/>
          <w:sz w:val="20"/>
          <w:szCs w:val="20"/>
        </w:rPr>
        <w:t>on</w:t>
      </w:r>
      <w:r w:rsidRPr="009566F5">
        <w:rPr>
          <w:rFonts w:ascii="Arial" w:hAnsi="Arial" w:cs="Arial"/>
          <w:sz w:val="20"/>
          <w:szCs w:val="20"/>
        </w:rPr>
        <w:t xml:space="preserve"> the Department’s performance. The </w:t>
      </w:r>
      <w:r w:rsidRPr="009566F5">
        <w:rPr>
          <w:rFonts w:ascii="Arial" w:hAnsi="Arial" w:cs="Arial"/>
          <w:sz w:val="20"/>
          <w:szCs w:val="20"/>
        </w:rPr>
        <w:tab/>
        <w:t xml:space="preserve">Committee also enquired about the effectiveness of the Department’s Internal Audit </w:t>
      </w:r>
      <w:r w:rsidRPr="009566F5">
        <w:rPr>
          <w:rFonts w:ascii="Arial" w:hAnsi="Arial" w:cs="Arial"/>
          <w:sz w:val="20"/>
          <w:szCs w:val="20"/>
        </w:rPr>
        <w:tab/>
        <w:t xml:space="preserve">Unit given the number </w:t>
      </w:r>
      <w:r w:rsidR="00560F6F" w:rsidRPr="009566F5">
        <w:rPr>
          <w:rFonts w:ascii="Arial" w:hAnsi="Arial" w:cs="Arial"/>
          <w:sz w:val="20"/>
          <w:szCs w:val="20"/>
        </w:rPr>
        <w:t xml:space="preserve">of </w:t>
      </w:r>
      <w:r w:rsidRPr="009566F5">
        <w:rPr>
          <w:rFonts w:ascii="Arial" w:hAnsi="Arial" w:cs="Arial"/>
          <w:sz w:val="20"/>
          <w:szCs w:val="20"/>
        </w:rPr>
        <w:t>findings raised by the AG.</w:t>
      </w:r>
    </w:p>
    <w:p w:rsidR="00F73C0C" w:rsidRPr="009566F5" w:rsidRDefault="0032103E" w:rsidP="009566F5">
      <w:pPr>
        <w:pStyle w:val="ListParagraph"/>
        <w:spacing w:after="0" w:line="240" w:lineRule="auto"/>
        <w:ind w:left="0"/>
        <w:rPr>
          <w:rFonts w:ascii="Arial" w:hAnsi="Arial" w:cs="Arial"/>
          <w:b/>
          <w:sz w:val="20"/>
          <w:szCs w:val="20"/>
        </w:rPr>
      </w:pPr>
      <w:r w:rsidRPr="009566F5">
        <w:rPr>
          <w:rFonts w:ascii="Arial" w:hAnsi="Arial" w:cs="Arial"/>
          <w:sz w:val="20"/>
          <w:szCs w:val="20"/>
        </w:rPr>
        <w:t>3.1.9.</w:t>
      </w:r>
      <w:r w:rsidRPr="009566F5">
        <w:rPr>
          <w:rFonts w:ascii="Arial" w:hAnsi="Arial" w:cs="Arial"/>
          <w:sz w:val="20"/>
          <w:szCs w:val="20"/>
        </w:rPr>
        <w:tab/>
        <w:t xml:space="preserve">The Committee noted that spending during the quarters under review was not </w:t>
      </w:r>
      <w:r w:rsidRPr="009566F5">
        <w:rPr>
          <w:rFonts w:ascii="Arial" w:hAnsi="Arial" w:cs="Arial"/>
          <w:sz w:val="20"/>
          <w:szCs w:val="20"/>
        </w:rPr>
        <w:tab/>
        <w:t xml:space="preserve">commensurate to the performance. The Department attributed the higher spending </w:t>
      </w:r>
      <w:r w:rsidRPr="009566F5">
        <w:rPr>
          <w:rFonts w:ascii="Arial" w:hAnsi="Arial" w:cs="Arial"/>
          <w:sz w:val="20"/>
          <w:szCs w:val="20"/>
        </w:rPr>
        <w:tab/>
        <w:t>to the transfers and subsidies to institutions.</w:t>
      </w:r>
    </w:p>
    <w:p w:rsidR="0032103E" w:rsidRPr="009566F5" w:rsidRDefault="0032103E" w:rsidP="009566F5">
      <w:pPr>
        <w:pStyle w:val="ListParagraph"/>
        <w:spacing w:after="0" w:line="240" w:lineRule="auto"/>
        <w:ind w:left="0"/>
        <w:rPr>
          <w:rFonts w:ascii="Arial" w:hAnsi="Arial" w:cs="Arial"/>
          <w:b/>
          <w:sz w:val="20"/>
          <w:szCs w:val="20"/>
        </w:rPr>
      </w:pPr>
    </w:p>
    <w:p w:rsidR="0032103E" w:rsidRPr="009566F5" w:rsidRDefault="0032103E" w:rsidP="009566F5">
      <w:pPr>
        <w:pStyle w:val="ListParagraph"/>
        <w:spacing w:after="0" w:line="240" w:lineRule="auto"/>
        <w:ind w:left="0"/>
        <w:rPr>
          <w:rFonts w:ascii="Arial" w:hAnsi="Arial" w:cs="Arial"/>
          <w:b/>
          <w:sz w:val="20"/>
          <w:szCs w:val="20"/>
        </w:rPr>
      </w:pPr>
    </w:p>
    <w:p w:rsidR="0032103E" w:rsidRPr="009566F5" w:rsidRDefault="0032103E" w:rsidP="009566F5">
      <w:pPr>
        <w:pStyle w:val="ListParagraph"/>
        <w:spacing w:after="0" w:line="240" w:lineRule="auto"/>
        <w:ind w:left="0"/>
        <w:rPr>
          <w:rFonts w:ascii="Arial" w:hAnsi="Arial" w:cs="Arial"/>
          <w:b/>
          <w:sz w:val="20"/>
          <w:szCs w:val="20"/>
        </w:rPr>
      </w:pPr>
    </w:p>
    <w:p w:rsidR="00F73C0C" w:rsidRPr="009566F5" w:rsidRDefault="00F73C0C" w:rsidP="009566F5">
      <w:pPr>
        <w:pStyle w:val="ListParagraph"/>
        <w:spacing w:after="0" w:line="240" w:lineRule="auto"/>
        <w:ind w:left="0"/>
        <w:rPr>
          <w:rFonts w:ascii="Arial" w:hAnsi="Arial" w:cs="Arial"/>
          <w:b/>
          <w:sz w:val="20"/>
          <w:szCs w:val="20"/>
        </w:rPr>
      </w:pPr>
      <w:r w:rsidRPr="009566F5">
        <w:rPr>
          <w:rFonts w:ascii="Arial" w:hAnsi="Arial" w:cs="Arial"/>
          <w:b/>
          <w:sz w:val="20"/>
          <w:szCs w:val="20"/>
        </w:rPr>
        <w:t xml:space="preserve">3.2. </w:t>
      </w:r>
      <w:r w:rsidR="00A431B5" w:rsidRPr="009566F5">
        <w:rPr>
          <w:rFonts w:ascii="Arial" w:hAnsi="Arial" w:cs="Arial"/>
          <w:b/>
          <w:sz w:val="20"/>
          <w:szCs w:val="20"/>
        </w:rPr>
        <w:t xml:space="preserve">Programme 2: </w:t>
      </w:r>
      <w:r w:rsidRPr="009566F5">
        <w:rPr>
          <w:rFonts w:ascii="Arial" w:hAnsi="Arial" w:cs="Arial"/>
          <w:b/>
          <w:sz w:val="20"/>
          <w:szCs w:val="20"/>
        </w:rPr>
        <w:t>Planning, Policy and Strategy</w:t>
      </w:r>
    </w:p>
    <w:p w:rsidR="007B34B8" w:rsidRPr="009566F5" w:rsidRDefault="007B34B8" w:rsidP="009566F5">
      <w:pPr>
        <w:pStyle w:val="ListParagraph"/>
        <w:suppressAutoHyphens/>
        <w:autoSpaceDN w:val="0"/>
        <w:spacing w:after="0" w:line="240" w:lineRule="auto"/>
        <w:ind w:left="0"/>
        <w:contextualSpacing w:val="0"/>
        <w:textAlignment w:val="baseline"/>
        <w:rPr>
          <w:rFonts w:ascii="Arial" w:hAnsi="Arial" w:cs="Arial"/>
          <w:sz w:val="20"/>
          <w:szCs w:val="20"/>
        </w:rPr>
      </w:pPr>
      <w:r w:rsidRPr="009566F5">
        <w:rPr>
          <w:rFonts w:ascii="Arial" w:hAnsi="Arial" w:cs="Arial"/>
          <w:sz w:val="20"/>
          <w:szCs w:val="20"/>
        </w:rPr>
        <w:t>3.2.1.</w:t>
      </w:r>
      <w:r w:rsidRPr="009566F5">
        <w:rPr>
          <w:rFonts w:ascii="Arial" w:hAnsi="Arial" w:cs="Arial"/>
          <w:sz w:val="20"/>
          <w:szCs w:val="20"/>
        </w:rPr>
        <w:tab/>
      </w:r>
      <w:r w:rsidR="0032103E" w:rsidRPr="009566F5">
        <w:rPr>
          <w:rFonts w:ascii="Arial" w:hAnsi="Arial" w:cs="Arial"/>
          <w:sz w:val="20"/>
          <w:szCs w:val="20"/>
        </w:rPr>
        <w:t>The Committee expressed</w:t>
      </w:r>
      <w:r w:rsidR="00560F6F" w:rsidRPr="009566F5">
        <w:rPr>
          <w:rFonts w:ascii="Arial" w:hAnsi="Arial" w:cs="Arial"/>
          <w:sz w:val="20"/>
          <w:szCs w:val="20"/>
        </w:rPr>
        <w:t xml:space="preserve"> </w:t>
      </w:r>
      <w:r w:rsidRPr="009566F5">
        <w:rPr>
          <w:rFonts w:ascii="Arial" w:hAnsi="Arial" w:cs="Arial"/>
          <w:sz w:val="20"/>
          <w:szCs w:val="20"/>
        </w:rPr>
        <w:t xml:space="preserve">concern about the manner in which the Department sets </w:t>
      </w:r>
      <w:r w:rsidR="00560F6F" w:rsidRPr="009566F5">
        <w:rPr>
          <w:rFonts w:ascii="Arial" w:hAnsi="Arial" w:cs="Arial"/>
          <w:sz w:val="20"/>
          <w:szCs w:val="20"/>
        </w:rPr>
        <w:tab/>
      </w:r>
      <w:r w:rsidRPr="009566F5">
        <w:rPr>
          <w:rFonts w:ascii="Arial" w:hAnsi="Arial" w:cs="Arial"/>
          <w:sz w:val="20"/>
          <w:szCs w:val="20"/>
        </w:rPr>
        <w:t xml:space="preserve">the annual targets, given that inadequate capacity was cited as the reason for </w:t>
      </w:r>
      <w:r w:rsidR="0032103E" w:rsidRPr="009566F5">
        <w:rPr>
          <w:rFonts w:ascii="Arial" w:hAnsi="Arial" w:cs="Arial"/>
          <w:sz w:val="20"/>
          <w:szCs w:val="20"/>
        </w:rPr>
        <w:t xml:space="preserve">the </w:t>
      </w:r>
      <w:r w:rsidRPr="009566F5">
        <w:rPr>
          <w:rFonts w:ascii="Arial" w:hAnsi="Arial" w:cs="Arial"/>
          <w:sz w:val="20"/>
          <w:szCs w:val="20"/>
        </w:rPr>
        <w:t>non-</w:t>
      </w:r>
      <w:r w:rsidRPr="009566F5">
        <w:rPr>
          <w:rFonts w:ascii="Arial" w:hAnsi="Arial" w:cs="Arial"/>
          <w:sz w:val="20"/>
          <w:szCs w:val="20"/>
        </w:rPr>
        <w:tab/>
        <w:t xml:space="preserve">achievement of some targets.  The Committee was of the view that this non-alignment </w:t>
      </w:r>
      <w:r w:rsidRPr="009566F5">
        <w:rPr>
          <w:rFonts w:ascii="Arial" w:hAnsi="Arial" w:cs="Arial"/>
          <w:sz w:val="20"/>
          <w:szCs w:val="20"/>
        </w:rPr>
        <w:tab/>
        <w:t xml:space="preserve">of target setting with the existing capacity was an indication of poor planning. </w:t>
      </w:r>
    </w:p>
    <w:p w:rsidR="007B34B8" w:rsidRPr="009566F5" w:rsidRDefault="007B34B8" w:rsidP="009566F5">
      <w:pPr>
        <w:pStyle w:val="ListParagraph"/>
        <w:suppressAutoHyphens/>
        <w:autoSpaceDN w:val="0"/>
        <w:spacing w:after="0" w:line="240" w:lineRule="auto"/>
        <w:ind w:left="0"/>
        <w:contextualSpacing w:val="0"/>
        <w:textAlignment w:val="baseline"/>
        <w:rPr>
          <w:rFonts w:ascii="Arial" w:hAnsi="Arial" w:cs="Arial"/>
          <w:sz w:val="20"/>
          <w:szCs w:val="20"/>
        </w:rPr>
      </w:pPr>
      <w:r w:rsidRPr="009566F5">
        <w:rPr>
          <w:rFonts w:ascii="Arial" w:hAnsi="Arial" w:cs="Arial"/>
          <w:sz w:val="20"/>
          <w:szCs w:val="20"/>
        </w:rPr>
        <w:t>3.2.2.</w:t>
      </w:r>
      <w:r w:rsidRPr="009566F5">
        <w:rPr>
          <w:rFonts w:ascii="Arial" w:hAnsi="Arial" w:cs="Arial"/>
          <w:sz w:val="20"/>
          <w:szCs w:val="20"/>
        </w:rPr>
        <w:tab/>
        <w:t xml:space="preserve">The inconsistencies </w:t>
      </w:r>
      <w:r w:rsidR="00293744" w:rsidRPr="009566F5">
        <w:rPr>
          <w:rFonts w:ascii="Arial" w:hAnsi="Arial" w:cs="Arial"/>
          <w:sz w:val="20"/>
          <w:szCs w:val="20"/>
        </w:rPr>
        <w:t xml:space="preserve">in </w:t>
      </w:r>
      <w:r w:rsidRPr="009566F5">
        <w:rPr>
          <w:rFonts w:ascii="Arial" w:hAnsi="Arial" w:cs="Arial"/>
          <w:sz w:val="20"/>
          <w:szCs w:val="20"/>
        </w:rPr>
        <w:t xml:space="preserve">the reporting of some targets during the quarters under review </w:t>
      </w:r>
      <w:r w:rsidR="0032103E" w:rsidRPr="009566F5">
        <w:rPr>
          <w:rFonts w:ascii="Arial" w:hAnsi="Arial" w:cs="Arial"/>
          <w:sz w:val="20"/>
          <w:szCs w:val="20"/>
        </w:rPr>
        <w:tab/>
      </w:r>
      <w:r w:rsidRPr="009566F5">
        <w:rPr>
          <w:rFonts w:ascii="Arial" w:hAnsi="Arial" w:cs="Arial"/>
          <w:sz w:val="20"/>
          <w:szCs w:val="20"/>
        </w:rPr>
        <w:t xml:space="preserve">was noted with concern. For example, the Department reported that the 2022 Bursary </w:t>
      </w:r>
      <w:r w:rsidR="0032103E" w:rsidRPr="009566F5">
        <w:rPr>
          <w:rFonts w:ascii="Arial" w:hAnsi="Arial" w:cs="Arial"/>
          <w:sz w:val="20"/>
          <w:szCs w:val="20"/>
        </w:rPr>
        <w:tab/>
      </w:r>
      <w:r w:rsidRPr="009566F5">
        <w:rPr>
          <w:rFonts w:ascii="Arial" w:hAnsi="Arial" w:cs="Arial"/>
          <w:sz w:val="20"/>
          <w:szCs w:val="20"/>
        </w:rPr>
        <w:t xml:space="preserve">Guidelines for students at universities and TVET colleges were approved by the </w:t>
      </w:r>
      <w:r w:rsidR="0032103E" w:rsidRPr="009566F5">
        <w:rPr>
          <w:rFonts w:ascii="Arial" w:hAnsi="Arial" w:cs="Arial"/>
          <w:sz w:val="20"/>
          <w:szCs w:val="20"/>
        </w:rPr>
        <w:tab/>
      </w:r>
      <w:r w:rsidRPr="009566F5">
        <w:rPr>
          <w:rFonts w:ascii="Arial" w:hAnsi="Arial" w:cs="Arial"/>
          <w:sz w:val="20"/>
          <w:szCs w:val="20"/>
        </w:rPr>
        <w:t>Minister</w:t>
      </w:r>
      <w:r w:rsidR="00293744" w:rsidRPr="009566F5">
        <w:rPr>
          <w:rFonts w:ascii="Arial" w:hAnsi="Arial" w:cs="Arial"/>
          <w:sz w:val="20"/>
          <w:szCs w:val="20"/>
        </w:rPr>
        <w:t xml:space="preserve"> during the 2021/22 Third-Quarter</w:t>
      </w:r>
      <w:r w:rsidRPr="009566F5">
        <w:rPr>
          <w:rFonts w:ascii="Arial" w:hAnsi="Arial" w:cs="Arial"/>
          <w:sz w:val="20"/>
          <w:szCs w:val="20"/>
        </w:rPr>
        <w:t xml:space="preserve">. However, the </w:t>
      </w:r>
      <w:r w:rsidR="00293744" w:rsidRPr="009566F5">
        <w:rPr>
          <w:rFonts w:ascii="Arial" w:hAnsi="Arial" w:cs="Arial"/>
          <w:sz w:val="20"/>
          <w:szCs w:val="20"/>
        </w:rPr>
        <w:t>Bursary Guidelines</w:t>
      </w:r>
      <w:r w:rsidR="0032103E" w:rsidRPr="009566F5">
        <w:rPr>
          <w:rFonts w:ascii="Arial" w:hAnsi="Arial" w:cs="Arial"/>
          <w:sz w:val="20"/>
          <w:szCs w:val="20"/>
        </w:rPr>
        <w:t xml:space="preserve"> </w:t>
      </w:r>
      <w:r w:rsidR="00293744" w:rsidRPr="009566F5">
        <w:rPr>
          <w:rFonts w:ascii="Arial" w:hAnsi="Arial" w:cs="Arial"/>
          <w:sz w:val="20"/>
          <w:szCs w:val="20"/>
        </w:rPr>
        <w:t xml:space="preserve">were </w:t>
      </w:r>
      <w:r w:rsidR="0032103E" w:rsidRPr="009566F5">
        <w:rPr>
          <w:rFonts w:ascii="Arial" w:hAnsi="Arial" w:cs="Arial"/>
          <w:sz w:val="20"/>
          <w:szCs w:val="20"/>
        </w:rPr>
        <w:tab/>
      </w:r>
      <w:r w:rsidR="00293744" w:rsidRPr="009566F5">
        <w:rPr>
          <w:rFonts w:ascii="Arial" w:hAnsi="Arial" w:cs="Arial"/>
          <w:sz w:val="20"/>
          <w:szCs w:val="20"/>
        </w:rPr>
        <w:t xml:space="preserve">approved </w:t>
      </w:r>
      <w:r w:rsidRPr="009566F5">
        <w:rPr>
          <w:rFonts w:ascii="Arial" w:hAnsi="Arial" w:cs="Arial"/>
          <w:sz w:val="20"/>
          <w:szCs w:val="20"/>
        </w:rPr>
        <w:t>in February 2022.</w:t>
      </w:r>
      <w:r w:rsidR="00293744" w:rsidRPr="009566F5">
        <w:rPr>
          <w:rFonts w:ascii="Arial" w:hAnsi="Arial" w:cs="Arial"/>
          <w:sz w:val="20"/>
          <w:szCs w:val="20"/>
        </w:rPr>
        <w:t xml:space="preserve"> </w:t>
      </w:r>
    </w:p>
    <w:p w:rsidR="00656118" w:rsidRPr="009566F5" w:rsidRDefault="007B34B8" w:rsidP="009566F5">
      <w:pPr>
        <w:pStyle w:val="ListParagraph"/>
        <w:suppressAutoHyphens/>
        <w:autoSpaceDN w:val="0"/>
        <w:spacing w:after="0" w:line="240" w:lineRule="auto"/>
        <w:ind w:left="0"/>
        <w:contextualSpacing w:val="0"/>
        <w:textAlignment w:val="baseline"/>
        <w:rPr>
          <w:rFonts w:ascii="Arial" w:hAnsi="Arial" w:cs="Arial"/>
          <w:sz w:val="20"/>
          <w:szCs w:val="20"/>
        </w:rPr>
      </w:pPr>
      <w:r w:rsidRPr="009566F5">
        <w:rPr>
          <w:rFonts w:ascii="Arial" w:hAnsi="Arial" w:cs="Arial"/>
          <w:sz w:val="20"/>
          <w:szCs w:val="20"/>
        </w:rPr>
        <w:t>3.2.3.</w:t>
      </w:r>
      <w:r w:rsidRPr="009566F5">
        <w:rPr>
          <w:rFonts w:ascii="Arial" w:hAnsi="Arial" w:cs="Arial"/>
          <w:sz w:val="20"/>
          <w:szCs w:val="20"/>
        </w:rPr>
        <w:tab/>
        <w:t xml:space="preserve">The Committee noted that some reasons given for </w:t>
      </w:r>
      <w:r w:rsidR="0032103E" w:rsidRPr="009566F5">
        <w:rPr>
          <w:rFonts w:ascii="Arial" w:hAnsi="Arial" w:cs="Arial"/>
          <w:sz w:val="20"/>
          <w:szCs w:val="20"/>
        </w:rPr>
        <w:t xml:space="preserve">the </w:t>
      </w:r>
      <w:r w:rsidRPr="009566F5">
        <w:rPr>
          <w:rFonts w:ascii="Arial" w:hAnsi="Arial" w:cs="Arial"/>
          <w:sz w:val="20"/>
          <w:szCs w:val="20"/>
        </w:rPr>
        <w:t xml:space="preserve">non-achievement of the targets </w:t>
      </w:r>
      <w:r w:rsidRPr="009566F5">
        <w:rPr>
          <w:rFonts w:ascii="Arial" w:hAnsi="Arial" w:cs="Arial"/>
          <w:sz w:val="20"/>
          <w:szCs w:val="20"/>
        </w:rPr>
        <w:tab/>
        <w:t xml:space="preserve">were </w:t>
      </w:r>
      <w:r w:rsidR="00466C64" w:rsidRPr="009566F5">
        <w:rPr>
          <w:rFonts w:ascii="Arial" w:hAnsi="Arial" w:cs="Arial"/>
          <w:sz w:val="20"/>
          <w:szCs w:val="20"/>
        </w:rPr>
        <w:t>unjustifiable</w:t>
      </w:r>
      <w:r w:rsidRPr="009566F5">
        <w:rPr>
          <w:rFonts w:ascii="Arial" w:hAnsi="Arial" w:cs="Arial"/>
          <w:sz w:val="20"/>
          <w:szCs w:val="20"/>
        </w:rPr>
        <w:t xml:space="preserve">. </w:t>
      </w:r>
      <w:r w:rsidR="00466C64" w:rsidRPr="009566F5">
        <w:rPr>
          <w:rFonts w:ascii="Arial" w:hAnsi="Arial" w:cs="Arial"/>
          <w:sz w:val="20"/>
          <w:szCs w:val="20"/>
        </w:rPr>
        <w:t xml:space="preserve">For example, the Department </w:t>
      </w:r>
      <w:r w:rsidR="00656118" w:rsidRPr="009566F5">
        <w:rPr>
          <w:rFonts w:ascii="Arial" w:hAnsi="Arial" w:cs="Arial"/>
          <w:sz w:val="20"/>
          <w:szCs w:val="20"/>
        </w:rPr>
        <w:t>reported</w:t>
      </w:r>
      <w:r w:rsidR="00466C64" w:rsidRPr="009566F5">
        <w:rPr>
          <w:rFonts w:ascii="Arial" w:hAnsi="Arial" w:cs="Arial"/>
          <w:sz w:val="20"/>
          <w:szCs w:val="20"/>
        </w:rPr>
        <w:t xml:space="preserve"> that </w:t>
      </w:r>
      <w:r w:rsidR="00656118" w:rsidRPr="009566F5">
        <w:rPr>
          <w:rFonts w:ascii="Arial" w:hAnsi="Arial" w:cs="Arial"/>
          <w:sz w:val="20"/>
          <w:szCs w:val="20"/>
        </w:rPr>
        <w:t xml:space="preserve">the target to have a draft </w:t>
      </w:r>
      <w:r w:rsidR="0032103E" w:rsidRPr="009566F5">
        <w:rPr>
          <w:rFonts w:ascii="Arial" w:hAnsi="Arial" w:cs="Arial"/>
          <w:sz w:val="20"/>
          <w:szCs w:val="20"/>
        </w:rPr>
        <w:tab/>
      </w:r>
      <w:r w:rsidR="00656118" w:rsidRPr="009566F5">
        <w:rPr>
          <w:rFonts w:ascii="Arial" w:hAnsi="Arial" w:cs="Arial"/>
          <w:sz w:val="20"/>
          <w:szCs w:val="20"/>
        </w:rPr>
        <w:t xml:space="preserve">concept on the three-year enrolment plan with differentiation in programme </w:t>
      </w:r>
      <w:r w:rsidR="00656118" w:rsidRPr="009566F5">
        <w:rPr>
          <w:rFonts w:ascii="Arial" w:hAnsi="Arial" w:cs="Arial"/>
          <w:sz w:val="20"/>
          <w:szCs w:val="20"/>
        </w:rPr>
        <w:tab/>
        <w:t xml:space="preserve">enrolment circulated for consultation by 30 September 2021 was not achieved due to </w:t>
      </w:r>
      <w:r w:rsidR="00656118" w:rsidRPr="009566F5">
        <w:rPr>
          <w:rFonts w:ascii="Arial" w:hAnsi="Arial" w:cs="Arial"/>
          <w:sz w:val="20"/>
          <w:szCs w:val="20"/>
        </w:rPr>
        <w:tab/>
        <w:t xml:space="preserve">the lack of capacity. </w:t>
      </w:r>
      <w:r w:rsidRPr="009566F5">
        <w:rPr>
          <w:rFonts w:ascii="Arial" w:hAnsi="Arial" w:cs="Arial"/>
          <w:sz w:val="20"/>
          <w:szCs w:val="20"/>
        </w:rPr>
        <w:t xml:space="preserve">The Committee enquired about the </w:t>
      </w:r>
      <w:r w:rsidR="00656118" w:rsidRPr="009566F5">
        <w:rPr>
          <w:rFonts w:ascii="Arial" w:hAnsi="Arial" w:cs="Arial"/>
          <w:sz w:val="20"/>
          <w:szCs w:val="20"/>
        </w:rPr>
        <w:t xml:space="preserve">special capacity required to </w:t>
      </w:r>
      <w:r w:rsidR="00656118" w:rsidRPr="009566F5">
        <w:rPr>
          <w:rFonts w:ascii="Arial" w:hAnsi="Arial" w:cs="Arial"/>
          <w:sz w:val="20"/>
          <w:szCs w:val="20"/>
        </w:rPr>
        <w:tab/>
        <w:t>circulate a draft concept on the three-year enrolment plan</w:t>
      </w:r>
    </w:p>
    <w:p w:rsidR="007B34B8" w:rsidRPr="009566F5" w:rsidRDefault="007B34B8" w:rsidP="009566F5">
      <w:pPr>
        <w:pStyle w:val="ListParagraph"/>
        <w:suppressAutoHyphens/>
        <w:autoSpaceDN w:val="0"/>
        <w:spacing w:after="0" w:line="240" w:lineRule="auto"/>
        <w:ind w:left="0"/>
        <w:contextualSpacing w:val="0"/>
        <w:textAlignment w:val="baseline"/>
        <w:rPr>
          <w:rFonts w:ascii="Arial" w:hAnsi="Arial" w:cs="Arial"/>
          <w:sz w:val="20"/>
          <w:szCs w:val="20"/>
        </w:rPr>
      </w:pPr>
      <w:r w:rsidRPr="009566F5">
        <w:rPr>
          <w:rFonts w:ascii="Arial" w:hAnsi="Arial" w:cs="Arial"/>
          <w:sz w:val="20"/>
          <w:szCs w:val="20"/>
        </w:rPr>
        <w:t>3.2.4.</w:t>
      </w:r>
      <w:r w:rsidRPr="009566F5">
        <w:rPr>
          <w:rFonts w:ascii="Arial" w:hAnsi="Arial" w:cs="Arial"/>
          <w:sz w:val="20"/>
          <w:szCs w:val="20"/>
        </w:rPr>
        <w:tab/>
        <w:t xml:space="preserve">The Committee noted with concern </w:t>
      </w:r>
      <w:r w:rsidR="00656118" w:rsidRPr="009566F5">
        <w:rPr>
          <w:rFonts w:ascii="Arial" w:hAnsi="Arial" w:cs="Arial"/>
          <w:sz w:val="20"/>
          <w:szCs w:val="20"/>
        </w:rPr>
        <w:t xml:space="preserve">that the </w:t>
      </w:r>
      <w:r w:rsidRPr="009566F5">
        <w:rPr>
          <w:rFonts w:ascii="Arial" w:hAnsi="Arial" w:cs="Arial"/>
          <w:sz w:val="20"/>
          <w:szCs w:val="20"/>
        </w:rPr>
        <w:t xml:space="preserve">Department </w:t>
      </w:r>
      <w:r w:rsidR="00656118" w:rsidRPr="009566F5">
        <w:rPr>
          <w:rFonts w:ascii="Arial" w:hAnsi="Arial" w:cs="Arial"/>
          <w:sz w:val="20"/>
          <w:szCs w:val="20"/>
        </w:rPr>
        <w:t xml:space="preserve">is not adequately </w:t>
      </w:r>
      <w:r w:rsidRPr="009566F5">
        <w:rPr>
          <w:rFonts w:ascii="Arial" w:hAnsi="Arial" w:cs="Arial"/>
          <w:sz w:val="20"/>
          <w:szCs w:val="20"/>
        </w:rPr>
        <w:t>exercis</w:t>
      </w:r>
      <w:r w:rsidR="00656118" w:rsidRPr="009566F5">
        <w:rPr>
          <w:rFonts w:ascii="Arial" w:hAnsi="Arial" w:cs="Arial"/>
          <w:sz w:val="20"/>
          <w:szCs w:val="20"/>
        </w:rPr>
        <w:t xml:space="preserve">ing its </w:t>
      </w:r>
      <w:r w:rsidRPr="009566F5">
        <w:rPr>
          <w:rFonts w:ascii="Arial" w:hAnsi="Arial" w:cs="Arial"/>
          <w:sz w:val="20"/>
          <w:szCs w:val="20"/>
        </w:rPr>
        <w:tab/>
        <w:t xml:space="preserve">monitoring and evaluation </w:t>
      </w:r>
      <w:r w:rsidR="00656118" w:rsidRPr="009566F5">
        <w:rPr>
          <w:rFonts w:ascii="Arial" w:hAnsi="Arial" w:cs="Arial"/>
          <w:sz w:val="20"/>
          <w:szCs w:val="20"/>
        </w:rPr>
        <w:t>function</w:t>
      </w:r>
      <w:r w:rsidRPr="009566F5">
        <w:rPr>
          <w:rFonts w:ascii="Arial" w:hAnsi="Arial" w:cs="Arial"/>
          <w:sz w:val="20"/>
          <w:szCs w:val="20"/>
        </w:rPr>
        <w:t xml:space="preserve"> over its entities.</w:t>
      </w:r>
    </w:p>
    <w:p w:rsidR="00813395" w:rsidRPr="009566F5" w:rsidRDefault="00813395" w:rsidP="009566F5">
      <w:pPr>
        <w:pStyle w:val="ListParagraph"/>
        <w:suppressAutoHyphens/>
        <w:autoSpaceDN w:val="0"/>
        <w:spacing w:after="0" w:line="240" w:lineRule="auto"/>
        <w:ind w:left="0"/>
        <w:contextualSpacing w:val="0"/>
        <w:textAlignment w:val="baseline"/>
        <w:rPr>
          <w:rFonts w:ascii="Arial" w:hAnsi="Arial" w:cs="Arial"/>
          <w:sz w:val="20"/>
          <w:szCs w:val="20"/>
        </w:rPr>
      </w:pPr>
    </w:p>
    <w:p w:rsidR="00957DDA" w:rsidRPr="009566F5" w:rsidRDefault="00957DDA" w:rsidP="009566F5">
      <w:pPr>
        <w:autoSpaceDN w:val="0"/>
        <w:spacing w:after="0" w:line="240" w:lineRule="auto"/>
        <w:rPr>
          <w:rFonts w:ascii="Arial" w:hAnsi="Arial" w:cs="Arial"/>
          <w:b/>
          <w:sz w:val="20"/>
          <w:szCs w:val="20"/>
        </w:rPr>
      </w:pPr>
      <w:r w:rsidRPr="009566F5">
        <w:rPr>
          <w:rFonts w:ascii="Arial" w:hAnsi="Arial" w:cs="Arial"/>
          <w:b/>
          <w:sz w:val="20"/>
          <w:szCs w:val="20"/>
        </w:rPr>
        <w:t>3.3. Programme 4: Technical and Vocational Education and Training</w:t>
      </w:r>
    </w:p>
    <w:p w:rsidR="00011753" w:rsidRPr="009566F5" w:rsidRDefault="00957DDA" w:rsidP="009566F5">
      <w:pPr>
        <w:pStyle w:val="ListParagraph"/>
        <w:suppressAutoHyphens/>
        <w:autoSpaceDN w:val="0"/>
        <w:spacing w:after="0" w:line="240" w:lineRule="auto"/>
        <w:ind w:left="0"/>
        <w:textAlignment w:val="baseline"/>
        <w:rPr>
          <w:rFonts w:ascii="Arial" w:hAnsi="Arial" w:cs="Arial"/>
          <w:sz w:val="20"/>
          <w:szCs w:val="20"/>
        </w:rPr>
      </w:pPr>
      <w:r w:rsidRPr="009566F5">
        <w:rPr>
          <w:rFonts w:ascii="Arial" w:hAnsi="Arial" w:cs="Arial"/>
          <w:sz w:val="20"/>
          <w:szCs w:val="20"/>
        </w:rPr>
        <w:t>3.</w:t>
      </w:r>
      <w:r w:rsidR="00011753" w:rsidRPr="009566F5">
        <w:rPr>
          <w:rFonts w:ascii="Arial" w:hAnsi="Arial" w:cs="Arial"/>
          <w:sz w:val="20"/>
          <w:szCs w:val="20"/>
        </w:rPr>
        <w:t>3</w:t>
      </w:r>
      <w:r w:rsidRPr="009566F5">
        <w:rPr>
          <w:rFonts w:ascii="Arial" w:hAnsi="Arial" w:cs="Arial"/>
          <w:sz w:val="20"/>
          <w:szCs w:val="20"/>
        </w:rPr>
        <w:t xml:space="preserve">.1. </w:t>
      </w:r>
      <w:r w:rsidR="00011753" w:rsidRPr="009566F5">
        <w:rPr>
          <w:rFonts w:ascii="Arial" w:hAnsi="Arial" w:cs="Arial"/>
          <w:sz w:val="20"/>
          <w:szCs w:val="20"/>
        </w:rPr>
        <w:t xml:space="preserve">The Committee was extremely concerned with the overall under-performance of the </w:t>
      </w:r>
      <w:r w:rsidR="00011753" w:rsidRPr="009566F5">
        <w:rPr>
          <w:rFonts w:ascii="Arial" w:hAnsi="Arial" w:cs="Arial"/>
          <w:sz w:val="20"/>
          <w:szCs w:val="20"/>
        </w:rPr>
        <w:tab/>
        <w:t xml:space="preserve">TVET </w:t>
      </w:r>
      <w:r w:rsidR="00FA03CD" w:rsidRPr="009566F5">
        <w:rPr>
          <w:rFonts w:ascii="Arial" w:hAnsi="Arial" w:cs="Arial"/>
          <w:sz w:val="20"/>
          <w:szCs w:val="20"/>
        </w:rPr>
        <w:t>B</w:t>
      </w:r>
      <w:r w:rsidR="00011753" w:rsidRPr="009566F5">
        <w:rPr>
          <w:rFonts w:ascii="Arial" w:hAnsi="Arial" w:cs="Arial"/>
          <w:sz w:val="20"/>
          <w:szCs w:val="20"/>
        </w:rPr>
        <w:t xml:space="preserve">ranch. None of the targets set in </w:t>
      </w:r>
      <w:r w:rsidR="00EA3FC4" w:rsidRPr="009566F5">
        <w:rPr>
          <w:rFonts w:ascii="Arial" w:hAnsi="Arial" w:cs="Arial"/>
          <w:sz w:val="20"/>
          <w:szCs w:val="20"/>
        </w:rPr>
        <w:t>the T</w:t>
      </w:r>
      <w:r w:rsidR="00011753" w:rsidRPr="009566F5">
        <w:rPr>
          <w:rFonts w:ascii="Arial" w:hAnsi="Arial" w:cs="Arial"/>
          <w:sz w:val="20"/>
          <w:szCs w:val="20"/>
        </w:rPr>
        <w:t>hird</w:t>
      </w:r>
      <w:r w:rsidR="00EA3FC4" w:rsidRPr="009566F5">
        <w:rPr>
          <w:rFonts w:ascii="Arial" w:hAnsi="Arial" w:cs="Arial"/>
          <w:sz w:val="20"/>
          <w:szCs w:val="20"/>
        </w:rPr>
        <w:t>-Q</w:t>
      </w:r>
      <w:r w:rsidR="00011753" w:rsidRPr="009566F5">
        <w:rPr>
          <w:rFonts w:ascii="Arial" w:hAnsi="Arial" w:cs="Arial"/>
          <w:sz w:val="20"/>
          <w:szCs w:val="20"/>
        </w:rPr>
        <w:t xml:space="preserve">uarter had been achieved by the </w:t>
      </w:r>
      <w:r w:rsidR="00EA3FC4" w:rsidRPr="009566F5">
        <w:rPr>
          <w:rFonts w:ascii="Arial" w:hAnsi="Arial" w:cs="Arial"/>
          <w:sz w:val="20"/>
          <w:szCs w:val="20"/>
        </w:rPr>
        <w:tab/>
      </w:r>
      <w:r w:rsidR="00FA03CD" w:rsidRPr="009566F5">
        <w:rPr>
          <w:rFonts w:ascii="Arial" w:hAnsi="Arial" w:cs="Arial"/>
          <w:sz w:val="20"/>
          <w:szCs w:val="20"/>
        </w:rPr>
        <w:t>B</w:t>
      </w:r>
      <w:r w:rsidR="00011753" w:rsidRPr="009566F5">
        <w:rPr>
          <w:rFonts w:ascii="Arial" w:hAnsi="Arial" w:cs="Arial"/>
          <w:sz w:val="20"/>
          <w:szCs w:val="20"/>
        </w:rPr>
        <w:t xml:space="preserve">ranch. The Committee was of the view that TVET colleges </w:t>
      </w:r>
      <w:r w:rsidR="00EA3FC4" w:rsidRPr="009566F5">
        <w:rPr>
          <w:rFonts w:ascii="Arial" w:hAnsi="Arial" w:cs="Arial"/>
          <w:sz w:val="20"/>
          <w:szCs w:val="20"/>
        </w:rPr>
        <w:t xml:space="preserve">play </w:t>
      </w:r>
      <w:r w:rsidR="00011753" w:rsidRPr="009566F5">
        <w:rPr>
          <w:rFonts w:ascii="Arial" w:hAnsi="Arial" w:cs="Arial"/>
          <w:sz w:val="20"/>
          <w:szCs w:val="20"/>
        </w:rPr>
        <w:t xml:space="preserve">a critical role </w:t>
      </w:r>
      <w:r w:rsidR="0032103E" w:rsidRPr="009566F5">
        <w:rPr>
          <w:rFonts w:ascii="Arial" w:hAnsi="Arial" w:cs="Arial"/>
          <w:sz w:val="20"/>
          <w:szCs w:val="20"/>
        </w:rPr>
        <w:t>in</w:t>
      </w:r>
      <w:r w:rsidR="00011753" w:rsidRPr="009566F5">
        <w:rPr>
          <w:rFonts w:ascii="Arial" w:hAnsi="Arial" w:cs="Arial"/>
          <w:sz w:val="20"/>
          <w:szCs w:val="20"/>
        </w:rPr>
        <w:t xml:space="preserve"> </w:t>
      </w:r>
      <w:r w:rsidR="0032103E" w:rsidRPr="009566F5">
        <w:rPr>
          <w:rFonts w:ascii="Arial" w:hAnsi="Arial" w:cs="Arial"/>
          <w:sz w:val="20"/>
          <w:szCs w:val="20"/>
        </w:rPr>
        <w:tab/>
      </w:r>
      <w:r w:rsidR="00EA3FC4" w:rsidRPr="009566F5">
        <w:rPr>
          <w:rFonts w:ascii="Arial" w:hAnsi="Arial" w:cs="Arial"/>
          <w:sz w:val="20"/>
          <w:szCs w:val="20"/>
        </w:rPr>
        <w:t>contributing to</w:t>
      </w:r>
      <w:r w:rsidR="00011753" w:rsidRPr="009566F5">
        <w:rPr>
          <w:rFonts w:ascii="Arial" w:hAnsi="Arial" w:cs="Arial"/>
          <w:sz w:val="20"/>
          <w:szCs w:val="20"/>
        </w:rPr>
        <w:tab/>
        <w:t>the development</w:t>
      </w:r>
      <w:r w:rsidR="00FA03CD" w:rsidRPr="009566F5">
        <w:rPr>
          <w:rFonts w:ascii="Arial" w:hAnsi="Arial" w:cs="Arial"/>
          <w:sz w:val="20"/>
          <w:szCs w:val="20"/>
        </w:rPr>
        <w:t>al agenda</w:t>
      </w:r>
      <w:r w:rsidR="00011753" w:rsidRPr="009566F5">
        <w:rPr>
          <w:rFonts w:ascii="Arial" w:hAnsi="Arial" w:cs="Arial"/>
          <w:sz w:val="20"/>
          <w:szCs w:val="20"/>
        </w:rPr>
        <w:t xml:space="preserve"> of the </w:t>
      </w:r>
      <w:r w:rsidR="00FA03CD" w:rsidRPr="009566F5">
        <w:rPr>
          <w:rFonts w:ascii="Arial" w:hAnsi="Arial" w:cs="Arial"/>
          <w:sz w:val="20"/>
          <w:szCs w:val="20"/>
        </w:rPr>
        <w:t>C</w:t>
      </w:r>
      <w:r w:rsidR="00011753" w:rsidRPr="009566F5">
        <w:rPr>
          <w:rFonts w:ascii="Arial" w:hAnsi="Arial" w:cs="Arial"/>
          <w:sz w:val="20"/>
          <w:szCs w:val="20"/>
        </w:rPr>
        <w:t>ountry</w:t>
      </w:r>
      <w:r w:rsidR="00FA03CD" w:rsidRPr="009566F5">
        <w:rPr>
          <w:rFonts w:ascii="Arial" w:hAnsi="Arial" w:cs="Arial"/>
          <w:sz w:val="20"/>
          <w:szCs w:val="20"/>
        </w:rPr>
        <w:t xml:space="preserve"> and its economic</w:t>
      </w:r>
      <w:r w:rsidR="00011753" w:rsidRPr="009566F5">
        <w:rPr>
          <w:rFonts w:ascii="Arial" w:hAnsi="Arial" w:cs="Arial"/>
          <w:sz w:val="20"/>
          <w:szCs w:val="20"/>
        </w:rPr>
        <w:t xml:space="preserve"> performance, </w:t>
      </w:r>
      <w:r w:rsidR="0032103E" w:rsidRPr="009566F5">
        <w:rPr>
          <w:rFonts w:ascii="Arial" w:hAnsi="Arial" w:cs="Arial"/>
          <w:sz w:val="20"/>
          <w:szCs w:val="20"/>
        </w:rPr>
        <w:tab/>
      </w:r>
      <w:r w:rsidR="00011753" w:rsidRPr="009566F5">
        <w:rPr>
          <w:rFonts w:ascii="Arial" w:hAnsi="Arial" w:cs="Arial"/>
          <w:sz w:val="20"/>
          <w:szCs w:val="20"/>
        </w:rPr>
        <w:t xml:space="preserve">and the under-performance in the </w:t>
      </w:r>
      <w:r w:rsidR="00FA03CD" w:rsidRPr="009566F5">
        <w:rPr>
          <w:rFonts w:ascii="Arial" w:hAnsi="Arial" w:cs="Arial"/>
          <w:sz w:val="20"/>
          <w:szCs w:val="20"/>
        </w:rPr>
        <w:t>B</w:t>
      </w:r>
      <w:r w:rsidR="00011753" w:rsidRPr="009566F5">
        <w:rPr>
          <w:rFonts w:ascii="Arial" w:hAnsi="Arial" w:cs="Arial"/>
          <w:sz w:val="20"/>
          <w:szCs w:val="20"/>
        </w:rPr>
        <w:t xml:space="preserve">ranch needs to be rectified expeditiously. </w:t>
      </w:r>
    </w:p>
    <w:p w:rsidR="00011753" w:rsidRPr="009566F5" w:rsidRDefault="00011753" w:rsidP="009566F5">
      <w:pPr>
        <w:pStyle w:val="ListParagraph"/>
        <w:suppressAutoHyphens/>
        <w:autoSpaceDN w:val="0"/>
        <w:spacing w:after="0" w:line="240" w:lineRule="auto"/>
        <w:ind w:left="0"/>
        <w:textAlignment w:val="baseline"/>
        <w:rPr>
          <w:rFonts w:ascii="Arial" w:hAnsi="Arial" w:cs="Arial"/>
          <w:sz w:val="20"/>
          <w:szCs w:val="20"/>
        </w:rPr>
      </w:pPr>
      <w:r w:rsidRPr="009566F5">
        <w:rPr>
          <w:rFonts w:ascii="Arial" w:hAnsi="Arial" w:cs="Arial"/>
          <w:sz w:val="20"/>
          <w:szCs w:val="20"/>
        </w:rPr>
        <w:t>3.3.2.</w:t>
      </w:r>
      <w:r w:rsidRPr="009566F5">
        <w:rPr>
          <w:rFonts w:ascii="Arial" w:hAnsi="Arial" w:cs="Arial"/>
          <w:sz w:val="20"/>
          <w:szCs w:val="20"/>
        </w:rPr>
        <w:tab/>
        <w:t xml:space="preserve">The Committee acknowledged the training of 69 artisan learners through the Centres of </w:t>
      </w:r>
      <w:r w:rsidRPr="009566F5">
        <w:rPr>
          <w:rFonts w:ascii="Arial" w:hAnsi="Arial" w:cs="Arial"/>
          <w:sz w:val="20"/>
          <w:szCs w:val="20"/>
        </w:rPr>
        <w:tab/>
        <w:t xml:space="preserve">Specialisation. The Committee also enquired about the details of these learners and </w:t>
      </w:r>
      <w:r w:rsidRPr="009566F5">
        <w:rPr>
          <w:rFonts w:ascii="Arial" w:hAnsi="Arial" w:cs="Arial"/>
          <w:sz w:val="20"/>
          <w:szCs w:val="20"/>
        </w:rPr>
        <w:tab/>
        <w:t>their respective locations.</w:t>
      </w:r>
    </w:p>
    <w:p w:rsidR="00011753" w:rsidRPr="009566F5" w:rsidRDefault="00011753" w:rsidP="009566F5">
      <w:pPr>
        <w:pStyle w:val="ListParagraph"/>
        <w:suppressAutoHyphens/>
        <w:autoSpaceDN w:val="0"/>
        <w:spacing w:after="0" w:line="240" w:lineRule="auto"/>
        <w:ind w:left="0"/>
        <w:textAlignment w:val="baseline"/>
        <w:rPr>
          <w:rFonts w:ascii="Arial" w:hAnsi="Arial" w:cs="Arial"/>
          <w:sz w:val="20"/>
          <w:szCs w:val="20"/>
        </w:rPr>
      </w:pPr>
      <w:r w:rsidRPr="009566F5">
        <w:rPr>
          <w:rFonts w:ascii="Arial" w:hAnsi="Arial" w:cs="Arial"/>
          <w:sz w:val="20"/>
          <w:szCs w:val="20"/>
        </w:rPr>
        <w:t>3.3.3.</w:t>
      </w:r>
      <w:r w:rsidRPr="009566F5">
        <w:rPr>
          <w:rFonts w:ascii="Arial" w:hAnsi="Arial" w:cs="Arial"/>
          <w:sz w:val="20"/>
          <w:szCs w:val="20"/>
        </w:rPr>
        <w:tab/>
        <w:t xml:space="preserve">The severe shortage of student housing in the TVET sector was noted as a serious </w:t>
      </w:r>
      <w:r w:rsidRPr="009566F5">
        <w:rPr>
          <w:rFonts w:ascii="Arial" w:hAnsi="Arial" w:cs="Arial"/>
          <w:sz w:val="20"/>
          <w:szCs w:val="20"/>
        </w:rPr>
        <w:tab/>
        <w:t>concern.</w:t>
      </w:r>
    </w:p>
    <w:p w:rsidR="00A431B5" w:rsidRPr="009566F5" w:rsidRDefault="00A431B5" w:rsidP="009566F5">
      <w:pPr>
        <w:pStyle w:val="ListParagraph"/>
        <w:autoSpaceDN w:val="0"/>
        <w:spacing w:after="0" w:line="240" w:lineRule="auto"/>
        <w:ind w:left="0"/>
        <w:contextualSpacing w:val="0"/>
        <w:rPr>
          <w:rFonts w:ascii="Arial" w:hAnsi="Arial" w:cs="Arial"/>
          <w:sz w:val="20"/>
          <w:szCs w:val="20"/>
        </w:rPr>
      </w:pPr>
    </w:p>
    <w:p w:rsidR="00F348DF" w:rsidRPr="009566F5" w:rsidRDefault="00F348DF" w:rsidP="009566F5">
      <w:pPr>
        <w:pStyle w:val="ListParagraph"/>
        <w:spacing w:after="0" w:line="240" w:lineRule="auto"/>
        <w:ind w:left="0"/>
        <w:rPr>
          <w:rFonts w:ascii="Arial" w:hAnsi="Arial" w:cs="Arial"/>
          <w:b/>
          <w:sz w:val="20"/>
          <w:szCs w:val="20"/>
        </w:rPr>
      </w:pPr>
    </w:p>
    <w:p w:rsidR="00F348DF" w:rsidRPr="009566F5" w:rsidRDefault="00F348DF" w:rsidP="009566F5">
      <w:pPr>
        <w:pStyle w:val="ListParagraph"/>
        <w:spacing w:after="0" w:line="240" w:lineRule="auto"/>
        <w:ind w:left="0"/>
        <w:rPr>
          <w:rFonts w:ascii="Arial" w:hAnsi="Arial" w:cs="Arial"/>
          <w:b/>
          <w:sz w:val="20"/>
          <w:szCs w:val="20"/>
        </w:rPr>
      </w:pPr>
    </w:p>
    <w:p w:rsidR="00F348DF" w:rsidRPr="009566F5" w:rsidRDefault="00F348DF" w:rsidP="009566F5">
      <w:pPr>
        <w:pStyle w:val="ListParagraph"/>
        <w:spacing w:after="0" w:line="240" w:lineRule="auto"/>
        <w:ind w:left="0"/>
        <w:rPr>
          <w:rFonts w:ascii="Arial" w:hAnsi="Arial" w:cs="Arial"/>
          <w:b/>
          <w:sz w:val="20"/>
          <w:szCs w:val="20"/>
        </w:rPr>
      </w:pPr>
    </w:p>
    <w:p w:rsidR="00A431B5" w:rsidRPr="009566F5" w:rsidRDefault="00A431B5" w:rsidP="009566F5">
      <w:pPr>
        <w:pStyle w:val="ListParagraph"/>
        <w:spacing w:after="0" w:line="240" w:lineRule="auto"/>
        <w:ind w:left="0"/>
        <w:rPr>
          <w:rFonts w:ascii="Arial" w:hAnsi="Arial" w:cs="Arial"/>
          <w:b/>
          <w:sz w:val="20"/>
          <w:szCs w:val="20"/>
        </w:rPr>
      </w:pPr>
      <w:r w:rsidRPr="009566F5">
        <w:rPr>
          <w:rFonts w:ascii="Arial" w:hAnsi="Arial" w:cs="Arial"/>
          <w:b/>
          <w:sz w:val="20"/>
          <w:szCs w:val="20"/>
        </w:rPr>
        <w:t>3.</w:t>
      </w:r>
      <w:r w:rsidR="00011753" w:rsidRPr="009566F5">
        <w:rPr>
          <w:rFonts w:ascii="Arial" w:hAnsi="Arial" w:cs="Arial"/>
          <w:b/>
          <w:sz w:val="20"/>
          <w:szCs w:val="20"/>
        </w:rPr>
        <w:t>4</w:t>
      </w:r>
      <w:r w:rsidRPr="009566F5">
        <w:rPr>
          <w:rFonts w:ascii="Arial" w:hAnsi="Arial" w:cs="Arial"/>
          <w:b/>
          <w:sz w:val="20"/>
          <w:szCs w:val="20"/>
        </w:rPr>
        <w:t>. Programme 5: Skills Development</w:t>
      </w:r>
    </w:p>
    <w:p w:rsidR="00EA3FC4" w:rsidRPr="009566F5" w:rsidRDefault="00A431B5" w:rsidP="009566F5">
      <w:pPr>
        <w:spacing w:after="0" w:line="240" w:lineRule="auto"/>
        <w:ind w:left="567" w:hanging="567"/>
        <w:rPr>
          <w:rFonts w:ascii="Arial" w:hAnsi="Arial" w:cs="Arial"/>
          <w:b/>
          <w:sz w:val="20"/>
          <w:szCs w:val="20"/>
        </w:rPr>
      </w:pPr>
      <w:r w:rsidRPr="009566F5">
        <w:rPr>
          <w:rFonts w:ascii="Arial" w:hAnsi="Arial" w:cs="Arial"/>
          <w:sz w:val="20"/>
          <w:szCs w:val="20"/>
        </w:rPr>
        <w:t>3.</w:t>
      </w:r>
      <w:r w:rsidR="00011753" w:rsidRPr="009566F5">
        <w:rPr>
          <w:rFonts w:ascii="Arial" w:hAnsi="Arial" w:cs="Arial"/>
          <w:sz w:val="20"/>
          <w:szCs w:val="20"/>
        </w:rPr>
        <w:t>4</w:t>
      </w:r>
      <w:r w:rsidRPr="009566F5">
        <w:rPr>
          <w:rFonts w:ascii="Arial" w:hAnsi="Arial" w:cs="Arial"/>
          <w:sz w:val="20"/>
          <w:szCs w:val="20"/>
        </w:rPr>
        <w:t>.1.</w:t>
      </w:r>
      <w:r w:rsidRPr="009566F5">
        <w:rPr>
          <w:rFonts w:ascii="Arial" w:hAnsi="Arial" w:cs="Arial"/>
          <w:sz w:val="20"/>
          <w:szCs w:val="20"/>
        </w:rPr>
        <w:tab/>
      </w:r>
      <w:r w:rsidR="00011753" w:rsidRPr="009566F5">
        <w:rPr>
          <w:rFonts w:ascii="Arial" w:hAnsi="Arial" w:cs="Arial"/>
          <w:sz w:val="20"/>
          <w:szCs w:val="20"/>
        </w:rPr>
        <w:t xml:space="preserve">The Committee noted </w:t>
      </w:r>
      <w:r w:rsidR="00DB0FDE" w:rsidRPr="009566F5">
        <w:rPr>
          <w:rFonts w:ascii="Arial" w:hAnsi="Arial" w:cs="Arial"/>
          <w:sz w:val="20"/>
          <w:szCs w:val="20"/>
        </w:rPr>
        <w:t xml:space="preserve">a </w:t>
      </w:r>
      <w:r w:rsidR="00011753" w:rsidRPr="009566F5">
        <w:rPr>
          <w:rFonts w:ascii="Arial" w:hAnsi="Arial" w:cs="Arial"/>
          <w:sz w:val="20"/>
          <w:szCs w:val="20"/>
        </w:rPr>
        <w:t xml:space="preserve">concern about </w:t>
      </w:r>
      <w:r w:rsidR="00DB0FDE" w:rsidRPr="009566F5">
        <w:rPr>
          <w:rFonts w:ascii="Arial" w:hAnsi="Arial" w:cs="Arial"/>
          <w:sz w:val="20"/>
          <w:szCs w:val="20"/>
        </w:rPr>
        <w:t xml:space="preserve">the </w:t>
      </w:r>
      <w:r w:rsidR="00011753" w:rsidRPr="009566F5">
        <w:rPr>
          <w:rFonts w:ascii="Arial" w:hAnsi="Arial" w:cs="Arial"/>
          <w:sz w:val="20"/>
          <w:szCs w:val="20"/>
        </w:rPr>
        <w:t>inadequate contract management by some SETAs which often contributes to irregular and wasteful expenditure.</w:t>
      </w:r>
    </w:p>
    <w:p w:rsidR="00A431B5" w:rsidRPr="009566F5" w:rsidRDefault="00A431B5" w:rsidP="009566F5">
      <w:pPr>
        <w:spacing w:after="0" w:line="240" w:lineRule="auto"/>
        <w:rPr>
          <w:rFonts w:ascii="Arial" w:hAnsi="Arial" w:cs="Arial"/>
          <w:b/>
          <w:sz w:val="20"/>
          <w:szCs w:val="20"/>
        </w:rPr>
      </w:pPr>
      <w:r w:rsidRPr="009566F5">
        <w:rPr>
          <w:rFonts w:ascii="Arial" w:hAnsi="Arial" w:cs="Arial"/>
          <w:b/>
          <w:sz w:val="20"/>
          <w:szCs w:val="20"/>
        </w:rPr>
        <w:t>3.</w:t>
      </w:r>
      <w:r w:rsidR="00011753" w:rsidRPr="009566F5">
        <w:rPr>
          <w:rFonts w:ascii="Arial" w:hAnsi="Arial" w:cs="Arial"/>
          <w:b/>
          <w:sz w:val="20"/>
          <w:szCs w:val="20"/>
        </w:rPr>
        <w:t>5</w:t>
      </w:r>
      <w:r w:rsidRPr="009566F5">
        <w:rPr>
          <w:rFonts w:ascii="Arial" w:hAnsi="Arial" w:cs="Arial"/>
          <w:b/>
          <w:sz w:val="20"/>
          <w:szCs w:val="20"/>
        </w:rPr>
        <w:t>. Programme 6: Community Education and Training</w:t>
      </w:r>
    </w:p>
    <w:p w:rsidR="00011753" w:rsidRPr="009566F5" w:rsidRDefault="00A431B5" w:rsidP="009566F5">
      <w:pPr>
        <w:pStyle w:val="ListParagraph"/>
        <w:spacing w:after="0" w:line="240" w:lineRule="auto"/>
        <w:ind w:left="0"/>
        <w:rPr>
          <w:rFonts w:ascii="Arial" w:hAnsi="Arial" w:cs="Arial"/>
          <w:sz w:val="20"/>
          <w:szCs w:val="20"/>
        </w:rPr>
      </w:pPr>
      <w:r w:rsidRPr="009566F5">
        <w:rPr>
          <w:rFonts w:ascii="Arial" w:hAnsi="Arial" w:cs="Arial"/>
          <w:sz w:val="20"/>
          <w:szCs w:val="20"/>
        </w:rPr>
        <w:t>3.</w:t>
      </w:r>
      <w:r w:rsidR="00011753" w:rsidRPr="009566F5">
        <w:rPr>
          <w:rFonts w:ascii="Arial" w:hAnsi="Arial" w:cs="Arial"/>
          <w:sz w:val="20"/>
          <w:szCs w:val="20"/>
        </w:rPr>
        <w:t>5</w:t>
      </w:r>
      <w:r w:rsidRPr="009566F5">
        <w:rPr>
          <w:rFonts w:ascii="Arial" w:hAnsi="Arial" w:cs="Arial"/>
          <w:sz w:val="20"/>
          <w:szCs w:val="20"/>
        </w:rPr>
        <w:t>.1.</w:t>
      </w:r>
      <w:r w:rsidRPr="009566F5">
        <w:rPr>
          <w:rFonts w:ascii="Arial" w:hAnsi="Arial" w:cs="Arial"/>
          <w:sz w:val="20"/>
          <w:szCs w:val="20"/>
        </w:rPr>
        <w:tab/>
      </w:r>
      <w:r w:rsidR="00011753" w:rsidRPr="009566F5">
        <w:rPr>
          <w:rFonts w:ascii="Arial" w:hAnsi="Arial" w:cs="Arial"/>
          <w:sz w:val="20"/>
          <w:szCs w:val="20"/>
        </w:rPr>
        <w:t xml:space="preserve">The lower than the planned enrolment achieved in the CET sector (142 585 students </w:t>
      </w:r>
      <w:r w:rsidR="0032103E" w:rsidRPr="009566F5">
        <w:rPr>
          <w:rFonts w:ascii="Arial" w:hAnsi="Arial" w:cs="Arial"/>
          <w:sz w:val="20"/>
          <w:szCs w:val="20"/>
        </w:rPr>
        <w:tab/>
      </w:r>
      <w:r w:rsidR="00DB0FDE" w:rsidRPr="009566F5">
        <w:rPr>
          <w:rFonts w:ascii="Arial" w:hAnsi="Arial" w:cs="Arial"/>
          <w:sz w:val="20"/>
          <w:szCs w:val="20"/>
        </w:rPr>
        <w:t>against the target of</w:t>
      </w:r>
      <w:r w:rsidR="00011753" w:rsidRPr="009566F5">
        <w:rPr>
          <w:rFonts w:ascii="Arial" w:hAnsi="Arial" w:cs="Arial"/>
          <w:sz w:val="20"/>
          <w:szCs w:val="20"/>
        </w:rPr>
        <w:t xml:space="preserve"> 220 549) was noted as a concern. The Committee noted that whilst </w:t>
      </w:r>
      <w:r w:rsidR="0032103E" w:rsidRPr="009566F5">
        <w:rPr>
          <w:rFonts w:ascii="Arial" w:hAnsi="Arial" w:cs="Arial"/>
          <w:sz w:val="20"/>
          <w:szCs w:val="20"/>
        </w:rPr>
        <w:tab/>
      </w:r>
      <w:r w:rsidR="00011753" w:rsidRPr="009566F5">
        <w:rPr>
          <w:rFonts w:ascii="Arial" w:hAnsi="Arial" w:cs="Arial"/>
          <w:sz w:val="20"/>
          <w:szCs w:val="20"/>
        </w:rPr>
        <w:t xml:space="preserve">the CET sector has an important role </w:t>
      </w:r>
      <w:r w:rsidR="00DB0FDE" w:rsidRPr="009566F5">
        <w:rPr>
          <w:rFonts w:ascii="Arial" w:hAnsi="Arial" w:cs="Arial"/>
          <w:sz w:val="20"/>
          <w:szCs w:val="20"/>
        </w:rPr>
        <w:t xml:space="preserve">to play </w:t>
      </w:r>
      <w:r w:rsidR="00011753" w:rsidRPr="009566F5">
        <w:rPr>
          <w:rFonts w:ascii="Arial" w:hAnsi="Arial" w:cs="Arial"/>
          <w:sz w:val="20"/>
          <w:szCs w:val="20"/>
        </w:rPr>
        <w:t>in the skill</w:t>
      </w:r>
      <w:r w:rsidR="00DB0FDE" w:rsidRPr="009566F5">
        <w:rPr>
          <w:rFonts w:ascii="Arial" w:hAnsi="Arial" w:cs="Arial"/>
          <w:sz w:val="20"/>
          <w:szCs w:val="20"/>
        </w:rPr>
        <w:t>ing</w:t>
      </w:r>
      <w:r w:rsidR="00011753" w:rsidRPr="009566F5">
        <w:rPr>
          <w:rFonts w:ascii="Arial" w:hAnsi="Arial" w:cs="Arial"/>
          <w:sz w:val="20"/>
          <w:szCs w:val="20"/>
        </w:rPr>
        <w:t xml:space="preserve"> of adults and youth out of </w:t>
      </w:r>
      <w:r w:rsidR="0032103E" w:rsidRPr="009566F5">
        <w:rPr>
          <w:rFonts w:ascii="Arial" w:hAnsi="Arial" w:cs="Arial"/>
          <w:sz w:val="20"/>
          <w:szCs w:val="20"/>
        </w:rPr>
        <w:tab/>
      </w:r>
      <w:r w:rsidR="00011753" w:rsidRPr="009566F5">
        <w:rPr>
          <w:rFonts w:ascii="Arial" w:hAnsi="Arial" w:cs="Arial"/>
          <w:sz w:val="20"/>
          <w:szCs w:val="20"/>
        </w:rPr>
        <w:t xml:space="preserve">school, inadequate resources </w:t>
      </w:r>
      <w:r w:rsidR="00DB0FDE" w:rsidRPr="009566F5">
        <w:rPr>
          <w:rFonts w:ascii="Arial" w:hAnsi="Arial" w:cs="Arial"/>
          <w:sz w:val="20"/>
          <w:szCs w:val="20"/>
        </w:rPr>
        <w:tab/>
      </w:r>
      <w:r w:rsidR="00011753" w:rsidRPr="009566F5">
        <w:rPr>
          <w:rFonts w:ascii="Arial" w:hAnsi="Arial" w:cs="Arial"/>
          <w:sz w:val="20"/>
          <w:szCs w:val="20"/>
        </w:rPr>
        <w:t xml:space="preserve">allocated to the sector </w:t>
      </w:r>
      <w:r w:rsidR="00DB0FDE" w:rsidRPr="009566F5">
        <w:rPr>
          <w:rFonts w:ascii="Arial" w:hAnsi="Arial" w:cs="Arial"/>
          <w:sz w:val="20"/>
          <w:szCs w:val="20"/>
        </w:rPr>
        <w:t xml:space="preserve">limit its ability </w:t>
      </w:r>
      <w:r w:rsidR="0032103E" w:rsidRPr="009566F5">
        <w:rPr>
          <w:rFonts w:ascii="Arial" w:hAnsi="Arial" w:cs="Arial"/>
          <w:sz w:val="20"/>
          <w:szCs w:val="20"/>
        </w:rPr>
        <w:t xml:space="preserve">to </w:t>
      </w:r>
      <w:r w:rsidR="00011753" w:rsidRPr="009566F5">
        <w:rPr>
          <w:rFonts w:ascii="Arial" w:hAnsi="Arial" w:cs="Arial"/>
          <w:sz w:val="20"/>
          <w:szCs w:val="20"/>
        </w:rPr>
        <w:t xml:space="preserve">expand and </w:t>
      </w:r>
      <w:r w:rsidR="0032103E" w:rsidRPr="009566F5">
        <w:rPr>
          <w:rFonts w:ascii="Arial" w:hAnsi="Arial" w:cs="Arial"/>
          <w:sz w:val="20"/>
          <w:szCs w:val="20"/>
        </w:rPr>
        <w:tab/>
      </w:r>
      <w:r w:rsidR="00011753" w:rsidRPr="009566F5">
        <w:rPr>
          <w:rFonts w:ascii="Arial" w:hAnsi="Arial" w:cs="Arial"/>
          <w:sz w:val="20"/>
          <w:szCs w:val="20"/>
        </w:rPr>
        <w:t>deliver on its mandate</w:t>
      </w:r>
      <w:r w:rsidR="00DB0FDE" w:rsidRPr="009566F5">
        <w:rPr>
          <w:rFonts w:ascii="Arial" w:hAnsi="Arial" w:cs="Arial"/>
          <w:sz w:val="20"/>
          <w:szCs w:val="20"/>
        </w:rPr>
        <w:t xml:space="preserve"> effectively</w:t>
      </w:r>
      <w:r w:rsidR="00011753" w:rsidRPr="009566F5">
        <w:rPr>
          <w:rFonts w:ascii="Arial" w:hAnsi="Arial" w:cs="Arial"/>
          <w:sz w:val="20"/>
          <w:szCs w:val="20"/>
        </w:rPr>
        <w:t>.</w:t>
      </w:r>
    </w:p>
    <w:p w:rsidR="00473A55" w:rsidRPr="009566F5" w:rsidRDefault="00011753" w:rsidP="009566F5">
      <w:pPr>
        <w:pStyle w:val="ListParagraph"/>
        <w:spacing w:after="0" w:line="240" w:lineRule="auto"/>
        <w:ind w:left="0"/>
        <w:rPr>
          <w:rFonts w:ascii="Arial" w:hAnsi="Arial" w:cs="Arial"/>
          <w:sz w:val="20"/>
          <w:szCs w:val="20"/>
        </w:rPr>
      </w:pPr>
      <w:r w:rsidRPr="009566F5">
        <w:rPr>
          <w:rFonts w:ascii="Arial" w:hAnsi="Arial" w:cs="Arial"/>
          <w:sz w:val="20"/>
          <w:szCs w:val="20"/>
        </w:rPr>
        <w:t>3.5.2.</w:t>
      </w:r>
      <w:r w:rsidRPr="009566F5">
        <w:rPr>
          <w:rFonts w:ascii="Arial" w:hAnsi="Arial" w:cs="Arial"/>
          <w:sz w:val="20"/>
          <w:szCs w:val="20"/>
        </w:rPr>
        <w:tab/>
        <w:t xml:space="preserve">The </w:t>
      </w:r>
      <w:r w:rsidR="00DB0FDE" w:rsidRPr="009566F5">
        <w:rPr>
          <w:rFonts w:ascii="Arial" w:hAnsi="Arial" w:cs="Arial"/>
          <w:sz w:val="20"/>
          <w:szCs w:val="20"/>
        </w:rPr>
        <w:t xml:space="preserve">lack </w:t>
      </w:r>
      <w:r w:rsidRPr="009566F5">
        <w:rPr>
          <w:rFonts w:ascii="Arial" w:hAnsi="Arial" w:cs="Arial"/>
          <w:sz w:val="20"/>
          <w:szCs w:val="20"/>
        </w:rPr>
        <w:t>of a sustainable funding mode</w:t>
      </w:r>
      <w:r w:rsidR="00BD0DC7" w:rsidRPr="009566F5">
        <w:rPr>
          <w:rFonts w:ascii="Arial" w:hAnsi="Arial" w:cs="Arial"/>
          <w:sz w:val="20"/>
          <w:szCs w:val="20"/>
        </w:rPr>
        <w:t>l</w:t>
      </w:r>
      <w:r w:rsidRPr="009566F5">
        <w:rPr>
          <w:rFonts w:ascii="Arial" w:hAnsi="Arial" w:cs="Arial"/>
          <w:sz w:val="20"/>
          <w:szCs w:val="20"/>
        </w:rPr>
        <w:t xml:space="preserve"> for the sector remains a concern.</w:t>
      </w:r>
    </w:p>
    <w:p w:rsidR="0032103E" w:rsidRPr="009566F5" w:rsidRDefault="0032103E" w:rsidP="009566F5">
      <w:pPr>
        <w:spacing w:after="0" w:line="240" w:lineRule="auto"/>
        <w:rPr>
          <w:rFonts w:ascii="Arial" w:hAnsi="Arial" w:cs="Arial"/>
          <w:b/>
          <w:sz w:val="20"/>
          <w:szCs w:val="20"/>
        </w:rPr>
      </w:pPr>
    </w:p>
    <w:p w:rsidR="00A418ED" w:rsidRPr="009566F5" w:rsidRDefault="000F5259" w:rsidP="009566F5">
      <w:pPr>
        <w:spacing w:after="0" w:line="240" w:lineRule="auto"/>
        <w:rPr>
          <w:rFonts w:ascii="Arial" w:hAnsi="Arial" w:cs="Arial"/>
          <w:b/>
          <w:sz w:val="20"/>
          <w:szCs w:val="20"/>
        </w:rPr>
      </w:pPr>
      <w:r w:rsidRPr="009566F5">
        <w:rPr>
          <w:rFonts w:ascii="Arial" w:hAnsi="Arial" w:cs="Arial"/>
          <w:b/>
          <w:sz w:val="20"/>
          <w:szCs w:val="20"/>
        </w:rPr>
        <w:t>4. SUMMARY</w:t>
      </w:r>
    </w:p>
    <w:p w:rsidR="000F5259" w:rsidRPr="009566F5" w:rsidRDefault="000F5259" w:rsidP="009566F5">
      <w:pPr>
        <w:spacing w:after="0" w:line="240" w:lineRule="auto"/>
        <w:rPr>
          <w:rFonts w:ascii="Arial" w:hAnsi="Arial" w:cs="Arial"/>
          <w:sz w:val="20"/>
          <w:szCs w:val="20"/>
        </w:rPr>
      </w:pPr>
      <w:r w:rsidRPr="009566F5">
        <w:rPr>
          <w:rFonts w:ascii="Arial" w:hAnsi="Arial" w:cs="Arial"/>
          <w:sz w:val="20"/>
          <w:szCs w:val="20"/>
        </w:rPr>
        <w:t xml:space="preserve">The </w:t>
      </w:r>
      <w:r w:rsidR="00EA3FC4" w:rsidRPr="009566F5">
        <w:rPr>
          <w:rFonts w:ascii="Arial" w:hAnsi="Arial" w:cs="Arial"/>
          <w:sz w:val="20"/>
          <w:szCs w:val="20"/>
        </w:rPr>
        <w:t xml:space="preserve">Committee was unimpressed with the </w:t>
      </w:r>
      <w:r w:rsidRPr="009566F5">
        <w:rPr>
          <w:rFonts w:ascii="Arial" w:hAnsi="Arial" w:cs="Arial"/>
          <w:sz w:val="20"/>
          <w:szCs w:val="20"/>
        </w:rPr>
        <w:t>Department’s overall performance for the quarters under review</w:t>
      </w:r>
      <w:r w:rsidR="00EA3FC4" w:rsidRPr="009566F5">
        <w:rPr>
          <w:rFonts w:ascii="Arial" w:hAnsi="Arial" w:cs="Arial"/>
          <w:sz w:val="20"/>
          <w:szCs w:val="20"/>
        </w:rPr>
        <w:t>. The Committee</w:t>
      </w:r>
      <w:r w:rsidR="00F348DF" w:rsidRPr="009566F5">
        <w:rPr>
          <w:rFonts w:ascii="Arial" w:hAnsi="Arial" w:cs="Arial"/>
          <w:sz w:val="20"/>
          <w:szCs w:val="20"/>
        </w:rPr>
        <w:t xml:space="preserve"> noted</w:t>
      </w:r>
      <w:r w:rsidR="00EA3FC4" w:rsidRPr="009566F5">
        <w:rPr>
          <w:rFonts w:ascii="Arial" w:hAnsi="Arial" w:cs="Arial"/>
          <w:sz w:val="20"/>
          <w:szCs w:val="20"/>
        </w:rPr>
        <w:t xml:space="preserve"> that the underperformance was unacceptable</w:t>
      </w:r>
      <w:r w:rsidRPr="009566F5">
        <w:rPr>
          <w:rFonts w:ascii="Arial" w:hAnsi="Arial" w:cs="Arial"/>
          <w:sz w:val="20"/>
          <w:szCs w:val="20"/>
        </w:rPr>
        <w:t xml:space="preserve">. There were 18 targets </w:t>
      </w:r>
      <w:r w:rsidR="00290EC8" w:rsidRPr="009566F5">
        <w:rPr>
          <w:rFonts w:ascii="Arial" w:hAnsi="Arial" w:cs="Arial"/>
          <w:sz w:val="20"/>
          <w:szCs w:val="20"/>
        </w:rPr>
        <w:t xml:space="preserve">planned </w:t>
      </w:r>
      <w:r w:rsidRPr="009566F5">
        <w:rPr>
          <w:rFonts w:ascii="Arial" w:hAnsi="Arial" w:cs="Arial"/>
          <w:sz w:val="20"/>
          <w:szCs w:val="20"/>
        </w:rPr>
        <w:t xml:space="preserve">during the </w:t>
      </w:r>
      <w:r w:rsidR="00EA3FC4" w:rsidRPr="009566F5">
        <w:rPr>
          <w:rFonts w:ascii="Arial" w:hAnsi="Arial" w:cs="Arial"/>
          <w:sz w:val="20"/>
          <w:szCs w:val="20"/>
        </w:rPr>
        <w:t>S</w:t>
      </w:r>
      <w:r w:rsidRPr="009566F5">
        <w:rPr>
          <w:rFonts w:ascii="Arial" w:hAnsi="Arial" w:cs="Arial"/>
          <w:sz w:val="20"/>
          <w:szCs w:val="20"/>
        </w:rPr>
        <w:t>econd</w:t>
      </w:r>
      <w:r w:rsidR="00290EC8" w:rsidRPr="009566F5">
        <w:rPr>
          <w:rFonts w:ascii="Arial" w:hAnsi="Arial" w:cs="Arial"/>
          <w:sz w:val="20"/>
          <w:szCs w:val="20"/>
        </w:rPr>
        <w:t>-Q</w:t>
      </w:r>
      <w:r w:rsidRPr="009566F5">
        <w:rPr>
          <w:rFonts w:ascii="Arial" w:hAnsi="Arial" w:cs="Arial"/>
          <w:sz w:val="20"/>
          <w:szCs w:val="20"/>
        </w:rPr>
        <w:t xml:space="preserve">uarter, and 9 (50%) of the targets were achieved. Similarly, there were 16 targets </w:t>
      </w:r>
      <w:r w:rsidR="00290EC8" w:rsidRPr="009566F5">
        <w:rPr>
          <w:rFonts w:ascii="Arial" w:hAnsi="Arial" w:cs="Arial"/>
          <w:sz w:val="20"/>
          <w:szCs w:val="20"/>
        </w:rPr>
        <w:t xml:space="preserve">planned in the Third-Quarter </w:t>
      </w:r>
      <w:r w:rsidRPr="009566F5">
        <w:rPr>
          <w:rFonts w:ascii="Arial" w:hAnsi="Arial" w:cs="Arial"/>
          <w:sz w:val="20"/>
          <w:szCs w:val="20"/>
        </w:rPr>
        <w:t xml:space="preserve">and three (19%) of </w:t>
      </w:r>
      <w:r w:rsidR="00A61154" w:rsidRPr="009566F5">
        <w:rPr>
          <w:rFonts w:ascii="Arial" w:hAnsi="Arial" w:cs="Arial"/>
          <w:sz w:val="20"/>
          <w:szCs w:val="20"/>
        </w:rPr>
        <w:t xml:space="preserve">16 </w:t>
      </w:r>
      <w:r w:rsidRPr="009566F5">
        <w:rPr>
          <w:rFonts w:ascii="Arial" w:hAnsi="Arial" w:cs="Arial"/>
          <w:sz w:val="20"/>
          <w:szCs w:val="20"/>
        </w:rPr>
        <w:t xml:space="preserve">targets were achieved. The primary </w:t>
      </w:r>
      <w:r w:rsidRPr="009566F5">
        <w:rPr>
          <w:rFonts w:ascii="Arial" w:hAnsi="Arial" w:cs="Arial"/>
          <w:sz w:val="20"/>
          <w:szCs w:val="20"/>
        </w:rPr>
        <w:lastRenderedPageBreak/>
        <w:t>reason provided for the under-performance recorded in both quarters related to human resources capacity challenges, which in essence hinders the ability of the Department to perform in line with its pre-determined objectives.</w:t>
      </w:r>
    </w:p>
    <w:p w:rsidR="000F5259" w:rsidRPr="009566F5" w:rsidRDefault="000F5259" w:rsidP="009566F5">
      <w:pPr>
        <w:spacing w:after="0" w:line="240" w:lineRule="auto"/>
        <w:rPr>
          <w:rFonts w:ascii="Arial" w:hAnsi="Arial" w:cs="Arial"/>
          <w:sz w:val="20"/>
          <w:szCs w:val="20"/>
        </w:rPr>
      </w:pPr>
      <w:r w:rsidRPr="009566F5">
        <w:rPr>
          <w:rFonts w:ascii="Arial" w:hAnsi="Arial" w:cs="Arial"/>
          <w:sz w:val="20"/>
          <w:szCs w:val="20"/>
        </w:rPr>
        <w:t xml:space="preserve">The Committee was </w:t>
      </w:r>
      <w:r w:rsidR="00EA3FC4" w:rsidRPr="009566F5">
        <w:rPr>
          <w:rFonts w:ascii="Arial" w:hAnsi="Arial" w:cs="Arial"/>
          <w:sz w:val="20"/>
          <w:szCs w:val="20"/>
        </w:rPr>
        <w:t xml:space="preserve">gravely concerned about </w:t>
      </w:r>
      <w:r w:rsidRPr="009566F5">
        <w:rPr>
          <w:rFonts w:ascii="Arial" w:hAnsi="Arial" w:cs="Arial"/>
          <w:sz w:val="20"/>
          <w:szCs w:val="20"/>
        </w:rPr>
        <w:t xml:space="preserve">the performance of some key delivery programmes such as TVET, which did not achieve any of its targets that were planned in the third quarter. There was no clear indication from the Department about the plan to ensure employees responsible for under-performance will be held </w:t>
      </w:r>
      <w:r w:rsidR="00A61154" w:rsidRPr="009566F5">
        <w:rPr>
          <w:rFonts w:ascii="Arial" w:hAnsi="Arial" w:cs="Arial"/>
          <w:sz w:val="20"/>
          <w:szCs w:val="20"/>
        </w:rPr>
        <w:t xml:space="preserve">to </w:t>
      </w:r>
      <w:r w:rsidRPr="009566F5">
        <w:rPr>
          <w:rFonts w:ascii="Arial" w:hAnsi="Arial" w:cs="Arial"/>
          <w:sz w:val="20"/>
          <w:szCs w:val="20"/>
        </w:rPr>
        <w:t xml:space="preserve">account. Furthermore, the Department did not provide specific timeframes to implement corrective measures to address under-performance. The Committee’s view was that there is an urgent need to look into the underlying reasons for under-performance </w:t>
      </w:r>
      <w:r w:rsidR="00A61154" w:rsidRPr="009566F5">
        <w:rPr>
          <w:rFonts w:ascii="Arial" w:hAnsi="Arial" w:cs="Arial"/>
          <w:sz w:val="20"/>
          <w:szCs w:val="20"/>
        </w:rPr>
        <w:t xml:space="preserve">and put measures in place </w:t>
      </w:r>
      <w:r w:rsidRPr="009566F5">
        <w:rPr>
          <w:rFonts w:ascii="Arial" w:hAnsi="Arial" w:cs="Arial"/>
          <w:sz w:val="20"/>
          <w:szCs w:val="20"/>
        </w:rPr>
        <w:t xml:space="preserve">to ensure that </w:t>
      </w:r>
      <w:r w:rsidR="00A61154" w:rsidRPr="009566F5">
        <w:rPr>
          <w:rFonts w:ascii="Arial" w:hAnsi="Arial" w:cs="Arial"/>
          <w:sz w:val="20"/>
          <w:szCs w:val="20"/>
        </w:rPr>
        <w:t>there is no recurrence of poor performance</w:t>
      </w:r>
      <w:r w:rsidRPr="009566F5">
        <w:rPr>
          <w:rFonts w:ascii="Arial" w:hAnsi="Arial" w:cs="Arial"/>
          <w:sz w:val="20"/>
          <w:szCs w:val="20"/>
        </w:rPr>
        <w:t xml:space="preserve"> in the remain</w:t>
      </w:r>
      <w:r w:rsidR="00A61154" w:rsidRPr="009566F5">
        <w:rPr>
          <w:rFonts w:ascii="Arial" w:hAnsi="Arial" w:cs="Arial"/>
          <w:sz w:val="20"/>
          <w:szCs w:val="20"/>
        </w:rPr>
        <w:t>ing</w:t>
      </w:r>
      <w:r w:rsidRPr="009566F5">
        <w:rPr>
          <w:rFonts w:ascii="Arial" w:hAnsi="Arial" w:cs="Arial"/>
          <w:sz w:val="20"/>
          <w:szCs w:val="20"/>
        </w:rPr>
        <w:t xml:space="preserve"> last quarter of 2021/22. The Department committed to rectify</w:t>
      </w:r>
      <w:r w:rsidR="0032103E" w:rsidRPr="009566F5">
        <w:rPr>
          <w:rFonts w:ascii="Arial" w:hAnsi="Arial" w:cs="Arial"/>
          <w:sz w:val="20"/>
          <w:szCs w:val="20"/>
        </w:rPr>
        <w:t>ing</w:t>
      </w:r>
      <w:r w:rsidRPr="009566F5">
        <w:rPr>
          <w:rFonts w:ascii="Arial" w:hAnsi="Arial" w:cs="Arial"/>
          <w:sz w:val="20"/>
          <w:szCs w:val="20"/>
        </w:rPr>
        <w:t xml:space="preserve"> the poor performance, and the Committee undertook to closely monitor the commitment by the Department.</w:t>
      </w:r>
    </w:p>
    <w:p w:rsidR="00F348DF" w:rsidRPr="009566F5" w:rsidRDefault="00F348DF" w:rsidP="009566F5">
      <w:pPr>
        <w:autoSpaceDN w:val="0"/>
        <w:spacing w:after="0" w:line="240" w:lineRule="auto"/>
        <w:rPr>
          <w:rFonts w:ascii="Arial" w:hAnsi="Arial" w:cs="Arial"/>
          <w:b/>
          <w:sz w:val="20"/>
          <w:szCs w:val="20"/>
        </w:rPr>
      </w:pPr>
    </w:p>
    <w:p w:rsidR="00986A85" w:rsidRPr="009566F5" w:rsidRDefault="000F5259" w:rsidP="009566F5">
      <w:pPr>
        <w:autoSpaceDN w:val="0"/>
        <w:spacing w:after="0" w:line="240" w:lineRule="auto"/>
        <w:rPr>
          <w:rFonts w:ascii="Arial" w:hAnsi="Arial" w:cs="Arial"/>
          <w:b/>
          <w:sz w:val="20"/>
          <w:szCs w:val="20"/>
        </w:rPr>
      </w:pPr>
      <w:r w:rsidRPr="009566F5">
        <w:rPr>
          <w:rFonts w:ascii="Arial" w:hAnsi="Arial" w:cs="Arial"/>
          <w:b/>
          <w:sz w:val="20"/>
          <w:szCs w:val="20"/>
        </w:rPr>
        <w:t>5</w:t>
      </w:r>
      <w:r w:rsidR="00986A85" w:rsidRPr="009566F5">
        <w:rPr>
          <w:rFonts w:ascii="Arial" w:hAnsi="Arial" w:cs="Arial"/>
          <w:b/>
          <w:sz w:val="20"/>
          <w:szCs w:val="20"/>
        </w:rPr>
        <w:t>.  R</w:t>
      </w:r>
      <w:r w:rsidR="00D43FDC" w:rsidRPr="009566F5">
        <w:rPr>
          <w:rFonts w:ascii="Arial" w:hAnsi="Arial" w:cs="Arial"/>
          <w:b/>
          <w:sz w:val="20"/>
          <w:szCs w:val="20"/>
        </w:rPr>
        <w:t>ECOMMENDATIONS</w:t>
      </w:r>
    </w:p>
    <w:p w:rsidR="00027F19" w:rsidRPr="009566F5" w:rsidRDefault="00027F19" w:rsidP="009566F5">
      <w:pPr>
        <w:autoSpaceDN w:val="0"/>
        <w:spacing w:after="0" w:line="240" w:lineRule="auto"/>
        <w:rPr>
          <w:rFonts w:ascii="Arial" w:hAnsi="Arial" w:cs="Arial"/>
          <w:b/>
          <w:sz w:val="20"/>
          <w:szCs w:val="20"/>
        </w:rPr>
      </w:pPr>
    </w:p>
    <w:p w:rsidR="00986A85" w:rsidRPr="009566F5" w:rsidRDefault="00986A85" w:rsidP="009566F5">
      <w:pPr>
        <w:autoSpaceDN w:val="0"/>
        <w:spacing w:after="0" w:line="240" w:lineRule="auto"/>
        <w:rPr>
          <w:rFonts w:ascii="Arial" w:hAnsi="Arial" w:cs="Arial"/>
          <w:sz w:val="20"/>
          <w:szCs w:val="20"/>
        </w:rPr>
      </w:pPr>
      <w:r w:rsidRPr="009566F5">
        <w:rPr>
          <w:rFonts w:ascii="Arial" w:hAnsi="Arial" w:cs="Arial"/>
          <w:sz w:val="20"/>
          <w:szCs w:val="20"/>
        </w:rPr>
        <w:t>The Committee recommends that the Minister of Higher Education, Science and Innovation consider the following:</w:t>
      </w:r>
    </w:p>
    <w:p w:rsidR="000F5259" w:rsidRPr="009566F5"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w:t>
      </w:r>
      <w:r w:rsidR="00A431B5" w:rsidRPr="009566F5">
        <w:rPr>
          <w:rFonts w:ascii="Arial" w:hAnsi="Arial" w:cs="Arial"/>
          <w:sz w:val="20"/>
          <w:szCs w:val="20"/>
        </w:rPr>
        <w:t>.1.</w:t>
      </w:r>
      <w:r w:rsidRPr="009566F5">
        <w:rPr>
          <w:rFonts w:ascii="Arial" w:hAnsi="Arial" w:cs="Arial"/>
          <w:sz w:val="20"/>
          <w:szCs w:val="20"/>
        </w:rPr>
        <w:tab/>
      </w:r>
      <w:r w:rsidR="004D2591" w:rsidRPr="009566F5">
        <w:rPr>
          <w:rFonts w:ascii="Arial" w:hAnsi="Arial" w:cs="Arial"/>
          <w:sz w:val="20"/>
          <w:szCs w:val="20"/>
        </w:rPr>
        <w:t xml:space="preserve">The Department should comply </w:t>
      </w:r>
      <w:r w:rsidRPr="009566F5">
        <w:rPr>
          <w:rFonts w:ascii="Arial" w:hAnsi="Arial" w:cs="Arial"/>
          <w:sz w:val="20"/>
          <w:szCs w:val="20"/>
        </w:rPr>
        <w:t xml:space="preserve">with the payment of invoices </w:t>
      </w:r>
      <w:r w:rsidR="004D2591" w:rsidRPr="009566F5">
        <w:rPr>
          <w:rFonts w:ascii="Arial" w:hAnsi="Arial" w:cs="Arial"/>
          <w:sz w:val="20"/>
          <w:szCs w:val="20"/>
        </w:rPr>
        <w:t xml:space="preserve">received from creditors </w:t>
      </w:r>
      <w:r w:rsidR="004D2591" w:rsidRPr="009566F5">
        <w:rPr>
          <w:rFonts w:ascii="Arial" w:hAnsi="Arial" w:cs="Arial"/>
          <w:sz w:val="20"/>
          <w:szCs w:val="20"/>
        </w:rPr>
        <w:tab/>
      </w:r>
      <w:r w:rsidRPr="009566F5">
        <w:rPr>
          <w:rFonts w:ascii="Arial" w:hAnsi="Arial" w:cs="Arial"/>
          <w:sz w:val="20"/>
          <w:szCs w:val="20"/>
        </w:rPr>
        <w:t>within 30 days and technical glitches</w:t>
      </w:r>
      <w:r w:rsidR="0071065B" w:rsidRPr="009566F5">
        <w:rPr>
          <w:rFonts w:ascii="Arial" w:hAnsi="Arial" w:cs="Arial"/>
          <w:sz w:val="20"/>
          <w:szCs w:val="20"/>
        </w:rPr>
        <w:t>,</w:t>
      </w:r>
      <w:r w:rsidRPr="009566F5">
        <w:rPr>
          <w:rFonts w:ascii="Arial" w:hAnsi="Arial" w:cs="Arial"/>
          <w:sz w:val="20"/>
          <w:szCs w:val="20"/>
        </w:rPr>
        <w:t xml:space="preserve"> which </w:t>
      </w:r>
      <w:r w:rsidR="004D2591" w:rsidRPr="009566F5">
        <w:rPr>
          <w:rFonts w:ascii="Arial" w:hAnsi="Arial" w:cs="Arial"/>
          <w:sz w:val="20"/>
          <w:szCs w:val="20"/>
        </w:rPr>
        <w:tab/>
      </w:r>
      <w:r w:rsidRPr="009566F5">
        <w:rPr>
          <w:rFonts w:ascii="Arial" w:hAnsi="Arial" w:cs="Arial"/>
          <w:sz w:val="20"/>
          <w:szCs w:val="20"/>
        </w:rPr>
        <w:t xml:space="preserve">impacted the payment of invoices should </w:t>
      </w:r>
      <w:r w:rsidR="0032103E" w:rsidRPr="009566F5">
        <w:rPr>
          <w:rFonts w:ascii="Arial" w:hAnsi="Arial" w:cs="Arial"/>
          <w:sz w:val="20"/>
          <w:szCs w:val="20"/>
        </w:rPr>
        <w:tab/>
      </w:r>
      <w:r w:rsidRPr="009566F5">
        <w:rPr>
          <w:rFonts w:ascii="Arial" w:hAnsi="Arial" w:cs="Arial"/>
          <w:sz w:val="20"/>
          <w:szCs w:val="20"/>
        </w:rPr>
        <w:t xml:space="preserve">be speedily rectified. </w:t>
      </w:r>
    </w:p>
    <w:p w:rsidR="000F5259" w:rsidRPr="009566F5"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5.2.</w:t>
      </w:r>
      <w:r w:rsidRPr="009566F5">
        <w:rPr>
          <w:rFonts w:ascii="Arial" w:hAnsi="Arial" w:cs="Arial"/>
          <w:sz w:val="20"/>
          <w:szCs w:val="20"/>
        </w:rPr>
        <w:tab/>
        <w:t xml:space="preserve">The Department ensures that the Bursary Guidelines are developed, consulted on and </w:t>
      </w:r>
      <w:r w:rsidRPr="009566F5">
        <w:rPr>
          <w:rFonts w:ascii="Arial" w:hAnsi="Arial" w:cs="Arial"/>
          <w:sz w:val="20"/>
          <w:szCs w:val="20"/>
        </w:rPr>
        <w:tab/>
        <w:t>published as planned.</w:t>
      </w:r>
    </w:p>
    <w:p w:rsidR="000F5259" w:rsidRPr="009566F5"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5.3.</w:t>
      </w:r>
      <w:r w:rsidRPr="009566F5">
        <w:rPr>
          <w:rFonts w:ascii="Arial" w:hAnsi="Arial" w:cs="Arial"/>
          <w:sz w:val="20"/>
          <w:szCs w:val="20"/>
        </w:rPr>
        <w:tab/>
        <w:t xml:space="preserve">The Department ensures that there is proper planning during the development of </w:t>
      </w:r>
      <w:r w:rsidR="0032103E" w:rsidRPr="009566F5">
        <w:rPr>
          <w:rFonts w:ascii="Arial" w:hAnsi="Arial" w:cs="Arial"/>
          <w:sz w:val="20"/>
          <w:szCs w:val="20"/>
        </w:rPr>
        <w:t xml:space="preserve">the </w:t>
      </w:r>
      <w:r w:rsidR="0032103E" w:rsidRPr="009566F5">
        <w:rPr>
          <w:rFonts w:ascii="Arial" w:hAnsi="Arial" w:cs="Arial"/>
          <w:sz w:val="20"/>
          <w:szCs w:val="20"/>
        </w:rPr>
        <w:tab/>
      </w:r>
      <w:r w:rsidRPr="009566F5">
        <w:rPr>
          <w:rFonts w:ascii="Arial" w:hAnsi="Arial" w:cs="Arial"/>
          <w:sz w:val="20"/>
          <w:szCs w:val="20"/>
        </w:rPr>
        <w:t xml:space="preserve">APP </w:t>
      </w:r>
      <w:r w:rsidR="0032103E" w:rsidRPr="009566F5">
        <w:rPr>
          <w:rFonts w:ascii="Arial" w:hAnsi="Arial" w:cs="Arial"/>
          <w:sz w:val="20"/>
          <w:szCs w:val="20"/>
        </w:rPr>
        <w:t xml:space="preserve">to </w:t>
      </w:r>
      <w:r w:rsidRPr="009566F5">
        <w:rPr>
          <w:rFonts w:ascii="Arial" w:hAnsi="Arial" w:cs="Arial"/>
          <w:sz w:val="20"/>
          <w:szCs w:val="20"/>
        </w:rPr>
        <w:t xml:space="preserve">ensure that there is capacity, both financially and human resources to implement </w:t>
      </w:r>
      <w:r w:rsidR="0032103E" w:rsidRPr="009566F5">
        <w:rPr>
          <w:rFonts w:ascii="Arial" w:hAnsi="Arial" w:cs="Arial"/>
          <w:sz w:val="20"/>
          <w:szCs w:val="20"/>
        </w:rPr>
        <w:tab/>
      </w:r>
      <w:r w:rsidRPr="009566F5">
        <w:rPr>
          <w:rFonts w:ascii="Arial" w:hAnsi="Arial" w:cs="Arial"/>
          <w:sz w:val="20"/>
          <w:szCs w:val="20"/>
        </w:rPr>
        <w:t>the activities towards achieving the planned targets.</w:t>
      </w:r>
    </w:p>
    <w:p w:rsidR="000F5259" w:rsidRPr="009566F5"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5.4.</w:t>
      </w:r>
      <w:r w:rsidRPr="009566F5">
        <w:rPr>
          <w:rFonts w:ascii="Arial" w:hAnsi="Arial" w:cs="Arial"/>
          <w:sz w:val="20"/>
          <w:szCs w:val="20"/>
        </w:rPr>
        <w:tab/>
        <w:t xml:space="preserve">Funded vacant posts should be filled within the prescribed time frames to address the </w:t>
      </w:r>
      <w:r w:rsidRPr="009566F5">
        <w:rPr>
          <w:rFonts w:ascii="Arial" w:hAnsi="Arial" w:cs="Arial"/>
          <w:sz w:val="20"/>
          <w:szCs w:val="20"/>
        </w:rPr>
        <w:tab/>
        <w:t>capacity challenges and under-performance.</w:t>
      </w:r>
    </w:p>
    <w:p w:rsidR="000F5259" w:rsidRPr="009566F5"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5.5.</w:t>
      </w:r>
      <w:r w:rsidRPr="009566F5">
        <w:rPr>
          <w:rFonts w:ascii="Arial" w:hAnsi="Arial" w:cs="Arial"/>
          <w:sz w:val="20"/>
          <w:szCs w:val="20"/>
        </w:rPr>
        <w:tab/>
        <w:t xml:space="preserve">The Department, working with universities should develop mechanisms to address the </w:t>
      </w:r>
      <w:r w:rsidRPr="009566F5">
        <w:rPr>
          <w:rFonts w:ascii="Arial" w:hAnsi="Arial" w:cs="Arial"/>
          <w:sz w:val="20"/>
          <w:szCs w:val="20"/>
        </w:rPr>
        <w:tab/>
        <w:t xml:space="preserve">challenge of delayed transfer of infrastructure efficiency grants due to delayed reports </w:t>
      </w:r>
      <w:r w:rsidRPr="009566F5">
        <w:rPr>
          <w:rFonts w:ascii="Arial" w:hAnsi="Arial" w:cs="Arial"/>
          <w:sz w:val="20"/>
          <w:szCs w:val="20"/>
        </w:rPr>
        <w:tab/>
        <w:t xml:space="preserve">by institutions. Furthermore, the Department should conduct an analysis on the </w:t>
      </w:r>
      <w:r w:rsidRPr="009566F5">
        <w:rPr>
          <w:rFonts w:ascii="Arial" w:hAnsi="Arial" w:cs="Arial"/>
          <w:sz w:val="20"/>
          <w:szCs w:val="20"/>
        </w:rPr>
        <w:tab/>
        <w:t xml:space="preserve">feasibility of </w:t>
      </w:r>
      <w:r w:rsidR="0071065B" w:rsidRPr="009566F5">
        <w:rPr>
          <w:rFonts w:ascii="Arial" w:hAnsi="Arial" w:cs="Arial"/>
          <w:sz w:val="20"/>
          <w:szCs w:val="20"/>
        </w:rPr>
        <w:t xml:space="preserve">the current </w:t>
      </w:r>
      <w:r w:rsidRPr="009566F5">
        <w:rPr>
          <w:rFonts w:ascii="Arial" w:hAnsi="Arial" w:cs="Arial"/>
          <w:sz w:val="20"/>
          <w:szCs w:val="20"/>
        </w:rPr>
        <w:t xml:space="preserve">quarterly reporting by institutions on the utilization of </w:t>
      </w:r>
      <w:r w:rsidR="0071065B" w:rsidRPr="009566F5">
        <w:rPr>
          <w:rFonts w:ascii="Arial" w:hAnsi="Arial" w:cs="Arial"/>
          <w:sz w:val="20"/>
          <w:szCs w:val="20"/>
        </w:rPr>
        <w:tab/>
      </w:r>
      <w:r w:rsidRPr="009566F5">
        <w:rPr>
          <w:rFonts w:ascii="Arial" w:hAnsi="Arial" w:cs="Arial"/>
          <w:sz w:val="20"/>
          <w:szCs w:val="20"/>
        </w:rPr>
        <w:t xml:space="preserve">infrastructure </w:t>
      </w:r>
      <w:r w:rsidRPr="009566F5">
        <w:rPr>
          <w:rFonts w:ascii="Arial" w:hAnsi="Arial" w:cs="Arial"/>
          <w:sz w:val="20"/>
          <w:szCs w:val="20"/>
        </w:rPr>
        <w:tab/>
        <w:t xml:space="preserve">efficiency grants, whether the reporting could be annually to allow </w:t>
      </w:r>
      <w:r w:rsidR="0071065B" w:rsidRPr="009566F5">
        <w:rPr>
          <w:rFonts w:ascii="Arial" w:hAnsi="Arial" w:cs="Arial"/>
          <w:sz w:val="20"/>
          <w:szCs w:val="20"/>
        </w:rPr>
        <w:tab/>
      </w:r>
      <w:r w:rsidRPr="009566F5">
        <w:rPr>
          <w:rFonts w:ascii="Arial" w:hAnsi="Arial" w:cs="Arial"/>
          <w:sz w:val="20"/>
          <w:szCs w:val="20"/>
        </w:rPr>
        <w:t xml:space="preserve">institutions to report once a year. </w:t>
      </w:r>
    </w:p>
    <w:p w:rsidR="000F5259" w:rsidRPr="009566F5" w:rsidDel="00B63C7D"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5.6.</w:t>
      </w:r>
      <w:r w:rsidRPr="009566F5">
        <w:rPr>
          <w:rFonts w:ascii="Arial" w:hAnsi="Arial" w:cs="Arial"/>
          <w:sz w:val="20"/>
          <w:szCs w:val="20"/>
        </w:rPr>
        <w:tab/>
      </w:r>
      <w:r w:rsidRPr="009566F5" w:rsidDel="00B63C7D">
        <w:rPr>
          <w:rFonts w:ascii="Arial" w:hAnsi="Arial" w:cs="Arial"/>
          <w:sz w:val="20"/>
          <w:szCs w:val="20"/>
        </w:rPr>
        <w:t xml:space="preserve">Consequence management on non-compliance with policies and legislation should be </w:t>
      </w:r>
      <w:r w:rsidRPr="009566F5">
        <w:rPr>
          <w:rFonts w:ascii="Arial" w:hAnsi="Arial" w:cs="Arial"/>
          <w:sz w:val="20"/>
          <w:szCs w:val="20"/>
        </w:rPr>
        <w:tab/>
      </w:r>
      <w:r w:rsidRPr="009566F5" w:rsidDel="00B63C7D">
        <w:rPr>
          <w:rFonts w:ascii="Arial" w:hAnsi="Arial" w:cs="Arial"/>
          <w:sz w:val="20"/>
          <w:szCs w:val="20"/>
        </w:rPr>
        <w:t>applied properly</w:t>
      </w:r>
      <w:r w:rsidRPr="009566F5">
        <w:rPr>
          <w:rFonts w:ascii="Arial" w:hAnsi="Arial" w:cs="Arial"/>
          <w:sz w:val="20"/>
          <w:szCs w:val="20"/>
        </w:rPr>
        <w:t xml:space="preserve"> and the report of the outcome of the process </w:t>
      </w:r>
      <w:r w:rsidR="00EA3FC4" w:rsidRPr="009566F5">
        <w:rPr>
          <w:rFonts w:ascii="Arial" w:hAnsi="Arial" w:cs="Arial"/>
          <w:sz w:val="20"/>
          <w:szCs w:val="20"/>
        </w:rPr>
        <w:t xml:space="preserve">should </w:t>
      </w:r>
      <w:r w:rsidRPr="009566F5">
        <w:rPr>
          <w:rFonts w:ascii="Arial" w:hAnsi="Arial" w:cs="Arial"/>
          <w:sz w:val="20"/>
          <w:szCs w:val="20"/>
        </w:rPr>
        <w:t xml:space="preserve">be submitted to </w:t>
      </w:r>
      <w:r w:rsidR="00EA3FC4" w:rsidRPr="009566F5">
        <w:rPr>
          <w:rFonts w:ascii="Arial" w:hAnsi="Arial" w:cs="Arial"/>
          <w:sz w:val="20"/>
          <w:szCs w:val="20"/>
        </w:rPr>
        <w:tab/>
      </w:r>
      <w:r w:rsidRPr="009566F5">
        <w:rPr>
          <w:rFonts w:ascii="Arial" w:hAnsi="Arial" w:cs="Arial"/>
          <w:sz w:val="20"/>
          <w:szCs w:val="20"/>
        </w:rPr>
        <w:t>the Committee</w:t>
      </w:r>
      <w:r w:rsidRPr="009566F5" w:rsidDel="00B63C7D">
        <w:rPr>
          <w:rFonts w:ascii="Arial" w:hAnsi="Arial" w:cs="Arial"/>
          <w:sz w:val="20"/>
          <w:szCs w:val="20"/>
        </w:rPr>
        <w:t>.</w:t>
      </w:r>
    </w:p>
    <w:p w:rsidR="001744F3" w:rsidRPr="009566F5" w:rsidDel="00DB58A0" w:rsidRDefault="000F5259" w:rsidP="009566F5">
      <w:pPr>
        <w:pStyle w:val="ListParagraph"/>
        <w:spacing w:beforeLines="1" w:afterLines="1" w:line="240" w:lineRule="auto"/>
        <w:ind w:left="0"/>
        <w:contextualSpacing w:val="0"/>
        <w:rPr>
          <w:rFonts w:ascii="Arial" w:hAnsi="Arial" w:cs="Arial"/>
          <w:sz w:val="20"/>
          <w:szCs w:val="20"/>
        </w:rPr>
      </w:pPr>
      <w:r w:rsidRPr="009566F5">
        <w:rPr>
          <w:rFonts w:ascii="Arial" w:hAnsi="Arial" w:cs="Arial"/>
          <w:sz w:val="20"/>
          <w:szCs w:val="20"/>
        </w:rPr>
        <w:t>5.7.</w:t>
      </w:r>
      <w:r w:rsidRPr="009566F5">
        <w:rPr>
          <w:rFonts w:ascii="Arial" w:hAnsi="Arial" w:cs="Arial"/>
          <w:sz w:val="20"/>
          <w:szCs w:val="20"/>
        </w:rPr>
        <w:tab/>
      </w:r>
      <w:r w:rsidRPr="009566F5" w:rsidDel="00DB58A0">
        <w:rPr>
          <w:rFonts w:ascii="Arial" w:hAnsi="Arial" w:cs="Arial"/>
          <w:sz w:val="20"/>
          <w:szCs w:val="20"/>
        </w:rPr>
        <w:t xml:space="preserve">The Department </w:t>
      </w:r>
      <w:r w:rsidR="000F1613" w:rsidRPr="009566F5">
        <w:rPr>
          <w:rFonts w:ascii="Arial" w:hAnsi="Arial" w:cs="Arial"/>
          <w:sz w:val="20"/>
          <w:szCs w:val="20"/>
        </w:rPr>
        <w:t xml:space="preserve">should </w:t>
      </w:r>
      <w:r w:rsidRPr="009566F5" w:rsidDel="00DB58A0">
        <w:rPr>
          <w:rFonts w:ascii="Arial" w:hAnsi="Arial" w:cs="Arial"/>
          <w:sz w:val="20"/>
          <w:szCs w:val="20"/>
        </w:rPr>
        <w:t xml:space="preserve">ensure that the </w:t>
      </w:r>
      <w:r w:rsidR="0071065B" w:rsidRPr="009566F5">
        <w:rPr>
          <w:rFonts w:ascii="Arial" w:hAnsi="Arial" w:cs="Arial"/>
          <w:sz w:val="20"/>
          <w:szCs w:val="20"/>
        </w:rPr>
        <w:t xml:space="preserve">implementation of </w:t>
      </w:r>
      <w:r w:rsidRPr="009566F5" w:rsidDel="00DB58A0">
        <w:rPr>
          <w:rFonts w:ascii="Arial" w:hAnsi="Arial" w:cs="Arial"/>
          <w:sz w:val="20"/>
          <w:szCs w:val="20"/>
        </w:rPr>
        <w:t xml:space="preserve">outstanding </w:t>
      </w:r>
      <w:r w:rsidR="00455EA1" w:rsidRPr="009566F5">
        <w:rPr>
          <w:rFonts w:ascii="Arial" w:hAnsi="Arial" w:cs="Arial"/>
          <w:sz w:val="20"/>
          <w:szCs w:val="20"/>
        </w:rPr>
        <w:t xml:space="preserve">audit </w:t>
      </w:r>
      <w:r w:rsidRPr="009566F5" w:rsidDel="00DB58A0">
        <w:rPr>
          <w:rFonts w:ascii="Arial" w:hAnsi="Arial" w:cs="Arial"/>
          <w:sz w:val="20"/>
          <w:szCs w:val="20"/>
        </w:rPr>
        <w:t xml:space="preserve">action </w:t>
      </w:r>
      <w:r w:rsidR="00455EA1" w:rsidRPr="009566F5">
        <w:rPr>
          <w:rFonts w:ascii="Arial" w:hAnsi="Arial" w:cs="Arial"/>
          <w:sz w:val="20"/>
          <w:szCs w:val="20"/>
        </w:rPr>
        <w:tab/>
      </w:r>
      <w:r w:rsidRPr="009566F5" w:rsidDel="00DB58A0">
        <w:rPr>
          <w:rFonts w:ascii="Arial" w:hAnsi="Arial" w:cs="Arial"/>
          <w:sz w:val="20"/>
          <w:szCs w:val="20"/>
        </w:rPr>
        <w:t xml:space="preserve">plan </w:t>
      </w:r>
      <w:r w:rsidR="0071065B" w:rsidRPr="009566F5">
        <w:rPr>
          <w:rFonts w:ascii="Arial" w:hAnsi="Arial" w:cs="Arial"/>
          <w:sz w:val="20"/>
          <w:szCs w:val="20"/>
        </w:rPr>
        <w:t xml:space="preserve">to address the 2020/21 audit findings </w:t>
      </w:r>
      <w:r w:rsidR="00455EA1" w:rsidRPr="009566F5">
        <w:rPr>
          <w:rFonts w:ascii="Arial" w:hAnsi="Arial" w:cs="Arial"/>
          <w:sz w:val="20"/>
          <w:szCs w:val="20"/>
        </w:rPr>
        <w:t>is</w:t>
      </w:r>
      <w:r w:rsidRPr="009566F5" w:rsidDel="00DB58A0">
        <w:rPr>
          <w:rFonts w:ascii="Arial" w:hAnsi="Arial" w:cs="Arial"/>
          <w:sz w:val="20"/>
          <w:szCs w:val="20"/>
        </w:rPr>
        <w:t xml:space="preserve"> finalised </w:t>
      </w:r>
      <w:r w:rsidR="00EA3FC4" w:rsidRPr="009566F5">
        <w:rPr>
          <w:rFonts w:ascii="Arial" w:hAnsi="Arial" w:cs="Arial"/>
          <w:sz w:val="20"/>
          <w:szCs w:val="20"/>
        </w:rPr>
        <w:t>by</w:t>
      </w:r>
      <w:r w:rsidRPr="009566F5" w:rsidDel="00DB58A0">
        <w:rPr>
          <w:rFonts w:ascii="Arial" w:hAnsi="Arial" w:cs="Arial"/>
          <w:sz w:val="20"/>
          <w:szCs w:val="20"/>
        </w:rPr>
        <w:t xml:space="preserve"> the end of the financial year. </w:t>
      </w:r>
      <w:r w:rsidR="000F1613" w:rsidRPr="009566F5">
        <w:rPr>
          <w:rFonts w:ascii="Arial" w:hAnsi="Arial" w:cs="Arial"/>
          <w:sz w:val="20"/>
          <w:szCs w:val="20"/>
        </w:rPr>
        <w:tab/>
        <w:t>Additionally, t</w:t>
      </w:r>
      <w:r w:rsidR="001744F3" w:rsidRPr="009566F5" w:rsidDel="00B63C7D">
        <w:rPr>
          <w:rFonts w:ascii="Arial" w:hAnsi="Arial" w:cs="Arial"/>
          <w:sz w:val="20"/>
          <w:szCs w:val="20"/>
        </w:rPr>
        <w:t xml:space="preserve">he Department </w:t>
      </w:r>
      <w:r w:rsidR="000F1613" w:rsidRPr="009566F5">
        <w:rPr>
          <w:rFonts w:ascii="Arial" w:hAnsi="Arial" w:cs="Arial"/>
          <w:sz w:val="20"/>
          <w:szCs w:val="20"/>
        </w:rPr>
        <w:t xml:space="preserve">should </w:t>
      </w:r>
      <w:r w:rsidR="001744F3" w:rsidRPr="009566F5" w:rsidDel="00B63C7D">
        <w:rPr>
          <w:rFonts w:ascii="Arial" w:hAnsi="Arial" w:cs="Arial"/>
          <w:sz w:val="20"/>
          <w:szCs w:val="20"/>
        </w:rPr>
        <w:t xml:space="preserve">ensure that the audit findings of 2020/21 do not </w:t>
      </w:r>
      <w:r w:rsidR="0032103E" w:rsidRPr="009566F5">
        <w:rPr>
          <w:rFonts w:ascii="Arial" w:hAnsi="Arial" w:cs="Arial"/>
          <w:sz w:val="20"/>
          <w:szCs w:val="20"/>
        </w:rPr>
        <w:tab/>
      </w:r>
      <w:r w:rsidR="001744F3" w:rsidRPr="009566F5" w:rsidDel="00B63C7D">
        <w:rPr>
          <w:rFonts w:ascii="Arial" w:hAnsi="Arial" w:cs="Arial"/>
          <w:sz w:val="20"/>
          <w:szCs w:val="20"/>
        </w:rPr>
        <w:t>recur in the 2021/22 Annual Report</w:t>
      </w:r>
      <w:r w:rsidR="00091ED4" w:rsidRPr="009566F5">
        <w:rPr>
          <w:rFonts w:ascii="Arial" w:hAnsi="Arial" w:cs="Arial"/>
          <w:sz w:val="20"/>
          <w:szCs w:val="20"/>
        </w:rPr>
        <w:t>.</w:t>
      </w:r>
    </w:p>
    <w:p w:rsidR="00A431B5" w:rsidRPr="009566F5" w:rsidRDefault="00A431B5" w:rsidP="009566F5">
      <w:pPr>
        <w:pStyle w:val="Default"/>
        <w:rPr>
          <w:sz w:val="20"/>
          <w:szCs w:val="20"/>
        </w:rPr>
      </w:pPr>
    </w:p>
    <w:p w:rsidR="00986A85" w:rsidRPr="009566F5" w:rsidRDefault="00986A85" w:rsidP="009566F5">
      <w:pPr>
        <w:autoSpaceDN w:val="0"/>
        <w:spacing w:after="0" w:line="240" w:lineRule="auto"/>
        <w:rPr>
          <w:rFonts w:ascii="Arial" w:hAnsi="Arial" w:cs="Arial"/>
          <w:sz w:val="20"/>
          <w:szCs w:val="20"/>
        </w:rPr>
      </w:pPr>
      <w:r w:rsidRPr="009566F5">
        <w:rPr>
          <w:rFonts w:ascii="Arial" w:hAnsi="Arial" w:cs="Arial"/>
          <w:sz w:val="20"/>
          <w:szCs w:val="20"/>
        </w:rPr>
        <w:t>Report to be considered.</w:t>
      </w:r>
    </w:p>
    <w:p w:rsidR="006003CD" w:rsidRPr="009566F5" w:rsidRDefault="006003CD" w:rsidP="009566F5">
      <w:pPr>
        <w:spacing w:after="0" w:line="240" w:lineRule="auto"/>
        <w:rPr>
          <w:rFonts w:ascii="Arial" w:hAnsi="Arial" w:cs="Arial"/>
          <w:sz w:val="20"/>
          <w:szCs w:val="20"/>
        </w:rPr>
      </w:pPr>
    </w:p>
    <w:p w:rsidR="00451DDC" w:rsidRPr="009566F5" w:rsidRDefault="00451DDC" w:rsidP="009566F5">
      <w:pPr>
        <w:autoSpaceDE w:val="0"/>
        <w:autoSpaceDN w:val="0"/>
        <w:adjustRightInd w:val="0"/>
        <w:spacing w:after="0" w:line="240" w:lineRule="auto"/>
        <w:rPr>
          <w:rFonts w:ascii="Arial" w:hAnsi="Arial" w:cs="Arial"/>
          <w:color w:val="000000"/>
          <w:sz w:val="20"/>
          <w:szCs w:val="20"/>
        </w:rPr>
      </w:pPr>
    </w:p>
    <w:sectPr w:rsidR="00451DDC" w:rsidRPr="009566F5" w:rsidSect="0002072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A8" w:rsidRDefault="002407A8" w:rsidP="006003CD">
      <w:pPr>
        <w:spacing w:after="0" w:line="240" w:lineRule="auto"/>
      </w:pPr>
      <w:r>
        <w:separator/>
      </w:r>
    </w:p>
  </w:endnote>
  <w:endnote w:type="continuationSeparator" w:id="0">
    <w:p w:rsidR="002407A8" w:rsidRDefault="002407A8" w:rsidP="0060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48062"/>
      <w:docPartObj>
        <w:docPartGallery w:val="Page Numbers (Bottom of Page)"/>
        <w:docPartUnique/>
      </w:docPartObj>
    </w:sdtPr>
    <w:sdtEndPr>
      <w:rPr>
        <w:noProof/>
      </w:rPr>
    </w:sdtEndPr>
    <w:sdtContent>
      <w:p w:rsidR="00265B37" w:rsidRDefault="00020723">
        <w:pPr>
          <w:pStyle w:val="Footer"/>
          <w:jc w:val="right"/>
        </w:pPr>
        <w:r>
          <w:fldChar w:fldCharType="begin"/>
        </w:r>
        <w:r w:rsidR="00265B37">
          <w:instrText xml:space="preserve"> PAGE   \* MERGEFORMAT </w:instrText>
        </w:r>
        <w:r>
          <w:fldChar w:fldCharType="separate"/>
        </w:r>
        <w:r w:rsidR="009566F5">
          <w:rPr>
            <w:noProof/>
          </w:rPr>
          <w:t>1</w:t>
        </w:r>
        <w:r>
          <w:rPr>
            <w:noProof/>
          </w:rPr>
          <w:fldChar w:fldCharType="end"/>
        </w:r>
      </w:p>
    </w:sdtContent>
  </w:sdt>
  <w:p w:rsidR="00265B37" w:rsidRDefault="00265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A8" w:rsidRDefault="002407A8" w:rsidP="006003CD">
      <w:pPr>
        <w:spacing w:after="0" w:line="240" w:lineRule="auto"/>
      </w:pPr>
      <w:r>
        <w:separator/>
      </w:r>
    </w:p>
  </w:footnote>
  <w:footnote w:type="continuationSeparator" w:id="0">
    <w:p w:rsidR="002407A8" w:rsidRDefault="002407A8" w:rsidP="00600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89"/>
    <w:multiLevelType w:val="hybridMultilevel"/>
    <w:tmpl w:val="6F9C2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07F4182"/>
    <w:multiLevelType w:val="hybridMultilevel"/>
    <w:tmpl w:val="D30E3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F04759"/>
    <w:multiLevelType w:val="hybridMultilevel"/>
    <w:tmpl w:val="AEFC8BA2"/>
    <w:lvl w:ilvl="0" w:tplc="2CC03304">
      <w:start w:val="1"/>
      <w:numFmt w:val="bullet"/>
      <w:lvlText w:val="•"/>
      <w:lvlJc w:val="left"/>
      <w:pPr>
        <w:tabs>
          <w:tab w:val="num" w:pos="720"/>
        </w:tabs>
        <w:ind w:left="720" w:hanging="360"/>
      </w:pPr>
      <w:rPr>
        <w:rFonts w:ascii="Arial" w:hAnsi="Arial" w:hint="default"/>
      </w:rPr>
    </w:lvl>
    <w:lvl w:ilvl="1" w:tplc="A0985F46" w:tentative="1">
      <w:start w:val="1"/>
      <w:numFmt w:val="bullet"/>
      <w:lvlText w:val="•"/>
      <w:lvlJc w:val="left"/>
      <w:pPr>
        <w:tabs>
          <w:tab w:val="num" w:pos="1440"/>
        </w:tabs>
        <w:ind w:left="1440" w:hanging="360"/>
      </w:pPr>
      <w:rPr>
        <w:rFonts w:ascii="Arial" w:hAnsi="Arial" w:hint="default"/>
      </w:rPr>
    </w:lvl>
    <w:lvl w:ilvl="2" w:tplc="79646B0A" w:tentative="1">
      <w:start w:val="1"/>
      <w:numFmt w:val="bullet"/>
      <w:lvlText w:val="•"/>
      <w:lvlJc w:val="left"/>
      <w:pPr>
        <w:tabs>
          <w:tab w:val="num" w:pos="2160"/>
        </w:tabs>
        <w:ind w:left="2160" w:hanging="360"/>
      </w:pPr>
      <w:rPr>
        <w:rFonts w:ascii="Arial" w:hAnsi="Arial" w:hint="default"/>
      </w:rPr>
    </w:lvl>
    <w:lvl w:ilvl="3" w:tplc="D01C3C72" w:tentative="1">
      <w:start w:val="1"/>
      <w:numFmt w:val="bullet"/>
      <w:lvlText w:val="•"/>
      <w:lvlJc w:val="left"/>
      <w:pPr>
        <w:tabs>
          <w:tab w:val="num" w:pos="2880"/>
        </w:tabs>
        <w:ind w:left="2880" w:hanging="360"/>
      </w:pPr>
      <w:rPr>
        <w:rFonts w:ascii="Arial" w:hAnsi="Arial" w:hint="default"/>
      </w:rPr>
    </w:lvl>
    <w:lvl w:ilvl="4" w:tplc="655E463C" w:tentative="1">
      <w:start w:val="1"/>
      <w:numFmt w:val="bullet"/>
      <w:lvlText w:val="•"/>
      <w:lvlJc w:val="left"/>
      <w:pPr>
        <w:tabs>
          <w:tab w:val="num" w:pos="3600"/>
        </w:tabs>
        <w:ind w:left="3600" w:hanging="360"/>
      </w:pPr>
      <w:rPr>
        <w:rFonts w:ascii="Arial" w:hAnsi="Arial" w:hint="default"/>
      </w:rPr>
    </w:lvl>
    <w:lvl w:ilvl="5" w:tplc="D5E2C74C" w:tentative="1">
      <w:start w:val="1"/>
      <w:numFmt w:val="bullet"/>
      <w:lvlText w:val="•"/>
      <w:lvlJc w:val="left"/>
      <w:pPr>
        <w:tabs>
          <w:tab w:val="num" w:pos="4320"/>
        </w:tabs>
        <w:ind w:left="4320" w:hanging="360"/>
      </w:pPr>
      <w:rPr>
        <w:rFonts w:ascii="Arial" w:hAnsi="Arial" w:hint="default"/>
      </w:rPr>
    </w:lvl>
    <w:lvl w:ilvl="6" w:tplc="30E8A51C" w:tentative="1">
      <w:start w:val="1"/>
      <w:numFmt w:val="bullet"/>
      <w:lvlText w:val="•"/>
      <w:lvlJc w:val="left"/>
      <w:pPr>
        <w:tabs>
          <w:tab w:val="num" w:pos="5040"/>
        </w:tabs>
        <w:ind w:left="5040" w:hanging="360"/>
      </w:pPr>
      <w:rPr>
        <w:rFonts w:ascii="Arial" w:hAnsi="Arial" w:hint="default"/>
      </w:rPr>
    </w:lvl>
    <w:lvl w:ilvl="7" w:tplc="B2366572" w:tentative="1">
      <w:start w:val="1"/>
      <w:numFmt w:val="bullet"/>
      <w:lvlText w:val="•"/>
      <w:lvlJc w:val="left"/>
      <w:pPr>
        <w:tabs>
          <w:tab w:val="num" w:pos="5760"/>
        </w:tabs>
        <w:ind w:left="5760" w:hanging="360"/>
      </w:pPr>
      <w:rPr>
        <w:rFonts w:ascii="Arial" w:hAnsi="Arial" w:hint="default"/>
      </w:rPr>
    </w:lvl>
    <w:lvl w:ilvl="8" w:tplc="2F704A6A" w:tentative="1">
      <w:start w:val="1"/>
      <w:numFmt w:val="bullet"/>
      <w:lvlText w:val="•"/>
      <w:lvlJc w:val="left"/>
      <w:pPr>
        <w:tabs>
          <w:tab w:val="num" w:pos="6480"/>
        </w:tabs>
        <w:ind w:left="6480" w:hanging="360"/>
      </w:pPr>
      <w:rPr>
        <w:rFonts w:ascii="Arial" w:hAnsi="Arial" w:hint="default"/>
      </w:rPr>
    </w:lvl>
  </w:abstractNum>
  <w:abstractNum w:abstractNumId="3">
    <w:nsid w:val="0EA17102"/>
    <w:multiLevelType w:val="hybridMultilevel"/>
    <w:tmpl w:val="661A5E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4F6AFD"/>
    <w:multiLevelType w:val="hybridMultilevel"/>
    <w:tmpl w:val="7CB004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3121CEF"/>
    <w:multiLevelType w:val="hybridMultilevel"/>
    <w:tmpl w:val="41907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8068AD"/>
    <w:multiLevelType w:val="hybridMultilevel"/>
    <w:tmpl w:val="2578B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F558B5"/>
    <w:multiLevelType w:val="hybridMultilevel"/>
    <w:tmpl w:val="E618DBD0"/>
    <w:lvl w:ilvl="0" w:tplc="53660334">
      <w:start w:val="1"/>
      <w:numFmt w:val="bullet"/>
      <w:lvlText w:val="•"/>
      <w:lvlJc w:val="left"/>
      <w:pPr>
        <w:tabs>
          <w:tab w:val="num" w:pos="720"/>
        </w:tabs>
        <w:ind w:left="720" w:hanging="360"/>
      </w:pPr>
      <w:rPr>
        <w:rFonts w:ascii="Arial" w:hAnsi="Arial" w:hint="default"/>
      </w:rPr>
    </w:lvl>
    <w:lvl w:ilvl="1" w:tplc="3600140C" w:tentative="1">
      <w:start w:val="1"/>
      <w:numFmt w:val="bullet"/>
      <w:lvlText w:val="•"/>
      <w:lvlJc w:val="left"/>
      <w:pPr>
        <w:tabs>
          <w:tab w:val="num" w:pos="1440"/>
        </w:tabs>
        <w:ind w:left="1440" w:hanging="360"/>
      </w:pPr>
      <w:rPr>
        <w:rFonts w:ascii="Arial" w:hAnsi="Arial" w:hint="default"/>
      </w:rPr>
    </w:lvl>
    <w:lvl w:ilvl="2" w:tplc="8018B596" w:tentative="1">
      <w:start w:val="1"/>
      <w:numFmt w:val="bullet"/>
      <w:lvlText w:val="•"/>
      <w:lvlJc w:val="left"/>
      <w:pPr>
        <w:tabs>
          <w:tab w:val="num" w:pos="2160"/>
        </w:tabs>
        <w:ind w:left="2160" w:hanging="360"/>
      </w:pPr>
      <w:rPr>
        <w:rFonts w:ascii="Arial" w:hAnsi="Arial" w:hint="default"/>
      </w:rPr>
    </w:lvl>
    <w:lvl w:ilvl="3" w:tplc="B094C82E" w:tentative="1">
      <w:start w:val="1"/>
      <w:numFmt w:val="bullet"/>
      <w:lvlText w:val="•"/>
      <w:lvlJc w:val="left"/>
      <w:pPr>
        <w:tabs>
          <w:tab w:val="num" w:pos="2880"/>
        </w:tabs>
        <w:ind w:left="2880" w:hanging="360"/>
      </w:pPr>
      <w:rPr>
        <w:rFonts w:ascii="Arial" w:hAnsi="Arial" w:hint="default"/>
      </w:rPr>
    </w:lvl>
    <w:lvl w:ilvl="4" w:tplc="07A22A34" w:tentative="1">
      <w:start w:val="1"/>
      <w:numFmt w:val="bullet"/>
      <w:lvlText w:val="•"/>
      <w:lvlJc w:val="left"/>
      <w:pPr>
        <w:tabs>
          <w:tab w:val="num" w:pos="3600"/>
        </w:tabs>
        <w:ind w:left="3600" w:hanging="360"/>
      </w:pPr>
      <w:rPr>
        <w:rFonts w:ascii="Arial" w:hAnsi="Arial" w:hint="default"/>
      </w:rPr>
    </w:lvl>
    <w:lvl w:ilvl="5" w:tplc="5062594A" w:tentative="1">
      <w:start w:val="1"/>
      <w:numFmt w:val="bullet"/>
      <w:lvlText w:val="•"/>
      <w:lvlJc w:val="left"/>
      <w:pPr>
        <w:tabs>
          <w:tab w:val="num" w:pos="4320"/>
        </w:tabs>
        <w:ind w:left="4320" w:hanging="360"/>
      </w:pPr>
      <w:rPr>
        <w:rFonts w:ascii="Arial" w:hAnsi="Arial" w:hint="default"/>
      </w:rPr>
    </w:lvl>
    <w:lvl w:ilvl="6" w:tplc="C0063668" w:tentative="1">
      <w:start w:val="1"/>
      <w:numFmt w:val="bullet"/>
      <w:lvlText w:val="•"/>
      <w:lvlJc w:val="left"/>
      <w:pPr>
        <w:tabs>
          <w:tab w:val="num" w:pos="5040"/>
        </w:tabs>
        <w:ind w:left="5040" w:hanging="360"/>
      </w:pPr>
      <w:rPr>
        <w:rFonts w:ascii="Arial" w:hAnsi="Arial" w:hint="default"/>
      </w:rPr>
    </w:lvl>
    <w:lvl w:ilvl="7" w:tplc="7DB4FEE6" w:tentative="1">
      <w:start w:val="1"/>
      <w:numFmt w:val="bullet"/>
      <w:lvlText w:val="•"/>
      <w:lvlJc w:val="left"/>
      <w:pPr>
        <w:tabs>
          <w:tab w:val="num" w:pos="5760"/>
        </w:tabs>
        <w:ind w:left="5760" w:hanging="360"/>
      </w:pPr>
      <w:rPr>
        <w:rFonts w:ascii="Arial" w:hAnsi="Arial" w:hint="default"/>
      </w:rPr>
    </w:lvl>
    <w:lvl w:ilvl="8" w:tplc="59FEE554" w:tentative="1">
      <w:start w:val="1"/>
      <w:numFmt w:val="bullet"/>
      <w:lvlText w:val="•"/>
      <w:lvlJc w:val="left"/>
      <w:pPr>
        <w:tabs>
          <w:tab w:val="num" w:pos="6480"/>
        </w:tabs>
        <w:ind w:left="6480" w:hanging="360"/>
      </w:pPr>
      <w:rPr>
        <w:rFonts w:ascii="Arial" w:hAnsi="Arial" w:hint="default"/>
      </w:rPr>
    </w:lvl>
  </w:abstractNum>
  <w:abstractNum w:abstractNumId="8">
    <w:nsid w:val="2A26269A"/>
    <w:multiLevelType w:val="hybridMultilevel"/>
    <w:tmpl w:val="5A82AF5C"/>
    <w:lvl w:ilvl="0" w:tplc="DBE2FF58">
      <w:start w:val="4"/>
      <w:numFmt w:val="decimal"/>
      <w:lvlText w:val="%1."/>
      <w:lvlJc w:val="left"/>
      <w:pPr>
        <w:tabs>
          <w:tab w:val="num" w:pos="720"/>
        </w:tabs>
        <w:ind w:left="720" w:hanging="360"/>
      </w:pPr>
    </w:lvl>
    <w:lvl w:ilvl="1" w:tplc="64AC79E4" w:tentative="1">
      <w:start w:val="1"/>
      <w:numFmt w:val="decimal"/>
      <w:lvlText w:val="%2."/>
      <w:lvlJc w:val="left"/>
      <w:pPr>
        <w:tabs>
          <w:tab w:val="num" w:pos="1440"/>
        </w:tabs>
        <w:ind w:left="1440" w:hanging="360"/>
      </w:pPr>
    </w:lvl>
    <w:lvl w:ilvl="2" w:tplc="9A1EDFE4" w:tentative="1">
      <w:start w:val="1"/>
      <w:numFmt w:val="decimal"/>
      <w:lvlText w:val="%3."/>
      <w:lvlJc w:val="left"/>
      <w:pPr>
        <w:tabs>
          <w:tab w:val="num" w:pos="2160"/>
        </w:tabs>
        <w:ind w:left="2160" w:hanging="360"/>
      </w:pPr>
    </w:lvl>
    <w:lvl w:ilvl="3" w:tplc="D4C4EFBA" w:tentative="1">
      <w:start w:val="1"/>
      <w:numFmt w:val="decimal"/>
      <w:lvlText w:val="%4."/>
      <w:lvlJc w:val="left"/>
      <w:pPr>
        <w:tabs>
          <w:tab w:val="num" w:pos="2880"/>
        </w:tabs>
        <w:ind w:left="2880" w:hanging="360"/>
      </w:pPr>
    </w:lvl>
    <w:lvl w:ilvl="4" w:tplc="5B3C6F0C" w:tentative="1">
      <w:start w:val="1"/>
      <w:numFmt w:val="decimal"/>
      <w:lvlText w:val="%5."/>
      <w:lvlJc w:val="left"/>
      <w:pPr>
        <w:tabs>
          <w:tab w:val="num" w:pos="3600"/>
        </w:tabs>
        <w:ind w:left="3600" w:hanging="360"/>
      </w:pPr>
    </w:lvl>
    <w:lvl w:ilvl="5" w:tplc="8EFE138A" w:tentative="1">
      <w:start w:val="1"/>
      <w:numFmt w:val="decimal"/>
      <w:lvlText w:val="%6."/>
      <w:lvlJc w:val="left"/>
      <w:pPr>
        <w:tabs>
          <w:tab w:val="num" w:pos="4320"/>
        </w:tabs>
        <w:ind w:left="4320" w:hanging="360"/>
      </w:pPr>
    </w:lvl>
    <w:lvl w:ilvl="6" w:tplc="061A85D0" w:tentative="1">
      <w:start w:val="1"/>
      <w:numFmt w:val="decimal"/>
      <w:lvlText w:val="%7."/>
      <w:lvlJc w:val="left"/>
      <w:pPr>
        <w:tabs>
          <w:tab w:val="num" w:pos="5040"/>
        </w:tabs>
        <w:ind w:left="5040" w:hanging="360"/>
      </w:pPr>
    </w:lvl>
    <w:lvl w:ilvl="7" w:tplc="132017E8" w:tentative="1">
      <w:start w:val="1"/>
      <w:numFmt w:val="decimal"/>
      <w:lvlText w:val="%8."/>
      <w:lvlJc w:val="left"/>
      <w:pPr>
        <w:tabs>
          <w:tab w:val="num" w:pos="5760"/>
        </w:tabs>
        <w:ind w:left="5760" w:hanging="360"/>
      </w:pPr>
    </w:lvl>
    <w:lvl w:ilvl="8" w:tplc="9A9820D0" w:tentative="1">
      <w:start w:val="1"/>
      <w:numFmt w:val="decimal"/>
      <w:lvlText w:val="%9."/>
      <w:lvlJc w:val="left"/>
      <w:pPr>
        <w:tabs>
          <w:tab w:val="num" w:pos="6480"/>
        </w:tabs>
        <w:ind w:left="6480" w:hanging="360"/>
      </w:pPr>
    </w:lvl>
  </w:abstractNum>
  <w:abstractNum w:abstractNumId="9">
    <w:nsid w:val="2BF043D9"/>
    <w:multiLevelType w:val="hybridMultilevel"/>
    <w:tmpl w:val="4E905D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8167AA"/>
    <w:multiLevelType w:val="hybridMultilevel"/>
    <w:tmpl w:val="75FA6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175510"/>
    <w:multiLevelType w:val="hybridMultilevel"/>
    <w:tmpl w:val="01765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857F0C"/>
    <w:multiLevelType w:val="hybridMultilevel"/>
    <w:tmpl w:val="B0F8C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97361D"/>
    <w:multiLevelType w:val="hybridMultilevel"/>
    <w:tmpl w:val="56F20EA8"/>
    <w:lvl w:ilvl="0" w:tplc="8BC229D4">
      <w:start w:val="1"/>
      <w:numFmt w:val="decimal"/>
      <w:lvlText w:val="%1."/>
      <w:lvlJc w:val="left"/>
      <w:pPr>
        <w:tabs>
          <w:tab w:val="num" w:pos="720"/>
        </w:tabs>
        <w:ind w:left="720" w:hanging="360"/>
      </w:pPr>
    </w:lvl>
    <w:lvl w:ilvl="1" w:tplc="36CA4CF6" w:tentative="1">
      <w:start w:val="1"/>
      <w:numFmt w:val="decimal"/>
      <w:lvlText w:val="%2."/>
      <w:lvlJc w:val="left"/>
      <w:pPr>
        <w:tabs>
          <w:tab w:val="num" w:pos="1440"/>
        </w:tabs>
        <w:ind w:left="1440" w:hanging="360"/>
      </w:pPr>
    </w:lvl>
    <w:lvl w:ilvl="2" w:tplc="D6CE212C" w:tentative="1">
      <w:start w:val="1"/>
      <w:numFmt w:val="decimal"/>
      <w:lvlText w:val="%3."/>
      <w:lvlJc w:val="left"/>
      <w:pPr>
        <w:tabs>
          <w:tab w:val="num" w:pos="2160"/>
        </w:tabs>
        <w:ind w:left="2160" w:hanging="360"/>
      </w:pPr>
    </w:lvl>
    <w:lvl w:ilvl="3" w:tplc="EEDE55BC" w:tentative="1">
      <w:start w:val="1"/>
      <w:numFmt w:val="decimal"/>
      <w:lvlText w:val="%4."/>
      <w:lvlJc w:val="left"/>
      <w:pPr>
        <w:tabs>
          <w:tab w:val="num" w:pos="2880"/>
        </w:tabs>
        <w:ind w:left="2880" w:hanging="360"/>
      </w:pPr>
    </w:lvl>
    <w:lvl w:ilvl="4" w:tplc="7F6E2F02" w:tentative="1">
      <w:start w:val="1"/>
      <w:numFmt w:val="decimal"/>
      <w:lvlText w:val="%5."/>
      <w:lvlJc w:val="left"/>
      <w:pPr>
        <w:tabs>
          <w:tab w:val="num" w:pos="3600"/>
        </w:tabs>
        <w:ind w:left="3600" w:hanging="360"/>
      </w:pPr>
    </w:lvl>
    <w:lvl w:ilvl="5" w:tplc="E5B84B00" w:tentative="1">
      <w:start w:val="1"/>
      <w:numFmt w:val="decimal"/>
      <w:lvlText w:val="%6."/>
      <w:lvlJc w:val="left"/>
      <w:pPr>
        <w:tabs>
          <w:tab w:val="num" w:pos="4320"/>
        </w:tabs>
        <w:ind w:left="4320" w:hanging="360"/>
      </w:pPr>
    </w:lvl>
    <w:lvl w:ilvl="6" w:tplc="9C54BDF6" w:tentative="1">
      <w:start w:val="1"/>
      <w:numFmt w:val="decimal"/>
      <w:lvlText w:val="%7."/>
      <w:lvlJc w:val="left"/>
      <w:pPr>
        <w:tabs>
          <w:tab w:val="num" w:pos="5040"/>
        </w:tabs>
        <w:ind w:left="5040" w:hanging="360"/>
      </w:pPr>
    </w:lvl>
    <w:lvl w:ilvl="7" w:tplc="22881870" w:tentative="1">
      <w:start w:val="1"/>
      <w:numFmt w:val="decimal"/>
      <w:lvlText w:val="%8."/>
      <w:lvlJc w:val="left"/>
      <w:pPr>
        <w:tabs>
          <w:tab w:val="num" w:pos="5760"/>
        </w:tabs>
        <w:ind w:left="5760" w:hanging="360"/>
      </w:pPr>
    </w:lvl>
    <w:lvl w:ilvl="8" w:tplc="E39A4E96" w:tentative="1">
      <w:start w:val="1"/>
      <w:numFmt w:val="decimal"/>
      <w:lvlText w:val="%9."/>
      <w:lvlJc w:val="left"/>
      <w:pPr>
        <w:tabs>
          <w:tab w:val="num" w:pos="6480"/>
        </w:tabs>
        <w:ind w:left="6480" w:hanging="360"/>
      </w:pPr>
    </w:lvl>
  </w:abstractNum>
  <w:abstractNum w:abstractNumId="14">
    <w:nsid w:val="356E699E"/>
    <w:multiLevelType w:val="hybridMultilevel"/>
    <w:tmpl w:val="458A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0C3918"/>
    <w:multiLevelType w:val="hybridMultilevel"/>
    <w:tmpl w:val="2286B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06032B"/>
    <w:multiLevelType w:val="hybridMultilevel"/>
    <w:tmpl w:val="50589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7ED1A93"/>
    <w:multiLevelType w:val="hybridMultilevel"/>
    <w:tmpl w:val="42D8B4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BAD03D5"/>
    <w:multiLevelType w:val="hybridMultilevel"/>
    <w:tmpl w:val="D9BA7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5AA1F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6F162B"/>
    <w:multiLevelType w:val="hybridMultilevel"/>
    <w:tmpl w:val="5D724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7615E07"/>
    <w:multiLevelType w:val="hybridMultilevel"/>
    <w:tmpl w:val="E54C3166"/>
    <w:lvl w:ilvl="0" w:tplc="69CAC414">
      <w:start w:val="6"/>
      <w:numFmt w:val="decimal"/>
      <w:lvlText w:val="%1."/>
      <w:lvlJc w:val="left"/>
      <w:pPr>
        <w:tabs>
          <w:tab w:val="num" w:pos="720"/>
        </w:tabs>
        <w:ind w:left="720" w:hanging="360"/>
      </w:pPr>
    </w:lvl>
    <w:lvl w:ilvl="1" w:tplc="E50465F0" w:tentative="1">
      <w:start w:val="1"/>
      <w:numFmt w:val="decimal"/>
      <w:lvlText w:val="%2."/>
      <w:lvlJc w:val="left"/>
      <w:pPr>
        <w:tabs>
          <w:tab w:val="num" w:pos="1440"/>
        </w:tabs>
        <w:ind w:left="1440" w:hanging="360"/>
      </w:pPr>
    </w:lvl>
    <w:lvl w:ilvl="2" w:tplc="3E828A56" w:tentative="1">
      <w:start w:val="1"/>
      <w:numFmt w:val="decimal"/>
      <w:lvlText w:val="%3."/>
      <w:lvlJc w:val="left"/>
      <w:pPr>
        <w:tabs>
          <w:tab w:val="num" w:pos="2160"/>
        </w:tabs>
        <w:ind w:left="2160" w:hanging="360"/>
      </w:pPr>
    </w:lvl>
    <w:lvl w:ilvl="3" w:tplc="A5C29152" w:tentative="1">
      <w:start w:val="1"/>
      <w:numFmt w:val="decimal"/>
      <w:lvlText w:val="%4."/>
      <w:lvlJc w:val="left"/>
      <w:pPr>
        <w:tabs>
          <w:tab w:val="num" w:pos="2880"/>
        </w:tabs>
        <w:ind w:left="2880" w:hanging="360"/>
      </w:pPr>
    </w:lvl>
    <w:lvl w:ilvl="4" w:tplc="5B70708A" w:tentative="1">
      <w:start w:val="1"/>
      <w:numFmt w:val="decimal"/>
      <w:lvlText w:val="%5."/>
      <w:lvlJc w:val="left"/>
      <w:pPr>
        <w:tabs>
          <w:tab w:val="num" w:pos="3600"/>
        </w:tabs>
        <w:ind w:left="3600" w:hanging="360"/>
      </w:pPr>
    </w:lvl>
    <w:lvl w:ilvl="5" w:tplc="00809BF4" w:tentative="1">
      <w:start w:val="1"/>
      <w:numFmt w:val="decimal"/>
      <w:lvlText w:val="%6."/>
      <w:lvlJc w:val="left"/>
      <w:pPr>
        <w:tabs>
          <w:tab w:val="num" w:pos="4320"/>
        </w:tabs>
        <w:ind w:left="4320" w:hanging="360"/>
      </w:pPr>
    </w:lvl>
    <w:lvl w:ilvl="6" w:tplc="512A12BE" w:tentative="1">
      <w:start w:val="1"/>
      <w:numFmt w:val="decimal"/>
      <w:lvlText w:val="%7."/>
      <w:lvlJc w:val="left"/>
      <w:pPr>
        <w:tabs>
          <w:tab w:val="num" w:pos="5040"/>
        </w:tabs>
        <w:ind w:left="5040" w:hanging="360"/>
      </w:pPr>
    </w:lvl>
    <w:lvl w:ilvl="7" w:tplc="807C7EBA" w:tentative="1">
      <w:start w:val="1"/>
      <w:numFmt w:val="decimal"/>
      <w:lvlText w:val="%8."/>
      <w:lvlJc w:val="left"/>
      <w:pPr>
        <w:tabs>
          <w:tab w:val="num" w:pos="5760"/>
        </w:tabs>
        <w:ind w:left="5760" w:hanging="360"/>
      </w:pPr>
    </w:lvl>
    <w:lvl w:ilvl="8" w:tplc="256CEDF0" w:tentative="1">
      <w:start w:val="1"/>
      <w:numFmt w:val="decimal"/>
      <w:lvlText w:val="%9."/>
      <w:lvlJc w:val="left"/>
      <w:pPr>
        <w:tabs>
          <w:tab w:val="num" w:pos="6480"/>
        </w:tabs>
        <w:ind w:left="6480" w:hanging="360"/>
      </w:pPr>
    </w:lvl>
  </w:abstractNum>
  <w:abstractNum w:abstractNumId="22">
    <w:nsid w:val="58B56CB2"/>
    <w:multiLevelType w:val="hybridMultilevel"/>
    <w:tmpl w:val="600665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DD6F64"/>
    <w:multiLevelType w:val="hybridMultilevel"/>
    <w:tmpl w:val="A7CA8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47133A"/>
    <w:multiLevelType w:val="hybridMultilevel"/>
    <w:tmpl w:val="B170B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2D00D61"/>
    <w:multiLevelType w:val="hybridMultilevel"/>
    <w:tmpl w:val="E55CBD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7962E3"/>
    <w:multiLevelType w:val="hybridMultilevel"/>
    <w:tmpl w:val="D8C0CC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5257887"/>
    <w:multiLevelType w:val="hybridMultilevel"/>
    <w:tmpl w:val="5DB42EBA"/>
    <w:lvl w:ilvl="0" w:tplc="DC5AE228">
      <w:start w:val="8"/>
      <w:numFmt w:val="decimal"/>
      <w:lvlText w:val="%1."/>
      <w:lvlJc w:val="left"/>
      <w:pPr>
        <w:tabs>
          <w:tab w:val="num" w:pos="720"/>
        </w:tabs>
        <w:ind w:left="720" w:hanging="360"/>
      </w:pPr>
    </w:lvl>
    <w:lvl w:ilvl="1" w:tplc="AC6AF256" w:tentative="1">
      <w:start w:val="1"/>
      <w:numFmt w:val="decimal"/>
      <w:lvlText w:val="%2."/>
      <w:lvlJc w:val="left"/>
      <w:pPr>
        <w:tabs>
          <w:tab w:val="num" w:pos="1440"/>
        </w:tabs>
        <w:ind w:left="1440" w:hanging="360"/>
      </w:pPr>
    </w:lvl>
    <w:lvl w:ilvl="2" w:tplc="6F4639DC" w:tentative="1">
      <w:start w:val="1"/>
      <w:numFmt w:val="decimal"/>
      <w:lvlText w:val="%3."/>
      <w:lvlJc w:val="left"/>
      <w:pPr>
        <w:tabs>
          <w:tab w:val="num" w:pos="2160"/>
        </w:tabs>
        <w:ind w:left="2160" w:hanging="360"/>
      </w:pPr>
    </w:lvl>
    <w:lvl w:ilvl="3" w:tplc="19540FCC" w:tentative="1">
      <w:start w:val="1"/>
      <w:numFmt w:val="decimal"/>
      <w:lvlText w:val="%4."/>
      <w:lvlJc w:val="left"/>
      <w:pPr>
        <w:tabs>
          <w:tab w:val="num" w:pos="2880"/>
        </w:tabs>
        <w:ind w:left="2880" w:hanging="360"/>
      </w:pPr>
    </w:lvl>
    <w:lvl w:ilvl="4" w:tplc="7902A6F4" w:tentative="1">
      <w:start w:val="1"/>
      <w:numFmt w:val="decimal"/>
      <w:lvlText w:val="%5."/>
      <w:lvlJc w:val="left"/>
      <w:pPr>
        <w:tabs>
          <w:tab w:val="num" w:pos="3600"/>
        </w:tabs>
        <w:ind w:left="3600" w:hanging="360"/>
      </w:pPr>
    </w:lvl>
    <w:lvl w:ilvl="5" w:tplc="78D61248" w:tentative="1">
      <w:start w:val="1"/>
      <w:numFmt w:val="decimal"/>
      <w:lvlText w:val="%6."/>
      <w:lvlJc w:val="left"/>
      <w:pPr>
        <w:tabs>
          <w:tab w:val="num" w:pos="4320"/>
        </w:tabs>
        <w:ind w:left="4320" w:hanging="360"/>
      </w:pPr>
    </w:lvl>
    <w:lvl w:ilvl="6" w:tplc="95DA7B36" w:tentative="1">
      <w:start w:val="1"/>
      <w:numFmt w:val="decimal"/>
      <w:lvlText w:val="%7."/>
      <w:lvlJc w:val="left"/>
      <w:pPr>
        <w:tabs>
          <w:tab w:val="num" w:pos="5040"/>
        </w:tabs>
        <w:ind w:left="5040" w:hanging="360"/>
      </w:pPr>
    </w:lvl>
    <w:lvl w:ilvl="7" w:tplc="67688250" w:tentative="1">
      <w:start w:val="1"/>
      <w:numFmt w:val="decimal"/>
      <w:lvlText w:val="%8."/>
      <w:lvlJc w:val="left"/>
      <w:pPr>
        <w:tabs>
          <w:tab w:val="num" w:pos="5760"/>
        </w:tabs>
        <w:ind w:left="5760" w:hanging="360"/>
      </w:pPr>
    </w:lvl>
    <w:lvl w:ilvl="8" w:tplc="D4A4449C" w:tentative="1">
      <w:start w:val="1"/>
      <w:numFmt w:val="decimal"/>
      <w:lvlText w:val="%9."/>
      <w:lvlJc w:val="left"/>
      <w:pPr>
        <w:tabs>
          <w:tab w:val="num" w:pos="6480"/>
        </w:tabs>
        <w:ind w:left="6480" w:hanging="360"/>
      </w:pPr>
    </w:lvl>
  </w:abstractNum>
  <w:abstractNum w:abstractNumId="28">
    <w:nsid w:val="659018EB"/>
    <w:multiLevelType w:val="hybridMultilevel"/>
    <w:tmpl w:val="3372F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5BE0943"/>
    <w:multiLevelType w:val="hybridMultilevel"/>
    <w:tmpl w:val="F0822F2E"/>
    <w:lvl w:ilvl="0" w:tplc="7516606A">
      <w:start w:val="1"/>
      <w:numFmt w:val="bullet"/>
      <w:lvlText w:val="•"/>
      <w:lvlJc w:val="left"/>
      <w:pPr>
        <w:tabs>
          <w:tab w:val="num" w:pos="720"/>
        </w:tabs>
        <w:ind w:left="720" w:hanging="360"/>
      </w:pPr>
      <w:rPr>
        <w:rFonts w:ascii="Arial" w:hAnsi="Arial" w:hint="default"/>
      </w:rPr>
    </w:lvl>
    <w:lvl w:ilvl="1" w:tplc="1F9ABAD0" w:tentative="1">
      <w:start w:val="1"/>
      <w:numFmt w:val="bullet"/>
      <w:lvlText w:val="•"/>
      <w:lvlJc w:val="left"/>
      <w:pPr>
        <w:tabs>
          <w:tab w:val="num" w:pos="1440"/>
        </w:tabs>
        <w:ind w:left="1440" w:hanging="360"/>
      </w:pPr>
      <w:rPr>
        <w:rFonts w:ascii="Arial" w:hAnsi="Arial" w:hint="default"/>
      </w:rPr>
    </w:lvl>
    <w:lvl w:ilvl="2" w:tplc="4B2C2AE8" w:tentative="1">
      <w:start w:val="1"/>
      <w:numFmt w:val="bullet"/>
      <w:lvlText w:val="•"/>
      <w:lvlJc w:val="left"/>
      <w:pPr>
        <w:tabs>
          <w:tab w:val="num" w:pos="2160"/>
        </w:tabs>
        <w:ind w:left="2160" w:hanging="360"/>
      </w:pPr>
      <w:rPr>
        <w:rFonts w:ascii="Arial" w:hAnsi="Arial" w:hint="default"/>
      </w:rPr>
    </w:lvl>
    <w:lvl w:ilvl="3" w:tplc="7B2A9FB2" w:tentative="1">
      <w:start w:val="1"/>
      <w:numFmt w:val="bullet"/>
      <w:lvlText w:val="•"/>
      <w:lvlJc w:val="left"/>
      <w:pPr>
        <w:tabs>
          <w:tab w:val="num" w:pos="2880"/>
        </w:tabs>
        <w:ind w:left="2880" w:hanging="360"/>
      </w:pPr>
      <w:rPr>
        <w:rFonts w:ascii="Arial" w:hAnsi="Arial" w:hint="default"/>
      </w:rPr>
    </w:lvl>
    <w:lvl w:ilvl="4" w:tplc="19985CF6" w:tentative="1">
      <w:start w:val="1"/>
      <w:numFmt w:val="bullet"/>
      <w:lvlText w:val="•"/>
      <w:lvlJc w:val="left"/>
      <w:pPr>
        <w:tabs>
          <w:tab w:val="num" w:pos="3600"/>
        </w:tabs>
        <w:ind w:left="3600" w:hanging="360"/>
      </w:pPr>
      <w:rPr>
        <w:rFonts w:ascii="Arial" w:hAnsi="Arial" w:hint="default"/>
      </w:rPr>
    </w:lvl>
    <w:lvl w:ilvl="5" w:tplc="ABBE345A" w:tentative="1">
      <w:start w:val="1"/>
      <w:numFmt w:val="bullet"/>
      <w:lvlText w:val="•"/>
      <w:lvlJc w:val="left"/>
      <w:pPr>
        <w:tabs>
          <w:tab w:val="num" w:pos="4320"/>
        </w:tabs>
        <w:ind w:left="4320" w:hanging="360"/>
      </w:pPr>
      <w:rPr>
        <w:rFonts w:ascii="Arial" w:hAnsi="Arial" w:hint="default"/>
      </w:rPr>
    </w:lvl>
    <w:lvl w:ilvl="6" w:tplc="EB001720" w:tentative="1">
      <w:start w:val="1"/>
      <w:numFmt w:val="bullet"/>
      <w:lvlText w:val="•"/>
      <w:lvlJc w:val="left"/>
      <w:pPr>
        <w:tabs>
          <w:tab w:val="num" w:pos="5040"/>
        </w:tabs>
        <w:ind w:left="5040" w:hanging="360"/>
      </w:pPr>
      <w:rPr>
        <w:rFonts w:ascii="Arial" w:hAnsi="Arial" w:hint="default"/>
      </w:rPr>
    </w:lvl>
    <w:lvl w:ilvl="7" w:tplc="8F622DB8" w:tentative="1">
      <w:start w:val="1"/>
      <w:numFmt w:val="bullet"/>
      <w:lvlText w:val="•"/>
      <w:lvlJc w:val="left"/>
      <w:pPr>
        <w:tabs>
          <w:tab w:val="num" w:pos="5760"/>
        </w:tabs>
        <w:ind w:left="5760" w:hanging="360"/>
      </w:pPr>
      <w:rPr>
        <w:rFonts w:ascii="Arial" w:hAnsi="Arial" w:hint="default"/>
      </w:rPr>
    </w:lvl>
    <w:lvl w:ilvl="8" w:tplc="62E69408" w:tentative="1">
      <w:start w:val="1"/>
      <w:numFmt w:val="bullet"/>
      <w:lvlText w:val="•"/>
      <w:lvlJc w:val="left"/>
      <w:pPr>
        <w:tabs>
          <w:tab w:val="num" w:pos="6480"/>
        </w:tabs>
        <w:ind w:left="6480" w:hanging="360"/>
      </w:pPr>
      <w:rPr>
        <w:rFonts w:ascii="Arial" w:hAnsi="Arial" w:hint="default"/>
      </w:rPr>
    </w:lvl>
  </w:abstractNum>
  <w:abstractNum w:abstractNumId="30">
    <w:nsid w:val="6C0E315D"/>
    <w:multiLevelType w:val="hybridMultilevel"/>
    <w:tmpl w:val="CD54B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36E037A"/>
    <w:multiLevelType w:val="hybridMultilevel"/>
    <w:tmpl w:val="3A1A5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39915D4"/>
    <w:multiLevelType w:val="hybridMultilevel"/>
    <w:tmpl w:val="29FAB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E696058"/>
    <w:multiLevelType w:val="hybridMultilevel"/>
    <w:tmpl w:val="C8481FD0"/>
    <w:lvl w:ilvl="0" w:tplc="B388115A">
      <w:start w:val="1"/>
      <w:numFmt w:val="bullet"/>
      <w:lvlText w:val="•"/>
      <w:lvlJc w:val="left"/>
      <w:pPr>
        <w:tabs>
          <w:tab w:val="num" w:pos="720"/>
        </w:tabs>
        <w:ind w:left="720" w:hanging="360"/>
      </w:pPr>
      <w:rPr>
        <w:rFonts w:ascii="Arial" w:hAnsi="Arial" w:hint="default"/>
      </w:rPr>
    </w:lvl>
    <w:lvl w:ilvl="1" w:tplc="164A5506">
      <w:numFmt w:val="bullet"/>
      <w:lvlText w:val="o"/>
      <w:lvlJc w:val="left"/>
      <w:pPr>
        <w:tabs>
          <w:tab w:val="num" w:pos="1440"/>
        </w:tabs>
        <w:ind w:left="1440" w:hanging="360"/>
      </w:pPr>
      <w:rPr>
        <w:rFonts w:ascii="Courier New" w:hAnsi="Courier New" w:hint="default"/>
      </w:rPr>
    </w:lvl>
    <w:lvl w:ilvl="2" w:tplc="28FC9C8C" w:tentative="1">
      <w:start w:val="1"/>
      <w:numFmt w:val="bullet"/>
      <w:lvlText w:val="•"/>
      <w:lvlJc w:val="left"/>
      <w:pPr>
        <w:tabs>
          <w:tab w:val="num" w:pos="2160"/>
        </w:tabs>
        <w:ind w:left="2160" w:hanging="360"/>
      </w:pPr>
      <w:rPr>
        <w:rFonts w:ascii="Arial" w:hAnsi="Arial" w:hint="default"/>
      </w:rPr>
    </w:lvl>
    <w:lvl w:ilvl="3" w:tplc="53182DB4" w:tentative="1">
      <w:start w:val="1"/>
      <w:numFmt w:val="bullet"/>
      <w:lvlText w:val="•"/>
      <w:lvlJc w:val="left"/>
      <w:pPr>
        <w:tabs>
          <w:tab w:val="num" w:pos="2880"/>
        </w:tabs>
        <w:ind w:left="2880" w:hanging="360"/>
      </w:pPr>
      <w:rPr>
        <w:rFonts w:ascii="Arial" w:hAnsi="Arial" w:hint="default"/>
      </w:rPr>
    </w:lvl>
    <w:lvl w:ilvl="4" w:tplc="DB60B444" w:tentative="1">
      <w:start w:val="1"/>
      <w:numFmt w:val="bullet"/>
      <w:lvlText w:val="•"/>
      <w:lvlJc w:val="left"/>
      <w:pPr>
        <w:tabs>
          <w:tab w:val="num" w:pos="3600"/>
        </w:tabs>
        <w:ind w:left="3600" w:hanging="360"/>
      </w:pPr>
      <w:rPr>
        <w:rFonts w:ascii="Arial" w:hAnsi="Arial" w:hint="default"/>
      </w:rPr>
    </w:lvl>
    <w:lvl w:ilvl="5" w:tplc="47481730" w:tentative="1">
      <w:start w:val="1"/>
      <w:numFmt w:val="bullet"/>
      <w:lvlText w:val="•"/>
      <w:lvlJc w:val="left"/>
      <w:pPr>
        <w:tabs>
          <w:tab w:val="num" w:pos="4320"/>
        </w:tabs>
        <w:ind w:left="4320" w:hanging="360"/>
      </w:pPr>
      <w:rPr>
        <w:rFonts w:ascii="Arial" w:hAnsi="Arial" w:hint="default"/>
      </w:rPr>
    </w:lvl>
    <w:lvl w:ilvl="6" w:tplc="F234485C" w:tentative="1">
      <w:start w:val="1"/>
      <w:numFmt w:val="bullet"/>
      <w:lvlText w:val="•"/>
      <w:lvlJc w:val="left"/>
      <w:pPr>
        <w:tabs>
          <w:tab w:val="num" w:pos="5040"/>
        </w:tabs>
        <w:ind w:left="5040" w:hanging="360"/>
      </w:pPr>
      <w:rPr>
        <w:rFonts w:ascii="Arial" w:hAnsi="Arial" w:hint="default"/>
      </w:rPr>
    </w:lvl>
    <w:lvl w:ilvl="7" w:tplc="718ED3C0" w:tentative="1">
      <w:start w:val="1"/>
      <w:numFmt w:val="bullet"/>
      <w:lvlText w:val="•"/>
      <w:lvlJc w:val="left"/>
      <w:pPr>
        <w:tabs>
          <w:tab w:val="num" w:pos="5760"/>
        </w:tabs>
        <w:ind w:left="5760" w:hanging="360"/>
      </w:pPr>
      <w:rPr>
        <w:rFonts w:ascii="Arial" w:hAnsi="Arial" w:hint="default"/>
      </w:rPr>
    </w:lvl>
    <w:lvl w:ilvl="8" w:tplc="EAC65FA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2"/>
  </w:num>
  <w:num w:numId="4">
    <w:abstractNumId w:val="33"/>
  </w:num>
  <w:num w:numId="5">
    <w:abstractNumId w:val="29"/>
  </w:num>
  <w:num w:numId="6">
    <w:abstractNumId w:val="7"/>
  </w:num>
  <w:num w:numId="7">
    <w:abstractNumId w:val="20"/>
  </w:num>
  <w:num w:numId="8">
    <w:abstractNumId w:val="32"/>
  </w:num>
  <w:num w:numId="9">
    <w:abstractNumId w:val="30"/>
  </w:num>
  <w:num w:numId="10">
    <w:abstractNumId w:val="6"/>
  </w:num>
  <w:num w:numId="11">
    <w:abstractNumId w:val="5"/>
  </w:num>
  <w:num w:numId="12">
    <w:abstractNumId w:val="28"/>
  </w:num>
  <w:num w:numId="13">
    <w:abstractNumId w:val="24"/>
  </w:num>
  <w:num w:numId="14">
    <w:abstractNumId w:val="1"/>
  </w:num>
  <w:num w:numId="15">
    <w:abstractNumId w:val="9"/>
  </w:num>
  <w:num w:numId="16">
    <w:abstractNumId w:val="12"/>
  </w:num>
  <w:num w:numId="17">
    <w:abstractNumId w:val="31"/>
  </w:num>
  <w:num w:numId="18">
    <w:abstractNumId w:val="0"/>
  </w:num>
  <w:num w:numId="19">
    <w:abstractNumId w:val="3"/>
  </w:num>
  <w:num w:numId="20">
    <w:abstractNumId w:val="19"/>
  </w:num>
  <w:num w:numId="21">
    <w:abstractNumId w:val="4"/>
  </w:num>
  <w:num w:numId="22">
    <w:abstractNumId w:val="26"/>
  </w:num>
  <w:num w:numId="23">
    <w:abstractNumId w:val="11"/>
  </w:num>
  <w:num w:numId="24">
    <w:abstractNumId w:val="13"/>
  </w:num>
  <w:num w:numId="25">
    <w:abstractNumId w:val="8"/>
  </w:num>
  <w:num w:numId="26">
    <w:abstractNumId w:val="21"/>
  </w:num>
  <w:num w:numId="27">
    <w:abstractNumId w:val="27"/>
  </w:num>
  <w:num w:numId="28">
    <w:abstractNumId w:val="17"/>
  </w:num>
  <w:num w:numId="29">
    <w:abstractNumId w:val="16"/>
  </w:num>
  <w:num w:numId="30">
    <w:abstractNumId w:val="18"/>
  </w:num>
  <w:num w:numId="31">
    <w:abstractNumId w:val="23"/>
  </w:num>
  <w:num w:numId="32">
    <w:abstractNumId w:val="14"/>
  </w:num>
  <w:num w:numId="33">
    <w:abstractNumId w:val="2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7CBE"/>
    <w:rsid w:val="0000186E"/>
    <w:rsid w:val="00002D08"/>
    <w:rsid w:val="00003155"/>
    <w:rsid w:val="000037AB"/>
    <w:rsid w:val="00007881"/>
    <w:rsid w:val="00010639"/>
    <w:rsid w:val="00011753"/>
    <w:rsid w:val="0001440C"/>
    <w:rsid w:val="00014802"/>
    <w:rsid w:val="00015E7C"/>
    <w:rsid w:val="00016351"/>
    <w:rsid w:val="00020723"/>
    <w:rsid w:val="000213F8"/>
    <w:rsid w:val="000254C6"/>
    <w:rsid w:val="00027F19"/>
    <w:rsid w:val="000300DA"/>
    <w:rsid w:val="00030A24"/>
    <w:rsid w:val="000318B8"/>
    <w:rsid w:val="00032CAB"/>
    <w:rsid w:val="00034E7F"/>
    <w:rsid w:val="00041E8B"/>
    <w:rsid w:val="000535E1"/>
    <w:rsid w:val="0005592D"/>
    <w:rsid w:val="000561B5"/>
    <w:rsid w:val="0005671D"/>
    <w:rsid w:val="000571EF"/>
    <w:rsid w:val="00060F26"/>
    <w:rsid w:val="000669BB"/>
    <w:rsid w:val="00070150"/>
    <w:rsid w:val="00071C4B"/>
    <w:rsid w:val="00075C6E"/>
    <w:rsid w:val="00075F49"/>
    <w:rsid w:val="00076087"/>
    <w:rsid w:val="00077813"/>
    <w:rsid w:val="00077949"/>
    <w:rsid w:val="00080F9A"/>
    <w:rsid w:val="00083B2B"/>
    <w:rsid w:val="00084434"/>
    <w:rsid w:val="00091561"/>
    <w:rsid w:val="00091ED4"/>
    <w:rsid w:val="00092549"/>
    <w:rsid w:val="00092911"/>
    <w:rsid w:val="00093598"/>
    <w:rsid w:val="00094884"/>
    <w:rsid w:val="000A0394"/>
    <w:rsid w:val="000A20A4"/>
    <w:rsid w:val="000A2AE9"/>
    <w:rsid w:val="000A598A"/>
    <w:rsid w:val="000B06D7"/>
    <w:rsid w:val="000C54C4"/>
    <w:rsid w:val="000C7996"/>
    <w:rsid w:val="000D0AAC"/>
    <w:rsid w:val="000D303B"/>
    <w:rsid w:val="000D3C55"/>
    <w:rsid w:val="000D3D6C"/>
    <w:rsid w:val="000D55CD"/>
    <w:rsid w:val="000D6C94"/>
    <w:rsid w:val="000E11F3"/>
    <w:rsid w:val="000E1D11"/>
    <w:rsid w:val="000E3F8B"/>
    <w:rsid w:val="000F0DE8"/>
    <w:rsid w:val="000F1613"/>
    <w:rsid w:val="000F340C"/>
    <w:rsid w:val="000F47BC"/>
    <w:rsid w:val="000F5259"/>
    <w:rsid w:val="000F605D"/>
    <w:rsid w:val="00100A47"/>
    <w:rsid w:val="0010172A"/>
    <w:rsid w:val="001018A9"/>
    <w:rsid w:val="00101ECF"/>
    <w:rsid w:val="0010758B"/>
    <w:rsid w:val="00111EF3"/>
    <w:rsid w:val="0011306D"/>
    <w:rsid w:val="00120433"/>
    <w:rsid w:val="0012671A"/>
    <w:rsid w:val="00127500"/>
    <w:rsid w:val="0013202C"/>
    <w:rsid w:val="00137957"/>
    <w:rsid w:val="001414A5"/>
    <w:rsid w:val="0014349A"/>
    <w:rsid w:val="00150714"/>
    <w:rsid w:val="00150755"/>
    <w:rsid w:val="001510B6"/>
    <w:rsid w:val="001533DC"/>
    <w:rsid w:val="0015476C"/>
    <w:rsid w:val="00155F50"/>
    <w:rsid w:val="0015794F"/>
    <w:rsid w:val="00157DE6"/>
    <w:rsid w:val="001610C9"/>
    <w:rsid w:val="001642CF"/>
    <w:rsid w:val="00165EAC"/>
    <w:rsid w:val="001734AC"/>
    <w:rsid w:val="001738A5"/>
    <w:rsid w:val="001744F3"/>
    <w:rsid w:val="00177807"/>
    <w:rsid w:val="0017786C"/>
    <w:rsid w:val="0018508C"/>
    <w:rsid w:val="00185884"/>
    <w:rsid w:val="00192FA4"/>
    <w:rsid w:val="001A089F"/>
    <w:rsid w:val="001A3989"/>
    <w:rsid w:val="001A39FE"/>
    <w:rsid w:val="001A6144"/>
    <w:rsid w:val="001A7907"/>
    <w:rsid w:val="001B0D01"/>
    <w:rsid w:val="001B7333"/>
    <w:rsid w:val="001B77C8"/>
    <w:rsid w:val="001C4699"/>
    <w:rsid w:val="001C5267"/>
    <w:rsid w:val="001C6A65"/>
    <w:rsid w:val="001C7A39"/>
    <w:rsid w:val="001E0A28"/>
    <w:rsid w:val="001E2778"/>
    <w:rsid w:val="001E516E"/>
    <w:rsid w:val="001F12B3"/>
    <w:rsid w:val="001F715B"/>
    <w:rsid w:val="001F7AE5"/>
    <w:rsid w:val="00200396"/>
    <w:rsid w:val="00205BBC"/>
    <w:rsid w:val="00210EC8"/>
    <w:rsid w:val="00214000"/>
    <w:rsid w:val="00215429"/>
    <w:rsid w:val="002200D3"/>
    <w:rsid w:val="002201C5"/>
    <w:rsid w:val="00220B8B"/>
    <w:rsid w:val="00220F60"/>
    <w:rsid w:val="002271B2"/>
    <w:rsid w:val="00230BCF"/>
    <w:rsid w:val="0023250D"/>
    <w:rsid w:val="002333B0"/>
    <w:rsid w:val="00237B71"/>
    <w:rsid w:val="002407A8"/>
    <w:rsid w:val="00244AA9"/>
    <w:rsid w:val="00246AC3"/>
    <w:rsid w:val="00253DDC"/>
    <w:rsid w:val="00255C6B"/>
    <w:rsid w:val="00255F32"/>
    <w:rsid w:val="0025676C"/>
    <w:rsid w:val="00257946"/>
    <w:rsid w:val="00264DF3"/>
    <w:rsid w:val="0026532E"/>
    <w:rsid w:val="00265B37"/>
    <w:rsid w:val="0026607A"/>
    <w:rsid w:val="00267F7B"/>
    <w:rsid w:val="00270552"/>
    <w:rsid w:val="002719D5"/>
    <w:rsid w:val="0027204D"/>
    <w:rsid w:val="0027232C"/>
    <w:rsid w:val="00273115"/>
    <w:rsid w:val="00273B39"/>
    <w:rsid w:val="00276606"/>
    <w:rsid w:val="00282F6F"/>
    <w:rsid w:val="00283D0E"/>
    <w:rsid w:val="00290EC8"/>
    <w:rsid w:val="0029157D"/>
    <w:rsid w:val="00293744"/>
    <w:rsid w:val="00294DC0"/>
    <w:rsid w:val="0029533C"/>
    <w:rsid w:val="00295689"/>
    <w:rsid w:val="002A40DA"/>
    <w:rsid w:val="002A7B0C"/>
    <w:rsid w:val="002B212C"/>
    <w:rsid w:val="002B7E4F"/>
    <w:rsid w:val="002C19EA"/>
    <w:rsid w:val="002C1BD2"/>
    <w:rsid w:val="002C1D9A"/>
    <w:rsid w:val="002C517B"/>
    <w:rsid w:val="002C6477"/>
    <w:rsid w:val="002C7001"/>
    <w:rsid w:val="002D1E22"/>
    <w:rsid w:val="002D4217"/>
    <w:rsid w:val="002D725F"/>
    <w:rsid w:val="002D7E35"/>
    <w:rsid w:val="002E2AA7"/>
    <w:rsid w:val="002E5C94"/>
    <w:rsid w:val="002E65CB"/>
    <w:rsid w:val="002E6DF2"/>
    <w:rsid w:val="002E7B11"/>
    <w:rsid w:val="002F35B6"/>
    <w:rsid w:val="002F430E"/>
    <w:rsid w:val="00300A29"/>
    <w:rsid w:val="0030128A"/>
    <w:rsid w:val="00304887"/>
    <w:rsid w:val="003074D1"/>
    <w:rsid w:val="003113F9"/>
    <w:rsid w:val="0031337C"/>
    <w:rsid w:val="00314B55"/>
    <w:rsid w:val="00314EE2"/>
    <w:rsid w:val="0031515F"/>
    <w:rsid w:val="0032103E"/>
    <w:rsid w:val="0032446B"/>
    <w:rsid w:val="00324F31"/>
    <w:rsid w:val="00327129"/>
    <w:rsid w:val="00330279"/>
    <w:rsid w:val="003314E3"/>
    <w:rsid w:val="00333EDF"/>
    <w:rsid w:val="00336D31"/>
    <w:rsid w:val="00342C63"/>
    <w:rsid w:val="00344F04"/>
    <w:rsid w:val="003454E5"/>
    <w:rsid w:val="00347075"/>
    <w:rsid w:val="00347F0F"/>
    <w:rsid w:val="00351F78"/>
    <w:rsid w:val="0035446F"/>
    <w:rsid w:val="00357D48"/>
    <w:rsid w:val="00361587"/>
    <w:rsid w:val="00362BE5"/>
    <w:rsid w:val="00367A8D"/>
    <w:rsid w:val="00371AD6"/>
    <w:rsid w:val="0037310C"/>
    <w:rsid w:val="00374E51"/>
    <w:rsid w:val="0037758E"/>
    <w:rsid w:val="00380CB9"/>
    <w:rsid w:val="00381172"/>
    <w:rsid w:val="00382617"/>
    <w:rsid w:val="00382834"/>
    <w:rsid w:val="00383378"/>
    <w:rsid w:val="0038488B"/>
    <w:rsid w:val="00387080"/>
    <w:rsid w:val="0038781D"/>
    <w:rsid w:val="0039120F"/>
    <w:rsid w:val="003945A7"/>
    <w:rsid w:val="00395F9F"/>
    <w:rsid w:val="003A16A5"/>
    <w:rsid w:val="003A3D3D"/>
    <w:rsid w:val="003A6AF7"/>
    <w:rsid w:val="003A6FA4"/>
    <w:rsid w:val="003B312B"/>
    <w:rsid w:val="003B4069"/>
    <w:rsid w:val="003B7371"/>
    <w:rsid w:val="003C04CE"/>
    <w:rsid w:val="003C16D9"/>
    <w:rsid w:val="003C255F"/>
    <w:rsid w:val="003C62F1"/>
    <w:rsid w:val="003D17ED"/>
    <w:rsid w:val="003D7960"/>
    <w:rsid w:val="003E122A"/>
    <w:rsid w:val="003E45A2"/>
    <w:rsid w:val="003F0377"/>
    <w:rsid w:val="003F2FCC"/>
    <w:rsid w:val="003F4900"/>
    <w:rsid w:val="003F5F0D"/>
    <w:rsid w:val="003F6FC6"/>
    <w:rsid w:val="00400C4B"/>
    <w:rsid w:val="00400D96"/>
    <w:rsid w:val="004028C1"/>
    <w:rsid w:val="00403557"/>
    <w:rsid w:val="00404704"/>
    <w:rsid w:val="00406C3C"/>
    <w:rsid w:val="004139F8"/>
    <w:rsid w:val="00415A60"/>
    <w:rsid w:val="004162DB"/>
    <w:rsid w:val="00423A8E"/>
    <w:rsid w:val="004244F7"/>
    <w:rsid w:val="00426D58"/>
    <w:rsid w:val="00434E2B"/>
    <w:rsid w:val="0043528B"/>
    <w:rsid w:val="00436B7B"/>
    <w:rsid w:val="00436CB4"/>
    <w:rsid w:val="00436CE7"/>
    <w:rsid w:val="004415F9"/>
    <w:rsid w:val="00441C24"/>
    <w:rsid w:val="00442990"/>
    <w:rsid w:val="00442C28"/>
    <w:rsid w:val="00442DD8"/>
    <w:rsid w:val="00442EDC"/>
    <w:rsid w:val="00443941"/>
    <w:rsid w:val="00443CE4"/>
    <w:rsid w:val="00446147"/>
    <w:rsid w:val="004462CC"/>
    <w:rsid w:val="00446338"/>
    <w:rsid w:val="00451DDC"/>
    <w:rsid w:val="00455EA1"/>
    <w:rsid w:val="00460228"/>
    <w:rsid w:val="00461679"/>
    <w:rsid w:val="00463FCA"/>
    <w:rsid w:val="00466459"/>
    <w:rsid w:val="004669A0"/>
    <w:rsid w:val="00466C64"/>
    <w:rsid w:val="00473A55"/>
    <w:rsid w:val="00474503"/>
    <w:rsid w:val="004757A4"/>
    <w:rsid w:val="00476227"/>
    <w:rsid w:val="00476DF9"/>
    <w:rsid w:val="004810EA"/>
    <w:rsid w:val="00481A85"/>
    <w:rsid w:val="00485EF8"/>
    <w:rsid w:val="004907F2"/>
    <w:rsid w:val="004971A6"/>
    <w:rsid w:val="00497D0F"/>
    <w:rsid w:val="004A02B8"/>
    <w:rsid w:val="004A1C0B"/>
    <w:rsid w:val="004A205D"/>
    <w:rsid w:val="004A2BC6"/>
    <w:rsid w:val="004A31A4"/>
    <w:rsid w:val="004A795A"/>
    <w:rsid w:val="004B16B4"/>
    <w:rsid w:val="004B4803"/>
    <w:rsid w:val="004C14E3"/>
    <w:rsid w:val="004C41C5"/>
    <w:rsid w:val="004C4FF5"/>
    <w:rsid w:val="004D2591"/>
    <w:rsid w:val="004D5857"/>
    <w:rsid w:val="004D7FDB"/>
    <w:rsid w:val="004E53DA"/>
    <w:rsid w:val="004E79E8"/>
    <w:rsid w:val="004F2E50"/>
    <w:rsid w:val="004F3D7C"/>
    <w:rsid w:val="004F5A8B"/>
    <w:rsid w:val="004F7A9E"/>
    <w:rsid w:val="00501A8D"/>
    <w:rsid w:val="00502292"/>
    <w:rsid w:val="00507B1E"/>
    <w:rsid w:val="00507BD4"/>
    <w:rsid w:val="00510E6D"/>
    <w:rsid w:val="005143F8"/>
    <w:rsid w:val="0052086E"/>
    <w:rsid w:val="00520920"/>
    <w:rsid w:val="00520FD3"/>
    <w:rsid w:val="00521CB3"/>
    <w:rsid w:val="00525A8E"/>
    <w:rsid w:val="00526260"/>
    <w:rsid w:val="005270C2"/>
    <w:rsid w:val="0053074D"/>
    <w:rsid w:val="00530EFC"/>
    <w:rsid w:val="0053253C"/>
    <w:rsid w:val="005356E7"/>
    <w:rsid w:val="00541A6B"/>
    <w:rsid w:val="00544AE6"/>
    <w:rsid w:val="005454BB"/>
    <w:rsid w:val="00546067"/>
    <w:rsid w:val="00550C08"/>
    <w:rsid w:val="00552006"/>
    <w:rsid w:val="00552470"/>
    <w:rsid w:val="00552FDE"/>
    <w:rsid w:val="005547E5"/>
    <w:rsid w:val="00560F0E"/>
    <w:rsid w:val="00560F6F"/>
    <w:rsid w:val="00562263"/>
    <w:rsid w:val="00563222"/>
    <w:rsid w:val="0056430F"/>
    <w:rsid w:val="00565A94"/>
    <w:rsid w:val="005675C2"/>
    <w:rsid w:val="00572EF3"/>
    <w:rsid w:val="0057552A"/>
    <w:rsid w:val="0057758D"/>
    <w:rsid w:val="00580FD1"/>
    <w:rsid w:val="00584E1E"/>
    <w:rsid w:val="00585B54"/>
    <w:rsid w:val="00591B07"/>
    <w:rsid w:val="00596ED0"/>
    <w:rsid w:val="005A1D5C"/>
    <w:rsid w:val="005A5F35"/>
    <w:rsid w:val="005A7743"/>
    <w:rsid w:val="005B1E6D"/>
    <w:rsid w:val="005B6EC8"/>
    <w:rsid w:val="005C1AEF"/>
    <w:rsid w:val="005C4A32"/>
    <w:rsid w:val="005D3D21"/>
    <w:rsid w:val="005D4FA7"/>
    <w:rsid w:val="005E2297"/>
    <w:rsid w:val="005E68BB"/>
    <w:rsid w:val="005E6BD2"/>
    <w:rsid w:val="005E77C8"/>
    <w:rsid w:val="006003CD"/>
    <w:rsid w:val="00606E66"/>
    <w:rsid w:val="00607C24"/>
    <w:rsid w:val="006100AD"/>
    <w:rsid w:val="0061018D"/>
    <w:rsid w:val="00614DFC"/>
    <w:rsid w:val="006159AE"/>
    <w:rsid w:val="006170DF"/>
    <w:rsid w:val="00621A5A"/>
    <w:rsid w:val="00635025"/>
    <w:rsid w:val="00640837"/>
    <w:rsid w:val="00641FAA"/>
    <w:rsid w:val="00643253"/>
    <w:rsid w:val="00644F27"/>
    <w:rsid w:val="00646406"/>
    <w:rsid w:val="00647871"/>
    <w:rsid w:val="00647C69"/>
    <w:rsid w:val="00647CB3"/>
    <w:rsid w:val="00650ECE"/>
    <w:rsid w:val="00653FD8"/>
    <w:rsid w:val="006558D9"/>
    <w:rsid w:val="00656118"/>
    <w:rsid w:val="006575B5"/>
    <w:rsid w:val="0066215D"/>
    <w:rsid w:val="00665CC0"/>
    <w:rsid w:val="00666972"/>
    <w:rsid w:val="00666BD9"/>
    <w:rsid w:val="0067470E"/>
    <w:rsid w:val="0067579F"/>
    <w:rsid w:val="00681C18"/>
    <w:rsid w:val="00682785"/>
    <w:rsid w:val="00687486"/>
    <w:rsid w:val="00692D51"/>
    <w:rsid w:val="0069436E"/>
    <w:rsid w:val="006972F8"/>
    <w:rsid w:val="006A1BCC"/>
    <w:rsid w:val="006A241B"/>
    <w:rsid w:val="006A6E0D"/>
    <w:rsid w:val="006B039E"/>
    <w:rsid w:val="006B3973"/>
    <w:rsid w:val="006B6160"/>
    <w:rsid w:val="006B67A5"/>
    <w:rsid w:val="006C11A1"/>
    <w:rsid w:val="006C49E6"/>
    <w:rsid w:val="006C771F"/>
    <w:rsid w:val="006D1E17"/>
    <w:rsid w:val="006D6492"/>
    <w:rsid w:val="006E325F"/>
    <w:rsid w:val="006E4104"/>
    <w:rsid w:val="006F0B64"/>
    <w:rsid w:val="006F3045"/>
    <w:rsid w:val="00701052"/>
    <w:rsid w:val="00705BA5"/>
    <w:rsid w:val="007100FB"/>
    <w:rsid w:val="0071065B"/>
    <w:rsid w:val="007128FD"/>
    <w:rsid w:val="00713B66"/>
    <w:rsid w:val="00716EA1"/>
    <w:rsid w:val="00720456"/>
    <w:rsid w:val="007226F4"/>
    <w:rsid w:val="0072271A"/>
    <w:rsid w:val="00723499"/>
    <w:rsid w:val="00726614"/>
    <w:rsid w:val="00732423"/>
    <w:rsid w:val="00732B4E"/>
    <w:rsid w:val="00735B7F"/>
    <w:rsid w:val="00736C6E"/>
    <w:rsid w:val="007372A4"/>
    <w:rsid w:val="00741188"/>
    <w:rsid w:val="007417AD"/>
    <w:rsid w:val="00745050"/>
    <w:rsid w:val="007451AD"/>
    <w:rsid w:val="0074584F"/>
    <w:rsid w:val="00753EEF"/>
    <w:rsid w:val="007547DD"/>
    <w:rsid w:val="00754C33"/>
    <w:rsid w:val="00755A13"/>
    <w:rsid w:val="0075695A"/>
    <w:rsid w:val="007600A9"/>
    <w:rsid w:val="00764D82"/>
    <w:rsid w:val="007655E4"/>
    <w:rsid w:val="007670DC"/>
    <w:rsid w:val="0077310E"/>
    <w:rsid w:val="007744D0"/>
    <w:rsid w:val="00777AB1"/>
    <w:rsid w:val="007871D0"/>
    <w:rsid w:val="0079304A"/>
    <w:rsid w:val="00797E52"/>
    <w:rsid w:val="007A3E18"/>
    <w:rsid w:val="007B0A5F"/>
    <w:rsid w:val="007B34B8"/>
    <w:rsid w:val="007C0686"/>
    <w:rsid w:val="007C06EB"/>
    <w:rsid w:val="007C1444"/>
    <w:rsid w:val="007C72C0"/>
    <w:rsid w:val="007D3C3A"/>
    <w:rsid w:val="007D513B"/>
    <w:rsid w:val="007D6EE9"/>
    <w:rsid w:val="007D7ACD"/>
    <w:rsid w:val="007E3D0B"/>
    <w:rsid w:val="007E5F23"/>
    <w:rsid w:val="007F58A1"/>
    <w:rsid w:val="0080214C"/>
    <w:rsid w:val="008075DA"/>
    <w:rsid w:val="00810224"/>
    <w:rsid w:val="00812194"/>
    <w:rsid w:val="008129C3"/>
    <w:rsid w:val="00813395"/>
    <w:rsid w:val="008154BD"/>
    <w:rsid w:val="00816FE0"/>
    <w:rsid w:val="00827237"/>
    <w:rsid w:val="008272BD"/>
    <w:rsid w:val="00831E3A"/>
    <w:rsid w:val="00832788"/>
    <w:rsid w:val="0083327C"/>
    <w:rsid w:val="00834CB2"/>
    <w:rsid w:val="00836E54"/>
    <w:rsid w:val="00837B45"/>
    <w:rsid w:val="0084533E"/>
    <w:rsid w:val="00845E45"/>
    <w:rsid w:val="008471EA"/>
    <w:rsid w:val="0085134A"/>
    <w:rsid w:val="008577EE"/>
    <w:rsid w:val="00857F6F"/>
    <w:rsid w:val="00861914"/>
    <w:rsid w:val="00864E75"/>
    <w:rsid w:val="00867A6B"/>
    <w:rsid w:val="00872DBB"/>
    <w:rsid w:val="0088088D"/>
    <w:rsid w:val="0088359B"/>
    <w:rsid w:val="0089177D"/>
    <w:rsid w:val="008917A8"/>
    <w:rsid w:val="00893F82"/>
    <w:rsid w:val="00893FE7"/>
    <w:rsid w:val="008944EF"/>
    <w:rsid w:val="008952A4"/>
    <w:rsid w:val="008A27B7"/>
    <w:rsid w:val="008A484C"/>
    <w:rsid w:val="008A4E44"/>
    <w:rsid w:val="008A6453"/>
    <w:rsid w:val="008A799C"/>
    <w:rsid w:val="008A7A74"/>
    <w:rsid w:val="008B0E73"/>
    <w:rsid w:val="008B2335"/>
    <w:rsid w:val="008B2F95"/>
    <w:rsid w:val="008B38CC"/>
    <w:rsid w:val="008B4020"/>
    <w:rsid w:val="008B7D85"/>
    <w:rsid w:val="008C09A2"/>
    <w:rsid w:val="008C48AD"/>
    <w:rsid w:val="008D1C33"/>
    <w:rsid w:val="008D6588"/>
    <w:rsid w:val="008E08BA"/>
    <w:rsid w:val="008E3C6D"/>
    <w:rsid w:val="008F0A78"/>
    <w:rsid w:val="008F0DD9"/>
    <w:rsid w:val="008F0F06"/>
    <w:rsid w:val="008F1DDD"/>
    <w:rsid w:val="008F274F"/>
    <w:rsid w:val="008F518A"/>
    <w:rsid w:val="00901E6B"/>
    <w:rsid w:val="009034E8"/>
    <w:rsid w:val="00910C19"/>
    <w:rsid w:val="00913EF8"/>
    <w:rsid w:val="00914127"/>
    <w:rsid w:val="009145C6"/>
    <w:rsid w:val="009159C6"/>
    <w:rsid w:val="00916B85"/>
    <w:rsid w:val="00920B42"/>
    <w:rsid w:val="0092113D"/>
    <w:rsid w:val="009253F9"/>
    <w:rsid w:val="009258A0"/>
    <w:rsid w:val="009332BD"/>
    <w:rsid w:val="00934031"/>
    <w:rsid w:val="00940C39"/>
    <w:rsid w:val="009424DE"/>
    <w:rsid w:val="00944EB1"/>
    <w:rsid w:val="0094501E"/>
    <w:rsid w:val="00952048"/>
    <w:rsid w:val="009566F5"/>
    <w:rsid w:val="009570AB"/>
    <w:rsid w:val="00957DDA"/>
    <w:rsid w:val="00961806"/>
    <w:rsid w:val="00967EDA"/>
    <w:rsid w:val="00972882"/>
    <w:rsid w:val="00973894"/>
    <w:rsid w:val="009747F6"/>
    <w:rsid w:val="009756F5"/>
    <w:rsid w:val="00976D68"/>
    <w:rsid w:val="0098080F"/>
    <w:rsid w:val="009864F0"/>
    <w:rsid w:val="00986A85"/>
    <w:rsid w:val="00987470"/>
    <w:rsid w:val="0099092D"/>
    <w:rsid w:val="0099373B"/>
    <w:rsid w:val="00994943"/>
    <w:rsid w:val="00996F5F"/>
    <w:rsid w:val="009A2C34"/>
    <w:rsid w:val="009A33C8"/>
    <w:rsid w:val="009B3E72"/>
    <w:rsid w:val="009B63A5"/>
    <w:rsid w:val="009C09F8"/>
    <w:rsid w:val="009C1D64"/>
    <w:rsid w:val="009C487A"/>
    <w:rsid w:val="009C718F"/>
    <w:rsid w:val="009D21CB"/>
    <w:rsid w:val="009D7B8D"/>
    <w:rsid w:val="009E02A3"/>
    <w:rsid w:val="009E295D"/>
    <w:rsid w:val="009E6400"/>
    <w:rsid w:val="009E780F"/>
    <w:rsid w:val="009F10CD"/>
    <w:rsid w:val="009F53AE"/>
    <w:rsid w:val="009F5978"/>
    <w:rsid w:val="009F6161"/>
    <w:rsid w:val="009F75C1"/>
    <w:rsid w:val="00A01034"/>
    <w:rsid w:val="00A04F18"/>
    <w:rsid w:val="00A06645"/>
    <w:rsid w:val="00A10A62"/>
    <w:rsid w:val="00A11E66"/>
    <w:rsid w:val="00A12A5F"/>
    <w:rsid w:val="00A156E6"/>
    <w:rsid w:val="00A15F55"/>
    <w:rsid w:val="00A16156"/>
    <w:rsid w:val="00A174FB"/>
    <w:rsid w:val="00A177CC"/>
    <w:rsid w:val="00A17911"/>
    <w:rsid w:val="00A274AA"/>
    <w:rsid w:val="00A30D0A"/>
    <w:rsid w:val="00A33097"/>
    <w:rsid w:val="00A34C05"/>
    <w:rsid w:val="00A369EB"/>
    <w:rsid w:val="00A40F84"/>
    <w:rsid w:val="00A418ED"/>
    <w:rsid w:val="00A41AF9"/>
    <w:rsid w:val="00A42FD1"/>
    <w:rsid w:val="00A431B5"/>
    <w:rsid w:val="00A50FDB"/>
    <w:rsid w:val="00A5652F"/>
    <w:rsid w:val="00A61154"/>
    <w:rsid w:val="00A61D0E"/>
    <w:rsid w:val="00A64032"/>
    <w:rsid w:val="00A66ED6"/>
    <w:rsid w:val="00A67450"/>
    <w:rsid w:val="00A71AA3"/>
    <w:rsid w:val="00A73EE5"/>
    <w:rsid w:val="00A74F23"/>
    <w:rsid w:val="00A80685"/>
    <w:rsid w:val="00A8234A"/>
    <w:rsid w:val="00A84B8D"/>
    <w:rsid w:val="00A86740"/>
    <w:rsid w:val="00A96BA5"/>
    <w:rsid w:val="00AA26E7"/>
    <w:rsid w:val="00AA295A"/>
    <w:rsid w:val="00AA4898"/>
    <w:rsid w:val="00AA4AD9"/>
    <w:rsid w:val="00AB3754"/>
    <w:rsid w:val="00AC2B63"/>
    <w:rsid w:val="00AC4D0E"/>
    <w:rsid w:val="00AC7FE6"/>
    <w:rsid w:val="00AD013E"/>
    <w:rsid w:val="00AD3465"/>
    <w:rsid w:val="00AD5EDD"/>
    <w:rsid w:val="00AD6591"/>
    <w:rsid w:val="00AD6A50"/>
    <w:rsid w:val="00AE2581"/>
    <w:rsid w:val="00AE54A2"/>
    <w:rsid w:val="00AF0144"/>
    <w:rsid w:val="00AF1DA9"/>
    <w:rsid w:val="00AF32FB"/>
    <w:rsid w:val="00AF3AED"/>
    <w:rsid w:val="00AF4EFE"/>
    <w:rsid w:val="00AF7E15"/>
    <w:rsid w:val="00B02822"/>
    <w:rsid w:val="00B065BF"/>
    <w:rsid w:val="00B13982"/>
    <w:rsid w:val="00B13A30"/>
    <w:rsid w:val="00B174A8"/>
    <w:rsid w:val="00B17611"/>
    <w:rsid w:val="00B252D3"/>
    <w:rsid w:val="00B27216"/>
    <w:rsid w:val="00B27324"/>
    <w:rsid w:val="00B27728"/>
    <w:rsid w:val="00B349F2"/>
    <w:rsid w:val="00B355D3"/>
    <w:rsid w:val="00B37966"/>
    <w:rsid w:val="00B418C4"/>
    <w:rsid w:val="00B43E01"/>
    <w:rsid w:val="00B51532"/>
    <w:rsid w:val="00B537DB"/>
    <w:rsid w:val="00B55283"/>
    <w:rsid w:val="00B61E35"/>
    <w:rsid w:val="00B625E5"/>
    <w:rsid w:val="00B724DA"/>
    <w:rsid w:val="00B73AC2"/>
    <w:rsid w:val="00B779B0"/>
    <w:rsid w:val="00B80B9E"/>
    <w:rsid w:val="00B84C26"/>
    <w:rsid w:val="00B85C12"/>
    <w:rsid w:val="00B86393"/>
    <w:rsid w:val="00B87114"/>
    <w:rsid w:val="00B96ACA"/>
    <w:rsid w:val="00BA6032"/>
    <w:rsid w:val="00BA69D7"/>
    <w:rsid w:val="00BB3BC1"/>
    <w:rsid w:val="00BB3ECC"/>
    <w:rsid w:val="00BB434B"/>
    <w:rsid w:val="00BB76E6"/>
    <w:rsid w:val="00BC00AE"/>
    <w:rsid w:val="00BC2BA0"/>
    <w:rsid w:val="00BC4803"/>
    <w:rsid w:val="00BD03DF"/>
    <w:rsid w:val="00BD0DC7"/>
    <w:rsid w:val="00BD1CE9"/>
    <w:rsid w:val="00BD5168"/>
    <w:rsid w:val="00BE13AF"/>
    <w:rsid w:val="00BE5D92"/>
    <w:rsid w:val="00BE7169"/>
    <w:rsid w:val="00BF542C"/>
    <w:rsid w:val="00C02AFA"/>
    <w:rsid w:val="00C07F19"/>
    <w:rsid w:val="00C15966"/>
    <w:rsid w:val="00C16010"/>
    <w:rsid w:val="00C16993"/>
    <w:rsid w:val="00C17F5A"/>
    <w:rsid w:val="00C259B6"/>
    <w:rsid w:val="00C2678F"/>
    <w:rsid w:val="00C30E29"/>
    <w:rsid w:val="00C31521"/>
    <w:rsid w:val="00C36ABF"/>
    <w:rsid w:val="00C40F96"/>
    <w:rsid w:val="00C45C95"/>
    <w:rsid w:val="00C46D60"/>
    <w:rsid w:val="00C47272"/>
    <w:rsid w:val="00C47A60"/>
    <w:rsid w:val="00C47CBE"/>
    <w:rsid w:val="00C5051D"/>
    <w:rsid w:val="00C7305B"/>
    <w:rsid w:val="00C75240"/>
    <w:rsid w:val="00C75E08"/>
    <w:rsid w:val="00C765F6"/>
    <w:rsid w:val="00C7765D"/>
    <w:rsid w:val="00C77E89"/>
    <w:rsid w:val="00C81C19"/>
    <w:rsid w:val="00C83F48"/>
    <w:rsid w:val="00C9246A"/>
    <w:rsid w:val="00C938FE"/>
    <w:rsid w:val="00C95102"/>
    <w:rsid w:val="00C963AC"/>
    <w:rsid w:val="00C964B7"/>
    <w:rsid w:val="00C9765F"/>
    <w:rsid w:val="00CA03A1"/>
    <w:rsid w:val="00CA1B6D"/>
    <w:rsid w:val="00CA7AB3"/>
    <w:rsid w:val="00CB207F"/>
    <w:rsid w:val="00CB51B3"/>
    <w:rsid w:val="00CB66F1"/>
    <w:rsid w:val="00CC1D96"/>
    <w:rsid w:val="00CC366B"/>
    <w:rsid w:val="00CD2DCC"/>
    <w:rsid w:val="00CD358A"/>
    <w:rsid w:val="00CE54AE"/>
    <w:rsid w:val="00CE5824"/>
    <w:rsid w:val="00CE5C88"/>
    <w:rsid w:val="00CE77F4"/>
    <w:rsid w:val="00CF02EB"/>
    <w:rsid w:val="00CF256B"/>
    <w:rsid w:val="00CF2A5A"/>
    <w:rsid w:val="00CF4575"/>
    <w:rsid w:val="00CF684A"/>
    <w:rsid w:val="00D01C1E"/>
    <w:rsid w:val="00D02850"/>
    <w:rsid w:val="00D13A49"/>
    <w:rsid w:val="00D142B4"/>
    <w:rsid w:val="00D152A9"/>
    <w:rsid w:val="00D207A9"/>
    <w:rsid w:val="00D22CFF"/>
    <w:rsid w:val="00D23D6C"/>
    <w:rsid w:val="00D31FDF"/>
    <w:rsid w:val="00D37DF3"/>
    <w:rsid w:val="00D43FDC"/>
    <w:rsid w:val="00D45526"/>
    <w:rsid w:val="00D45539"/>
    <w:rsid w:val="00D519CF"/>
    <w:rsid w:val="00D51FA9"/>
    <w:rsid w:val="00D52E60"/>
    <w:rsid w:val="00D53B6A"/>
    <w:rsid w:val="00D55202"/>
    <w:rsid w:val="00D6376F"/>
    <w:rsid w:val="00D645F3"/>
    <w:rsid w:val="00D646A4"/>
    <w:rsid w:val="00D646EC"/>
    <w:rsid w:val="00D6492E"/>
    <w:rsid w:val="00D6745F"/>
    <w:rsid w:val="00D821A3"/>
    <w:rsid w:val="00D82DD8"/>
    <w:rsid w:val="00D83B09"/>
    <w:rsid w:val="00D85EBA"/>
    <w:rsid w:val="00D87931"/>
    <w:rsid w:val="00D91527"/>
    <w:rsid w:val="00D92F6C"/>
    <w:rsid w:val="00D97A60"/>
    <w:rsid w:val="00DA51C4"/>
    <w:rsid w:val="00DA55F6"/>
    <w:rsid w:val="00DA6EC4"/>
    <w:rsid w:val="00DA7D3C"/>
    <w:rsid w:val="00DB0FDE"/>
    <w:rsid w:val="00DB2BB6"/>
    <w:rsid w:val="00DB5521"/>
    <w:rsid w:val="00DC4D48"/>
    <w:rsid w:val="00DC783E"/>
    <w:rsid w:val="00DD7A7D"/>
    <w:rsid w:val="00DD7C6B"/>
    <w:rsid w:val="00DE1ECF"/>
    <w:rsid w:val="00DE21A6"/>
    <w:rsid w:val="00DE2AE5"/>
    <w:rsid w:val="00DE4293"/>
    <w:rsid w:val="00DE65BE"/>
    <w:rsid w:val="00DF2021"/>
    <w:rsid w:val="00E032B0"/>
    <w:rsid w:val="00E05FF5"/>
    <w:rsid w:val="00E06669"/>
    <w:rsid w:val="00E100A7"/>
    <w:rsid w:val="00E12C14"/>
    <w:rsid w:val="00E14953"/>
    <w:rsid w:val="00E20615"/>
    <w:rsid w:val="00E22E1C"/>
    <w:rsid w:val="00E23482"/>
    <w:rsid w:val="00E249C6"/>
    <w:rsid w:val="00E30BA1"/>
    <w:rsid w:val="00E32D20"/>
    <w:rsid w:val="00E34A46"/>
    <w:rsid w:val="00E35DC5"/>
    <w:rsid w:val="00E364A2"/>
    <w:rsid w:val="00E36EFB"/>
    <w:rsid w:val="00E40FF2"/>
    <w:rsid w:val="00E47CBE"/>
    <w:rsid w:val="00E522B0"/>
    <w:rsid w:val="00E5375B"/>
    <w:rsid w:val="00E53FCE"/>
    <w:rsid w:val="00E62ECC"/>
    <w:rsid w:val="00E658CA"/>
    <w:rsid w:val="00E75607"/>
    <w:rsid w:val="00E77B3D"/>
    <w:rsid w:val="00E81133"/>
    <w:rsid w:val="00E86DB5"/>
    <w:rsid w:val="00E870B9"/>
    <w:rsid w:val="00E87E3D"/>
    <w:rsid w:val="00E9109F"/>
    <w:rsid w:val="00E97C0F"/>
    <w:rsid w:val="00E97C44"/>
    <w:rsid w:val="00E97D5B"/>
    <w:rsid w:val="00EA2BB7"/>
    <w:rsid w:val="00EA2E40"/>
    <w:rsid w:val="00EA3FC4"/>
    <w:rsid w:val="00EA568D"/>
    <w:rsid w:val="00EA5E10"/>
    <w:rsid w:val="00EA69CD"/>
    <w:rsid w:val="00EA6FD0"/>
    <w:rsid w:val="00EA7E64"/>
    <w:rsid w:val="00EB2DCD"/>
    <w:rsid w:val="00EB32B4"/>
    <w:rsid w:val="00EB3817"/>
    <w:rsid w:val="00EC103A"/>
    <w:rsid w:val="00EC4665"/>
    <w:rsid w:val="00EC4740"/>
    <w:rsid w:val="00EC57DF"/>
    <w:rsid w:val="00EC6CE4"/>
    <w:rsid w:val="00ED2AA9"/>
    <w:rsid w:val="00ED610E"/>
    <w:rsid w:val="00ED6784"/>
    <w:rsid w:val="00EE3017"/>
    <w:rsid w:val="00EE3E1B"/>
    <w:rsid w:val="00EE42F9"/>
    <w:rsid w:val="00EE6C9B"/>
    <w:rsid w:val="00EE7005"/>
    <w:rsid w:val="00EF7C56"/>
    <w:rsid w:val="00EF7CAD"/>
    <w:rsid w:val="00F02A83"/>
    <w:rsid w:val="00F03DB7"/>
    <w:rsid w:val="00F05453"/>
    <w:rsid w:val="00F11421"/>
    <w:rsid w:val="00F206EB"/>
    <w:rsid w:val="00F20E00"/>
    <w:rsid w:val="00F23BFE"/>
    <w:rsid w:val="00F25CE2"/>
    <w:rsid w:val="00F337D5"/>
    <w:rsid w:val="00F348DF"/>
    <w:rsid w:val="00F404CA"/>
    <w:rsid w:val="00F40825"/>
    <w:rsid w:val="00F432F7"/>
    <w:rsid w:val="00F46F2E"/>
    <w:rsid w:val="00F47C95"/>
    <w:rsid w:val="00F50F8D"/>
    <w:rsid w:val="00F516BE"/>
    <w:rsid w:val="00F524FC"/>
    <w:rsid w:val="00F53BE7"/>
    <w:rsid w:val="00F53FE1"/>
    <w:rsid w:val="00F555C9"/>
    <w:rsid w:val="00F56683"/>
    <w:rsid w:val="00F60A59"/>
    <w:rsid w:val="00F612EE"/>
    <w:rsid w:val="00F64BA3"/>
    <w:rsid w:val="00F65634"/>
    <w:rsid w:val="00F6743B"/>
    <w:rsid w:val="00F72308"/>
    <w:rsid w:val="00F73C0C"/>
    <w:rsid w:val="00F8662F"/>
    <w:rsid w:val="00F86A80"/>
    <w:rsid w:val="00F901CF"/>
    <w:rsid w:val="00F9050E"/>
    <w:rsid w:val="00F92957"/>
    <w:rsid w:val="00F97BD2"/>
    <w:rsid w:val="00FA03CD"/>
    <w:rsid w:val="00FA36FB"/>
    <w:rsid w:val="00FA7315"/>
    <w:rsid w:val="00FB29FA"/>
    <w:rsid w:val="00FB4579"/>
    <w:rsid w:val="00FB4F29"/>
    <w:rsid w:val="00FB5423"/>
    <w:rsid w:val="00FC23AB"/>
    <w:rsid w:val="00FC4863"/>
    <w:rsid w:val="00FC5C1B"/>
    <w:rsid w:val="00FC7926"/>
    <w:rsid w:val="00FD0680"/>
    <w:rsid w:val="00FD3B8A"/>
    <w:rsid w:val="00FD5F41"/>
    <w:rsid w:val="00FE2740"/>
    <w:rsid w:val="00FE331E"/>
    <w:rsid w:val="00FF2E7A"/>
    <w:rsid w:val="00FF32CD"/>
    <w:rsid w:val="00FF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E0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938F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0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CD"/>
  </w:style>
  <w:style w:type="paragraph" w:styleId="Footer">
    <w:name w:val="footer"/>
    <w:basedOn w:val="Normal"/>
    <w:link w:val="FooterChar"/>
    <w:uiPriority w:val="99"/>
    <w:unhideWhenUsed/>
    <w:rsid w:val="0060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CD"/>
  </w:style>
  <w:style w:type="paragraph" w:customStyle="1" w:styleId="Pa0">
    <w:name w:val="Pa0"/>
    <w:basedOn w:val="Default"/>
    <w:next w:val="Default"/>
    <w:uiPriority w:val="99"/>
    <w:rsid w:val="00DA7D3C"/>
    <w:pPr>
      <w:spacing w:line="241" w:lineRule="atLeast"/>
    </w:pPr>
    <w:rPr>
      <w:rFonts w:ascii="AvantGarde Bk BT" w:hAnsi="AvantGarde Bk BT" w:cstheme="minorBidi"/>
      <w:color w:val="auto"/>
    </w:rPr>
  </w:style>
  <w:style w:type="character" w:customStyle="1" w:styleId="A5">
    <w:name w:val="A5"/>
    <w:uiPriority w:val="99"/>
    <w:rsid w:val="00DA7D3C"/>
    <w:rPr>
      <w:rFonts w:cs="AvantGarde Bk BT"/>
      <w:color w:val="000000"/>
      <w:sz w:val="18"/>
      <w:szCs w:val="18"/>
    </w:rPr>
  </w:style>
  <w:style w:type="paragraph" w:styleId="ListParagraph">
    <w:name w:val="List Paragraph"/>
    <w:aliases w:val="List Paragraph 1,Bullets,Table of contents numbered,footer text"/>
    <w:basedOn w:val="Normal"/>
    <w:link w:val="ListParagraphChar"/>
    <w:uiPriority w:val="34"/>
    <w:qFormat/>
    <w:rsid w:val="00986A85"/>
    <w:pPr>
      <w:ind w:left="720"/>
      <w:contextualSpacing/>
    </w:pPr>
  </w:style>
  <w:style w:type="character" w:customStyle="1" w:styleId="ListParagraphChar">
    <w:name w:val="List Paragraph Char"/>
    <w:aliases w:val="List Paragraph 1 Char,Bullets Char,Table of contents numbered Char,footer text Char"/>
    <w:link w:val="ListParagraph"/>
    <w:uiPriority w:val="34"/>
    <w:locked/>
    <w:rsid w:val="00986A85"/>
  </w:style>
  <w:style w:type="paragraph" w:styleId="BalloonText">
    <w:name w:val="Balloon Text"/>
    <w:basedOn w:val="Normal"/>
    <w:link w:val="BalloonTextChar"/>
    <w:uiPriority w:val="99"/>
    <w:semiHidden/>
    <w:unhideWhenUsed/>
    <w:rsid w:val="00FD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41"/>
    <w:rPr>
      <w:rFonts w:ascii="Segoe UI" w:hAnsi="Segoe UI" w:cs="Segoe UI"/>
      <w:sz w:val="18"/>
      <w:szCs w:val="18"/>
    </w:rPr>
  </w:style>
  <w:style w:type="character" w:styleId="CommentReference">
    <w:name w:val="annotation reference"/>
    <w:basedOn w:val="DefaultParagraphFont"/>
    <w:uiPriority w:val="99"/>
    <w:semiHidden/>
    <w:unhideWhenUsed/>
    <w:rsid w:val="00940C39"/>
    <w:rPr>
      <w:sz w:val="16"/>
      <w:szCs w:val="16"/>
    </w:rPr>
  </w:style>
  <w:style w:type="paragraph" w:styleId="CommentText">
    <w:name w:val="annotation text"/>
    <w:basedOn w:val="Normal"/>
    <w:link w:val="CommentTextChar"/>
    <w:uiPriority w:val="99"/>
    <w:semiHidden/>
    <w:unhideWhenUsed/>
    <w:rsid w:val="00940C39"/>
    <w:pPr>
      <w:spacing w:line="240" w:lineRule="auto"/>
    </w:pPr>
    <w:rPr>
      <w:sz w:val="20"/>
      <w:szCs w:val="20"/>
    </w:rPr>
  </w:style>
  <w:style w:type="character" w:customStyle="1" w:styleId="CommentTextChar">
    <w:name w:val="Comment Text Char"/>
    <w:basedOn w:val="DefaultParagraphFont"/>
    <w:link w:val="CommentText"/>
    <w:uiPriority w:val="99"/>
    <w:semiHidden/>
    <w:rsid w:val="00940C39"/>
    <w:rPr>
      <w:sz w:val="20"/>
      <w:szCs w:val="20"/>
    </w:rPr>
  </w:style>
  <w:style w:type="paragraph" w:styleId="CommentSubject">
    <w:name w:val="annotation subject"/>
    <w:basedOn w:val="CommentText"/>
    <w:next w:val="CommentText"/>
    <w:link w:val="CommentSubjectChar"/>
    <w:uiPriority w:val="99"/>
    <w:semiHidden/>
    <w:unhideWhenUsed/>
    <w:rsid w:val="00940C39"/>
    <w:rPr>
      <w:b/>
      <w:bCs/>
    </w:rPr>
  </w:style>
  <w:style w:type="character" w:customStyle="1" w:styleId="CommentSubjectChar">
    <w:name w:val="Comment Subject Char"/>
    <w:basedOn w:val="CommentTextChar"/>
    <w:link w:val="CommentSubject"/>
    <w:uiPriority w:val="99"/>
    <w:semiHidden/>
    <w:rsid w:val="00940C39"/>
    <w:rPr>
      <w:b/>
      <w:bCs/>
      <w:sz w:val="20"/>
      <w:szCs w:val="20"/>
    </w:rPr>
  </w:style>
</w:styles>
</file>

<file path=word/webSettings.xml><?xml version="1.0" encoding="utf-8"?>
<w:webSettings xmlns:r="http://schemas.openxmlformats.org/officeDocument/2006/relationships" xmlns:w="http://schemas.openxmlformats.org/wordprocessingml/2006/main">
  <w:divs>
    <w:div w:id="65499701">
      <w:bodyDiv w:val="1"/>
      <w:marLeft w:val="0"/>
      <w:marRight w:val="0"/>
      <w:marTop w:val="0"/>
      <w:marBottom w:val="0"/>
      <w:divBdr>
        <w:top w:val="none" w:sz="0" w:space="0" w:color="auto"/>
        <w:left w:val="none" w:sz="0" w:space="0" w:color="auto"/>
        <w:bottom w:val="none" w:sz="0" w:space="0" w:color="auto"/>
        <w:right w:val="none" w:sz="0" w:space="0" w:color="auto"/>
      </w:divBdr>
      <w:divsChild>
        <w:div w:id="863641509">
          <w:marLeft w:val="360"/>
          <w:marRight w:val="0"/>
          <w:marTop w:val="0"/>
          <w:marBottom w:val="0"/>
          <w:divBdr>
            <w:top w:val="none" w:sz="0" w:space="0" w:color="auto"/>
            <w:left w:val="none" w:sz="0" w:space="0" w:color="auto"/>
            <w:bottom w:val="none" w:sz="0" w:space="0" w:color="auto"/>
            <w:right w:val="none" w:sz="0" w:space="0" w:color="auto"/>
          </w:divBdr>
        </w:div>
      </w:divsChild>
    </w:div>
    <w:div w:id="71051667">
      <w:bodyDiv w:val="1"/>
      <w:marLeft w:val="0"/>
      <w:marRight w:val="0"/>
      <w:marTop w:val="0"/>
      <w:marBottom w:val="0"/>
      <w:divBdr>
        <w:top w:val="none" w:sz="0" w:space="0" w:color="auto"/>
        <w:left w:val="none" w:sz="0" w:space="0" w:color="auto"/>
        <w:bottom w:val="none" w:sz="0" w:space="0" w:color="auto"/>
        <w:right w:val="none" w:sz="0" w:space="0" w:color="auto"/>
      </w:divBdr>
    </w:div>
    <w:div w:id="283462218">
      <w:bodyDiv w:val="1"/>
      <w:marLeft w:val="0"/>
      <w:marRight w:val="0"/>
      <w:marTop w:val="0"/>
      <w:marBottom w:val="0"/>
      <w:divBdr>
        <w:top w:val="none" w:sz="0" w:space="0" w:color="auto"/>
        <w:left w:val="none" w:sz="0" w:space="0" w:color="auto"/>
        <w:bottom w:val="none" w:sz="0" w:space="0" w:color="auto"/>
        <w:right w:val="none" w:sz="0" w:space="0" w:color="auto"/>
      </w:divBdr>
    </w:div>
    <w:div w:id="407311109">
      <w:bodyDiv w:val="1"/>
      <w:marLeft w:val="0"/>
      <w:marRight w:val="0"/>
      <w:marTop w:val="0"/>
      <w:marBottom w:val="0"/>
      <w:divBdr>
        <w:top w:val="none" w:sz="0" w:space="0" w:color="auto"/>
        <w:left w:val="none" w:sz="0" w:space="0" w:color="auto"/>
        <w:bottom w:val="none" w:sz="0" w:space="0" w:color="auto"/>
        <w:right w:val="none" w:sz="0" w:space="0" w:color="auto"/>
      </w:divBdr>
    </w:div>
    <w:div w:id="514927356">
      <w:bodyDiv w:val="1"/>
      <w:marLeft w:val="0"/>
      <w:marRight w:val="0"/>
      <w:marTop w:val="0"/>
      <w:marBottom w:val="0"/>
      <w:divBdr>
        <w:top w:val="none" w:sz="0" w:space="0" w:color="auto"/>
        <w:left w:val="none" w:sz="0" w:space="0" w:color="auto"/>
        <w:bottom w:val="none" w:sz="0" w:space="0" w:color="auto"/>
        <w:right w:val="none" w:sz="0" w:space="0" w:color="auto"/>
      </w:divBdr>
    </w:div>
    <w:div w:id="635061379">
      <w:bodyDiv w:val="1"/>
      <w:marLeft w:val="0"/>
      <w:marRight w:val="0"/>
      <w:marTop w:val="0"/>
      <w:marBottom w:val="0"/>
      <w:divBdr>
        <w:top w:val="none" w:sz="0" w:space="0" w:color="auto"/>
        <w:left w:val="none" w:sz="0" w:space="0" w:color="auto"/>
        <w:bottom w:val="none" w:sz="0" w:space="0" w:color="auto"/>
        <w:right w:val="none" w:sz="0" w:space="0" w:color="auto"/>
      </w:divBdr>
    </w:div>
    <w:div w:id="744307095">
      <w:bodyDiv w:val="1"/>
      <w:marLeft w:val="0"/>
      <w:marRight w:val="0"/>
      <w:marTop w:val="0"/>
      <w:marBottom w:val="0"/>
      <w:divBdr>
        <w:top w:val="none" w:sz="0" w:space="0" w:color="auto"/>
        <w:left w:val="none" w:sz="0" w:space="0" w:color="auto"/>
        <w:bottom w:val="none" w:sz="0" w:space="0" w:color="auto"/>
        <w:right w:val="none" w:sz="0" w:space="0" w:color="auto"/>
      </w:divBdr>
      <w:divsChild>
        <w:div w:id="475996757">
          <w:marLeft w:val="360"/>
          <w:marRight w:val="0"/>
          <w:marTop w:val="0"/>
          <w:marBottom w:val="0"/>
          <w:divBdr>
            <w:top w:val="none" w:sz="0" w:space="0" w:color="auto"/>
            <w:left w:val="none" w:sz="0" w:space="0" w:color="auto"/>
            <w:bottom w:val="none" w:sz="0" w:space="0" w:color="auto"/>
            <w:right w:val="none" w:sz="0" w:space="0" w:color="auto"/>
          </w:divBdr>
        </w:div>
      </w:divsChild>
    </w:div>
    <w:div w:id="810169827">
      <w:bodyDiv w:val="1"/>
      <w:marLeft w:val="0"/>
      <w:marRight w:val="0"/>
      <w:marTop w:val="0"/>
      <w:marBottom w:val="0"/>
      <w:divBdr>
        <w:top w:val="none" w:sz="0" w:space="0" w:color="auto"/>
        <w:left w:val="none" w:sz="0" w:space="0" w:color="auto"/>
        <w:bottom w:val="none" w:sz="0" w:space="0" w:color="auto"/>
        <w:right w:val="none" w:sz="0" w:space="0" w:color="auto"/>
      </w:divBdr>
      <w:divsChild>
        <w:div w:id="1467164349">
          <w:marLeft w:val="547"/>
          <w:marRight w:val="0"/>
          <w:marTop w:val="0"/>
          <w:marBottom w:val="0"/>
          <w:divBdr>
            <w:top w:val="none" w:sz="0" w:space="0" w:color="auto"/>
            <w:left w:val="none" w:sz="0" w:space="0" w:color="auto"/>
            <w:bottom w:val="none" w:sz="0" w:space="0" w:color="auto"/>
            <w:right w:val="none" w:sz="0" w:space="0" w:color="auto"/>
          </w:divBdr>
        </w:div>
      </w:divsChild>
    </w:div>
    <w:div w:id="1129936416">
      <w:bodyDiv w:val="1"/>
      <w:marLeft w:val="0"/>
      <w:marRight w:val="0"/>
      <w:marTop w:val="0"/>
      <w:marBottom w:val="0"/>
      <w:divBdr>
        <w:top w:val="none" w:sz="0" w:space="0" w:color="auto"/>
        <w:left w:val="none" w:sz="0" w:space="0" w:color="auto"/>
        <w:bottom w:val="none" w:sz="0" w:space="0" w:color="auto"/>
        <w:right w:val="none" w:sz="0" w:space="0" w:color="auto"/>
      </w:divBdr>
      <w:divsChild>
        <w:div w:id="1371220853">
          <w:marLeft w:val="446"/>
          <w:marRight w:val="0"/>
          <w:marTop w:val="0"/>
          <w:marBottom w:val="120"/>
          <w:divBdr>
            <w:top w:val="none" w:sz="0" w:space="0" w:color="auto"/>
            <w:left w:val="none" w:sz="0" w:space="0" w:color="auto"/>
            <w:bottom w:val="none" w:sz="0" w:space="0" w:color="auto"/>
            <w:right w:val="none" w:sz="0" w:space="0" w:color="auto"/>
          </w:divBdr>
        </w:div>
      </w:divsChild>
    </w:div>
    <w:div w:id="1157914416">
      <w:bodyDiv w:val="1"/>
      <w:marLeft w:val="0"/>
      <w:marRight w:val="0"/>
      <w:marTop w:val="0"/>
      <w:marBottom w:val="0"/>
      <w:divBdr>
        <w:top w:val="none" w:sz="0" w:space="0" w:color="auto"/>
        <w:left w:val="none" w:sz="0" w:space="0" w:color="auto"/>
        <w:bottom w:val="none" w:sz="0" w:space="0" w:color="auto"/>
        <w:right w:val="none" w:sz="0" w:space="0" w:color="auto"/>
      </w:divBdr>
    </w:div>
    <w:div w:id="1203638624">
      <w:bodyDiv w:val="1"/>
      <w:marLeft w:val="0"/>
      <w:marRight w:val="0"/>
      <w:marTop w:val="0"/>
      <w:marBottom w:val="0"/>
      <w:divBdr>
        <w:top w:val="none" w:sz="0" w:space="0" w:color="auto"/>
        <w:left w:val="none" w:sz="0" w:space="0" w:color="auto"/>
        <w:bottom w:val="none" w:sz="0" w:space="0" w:color="auto"/>
        <w:right w:val="none" w:sz="0" w:space="0" w:color="auto"/>
      </w:divBdr>
    </w:div>
    <w:div w:id="1343044328">
      <w:bodyDiv w:val="1"/>
      <w:marLeft w:val="0"/>
      <w:marRight w:val="0"/>
      <w:marTop w:val="0"/>
      <w:marBottom w:val="0"/>
      <w:divBdr>
        <w:top w:val="none" w:sz="0" w:space="0" w:color="auto"/>
        <w:left w:val="none" w:sz="0" w:space="0" w:color="auto"/>
        <w:bottom w:val="none" w:sz="0" w:space="0" w:color="auto"/>
        <w:right w:val="none" w:sz="0" w:space="0" w:color="auto"/>
      </w:divBdr>
    </w:div>
    <w:div w:id="1448505687">
      <w:bodyDiv w:val="1"/>
      <w:marLeft w:val="0"/>
      <w:marRight w:val="0"/>
      <w:marTop w:val="0"/>
      <w:marBottom w:val="0"/>
      <w:divBdr>
        <w:top w:val="none" w:sz="0" w:space="0" w:color="auto"/>
        <w:left w:val="none" w:sz="0" w:space="0" w:color="auto"/>
        <w:bottom w:val="none" w:sz="0" w:space="0" w:color="auto"/>
        <w:right w:val="none" w:sz="0" w:space="0" w:color="auto"/>
      </w:divBdr>
      <w:divsChild>
        <w:div w:id="377437184">
          <w:marLeft w:val="360"/>
          <w:marRight w:val="0"/>
          <w:marTop w:val="0"/>
          <w:marBottom w:val="0"/>
          <w:divBdr>
            <w:top w:val="none" w:sz="0" w:space="0" w:color="auto"/>
            <w:left w:val="none" w:sz="0" w:space="0" w:color="auto"/>
            <w:bottom w:val="none" w:sz="0" w:space="0" w:color="auto"/>
            <w:right w:val="none" w:sz="0" w:space="0" w:color="auto"/>
          </w:divBdr>
        </w:div>
      </w:divsChild>
    </w:div>
    <w:div w:id="1523935070">
      <w:bodyDiv w:val="1"/>
      <w:marLeft w:val="0"/>
      <w:marRight w:val="0"/>
      <w:marTop w:val="0"/>
      <w:marBottom w:val="0"/>
      <w:divBdr>
        <w:top w:val="none" w:sz="0" w:space="0" w:color="auto"/>
        <w:left w:val="none" w:sz="0" w:space="0" w:color="auto"/>
        <w:bottom w:val="none" w:sz="0" w:space="0" w:color="auto"/>
        <w:right w:val="none" w:sz="0" w:space="0" w:color="auto"/>
      </w:divBdr>
      <w:divsChild>
        <w:div w:id="1928806407">
          <w:marLeft w:val="547"/>
          <w:marRight w:val="0"/>
          <w:marTop w:val="0"/>
          <w:marBottom w:val="0"/>
          <w:divBdr>
            <w:top w:val="none" w:sz="0" w:space="0" w:color="auto"/>
            <w:left w:val="none" w:sz="0" w:space="0" w:color="auto"/>
            <w:bottom w:val="none" w:sz="0" w:space="0" w:color="auto"/>
            <w:right w:val="none" w:sz="0" w:space="0" w:color="auto"/>
          </w:divBdr>
        </w:div>
        <w:div w:id="1164853271">
          <w:marLeft w:val="547"/>
          <w:marRight w:val="0"/>
          <w:marTop w:val="0"/>
          <w:marBottom w:val="0"/>
          <w:divBdr>
            <w:top w:val="none" w:sz="0" w:space="0" w:color="auto"/>
            <w:left w:val="none" w:sz="0" w:space="0" w:color="auto"/>
            <w:bottom w:val="none" w:sz="0" w:space="0" w:color="auto"/>
            <w:right w:val="none" w:sz="0" w:space="0" w:color="auto"/>
          </w:divBdr>
        </w:div>
      </w:divsChild>
    </w:div>
    <w:div w:id="1622569026">
      <w:bodyDiv w:val="1"/>
      <w:marLeft w:val="0"/>
      <w:marRight w:val="0"/>
      <w:marTop w:val="0"/>
      <w:marBottom w:val="0"/>
      <w:divBdr>
        <w:top w:val="none" w:sz="0" w:space="0" w:color="auto"/>
        <w:left w:val="none" w:sz="0" w:space="0" w:color="auto"/>
        <w:bottom w:val="none" w:sz="0" w:space="0" w:color="auto"/>
        <w:right w:val="none" w:sz="0" w:space="0" w:color="auto"/>
      </w:divBdr>
    </w:div>
    <w:div w:id="1649479868">
      <w:bodyDiv w:val="1"/>
      <w:marLeft w:val="0"/>
      <w:marRight w:val="0"/>
      <w:marTop w:val="0"/>
      <w:marBottom w:val="0"/>
      <w:divBdr>
        <w:top w:val="none" w:sz="0" w:space="0" w:color="auto"/>
        <w:left w:val="none" w:sz="0" w:space="0" w:color="auto"/>
        <w:bottom w:val="none" w:sz="0" w:space="0" w:color="auto"/>
        <w:right w:val="none" w:sz="0" w:space="0" w:color="auto"/>
      </w:divBdr>
    </w:div>
    <w:div w:id="1959220475">
      <w:bodyDiv w:val="1"/>
      <w:marLeft w:val="0"/>
      <w:marRight w:val="0"/>
      <w:marTop w:val="0"/>
      <w:marBottom w:val="0"/>
      <w:divBdr>
        <w:top w:val="none" w:sz="0" w:space="0" w:color="auto"/>
        <w:left w:val="none" w:sz="0" w:space="0" w:color="auto"/>
        <w:bottom w:val="none" w:sz="0" w:space="0" w:color="auto"/>
        <w:right w:val="none" w:sz="0" w:space="0" w:color="auto"/>
      </w:divBdr>
    </w:div>
    <w:div w:id="1972124344">
      <w:bodyDiv w:val="1"/>
      <w:marLeft w:val="0"/>
      <w:marRight w:val="0"/>
      <w:marTop w:val="0"/>
      <w:marBottom w:val="0"/>
      <w:divBdr>
        <w:top w:val="none" w:sz="0" w:space="0" w:color="auto"/>
        <w:left w:val="none" w:sz="0" w:space="0" w:color="auto"/>
        <w:bottom w:val="none" w:sz="0" w:space="0" w:color="auto"/>
        <w:right w:val="none" w:sz="0" w:space="0" w:color="auto"/>
      </w:divBdr>
    </w:div>
    <w:div w:id="2081559133">
      <w:bodyDiv w:val="1"/>
      <w:marLeft w:val="0"/>
      <w:marRight w:val="0"/>
      <w:marTop w:val="0"/>
      <w:marBottom w:val="0"/>
      <w:divBdr>
        <w:top w:val="none" w:sz="0" w:space="0" w:color="auto"/>
        <w:left w:val="none" w:sz="0" w:space="0" w:color="auto"/>
        <w:bottom w:val="none" w:sz="0" w:space="0" w:color="auto"/>
        <w:right w:val="none" w:sz="0" w:space="0" w:color="auto"/>
      </w:divBdr>
      <w:divsChild>
        <w:div w:id="125320191">
          <w:marLeft w:val="446"/>
          <w:marRight w:val="0"/>
          <w:marTop w:val="0"/>
          <w:marBottom w:val="120"/>
          <w:divBdr>
            <w:top w:val="none" w:sz="0" w:space="0" w:color="auto"/>
            <w:left w:val="none" w:sz="0" w:space="0" w:color="auto"/>
            <w:bottom w:val="none" w:sz="0" w:space="0" w:color="auto"/>
            <w:right w:val="none" w:sz="0" w:space="0" w:color="auto"/>
          </w:divBdr>
        </w:div>
        <w:div w:id="1399089969">
          <w:marLeft w:val="446"/>
          <w:marRight w:val="0"/>
          <w:marTop w:val="0"/>
          <w:marBottom w:val="120"/>
          <w:divBdr>
            <w:top w:val="none" w:sz="0" w:space="0" w:color="auto"/>
            <w:left w:val="none" w:sz="0" w:space="0" w:color="auto"/>
            <w:bottom w:val="none" w:sz="0" w:space="0" w:color="auto"/>
            <w:right w:val="none" w:sz="0" w:space="0" w:color="auto"/>
          </w:divBdr>
        </w:div>
        <w:div w:id="1020401524">
          <w:marLeft w:val="1166"/>
          <w:marRight w:val="0"/>
          <w:marTop w:val="0"/>
          <w:marBottom w:val="0"/>
          <w:divBdr>
            <w:top w:val="none" w:sz="0" w:space="0" w:color="auto"/>
            <w:left w:val="none" w:sz="0" w:space="0" w:color="auto"/>
            <w:bottom w:val="none" w:sz="0" w:space="0" w:color="auto"/>
            <w:right w:val="none" w:sz="0" w:space="0" w:color="auto"/>
          </w:divBdr>
        </w:div>
        <w:div w:id="1901790432">
          <w:marLeft w:val="1166"/>
          <w:marRight w:val="0"/>
          <w:marTop w:val="0"/>
          <w:marBottom w:val="0"/>
          <w:divBdr>
            <w:top w:val="none" w:sz="0" w:space="0" w:color="auto"/>
            <w:left w:val="none" w:sz="0" w:space="0" w:color="auto"/>
            <w:bottom w:val="none" w:sz="0" w:space="0" w:color="auto"/>
            <w:right w:val="none" w:sz="0" w:space="0" w:color="auto"/>
          </w:divBdr>
        </w:div>
      </w:divsChild>
    </w:div>
    <w:div w:id="2099060641">
      <w:bodyDiv w:val="1"/>
      <w:marLeft w:val="0"/>
      <w:marRight w:val="0"/>
      <w:marTop w:val="0"/>
      <w:marBottom w:val="0"/>
      <w:divBdr>
        <w:top w:val="none" w:sz="0" w:space="0" w:color="auto"/>
        <w:left w:val="none" w:sz="0" w:space="0" w:color="auto"/>
        <w:bottom w:val="none" w:sz="0" w:space="0" w:color="auto"/>
        <w:right w:val="none" w:sz="0" w:space="0" w:color="auto"/>
      </w:divBdr>
      <w:divsChild>
        <w:div w:id="71620120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FB65-01D3-4CED-81E3-DC8E0A9C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2022-06-15T19:11:00Z</dcterms:created>
  <dcterms:modified xsi:type="dcterms:W3CDTF">2022-06-15T19:11:00Z</dcterms:modified>
</cp:coreProperties>
</file>