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5A" w:rsidRPr="00A867AE" w:rsidRDefault="000A5D00" w:rsidP="00A867AE">
      <w:pPr>
        <w:tabs>
          <w:tab w:val="left" w:pos="1160"/>
        </w:tabs>
        <w:spacing w:line="240" w:lineRule="auto"/>
        <w:jc w:val="left"/>
        <w:rPr>
          <w:rFonts w:ascii="Arial" w:hAnsi="Arial" w:cs="Arial"/>
          <w:b/>
          <w:bCs/>
          <w:sz w:val="20"/>
          <w:szCs w:val="20"/>
          <w:lang w:val="en-ZA"/>
        </w:rPr>
      </w:pPr>
      <w:r w:rsidRPr="00A867AE">
        <w:rPr>
          <w:rFonts w:ascii="Arial" w:hAnsi="Arial" w:cs="Arial"/>
          <w:b/>
          <w:sz w:val="20"/>
          <w:szCs w:val="20"/>
        </w:rPr>
        <w:t>Report of the Portfolio</w:t>
      </w:r>
      <w:r w:rsidR="00E015D1" w:rsidRPr="00A867AE">
        <w:rPr>
          <w:rFonts w:ascii="Arial" w:hAnsi="Arial" w:cs="Arial"/>
          <w:b/>
          <w:sz w:val="20"/>
          <w:szCs w:val="20"/>
        </w:rPr>
        <w:t xml:space="preserve"> Committee on Higher Education, Science and </w:t>
      </w:r>
      <w:r w:rsidR="005F18BE" w:rsidRPr="00A867AE">
        <w:rPr>
          <w:rFonts w:ascii="Arial" w:hAnsi="Arial" w:cs="Arial"/>
          <w:b/>
          <w:sz w:val="20"/>
          <w:szCs w:val="20"/>
        </w:rPr>
        <w:t xml:space="preserve">Innovation </w:t>
      </w:r>
      <w:r w:rsidR="00E015D1" w:rsidRPr="00A867AE">
        <w:rPr>
          <w:rFonts w:ascii="Arial" w:hAnsi="Arial" w:cs="Arial"/>
          <w:b/>
          <w:sz w:val="20"/>
          <w:szCs w:val="20"/>
        </w:rPr>
        <w:t xml:space="preserve">on the consideration of the </w:t>
      </w:r>
      <w:r w:rsidR="00B2753A" w:rsidRPr="00A867AE">
        <w:rPr>
          <w:rFonts w:ascii="Arial" w:hAnsi="Arial" w:cs="Arial"/>
          <w:b/>
          <w:sz w:val="20"/>
          <w:szCs w:val="20"/>
        </w:rPr>
        <w:t>Financial and Non-Financial Performance of the 202</w:t>
      </w:r>
      <w:r w:rsidR="001D21BE" w:rsidRPr="00A867AE">
        <w:rPr>
          <w:rFonts w:ascii="Arial" w:hAnsi="Arial" w:cs="Arial"/>
          <w:b/>
          <w:sz w:val="20"/>
          <w:szCs w:val="20"/>
        </w:rPr>
        <w:t>1</w:t>
      </w:r>
      <w:r w:rsidR="00B2753A" w:rsidRPr="00A867AE">
        <w:rPr>
          <w:rFonts w:ascii="Arial" w:hAnsi="Arial" w:cs="Arial"/>
          <w:b/>
          <w:sz w:val="20"/>
          <w:szCs w:val="20"/>
        </w:rPr>
        <w:t>/2</w:t>
      </w:r>
      <w:r w:rsidR="001D21BE" w:rsidRPr="00A867AE">
        <w:rPr>
          <w:rFonts w:ascii="Arial" w:hAnsi="Arial" w:cs="Arial"/>
          <w:b/>
          <w:sz w:val="20"/>
          <w:szCs w:val="20"/>
        </w:rPr>
        <w:t>2</w:t>
      </w:r>
      <w:r w:rsidR="00B2753A" w:rsidRPr="00A867AE">
        <w:rPr>
          <w:rFonts w:ascii="Arial" w:hAnsi="Arial" w:cs="Arial"/>
          <w:b/>
          <w:sz w:val="20"/>
          <w:szCs w:val="20"/>
        </w:rPr>
        <w:t xml:space="preserve"> </w:t>
      </w:r>
      <w:r w:rsidR="001D21BE" w:rsidRPr="00A867AE">
        <w:rPr>
          <w:rFonts w:ascii="Arial" w:hAnsi="Arial" w:cs="Arial"/>
          <w:b/>
          <w:sz w:val="20"/>
          <w:szCs w:val="20"/>
        </w:rPr>
        <w:t xml:space="preserve">Second and </w:t>
      </w:r>
      <w:r w:rsidR="009729CE" w:rsidRPr="00A867AE">
        <w:rPr>
          <w:rFonts w:ascii="Arial" w:hAnsi="Arial" w:cs="Arial"/>
          <w:b/>
          <w:sz w:val="20"/>
          <w:szCs w:val="20"/>
        </w:rPr>
        <w:t>Thir</w:t>
      </w:r>
      <w:r w:rsidR="003A7D5A" w:rsidRPr="00A867AE">
        <w:rPr>
          <w:rFonts w:ascii="Arial" w:hAnsi="Arial" w:cs="Arial"/>
          <w:b/>
          <w:sz w:val="20"/>
          <w:szCs w:val="20"/>
        </w:rPr>
        <w:t>d Quarter</w:t>
      </w:r>
      <w:r w:rsidR="004918A6" w:rsidRPr="00A867AE">
        <w:rPr>
          <w:rFonts w:ascii="Arial" w:hAnsi="Arial" w:cs="Arial"/>
          <w:b/>
          <w:sz w:val="20"/>
          <w:szCs w:val="20"/>
        </w:rPr>
        <w:t>s</w:t>
      </w:r>
      <w:r w:rsidR="003A7D5A" w:rsidRPr="00A867AE">
        <w:rPr>
          <w:rFonts w:ascii="Arial" w:hAnsi="Arial" w:cs="Arial"/>
          <w:b/>
          <w:sz w:val="20"/>
          <w:szCs w:val="20"/>
        </w:rPr>
        <w:t xml:space="preserve"> </w:t>
      </w:r>
      <w:r w:rsidR="003A7D5A" w:rsidRPr="00A867AE">
        <w:rPr>
          <w:rFonts w:ascii="Arial" w:hAnsi="Arial" w:cs="Arial"/>
          <w:b/>
          <w:bCs/>
          <w:sz w:val="20"/>
          <w:szCs w:val="20"/>
          <w:lang w:val="en-ZA"/>
        </w:rPr>
        <w:t xml:space="preserve">of the </w:t>
      </w:r>
      <w:r w:rsidR="003A7D5A" w:rsidRPr="00A867AE">
        <w:rPr>
          <w:rFonts w:ascii="Arial" w:hAnsi="Arial" w:cs="Arial"/>
          <w:b/>
          <w:sz w:val="20"/>
          <w:szCs w:val="20"/>
        </w:rPr>
        <w:t xml:space="preserve">Department </w:t>
      </w:r>
      <w:r w:rsidR="00313C19" w:rsidRPr="00A867AE">
        <w:rPr>
          <w:rFonts w:ascii="Arial" w:hAnsi="Arial" w:cs="Arial"/>
          <w:b/>
          <w:sz w:val="20"/>
          <w:szCs w:val="20"/>
        </w:rPr>
        <w:t>of Science and Innovation</w:t>
      </w:r>
      <w:r w:rsidR="00D10FB3" w:rsidRPr="00A867AE">
        <w:rPr>
          <w:rFonts w:ascii="Arial" w:hAnsi="Arial" w:cs="Arial"/>
          <w:b/>
          <w:sz w:val="20"/>
          <w:szCs w:val="20"/>
        </w:rPr>
        <w:t>, Dated 15 June 2022</w:t>
      </w:r>
    </w:p>
    <w:p w:rsidR="000A5D00" w:rsidRPr="00A867AE" w:rsidRDefault="000A5D00" w:rsidP="00A867AE">
      <w:pPr>
        <w:spacing w:line="240" w:lineRule="auto"/>
        <w:jc w:val="left"/>
        <w:rPr>
          <w:rFonts w:ascii="Arial" w:hAnsi="Arial" w:cs="Arial"/>
          <w:b/>
          <w:sz w:val="20"/>
          <w:szCs w:val="20"/>
        </w:rPr>
      </w:pPr>
    </w:p>
    <w:p w:rsidR="00CA3FF8" w:rsidRPr="00A867AE" w:rsidRDefault="00CA3FF8" w:rsidP="00A867AE">
      <w:pPr>
        <w:spacing w:line="240" w:lineRule="auto"/>
        <w:jc w:val="left"/>
        <w:rPr>
          <w:rFonts w:ascii="Arial" w:hAnsi="Arial" w:cs="Arial"/>
          <w:b/>
          <w:sz w:val="20"/>
          <w:szCs w:val="20"/>
        </w:rPr>
      </w:pPr>
      <w:r w:rsidRPr="00A867AE">
        <w:rPr>
          <w:rFonts w:ascii="Arial" w:hAnsi="Arial" w:cs="Arial"/>
          <w:b/>
          <w:sz w:val="20"/>
          <w:szCs w:val="20"/>
        </w:rPr>
        <w:t xml:space="preserve">The Portfolio on Higher Education, Science and </w:t>
      </w:r>
      <w:r w:rsidR="005F18BE" w:rsidRPr="00A867AE">
        <w:rPr>
          <w:rFonts w:ascii="Arial" w:hAnsi="Arial" w:cs="Arial"/>
          <w:b/>
          <w:sz w:val="20"/>
          <w:szCs w:val="20"/>
        </w:rPr>
        <w:t>Innovation</w:t>
      </w:r>
      <w:r w:rsidRPr="00A867AE">
        <w:rPr>
          <w:rFonts w:ascii="Arial" w:hAnsi="Arial" w:cs="Arial"/>
          <w:b/>
          <w:sz w:val="20"/>
          <w:szCs w:val="20"/>
        </w:rPr>
        <w:t>, having considered the Financial and Non-Financial Performance of the 202</w:t>
      </w:r>
      <w:r w:rsidR="001D21BE" w:rsidRPr="00A867AE">
        <w:rPr>
          <w:rFonts w:ascii="Arial" w:hAnsi="Arial" w:cs="Arial"/>
          <w:b/>
          <w:sz w:val="20"/>
          <w:szCs w:val="20"/>
        </w:rPr>
        <w:t>1</w:t>
      </w:r>
      <w:r w:rsidRPr="00A867AE">
        <w:rPr>
          <w:rFonts w:ascii="Arial" w:hAnsi="Arial" w:cs="Arial"/>
          <w:b/>
          <w:sz w:val="20"/>
          <w:szCs w:val="20"/>
        </w:rPr>
        <w:t>/2</w:t>
      </w:r>
      <w:r w:rsidR="001D21BE" w:rsidRPr="00A867AE">
        <w:rPr>
          <w:rFonts w:ascii="Arial" w:hAnsi="Arial" w:cs="Arial"/>
          <w:b/>
          <w:sz w:val="20"/>
          <w:szCs w:val="20"/>
        </w:rPr>
        <w:t>2</w:t>
      </w:r>
      <w:r w:rsidRPr="00A867AE">
        <w:rPr>
          <w:rFonts w:ascii="Arial" w:hAnsi="Arial" w:cs="Arial"/>
          <w:b/>
          <w:sz w:val="20"/>
          <w:szCs w:val="20"/>
        </w:rPr>
        <w:t xml:space="preserve"> </w:t>
      </w:r>
      <w:r w:rsidR="001D21BE" w:rsidRPr="00A867AE">
        <w:rPr>
          <w:rFonts w:ascii="Arial" w:hAnsi="Arial" w:cs="Arial"/>
          <w:b/>
          <w:sz w:val="20"/>
          <w:szCs w:val="20"/>
        </w:rPr>
        <w:t xml:space="preserve">Second and </w:t>
      </w:r>
      <w:r w:rsidR="009729CE" w:rsidRPr="00A867AE">
        <w:rPr>
          <w:rFonts w:ascii="Arial" w:hAnsi="Arial" w:cs="Arial"/>
          <w:b/>
          <w:sz w:val="20"/>
          <w:szCs w:val="20"/>
        </w:rPr>
        <w:t>Thir</w:t>
      </w:r>
      <w:r w:rsidRPr="00A867AE">
        <w:rPr>
          <w:rFonts w:ascii="Arial" w:hAnsi="Arial" w:cs="Arial"/>
          <w:b/>
          <w:sz w:val="20"/>
          <w:szCs w:val="20"/>
        </w:rPr>
        <w:t>d Quarter</w:t>
      </w:r>
      <w:r w:rsidR="004918A6" w:rsidRPr="00A867AE">
        <w:rPr>
          <w:rFonts w:ascii="Arial" w:hAnsi="Arial" w:cs="Arial"/>
          <w:b/>
          <w:sz w:val="20"/>
          <w:szCs w:val="20"/>
        </w:rPr>
        <w:t>s</w:t>
      </w:r>
      <w:r w:rsidRPr="00A867AE">
        <w:rPr>
          <w:rFonts w:ascii="Arial" w:hAnsi="Arial" w:cs="Arial"/>
          <w:b/>
          <w:sz w:val="20"/>
          <w:szCs w:val="20"/>
        </w:rPr>
        <w:t xml:space="preserve"> of the Department of Science and Innovation, reports as follows:</w:t>
      </w:r>
    </w:p>
    <w:p w:rsidR="00EE3EA6" w:rsidRPr="00A867AE" w:rsidRDefault="00EE3EA6" w:rsidP="00A867AE">
      <w:pPr>
        <w:autoSpaceDE w:val="0"/>
        <w:autoSpaceDN w:val="0"/>
        <w:adjustRightInd w:val="0"/>
        <w:spacing w:line="240" w:lineRule="auto"/>
        <w:jc w:val="left"/>
        <w:rPr>
          <w:rFonts w:ascii="Arial" w:eastAsiaTheme="minorHAnsi" w:hAnsi="Arial" w:cs="Arial"/>
          <w:sz w:val="20"/>
          <w:szCs w:val="20"/>
          <w:lang w:val="en-ZA"/>
        </w:rPr>
      </w:pPr>
    </w:p>
    <w:p w:rsidR="00827489" w:rsidRPr="00A867AE" w:rsidRDefault="00827489" w:rsidP="00A867AE">
      <w:pPr>
        <w:pStyle w:val="ListParagraph"/>
        <w:numPr>
          <w:ilvl w:val="0"/>
          <w:numId w:val="16"/>
        </w:numPr>
        <w:spacing w:line="240" w:lineRule="auto"/>
        <w:ind w:left="567" w:hanging="567"/>
        <w:jc w:val="left"/>
        <w:rPr>
          <w:rFonts w:cs="Arial"/>
          <w:b/>
          <w:sz w:val="20"/>
          <w:szCs w:val="20"/>
        </w:rPr>
      </w:pPr>
      <w:r w:rsidRPr="00A867AE">
        <w:rPr>
          <w:rFonts w:cs="Arial"/>
          <w:b/>
          <w:sz w:val="20"/>
          <w:szCs w:val="20"/>
        </w:rPr>
        <w:t>Introduction</w:t>
      </w:r>
    </w:p>
    <w:p w:rsidR="00827489" w:rsidRPr="00A867AE" w:rsidRDefault="00827489" w:rsidP="00A867AE">
      <w:pPr>
        <w:spacing w:line="240" w:lineRule="auto"/>
        <w:jc w:val="left"/>
        <w:rPr>
          <w:rFonts w:ascii="Arial" w:hAnsi="Arial" w:cs="Arial"/>
          <w:sz w:val="20"/>
          <w:szCs w:val="20"/>
        </w:rPr>
      </w:pPr>
    </w:p>
    <w:p w:rsidR="00827489" w:rsidRPr="00A867AE" w:rsidRDefault="00827489" w:rsidP="00A867AE">
      <w:pPr>
        <w:spacing w:line="240" w:lineRule="auto"/>
        <w:jc w:val="left"/>
        <w:rPr>
          <w:rFonts w:ascii="Arial" w:hAnsi="Arial" w:cs="Arial"/>
          <w:sz w:val="20"/>
          <w:szCs w:val="20"/>
        </w:rPr>
      </w:pPr>
      <w:r w:rsidRPr="00A867AE">
        <w:rPr>
          <w:rFonts w:ascii="Arial" w:hAnsi="Arial" w:cs="Arial"/>
          <w:sz w:val="20"/>
          <w:szCs w:val="20"/>
        </w:rPr>
        <w:t>Section 5 of the Money Bills Amendment Procedure and Related Matters Act (9 of 2009) (hereafter, the Money Bills Act), as amended by Act 13 of 2018, requires the National Assembly, through its committees, to annually assess the performance of each national department. This culminates in a committee submitting a Budgetary Review and Recommendation (BRR) Report where the committee may make recommendations on the forward use of resources to address the implementation of policy priorities and services, as the relevant department may require additional, reduced or re-configured resources to achieve these priorities and services.</w:t>
      </w:r>
    </w:p>
    <w:p w:rsidR="00827489" w:rsidRPr="00A867AE" w:rsidRDefault="00827489" w:rsidP="00A867AE">
      <w:pPr>
        <w:spacing w:line="240" w:lineRule="auto"/>
        <w:jc w:val="left"/>
        <w:rPr>
          <w:rFonts w:ascii="Arial" w:hAnsi="Arial" w:cs="Arial"/>
          <w:sz w:val="20"/>
          <w:szCs w:val="20"/>
        </w:rPr>
      </w:pPr>
    </w:p>
    <w:p w:rsidR="00827489" w:rsidRPr="00A867AE" w:rsidRDefault="00827489" w:rsidP="00A867AE">
      <w:pPr>
        <w:spacing w:line="240" w:lineRule="auto"/>
        <w:jc w:val="left"/>
        <w:rPr>
          <w:rFonts w:ascii="Arial" w:hAnsi="Arial" w:cs="Arial"/>
          <w:sz w:val="20"/>
          <w:szCs w:val="20"/>
        </w:rPr>
      </w:pPr>
      <w:r w:rsidRPr="00A867AE">
        <w:rPr>
          <w:rFonts w:ascii="Arial" w:hAnsi="Arial" w:cs="Arial"/>
          <w:sz w:val="20"/>
          <w:szCs w:val="20"/>
        </w:rPr>
        <w:t xml:space="preserve">To give effect to the requirement of Section 5 of the Money Bills Act, the Portfolio Committee on Higher Education, Science and </w:t>
      </w:r>
      <w:r w:rsidR="005F18BE" w:rsidRPr="00A867AE">
        <w:rPr>
          <w:rFonts w:ascii="Arial" w:hAnsi="Arial" w:cs="Arial"/>
          <w:sz w:val="20"/>
          <w:szCs w:val="20"/>
        </w:rPr>
        <w:t xml:space="preserve">Innovation </w:t>
      </w:r>
      <w:r w:rsidRPr="00A867AE">
        <w:rPr>
          <w:rFonts w:ascii="Arial" w:hAnsi="Arial" w:cs="Arial"/>
          <w:sz w:val="20"/>
          <w:szCs w:val="20"/>
        </w:rPr>
        <w:t xml:space="preserve">(hereafter, the Committee), on </w:t>
      </w:r>
      <w:r w:rsidR="00CA45DF" w:rsidRPr="00A867AE">
        <w:rPr>
          <w:rFonts w:ascii="Arial" w:hAnsi="Arial" w:cs="Arial"/>
          <w:sz w:val="20"/>
          <w:szCs w:val="20"/>
        </w:rPr>
        <w:t>4</w:t>
      </w:r>
      <w:r w:rsidRPr="00A867AE">
        <w:rPr>
          <w:rFonts w:ascii="Arial" w:hAnsi="Arial" w:cs="Arial"/>
          <w:sz w:val="20"/>
          <w:szCs w:val="20"/>
        </w:rPr>
        <w:t xml:space="preserve"> March 202</w:t>
      </w:r>
      <w:r w:rsidR="00CA45DF" w:rsidRPr="00A867AE">
        <w:rPr>
          <w:rFonts w:ascii="Arial" w:hAnsi="Arial" w:cs="Arial"/>
          <w:sz w:val="20"/>
          <w:szCs w:val="20"/>
        </w:rPr>
        <w:t>2</w:t>
      </w:r>
      <w:r w:rsidRPr="00A867AE">
        <w:rPr>
          <w:rFonts w:ascii="Arial" w:hAnsi="Arial" w:cs="Arial"/>
          <w:sz w:val="20"/>
          <w:szCs w:val="20"/>
        </w:rPr>
        <w:t>, consider</w:t>
      </w:r>
      <w:r w:rsidR="00146ED7" w:rsidRPr="00A867AE">
        <w:rPr>
          <w:rFonts w:ascii="Arial" w:hAnsi="Arial" w:cs="Arial"/>
          <w:sz w:val="20"/>
          <w:szCs w:val="20"/>
        </w:rPr>
        <w:t>ed</w:t>
      </w:r>
      <w:r w:rsidRPr="00A867AE">
        <w:rPr>
          <w:rFonts w:ascii="Arial" w:hAnsi="Arial" w:cs="Arial"/>
          <w:sz w:val="20"/>
          <w:szCs w:val="20"/>
        </w:rPr>
        <w:t xml:space="preserve"> the </w:t>
      </w:r>
      <w:r w:rsidR="005F18BE" w:rsidRPr="00A867AE">
        <w:rPr>
          <w:rFonts w:ascii="Arial" w:hAnsi="Arial" w:cs="Arial"/>
          <w:sz w:val="20"/>
          <w:szCs w:val="20"/>
        </w:rPr>
        <w:t xml:space="preserve">financial and non-financial performance of the </w:t>
      </w:r>
      <w:r w:rsidRPr="00A867AE">
        <w:rPr>
          <w:rFonts w:ascii="Arial" w:hAnsi="Arial" w:cs="Arial"/>
          <w:sz w:val="20"/>
          <w:szCs w:val="20"/>
        </w:rPr>
        <w:t>202</w:t>
      </w:r>
      <w:r w:rsidR="00CA723D" w:rsidRPr="00A867AE">
        <w:rPr>
          <w:rFonts w:ascii="Arial" w:hAnsi="Arial" w:cs="Arial"/>
          <w:sz w:val="20"/>
          <w:szCs w:val="20"/>
        </w:rPr>
        <w:t>1</w:t>
      </w:r>
      <w:r w:rsidRPr="00A867AE">
        <w:rPr>
          <w:rFonts w:ascii="Arial" w:hAnsi="Arial" w:cs="Arial"/>
          <w:sz w:val="20"/>
          <w:szCs w:val="20"/>
        </w:rPr>
        <w:t>/2</w:t>
      </w:r>
      <w:r w:rsidR="00CA723D" w:rsidRPr="00A867AE">
        <w:rPr>
          <w:rFonts w:ascii="Arial" w:hAnsi="Arial" w:cs="Arial"/>
          <w:sz w:val="20"/>
          <w:szCs w:val="20"/>
        </w:rPr>
        <w:t>2</w:t>
      </w:r>
      <w:r w:rsidRPr="00A867AE">
        <w:rPr>
          <w:rFonts w:ascii="Arial" w:hAnsi="Arial" w:cs="Arial"/>
          <w:sz w:val="20"/>
          <w:szCs w:val="20"/>
        </w:rPr>
        <w:t xml:space="preserve"> </w:t>
      </w:r>
      <w:r w:rsidR="00CA723D" w:rsidRPr="00A867AE">
        <w:rPr>
          <w:rFonts w:ascii="Arial" w:hAnsi="Arial" w:cs="Arial"/>
          <w:sz w:val="20"/>
          <w:szCs w:val="20"/>
        </w:rPr>
        <w:t xml:space="preserve">second and </w:t>
      </w:r>
      <w:r w:rsidRPr="00A867AE">
        <w:rPr>
          <w:rFonts w:ascii="Arial" w:hAnsi="Arial" w:cs="Arial"/>
          <w:sz w:val="20"/>
          <w:szCs w:val="20"/>
        </w:rPr>
        <w:t>third quarter</w:t>
      </w:r>
      <w:r w:rsidR="005F18BE" w:rsidRPr="00A867AE">
        <w:rPr>
          <w:rFonts w:ascii="Arial" w:hAnsi="Arial" w:cs="Arial"/>
          <w:sz w:val="20"/>
          <w:szCs w:val="20"/>
        </w:rPr>
        <w:t>s</w:t>
      </w:r>
      <w:r w:rsidRPr="00A867AE">
        <w:rPr>
          <w:rFonts w:ascii="Arial" w:hAnsi="Arial" w:cs="Arial"/>
          <w:sz w:val="20"/>
          <w:szCs w:val="20"/>
        </w:rPr>
        <w:t xml:space="preserve"> of the Department of Science and Innovation (hereafter, the Department</w:t>
      </w:r>
      <w:r w:rsidR="00F50F56" w:rsidRPr="00A867AE">
        <w:rPr>
          <w:rFonts w:ascii="Arial" w:hAnsi="Arial" w:cs="Arial"/>
          <w:sz w:val="20"/>
          <w:szCs w:val="20"/>
        </w:rPr>
        <w:t xml:space="preserve"> or DSI</w:t>
      </w:r>
      <w:r w:rsidRPr="00A867AE">
        <w:rPr>
          <w:rFonts w:ascii="Arial" w:hAnsi="Arial" w:cs="Arial"/>
          <w:sz w:val="20"/>
          <w:szCs w:val="20"/>
        </w:rPr>
        <w:t>).</w:t>
      </w:r>
    </w:p>
    <w:p w:rsidR="00BB7B56" w:rsidRPr="00A867AE" w:rsidRDefault="00BB7B56" w:rsidP="00A867AE">
      <w:pPr>
        <w:spacing w:line="240" w:lineRule="auto"/>
        <w:jc w:val="left"/>
        <w:rPr>
          <w:rFonts w:ascii="Arial" w:hAnsi="Arial" w:cs="Arial"/>
          <w:sz w:val="20"/>
          <w:szCs w:val="20"/>
        </w:rPr>
      </w:pPr>
    </w:p>
    <w:p w:rsidR="00BB7B56" w:rsidRPr="00A867AE" w:rsidRDefault="00BB7B56" w:rsidP="00A867AE">
      <w:pPr>
        <w:pStyle w:val="ListParagraph"/>
        <w:numPr>
          <w:ilvl w:val="0"/>
          <w:numId w:val="16"/>
        </w:numPr>
        <w:spacing w:line="240" w:lineRule="auto"/>
        <w:ind w:left="567" w:hanging="567"/>
        <w:jc w:val="left"/>
        <w:rPr>
          <w:rFonts w:cs="Arial"/>
          <w:sz w:val="20"/>
          <w:szCs w:val="20"/>
        </w:rPr>
      </w:pPr>
      <w:r w:rsidRPr="00A867AE">
        <w:rPr>
          <w:rFonts w:cs="Arial"/>
          <w:b/>
          <w:sz w:val="20"/>
          <w:szCs w:val="20"/>
        </w:rPr>
        <w:t>2021/22 Budget Allocation to Vote 35: Science and Innovation</w:t>
      </w:r>
    </w:p>
    <w:p w:rsidR="00BB7B56" w:rsidRPr="00A867AE" w:rsidRDefault="00BB7B56" w:rsidP="00A867AE">
      <w:pPr>
        <w:spacing w:line="240" w:lineRule="auto"/>
        <w:jc w:val="left"/>
        <w:rPr>
          <w:rFonts w:ascii="Arial" w:hAnsi="Arial" w:cs="Arial"/>
          <w:sz w:val="20"/>
          <w:szCs w:val="20"/>
        </w:rPr>
      </w:pPr>
    </w:p>
    <w:p w:rsidR="00BB7B56" w:rsidRPr="00A867AE" w:rsidRDefault="00BB7B56" w:rsidP="00A867AE">
      <w:pPr>
        <w:spacing w:line="240" w:lineRule="auto"/>
        <w:jc w:val="left"/>
        <w:rPr>
          <w:rFonts w:ascii="Arial" w:hAnsi="Arial" w:cs="Arial"/>
          <w:sz w:val="20"/>
          <w:szCs w:val="20"/>
          <w:lang w:val="en-ZA"/>
        </w:rPr>
      </w:pPr>
      <w:r w:rsidRPr="00A867AE">
        <w:rPr>
          <w:rFonts w:ascii="Arial" w:hAnsi="Arial" w:cs="Arial"/>
          <w:sz w:val="20"/>
          <w:szCs w:val="20"/>
          <w:lang w:val="en-ZA"/>
        </w:rPr>
        <w:t>The 2021/22 consolidated government expenditure for innovation, science and technology was R17.4 billion (R15.4 billion in 2020/21, revised estimate), which was 1% of the total Medium Term Expenditure Framework (MTEF) allocation and 8.4% of the consolidated economic development expenditure of R207.5 billion.</w:t>
      </w:r>
    </w:p>
    <w:p w:rsidR="00BB7B56" w:rsidRPr="00A867AE" w:rsidRDefault="00BB7B56" w:rsidP="00A867AE">
      <w:pPr>
        <w:spacing w:line="240" w:lineRule="auto"/>
        <w:jc w:val="left"/>
        <w:rPr>
          <w:rFonts w:ascii="Arial" w:hAnsi="Arial" w:cs="Arial"/>
          <w:sz w:val="20"/>
          <w:szCs w:val="20"/>
        </w:rPr>
      </w:pPr>
    </w:p>
    <w:p w:rsidR="00BB7B56" w:rsidRPr="00A867AE" w:rsidRDefault="00BB7B56" w:rsidP="00A867AE">
      <w:pPr>
        <w:spacing w:line="240" w:lineRule="auto"/>
        <w:jc w:val="left"/>
        <w:rPr>
          <w:rFonts w:ascii="Arial" w:hAnsi="Arial" w:cs="Arial"/>
          <w:sz w:val="20"/>
          <w:szCs w:val="20"/>
        </w:rPr>
      </w:pPr>
      <w:r w:rsidRPr="00A867AE">
        <w:rPr>
          <w:rFonts w:ascii="Arial" w:hAnsi="Arial" w:cs="Arial"/>
          <w:sz w:val="20"/>
          <w:szCs w:val="20"/>
        </w:rPr>
        <w:t>The Department’s 2021/22 budget allocation increased from R7.3 billion in the 2020/21 financial year to R8.9 billion. This represented, when adjusted for inflation, a real increase of 17.8% and closely returned the Department’s allocation to what it was in 2020 (R8.8 billion) before the budget cuts to meet the needs of the national COVID-19 response. In terms of economic classification, the apportionment of the Department’s 2021/22 budget allocation of R8.9 billion remained the same as in previous years and comprised Current payments of R566.5 million (6.3%), Transfers and subsidies of R8.4 billion (93.6%), which increased from R6.8 billion in 2020/21, and Payments for capital assets of R2.9 million (0.03%). The Department’s budget funds five major programmes, namely:</w:t>
      </w:r>
    </w:p>
    <w:p w:rsidR="00BB7B56" w:rsidRPr="00A867AE" w:rsidRDefault="00BB7B56" w:rsidP="00A867AE">
      <w:pPr>
        <w:spacing w:line="240" w:lineRule="auto"/>
        <w:jc w:val="left"/>
        <w:rPr>
          <w:rFonts w:ascii="Arial" w:hAnsi="Arial" w:cs="Arial"/>
          <w:sz w:val="20"/>
          <w:szCs w:val="20"/>
        </w:rPr>
      </w:pPr>
    </w:p>
    <w:p w:rsidR="00BB7B56" w:rsidRPr="00A867AE" w:rsidRDefault="00BB7B56" w:rsidP="00A867AE">
      <w:pPr>
        <w:numPr>
          <w:ilvl w:val="1"/>
          <w:numId w:val="26"/>
        </w:numPr>
        <w:spacing w:line="240" w:lineRule="auto"/>
        <w:ind w:left="567" w:hanging="567"/>
        <w:jc w:val="left"/>
        <w:rPr>
          <w:rFonts w:ascii="Arial" w:hAnsi="Arial" w:cs="Arial"/>
          <w:sz w:val="20"/>
          <w:szCs w:val="20"/>
        </w:rPr>
      </w:pPr>
      <w:r w:rsidRPr="00A867AE">
        <w:rPr>
          <w:rFonts w:ascii="Arial" w:hAnsi="Arial" w:cs="Arial"/>
          <w:sz w:val="20"/>
          <w:szCs w:val="20"/>
        </w:rPr>
        <w:t>Programme 1 – Administration</w:t>
      </w:r>
    </w:p>
    <w:p w:rsidR="00BB7B56" w:rsidRPr="00A867AE" w:rsidRDefault="00BB7B56" w:rsidP="00A867AE">
      <w:pPr>
        <w:numPr>
          <w:ilvl w:val="1"/>
          <w:numId w:val="26"/>
        </w:numPr>
        <w:spacing w:line="240" w:lineRule="auto"/>
        <w:ind w:left="567" w:hanging="567"/>
        <w:jc w:val="left"/>
        <w:rPr>
          <w:rFonts w:ascii="Arial" w:hAnsi="Arial" w:cs="Arial"/>
          <w:sz w:val="20"/>
          <w:szCs w:val="20"/>
        </w:rPr>
      </w:pPr>
      <w:r w:rsidRPr="00A867AE">
        <w:rPr>
          <w:rFonts w:ascii="Arial" w:hAnsi="Arial" w:cs="Arial"/>
          <w:sz w:val="20"/>
          <w:szCs w:val="20"/>
        </w:rPr>
        <w:t>Programme 2 – Technology Innovation</w:t>
      </w:r>
    </w:p>
    <w:p w:rsidR="00BB7B56" w:rsidRPr="00A867AE" w:rsidRDefault="00BB7B56" w:rsidP="00A867AE">
      <w:pPr>
        <w:numPr>
          <w:ilvl w:val="1"/>
          <w:numId w:val="26"/>
        </w:numPr>
        <w:spacing w:line="240" w:lineRule="auto"/>
        <w:ind w:left="567" w:hanging="567"/>
        <w:jc w:val="left"/>
        <w:rPr>
          <w:rFonts w:ascii="Arial" w:hAnsi="Arial" w:cs="Arial"/>
          <w:sz w:val="20"/>
          <w:szCs w:val="20"/>
        </w:rPr>
      </w:pPr>
      <w:r w:rsidRPr="00A867AE">
        <w:rPr>
          <w:rFonts w:ascii="Arial" w:hAnsi="Arial" w:cs="Arial"/>
          <w:sz w:val="20"/>
          <w:szCs w:val="20"/>
        </w:rPr>
        <w:t>Programme 3 – International Cooperation and Resources</w:t>
      </w:r>
    </w:p>
    <w:p w:rsidR="00BB7B56" w:rsidRPr="00A867AE" w:rsidRDefault="00BB7B56" w:rsidP="00A867AE">
      <w:pPr>
        <w:numPr>
          <w:ilvl w:val="1"/>
          <w:numId w:val="26"/>
        </w:numPr>
        <w:spacing w:line="240" w:lineRule="auto"/>
        <w:ind w:left="567" w:hanging="567"/>
        <w:jc w:val="left"/>
        <w:rPr>
          <w:rFonts w:ascii="Arial" w:hAnsi="Arial" w:cs="Arial"/>
          <w:sz w:val="20"/>
          <w:szCs w:val="20"/>
        </w:rPr>
      </w:pPr>
      <w:r w:rsidRPr="00A867AE">
        <w:rPr>
          <w:rFonts w:ascii="Arial" w:hAnsi="Arial" w:cs="Arial"/>
          <w:sz w:val="20"/>
          <w:szCs w:val="20"/>
        </w:rPr>
        <w:t>Programme 4 – Research, Development and Support</w:t>
      </w:r>
    </w:p>
    <w:p w:rsidR="00BB7B56" w:rsidRPr="00A867AE" w:rsidRDefault="00BB7B56" w:rsidP="00A867AE">
      <w:pPr>
        <w:numPr>
          <w:ilvl w:val="1"/>
          <w:numId w:val="26"/>
        </w:numPr>
        <w:spacing w:line="240" w:lineRule="auto"/>
        <w:ind w:left="567" w:hanging="567"/>
        <w:jc w:val="left"/>
        <w:rPr>
          <w:rFonts w:ascii="Arial" w:hAnsi="Arial" w:cs="Arial"/>
          <w:sz w:val="20"/>
          <w:szCs w:val="20"/>
        </w:rPr>
      </w:pPr>
      <w:r w:rsidRPr="00A867AE">
        <w:rPr>
          <w:rFonts w:ascii="Arial" w:hAnsi="Arial" w:cs="Arial"/>
          <w:sz w:val="20"/>
          <w:szCs w:val="20"/>
        </w:rPr>
        <w:t>Programme 5 – Socio-economic Innovation Partnerships</w:t>
      </w:r>
    </w:p>
    <w:p w:rsidR="00BB7B56" w:rsidRPr="00A867AE" w:rsidRDefault="00BB7B56" w:rsidP="00A867AE">
      <w:pPr>
        <w:spacing w:line="240" w:lineRule="auto"/>
        <w:jc w:val="left"/>
        <w:rPr>
          <w:rFonts w:ascii="Arial" w:hAnsi="Arial" w:cs="Arial"/>
          <w:sz w:val="20"/>
          <w:szCs w:val="20"/>
        </w:rPr>
      </w:pPr>
    </w:p>
    <w:p w:rsidR="00BB7B56" w:rsidRPr="00A867AE" w:rsidRDefault="00BB7B56" w:rsidP="00A867AE">
      <w:pPr>
        <w:spacing w:line="240" w:lineRule="auto"/>
        <w:jc w:val="left"/>
        <w:rPr>
          <w:rFonts w:ascii="Arial" w:hAnsi="Arial" w:cs="Arial"/>
          <w:sz w:val="20"/>
          <w:szCs w:val="20"/>
        </w:rPr>
      </w:pPr>
      <w:r w:rsidRPr="00A867AE">
        <w:rPr>
          <w:rFonts w:ascii="Arial" w:hAnsi="Arial" w:cs="Arial"/>
          <w:sz w:val="20"/>
          <w:szCs w:val="20"/>
        </w:rPr>
        <w:t>These programmes fulfil the Department’s mandate of realising the full potential of STI in social and economic development. The percentage budget allocation to the Programmes remained essentially the same as in previous financial years and Programmes 2, 4 and 5 that are responsible for the Transfers to the Department’s entities, received 94.7% of the Department’s total budget allocation.</w:t>
      </w:r>
    </w:p>
    <w:p w:rsidR="00BB7B56" w:rsidRPr="00A867AE" w:rsidRDefault="00BB7B56" w:rsidP="00A867AE">
      <w:pPr>
        <w:spacing w:line="240" w:lineRule="auto"/>
        <w:jc w:val="left"/>
        <w:rPr>
          <w:rFonts w:ascii="Arial" w:hAnsi="Arial" w:cs="Arial"/>
          <w:sz w:val="20"/>
          <w:szCs w:val="20"/>
        </w:rPr>
      </w:pPr>
    </w:p>
    <w:p w:rsidR="00BB7B56" w:rsidRPr="00A867AE" w:rsidRDefault="00BB7B56" w:rsidP="00A867AE">
      <w:pPr>
        <w:spacing w:line="240" w:lineRule="auto"/>
        <w:jc w:val="left"/>
        <w:rPr>
          <w:rFonts w:ascii="Arial" w:hAnsi="Arial" w:cs="Arial"/>
          <w:sz w:val="20"/>
          <w:szCs w:val="20"/>
        </w:rPr>
      </w:pPr>
      <w:r w:rsidRPr="00A867AE">
        <w:rPr>
          <w:rFonts w:ascii="Arial" w:hAnsi="Arial" w:cs="Arial"/>
          <w:sz w:val="20"/>
          <w:szCs w:val="20"/>
        </w:rPr>
        <w:t>Notable changes in the allocations to Transfers and subsidies from 2020/21 to 2021/22 included:</w:t>
      </w:r>
    </w:p>
    <w:p w:rsidR="00BB7B56" w:rsidRPr="00A867AE" w:rsidRDefault="00BB7B56" w:rsidP="00A867AE">
      <w:pPr>
        <w:spacing w:line="240" w:lineRule="auto"/>
        <w:jc w:val="left"/>
        <w:rPr>
          <w:rFonts w:ascii="Arial" w:hAnsi="Arial" w:cs="Arial"/>
          <w:sz w:val="20"/>
          <w:szCs w:val="20"/>
        </w:rPr>
      </w:pPr>
    </w:p>
    <w:p w:rsidR="00BB7B56" w:rsidRPr="00A867AE" w:rsidRDefault="00BB7B56" w:rsidP="00A867AE">
      <w:pPr>
        <w:pStyle w:val="ListParagraph"/>
        <w:numPr>
          <w:ilvl w:val="1"/>
          <w:numId w:val="25"/>
        </w:numPr>
        <w:spacing w:line="240" w:lineRule="auto"/>
        <w:ind w:left="567" w:hanging="567"/>
        <w:jc w:val="left"/>
        <w:rPr>
          <w:rFonts w:cs="Arial"/>
          <w:sz w:val="20"/>
          <w:szCs w:val="20"/>
        </w:rPr>
      </w:pPr>
      <w:r w:rsidRPr="00A867AE">
        <w:rPr>
          <w:rFonts w:cs="Arial"/>
          <w:sz w:val="20"/>
          <w:szCs w:val="20"/>
        </w:rPr>
        <w:t xml:space="preserve">The allocation for Innovation Projects research increased from R171.4 million to R503.3 million. This allocation supports innovation activities that aim to increase, </w:t>
      </w:r>
      <w:r w:rsidR="00390675" w:rsidRPr="00A867AE">
        <w:rPr>
          <w:rFonts w:cs="Arial"/>
          <w:sz w:val="20"/>
          <w:szCs w:val="20"/>
        </w:rPr>
        <w:t>commercialise</w:t>
      </w:r>
      <w:r w:rsidRPr="00A867AE">
        <w:rPr>
          <w:rFonts w:cs="Arial"/>
          <w:sz w:val="20"/>
          <w:szCs w:val="20"/>
        </w:rPr>
        <w:t xml:space="preserve"> and use publicly funded intellectual property.</w:t>
      </w:r>
    </w:p>
    <w:p w:rsidR="00BB7B56" w:rsidRPr="00A867AE" w:rsidRDefault="00BB7B56" w:rsidP="00A867AE">
      <w:pPr>
        <w:pStyle w:val="ListParagraph"/>
        <w:numPr>
          <w:ilvl w:val="1"/>
          <w:numId w:val="25"/>
        </w:numPr>
        <w:spacing w:line="240" w:lineRule="auto"/>
        <w:ind w:left="567" w:hanging="567"/>
        <w:jc w:val="left"/>
        <w:rPr>
          <w:rFonts w:cs="Arial"/>
          <w:sz w:val="20"/>
          <w:szCs w:val="20"/>
        </w:rPr>
      </w:pPr>
      <w:r w:rsidRPr="00A867AE">
        <w:rPr>
          <w:rFonts w:cs="Arial"/>
          <w:sz w:val="20"/>
          <w:szCs w:val="20"/>
        </w:rPr>
        <w:t>The allocation for Science awareness and initiatives to encourage youth participation in science increased from R33.5 million to R91.6 million.</w:t>
      </w:r>
    </w:p>
    <w:p w:rsidR="00E0047A" w:rsidRPr="00A867AE" w:rsidRDefault="00BB7B56" w:rsidP="00A867AE">
      <w:pPr>
        <w:pStyle w:val="ListParagraph"/>
        <w:numPr>
          <w:ilvl w:val="1"/>
          <w:numId w:val="25"/>
        </w:numPr>
        <w:spacing w:line="240" w:lineRule="auto"/>
        <w:ind w:left="567" w:hanging="567"/>
        <w:jc w:val="left"/>
        <w:rPr>
          <w:rFonts w:cs="Arial"/>
          <w:sz w:val="20"/>
          <w:szCs w:val="20"/>
        </w:rPr>
      </w:pPr>
      <w:r w:rsidRPr="00A867AE">
        <w:rPr>
          <w:rFonts w:cs="Arial"/>
          <w:sz w:val="20"/>
          <w:szCs w:val="20"/>
        </w:rPr>
        <w:lastRenderedPageBreak/>
        <w:t>The allocation for the Square Kilometre Array’s (SKA) capital contribution to research increased from R456.6 million to R802.4 million. This is for the 20 antennae that will be added to the MeerKAT.</w:t>
      </w:r>
    </w:p>
    <w:p w:rsidR="00BB7B56" w:rsidRPr="00A867AE" w:rsidRDefault="00BB7B56" w:rsidP="00A867AE">
      <w:pPr>
        <w:pStyle w:val="ListParagraph"/>
        <w:numPr>
          <w:ilvl w:val="1"/>
          <w:numId w:val="25"/>
        </w:numPr>
        <w:spacing w:line="240" w:lineRule="auto"/>
        <w:ind w:left="567" w:hanging="567"/>
        <w:jc w:val="left"/>
        <w:rPr>
          <w:rFonts w:cs="Arial"/>
          <w:sz w:val="20"/>
          <w:szCs w:val="20"/>
        </w:rPr>
      </w:pPr>
      <w:r w:rsidRPr="00A867AE">
        <w:rPr>
          <w:rFonts w:cs="Arial"/>
          <w:sz w:val="20"/>
          <w:szCs w:val="20"/>
        </w:rPr>
        <w:t>The allocation to the Council for Scientific and Industrial Research (CSIR): Mining research and development (R&amp;D) increased from R41.7 million to R63.5 million.</w:t>
      </w:r>
    </w:p>
    <w:p w:rsidR="00BB7B56" w:rsidRPr="00A867AE" w:rsidRDefault="00BB7B56" w:rsidP="00A867AE">
      <w:pPr>
        <w:pStyle w:val="ListParagraph"/>
        <w:numPr>
          <w:ilvl w:val="1"/>
          <w:numId w:val="25"/>
        </w:numPr>
        <w:spacing w:line="240" w:lineRule="auto"/>
        <w:ind w:left="567" w:hanging="567"/>
        <w:jc w:val="left"/>
        <w:rPr>
          <w:rFonts w:cs="Arial"/>
          <w:sz w:val="20"/>
          <w:szCs w:val="20"/>
        </w:rPr>
      </w:pPr>
      <w:r w:rsidRPr="00A867AE">
        <w:rPr>
          <w:rFonts w:cs="Arial"/>
          <w:sz w:val="20"/>
          <w:szCs w:val="20"/>
        </w:rPr>
        <w:t>The allocation to the CSIR: Cyberinfrastructure R&amp;D increased from R60.2 million to R272.1 million. This is the next tranche of funding to enhance the National Integrated Cyberinfrastructure System, which is allocated R3.6 billion over the medium term.</w:t>
      </w:r>
    </w:p>
    <w:p w:rsidR="00BB7B56" w:rsidRPr="00A867AE" w:rsidRDefault="00BB7B56" w:rsidP="00A867AE">
      <w:pPr>
        <w:spacing w:line="240" w:lineRule="auto"/>
        <w:jc w:val="left"/>
        <w:rPr>
          <w:rFonts w:ascii="Arial" w:hAnsi="Arial" w:cs="Arial"/>
          <w:sz w:val="20"/>
          <w:szCs w:val="20"/>
          <w:lang w:val="en-ZA"/>
        </w:rPr>
      </w:pPr>
    </w:p>
    <w:p w:rsidR="00BB7B56" w:rsidRPr="00A867AE" w:rsidRDefault="00BB7B56" w:rsidP="00A867AE">
      <w:pPr>
        <w:spacing w:line="240" w:lineRule="auto"/>
        <w:jc w:val="left"/>
        <w:rPr>
          <w:rFonts w:ascii="Arial" w:hAnsi="Arial" w:cs="Arial"/>
          <w:sz w:val="20"/>
          <w:szCs w:val="20"/>
        </w:rPr>
      </w:pPr>
      <w:r w:rsidRPr="00A867AE">
        <w:rPr>
          <w:rFonts w:ascii="Arial" w:hAnsi="Arial" w:cs="Arial"/>
          <w:sz w:val="20"/>
          <w:szCs w:val="20"/>
        </w:rPr>
        <w:t>The 2021/22 budget allocation seemed to restore partially, through these increased budget allocations, funding to some of the areas most affected by the COVID-19 budget cuts.</w:t>
      </w:r>
    </w:p>
    <w:p w:rsidR="001B7AC9" w:rsidRPr="00A867AE" w:rsidRDefault="001B7AC9" w:rsidP="00A867AE">
      <w:pPr>
        <w:spacing w:line="240" w:lineRule="auto"/>
        <w:jc w:val="left"/>
        <w:rPr>
          <w:rFonts w:ascii="Arial" w:hAnsi="Arial" w:cs="Arial"/>
          <w:sz w:val="20"/>
          <w:szCs w:val="20"/>
          <w:lang w:val="en-ZA"/>
        </w:rPr>
      </w:pPr>
    </w:p>
    <w:p w:rsidR="00036EA6" w:rsidRPr="00A867AE" w:rsidRDefault="00E0047A" w:rsidP="00A867AE">
      <w:pPr>
        <w:pStyle w:val="ListParagraph"/>
        <w:numPr>
          <w:ilvl w:val="1"/>
          <w:numId w:val="16"/>
        </w:numPr>
        <w:spacing w:line="240" w:lineRule="auto"/>
        <w:ind w:left="567" w:hanging="567"/>
        <w:jc w:val="left"/>
        <w:rPr>
          <w:rFonts w:cs="Arial"/>
          <w:sz w:val="20"/>
          <w:szCs w:val="20"/>
          <w:lang w:val="en-ZA"/>
        </w:rPr>
      </w:pPr>
      <w:r w:rsidRPr="00A867AE">
        <w:rPr>
          <w:rFonts w:cs="Arial"/>
          <w:b/>
          <w:sz w:val="20"/>
          <w:szCs w:val="20"/>
          <w:lang w:val="en-ZA"/>
        </w:rPr>
        <w:t>2021</w:t>
      </w:r>
      <w:r w:rsidR="00036EA6" w:rsidRPr="00A867AE">
        <w:rPr>
          <w:rFonts w:cs="Arial"/>
          <w:b/>
          <w:sz w:val="20"/>
          <w:szCs w:val="20"/>
          <w:lang w:val="en-ZA"/>
        </w:rPr>
        <w:t>/22 Adjusted Estimates of National Expenditure</w:t>
      </w:r>
    </w:p>
    <w:p w:rsidR="00036EA6" w:rsidRPr="00A867AE" w:rsidRDefault="00036EA6" w:rsidP="00A867AE">
      <w:pPr>
        <w:spacing w:line="240" w:lineRule="auto"/>
        <w:jc w:val="left"/>
        <w:rPr>
          <w:rFonts w:ascii="Arial" w:hAnsi="Arial" w:cs="Arial"/>
          <w:sz w:val="20"/>
          <w:szCs w:val="20"/>
          <w:lang w:val="en-ZA"/>
        </w:rPr>
      </w:pPr>
    </w:p>
    <w:p w:rsidR="00036EA6" w:rsidRPr="00A867AE" w:rsidRDefault="00036EA6" w:rsidP="00A867AE">
      <w:pPr>
        <w:spacing w:line="240" w:lineRule="auto"/>
        <w:jc w:val="left"/>
        <w:rPr>
          <w:rFonts w:ascii="Arial" w:hAnsi="Arial" w:cs="Arial"/>
          <w:sz w:val="20"/>
          <w:szCs w:val="20"/>
          <w:lang w:val="en-ZA"/>
        </w:rPr>
      </w:pPr>
      <w:r w:rsidRPr="00A867AE">
        <w:rPr>
          <w:rFonts w:ascii="Arial" w:hAnsi="Arial" w:cs="Arial"/>
          <w:sz w:val="20"/>
          <w:szCs w:val="20"/>
          <w:lang w:val="en-ZA"/>
        </w:rPr>
        <w:t xml:space="preserve">The 2021 </w:t>
      </w:r>
      <w:r w:rsidR="0087324F" w:rsidRPr="00A867AE">
        <w:rPr>
          <w:rFonts w:ascii="Arial" w:hAnsi="Arial" w:cs="Arial"/>
          <w:sz w:val="20"/>
          <w:szCs w:val="20"/>
          <w:lang w:val="en-ZA"/>
        </w:rPr>
        <w:t>Medium-Term Budget Policy Statement (</w:t>
      </w:r>
      <w:r w:rsidRPr="00A867AE">
        <w:rPr>
          <w:rFonts w:ascii="Arial" w:hAnsi="Arial" w:cs="Arial"/>
          <w:sz w:val="20"/>
          <w:szCs w:val="20"/>
          <w:lang w:val="en-ZA"/>
        </w:rPr>
        <w:t>MTBPS</w:t>
      </w:r>
      <w:r w:rsidR="0087324F" w:rsidRPr="00A867AE">
        <w:rPr>
          <w:rFonts w:ascii="Arial" w:hAnsi="Arial" w:cs="Arial"/>
          <w:sz w:val="20"/>
          <w:szCs w:val="20"/>
          <w:lang w:val="en-ZA"/>
        </w:rPr>
        <w:t>)</w:t>
      </w:r>
      <w:r w:rsidRPr="00A867AE">
        <w:rPr>
          <w:rFonts w:ascii="Arial" w:hAnsi="Arial" w:cs="Arial"/>
          <w:sz w:val="20"/>
          <w:szCs w:val="20"/>
          <w:lang w:val="en-ZA"/>
        </w:rPr>
        <w:t xml:space="preserve"> stated that the Department had reprioritised funds over the MTEF period to support technology localisation, beneficiation, advanced manufacturing and research by the National Research Foundation (NRF). The 2021/22 Adjusted Estimates of National Expenditure (AENE) showed that the Department’s budget allocation increased by R72.3 million to equal R9 billion. This increase comprised R67 million for Transfers and subsidies, R2.8 million for Current payments and R2.5 million for Payments for capital assets (Table 1).</w:t>
      </w:r>
    </w:p>
    <w:p w:rsidR="00036EA6" w:rsidRPr="00A867AE" w:rsidRDefault="00036EA6" w:rsidP="00A867AE">
      <w:pPr>
        <w:spacing w:line="240" w:lineRule="auto"/>
        <w:jc w:val="left"/>
        <w:rPr>
          <w:rFonts w:ascii="Arial" w:hAnsi="Arial" w:cs="Arial"/>
          <w:sz w:val="20"/>
          <w:szCs w:val="20"/>
          <w:lang w:val="en-ZA"/>
        </w:rPr>
      </w:pPr>
    </w:p>
    <w:p w:rsidR="00036EA6" w:rsidRPr="00A867AE" w:rsidRDefault="00036EA6" w:rsidP="00A867AE">
      <w:pPr>
        <w:spacing w:line="240" w:lineRule="auto"/>
        <w:jc w:val="left"/>
        <w:rPr>
          <w:rFonts w:ascii="Arial" w:hAnsi="Arial" w:cs="Arial"/>
          <w:b/>
          <w:sz w:val="20"/>
          <w:szCs w:val="20"/>
          <w:lang w:val="en-ZA"/>
        </w:rPr>
      </w:pPr>
      <w:r w:rsidRPr="00A867AE">
        <w:rPr>
          <w:rFonts w:ascii="Arial" w:hAnsi="Arial" w:cs="Arial"/>
          <w:b/>
          <w:sz w:val="20"/>
          <w:szCs w:val="20"/>
          <w:lang w:val="en-ZA"/>
        </w:rPr>
        <w:t>Table 1: 2021/22 Adjusted Budget Summary for Vote 35: Science and Innovation</w:t>
      </w:r>
    </w:p>
    <w:p w:rsidR="00036EA6" w:rsidRPr="00A867AE" w:rsidRDefault="00036EA6" w:rsidP="00A867AE">
      <w:pPr>
        <w:spacing w:line="240" w:lineRule="auto"/>
        <w:jc w:val="left"/>
        <w:rPr>
          <w:rFonts w:ascii="Arial" w:hAnsi="Arial" w:cs="Arial"/>
          <w:sz w:val="20"/>
          <w:szCs w:val="20"/>
          <w:lang w:val="en-ZA"/>
        </w:rPr>
      </w:pPr>
      <w:r w:rsidRPr="00A867AE">
        <w:rPr>
          <w:rFonts w:ascii="Arial" w:hAnsi="Arial" w:cs="Arial"/>
          <w:noProof/>
          <w:sz w:val="20"/>
          <w:szCs w:val="20"/>
          <w:lang w:val="en-US"/>
        </w:rPr>
        <w:drawing>
          <wp:inline distT="0" distB="0" distL="0" distR="0">
            <wp:extent cx="5793638" cy="1280160"/>
            <wp:effectExtent l="19050" t="19050" r="17145"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843370" cy="1291149"/>
                    </a:xfrm>
                    <a:prstGeom prst="rect">
                      <a:avLst/>
                    </a:prstGeom>
                    <a:ln w="15875">
                      <a:solidFill>
                        <a:schemeClr val="tx1"/>
                      </a:solidFill>
                    </a:ln>
                  </pic:spPr>
                </pic:pic>
              </a:graphicData>
            </a:graphic>
          </wp:inline>
        </w:drawing>
      </w:r>
    </w:p>
    <w:p w:rsidR="00036EA6" w:rsidRPr="00A867AE" w:rsidRDefault="00036EA6" w:rsidP="00A867AE">
      <w:pPr>
        <w:spacing w:line="240" w:lineRule="auto"/>
        <w:jc w:val="left"/>
        <w:rPr>
          <w:rFonts w:ascii="Arial" w:hAnsi="Arial" w:cs="Arial"/>
          <w:sz w:val="20"/>
          <w:szCs w:val="20"/>
          <w:lang w:val="en-ZA"/>
        </w:rPr>
      </w:pPr>
      <w:r w:rsidRPr="00A867AE">
        <w:rPr>
          <w:rFonts w:ascii="Arial" w:hAnsi="Arial" w:cs="Arial"/>
          <w:sz w:val="20"/>
          <w:szCs w:val="20"/>
          <w:lang w:val="en-ZA"/>
        </w:rPr>
        <w:t>Source: National Treasury, 2021 Adjusted Estimates of National Expenditure.</w:t>
      </w:r>
    </w:p>
    <w:p w:rsidR="00036EA6" w:rsidRPr="00A867AE" w:rsidRDefault="00036EA6" w:rsidP="00A867AE">
      <w:pPr>
        <w:spacing w:line="240" w:lineRule="auto"/>
        <w:jc w:val="left"/>
        <w:rPr>
          <w:rFonts w:ascii="Arial" w:hAnsi="Arial" w:cs="Arial"/>
          <w:sz w:val="20"/>
          <w:szCs w:val="20"/>
          <w:lang w:val="en-ZA"/>
        </w:rPr>
      </w:pPr>
    </w:p>
    <w:p w:rsidR="00036EA6" w:rsidRPr="00A867AE" w:rsidRDefault="00036EA6" w:rsidP="00A867AE">
      <w:pPr>
        <w:spacing w:line="240" w:lineRule="auto"/>
        <w:jc w:val="left"/>
        <w:rPr>
          <w:rFonts w:ascii="Arial" w:hAnsi="Arial" w:cs="Arial"/>
          <w:sz w:val="20"/>
          <w:szCs w:val="20"/>
          <w:lang w:val="en-ZA"/>
        </w:rPr>
      </w:pPr>
      <w:r w:rsidRPr="00A867AE">
        <w:rPr>
          <w:rFonts w:ascii="Arial" w:hAnsi="Arial" w:cs="Arial"/>
          <w:sz w:val="20"/>
          <w:szCs w:val="20"/>
          <w:lang w:val="en-ZA"/>
        </w:rPr>
        <w:t>The R67 million allocated for Transfers and subsidies formed part of the Presidential Youth Employment Intervention. Of this:</w:t>
      </w:r>
    </w:p>
    <w:p w:rsidR="00036EA6" w:rsidRPr="00A867AE" w:rsidRDefault="00036EA6" w:rsidP="00A867AE">
      <w:pPr>
        <w:spacing w:line="240" w:lineRule="auto"/>
        <w:jc w:val="left"/>
        <w:rPr>
          <w:rFonts w:ascii="Arial" w:hAnsi="Arial" w:cs="Arial"/>
          <w:sz w:val="20"/>
          <w:szCs w:val="20"/>
          <w:lang w:val="en-ZA"/>
        </w:rPr>
      </w:pPr>
    </w:p>
    <w:p w:rsidR="00036EA6" w:rsidRPr="00A867AE" w:rsidRDefault="00036EA6" w:rsidP="00A867AE">
      <w:pPr>
        <w:pStyle w:val="ListParagraph"/>
        <w:numPr>
          <w:ilvl w:val="0"/>
          <w:numId w:val="27"/>
        </w:numPr>
        <w:spacing w:line="240" w:lineRule="auto"/>
        <w:ind w:left="567" w:hanging="567"/>
        <w:jc w:val="left"/>
        <w:rPr>
          <w:rFonts w:cs="Arial"/>
          <w:sz w:val="20"/>
          <w:szCs w:val="20"/>
          <w:lang w:val="en-ZA"/>
        </w:rPr>
      </w:pPr>
      <w:r w:rsidRPr="00A867AE">
        <w:rPr>
          <w:rFonts w:cs="Arial"/>
          <w:sz w:val="20"/>
          <w:szCs w:val="20"/>
          <w:lang w:val="en-ZA"/>
        </w:rPr>
        <w:t>R25 million was to provide training to 450 graduates and 50 community mentors as environmental champions to conduct door</w:t>
      </w:r>
      <w:r w:rsidRPr="00A867AE">
        <w:rPr>
          <w:rFonts w:ascii="Times New Roman" w:hAnsi="Times New Roman" w:cs="Arial"/>
          <w:sz w:val="20"/>
          <w:szCs w:val="20"/>
          <w:lang w:val="en-ZA"/>
        </w:rPr>
        <w:t>‐</w:t>
      </w:r>
      <w:r w:rsidRPr="00A867AE">
        <w:rPr>
          <w:rFonts w:cs="Arial"/>
          <w:sz w:val="20"/>
          <w:szCs w:val="20"/>
          <w:lang w:val="en-ZA"/>
        </w:rPr>
        <w:t>to</w:t>
      </w:r>
      <w:r w:rsidRPr="00A867AE">
        <w:rPr>
          <w:rFonts w:ascii="Times New Roman" w:hAnsi="Times New Roman" w:cs="Arial"/>
          <w:sz w:val="20"/>
          <w:szCs w:val="20"/>
          <w:lang w:val="en-ZA"/>
        </w:rPr>
        <w:t>‐</w:t>
      </w:r>
      <w:r w:rsidRPr="00A867AE">
        <w:rPr>
          <w:rFonts w:cs="Arial"/>
          <w:sz w:val="20"/>
          <w:szCs w:val="20"/>
          <w:lang w:val="en-ZA"/>
        </w:rPr>
        <w:t>door community education and awareness campaigns in partnership with the Duzi Umngezi Conversation Trust;</w:t>
      </w:r>
    </w:p>
    <w:p w:rsidR="00036EA6" w:rsidRPr="00A867AE" w:rsidRDefault="00036EA6" w:rsidP="00A867AE">
      <w:pPr>
        <w:pStyle w:val="ListParagraph"/>
        <w:numPr>
          <w:ilvl w:val="0"/>
          <w:numId w:val="27"/>
        </w:numPr>
        <w:spacing w:line="240" w:lineRule="auto"/>
        <w:ind w:left="567" w:hanging="567"/>
        <w:jc w:val="left"/>
        <w:rPr>
          <w:rFonts w:cs="Arial"/>
          <w:sz w:val="20"/>
          <w:szCs w:val="20"/>
          <w:lang w:val="en-ZA"/>
        </w:rPr>
      </w:pPr>
      <w:r w:rsidRPr="00A867AE">
        <w:rPr>
          <w:rFonts w:cs="Arial"/>
          <w:sz w:val="20"/>
          <w:szCs w:val="20"/>
          <w:lang w:val="en-ZA"/>
        </w:rPr>
        <w:t>R32 million was to appoint 900 unemployed graduates through the Water Research Commission’s water graduate employment programme, aimed at improving employment readiness in the water sector; and</w:t>
      </w:r>
    </w:p>
    <w:p w:rsidR="00036EA6" w:rsidRPr="00A867AE" w:rsidRDefault="00036EA6" w:rsidP="00A867AE">
      <w:pPr>
        <w:pStyle w:val="ListParagraph"/>
        <w:numPr>
          <w:ilvl w:val="0"/>
          <w:numId w:val="27"/>
        </w:numPr>
        <w:spacing w:line="240" w:lineRule="auto"/>
        <w:ind w:left="567" w:hanging="567"/>
        <w:jc w:val="left"/>
        <w:rPr>
          <w:rFonts w:cs="Arial"/>
          <w:sz w:val="20"/>
          <w:szCs w:val="20"/>
          <w:lang w:val="en-ZA"/>
        </w:rPr>
      </w:pPr>
      <w:r w:rsidRPr="00A867AE">
        <w:rPr>
          <w:rFonts w:cs="Arial"/>
          <w:sz w:val="20"/>
          <w:szCs w:val="20"/>
          <w:lang w:val="en-ZA"/>
        </w:rPr>
        <w:t>R10 million was to provide training to 250 graduates at the CSIR, to support the Council in various fields.</w:t>
      </w:r>
    </w:p>
    <w:p w:rsidR="00036EA6" w:rsidRPr="00A867AE" w:rsidRDefault="00036EA6" w:rsidP="00A867AE">
      <w:pPr>
        <w:spacing w:line="240" w:lineRule="auto"/>
        <w:jc w:val="left"/>
        <w:rPr>
          <w:rFonts w:ascii="Arial" w:hAnsi="Arial" w:cs="Arial"/>
          <w:sz w:val="20"/>
          <w:szCs w:val="20"/>
          <w:lang w:val="en-ZA"/>
        </w:rPr>
      </w:pPr>
    </w:p>
    <w:p w:rsidR="00036EA6" w:rsidRPr="00A867AE" w:rsidRDefault="00036EA6" w:rsidP="00A867AE">
      <w:pPr>
        <w:spacing w:line="240" w:lineRule="auto"/>
        <w:jc w:val="left"/>
        <w:rPr>
          <w:rFonts w:ascii="Arial" w:hAnsi="Arial" w:cs="Arial"/>
          <w:sz w:val="20"/>
          <w:szCs w:val="20"/>
          <w:lang w:val="en-ZA"/>
        </w:rPr>
      </w:pPr>
      <w:r w:rsidRPr="00A867AE">
        <w:rPr>
          <w:rFonts w:ascii="Arial" w:hAnsi="Arial" w:cs="Arial"/>
          <w:sz w:val="20"/>
          <w:szCs w:val="20"/>
          <w:lang w:val="en-ZA"/>
        </w:rPr>
        <w:t>The remaining R5.3 million of the R72.3 million increase was allocated for higher salary increases than what the main budget provided for.</w:t>
      </w:r>
    </w:p>
    <w:p w:rsidR="00036EA6" w:rsidRPr="00A867AE" w:rsidRDefault="00036EA6" w:rsidP="00A867AE">
      <w:pPr>
        <w:spacing w:line="240" w:lineRule="auto"/>
        <w:jc w:val="left"/>
        <w:rPr>
          <w:rFonts w:ascii="Arial" w:hAnsi="Arial" w:cs="Arial"/>
          <w:sz w:val="20"/>
          <w:szCs w:val="20"/>
          <w:lang w:val="en-ZA"/>
        </w:rPr>
      </w:pPr>
    </w:p>
    <w:p w:rsidR="00036EA6" w:rsidRPr="00A867AE" w:rsidRDefault="00036EA6" w:rsidP="00A867AE">
      <w:pPr>
        <w:spacing w:line="240" w:lineRule="auto"/>
        <w:jc w:val="left"/>
        <w:rPr>
          <w:rFonts w:ascii="Arial" w:hAnsi="Arial" w:cs="Arial"/>
          <w:sz w:val="20"/>
          <w:szCs w:val="20"/>
          <w:lang w:val="en-ZA"/>
        </w:rPr>
      </w:pPr>
      <w:r w:rsidRPr="00A867AE">
        <w:rPr>
          <w:rFonts w:ascii="Arial" w:hAnsi="Arial" w:cs="Arial"/>
          <w:sz w:val="20"/>
          <w:szCs w:val="20"/>
          <w:lang w:val="en-ZA"/>
        </w:rPr>
        <w:t>Significant virements and shifts were effected to meet South Africa’s obligations for the Square Kilometre Array’s capital contribution to research. These totalled R215.7 million and included:</w:t>
      </w:r>
    </w:p>
    <w:p w:rsidR="00036EA6" w:rsidRPr="00A867AE" w:rsidRDefault="00036EA6" w:rsidP="00A867AE">
      <w:pPr>
        <w:spacing w:line="240" w:lineRule="auto"/>
        <w:jc w:val="left"/>
        <w:rPr>
          <w:rFonts w:ascii="Arial" w:hAnsi="Arial" w:cs="Arial"/>
          <w:sz w:val="20"/>
          <w:szCs w:val="20"/>
          <w:lang w:val="en-ZA"/>
        </w:rPr>
      </w:pPr>
    </w:p>
    <w:p w:rsidR="00036EA6" w:rsidRPr="00A867AE" w:rsidRDefault="00036EA6" w:rsidP="00A867AE">
      <w:pPr>
        <w:pStyle w:val="ListParagraph"/>
        <w:numPr>
          <w:ilvl w:val="0"/>
          <w:numId w:val="28"/>
        </w:numPr>
        <w:spacing w:line="240" w:lineRule="auto"/>
        <w:ind w:left="567" w:hanging="567"/>
        <w:jc w:val="left"/>
        <w:rPr>
          <w:rFonts w:cs="Arial"/>
          <w:sz w:val="20"/>
          <w:szCs w:val="20"/>
          <w:lang w:val="en-ZA"/>
        </w:rPr>
      </w:pPr>
      <w:r w:rsidRPr="00A867AE">
        <w:rPr>
          <w:rFonts w:cs="Arial"/>
          <w:sz w:val="20"/>
          <w:szCs w:val="20"/>
          <w:lang w:val="en-ZA"/>
        </w:rPr>
        <w:t>From Programme 2: R70 million from the Technology Innovation Agency (TIA) and R5.7 million from the Green Nano Chemistry and Nano Medicine Platforms; and</w:t>
      </w:r>
    </w:p>
    <w:p w:rsidR="00036EA6" w:rsidRPr="00A867AE" w:rsidRDefault="00036EA6" w:rsidP="00A867AE">
      <w:pPr>
        <w:pStyle w:val="ListParagraph"/>
        <w:numPr>
          <w:ilvl w:val="0"/>
          <w:numId w:val="28"/>
        </w:numPr>
        <w:spacing w:line="240" w:lineRule="auto"/>
        <w:ind w:left="567" w:hanging="567"/>
        <w:jc w:val="left"/>
        <w:rPr>
          <w:rFonts w:cs="Arial"/>
          <w:sz w:val="20"/>
          <w:szCs w:val="20"/>
          <w:lang w:val="en-ZA"/>
        </w:rPr>
      </w:pPr>
      <w:r w:rsidRPr="00A867AE">
        <w:rPr>
          <w:rFonts w:cs="Arial"/>
          <w:sz w:val="20"/>
          <w:szCs w:val="20"/>
          <w:lang w:val="en-ZA"/>
        </w:rPr>
        <w:t>From Programme 4: R105 million shifted within the NRF and R35 million from the CSIR’s Cyberinfrastructure R&amp;D.</w:t>
      </w:r>
    </w:p>
    <w:p w:rsidR="00036EA6" w:rsidRPr="00A867AE" w:rsidRDefault="00036EA6" w:rsidP="00A867AE">
      <w:pPr>
        <w:spacing w:line="240" w:lineRule="auto"/>
        <w:jc w:val="left"/>
        <w:rPr>
          <w:rFonts w:ascii="Arial" w:hAnsi="Arial" w:cs="Arial"/>
          <w:sz w:val="20"/>
          <w:szCs w:val="20"/>
          <w:lang w:val="en-ZA"/>
        </w:rPr>
      </w:pPr>
    </w:p>
    <w:p w:rsidR="00036EA6" w:rsidRPr="00A867AE" w:rsidRDefault="00036EA6" w:rsidP="00A867AE">
      <w:pPr>
        <w:spacing w:line="240" w:lineRule="auto"/>
        <w:jc w:val="left"/>
        <w:rPr>
          <w:rFonts w:ascii="Arial" w:hAnsi="Arial" w:cs="Arial"/>
          <w:sz w:val="20"/>
          <w:szCs w:val="20"/>
          <w:lang w:val="en-ZA"/>
        </w:rPr>
      </w:pPr>
      <w:r w:rsidRPr="00A867AE">
        <w:rPr>
          <w:rFonts w:ascii="Arial" w:hAnsi="Arial" w:cs="Arial"/>
          <w:sz w:val="20"/>
          <w:szCs w:val="20"/>
          <w:lang w:val="en-ZA"/>
        </w:rPr>
        <w:t>Other significant virements and shifts included:</w:t>
      </w:r>
    </w:p>
    <w:p w:rsidR="00036EA6" w:rsidRPr="00A867AE" w:rsidRDefault="00036EA6" w:rsidP="00A867AE">
      <w:pPr>
        <w:spacing w:line="240" w:lineRule="auto"/>
        <w:jc w:val="left"/>
        <w:rPr>
          <w:rFonts w:ascii="Arial" w:hAnsi="Arial" w:cs="Arial"/>
          <w:sz w:val="20"/>
          <w:szCs w:val="20"/>
          <w:lang w:val="en-ZA"/>
        </w:rPr>
      </w:pPr>
    </w:p>
    <w:p w:rsidR="00036EA6" w:rsidRPr="00A867AE" w:rsidRDefault="00036EA6" w:rsidP="00A867AE">
      <w:pPr>
        <w:pStyle w:val="ListParagraph"/>
        <w:numPr>
          <w:ilvl w:val="0"/>
          <w:numId w:val="28"/>
        </w:numPr>
        <w:spacing w:line="240" w:lineRule="auto"/>
        <w:ind w:left="567" w:hanging="567"/>
        <w:jc w:val="left"/>
        <w:rPr>
          <w:rFonts w:cs="Arial"/>
          <w:sz w:val="20"/>
          <w:szCs w:val="20"/>
          <w:lang w:val="en-ZA"/>
        </w:rPr>
      </w:pPr>
      <w:r w:rsidRPr="00A867AE">
        <w:rPr>
          <w:rFonts w:cs="Arial"/>
          <w:sz w:val="20"/>
          <w:szCs w:val="20"/>
          <w:lang w:val="en-ZA"/>
        </w:rPr>
        <w:lastRenderedPageBreak/>
        <w:t>R33.9 million shifted from the Medical Research Council to the Network for Genomic Surveillance and mRNA technology transfer hub within Programme 2;</w:t>
      </w:r>
    </w:p>
    <w:p w:rsidR="00036EA6" w:rsidRPr="00A867AE" w:rsidRDefault="00036EA6" w:rsidP="00A867AE">
      <w:pPr>
        <w:pStyle w:val="ListParagraph"/>
        <w:numPr>
          <w:ilvl w:val="0"/>
          <w:numId w:val="28"/>
        </w:numPr>
        <w:spacing w:line="240" w:lineRule="auto"/>
        <w:ind w:left="567" w:hanging="567"/>
        <w:jc w:val="left"/>
        <w:rPr>
          <w:rFonts w:cs="Arial"/>
          <w:sz w:val="20"/>
          <w:szCs w:val="20"/>
          <w:lang w:val="en-ZA"/>
        </w:rPr>
      </w:pPr>
      <w:r w:rsidRPr="00A867AE">
        <w:rPr>
          <w:rFonts w:cs="Arial"/>
          <w:sz w:val="20"/>
          <w:szCs w:val="20"/>
          <w:lang w:val="en-ZA"/>
        </w:rPr>
        <w:t>R30.9 million shifted from TIA to the South African National Space Agency for the Space Weather Centre;</w:t>
      </w:r>
    </w:p>
    <w:p w:rsidR="00036EA6" w:rsidRPr="00A867AE" w:rsidRDefault="00036EA6" w:rsidP="00A867AE">
      <w:pPr>
        <w:pStyle w:val="ListParagraph"/>
        <w:numPr>
          <w:ilvl w:val="0"/>
          <w:numId w:val="28"/>
        </w:numPr>
        <w:spacing w:line="240" w:lineRule="auto"/>
        <w:ind w:left="567" w:hanging="567"/>
        <w:jc w:val="left"/>
        <w:rPr>
          <w:rFonts w:cs="Arial"/>
          <w:sz w:val="20"/>
          <w:szCs w:val="20"/>
          <w:lang w:val="en-ZA"/>
        </w:rPr>
      </w:pPr>
      <w:r w:rsidRPr="00A867AE">
        <w:rPr>
          <w:rFonts w:cs="Arial"/>
          <w:sz w:val="20"/>
          <w:szCs w:val="20"/>
          <w:lang w:val="en-ZA"/>
        </w:rPr>
        <w:t xml:space="preserve">R20 million shifted within </w:t>
      </w:r>
      <w:r w:rsidR="00823E43" w:rsidRPr="00A867AE">
        <w:rPr>
          <w:rFonts w:cs="Arial"/>
          <w:sz w:val="20"/>
          <w:szCs w:val="20"/>
          <w:lang w:val="en-ZA"/>
        </w:rPr>
        <w:t xml:space="preserve">the </w:t>
      </w:r>
      <w:r w:rsidRPr="00A867AE">
        <w:rPr>
          <w:rFonts w:cs="Arial"/>
          <w:sz w:val="20"/>
          <w:szCs w:val="20"/>
          <w:lang w:val="en-ZA"/>
        </w:rPr>
        <w:t>NRF for human resource development at the Centres of Excellence;</w:t>
      </w:r>
    </w:p>
    <w:p w:rsidR="00036EA6" w:rsidRPr="00A867AE" w:rsidRDefault="00036EA6" w:rsidP="00A867AE">
      <w:pPr>
        <w:pStyle w:val="ListParagraph"/>
        <w:numPr>
          <w:ilvl w:val="0"/>
          <w:numId w:val="28"/>
        </w:numPr>
        <w:spacing w:line="240" w:lineRule="auto"/>
        <w:ind w:left="567" w:hanging="567"/>
        <w:jc w:val="left"/>
        <w:rPr>
          <w:rFonts w:cs="Arial"/>
          <w:sz w:val="20"/>
          <w:szCs w:val="20"/>
          <w:lang w:val="en-ZA"/>
        </w:rPr>
      </w:pPr>
      <w:r w:rsidRPr="00A867AE">
        <w:rPr>
          <w:rFonts w:cs="Arial"/>
          <w:sz w:val="20"/>
          <w:szCs w:val="20"/>
          <w:lang w:val="en-ZA"/>
        </w:rPr>
        <w:t>R25.9 million from the NRF to Programme 5 for Innovation for inclusive development; and</w:t>
      </w:r>
    </w:p>
    <w:p w:rsidR="00036EA6" w:rsidRPr="00A867AE" w:rsidRDefault="00036EA6" w:rsidP="00A867AE">
      <w:pPr>
        <w:pStyle w:val="ListParagraph"/>
        <w:numPr>
          <w:ilvl w:val="0"/>
          <w:numId w:val="28"/>
        </w:numPr>
        <w:spacing w:line="240" w:lineRule="auto"/>
        <w:ind w:left="567" w:hanging="567"/>
        <w:jc w:val="left"/>
        <w:rPr>
          <w:rFonts w:cs="Arial"/>
          <w:sz w:val="20"/>
          <w:szCs w:val="20"/>
          <w:lang w:val="en-ZA"/>
        </w:rPr>
      </w:pPr>
      <w:r w:rsidRPr="00A867AE">
        <w:rPr>
          <w:rFonts w:cs="Arial"/>
          <w:sz w:val="20"/>
          <w:szCs w:val="20"/>
          <w:lang w:val="en-ZA"/>
        </w:rPr>
        <w:t>R38.6 million from the CSIR to the Technology Stations Programme.</w:t>
      </w:r>
    </w:p>
    <w:p w:rsidR="00036EA6" w:rsidRPr="00A867AE" w:rsidRDefault="00036EA6" w:rsidP="00A867AE">
      <w:pPr>
        <w:spacing w:line="240" w:lineRule="auto"/>
        <w:jc w:val="left"/>
        <w:rPr>
          <w:rFonts w:ascii="Arial" w:hAnsi="Arial" w:cs="Arial"/>
          <w:sz w:val="20"/>
          <w:szCs w:val="20"/>
          <w:lang w:val="en-ZA"/>
        </w:rPr>
      </w:pPr>
    </w:p>
    <w:p w:rsidR="00036EA6" w:rsidRPr="00A867AE" w:rsidRDefault="00036EA6" w:rsidP="00A867AE">
      <w:pPr>
        <w:spacing w:line="240" w:lineRule="auto"/>
        <w:jc w:val="left"/>
        <w:rPr>
          <w:rFonts w:ascii="Arial" w:hAnsi="Arial" w:cs="Arial"/>
          <w:sz w:val="20"/>
          <w:szCs w:val="20"/>
          <w:lang w:val="en-ZA"/>
        </w:rPr>
      </w:pPr>
      <w:r w:rsidRPr="00A867AE">
        <w:rPr>
          <w:rFonts w:ascii="Arial" w:hAnsi="Arial" w:cs="Arial"/>
          <w:sz w:val="20"/>
          <w:szCs w:val="20"/>
          <w:lang w:val="en-ZA"/>
        </w:rPr>
        <w:t>The 2021/22 AENE stated that the Department’s entities spent more of their ring</w:t>
      </w:r>
      <w:r w:rsidRPr="00A867AE">
        <w:rPr>
          <w:rFonts w:ascii="Times New Roman" w:hAnsi="Times New Roman" w:cs="Arial"/>
          <w:sz w:val="20"/>
          <w:szCs w:val="20"/>
          <w:lang w:val="en-ZA"/>
        </w:rPr>
        <w:t>‐</w:t>
      </w:r>
      <w:r w:rsidRPr="00A867AE">
        <w:rPr>
          <w:rFonts w:ascii="Arial" w:hAnsi="Arial" w:cs="Arial"/>
          <w:sz w:val="20"/>
          <w:szCs w:val="20"/>
          <w:lang w:val="en-ZA"/>
        </w:rPr>
        <w:t>fenced funds in 2021/22 for projects undertaken on behalf of the Department than they did in 2020/21, resulting in fewer surplus funds being surrendered to the Department.</w:t>
      </w:r>
    </w:p>
    <w:p w:rsidR="00036EA6" w:rsidRPr="00A867AE" w:rsidRDefault="00036EA6" w:rsidP="00A867AE">
      <w:pPr>
        <w:spacing w:line="240" w:lineRule="auto"/>
        <w:jc w:val="left"/>
        <w:rPr>
          <w:rFonts w:ascii="Arial" w:hAnsi="Arial" w:cs="Arial"/>
          <w:sz w:val="20"/>
          <w:szCs w:val="20"/>
          <w:lang w:val="en-ZA"/>
        </w:rPr>
      </w:pPr>
    </w:p>
    <w:p w:rsidR="00036EA6" w:rsidRPr="00A867AE" w:rsidRDefault="00036EA6" w:rsidP="00A867AE">
      <w:pPr>
        <w:pStyle w:val="ListParagraph"/>
        <w:numPr>
          <w:ilvl w:val="1"/>
          <w:numId w:val="16"/>
        </w:numPr>
        <w:spacing w:line="240" w:lineRule="auto"/>
        <w:ind w:left="851" w:hanging="851"/>
        <w:jc w:val="left"/>
        <w:rPr>
          <w:rFonts w:cs="Arial"/>
          <w:sz w:val="20"/>
          <w:szCs w:val="20"/>
        </w:rPr>
      </w:pPr>
      <w:r w:rsidRPr="00A867AE">
        <w:rPr>
          <w:rFonts w:cs="Arial"/>
          <w:b/>
          <w:sz w:val="20"/>
          <w:szCs w:val="20"/>
        </w:rPr>
        <w:t>2021/22 Second Quarter (July to September 2021) Financial Performance</w:t>
      </w:r>
    </w:p>
    <w:p w:rsidR="00036EA6" w:rsidRPr="00A867AE" w:rsidRDefault="00036EA6" w:rsidP="00A867AE">
      <w:pPr>
        <w:spacing w:line="240" w:lineRule="auto"/>
        <w:jc w:val="left"/>
        <w:rPr>
          <w:rFonts w:ascii="Arial" w:hAnsi="Arial" w:cs="Arial"/>
          <w:sz w:val="20"/>
          <w:szCs w:val="20"/>
          <w:lang w:val="en-ZA"/>
        </w:rPr>
      </w:pPr>
    </w:p>
    <w:p w:rsidR="00036EA6" w:rsidRPr="00A867AE" w:rsidRDefault="00036EA6" w:rsidP="00A867AE">
      <w:pPr>
        <w:spacing w:line="240" w:lineRule="auto"/>
        <w:jc w:val="left"/>
        <w:rPr>
          <w:rFonts w:ascii="Arial" w:hAnsi="Arial" w:cs="Arial"/>
          <w:sz w:val="20"/>
          <w:szCs w:val="20"/>
        </w:rPr>
      </w:pPr>
      <w:r w:rsidRPr="00A867AE">
        <w:rPr>
          <w:rFonts w:ascii="Arial" w:hAnsi="Arial" w:cs="Arial"/>
          <w:sz w:val="20"/>
          <w:szCs w:val="20"/>
        </w:rPr>
        <w:t>At the end of the second quarter, the Department had spent R4.6 billion (51.6%) of the available budget of R8.9 billion (Table 2). The Department planned to spend R5.7 billion. The R1 billion variance was mainly due to the slow processing of transfer payments and delays in project payments due to administrative delays and the late submission of progress reports by the Department’s entities and various service providers. All Programmes spent less than they planned to. The Department spent R5.1 million on COVID-19 related initiatives, comprising mostly consumables such as sanitisers, sanitiser dispensers and masks.</w:t>
      </w:r>
    </w:p>
    <w:p w:rsidR="00036EA6" w:rsidRPr="00A867AE" w:rsidRDefault="00036EA6" w:rsidP="00A867AE">
      <w:pPr>
        <w:spacing w:line="240" w:lineRule="auto"/>
        <w:jc w:val="left"/>
        <w:rPr>
          <w:rFonts w:ascii="Arial" w:hAnsi="Arial" w:cs="Arial"/>
          <w:sz w:val="20"/>
          <w:szCs w:val="20"/>
        </w:rPr>
      </w:pPr>
    </w:p>
    <w:p w:rsidR="00036EA6" w:rsidRPr="00A867AE" w:rsidRDefault="00036EA6" w:rsidP="00A867AE">
      <w:pPr>
        <w:spacing w:line="240" w:lineRule="auto"/>
        <w:jc w:val="left"/>
        <w:rPr>
          <w:rFonts w:ascii="Arial" w:hAnsi="Arial" w:cs="Arial"/>
          <w:sz w:val="20"/>
          <w:szCs w:val="20"/>
        </w:rPr>
      </w:pPr>
      <w:r w:rsidRPr="00A867AE">
        <w:rPr>
          <w:rFonts w:ascii="Arial" w:hAnsi="Arial" w:cs="Arial"/>
          <w:sz w:val="20"/>
          <w:szCs w:val="20"/>
        </w:rPr>
        <w:t>At the end of the second quarter, the Department had 384 staff against 457 funded posts, resulting in 73 vacancies. Spending on compensation of employees amounted to R163.5 million against projected expenditure of R179 million.</w:t>
      </w:r>
    </w:p>
    <w:p w:rsidR="00823E43" w:rsidRPr="00A867AE" w:rsidRDefault="00823E43" w:rsidP="00A867AE">
      <w:pPr>
        <w:spacing w:line="240" w:lineRule="auto"/>
        <w:jc w:val="left"/>
        <w:rPr>
          <w:rFonts w:ascii="Arial" w:hAnsi="Arial" w:cs="Arial"/>
          <w:sz w:val="20"/>
          <w:szCs w:val="20"/>
          <w:lang w:val="en-ZA"/>
        </w:rPr>
      </w:pPr>
    </w:p>
    <w:p w:rsidR="00036EA6" w:rsidRPr="00A867AE" w:rsidRDefault="00036EA6" w:rsidP="00A867AE">
      <w:pPr>
        <w:spacing w:line="240" w:lineRule="auto"/>
        <w:jc w:val="left"/>
        <w:rPr>
          <w:rFonts w:ascii="Arial" w:hAnsi="Arial" w:cs="Arial"/>
          <w:b/>
          <w:sz w:val="20"/>
          <w:szCs w:val="20"/>
          <w:lang w:val="en-ZA"/>
        </w:rPr>
      </w:pPr>
      <w:r w:rsidRPr="00A867AE">
        <w:rPr>
          <w:rFonts w:ascii="Arial" w:hAnsi="Arial" w:cs="Arial"/>
          <w:b/>
          <w:sz w:val="20"/>
          <w:szCs w:val="20"/>
          <w:lang w:val="en-ZA"/>
        </w:rPr>
        <w:t>Table 2: Vote 35: Science and Innovation – Budget and expenditure summary at end-September 2021</w:t>
      </w:r>
    </w:p>
    <w:p w:rsidR="00036EA6" w:rsidRPr="00A867AE" w:rsidRDefault="00036EA6" w:rsidP="00A867AE">
      <w:pPr>
        <w:spacing w:line="240" w:lineRule="auto"/>
        <w:jc w:val="left"/>
        <w:rPr>
          <w:rFonts w:ascii="Arial" w:hAnsi="Arial" w:cs="Arial"/>
          <w:sz w:val="20"/>
          <w:szCs w:val="20"/>
        </w:rPr>
      </w:pPr>
      <w:r w:rsidRPr="00A867AE">
        <w:rPr>
          <w:rFonts w:ascii="Arial" w:hAnsi="Arial" w:cs="Arial"/>
          <w:noProof/>
          <w:sz w:val="20"/>
          <w:szCs w:val="20"/>
          <w:lang w:val="en-US"/>
        </w:rPr>
        <w:drawing>
          <wp:inline distT="0" distB="0" distL="0" distR="0">
            <wp:extent cx="5866790" cy="2663031"/>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14213" cy="2684557"/>
                    </a:xfrm>
                    <a:prstGeom prst="rect">
                      <a:avLst/>
                    </a:prstGeom>
                  </pic:spPr>
                </pic:pic>
              </a:graphicData>
            </a:graphic>
          </wp:inline>
        </w:drawing>
      </w:r>
    </w:p>
    <w:p w:rsidR="00036EA6" w:rsidRPr="00A867AE" w:rsidRDefault="00036EA6" w:rsidP="00A867AE">
      <w:pPr>
        <w:spacing w:line="240" w:lineRule="auto"/>
        <w:jc w:val="left"/>
        <w:rPr>
          <w:rFonts w:ascii="Arial" w:hAnsi="Arial" w:cs="Arial"/>
          <w:sz w:val="20"/>
          <w:szCs w:val="20"/>
        </w:rPr>
      </w:pPr>
      <w:r w:rsidRPr="00A867AE">
        <w:rPr>
          <w:rFonts w:ascii="Arial" w:hAnsi="Arial" w:cs="Arial"/>
          <w:sz w:val="20"/>
          <w:szCs w:val="20"/>
        </w:rPr>
        <w:t>Source: National Treasury, 2021/22 2</w:t>
      </w:r>
      <w:r w:rsidRPr="00A867AE">
        <w:rPr>
          <w:rFonts w:ascii="Arial" w:hAnsi="Arial" w:cs="Arial"/>
          <w:sz w:val="20"/>
          <w:szCs w:val="20"/>
          <w:vertAlign w:val="superscript"/>
        </w:rPr>
        <w:t>nd</w:t>
      </w:r>
      <w:r w:rsidRPr="00A867AE">
        <w:rPr>
          <w:rFonts w:ascii="Arial" w:hAnsi="Arial" w:cs="Arial"/>
          <w:sz w:val="20"/>
          <w:szCs w:val="20"/>
        </w:rPr>
        <w:t xml:space="preserve"> Quarter Expenditure Report to the Standing Committee on Appropriations.</w:t>
      </w:r>
    </w:p>
    <w:p w:rsidR="00036EA6" w:rsidRPr="00A867AE" w:rsidRDefault="00036EA6" w:rsidP="00A867AE">
      <w:pPr>
        <w:tabs>
          <w:tab w:val="left" w:pos="1715"/>
        </w:tabs>
        <w:spacing w:line="240" w:lineRule="auto"/>
        <w:jc w:val="left"/>
        <w:rPr>
          <w:rFonts w:ascii="Arial" w:hAnsi="Arial" w:cs="Arial"/>
          <w:sz w:val="20"/>
          <w:szCs w:val="20"/>
        </w:rPr>
      </w:pPr>
    </w:p>
    <w:p w:rsidR="00036EA6" w:rsidRPr="00A867AE" w:rsidRDefault="00036EA6" w:rsidP="00A867AE">
      <w:pPr>
        <w:spacing w:line="240" w:lineRule="auto"/>
        <w:jc w:val="left"/>
        <w:rPr>
          <w:rFonts w:ascii="Arial" w:hAnsi="Arial" w:cs="Arial"/>
          <w:sz w:val="20"/>
          <w:szCs w:val="20"/>
        </w:rPr>
      </w:pPr>
      <w:r w:rsidRPr="00A867AE">
        <w:rPr>
          <w:rFonts w:ascii="Arial" w:hAnsi="Arial" w:cs="Arial"/>
          <w:b/>
          <w:sz w:val="20"/>
          <w:szCs w:val="20"/>
        </w:rPr>
        <w:t>Programme 1: Administration:</w:t>
      </w:r>
      <w:r w:rsidRPr="00A867AE">
        <w:rPr>
          <w:rFonts w:ascii="Arial" w:hAnsi="Arial" w:cs="Arial"/>
          <w:sz w:val="20"/>
          <w:szCs w:val="20"/>
        </w:rPr>
        <w:t xml:space="preserve"> Expenditure amounted to R127.7 million of the available budget of R332.2 million. The lower than anticipated spending was mainly on goods and services, particularly on items such as travel and subsistence, and venues and facilities.</w:t>
      </w:r>
    </w:p>
    <w:p w:rsidR="00036EA6" w:rsidRPr="00A867AE" w:rsidRDefault="00036EA6" w:rsidP="00A867AE">
      <w:pPr>
        <w:spacing w:line="240" w:lineRule="auto"/>
        <w:jc w:val="left"/>
        <w:rPr>
          <w:rFonts w:ascii="Arial" w:hAnsi="Arial" w:cs="Arial"/>
          <w:sz w:val="20"/>
          <w:szCs w:val="20"/>
        </w:rPr>
      </w:pPr>
    </w:p>
    <w:p w:rsidR="00036EA6" w:rsidRPr="00A867AE" w:rsidRDefault="00036EA6" w:rsidP="00A867AE">
      <w:pPr>
        <w:spacing w:line="240" w:lineRule="auto"/>
        <w:jc w:val="left"/>
        <w:rPr>
          <w:rFonts w:ascii="Arial" w:hAnsi="Arial" w:cs="Arial"/>
          <w:sz w:val="20"/>
          <w:szCs w:val="20"/>
        </w:rPr>
      </w:pPr>
      <w:r w:rsidRPr="00A867AE">
        <w:rPr>
          <w:rFonts w:ascii="Arial" w:hAnsi="Arial" w:cs="Arial"/>
          <w:b/>
          <w:sz w:val="20"/>
          <w:szCs w:val="20"/>
        </w:rPr>
        <w:t>Programme 2: Technology Innovation:</w:t>
      </w:r>
      <w:r w:rsidRPr="00A867AE">
        <w:rPr>
          <w:rFonts w:ascii="Arial" w:hAnsi="Arial" w:cs="Arial"/>
          <w:sz w:val="20"/>
          <w:szCs w:val="20"/>
        </w:rPr>
        <w:t xml:space="preserve"> Expenditure amounted to R490.1 million of the available budget of R1.7 billion. The lower than anticipated spending was mainly due to delayed payments on transfers and subsidies for the Bio-Economy Strategy that emanated from the late submission of supporting documents and financial statements by the implementing body.</w:t>
      </w:r>
    </w:p>
    <w:p w:rsidR="00036EA6" w:rsidRPr="00A867AE" w:rsidRDefault="00036EA6" w:rsidP="00A867AE">
      <w:pPr>
        <w:spacing w:line="240" w:lineRule="auto"/>
        <w:jc w:val="left"/>
        <w:rPr>
          <w:rFonts w:ascii="Arial" w:hAnsi="Arial" w:cs="Arial"/>
          <w:sz w:val="20"/>
          <w:szCs w:val="20"/>
        </w:rPr>
      </w:pPr>
    </w:p>
    <w:p w:rsidR="00036EA6" w:rsidRPr="00A867AE" w:rsidRDefault="00036EA6" w:rsidP="00A867AE">
      <w:pPr>
        <w:spacing w:line="240" w:lineRule="auto"/>
        <w:jc w:val="left"/>
        <w:rPr>
          <w:rFonts w:ascii="Arial" w:hAnsi="Arial" w:cs="Arial"/>
          <w:sz w:val="20"/>
          <w:szCs w:val="20"/>
        </w:rPr>
      </w:pPr>
      <w:r w:rsidRPr="00A867AE">
        <w:rPr>
          <w:rFonts w:ascii="Arial" w:hAnsi="Arial" w:cs="Arial"/>
          <w:b/>
          <w:sz w:val="20"/>
          <w:szCs w:val="20"/>
        </w:rPr>
        <w:lastRenderedPageBreak/>
        <w:t>Programme 3: International Cooperation and Resources:</w:t>
      </w:r>
      <w:r w:rsidRPr="00A867AE">
        <w:rPr>
          <w:rFonts w:ascii="Arial" w:hAnsi="Arial" w:cs="Arial"/>
          <w:sz w:val="20"/>
          <w:szCs w:val="20"/>
        </w:rPr>
        <w:t xml:space="preserve"> Expenditure amounted to R37.1 million of the available budget of R143.6 million. The lower than anticipated spending was mainly due to delayed payments on transfers and subsidies for Africa multilateral agreements and global science international resources because contracts were still being finalised.</w:t>
      </w:r>
    </w:p>
    <w:p w:rsidR="00036EA6" w:rsidRPr="00A867AE" w:rsidRDefault="00036EA6" w:rsidP="00A867AE">
      <w:pPr>
        <w:spacing w:line="240" w:lineRule="auto"/>
        <w:jc w:val="left"/>
        <w:rPr>
          <w:rFonts w:ascii="Arial" w:hAnsi="Arial" w:cs="Arial"/>
          <w:sz w:val="20"/>
          <w:szCs w:val="20"/>
        </w:rPr>
      </w:pPr>
    </w:p>
    <w:p w:rsidR="00036EA6" w:rsidRPr="00A867AE" w:rsidRDefault="00036EA6" w:rsidP="00A867AE">
      <w:pPr>
        <w:spacing w:line="240" w:lineRule="auto"/>
        <w:jc w:val="left"/>
        <w:rPr>
          <w:rFonts w:ascii="Arial" w:hAnsi="Arial" w:cs="Arial"/>
          <w:sz w:val="20"/>
          <w:szCs w:val="20"/>
        </w:rPr>
      </w:pPr>
      <w:r w:rsidRPr="00A867AE">
        <w:rPr>
          <w:rFonts w:ascii="Arial" w:hAnsi="Arial" w:cs="Arial"/>
          <w:b/>
          <w:sz w:val="20"/>
          <w:szCs w:val="20"/>
        </w:rPr>
        <w:t>Programme 4: Research, Development and Support:</w:t>
      </w:r>
      <w:r w:rsidRPr="00A867AE">
        <w:rPr>
          <w:rFonts w:ascii="Arial" w:hAnsi="Arial" w:cs="Arial"/>
          <w:sz w:val="20"/>
          <w:szCs w:val="20"/>
        </w:rPr>
        <w:t xml:space="preserve"> Expenditure amounted to R3 billion of the available budget of R5 billion. The lower than anticipated spending was mainly due to delayed payments on transfers and subsidies for research and development infrastructure.</w:t>
      </w:r>
    </w:p>
    <w:p w:rsidR="00036EA6" w:rsidRPr="00A867AE" w:rsidRDefault="00036EA6" w:rsidP="00A867AE">
      <w:pPr>
        <w:spacing w:line="240" w:lineRule="auto"/>
        <w:jc w:val="left"/>
        <w:rPr>
          <w:rFonts w:ascii="Arial" w:hAnsi="Arial" w:cs="Arial"/>
          <w:sz w:val="20"/>
          <w:szCs w:val="20"/>
        </w:rPr>
      </w:pPr>
    </w:p>
    <w:p w:rsidR="00036EA6" w:rsidRPr="00A867AE" w:rsidRDefault="00036EA6" w:rsidP="00A867AE">
      <w:pPr>
        <w:spacing w:line="240" w:lineRule="auto"/>
        <w:jc w:val="left"/>
        <w:rPr>
          <w:rFonts w:ascii="Arial" w:hAnsi="Arial" w:cs="Arial"/>
          <w:sz w:val="20"/>
          <w:szCs w:val="20"/>
        </w:rPr>
      </w:pPr>
      <w:r w:rsidRPr="00A867AE">
        <w:rPr>
          <w:rFonts w:ascii="Arial" w:hAnsi="Arial" w:cs="Arial"/>
          <w:b/>
          <w:sz w:val="20"/>
          <w:szCs w:val="20"/>
        </w:rPr>
        <w:t>Programme 5: Socioeconomic Innovation Partnerships:</w:t>
      </w:r>
      <w:r w:rsidRPr="00A867AE">
        <w:rPr>
          <w:rFonts w:ascii="Arial" w:hAnsi="Arial" w:cs="Arial"/>
          <w:sz w:val="20"/>
          <w:szCs w:val="20"/>
        </w:rPr>
        <w:t xml:space="preserve"> Expenditure amounted to R926.7 million of the available budget of R1.8 billion. The lower than anticipated spending was mainly due to delayed payments on transfers and subsidies for the Technology Localisation Implementation Unit (TLIU) and the Technology Stations Programme (TSP) because the implementing agency did not submit, within the stipulated timeframe, an annual financial report for the funds to be disbursed.</w:t>
      </w:r>
    </w:p>
    <w:p w:rsidR="00DC6066" w:rsidRPr="00A867AE" w:rsidRDefault="00DC6066" w:rsidP="00A867AE">
      <w:pPr>
        <w:spacing w:line="240" w:lineRule="auto"/>
        <w:jc w:val="left"/>
        <w:rPr>
          <w:rFonts w:ascii="Arial" w:eastAsiaTheme="minorHAnsi" w:hAnsi="Arial" w:cs="Arial"/>
          <w:sz w:val="20"/>
          <w:szCs w:val="20"/>
          <w:lang w:val="en-ZA"/>
        </w:rPr>
      </w:pPr>
    </w:p>
    <w:p w:rsidR="00166282" w:rsidRPr="00A867AE" w:rsidRDefault="00166282" w:rsidP="00A867AE">
      <w:pPr>
        <w:pStyle w:val="ListParagraph"/>
        <w:numPr>
          <w:ilvl w:val="1"/>
          <w:numId w:val="16"/>
        </w:numPr>
        <w:spacing w:line="240" w:lineRule="auto"/>
        <w:ind w:left="851" w:hanging="851"/>
        <w:jc w:val="left"/>
        <w:rPr>
          <w:rFonts w:eastAsiaTheme="minorHAnsi" w:cs="Arial"/>
          <w:b/>
          <w:sz w:val="20"/>
          <w:szCs w:val="20"/>
          <w:lang w:val="en-ZA"/>
        </w:rPr>
      </w:pPr>
      <w:r w:rsidRPr="00A867AE">
        <w:rPr>
          <w:rFonts w:eastAsiaTheme="minorHAnsi" w:cs="Arial"/>
          <w:b/>
          <w:sz w:val="20"/>
          <w:szCs w:val="20"/>
          <w:lang w:val="en-ZA"/>
        </w:rPr>
        <w:t xml:space="preserve">2021/22 Second Quarter (July to September 2021) </w:t>
      </w:r>
      <w:r w:rsidR="003D7380" w:rsidRPr="00A867AE">
        <w:rPr>
          <w:rFonts w:eastAsiaTheme="minorHAnsi" w:cs="Arial"/>
          <w:b/>
          <w:sz w:val="20"/>
          <w:szCs w:val="20"/>
          <w:lang w:val="en-ZA"/>
        </w:rPr>
        <w:t>Non-</w:t>
      </w:r>
      <w:r w:rsidRPr="00A867AE">
        <w:rPr>
          <w:rFonts w:eastAsiaTheme="minorHAnsi" w:cs="Arial"/>
          <w:b/>
          <w:sz w:val="20"/>
          <w:szCs w:val="20"/>
          <w:lang w:val="en-ZA"/>
        </w:rPr>
        <w:t>Financial Performance</w:t>
      </w:r>
    </w:p>
    <w:p w:rsidR="00166282" w:rsidRPr="00A867AE" w:rsidRDefault="00166282" w:rsidP="00A867AE">
      <w:pPr>
        <w:spacing w:line="240" w:lineRule="auto"/>
        <w:jc w:val="left"/>
        <w:rPr>
          <w:rFonts w:ascii="Arial" w:eastAsiaTheme="minorHAnsi" w:hAnsi="Arial" w:cs="Arial"/>
          <w:sz w:val="20"/>
          <w:szCs w:val="20"/>
          <w:lang w:val="en-ZA"/>
        </w:rPr>
      </w:pPr>
    </w:p>
    <w:p w:rsidR="00DC6066" w:rsidRPr="00A867AE" w:rsidRDefault="00DC6066" w:rsidP="00A867AE">
      <w:pPr>
        <w:autoSpaceDE w:val="0"/>
        <w:autoSpaceDN w:val="0"/>
        <w:adjustRightInd w:val="0"/>
        <w:spacing w:line="240" w:lineRule="auto"/>
        <w:jc w:val="left"/>
        <w:rPr>
          <w:rFonts w:ascii="Arial" w:eastAsiaTheme="minorHAnsi" w:hAnsi="Arial" w:cs="Arial"/>
          <w:color w:val="000000"/>
          <w:sz w:val="20"/>
          <w:szCs w:val="20"/>
          <w:lang w:val="en-ZA"/>
        </w:rPr>
      </w:pPr>
      <w:r w:rsidRPr="00A867AE">
        <w:rPr>
          <w:rFonts w:ascii="Arial" w:eastAsiaTheme="minorHAnsi" w:hAnsi="Arial" w:cs="Arial"/>
          <w:color w:val="000000"/>
          <w:sz w:val="20"/>
          <w:szCs w:val="20"/>
          <w:lang w:val="en-ZA"/>
        </w:rPr>
        <w:t xml:space="preserve">During the period under review, the total number of planned output targets </w:t>
      </w:r>
      <w:r w:rsidR="00C009B8" w:rsidRPr="00A867AE">
        <w:rPr>
          <w:rFonts w:ascii="Arial" w:eastAsiaTheme="minorHAnsi" w:hAnsi="Arial" w:cs="Arial"/>
          <w:color w:val="000000"/>
          <w:sz w:val="20"/>
          <w:szCs w:val="20"/>
          <w:lang w:val="en-ZA"/>
        </w:rPr>
        <w:t>was</w:t>
      </w:r>
      <w:r w:rsidR="003D7380" w:rsidRPr="00A867AE">
        <w:rPr>
          <w:rFonts w:ascii="Arial" w:eastAsiaTheme="minorHAnsi" w:hAnsi="Arial" w:cs="Arial"/>
          <w:color w:val="000000"/>
          <w:sz w:val="20"/>
          <w:szCs w:val="20"/>
          <w:lang w:val="en-ZA"/>
        </w:rPr>
        <w:t xml:space="preserve"> </w:t>
      </w:r>
      <w:r w:rsidRPr="00A867AE">
        <w:rPr>
          <w:rFonts w:ascii="Arial" w:eastAsiaTheme="minorHAnsi" w:hAnsi="Arial" w:cs="Arial"/>
          <w:color w:val="000000"/>
          <w:sz w:val="20"/>
          <w:szCs w:val="20"/>
          <w:lang w:val="en-ZA"/>
        </w:rPr>
        <w:t>31. The Department achieved 81%</w:t>
      </w:r>
      <w:r w:rsidR="00C009B8" w:rsidRPr="00A867AE">
        <w:rPr>
          <w:rFonts w:ascii="Arial" w:eastAsiaTheme="minorHAnsi" w:hAnsi="Arial" w:cs="Arial"/>
          <w:color w:val="000000"/>
          <w:sz w:val="20"/>
          <w:szCs w:val="20"/>
          <w:lang w:val="en-ZA"/>
        </w:rPr>
        <w:t xml:space="preserve"> (25)</w:t>
      </w:r>
      <w:r w:rsidRPr="00A867AE">
        <w:rPr>
          <w:rFonts w:ascii="Arial" w:eastAsiaTheme="minorHAnsi" w:hAnsi="Arial" w:cs="Arial"/>
          <w:color w:val="000000"/>
          <w:sz w:val="20"/>
          <w:szCs w:val="20"/>
          <w:lang w:val="en-ZA"/>
        </w:rPr>
        <w:t xml:space="preserve"> and </w:t>
      </w:r>
      <w:r w:rsidR="00C009B8" w:rsidRPr="00A867AE">
        <w:rPr>
          <w:rFonts w:ascii="Arial" w:eastAsiaTheme="minorHAnsi" w:hAnsi="Arial" w:cs="Arial"/>
          <w:color w:val="000000"/>
          <w:sz w:val="20"/>
          <w:szCs w:val="20"/>
          <w:lang w:val="en-ZA"/>
        </w:rPr>
        <w:t xml:space="preserve">did not achieve </w:t>
      </w:r>
      <w:r w:rsidRPr="00A867AE">
        <w:rPr>
          <w:rFonts w:ascii="Arial" w:eastAsiaTheme="minorHAnsi" w:hAnsi="Arial" w:cs="Arial"/>
          <w:color w:val="000000"/>
          <w:sz w:val="20"/>
          <w:szCs w:val="20"/>
          <w:lang w:val="en-ZA"/>
        </w:rPr>
        <w:t xml:space="preserve">19% </w:t>
      </w:r>
      <w:r w:rsidR="00C009B8" w:rsidRPr="00A867AE">
        <w:rPr>
          <w:rFonts w:ascii="Arial" w:eastAsiaTheme="minorHAnsi" w:hAnsi="Arial" w:cs="Arial"/>
          <w:color w:val="000000"/>
          <w:sz w:val="20"/>
          <w:szCs w:val="20"/>
          <w:lang w:val="en-ZA"/>
        </w:rPr>
        <w:t xml:space="preserve">(6) </w:t>
      </w:r>
      <w:r w:rsidRPr="00A867AE">
        <w:rPr>
          <w:rFonts w:ascii="Arial" w:eastAsiaTheme="minorHAnsi" w:hAnsi="Arial" w:cs="Arial"/>
          <w:color w:val="000000"/>
          <w:sz w:val="20"/>
          <w:szCs w:val="20"/>
          <w:lang w:val="en-ZA"/>
        </w:rPr>
        <w:t>of the planned output targets.</w:t>
      </w:r>
    </w:p>
    <w:p w:rsidR="00166282" w:rsidRPr="00A867AE" w:rsidRDefault="00166282" w:rsidP="00A867AE">
      <w:pPr>
        <w:autoSpaceDE w:val="0"/>
        <w:autoSpaceDN w:val="0"/>
        <w:adjustRightInd w:val="0"/>
        <w:spacing w:line="240" w:lineRule="auto"/>
        <w:jc w:val="left"/>
        <w:rPr>
          <w:rFonts w:ascii="Arial" w:eastAsiaTheme="minorHAnsi" w:hAnsi="Arial" w:cs="Arial"/>
          <w:color w:val="000000"/>
          <w:sz w:val="20"/>
          <w:szCs w:val="20"/>
          <w:lang w:val="en-ZA"/>
        </w:rPr>
      </w:pPr>
    </w:p>
    <w:p w:rsidR="00DC6066" w:rsidRPr="00A867AE" w:rsidRDefault="00DC6066" w:rsidP="00A867AE">
      <w:pPr>
        <w:autoSpaceDE w:val="0"/>
        <w:autoSpaceDN w:val="0"/>
        <w:adjustRightInd w:val="0"/>
        <w:spacing w:line="240" w:lineRule="auto"/>
        <w:jc w:val="left"/>
        <w:rPr>
          <w:rFonts w:ascii="Arial" w:eastAsiaTheme="minorHAnsi" w:hAnsi="Arial" w:cs="Arial"/>
          <w:color w:val="000000"/>
          <w:sz w:val="20"/>
          <w:szCs w:val="20"/>
          <w:lang w:val="en-ZA"/>
        </w:rPr>
      </w:pPr>
      <w:r w:rsidRPr="00A867AE">
        <w:rPr>
          <w:rFonts w:ascii="Arial" w:eastAsiaTheme="minorHAnsi" w:hAnsi="Arial" w:cs="Arial"/>
          <w:b/>
          <w:bCs/>
          <w:color w:val="000000"/>
          <w:sz w:val="20"/>
          <w:szCs w:val="20"/>
          <w:lang w:val="en-ZA"/>
        </w:rPr>
        <w:t xml:space="preserve">Programme 1 </w:t>
      </w:r>
      <w:r w:rsidR="00C009B8" w:rsidRPr="00A867AE">
        <w:rPr>
          <w:rFonts w:ascii="Arial" w:eastAsiaTheme="minorHAnsi" w:hAnsi="Arial" w:cs="Arial"/>
          <w:bCs/>
          <w:color w:val="000000"/>
          <w:sz w:val="20"/>
          <w:szCs w:val="20"/>
          <w:lang w:val="en-ZA"/>
        </w:rPr>
        <w:t xml:space="preserve">with </w:t>
      </w:r>
      <w:r w:rsidR="000502D2" w:rsidRPr="00A867AE">
        <w:rPr>
          <w:rFonts w:ascii="Arial" w:eastAsiaTheme="minorHAnsi" w:hAnsi="Arial" w:cs="Arial"/>
          <w:bCs/>
          <w:color w:val="000000"/>
          <w:sz w:val="20"/>
          <w:szCs w:val="20"/>
          <w:lang w:val="en-ZA"/>
        </w:rPr>
        <w:t>4</w:t>
      </w:r>
      <w:r w:rsidR="00C009B8" w:rsidRPr="00A867AE">
        <w:rPr>
          <w:rFonts w:ascii="Arial" w:eastAsiaTheme="minorHAnsi" w:hAnsi="Arial" w:cs="Arial"/>
          <w:bCs/>
          <w:color w:val="000000"/>
          <w:sz w:val="20"/>
          <w:szCs w:val="20"/>
          <w:lang w:val="en-ZA"/>
        </w:rPr>
        <w:t xml:space="preserve"> </w:t>
      </w:r>
      <w:r w:rsidR="000502D2" w:rsidRPr="00A867AE">
        <w:rPr>
          <w:rFonts w:ascii="Arial" w:eastAsiaTheme="minorHAnsi" w:hAnsi="Arial" w:cs="Arial"/>
          <w:bCs/>
          <w:color w:val="000000"/>
          <w:sz w:val="20"/>
          <w:szCs w:val="20"/>
          <w:lang w:val="en-ZA"/>
        </w:rPr>
        <w:t>targets</w:t>
      </w:r>
      <w:r w:rsidR="00146D1D" w:rsidRPr="00A867AE">
        <w:rPr>
          <w:rFonts w:ascii="Arial" w:eastAsiaTheme="minorHAnsi" w:hAnsi="Arial" w:cs="Arial"/>
          <w:bCs/>
          <w:color w:val="000000"/>
          <w:sz w:val="20"/>
          <w:szCs w:val="20"/>
          <w:lang w:val="en-ZA"/>
        </w:rPr>
        <w:t xml:space="preserve"> </w:t>
      </w:r>
      <w:r w:rsidRPr="00A867AE">
        <w:rPr>
          <w:rFonts w:ascii="Arial" w:eastAsiaTheme="minorHAnsi" w:hAnsi="Arial" w:cs="Arial"/>
          <w:color w:val="000000"/>
          <w:sz w:val="20"/>
          <w:szCs w:val="20"/>
          <w:lang w:val="en-ZA"/>
        </w:rPr>
        <w:t xml:space="preserve">achieved 75% </w:t>
      </w:r>
      <w:r w:rsidR="00527BF2" w:rsidRPr="00A867AE">
        <w:rPr>
          <w:rFonts w:ascii="Arial" w:eastAsiaTheme="minorHAnsi" w:hAnsi="Arial" w:cs="Arial"/>
          <w:color w:val="000000"/>
          <w:sz w:val="20"/>
          <w:szCs w:val="20"/>
          <w:lang w:val="en-ZA"/>
        </w:rPr>
        <w:t xml:space="preserve">(3) </w:t>
      </w:r>
      <w:r w:rsidRPr="00A867AE">
        <w:rPr>
          <w:rFonts w:ascii="Arial" w:eastAsiaTheme="minorHAnsi" w:hAnsi="Arial" w:cs="Arial"/>
          <w:color w:val="000000"/>
          <w:sz w:val="20"/>
          <w:szCs w:val="20"/>
          <w:lang w:val="en-ZA"/>
        </w:rPr>
        <w:t xml:space="preserve">and </w:t>
      </w:r>
      <w:r w:rsidR="00146D1D" w:rsidRPr="00A867AE">
        <w:rPr>
          <w:rFonts w:ascii="Arial" w:eastAsiaTheme="minorHAnsi" w:hAnsi="Arial" w:cs="Arial"/>
          <w:color w:val="000000"/>
          <w:sz w:val="20"/>
          <w:szCs w:val="20"/>
          <w:lang w:val="en-ZA"/>
        </w:rPr>
        <w:t xml:space="preserve">did not achieve </w:t>
      </w:r>
      <w:r w:rsidRPr="00A867AE">
        <w:rPr>
          <w:rFonts w:ascii="Arial" w:eastAsiaTheme="minorHAnsi" w:hAnsi="Arial" w:cs="Arial"/>
          <w:color w:val="000000"/>
          <w:sz w:val="20"/>
          <w:szCs w:val="20"/>
          <w:lang w:val="en-ZA"/>
        </w:rPr>
        <w:t>25% of the</w:t>
      </w:r>
      <w:r w:rsidR="00146D1D" w:rsidRPr="00A867AE">
        <w:rPr>
          <w:rFonts w:ascii="Arial" w:eastAsiaTheme="minorHAnsi" w:hAnsi="Arial" w:cs="Arial"/>
          <w:color w:val="000000"/>
          <w:sz w:val="20"/>
          <w:szCs w:val="20"/>
          <w:lang w:val="en-ZA"/>
        </w:rPr>
        <w:t>se</w:t>
      </w:r>
      <w:r w:rsidRPr="00A867AE">
        <w:rPr>
          <w:rFonts w:ascii="Arial" w:eastAsiaTheme="minorHAnsi" w:hAnsi="Arial" w:cs="Arial"/>
          <w:color w:val="000000"/>
          <w:sz w:val="20"/>
          <w:szCs w:val="20"/>
          <w:lang w:val="en-ZA"/>
        </w:rPr>
        <w:t xml:space="preserve"> targets. </w:t>
      </w:r>
    </w:p>
    <w:p w:rsidR="00DC6066" w:rsidRPr="00A867AE" w:rsidRDefault="00DC6066" w:rsidP="00A867AE">
      <w:pPr>
        <w:autoSpaceDE w:val="0"/>
        <w:autoSpaceDN w:val="0"/>
        <w:adjustRightInd w:val="0"/>
        <w:spacing w:line="240" w:lineRule="auto"/>
        <w:jc w:val="left"/>
        <w:rPr>
          <w:rFonts w:ascii="Arial" w:eastAsiaTheme="minorHAnsi" w:hAnsi="Arial" w:cs="Arial"/>
          <w:color w:val="000000"/>
          <w:sz w:val="20"/>
          <w:szCs w:val="20"/>
          <w:lang w:val="en-ZA"/>
        </w:rPr>
      </w:pPr>
      <w:r w:rsidRPr="00A867AE">
        <w:rPr>
          <w:rFonts w:ascii="Arial" w:eastAsiaTheme="minorHAnsi" w:hAnsi="Arial" w:cs="Arial"/>
          <w:b/>
          <w:bCs/>
          <w:color w:val="000000"/>
          <w:sz w:val="20"/>
          <w:szCs w:val="20"/>
          <w:lang w:val="en-ZA"/>
        </w:rPr>
        <w:t xml:space="preserve">Programme 2 </w:t>
      </w:r>
      <w:r w:rsidR="000502D2" w:rsidRPr="00A867AE">
        <w:rPr>
          <w:rFonts w:ascii="Arial" w:eastAsiaTheme="minorHAnsi" w:hAnsi="Arial" w:cs="Arial"/>
          <w:bCs/>
          <w:color w:val="000000"/>
          <w:sz w:val="20"/>
          <w:szCs w:val="20"/>
          <w:lang w:val="en-ZA"/>
        </w:rPr>
        <w:t xml:space="preserve">with 2 targets </w:t>
      </w:r>
      <w:r w:rsidRPr="00A867AE">
        <w:rPr>
          <w:rFonts w:ascii="Arial" w:eastAsiaTheme="minorHAnsi" w:hAnsi="Arial" w:cs="Arial"/>
          <w:color w:val="000000"/>
          <w:sz w:val="20"/>
          <w:szCs w:val="20"/>
          <w:lang w:val="en-ZA"/>
        </w:rPr>
        <w:t xml:space="preserve">achieved 100% of </w:t>
      </w:r>
      <w:r w:rsidR="000502D2" w:rsidRPr="00A867AE">
        <w:rPr>
          <w:rFonts w:ascii="Arial" w:eastAsiaTheme="minorHAnsi" w:hAnsi="Arial" w:cs="Arial"/>
          <w:color w:val="000000"/>
          <w:sz w:val="20"/>
          <w:szCs w:val="20"/>
          <w:lang w:val="en-ZA"/>
        </w:rPr>
        <w:t xml:space="preserve">these </w:t>
      </w:r>
      <w:r w:rsidRPr="00A867AE">
        <w:rPr>
          <w:rFonts w:ascii="Arial" w:eastAsiaTheme="minorHAnsi" w:hAnsi="Arial" w:cs="Arial"/>
          <w:color w:val="000000"/>
          <w:sz w:val="20"/>
          <w:szCs w:val="20"/>
          <w:lang w:val="en-ZA"/>
        </w:rPr>
        <w:t xml:space="preserve">targets. </w:t>
      </w:r>
    </w:p>
    <w:p w:rsidR="00DC6066" w:rsidRPr="00A867AE" w:rsidRDefault="00DC6066" w:rsidP="00A867AE">
      <w:pPr>
        <w:autoSpaceDE w:val="0"/>
        <w:autoSpaceDN w:val="0"/>
        <w:adjustRightInd w:val="0"/>
        <w:spacing w:line="240" w:lineRule="auto"/>
        <w:jc w:val="left"/>
        <w:rPr>
          <w:rFonts w:ascii="Arial" w:eastAsiaTheme="minorHAnsi" w:hAnsi="Arial" w:cs="Arial"/>
          <w:color w:val="000000"/>
          <w:sz w:val="20"/>
          <w:szCs w:val="20"/>
          <w:lang w:val="en-ZA"/>
        </w:rPr>
      </w:pPr>
      <w:r w:rsidRPr="00A867AE">
        <w:rPr>
          <w:rFonts w:ascii="Arial" w:eastAsiaTheme="minorHAnsi" w:hAnsi="Arial" w:cs="Arial"/>
          <w:b/>
          <w:bCs/>
          <w:color w:val="000000"/>
          <w:sz w:val="20"/>
          <w:szCs w:val="20"/>
          <w:lang w:val="en-ZA"/>
        </w:rPr>
        <w:t xml:space="preserve">Programme 3 </w:t>
      </w:r>
      <w:r w:rsidR="000502D2" w:rsidRPr="00A867AE">
        <w:rPr>
          <w:rFonts w:ascii="Arial" w:eastAsiaTheme="minorHAnsi" w:hAnsi="Arial" w:cs="Arial"/>
          <w:bCs/>
          <w:color w:val="000000"/>
          <w:sz w:val="20"/>
          <w:szCs w:val="20"/>
          <w:lang w:val="en-ZA"/>
        </w:rPr>
        <w:t>with 8 targets</w:t>
      </w:r>
      <w:r w:rsidR="000502D2" w:rsidRPr="00A867AE">
        <w:rPr>
          <w:rFonts w:ascii="Arial" w:eastAsiaTheme="minorHAnsi" w:hAnsi="Arial" w:cs="Arial"/>
          <w:b/>
          <w:bCs/>
          <w:color w:val="000000"/>
          <w:sz w:val="20"/>
          <w:szCs w:val="20"/>
          <w:lang w:val="en-ZA"/>
        </w:rPr>
        <w:t xml:space="preserve"> </w:t>
      </w:r>
      <w:r w:rsidRPr="00A867AE">
        <w:rPr>
          <w:rFonts w:ascii="Arial" w:eastAsiaTheme="minorHAnsi" w:hAnsi="Arial" w:cs="Arial"/>
          <w:color w:val="000000"/>
          <w:sz w:val="20"/>
          <w:szCs w:val="20"/>
          <w:lang w:val="en-ZA"/>
        </w:rPr>
        <w:t xml:space="preserve">achieved 88% </w:t>
      </w:r>
      <w:r w:rsidR="00527BF2" w:rsidRPr="00A867AE">
        <w:rPr>
          <w:rFonts w:ascii="Arial" w:eastAsiaTheme="minorHAnsi" w:hAnsi="Arial" w:cs="Arial"/>
          <w:color w:val="000000"/>
          <w:sz w:val="20"/>
          <w:szCs w:val="20"/>
          <w:lang w:val="en-ZA"/>
        </w:rPr>
        <w:t xml:space="preserve">(7) and did not achieve </w:t>
      </w:r>
      <w:r w:rsidRPr="00A867AE">
        <w:rPr>
          <w:rFonts w:ascii="Arial" w:eastAsiaTheme="minorHAnsi" w:hAnsi="Arial" w:cs="Arial"/>
          <w:color w:val="000000"/>
          <w:sz w:val="20"/>
          <w:szCs w:val="20"/>
          <w:lang w:val="en-ZA"/>
        </w:rPr>
        <w:t>12% of the</w:t>
      </w:r>
      <w:r w:rsidR="00527BF2" w:rsidRPr="00A867AE">
        <w:rPr>
          <w:rFonts w:ascii="Arial" w:eastAsiaTheme="minorHAnsi" w:hAnsi="Arial" w:cs="Arial"/>
          <w:color w:val="000000"/>
          <w:sz w:val="20"/>
          <w:szCs w:val="20"/>
          <w:lang w:val="en-ZA"/>
        </w:rPr>
        <w:t>se</w:t>
      </w:r>
      <w:r w:rsidRPr="00A867AE">
        <w:rPr>
          <w:rFonts w:ascii="Arial" w:eastAsiaTheme="minorHAnsi" w:hAnsi="Arial" w:cs="Arial"/>
          <w:color w:val="000000"/>
          <w:sz w:val="20"/>
          <w:szCs w:val="20"/>
          <w:lang w:val="en-ZA"/>
        </w:rPr>
        <w:t xml:space="preserve"> targets. </w:t>
      </w:r>
    </w:p>
    <w:p w:rsidR="00DC6066" w:rsidRPr="00A867AE" w:rsidRDefault="00DC6066" w:rsidP="00A867AE">
      <w:pPr>
        <w:autoSpaceDE w:val="0"/>
        <w:autoSpaceDN w:val="0"/>
        <w:adjustRightInd w:val="0"/>
        <w:spacing w:line="240" w:lineRule="auto"/>
        <w:jc w:val="left"/>
        <w:rPr>
          <w:rFonts w:ascii="Arial" w:eastAsiaTheme="minorHAnsi" w:hAnsi="Arial" w:cs="Arial"/>
          <w:color w:val="000000"/>
          <w:sz w:val="20"/>
          <w:szCs w:val="20"/>
          <w:lang w:val="en-ZA"/>
        </w:rPr>
      </w:pPr>
      <w:r w:rsidRPr="00A867AE">
        <w:rPr>
          <w:rFonts w:ascii="Arial" w:eastAsiaTheme="minorHAnsi" w:hAnsi="Arial" w:cs="Arial"/>
          <w:b/>
          <w:bCs/>
          <w:color w:val="000000"/>
          <w:sz w:val="20"/>
          <w:szCs w:val="20"/>
          <w:lang w:val="en-ZA"/>
        </w:rPr>
        <w:t xml:space="preserve">Programme 4 </w:t>
      </w:r>
      <w:r w:rsidR="00527BF2" w:rsidRPr="00A867AE">
        <w:rPr>
          <w:rFonts w:ascii="Arial" w:eastAsiaTheme="minorHAnsi" w:hAnsi="Arial" w:cs="Arial"/>
          <w:bCs/>
          <w:color w:val="000000"/>
          <w:sz w:val="20"/>
          <w:szCs w:val="20"/>
          <w:lang w:val="en-ZA"/>
        </w:rPr>
        <w:t xml:space="preserve">with 10 targets </w:t>
      </w:r>
      <w:r w:rsidRPr="00A867AE">
        <w:rPr>
          <w:rFonts w:ascii="Arial" w:eastAsiaTheme="minorHAnsi" w:hAnsi="Arial" w:cs="Arial"/>
          <w:color w:val="000000"/>
          <w:sz w:val="20"/>
          <w:szCs w:val="20"/>
          <w:lang w:val="en-ZA"/>
        </w:rPr>
        <w:t xml:space="preserve">achieved 80% </w:t>
      </w:r>
      <w:r w:rsidR="00527BF2" w:rsidRPr="00A867AE">
        <w:rPr>
          <w:rFonts w:ascii="Arial" w:eastAsiaTheme="minorHAnsi" w:hAnsi="Arial" w:cs="Arial"/>
          <w:color w:val="000000"/>
          <w:sz w:val="20"/>
          <w:szCs w:val="20"/>
          <w:lang w:val="en-ZA"/>
        </w:rPr>
        <w:t xml:space="preserve">(8) and did not achieve </w:t>
      </w:r>
      <w:r w:rsidRPr="00A867AE">
        <w:rPr>
          <w:rFonts w:ascii="Arial" w:eastAsiaTheme="minorHAnsi" w:hAnsi="Arial" w:cs="Arial"/>
          <w:color w:val="000000"/>
          <w:sz w:val="20"/>
          <w:szCs w:val="20"/>
          <w:lang w:val="en-ZA"/>
        </w:rPr>
        <w:t>20% of the</w:t>
      </w:r>
      <w:r w:rsidR="00527BF2" w:rsidRPr="00A867AE">
        <w:rPr>
          <w:rFonts w:ascii="Arial" w:eastAsiaTheme="minorHAnsi" w:hAnsi="Arial" w:cs="Arial"/>
          <w:color w:val="000000"/>
          <w:sz w:val="20"/>
          <w:szCs w:val="20"/>
          <w:lang w:val="en-ZA"/>
        </w:rPr>
        <w:t>se</w:t>
      </w:r>
      <w:r w:rsidRPr="00A867AE">
        <w:rPr>
          <w:rFonts w:ascii="Arial" w:eastAsiaTheme="minorHAnsi" w:hAnsi="Arial" w:cs="Arial"/>
          <w:color w:val="000000"/>
          <w:sz w:val="20"/>
          <w:szCs w:val="20"/>
          <w:lang w:val="en-ZA"/>
        </w:rPr>
        <w:t xml:space="preserve"> targets. </w:t>
      </w:r>
    </w:p>
    <w:p w:rsidR="00DC6066" w:rsidRPr="00A867AE" w:rsidRDefault="00DC6066" w:rsidP="00A867AE">
      <w:pPr>
        <w:autoSpaceDE w:val="0"/>
        <w:autoSpaceDN w:val="0"/>
        <w:adjustRightInd w:val="0"/>
        <w:spacing w:line="240" w:lineRule="auto"/>
        <w:jc w:val="left"/>
        <w:rPr>
          <w:rFonts w:ascii="Arial" w:eastAsiaTheme="minorHAnsi" w:hAnsi="Arial" w:cs="Arial"/>
          <w:color w:val="000000"/>
          <w:sz w:val="20"/>
          <w:szCs w:val="20"/>
          <w:lang w:val="en-ZA"/>
        </w:rPr>
      </w:pPr>
      <w:r w:rsidRPr="00A867AE">
        <w:rPr>
          <w:rFonts w:ascii="Arial" w:eastAsiaTheme="minorHAnsi" w:hAnsi="Arial" w:cs="Arial"/>
          <w:b/>
          <w:bCs/>
          <w:color w:val="000000"/>
          <w:sz w:val="20"/>
          <w:szCs w:val="20"/>
          <w:lang w:val="en-ZA"/>
        </w:rPr>
        <w:t xml:space="preserve">Programme 5 </w:t>
      </w:r>
      <w:r w:rsidR="00527BF2" w:rsidRPr="00A867AE">
        <w:rPr>
          <w:rFonts w:ascii="Arial" w:eastAsiaTheme="minorHAnsi" w:hAnsi="Arial" w:cs="Arial"/>
          <w:bCs/>
          <w:color w:val="000000"/>
          <w:sz w:val="20"/>
          <w:szCs w:val="20"/>
          <w:lang w:val="en-ZA"/>
        </w:rPr>
        <w:t xml:space="preserve">with 7 targets </w:t>
      </w:r>
      <w:r w:rsidRPr="00A867AE">
        <w:rPr>
          <w:rFonts w:ascii="Arial" w:eastAsiaTheme="minorHAnsi" w:hAnsi="Arial" w:cs="Arial"/>
          <w:color w:val="000000"/>
          <w:sz w:val="20"/>
          <w:szCs w:val="20"/>
          <w:lang w:val="en-ZA"/>
        </w:rPr>
        <w:t xml:space="preserve">achieved 71% </w:t>
      </w:r>
      <w:r w:rsidR="00527BF2" w:rsidRPr="00A867AE">
        <w:rPr>
          <w:rFonts w:ascii="Arial" w:eastAsiaTheme="minorHAnsi" w:hAnsi="Arial" w:cs="Arial"/>
          <w:color w:val="000000"/>
          <w:sz w:val="20"/>
          <w:szCs w:val="20"/>
          <w:lang w:val="en-ZA"/>
        </w:rPr>
        <w:t xml:space="preserve">(5) and did not achieve </w:t>
      </w:r>
      <w:r w:rsidRPr="00A867AE">
        <w:rPr>
          <w:rFonts w:ascii="Arial" w:eastAsiaTheme="minorHAnsi" w:hAnsi="Arial" w:cs="Arial"/>
          <w:color w:val="000000"/>
          <w:sz w:val="20"/>
          <w:szCs w:val="20"/>
          <w:lang w:val="en-ZA"/>
        </w:rPr>
        <w:t>29% of the</w:t>
      </w:r>
      <w:r w:rsidR="00527BF2" w:rsidRPr="00A867AE">
        <w:rPr>
          <w:rFonts w:ascii="Arial" w:eastAsiaTheme="minorHAnsi" w:hAnsi="Arial" w:cs="Arial"/>
          <w:color w:val="000000"/>
          <w:sz w:val="20"/>
          <w:szCs w:val="20"/>
          <w:lang w:val="en-ZA"/>
        </w:rPr>
        <w:t xml:space="preserve">se </w:t>
      </w:r>
      <w:r w:rsidRPr="00A867AE">
        <w:rPr>
          <w:rFonts w:ascii="Arial" w:eastAsiaTheme="minorHAnsi" w:hAnsi="Arial" w:cs="Arial"/>
          <w:color w:val="000000"/>
          <w:sz w:val="20"/>
          <w:szCs w:val="20"/>
          <w:lang w:val="en-ZA"/>
        </w:rPr>
        <w:t xml:space="preserve">targets. </w:t>
      </w:r>
    </w:p>
    <w:p w:rsidR="00E0047A" w:rsidRPr="00A867AE" w:rsidRDefault="00E0047A" w:rsidP="00A867AE">
      <w:pPr>
        <w:spacing w:line="240" w:lineRule="auto"/>
        <w:jc w:val="left"/>
        <w:rPr>
          <w:rFonts w:ascii="Arial" w:hAnsi="Arial" w:cs="Arial"/>
          <w:sz w:val="20"/>
          <w:szCs w:val="20"/>
        </w:rPr>
      </w:pPr>
    </w:p>
    <w:p w:rsidR="00D7241A" w:rsidRPr="00A867AE" w:rsidRDefault="00D7241A" w:rsidP="00A867AE">
      <w:pPr>
        <w:spacing w:line="240" w:lineRule="auto"/>
        <w:jc w:val="left"/>
        <w:rPr>
          <w:rFonts w:ascii="Arial" w:hAnsi="Arial" w:cs="Arial"/>
          <w:sz w:val="20"/>
          <w:szCs w:val="20"/>
        </w:rPr>
      </w:pPr>
      <w:r w:rsidRPr="00A867AE">
        <w:rPr>
          <w:rFonts w:ascii="Arial" w:hAnsi="Arial" w:cs="Arial"/>
          <w:sz w:val="20"/>
          <w:szCs w:val="20"/>
        </w:rPr>
        <w:t>During the second quarter, the Department mainly ascribed the non-achievement of targets to:</w:t>
      </w:r>
    </w:p>
    <w:p w:rsidR="00D7241A" w:rsidRPr="00A867AE" w:rsidRDefault="00D7241A" w:rsidP="00A867AE">
      <w:pPr>
        <w:spacing w:line="240" w:lineRule="auto"/>
        <w:jc w:val="left"/>
        <w:rPr>
          <w:rFonts w:ascii="Arial" w:hAnsi="Arial" w:cs="Arial"/>
          <w:sz w:val="20"/>
          <w:szCs w:val="20"/>
          <w:lang w:val="en-ZA"/>
        </w:rPr>
      </w:pPr>
    </w:p>
    <w:p w:rsidR="00D7241A" w:rsidRPr="00A867AE" w:rsidRDefault="00D7241A" w:rsidP="00A867AE">
      <w:pPr>
        <w:spacing w:line="240" w:lineRule="auto"/>
        <w:jc w:val="left"/>
        <w:rPr>
          <w:rFonts w:ascii="Arial" w:hAnsi="Arial" w:cs="Arial"/>
          <w:sz w:val="20"/>
          <w:szCs w:val="20"/>
          <w:lang w:val="en-ZA"/>
        </w:rPr>
      </w:pPr>
      <w:r w:rsidRPr="00A867AE">
        <w:rPr>
          <w:rFonts w:ascii="Arial" w:hAnsi="Arial" w:cs="Arial"/>
          <w:b/>
          <w:bCs/>
          <w:sz w:val="20"/>
          <w:szCs w:val="20"/>
          <w:lang w:val="en-US"/>
        </w:rPr>
        <w:t>Process delays</w:t>
      </w:r>
      <w:r w:rsidRPr="00A867AE">
        <w:rPr>
          <w:rFonts w:ascii="Arial" w:hAnsi="Arial" w:cs="Arial"/>
          <w:bCs/>
          <w:sz w:val="20"/>
          <w:szCs w:val="20"/>
          <w:lang w:val="en-US"/>
        </w:rPr>
        <w:t xml:space="preserve"> – </w:t>
      </w:r>
      <w:r w:rsidR="00E80A6F" w:rsidRPr="00A867AE">
        <w:rPr>
          <w:rFonts w:ascii="Arial" w:hAnsi="Arial" w:cs="Arial"/>
          <w:bCs/>
          <w:sz w:val="20"/>
          <w:szCs w:val="20"/>
          <w:lang w:val="en-US"/>
        </w:rPr>
        <w:t>4</w:t>
      </w:r>
      <w:r w:rsidRPr="00A867AE">
        <w:rPr>
          <w:rFonts w:ascii="Arial" w:hAnsi="Arial" w:cs="Arial"/>
          <w:bCs/>
          <w:sz w:val="20"/>
          <w:szCs w:val="20"/>
          <w:lang w:val="en-US"/>
        </w:rPr>
        <w:t xml:space="preserve"> targets – where </w:t>
      </w:r>
      <w:r w:rsidRPr="00A867AE">
        <w:rPr>
          <w:rFonts w:ascii="Arial" w:hAnsi="Arial" w:cs="Arial"/>
          <w:sz w:val="20"/>
          <w:szCs w:val="20"/>
          <w:lang w:val="en-US"/>
        </w:rPr>
        <w:t>the achievement of targets are dependent on factors that are outside the control of the Department;</w:t>
      </w:r>
    </w:p>
    <w:p w:rsidR="00E80A6F" w:rsidRPr="00A867AE" w:rsidRDefault="00D7241A" w:rsidP="00A867AE">
      <w:pPr>
        <w:spacing w:line="240" w:lineRule="auto"/>
        <w:jc w:val="left"/>
        <w:rPr>
          <w:rFonts w:ascii="Arial" w:hAnsi="Arial" w:cs="Arial"/>
          <w:sz w:val="20"/>
          <w:szCs w:val="20"/>
          <w:lang w:val="en-US"/>
        </w:rPr>
      </w:pPr>
      <w:r w:rsidRPr="00A867AE">
        <w:rPr>
          <w:rFonts w:ascii="Arial" w:hAnsi="Arial" w:cs="Arial"/>
          <w:b/>
          <w:bCs/>
          <w:sz w:val="20"/>
          <w:szCs w:val="20"/>
          <w:lang w:val="en-US"/>
        </w:rPr>
        <w:t xml:space="preserve">Target formulation </w:t>
      </w:r>
      <w:r w:rsidRPr="00A867AE">
        <w:rPr>
          <w:rFonts w:ascii="Arial" w:hAnsi="Arial" w:cs="Arial"/>
          <w:b/>
          <w:bCs/>
          <w:sz w:val="20"/>
          <w:szCs w:val="20"/>
          <w:lang w:val="en-ZA"/>
        </w:rPr>
        <w:t>deficiencies</w:t>
      </w:r>
      <w:r w:rsidRPr="00A867AE">
        <w:rPr>
          <w:rFonts w:ascii="Arial" w:hAnsi="Arial" w:cs="Arial"/>
          <w:bCs/>
          <w:sz w:val="20"/>
          <w:szCs w:val="20"/>
          <w:lang w:val="en-ZA"/>
        </w:rPr>
        <w:t xml:space="preserve"> -1 target - where</w:t>
      </w:r>
      <w:r w:rsidRPr="00A867AE">
        <w:rPr>
          <w:rFonts w:ascii="Arial" w:hAnsi="Arial" w:cs="Arial"/>
          <w:sz w:val="20"/>
          <w:szCs w:val="20"/>
          <w:lang w:val="en-US"/>
        </w:rPr>
        <w:t xml:space="preserve"> targets were not achieved because of variables that were not foreseen during the target formulation phase</w:t>
      </w:r>
      <w:r w:rsidR="00E80A6F" w:rsidRPr="00A867AE">
        <w:rPr>
          <w:rFonts w:ascii="Arial" w:hAnsi="Arial" w:cs="Arial"/>
          <w:sz w:val="20"/>
          <w:szCs w:val="20"/>
          <w:lang w:val="en-US"/>
        </w:rPr>
        <w:t>; and</w:t>
      </w:r>
    </w:p>
    <w:p w:rsidR="00D7241A" w:rsidRPr="00A867AE" w:rsidRDefault="00E80A6F" w:rsidP="00A867AE">
      <w:pPr>
        <w:spacing w:line="240" w:lineRule="auto"/>
        <w:jc w:val="left"/>
        <w:rPr>
          <w:rFonts w:ascii="Arial" w:hAnsi="Arial" w:cs="Arial"/>
          <w:sz w:val="20"/>
          <w:szCs w:val="20"/>
        </w:rPr>
      </w:pPr>
      <w:r w:rsidRPr="00A867AE">
        <w:rPr>
          <w:rFonts w:ascii="Arial" w:hAnsi="Arial" w:cs="Arial"/>
          <w:b/>
          <w:sz w:val="20"/>
          <w:szCs w:val="20"/>
          <w:lang w:val="en-US"/>
        </w:rPr>
        <w:t>Ineffectiveness of implementers</w:t>
      </w:r>
      <w:r w:rsidRPr="00A867AE">
        <w:rPr>
          <w:rFonts w:ascii="Arial" w:hAnsi="Arial" w:cs="Arial"/>
          <w:sz w:val="20"/>
          <w:szCs w:val="20"/>
          <w:lang w:val="en-US"/>
        </w:rPr>
        <w:t xml:space="preserve"> – 1 target – where targets were not achieved due to deficiencies during the implementation phase</w:t>
      </w:r>
      <w:r w:rsidR="00D7241A" w:rsidRPr="00A867AE">
        <w:rPr>
          <w:rFonts w:ascii="Arial" w:hAnsi="Arial" w:cs="Arial"/>
          <w:sz w:val="20"/>
          <w:szCs w:val="20"/>
          <w:lang w:val="en-US"/>
        </w:rPr>
        <w:t>.</w:t>
      </w:r>
      <w:r w:rsidR="00D7241A" w:rsidRPr="00A867AE">
        <w:rPr>
          <w:rFonts w:ascii="Arial" w:hAnsi="Arial" w:cs="Arial"/>
          <w:sz w:val="20"/>
          <w:szCs w:val="20"/>
        </w:rPr>
        <w:t xml:space="preserve"> </w:t>
      </w:r>
    </w:p>
    <w:p w:rsidR="00D7241A" w:rsidRPr="00A867AE" w:rsidRDefault="00D7241A" w:rsidP="00A867AE">
      <w:pPr>
        <w:spacing w:line="240" w:lineRule="auto"/>
        <w:jc w:val="left"/>
        <w:rPr>
          <w:rFonts w:ascii="Arial" w:hAnsi="Arial" w:cs="Arial"/>
          <w:sz w:val="20"/>
          <w:szCs w:val="20"/>
        </w:rPr>
      </w:pPr>
    </w:p>
    <w:p w:rsidR="004D5559" w:rsidRPr="00A867AE" w:rsidRDefault="00E0047A" w:rsidP="00A867AE">
      <w:pPr>
        <w:pStyle w:val="ListParagraph"/>
        <w:numPr>
          <w:ilvl w:val="1"/>
          <w:numId w:val="16"/>
        </w:numPr>
        <w:spacing w:line="240" w:lineRule="auto"/>
        <w:ind w:left="851" w:hanging="851"/>
        <w:jc w:val="left"/>
        <w:rPr>
          <w:rFonts w:cs="Arial"/>
          <w:sz w:val="20"/>
          <w:szCs w:val="20"/>
        </w:rPr>
      </w:pPr>
      <w:r w:rsidRPr="00A867AE">
        <w:rPr>
          <w:rFonts w:cs="Arial"/>
          <w:b/>
          <w:sz w:val="20"/>
          <w:szCs w:val="20"/>
        </w:rPr>
        <w:t>2021</w:t>
      </w:r>
      <w:r w:rsidR="004D5559" w:rsidRPr="00A867AE">
        <w:rPr>
          <w:rFonts w:cs="Arial"/>
          <w:b/>
          <w:sz w:val="20"/>
          <w:szCs w:val="20"/>
        </w:rPr>
        <w:t>/22 Third Quarter (October to December 2021) Financial Performance</w:t>
      </w:r>
    </w:p>
    <w:p w:rsidR="004D5559" w:rsidRPr="00A867AE" w:rsidRDefault="004D5559" w:rsidP="00A867AE">
      <w:pPr>
        <w:spacing w:line="240" w:lineRule="auto"/>
        <w:jc w:val="left"/>
        <w:rPr>
          <w:rFonts w:ascii="Arial" w:hAnsi="Arial" w:cs="Arial"/>
          <w:sz w:val="20"/>
          <w:szCs w:val="20"/>
        </w:rPr>
      </w:pPr>
    </w:p>
    <w:p w:rsidR="004D5559" w:rsidRPr="00A867AE" w:rsidRDefault="004D5559" w:rsidP="00A867AE">
      <w:pPr>
        <w:spacing w:line="240" w:lineRule="auto"/>
        <w:jc w:val="left"/>
        <w:rPr>
          <w:rFonts w:ascii="Arial" w:hAnsi="Arial" w:cs="Arial"/>
          <w:sz w:val="20"/>
          <w:szCs w:val="20"/>
        </w:rPr>
      </w:pPr>
      <w:r w:rsidRPr="00A867AE">
        <w:rPr>
          <w:rFonts w:ascii="Arial" w:hAnsi="Arial" w:cs="Arial"/>
          <w:sz w:val="20"/>
          <w:szCs w:val="20"/>
        </w:rPr>
        <w:t>At the end of the third quarter, the Department had spent R6.7 billion (75%) of the available revised budget of R9 billion (Table 3). The Department planned to spend R7 billion. The R264.8 million (3.8%) variance was mainly due to lower spending on transfers and subsidies within the Administration and Technology Innovation programmes. The Department spent R41.1 million on COVID-19 related initiatives, comprising mostly consumables such as sanitisers, sanitiser dispensers and masks.</w:t>
      </w:r>
    </w:p>
    <w:p w:rsidR="004D5559" w:rsidRPr="00A867AE" w:rsidRDefault="004D5559" w:rsidP="00A867AE">
      <w:pPr>
        <w:spacing w:line="240" w:lineRule="auto"/>
        <w:jc w:val="left"/>
        <w:rPr>
          <w:rFonts w:ascii="Arial" w:hAnsi="Arial" w:cs="Arial"/>
          <w:sz w:val="20"/>
          <w:szCs w:val="20"/>
        </w:rPr>
      </w:pPr>
    </w:p>
    <w:p w:rsidR="004D5559" w:rsidRPr="00A867AE" w:rsidRDefault="004D5559" w:rsidP="00A867AE">
      <w:pPr>
        <w:spacing w:line="240" w:lineRule="auto"/>
        <w:jc w:val="left"/>
        <w:rPr>
          <w:rFonts w:ascii="Arial" w:hAnsi="Arial" w:cs="Arial"/>
          <w:sz w:val="20"/>
          <w:szCs w:val="20"/>
        </w:rPr>
      </w:pPr>
      <w:r w:rsidRPr="00A867AE">
        <w:rPr>
          <w:rFonts w:ascii="Arial" w:hAnsi="Arial" w:cs="Arial"/>
          <w:sz w:val="20"/>
          <w:szCs w:val="20"/>
        </w:rPr>
        <w:t>At the end of the second quarter, the Department had 383 staff against 457 funded posts, resulting in 74 vacancies (16% and one more vacancy than the second quarter). Spending on compensation of employees amounted to R247.8 million against projected expenditure of R363.3 million.</w:t>
      </w:r>
    </w:p>
    <w:p w:rsidR="004D5559" w:rsidRPr="00A867AE" w:rsidRDefault="004D5559" w:rsidP="00A867AE">
      <w:pPr>
        <w:spacing w:line="240" w:lineRule="auto"/>
        <w:jc w:val="left"/>
        <w:rPr>
          <w:rFonts w:ascii="Arial" w:hAnsi="Arial" w:cs="Arial"/>
          <w:sz w:val="20"/>
          <w:szCs w:val="20"/>
        </w:rPr>
      </w:pPr>
    </w:p>
    <w:p w:rsidR="004D5559" w:rsidRPr="00A867AE" w:rsidRDefault="004D5559" w:rsidP="00A867AE">
      <w:pPr>
        <w:spacing w:line="240" w:lineRule="auto"/>
        <w:jc w:val="left"/>
        <w:rPr>
          <w:rFonts w:ascii="Arial" w:hAnsi="Arial" w:cs="Arial"/>
          <w:sz w:val="20"/>
          <w:szCs w:val="20"/>
        </w:rPr>
      </w:pPr>
      <w:r w:rsidRPr="00A867AE">
        <w:rPr>
          <w:rFonts w:ascii="Arial" w:hAnsi="Arial" w:cs="Arial"/>
          <w:b/>
          <w:sz w:val="20"/>
          <w:szCs w:val="20"/>
        </w:rPr>
        <w:t>Programme 1: Administration:</w:t>
      </w:r>
      <w:r w:rsidRPr="00A867AE">
        <w:rPr>
          <w:rFonts w:ascii="Arial" w:hAnsi="Arial" w:cs="Arial"/>
          <w:sz w:val="20"/>
          <w:szCs w:val="20"/>
        </w:rPr>
        <w:t xml:space="preserve"> Expenditure amounted to R203.9 million of the available budget of R334.7 million. The lower than anticipated spending was mainly on goods and services, particularly on items such as travel and subsistence, and venues and facilities.</w:t>
      </w:r>
    </w:p>
    <w:p w:rsidR="004D5559" w:rsidRPr="00A867AE" w:rsidRDefault="004D5559" w:rsidP="00A867AE">
      <w:pPr>
        <w:spacing w:line="240" w:lineRule="auto"/>
        <w:jc w:val="left"/>
        <w:rPr>
          <w:rFonts w:ascii="Arial" w:hAnsi="Arial" w:cs="Arial"/>
          <w:sz w:val="20"/>
          <w:szCs w:val="20"/>
        </w:rPr>
      </w:pPr>
    </w:p>
    <w:p w:rsidR="004D5559" w:rsidRPr="00A867AE" w:rsidRDefault="004D5559" w:rsidP="00A867AE">
      <w:pPr>
        <w:spacing w:line="240" w:lineRule="auto"/>
        <w:jc w:val="left"/>
        <w:rPr>
          <w:rFonts w:ascii="Arial" w:hAnsi="Arial" w:cs="Arial"/>
          <w:sz w:val="20"/>
          <w:szCs w:val="20"/>
        </w:rPr>
      </w:pPr>
      <w:r w:rsidRPr="00A867AE">
        <w:rPr>
          <w:rFonts w:ascii="Arial" w:hAnsi="Arial" w:cs="Arial"/>
          <w:b/>
          <w:sz w:val="20"/>
          <w:szCs w:val="20"/>
        </w:rPr>
        <w:t>Programme 2: Technology Innovation:</w:t>
      </w:r>
      <w:r w:rsidRPr="00A867AE">
        <w:rPr>
          <w:rFonts w:ascii="Arial" w:hAnsi="Arial" w:cs="Arial"/>
          <w:sz w:val="20"/>
          <w:szCs w:val="20"/>
        </w:rPr>
        <w:t xml:space="preserve"> Expenditure amounted to R1.2 billion of the available budget of R1.7 billion. The lower than anticipated spending was mainly due to delayed payments on transfers and subsidies for services regarding the replacement of the billboard screen at the Department’s offices and for the relocation of officials from Belgium back to South Africa.</w:t>
      </w:r>
    </w:p>
    <w:p w:rsidR="004D5559" w:rsidRPr="00A867AE" w:rsidRDefault="004D5559" w:rsidP="00A867AE">
      <w:pPr>
        <w:spacing w:line="240" w:lineRule="auto"/>
        <w:jc w:val="left"/>
        <w:rPr>
          <w:rFonts w:ascii="Arial" w:hAnsi="Arial" w:cs="Arial"/>
          <w:sz w:val="20"/>
          <w:szCs w:val="20"/>
        </w:rPr>
      </w:pPr>
    </w:p>
    <w:p w:rsidR="004D5559" w:rsidRPr="00A867AE" w:rsidRDefault="004D5559" w:rsidP="00A867AE">
      <w:pPr>
        <w:spacing w:line="240" w:lineRule="auto"/>
        <w:jc w:val="left"/>
        <w:rPr>
          <w:rFonts w:ascii="Arial" w:hAnsi="Arial" w:cs="Arial"/>
          <w:sz w:val="20"/>
          <w:szCs w:val="20"/>
        </w:rPr>
      </w:pPr>
      <w:r w:rsidRPr="00A867AE">
        <w:rPr>
          <w:rFonts w:ascii="Arial" w:hAnsi="Arial" w:cs="Arial"/>
          <w:b/>
          <w:sz w:val="20"/>
          <w:szCs w:val="20"/>
        </w:rPr>
        <w:t>Programme 3: International Cooperation and Resources:</w:t>
      </w:r>
      <w:r w:rsidRPr="00A867AE">
        <w:rPr>
          <w:rFonts w:ascii="Arial" w:hAnsi="Arial" w:cs="Arial"/>
          <w:sz w:val="20"/>
          <w:szCs w:val="20"/>
        </w:rPr>
        <w:t xml:space="preserve"> Expenditure amounted to R72.9 million of the available budget of R144.4 million. The lower than anticipated spending was mainly due to delayed payments on transfers and subsidies under the Global Science Project - Africa Multilateral Agreements flagship project, as some contract agreements were still at the drafting stage.</w:t>
      </w:r>
    </w:p>
    <w:p w:rsidR="004D5559" w:rsidRPr="00A867AE" w:rsidRDefault="004D5559" w:rsidP="00A867AE">
      <w:pPr>
        <w:spacing w:line="240" w:lineRule="auto"/>
        <w:jc w:val="left"/>
        <w:rPr>
          <w:rFonts w:ascii="Arial" w:hAnsi="Arial" w:cs="Arial"/>
          <w:sz w:val="20"/>
          <w:szCs w:val="20"/>
        </w:rPr>
      </w:pPr>
    </w:p>
    <w:p w:rsidR="004D5559" w:rsidRPr="00A867AE" w:rsidRDefault="004D5559" w:rsidP="00A867AE">
      <w:pPr>
        <w:spacing w:line="240" w:lineRule="auto"/>
        <w:jc w:val="left"/>
        <w:rPr>
          <w:rFonts w:ascii="Arial" w:hAnsi="Arial" w:cs="Arial"/>
          <w:b/>
          <w:sz w:val="20"/>
          <w:szCs w:val="20"/>
          <w:lang w:val="en-ZA"/>
        </w:rPr>
      </w:pPr>
      <w:r w:rsidRPr="00A867AE">
        <w:rPr>
          <w:rFonts w:ascii="Arial" w:hAnsi="Arial" w:cs="Arial"/>
          <w:b/>
          <w:sz w:val="20"/>
          <w:szCs w:val="20"/>
          <w:lang w:val="en-ZA"/>
        </w:rPr>
        <w:t>Table 3: Vote 35: Science and Innovation – Budget and expenditure summary at end-December 2021</w:t>
      </w:r>
    </w:p>
    <w:p w:rsidR="004D5559" w:rsidRPr="00A867AE" w:rsidRDefault="004D5559" w:rsidP="00A867AE">
      <w:pPr>
        <w:pBdr>
          <w:bottom w:val="single" w:sz="4" w:space="1" w:color="auto"/>
        </w:pBdr>
        <w:spacing w:line="240" w:lineRule="auto"/>
        <w:jc w:val="left"/>
        <w:rPr>
          <w:rFonts w:ascii="Arial" w:hAnsi="Arial" w:cs="Arial"/>
          <w:sz w:val="20"/>
          <w:szCs w:val="20"/>
        </w:rPr>
      </w:pPr>
      <w:r w:rsidRPr="00A867AE">
        <w:rPr>
          <w:rFonts w:ascii="Arial" w:hAnsi="Arial" w:cs="Arial"/>
          <w:noProof/>
          <w:sz w:val="20"/>
          <w:szCs w:val="20"/>
          <w:lang w:val="en-US"/>
        </w:rPr>
        <w:drawing>
          <wp:inline distT="0" distB="0" distL="0" distR="0">
            <wp:extent cx="5917997" cy="2893404"/>
            <wp:effectExtent l="0" t="0" r="698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51792" cy="2909927"/>
                    </a:xfrm>
                    <a:prstGeom prst="rect">
                      <a:avLst/>
                    </a:prstGeom>
                  </pic:spPr>
                </pic:pic>
              </a:graphicData>
            </a:graphic>
          </wp:inline>
        </w:drawing>
      </w:r>
    </w:p>
    <w:p w:rsidR="004D5559" w:rsidRPr="00A867AE" w:rsidRDefault="004D5559" w:rsidP="00A867AE">
      <w:pPr>
        <w:spacing w:line="240" w:lineRule="auto"/>
        <w:jc w:val="left"/>
        <w:rPr>
          <w:rFonts w:ascii="Arial" w:hAnsi="Arial" w:cs="Arial"/>
          <w:sz w:val="20"/>
          <w:szCs w:val="20"/>
        </w:rPr>
      </w:pPr>
      <w:r w:rsidRPr="00A867AE">
        <w:rPr>
          <w:rFonts w:ascii="Arial" w:hAnsi="Arial" w:cs="Arial"/>
          <w:sz w:val="20"/>
          <w:szCs w:val="20"/>
        </w:rPr>
        <w:t>Source: National Treasury, 2021/22 3rd Quarter Expenditure Report to the Standing Committee on Appropriations.</w:t>
      </w:r>
    </w:p>
    <w:p w:rsidR="004D5559" w:rsidRPr="00A867AE" w:rsidRDefault="004D5559" w:rsidP="00A867AE">
      <w:pPr>
        <w:spacing w:line="240" w:lineRule="auto"/>
        <w:jc w:val="left"/>
        <w:rPr>
          <w:rFonts w:ascii="Arial" w:hAnsi="Arial" w:cs="Arial"/>
          <w:sz w:val="20"/>
          <w:szCs w:val="20"/>
        </w:rPr>
      </w:pPr>
    </w:p>
    <w:p w:rsidR="00BB7B56" w:rsidRPr="00A867AE" w:rsidRDefault="004D5559" w:rsidP="00A867AE">
      <w:pPr>
        <w:spacing w:line="240" w:lineRule="auto"/>
        <w:jc w:val="left"/>
        <w:rPr>
          <w:rFonts w:ascii="Arial" w:hAnsi="Arial" w:cs="Arial"/>
          <w:sz w:val="20"/>
          <w:szCs w:val="20"/>
        </w:rPr>
      </w:pPr>
      <w:r w:rsidRPr="00A867AE">
        <w:rPr>
          <w:rFonts w:ascii="Arial" w:hAnsi="Arial" w:cs="Arial"/>
          <w:b/>
          <w:sz w:val="20"/>
          <w:szCs w:val="20"/>
        </w:rPr>
        <w:t>Programme 4: Research, Development and Support:</w:t>
      </w:r>
      <w:r w:rsidRPr="00A867AE">
        <w:rPr>
          <w:rFonts w:ascii="Arial" w:hAnsi="Arial" w:cs="Arial"/>
          <w:sz w:val="20"/>
          <w:szCs w:val="20"/>
        </w:rPr>
        <w:t xml:space="preserve"> Expenditure amounted to R3.8 billion of the available budget of R5 billion. The slight increase in spending was mainly due to delayed payments on transfers and subsidies for the Southern Ocean Carbon and Climate Observatory project, as the implementing agency’s deliverables did not meet the 90% threshold on spending as required by the Department to disburse funds for the </w:t>
      </w:r>
      <w:r w:rsidR="00E0047A" w:rsidRPr="00A867AE">
        <w:rPr>
          <w:rFonts w:ascii="Arial" w:hAnsi="Arial" w:cs="Arial"/>
          <w:sz w:val="20"/>
          <w:szCs w:val="20"/>
        </w:rPr>
        <w:t xml:space="preserve">continuation of the project. </w:t>
      </w:r>
    </w:p>
    <w:p w:rsidR="00BF6873" w:rsidRPr="00A867AE" w:rsidRDefault="00BF6873" w:rsidP="00A867AE">
      <w:pPr>
        <w:spacing w:line="240" w:lineRule="auto"/>
        <w:jc w:val="left"/>
        <w:rPr>
          <w:rFonts w:ascii="Arial" w:hAnsi="Arial" w:cs="Arial"/>
          <w:b/>
          <w:sz w:val="20"/>
          <w:szCs w:val="20"/>
        </w:rPr>
      </w:pPr>
    </w:p>
    <w:p w:rsidR="00BF6873" w:rsidRPr="00A867AE" w:rsidRDefault="00BF6873" w:rsidP="00A867AE">
      <w:pPr>
        <w:spacing w:line="240" w:lineRule="auto"/>
        <w:jc w:val="left"/>
        <w:rPr>
          <w:rFonts w:ascii="Arial" w:hAnsi="Arial" w:cs="Arial"/>
          <w:sz w:val="20"/>
          <w:szCs w:val="20"/>
        </w:rPr>
      </w:pPr>
      <w:r w:rsidRPr="00A867AE">
        <w:rPr>
          <w:rFonts w:ascii="Arial" w:hAnsi="Arial" w:cs="Arial"/>
          <w:b/>
          <w:sz w:val="20"/>
          <w:szCs w:val="20"/>
        </w:rPr>
        <w:t>Programme 5: Socioeconomic Innovation Partnerships:</w:t>
      </w:r>
      <w:r w:rsidRPr="00A867AE">
        <w:rPr>
          <w:rFonts w:ascii="Arial" w:hAnsi="Arial" w:cs="Arial"/>
          <w:sz w:val="20"/>
          <w:szCs w:val="20"/>
        </w:rPr>
        <w:t xml:space="preserve"> Expenditure amounted to R1.4 billion of the available budget of R1.8 billion. The increase in spending was mainly due to transfers and subsidies for the Local Manufacturing Capacity, Resource-based Industries and the Science and Technology Indicators projects. These were paid later due to contracting processes that were not finalized on time and because the financial reports did not reflect a 90% threshold on spending as required by the Department to disburse funds for the continuation of the project.</w:t>
      </w:r>
    </w:p>
    <w:p w:rsidR="001465D4" w:rsidRPr="00A867AE" w:rsidRDefault="001465D4" w:rsidP="00A867AE">
      <w:pPr>
        <w:spacing w:line="240" w:lineRule="auto"/>
        <w:jc w:val="left"/>
        <w:rPr>
          <w:rFonts w:ascii="Arial" w:hAnsi="Arial" w:cs="Arial"/>
          <w:sz w:val="20"/>
          <w:szCs w:val="20"/>
        </w:rPr>
      </w:pPr>
    </w:p>
    <w:p w:rsidR="001465D4" w:rsidRPr="00A867AE" w:rsidRDefault="001465D4" w:rsidP="00A867AE">
      <w:pPr>
        <w:pStyle w:val="ListParagraph"/>
        <w:numPr>
          <w:ilvl w:val="1"/>
          <w:numId w:val="16"/>
        </w:numPr>
        <w:spacing w:line="240" w:lineRule="auto"/>
        <w:ind w:left="851" w:hanging="851"/>
        <w:jc w:val="left"/>
        <w:rPr>
          <w:rFonts w:eastAsiaTheme="minorHAnsi" w:cs="Arial"/>
          <w:b/>
          <w:sz w:val="20"/>
          <w:szCs w:val="20"/>
          <w:lang w:val="en-ZA"/>
        </w:rPr>
      </w:pPr>
      <w:r w:rsidRPr="00A867AE">
        <w:rPr>
          <w:rFonts w:eastAsiaTheme="minorHAnsi" w:cs="Arial"/>
          <w:b/>
          <w:sz w:val="20"/>
          <w:szCs w:val="20"/>
          <w:lang w:val="en-ZA"/>
        </w:rPr>
        <w:t>2021/22 Third Quarter (October to December 2021) Non-Financial Performance</w:t>
      </w:r>
    </w:p>
    <w:p w:rsidR="00804E7E" w:rsidRPr="00A867AE" w:rsidRDefault="00804E7E" w:rsidP="00A867AE">
      <w:pPr>
        <w:spacing w:line="240" w:lineRule="auto"/>
        <w:jc w:val="left"/>
        <w:rPr>
          <w:rFonts w:ascii="Arial" w:hAnsi="Arial" w:cs="Arial"/>
          <w:sz w:val="20"/>
          <w:szCs w:val="20"/>
        </w:rPr>
      </w:pPr>
    </w:p>
    <w:p w:rsidR="00544782" w:rsidRPr="00A867AE" w:rsidRDefault="00885CF1" w:rsidP="00A867AE">
      <w:pPr>
        <w:spacing w:line="240" w:lineRule="auto"/>
        <w:jc w:val="left"/>
        <w:rPr>
          <w:rFonts w:ascii="Arial" w:hAnsi="Arial" w:cs="Arial"/>
          <w:sz w:val="20"/>
          <w:szCs w:val="20"/>
          <w:lang w:val="en-US"/>
        </w:rPr>
      </w:pPr>
      <w:r w:rsidRPr="00A867AE">
        <w:rPr>
          <w:rFonts w:ascii="Arial" w:hAnsi="Arial" w:cs="Arial"/>
          <w:sz w:val="20"/>
          <w:szCs w:val="20"/>
          <w:lang w:val="en-US"/>
        </w:rPr>
        <w:t xml:space="preserve">For the period under review, the total number of planned output targets </w:t>
      </w:r>
      <w:r w:rsidR="001B162B" w:rsidRPr="00A867AE">
        <w:rPr>
          <w:rFonts w:ascii="Arial" w:hAnsi="Arial" w:cs="Arial"/>
          <w:sz w:val="20"/>
          <w:szCs w:val="20"/>
          <w:lang w:val="en-US"/>
        </w:rPr>
        <w:t>was</w:t>
      </w:r>
      <w:r w:rsidRPr="00A867AE">
        <w:rPr>
          <w:rFonts w:ascii="Arial" w:hAnsi="Arial" w:cs="Arial"/>
          <w:sz w:val="20"/>
          <w:szCs w:val="20"/>
          <w:lang w:val="en-US"/>
        </w:rPr>
        <w:t xml:space="preserve"> 32. The Department achieved 69%</w:t>
      </w:r>
      <w:r w:rsidR="000C2766" w:rsidRPr="00A867AE">
        <w:rPr>
          <w:rFonts w:ascii="Arial" w:hAnsi="Arial" w:cs="Arial"/>
          <w:sz w:val="20"/>
          <w:szCs w:val="20"/>
          <w:lang w:val="en-US"/>
        </w:rPr>
        <w:t xml:space="preserve"> (22</w:t>
      </w:r>
      <w:r w:rsidRPr="00A867AE">
        <w:rPr>
          <w:rFonts w:ascii="Arial" w:hAnsi="Arial" w:cs="Arial"/>
          <w:sz w:val="20"/>
          <w:szCs w:val="20"/>
          <w:lang w:val="en-US"/>
        </w:rPr>
        <w:t xml:space="preserve">) </w:t>
      </w:r>
      <w:r w:rsidR="000C2766" w:rsidRPr="00A867AE">
        <w:rPr>
          <w:rFonts w:ascii="Arial" w:hAnsi="Arial" w:cs="Arial"/>
          <w:sz w:val="20"/>
          <w:szCs w:val="20"/>
          <w:lang w:val="en-US"/>
        </w:rPr>
        <w:t xml:space="preserve">and did not achieve 31% (10) </w:t>
      </w:r>
      <w:r w:rsidRPr="00A867AE">
        <w:rPr>
          <w:rFonts w:ascii="Arial" w:hAnsi="Arial" w:cs="Arial"/>
          <w:sz w:val="20"/>
          <w:szCs w:val="20"/>
          <w:lang w:val="en-US"/>
        </w:rPr>
        <w:t xml:space="preserve">of </w:t>
      </w:r>
      <w:r w:rsidR="000C2766" w:rsidRPr="00A867AE">
        <w:rPr>
          <w:rFonts w:ascii="Arial" w:hAnsi="Arial" w:cs="Arial"/>
          <w:sz w:val="20"/>
          <w:szCs w:val="20"/>
          <w:lang w:val="en-US"/>
        </w:rPr>
        <w:t xml:space="preserve">the </w:t>
      </w:r>
      <w:r w:rsidRPr="00A867AE">
        <w:rPr>
          <w:rFonts w:ascii="Arial" w:hAnsi="Arial" w:cs="Arial"/>
          <w:sz w:val="20"/>
          <w:szCs w:val="20"/>
          <w:lang w:val="en-US"/>
        </w:rPr>
        <w:t>planned output targets.</w:t>
      </w:r>
    </w:p>
    <w:p w:rsidR="009D0A84" w:rsidRPr="00A867AE" w:rsidRDefault="009D0A84" w:rsidP="00A867AE">
      <w:pPr>
        <w:spacing w:line="240" w:lineRule="auto"/>
        <w:jc w:val="left"/>
        <w:rPr>
          <w:rFonts w:ascii="Arial" w:hAnsi="Arial" w:cs="Arial"/>
          <w:sz w:val="20"/>
          <w:szCs w:val="20"/>
          <w:lang w:val="en-US"/>
        </w:rPr>
      </w:pPr>
      <w:bookmarkStart w:id="0" w:name="_Hlk18489261"/>
    </w:p>
    <w:p w:rsidR="009D0A84" w:rsidRPr="00A867AE" w:rsidRDefault="009D0A84" w:rsidP="00A867AE">
      <w:pPr>
        <w:spacing w:line="240" w:lineRule="auto"/>
        <w:jc w:val="left"/>
        <w:rPr>
          <w:rFonts w:ascii="Arial" w:eastAsia="Batang" w:hAnsi="Arial" w:cs="Arial"/>
          <w:sz w:val="20"/>
          <w:szCs w:val="20"/>
        </w:rPr>
      </w:pPr>
      <w:r w:rsidRPr="00A867AE">
        <w:rPr>
          <w:rFonts w:ascii="Arial" w:eastAsia="Batang" w:hAnsi="Arial" w:cs="Arial"/>
          <w:b/>
          <w:bCs/>
          <w:sz w:val="20"/>
          <w:szCs w:val="20"/>
        </w:rPr>
        <w:t>Programme 1</w:t>
      </w:r>
      <w:r w:rsidRPr="00A867AE">
        <w:rPr>
          <w:rFonts w:ascii="Arial" w:eastAsia="Batang" w:hAnsi="Arial" w:cs="Arial"/>
          <w:sz w:val="20"/>
          <w:szCs w:val="20"/>
        </w:rPr>
        <w:t xml:space="preserve"> </w:t>
      </w:r>
      <w:r w:rsidR="00544782" w:rsidRPr="00A867AE">
        <w:rPr>
          <w:rFonts w:ascii="Arial" w:eastAsia="Batang" w:hAnsi="Arial" w:cs="Arial"/>
          <w:sz w:val="20"/>
          <w:szCs w:val="20"/>
        </w:rPr>
        <w:t xml:space="preserve">with 3 targets </w:t>
      </w:r>
      <w:r w:rsidRPr="00A867AE">
        <w:rPr>
          <w:rFonts w:ascii="Arial" w:eastAsia="Batang" w:hAnsi="Arial" w:cs="Arial"/>
          <w:sz w:val="20"/>
          <w:szCs w:val="20"/>
        </w:rPr>
        <w:t>achieved 67%</w:t>
      </w:r>
      <w:r w:rsidR="00544782" w:rsidRPr="00A867AE">
        <w:rPr>
          <w:rFonts w:ascii="Arial" w:eastAsia="Batang" w:hAnsi="Arial" w:cs="Arial"/>
          <w:sz w:val="20"/>
          <w:szCs w:val="20"/>
        </w:rPr>
        <w:t xml:space="preserve"> (2)</w:t>
      </w:r>
      <w:r w:rsidRPr="00A867AE">
        <w:rPr>
          <w:rFonts w:ascii="Arial" w:eastAsia="Batang" w:hAnsi="Arial" w:cs="Arial"/>
          <w:sz w:val="20"/>
          <w:szCs w:val="20"/>
        </w:rPr>
        <w:t xml:space="preserve"> </w:t>
      </w:r>
      <w:r w:rsidR="00544782" w:rsidRPr="00A867AE">
        <w:rPr>
          <w:rFonts w:ascii="Arial" w:eastAsia="Batang" w:hAnsi="Arial" w:cs="Arial"/>
          <w:sz w:val="20"/>
          <w:szCs w:val="20"/>
        </w:rPr>
        <w:t xml:space="preserve">and did not achieve </w:t>
      </w:r>
      <w:r w:rsidRPr="00A867AE">
        <w:rPr>
          <w:rFonts w:ascii="Arial" w:eastAsia="Batang" w:hAnsi="Arial" w:cs="Arial"/>
          <w:sz w:val="20"/>
          <w:szCs w:val="20"/>
        </w:rPr>
        <w:t>33% of the</w:t>
      </w:r>
      <w:r w:rsidR="00544782" w:rsidRPr="00A867AE">
        <w:rPr>
          <w:rFonts w:ascii="Arial" w:eastAsia="Batang" w:hAnsi="Arial" w:cs="Arial"/>
          <w:sz w:val="20"/>
          <w:szCs w:val="20"/>
        </w:rPr>
        <w:t xml:space="preserve">se </w:t>
      </w:r>
      <w:r w:rsidRPr="00A867AE">
        <w:rPr>
          <w:rFonts w:ascii="Arial" w:eastAsia="Batang" w:hAnsi="Arial" w:cs="Arial"/>
          <w:sz w:val="20"/>
          <w:szCs w:val="20"/>
        </w:rPr>
        <w:t>targets.</w:t>
      </w:r>
    </w:p>
    <w:p w:rsidR="009D0A84" w:rsidRPr="00A867AE" w:rsidRDefault="009D0A84" w:rsidP="00A867AE">
      <w:pPr>
        <w:spacing w:line="240" w:lineRule="auto"/>
        <w:jc w:val="left"/>
        <w:rPr>
          <w:rFonts w:ascii="Arial" w:eastAsia="Batang" w:hAnsi="Arial" w:cs="Arial"/>
          <w:sz w:val="20"/>
          <w:szCs w:val="20"/>
        </w:rPr>
      </w:pPr>
      <w:r w:rsidRPr="00A867AE">
        <w:rPr>
          <w:rFonts w:ascii="Arial" w:eastAsia="Batang" w:hAnsi="Arial" w:cs="Arial"/>
          <w:b/>
          <w:bCs/>
          <w:sz w:val="20"/>
          <w:szCs w:val="20"/>
        </w:rPr>
        <w:t>Programme 2</w:t>
      </w:r>
      <w:r w:rsidRPr="00A867AE">
        <w:rPr>
          <w:rFonts w:ascii="Arial" w:eastAsia="Batang" w:hAnsi="Arial" w:cs="Arial"/>
          <w:sz w:val="20"/>
          <w:szCs w:val="20"/>
        </w:rPr>
        <w:t xml:space="preserve"> </w:t>
      </w:r>
      <w:r w:rsidR="0030031D" w:rsidRPr="00A867AE">
        <w:rPr>
          <w:rFonts w:ascii="Arial" w:eastAsia="Batang" w:hAnsi="Arial" w:cs="Arial"/>
          <w:sz w:val="20"/>
          <w:szCs w:val="20"/>
        </w:rPr>
        <w:t xml:space="preserve">with 5 targets </w:t>
      </w:r>
      <w:r w:rsidRPr="00A867AE">
        <w:rPr>
          <w:rFonts w:ascii="Arial" w:eastAsia="Batang" w:hAnsi="Arial" w:cs="Arial"/>
          <w:sz w:val="20"/>
          <w:szCs w:val="20"/>
        </w:rPr>
        <w:t>achieved 80%</w:t>
      </w:r>
      <w:r w:rsidR="0030031D" w:rsidRPr="00A867AE">
        <w:rPr>
          <w:rFonts w:ascii="Arial" w:eastAsia="Batang" w:hAnsi="Arial" w:cs="Arial"/>
          <w:sz w:val="20"/>
          <w:szCs w:val="20"/>
        </w:rPr>
        <w:t xml:space="preserve"> (4) and did not achieve </w:t>
      </w:r>
      <w:r w:rsidRPr="00A867AE">
        <w:rPr>
          <w:rFonts w:ascii="Arial" w:eastAsia="Batang" w:hAnsi="Arial" w:cs="Arial"/>
          <w:sz w:val="20"/>
          <w:szCs w:val="20"/>
        </w:rPr>
        <w:t>20% of the</w:t>
      </w:r>
      <w:r w:rsidR="0030031D" w:rsidRPr="00A867AE">
        <w:rPr>
          <w:rFonts w:ascii="Arial" w:eastAsia="Batang" w:hAnsi="Arial" w:cs="Arial"/>
          <w:sz w:val="20"/>
          <w:szCs w:val="20"/>
        </w:rPr>
        <w:t>se</w:t>
      </w:r>
      <w:r w:rsidRPr="00A867AE">
        <w:rPr>
          <w:rFonts w:ascii="Arial" w:eastAsia="Batang" w:hAnsi="Arial" w:cs="Arial"/>
          <w:sz w:val="20"/>
          <w:szCs w:val="20"/>
        </w:rPr>
        <w:t xml:space="preserve"> targets. </w:t>
      </w:r>
    </w:p>
    <w:p w:rsidR="009D0A84" w:rsidRPr="00A867AE" w:rsidRDefault="009D0A84" w:rsidP="00A867AE">
      <w:pPr>
        <w:spacing w:line="240" w:lineRule="auto"/>
        <w:jc w:val="left"/>
        <w:rPr>
          <w:rFonts w:ascii="Arial" w:eastAsia="Batang" w:hAnsi="Arial" w:cs="Arial"/>
          <w:sz w:val="20"/>
          <w:szCs w:val="20"/>
        </w:rPr>
      </w:pPr>
      <w:r w:rsidRPr="00A867AE">
        <w:rPr>
          <w:rFonts w:ascii="Arial" w:eastAsia="Batang" w:hAnsi="Arial" w:cs="Arial"/>
          <w:b/>
          <w:bCs/>
          <w:sz w:val="20"/>
          <w:szCs w:val="20"/>
        </w:rPr>
        <w:t>Programme 3</w:t>
      </w:r>
      <w:r w:rsidRPr="00A867AE">
        <w:rPr>
          <w:rFonts w:ascii="Arial" w:eastAsia="Batang" w:hAnsi="Arial" w:cs="Arial"/>
          <w:sz w:val="20"/>
          <w:szCs w:val="20"/>
        </w:rPr>
        <w:t xml:space="preserve"> </w:t>
      </w:r>
      <w:r w:rsidR="0030031D" w:rsidRPr="00A867AE">
        <w:rPr>
          <w:rFonts w:ascii="Arial" w:eastAsia="Batang" w:hAnsi="Arial" w:cs="Arial"/>
          <w:sz w:val="20"/>
          <w:szCs w:val="20"/>
        </w:rPr>
        <w:t xml:space="preserve">with 9 targets </w:t>
      </w:r>
      <w:r w:rsidRPr="00A867AE">
        <w:rPr>
          <w:rFonts w:ascii="Arial" w:eastAsia="Batang" w:hAnsi="Arial" w:cs="Arial"/>
          <w:sz w:val="20"/>
          <w:szCs w:val="20"/>
        </w:rPr>
        <w:t>achieved 67%</w:t>
      </w:r>
      <w:r w:rsidR="00F513D5" w:rsidRPr="00A867AE">
        <w:rPr>
          <w:rFonts w:ascii="Arial" w:eastAsia="Batang" w:hAnsi="Arial" w:cs="Arial"/>
          <w:sz w:val="20"/>
          <w:szCs w:val="20"/>
        </w:rPr>
        <w:t xml:space="preserve"> (6)</w:t>
      </w:r>
      <w:r w:rsidRPr="00A867AE">
        <w:rPr>
          <w:rFonts w:ascii="Arial" w:eastAsia="Batang" w:hAnsi="Arial" w:cs="Arial"/>
          <w:sz w:val="20"/>
          <w:szCs w:val="20"/>
        </w:rPr>
        <w:t xml:space="preserve"> </w:t>
      </w:r>
      <w:r w:rsidR="00F513D5" w:rsidRPr="00A867AE">
        <w:rPr>
          <w:rFonts w:ascii="Arial" w:eastAsia="Batang" w:hAnsi="Arial" w:cs="Arial"/>
          <w:sz w:val="20"/>
          <w:szCs w:val="20"/>
        </w:rPr>
        <w:t xml:space="preserve">and did not achieve </w:t>
      </w:r>
      <w:r w:rsidRPr="00A867AE">
        <w:rPr>
          <w:rFonts w:ascii="Arial" w:eastAsia="Batang" w:hAnsi="Arial" w:cs="Arial"/>
          <w:sz w:val="20"/>
          <w:szCs w:val="20"/>
        </w:rPr>
        <w:t>33% of the</w:t>
      </w:r>
      <w:r w:rsidR="00F513D5" w:rsidRPr="00A867AE">
        <w:rPr>
          <w:rFonts w:ascii="Arial" w:eastAsia="Batang" w:hAnsi="Arial" w:cs="Arial"/>
          <w:sz w:val="20"/>
          <w:szCs w:val="20"/>
        </w:rPr>
        <w:t>se</w:t>
      </w:r>
      <w:r w:rsidRPr="00A867AE">
        <w:rPr>
          <w:rFonts w:ascii="Arial" w:eastAsia="Batang" w:hAnsi="Arial" w:cs="Arial"/>
          <w:sz w:val="20"/>
          <w:szCs w:val="20"/>
        </w:rPr>
        <w:t xml:space="preserve"> targets. </w:t>
      </w:r>
    </w:p>
    <w:p w:rsidR="009D0A84" w:rsidRPr="00A867AE" w:rsidRDefault="009D0A84" w:rsidP="00A867AE">
      <w:pPr>
        <w:spacing w:line="240" w:lineRule="auto"/>
        <w:jc w:val="left"/>
        <w:rPr>
          <w:rFonts w:ascii="Arial" w:eastAsia="Batang" w:hAnsi="Arial" w:cs="Arial"/>
          <w:sz w:val="20"/>
          <w:szCs w:val="20"/>
        </w:rPr>
      </w:pPr>
      <w:r w:rsidRPr="00A867AE">
        <w:rPr>
          <w:rFonts w:ascii="Arial" w:eastAsia="Batang" w:hAnsi="Arial" w:cs="Arial"/>
          <w:b/>
          <w:bCs/>
          <w:sz w:val="20"/>
          <w:szCs w:val="20"/>
        </w:rPr>
        <w:t>Programme 4</w:t>
      </w:r>
      <w:r w:rsidRPr="00A867AE">
        <w:rPr>
          <w:rFonts w:ascii="Arial" w:eastAsia="Batang" w:hAnsi="Arial" w:cs="Arial"/>
          <w:sz w:val="20"/>
          <w:szCs w:val="20"/>
        </w:rPr>
        <w:t xml:space="preserve"> </w:t>
      </w:r>
      <w:r w:rsidR="00097FA4" w:rsidRPr="00A867AE">
        <w:rPr>
          <w:rFonts w:ascii="Arial" w:eastAsia="Batang" w:hAnsi="Arial" w:cs="Arial"/>
          <w:sz w:val="20"/>
          <w:szCs w:val="20"/>
        </w:rPr>
        <w:t xml:space="preserve">with 8 targets </w:t>
      </w:r>
      <w:r w:rsidRPr="00A867AE">
        <w:rPr>
          <w:rFonts w:ascii="Arial" w:eastAsia="Batang" w:hAnsi="Arial" w:cs="Arial"/>
          <w:sz w:val="20"/>
          <w:szCs w:val="20"/>
        </w:rPr>
        <w:t xml:space="preserve">achieved 75% </w:t>
      </w:r>
      <w:r w:rsidR="00097FA4" w:rsidRPr="00A867AE">
        <w:rPr>
          <w:rFonts w:ascii="Arial" w:eastAsia="Batang" w:hAnsi="Arial" w:cs="Arial"/>
          <w:sz w:val="20"/>
          <w:szCs w:val="20"/>
        </w:rPr>
        <w:t xml:space="preserve">(6) and did not achieve </w:t>
      </w:r>
      <w:r w:rsidRPr="00A867AE">
        <w:rPr>
          <w:rFonts w:ascii="Arial" w:eastAsia="Batang" w:hAnsi="Arial" w:cs="Arial"/>
          <w:sz w:val="20"/>
          <w:szCs w:val="20"/>
        </w:rPr>
        <w:t>25% of the</w:t>
      </w:r>
      <w:r w:rsidR="00097FA4" w:rsidRPr="00A867AE">
        <w:rPr>
          <w:rFonts w:ascii="Arial" w:eastAsia="Batang" w:hAnsi="Arial" w:cs="Arial"/>
          <w:sz w:val="20"/>
          <w:szCs w:val="20"/>
        </w:rPr>
        <w:t>se</w:t>
      </w:r>
      <w:r w:rsidRPr="00A867AE">
        <w:rPr>
          <w:rFonts w:ascii="Arial" w:eastAsia="Batang" w:hAnsi="Arial" w:cs="Arial"/>
          <w:sz w:val="20"/>
          <w:szCs w:val="20"/>
        </w:rPr>
        <w:t xml:space="preserve"> targets. </w:t>
      </w:r>
    </w:p>
    <w:p w:rsidR="009D0A84" w:rsidRPr="00A867AE" w:rsidRDefault="009D0A84" w:rsidP="00A867AE">
      <w:pPr>
        <w:spacing w:line="240" w:lineRule="auto"/>
        <w:jc w:val="left"/>
        <w:rPr>
          <w:rFonts w:ascii="Arial" w:eastAsia="Batang" w:hAnsi="Arial" w:cs="Arial"/>
          <w:sz w:val="20"/>
          <w:szCs w:val="20"/>
        </w:rPr>
      </w:pPr>
      <w:r w:rsidRPr="00A867AE">
        <w:rPr>
          <w:rFonts w:ascii="Arial" w:eastAsia="Batang" w:hAnsi="Arial" w:cs="Arial"/>
          <w:b/>
          <w:bCs/>
          <w:sz w:val="20"/>
          <w:szCs w:val="20"/>
        </w:rPr>
        <w:t>Programme 5</w:t>
      </w:r>
      <w:r w:rsidRPr="00A867AE">
        <w:rPr>
          <w:rFonts w:ascii="Arial" w:eastAsia="Batang" w:hAnsi="Arial" w:cs="Arial"/>
          <w:sz w:val="20"/>
          <w:szCs w:val="20"/>
        </w:rPr>
        <w:t xml:space="preserve"> </w:t>
      </w:r>
      <w:r w:rsidR="00097FA4" w:rsidRPr="00A867AE">
        <w:rPr>
          <w:rFonts w:ascii="Arial" w:eastAsia="Batang" w:hAnsi="Arial" w:cs="Arial"/>
          <w:sz w:val="20"/>
          <w:szCs w:val="20"/>
        </w:rPr>
        <w:t xml:space="preserve">with 7 targets </w:t>
      </w:r>
      <w:r w:rsidRPr="00A867AE">
        <w:rPr>
          <w:rFonts w:ascii="Arial" w:eastAsia="Batang" w:hAnsi="Arial" w:cs="Arial"/>
          <w:sz w:val="20"/>
          <w:szCs w:val="20"/>
        </w:rPr>
        <w:t>achieved 57%</w:t>
      </w:r>
      <w:r w:rsidR="00097FA4" w:rsidRPr="00A867AE">
        <w:rPr>
          <w:rFonts w:ascii="Arial" w:eastAsia="Batang" w:hAnsi="Arial" w:cs="Arial"/>
          <w:sz w:val="20"/>
          <w:szCs w:val="20"/>
        </w:rPr>
        <w:t xml:space="preserve"> (4) and did not achieve</w:t>
      </w:r>
      <w:r w:rsidRPr="00A867AE">
        <w:rPr>
          <w:rFonts w:ascii="Arial" w:eastAsia="Batang" w:hAnsi="Arial" w:cs="Arial"/>
          <w:sz w:val="20"/>
          <w:szCs w:val="20"/>
        </w:rPr>
        <w:t xml:space="preserve"> 43% of the</w:t>
      </w:r>
      <w:r w:rsidR="00097FA4" w:rsidRPr="00A867AE">
        <w:rPr>
          <w:rFonts w:ascii="Arial" w:eastAsia="Batang" w:hAnsi="Arial" w:cs="Arial"/>
          <w:sz w:val="20"/>
          <w:szCs w:val="20"/>
        </w:rPr>
        <w:t>se</w:t>
      </w:r>
      <w:r w:rsidRPr="00A867AE">
        <w:rPr>
          <w:rFonts w:ascii="Arial" w:eastAsia="Batang" w:hAnsi="Arial" w:cs="Arial"/>
          <w:sz w:val="20"/>
          <w:szCs w:val="20"/>
        </w:rPr>
        <w:t xml:space="preserve"> targets.</w:t>
      </w:r>
    </w:p>
    <w:p w:rsidR="009A601A" w:rsidRPr="00A867AE" w:rsidRDefault="009A601A" w:rsidP="00A867AE">
      <w:pPr>
        <w:spacing w:line="240" w:lineRule="auto"/>
        <w:jc w:val="left"/>
        <w:rPr>
          <w:rFonts w:ascii="Arial" w:eastAsia="Batang" w:hAnsi="Arial" w:cs="Arial"/>
          <w:sz w:val="20"/>
          <w:szCs w:val="20"/>
        </w:rPr>
      </w:pPr>
    </w:p>
    <w:p w:rsidR="00FD077A" w:rsidRPr="00A867AE" w:rsidRDefault="00FD077A" w:rsidP="00A867AE">
      <w:pPr>
        <w:spacing w:line="240" w:lineRule="auto"/>
        <w:jc w:val="left"/>
        <w:rPr>
          <w:rFonts w:ascii="Arial" w:eastAsia="Batang" w:hAnsi="Arial" w:cs="Arial"/>
          <w:sz w:val="20"/>
          <w:szCs w:val="20"/>
        </w:rPr>
      </w:pPr>
      <w:r w:rsidRPr="00A867AE">
        <w:rPr>
          <w:rFonts w:ascii="Arial" w:eastAsia="Batang" w:hAnsi="Arial" w:cs="Arial"/>
          <w:sz w:val="20"/>
          <w:szCs w:val="20"/>
        </w:rPr>
        <w:t>To summarise</w:t>
      </w:r>
      <w:r w:rsidR="002B55D7" w:rsidRPr="00A867AE">
        <w:rPr>
          <w:rFonts w:ascii="Arial" w:eastAsia="Batang" w:hAnsi="Arial" w:cs="Arial"/>
          <w:sz w:val="20"/>
          <w:szCs w:val="20"/>
        </w:rPr>
        <w:t xml:space="preserve">, </w:t>
      </w:r>
      <w:r w:rsidRPr="00A867AE">
        <w:rPr>
          <w:rFonts w:ascii="Arial" w:eastAsia="Batang" w:hAnsi="Arial" w:cs="Arial"/>
          <w:sz w:val="20"/>
          <w:szCs w:val="20"/>
        </w:rPr>
        <w:t xml:space="preserve">the Department </w:t>
      </w:r>
      <w:r w:rsidR="002B55D7" w:rsidRPr="00A867AE">
        <w:rPr>
          <w:rFonts w:ascii="Arial" w:eastAsia="Batang" w:hAnsi="Arial" w:cs="Arial"/>
          <w:sz w:val="20"/>
          <w:szCs w:val="20"/>
        </w:rPr>
        <w:t>achieved 73% of its targets during the first quarter, 81% of its targets during the second quarter and 69% of its targets during the third quarter.</w:t>
      </w:r>
      <w:r w:rsidRPr="00A867AE">
        <w:rPr>
          <w:rFonts w:ascii="Arial" w:eastAsia="Batang" w:hAnsi="Arial" w:cs="Arial"/>
          <w:sz w:val="20"/>
          <w:szCs w:val="20"/>
        </w:rPr>
        <w:t xml:space="preserve"> </w:t>
      </w:r>
      <w:r w:rsidR="00D90DF8" w:rsidRPr="00A867AE">
        <w:rPr>
          <w:rFonts w:ascii="Arial" w:eastAsia="Batang" w:hAnsi="Arial" w:cs="Arial"/>
          <w:sz w:val="20"/>
          <w:szCs w:val="20"/>
        </w:rPr>
        <w:t xml:space="preserve">During the third quarter, acknowledging the negative trajectory of its </w:t>
      </w:r>
      <w:r w:rsidR="00DC62C1" w:rsidRPr="00A867AE">
        <w:rPr>
          <w:rFonts w:ascii="Arial" w:eastAsia="Batang" w:hAnsi="Arial" w:cs="Arial"/>
          <w:sz w:val="20"/>
          <w:szCs w:val="20"/>
        </w:rPr>
        <w:t>non-financial performance</w:t>
      </w:r>
      <w:r w:rsidR="00D90DF8" w:rsidRPr="00A867AE">
        <w:rPr>
          <w:rFonts w:ascii="Arial" w:eastAsia="Batang" w:hAnsi="Arial" w:cs="Arial"/>
          <w:sz w:val="20"/>
          <w:szCs w:val="20"/>
        </w:rPr>
        <w:t>, the Department mainly ascribed the non-achievement of targets to:</w:t>
      </w:r>
    </w:p>
    <w:p w:rsidR="00D90DF8" w:rsidRPr="00A867AE" w:rsidRDefault="00D90DF8" w:rsidP="00A867AE">
      <w:pPr>
        <w:spacing w:line="240" w:lineRule="auto"/>
        <w:jc w:val="left"/>
        <w:rPr>
          <w:rFonts w:ascii="Arial" w:eastAsia="Batang" w:hAnsi="Arial" w:cs="Arial"/>
          <w:sz w:val="20"/>
          <w:szCs w:val="20"/>
          <w:lang w:val="en-ZA"/>
        </w:rPr>
      </w:pPr>
    </w:p>
    <w:p w:rsidR="00312F12" w:rsidRPr="00A867AE" w:rsidRDefault="00312F12" w:rsidP="00A867AE">
      <w:pPr>
        <w:spacing w:line="240" w:lineRule="auto"/>
        <w:jc w:val="left"/>
        <w:rPr>
          <w:rFonts w:ascii="Arial" w:eastAsiaTheme="minorHAnsi" w:hAnsi="Arial" w:cs="Arial"/>
          <w:sz w:val="20"/>
          <w:szCs w:val="20"/>
          <w:lang w:val="en-ZA"/>
        </w:rPr>
      </w:pPr>
      <w:r w:rsidRPr="00A867AE">
        <w:rPr>
          <w:rFonts w:ascii="Arial" w:eastAsia="Roboto Condensed" w:hAnsi="Arial" w:cs="Arial"/>
          <w:b/>
          <w:bCs/>
          <w:color w:val="000000" w:themeColor="text1"/>
          <w:kern w:val="24"/>
          <w:sz w:val="20"/>
          <w:szCs w:val="20"/>
          <w:lang w:val="en-US"/>
        </w:rPr>
        <w:t>Process delays</w:t>
      </w:r>
      <w:r w:rsidR="00D90DF8" w:rsidRPr="00A867AE">
        <w:rPr>
          <w:rFonts w:ascii="Arial" w:eastAsia="Roboto Condensed" w:hAnsi="Arial" w:cs="Arial"/>
          <w:bCs/>
          <w:color w:val="000000" w:themeColor="text1"/>
          <w:kern w:val="24"/>
          <w:sz w:val="20"/>
          <w:szCs w:val="20"/>
          <w:lang w:val="en-US"/>
        </w:rPr>
        <w:t xml:space="preserve"> – 9 targets – where </w:t>
      </w:r>
      <w:r w:rsidR="00FC6270" w:rsidRPr="00A867AE">
        <w:rPr>
          <w:rFonts w:ascii="Arial" w:eastAsia="Roboto Condensed" w:hAnsi="Arial" w:cs="Arial"/>
          <w:color w:val="000000" w:themeColor="text1"/>
          <w:kern w:val="24"/>
          <w:sz w:val="20"/>
          <w:szCs w:val="20"/>
          <w:lang w:val="en-US"/>
        </w:rPr>
        <w:t xml:space="preserve">the achievement of targets are dependent on </w:t>
      </w:r>
      <w:r w:rsidRPr="00A867AE">
        <w:rPr>
          <w:rFonts w:ascii="Arial" w:eastAsia="Roboto Condensed" w:hAnsi="Arial" w:cs="Arial"/>
          <w:color w:val="000000" w:themeColor="text1"/>
          <w:kern w:val="24"/>
          <w:sz w:val="20"/>
          <w:szCs w:val="20"/>
          <w:lang w:val="en-US"/>
        </w:rPr>
        <w:t xml:space="preserve">factors </w:t>
      </w:r>
      <w:r w:rsidR="00D90DF8" w:rsidRPr="00A867AE">
        <w:rPr>
          <w:rFonts w:ascii="Arial" w:eastAsia="Roboto Condensed" w:hAnsi="Arial" w:cs="Arial"/>
          <w:color w:val="000000" w:themeColor="text1"/>
          <w:kern w:val="24"/>
          <w:sz w:val="20"/>
          <w:szCs w:val="20"/>
          <w:lang w:val="en-US"/>
        </w:rPr>
        <w:t xml:space="preserve">that </w:t>
      </w:r>
      <w:r w:rsidRPr="00A867AE">
        <w:rPr>
          <w:rFonts w:ascii="Arial" w:eastAsia="Roboto Condensed" w:hAnsi="Arial" w:cs="Arial"/>
          <w:color w:val="000000" w:themeColor="text1"/>
          <w:kern w:val="24"/>
          <w:sz w:val="20"/>
          <w:szCs w:val="20"/>
          <w:lang w:val="en-US"/>
        </w:rPr>
        <w:t xml:space="preserve">are outside the control of the </w:t>
      </w:r>
      <w:r w:rsidR="00FC6270" w:rsidRPr="00A867AE">
        <w:rPr>
          <w:rFonts w:ascii="Arial" w:eastAsia="Roboto Condensed" w:hAnsi="Arial" w:cs="Arial"/>
          <w:color w:val="000000" w:themeColor="text1"/>
          <w:kern w:val="24"/>
          <w:sz w:val="20"/>
          <w:szCs w:val="20"/>
          <w:lang w:val="en-US"/>
        </w:rPr>
        <w:t>Department; and</w:t>
      </w:r>
    </w:p>
    <w:p w:rsidR="00CF24CC" w:rsidRPr="00A867AE" w:rsidRDefault="00312F12" w:rsidP="00A867AE">
      <w:pPr>
        <w:pStyle w:val="ListParagraph"/>
        <w:suppressAutoHyphens/>
        <w:autoSpaceDN w:val="0"/>
        <w:spacing w:line="240" w:lineRule="auto"/>
        <w:ind w:left="0"/>
        <w:jc w:val="left"/>
        <w:textAlignment w:val="baseline"/>
        <w:rPr>
          <w:rFonts w:cs="Arial"/>
          <w:sz w:val="20"/>
          <w:szCs w:val="20"/>
        </w:rPr>
      </w:pPr>
      <w:r w:rsidRPr="00A867AE">
        <w:rPr>
          <w:rFonts w:eastAsia="Roboto Condensed" w:cs="Arial"/>
          <w:b/>
          <w:bCs/>
          <w:color w:val="000000" w:themeColor="text1"/>
          <w:kern w:val="24"/>
          <w:sz w:val="20"/>
          <w:szCs w:val="20"/>
          <w:lang w:val="en-US"/>
        </w:rPr>
        <w:t xml:space="preserve">Target formulation </w:t>
      </w:r>
      <w:r w:rsidRPr="00A867AE">
        <w:rPr>
          <w:rFonts w:eastAsia="Roboto Condensed" w:cs="Arial"/>
          <w:b/>
          <w:bCs/>
          <w:color w:val="000000" w:themeColor="text1"/>
          <w:kern w:val="24"/>
          <w:sz w:val="20"/>
          <w:szCs w:val="20"/>
          <w:lang w:val="en-ZA"/>
        </w:rPr>
        <w:t>deficiencies</w:t>
      </w:r>
      <w:r w:rsidR="00FC6270" w:rsidRPr="00A867AE">
        <w:rPr>
          <w:rFonts w:eastAsia="Roboto Condensed" w:cs="Arial"/>
          <w:bCs/>
          <w:color w:val="000000" w:themeColor="text1"/>
          <w:kern w:val="24"/>
          <w:sz w:val="20"/>
          <w:szCs w:val="20"/>
          <w:lang w:val="en-ZA"/>
        </w:rPr>
        <w:t xml:space="preserve"> -1 target - where</w:t>
      </w:r>
      <w:r w:rsidRPr="00A867AE">
        <w:rPr>
          <w:rFonts w:eastAsia="Roboto Condensed" w:cs="Arial"/>
          <w:color w:val="000000" w:themeColor="text1"/>
          <w:kern w:val="24"/>
          <w:sz w:val="20"/>
          <w:szCs w:val="20"/>
          <w:lang w:val="en-US"/>
        </w:rPr>
        <w:t xml:space="preserve"> targets were not achieved because of variables </w:t>
      </w:r>
      <w:r w:rsidR="00BA5991" w:rsidRPr="00A867AE">
        <w:rPr>
          <w:rFonts w:eastAsia="Roboto Condensed" w:cs="Arial"/>
          <w:color w:val="000000" w:themeColor="text1"/>
          <w:kern w:val="24"/>
          <w:sz w:val="20"/>
          <w:szCs w:val="20"/>
          <w:lang w:val="en-US"/>
        </w:rPr>
        <w:t xml:space="preserve">that </w:t>
      </w:r>
      <w:r w:rsidRPr="00A867AE">
        <w:rPr>
          <w:rFonts w:eastAsia="Roboto Condensed" w:cs="Arial"/>
          <w:color w:val="000000" w:themeColor="text1"/>
          <w:kern w:val="24"/>
          <w:sz w:val="20"/>
          <w:szCs w:val="20"/>
          <w:lang w:val="en-US"/>
        </w:rPr>
        <w:t>were not foreseen during the target formulation phase.</w:t>
      </w:r>
      <w:r w:rsidR="00CF24CC" w:rsidRPr="00A867AE">
        <w:rPr>
          <w:rFonts w:cs="Arial"/>
          <w:sz w:val="20"/>
          <w:szCs w:val="20"/>
        </w:rPr>
        <w:t xml:space="preserve"> </w:t>
      </w:r>
    </w:p>
    <w:p w:rsidR="00390675" w:rsidRPr="00A867AE" w:rsidRDefault="00390675" w:rsidP="00A867AE">
      <w:pPr>
        <w:suppressAutoHyphens/>
        <w:autoSpaceDN w:val="0"/>
        <w:spacing w:line="240" w:lineRule="auto"/>
        <w:jc w:val="left"/>
        <w:textAlignment w:val="baseline"/>
        <w:rPr>
          <w:rFonts w:ascii="Arial" w:hAnsi="Arial" w:cs="Arial"/>
          <w:sz w:val="20"/>
          <w:szCs w:val="20"/>
        </w:rPr>
      </w:pPr>
    </w:p>
    <w:p w:rsidR="009B065A" w:rsidRPr="00A867AE" w:rsidRDefault="00390675" w:rsidP="00A867AE">
      <w:pPr>
        <w:pStyle w:val="ListParagraph"/>
        <w:numPr>
          <w:ilvl w:val="0"/>
          <w:numId w:val="16"/>
        </w:numPr>
        <w:spacing w:line="240" w:lineRule="auto"/>
        <w:ind w:left="567" w:hanging="567"/>
        <w:jc w:val="left"/>
        <w:rPr>
          <w:rFonts w:cs="Arial"/>
          <w:b/>
          <w:sz w:val="20"/>
          <w:szCs w:val="20"/>
        </w:rPr>
      </w:pPr>
      <w:r w:rsidRPr="00A867AE">
        <w:rPr>
          <w:rFonts w:cs="Arial"/>
          <w:b/>
          <w:sz w:val="20"/>
          <w:szCs w:val="20"/>
        </w:rPr>
        <w:lastRenderedPageBreak/>
        <w:t>Committee Observations</w:t>
      </w:r>
      <w:r w:rsidR="009B065A" w:rsidRPr="00A867AE">
        <w:rPr>
          <w:rFonts w:cs="Arial"/>
          <w:b/>
          <w:sz w:val="20"/>
          <w:szCs w:val="20"/>
        </w:rPr>
        <w:t xml:space="preserve"> </w:t>
      </w:r>
    </w:p>
    <w:p w:rsidR="009B065A" w:rsidRPr="00A867AE" w:rsidRDefault="009B065A" w:rsidP="00A867AE">
      <w:pPr>
        <w:pStyle w:val="ListParagraph"/>
        <w:spacing w:line="240" w:lineRule="auto"/>
        <w:ind w:left="0"/>
        <w:jc w:val="left"/>
        <w:rPr>
          <w:rFonts w:cs="Arial"/>
          <w:sz w:val="20"/>
          <w:szCs w:val="20"/>
        </w:rPr>
      </w:pPr>
    </w:p>
    <w:p w:rsidR="009B065A" w:rsidRPr="00A867AE" w:rsidRDefault="009B065A" w:rsidP="00A867AE">
      <w:pPr>
        <w:pStyle w:val="ListParagraph"/>
        <w:numPr>
          <w:ilvl w:val="1"/>
          <w:numId w:val="16"/>
        </w:numPr>
        <w:spacing w:line="240" w:lineRule="auto"/>
        <w:ind w:left="851" w:hanging="851"/>
        <w:jc w:val="left"/>
        <w:rPr>
          <w:rFonts w:cs="Arial"/>
          <w:sz w:val="20"/>
          <w:szCs w:val="20"/>
        </w:rPr>
      </w:pPr>
      <w:r w:rsidRPr="00A867AE">
        <w:rPr>
          <w:rFonts w:cs="Arial"/>
          <w:sz w:val="20"/>
          <w:szCs w:val="20"/>
        </w:rPr>
        <w:t>The Committee noted the DSI’s input on their non-achievement of targets and</w:t>
      </w:r>
      <w:r w:rsidR="004F13C3" w:rsidRPr="00A867AE">
        <w:rPr>
          <w:rFonts w:cs="Arial"/>
          <w:sz w:val="20"/>
          <w:szCs w:val="20"/>
        </w:rPr>
        <w:t xml:space="preserve"> </w:t>
      </w:r>
      <w:r w:rsidR="00250A6A" w:rsidRPr="00A867AE">
        <w:rPr>
          <w:rFonts w:cs="Arial"/>
          <w:sz w:val="20"/>
          <w:szCs w:val="20"/>
        </w:rPr>
        <w:t xml:space="preserve">expressed </w:t>
      </w:r>
      <w:r w:rsidR="004F13C3" w:rsidRPr="00A867AE">
        <w:rPr>
          <w:rFonts w:cs="Arial"/>
          <w:sz w:val="20"/>
          <w:szCs w:val="20"/>
        </w:rPr>
        <w:t xml:space="preserve">concern about the increased number of targets </w:t>
      </w:r>
      <w:r w:rsidR="00250A6A" w:rsidRPr="00A867AE">
        <w:rPr>
          <w:rFonts w:cs="Arial"/>
          <w:sz w:val="20"/>
          <w:szCs w:val="20"/>
        </w:rPr>
        <w:t xml:space="preserve">that were </w:t>
      </w:r>
      <w:r w:rsidR="004F13C3" w:rsidRPr="00A867AE">
        <w:rPr>
          <w:rFonts w:cs="Arial"/>
          <w:sz w:val="20"/>
          <w:szCs w:val="20"/>
        </w:rPr>
        <w:t xml:space="preserve">not met </w:t>
      </w:r>
      <w:r w:rsidR="00BA5991" w:rsidRPr="00A867AE">
        <w:rPr>
          <w:rFonts w:cs="Arial"/>
          <w:sz w:val="20"/>
          <w:szCs w:val="20"/>
        </w:rPr>
        <w:t>during the third</w:t>
      </w:r>
      <w:r w:rsidR="004F13C3" w:rsidRPr="00A867AE">
        <w:rPr>
          <w:rFonts w:cs="Arial"/>
          <w:sz w:val="20"/>
          <w:szCs w:val="20"/>
        </w:rPr>
        <w:t xml:space="preserve"> quarter. </w:t>
      </w:r>
    </w:p>
    <w:p w:rsidR="00CF24CC" w:rsidRPr="00A867AE" w:rsidRDefault="00CF24CC" w:rsidP="00A867AE">
      <w:pPr>
        <w:pStyle w:val="ListParagraph"/>
        <w:numPr>
          <w:ilvl w:val="1"/>
          <w:numId w:val="16"/>
        </w:numPr>
        <w:spacing w:line="240" w:lineRule="auto"/>
        <w:ind w:left="851" w:hanging="851"/>
        <w:jc w:val="left"/>
        <w:rPr>
          <w:rFonts w:cs="Arial"/>
          <w:sz w:val="20"/>
          <w:szCs w:val="20"/>
        </w:rPr>
      </w:pPr>
      <w:r w:rsidRPr="00A867AE">
        <w:rPr>
          <w:rFonts w:cs="Arial"/>
          <w:sz w:val="20"/>
          <w:szCs w:val="20"/>
        </w:rPr>
        <w:t xml:space="preserve">The Committee was concerned about the underexpenditure in certain Programmes, especially since the Committee constantly advocates for increased funding for the DSI.    </w:t>
      </w:r>
    </w:p>
    <w:p w:rsidR="00CF24CC" w:rsidRPr="00A867AE" w:rsidRDefault="00CF24CC" w:rsidP="00A867AE">
      <w:pPr>
        <w:pStyle w:val="ListParagraph"/>
        <w:numPr>
          <w:ilvl w:val="1"/>
          <w:numId w:val="16"/>
        </w:numPr>
        <w:spacing w:line="240" w:lineRule="auto"/>
        <w:ind w:left="851" w:hanging="851"/>
        <w:jc w:val="left"/>
        <w:rPr>
          <w:rFonts w:cs="Arial"/>
          <w:sz w:val="20"/>
          <w:szCs w:val="20"/>
        </w:rPr>
      </w:pPr>
      <w:r w:rsidRPr="00A867AE">
        <w:rPr>
          <w:rFonts w:cs="Arial"/>
          <w:sz w:val="20"/>
          <w:szCs w:val="20"/>
        </w:rPr>
        <w:t>The Committee cautioned against the constant use of virements across Programmes and stated that it was an indication of poor planning.</w:t>
      </w:r>
    </w:p>
    <w:p w:rsidR="00CF24CC" w:rsidRPr="00A867AE" w:rsidRDefault="00CF24CC" w:rsidP="00A867AE">
      <w:pPr>
        <w:pStyle w:val="ListParagraph"/>
        <w:numPr>
          <w:ilvl w:val="1"/>
          <w:numId w:val="16"/>
        </w:numPr>
        <w:spacing w:line="240" w:lineRule="auto"/>
        <w:ind w:left="851" w:hanging="851"/>
        <w:jc w:val="left"/>
        <w:rPr>
          <w:rFonts w:cs="Arial"/>
          <w:sz w:val="20"/>
          <w:szCs w:val="20"/>
        </w:rPr>
      </w:pPr>
      <w:r w:rsidRPr="00A867AE">
        <w:rPr>
          <w:rFonts w:cs="Arial"/>
          <w:sz w:val="20"/>
          <w:szCs w:val="20"/>
        </w:rPr>
        <w:t>The Committee noted the DSI’s invitation to visit BIOVAC where the Committee would also receive an update briefing on the current developments with the programme to manufacture locally vaccines.</w:t>
      </w:r>
    </w:p>
    <w:p w:rsidR="00CF24CC" w:rsidRPr="00A867AE" w:rsidRDefault="00CF24CC" w:rsidP="00A867AE">
      <w:pPr>
        <w:pStyle w:val="ListParagraph"/>
        <w:numPr>
          <w:ilvl w:val="1"/>
          <w:numId w:val="16"/>
        </w:numPr>
        <w:spacing w:line="240" w:lineRule="auto"/>
        <w:ind w:left="851" w:hanging="851"/>
        <w:jc w:val="left"/>
        <w:rPr>
          <w:rFonts w:cs="Arial"/>
          <w:sz w:val="20"/>
          <w:szCs w:val="20"/>
        </w:rPr>
      </w:pPr>
      <w:r w:rsidRPr="00A867AE">
        <w:rPr>
          <w:rFonts w:cs="Arial"/>
          <w:sz w:val="20"/>
          <w:szCs w:val="20"/>
        </w:rPr>
        <w:t xml:space="preserve">The Committee expressed interest in DSI’s Indigenous Knowledge Bioprospecting and Product Development Platform. </w:t>
      </w:r>
    </w:p>
    <w:p w:rsidR="00CF24CC" w:rsidRPr="00A867AE" w:rsidRDefault="00CF24CC" w:rsidP="00A867AE">
      <w:pPr>
        <w:pStyle w:val="ListParagraph"/>
        <w:numPr>
          <w:ilvl w:val="1"/>
          <w:numId w:val="16"/>
        </w:numPr>
        <w:spacing w:line="240" w:lineRule="auto"/>
        <w:ind w:left="851" w:hanging="851"/>
        <w:jc w:val="left"/>
        <w:rPr>
          <w:rFonts w:cs="Arial"/>
          <w:sz w:val="20"/>
          <w:szCs w:val="20"/>
        </w:rPr>
      </w:pPr>
      <w:r w:rsidRPr="00A867AE">
        <w:rPr>
          <w:rFonts w:cs="Arial"/>
          <w:sz w:val="20"/>
          <w:szCs w:val="20"/>
        </w:rPr>
        <w:t>The Committee raised concern about the slow and or non-uptake of DSI innovations by other government departments and the private sector.</w:t>
      </w:r>
    </w:p>
    <w:p w:rsidR="00CF24CC" w:rsidRPr="00A867AE" w:rsidRDefault="00CF24CC" w:rsidP="00A867AE">
      <w:pPr>
        <w:pStyle w:val="ListParagraph"/>
        <w:numPr>
          <w:ilvl w:val="1"/>
          <w:numId w:val="16"/>
        </w:numPr>
        <w:spacing w:line="240" w:lineRule="auto"/>
        <w:ind w:left="851" w:hanging="851"/>
        <w:jc w:val="left"/>
        <w:rPr>
          <w:rFonts w:cs="Arial"/>
          <w:sz w:val="20"/>
          <w:szCs w:val="20"/>
        </w:rPr>
      </w:pPr>
      <w:r w:rsidRPr="00A867AE">
        <w:rPr>
          <w:rFonts w:cs="Arial"/>
          <w:sz w:val="20"/>
          <w:szCs w:val="20"/>
        </w:rPr>
        <w:t xml:space="preserve">The Committee expressed interest in the assistance available to inventors in taking products to market (commercialisation).  </w:t>
      </w:r>
    </w:p>
    <w:p w:rsidR="00CF24CC" w:rsidRPr="00A867AE" w:rsidRDefault="00CF24CC" w:rsidP="00A867AE">
      <w:pPr>
        <w:pStyle w:val="ListParagraph"/>
        <w:numPr>
          <w:ilvl w:val="1"/>
          <w:numId w:val="16"/>
        </w:numPr>
        <w:spacing w:line="240" w:lineRule="auto"/>
        <w:ind w:left="851" w:hanging="851"/>
        <w:jc w:val="left"/>
        <w:rPr>
          <w:rFonts w:cs="Arial"/>
          <w:sz w:val="20"/>
          <w:szCs w:val="20"/>
        </w:rPr>
      </w:pPr>
      <w:r w:rsidRPr="00A867AE">
        <w:rPr>
          <w:rFonts w:cs="Arial"/>
          <w:sz w:val="20"/>
          <w:szCs w:val="20"/>
        </w:rPr>
        <w:t>The Committee enquired about the challenges at the Technology Innovation Agency and what had been resolved to date.</w:t>
      </w:r>
    </w:p>
    <w:p w:rsidR="00CF24CC" w:rsidRPr="00A867AE" w:rsidRDefault="00CF24CC" w:rsidP="00A867AE">
      <w:pPr>
        <w:pStyle w:val="ListParagraph"/>
        <w:numPr>
          <w:ilvl w:val="1"/>
          <w:numId w:val="16"/>
        </w:numPr>
        <w:spacing w:line="240" w:lineRule="auto"/>
        <w:ind w:left="851" w:hanging="851"/>
        <w:jc w:val="left"/>
        <w:rPr>
          <w:rFonts w:cs="Arial"/>
          <w:sz w:val="20"/>
          <w:szCs w:val="20"/>
        </w:rPr>
      </w:pPr>
      <w:r w:rsidRPr="00A867AE">
        <w:rPr>
          <w:rFonts w:cs="Arial"/>
          <w:sz w:val="20"/>
          <w:szCs w:val="20"/>
        </w:rPr>
        <w:t>The Committee enquired about the DSI’s vacancy rates, as well as the current recruitment plan.</w:t>
      </w:r>
    </w:p>
    <w:p w:rsidR="007E778C" w:rsidRPr="00A867AE" w:rsidRDefault="007E778C" w:rsidP="00A867AE">
      <w:pPr>
        <w:suppressAutoHyphens/>
        <w:autoSpaceDN w:val="0"/>
        <w:spacing w:line="240" w:lineRule="auto"/>
        <w:jc w:val="left"/>
        <w:textAlignment w:val="baseline"/>
        <w:rPr>
          <w:rFonts w:ascii="Arial" w:hAnsi="Arial" w:cs="Arial"/>
          <w:sz w:val="20"/>
          <w:szCs w:val="20"/>
        </w:rPr>
      </w:pPr>
    </w:p>
    <w:p w:rsidR="007E778C" w:rsidRPr="00A867AE" w:rsidRDefault="007E778C" w:rsidP="00A867AE">
      <w:pPr>
        <w:pStyle w:val="ListParagraph"/>
        <w:numPr>
          <w:ilvl w:val="0"/>
          <w:numId w:val="16"/>
        </w:numPr>
        <w:spacing w:line="240" w:lineRule="auto"/>
        <w:ind w:left="567" w:hanging="567"/>
        <w:jc w:val="left"/>
        <w:rPr>
          <w:rFonts w:cs="Arial"/>
          <w:b/>
          <w:sz w:val="20"/>
          <w:szCs w:val="20"/>
        </w:rPr>
      </w:pPr>
      <w:r w:rsidRPr="00A867AE">
        <w:rPr>
          <w:rFonts w:cs="Arial"/>
          <w:b/>
          <w:sz w:val="20"/>
          <w:szCs w:val="20"/>
        </w:rPr>
        <w:t>Recommendations</w:t>
      </w:r>
    </w:p>
    <w:p w:rsidR="00C34856" w:rsidRPr="00A867AE" w:rsidRDefault="00C34856" w:rsidP="00A867AE">
      <w:pPr>
        <w:pStyle w:val="ListParagraph"/>
        <w:spacing w:line="240" w:lineRule="auto"/>
        <w:ind w:left="0"/>
        <w:jc w:val="left"/>
        <w:rPr>
          <w:rFonts w:cs="Arial"/>
          <w:sz w:val="20"/>
          <w:szCs w:val="20"/>
        </w:rPr>
      </w:pPr>
    </w:p>
    <w:p w:rsidR="00B76D27" w:rsidRPr="00A867AE" w:rsidRDefault="00B76D27" w:rsidP="00A867AE">
      <w:pPr>
        <w:pStyle w:val="ListParagraph"/>
        <w:spacing w:line="240" w:lineRule="auto"/>
        <w:ind w:left="0"/>
        <w:jc w:val="left"/>
        <w:rPr>
          <w:rFonts w:cs="Arial"/>
          <w:sz w:val="20"/>
          <w:szCs w:val="20"/>
        </w:rPr>
      </w:pPr>
      <w:r w:rsidRPr="00A867AE">
        <w:rPr>
          <w:rFonts w:cs="Arial"/>
          <w:sz w:val="20"/>
          <w:szCs w:val="20"/>
        </w:rPr>
        <w:t>Having considered the Department’s financial and non-financial performance for the 2021/22 second and third quarters, the Committee recommended that:</w:t>
      </w:r>
    </w:p>
    <w:p w:rsidR="00B76D27" w:rsidRPr="00A867AE" w:rsidRDefault="00B76D27" w:rsidP="00A867AE">
      <w:pPr>
        <w:pStyle w:val="ListParagraph"/>
        <w:spacing w:line="240" w:lineRule="auto"/>
        <w:ind w:left="0"/>
        <w:jc w:val="left"/>
        <w:rPr>
          <w:rFonts w:cs="Arial"/>
          <w:sz w:val="20"/>
          <w:szCs w:val="20"/>
        </w:rPr>
      </w:pPr>
    </w:p>
    <w:p w:rsidR="00863BF4" w:rsidRPr="00A867AE" w:rsidRDefault="00863BF4" w:rsidP="00A867AE">
      <w:pPr>
        <w:pStyle w:val="ListParagraph"/>
        <w:numPr>
          <w:ilvl w:val="1"/>
          <w:numId w:val="16"/>
        </w:numPr>
        <w:spacing w:line="240" w:lineRule="auto"/>
        <w:ind w:left="851" w:hanging="851"/>
        <w:jc w:val="left"/>
        <w:rPr>
          <w:rFonts w:cs="Arial"/>
          <w:sz w:val="20"/>
          <w:szCs w:val="20"/>
        </w:rPr>
      </w:pPr>
      <w:r w:rsidRPr="00A867AE">
        <w:rPr>
          <w:rFonts w:cs="Arial"/>
          <w:sz w:val="20"/>
          <w:szCs w:val="20"/>
        </w:rPr>
        <w:t>The D</w:t>
      </w:r>
      <w:r w:rsidR="00B76D27" w:rsidRPr="00A867AE">
        <w:rPr>
          <w:rFonts w:cs="Arial"/>
          <w:sz w:val="20"/>
          <w:szCs w:val="20"/>
        </w:rPr>
        <w:t>epartment</w:t>
      </w:r>
      <w:r w:rsidRPr="00A867AE">
        <w:rPr>
          <w:rFonts w:cs="Arial"/>
          <w:sz w:val="20"/>
          <w:szCs w:val="20"/>
        </w:rPr>
        <w:t xml:space="preserve"> submit written responses to the questions that were not adequately answered. These included</w:t>
      </w:r>
      <w:r w:rsidR="00B76D27" w:rsidRPr="00A867AE">
        <w:rPr>
          <w:rFonts w:cs="Arial"/>
          <w:sz w:val="20"/>
          <w:szCs w:val="20"/>
        </w:rPr>
        <w:t xml:space="preserve"> the</w:t>
      </w:r>
      <w:r w:rsidRPr="00A867AE">
        <w:rPr>
          <w:rFonts w:cs="Arial"/>
          <w:sz w:val="20"/>
          <w:szCs w:val="20"/>
        </w:rPr>
        <w:t>:</w:t>
      </w:r>
    </w:p>
    <w:p w:rsidR="00863BF4" w:rsidRPr="00A867AE" w:rsidRDefault="00BE0FDB" w:rsidP="00A867AE">
      <w:pPr>
        <w:pStyle w:val="ListParagraph"/>
        <w:numPr>
          <w:ilvl w:val="2"/>
          <w:numId w:val="16"/>
        </w:numPr>
        <w:spacing w:line="240" w:lineRule="auto"/>
        <w:ind w:left="1701" w:hanging="850"/>
        <w:jc w:val="left"/>
        <w:rPr>
          <w:rFonts w:cs="Arial"/>
          <w:sz w:val="20"/>
          <w:szCs w:val="20"/>
        </w:rPr>
      </w:pPr>
      <w:r w:rsidRPr="00A867AE">
        <w:rPr>
          <w:rFonts w:cs="Arial"/>
          <w:sz w:val="20"/>
          <w:szCs w:val="20"/>
        </w:rPr>
        <w:t xml:space="preserve">Plan of </w:t>
      </w:r>
      <w:r w:rsidR="00863BF4" w:rsidRPr="00A867AE">
        <w:rPr>
          <w:rFonts w:cs="Arial"/>
          <w:sz w:val="20"/>
          <w:szCs w:val="20"/>
        </w:rPr>
        <w:t>action regarding performance, as well as the repeat offenders in terms of targets not being met due to the unavailability of verification documentation.</w:t>
      </w:r>
    </w:p>
    <w:p w:rsidR="00863BF4" w:rsidRPr="00A867AE" w:rsidRDefault="00863BF4" w:rsidP="00A867AE">
      <w:pPr>
        <w:pStyle w:val="ListParagraph"/>
        <w:numPr>
          <w:ilvl w:val="2"/>
          <w:numId w:val="16"/>
        </w:numPr>
        <w:spacing w:line="240" w:lineRule="auto"/>
        <w:ind w:left="1701" w:hanging="850"/>
        <w:jc w:val="left"/>
        <w:rPr>
          <w:rFonts w:cs="Arial"/>
          <w:sz w:val="20"/>
          <w:szCs w:val="20"/>
        </w:rPr>
      </w:pPr>
      <w:r w:rsidRPr="00A867AE">
        <w:rPr>
          <w:rFonts w:cs="Arial"/>
          <w:sz w:val="20"/>
          <w:szCs w:val="20"/>
        </w:rPr>
        <w:t>Audit Action Plan, with timeframes and mitigation actions.</w:t>
      </w:r>
    </w:p>
    <w:p w:rsidR="00863BF4" w:rsidRPr="00A867AE" w:rsidRDefault="00863BF4" w:rsidP="00A867AE">
      <w:pPr>
        <w:pStyle w:val="ListParagraph"/>
        <w:numPr>
          <w:ilvl w:val="2"/>
          <w:numId w:val="16"/>
        </w:numPr>
        <w:spacing w:line="240" w:lineRule="auto"/>
        <w:ind w:left="1701" w:hanging="850"/>
        <w:jc w:val="left"/>
        <w:rPr>
          <w:rFonts w:cs="Arial"/>
          <w:sz w:val="20"/>
          <w:szCs w:val="20"/>
        </w:rPr>
      </w:pPr>
      <w:r w:rsidRPr="00A867AE">
        <w:rPr>
          <w:rFonts w:cs="Arial"/>
          <w:sz w:val="20"/>
          <w:szCs w:val="20"/>
        </w:rPr>
        <w:t>Vacancies and recruitment plan.</w:t>
      </w:r>
    </w:p>
    <w:p w:rsidR="00863BF4" w:rsidRPr="00A867AE" w:rsidRDefault="00863BF4" w:rsidP="00A867AE">
      <w:pPr>
        <w:pStyle w:val="ListParagraph"/>
        <w:numPr>
          <w:ilvl w:val="2"/>
          <w:numId w:val="16"/>
        </w:numPr>
        <w:spacing w:line="240" w:lineRule="auto"/>
        <w:ind w:left="1701" w:hanging="850"/>
        <w:jc w:val="left"/>
        <w:rPr>
          <w:rFonts w:cs="Arial"/>
          <w:sz w:val="20"/>
          <w:szCs w:val="20"/>
        </w:rPr>
      </w:pPr>
      <w:r w:rsidRPr="00A867AE">
        <w:rPr>
          <w:rFonts w:cs="Arial"/>
          <w:sz w:val="20"/>
          <w:szCs w:val="20"/>
        </w:rPr>
        <w:t>Details of irregular expenditure, as well as consequence management actions.</w:t>
      </w:r>
    </w:p>
    <w:p w:rsidR="00863BF4" w:rsidRPr="00A867AE" w:rsidRDefault="00863BF4" w:rsidP="00A867AE">
      <w:pPr>
        <w:pStyle w:val="ListParagraph"/>
        <w:numPr>
          <w:ilvl w:val="2"/>
          <w:numId w:val="16"/>
        </w:numPr>
        <w:spacing w:line="240" w:lineRule="auto"/>
        <w:ind w:left="1701" w:hanging="850"/>
        <w:jc w:val="left"/>
        <w:rPr>
          <w:rFonts w:cs="Arial"/>
          <w:sz w:val="20"/>
          <w:szCs w:val="20"/>
        </w:rPr>
      </w:pPr>
      <w:r w:rsidRPr="00A867AE">
        <w:rPr>
          <w:rFonts w:cs="Arial"/>
          <w:sz w:val="20"/>
          <w:szCs w:val="20"/>
        </w:rPr>
        <w:t>The Youth and Women Procurement Strategy and the challenges experienced therewith.</w:t>
      </w:r>
    </w:p>
    <w:p w:rsidR="00863BF4" w:rsidRPr="00A867AE" w:rsidRDefault="00863BF4" w:rsidP="00A867AE">
      <w:pPr>
        <w:pStyle w:val="ListParagraph"/>
        <w:numPr>
          <w:ilvl w:val="2"/>
          <w:numId w:val="16"/>
        </w:numPr>
        <w:spacing w:line="240" w:lineRule="auto"/>
        <w:ind w:left="1701" w:hanging="850"/>
        <w:jc w:val="left"/>
        <w:rPr>
          <w:rFonts w:cs="Arial"/>
          <w:sz w:val="20"/>
          <w:szCs w:val="20"/>
        </w:rPr>
      </w:pPr>
      <w:r w:rsidRPr="00A867AE">
        <w:rPr>
          <w:rFonts w:cs="Arial"/>
          <w:sz w:val="20"/>
          <w:szCs w:val="20"/>
        </w:rPr>
        <w:t xml:space="preserve">The decline from quarter’s two to three in the number of postgraduate students </w:t>
      </w:r>
      <w:r w:rsidR="00BE6A37" w:rsidRPr="00A867AE">
        <w:rPr>
          <w:rFonts w:cs="Arial"/>
          <w:sz w:val="20"/>
          <w:szCs w:val="20"/>
        </w:rPr>
        <w:t>supported.</w:t>
      </w:r>
    </w:p>
    <w:p w:rsidR="004F13C3" w:rsidRPr="00A867AE" w:rsidRDefault="004F13C3" w:rsidP="00A867AE">
      <w:pPr>
        <w:spacing w:line="240" w:lineRule="auto"/>
        <w:jc w:val="left"/>
        <w:rPr>
          <w:rFonts w:ascii="Arial" w:hAnsi="Arial" w:cs="Arial"/>
          <w:sz w:val="20"/>
          <w:szCs w:val="20"/>
        </w:rPr>
      </w:pPr>
    </w:p>
    <w:p w:rsidR="007E778C" w:rsidRPr="00A867AE" w:rsidRDefault="004F13C3" w:rsidP="00A867AE">
      <w:pPr>
        <w:pStyle w:val="ListParagraph"/>
        <w:numPr>
          <w:ilvl w:val="1"/>
          <w:numId w:val="16"/>
        </w:numPr>
        <w:spacing w:line="240" w:lineRule="auto"/>
        <w:ind w:left="851" w:hanging="851"/>
        <w:jc w:val="left"/>
        <w:rPr>
          <w:rFonts w:cs="Arial"/>
          <w:sz w:val="20"/>
          <w:szCs w:val="20"/>
        </w:rPr>
      </w:pPr>
      <w:r w:rsidRPr="00A867AE">
        <w:rPr>
          <w:rFonts w:cs="Arial"/>
          <w:sz w:val="20"/>
          <w:szCs w:val="20"/>
        </w:rPr>
        <w:t>The D</w:t>
      </w:r>
      <w:r w:rsidR="00B76D27" w:rsidRPr="00A867AE">
        <w:rPr>
          <w:rFonts w:cs="Arial"/>
          <w:sz w:val="20"/>
          <w:szCs w:val="20"/>
        </w:rPr>
        <w:t>epartment</w:t>
      </w:r>
      <w:r w:rsidRPr="00A867AE">
        <w:rPr>
          <w:rFonts w:cs="Arial"/>
          <w:sz w:val="20"/>
          <w:szCs w:val="20"/>
        </w:rPr>
        <w:t xml:space="preserve"> provide the Committee with the outstanding responses from previous engagements as a matter of urgency.</w:t>
      </w:r>
    </w:p>
    <w:p w:rsidR="007E778C" w:rsidRPr="00A867AE" w:rsidRDefault="007E778C" w:rsidP="00A867AE">
      <w:pPr>
        <w:spacing w:line="240" w:lineRule="auto"/>
        <w:jc w:val="left"/>
        <w:rPr>
          <w:rFonts w:ascii="Arial" w:eastAsia="Roboto Condensed" w:hAnsi="Arial" w:cs="Arial"/>
          <w:color w:val="000000" w:themeColor="text1"/>
          <w:kern w:val="24"/>
          <w:sz w:val="20"/>
          <w:szCs w:val="20"/>
          <w:lang w:val="en-US"/>
        </w:rPr>
      </w:pPr>
    </w:p>
    <w:p w:rsidR="00E0047A" w:rsidRPr="00A867AE" w:rsidRDefault="004A7CCA" w:rsidP="00A867AE">
      <w:pPr>
        <w:spacing w:line="240" w:lineRule="auto"/>
        <w:jc w:val="left"/>
        <w:rPr>
          <w:rFonts w:ascii="Arial" w:hAnsi="Arial" w:cs="Arial"/>
          <w:sz w:val="20"/>
          <w:szCs w:val="20"/>
        </w:rPr>
      </w:pPr>
      <w:r w:rsidRPr="00A867AE">
        <w:rPr>
          <w:rFonts w:ascii="Arial" w:eastAsia="Roboto Condensed" w:hAnsi="Arial" w:cs="Arial"/>
          <w:color w:val="000000" w:themeColor="text1"/>
          <w:kern w:val="24"/>
          <w:sz w:val="20"/>
          <w:szCs w:val="20"/>
          <w:lang w:val="en-US"/>
        </w:rPr>
        <w:t>Report to be considered</w:t>
      </w:r>
      <w:bookmarkEnd w:id="0"/>
    </w:p>
    <w:sectPr w:rsidR="00E0047A" w:rsidRPr="00A867AE" w:rsidSect="00316CD1">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76C" w:rsidRDefault="00F5576C" w:rsidP="00C36099">
      <w:pPr>
        <w:spacing w:line="240" w:lineRule="auto"/>
      </w:pPr>
      <w:r>
        <w:separator/>
      </w:r>
    </w:p>
  </w:endnote>
  <w:endnote w:type="continuationSeparator" w:id="0">
    <w:p w:rsidR="00F5576C" w:rsidRDefault="00F5576C" w:rsidP="00C360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oboto Condense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944448"/>
      <w:docPartObj>
        <w:docPartGallery w:val="Page Numbers (Bottom of Page)"/>
        <w:docPartUnique/>
      </w:docPartObj>
    </w:sdtPr>
    <w:sdtEndPr>
      <w:rPr>
        <w:noProof/>
      </w:rPr>
    </w:sdtEndPr>
    <w:sdtContent>
      <w:p w:rsidR="00C36099" w:rsidRDefault="00316CD1">
        <w:pPr>
          <w:pStyle w:val="Footer"/>
          <w:jc w:val="right"/>
        </w:pPr>
        <w:r>
          <w:fldChar w:fldCharType="begin"/>
        </w:r>
        <w:r w:rsidR="00C36099">
          <w:instrText xml:space="preserve"> PAGE   \* MERGEFORMAT </w:instrText>
        </w:r>
        <w:r>
          <w:fldChar w:fldCharType="separate"/>
        </w:r>
        <w:r w:rsidR="00A867AE">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76C" w:rsidRDefault="00F5576C" w:rsidP="00C36099">
      <w:pPr>
        <w:spacing w:line="240" w:lineRule="auto"/>
      </w:pPr>
      <w:r>
        <w:separator/>
      </w:r>
    </w:p>
  </w:footnote>
  <w:footnote w:type="continuationSeparator" w:id="0">
    <w:p w:rsidR="00F5576C" w:rsidRDefault="00F5576C" w:rsidP="00C3609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27EA"/>
    <w:multiLevelType w:val="hybridMultilevel"/>
    <w:tmpl w:val="2A78BB2A"/>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0F35248C"/>
    <w:multiLevelType w:val="hybridMultilevel"/>
    <w:tmpl w:val="37C01ED8"/>
    <w:lvl w:ilvl="0" w:tplc="AE1C0490">
      <w:start w:val="1"/>
      <w:numFmt w:val="bullet"/>
      <w:lvlText w:val=""/>
      <w:lvlJc w:val="left"/>
      <w:pPr>
        <w:ind w:left="720" w:hanging="360"/>
      </w:pPr>
      <w:rPr>
        <w:rFonts w:ascii="Symbol" w:hAnsi="Symbol" w:hint="default"/>
        <w:b/>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10EC52A9"/>
    <w:multiLevelType w:val="hybridMultilevel"/>
    <w:tmpl w:val="AF38A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1536A6"/>
    <w:multiLevelType w:val="hybridMultilevel"/>
    <w:tmpl w:val="B0B0E9E2"/>
    <w:lvl w:ilvl="0" w:tplc="31644776">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43E1E75"/>
    <w:multiLevelType w:val="hybridMultilevel"/>
    <w:tmpl w:val="5A98F556"/>
    <w:lvl w:ilvl="0" w:tplc="66345E7E">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6A56C9"/>
    <w:multiLevelType w:val="hybridMultilevel"/>
    <w:tmpl w:val="2F38F1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BB32C09"/>
    <w:multiLevelType w:val="hybridMultilevel"/>
    <w:tmpl w:val="3D9010EC"/>
    <w:lvl w:ilvl="0" w:tplc="8BA6E898">
      <w:start w:val="1"/>
      <w:numFmt w:val="bullet"/>
      <w:lvlText w:val=""/>
      <w:lvlJc w:val="left"/>
      <w:pPr>
        <w:ind w:left="774"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2CEF7882"/>
    <w:multiLevelType w:val="multilevel"/>
    <w:tmpl w:val="1C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6E07D9"/>
    <w:multiLevelType w:val="hybridMultilevel"/>
    <w:tmpl w:val="618253FE"/>
    <w:lvl w:ilvl="0" w:tplc="8BA6E898">
      <w:start w:val="1"/>
      <w:numFmt w:val="bullet"/>
      <w:lvlText w:val=""/>
      <w:lvlJc w:val="left"/>
      <w:pPr>
        <w:ind w:left="1080" w:hanging="360"/>
      </w:pPr>
      <w:rPr>
        <w:rFonts w:ascii="Symbol" w:hAnsi="Symbol" w:hint="default"/>
        <w:sz w:val="24"/>
        <w:szCs w:val="24"/>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9">
    <w:nsid w:val="2EED72A9"/>
    <w:multiLevelType w:val="hybridMultilevel"/>
    <w:tmpl w:val="0B9809F6"/>
    <w:lvl w:ilvl="0" w:tplc="8BA6E898">
      <w:start w:val="1"/>
      <w:numFmt w:val="bullet"/>
      <w:lvlText w:val=""/>
      <w:lvlJc w:val="left"/>
      <w:pPr>
        <w:ind w:left="720"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39E6A67"/>
    <w:multiLevelType w:val="hybridMultilevel"/>
    <w:tmpl w:val="81064832"/>
    <w:lvl w:ilvl="0" w:tplc="08090001">
      <w:start w:val="1"/>
      <w:numFmt w:val="bullet"/>
      <w:lvlText w:val=""/>
      <w:lvlJc w:val="left"/>
      <w:pPr>
        <w:tabs>
          <w:tab w:val="num" w:pos="720"/>
        </w:tabs>
        <w:ind w:left="720" w:hanging="360"/>
      </w:pPr>
      <w:rPr>
        <w:rFonts w:ascii="Symbol" w:hAnsi="Symbol" w:hint="default"/>
      </w:rPr>
    </w:lvl>
    <w:lvl w:ilvl="1" w:tplc="9B989582" w:tentative="1">
      <w:start w:val="1"/>
      <w:numFmt w:val="bullet"/>
      <w:lvlText w:val=""/>
      <w:lvlJc w:val="left"/>
      <w:pPr>
        <w:tabs>
          <w:tab w:val="num" w:pos="1440"/>
        </w:tabs>
        <w:ind w:left="1440" w:hanging="360"/>
      </w:pPr>
      <w:rPr>
        <w:rFonts w:ascii="Wingdings" w:hAnsi="Wingdings" w:hint="default"/>
      </w:rPr>
    </w:lvl>
    <w:lvl w:ilvl="2" w:tplc="01CA0260" w:tentative="1">
      <w:start w:val="1"/>
      <w:numFmt w:val="bullet"/>
      <w:lvlText w:val=""/>
      <w:lvlJc w:val="left"/>
      <w:pPr>
        <w:tabs>
          <w:tab w:val="num" w:pos="2160"/>
        </w:tabs>
        <w:ind w:left="2160" w:hanging="360"/>
      </w:pPr>
      <w:rPr>
        <w:rFonts w:ascii="Wingdings" w:hAnsi="Wingdings" w:hint="default"/>
      </w:rPr>
    </w:lvl>
    <w:lvl w:ilvl="3" w:tplc="794002CA" w:tentative="1">
      <w:start w:val="1"/>
      <w:numFmt w:val="bullet"/>
      <w:lvlText w:val=""/>
      <w:lvlJc w:val="left"/>
      <w:pPr>
        <w:tabs>
          <w:tab w:val="num" w:pos="2880"/>
        </w:tabs>
        <w:ind w:left="2880" w:hanging="360"/>
      </w:pPr>
      <w:rPr>
        <w:rFonts w:ascii="Wingdings" w:hAnsi="Wingdings" w:hint="default"/>
      </w:rPr>
    </w:lvl>
    <w:lvl w:ilvl="4" w:tplc="603AECBC" w:tentative="1">
      <w:start w:val="1"/>
      <w:numFmt w:val="bullet"/>
      <w:lvlText w:val=""/>
      <w:lvlJc w:val="left"/>
      <w:pPr>
        <w:tabs>
          <w:tab w:val="num" w:pos="3600"/>
        </w:tabs>
        <w:ind w:left="3600" w:hanging="360"/>
      </w:pPr>
      <w:rPr>
        <w:rFonts w:ascii="Wingdings" w:hAnsi="Wingdings" w:hint="default"/>
      </w:rPr>
    </w:lvl>
    <w:lvl w:ilvl="5" w:tplc="8F5A0818" w:tentative="1">
      <w:start w:val="1"/>
      <w:numFmt w:val="bullet"/>
      <w:lvlText w:val=""/>
      <w:lvlJc w:val="left"/>
      <w:pPr>
        <w:tabs>
          <w:tab w:val="num" w:pos="4320"/>
        </w:tabs>
        <w:ind w:left="4320" w:hanging="360"/>
      </w:pPr>
      <w:rPr>
        <w:rFonts w:ascii="Wingdings" w:hAnsi="Wingdings" w:hint="default"/>
      </w:rPr>
    </w:lvl>
    <w:lvl w:ilvl="6" w:tplc="E89AE048" w:tentative="1">
      <w:start w:val="1"/>
      <w:numFmt w:val="bullet"/>
      <w:lvlText w:val=""/>
      <w:lvlJc w:val="left"/>
      <w:pPr>
        <w:tabs>
          <w:tab w:val="num" w:pos="5040"/>
        </w:tabs>
        <w:ind w:left="5040" w:hanging="360"/>
      </w:pPr>
      <w:rPr>
        <w:rFonts w:ascii="Wingdings" w:hAnsi="Wingdings" w:hint="default"/>
      </w:rPr>
    </w:lvl>
    <w:lvl w:ilvl="7" w:tplc="CE649018" w:tentative="1">
      <w:start w:val="1"/>
      <w:numFmt w:val="bullet"/>
      <w:lvlText w:val=""/>
      <w:lvlJc w:val="left"/>
      <w:pPr>
        <w:tabs>
          <w:tab w:val="num" w:pos="5760"/>
        </w:tabs>
        <w:ind w:left="5760" w:hanging="360"/>
      </w:pPr>
      <w:rPr>
        <w:rFonts w:ascii="Wingdings" w:hAnsi="Wingdings" w:hint="default"/>
      </w:rPr>
    </w:lvl>
    <w:lvl w:ilvl="8" w:tplc="8E76C34A" w:tentative="1">
      <w:start w:val="1"/>
      <w:numFmt w:val="bullet"/>
      <w:lvlText w:val=""/>
      <w:lvlJc w:val="left"/>
      <w:pPr>
        <w:tabs>
          <w:tab w:val="num" w:pos="6480"/>
        </w:tabs>
        <w:ind w:left="6480" w:hanging="360"/>
      </w:pPr>
      <w:rPr>
        <w:rFonts w:ascii="Wingdings" w:hAnsi="Wingdings" w:hint="default"/>
      </w:rPr>
    </w:lvl>
  </w:abstractNum>
  <w:abstractNum w:abstractNumId="11">
    <w:nsid w:val="34AE43BF"/>
    <w:multiLevelType w:val="hybridMultilevel"/>
    <w:tmpl w:val="DDB646A8"/>
    <w:lvl w:ilvl="0" w:tplc="1C090001">
      <w:start w:val="1"/>
      <w:numFmt w:val="bullet"/>
      <w:lvlText w:val=""/>
      <w:lvlJc w:val="left"/>
      <w:pPr>
        <w:ind w:left="720" w:hanging="360"/>
      </w:pPr>
      <w:rPr>
        <w:rFonts w:ascii="Symbol" w:hAnsi="Symbol" w:hint="default"/>
      </w:rPr>
    </w:lvl>
    <w:lvl w:ilvl="1" w:tplc="2B467C56">
      <w:start w:val="1"/>
      <w:numFmt w:val="bullet"/>
      <w:lvlText w:val=""/>
      <w:lvlJc w:val="left"/>
      <w:pPr>
        <w:ind w:left="1440" w:hanging="36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4B40E38"/>
    <w:multiLevelType w:val="hybridMultilevel"/>
    <w:tmpl w:val="0DB88852"/>
    <w:lvl w:ilvl="0" w:tplc="5852BE94">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6BB7506"/>
    <w:multiLevelType w:val="hybridMultilevel"/>
    <w:tmpl w:val="7DBE66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37A16AEC"/>
    <w:multiLevelType w:val="hybridMultilevel"/>
    <w:tmpl w:val="5F128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F543852"/>
    <w:multiLevelType w:val="hybridMultilevel"/>
    <w:tmpl w:val="A63E1786"/>
    <w:lvl w:ilvl="0" w:tplc="8BA6E898">
      <w:start w:val="1"/>
      <w:numFmt w:val="bullet"/>
      <w:lvlText w:val=""/>
      <w:lvlJc w:val="left"/>
      <w:pPr>
        <w:ind w:left="774"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412A3439"/>
    <w:multiLevelType w:val="hybridMultilevel"/>
    <w:tmpl w:val="6F6E3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9242AD1"/>
    <w:multiLevelType w:val="hybridMultilevel"/>
    <w:tmpl w:val="956CF6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4BF958DE"/>
    <w:multiLevelType w:val="hybridMultilevel"/>
    <w:tmpl w:val="65EEDE2C"/>
    <w:lvl w:ilvl="0" w:tplc="1C09000F">
      <w:start w:val="1"/>
      <w:numFmt w:val="decimal"/>
      <w:lvlText w:val="%1."/>
      <w:lvlJc w:val="left"/>
      <w:pPr>
        <w:ind w:left="720" w:hanging="360"/>
      </w:pPr>
      <w:rPr>
        <w:rFonts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5BE1C95"/>
    <w:multiLevelType w:val="hybridMultilevel"/>
    <w:tmpl w:val="2902B36E"/>
    <w:lvl w:ilvl="0" w:tplc="40D69C3A">
      <w:start w:val="1"/>
      <w:numFmt w:val="bullet"/>
      <w:lvlText w:val=""/>
      <w:lvlJc w:val="left"/>
      <w:pPr>
        <w:ind w:left="720" w:hanging="360"/>
      </w:pPr>
      <w:rPr>
        <w:rFonts w:ascii="Symbol" w:hAnsi="Symbol" w:hint="default"/>
        <w:sz w:val="24"/>
        <w:szCs w:val="24"/>
      </w:rPr>
    </w:lvl>
    <w:lvl w:ilvl="1" w:tplc="0C1017AE">
      <w:start w:val="1"/>
      <w:numFmt w:val="bullet"/>
      <w:lvlText w:val=""/>
      <w:lvlJc w:val="left"/>
      <w:pPr>
        <w:ind w:left="1650" w:hanging="570"/>
      </w:pPr>
      <w:rPr>
        <w:rFonts w:ascii="Symbol" w:hAnsi="Symbol" w:hint="default"/>
        <w:b/>
        <w:sz w:val="24"/>
        <w:szCs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7022174"/>
    <w:multiLevelType w:val="hybridMultilevel"/>
    <w:tmpl w:val="25964664"/>
    <w:lvl w:ilvl="0" w:tplc="1C090001">
      <w:start w:val="1"/>
      <w:numFmt w:val="bullet"/>
      <w:lvlText w:val=""/>
      <w:lvlJc w:val="left"/>
      <w:pPr>
        <w:ind w:left="930" w:hanging="57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nsid w:val="57692C4A"/>
    <w:multiLevelType w:val="hybridMultilevel"/>
    <w:tmpl w:val="97C85772"/>
    <w:lvl w:ilvl="0" w:tplc="8BA6E898">
      <w:start w:val="1"/>
      <w:numFmt w:val="bullet"/>
      <w:lvlText w:val=""/>
      <w:lvlJc w:val="left"/>
      <w:pPr>
        <w:ind w:left="828" w:hanging="360"/>
      </w:pPr>
      <w:rPr>
        <w:rFonts w:ascii="Symbol" w:hAnsi="Symbol" w:hint="default"/>
        <w:sz w:val="24"/>
        <w:szCs w:val="24"/>
      </w:rPr>
    </w:lvl>
    <w:lvl w:ilvl="1" w:tplc="1C090003">
      <w:start w:val="1"/>
      <w:numFmt w:val="bullet"/>
      <w:lvlText w:val="o"/>
      <w:lvlJc w:val="left"/>
      <w:pPr>
        <w:ind w:left="1494" w:hanging="360"/>
      </w:pPr>
      <w:rPr>
        <w:rFonts w:ascii="Courier New" w:hAnsi="Courier New" w:cs="Courier New" w:hint="default"/>
      </w:rPr>
    </w:lvl>
    <w:lvl w:ilvl="2" w:tplc="1C090005">
      <w:start w:val="1"/>
      <w:numFmt w:val="bullet"/>
      <w:lvlText w:val=""/>
      <w:lvlJc w:val="left"/>
      <w:pPr>
        <w:ind w:left="2214" w:hanging="360"/>
      </w:pPr>
      <w:rPr>
        <w:rFonts w:ascii="Wingdings" w:hAnsi="Wingdings" w:hint="default"/>
      </w:rPr>
    </w:lvl>
    <w:lvl w:ilvl="3" w:tplc="1C090001">
      <w:start w:val="1"/>
      <w:numFmt w:val="bullet"/>
      <w:lvlText w:val=""/>
      <w:lvlJc w:val="left"/>
      <w:pPr>
        <w:ind w:left="2934" w:hanging="360"/>
      </w:pPr>
      <w:rPr>
        <w:rFonts w:ascii="Symbol" w:hAnsi="Symbol" w:hint="default"/>
      </w:rPr>
    </w:lvl>
    <w:lvl w:ilvl="4" w:tplc="1C090003">
      <w:start w:val="1"/>
      <w:numFmt w:val="bullet"/>
      <w:lvlText w:val="o"/>
      <w:lvlJc w:val="left"/>
      <w:pPr>
        <w:ind w:left="3654" w:hanging="360"/>
      </w:pPr>
      <w:rPr>
        <w:rFonts w:ascii="Courier New" w:hAnsi="Courier New" w:cs="Courier New" w:hint="default"/>
      </w:rPr>
    </w:lvl>
    <w:lvl w:ilvl="5" w:tplc="1C090005">
      <w:start w:val="1"/>
      <w:numFmt w:val="bullet"/>
      <w:lvlText w:val=""/>
      <w:lvlJc w:val="left"/>
      <w:pPr>
        <w:ind w:left="4374" w:hanging="360"/>
      </w:pPr>
      <w:rPr>
        <w:rFonts w:ascii="Wingdings" w:hAnsi="Wingdings" w:hint="default"/>
      </w:rPr>
    </w:lvl>
    <w:lvl w:ilvl="6" w:tplc="1C090001">
      <w:start w:val="1"/>
      <w:numFmt w:val="bullet"/>
      <w:lvlText w:val=""/>
      <w:lvlJc w:val="left"/>
      <w:pPr>
        <w:ind w:left="5094" w:hanging="360"/>
      </w:pPr>
      <w:rPr>
        <w:rFonts w:ascii="Symbol" w:hAnsi="Symbol" w:hint="default"/>
      </w:rPr>
    </w:lvl>
    <w:lvl w:ilvl="7" w:tplc="1C090003">
      <w:start w:val="1"/>
      <w:numFmt w:val="bullet"/>
      <w:lvlText w:val="o"/>
      <w:lvlJc w:val="left"/>
      <w:pPr>
        <w:ind w:left="5814" w:hanging="360"/>
      </w:pPr>
      <w:rPr>
        <w:rFonts w:ascii="Courier New" w:hAnsi="Courier New" w:cs="Courier New" w:hint="default"/>
      </w:rPr>
    </w:lvl>
    <w:lvl w:ilvl="8" w:tplc="1C090005">
      <w:start w:val="1"/>
      <w:numFmt w:val="bullet"/>
      <w:lvlText w:val=""/>
      <w:lvlJc w:val="left"/>
      <w:pPr>
        <w:ind w:left="6534" w:hanging="360"/>
      </w:pPr>
      <w:rPr>
        <w:rFonts w:ascii="Wingdings" w:hAnsi="Wingdings" w:hint="default"/>
      </w:rPr>
    </w:lvl>
  </w:abstractNum>
  <w:abstractNum w:abstractNumId="22">
    <w:nsid w:val="57B052C9"/>
    <w:multiLevelType w:val="hybridMultilevel"/>
    <w:tmpl w:val="4D786C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04E5A22"/>
    <w:multiLevelType w:val="hybridMultilevel"/>
    <w:tmpl w:val="0E72A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2D00D61"/>
    <w:multiLevelType w:val="hybridMultilevel"/>
    <w:tmpl w:val="AE28E5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5CA4CE0"/>
    <w:multiLevelType w:val="hybridMultilevel"/>
    <w:tmpl w:val="E3283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A9A7063"/>
    <w:multiLevelType w:val="hybridMultilevel"/>
    <w:tmpl w:val="591E33A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7">
    <w:nsid w:val="6CD614CF"/>
    <w:multiLevelType w:val="hybridMultilevel"/>
    <w:tmpl w:val="A83A245E"/>
    <w:lvl w:ilvl="0" w:tplc="8BA6E898">
      <w:start w:val="1"/>
      <w:numFmt w:val="bullet"/>
      <w:lvlText w:val=""/>
      <w:lvlJc w:val="left"/>
      <w:pPr>
        <w:ind w:left="774" w:hanging="360"/>
      </w:pPr>
      <w:rPr>
        <w:rFonts w:ascii="Symbol" w:hAnsi="Symbol" w:hint="default"/>
        <w:sz w:val="24"/>
        <w:szCs w:val="24"/>
      </w:rPr>
    </w:lvl>
    <w:lvl w:ilvl="1" w:tplc="1C090003">
      <w:start w:val="1"/>
      <w:numFmt w:val="bullet"/>
      <w:lvlText w:val="o"/>
      <w:lvlJc w:val="left"/>
      <w:pPr>
        <w:ind w:left="1494" w:hanging="360"/>
      </w:pPr>
      <w:rPr>
        <w:rFonts w:ascii="Courier New" w:hAnsi="Courier New" w:cs="Courier New" w:hint="default"/>
      </w:rPr>
    </w:lvl>
    <w:lvl w:ilvl="2" w:tplc="1C090005">
      <w:start w:val="1"/>
      <w:numFmt w:val="bullet"/>
      <w:lvlText w:val=""/>
      <w:lvlJc w:val="left"/>
      <w:pPr>
        <w:ind w:left="2214" w:hanging="360"/>
      </w:pPr>
      <w:rPr>
        <w:rFonts w:ascii="Wingdings" w:hAnsi="Wingdings" w:hint="default"/>
      </w:rPr>
    </w:lvl>
    <w:lvl w:ilvl="3" w:tplc="1C090001">
      <w:start w:val="1"/>
      <w:numFmt w:val="bullet"/>
      <w:lvlText w:val=""/>
      <w:lvlJc w:val="left"/>
      <w:pPr>
        <w:ind w:left="2934" w:hanging="360"/>
      </w:pPr>
      <w:rPr>
        <w:rFonts w:ascii="Symbol" w:hAnsi="Symbol" w:hint="default"/>
      </w:rPr>
    </w:lvl>
    <w:lvl w:ilvl="4" w:tplc="1C090003">
      <w:start w:val="1"/>
      <w:numFmt w:val="bullet"/>
      <w:lvlText w:val="o"/>
      <w:lvlJc w:val="left"/>
      <w:pPr>
        <w:ind w:left="3654" w:hanging="360"/>
      </w:pPr>
      <w:rPr>
        <w:rFonts w:ascii="Courier New" w:hAnsi="Courier New" w:cs="Courier New" w:hint="default"/>
      </w:rPr>
    </w:lvl>
    <w:lvl w:ilvl="5" w:tplc="1C090005">
      <w:start w:val="1"/>
      <w:numFmt w:val="bullet"/>
      <w:lvlText w:val=""/>
      <w:lvlJc w:val="left"/>
      <w:pPr>
        <w:ind w:left="4374" w:hanging="360"/>
      </w:pPr>
      <w:rPr>
        <w:rFonts w:ascii="Wingdings" w:hAnsi="Wingdings" w:hint="default"/>
      </w:rPr>
    </w:lvl>
    <w:lvl w:ilvl="6" w:tplc="1C090001">
      <w:start w:val="1"/>
      <w:numFmt w:val="bullet"/>
      <w:lvlText w:val=""/>
      <w:lvlJc w:val="left"/>
      <w:pPr>
        <w:ind w:left="5094" w:hanging="360"/>
      </w:pPr>
      <w:rPr>
        <w:rFonts w:ascii="Symbol" w:hAnsi="Symbol" w:hint="default"/>
      </w:rPr>
    </w:lvl>
    <w:lvl w:ilvl="7" w:tplc="1C090003">
      <w:start w:val="1"/>
      <w:numFmt w:val="bullet"/>
      <w:lvlText w:val="o"/>
      <w:lvlJc w:val="left"/>
      <w:pPr>
        <w:ind w:left="5814" w:hanging="360"/>
      </w:pPr>
      <w:rPr>
        <w:rFonts w:ascii="Courier New" w:hAnsi="Courier New" w:cs="Courier New" w:hint="default"/>
      </w:rPr>
    </w:lvl>
    <w:lvl w:ilvl="8" w:tplc="1C090005">
      <w:start w:val="1"/>
      <w:numFmt w:val="bullet"/>
      <w:lvlText w:val=""/>
      <w:lvlJc w:val="left"/>
      <w:pPr>
        <w:ind w:left="6534" w:hanging="360"/>
      </w:pPr>
      <w:rPr>
        <w:rFonts w:ascii="Wingdings" w:hAnsi="Wingdings" w:hint="default"/>
      </w:rPr>
    </w:lvl>
  </w:abstractNum>
  <w:abstractNum w:abstractNumId="28">
    <w:nsid w:val="6EE16D0A"/>
    <w:multiLevelType w:val="hybridMultilevel"/>
    <w:tmpl w:val="6A0A5C3C"/>
    <w:lvl w:ilvl="0" w:tplc="0818C3C4">
      <w:start w:val="1"/>
      <w:numFmt w:val="bullet"/>
      <w:lvlText w:val=""/>
      <w:lvlJc w:val="left"/>
      <w:pPr>
        <w:ind w:left="720"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nsid w:val="7271326F"/>
    <w:multiLevelType w:val="hybridMultilevel"/>
    <w:tmpl w:val="04B6F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8232ACE"/>
    <w:multiLevelType w:val="hybridMultilevel"/>
    <w:tmpl w:val="78A26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E5A2525"/>
    <w:multiLevelType w:val="multilevel"/>
    <w:tmpl w:val="9EA6CE46"/>
    <w:lvl w:ilvl="0">
      <w:start w:val="1"/>
      <w:numFmt w:val="decimal"/>
      <w:lvlText w:val="%1."/>
      <w:lvlJc w:val="left"/>
      <w:pPr>
        <w:ind w:left="360" w:hanging="360"/>
      </w:pPr>
      <w:rPr>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8"/>
  </w:num>
  <w:num w:numId="4">
    <w:abstractNumId w:val="13"/>
  </w:num>
  <w:num w:numId="5">
    <w:abstractNumId w:val="17"/>
  </w:num>
  <w:num w:numId="6">
    <w:abstractNumId w:val="27"/>
  </w:num>
  <w:num w:numId="7">
    <w:abstractNumId w:val="6"/>
  </w:num>
  <w:num w:numId="8">
    <w:abstractNumId w:val="21"/>
  </w:num>
  <w:num w:numId="9">
    <w:abstractNumId w:val="15"/>
  </w:num>
  <w:num w:numId="10">
    <w:abstractNumId w:val="1"/>
  </w:num>
  <w:num w:numId="11">
    <w:abstractNumId w:val="8"/>
  </w:num>
  <w:num w:numId="12">
    <w:abstractNumId w:val="9"/>
  </w:num>
  <w:num w:numId="13">
    <w:abstractNumId w:val="22"/>
  </w:num>
  <w:num w:numId="14">
    <w:abstractNumId w:val="4"/>
  </w:num>
  <w:num w:numId="15">
    <w:abstractNumId w:val="23"/>
  </w:num>
  <w:num w:numId="16">
    <w:abstractNumId w:val="31"/>
  </w:num>
  <w:num w:numId="17">
    <w:abstractNumId w:val="26"/>
  </w:num>
  <w:num w:numId="18">
    <w:abstractNumId w:val="30"/>
  </w:num>
  <w:num w:numId="19">
    <w:abstractNumId w:val="25"/>
  </w:num>
  <w:num w:numId="20">
    <w:abstractNumId w:val="7"/>
  </w:num>
  <w:num w:numId="21">
    <w:abstractNumId w:val="16"/>
  </w:num>
  <w:num w:numId="22">
    <w:abstractNumId w:val="2"/>
  </w:num>
  <w:num w:numId="23">
    <w:abstractNumId w:val="5"/>
  </w:num>
  <w:num w:numId="24">
    <w:abstractNumId w:val="18"/>
  </w:num>
  <w:num w:numId="25">
    <w:abstractNumId w:val="11"/>
  </w:num>
  <w:num w:numId="26">
    <w:abstractNumId w:val="19"/>
  </w:num>
  <w:num w:numId="27">
    <w:abstractNumId w:val="12"/>
  </w:num>
  <w:num w:numId="28">
    <w:abstractNumId w:val="3"/>
  </w:num>
  <w:num w:numId="29">
    <w:abstractNumId w:val="10"/>
  </w:num>
  <w:num w:numId="30">
    <w:abstractNumId w:val="29"/>
  </w:num>
  <w:num w:numId="31">
    <w:abstractNumId w:val="24"/>
  </w:num>
  <w:num w:numId="32">
    <w:abstractNumId w:val="14"/>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D4F65"/>
    <w:rsid w:val="000077BE"/>
    <w:rsid w:val="00036EA6"/>
    <w:rsid w:val="00043720"/>
    <w:rsid w:val="000502D2"/>
    <w:rsid w:val="00074E50"/>
    <w:rsid w:val="00082DCB"/>
    <w:rsid w:val="00091910"/>
    <w:rsid w:val="0009489C"/>
    <w:rsid w:val="00097FA4"/>
    <w:rsid w:val="000A1514"/>
    <w:rsid w:val="000A5D00"/>
    <w:rsid w:val="000A6E0D"/>
    <w:rsid w:val="000B03EE"/>
    <w:rsid w:val="000B114B"/>
    <w:rsid w:val="000C2766"/>
    <w:rsid w:val="000E7459"/>
    <w:rsid w:val="00104731"/>
    <w:rsid w:val="00106DEB"/>
    <w:rsid w:val="00111ED7"/>
    <w:rsid w:val="00124C5D"/>
    <w:rsid w:val="00126894"/>
    <w:rsid w:val="00134182"/>
    <w:rsid w:val="00141E40"/>
    <w:rsid w:val="001465D4"/>
    <w:rsid w:val="00146D1D"/>
    <w:rsid w:val="00146ED7"/>
    <w:rsid w:val="001623C7"/>
    <w:rsid w:val="00166282"/>
    <w:rsid w:val="00172BB1"/>
    <w:rsid w:val="00173017"/>
    <w:rsid w:val="001819B7"/>
    <w:rsid w:val="001B162B"/>
    <w:rsid w:val="001B42BE"/>
    <w:rsid w:val="001B732D"/>
    <w:rsid w:val="001B7AC9"/>
    <w:rsid w:val="001D21BE"/>
    <w:rsid w:val="00201A41"/>
    <w:rsid w:val="002050F1"/>
    <w:rsid w:val="00206BD8"/>
    <w:rsid w:val="002179D3"/>
    <w:rsid w:val="00234F39"/>
    <w:rsid w:val="002376F7"/>
    <w:rsid w:val="0024549A"/>
    <w:rsid w:val="00250A6A"/>
    <w:rsid w:val="00256F5A"/>
    <w:rsid w:val="00262E05"/>
    <w:rsid w:val="0028620E"/>
    <w:rsid w:val="002A6146"/>
    <w:rsid w:val="002B1BC0"/>
    <w:rsid w:val="002B55D7"/>
    <w:rsid w:val="002C2DE6"/>
    <w:rsid w:val="002C7D53"/>
    <w:rsid w:val="002E7B40"/>
    <w:rsid w:val="0030031D"/>
    <w:rsid w:val="003004C4"/>
    <w:rsid w:val="00304ABC"/>
    <w:rsid w:val="00312F12"/>
    <w:rsid w:val="00313C19"/>
    <w:rsid w:val="00316CD1"/>
    <w:rsid w:val="00323B9E"/>
    <w:rsid w:val="003336E2"/>
    <w:rsid w:val="003648B3"/>
    <w:rsid w:val="0036588C"/>
    <w:rsid w:val="0037051C"/>
    <w:rsid w:val="00387D07"/>
    <w:rsid w:val="00390675"/>
    <w:rsid w:val="003A1FF3"/>
    <w:rsid w:val="003A7D5A"/>
    <w:rsid w:val="003B17AD"/>
    <w:rsid w:val="003B51C4"/>
    <w:rsid w:val="003D0BAB"/>
    <w:rsid w:val="003D4F65"/>
    <w:rsid w:val="003D627B"/>
    <w:rsid w:val="003D7380"/>
    <w:rsid w:val="0041555E"/>
    <w:rsid w:val="00426F6D"/>
    <w:rsid w:val="00431C3A"/>
    <w:rsid w:val="00442287"/>
    <w:rsid w:val="00461F7A"/>
    <w:rsid w:val="004918A6"/>
    <w:rsid w:val="004A6AE4"/>
    <w:rsid w:val="004A7CCA"/>
    <w:rsid w:val="004B462E"/>
    <w:rsid w:val="004D5559"/>
    <w:rsid w:val="004F13C3"/>
    <w:rsid w:val="004F7AB1"/>
    <w:rsid w:val="00501A2F"/>
    <w:rsid w:val="0050226B"/>
    <w:rsid w:val="00527BF2"/>
    <w:rsid w:val="00544782"/>
    <w:rsid w:val="00587800"/>
    <w:rsid w:val="00593DDA"/>
    <w:rsid w:val="005A40C1"/>
    <w:rsid w:val="005B7A3D"/>
    <w:rsid w:val="005D0B52"/>
    <w:rsid w:val="005D6744"/>
    <w:rsid w:val="005E3F31"/>
    <w:rsid w:val="005F18BE"/>
    <w:rsid w:val="005F1EE8"/>
    <w:rsid w:val="005F3453"/>
    <w:rsid w:val="00604B1E"/>
    <w:rsid w:val="00606F3A"/>
    <w:rsid w:val="0061295C"/>
    <w:rsid w:val="0064693B"/>
    <w:rsid w:val="00653A8D"/>
    <w:rsid w:val="00690076"/>
    <w:rsid w:val="0069520E"/>
    <w:rsid w:val="006A5C9B"/>
    <w:rsid w:val="006E30B6"/>
    <w:rsid w:val="006E767D"/>
    <w:rsid w:val="006F1801"/>
    <w:rsid w:val="0072534A"/>
    <w:rsid w:val="007843D4"/>
    <w:rsid w:val="007B5D1B"/>
    <w:rsid w:val="007D0174"/>
    <w:rsid w:val="007D753C"/>
    <w:rsid w:val="007E778C"/>
    <w:rsid w:val="00804E7E"/>
    <w:rsid w:val="008111E0"/>
    <w:rsid w:val="00811238"/>
    <w:rsid w:val="00815332"/>
    <w:rsid w:val="00815EC9"/>
    <w:rsid w:val="00823533"/>
    <w:rsid w:val="00823E43"/>
    <w:rsid w:val="00827489"/>
    <w:rsid w:val="0084272F"/>
    <w:rsid w:val="00857982"/>
    <w:rsid w:val="00863BF4"/>
    <w:rsid w:val="0087324F"/>
    <w:rsid w:val="00885CF1"/>
    <w:rsid w:val="008918F5"/>
    <w:rsid w:val="00896CBD"/>
    <w:rsid w:val="008A326B"/>
    <w:rsid w:val="008C13B7"/>
    <w:rsid w:val="008C7680"/>
    <w:rsid w:val="008F1BB1"/>
    <w:rsid w:val="009017DA"/>
    <w:rsid w:val="00902C98"/>
    <w:rsid w:val="00910BF1"/>
    <w:rsid w:val="009146D1"/>
    <w:rsid w:val="00944B4C"/>
    <w:rsid w:val="0095606A"/>
    <w:rsid w:val="00965514"/>
    <w:rsid w:val="009727E0"/>
    <w:rsid w:val="009729CE"/>
    <w:rsid w:val="00984830"/>
    <w:rsid w:val="009A032D"/>
    <w:rsid w:val="009A0A2D"/>
    <w:rsid w:val="009A601A"/>
    <w:rsid w:val="009B065A"/>
    <w:rsid w:val="009D0A84"/>
    <w:rsid w:val="00A01A49"/>
    <w:rsid w:val="00A049F8"/>
    <w:rsid w:val="00A14CED"/>
    <w:rsid w:val="00A616A3"/>
    <w:rsid w:val="00A64378"/>
    <w:rsid w:val="00A727F8"/>
    <w:rsid w:val="00A77A3A"/>
    <w:rsid w:val="00A867AE"/>
    <w:rsid w:val="00A96C82"/>
    <w:rsid w:val="00AA4654"/>
    <w:rsid w:val="00AC1931"/>
    <w:rsid w:val="00AE09CE"/>
    <w:rsid w:val="00AF100C"/>
    <w:rsid w:val="00B16CDA"/>
    <w:rsid w:val="00B26C70"/>
    <w:rsid w:val="00B2753A"/>
    <w:rsid w:val="00B418D9"/>
    <w:rsid w:val="00B76D27"/>
    <w:rsid w:val="00BA5991"/>
    <w:rsid w:val="00BB7B56"/>
    <w:rsid w:val="00BC2066"/>
    <w:rsid w:val="00BE0FDB"/>
    <w:rsid w:val="00BE37D3"/>
    <w:rsid w:val="00BE6A37"/>
    <w:rsid w:val="00BF6873"/>
    <w:rsid w:val="00BF6ADF"/>
    <w:rsid w:val="00C009B8"/>
    <w:rsid w:val="00C168BD"/>
    <w:rsid w:val="00C16FCF"/>
    <w:rsid w:val="00C17592"/>
    <w:rsid w:val="00C24BF7"/>
    <w:rsid w:val="00C34856"/>
    <w:rsid w:val="00C36099"/>
    <w:rsid w:val="00C540FA"/>
    <w:rsid w:val="00CA3FF8"/>
    <w:rsid w:val="00CA45DF"/>
    <w:rsid w:val="00CA723D"/>
    <w:rsid w:val="00CD5BEC"/>
    <w:rsid w:val="00CE375D"/>
    <w:rsid w:val="00CE5963"/>
    <w:rsid w:val="00CF24CC"/>
    <w:rsid w:val="00D03F18"/>
    <w:rsid w:val="00D057B6"/>
    <w:rsid w:val="00D10FB3"/>
    <w:rsid w:val="00D201A0"/>
    <w:rsid w:val="00D441E7"/>
    <w:rsid w:val="00D4666F"/>
    <w:rsid w:val="00D67A11"/>
    <w:rsid w:val="00D67E63"/>
    <w:rsid w:val="00D7241A"/>
    <w:rsid w:val="00D75503"/>
    <w:rsid w:val="00D90DF8"/>
    <w:rsid w:val="00D92678"/>
    <w:rsid w:val="00D93355"/>
    <w:rsid w:val="00DC37A9"/>
    <w:rsid w:val="00DC6066"/>
    <w:rsid w:val="00DC62C1"/>
    <w:rsid w:val="00DD058A"/>
    <w:rsid w:val="00DD1E9F"/>
    <w:rsid w:val="00DD43F4"/>
    <w:rsid w:val="00E0047A"/>
    <w:rsid w:val="00E015D1"/>
    <w:rsid w:val="00E0478E"/>
    <w:rsid w:val="00E07D24"/>
    <w:rsid w:val="00E27A5A"/>
    <w:rsid w:val="00E311C7"/>
    <w:rsid w:val="00E4620F"/>
    <w:rsid w:val="00E63404"/>
    <w:rsid w:val="00E6405F"/>
    <w:rsid w:val="00E7073C"/>
    <w:rsid w:val="00E71544"/>
    <w:rsid w:val="00E80A6F"/>
    <w:rsid w:val="00E83DF6"/>
    <w:rsid w:val="00E86BA4"/>
    <w:rsid w:val="00EB25FE"/>
    <w:rsid w:val="00EB4D97"/>
    <w:rsid w:val="00EC6FB5"/>
    <w:rsid w:val="00EE3EA6"/>
    <w:rsid w:val="00EE7C2D"/>
    <w:rsid w:val="00EF3343"/>
    <w:rsid w:val="00EF5358"/>
    <w:rsid w:val="00F37C26"/>
    <w:rsid w:val="00F41188"/>
    <w:rsid w:val="00F50F56"/>
    <w:rsid w:val="00F513D5"/>
    <w:rsid w:val="00F5576C"/>
    <w:rsid w:val="00F628C8"/>
    <w:rsid w:val="00F64601"/>
    <w:rsid w:val="00F72C3C"/>
    <w:rsid w:val="00FA272F"/>
    <w:rsid w:val="00FB63CE"/>
    <w:rsid w:val="00FC5D51"/>
    <w:rsid w:val="00FC6270"/>
    <w:rsid w:val="00FD00E3"/>
    <w:rsid w:val="00FD077A"/>
    <w:rsid w:val="00FD0B19"/>
    <w:rsid w:val="00FE1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65"/>
    <w:pPr>
      <w:spacing w:after="0" w:line="300" w:lineRule="exact"/>
      <w:jc w:val="both"/>
    </w:pPr>
    <w:rPr>
      <w:rFonts w:ascii="Calibri" w:eastAsia="Times New Roman"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3D4F65"/>
    <w:pPr>
      <w:spacing w:line="280" w:lineRule="exact"/>
      <w:ind w:left="720"/>
    </w:pPr>
    <w:rPr>
      <w:rFonts w:ascii="Arial" w:hAnsi="Arial"/>
      <w:color w:val="000000"/>
      <w:spacing w:val="6"/>
      <w:sz w:val="18"/>
      <w:szCs w:val="18"/>
      <w:lang w:eastAsia="en-GB"/>
    </w:rPr>
  </w:style>
  <w:style w:type="character" w:customStyle="1" w:styleId="ListParagraphChar">
    <w:name w:val="List Paragraph Char"/>
    <w:aliases w:val="List Paragraph 1 Char,Bullets Char,Table of contents numbered Char,footer text Char"/>
    <w:link w:val="ListParagraph"/>
    <w:uiPriority w:val="34"/>
    <w:locked/>
    <w:rsid w:val="000A1514"/>
    <w:rPr>
      <w:rFonts w:ascii="Arial" w:eastAsia="Times New Roman" w:hAnsi="Arial" w:cs="Calibri"/>
      <w:color w:val="000000"/>
      <w:spacing w:val="6"/>
      <w:sz w:val="18"/>
      <w:szCs w:val="18"/>
      <w:lang w:val="en-GB" w:eastAsia="en-GB"/>
    </w:rPr>
  </w:style>
  <w:style w:type="table" w:styleId="TableGrid">
    <w:name w:val="Table Grid"/>
    <w:basedOn w:val="TableNormal"/>
    <w:rsid w:val="000A1514"/>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DD1E9F"/>
    <w:pPr>
      <w:spacing w:after="120" w:line="240" w:lineRule="auto"/>
      <w:jc w:val="left"/>
    </w:pPr>
    <w:rPr>
      <w:rFonts w:ascii="Times New Roman" w:hAnsi="Times New Roman" w:cs="Times New Roman"/>
      <w:lang w:val="en-US"/>
    </w:rPr>
  </w:style>
  <w:style w:type="character" w:customStyle="1" w:styleId="BodyTextChar">
    <w:name w:val="Body Text Char"/>
    <w:basedOn w:val="DefaultParagraphFont"/>
    <w:link w:val="BodyText"/>
    <w:rsid w:val="00DD1E9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275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3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0077BE"/>
    <w:rPr>
      <w:sz w:val="16"/>
      <w:szCs w:val="16"/>
    </w:rPr>
  </w:style>
  <w:style w:type="paragraph" w:styleId="CommentText">
    <w:name w:val="annotation text"/>
    <w:basedOn w:val="Normal"/>
    <w:link w:val="CommentTextChar"/>
    <w:uiPriority w:val="99"/>
    <w:semiHidden/>
    <w:unhideWhenUsed/>
    <w:rsid w:val="000077BE"/>
    <w:pPr>
      <w:spacing w:line="240" w:lineRule="auto"/>
    </w:pPr>
    <w:rPr>
      <w:sz w:val="20"/>
      <w:szCs w:val="20"/>
    </w:rPr>
  </w:style>
  <w:style w:type="character" w:customStyle="1" w:styleId="CommentTextChar">
    <w:name w:val="Comment Text Char"/>
    <w:basedOn w:val="DefaultParagraphFont"/>
    <w:link w:val="CommentText"/>
    <w:uiPriority w:val="99"/>
    <w:semiHidden/>
    <w:rsid w:val="000077BE"/>
    <w:rPr>
      <w:rFonts w:ascii="Calibri" w:eastAsia="Times New Roman"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077BE"/>
    <w:rPr>
      <w:b/>
      <w:bCs/>
    </w:rPr>
  </w:style>
  <w:style w:type="character" w:customStyle="1" w:styleId="CommentSubjectChar">
    <w:name w:val="Comment Subject Char"/>
    <w:basedOn w:val="CommentTextChar"/>
    <w:link w:val="CommentSubject"/>
    <w:uiPriority w:val="99"/>
    <w:semiHidden/>
    <w:rsid w:val="000077BE"/>
    <w:rPr>
      <w:rFonts w:ascii="Calibri" w:eastAsia="Times New Roman" w:hAnsi="Calibri" w:cs="Calibri"/>
      <w:b/>
      <w:bCs/>
      <w:sz w:val="20"/>
      <w:szCs w:val="20"/>
      <w:lang w:val="en-GB"/>
    </w:rPr>
  </w:style>
  <w:style w:type="paragraph" w:styleId="Header">
    <w:name w:val="header"/>
    <w:basedOn w:val="Normal"/>
    <w:link w:val="HeaderChar"/>
    <w:uiPriority w:val="99"/>
    <w:unhideWhenUsed/>
    <w:rsid w:val="00C36099"/>
    <w:pPr>
      <w:tabs>
        <w:tab w:val="center" w:pos="4513"/>
        <w:tab w:val="right" w:pos="9026"/>
      </w:tabs>
      <w:spacing w:line="240" w:lineRule="auto"/>
    </w:pPr>
  </w:style>
  <w:style w:type="character" w:customStyle="1" w:styleId="HeaderChar">
    <w:name w:val="Header Char"/>
    <w:basedOn w:val="DefaultParagraphFont"/>
    <w:link w:val="Header"/>
    <w:uiPriority w:val="99"/>
    <w:rsid w:val="00C36099"/>
    <w:rPr>
      <w:rFonts w:ascii="Calibri" w:eastAsia="Times New Roman" w:hAnsi="Calibri" w:cs="Calibri"/>
      <w:sz w:val="24"/>
      <w:szCs w:val="24"/>
      <w:lang w:val="en-GB"/>
    </w:rPr>
  </w:style>
  <w:style w:type="paragraph" w:styleId="Footer">
    <w:name w:val="footer"/>
    <w:basedOn w:val="Normal"/>
    <w:link w:val="FooterChar"/>
    <w:uiPriority w:val="99"/>
    <w:unhideWhenUsed/>
    <w:rsid w:val="00C36099"/>
    <w:pPr>
      <w:tabs>
        <w:tab w:val="center" w:pos="4513"/>
        <w:tab w:val="right" w:pos="9026"/>
      </w:tabs>
      <w:spacing w:line="240" w:lineRule="auto"/>
    </w:pPr>
  </w:style>
  <w:style w:type="character" w:customStyle="1" w:styleId="FooterChar">
    <w:name w:val="Footer Char"/>
    <w:basedOn w:val="DefaultParagraphFont"/>
    <w:link w:val="Footer"/>
    <w:uiPriority w:val="99"/>
    <w:rsid w:val="00C36099"/>
    <w:rPr>
      <w:rFonts w:ascii="Calibri" w:eastAsia="Times New Roman" w:hAnsi="Calibri" w:cs="Calibri"/>
      <w:sz w:val="24"/>
      <w:szCs w:val="24"/>
      <w:lang w:val="en-GB"/>
    </w:rPr>
  </w:style>
  <w:style w:type="paragraph" w:styleId="FootnoteText">
    <w:name w:val="footnote text"/>
    <w:aliases w:val="Footnote Text Char1,Footnote Text Char Char"/>
    <w:basedOn w:val="Normal"/>
    <w:link w:val="FootnoteTextChar"/>
    <w:semiHidden/>
    <w:rsid w:val="00BB7B56"/>
    <w:rPr>
      <w:sz w:val="20"/>
      <w:szCs w:val="20"/>
    </w:rPr>
  </w:style>
  <w:style w:type="character" w:customStyle="1" w:styleId="FootnoteTextChar">
    <w:name w:val="Footnote Text Char"/>
    <w:aliases w:val="Footnote Text Char1 Char,Footnote Text Char Char Char"/>
    <w:basedOn w:val="DefaultParagraphFont"/>
    <w:link w:val="FootnoteText"/>
    <w:semiHidden/>
    <w:rsid w:val="00BB7B56"/>
    <w:rPr>
      <w:rFonts w:ascii="Calibri" w:eastAsia="Times New Roman" w:hAnsi="Calibri" w:cs="Calibri"/>
      <w:sz w:val="20"/>
      <w:szCs w:val="20"/>
      <w:lang w:val="en-GB"/>
    </w:rPr>
  </w:style>
  <w:style w:type="character" w:styleId="FootnoteReference">
    <w:name w:val="footnote reference"/>
    <w:basedOn w:val="DefaultParagraphFont"/>
    <w:semiHidden/>
    <w:rsid w:val="00BB7B56"/>
    <w:rPr>
      <w:vertAlign w:val="superscript"/>
    </w:rPr>
  </w:style>
  <w:style w:type="paragraph" w:styleId="EndnoteText">
    <w:name w:val="endnote text"/>
    <w:basedOn w:val="Normal"/>
    <w:link w:val="EndnoteTextChar"/>
    <w:uiPriority w:val="99"/>
    <w:semiHidden/>
    <w:unhideWhenUsed/>
    <w:rsid w:val="00E0047A"/>
    <w:pPr>
      <w:spacing w:line="240" w:lineRule="auto"/>
    </w:pPr>
    <w:rPr>
      <w:sz w:val="20"/>
      <w:szCs w:val="20"/>
    </w:rPr>
  </w:style>
  <w:style w:type="character" w:customStyle="1" w:styleId="EndnoteTextChar">
    <w:name w:val="Endnote Text Char"/>
    <w:basedOn w:val="DefaultParagraphFont"/>
    <w:link w:val="EndnoteText"/>
    <w:uiPriority w:val="99"/>
    <w:semiHidden/>
    <w:rsid w:val="00E0047A"/>
    <w:rPr>
      <w:rFonts w:ascii="Calibri" w:eastAsia="Times New Roman" w:hAnsi="Calibri" w:cs="Calibri"/>
      <w:sz w:val="20"/>
      <w:szCs w:val="20"/>
      <w:lang w:val="en-GB"/>
    </w:rPr>
  </w:style>
  <w:style w:type="character" w:styleId="EndnoteReference">
    <w:name w:val="endnote reference"/>
    <w:basedOn w:val="DefaultParagraphFont"/>
    <w:uiPriority w:val="99"/>
    <w:semiHidden/>
    <w:unhideWhenUsed/>
    <w:rsid w:val="00E0047A"/>
    <w:rPr>
      <w:vertAlign w:val="superscript"/>
    </w:rPr>
  </w:style>
  <w:style w:type="paragraph" w:styleId="Revision">
    <w:name w:val="Revision"/>
    <w:hidden/>
    <w:uiPriority w:val="99"/>
    <w:semiHidden/>
    <w:rsid w:val="004B462E"/>
    <w:pPr>
      <w:spacing w:after="0" w:line="240" w:lineRule="auto"/>
    </w:pPr>
    <w:rPr>
      <w:rFonts w:ascii="Calibri" w:eastAsia="Times New Roman" w:hAnsi="Calibri" w:cs="Calibri"/>
      <w:sz w:val="24"/>
      <w:szCs w:val="24"/>
      <w:lang w:val="en-GB"/>
    </w:rPr>
  </w:style>
</w:styles>
</file>

<file path=word/webSettings.xml><?xml version="1.0" encoding="utf-8"?>
<w:webSettings xmlns:r="http://schemas.openxmlformats.org/officeDocument/2006/relationships" xmlns:w="http://schemas.openxmlformats.org/wordprocessingml/2006/main">
  <w:divs>
    <w:div w:id="1008681259">
      <w:bodyDiv w:val="1"/>
      <w:marLeft w:val="0"/>
      <w:marRight w:val="0"/>
      <w:marTop w:val="0"/>
      <w:marBottom w:val="0"/>
      <w:divBdr>
        <w:top w:val="none" w:sz="0" w:space="0" w:color="auto"/>
        <w:left w:val="none" w:sz="0" w:space="0" w:color="auto"/>
        <w:bottom w:val="none" w:sz="0" w:space="0" w:color="auto"/>
        <w:right w:val="none" w:sz="0" w:space="0" w:color="auto"/>
      </w:divBdr>
    </w:div>
    <w:div w:id="1729261078">
      <w:bodyDiv w:val="1"/>
      <w:marLeft w:val="0"/>
      <w:marRight w:val="0"/>
      <w:marTop w:val="0"/>
      <w:marBottom w:val="0"/>
      <w:divBdr>
        <w:top w:val="none" w:sz="0" w:space="0" w:color="auto"/>
        <w:left w:val="none" w:sz="0" w:space="0" w:color="auto"/>
        <w:bottom w:val="none" w:sz="0" w:space="0" w:color="auto"/>
        <w:right w:val="none" w:sz="0" w:space="0" w:color="auto"/>
      </w:divBdr>
    </w:div>
    <w:div w:id="1873491925">
      <w:bodyDiv w:val="1"/>
      <w:marLeft w:val="0"/>
      <w:marRight w:val="0"/>
      <w:marTop w:val="0"/>
      <w:marBottom w:val="0"/>
      <w:divBdr>
        <w:top w:val="none" w:sz="0" w:space="0" w:color="auto"/>
        <w:left w:val="none" w:sz="0" w:space="0" w:color="auto"/>
        <w:bottom w:val="none" w:sz="0" w:space="0" w:color="auto"/>
        <w:right w:val="none" w:sz="0" w:space="0" w:color="auto"/>
      </w:divBdr>
      <w:divsChild>
        <w:div w:id="230818396">
          <w:marLeft w:val="360"/>
          <w:marRight w:val="0"/>
          <w:marTop w:val="200"/>
          <w:marBottom w:val="0"/>
          <w:divBdr>
            <w:top w:val="none" w:sz="0" w:space="0" w:color="auto"/>
            <w:left w:val="none" w:sz="0" w:space="0" w:color="auto"/>
            <w:bottom w:val="none" w:sz="0" w:space="0" w:color="auto"/>
            <w:right w:val="none" w:sz="0" w:space="0" w:color="auto"/>
          </w:divBdr>
        </w:div>
        <w:div w:id="1171528999">
          <w:marLeft w:val="360"/>
          <w:marRight w:val="0"/>
          <w:marTop w:val="200"/>
          <w:marBottom w:val="0"/>
          <w:divBdr>
            <w:top w:val="none" w:sz="0" w:space="0" w:color="auto"/>
            <w:left w:val="none" w:sz="0" w:space="0" w:color="auto"/>
            <w:bottom w:val="none" w:sz="0" w:space="0" w:color="auto"/>
            <w:right w:val="none" w:sz="0" w:space="0" w:color="auto"/>
          </w:divBdr>
        </w:div>
        <w:div w:id="174151946">
          <w:marLeft w:val="360"/>
          <w:marRight w:val="0"/>
          <w:marTop w:val="200"/>
          <w:marBottom w:val="0"/>
          <w:divBdr>
            <w:top w:val="none" w:sz="0" w:space="0" w:color="auto"/>
            <w:left w:val="none" w:sz="0" w:space="0" w:color="auto"/>
            <w:bottom w:val="none" w:sz="0" w:space="0" w:color="auto"/>
            <w:right w:val="none" w:sz="0" w:space="0" w:color="auto"/>
          </w:divBdr>
        </w:div>
      </w:divsChild>
    </w:div>
    <w:div w:id="1881935795">
      <w:bodyDiv w:val="1"/>
      <w:marLeft w:val="0"/>
      <w:marRight w:val="0"/>
      <w:marTop w:val="0"/>
      <w:marBottom w:val="0"/>
      <w:divBdr>
        <w:top w:val="none" w:sz="0" w:space="0" w:color="auto"/>
        <w:left w:val="none" w:sz="0" w:space="0" w:color="auto"/>
        <w:bottom w:val="none" w:sz="0" w:space="0" w:color="auto"/>
        <w:right w:val="none" w:sz="0" w:space="0" w:color="auto"/>
      </w:divBdr>
    </w:div>
    <w:div w:id="19575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8A71-3D03-44EF-AB89-B45A595B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Shanaaz Isaacs</dc:creator>
  <cp:lastModifiedBy>User</cp:lastModifiedBy>
  <cp:revision>2</cp:revision>
  <dcterms:created xsi:type="dcterms:W3CDTF">2022-06-15T19:06:00Z</dcterms:created>
  <dcterms:modified xsi:type="dcterms:W3CDTF">2022-06-15T19:06:00Z</dcterms:modified>
</cp:coreProperties>
</file>