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E6" w:rsidRPr="00C07E78" w:rsidRDefault="00C07E78" w:rsidP="00C07E78">
      <w:pPr>
        <w:spacing w:after="0" w:line="240" w:lineRule="auto"/>
        <w:rPr>
          <w:rFonts w:ascii="Arial" w:eastAsia="Times New Roman" w:hAnsi="Arial" w:cs="Arial"/>
          <w:sz w:val="20"/>
          <w:szCs w:val="20"/>
        </w:rPr>
      </w:pPr>
      <w:r w:rsidRPr="00C07E78">
        <w:rPr>
          <w:rFonts w:ascii="Arial" w:eastAsia="Times New Roman" w:hAnsi="Arial" w:cs="Arial"/>
          <w:b/>
          <w:sz w:val="20"/>
          <w:szCs w:val="20"/>
        </w:rPr>
        <w:t>Report of the Standing Committee on Appropriations on the Appropriation Bill [B7 – 2022] (National Assembly – Section 77), Dated 8 June 2022</w:t>
      </w:r>
    </w:p>
    <w:p w:rsidR="00E82D35" w:rsidRPr="00C07E78" w:rsidRDefault="00E82D35" w:rsidP="00C07E78">
      <w:pPr>
        <w:spacing w:after="0" w:line="240" w:lineRule="auto"/>
        <w:rPr>
          <w:rFonts w:ascii="Arial" w:eastAsia="Times New Roman" w:hAnsi="Arial" w:cs="Arial"/>
          <w:sz w:val="20"/>
          <w:szCs w:val="20"/>
        </w:rPr>
      </w:pPr>
    </w:p>
    <w:p w:rsidR="00BE5FE6" w:rsidRPr="00C07E78" w:rsidRDefault="00BE5FE6"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Having considered the Appropriation Bill [B7 – 2022], referred to in terms of section 10(1)(a) of the Money Bills Amendment Proce</w:t>
      </w:r>
      <w:bookmarkStart w:id="0" w:name="_GoBack"/>
      <w:bookmarkEnd w:id="0"/>
      <w:r w:rsidRPr="00C07E78">
        <w:rPr>
          <w:rFonts w:ascii="Arial" w:eastAsia="Times New Roman" w:hAnsi="Arial" w:cs="Arial"/>
          <w:sz w:val="20"/>
          <w:szCs w:val="20"/>
        </w:rPr>
        <w:t>dure and Related Matters Act No. 9 of 2009 (as amended by the Money Bills Amendments Procedure and Related Matters Amendment Act, No</w:t>
      </w:r>
      <w:r w:rsidR="003A275E" w:rsidRPr="00C07E78">
        <w:rPr>
          <w:rFonts w:ascii="Arial" w:eastAsia="Times New Roman" w:hAnsi="Arial" w:cs="Arial"/>
          <w:sz w:val="20"/>
          <w:szCs w:val="20"/>
        </w:rPr>
        <w:t>.</w:t>
      </w:r>
      <w:r w:rsidRPr="00C07E78">
        <w:rPr>
          <w:rFonts w:ascii="Arial" w:eastAsia="Times New Roman" w:hAnsi="Arial" w:cs="Arial"/>
          <w:sz w:val="20"/>
          <w:szCs w:val="20"/>
        </w:rPr>
        <w:t xml:space="preserve"> 13 of 2018), the Standing Committee on Appropriations reports as follows</w:t>
      </w:r>
      <w:r w:rsidRPr="00C07E78">
        <w:rPr>
          <w:rFonts w:ascii="Arial" w:eastAsia="Times New Roman" w:hAnsi="Arial" w:cs="Arial"/>
          <w:b/>
          <w:sz w:val="20"/>
          <w:szCs w:val="20"/>
        </w:rPr>
        <w:t>:</w:t>
      </w:r>
    </w:p>
    <w:p w:rsidR="00BE5FE6" w:rsidRPr="00C07E78" w:rsidRDefault="00BE5FE6" w:rsidP="00C07E78">
      <w:pPr>
        <w:spacing w:after="0" w:line="240" w:lineRule="auto"/>
        <w:rPr>
          <w:rFonts w:ascii="Arial" w:eastAsia="Times New Roman" w:hAnsi="Arial" w:cs="Arial"/>
          <w:sz w:val="20"/>
          <w:szCs w:val="20"/>
        </w:rPr>
      </w:pPr>
    </w:p>
    <w:p w:rsidR="00BE5FE6" w:rsidRPr="00C07E78" w:rsidRDefault="00BE5FE6" w:rsidP="00C07E78">
      <w:pPr>
        <w:numPr>
          <w:ilvl w:val="0"/>
          <w:numId w:val="1"/>
        </w:numPr>
        <w:spacing w:after="0" w:line="240" w:lineRule="auto"/>
        <w:ind w:left="567" w:hanging="567"/>
        <w:contextualSpacing/>
        <w:rPr>
          <w:rFonts w:ascii="Arial" w:eastAsia="Times New Roman" w:hAnsi="Arial" w:cs="Arial"/>
          <w:b/>
          <w:sz w:val="20"/>
          <w:szCs w:val="20"/>
        </w:rPr>
      </w:pPr>
      <w:r w:rsidRPr="00C07E78">
        <w:rPr>
          <w:rFonts w:ascii="Arial" w:eastAsia="Times New Roman" w:hAnsi="Arial" w:cs="Arial"/>
          <w:b/>
          <w:sz w:val="20"/>
          <w:szCs w:val="20"/>
        </w:rPr>
        <w:t>Introduction</w:t>
      </w:r>
    </w:p>
    <w:p w:rsidR="00BE5FE6" w:rsidRPr="00C07E78" w:rsidRDefault="00BE5FE6" w:rsidP="00C07E78">
      <w:pPr>
        <w:spacing w:after="0" w:line="240" w:lineRule="auto"/>
        <w:rPr>
          <w:rFonts w:ascii="Arial" w:eastAsia="Times New Roman" w:hAnsi="Arial" w:cs="Arial"/>
          <w:sz w:val="20"/>
          <w:szCs w:val="20"/>
        </w:rPr>
      </w:pPr>
    </w:p>
    <w:p w:rsidR="00BE5FE6" w:rsidRPr="00C07E78" w:rsidRDefault="00BE5FE6"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Section 27(1) of the Public Finance Management Act No. 29 of 1999 (PFMA) requires that, the Minister of Finance (the Minister) tables the annual budget for a financial year in the National Assembly before the start of that financial year or, in exceptional circumstances, on a date as soon as possible after the start of the financial year, as the Minister may determine. Section 213(2) of the Constitution of the Republic of South Africa, provides that money may be withdrawn from the National Revenue Fund only in terms of an appropriation by an Act of Parliament. The Appropriation Bill proposes to appropriate money from the National Revenue Fund for the requirements of the State and to prescribe conditions for the spending of funds withdrawn. Section 26 of the PFMA requires that Parliament and each Provincial Legislature appropriate money for each financial year for the requirement of the State and the Province, respectively.</w:t>
      </w:r>
    </w:p>
    <w:p w:rsidR="00BE5FE6" w:rsidRPr="00C07E78" w:rsidRDefault="00BE5FE6" w:rsidP="00C07E78">
      <w:pPr>
        <w:spacing w:after="0" w:line="240" w:lineRule="auto"/>
        <w:rPr>
          <w:rFonts w:ascii="Arial" w:eastAsia="Times New Roman" w:hAnsi="Arial" w:cs="Arial"/>
          <w:sz w:val="20"/>
          <w:szCs w:val="20"/>
        </w:rPr>
      </w:pPr>
    </w:p>
    <w:p w:rsidR="00BE5FE6" w:rsidRPr="00C07E78" w:rsidRDefault="00BE5FE6"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In executing this mandate, the Standing Committee on Appropriations, hereinafter referred to as the Committee, is established in terms of section 4(3) of the Money Bills Amendment Procedure and Related Matters Act, 2009, and herein referred to as the Act. In line with section 10(1)(a) of the Act and after the adoption of the Fiscal Framework, the Act enjoins the Standing Committee on Appropriations with a responsibility to consider the Appropriation Bill, hereinafter referred to as the Bill, and report thereon to the National Assembly.  The national budget for the 2022/23 financial year was tabled on 23 February 2022 by the Minister of Finance together with the Bill and referred to the Committee for consideration and report on 9 March 2022. In processing the Bill, section 4(4)(c) of the Act also requires the Committees on Appropriations of both Houses to consult with the Financial and Fiscal Commission (FFC). In addition to the FFC commenting on the Bill, the Committee also invited the Parliamentary Budget Office for comments. Furthermore, the Department of Public Works and Infrastructure, Department of Police, Department of Water and Sanitation, Department of Employment and Labour, and Department of Social Development were invited to comment on the Bill as it affects each department. </w:t>
      </w:r>
    </w:p>
    <w:p w:rsidR="00BE5FE6" w:rsidRPr="00C07E78" w:rsidRDefault="00BE5FE6" w:rsidP="00C07E78">
      <w:pPr>
        <w:spacing w:after="0" w:line="240" w:lineRule="auto"/>
        <w:rPr>
          <w:rFonts w:ascii="Arial" w:eastAsia="Times New Roman" w:hAnsi="Arial" w:cs="Arial"/>
          <w:sz w:val="20"/>
          <w:szCs w:val="20"/>
        </w:rPr>
      </w:pPr>
    </w:p>
    <w:p w:rsidR="00BE5FE6" w:rsidRPr="00C07E78" w:rsidRDefault="00BE5FE6"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In terms of sections 10(5) and 10(6) of the Act, Parliamentary Committees may advise the Appropriations Committee on appropriations related matters. There were no formal submissions received from other Parliamentary Committees in terms of sections 10(5) and 10(6) of the Act. </w:t>
      </w:r>
    </w:p>
    <w:p w:rsidR="00BE5FE6" w:rsidRPr="00C07E78" w:rsidRDefault="00BE5FE6" w:rsidP="00C07E78">
      <w:pPr>
        <w:spacing w:after="0" w:line="240" w:lineRule="auto"/>
        <w:ind w:left="993"/>
        <w:rPr>
          <w:rFonts w:ascii="Arial" w:eastAsia="Times New Roman" w:hAnsi="Arial" w:cs="Arial"/>
          <w:sz w:val="20"/>
          <w:szCs w:val="20"/>
        </w:rPr>
      </w:pPr>
    </w:p>
    <w:p w:rsidR="00BE5FE6" w:rsidRPr="00C07E78" w:rsidRDefault="00BE5FE6"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Section 10(8) (a) and (b) of the Act also requires the Committees on Appropriations to hold public hearings on the Bill and proposed amendments; and for the Committee to report to the House on the comments on and amendments to the Bill. To this end, the Committee sent out invitations to interested parties and published advertisements in national and community newspapers from 6 to 13 April 2022</w:t>
      </w:r>
      <w:r w:rsidRPr="00C07E78">
        <w:rPr>
          <w:rFonts w:ascii="Arial" w:eastAsia="Times New Roman" w:hAnsi="Arial" w:cs="Arial"/>
          <w:color w:val="FF0000"/>
          <w:sz w:val="20"/>
          <w:szCs w:val="20"/>
        </w:rPr>
        <w:t xml:space="preserve"> </w:t>
      </w:r>
      <w:r w:rsidRPr="00C07E78">
        <w:rPr>
          <w:rFonts w:ascii="Arial" w:eastAsia="Times New Roman" w:hAnsi="Arial" w:cs="Arial"/>
          <w:sz w:val="20"/>
          <w:szCs w:val="20"/>
        </w:rPr>
        <w:t>inviting them to provide their inputs/comments on the Bill. In response to the C</w:t>
      </w:r>
      <w:r w:rsidR="009707B1" w:rsidRPr="00C07E78">
        <w:rPr>
          <w:rFonts w:ascii="Arial" w:eastAsia="Times New Roman" w:hAnsi="Arial" w:cs="Arial"/>
          <w:sz w:val="20"/>
          <w:szCs w:val="20"/>
        </w:rPr>
        <w:t xml:space="preserve">ommittee’s advertisements, four </w:t>
      </w:r>
      <w:r w:rsidRPr="00C07E78">
        <w:rPr>
          <w:rFonts w:ascii="Arial" w:eastAsia="Times New Roman" w:hAnsi="Arial" w:cs="Arial"/>
          <w:sz w:val="20"/>
          <w:szCs w:val="20"/>
        </w:rPr>
        <w:t>submissions were received from Equal Education, South African Institute for Chartered Accountants, Congress of South African T</w:t>
      </w:r>
      <w:r w:rsidR="009707B1" w:rsidRPr="00C07E78">
        <w:rPr>
          <w:rFonts w:ascii="Arial" w:eastAsia="Times New Roman" w:hAnsi="Arial" w:cs="Arial"/>
          <w:sz w:val="20"/>
          <w:szCs w:val="20"/>
        </w:rPr>
        <w:t>rade Unions, and Mr V Kalikopu</w:t>
      </w:r>
      <w:r w:rsidRPr="00C07E78">
        <w:rPr>
          <w:rFonts w:ascii="Arial" w:eastAsia="Times New Roman" w:hAnsi="Arial" w:cs="Arial"/>
          <w:sz w:val="20"/>
          <w:szCs w:val="20"/>
        </w:rPr>
        <w:t>.</w:t>
      </w:r>
      <w:r w:rsidRPr="00C07E78">
        <w:rPr>
          <w:rFonts w:ascii="Arial" w:eastAsia="Times New Roman" w:hAnsi="Arial" w:cs="Arial"/>
          <w:b/>
          <w:color w:val="FF0000"/>
          <w:sz w:val="20"/>
          <w:szCs w:val="20"/>
        </w:rPr>
        <w:t xml:space="preserve">  </w:t>
      </w:r>
      <w:r w:rsidRPr="00C07E78">
        <w:rPr>
          <w:rFonts w:ascii="Arial" w:eastAsia="Times New Roman" w:hAnsi="Arial" w:cs="Arial"/>
          <w:sz w:val="20"/>
          <w:szCs w:val="20"/>
        </w:rPr>
        <w:t>The Committee held p</w:t>
      </w:r>
      <w:r w:rsidR="009707B1" w:rsidRPr="00C07E78">
        <w:rPr>
          <w:rFonts w:ascii="Arial" w:eastAsia="Times New Roman" w:hAnsi="Arial" w:cs="Arial"/>
          <w:sz w:val="20"/>
          <w:szCs w:val="20"/>
        </w:rPr>
        <w:t>ublic hearings on the Bill on 31 May 2022</w:t>
      </w:r>
      <w:r w:rsidRPr="00C07E78">
        <w:rPr>
          <w:rFonts w:ascii="Arial" w:eastAsia="Times New Roman" w:hAnsi="Arial" w:cs="Arial"/>
          <w:sz w:val="20"/>
          <w:szCs w:val="20"/>
        </w:rPr>
        <w:t xml:space="preserve"> via the Zoom virtual meeting platform.  </w:t>
      </w:r>
    </w:p>
    <w:p w:rsidR="00BE5FE6" w:rsidRPr="00C07E78" w:rsidRDefault="00BE5FE6" w:rsidP="00C07E78">
      <w:pPr>
        <w:spacing w:after="0" w:line="240" w:lineRule="auto"/>
        <w:rPr>
          <w:rFonts w:ascii="Arial" w:eastAsia="Times New Roman" w:hAnsi="Arial" w:cs="Arial"/>
          <w:sz w:val="20"/>
          <w:szCs w:val="20"/>
        </w:rPr>
      </w:pPr>
    </w:p>
    <w:p w:rsidR="00BE5FE6" w:rsidRPr="00C07E78" w:rsidRDefault="008C2708" w:rsidP="00C07E78">
      <w:pPr>
        <w:numPr>
          <w:ilvl w:val="0"/>
          <w:numId w:val="1"/>
        </w:numPr>
        <w:spacing w:after="0" w:line="240" w:lineRule="auto"/>
        <w:ind w:left="567" w:hanging="567"/>
        <w:contextualSpacing/>
        <w:rPr>
          <w:rFonts w:ascii="Arial" w:eastAsia="Times New Roman" w:hAnsi="Arial" w:cs="Arial"/>
          <w:b/>
          <w:sz w:val="20"/>
          <w:szCs w:val="20"/>
        </w:rPr>
      </w:pPr>
      <w:r w:rsidRPr="00C07E78">
        <w:rPr>
          <w:rFonts w:ascii="Arial" w:eastAsia="Times New Roman" w:hAnsi="Arial" w:cs="Arial"/>
          <w:b/>
          <w:sz w:val="20"/>
          <w:szCs w:val="20"/>
        </w:rPr>
        <w:t>Overview of the 2022</w:t>
      </w:r>
      <w:r w:rsidR="00BE5FE6" w:rsidRPr="00C07E78">
        <w:rPr>
          <w:rFonts w:ascii="Arial" w:eastAsia="Times New Roman" w:hAnsi="Arial" w:cs="Arial"/>
          <w:b/>
          <w:sz w:val="20"/>
          <w:szCs w:val="20"/>
        </w:rPr>
        <w:t xml:space="preserve"> Appropriation Bill </w:t>
      </w:r>
    </w:p>
    <w:p w:rsidR="008C2708" w:rsidRPr="00C07E78" w:rsidRDefault="008C2708" w:rsidP="00C07E78">
      <w:pPr>
        <w:spacing w:after="0" w:line="240" w:lineRule="auto"/>
        <w:rPr>
          <w:rFonts w:ascii="Arial" w:eastAsia="Times New Roman" w:hAnsi="Arial" w:cs="Arial"/>
          <w:sz w:val="20"/>
          <w:szCs w:val="20"/>
        </w:rPr>
      </w:pPr>
    </w:p>
    <w:p w:rsidR="008C2708" w:rsidRPr="00C07E78" w:rsidRDefault="008C2708"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The Bill provides for the appropriation of money by Parliament from the National Revenue Fund (NRF) in terms of section 213 of the Constitution of the Republic of South Africa and section 26 of the PFMA. Spending is subject to the PFMA and the provisions of the Appropriation Act. The Bill deals with proposed national appropriations. In order to effect spending on conditional allocations from national’s equitable share to provincial and local government, the Division of Revenue Act sets out specific provisions on spending conditions. </w:t>
      </w:r>
    </w:p>
    <w:p w:rsidR="008C2708" w:rsidRPr="00C07E78" w:rsidRDefault="008C2708" w:rsidP="00C07E78">
      <w:pPr>
        <w:spacing w:after="0" w:line="240" w:lineRule="auto"/>
        <w:rPr>
          <w:rFonts w:ascii="Arial" w:eastAsia="Times New Roman" w:hAnsi="Arial" w:cs="Arial"/>
          <w:sz w:val="20"/>
          <w:szCs w:val="20"/>
        </w:rPr>
      </w:pPr>
    </w:p>
    <w:p w:rsidR="008C2708" w:rsidRPr="00C07E78" w:rsidRDefault="008C2708"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The 2022 budget reiterates government’s priorities underpinning both </w:t>
      </w:r>
      <w:r w:rsidR="00C529BB" w:rsidRPr="00C07E78">
        <w:rPr>
          <w:rFonts w:ascii="Arial" w:eastAsia="Times New Roman" w:hAnsi="Arial" w:cs="Arial"/>
          <w:sz w:val="20"/>
          <w:szCs w:val="20"/>
        </w:rPr>
        <w:t>b</w:t>
      </w:r>
      <w:r w:rsidRPr="00C07E78">
        <w:rPr>
          <w:rFonts w:ascii="Arial" w:eastAsia="Times New Roman" w:hAnsi="Arial" w:cs="Arial"/>
          <w:sz w:val="20"/>
          <w:szCs w:val="20"/>
        </w:rPr>
        <w:t xml:space="preserve">udget 2021 and the 2021 </w:t>
      </w:r>
      <w:r w:rsidR="00C529BB" w:rsidRPr="00C07E78">
        <w:rPr>
          <w:rFonts w:ascii="Arial" w:eastAsia="Times New Roman" w:hAnsi="Arial" w:cs="Arial"/>
          <w:sz w:val="20"/>
          <w:szCs w:val="20"/>
        </w:rPr>
        <w:t>Medium Term Budget Policy Statement (</w:t>
      </w:r>
      <w:r w:rsidRPr="00C07E78">
        <w:rPr>
          <w:rFonts w:ascii="Arial" w:eastAsia="Times New Roman" w:hAnsi="Arial" w:cs="Arial"/>
          <w:sz w:val="20"/>
          <w:szCs w:val="20"/>
        </w:rPr>
        <w:t>MTBPS</w:t>
      </w:r>
      <w:r w:rsidR="00C529BB" w:rsidRPr="00C07E78">
        <w:rPr>
          <w:rFonts w:ascii="Arial" w:eastAsia="Times New Roman" w:hAnsi="Arial" w:cs="Arial"/>
          <w:sz w:val="20"/>
          <w:szCs w:val="20"/>
        </w:rPr>
        <w:t>)</w:t>
      </w:r>
      <w:r w:rsidRPr="00C07E78">
        <w:rPr>
          <w:rFonts w:ascii="Arial" w:eastAsia="Times New Roman" w:hAnsi="Arial" w:cs="Arial"/>
          <w:sz w:val="20"/>
          <w:szCs w:val="20"/>
        </w:rPr>
        <w:t xml:space="preserve">, with the achievement of economic and social recovery alongside fiscal </w:t>
      </w:r>
      <w:r w:rsidRPr="00C07E78">
        <w:rPr>
          <w:rFonts w:ascii="Arial" w:eastAsia="Times New Roman" w:hAnsi="Arial" w:cs="Arial"/>
          <w:sz w:val="20"/>
          <w:szCs w:val="20"/>
        </w:rPr>
        <w:lastRenderedPageBreak/>
        <w:t xml:space="preserve">sustainability. The 2022 budget continues to consolidate public finances while providing immediate support for the response to the Covid-19 pandemic, job creation and social protection. Allocations are aimed at funding economic relief measures to the most vulnerable while also supporting programmes that contribute to South Africa’s economic recovery. The 2022 budget is the second main budget to be tabled since the onset of the Covid-19 </w:t>
      </w:r>
      <w:r w:rsidR="007F23CD" w:rsidRPr="00C07E78">
        <w:rPr>
          <w:rFonts w:ascii="Arial" w:eastAsia="Times New Roman" w:hAnsi="Arial" w:cs="Arial"/>
          <w:sz w:val="20"/>
          <w:szCs w:val="20"/>
        </w:rPr>
        <w:t>pandemic, which decreased</w:t>
      </w:r>
      <w:r w:rsidRPr="00C07E78">
        <w:rPr>
          <w:rFonts w:ascii="Arial" w:eastAsia="Times New Roman" w:hAnsi="Arial" w:cs="Arial"/>
          <w:sz w:val="20"/>
          <w:szCs w:val="20"/>
        </w:rPr>
        <w:t xml:space="preserve"> government</w:t>
      </w:r>
      <w:r w:rsidR="007F23CD" w:rsidRPr="00C07E78">
        <w:rPr>
          <w:rFonts w:ascii="Arial" w:eastAsia="Times New Roman" w:hAnsi="Arial" w:cs="Arial"/>
          <w:sz w:val="20"/>
          <w:szCs w:val="20"/>
        </w:rPr>
        <w:t>’s</w:t>
      </w:r>
      <w:r w:rsidRPr="00C07E78">
        <w:rPr>
          <w:rFonts w:ascii="Arial" w:eastAsia="Times New Roman" w:hAnsi="Arial" w:cs="Arial"/>
          <w:sz w:val="20"/>
          <w:szCs w:val="20"/>
        </w:rPr>
        <w:t xml:space="preserve"> revenue due to both slow economic activities and severe Covid-19 associated lockdowns. Even though this budget is set within severely constrained public finances, revenue collection has been better than anticipated for the current year, and if this improvement is sustained over the </w:t>
      </w:r>
      <w:r w:rsidR="00C529BB" w:rsidRPr="00C07E78">
        <w:rPr>
          <w:rFonts w:ascii="Arial" w:eastAsia="Times New Roman" w:hAnsi="Arial" w:cs="Arial"/>
          <w:sz w:val="20"/>
          <w:szCs w:val="20"/>
        </w:rPr>
        <w:t xml:space="preserve">2022/23 to 2024/25 medium term expenditure framework (2022) </w:t>
      </w:r>
      <w:r w:rsidRPr="00C07E78">
        <w:rPr>
          <w:rFonts w:ascii="Arial" w:eastAsia="Times New Roman" w:hAnsi="Arial" w:cs="Arial"/>
          <w:sz w:val="20"/>
          <w:szCs w:val="20"/>
        </w:rPr>
        <w:t>MTEF period, government will be able to reduce its debt and close the gap between spending and revenue. All temporary additional allocations have been funded through this improved revenue collection, drawdowns from the 2021 MTBPS unallocated reserves, technical adjustments and reprioritisation of existing budgets. These temporary funding measures have mainly been allocated towards social grants, to the health sector for the Covid-19 response efforts, and to fund initiatives to create jobs. The 2022 budget proposes adjustment to government spending plans and these adjustments affect the expenditure ceiling as follow;</w:t>
      </w:r>
    </w:p>
    <w:p w:rsidR="008C2708" w:rsidRPr="00C07E78" w:rsidRDefault="008C2708" w:rsidP="00C07E78">
      <w:pPr>
        <w:spacing w:after="0" w:line="240" w:lineRule="auto"/>
        <w:rPr>
          <w:rFonts w:ascii="Arial" w:eastAsia="Times New Roman" w:hAnsi="Arial" w:cs="Arial"/>
          <w:sz w:val="20"/>
          <w:szCs w:val="20"/>
        </w:rPr>
      </w:pPr>
    </w:p>
    <w:p w:rsidR="008C2708" w:rsidRPr="00C07E78" w:rsidRDefault="008C2708" w:rsidP="00C07E78">
      <w:pPr>
        <w:numPr>
          <w:ilvl w:val="0"/>
          <w:numId w:val="17"/>
        </w:numPr>
        <w:spacing w:after="0" w:line="240" w:lineRule="auto"/>
        <w:rPr>
          <w:rFonts w:ascii="Arial" w:eastAsia="Times New Roman" w:hAnsi="Arial" w:cs="Arial"/>
          <w:sz w:val="20"/>
          <w:szCs w:val="20"/>
          <w:lang w:val="en-GB"/>
        </w:rPr>
      </w:pPr>
      <w:r w:rsidRPr="00C07E78">
        <w:rPr>
          <w:rFonts w:ascii="Arial" w:eastAsia="Times New Roman" w:hAnsi="Arial" w:cs="Arial"/>
          <w:sz w:val="20"/>
          <w:szCs w:val="20"/>
          <w:lang w:val="en-GB"/>
        </w:rPr>
        <w:t>Relative to the 2021 budget, the main budget non-interest spending increases by a net R282</w:t>
      </w:r>
      <w:r w:rsidR="004D4309" w:rsidRPr="00C07E78">
        <w:rPr>
          <w:rFonts w:ascii="Arial" w:eastAsia="Times New Roman" w:hAnsi="Arial" w:cs="Arial"/>
          <w:sz w:val="20"/>
          <w:szCs w:val="20"/>
          <w:lang w:val="en-GB"/>
        </w:rPr>
        <w:t>.3</w:t>
      </w:r>
      <w:r w:rsidRPr="00C07E78">
        <w:rPr>
          <w:rFonts w:ascii="Arial" w:eastAsia="Times New Roman" w:hAnsi="Arial" w:cs="Arial"/>
          <w:sz w:val="20"/>
          <w:szCs w:val="20"/>
          <w:lang w:val="en-GB"/>
        </w:rPr>
        <w:t xml:space="preserve"> billion over the</w:t>
      </w:r>
      <w:r w:rsidR="00C529BB" w:rsidRPr="00C07E78">
        <w:rPr>
          <w:rFonts w:ascii="Arial" w:eastAsia="Times New Roman" w:hAnsi="Arial" w:cs="Arial"/>
          <w:sz w:val="20"/>
          <w:szCs w:val="20"/>
          <w:lang w:val="en-GB"/>
        </w:rPr>
        <w:t xml:space="preserve"> </w:t>
      </w:r>
      <w:r w:rsidRPr="00C07E78">
        <w:rPr>
          <w:rFonts w:ascii="Arial" w:eastAsia="Times New Roman" w:hAnsi="Arial" w:cs="Arial"/>
          <w:sz w:val="20"/>
          <w:szCs w:val="20"/>
          <w:lang w:val="en-GB"/>
        </w:rPr>
        <w:t xml:space="preserve">MTEF period, supported </w:t>
      </w:r>
      <w:r w:rsidR="007F23CD" w:rsidRPr="00C07E78">
        <w:rPr>
          <w:rFonts w:ascii="Arial" w:eastAsia="Times New Roman" w:hAnsi="Arial" w:cs="Arial"/>
          <w:sz w:val="20"/>
          <w:szCs w:val="20"/>
          <w:lang w:val="en-GB"/>
        </w:rPr>
        <w:t xml:space="preserve">by </w:t>
      </w:r>
      <w:r w:rsidRPr="00C07E78">
        <w:rPr>
          <w:rFonts w:ascii="Arial" w:eastAsia="Times New Roman" w:hAnsi="Arial" w:cs="Arial"/>
          <w:sz w:val="20"/>
          <w:szCs w:val="20"/>
          <w:lang w:val="en-GB"/>
        </w:rPr>
        <w:t xml:space="preserve">higher than anticipated revenue collection. </w:t>
      </w:r>
    </w:p>
    <w:p w:rsidR="008C2708" w:rsidRPr="00C07E78" w:rsidRDefault="008C2708" w:rsidP="00C07E78">
      <w:pPr>
        <w:numPr>
          <w:ilvl w:val="0"/>
          <w:numId w:val="17"/>
        </w:numPr>
        <w:spacing w:after="0" w:line="240" w:lineRule="auto"/>
        <w:rPr>
          <w:rFonts w:ascii="Arial" w:eastAsia="Times New Roman" w:hAnsi="Arial" w:cs="Arial"/>
          <w:sz w:val="20"/>
          <w:szCs w:val="20"/>
          <w:lang w:val="en-GB"/>
        </w:rPr>
      </w:pPr>
      <w:r w:rsidRPr="00C07E78">
        <w:rPr>
          <w:rFonts w:ascii="Arial" w:eastAsia="Times New Roman" w:hAnsi="Arial" w:cs="Arial"/>
          <w:sz w:val="20"/>
          <w:szCs w:val="20"/>
          <w:lang w:val="en-GB"/>
        </w:rPr>
        <w:t xml:space="preserve">Consolidated government expenditure amounts to R2.2 trillion in 2022/23, R2.2 trillion in 2023/24 and R2.3 trillion in 2024/25, decreasing at an annual average of 1.2 per cent in real terms over the MTEF period. The main budget expenditure increases in nominal terms from R2 trillion in 2022/23 to R2.1 trillion in 2024/25, decreasing at an annual average of 1 per cent in real terms over the MTEF period. </w:t>
      </w:r>
    </w:p>
    <w:p w:rsidR="008C2708" w:rsidRPr="00C07E78" w:rsidRDefault="008C2708" w:rsidP="00C07E78">
      <w:pPr>
        <w:numPr>
          <w:ilvl w:val="0"/>
          <w:numId w:val="17"/>
        </w:numPr>
        <w:spacing w:after="0" w:line="240" w:lineRule="auto"/>
        <w:rPr>
          <w:rFonts w:ascii="Arial" w:eastAsia="Times New Roman" w:hAnsi="Arial" w:cs="Arial"/>
          <w:sz w:val="20"/>
          <w:szCs w:val="20"/>
          <w:lang w:val="en-GB"/>
        </w:rPr>
      </w:pPr>
      <w:r w:rsidRPr="00C07E78">
        <w:rPr>
          <w:rFonts w:ascii="Arial" w:eastAsia="Times New Roman" w:hAnsi="Arial" w:cs="Arial"/>
          <w:sz w:val="20"/>
          <w:szCs w:val="20"/>
          <w:lang w:val="en-GB"/>
        </w:rPr>
        <w:t xml:space="preserve">Additional allocations of R110.8 billion in 2022/23, R60 billion in 2023/24 and R56.6 billion in 2024/25 are made for several priorities that could not be funded through reprioritisation. These priorities include the special Covid-19 Social Relief of Distress Grant, the continuation of bursaries for students benefiting from the National Financial Aid Scheme, and the presidential employment initiative. </w:t>
      </w:r>
    </w:p>
    <w:p w:rsidR="008C2708" w:rsidRPr="00C07E78" w:rsidRDefault="008C2708" w:rsidP="00C07E78">
      <w:pPr>
        <w:numPr>
          <w:ilvl w:val="0"/>
          <w:numId w:val="17"/>
        </w:numPr>
        <w:spacing w:after="0" w:line="240" w:lineRule="auto"/>
        <w:rPr>
          <w:rFonts w:ascii="Arial" w:eastAsia="Times New Roman" w:hAnsi="Arial" w:cs="Arial"/>
          <w:sz w:val="20"/>
          <w:szCs w:val="20"/>
          <w:lang w:val="en-GB"/>
        </w:rPr>
      </w:pPr>
      <w:r w:rsidRPr="00C07E78">
        <w:rPr>
          <w:rFonts w:ascii="Arial" w:eastAsia="Times New Roman" w:hAnsi="Arial" w:cs="Arial"/>
          <w:sz w:val="20"/>
          <w:szCs w:val="20"/>
          <w:lang w:val="en-GB"/>
        </w:rPr>
        <w:t xml:space="preserve">Over the MTEF period, government’s proposed plans include an allocation of R3.3 trillion, or 59.4 per cent of total non-interest spending towards the social wage. </w:t>
      </w:r>
    </w:p>
    <w:p w:rsidR="008C2708" w:rsidRPr="00C07E78" w:rsidRDefault="008C2708" w:rsidP="00C07E78">
      <w:pPr>
        <w:spacing w:after="0" w:line="240" w:lineRule="auto"/>
        <w:rPr>
          <w:rFonts w:ascii="Arial" w:eastAsia="Times New Roman" w:hAnsi="Arial" w:cs="Arial"/>
          <w:sz w:val="20"/>
          <w:szCs w:val="20"/>
        </w:rPr>
      </w:pPr>
    </w:p>
    <w:p w:rsidR="008C2708" w:rsidRPr="00C07E78" w:rsidRDefault="008C2708" w:rsidP="00C07E78">
      <w:pPr>
        <w:spacing w:after="0" w:line="240" w:lineRule="auto"/>
        <w:rPr>
          <w:rFonts w:ascii="Arial" w:eastAsia="Times New Roman" w:hAnsi="Arial" w:cs="Arial"/>
          <w:sz w:val="20"/>
          <w:szCs w:val="20"/>
        </w:rPr>
      </w:pPr>
    </w:p>
    <w:p w:rsidR="008C2708" w:rsidRPr="00C07E78" w:rsidRDefault="008C2708" w:rsidP="00C07E78">
      <w:pPr>
        <w:spacing w:after="0" w:line="240" w:lineRule="auto"/>
        <w:rPr>
          <w:rFonts w:ascii="Arial" w:eastAsia="Times New Roman" w:hAnsi="Arial" w:cs="Arial"/>
          <w:sz w:val="20"/>
          <w:szCs w:val="20"/>
        </w:rPr>
      </w:pPr>
    </w:p>
    <w:p w:rsidR="008C2708" w:rsidRPr="00C07E78" w:rsidRDefault="008C2708" w:rsidP="00C07E78">
      <w:pPr>
        <w:spacing w:after="0" w:line="240" w:lineRule="auto"/>
        <w:rPr>
          <w:rFonts w:ascii="Arial" w:eastAsia="Times New Roman" w:hAnsi="Arial" w:cs="Arial"/>
          <w:sz w:val="20"/>
          <w:szCs w:val="20"/>
        </w:rPr>
      </w:pPr>
    </w:p>
    <w:p w:rsidR="008C2708" w:rsidRPr="00C07E78" w:rsidRDefault="008C2708"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The Bill is </w:t>
      </w:r>
      <w:r w:rsidR="00602F56" w:rsidRPr="00C07E78">
        <w:rPr>
          <w:rFonts w:ascii="Arial" w:eastAsia="Times New Roman" w:hAnsi="Arial" w:cs="Arial"/>
          <w:sz w:val="20"/>
          <w:szCs w:val="20"/>
        </w:rPr>
        <w:t xml:space="preserve">tabled and </w:t>
      </w:r>
      <w:r w:rsidRPr="00C07E78">
        <w:rPr>
          <w:rFonts w:ascii="Arial" w:eastAsia="Times New Roman" w:hAnsi="Arial" w:cs="Arial"/>
          <w:sz w:val="20"/>
          <w:szCs w:val="20"/>
        </w:rPr>
        <w:t xml:space="preserve">processed in the third year of the 2019-2024 Medium Term Strategic Framework (MTSF). Departmental spending objectives must be aligned to the MTSF priorities, as these are short to medium-term government priorities intended to achieve the overall objectives as set out in the National Development Plan, Vision 2030 (NDP 2030) which was adopted by government in 2012. The MTSF is the implementation plan and monitoring framework for achieving the NDP 2030 priorities for the sixth administration of government. The NDP 2030 sets out the overall outcomes that the government wants to achieve by 2030 with associated impact of improving quality of life, by reducing unemployment, poverty and inequality. The MTSF aims to address the challenges of unemployment, inequality and poverty through three pillars, namely: achieving a more capable state, driving a strong and inclusive economy; and building and strengthening the capabilities of South Africans. The MTSF sets out the seven priorities of government with 81 intended outcomes to be achieved through 337 government-led interventions by achieving a set of 561 performance indicators. The three pillars set out in the MTSF underpin the seven priorities of the strategic framework (see table 1 below) and these priorities, which will be achieved through the joint efforts and collaboration </w:t>
      </w:r>
      <w:r w:rsidR="007F23CD" w:rsidRPr="00C07E78">
        <w:rPr>
          <w:rFonts w:ascii="Arial" w:eastAsia="Times New Roman" w:hAnsi="Arial" w:cs="Arial"/>
          <w:sz w:val="20"/>
          <w:szCs w:val="20"/>
        </w:rPr>
        <w:t>among</w:t>
      </w:r>
      <w:r w:rsidRPr="00C07E78">
        <w:rPr>
          <w:rFonts w:ascii="Arial" w:eastAsia="Times New Roman" w:hAnsi="Arial" w:cs="Arial"/>
          <w:sz w:val="20"/>
          <w:szCs w:val="20"/>
        </w:rPr>
        <w:t xml:space="preserve"> government, the private sector, labour and civil society, are as follows:</w:t>
      </w:r>
    </w:p>
    <w:p w:rsidR="008C2708" w:rsidRPr="00C07E78" w:rsidRDefault="008C2708" w:rsidP="00C07E78">
      <w:pPr>
        <w:spacing w:after="0" w:line="240" w:lineRule="auto"/>
        <w:rPr>
          <w:rFonts w:ascii="Arial" w:eastAsia="Times New Roman" w:hAnsi="Arial" w:cs="Arial"/>
          <w:sz w:val="20"/>
          <w:szCs w:val="20"/>
        </w:rPr>
      </w:pPr>
    </w:p>
    <w:p w:rsidR="008C2708" w:rsidRPr="00C07E78" w:rsidRDefault="008C2708" w:rsidP="00C07E78">
      <w:pPr>
        <w:spacing w:after="0" w:line="240" w:lineRule="auto"/>
        <w:rPr>
          <w:rFonts w:ascii="Arial" w:eastAsia="Times New Roman" w:hAnsi="Arial" w:cs="Arial"/>
          <w:b/>
          <w:sz w:val="20"/>
          <w:szCs w:val="20"/>
        </w:rPr>
      </w:pPr>
      <w:r w:rsidRPr="00C07E78">
        <w:rPr>
          <w:rFonts w:ascii="Arial" w:eastAsia="Times New Roman" w:hAnsi="Arial" w:cs="Arial"/>
          <w:b/>
          <w:sz w:val="20"/>
          <w:szCs w:val="20"/>
        </w:rPr>
        <w:t xml:space="preserve">Table 1: </w:t>
      </w:r>
      <w:r w:rsidRPr="00C07E78">
        <w:rPr>
          <w:rFonts w:ascii="Arial" w:eastAsia="Times New Roman" w:hAnsi="Arial" w:cs="Arial"/>
          <w:sz w:val="20"/>
          <w:szCs w:val="20"/>
        </w:rPr>
        <w:t xml:space="preserve">2019-2024 MTSF priorities, lead and contributing departments </w:t>
      </w:r>
    </w:p>
    <w:tbl>
      <w:tblPr>
        <w:tblStyle w:val="TableGrid"/>
        <w:tblW w:w="0" w:type="auto"/>
        <w:tblLook w:val="04A0"/>
      </w:tblPr>
      <w:tblGrid>
        <w:gridCol w:w="1885"/>
        <w:gridCol w:w="8190"/>
      </w:tblGrid>
      <w:tr w:rsidR="008C2708" w:rsidRPr="00C07E78" w:rsidTr="000A3A07">
        <w:tc>
          <w:tcPr>
            <w:tcW w:w="1885" w:type="dxa"/>
            <w:shd w:val="clear" w:color="auto" w:fill="BFBFBF" w:themeFill="background1" w:themeFillShade="BF"/>
          </w:tcPr>
          <w:p w:rsidR="008C2708" w:rsidRPr="00C07E78" w:rsidRDefault="008C2708" w:rsidP="00C07E78">
            <w:pPr>
              <w:rPr>
                <w:rFonts w:ascii="Arial" w:eastAsia="Times New Roman" w:hAnsi="Arial" w:cs="Arial"/>
                <w:b/>
                <w:sz w:val="20"/>
                <w:szCs w:val="20"/>
              </w:rPr>
            </w:pPr>
            <w:r w:rsidRPr="00C07E78">
              <w:rPr>
                <w:rFonts w:ascii="Arial" w:eastAsia="Times New Roman" w:hAnsi="Arial" w:cs="Arial"/>
                <w:b/>
                <w:sz w:val="20"/>
                <w:szCs w:val="20"/>
              </w:rPr>
              <w:t xml:space="preserve">Number </w:t>
            </w:r>
          </w:p>
        </w:tc>
        <w:tc>
          <w:tcPr>
            <w:tcW w:w="8190" w:type="dxa"/>
            <w:shd w:val="clear" w:color="auto" w:fill="BFBFBF" w:themeFill="background1" w:themeFillShade="BF"/>
          </w:tcPr>
          <w:p w:rsidR="008C2708" w:rsidRPr="00C07E78" w:rsidRDefault="008C2708" w:rsidP="00C07E78">
            <w:pPr>
              <w:rPr>
                <w:rFonts w:ascii="Arial" w:eastAsia="Times New Roman" w:hAnsi="Arial" w:cs="Arial"/>
                <w:b/>
                <w:sz w:val="20"/>
                <w:szCs w:val="20"/>
              </w:rPr>
            </w:pPr>
            <w:r w:rsidRPr="00C07E78">
              <w:rPr>
                <w:rFonts w:ascii="Arial" w:eastAsia="Times New Roman" w:hAnsi="Arial" w:cs="Arial"/>
                <w:b/>
                <w:sz w:val="20"/>
                <w:szCs w:val="20"/>
              </w:rPr>
              <w:t>MTSF 2019-2024 Priorities</w:t>
            </w:r>
            <w:r w:rsidRPr="00C07E78">
              <w:rPr>
                <w:rFonts w:ascii="Arial" w:eastAsia="Times New Roman" w:hAnsi="Arial" w:cs="Arial"/>
                <w:b/>
                <w:sz w:val="20"/>
                <w:szCs w:val="20"/>
                <w:vertAlign w:val="superscript"/>
              </w:rPr>
              <w:t>1</w:t>
            </w:r>
          </w:p>
        </w:tc>
      </w:tr>
      <w:tr w:rsidR="008C2708" w:rsidRPr="00C07E78" w:rsidTr="000A3A07">
        <w:tc>
          <w:tcPr>
            <w:tcW w:w="1885"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 xml:space="preserve">Priority 1 </w:t>
            </w:r>
          </w:p>
        </w:tc>
        <w:tc>
          <w:tcPr>
            <w:tcW w:w="8190"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A capable, ethical and developmental state</w:t>
            </w:r>
          </w:p>
        </w:tc>
      </w:tr>
      <w:tr w:rsidR="008C2708" w:rsidRPr="00C07E78" w:rsidTr="000A3A07">
        <w:tc>
          <w:tcPr>
            <w:tcW w:w="1885"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Priority 2</w:t>
            </w:r>
          </w:p>
        </w:tc>
        <w:tc>
          <w:tcPr>
            <w:tcW w:w="8190"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Economic transformation and job creation</w:t>
            </w:r>
          </w:p>
        </w:tc>
      </w:tr>
      <w:tr w:rsidR="008C2708" w:rsidRPr="00C07E78" w:rsidTr="000A3A07">
        <w:tc>
          <w:tcPr>
            <w:tcW w:w="1885"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 xml:space="preserve">Priority 3 </w:t>
            </w:r>
          </w:p>
        </w:tc>
        <w:tc>
          <w:tcPr>
            <w:tcW w:w="8190"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Education, skills and health</w:t>
            </w:r>
          </w:p>
        </w:tc>
      </w:tr>
      <w:tr w:rsidR="008C2708" w:rsidRPr="00C07E78" w:rsidTr="000A3A07">
        <w:tc>
          <w:tcPr>
            <w:tcW w:w="1885"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Priority 4</w:t>
            </w:r>
          </w:p>
        </w:tc>
        <w:tc>
          <w:tcPr>
            <w:tcW w:w="8190"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Consolidating the social wage through reliable and quality basic services</w:t>
            </w:r>
          </w:p>
        </w:tc>
      </w:tr>
      <w:tr w:rsidR="008C2708" w:rsidRPr="00C07E78" w:rsidTr="000A3A07">
        <w:tc>
          <w:tcPr>
            <w:tcW w:w="1885"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Priority 5</w:t>
            </w:r>
          </w:p>
        </w:tc>
        <w:tc>
          <w:tcPr>
            <w:tcW w:w="8190"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Spatial integration, human settlements and local government</w:t>
            </w:r>
          </w:p>
        </w:tc>
      </w:tr>
      <w:tr w:rsidR="008C2708" w:rsidRPr="00C07E78" w:rsidTr="000A3A07">
        <w:tc>
          <w:tcPr>
            <w:tcW w:w="1885"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Priority 6</w:t>
            </w:r>
          </w:p>
        </w:tc>
        <w:tc>
          <w:tcPr>
            <w:tcW w:w="8190"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Social cohesion and safe communities</w:t>
            </w:r>
          </w:p>
        </w:tc>
      </w:tr>
      <w:tr w:rsidR="008C2708" w:rsidRPr="00C07E78" w:rsidTr="000A3A07">
        <w:tc>
          <w:tcPr>
            <w:tcW w:w="1885"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Priority 7</w:t>
            </w:r>
          </w:p>
        </w:tc>
        <w:tc>
          <w:tcPr>
            <w:tcW w:w="8190" w:type="dxa"/>
          </w:tcPr>
          <w:p w:rsidR="008C2708" w:rsidRPr="00C07E78" w:rsidRDefault="008C2708" w:rsidP="00C07E78">
            <w:pPr>
              <w:rPr>
                <w:rFonts w:ascii="Arial" w:eastAsia="Times New Roman" w:hAnsi="Arial" w:cs="Arial"/>
                <w:sz w:val="20"/>
                <w:szCs w:val="20"/>
              </w:rPr>
            </w:pPr>
            <w:r w:rsidRPr="00C07E78">
              <w:rPr>
                <w:rFonts w:ascii="Arial" w:eastAsia="Times New Roman" w:hAnsi="Arial" w:cs="Arial"/>
                <w:sz w:val="20"/>
                <w:szCs w:val="20"/>
              </w:rPr>
              <w:t>A better Africa and world</w:t>
            </w:r>
          </w:p>
        </w:tc>
      </w:tr>
    </w:tbl>
    <w:p w:rsidR="008C2708" w:rsidRPr="00C07E78" w:rsidRDefault="008C2708" w:rsidP="00C07E78">
      <w:pPr>
        <w:numPr>
          <w:ilvl w:val="0"/>
          <w:numId w:val="5"/>
        </w:numPr>
        <w:spacing w:after="0" w:line="240" w:lineRule="auto"/>
        <w:rPr>
          <w:rFonts w:ascii="Arial" w:eastAsia="Times New Roman" w:hAnsi="Arial" w:cs="Arial"/>
          <w:i/>
          <w:sz w:val="20"/>
          <w:szCs w:val="20"/>
        </w:rPr>
      </w:pPr>
      <w:r w:rsidRPr="00C07E78">
        <w:rPr>
          <w:rFonts w:ascii="Arial" w:eastAsia="Times New Roman" w:hAnsi="Arial" w:cs="Arial"/>
          <w:i/>
          <w:sz w:val="20"/>
          <w:szCs w:val="20"/>
        </w:rPr>
        <w:lastRenderedPageBreak/>
        <w:t xml:space="preserve">Details of lead and coordinating departments on the 2019-2024 MTSF priorities are provided in the MTSF document.  </w:t>
      </w:r>
    </w:p>
    <w:p w:rsidR="008C2708" w:rsidRPr="00C07E78" w:rsidRDefault="008C2708" w:rsidP="00C07E78">
      <w:pPr>
        <w:spacing w:after="0" w:line="240" w:lineRule="auto"/>
        <w:rPr>
          <w:rFonts w:ascii="Arial" w:eastAsia="Times New Roman" w:hAnsi="Arial" w:cs="Arial"/>
          <w:sz w:val="20"/>
          <w:szCs w:val="20"/>
        </w:rPr>
      </w:pPr>
    </w:p>
    <w:p w:rsidR="008C2708" w:rsidRPr="00C07E78" w:rsidRDefault="008C2708"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While the MTSF outlines the plan and outcome-based monitoring framework for implementing the NDP during the country’s sixth democratic administration, it also outlines the implementation priorities across South Africa’s national development priorities. The MTSF focuses on implementation that requires all three spheres of government to work collaboratively. Therefore, the MTSF is both a five-year implementation plan and an integrated monitoring framework. The plan focuses on the seven priorities and related interventions of the sixth administration of government, and the integrated monitoring framework focuses on monitoring the outcomes, indicators and targets towards the achievement of these priorities. On the other hand, the district development model coordinates implementation at local government level and this model bridges the gap between the three spheres of government to ensure better coordination, coherence and integration of government planning and interventions. The MTSF enables the sequencing and resourcing of priorities, taking into account the respective powers of each of the three government spheres. It is not the role of the MTSF to plan for each and every action, but to provide a clear, transformative framework within which national, provincial and local governments can plan for and drive service delivery.</w:t>
      </w:r>
    </w:p>
    <w:p w:rsidR="008C2708" w:rsidRPr="00C07E78" w:rsidRDefault="008C2708" w:rsidP="00C07E78">
      <w:pPr>
        <w:spacing w:after="0" w:line="240" w:lineRule="auto"/>
        <w:rPr>
          <w:rFonts w:ascii="Arial" w:eastAsia="Times New Roman" w:hAnsi="Arial" w:cs="Arial"/>
          <w:sz w:val="20"/>
          <w:szCs w:val="20"/>
        </w:rPr>
      </w:pPr>
    </w:p>
    <w:p w:rsidR="008C2708" w:rsidRPr="00C07E78" w:rsidRDefault="008C2708"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While it is widely acknowledged that the MTSF had limited participation of the other social partners and was largely government led; on the contrary, the MTSF is a culmination of the steps government and non-government stakeholders have taken towards integrated national planning and monitoring. It serves as a five-year building block towards achieving Vision 2030.  All national sector plans, provincial growth and development strategies, municipal integrated development plans, departmental strategic plans and annual performance plans must be aligned to the MTSF. However, it must also be acknowledged that the Covid-19 pandemic has had negative impact on both government finances and the achievement of some of the targets as set out in the MTSF priorities due to </w:t>
      </w:r>
      <w:r w:rsidR="007F23CD" w:rsidRPr="00C07E78">
        <w:rPr>
          <w:rFonts w:ascii="Arial" w:eastAsia="Times New Roman" w:hAnsi="Arial" w:cs="Arial"/>
          <w:sz w:val="20"/>
          <w:szCs w:val="20"/>
        </w:rPr>
        <w:t xml:space="preserve">its </w:t>
      </w:r>
      <w:r w:rsidRPr="00C07E78">
        <w:rPr>
          <w:rFonts w:ascii="Arial" w:eastAsia="Times New Roman" w:hAnsi="Arial" w:cs="Arial"/>
          <w:sz w:val="20"/>
          <w:szCs w:val="20"/>
        </w:rPr>
        <w:t xml:space="preserve">associated lockdowns and limited economic activities. </w:t>
      </w:r>
    </w:p>
    <w:p w:rsidR="008C2708" w:rsidRPr="00C07E78" w:rsidRDefault="008C2708" w:rsidP="00C07E78">
      <w:pPr>
        <w:spacing w:after="0" w:line="240" w:lineRule="auto"/>
        <w:rPr>
          <w:rFonts w:ascii="Arial" w:eastAsia="Times New Roman" w:hAnsi="Arial" w:cs="Arial"/>
          <w:sz w:val="20"/>
          <w:szCs w:val="20"/>
        </w:rPr>
      </w:pPr>
    </w:p>
    <w:p w:rsidR="008C2708" w:rsidRPr="00C07E78" w:rsidRDefault="008C2708"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Table 2 below provides an overview of the voted funds for each national department for the 2022/2023 financial year. </w:t>
      </w:r>
    </w:p>
    <w:p w:rsidR="008C2708" w:rsidRPr="00C07E78" w:rsidRDefault="008C2708" w:rsidP="00C07E78">
      <w:pPr>
        <w:spacing w:after="0" w:line="240" w:lineRule="auto"/>
        <w:rPr>
          <w:rFonts w:ascii="Arial" w:eastAsia="Times New Roman" w:hAnsi="Arial" w:cs="Arial"/>
          <w:b/>
          <w:sz w:val="20"/>
          <w:szCs w:val="20"/>
        </w:rPr>
      </w:pPr>
    </w:p>
    <w:p w:rsidR="009951CC" w:rsidRPr="00C07E78" w:rsidRDefault="009951CC" w:rsidP="00C07E78">
      <w:pPr>
        <w:spacing w:after="0" w:line="240" w:lineRule="auto"/>
        <w:rPr>
          <w:rFonts w:ascii="Arial" w:eastAsia="Times New Roman" w:hAnsi="Arial" w:cs="Arial"/>
          <w:b/>
          <w:sz w:val="20"/>
          <w:szCs w:val="20"/>
        </w:rPr>
      </w:pPr>
    </w:p>
    <w:p w:rsidR="009951CC" w:rsidRPr="00C07E78" w:rsidRDefault="009951CC" w:rsidP="00C07E78">
      <w:pPr>
        <w:spacing w:after="0" w:line="240" w:lineRule="auto"/>
        <w:rPr>
          <w:rFonts w:ascii="Arial" w:eastAsia="Times New Roman" w:hAnsi="Arial" w:cs="Arial"/>
          <w:b/>
          <w:sz w:val="20"/>
          <w:szCs w:val="20"/>
        </w:rPr>
      </w:pPr>
    </w:p>
    <w:p w:rsidR="009951CC" w:rsidRPr="00C07E78" w:rsidRDefault="009951CC" w:rsidP="00C07E78">
      <w:pPr>
        <w:spacing w:after="0" w:line="240" w:lineRule="auto"/>
        <w:rPr>
          <w:rFonts w:ascii="Arial" w:eastAsia="Times New Roman" w:hAnsi="Arial" w:cs="Arial"/>
          <w:b/>
          <w:sz w:val="20"/>
          <w:szCs w:val="20"/>
        </w:rPr>
      </w:pPr>
    </w:p>
    <w:p w:rsidR="009951CC" w:rsidRPr="00C07E78" w:rsidRDefault="009951CC" w:rsidP="00C07E78">
      <w:pPr>
        <w:spacing w:after="0" w:line="240" w:lineRule="auto"/>
        <w:rPr>
          <w:rFonts w:ascii="Arial" w:eastAsia="Times New Roman" w:hAnsi="Arial" w:cs="Arial"/>
          <w:b/>
          <w:sz w:val="20"/>
          <w:szCs w:val="20"/>
        </w:rPr>
      </w:pPr>
    </w:p>
    <w:p w:rsidR="00205D94" w:rsidRPr="00C07E78" w:rsidRDefault="00205D94" w:rsidP="00C07E78">
      <w:pPr>
        <w:spacing w:after="0" w:line="240" w:lineRule="auto"/>
        <w:rPr>
          <w:rFonts w:ascii="Arial" w:eastAsia="Times New Roman" w:hAnsi="Arial" w:cs="Arial"/>
          <w:b/>
          <w:sz w:val="20"/>
          <w:szCs w:val="20"/>
        </w:rPr>
      </w:pPr>
    </w:p>
    <w:p w:rsidR="00C529BB" w:rsidRPr="00C07E78" w:rsidRDefault="00C529BB" w:rsidP="00C07E78">
      <w:pPr>
        <w:spacing w:after="0" w:line="240" w:lineRule="auto"/>
        <w:rPr>
          <w:rFonts w:ascii="Arial" w:eastAsia="Times New Roman" w:hAnsi="Arial" w:cs="Arial"/>
          <w:b/>
          <w:sz w:val="20"/>
          <w:szCs w:val="20"/>
        </w:rPr>
      </w:pPr>
    </w:p>
    <w:p w:rsidR="009951CC" w:rsidRPr="00C07E78" w:rsidRDefault="009951CC" w:rsidP="00C07E78">
      <w:pPr>
        <w:spacing w:after="0" w:line="240" w:lineRule="auto"/>
        <w:rPr>
          <w:rFonts w:ascii="Arial" w:eastAsia="Times New Roman" w:hAnsi="Arial" w:cs="Arial"/>
          <w:b/>
          <w:sz w:val="20"/>
          <w:szCs w:val="20"/>
        </w:rPr>
      </w:pPr>
    </w:p>
    <w:p w:rsidR="009951CC" w:rsidRPr="00C07E78" w:rsidRDefault="009951CC" w:rsidP="00C07E78">
      <w:pPr>
        <w:spacing w:after="0" w:line="240" w:lineRule="auto"/>
        <w:rPr>
          <w:rFonts w:ascii="Arial" w:eastAsia="Times New Roman" w:hAnsi="Arial" w:cs="Arial"/>
          <w:b/>
          <w:sz w:val="20"/>
          <w:szCs w:val="20"/>
        </w:rPr>
      </w:pPr>
    </w:p>
    <w:p w:rsidR="009951CC" w:rsidRPr="00C07E78" w:rsidRDefault="003A61D3" w:rsidP="00C07E78">
      <w:pPr>
        <w:spacing w:after="0" w:line="240" w:lineRule="auto"/>
        <w:mirrorIndents/>
        <w:rPr>
          <w:rFonts w:ascii="Arial" w:hAnsi="Arial" w:cs="Arial"/>
          <w:sz w:val="20"/>
          <w:szCs w:val="20"/>
        </w:rPr>
      </w:pPr>
      <w:r w:rsidRPr="00C07E78">
        <w:rPr>
          <w:rFonts w:ascii="Arial" w:hAnsi="Arial" w:cs="Arial"/>
          <w:b/>
          <w:sz w:val="20"/>
          <w:szCs w:val="20"/>
        </w:rPr>
        <w:t xml:space="preserve">Table 2: </w:t>
      </w:r>
      <w:r w:rsidRPr="00C07E78">
        <w:rPr>
          <w:rFonts w:ascii="Arial" w:hAnsi="Arial" w:cs="Arial"/>
          <w:sz w:val="20"/>
          <w:szCs w:val="20"/>
        </w:rPr>
        <w:t>Appropriated funds per vote - 2021 Appropriation Bill</w:t>
      </w:r>
    </w:p>
    <w:p w:rsidR="009951CC" w:rsidRPr="00C07E78" w:rsidRDefault="00027A2D" w:rsidP="00C07E78">
      <w:pPr>
        <w:spacing w:after="0" w:line="240" w:lineRule="auto"/>
        <w:mirrorIndents/>
        <w:rPr>
          <w:rFonts w:ascii="Arial" w:hAnsi="Arial" w:cs="Arial"/>
          <w:sz w:val="20"/>
          <w:szCs w:val="20"/>
        </w:rPr>
      </w:pPr>
      <w:r w:rsidRPr="00C07E78">
        <w:rPr>
          <w:rFonts w:ascii="Arial" w:hAnsi="Arial" w:cs="Arial"/>
          <w:noProof/>
          <w:sz w:val="20"/>
          <w:szCs w:val="20"/>
          <w:lang w:val="en-US"/>
        </w:rPr>
        <w:lastRenderedPageBreak/>
        <w:drawing>
          <wp:inline distT="0" distB="0" distL="0" distR="0">
            <wp:extent cx="6234169" cy="7368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61697" cy="7401077"/>
                    </a:xfrm>
                    <a:prstGeom prst="rect">
                      <a:avLst/>
                    </a:prstGeom>
                    <a:noFill/>
                    <a:ln>
                      <a:noFill/>
                    </a:ln>
                  </pic:spPr>
                </pic:pic>
              </a:graphicData>
            </a:graphic>
          </wp:inline>
        </w:drawing>
      </w:r>
    </w:p>
    <w:p w:rsidR="003A61D3" w:rsidRPr="00C07E78" w:rsidRDefault="00572B4F" w:rsidP="00C07E78">
      <w:pPr>
        <w:spacing w:after="0" w:line="240" w:lineRule="auto"/>
        <w:mirrorIndents/>
        <w:rPr>
          <w:rFonts w:ascii="Arial" w:hAnsi="Arial" w:cs="Arial"/>
          <w:sz w:val="20"/>
          <w:szCs w:val="20"/>
        </w:rPr>
      </w:pPr>
      <w:r w:rsidRPr="00C07E78">
        <w:rPr>
          <w:rFonts w:ascii="Arial" w:hAnsi="Arial" w:cs="Arial"/>
          <w:sz w:val="20"/>
          <w:szCs w:val="20"/>
        </w:rPr>
        <w:fldChar w:fldCharType="begin"/>
      </w:r>
      <w:r w:rsidR="003A61D3" w:rsidRPr="00C07E78">
        <w:rPr>
          <w:rFonts w:ascii="Arial" w:hAnsi="Arial" w:cs="Arial"/>
          <w:sz w:val="20"/>
          <w:szCs w:val="20"/>
        </w:rPr>
        <w:instrText xml:space="preserve"> LINK Excel.Sheet.12 "C:\\Users\\smagagula\\Desktop\\Parliament Work\\Appropriations Committee\\2020_ Committee Activities\\Appropriation Bill\\Excel Tables\\ENE2020 Table 2.xlsx" "Table 2!R5C1:R49C12" \a \f 4 \h  \* MERGEFORMAT </w:instrText>
      </w:r>
      <w:r w:rsidRPr="00C07E78">
        <w:rPr>
          <w:rFonts w:ascii="Arial" w:hAnsi="Arial" w:cs="Arial"/>
          <w:sz w:val="20"/>
          <w:szCs w:val="20"/>
        </w:rPr>
        <w:fldChar w:fldCharType="end"/>
      </w:r>
      <w:r w:rsidR="003A61D3" w:rsidRPr="00C07E78">
        <w:rPr>
          <w:rFonts w:ascii="Arial" w:hAnsi="Arial" w:cs="Arial"/>
          <w:i/>
          <w:sz w:val="20"/>
          <w:szCs w:val="20"/>
        </w:rPr>
        <w:t>Source: National Treasury (2022 Appropriation Bill)</w:t>
      </w:r>
    </w:p>
    <w:p w:rsidR="008C2708" w:rsidRPr="00C07E78" w:rsidRDefault="008C2708"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The Bill also allocates funds in terms of economic classifications. It should be noted that even though the Bill allocates resources across the national sphere of government, 71.2 per cent of these allocations go into transfers and subsidies. These are transfers to provinces, municipalities, public corporations and other non-profit making entities. Current payments, payments for capital assets and payments for financial assets take up 24.9 per cent, </w:t>
      </w:r>
      <w:r w:rsidRPr="00C07E78">
        <w:rPr>
          <w:rFonts w:ascii="Arial" w:eastAsia="Times New Roman" w:hAnsi="Arial" w:cs="Arial"/>
          <w:sz w:val="20"/>
          <w:szCs w:val="20"/>
        </w:rPr>
        <w:lastRenderedPageBreak/>
        <w:t xml:space="preserve">1.5 per cent, and 2.4 per cent respectively. It is worth noting that the economic classifications for Vote 2 (Parliament) are determined by Parliament in terms of the Financial Management of Parliament Act, 2009 as amended. Table 3 below provides an overview of the allocations in terms of economic classification. </w:t>
      </w:r>
    </w:p>
    <w:p w:rsidR="008C2708" w:rsidRPr="00C07E78" w:rsidRDefault="008C2708" w:rsidP="00C07E78">
      <w:pPr>
        <w:spacing w:after="0" w:line="240" w:lineRule="auto"/>
        <w:rPr>
          <w:rFonts w:ascii="Arial" w:eastAsia="Times New Roman" w:hAnsi="Arial" w:cs="Arial"/>
          <w:sz w:val="20"/>
          <w:szCs w:val="20"/>
        </w:rPr>
      </w:pPr>
    </w:p>
    <w:p w:rsidR="003A61D3" w:rsidRPr="00C07E78" w:rsidRDefault="003A61D3" w:rsidP="00C07E78">
      <w:pPr>
        <w:spacing w:after="0" w:line="240" w:lineRule="auto"/>
        <w:rPr>
          <w:rFonts w:ascii="Arial" w:hAnsi="Arial" w:cs="Arial"/>
          <w:sz w:val="20"/>
          <w:szCs w:val="20"/>
        </w:rPr>
      </w:pPr>
      <w:r w:rsidRPr="00C07E78">
        <w:rPr>
          <w:rFonts w:ascii="Arial" w:hAnsi="Arial" w:cs="Arial"/>
          <w:b/>
          <w:sz w:val="20"/>
          <w:szCs w:val="20"/>
        </w:rPr>
        <w:t xml:space="preserve">Table 3: </w:t>
      </w:r>
      <w:r w:rsidRPr="00C07E78">
        <w:rPr>
          <w:rFonts w:ascii="Arial" w:hAnsi="Arial" w:cs="Arial"/>
          <w:sz w:val="20"/>
          <w:szCs w:val="20"/>
        </w:rPr>
        <w:t>Allocation per economic classification-2021 Appropriation Bill</w:t>
      </w:r>
      <w:r w:rsidR="00572B4F" w:rsidRPr="00C07E78">
        <w:rPr>
          <w:rFonts w:ascii="Arial" w:hAnsi="Arial" w:cs="Arial"/>
          <w:sz w:val="20"/>
          <w:szCs w:val="20"/>
        </w:rPr>
        <w:fldChar w:fldCharType="begin"/>
      </w:r>
      <w:r w:rsidRPr="00C07E78">
        <w:rPr>
          <w:rFonts w:ascii="Arial" w:hAnsi="Arial" w:cs="Arial"/>
          <w:sz w:val="20"/>
          <w:szCs w:val="20"/>
        </w:rPr>
        <w:instrText xml:space="preserve"> LINK Excel.Sheet.12 "C:\\Users\\smagagula\\Desktop\\Parliament Work\\Appropriations Committee\\2020_ Committee Activities\\Appropriation Bill\\Excel Tables\\ENE2020 Table 4.xlsx" "Table 4!R4C1:R10C11" \a \f 4 \h  \* MERGEFORMAT </w:instrText>
      </w:r>
      <w:r w:rsidR="00572B4F" w:rsidRPr="00C07E78">
        <w:rPr>
          <w:rFonts w:ascii="Arial" w:hAnsi="Arial" w:cs="Arial"/>
          <w:sz w:val="20"/>
          <w:szCs w:val="20"/>
        </w:rPr>
        <w:fldChar w:fldCharType="separate"/>
      </w:r>
    </w:p>
    <w:tbl>
      <w:tblPr>
        <w:tblW w:w="10109" w:type="dxa"/>
        <w:tblLook w:val="04A0"/>
      </w:tblPr>
      <w:tblGrid>
        <w:gridCol w:w="805"/>
        <w:gridCol w:w="1440"/>
        <w:gridCol w:w="1530"/>
        <w:gridCol w:w="1260"/>
        <w:gridCol w:w="1080"/>
        <w:gridCol w:w="1260"/>
        <w:gridCol w:w="1260"/>
        <w:gridCol w:w="1474"/>
      </w:tblGrid>
      <w:tr w:rsidR="003A61D3" w:rsidRPr="00C07E78" w:rsidTr="000A3A07">
        <w:trPr>
          <w:trHeight w:val="210"/>
        </w:trPr>
        <w:tc>
          <w:tcPr>
            <w:tcW w:w="805" w:type="dxa"/>
            <w:vMerge w:val="restart"/>
            <w:tcBorders>
              <w:top w:val="single" w:sz="4" w:space="0" w:color="auto"/>
              <w:left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sz w:val="20"/>
                <w:szCs w:val="20"/>
              </w:rPr>
            </w:pPr>
          </w:p>
        </w:tc>
        <w:tc>
          <w:tcPr>
            <w:tcW w:w="1440" w:type="dxa"/>
            <w:vMerge w:val="restart"/>
            <w:tcBorders>
              <w:top w:val="single" w:sz="4" w:space="0" w:color="auto"/>
              <w:left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Main Division</w:t>
            </w:r>
          </w:p>
          <w:p w:rsidR="003A61D3" w:rsidRPr="00C07E78" w:rsidRDefault="003A61D3" w:rsidP="00C07E78">
            <w:pPr>
              <w:spacing w:after="0" w:line="240" w:lineRule="auto"/>
              <w:rPr>
                <w:rFonts w:ascii="Arial" w:eastAsia="Times New Roman" w:hAnsi="Arial" w:cs="Arial"/>
                <w:bCs/>
                <w:sz w:val="20"/>
                <w:szCs w:val="20"/>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Current payments</w:t>
            </w:r>
          </w:p>
        </w:tc>
        <w:tc>
          <w:tcPr>
            <w:tcW w:w="1260" w:type="dxa"/>
            <w:vMerge w:val="restart"/>
            <w:tcBorders>
              <w:top w:val="single" w:sz="4" w:space="0" w:color="auto"/>
              <w:left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p>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Transfers and Subsidies</w:t>
            </w:r>
          </w:p>
        </w:tc>
        <w:tc>
          <w:tcPr>
            <w:tcW w:w="1260" w:type="dxa"/>
            <w:vMerge w:val="restart"/>
            <w:tcBorders>
              <w:top w:val="single" w:sz="4" w:space="0" w:color="auto"/>
              <w:left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Payments for Capital Assets</w:t>
            </w:r>
          </w:p>
        </w:tc>
        <w:tc>
          <w:tcPr>
            <w:tcW w:w="1474" w:type="dxa"/>
            <w:vMerge w:val="restart"/>
            <w:tcBorders>
              <w:top w:val="single" w:sz="4" w:space="0" w:color="auto"/>
              <w:left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p>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Payments for Financial Assets</w:t>
            </w:r>
          </w:p>
        </w:tc>
      </w:tr>
      <w:tr w:rsidR="003A61D3" w:rsidRPr="00C07E78" w:rsidTr="000A3A07">
        <w:trPr>
          <w:trHeight w:val="210"/>
        </w:trPr>
        <w:tc>
          <w:tcPr>
            <w:tcW w:w="805" w:type="dxa"/>
            <w:vMerge/>
            <w:tcBorders>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sz w:val="20"/>
                <w:szCs w:val="20"/>
              </w:rPr>
            </w:pPr>
          </w:p>
        </w:tc>
        <w:tc>
          <w:tcPr>
            <w:tcW w:w="1440" w:type="dxa"/>
            <w:vMerge/>
            <w:tcBorders>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Compensation of employees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Goods and Services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Interest and Rent on Land</w:t>
            </w:r>
          </w:p>
        </w:tc>
        <w:tc>
          <w:tcPr>
            <w:tcW w:w="1260" w:type="dxa"/>
            <w:vMerge/>
            <w:tcBorders>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p>
        </w:tc>
        <w:tc>
          <w:tcPr>
            <w:tcW w:w="1260" w:type="dxa"/>
            <w:vMerge/>
            <w:tcBorders>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p>
        </w:tc>
        <w:tc>
          <w:tcPr>
            <w:tcW w:w="1474" w:type="dxa"/>
            <w:vMerge/>
            <w:tcBorders>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p>
        </w:tc>
      </w:tr>
      <w:tr w:rsidR="003A61D3" w:rsidRPr="00C07E78" w:rsidTr="000A3A07">
        <w:trPr>
          <w:trHeight w:val="21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R'000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R'000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R'000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R'000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R'000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R'000</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R'000</w:t>
            </w:r>
          </w:p>
        </w:tc>
      </w:tr>
      <w:tr w:rsidR="003A61D3" w:rsidRPr="00C07E78" w:rsidTr="000A3A07">
        <w:trPr>
          <w:trHeight w:val="270"/>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A61D3" w:rsidRPr="00C07E78" w:rsidRDefault="003A61D3"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Total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 xml:space="preserve">1 057 028 607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A61D3" w:rsidRPr="00C07E78" w:rsidRDefault="003A61D3"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178 051 260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A61D3" w:rsidRPr="00C07E78" w:rsidRDefault="003A61D3"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81 003 066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A61D3" w:rsidRPr="00C07E78" w:rsidRDefault="003A61D3"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213 664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A61D3" w:rsidRPr="00C07E78" w:rsidRDefault="003A61D3"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754 479 446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A61D3" w:rsidRPr="00C07E78" w:rsidRDefault="003A61D3" w:rsidP="00C07E78">
            <w:pPr>
              <w:spacing w:after="0" w:line="240" w:lineRule="auto"/>
              <w:rPr>
                <w:rFonts w:ascii="Arial" w:eastAsia="Times New Roman" w:hAnsi="Arial" w:cs="Arial"/>
                <w:bCs/>
                <w:sz w:val="20"/>
                <w:szCs w:val="20"/>
              </w:rPr>
            </w:pPr>
            <w:r w:rsidRPr="00C07E78">
              <w:rPr>
                <w:rFonts w:ascii="Arial" w:eastAsia="Times New Roman" w:hAnsi="Arial" w:cs="Arial"/>
                <w:bCs/>
                <w:sz w:val="20"/>
                <w:szCs w:val="20"/>
              </w:rPr>
              <w:t xml:space="preserve">15 492 270              </w:t>
            </w:r>
          </w:p>
        </w:tc>
        <w:tc>
          <w:tcPr>
            <w:tcW w:w="1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A61D3" w:rsidRPr="00C07E78" w:rsidRDefault="003A61D3"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25 576 658   </w:t>
            </w:r>
          </w:p>
        </w:tc>
      </w:tr>
    </w:tbl>
    <w:p w:rsidR="003A61D3" w:rsidRPr="00C07E78" w:rsidRDefault="00572B4F" w:rsidP="00C07E78">
      <w:pPr>
        <w:spacing w:after="0" w:line="240" w:lineRule="auto"/>
        <w:rPr>
          <w:rFonts w:ascii="Arial" w:eastAsia="Times New Roman" w:hAnsi="Arial" w:cs="Arial"/>
          <w:i/>
          <w:sz w:val="20"/>
          <w:szCs w:val="20"/>
        </w:rPr>
      </w:pPr>
      <w:r w:rsidRPr="00C07E78">
        <w:rPr>
          <w:rFonts w:ascii="Arial" w:eastAsia="Times New Roman" w:hAnsi="Arial" w:cs="Arial"/>
          <w:color w:val="FF0000"/>
          <w:sz w:val="20"/>
          <w:szCs w:val="20"/>
        </w:rPr>
        <w:fldChar w:fldCharType="end"/>
      </w:r>
      <w:r w:rsidR="003A61D3" w:rsidRPr="00C07E78">
        <w:rPr>
          <w:rFonts w:ascii="Arial" w:eastAsia="Times New Roman" w:hAnsi="Arial" w:cs="Arial"/>
          <w:i/>
          <w:sz w:val="20"/>
          <w:szCs w:val="20"/>
        </w:rPr>
        <w:t>Source: National Treasury (2022 Appropriation Bill)</w:t>
      </w:r>
    </w:p>
    <w:p w:rsidR="00BE5FE6" w:rsidRPr="00C07E78" w:rsidRDefault="00BE5FE6" w:rsidP="00C07E78">
      <w:pPr>
        <w:spacing w:after="0" w:line="240" w:lineRule="auto"/>
        <w:rPr>
          <w:rFonts w:ascii="Arial" w:eastAsia="Times New Roman" w:hAnsi="Arial" w:cs="Arial"/>
          <w:sz w:val="20"/>
          <w:szCs w:val="20"/>
        </w:rPr>
      </w:pPr>
    </w:p>
    <w:p w:rsidR="00BE5FE6" w:rsidRPr="00C07E78" w:rsidRDefault="00BE5FE6" w:rsidP="00C07E78">
      <w:pPr>
        <w:numPr>
          <w:ilvl w:val="0"/>
          <w:numId w:val="4"/>
        </w:numPr>
        <w:spacing w:after="0" w:line="240" w:lineRule="auto"/>
        <w:ind w:left="567" w:hanging="567"/>
        <w:contextualSpacing/>
        <w:rPr>
          <w:rFonts w:ascii="Arial" w:eastAsia="Times New Roman" w:hAnsi="Arial" w:cs="Arial"/>
          <w:b/>
          <w:sz w:val="20"/>
          <w:szCs w:val="20"/>
        </w:rPr>
      </w:pPr>
      <w:r w:rsidRPr="00C07E78">
        <w:rPr>
          <w:rFonts w:ascii="Arial" w:eastAsia="Times New Roman" w:hAnsi="Arial" w:cs="Arial"/>
          <w:b/>
          <w:sz w:val="20"/>
          <w:szCs w:val="20"/>
        </w:rPr>
        <w:t>Comments and hearings on 2021 Appropriation Bill with identified stakeholders</w:t>
      </w:r>
    </w:p>
    <w:p w:rsidR="00BE5FE6" w:rsidRPr="00C07E78" w:rsidRDefault="00BE5FE6" w:rsidP="00C07E78">
      <w:pPr>
        <w:spacing w:after="0" w:line="240" w:lineRule="auto"/>
        <w:rPr>
          <w:rFonts w:ascii="Arial" w:eastAsia="Times New Roman" w:hAnsi="Arial" w:cs="Arial"/>
          <w:sz w:val="20"/>
          <w:szCs w:val="20"/>
        </w:rPr>
      </w:pPr>
    </w:p>
    <w:p w:rsidR="00BE5FE6" w:rsidRPr="00C07E78" w:rsidRDefault="00BE5FE6"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The sections below provide a summary of the comments that were made by the invited stakeholders on the Bill. </w:t>
      </w:r>
    </w:p>
    <w:p w:rsidR="00BE5FE6" w:rsidRPr="00C07E78" w:rsidRDefault="00BE5FE6" w:rsidP="00C07E78">
      <w:pPr>
        <w:spacing w:after="0" w:line="240" w:lineRule="auto"/>
        <w:rPr>
          <w:rFonts w:ascii="Arial" w:eastAsia="Times New Roman" w:hAnsi="Arial" w:cs="Arial"/>
          <w:sz w:val="20"/>
          <w:szCs w:val="20"/>
        </w:rPr>
      </w:pPr>
    </w:p>
    <w:p w:rsidR="00BE5FE6" w:rsidRPr="00C07E78" w:rsidRDefault="00BE5FE6" w:rsidP="00C07E78">
      <w:pPr>
        <w:numPr>
          <w:ilvl w:val="1"/>
          <w:numId w:val="2"/>
        </w:numPr>
        <w:spacing w:after="0" w:line="240" w:lineRule="auto"/>
        <w:ind w:left="567" w:hanging="567"/>
        <w:contextualSpacing/>
        <w:rPr>
          <w:rFonts w:ascii="Arial" w:eastAsia="Times New Roman" w:hAnsi="Arial" w:cs="Arial"/>
          <w:b/>
          <w:sz w:val="20"/>
          <w:szCs w:val="20"/>
        </w:rPr>
      </w:pPr>
      <w:r w:rsidRPr="00C07E78">
        <w:rPr>
          <w:rFonts w:ascii="Arial" w:eastAsia="Times New Roman" w:hAnsi="Arial" w:cs="Arial"/>
          <w:b/>
          <w:sz w:val="20"/>
          <w:szCs w:val="20"/>
        </w:rPr>
        <w:t xml:space="preserve">National Treasury  </w:t>
      </w:r>
    </w:p>
    <w:p w:rsidR="00BE5FE6" w:rsidRPr="00C07E78" w:rsidRDefault="00BE5FE6" w:rsidP="00C07E78">
      <w:pPr>
        <w:spacing w:after="0" w:line="240" w:lineRule="auto"/>
        <w:rPr>
          <w:rFonts w:ascii="Arial" w:eastAsia="Times New Roman" w:hAnsi="Arial" w:cs="Arial"/>
          <w:sz w:val="20"/>
          <w:szCs w:val="20"/>
        </w:rPr>
      </w:pPr>
    </w:p>
    <w:p w:rsidR="000A3A07" w:rsidRPr="00C07E78" w:rsidRDefault="000A3A07"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National Treasury outlined the legislative process governing the processes that relates to the passing of the Appropriation Bill as outlined in Money Bills Amendment Procedure and Related Matters Act of 2009, as amended. Furthermore, National Treasury outlined the provisions made in section 29 of the PFMA, which makes provision for spending of government funds before the Appropriation Bill is passed. The Bill provides for the appropriation of money from the National Revenue Fund with spending subject to provisions contained in the PFMA (as amended). Furthermore, National Treasury presented an overview of the 2022 Appropriation Bill relative</w:t>
      </w:r>
      <w:r w:rsidR="000E7FB7" w:rsidRPr="00C07E78">
        <w:rPr>
          <w:rFonts w:ascii="Arial" w:eastAsia="Times New Roman" w:hAnsi="Arial" w:cs="Arial"/>
          <w:sz w:val="20"/>
          <w:szCs w:val="20"/>
        </w:rPr>
        <w:t xml:space="preserve"> to the 2021 budget estimates. </w:t>
      </w:r>
      <w:r w:rsidR="00040419" w:rsidRPr="00C07E78">
        <w:rPr>
          <w:rFonts w:ascii="Arial" w:eastAsia="Times New Roman" w:hAnsi="Arial" w:cs="Arial"/>
          <w:sz w:val="20"/>
          <w:szCs w:val="20"/>
        </w:rPr>
        <w:t>National T</w:t>
      </w:r>
      <w:r w:rsidRPr="00C07E78">
        <w:rPr>
          <w:rFonts w:ascii="Arial" w:eastAsia="Times New Roman" w:hAnsi="Arial" w:cs="Arial"/>
          <w:sz w:val="20"/>
          <w:szCs w:val="20"/>
        </w:rPr>
        <w:t>reasury also briefed the Committee on the prel</w:t>
      </w:r>
      <w:r w:rsidR="00040419" w:rsidRPr="00C07E78">
        <w:rPr>
          <w:rFonts w:ascii="Arial" w:eastAsia="Times New Roman" w:hAnsi="Arial" w:cs="Arial"/>
          <w:sz w:val="20"/>
          <w:szCs w:val="20"/>
        </w:rPr>
        <w:t>iminary expenditure outcomes for</w:t>
      </w:r>
      <w:r w:rsidRPr="00C07E78">
        <w:rPr>
          <w:rFonts w:ascii="Arial" w:eastAsia="Times New Roman" w:hAnsi="Arial" w:cs="Arial"/>
          <w:sz w:val="20"/>
          <w:szCs w:val="20"/>
        </w:rPr>
        <w:t xml:space="preserve"> national departments as at the end of the 2021/22 financial year. </w:t>
      </w:r>
    </w:p>
    <w:p w:rsidR="00BE5FE6" w:rsidRPr="00C07E78" w:rsidRDefault="00BE5FE6" w:rsidP="00C07E78">
      <w:pPr>
        <w:spacing w:after="0" w:line="240" w:lineRule="auto"/>
        <w:contextualSpacing/>
        <w:rPr>
          <w:rFonts w:ascii="Arial" w:hAnsi="Arial" w:cs="Arial"/>
          <w:sz w:val="20"/>
          <w:szCs w:val="20"/>
        </w:rPr>
      </w:pPr>
    </w:p>
    <w:p w:rsidR="00700082" w:rsidRPr="00C07E78" w:rsidRDefault="00700082" w:rsidP="00C07E78">
      <w:pPr>
        <w:numPr>
          <w:ilvl w:val="1"/>
          <w:numId w:val="2"/>
        </w:numPr>
        <w:spacing w:after="0" w:line="240" w:lineRule="auto"/>
        <w:ind w:left="540" w:hanging="540"/>
        <w:contextualSpacing/>
        <w:rPr>
          <w:rFonts w:ascii="Arial" w:eastAsia="Times New Roman" w:hAnsi="Arial" w:cs="Arial"/>
          <w:b/>
          <w:sz w:val="20"/>
          <w:szCs w:val="20"/>
        </w:rPr>
      </w:pPr>
      <w:r w:rsidRPr="00C07E78">
        <w:rPr>
          <w:rFonts w:ascii="Arial" w:eastAsia="Times New Roman" w:hAnsi="Arial" w:cs="Arial"/>
          <w:b/>
          <w:sz w:val="20"/>
          <w:szCs w:val="20"/>
        </w:rPr>
        <w:t>Parliamentary Budget Office</w:t>
      </w:r>
    </w:p>
    <w:p w:rsidR="00700082" w:rsidRPr="00C07E78" w:rsidRDefault="00700082" w:rsidP="00C07E78">
      <w:pPr>
        <w:spacing w:after="0" w:line="240" w:lineRule="auto"/>
        <w:contextualSpacing/>
        <w:rPr>
          <w:rFonts w:ascii="Arial" w:eastAsia="Times New Roman" w:hAnsi="Arial" w:cs="Arial"/>
          <w:b/>
          <w:sz w:val="20"/>
          <w:szCs w:val="20"/>
        </w:rPr>
      </w:pPr>
    </w:p>
    <w:p w:rsidR="00700082" w:rsidRPr="00C07E78" w:rsidRDefault="00700082" w:rsidP="00C07E78">
      <w:pPr>
        <w:spacing w:after="0" w:line="240" w:lineRule="auto"/>
        <w:contextualSpacing/>
        <w:rPr>
          <w:rFonts w:ascii="Arial" w:eastAsia="Times New Roman" w:hAnsi="Arial" w:cs="Arial"/>
          <w:sz w:val="20"/>
          <w:szCs w:val="20"/>
        </w:rPr>
      </w:pPr>
      <w:r w:rsidRPr="00C07E78">
        <w:rPr>
          <w:rFonts w:ascii="Arial" w:eastAsia="Times New Roman" w:hAnsi="Arial" w:cs="Arial"/>
          <w:sz w:val="20"/>
          <w:szCs w:val="20"/>
        </w:rPr>
        <w:t xml:space="preserve">The Parliamentary Budget Office (PBO) confirmed that the total amount to be appropriated was R1 959 billion, excluding the provisional allocations, infrastructure fund not assigned to Votes and the contingency reserve. The PBO explained that the national allocation included the total Vote appropriations, which comprised all the conditional grants, except for the local government equitable share. On the other hand, the provincial and local government allocations only included the equitable shares. The PBO added that the Bill included the debt service costs and, amongst others, the fuel and skills levies. Further, the PBO, commented that the Bill included disaggregation per main division, except for Vote 2: Parliament. The PBO highlighted that the total increase since 2021/22 was R149.08 billion. </w:t>
      </w:r>
    </w:p>
    <w:p w:rsidR="00700082" w:rsidRPr="00C07E78" w:rsidRDefault="00700082" w:rsidP="00C07E78">
      <w:pPr>
        <w:spacing w:after="0" w:line="240" w:lineRule="auto"/>
        <w:contextualSpacing/>
        <w:rPr>
          <w:rFonts w:ascii="Arial" w:eastAsia="Times New Roman" w:hAnsi="Arial" w:cs="Arial"/>
          <w:sz w:val="20"/>
          <w:szCs w:val="20"/>
        </w:rPr>
      </w:pPr>
    </w:p>
    <w:p w:rsidR="00700082" w:rsidRPr="00C07E78" w:rsidRDefault="00700082" w:rsidP="00C07E78">
      <w:pPr>
        <w:spacing w:after="0" w:line="240" w:lineRule="auto"/>
        <w:contextualSpacing/>
        <w:rPr>
          <w:rFonts w:ascii="Arial" w:eastAsia="Times New Roman" w:hAnsi="Arial" w:cs="Arial"/>
          <w:sz w:val="20"/>
          <w:szCs w:val="20"/>
        </w:rPr>
      </w:pPr>
      <w:r w:rsidRPr="00C07E78">
        <w:rPr>
          <w:rFonts w:ascii="Arial" w:eastAsia="Times New Roman" w:hAnsi="Arial" w:cs="Arial"/>
          <w:sz w:val="20"/>
          <w:szCs w:val="20"/>
        </w:rPr>
        <w:t xml:space="preserve">The PBO commented that additional funding in the 2022/23 financial year adjustments to the main budget had been made possible by an improved revenue outlook. Upward adjustments included compensation of employees, specifically for Health, Education and Police. The PBO was of the view, however, that increases to the local government did not guarantee that the needs of indigent households would be sufficiently met; especially if the systemic financial and operational challenges were not addressed. The PBO further warned that any new spending commitments, such as additional social protection, must be fully financed by tax measures or spending cuts; and that any shortfall in revenue collection, affecting expenditure would have to be absorbed within existing baselines. On transfers and subsidies, including transfers for specific purposes, the PBO indicated that appropriations for emergencies or disasters were contained in Vote 33: Human Settlements and Vote 40: Transport. </w:t>
      </w:r>
    </w:p>
    <w:p w:rsidR="00700082" w:rsidRPr="00C07E78" w:rsidRDefault="00700082" w:rsidP="00C07E78">
      <w:pPr>
        <w:spacing w:after="0" w:line="240" w:lineRule="auto"/>
        <w:contextualSpacing/>
        <w:rPr>
          <w:rFonts w:ascii="Arial" w:eastAsia="Times New Roman" w:hAnsi="Arial" w:cs="Arial"/>
          <w:sz w:val="20"/>
          <w:szCs w:val="20"/>
        </w:rPr>
      </w:pPr>
    </w:p>
    <w:p w:rsidR="00700082" w:rsidRPr="00C07E78" w:rsidRDefault="00700082" w:rsidP="00C07E78">
      <w:pPr>
        <w:spacing w:after="0" w:line="240" w:lineRule="auto"/>
        <w:contextualSpacing/>
        <w:rPr>
          <w:rFonts w:ascii="Arial" w:eastAsia="Times New Roman" w:hAnsi="Arial" w:cs="Arial"/>
          <w:sz w:val="20"/>
          <w:szCs w:val="20"/>
        </w:rPr>
      </w:pPr>
      <w:r w:rsidRPr="00C07E78">
        <w:rPr>
          <w:rFonts w:ascii="Arial" w:eastAsia="Times New Roman" w:hAnsi="Arial" w:cs="Arial"/>
          <w:sz w:val="20"/>
          <w:szCs w:val="20"/>
        </w:rPr>
        <w:t>With respect to risks to the 2022 Appropriations, the PBO warned that contingent liabilities placed significant pressure on public finances, diverting resources away from spending priorities and negatively impacting sustainability. The PBO highlighted that the contingent liabilities, which included guarantees to state-owned entities (SOEs), independent power producers, public-private partnerships and provisions for multilateral institutions, amounted to R1.17 trillion</w:t>
      </w:r>
      <w:r w:rsidR="00251A6F" w:rsidRPr="00C07E78">
        <w:rPr>
          <w:rFonts w:ascii="Arial" w:eastAsia="Times New Roman" w:hAnsi="Arial" w:cs="Arial"/>
          <w:sz w:val="20"/>
          <w:szCs w:val="20"/>
        </w:rPr>
        <w:t xml:space="preserve"> in 2022</w:t>
      </w:r>
      <w:r w:rsidRPr="00C07E78">
        <w:rPr>
          <w:rFonts w:ascii="Arial" w:eastAsia="Times New Roman" w:hAnsi="Arial" w:cs="Arial"/>
          <w:sz w:val="20"/>
          <w:szCs w:val="20"/>
        </w:rPr>
        <w:t xml:space="preserve"> and therefore it was critical that government monitored and updated </w:t>
      </w:r>
      <w:r w:rsidRPr="00C07E78">
        <w:rPr>
          <w:rFonts w:ascii="Arial" w:eastAsia="Times New Roman" w:hAnsi="Arial" w:cs="Arial"/>
          <w:sz w:val="20"/>
          <w:szCs w:val="20"/>
        </w:rPr>
        <w:lastRenderedPageBreak/>
        <w:t xml:space="preserve">them. The PBO indicated that support to SOEs posed a further risk to the 2022 Appropriations. This support included R33.9 billion to settle the government-guaranteed debt of Eskom (R21.9 billion) and South African Airways (R1.8 billion); R3 billion for Denel to meet its general obligations; and R22 billion for the South African Special Risks Insurance Association (SASRIA) to settle the high volume of claims and ensure that the insurer had sufficient capital to meet regulatory requirements. The PBO submitted that the financial position of SOEs was under pressure, such that in order to meet short-term obligations in 2021, most of these companies deferred their capital investment projects to preserve cash; resulting in a 6.2 percent decline in their consolidated asset base. </w:t>
      </w:r>
    </w:p>
    <w:p w:rsidR="00700082" w:rsidRPr="00C07E78" w:rsidRDefault="00700082" w:rsidP="00C07E78">
      <w:pPr>
        <w:spacing w:after="0" w:line="240" w:lineRule="auto"/>
        <w:contextualSpacing/>
        <w:rPr>
          <w:rFonts w:ascii="Arial" w:eastAsia="Times New Roman" w:hAnsi="Arial" w:cs="Arial"/>
          <w:sz w:val="20"/>
          <w:szCs w:val="20"/>
        </w:rPr>
      </w:pPr>
    </w:p>
    <w:p w:rsidR="00700082" w:rsidRPr="00C07E78" w:rsidRDefault="00700082" w:rsidP="00C07E78">
      <w:pPr>
        <w:spacing w:after="0" w:line="240" w:lineRule="auto"/>
        <w:contextualSpacing/>
        <w:rPr>
          <w:rFonts w:ascii="Arial" w:eastAsia="Times New Roman" w:hAnsi="Arial" w:cs="Arial"/>
          <w:sz w:val="20"/>
          <w:szCs w:val="20"/>
        </w:rPr>
      </w:pPr>
      <w:r w:rsidRPr="00C07E78">
        <w:rPr>
          <w:rFonts w:ascii="Arial" w:eastAsia="Times New Roman" w:hAnsi="Arial" w:cs="Arial"/>
          <w:sz w:val="20"/>
          <w:szCs w:val="20"/>
        </w:rPr>
        <w:t xml:space="preserve">The PBO further submitted that the sustainability indicators and the high unauthorised expenditure painted a picture of departments unable to operate within their budgets, resulting in deficits, cash shortfalls and bank overdrafts. </w:t>
      </w:r>
    </w:p>
    <w:p w:rsidR="00700082" w:rsidRPr="00C07E78" w:rsidRDefault="00700082" w:rsidP="00C07E78">
      <w:pPr>
        <w:spacing w:after="0" w:line="240" w:lineRule="auto"/>
        <w:contextualSpacing/>
        <w:rPr>
          <w:rFonts w:ascii="Arial" w:eastAsia="Times New Roman" w:hAnsi="Arial" w:cs="Arial"/>
          <w:sz w:val="20"/>
          <w:szCs w:val="20"/>
        </w:rPr>
      </w:pPr>
    </w:p>
    <w:p w:rsidR="00BE5FE6" w:rsidRPr="00C07E78" w:rsidRDefault="00BE5FE6" w:rsidP="00C07E78">
      <w:pPr>
        <w:numPr>
          <w:ilvl w:val="1"/>
          <w:numId w:val="2"/>
        </w:numPr>
        <w:spacing w:after="0" w:line="240" w:lineRule="auto"/>
        <w:ind w:left="540" w:hanging="540"/>
        <w:contextualSpacing/>
        <w:rPr>
          <w:rFonts w:ascii="Arial" w:eastAsia="Times New Roman" w:hAnsi="Arial" w:cs="Arial"/>
          <w:b/>
          <w:sz w:val="20"/>
          <w:szCs w:val="20"/>
        </w:rPr>
      </w:pPr>
      <w:r w:rsidRPr="00C07E78">
        <w:rPr>
          <w:rFonts w:ascii="Arial" w:eastAsia="Times New Roman" w:hAnsi="Arial" w:cs="Arial"/>
          <w:b/>
          <w:sz w:val="20"/>
          <w:szCs w:val="20"/>
        </w:rPr>
        <w:t xml:space="preserve">Financial and Fiscal Commission </w:t>
      </w:r>
    </w:p>
    <w:p w:rsidR="00BE5FE6" w:rsidRPr="00C07E78" w:rsidRDefault="00BE5FE6" w:rsidP="00C07E78">
      <w:pPr>
        <w:spacing w:after="0" w:line="240" w:lineRule="auto"/>
        <w:ind w:left="540"/>
        <w:contextualSpacing/>
        <w:rPr>
          <w:rFonts w:ascii="Arial" w:eastAsia="Times New Roman" w:hAnsi="Arial" w:cs="Arial"/>
          <w:b/>
          <w:sz w:val="20"/>
          <w:szCs w:val="20"/>
        </w:rPr>
      </w:pPr>
    </w:p>
    <w:p w:rsidR="009F06FE" w:rsidRPr="00C07E78" w:rsidRDefault="009F06FE" w:rsidP="00C07E78">
      <w:pPr>
        <w:spacing w:after="0" w:line="240" w:lineRule="auto"/>
        <w:rPr>
          <w:rFonts w:ascii="Arial" w:eastAsia="Times New Roman" w:hAnsi="Arial" w:cs="Arial"/>
          <w:color w:val="000000"/>
          <w:spacing w:val="6"/>
          <w:sz w:val="20"/>
          <w:szCs w:val="20"/>
          <w:lang w:eastAsia="en-GB"/>
        </w:rPr>
      </w:pPr>
      <w:r w:rsidRPr="00C07E78">
        <w:rPr>
          <w:rFonts w:ascii="Arial" w:eastAsia="Times New Roman" w:hAnsi="Arial" w:cs="Arial"/>
          <w:color w:val="000000"/>
          <w:spacing w:val="6"/>
          <w:sz w:val="20"/>
          <w:szCs w:val="20"/>
          <w:lang w:eastAsia="en-GB"/>
        </w:rPr>
        <w:t xml:space="preserve">The Financial and Fiscal Commission (FFC) noted that the allocation to Vote 17: Higher Education and Training would increase from R98 billion in the 2021/22 financial year to R110 billion in 2022/23; due to additional funding of R32.6 billion to the National Student Financial Aid Scheme (NSFAS) for strengthening fee-free higher education. This was made possible as a result of the revenue windfall. However, the FFC warned that the funding of new students created future funding obligations. If revenue did not recover, the Department of Higher Education and Training’s budget would be under severe pressure, which could lead to under-funding of priorities. </w:t>
      </w:r>
    </w:p>
    <w:p w:rsidR="009F06FE" w:rsidRPr="00C07E78" w:rsidRDefault="009F06FE" w:rsidP="00C07E78">
      <w:pPr>
        <w:spacing w:after="0" w:line="240" w:lineRule="auto"/>
        <w:rPr>
          <w:rFonts w:ascii="Arial" w:eastAsia="Times New Roman" w:hAnsi="Arial" w:cs="Arial"/>
          <w:color w:val="000000"/>
          <w:spacing w:val="6"/>
          <w:sz w:val="20"/>
          <w:szCs w:val="20"/>
          <w:lang w:eastAsia="en-GB"/>
        </w:rPr>
      </w:pPr>
    </w:p>
    <w:p w:rsidR="009F06FE" w:rsidRPr="00C07E78" w:rsidRDefault="009F06FE" w:rsidP="00C07E78">
      <w:pPr>
        <w:spacing w:after="0" w:line="240" w:lineRule="auto"/>
        <w:rPr>
          <w:rFonts w:ascii="Arial" w:eastAsia="Times New Roman" w:hAnsi="Arial" w:cs="Arial"/>
          <w:color w:val="000000"/>
          <w:spacing w:val="6"/>
          <w:sz w:val="20"/>
          <w:szCs w:val="20"/>
          <w:lang w:eastAsia="en-GB"/>
        </w:rPr>
      </w:pPr>
      <w:r w:rsidRPr="00C07E78">
        <w:rPr>
          <w:rFonts w:ascii="Arial" w:eastAsia="Times New Roman" w:hAnsi="Arial" w:cs="Arial"/>
          <w:color w:val="000000"/>
          <w:spacing w:val="6"/>
          <w:sz w:val="20"/>
          <w:szCs w:val="20"/>
          <w:lang w:eastAsia="en-GB"/>
        </w:rPr>
        <w:t>The FFC further noted the positive growth projected for allocations to Vote 16: Basic Education over the next three years; as well as the strong growth projected for</w:t>
      </w:r>
      <w:r w:rsidR="009B0ACB" w:rsidRPr="00C07E78">
        <w:rPr>
          <w:rFonts w:ascii="Arial" w:eastAsia="Times New Roman" w:hAnsi="Arial" w:cs="Arial"/>
          <w:color w:val="000000"/>
          <w:spacing w:val="6"/>
          <w:sz w:val="20"/>
          <w:szCs w:val="20"/>
          <w:lang w:eastAsia="en-GB"/>
        </w:rPr>
        <w:t xml:space="preserve"> Vote 3: Cooperative Governance</w:t>
      </w:r>
      <w:r w:rsidRPr="00C07E78">
        <w:rPr>
          <w:rFonts w:ascii="Arial" w:eastAsia="Times New Roman" w:hAnsi="Arial" w:cs="Arial"/>
          <w:color w:val="000000"/>
          <w:spacing w:val="6"/>
          <w:sz w:val="20"/>
          <w:szCs w:val="20"/>
          <w:lang w:eastAsia="en-GB"/>
        </w:rPr>
        <w:t xml:space="preserve">, where the increased funding of R28.9 billion was directed at the equitable share allocation to municipalities. Alongside increases to social protection programmes, the FFC pointed out that the Bill showed strengthening of allocations to economic development-related departments, reinforcing the infrastructure-led growth approach. With respect to job creation, the FFC noted that R9 billion was allocated to various votes through the Presidential Employment Initiative. The FFC supported government’s decision to prioritise funding for social protection alongside increases for key votes within the economic development cluster. However, the FFC strongly emphasised that a number of the increases were temporary and enabled by the revenue windfall; and that the increases across certain sectors would create future funding obligations for departments. In addition to the additional funding to NSFAS, mentioned above, this included the R24.6 billion allocated to the Department of Basic Education to hire teachers. In light of the fact that projections for total allocations by vote already showed a decline for the 2023/24 financial year, the FFC advised departments to be aware of the potential risk and to be proactive in terms of developing contingency plans to fund commitments, should the recovery of revenue not be realised. In particular, the FFC emphasised the importance of ensuring that the process related to the introduction of the New Higher Education Funding Model unfolded swiftly and was concluded in time for introduction in 2023.  </w:t>
      </w:r>
    </w:p>
    <w:p w:rsidR="00BE5FE6" w:rsidRPr="00C07E78" w:rsidRDefault="00BE5FE6" w:rsidP="00C07E78">
      <w:pPr>
        <w:spacing w:after="0" w:line="240" w:lineRule="auto"/>
        <w:rPr>
          <w:rFonts w:ascii="Arial" w:eastAsia="Times New Roman" w:hAnsi="Arial" w:cs="Arial"/>
          <w:sz w:val="20"/>
          <w:szCs w:val="20"/>
        </w:rPr>
      </w:pPr>
    </w:p>
    <w:p w:rsidR="00BE5FE6" w:rsidRPr="00C07E78" w:rsidRDefault="00BE5FE6" w:rsidP="00C07E78">
      <w:pPr>
        <w:numPr>
          <w:ilvl w:val="0"/>
          <w:numId w:val="3"/>
        </w:numPr>
        <w:spacing w:after="0" w:line="240" w:lineRule="auto"/>
        <w:ind w:left="709" w:hanging="709"/>
        <w:contextualSpacing/>
        <w:rPr>
          <w:rFonts w:ascii="Arial" w:eastAsia="Times New Roman" w:hAnsi="Arial" w:cs="Arial"/>
          <w:b/>
          <w:sz w:val="20"/>
          <w:szCs w:val="20"/>
        </w:rPr>
      </w:pPr>
      <w:r w:rsidRPr="00C07E78">
        <w:rPr>
          <w:rFonts w:ascii="Arial" w:eastAsia="Times New Roman" w:hAnsi="Arial" w:cs="Arial"/>
          <w:b/>
          <w:sz w:val="20"/>
          <w:szCs w:val="20"/>
        </w:rPr>
        <w:t xml:space="preserve">Departmental oral and written submissions </w:t>
      </w:r>
    </w:p>
    <w:p w:rsidR="00BE5FE6" w:rsidRPr="00C07E78" w:rsidRDefault="00BE5FE6" w:rsidP="00C07E78">
      <w:pPr>
        <w:spacing w:after="0" w:line="240" w:lineRule="auto"/>
        <w:contextualSpacing/>
        <w:rPr>
          <w:rFonts w:ascii="Arial" w:eastAsia="Times New Roman" w:hAnsi="Arial" w:cs="Arial"/>
          <w:b/>
          <w:sz w:val="20"/>
          <w:szCs w:val="20"/>
        </w:rPr>
      </w:pPr>
    </w:p>
    <w:p w:rsidR="00BE5FE6" w:rsidRPr="00C07E78" w:rsidRDefault="00BE5FE6" w:rsidP="00C07E78">
      <w:pPr>
        <w:spacing w:after="0" w:line="240" w:lineRule="auto"/>
        <w:contextualSpacing/>
        <w:rPr>
          <w:rFonts w:ascii="Arial" w:eastAsia="Times New Roman" w:hAnsi="Arial" w:cs="Arial"/>
          <w:sz w:val="20"/>
          <w:szCs w:val="20"/>
        </w:rPr>
      </w:pPr>
      <w:r w:rsidRPr="00C07E78">
        <w:rPr>
          <w:rFonts w:ascii="Arial" w:eastAsia="Times New Roman" w:hAnsi="Arial" w:cs="Arial"/>
          <w:sz w:val="20"/>
          <w:szCs w:val="20"/>
        </w:rPr>
        <w:t xml:space="preserve">The sections below provide an overview of the submissions that were made on the Bill by the invited departments. </w:t>
      </w:r>
    </w:p>
    <w:p w:rsidR="00BE5FE6" w:rsidRPr="00C07E78" w:rsidRDefault="00BE5FE6" w:rsidP="00C07E78">
      <w:pPr>
        <w:spacing w:after="0" w:line="240" w:lineRule="auto"/>
        <w:contextualSpacing/>
        <w:rPr>
          <w:rFonts w:ascii="Arial" w:eastAsia="Times New Roman" w:hAnsi="Arial" w:cs="Arial"/>
          <w:b/>
          <w:sz w:val="20"/>
          <w:szCs w:val="20"/>
        </w:rPr>
      </w:pPr>
    </w:p>
    <w:p w:rsidR="00BE5FE6" w:rsidRPr="00C07E78" w:rsidRDefault="00BE5FE6" w:rsidP="00C07E78">
      <w:pPr>
        <w:spacing w:after="0" w:line="240" w:lineRule="auto"/>
        <w:contextualSpacing/>
        <w:rPr>
          <w:rFonts w:ascii="Arial" w:eastAsia="Times New Roman" w:hAnsi="Arial" w:cs="Arial"/>
          <w:b/>
          <w:sz w:val="20"/>
          <w:szCs w:val="20"/>
        </w:rPr>
      </w:pPr>
      <w:r w:rsidRPr="00C07E78">
        <w:rPr>
          <w:rFonts w:ascii="Arial" w:eastAsia="Times New Roman" w:hAnsi="Arial" w:cs="Arial"/>
          <w:b/>
          <w:sz w:val="20"/>
          <w:szCs w:val="20"/>
        </w:rPr>
        <w:t>4.1</w:t>
      </w:r>
      <w:r w:rsidRPr="00C07E78">
        <w:rPr>
          <w:rFonts w:ascii="Arial" w:eastAsia="Times New Roman" w:hAnsi="Arial" w:cs="Arial"/>
          <w:b/>
          <w:sz w:val="20"/>
          <w:szCs w:val="20"/>
        </w:rPr>
        <w:tab/>
        <w:t xml:space="preserve">Department of </w:t>
      </w:r>
      <w:r w:rsidR="00812024" w:rsidRPr="00C07E78">
        <w:rPr>
          <w:rFonts w:ascii="Arial" w:eastAsia="Times New Roman" w:hAnsi="Arial" w:cs="Arial"/>
          <w:b/>
          <w:sz w:val="20"/>
          <w:szCs w:val="20"/>
        </w:rPr>
        <w:t>Public Works and Infrastructure</w:t>
      </w:r>
      <w:r w:rsidRPr="00C07E78">
        <w:rPr>
          <w:rFonts w:ascii="Arial" w:eastAsia="Times New Roman" w:hAnsi="Arial" w:cs="Arial"/>
          <w:b/>
          <w:sz w:val="20"/>
          <w:szCs w:val="20"/>
        </w:rPr>
        <w:t xml:space="preserve"> </w:t>
      </w:r>
    </w:p>
    <w:p w:rsidR="00BE5FE6" w:rsidRPr="00C07E78" w:rsidRDefault="00BE5FE6" w:rsidP="00C07E78">
      <w:pPr>
        <w:spacing w:after="0" w:line="240" w:lineRule="auto"/>
        <w:contextualSpacing/>
        <w:rPr>
          <w:rFonts w:ascii="Arial" w:eastAsia="Times New Roman" w:hAnsi="Arial" w:cs="Arial"/>
          <w:b/>
          <w:sz w:val="20"/>
          <w:szCs w:val="20"/>
          <w:highlight w:val="yellow"/>
        </w:rPr>
      </w:pPr>
    </w:p>
    <w:p w:rsidR="00501A11" w:rsidRPr="00C07E78" w:rsidRDefault="00BE5FE6" w:rsidP="00C07E78">
      <w:pPr>
        <w:spacing w:after="0" w:line="240" w:lineRule="auto"/>
        <w:contextualSpacing/>
        <w:rPr>
          <w:rFonts w:ascii="Arial" w:hAnsi="Arial" w:cs="Arial"/>
          <w:sz w:val="20"/>
          <w:szCs w:val="20"/>
          <w:highlight w:val="yellow"/>
        </w:rPr>
      </w:pPr>
      <w:r w:rsidRPr="00C07E78">
        <w:rPr>
          <w:rFonts w:ascii="Arial" w:eastAsia="Times New Roman" w:hAnsi="Arial" w:cs="Arial"/>
          <w:sz w:val="20"/>
          <w:szCs w:val="20"/>
        </w:rPr>
        <w:t>The Depar</w:t>
      </w:r>
      <w:r w:rsidR="00812024" w:rsidRPr="00C07E78">
        <w:rPr>
          <w:rFonts w:ascii="Arial" w:eastAsia="Times New Roman" w:hAnsi="Arial" w:cs="Arial"/>
          <w:sz w:val="20"/>
          <w:szCs w:val="20"/>
        </w:rPr>
        <w:t xml:space="preserve">tment of Public Works and </w:t>
      </w:r>
      <w:r w:rsidR="007E1EEA" w:rsidRPr="00C07E78">
        <w:rPr>
          <w:rFonts w:ascii="Arial" w:eastAsia="Times New Roman" w:hAnsi="Arial" w:cs="Arial"/>
          <w:sz w:val="20"/>
          <w:szCs w:val="20"/>
        </w:rPr>
        <w:t>Infrastructure</w:t>
      </w:r>
      <w:r w:rsidR="00812024" w:rsidRPr="00C07E78">
        <w:rPr>
          <w:rFonts w:ascii="Arial" w:eastAsia="Times New Roman" w:hAnsi="Arial" w:cs="Arial"/>
          <w:sz w:val="20"/>
          <w:szCs w:val="20"/>
        </w:rPr>
        <w:t xml:space="preserve"> (DPWI</w:t>
      </w:r>
      <w:r w:rsidRPr="00C07E78">
        <w:rPr>
          <w:rFonts w:ascii="Arial" w:eastAsia="Times New Roman" w:hAnsi="Arial" w:cs="Arial"/>
          <w:sz w:val="20"/>
          <w:szCs w:val="20"/>
        </w:rPr>
        <w:t xml:space="preserve">) </w:t>
      </w:r>
      <w:r w:rsidR="00992279" w:rsidRPr="00C07E78">
        <w:rPr>
          <w:rFonts w:ascii="Arial" w:eastAsia="Times New Roman" w:hAnsi="Arial" w:cs="Arial"/>
          <w:sz w:val="20"/>
          <w:szCs w:val="20"/>
        </w:rPr>
        <w:t xml:space="preserve">gave an overview of the </w:t>
      </w:r>
      <w:r w:rsidR="00992279" w:rsidRPr="00C07E78">
        <w:rPr>
          <w:rFonts w:ascii="Arial" w:eastAsia="Times New Roman" w:hAnsi="Arial" w:cs="Arial"/>
          <w:sz w:val="20"/>
          <w:szCs w:val="20"/>
          <w:lang w:val="en-US"/>
        </w:rPr>
        <w:t>possible service delivery implications of the proposed allocation of R26.1 billion over the 2022 MTEF, relative to the 2021 budget estimates</w:t>
      </w:r>
      <w:r w:rsidR="00992279" w:rsidRPr="00C07E78">
        <w:rPr>
          <w:rFonts w:ascii="Arial" w:eastAsia="Times New Roman" w:hAnsi="Arial" w:cs="Arial"/>
          <w:sz w:val="20"/>
          <w:szCs w:val="20"/>
        </w:rPr>
        <w:t xml:space="preserve">. </w:t>
      </w:r>
      <w:r w:rsidR="00992279" w:rsidRPr="00C07E78">
        <w:rPr>
          <w:rFonts w:ascii="Arial" w:eastAsia="Times New Roman" w:hAnsi="Arial" w:cs="Arial"/>
          <w:sz w:val="20"/>
          <w:szCs w:val="20"/>
          <w:lang w:val="en-US"/>
        </w:rPr>
        <w:t>DPWI also gave an overview of plans it ha</w:t>
      </w:r>
      <w:r w:rsidR="007F23CD" w:rsidRPr="00C07E78">
        <w:rPr>
          <w:rFonts w:ascii="Arial" w:eastAsia="Times New Roman" w:hAnsi="Arial" w:cs="Arial"/>
          <w:sz w:val="20"/>
          <w:szCs w:val="20"/>
          <w:lang w:val="en-US"/>
        </w:rPr>
        <w:t>s</w:t>
      </w:r>
      <w:r w:rsidR="00992279" w:rsidRPr="00C07E78">
        <w:rPr>
          <w:rFonts w:ascii="Arial" w:eastAsia="Times New Roman" w:hAnsi="Arial" w:cs="Arial"/>
          <w:sz w:val="20"/>
          <w:szCs w:val="20"/>
          <w:lang w:val="en-US"/>
        </w:rPr>
        <w:t xml:space="preserve"> in place to use the proposed allocation of R9.4 billion over the MTEF towards the Expanded Public Works Employment Programme (EPWP).  Furthermore, DPWI provided an assessment of the EPWP’s efficiency and effectives and</w:t>
      </w:r>
      <w:r w:rsidR="00501A11" w:rsidRPr="00C07E78">
        <w:rPr>
          <w:rFonts w:ascii="Arial" w:eastAsia="Times New Roman" w:hAnsi="Arial" w:cs="Arial"/>
          <w:sz w:val="20"/>
          <w:szCs w:val="20"/>
          <w:lang w:val="en-US"/>
        </w:rPr>
        <w:t xml:space="preserve"> reported that </w:t>
      </w:r>
      <w:r w:rsidR="00992279" w:rsidRPr="00C07E78">
        <w:rPr>
          <w:rFonts w:ascii="Arial" w:eastAsia="Times New Roman" w:hAnsi="Arial" w:cs="Arial"/>
          <w:sz w:val="20"/>
          <w:szCs w:val="20"/>
          <w:lang w:val="en-US"/>
        </w:rPr>
        <w:t>there</w:t>
      </w:r>
      <w:r w:rsidR="00501A11" w:rsidRPr="00C07E78">
        <w:rPr>
          <w:rFonts w:ascii="Arial" w:eastAsia="Times New Roman" w:hAnsi="Arial" w:cs="Arial"/>
          <w:sz w:val="20"/>
          <w:szCs w:val="20"/>
          <w:lang w:val="en-US"/>
        </w:rPr>
        <w:t xml:space="preserve"> </w:t>
      </w:r>
      <w:r w:rsidR="007F23CD" w:rsidRPr="00C07E78">
        <w:rPr>
          <w:rFonts w:ascii="Arial" w:eastAsia="Times New Roman" w:hAnsi="Arial" w:cs="Arial"/>
          <w:sz w:val="20"/>
          <w:szCs w:val="20"/>
          <w:lang w:val="en-US"/>
        </w:rPr>
        <w:t>is</w:t>
      </w:r>
      <w:r w:rsidR="00501A11" w:rsidRPr="00C07E78">
        <w:rPr>
          <w:rFonts w:ascii="Arial" w:eastAsia="Times New Roman" w:hAnsi="Arial" w:cs="Arial"/>
          <w:sz w:val="20"/>
          <w:szCs w:val="20"/>
          <w:lang w:val="en-US"/>
        </w:rPr>
        <w:t xml:space="preserve"> a positive impact in terms of creating work opportunities and poverty alleviation, although there were areas that needed to be improved. Furthermore, there was a high demand to scale-up the EPWP</w:t>
      </w:r>
      <w:r w:rsidR="00992279" w:rsidRPr="00C07E78">
        <w:rPr>
          <w:rFonts w:ascii="Arial" w:eastAsia="Times New Roman" w:hAnsi="Arial" w:cs="Arial"/>
          <w:sz w:val="20"/>
          <w:szCs w:val="20"/>
          <w:lang w:val="en-US"/>
        </w:rPr>
        <w:t xml:space="preserve"> in future</w:t>
      </w:r>
      <w:r w:rsidR="00501A11" w:rsidRPr="00C07E78">
        <w:rPr>
          <w:rFonts w:ascii="Arial" w:eastAsia="Times New Roman" w:hAnsi="Arial" w:cs="Arial"/>
          <w:sz w:val="20"/>
          <w:szCs w:val="20"/>
          <w:lang w:val="en-US"/>
        </w:rPr>
        <w:t xml:space="preserve">. DPWI reported that by the end of the 2021/22 financial year, a total number of 13 217 900 work opportunities have been created through the EPWP (A total of 988 917 work opportunities reported for 2021/22 was still provisional at the time of drafting the report). </w:t>
      </w:r>
    </w:p>
    <w:p w:rsidR="00501A11" w:rsidRPr="00C07E78" w:rsidRDefault="00501A11" w:rsidP="00C07E78">
      <w:pPr>
        <w:spacing w:after="0" w:line="240" w:lineRule="auto"/>
        <w:contextualSpacing/>
        <w:rPr>
          <w:rFonts w:ascii="Arial" w:eastAsia="Times New Roman" w:hAnsi="Arial" w:cs="Arial"/>
          <w:sz w:val="20"/>
          <w:szCs w:val="20"/>
        </w:rPr>
      </w:pPr>
    </w:p>
    <w:p w:rsidR="00731A85" w:rsidRPr="00C07E78" w:rsidRDefault="00731A85" w:rsidP="00C07E78">
      <w:pPr>
        <w:spacing w:after="0" w:line="240" w:lineRule="auto"/>
        <w:contextualSpacing/>
        <w:rPr>
          <w:rFonts w:ascii="Arial" w:eastAsia="Times New Roman" w:hAnsi="Arial" w:cs="Arial"/>
          <w:sz w:val="20"/>
          <w:szCs w:val="20"/>
        </w:rPr>
      </w:pPr>
      <w:r w:rsidRPr="00C07E78">
        <w:rPr>
          <w:rFonts w:ascii="Arial" w:eastAsia="Times New Roman" w:hAnsi="Arial" w:cs="Arial"/>
          <w:sz w:val="20"/>
          <w:szCs w:val="20"/>
          <w:lang w:val="en-US"/>
        </w:rPr>
        <w:lastRenderedPageBreak/>
        <w:t xml:space="preserve">With regards to its Immovable Asset Register </w:t>
      </w:r>
      <w:r w:rsidR="00900A72" w:rsidRPr="00C07E78">
        <w:rPr>
          <w:rFonts w:ascii="Arial" w:eastAsia="Times New Roman" w:hAnsi="Arial" w:cs="Arial"/>
          <w:sz w:val="20"/>
          <w:szCs w:val="20"/>
          <w:lang w:val="en-US"/>
        </w:rPr>
        <w:t>(IA</w:t>
      </w:r>
      <w:r w:rsidRPr="00C07E78">
        <w:rPr>
          <w:rFonts w:ascii="Arial" w:eastAsia="Times New Roman" w:hAnsi="Arial" w:cs="Arial"/>
          <w:sz w:val="20"/>
          <w:szCs w:val="20"/>
          <w:lang w:val="en-US"/>
        </w:rPr>
        <w:t>R), DWPI reported that it had a property portfolio comprising of 29 632 land parcels and 81 733 buildings/improvements with a value of R141 billion</w:t>
      </w:r>
      <w:r w:rsidRPr="00C07E78">
        <w:rPr>
          <w:rFonts w:ascii="Arial" w:eastAsia="Times New Roman" w:hAnsi="Arial" w:cs="Arial"/>
          <w:sz w:val="20"/>
          <w:szCs w:val="20"/>
        </w:rPr>
        <w:t xml:space="preserve">. It further submitted that </w:t>
      </w:r>
      <w:r w:rsidRPr="00C07E78">
        <w:rPr>
          <w:rFonts w:ascii="Arial" w:eastAsia="Times New Roman" w:hAnsi="Arial" w:cs="Arial"/>
          <w:sz w:val="20"/>
          <w:szCs w:val="20"/>
          <w:lang w:val="en-US"/>
        </w:rPr>
        <w:t xml:space="preserve">19 461 land parcels have been vested to date in accordance with the relevant prescripts and the remaining population to be vested was 4 617. The Auditor-General South Africa (AGSA) acknowledged a major improvement with respect to the valuation of immovable assets and classification of assets under construction. The IAR was unqualified for the 2020/21 financial year which constituted a good achievement taking into account that it served as the primary source of data for property related activities and transactions. </w:t>
      </w:r>
      <w:r w:rsidRPr="00C07E78">
        <w:rPr>
          <w:rFonts w:ascii="Arial" w:eastAsia="Times New Roman" w:hAnsi="Arial" w:cs="Arial"/>
          <w:sz w:val="20"/>
          <w:szCs w:val="20"/>
        </w:rPr>
        <w:t>DPWI also reported that it was in the</w:t>
      </w:r>
      <w:r w:rsidRPr="00C07E78">
        <w:rPr>
          <w:rFonts w:ascii="Arial" w:eastAsia="Times New Roman" w:hAnsi="Arial" w:cs="Arial"/>
          <w:sz w:val="20"/>
          <w:szCs w:val="20"/>
          <w:lang w:val="en-US"/>
        </w:rPr>
        <w:t xml:space="preserve"> process of implementing a programme to ensure full digitalisation of the IAR which included the creation and maintenance of a Single Repository. </w:t>
      </w:r>
      <w:r w:rsidRPr="00C07E78">
        <w:rPr>
          <w:rFonts w:ascii="Arial" w:eastAsia="Times New Roman" w:hAnsi="Arial" w:cs="Arial"/>
          <w:sz w:val="20"/>
          <w:szCs w:val="20"/>
        </w:rPr>
        <w:t xml:space="preserve"> Furthermore, it reported that it is in the process of </w:t>
      </w:r>
      <w:r w:rsidRPr="00C07E78">
        <w:rPr>
          <w:rFonts w:ascii="Arial" w:eastAsia="Times New Roman" w:hAnsi="Arial" w:cs="Arial"/>
          <w:sz w:val="20"/>
          <w:szCs w:val="20"/>
          <w:lang w:val="en-US"/>
        </w:rPr>
        <w:t xml:space="preserve">providing support to SOEs under DPE to enable them to release vacant land for integrated human settlement, agriculture and socio-economic development. </w:t>
      </w:r>
    </w:p>
    <w:p w:rsidR="00731A85" w:rsidRPr="00C07E78" w:rsidRDefault="00731A85" w:rsidP="00C07E78">
      <w:pPr>
        <w:spacing w:after="0" w:line="240" w:lineRule="auto"/>
        <w:contextualSpacing/>
        <w:rPr>
          <w:rFonts w:ascii="Arial" w:eastAsia="Times New Roman" w:hAnsi="Arial" w:cs="Arial"/>
          <w:sz w:val="20"/>
          <w:szCs w:val="20"/>
        </w:rPr>
      </w:pPr>
    </w:p>
    <w:p w:rsidR="00ED5843" w:rsidRPr="00C07E78" w:rsidRDefault="009330D0"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The Department reported that it occupied three buildings, with one being state-owned (Head Office) and two being leased (Centre City occupied by the EPWP and Nipilar Building being occupied by the Internal Audit and GRC units). The budgeted costs for these buildings during the 2022/23 financial year were R19.818 million for the state-owned building and R14.050 million for the leased buildings. </w:t>
      </w:r>
      <w:r w:rsidR="00F54458" w:rsidRPr="00C07E78">
        <w:rPr>
          <w:rFonts w:ascii="Arial" w:eastAsia="Times New Roman" w:hAnsi="Arial" w:cs="Arial"/>
          <w:sz w:val="20"/>
          <w:szCs w:val="20"/>
          <w:lang w:val="en-US"/>
        </w:rPr>
        <w:t>DPWI submitted that it was</w:t>
      </w:r>
      <w:r w:rsidR="00ED5843" w:rsidRPr="00C07E78">
        <w:rPr>
          <w:rFonts w:ascii="Arial" w:eastAsia="Times New Roman" w:hAnsi="Arial" w:cs="Arial"/>
          <w:sz w:val="20"/>
          <w:szCs w:val="20"/>
          <w:lang w:val="en-US"/>
        </w:rPr>
        <w:t xml:space="preserve"> responsible for managing the property portfolio for national government departments through various branches. </w:t>
      </w:r>
      <w:r w:rsidR="00F54458" w:rsidRPr="00C07E78">
        <w:rPr>
          <w:rFonts w:ascii="Arial" w:eastAsia="Times New Roman" w:hAnsi="Arial" w:cs="Arial"/>
          <w:sz w:val="20"/>
          <w:szCs w:val="20"/>
        </w:rPr>
        <w:t xml:space="preserve">The </w:t>
      </w:r>
      <w:r w:rsidR="00ED5843" w:rsidRPr="00C07E78">
        <w:rPr>
          <w:rFonts w:ascii="Arial" w:eastAsia="Times New Roman" w:hAnsi="Arial" w:cs="Arial"/>
          <w:sz w:val="20"/>
          <w:szCs w:val="20"/>
          <w:lang w:val="en-US"/>
        </w:rPr>
        <w:t>Real Estate Management Services (REMS) main mandate is to provide functional accommodation for various user Departments (including DPWI) on demand.</w:t>
      </w:r>
      <w:r w:rsidR="00F54458" w:rsidRPr="00C07E78">
        <w:rPr>
          <w:rFonts w:ascii="Arial" w:eastAsia="Times New Roman" w:hAnsi="Arial" w:cs="Arial"/>
          <w:sz w:val="20"/>
          <w:szCs w:val="20"/>
        </w:rPr>
        <w:t xml:space="preserve"> In </w:t>
      </w:r>
      <w:r w:rsidR="00340FDB" w:rsidRPr="00C07E78">
        <w:rPr>
          <w:rFonts w:ascii="Arial" w:eastAsia="Times New Roman" w:hAnsi="Arial" w:cs="Arial"/>
          <w:sz w:val="20"/>
          <w:szCs w:val="20"/>
        </w:rPr>
        <w:t>instances</w:t>
      </w:r>
      <w:r w:rsidR="00F54458" w:rsidRPr="00C07E78">
        <w:rPr>
          <w:rFonts w:ascii="Arial" w:eastAsia="Times New Roman" w:hAnsi="Arial" w:cs="Arial"/>
          <w:sz w:val="20"/>
          <w:szCs w:val="20"/>
        </w:rPr>
        <w:t xml:space="preserve"> where </w:t>
      </w:r>
      <w:r w:rsidR="00ED5843" w:rsidRPr="00C07E78">
        <w:rPr>
          <w:rFonts w:ascii="Arial" w:eastAsia="Times New Roman" w:hAnsi="Arial" w:cs="Arial"/>
          <w:sz w:val="20"/>
          <w:szCs w:val="20"/>
          <w:lang w:val="en-US"/>
        </w:rPr>
        <w:t xml:space="preserve">there </w:t>
      </w:r>
      <w:r w:rsidR="00340FDB" w:rsidRPr="00C07E78">
        <w:rPr>
          <w:rFonts w:ascii="Arial" w:eastAsia="Times New Roman" w:hAnsi="Arial" w:cs="Arial"/>
          <w:sz w:val="20"/>
          <w:szCs w:val="20"/>
          <w:lang w:val="en-US"/>
        </w:rPr>
        <w:t>is</w:t>
      </w:r>
      <w:r w:rsidR="00ED5843" w:rsidRPr="00C07E78">
        <w:rPr>
          <w:rFonts w:ascii="Arial" w:eastAsia="Times New Roman" w:hAnsi="Arial" w:cs="Arial"/>
          <w:sz w:val="20"/>
          <w:szCs w:val="20"/>
          <w:lang w:val="en-US"/>
        </w:rPr>
        <w:t xml:space="preserve"> no state owned</w:t>
      </w:r>
      <w:r w:rsidR="00F54458" w:rsidRPr="00C07E78">
        <w:rPr>
          <w:rFonts w:ascii="Arial" w:eastAsia="Times New Roman" w:hAnsi="Arial" w:cs="Arial"/>
          <w:sz w:val="20"/>
          <w:szCs w:val="20"/>
          <w:lang w:val="en-US"/>
        </w:rPr>
        <w:t xml:space="preserve"> facilities at the time of need, the REMS will lease</w:t>
      </w:r>
      <w:r w:rsidR="00ED5843" w:rsidRPr="00C07E78">
        <w:rPr>
          <w:rFonts w:ascii="Arial" w:eastAsia="Times New Roman" w:hAnsi="Arial" w:cs="Arial"/>
          <w:sz w:val="20"/>
          <w:szCs w:val="20"/>
          <w:lang w:val="en-US"/>
        </w:rPr>
        <w:t xml:space="preserve"> from the private sector.</w:t>
      </w:r>
      <w:r w:rsidR="00F54458" w:rsidRPr="00C07E78">
        <w:rPr>
          <w:rFonts w:ascii="Arial" w:eastAsia="Times New Roman" w:hAnsi="Arial" w:cs="Arial"/>
          <w:sz w:val="20"/>
          <w:szCs w:val="20"/>
        </w:rPr>
        <w:t xml:space="preserve"> </w:t>
      </w:r>
      <w:r w:rsidR="00ED5843" w:rsidRPr="00C07E78">
        <w:rPr>
          <w:rFonts w:ascii="Arial" w:eastAsia="Times New Roman" w:hAnsi="Arial" w:cs="Arial"/>
          <w:sz w:val="20"/>
          <w:szCs w:val="20"/>
          <w:lang w:val="en-US"/>
        </w:rPr>
        <w:t xml:space="preserve">In this regard, most of the </w:t>
      </w:r>
      <w:r w:rsidR="00340FDB" w:rsidRPr="00C07E78">
        <w:rPr>
          <w:rFonts w:ascii="Arial" w:eastAsia="Times New Roman" w:hAnsi="Arial" w:cs="Arial"/>
          <w:sz w:val="20"/>
          <w:szCs w:val="20"/>
          <w:lang w:val="en-US"/>
        </w:rPr>
        <w:t>government head o</w:t>
      </w:r>
      <w:r w:rsidR="00ED5843" w:rsidRPr="00C07E78">
        <w:rPr>
          <w:rFonts w:ascii="Arial" w:eastAsia="Times New Roman" w:hAnsi="Arial" w:cs="Arial"/>
          <w:sz w:val="20"/>
          <w:szCs w:val="20"/>
          <w:lang w:val="en-US"/>
        </w:rPr>
        <w:t>ffices are situated in Tshwane, which is a hybrid of state owned and leased accommod</w:t>
      </w:r>
      <w:r w:rsidR="00F54458" w:rsidRPr="00C07E78">
        <w:rPr>
          <w:rFonts w:ascii="Arial" w:eastAsia="Times New Roman" w:hAnsi="Arial" w:cs="Arial"/>
          <w:sz w:val="20"/>
          <w:szCs w:val="20"/>
          <w:lang w:val="en-US"/>
        </w:rPr>
        <w:t>a</w:t>
      </w:r>
      <w:r w:rsidR="00340FDB" w:rsidRPr="00C07E78">
        <w:rPr>
          <w:rFonts w:ascii="Arial" w:eastAsia="Times New Roman" w:hAnsi="Arial" w:cs="Arial"/>
          <w:sz w:val="20"/>
          <w:szCs w:val="20"/>
          <w:lang w:val="en-US"/>
        </w:rPr>
        <w:t xml:space="preserve">tion. </w:t>
      </w:r>
      <w:r w:rsidR="00F54458" w:rsidRPr="00C07E78">
        <w:rPr>
          <w:rFonts w:ascii="Arial" w:eastAsia="Times New Roman" w:hAnsi="Arial" w:cs="Arial"/>
          <w:sz w:val="20"/>
          <w:szCs w:val="20"/>
          <w:lang w:val="en-US"/>
        </w:rPr>
        <w:t>In terms of state owned properties, 14 national government departments occupied</w:t>
      </w:r>
      <w:r w:rsidR="00ED5843" w:rsidRPr="00C07E78">
        <w:rPr>
          <w:rFonts w:ascii="Arial" w:eastAsia="Times New Roman" w:hAnsi="Arial" w:cs="Arial"/>
          <w:sz w:val="20"/>
          <w:szCs w:val="20"/>
          <w:lang w:val="en-US"/>
        </w:rPr>
        <w:t xml:space="preserve"> 750 000m</w:t>
      </w:r>
      <w:r w:rsidR="00ED5843" w:rsidRPr="00C07E78">
        <w:rPr>
          <w:rFonts w:ascii="Arial" w:eastAsia="Times New Roman" w:hAnsi="Arial" w:cs="Arial"/>
          <w:sz w:val="20"/>
          <w:szCs w:val="20"/>
          <w:vertAlign w:val="superscript"/>
          <w:lang w:val="en-US"/>
        </w:rPr>
        <w:t>2</w:t>
      </w:r>
      <w:r w:rsidR="00F54458" w:rsidRPr="00C07E78">
        <w:rPr>
          <w:rFonts w:ascii="Arial" w:eastAsia="Times New Roman" w:hAnsi="Arial" w:cs="Arial"/>
          <w:sz w:val="20"/>
          <w:szCs w:val="20"/>
          <w:lang w:val="en-US"/>
        </w:rPr>
        <w:t xml:space="preserve"> of accommodation and t</w:t>
      </w:r>
      <w:r w:rsidR="00ED5843" w:rsidRPr="00C07E78">
        <w:rPr>
          <w:rFonts w:ascii="Arial" w:eastAsia="Times New Roman" w:hAnsi="Arial" w:cs="Arial"/>
          <w:sz w:val="20"/>
          <w:szCs w:val="20"/>
          <w:lang w:val="en-US"/>
        </w:rPr>
        <w:t>he total lease portfolio consist</w:t>
      </w:r>
      <w:r w:rsidR="00F54458" w:rsidRPr="00C07E78">
        <w:rPr>
          <w:rFonts w:ascii="Arial" w:eastAsia="Times New Roman" w:hAnsi="Arial" w:cs="Arial"/>
          <w:sz w:val="20"/>
          <w:szCs w:val="20"/>
          <w:lang w:val="en-US"/>
        </w:rPr>
        <w:t>ed</w:t>
      </w:r>
      <w:r w:rsidR="00ED5843" w:rsidRPr="00C07E78">
        <w:rPr>
          <w:rFonts w:ascii="Arial" w:eastAsia="Times New Roman" w:hAnsi="Arial" w:cs="Arial"/>
          <w:sz w:val="20"/>
          <w:szCs w:val="20"/>
          <w:lang w:val="en-US"/>
        </w:rPr>
        <w:t xml:space="preserve"> of 2 591 nationwide for</w:t>
      </w:r>
      <w:r w:rsidR="00F54458" w:rsidRPr="00C07E78">
        <w:rPr>
          <w:rFonts w:ascii="Arial" w:eastAsia="Times New Roman" w:hAnsi="Arial" w:cs="Arial"/>
          <w:sz w:val="20"/>
          <w:szCs w:val="20"/>
          <w:lang w:val="en-US"/>
        </w:rPr>
        <w:t xml:space="preserve"> user departments. </w:t>
      </w:r>
    </w:p>
    <w:p w:rsidR="00BE5FE6" w:rsidRPr="00C07E78" w:rsidRDefault="00BE5FE6" w:rsidP="00C07E78">
      <w:pPr>
        <w:spacing w:after="0" w:line="240" w:lineRule="auto"/>
        <w:rPr>
          <w:rFonts w:ascii="Arial" w:eastAsia="Times New Roman" w:hAnsi="Arial" w:cs="Arial"/>
          <w:sz w:val="20"/>
          <w:szCs w:val="20"/>
          <w:highlight w:val="yellow"/>
        </w:rPr>
      </w:pPr>
    </w:p>
    <w:p w:rsidR="00976FB7" w:rsidRPr="00C07E78" w:rsidRDefault="00976FB7" w:rsidP="00C07E78">
      <w:pPr>
        <w:spacing w:after="0" w:line="240" w:lineRule="auto"/>
        <w:rPr>
          <w:rFonts w:ascii="Arial" w:eastAsia="Times New Roman" w:hAnsi="Arial" w:cs="Arial"/>
          <w:sz w:val="20"/>
          <w:szCs w:val="20"/>
          <w:highlight w:val="yellow"/>
        </w:rPr>
      </w:pPr>
      <w:r w:rsidRPr="00C07E78">
        <w:rPr>
          <w:rFonts w:ascii="Arial" w:eastAsia="Times New Roman" w:hAnsi="Arial" w:cs="Arial"/>
          <w:sz w:val="20"/>
          <w:szCs w:val="20"/>
          <w:lang w:val="en-US"/>
        </w:rPr>
        <w:t xml:space="preserve">In terms of the preliminary expenditure recorded as at the end of the 2021/22 financial year, the DPWI submitted that the total expenditure amounted to R8.1 billion or 97 per cent of the total adjusted budget allocation of R8.4 billion. This resulted in a variance of R272 million as at the end of the financial year. </w:t>
      </w:r>
    </w:p>
    <w:p w:rsidR="00976FB7" w:rsidRPr="00C07E78" w:rsidRDefault="00976FB7" w:rsidP="00C07E78">
      <w:pPr>
        <w:spacing w:after="0" w:line="240" w:lineRule="auto"/>
        <w:rPr>
          <w:rFonts w:ascii="Arial" w:eastAsia="Times New Roman" w:hAnsi="Arial" w:cs="Arial"/>
          <w:sz w:val="20"/>
          <w:szCs w:val="20"/>
          <w:highlight w:val="yellow"/>
        </w:rPr>
      </w:pPr>
    </w:p>
    <w:p w:rsidR="00BE5FE6" w:rsidRPr="00C07E78" w:rsidRDefault="008E2C6C" w:rsidP="00C07E78">
      <w:pPr>
        <w:spacing w:after="0" w:line="240" w:lineRule="auto"/>
        <w:rPr>
          <w:rFonts w:ascii="Arial" w:eastAsia="Times New Roman" w:hAnsi="Arial" w:cs="Arial"/>
          <w:b/>
          <w:sz w:val="20"/>
          <w:szCs w:val="20"/>
        </w:rPr>
      </w:pPr>
      <w:r w:rsidRPr="00C07E78">
        <w:rPr>
          <w:rFonts w:ascii="Arial" w:eastAsia="Times New Roman" w:hAnsi="Arial" w:cs="Arial"/>
          <w:b/>
          <w:sz w:val="20"/>
          <w:szCs w:val="20"/>
        </w:rPr>
        <w:t>4.2</w:t>
      </w:r>
      <w:r w:rsidR="00BE5FE6" w:rsidRPr="00C07E78">
        <w:rPr>
          <w:rFonts w:ascii="Arial" w:eastAsia="Times New Roman" w:hAnsi="Arial" w:cs="Arial"/>
          <w:b/>
          <w:sz w:val="20"/>
          <w:szCs w:val="20"/>
        </w:rPr>
        <w:tab/>
        <w:t xml:space="preserve">Department of Police </w:t>
      </w:r>
    </w:p>
    <w:p w:rsidR="00BE5FE6" w:rsidRPr="00C07E78" w:rsidRDefault="00BE5FE6" w:rsidP="00C07E78">
      <w:pPr>
        <w:tabs>
          <w:tab w:val="num" w:pos="720"/>
        </w:tabs>
        <w:spacing w:after="0" w:line="240" w:lineRule="auto"/>
        <w:rPr>
          <w:rFonts w:ascii="Arial" w:eastAsia="Times New Roman" w:hAnsi="Arial" w:cs="Arial"/>
          <w:sz w:val="20"/>
          <w:szCs w:val="20"/>
          <w:highlight w:val="yellow"/>
        </w:rPr>
      </w:pPr>
    </w:p>
    <w:p w:rsidR="00343900" w:rsidRPr="00C07E78" w:rsidRDefault="00BE5FE6" w:rsidP="00C07E78">
      <w:pPr>
        <w:tabs>
          <w:tab w:val="num" w:pos="720"/>
        </w:tabs>
        <w:spacing w:after="0" w:line="240" w:lineRule="auto"/>
        <w:rPr>
          <w:rFonts w:ascii="Arial" w:eastAsia="Times New Roman" w:hAnsi="Arial" w:cs="Arial"/>
          <w:sz w:val="20"/>
          <w:szCs w:val="20"/>
        </w:rPr>
      </w:pPr>
      <w:r w:rsidRPr="00C07E78">
        <w:rPr>
          <w:rFonts w:ascii="Arial" w:eastAsia="Times New Roman" w:hAnsi="Arial" w:cs="Arial"/>
          <w:sz w:val="20"/>
          <w:szCs w:val="20"/>
        </w:rPr>
        <w:t>The Depa</w:t>
      </w:r>
      <w:r w:rsidR="00FE40B7" w:rsidRPr="00C07E78">
        <w:rPr>
          <w:rFonts w:ascii="Arial" w:eastAsia="Times New Roman" w:hAnsi="Arial" w:cs="Arial"/>
          <w:sz w:val="20"/>
          <w:szCs w:val="20"/>
        </w:rPr>
        <w:t>rtment of Police (SAPS</w:t>
      </w:r>
      <w:r w:rsidRPr="00C07E78">
        <w:rPr>
          <w:rFonts w:ascii="Arial" w:eastAsia="Times New Roman" w:hAnsi="Arial" w:cs="Arial"/>
          <w:sz w:val="20"/>
          <w:szCs w:val="20"/>
        </w:rPr>
        <w:t xml:space="preserve">) </w:t>
      </w:r>
      <w:r w:rsidR="00FE40B7" w:rsidRPr="00C07E78">
        <w:rPr>
          <w:rFonts w:ascii="Arial" w:eastAsia="Times New Roman" w:hAnsi="Arial" w:cs="Arial"/>
          <w:sz w:val="20"/>
          <w:szCs w:val="20"/>
        </w:rPr>
        <w:t>appraised the Committee on overall possible service delivery implications of the proposed allocation of R304.1 billion over the 2022 MTEF</w:t>
      </w:r>
      <w:r w:rsidR="007F23CD" w:rsidRPr="00C07E78">
        <w:rPr>
          <w:rFonts w:ascii="Arial" w:eastAsia="Times New Roman" w:hAnsi="Arial" w:cs="Arial"/>
          <w:sz w:val="20"/>
          <w:szCs w:val="20"/>
        </w:rPr>
        <w:t xml:space="preserve">. </w:t>
      </w:r>
      <w:r w:rsidR="00FE40B7" w:rsidRPr="00C07E78">
        <w:rPr>
          <w:rFonts w:ascii="Arial" w:eastAsia="Times New Roman" w:hAnsi="Arial" w:cs="Arial"/>
          <w:sz w:val="20"/>
          <w:szCs w:val="20"/>
        </w:rPr>
        <w:t xml:space="preserve">SAPS </w:t>
      </w:r>
      <w:r w:rsidR="00790679" w:rsidRPr="00C07E78">
        <w:rPr>
          <w:rFonts w:ascii="Arial" w:eastAsia="Times New Roman" w:hAnsi="Arial" w:cs="Arial"/>
          <w:sz w:val="20"/>
          <w:szCs w:val="20"/>
        </w:rPr>
        <w:t xml:space="preserve">reported that it </w:t>
      </w:r>
      <w:r w:rsidR="00FE40B7" w:rsidRPr="00C07E78">
        <w:rPr>
          <w:rFonts w:ascii="Arial" w:eastAsia="Times New Roman" w:hAnsi="Arial" w:cs="Arial"/>
          <w:sz w:val="20"/>
          <w:szCs w:val="20"/>
        </w:rPr>
        <w:t>started with substantial budget reductions introduced on compensation of employees and goods and services over the 2021 MTE</w:t>
      </w:r>
      <w:r w:rsidR="00C94571" w:rsidRPr="00C07E78">
        <w:rPr>
          <w:rFonts w:ascii="Arial" w:eastAsia="Times New Roman" w:hAnsi="Arial" w:cs="Arial"/>
          <w:sz w:val="20"/>
          <w:szCs w:val="20"/>
        </w:rPr>
        <w:t>F (2021/22 to 2023/24). These</w:t>
      </w:r>
      <w:r w:rsidR="00FE40B7" w:rsidRPr="00C07E78">
        <w:rPr>
          <w:rFonts w:ascii="Arial" w:eastAsia="Times New Roman" w:hAnsi="Arial" w:cs="Arial"/>
          <w:sz w:val="20"/>
          <w:szCs w:val="20"/>
        </w:rPr>
        <w:t xml:space="preserve"> reduced compensation of employee baseline in 2021/22 required a reduction of about 6 000 in the staff establishment, up to 31 March 2022. SAPS reported that spending over the medium term will be in relation to the core programmes with Visible Policing on more than 51 per cent and Detective Service on more than 20 per cent as a weight of the total budget allocation in the 2022/23 financial year. Furthermore, provinces with the highest incidence of reported crime, have been prioritised in terms of the allocation of baseline budgets. As a result of previous MTEF baseline decreases in the SAPS budget Vote, reprioritisation was performed specifically targeting national competencies in order to allow for an increase on provincial baseline budget allocations. </w:t>
      </w:r>
    </w:p>
    <w:p w:rsidR="00343900" w:rsidRPr="00C07E78" w:rsidRDefault="00343900" w:rsidP="00C07E78">
      <w:pPr>
        <w:tabs>
          <w:tab w:val="num" w:pos="720"/>
        </w:tabs>
        <w:spacing w:after="0" w:line="240" w:lineRule="auto"/>
        <w:rPr>
          <w:rFonts w:ascii="Arial" w:eastAsia="Times New Roman" w:hAnsi="Arial" w:cs="Arial"/>
          <w:sz w:val="20"/>
          <w:szCs w:val="20"/>
        </w:rPr>
      </w:pPr>
    </w:p>
    <w:p w:rsidR="00BE5FE6" w:rsidRPr="00C07E78" w:rsidRDefault="00FE40B7" w:rsidP="00C07E78">
      <w:pPr>
        <w:tabs>
          <w:tab w:val="num" w:pos="720"/>
        </w:tabs>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SAPS reported that </w:t>
      </w:r>
      <w:r w:rsidR="007F23CD" w:rsidRPr="00C07E78">
        <w:rPr>
          <w:rFonts w:ascii="Arial" w:eastAsia="Times New Roman" w:hAnsi="Arial" w:cs="Arial"/>
          <w:sz w:val="20"/>
          <w:szCs w:val="20"/>
        </w:rPr>
        <w:t>c</w:t>
      </w:r>
      <w:r w:rsidRPr="00C07E78">
        <w:rPr>
          <w:rFonts w:ascii="Arial" w:eastAsia="Times New Roman" w:hAnsi="Arial" w:cs="Arial"/>
          <w:sz w:val="20"/>
          <w:szCs w:val="20"/>
        </w:rPr>
        <w:t>ompensation of employees will remain the largest driver of spend</w:t>
      </w:r>
      <w:r w:rsidR="00343900" w:rsidRPr="00C07E78">
        <w:rPr>
          <w:rFonts w:ascii="Arial" w:eastAsia="Times New Roman" w:hAnsi="Arial" w:cs="Arial"/>
          <w:sz w:val="20"/>
          <w:szCs w:val="20"/>
        </w:rPr>
        <w:t xml:space="preserve">ing, constituting more than 78 per cent </w:t>
      </w:r>
      <w:r w:rsidRPr="00C07E78">
        <w:rPr>
          <w:rFonts w:ascii="Arial" w:eastAsia="Times New Roman" w:hAnsi="Arial" w:cs="Arial"/>
          <w:sz w:val="20"/>
          <w:szCs w:val="20"/>
        </w:rPr>
        <w:t>of the total budget for 2022/23 providing for remuneration costs and per</w:t>
      </w:r>
      <w:r w:rsidR="00343900" w:rsidRPr="00C07E78">
        <w:rPr>
          <w:rFonts w:ascii="Arial" w:eastAsia="Times New Roman" w:hAnsi="Arial" w:cs="Arial"/>
          <w:sz w:val="20"/>
          <w:szCs w:val="20"/>
        </w:rPr>
        <w:t xml:space="preserve">sonnel numbers. </w:t>
      </w:r>
      <w:r w:rsidRPr="00C07E78">
        <w:rPr>
          <w:rFonts w:ascii="Arial" w:eastAsia="Times New Roman" w:hAnsi="Arial" w:cs="Arial"/>
          <w:sz w:val="20"/>
          <w:szCs w:val="20"/>
        </w:rPr>
        <w:t>Operational expenditures, including goods and services, transfer payments and payments for capita</w:t>
      </w:r>
      <w:r w:rsidR="00343900" w:rsidRPr="00C07E78">
        <w:rPr>
          <w:rFonts w:ascii="Arial" w:eastAsia="Times New Roman" w:hAnsi="Arial" w:cs="Arial"/>
          <w:sz w:val="20"/>
          <w:szCs w:val="20"/>
        </w:rPr>
        <w:t>l assets, comprise less than 22 per cent</w:t>
      </w:r>
      <w:r w:rsidRPr="00C07E78">
        <w:rPr>
          <w:rFonts w:ascii="Arial" w:eastAsia="Times New Roman" w:hAnsi="Arial" w:cs="Arial"/>
          <w:sz w:val="20"/>
          <w:szCs w:val="20"/>
        </w:rPr>
        <w:t xml:space="preserve"> of the total budget in 2022/23.</w:t>
      </w:r>
    </w:p>
    <w:p w:rsidR="00BE5FE6" w:rsidRPr="00C07E78" w:rsidRDefault="00BE5FE6" w:rsidP="00C07E78">
      <w:pPr>
        <w:tabs>
          <w:tab w:val="num" w:pos="720"/>
        </w:tabs>
        <w:spacing w:after="0" w:line="240" w:lineRule="auto"/>
        <w:rPr>
          <w:rFonts w:ascii="Arial" w:eastAsia="Times New Roman" w:hAnsi="Arial" w:cs="Arial"/>
          <w:sz w:val="20"/>
          <w:szCs w:val="20"/>
          <w:highlight w:val="yellow"/>
        </w:rPr>
      </w:pPr>
    </w:p>
    <w:p w:rsidR="00343900" w:rsidRPr="00C07E78" w:rsidRDefault="00343900" w:rsidP="00C07E78">
      <w:pPr>
        <w:tabs>
          <w:tab w:val="num" w:pos="720"/>
        </w:tabs>
        <w:spacing w:after="0" w:line="240" w:lineRule="auto"/>
        <w:rPr>
          <w:rFonts w:ascii="Arial" w:eastAsia="Times New Roman" w:hAnsi="Arial" w:cs="Arial"/>
          <w:sz w:val="20"/>
          <w:szCs w:val="20"/>
        </w:rPr>
      </w:pPr>
      <w:r w:rsidRPr="00C07E78">
        <w:rPr>
          <w:rFonts w:ascii="Arial" w:eastAsia="Times New Roman" w:hAnsi="Arial" w:cs="Arial"/>
          <w:sz w:val="20"/>
          <w:szCs w:val="20"/>
        </w:rPr>
        <w:t>SAPS also reported on the R8,7 billion additional allocation over the 2022 MTEF and submitted that from this, an amount of R2,867 billion in 2022/23 will go towards the carry</w:t>
      </w:r>
      <w:r w:rsidR="007F23CD" w:rsidRPr="00C07E78">
        <w:rPr>
          <w:rFonts w:ascii="Arial" w:eastAsia="Times New Roman" w:hAnsi="Arial" w:cs="Arial"/>
          <w:sz w:val="20"/>
          <w:szCs w:val="20"/>
        </w:rPr>
        <w:t>-</w:t>
      </w:r>
      <w:r w:rsidRPr="00C07E78">
        <w:rPr>
          <w:rFonts w:ascii="Arial" w:eastAsia="Times New Roman" w:hAnsi="Arial" w:cs="Arial"/>
          <w:sz w:val="20"/>
          <w:szCs w:val="20"/>
        </w:rPr>
        <w:t xml:space="preserve">through </w:t>
      </w:r>
      <w:r w:rsidR="00C94571" w:rsidRPr="00C07E78">
        <w:rPr>
          <w:rFonts w:ascii="Arial" w:eastAsia="Times New Roman" w:hAnsi="Arial" w:cs="Arial"/>
          <w:sz w:val="20"/>
          <w:szCs w:val="20"/>
        </w:rPr>
        <w:t xml:space="preserve">costs </w:t>
      </w:r>
      <w:r w:rsidRPr="00C07E78">
        <w:rPr>
          <w:rFonts w:ascii="Arial" w:eastAsia="Times New Roman" w:hAnsi="Arial" w:cs="Arial"/>
          <w:sz w:val="20"/>
          <w:szCs w:val="20"/>
        </w:rPr>
        <w:t>of Public Service Coordinating Bargaining Council agreement 1 of 2021 (</w:t>
      </w:r>
      <w:r w:rsidR="007F23CD" w:rsidRPr="00C07E78">
        <w:rPr>
          <w:rFonts w:ascii="Arial" w:eastAsia="Times New Roman" w:hAnsi="Arial" w:cs="Arial"/>
          <w:sz w:val="20"/>
          <w:szCs w:val="20"/>
        </w:rPr>
        <w:t>m</w:t>
      </w:r>
      <w:r w:rsidRPr="00C07E78">
        <w:rPr>
          <w:rFonts w:ascii="Arial" w:eastAsia="Times New Roman" w:hAnsi="Arial" w:cs="Arial"/>
          <w:sz w:val="20"/>
          <w:szCs w:val="20"/>
        </w:rPr>
        <w:t>onthly non-pensionable allowance for level 1 to 12). The remaining R5,835 billion over MTEF will be to rejuvenate and improve policing capacity through the appointment of police trainees and absorption of those who have concluded th</w:t>
      </w:r>
      <w:r w:rsidR="00EA10DF" w:rsidRPr="00C07E78">
        <w:rPr>
          <w:rFonts w:ascii="Arial" w:eastAsia="Times New Roman" w:hAnsi="Arial" w:cs="Arial"/>
          <w:sz w:val="20"/>
          <w:szCs w:val="20"/>
        </w:rPr>
        <w:t>eir training into Constables. SAPS w</w:t>
      </w:r>
      <w:r w:rsidR="007F23CD" w:rsidRPr="00C07E78">
        <w:rPr>
          <w:rFonts w:ascii="Arial" w:eastAsia="Times New Roman" w:hAnsi="Arial" w:cs="Arial"/>
          <w:sz w:val="20"/>
          <w:szCs w:val="20"/>
        </w:rPr>
        <w:t>ill</w:t>
      </w:r>
      <w:r w:rsidR="00EA10DF" w:rsidRPr="00C07E78">
        <w:rPr>
          <w:rFonts w:ascii="Arial" w:eastAsia="Times New Roman" w:hAnsi="Arial" w:cs="Arial"/>
          <w:sz w:val="20"/>
          <w:szCs w:val="20"/>
        </w:rPr>
        <w:t xml:space="preserve"> recruit 12 000 new p</w:t>
      </w:r>
      <w:r w:rsidR="00790679" w:rsidRPr="00C07E78">
        <w:rPr>
          <w:rFonts w:ascii="Arial" w:eastAsia="Times New Roman" w:hAnsi="Arial" w:cs="Arial"/>
          <w:sz w:val="20"/>
          <w:szCs w:val="20"/>
        </w:rPr>
        <w:t>olice t</w:t>
      </w:r>
      <w:r w:rsidRPr="00C07E78">
        <w:rPr>
          <w:rFonts w:ascii="Arial" w:eastAsia="Times New Roman" w:hAnsi="Arial" w:cs="Arial"/>
          <w:sz w:val="20"/>
          <w:szCs w:val="20"/>
        </w:rPr>
        <w:t>rainees, which comprise of 7 000 for the 2022/23 financial year and 5 000 for the 2023/24 financial year and their carry</w:t>
      </w:r>
      <w:r w:rsidR="007F23CD" w:rsidRPr="00C07E78">
        <w:rPr>
          <w:rFonts w:ascii="Arial" w:eastAsia="Times New Roman" w:hAnsi="Arial" w:cs="Arial"/>
          <w:sz w:val="20"/>
          <w:szCs w:val="20"/>
        </w:rPr>
        <w:t>-</w:t>
      </w:r>
      <w:r w:rsidRPr="00C07E78">
        <w:rPr>
          <w:rFonts w:ascii="Arial" w:eastAsia="Times New Roman" w:hAnsi="Arial" w:cs="Arial"/>
          <w:sz w:val="20"/>
          <w:szCs w:val="20"/>
        </w:rPr>
        <w:t>through costs t</w:t>
      </w:r>
      <w:r w:rsidR="00EA10DF" w:rsidRPr="00C07E78">
        <w:rPr>
          <w:rFonts w:ascii="Arial" w:eastAsia="Times New Roman" w:hAnsi="Arial" w:cs="Arial"/>
          <w:sz w:val="20"/>
          <w:szCs w:val="20"/>
        </w:rPr>
        <w:t xml:space="preserve">o the 2024/25 financial year. </w:t>
      </w:r>
    </w:p>
    <w:p w:rsidR="00343900" w:rsidRPr="00C07E78" w:rsidRDefault="00343900" w:rsidP="00C07E78">
      <w:pPr>
        <w:tabs>
          <w:tab w:val="num" w:pos="720"/>
        </w:tabs>
        <w:spacing w:after="0" w:line="240" w:lineRule="auto"/>
        <w:rPr>
          <w:rFonts w:ascii="Arial" w:eastAsia="Times New Roman" w:hAnsi="Arial" w:cs="Arial"/>
          <w:sz w:val="20"/>
          <w:szCs w:val="20"/>
          <w:highlight w:val="yellow"/>
        </w:rPr>
      </w:pPr>
    </w:p>
    <w:p w:rsidR="00343900" w:rsidRPr="00C07E78" w:rsidRDefault="00343900" w:rsidP="00C07E78">
      <w:pPr>
        <w:tabs>
          <w:tab w:val="num" w:pos="720"/>
        </w:tabs>
        <w:spacing w:after="0" w:line="240" w:lineRule="auto"/>
        <w:rPr>
          <w:rFonts w:ascii="Arial" w:eastAsia="Times New Roman" w:hAnsi="Arial" w:cs="Arial"/>
          <w:sz w:val="20"/>
          <w:szCs w:val="20"/>
        </w:rPr>
      </w:pPr>
      <w:r w:rsidRPr="00C07E78">
        <w:rPr>
          <w:rFonts w:ascii="Arial" w:eastAsia="Times New Roman" w:hAnsi="Arial" w:cs="Arial"/>
          <w:sz w:val="20"/>
          <w:szCs w:val="20"/>
        </w:rPr>
        <w:lastRenderedPageBreak/>
        <w:t>With regard</w:t>
      </w:r>
      <w:r w:rsidR="007F23CD" w:rsidRPr="00C07E78">
        <w:rPr>
          <w:rFonts w:ascii="Arial" w:eastAsia="Times New Roman" w:hAnsi="Arial" w:cs="Arial"/>
          <w:sz w:val="20"/>
          <w:szCs w:val="20"/>
        </w:rPr>
        <w:t>s</w:t>
      </w:r>
      <w:r w:rsidRPr="00C07E78">
        <w:rPr>
          <w:rFonts w:ascii="Arial" w:eastAsia="Times New Roman" w:hAnsi="Arial" w:cs="Arial"/>
          <w:sz w:val="20"/>
          <w:szCs w:val="20"/>
        </w:rPr>
        <w:t xml:space="preserve"> to Gender-Based Violence (GBV), SAPS reported that it developed profiles for the 30 GBV hotspots police stations to come up with intervention plans to address contributing factors and improve services to victims of GBVF at police stations by December 2020. A pilot programme to establish GBV Desks was initiated at the 30 GBV hotspots police stations and rolled-out to all other police stations in the country in three phases. An evaluation of </w:t>
      </w:r>
      <w:r w:rsidR="00EA10DF" w:rsidRPr="00C07E78">
        <w:rPr>
          <w:rFonts w:ascii="Arial" w:eastAsia="Times New Roman" w:hAnsi="Arial" w:cs="Arial"/>
          <w:sz w:val="20"/>
          <w:szCs w:val="20"/>
        </w:rPr>
        <w:t xml:space="preserve">the pilot of GBV Desks </w:t>
      </w:r>
      <w:r w:rsidRPr="00C07E78">
        <w:rPr>
          <w:rFonts w:ascii="Arial" w:eastAsia="Times New Roman" w:hAnsi="Arial" w:cs="Arial"/>
          <w:sz w:val="20"/>
          <w:szCs w:val="20"/>
        </w:rPr>
        <w:t xml:space="preserve">would be conducted </w:t>
      </w:r>
      <w:r w:rsidR="00EA10DF" w:rsidRPr="00C07E78">
        <w:rPr>
          <w:rFonts w:ascii="Arial" w:eastAsia="Times New Roman" w:hAnsi="Arial" w:cs="Arial"/>
          <w:sz w:val="20"/>
          <w:szCs w:val="20"/>
        </w:rPr>
        <w:t xml:space="preserve">between April 2022 and December 2023 </w:t>
      </w:r>
      <w:r w:rsidRPr="00C07E78">
        <w:rPr>
          <w:rFonts w:ascii="Arial" w:eastAsia="Times New Roman" w:hAnsi="Arial" w:cs="Arial"/>
          <w:sz w:val="20"/>
          <w:szCs w:val="20"/>
        </w:rPr>
        <w:t>to develop a guideline for uniform im</w:t>
      </w:r>
      <w:r w:rsidR="00EA10DF" w:rsidRPr="00C07E78">
        <w:rPr>
          <w:rFonts w:ascii="Arial" w:eastAsia="Times New Roman" w:hAnsi="Arial" w:cs="Arial"/>
          <w:sz w:val="20"/>
          <w:szCs w:val="20"/>
        </w:rPr>
        <w:t xml:space="preserve">plementation across the country. </w:t>
      </w:r>
    </w:p>
    <w:p w:rsidR="00343900" w:rsidRPr="00C07E78" w:rsidRDefault="00343900" w:rsidP="00C07E78">
      <w:pPr>
        <w:tabs>
          <w:tab w:val="num" w:pos="720"/>
        </w:tabs>
        <w:spacing w:after="0" w:line="240" w:lineRule="auto"/>
        <w:rPr>
          <w:rFonts w:ascii="Arial" w:eastAsia="Times New Roman" w:hAnsi="Arial" w:cs="Arial"/>
          <w:sz w:val="20"/>
          <w:szCs w:val="20"/>
        </w:rPr>
      </w:pPr>
    </w:p>
    <w:p w:rsidR="00C13690" w:rsidRPr="00C07E78" w:rsidRDefault="00C13690" w:rsidP="00C07E78">
      <w:pPr>
        <w:tabs>
          <w:tab w:val="num" w:pos="720"/>
        </w:tabs>
        <w:spacing w:after="0" w:line="240" w:lineRule="auto"/>
        <w:rPr>
          <w:rFonts w:ascii="Arial" w:eastAsia="Times New Roman" w:hAnsi="Arial" w:cs="Arial"/>
          <w:sz w:val="20"/>
          <w:szCs w:val="20"/>
        </w:rPr>
      </w:pPr>
      <w:r w:rsidRPr="00C07E78">
        <w:rPr>
          <w:rFonts w:ascii="Arial" w:eastAsia="Times New Roman" w:hAnsi="Arial" w:cs="Arial"/>
          <w:sz w:val="20"/>
          <w:szCs w:val="20"/>
        </w:rPr>
        <w:t>SAPS submitted that the introduction of legislative changes place</w:t>
      </w:r>
      <w:r w:rsidR="00D150C2" w:rsidRPr="00C07E78">
        <w:rPr>
          <w:rFonts w:ascii="Arial" w:eastAsia="Times New Roman" w:hAnsi="Arial" w:cs="Arial"/>
          <w:sz w:val="20"/>
          <w:szCs w:val="20"/>
        </w:rPr>
        <w:t>d</w:t>
      </w:r>
      <w:r w:rsidRPr="00C07E78">
        <w:rPr>
          <w:rFonts w:ascii="Arial" w:eastAsia="Times New Roman" w:hAnsi="Arial" w:cs="Arial"/>
          <w:sz w:val="20"/>
          <w:szCs w:val="20"/>
        </w:rPr>
        <w:t xml:space="preserve"> more pressure on </w:t>
      </w:r>
      <w:r w:rsidR="00D150C2" w:rsidRPr="00C07E78">
        <w:rPr>
          <w:rFonts w:ascii="Arial" w:eastAsia="Times New Roman" w:hAnsi="Arial" w:cs="Arial"/>
          <w:sz w:val="20"/>
          <w:szCs w:val="20"/>
        </w:rPr>
        <w:t>it</w:t>
      </w:r>
      <w:r w:rsidR="007F23CD" w:rsidRPr="00C07E78">
        <w:rPr>
          <w:rFonts w:ascii="Arial" w:eastAsia="Times New Roman" w:hAnsi="Arial" w:cs="Arial"/>
          <w:sz w:val="20"/>
          <w:szCs w:val="20"/>
        </w:rPr>
        <w:t>s</w:t>
      </w:r>
      <w:r w:rsidR="00D150C2" w:rsidRPr="00C07E78">
        <w:rPr>
          <w:rFonts w:ascii="Arial" w:eastAsia="Times New Roman" w:hAnsi="Arial" w:cs="Arial"/>
          <w:sz w:val="20"/>
          <w:szCs w:val="20"/>
        </w:rPr>
        <w:t xml:space="preserve"> budget Vote as no additional funding was allocated</w:t>
      </w:r>
      <w:r w:rsidR="007F23CD" w:rsidRPr="00C07E78">
        <w:rPr>
          <w:rFonts w:ascii="Arial" w:eastAsia="Times New Roman" w:hAnsi="Arial" w:cs="Arial"/>
          <w:sz w:val="20"/>
          <w:szCs w:val="20"/>
        </w:rPr>
        <w:t>,</w:t>
      </w:r>
      <w:r w:rsidR="00D150C2" w:rsidRPr="00C07E78">
        <w:rPr>
          <w:rFonts w:ascii="Arial" w:eastAsia="Times New Roman" w:hAnsi="Arial" w:cs="Arial"/>
          <w:sz w:val="20"/>
          <w:szCs w:val="20"/>
        </w:rPr>
        <w:t xml:space="preserve"> thus necessitating it to reprioritise</w:t>
      </w:r>
      <w:r w:rsidRPr="00C07E78">
        <w:rPr>
          <w:rFonts w:ascii="Arial" w:eastAsia="Times New Roman" w:hAnsi="Arial" w:cs="Arial"/>
          <w:sz w:val="20"/>
          <w:szCs w:val="20"/>
        </w:rPr>
        <w:t xml:space="preserve"> existing resources when legislat</w:t>
      </w:r>
      <w:r w:rsidR="00D150C2" w:rsidRPr="00C07E78">
        <w:rPr>
          <w:rFonts w:ascii="Arial" w:eastAsia="Times New Roman" w:hAnsi="Arial" w:cs="Arial"/>
          <w:sz w:val="20"/>
          <w:szCs w:val="20"/>
        </w:rPr>
        <w:t>ive changes are implemented. SAPS submitted that the estimated</w:t>
      </w:r>
      <w:r w:rsidRPr="00C07E78">
        <w:rPr>
          <w:rFonts w:ascii="Arial" w:eastAsia="Times New Roman" w:hAnsi="Arial" w:cs="Arial"/>
          <w:sz w:val="20"/>
          <w:szCs w:val="20"/>
        </w:rPr>
        <w:t xml:space="preserve"> total cost for</w:t>
      </w:r>
      <w:r w:rsidR="00D150C2" w:rsidRPr="00C07E78">
        <w:rPr>
          <w:rFonts w:ascii="Arial" w:eastAsia="Times New Roman" w:hAnsi="Arial" w:cs="Arial"/>
          <w:sz w:val="20"/>
          <w:szCs w:val="20"/>
        </w:rPr>
        <w:t xml:space="preserve"> the</w:t>
      </w:r>
      <w:r w:rsidRPr="00C07E78">
        <w:rPr>
          <w:rFonts w:ascii="Arial" w:eastAsia="Times New Roman" w:hAnsi="Arial" w:cs="Arial"/>
          <w:sz w:val="20"/>
          <w:szCs w:val="20"/>
        </w:rPr>
        <w:t xml:space="preserve"> imple</w:t>
      </w:r>
      <w:r w:rsidR="00D150C2" w:rsidRPr="00C07E78">
        <w:rPr>
          <w:rFonts w:ascii="Arial" w:eastAsia="Times New Roman" w:hAnsi="Arial" w:cs="Arial"/>
          <w:sz w:val="20"/>
          <w:szCs w:val="20"/>
        </w:rPr>
        <w:t>mentation of the Criminal Law (f</w:t>
      </w:r>
      <w:r w:rsidRPr="00C07E78">
        <w:rPr>
          <w:rFonts w:ascii="Arial" w:eastAsia="Times New Roman" w:hAnsi="Arial" w:cs="Arial"/>
          <w:sz w:val="20"/>
          <w:szCs w:val="20"/>
        </w:rPr>
        <w:t>orensic</w:t>
      </w:r>
      <w:r w:rsidR="00D150C2" w:rsidRPr="00C07E78">
        <w:rPr>
          <w:rFonts w:ascii="Arial" w:eastAsia="Times New Roman" w:hAnsi="Arial" w:cs="Arial"/>
          <w:sz w:val="20"/>
          <w:szCs w:val="20"/>
        </w:rPr>
        <w:t xml:space="preserve"> procedures) Amendment Bill would</w:t>
      </w:r>
      <w:r w:rsidRPr="00C07E78">
        <w:rPr>
          <w:rFonts w:ascii="Arial" w:eastAsia="Times New Roman" w:hAnsi="Arial" w:cs="Arial"/>
          <w:sz w:val="20"/>
          <w:szCs w:val="20"/>
        </w:rPr>
        <w:t xml:space="preserve"> be R78,480 million.</w:t>
      </w:r>
      <w:r w:rsidR="00D150C2" w:rsidRPr="00C07E78">
        <w:rPr>
          <w:rFonts w:ascii="Arial" w:eastAsia="Times New Roman" w:hAnsi="Arial" w:cs="Arial"/>
          <w:sz w:val="20"/>
          <w:szCs w:val="20"/>
        </w:rPr>
        <w:t xml:space="preserve"> Furthermore, implementation of the Cyber Crime Act would require 52 new </w:t>
      </w:r>
      <w:r w:rsidR="00A90034" w:rsidRPr="00C07E78">
        <w:rPr>
          <w:rFonts w:ascii="Arial" w:eastAsia="Times New Roman" w:hAnsi="Arial" w:cs="Arial"/>
          <w:sz w:val="20"/>
          <w:szCs w:val="20"/>
        </w:rPr>
        <w:t>cybercrime</w:t>
      </w:r>
      <w:r w:rsidR="00D150C2" w:rsidRPr="00C07E78">
        <w:rPr>
          <w:rFonts w:ascii="Arial" w:eastAsia="Times New Roman" w:hAnsi="Arial" w:cs="Arial"/>
          <w:sz w:val="20"/>
          <w:szCs w:val="20"/>
        </w:rPr>
        <w:t xml:space="preserve"> units across South Africa at an estimated cost of R102 million. After many different options were investigated, it was recommended that the designated point of contact must be established in collaboration with the Council for Scientific and Industrial Research (CSIR) at an estimate</w:t>
      </w:r>
      <w:r w:rsidR="007F23CD" w:rsidRPr="00C07E78">
        <w:rPr>
          <w:rFonts w:ascii="Arial" w:eastAsia="Times New Roman" w:hAnsi="Arial" w:cs="Arial"/>
          <w:sz w:val="20"/>
          <w:szCs w:val="20"/>
        </w:rPr>
        <w:t>d</w:t>
      </w:r>
      <w:r w:rsidR="00D150C2" w:rsidRPr="00C07E78">
        <w:rPr>
          <w:rFonts w:ascii="Arial" w:eastAsia="Times New Roman" w:hAnsi="Arial" w:cs="Arial"/>
          <w:sz w:val="20"/>
          <w:szCs w:val="20"/>
        </w:rPr>
        <w:t xml:space="preserve"> cost of about R3,9 million per year. An additional R600 000 would be required during the 2022/23 financial year to cover the initial set up costs for the designated point of contact. </w:t>
      </w:r>
    </w:p>
    <w:p w:rsidR="00BE5FE6" w:rsidRPr="00C07E78" w:rsidRDefault="00BE5FE6" w:rsidP="00C07E78">
      <w:pPr>
        <w:spacing w:after="0" w:line="240" w:lineRule="auto"/>
        <w:contextualSpacing/>
        <w:rPr>
          <w:rFonts w:ascii="Arial" w:eastAsia="Times New Roman" w:hAnsi="Arial" w:cs="Arial"/>
          <w:b/>
          <w:sz w:val="20"/>
          <w:szCs w:val="20"/>
        </w:rPr>
      </w:pPr>
    </w:p>
    <w:p w:rsidR="00E82D35" w:rsidRPr="00C07E78" w:rsidRDefault="00E82D35" w:rsidP="00C07E78">
      <w:pPr>
        <w:spacing w:after="0" w:line="240" w:lineRule="auto"/>
        <w:contextualSpacing/>
        <w:rPr>
          <w:rFonts w:ascii="Arial" w:eastAsia="Times New Roman" w:hAnsi="Arial" w:cs="Arial"/>
          <w:sz w:val="20"/>
          <w:szCs w:val="20"/>
        </w:rPr>
      </w:pPr>
      <w:r w:rsidRPr="00C07E78">
        <w:rPr>
          <w:rFonts w:ascii="Arial" w:eastAsia="Times New Roman" w:hAnsi="Arial" w:cs="Arial"/>
          <w:sz w:val="20"/>
          <w:szCs w:val="20"/>
          <w:lang w:val="en-US"/>
        </w:rPr>
        <w:t xml:space="preserve">In terms of the preliminary expenditure recorded as at the end of the 2021/22 financial year, the SAPS submitted that the total expenditure </w:t>
      </w:r>
      <w:r w:rsidR="00BF2D16" w:rsidRPr="00C07E78">
        <w:rPr>
          <w:rFonts w:ascii="Arial" w:eastAsia="Times New Roman" w:hAnsi="Arial" w:cs="Arial"/>
          <w:sz w:val="20"/>
          <w:szCs w:val="20"/>
          <w:lang w:val="en-US"/>
        </w:rPr>
        <w:t>amounted to R99.6 billion or 99.1</w:t>
      </w:r>
      <w:r w:rsidRPr="00C07E78">
        <w:rPr>
          <w:rFonts w:ascii="Arial" w:eastAsia="Times New Roman" w:hAnsi="Arial" w:cs="Arial"/>
          <w:sz w:val="20"/>
          <w:szCs w:val="20"/>
          <w:lang w:val="en-US"/>
        </w:rPr>
        <w:t xml:space="preserve"> per cent of the total adjusted budget</w:t>
      </w:r>
      <w:r w:rsidR="00BF2D16" w:rsidRPr="00C07E78">
        <w:rPr>
          <w:rFonts w:ascii="Arial" w:eastAsia="Times New Roman" w:hAnsi="Arial" w:cs="Arial"/>
          <w:sz w:val="20"/>
          <w:szCs w:val="20"/>
          <w:lang w:val="en-US"/>
        </w:rPr>
        <w:t xml:space="preserve"> allocation of R100.5</w:t>
      </w:r>
      <w:r w:rsidRPr="00C07E78">
        <w:rPr>
          <w:rFonts w:ascii="Arial" w:eastAsia="Times New Roman" w:hAnsi="Arial" w:cs="Arial"/>
          <w:sz w:val="20"/>
          <w:szCs w:val="20"/>
          <w:lang w:val="en-US"/>
        </w:rPr>
        <w:t xml:space="preserve"> billion. This resulted in a variance </w:t>
      </w:r>
      <w:r w:rsidR="00BF2D16" w:rsidRPr="00C07E78">
        <w:rPr>
          <w:rFonts w:ascii="Arial" w:eastAsia="Times New Roman" w:hAnsi="Arial" w:cs="Arial"/>
          <w:sz w:val="20"/>
          <w:szCs w:val="20"/>
          <w:lang w:val="en-US"/>
        </w:rPr>
        <w:t>of R878.4</w:t>
      </w:r>
      <w:r w:rsidRPr="00C07E78">
        <w:rPr>
          <w:rFonts w:ascii="Arial" w:eastAsia="Times New Roman" w:hAnsi="Arial" w:cs="Arial"/>
          <w:sz w:val="20"/>
          <w:szCs w:val="20"/>
          <w:lang w:val="en-US"/>
        </w:rPr>
        <w:t xml:space="preserve"> million as at the end of the financial year. </w:t>
      </w:r>
    </w:p>
    <w:p w:rsidR="00E82D35" w:rsidRPr="00C07E78" w:rsidRDefault="00E82D35" w:rsidP="00C07E78">
      <w:pPr>
        <w:spacing w:after="0" w:line="240" w:lineRule="auto"/>
        <w:contextualSpacing/>
        <w:rPr>
          <w:rFonts w:ascii="Arial" w:eastAsia="Times New Roman" w:hAnsi="Arial" w:cs="Arial"/>
          <w:b/>
          <w:sz w:val="20"/>
          <w:szCs w:val="20"/>
        </w:rPr>
      </w:pPr>
    </w:p>
    <w:p w:rsidR="00707DF4" w:rsidRPr="00C07E78" w:rsidRDefault="00707DF4" w:rsidP="00C07E78">
      <w:pPr>
        <w:spacing w:after="0" w:line="240" w:lineRule="auto"/>
        <w:rPr>
          <w:rFonts w:ascii="Arial" w:eastAsia="Times New Roman" w:hAnsi="Arial" w:cs="Arial"/>
          <w:b/>
          <w:sz w:val="20"/>
          <w:szCs w:val="20"/>
        </w:rPr>
      </w:pPr>
      <w:r w:rsidRPr="00C07E78">
        <w:rPr>
          <w:rFonts w:ascii="Arial" w:eastAsia="Times New Roman" w:hAnsi="Arial" w:cs="Arial"/>
          <w:b/>
          <w:sz w:val="20"/>
          <w:szCs w:val="20"/>
        </w:rPr>
        <w:t xml:space="preserve">4.3 </w:t>
      </w:r>
      <w:r w:rsidRPr="00C07E78">
        <w:rPr>
          <w:rFonts w:ascii="Arial" w:eastAsia="Times New Roman" w:hAnsi="Arial" w:cs="Arial"/>
          <w:b/>
          <w:sz w:val="20"/>
          <w:szCs w:val="20"/>
        </w:rPr>
        <w:tab/>
        <w:t>Department of Water and Sanitation</w:t>
      </w:r>
    </w:p>
    <w:p w:rsidR="00707DF4" w:rsidRPr="00C07E78" w:rsidRDefault="00707DF4" w:rsidP="00C07E78">
      <w:pPr>
        <w:spacing w:after="0" w:line="240" w:lineRule="auto"/>
        <w:contextualSpacing/>
        <w:rPr>
          <w:rFonts w:ascii="Arial" w:eastAsia="Times New Roman" w:hAnsi="Arial" w:cs="Arial"/>
          <w:b/>
          <w:sz w:val="20"/>
          <w:szCs w:val="20"/>
        </w:rPr>
      </w:pPr>
    </w:p>
    <w:p w:rsidR="0020368F" w:rsidRPr="00C07E78" w:rsidRDefault="0020368F" w:rsidP="00C07E78">
      <w:pPr>
        <w:spacing w:after="0" w:line="240" w:lineRule="auto"/>
        <w:contextualSpacing/>
        <w:rPr>
          <w:rFonts w:ascii="Arial" w:eastAsia="Times New Roman" w:hAnsi="Arial" w:cs="Arial"/>
          <w:sz w:val="20"/>
          <w:szCs w:val="20"/>
        </w:rPr>
      </w:pPr>
      <w:r w:rsidRPr="00C07E78">
        <w:rPr>
          <w:rFonts w:ascii="Arial" w:eastAsia="Times New Roman" w:hAnsi="Arial" w:cs="Arial"/>
          <w:sz w:val="20"/>
          <w:szCs w:val="20"/>
        </w:rPr>
        <w:t>The Department of Water and Sanitation (DWS) reported that the R59.6 billion allocation over the 2022 MTEF will contribute immensely to service delivery in all the nine provinces through the rollout of infrastructure projects linked to reticulation resulting in provision of water to communities. DWS highlighted the following:</w:t>
      </w:r>
    </w:p>
    <w:p w:rsidR="0020368F" w:rsidRPr="00C07E78" w:rsidRDefault="0020368F" w:rsidP="00C07E78">
      <w:pPr>
        <w:pStyle w:val="ListParagraph"/>
        <w:numPr>
          <w:ilvl w:val="0"/>
          <w:numId w:val="12"/>
        </w:numPr>
        <w:spacing w:after="0" w:line="240" w:lineRule="auto"/>
        <w:rPr>
          <w:rFonts w:ascii="Arial" w:eastAsia="Times New Roman" w:hAnsi="Arial" w:cs="Arial"/>
          <w:sz w:val="20"/>
          <w:szCs w:val="20"/>
        </w:rPr>
      </w:pPr>
      <w:r w:rsidRPr="00C07E78">
        <w:rPr>
          <w:rFonts w:ascii="Arial" w:eastAsia="Times New Roman" w:hAnsi="Arial" w:cs="Arial"/>
          <w:sz w:val="20"/>
          <w:szCs w:val="20"/>
        </w:rPr>
        <w:t>Continued focus on enhancing regulatory measures, ensuring that infrastructure is protected and restored, and ensuring that water and sanitation services are managed effectively;</w:t>
      </w:r>
    </w:p>
    <w:p w:rsidR="0020368F" w:rsidRPr="00C07E78" w:rsidRDefault="0020368F" w:rsidP="00C07E78">
      <w:pPr>
        <w:pStyle w:val="ListParagraph"/>
        <w:numPr>
          <w:ilvl w:val="0"/>
          <w:numId w:val="12"/>
        </w:numPr>
        <w:spacing w:after="0" w:line="240" w:lineRule="auto"/>
        <w:rPr>
          <w:rFonts w:ascii="Arial" w:eastAsia="Times New Roman" w:hAnsi="Arial" w:cs="Arial"/>
          <w:sz w:val="20"/>
          <w:szCs w:val="20"/>
        </w:rPr>
      </w:pPr>
      <w:r w:rsidRPr="00C07E78">
        <w:rPr>
          <w:rFonts w:ascii="Arial" w:eastAsia="Times New Roman" w:hAnsi="Arial" w:cs="Arial"/>
          <w:sz w:val="20"/>
          <w:szCs w:val="20"/>
        </w:rPr>
        <w:t>Continue focus on ensuring the delivery of safe water and the effective management of wastewater through enforcing various regulatory measures and strengthening its oversight functions;</w:t>
      </w:r>
    </w:p>
    <w:p w:rsidR="0020368F" w:rsidRPr="00C07E78" w:rsidRDefault="0020368F" w:rsidP="00C07E78">
      <w:pPr>
        <w:pStyle w:val="ListParagraph"/>
        <w:numPr>
          <w:ilvl w:val="0"/>
          <w:numId w:val="12"/>
        </w:numPr>
        <w:spacing w:after="0" w:line="240" w:lineRule="auto"/>
        <w:rPr>
          <w:rFonts w:ascii="Arial" w:eastAsia="Times New Roman" w:hAnsi="Arial" w:cs="Arial"/>
          <w:sz w:val="20"/>
          <w:szCs w:val="20"/>
        </w:rPr>
      </w:pPr>
      <w:r w:rsidRPr="00C07E78">
        <w:rPr>
          <w:rFonts w:ascii="Arial" w:eastAsia="Times New Roman" w:hAnsi="Arial" w:cs="Arial"/>
          <w:sz w:val="20"/>
          <w:szCs w:val="20"/>
        </w:rPr>
        <w:t>Expected support to 32 district municipalities with developing water and sanitation reliability plans and monitoring the compliance of all water services authorities with regulatory standards;</w:t>
      </w:r>
    </w:p>
    <w:p w:rsidR="0020368F" w:rsidRPr="00C07E78" w:rsidRDefault="0020368F" w:rsidP="00C07E78">
      <w:pPr>
        <w:pStyle w:val="ListParagraph"/>
        <w:numPr>
          <w:ilvl w:val="0"/>
          <w:numId w:val="12"/>
        </w:numPr>
        <w:spacing w:after="0" w:line="240" w:lineRule="auto"/>
        <w:rPr>
          <w:rFonts w:ascii="Arial" w:eastAsia="Times New Roman" w:hAnsi="Arial" w:cs="Arial"/>
          <w:sz w:val="20"/>
          <w:szCs w:val="20"/>
        </w:rPr>
      </w:pPr>
      <w:r w:rsidRPr="00C07E78">
        <w:rPr>
          <w:rFonts w:ascii="Arial" w:eastAsia="Times New Roman" w:hAnsi="Arial" w:cs="Arial"/>
          <w:sz w:val="20"/>
          <w:szCs w:val="20"/>
        </w:rPr>
        <w:t>Ensuring that 80 per cent of applications to authorise water</w:t>
      </w:r>
      <w:r w:rsidRPr="00C07E78">
        <w:rPr>
          <w:rFonts w:ascii="Times New Roman" w:eastAsia="Times New Roman" w:hAnsi="Times New Roman" w:cs="Arial"/>
          <w:sz w:val="20"/>
          <w:szCs w:val="20"/>
        </w:rPr>
        <w:t>‐</w:t>
      </w:r>
      <w:r w:rsidRPr="00C07E78">
        <w:rPr>
          <w:rFonts w:ascii="Arial" w:eastAsia="Times New Roman" w:hAnsi="Arial" w:cs="Arial"/>
          <w:sz w:val="20"/>
          <w:szCs w:val="20"/>
        </w:rPr>
        <w:t>use are finalised within 90 days and that 963 wastewater systems are assessed for compliance against green drop regulatory requirements;</w:t>
      </w:r>
    </w:p>
    <w:p w:rsidR="0020368F" w:rsidRPr="00C07E78" w:rsidRDefault="0020368F" w:rsidP="00C07E78">
      <w:pPr>
        <w:pStyle w:val="ListParagraph"/>
        <w:numPr>
          <w:ilvl w:val="0"/>
          <w:numId w:val="12"/>
        </w:numPr>
        <w:spacing w:after="0" w:line="240" w:lineRule="auto"/>
        <w:rPr>
          <w:rFonts w:ascii="Arial" w:eastAsia="Times New Roman" w:hAnsi="Arial" w:cs="Arial"/>
          <w:sz w:val="20"/>
          <w:szCs w:val="20"/>
        </w:rPr>
      </w:pPr>
      <w:r w:rsidRPr="00C07E78">
        <w:rPr>
          <w:rFonts w:ascii="Arial" w:eastAsia="Times New Roman" w:hAnsi="Arial" w:cs="Arial"/>
          <w:sz w:val="20"/>
          <w:szCs w:val="20"/>
        </w:rPr>
        <w:t>Continued investment in water resources and implementation of projects such as the phase 2D of the Olifants River water resource development project, the Mokolo</w:t>
      </w:r>
      <w:r w:rsidRPr="00C07E78">
        <w:rPr>
          <w:rFonts w:ascii="Times New Roman" w:eastAsia="Times New Roman" w:hAnsi="Times New Roman" w:cs="Arial"/>
          <w:sz w:val="20"/>
          <w:szCs w:val="20"/>
        </w:rPr>
        <w:t>‐</w:t>
      </w:r>
      <w:r w:rsidRPr="00C07E78">
        <w:rPr>
          <w:rFonts w:ascii="Arial" w:eastAsia="Times New Roman" w:hAnsi="Arial" w:cs="Arial"/>
          <w:sz w:val="20"/>
          <w:szCs w:val="20"/>
        </w:rPr>
        <w:t xml:space="preserve">Crocodile water augmentation project, the raising of the Tzaneen and Hazelmere dams, and the Umdloti River development project; and </w:t>
      </w:r>
    </w:p>
    <w:p w:rsidR="00707DF4" w:rsidRPr="00C07E78" w:rsidRDefault="0020368F" w:rsidP="00C07E78">
      <w:pPr>
        <w:pStyle w:val="ListParagraph"/>
        <w:numPr>
          <w:ilvl w:val="0"/>
          <w:numId w:val="12"/>
        </w:num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Over the 2022 MTEF period, 2 mega, 24 large and 28 small regional bulk infrastructure projects are expected to be implemented and finalised. </w:t>
      </w:r>
    </w:p>
    <w:p w:rsidR="0020368F" w:rsidRPr="00C07E78" w:rsidRDefault="0020368F" w:rsidP="00C07E78">
      <w:pPr>
        <w:spacing w:after="0" w:line="240" w:lineRule="auto"/>
        <w:rPr>
          <w:rFonts w:ascii="Arial" w:eastAsia="Times New Roman" w:hAnsi="Arial" w:cs="Arial"/>
          <w:sz w:val="20"/>
          <w:szCs w:val="20"/>
        </w:rPr>
      </w:pPr>
    </w:p>
    <w:p w:rsidR="00707DF4" w:rsidRPr="00C07E78" w:rsidRDefault="001E0F95"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With regard to the Bucket Eradication Programme (BEP), the DWS submitted that due to rapid rural-urban migration, new informal settlements are arising continuously. Legislation, however, does not allow municipal investment in infrastructure development in informal settlements before they are formalized. Municipalities therefore provide informal settlements with buckets or chemical toilets as temporary solutions or, alternatively, households in informal settlements build makeshift pit toilets. To this end</w:t>
      </w:r>
      <w:r w:rsidR="004A4907" w:rsidRPr="00C07E78">
        <w:rPr>
          <w:rFonts w:ascii="Arial" w:eastAsia="Times New Roman" w:hAnsi="Arial" w:cs="Arial"/>
          <w:sz w:val="20"/>
          <w:szCs w:val="20"/>
        </w:rPr>
        <w:t>,</w:t>
      </w:r>
      <w:r w:rsidRPr="00C07E78">
        <w:rPr>
          <w:rFonts w:ascii="Arial" w:eastAsia="Times New Roman" w:hAnsi="Arial" w:cs="Arial"/>
          <w:sz w:val="20"/>
          <w:szCs w:val="20"/>
        </w:rPr>
        <w:t xml:space="preserve"> the BEP focused on eradicating buckets in formal areas. As informal settlements are formalized, more needs for eradicating buckets (in formal settlements) emerge, on an ongoing basis. In future, DWS will focus on ensuring that municipalities meet the minimum norms for sanitation in informal settlements and stop providing buckets. In the meantime, DWS is continuing with the BEP in formal settlements, with a target of removing the remaining </w:t>
      </w:r>
      <w:r w:rsidR="002F5E9B" w:rsidRPr="00C07E78">
        <w:rPr>
          <w:rFonts w:ascii="Arial" w:eastAsia="Times New Roman" w:hAnsi="Arial" w:cs="Arial"/>
          <w:sz w:val="20"/>
          <w:szCs w:val="20"/>
        </w:rPr>
        <w:t xml:space="preserve">10 800 </w:t>
      </w:r>
      <w:r w:rsidRPr="00C07E78">
        <w:rPr>
          <w:rFonts w:ascii="Arial" w:eastAsia="Times New Roman" w:hAnsi="Arial" w:cs="Arial"/>
          <w:sz w:val="20"/>
          <w:szCs w:val="20"/>
        </w:rPr>
        <w:t xml:space="preserve">buckets in the Northern Cape and Free State by the end of March 2023. </w:t>
      </w:r>
      <w:r w:rsidR="002F5E9B" w:rsidRPr="00C07E78">
        <w:rPr>
          <w:rFonts w:ascii="Arial" w:eastAsia="Times New Roman" w:hAnsi="Arial" w:cs="Arial"/>
          <w:sz w:val="20"/>
          <w:szCs w:val="20"/>
        </w:rPr>
        <w:t xml:space="preserve">The budget allocation for the said BEP for 2022/23 was R504.302 million (Regional Bulk Infrastructure Programme – 6b) and R110.174 </w:t>
      </w:r>
      <w:r w:rsidR="007F23CD" w:rsidRPr="00C07E78">
        <w:rPr>
          <w:rFonts w:ascii="Arial" w:eastAsia="Times New Roman" w:hAnsi="Arial" w:cs="Arial"/>
          <w:sz w:val="20"/>
          <w:szCs w:val="20"/>
        </w:rPr>
        <w:t xml:space="preserve">million </w:t>
      </w:r>
      <w:r w:rsidR="002F5E9B" w:rsidRPr="00C07E78">
        <w:rPr>
          <w:rFonts w:ascii="Arial" w:eastAsia="Times New Roman" w:hAnsi="Arial" w:cs="Arial"/>
          <w:sz w:val="20"/>
          <w:szCs w:val="20"/>
        </w:rPr>
        <w:t xml:space="preserve">(Water Services Infrastructure Grant – 6b). </w:t>
      </w:r>
    </w:p>
    <w:p w:rsidR="001E0F95" w:rsidRPr="00C07E78" w:rsidRDefault="001E0F95" w:rsidP="00C07E78">
      <w:pPr>
        <w:spacing w:after="0" w:line="240" w:lineRule="auto"/>
        <w:rPr>
          <w:rFonts w:ascii="Arial" w:eastAsia="Times New Roman" w:hAnsi="Arial" w:cs="Arial"/>
          <w:sz w:val="20"/>
          <w:szCs w:val="20"/>
        </w:rPr>
      </w:pPr>
    </w:p>
    <w:p w:rsidR="0068028E" w:rsidRPr="00C07E78" w:rsidRDefault="0068028E"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DWS also provided an</w:t>
      </w:r>
      <w:r w:rsidR="007F23CD" w:rsidRPr="00C07E78">
        <w:rPr>
          <w:rFonts w:ascii="Arial" w:eastAsia="Times New Roman" w:hAnsi="Arial" w:cs="Arial"/>
          <w:sz w:val="20"/>
          <w:szCs w:val="20"/>
        </w:rPr>
        <w:t xml:space="preserve"> </w:t>
      </w:r>
      <w:r w:rsidRPr="00C07E78">
        <w:rPr>
          <w:rFonts w:ascii="Arial" w:eastAsia="Times New Roman" w:hAnsi="Arial" w:cs="Arial"/>
          <w:sz w:val="20"/>
          <w:szCs w:val="20"/>
        </w:rPr>
        <w:t xml:space="preserve">overview of how it monitored the condition of municipal water and sanitation infrastructure as well as the current municipal support and intervention mechanisms and their limitations. DWS submitted that a Water Services Improvement Programme (WSIP) has been introduced to strengthen its support and intervention </w:t>
      </w:r>
      <w:r w:rsidRPr="00C07E78">
        <w:rPr>
          <w:rFonts w:ascii="Arial" w:eastAsia="Times New Roman" w:hAnsi="Arial" w:cs="Arial"/>
          <w:sz w:val="20"/>
          <w:szCs w:val="20"/>
        </w:rPr>
        <w:lastRenderedPageBreak/>
        <w:t xml:space="preserve">at municipal level. The aim of the said programme is to make DWS support and intervention more consistent and systematic as opposed to the current ad-hoc approach • The WSIP consists of the following elements: </w:t>
      </w:r>
    </w:p>
    <w:p w:rsidR="0068028E" w:rsidRPr="00C07E78" w:rsidRDefault="0068028E" w:rsidP="00C07E78">
      <w:pPr>
        <w:pStyle w:val="ListParagraph"/>
        <w:numPr>
          <w:ilvl w:val="0"/>
          <w:numId w:val="13"/>
        </w:num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In terms of the Water Services Act, DWS will issue updated and more comprehensive norms and standards for water and sanitation services; </w:t>
      </w:r>
    </w:p>
    <w:p w:rsidR="0068028E" w:rsidRPr="00C07E78" w:rsidRDefault="0068028E" w:rsidP="00C07E78">
      <w:pPr>
        <w:pStyle w:val="ListParagraph"/>
        <w:numPr>
          <w:ilvl w:val="0"/>
          <w:numId w:val="13"/>
        </w:num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DWS will publish a National Regulatory Dashboard showing the extent of compliance with national norms and standards for water services for all Water Service Authorities, drawing on existing monitoring information, including from the </w:t>
      </w:r>
      <w:r w:rsidR="00EE1EDB" w:rsidRPr="00C07E78">
        <w:rPr>
          <w:rFonts w:ascii="Arial" w:eastAsia="Times New Roman" w:hAnsi="Arial" w:cs="Arial"/>
          <w:sz w:val="20"/>
          <w:szCs w:val="20"/>
        </w:rPr>
        <w:t xml:space="preserve">Blue </w:t>
      </w:r>
      <w:r w:rsidRPr="00C07E78">
        <w:rPr>
          <w:rFonts w:ascii="Arial" w:eastAsia="Times New Roman" w:hAnsi="Arial" w:cs="Arial"/>
          <w:sz w:val="20"/>
          <w:szCs w:val="20"/>
        </w:rPr>
        <w:t>Drop</w:t>
      </w:r>
      <w:r w:rsidR="00EE1EDB" w:rsidRPr="00C07E78">
        <w:rPr>
          <w:rFonts w:ascii="Arial" w:eastAsia="Times New Roman" w:hAnsi="Arial" w:cs="Arial"/>
          <w:sz w:val="20"/>
          <w:szCs w:val="20"/>
        </w:rPr>
        <w:t>, Green Drop and No Drop</w:t>
      </w:r>
      <w:r w:rsidR="00571E9B" w:rsidRPr="00C07E78">
        <w:rPr>
          <w:rFonts w:ascii="Arial" w:eastAsia="Times New Roman" w:hAnsi="Arial" w:cs="Arial"/>
          <w:sz w:val="20"/>
          <w:szCs w:val="20"/>
        </w:rPr>
        <w:t xml:space="preserve"> reports, National Treasury, and Department of Cooperative Governance</w:t>
      </w:r>
      <w:r w:rsidRPr="00C07E78">
        <w:rPr>
          <w:rFonts w:ascii="Arial" w:eastAsia="Times New Roman" w:hAnsi="Arial" w:cs="Arial"/>
          <w:sz w:val="20"/>
          <w:szCs w:val="20"/>
        </w:rPr>
        <w:t xml:space="preserve"> reports (no new additional reporting requirements will be put on municipalities); and </w:t>
      </w:r>
    </w:p>
    <w:p w:rsidR="0068028E" w:rsidRPr="00C07E78" w:rsidRDefault="0068028E" w:rsidP="00C07E78">
      <w:pPr>
        <w:pStyle w:val="ListParagraph"/>
        <w:numPr>
          <w:ilvl w:val="0"/>
          <w:numId w:val="13"/>
        </w:num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DWS will develop rolling regional support and intervention plans based on the evidence in the Regulatory Dashboard, managed by its regional offices, in consultation with provincial governments, municipalities and DDM structures. </w:t>
      </w:r>
    </w:p>
    <w:p w:rsidR="0068028E" w:rsidRPr="00C07E78" w:rsidRDefault="0068028E" w:rsidP="00C07E78">
      <w:pPr>
        <w:spacing w:after="0" w:line="240" w:lineRule="auto"/>
        <w:rPr>
          <w:rFonts w:ascii="Arial" w:eastAsia="Times New Roman" w:hAnsi="Arial" w:cs="Arial"/>
          <w:sz w:val="20"/>
          <w:szCs w:val="20"/>
        </w:rPr>
      </w:pPr>
    </w:p>
    <w:p w:rsidR="005D7C9A" w:rsidRPr="00C07E78" w:rsidRDefault="000E6E09"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W</w:t>
      </w:r>
      <w:r w:rsidR="005D7C9A" w:rsidRPr="00C07E78">
        <w:rPr>
          <w:rFonts w:ascii="Arial" w:eastAsia="Times New Roman" w:hAnsi="Arial" w:cs="Arial"/>
          <w:sz w:val="20"/>
          <w:szCs w:val="20"/>
        </w:rPr>
        <w:t>ith regard to Water Use L</w:t>
      </w:r>
      <w:r w:rsidRPr="00C07E78">
        <w:rPr>
          <w:rFonts w:ascii="Arial" w:eastAsia="Times New Roman" w:hAnsi="Arial" w:cs="Arial"/>
          <w:sz w:val="20"/>
          <w:szCs w:val="20"/>
        </w:rPr>
        <w:t xml:space="preserve">icenses </w:t>
      </w:r>
      <w:r w:rsidR="005D7C9A" w:rsidRPr="00C07E78">
        <w:rPr>
          <w:rFonts w:ascii="Arial" w:eastAsia="Times New Roman" w:hAnsi="Arial" w:cs="Arial"/>
          <w:sz w:val="20"/>
          <w:szCs w:val="20"/>
        </w:rPr>
        <w:t xml:space="preserve">Applications (WULA), DWS reported that from 1 June 2021 to 30 April 2022, it has finalised 897 WULAs. It further committed to finalising the remaining 546 backlog WULAs by 30 June 2022 and thereafter it would process at least 80 per cent of new applications within 90 days. </w:t>
      </w:r>
    </w:p>
    <w:p w:rsidR="0042747E" w:rsidRPr="00C07E78" w:rsidRDefault="0042747E" w:rsidP="00C07E78">
      <w:pPr>
        <w:spacing w:after="0" w:line="240" w:lineRule="auto"/>
        <w:rPr>
          <w:rFonts w:ascii="Arial" w:eastAsia="Times New Roman" w:hAnsi="Arial" w:cs="Arial"/>
          <w:sz w:val="20"/>
          <w:szCs w:val="20"/>
        </w:rPr>
      </w:pPr>
    </w:p>
    <w:p w:rsidR="00C568C4" w:rsidRPr="00C07E78" w:rsidRDefault="0042747E"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With regard to the preliminary spending results for the 2021/22 financial year, the DWS reported that is has spent R15.204 billion or 86 per cent of the total adjusted appropriation of R17.735 billion. This translated into a R2.532 billion or 14 per cent under spending as at the end of the financial year. </w:t>
      </w:r>
    </w:p>
    <w:p w:rsidR="000E7FB7" w:rsidRPr="00C07E78" w:rsidRDefault="000E7FB7" w:rsidP="00C07E78">
      <w:pPr>
        <w:spacing w:after="0" w:line="240" w:lineRule="auto"/>
        <w:rPr>
          <w:rFonts w:ascii="Arial" w:eastAsia="Times New Roman" w:hAnsi="Arial" w:cs="Arial"/>
          <w:sz w:val="20"/>
          <w:szCs w:val="20"/>
          <w:lang w:val="en-GB"/>
        </w:rPr>
      </w:pPr>
    </w:p>
    <w:p w:rsidR="00673C02" w:rsidRPr="00C07E78" w:rsidRDefault="00673C02" w:rsidP="00C07E78">
      <w:pPr>
        <w:spacing w:after="0" w:line="240" w:lineRule="auto"/>
        <w:rPr>
          <w:rFonts w:ascii="Arial" w:eastAsia="Times New Roman" w:hAnsi="Arial" w:cs="Arial"/>
          <w:b/>
          <w:sz w:val="20"/>
          <w:szCs w:val="20"/>
        </w:rPr>
      </w:pPr>
      <w:r w:rsidRPr="00C07E78">
        <w:rPr>
          <w:rFonts w:ascii="Arial" w:eastAsia="Times New Roman" w:hAnsi="Arial" w:cs="Arial"/>
          <w:b/>
          <w:sz w:val="20"/>
          <w:szCs w:val="20"/>
        </w:rPr>
        <w:t>4.4</w:t>
      </w:r>
      <w:r w:rsidRPr="00C07E78">
        <w:rPr>
          <w:rFonts w:ascii="Arial" w:eastAsia="Times New Roman" w:hAnsi="Arial" w:cs="Arial"/>
          <w:b/>
          <w:sz w:val="20"/>
          <w:szCs w:val="20"/>
        </w:rPr>
        <w:tab/>
        <w:t>Department of Employment and Labour</w:t>
      </w:r>
    </w:p>
    <w:p w:rsidR="00673C02" w:rsidRPr="00C07E78" w:rsidRDefault="00673C02" w:rsidP="00C07E78">
      <w:pPr>
        <w:spacing w:after="0" w:line="240" w:lineRule="auto"/>
        <w:rPr>
          <w:rFonts w:ascii="Arial" w:eastAsia="Times New Roman" w:hAnsi="Arial" w:cs="Arial"/>
          <w:sz w:val="20"/>
          <w:szCs w:val="20"/>
        </w:rPr>
      </w:pPr>
    </w:p>
    <w:p w:rsidR="00673C02" w:rsidRPr="00C07E78" w:rsidRDefault="00C568C4"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The Department of Employment and Labour (DEL) appraised the Committee on overall possible service delivery implications of the proposed allocation of R11.7 billion over the 2022 MTEF, relative to the 2021 budget estimates. DEL submitted that it received baseline increases over the 2022 MTEF mainly in respect of a newly introduced allocation for the Government Technical Advisory Centre (GTAC) as well as an increased allocation to the Commission for Conciliation, Mediation and Arbitration (CCMA). </w:t>
      </w:r>
      <w:r w:rsidR="007C3C93" w:rsidRPr="00C07E78">
        <w:rPr>
          <w:rFonts w:ascii="Arial" w:eastAsia="Times New Roman" w:hAnsi="Arial" w:cs="Arial"/>
          <w:sz w:val="20"/>
          <w:szCs w:val="20"/>
        </w:rPr>
        <w:t xml:space="preserve">Notwithstanding the aforementioned baseline increases, the DEL submitted that there are proposed reductions under the Goods and Services and Machinery and Equipment economic classifications during the 2022/23 financial year. </w:t>
      </w:r>
    </w:p>
    <w:p w:rsidR="004A5A72" w:rsidRPr="00C07E78" w:rsidRDefault="004A5A72" w:rsidP="00C07E78">
      <w:pPr>
        <w:spacing w:after="0" w:line="240" w:lineRule="auto"/>
        <w:rPr>
          <w:rFonts w:ascii="Arial" w:eastAsia="Times New Roman" w:hAnsi="Arial" w:cs="Arial"/>
          <w:sz w:val="20"/>
          <w:szCs w:val="20"/>
        </w:rPr>
      </w:pPr>
    </w:p>
    <w:p w:rsidR="000A3A07" w:rsidRPr="00C07E78" w:rsidRDefault="00667275"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DEL reported that the </w:t>
      </w:r>
      <w:r w:rsidR="000A3A07" w:rsidRPr="00C07E78">
        <w:rPr>
          <w:rFonts w:ascii="Arial" w:eastAsia="Times New Roman" w:hAnsi="Arial" w:cs="Arial"/>
          <w:sz w:val="20"/>
          <w:szCs w:val="20"/>
        </w:rPr>
        <w:t>Pres</w:t>
      </w:r>
      <w:r w:rsidRPr="00C07E78">
        <w:rPr>
          <w:rFonts w:ascii="Arial" w:eastAsia="Times New Roman" w:hAnsi="Arial" w:cs="Arial"/>
          <w:sz w:val="20"/>
          <w:szCs w:val="20"/>
        </w:rPr>
        <w:t xml:space="preserve">idential Employment Stimulus was coordinated by the Project Management Office (PMO) </w:t>
      </w:r>
      <w:r w:rsidR="000A3A07" w:rsidRPr="00C07E78">
        <w:rPr>
          <w:rFonts w:ascii="Arial" w:eastAsia="Times New Roman" w:hAnsi="Arial" w:cs="Arial"/>
          <w:sz w:val="20"/>
          <w:szCs w:val="20"/>
        </w:rPr>
        <w:t>in the Presidency and implemented by different</w:t>
      </w:r>
      <w:r w:rsidRPr="00C07E78">
        <w:rPr>
          <w:rFonts w:ascii="Arial" w:eastAsia="Times New Roman" w:hAnsi="Arial" w:cs="Arial"/>
          <w:sz w:val="20"/>
          <w:szCs w:val="20"/>
        </w:rPr>
        <w:t xml:space="preserve"> departments and agencies. It was</w:t>
      </w:r>
      <w:r w:rsidR="000A3A07" w:rsidRPr="00C07E78">
        <w:rPr>
          <w:rFonts w:ascii="Arial" w:eastAsia="Times New Roman" w:hAnsi="Arial" w:cs="Arial"/>
          <w:sz w:val="20"/>
          <w:szCs w:val="20"/>
        </w:rPr>
        <w:t xml:space="preserve"> one of the key interventions under the </w:t>
      </w:r>
      <w:r w:rsidRPr="00C07E78">
        <w:rPr>
          <w:rFonts w:ascii="Arial" w:eastAsia="Times New Roman" w:hAnsi="Arial" w:cs="Arial"/>
          <w:sz w:val="20"/>
          <w:szCs w:val="20"/>
        </w:rPr>
        <w:t xml:space="preserve">South African </w:t>
      </w:r>
      <w:r w:rsidR="000A3A07" w:rsidRPr="00C07E78">
        <w:rPr>
          <w:rFonts w:ascii="Arial" w:eastAsia="Times New Roman" w:hAnsi="Arial" w:cs="Arial"/>
          <w:sz w:val="20"/>
          <w:szCs w:val="20"/>
        </w:rPr>
        <w:t>Economic</w:t>
      </w:r>
      <w:r w:rsidR="007F23CD" w:rsidRPr="00C07E78">
        <w:rPr>
          <w:rFonts w:ascii="Arial" w:eastAsia="Times New Roman" w:hAnsi="Arial" w:cs="Arial"/>
          <w:sz w:val="20"/>
          <w:szCs w:val="20"/>
        </w:rPr>
        <w:t xml:space="preserve">, </w:t>
      </w:r>
      <w:r w:rsidR="000A3A07" w:rsidRPr="00C07E78">
        <w:rPr>
          <w:rFonts w:ascii="Arial" w:eastAsia="Times New Roman" w:hAnsi="Arial" w:cs="Arial"/>
          <w:sz w:val="20"/>
          <w:szCs w:val="20"/>
        </w:rPr>
        <w:t xml:space="preserve">Reconstruction and Recovery Plan </w:t>
      </w:r>
      <w:r w:rsidRPr="00C07E78">
        <w:rPr>
          <w:rFonts w:ascii="Arial" w:eastAsia="Times New Roman" w:hAnsi="Arial" w:cs="Arial"/>
          <w:sz w:val="20"/>
          <w:szCs w:val="20"/>
        </w:rPr>
        <w:t xml:space="preserve">(ERRP) and has </w:t>
      </w:r>
      <w:r w:rsidR="000A3A07" w:rsidRPr="00C07E78">
        <w:rPr>
          <w:rFonts w:ascii="Arial" w:eastAsia="Times New Roman" w:hAnsi="Arial" w:cs="Arial"/>
          <w:sz w:val="20"/>
          <w:szCs w:val="20"/>
        </w:rPr>
        <w:t xml:space="preserve">created over 850,000 </w:t>
      </w:r>
      <w:r w:rsidR="007F23CD" w:rsidRPr="00C07E78">
        <w:rPr>
          <w:rFonts w:ascii="Arial" w:eastAsia="Times New Roman" w:hAnsi="Arial" w:cs="Arial"/>
          <w:sz w:val="20"/>
          <w:szCs w:val="20"/>
        </w:rPr>
        <w:t xml:space="preserve">job </w:t>
      </w:r>
      <w:r w:rsidR="000A3A07" w:rsidRPr="00C07E78">
        <w:rPr>
          <w:rFonts w:ascii="Arial" w:eastAsia="Times New Roman" w:hAnsi="Arial" w:cs="Arial"/>
          <w:sz w:val="20"/>
          <w:szCs w:val="20"/>
        </w:rPr>
        <w:t xml:space="preserve">opportunities </w:t>
      </w:r>
      <w:r w:rsidRPr="00C07E78">
        <w:rPr>
          <w:rFonts w:ascii="Arial" w:eastAsia="Times New Roman" w:hAnsi="Arial" w:cs="Arial"/>
          <w:sz w:val="20"/>
          <w:szCs w:val="20"/>
        </w:rPr>
        <w:t xml:space="preserve">since October 2020, of which 85 per cent were youth, </w:t>
      </w:r>
      <w:r w:rsidR="000A3A07" w:rsidRPr="00C07E78">
        <w:rPr>
          <w:rFonts w:ascii="Arial" w:eastAsia="Times New Roman" w:hAnsi="Arial" w:cs="Arial"/>
          <w:sz w:val="20"/>
          <w:szCs w:val="20"/>
        </w:rPr>
        <w:t xml:space="preserve">through a combination of job creation, job retention and livelihoods support programmes. This includes over half a million young people placed as school assistants since the inception of the stimulus. </w:t>
      </w:r>
    </w:p>
    <w:p w:rsidR="004A5A72" w:rsidRPr="00C07E78" w:rsidRDefault="004A5A72" w:rsidP="00C07E78">
      <w:pPr>
        <w:spacing w:after="0" w:line="240" w:lineRule="auto"/>
        <w:rPr>
          <w:rFonts w:ascii="Arial" w:eastAsia="Times New Roman" w:hAnsi="Arial" w:cs="Arial"/>
          <w:sz w:val="20"/>
          <w:szCs w:val="20"/>
        </w:rPr>
      </w:pPr>
    </w:p>
    <w:p w:rsidR="000A3A07" w:rsidRPr="00C07E78" w:rsidRDefault="00667275" w:rsidP="00C07E78">
      <w:pPr>
        <w:spacing w:after="0" w:line="240" w:lineRule="auto"/>
        <w:rPr>
          <w:rFonts w:ascii="Arial" w:eastAsia="Times New Roman" w:hAnsi="Arial" w:cs="Arial"/>
          <w:bCs/>
          <w:sz w:val="20"/>
          <w:szCs w:val="20"/>
          <w:lang w:val="en-US"/>
        </w:rPr>
      </w:pPr>
      <w:r w:rsidRPr="00C07E78">
        <w:rPr>
          <w:rFonts w:ascii="Arial" w:eastAsia="Times New Roman" w:hAnsi="Arial" w:cs="Arial"/>
          <w:sz w:val="20"/>
          <w:szCs w:val="20"/>
        </w:rPr>
        <w:t xml:space="preserve">The </w:t>
      </w:r>
      <w:r w:rsidR="004A5A72" w:rsidRPr="00C07E78">
        <w:rPr>
          <w:rFonts w:ascii="Arial" w:eastAsia="Times New Roman" w:hAnsi="Arial" w:cs="Arial"/>
          <w:sz w:val="20"/>
          <w:szCs w:val="20"/>
        </w:rPr>
        <w:t>Presidential Youth Employment Initiative (</w:t>
      </w:r>
      <w:r w:rsidRPr="00C07E78">
        <w:rPr>
          <w:rFonts w:ascii="Arial" w:eastAsia="Times New Roman" w:hAnsi="Arial" w:cs="Arial"/>
          <w:sz w:val="20"/>
          <w:szCs w:val="20"/>
        </w:rPr>
        <w:t>PYEI</w:t>
      </w:r>
      <w:r w:rsidR="004A5A72" w:rsidRPr="00C07E78">
        <w:rPr>
          <w:rFonts w:ascii="Arial" w:eastAsia="Times New Roman" w:hAnsi="Arial" w:cs="Arial"/>
          <w:sz w:val="20"/>
          <w:szCs w:val="20"/>
        </w:rPr>
        <w:t>) was</w:t>
      </w:r>
      <w:r w:rsidRPr="00C07E78">
        <w:rPr>
          <w:rFonts w:ascii="Arial" w:eastAsia="Times New Roman" w:hAnsi="Arial" w:cs="Arial"/>
          <w:sz w:val="20"/>
          <w:szCs w:val="20"/>
        </w:rPr>
        <w:t xml:space="preserve"> a direct response to the challenge that too many young people are not transitioning from learning to earning. </w:t>
      </w:r>
      <w:r w:rsidR="004A5A72" w:rsidRPr="00C07E78">
        <w:rPr>
          <w:rFonts w:ascii="Arial" w:eastAsia="Times New Roman" w:hAnsi="Arial" w:cs="Arial"/>
          <w:sz w:val="20"/>
          <w:szCs w:val="20"/>
        </w:rPr>
        <w:t>The said intervention sets out priority actions which together seek to stimulate aggregate demand, provide a seamless mechanism for young people to be linked to the opportunities generated, and receive support appropriate to their context and pathway. The Pathway Management Network (PMN), which DEL is responsible for, brings together work-seekers and opportunity holders to address the barriers that young people face when seeking to transition into –</w:t>
      </w:r>
      <w:r w:rsidR="004A5A72" w:rsidRPr="00C07E78">
        <w:rPr>
          <w:rFonts w:ascii="Arial" w:eastAsia="Times New Roman" w:hAnsi="Arial" w:cs="Arial"/>
          <w:bCs/>
          <w:sz w:val="20"/>
          <w:szCs w:val="20"/>
          <w:lang w:val="en-US"/>
        </w:rPr>
        <w:t xml:space="preserve"> and succeed in - the labour market. DEL reported that the process of </w:t>
      </w:r>
      <w:r w:rsidR="000A3A07" w:rsidRPr="00C07E78">
        <w:rPr>
          <w:rFonts w:ascii="Arial" w:eastAsia="Times New Roman" w:hAnsi="Arial" w:cs="Arial"/>
          <w:bCs/>
          <w:sz w:val="20"/>
          <w:szCs w:val="20"/>
          <w:lang w:val="en-US"/>
        </w:rPr>
        <w:t>establishing and operationalising the PMN comprised the following:</w:t>
      </w:r>
    </w:p>
    <w:p w:rsidR="004A5A72" w:rsidRPr="00C07E78" w:rsidRDefault="004A5A72" w:rsidP="00C07E78">
      <w:pPr>
        <w:pStyle w:val="ListParagraph"/>
        <w:numPr>
          <w:ilvl w:val="0"/>
          <w:numId w:val="14"/>
        </w:numPr>
        <w:spacing w:after="0" w:line="240" w:lineRule="auto"/>
        <w:rPr>
          <w:rFonts w:ascii="Arial" w:eastAsia="Times New Roman" w:hAnsi="Arial" w:cs="Arial"/>
          <w:bCs/>
          <w:sz w:val="20"/>
          <w:szCs w:val="20"/>
          <w:lang w:val="en-US"/>
        </w:rPr>
      </w:pPr>
      <w:r w:rsidRPr="00C07E78">
        <w:rPr>
          <w:rFonts w:ascii="Arial" w:eastAsia="Times New Roman" w:hAnsi="Arial" w:cs="Arial"/>
          <w:bCs/>
          <w:sz w:val="20"/>
          <w:szCs w:val="20"/>
          <w:lang w:val="en-US"/>
        </w:rPr>
        <w:t>Establishing the institutional and funding arrangements;</w:t>
      </w:r>
    </w:p>
    <w:p w:rsidR="004A5A72" w:rsidRPr="00C07E78" w:rsidRDefault="004A5A72" w:rsidP="00C07E78">
      <w:pPr>
        <w:pStyle w:val="ListParagraph"/>
        <w:numPr>
          <w:ilvl w:val="0"/>
          <w:numId w:val="14"/>
        </w:numPr>
        <w:spacing w:after="0" w:line="240" w:lineRule="auto"/>
        <w:rPr>
          <w:rFonts w:ascii="Arial" w:eastAsia="Times New Roman" w:hAnsi="Arial" w:cs="Arial"/>
          <w:bCs/>
          <w:sz w:val="20"/>
          <w:szCs w:val="20"/>
          <w:lang w:val="en-US"/>
        </w:rPr>
      </w:pPr>
      <w:r w:rsidRPr="00C07E78">
        <w:rPr>
          <w:rFonts w:ascii="Arial" w:eastAsia="Times New Roman" w:hAnsi="Arial" w:cs="Arial"/>
          <w:bCs/>
          <w:sz w:val="20"/>
          <w:szCs w:val="20"/>
          <w:lang w:val="en-US"/>
        </w:rPr>
        <w:t xml:space="preserve">Securing funding from National Treasury as part of the Presidential Employment Stimulus; and </w:t>
      </w:r>
    </w:p>
    <w:p w:rsidR="004A5A72" w:rsidRPr="00C07E78" w:rsidRDefault="004A5A72" w:rsidP="00C07E78">
      <w:pPr>
        <w:pStyle w:val="ListParagraph"/>
        <w:numPr>
          <w:ilvl w:val="0"/>
          <w:numId w:val="14"/>
        </w:numPr>
        <w:spacing w:after="0" w:line="240" w:lineRule="auto"/>
        <w:rPr>
          <w:rFonts w:ascii="Arial" w:eastAsia="Times New Roman" w:hAnsi="Arial" w:cs="Arial"/>
          <w:bCs/>
          <w:sz w:val="20"/>
          <w:szCs w:val="20"/>
          <w:lang w:val="en-US"/>
        </w:rPr>
      </w:pPr>
      <w:r w:rsidRPr="00C07E78">
        <w:rPr>
          <w:rFonts w:ascii="Arial" w:eastAsia="Times New Roman" w:hAnsi="Arial" w:cs="Arial"/>
          <w:bCs/>
          <w:sz w:val="20"/>
          <w:szCs w:val="20"/>
          <w:lang w:val="en-US"/>
        </w:rPr>
        <w:t>Transferring the funds to the Jobs Fund (GTAC), the partner appointed to support the implementation of the PMN.</w:t>
      </w:r>
    </w:p>
    <w:p w:rsidR="000A3A07" w:rsidRPr="00C07E78" w:rsidRDefault="004A5A72"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DEL reported that a</w:t>
      </w:r>
      <w:r w:rsidR="000A3A07" w:rsidRPr="00C07E78">
        <w:rPr>
          <w:rFonts w:ascii="Arial" w:eastAsia="Times New Roman" w:hAnsi="Arial" w:cs="Arial"/>
          <w:sz w:val="20"/>
          <w:szCs w:val="20"/>
        </w:rPr>
        <w:t xml:space="preserve"> total number of 612 996 young people have been placed since the launch of the </w:t>
      </w:r>
      <w:r w:rsidRPr="00C07E78">
        <w:rPr>
          <w:rFonts w:ascii="Arial" w:eastAsia="Times New Roman" w:hAnsi="Arial" w:cs="Arial"/>
          <w:sz w:val="20"/>
          <w:szCs w:val="20"/>
        </w:rPr>
        <w:t xml:space="preserve">PMN </w:t>
      </w:r>
      <w:r w:rsidR="000A3A07" w:rsidRPr="00C07E78">
        <w:rPr>
          <w:rFonts w:ascii="Arial" w:eastAsia="Times New Roman" w:hAnsi="Arial" w:cs="Arial"/>
          <w:sz w:val="20"/>
          <w:szCs w:val="20"/>
        </w:rPr>
        <w:t xml:space="preserve">(many of these young people have been placed as school assistants in phase 1 and phase 2 of the programmes funded through the Presidential Employment Stimulus). </w:t>
      </w:r>
      <w:r w:rsidRPr="00C07E78">
        <w:rPr>
          <w:rFonts w:ascii="Arial" w:eastAsia="Times New Roman" w:hAnsi="Arial" w:cs="Arial"/>
          <w:sz w:val="20"/>
          <w:szCs w:val="20"/>
        </w:rPr>
        <w:t>Furthermore, the PMN</w:t>
      </w:r>
      <w:r w:rsidR="000A3A07" w:rsidRPr="00C07E78">
        <w:rPr>
          <w:rFonts w:ascii="Arial" w:eastAsia="Times New Roman" w:hAnsi="Arial" w:cs="Arial"/>
          <w:sz w:val="20"/>
          <w:szCs w:val="20"/>
        </w:rPr>
        <w:t xml:space="preserve"> has also supported 144 884 young people to access work seeker counselling.</w:t>
      </w:r>
    </w:p>
    <w:p w:rsidR="000A3A07" w:rsidRPr="00C07E78" w:rsidRDefault="0087456C"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DEL further reported that it received an allocation of R20 million in October 2021 through the Presidential Economic Stimulus 2 (PES 2) to create 250 intern opportunities for unemployed graduates. </w:t>
      </w:r>
      <w:r w:rsidR="000A3A07" w:rsidRPr="00C07E78">
        <w:rPr>
          <w:rFonts w:ascii="Arial" w:eastAsia="Times New Roman" w:hAnsi="Arial" w:cs="Arial"/>
          <w:sz w:val="20"/>
          <w:szCs w:val="20"/>
        </w:rPr>
        <w:t xml:space="preserve">The focus of the R20 million in terms of the bid that was approved, was to recruit intern psychologists, for the purpose of capacitating </w:t>
      </w:r>
      <w:r w:rsidR="000A3A07" w:rsidRPr="00C07E78">
        <w:rPr>
          <w:rFonts w:ascii="Arial" w:eastAsia="Times New Roman" w:hAnsi="Arial" w:cs="Arial"/>
          <w:sz w:val="20"/>
          <w:szCs w:val="20"/>
        </w:rPr>
        <w:lastRenderedPageBreak/>
        <w:t>labour centres to deliver on the mandate to provide support to many unemployed workers devast</w:t>
      </w:r>
      <w:r w:rsidR="007C368C" w:rsidRPr="00C07E78">
        <w:rPr>
          <w:rFonts w:ascii="Arial" w:eastAsia="Times New Roman" w:hAnsi="Arial" w:cs="Arial"/>
          <w:sz w:val="20"/>
          <w:szCs w:val="20"/>
        </w:rPr>
        <w:t>at</w:t>
      </w:r>
      <w:r w:rsidR="000A3A07" w:rsidRPr="00C07E78">
        <w:rPr>
          <w:rFonts w:ascii="Arial" w:eastAsia="Times New Roman" w:hAnsi="Arial" w:cs="Arial"/>
          <w:sz w:val="20"/>
          <w:szCs w:val="20"/>
        </w:rPr>
        <w:t>ed by unemployment.</w:t>
      </w:r>
      <w:r w:rsidRPr="00C07E78">
        <w:rPr>
          <w:rFonts w:ascii="Arial" w:eastAsia="MS PGothic" w:hAnsi="Arial" w:cs="Arial"/>
          <w:color w:val="000000" w:themeColor="text1"/>
          <w:kern w:val="24"/>
          <w:sz w:val="20"/>
          <w:szCs w:val="20"/>
        </w:rPr>
        <w:t xml:space="preserve"> </w:t>
      </w:r>
      <w:r w:rsidRPr="00C07E78">
        <w:rPr>
          <w:rFonts w:ascii="Arial" w:eastAsia="Times New Roman" w:hAnsi="Arial" w:cs="Arial"/>
          <w:sz w:val="20"/>
          <w:szCs w:val="20"/>
        </w:rPr>
        <w:t xml:space="preserve">Thus far 188 young psychologists have been appointed </w:t>
      </w:r>
      <w:r w:rsidR="00AE47FA" w:rsidRPr="00C07E78">
        <w:rPr>
          <w:rFonts w:ascii="Arial" w:eastAsia="Times New Roman" w:hAnsi="Arial" w:cs="Arial"/>
          <w:sz w:val="20"/>
          <w:szCs w:val="20"/>
        </w:rPr>
        <w:t>across the nine provinces</w:t>
      </w:r>
      <w:r w:rsidR="007F23CD" w:rsidRPr="00C07E78">
        <w:rPr>
          <w:rFonts w:ascii="Arial" w:eastAsia="Times New Roman" w:hAnsi="Arial" w:cs="Arial"/>
          <w:sz w:val="20"/>
          <w:szCs w:val="20"/>
        </w:rPr>
        <w:t xml:space="preserve">. </w:t>
      </w:r>
      <w:r w:rsidR="000A3A07" w:rsidRPr="00C07E78">
        <w:rPr>
          <w:rFonts w:ascii="Arial" w:eastAsia="Times New Roman" w:hAnsi="Arial" w:cs="Arial"/>
          <w:sz w:val="20"/>
          <w:szCs w:val="20"/>
        </w:rPr>
        <w:t>DEL also had to ensure that the psychologist</w:t>
      </w:r>
      <w:r w:rsidR="007F23CD" w:rsidRPr="00C07E78">
        <w:rPr>
          <w:rFonts w:ascii="Arial" w:eastAsia="Times New Roman" w:hAnsi="Arial" w:cs="Arial"/>
          <w:sz w:val="20"/>
          <w:szCs w:val="20"/>
        </w:rPr>
        <w:t>s</w:t>
      </w:r>
      <w:r w:rsidR="000A3A07" w:rsidRPr="00C07E78">
        <w:rPr>
          <w:rFonts w:ascii="Arial" w:eastAsia="Times New Roman" w:hAnsi="Arial" w:cs="Arial"/>
          <w:sz w:val="20"/>
          <w:szCs w:val="20"/>
        </w:rPr>
        <w:t xml:space="preserve"> have the correct registration for accreditation by the Health Practitioners </w:t>
      </w:r>
      <w:r w:rsidR="007F23CD" w:rsidRPr="00C07E78">
        <w:rPr>
          <w:rFonts w:ascii="Arial" w:eastAsia="Times New Roman" w:hAnsi="Arial" w:cs="Arial"/>
          <w:sz w:val="20"/>
          <w:szCs w:val="20"/>
        </w:rPr>
        <w:t>C</w:t>
      </w:r>
      <w:r w:rsidR="000A3A07" w:rsidRPr="00C07E78">
        <w:rPr>
          <w:rFonts w:ascii="Arial" w:eastAsia="Times New Roman" w:hAnsi="Arial" w:cs="Arial"/>
          <w:sz w:val="20"/>
          <w:szCs w:val="20"/>
        </w:rPr>
        <w:t>ounsel, which governs counselling services in South Africa.</w:t>
      </w:r>
      <w:r w:rsidR="00AE47FA" w:rsidRPr="00C07E78">
        <w:rPr>
          <w:rFonts w:ascii="Arial" w:eastAsia="Times New Roman" w:hAnsi="Arial" w:cs="Arial"/>
          <w:sz w:val="20"/>
          <w:szCs w:val="20"/>
        </w:rPr>
        <w:t xml:space="preserve"> DEL reported that it requested National Treasury </w:t>
      </w:r>
      <w:r w:rsidR="007F23CD" w:rsidRPr="00C07E78">
        <w:rPr>
          <w:rFonts w:ascii="Arial" w:eastAsia="Times New Roman" w:hAnsi="Arial" w:cs="Arial"/>
          <w:sz w:val="20"/>
          <w:szCs w:val="20"/>
        </w:rPr>
        <w:t xml:space="preserve">to </w:t>
      </w:r>
      <w:r w:rsidR="00AE47FA" w:rsidRPr="00C07E78">
        <w:rPr>
          <w:rFonts w:ascii="Arial" w:eastAsia="Times New Roman" w:hAnsi="Arial" w:cs="Arial"/>
          <w:sz w:val="20"/>
          <w:szCs w:val="20"/>
        </w:rPr>
        <w:t>roll over the R20 million stimulus funds to continue paying the stipends to the new interns. This will also enable the DEL team that is working on the project to learn from the experience and implement the current year’s recruitment much faster, as no outside consultants are utilised and no further recruitment costs are incurred.</w:t>
      </w:r>
    </w:p>
    <w:p w:rsidR="000A0489" w:rsidRPr="00C07E78" w:rsidRDefault="00E26744"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DEL also reported on the </w:t>
      </w:r>
      <w:r w:rsidR="00A7281F" w:rsidRPr="00C07E78">
        <w:rPr>
          <w:rFonts w:ascii="Arial" w:eastAsia="Times New Roman" w:hAnsi="Arial" w:cs="Arial"/>
          <w:sz w:val="20"/>
          <w:szCs w:val="20"/>
        </w:rPr>
        <w:t xml:space="preserve">proposed R120 million </w:t>
      </w:r>
      <w:r w:rsidRPr="00C07E78">
        <w:rPr>
          <w:rFonts w:ascii="Arial" w:eastAsia="Times New Roman" w:hAnsi="Arial" w:cs="Arial"/>
          <w:sz w:val="20"/>
          <w:szCs w:val="20"/>
        </w:rPr>
        <w:t xml:space="preserve">increased funding to the CCMA over the 2022 MTEF and reported that </w:t>
      </w:r>
      <w:r w:rsidR="00A7281F" w:rsidRPr="00C07E78">
        <w:rPr>
          <w:rFonts w:ascii="Arial" w:eastAsia="Times New Roman" w:hAnsi="Arial" w:cs="Arial"/>
          <w:sz w:val="20"/>
          <w:szCs w:val="20"/>
        </w:rPr>
        <w:t>these funds will be utilised to increase the</w:t>
      </w:r>
      <w:r w:rsidR="000A3A07" w:rsidRPr="00C07E78">
        <w:rPr>
          <w:rFonts w:ascii="Arial" w:eastAsia="Times New Roman" w:hAnsi="Arial" w:cs="Arial"/>
          <w:sz w:val="20"/>
          <w:szCs w:val="20"/>
        </w:rPr>
        <w:t xml:space="preserve"> part-</w:t>
      </w:r>
      <w:r w:rsidR="00A7281F" w:rsidRPr="00C07E78">
        <w:rPr>
          <w:rFonts w:ascii="Arial" w:eastAsia="Times New Roman" w:hAnsi="Arial" w:cs="Arial"/>
          <w:sz w:val="20"/>
          <w:szCs w:val="20"/>
        </w:rPr>
        <w:t>time commissioners’ allocation (</w:t>
      </w:r>
      <w:r w:rsidR="000A3A07" w:rsidRPr="00C07E78">
        <w:rPr>
          <w:rFonts w:ascii="Arial" w:eastAsia="Times New Roman" w:hAnsi="Arial" w:cs="Arial"/>
          <w:sz w:val="20"/>
          <w:szCs w:val="20"/>
        </w:rPr>
        <w:t>although not full</w:t>
      </w:r>
      <w:r w:rsidR="00571E9B" w:rsidRPr="00C07E78">
        <w:rPr>
          <w:rFonts w:ascii="Arial" w:eastAsia="Times New Roman" w:hAnsi="Arial" w:cs="Arial"/>
          <w:sz w:val="20"/>
          <w:szCs w:val="20"/>
        </w:rPr>
        <w:t>y restored to pre-</w:t>
      </w:r>
      <w:r w:rsidR="00A7281F" w:rsidRPr="00C07E78">
        <w:rPr>
          <w:rFonts w:ascii="Arial" w:eastAsia="Times New Roman" w:hAnsi="Arial" w:cs="Arial"/>
          <w:sz w:val="20"/>
          <w:szCs w:val="20"/>
        </w:rPr>
        <w:t>C</w:t>
      </w:r>
      <w:r w:rsidR="00160F22" w:rsidRPr="00C07E78">
        <w:rPr>
          <w:rFonts w:ascii="Arial" w:eastAsia="Times New Roman" w:hAnsi="Arial" w:cs="Arial"/>
          <w:sz w:val="20"/>
          <w:szCs w:val="20"/>
        </w:rPr>
        <w:t>ovid</w:t>
      </w:r>
      <w:r w:rsidR="00571E9B" w:rsidRPr="00C07E78">
        <w:rPr>
          <w:rFonts w:ascii="Arial" w:eastAsia="Times New Roman" w:hAnsi="Arial" w:cs="Arial"/>
          <w:sz w:val="20"/>
          <w:szCs w:val="20"/>
        </w:rPr>
        <w:t>-19</w:t>
      </w:r>
      <w:r w:rsidR="00A7281F" w:rsidRPr="00C07E78">
        <w:rPr>
          <w:rFonts w:ascii="Arial" w:eastAsia="Times New Roman" w:hAnsi="Arial" w:cs="Arial"/>
          <w:sz w:val="20"/>
          <w:szCs w:val="20"/>
        </w:rPr>
        <w:t xml:space="preserve"> levels) and to resuscitate the refresh-process on its </w:t>
      </w:r>
      <w:r w:rsidR="000A3A07" w:rsidRPr="00C07E78">
        <w:rPr>
          <w:rFonts w:ascii="Arial" w:eastAsia="Times New Roman" w:hAnsi="Arial" w:cs="Arial"/>
          <w:sz w:val="20"/>
          <w:szCs w:val="20"/>
        </w:rPr>
        <w:t xml:space="preserve">ICT infrastructure. </w:t>
      </w:r>
      <w:r w:rsidR="00A7281F" w:rsidRPr="00C07E78">
        <w:rPr>
          <w:rFonts w:ascii="Arial" w:eastAsia="Times New Roman" w:hAnsi="Arial" w:cs="Arial"/>
          <w:sz w:val="20"/>
          <w:szCs w:val="20"/>
        </w:rPr>
        <w:t>Despite the aforementioned increased allocation to the CCMA, the DEL reported that the following challenges remain:</w:t>
      </w:r>
    </w:p>
    <w:p w:rsidR="00A7281F" w:rsidRPr="00C07E78" w:rsidRDefault="000A3A07" w:rsidP="00C07E78">
      <w:pPr>
        <w:pStyle w:val="ListParagraph"/>
        <w:numPr>
          <w:ilvl w:val="0"/>
          <w:numId w:val="18"/>
        </w:numPr>
        <w:spacing w:after="0" w:line="240" w:lineRule="auto"/>
        <w:rPr>
          <w:rFonts w:ascii="Arial" w:eastAsia="Times New Roman" w:hAnsi="Arial" w:cs="Arial"/>
          <w:sz w:val="20"/>
          <w:szCs w:val="20"/>
        </w:rPr>
      </w:pPr>
      <w:r w:rsidRPr="00C07E78">
        <w:rPr>
          <w:rFonts w:ascii="Arial" w:eastAsia="Times New Roman" w:hAnsi="Arial" w:cs="Arial"/>
          <w:sz w:val="20"/>
          <w:szCs w:val="20"/>
        </w:rPr>
        <w:t>Unfunded vacancies were placed on hold as part of the reprioritisation measur</w:t>
      </w:r>
      <w:r w:rsidR="00A7281F" w:rsidRPr="00C07E78">
        <w:rPr>
          <w:rFonts w:ascii="Arial" w:eastAsia="Times New Roman" w:hAnsi="Arial" w:cs="Arial"/>
          <w:sz w:val="20"/>
          <w:szCs w:val="20"/>
        </w:rPr>
        <w:t>es;</w:t>
      </w:r>
    </w:p>
    <w:p w:rsidR="00A7281F" w:rsidRPr="00C07E78" w:rsidRDefault="000A3A07" w:rsidP="00C07E78">
      <w:pPr>
        <w:pStyle w:val="ListParagraph"/>
        <w:numPr>
          <w:ilvl w:val="0"/>
          <w:numId w:val="15"/>
        </w:numPr>
        <w:spacing w:after="0" w:line="240" w:lineRule="auto"/>
        <w:rPr>
          <w:rFonts w:ascii="Arial" w:eastAsia="Times New Roman" w:hAnsi="Arial" w:cs="Arial"/>
          <w:sz w:val="20"/>
          <w:szCs w:val="20"/>
        </w:rPr>
      </w:pPr>
      <w:r w:rsidRPr="00C07E78">
        <w:rPr>
          <w:rFonts w:ascii="Arial" w:eastAsia="Times New Roman" w:hAnsi="Arial" w:cs="Arial"/>
          <w:sz w:val="20"/>
          <w:szCs w:val="20"/>
        </w:rPr>
        <w:t>Limited number of days were allocated to part-time</w:t>
      </w:r>
      <w:r w:rsidR="00A7281F" w:rsidRPr="00C07E78">
        <w:rPr>
          <w:rFonts w:ascii="Arial" w:eastAsia="Times New Roman" w:hAnsi="Arial" w:cs="Arial"/>
          <w:sz w:val="20"/>
          <w:szCs w:val="20"/>
        </w:rPr>
        <w:t xml:space="preserve"> Commissioners in hearing cases;</w:t>
      </w:r>
    </w:p>
    <w:p w:rsidR="00A7281F" w:rsidRPr="00C07E78" w:rsidRDefault="000A3A07" w:rsidP="00C07E78">
      <w:pPr>
        <w:pStyle w:val="ListParagraph"/>
        <w:numPr>
          <w:ilvl w:val="0"/>
          <w:numId w:val="15"/>
        </w:numPr>
        <w:spacing w:after="0" w:line="240" w:lineRule="auto"/>
        <w:rPr>
          <w:rFonts w:ascii="Arial" w:eastAsia="Times New Roman" w:hAnsi="Arial" w:cs="Arial"/>
          <w:sz w:val="20"/>
          <w:szCs w:val="20"/>
        </w:rPr>
      </w:pPr>
      <w:r w:rsidRPr="00C07E78">
        <w:rPr>
          <w:rFonts w:ascii="Arial" w:eastAsia="Times New Roman" w:hAnsi="Arial" w:cs="Arial"/>
          <w:sz w:val="20"/>
          <w:szCs w:val="20"/>
        </w:rPr>
        <w:t>Continuous part-heard matt</w:t>
      </w:r>
      <w:r w:rsidR="00A7281F" w:rsidRPr="00C07E78">
        <w:rPr>
          <w:rFonts w:ascii="Arial" w:eastAsia="Times New Roman" w:hAnsi="Arial" w:cs="Arial"/>
          <w:sz w:val="20"/>
          <w:szCs w:val="20"/>
        </w:rPr>
        <w:t>ers because of limited capacity; and</w:t>
      </w:r>
    </w:p>
    <w:p w:rsidR="000A3A07" w:rsidRPr="00C07E78" w:rsidRDefault="000A3A07" w:rsidP="00C07E78">
      <w:pPr>
        <w:pStyle w:val="ListParagraph"/>
        <w:numPr>
          <w:ilvl w:val="0"/>
          <w:numId w:val="15"/>
        </w:numPr>
        <w:spacing w:after="0" w:line="240" w:lineRule="auto"/>
        <w:rPr>
          <w:rFonts w:ascii="Arial" w:eastAsia="Times New Roman" w:hAnsi="Arial" w:cs="Arial"/>
          <w:sz w:val="20"/>
          <w:szCs w:val="20"/>
        </w:rPr>
      </w:pPr>
      <w:r w:rsidRPr="00C07E78">
        <w:rPr>
          <w:rFonts w:ascii="Arial" w:eastAsia="Times New Roman" w:hAnsi="Arial" w:cs="Arial"/>
          <w:sz w:val="20"/>
          <w:szCs w:val="20"/>
        </w:rPr>
        <w:t>Implementation of the Enforcement Strategy to execute CCMA awards and to enhance social justice – consequently the Sheriffs</w:t>
      </w:r>
      <w:r w:rsidR="00571E9B" w:rsidRPr="00C07E78">
        <w:rPr>
          <w:rFonts w:ascii="Arial" w:eastAsia="Times New Roman" w:hAnsi="Arial" w:cs="Arial"/>
          <w:sz w:val="20"/>
          <w:szCs w:val="20"/>
        </w:rPr>
        <w:t xml:space="preserve"> Board process will be affected; </w:t>
      </w:r>
    </w:p>
    <w:p w:rsidR="000A3A07" w:rsidRPr="00C07E78" w:rsidRDefault="000A3A07" w:rsidP="00C07E78">
      <w:pPr>
        <w:pStyle w:val="ListParagraph"/>
        <w:numPr>
          <w:ilvl w:val="0"/>
          <w:numId w:val="15"/>
        </w:numPr>
        <w:spacing w:after="0" w:line="240" w:lineRule="auto"/>
        <w:rPr>
          <w:rFonts w:ascii="Arial" w:eastAsia="Times New Roman" w:hAnsi="Arial" w:cs="Arial"/>
          <w:sz w:val="20"/>
          <w:szCs w:val="20"/>
          <w:lang w:val="en-ZA"/>
        </w:rPr>
      </w:pPr>
      <w:r w:rsidRPr="00C07E78">
        <w:rPr>
          <w:rFonts w:ascii="Arial" w:eastAsia="Times New Roman" w:hAnsi="Arial" w:cs="Arial"/>
          <w:sz w:val="20"/>
          <w:szCs w:val="20"/>
          <w:lang w:val="en-ZA"/>
        </w:rPr>
        <w:t>Inability to implement the information technology strategy to improve the busine</w:t>
      </w:r>
      <w:r w:rsidR="00571E9B" w:rsidRPr="00C07E78">
        <w:rPr>
          <w:rFonts w:ascii="Arial" w:eastAsia="Times New Roman" w:hAnsi="Arial" w:cs="Arial"/>
          <w:sz w:val="20"/>
          <w:szCs w:val="20"/>
          <w:lang w:val="en-ZA"/>
        </w:rPr>
        <w:t xml:space="preserve">ss process and deliver services; </w:t>
      </w:r>
    </w:p>
    <w:p w:rsidR="000A3A07" w:rsidRPr="00C07E78" w:rsidRDefault="000A3A07" w:rsidP="00C07E78">
      <w:pPr>
        <w:pStyle w:val="ListParagraph"/>
        <w:numPr>
          <w:ilvl w:val="0"/>
          <w:numId w:val="15"/>
        </w:numPr>
        <w:spacing w:after="0" w:line="240" w:lineRule="auto"/>
        <w:rPr>
          <w:rFonts w:ascii="Arial" w:eastAsia="Times New Roman" w:hAnsi="Arial" w:cs="Arial"/>
          <w:sz w:val="20"/>
          <w:szCs w:val="20"/>
          <w:lang w:val="en-ZA"/>
        </w:rPr>
      </w:pPr>
      <w:r w:rsidRPr="00C07E78">
        <w:rPr>
          <w:rFonts w:ascii="Arial" w:eastAsia="Times New Roman" w:hAnsi="Arial" w:cs="Arial"/>
          <w:sz w:val="20"/>
          <w:szCs w:val="20"/>
          <w:lang w:val="en-ZA"/>
        </w:rPr>
        <w:t>The CCMA’s discreti</w:t>
      </w:r>
      <w:r w:rsidR="00571E9B" w:rsidRPr="00C07E78">
        <w:rPr>
          <w:rFonts w:ascii="Arial" w:eastAsia="Times New Roman" w:hAnsi="Arial" w:cs="Arial"/>
          <w:sz w:val="20"/>
          <w:szCs w:val="20"/>
          <w:lang w:val="en-ZA"/>
        </w:rPr>
        <w:t>onary mandate (i.e. training,)</w:t>
      </w:r>
      <w:r w:rsidRPr="00C07E78">
        <w:rPr>
          <w:rFonts w:ascii="Arial" w:eastAsia="Times New Roman" w:hAnsi="Arial" w:cs="Arial"/>
          <w:sz w:val="20"/>
          <w:szCs w:val="20"/>
          <w:lang w:val="en-ZA"/>
        </w:rPr>
        <w:t xml:space="preserve"> has been severel</w:t>
      </w:r>
      <w:r w:rsidR="00571E9B" w:rsidRPr="00C07E78">
        <w:rPr>
          <w:rFonts w:ascii="Arial" w:eastAsia="Times New Roman" w:hAnsi="Arial" w:cs="Arial"/>
          <w:sz w:val="20"/>
          <w:szCs w:val="20"/>
          <w:lang w:val="en-ZA"/>
        </w:rPr>
        <w:t>y reduced; and</w:t>
      </w:r>
    </w:p>
    <w:p w:rsidR="000A3A07" w:rsidRPr="00C07E78" w:rsidRDefault="000A3A07" w:rsidP="00C07E78">
      <w:pPr>
        <w:pStyle w:val="ListParagraph"/>
        <w:numPr>
          <w:ilvl w:val="0"/>
          <w:numId w:val="15"/>
        </w:numPr>
        <w:spacing w:after="0" w:line="240" w:lineRule="auto"/>
        <w:rPr>
          <w:rFonts w:ascii="Arial" w:eastAsia="Times New Roman" w:hAnsi="Arial" w:cs="Arial"/>
          <w:sz w:val="20"/>
          <w:szCs w:val="20"/>
          <w:lang w:val="en-ZA"/>
        </w:rPr>
      </w:pPr>
      <w:r w:rsidRPr="00C07E78">
        <w:rPr>
          <w:rFonts w:ascii="Arial" w:eastAsia="Times New Roman" w:hAnsi="Arial" w:cs="Arial"/>
          <w:sz w:val="20"/>
          <w:szCs w:val="20"/>
          <w:lang w:val="en-ZA"/>
        </w:rPr>
        <w:t>Due to the complexity of the geographic areas that impact the CCMA in conducting the cases outside the provincial/ regional offices, variable cos</w:t>
      </w:r>
      <w:r w:rsidR="00571E9B" w:rsidRPr="00C07E78">
        <w:rPr>
          <w:rFonts w:ascii="Arial" w:eastAsia="Times New Roman" w:hAnsi="Arial" w:cs="Arial"/>
          <w:sz w:val="20"/>
          <w:szCs w:val="20"/>
          <w:lang w:val="en-ZA"/>
        </w:rPr>
        <w:t xml:space="preserve">ts per case increased for items </w:t>
      </w:r>
      <w:r w:rsidRPr="00C07E78">
        <w:rPr>
          <w:rFonts w:ascii="Arial" w:eastAsia="Times New Roman" w:hAnsi="Arial" w:cs="Arial"/>
          <w:sz w:val="20"/>
          <w:szCs w:val="20"/>
          <w:lang w:val="en-ZA"/>
        </w:rPr>
        <w:t>such as venue hire, travel, accommodation, and subsistence costs due to the increase in fuel and other maintenance costs. Most of the tr</w:t>
      </w:r>
      <w:r w:rsidR="00571E9B" w:rsidRPr="00C07E78">
        <w:rPr>
          <w:rFonts w:ascii="Arial" w:eastAsia="Times New Roman" w:hAnsi="Arial" w:cs="Arial"/>
          <w:sz w:val="20"/>
          <w:szCs w:val="20"/>
          <w:lang w:val="en-ZA"/>
        </w:rPr>
        <w:t>avel costs in case disbursement</w:t>
      </w:r>
      <w:r w:rsidRPr="00C07E78">
        <w:rPr>
          <w:rFonts w:ascii="Arial" w:eastAsia="Times New Roman" w:hAnsi="Arial" w:cs="Arial"/>
          <w:sz w:val="20"/>
          <w:szCs w:val="20"/>
          <w:lang w:val="en-ZA"/>
        </w:rPr>
        <w:t xml:space="preserve"> is influenced by the vast travel distances and remoteness of the venues to conduct cases. This is seen mostly in provinces such as Free State, Northern Cape, Limpopo, and Eastern Cape. </w:t>
      </w:r>
    </w:p>
    <w:p w:rsidR="007C0942" w:rsidRPr="00C07E78" w:rsidRDefault="007C0942" w:rsidP="00C07E78">
      <w:pPr>
        <w:pStyle w:val="ListParagraph"/>
        <w:spacing w:after="0" w:line="240" w:lineRule="auto"/>
        <w:rPr>
          <w:rFonts w:ascii="Arial" w:eastAsia="Times New Roman" w:hAnsi="Arial" w:cs="Arial"/>
          <w:sz w:val="20"/>
          <w:szCs w:val="20"/>
          <w:lang w:val="en-ZA"/>
        </w:rPr>
      </w:pPr>
    </w:p>
    <w:p w:rsidR="00462175" w:rsidRPr="00C07E78" w:rsidRDefault="0042747E"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With regard to the preliminary spending results for the 2021/22 financial year, the DEL reported that is has spent R3.2 billion or 84.7 per cent of the total adjusted appropriation of R3.8 billion. This translated into a R584.3 million or 15.3 per cent under spending as at the end of the financial year. </w:t>
      </w:r>
    </w:p>
    <w:p w:rsidR="00960DA0" w:rsidRPr="00C07E78" w:rsidRDefault="00960DA0" w:rsidP="00C07E78">
      <w:pPr>
        <w:spacing w:after="0" w:line="240" w:lineRule="auto"/>
        <w:rPr>
          <w:rFonts w:ascii="Arial" w:eastAsia="Times New Roman" w:hAnsi="Arial" w:cs="Arial"/>
          <w:sz w:val="20"/>
          <w:szCs w:val="20"/>
        </w:rPr>
      </w:pPr>
    </w:p>
    <w:p w:rsidR="000A3A07" w:rsidRPr="00C07E78" w:rsidRDefault="00571E9B" w:rsidP="00C07E78">
      <w:pPr>
        <w:pStyle w:val="ListParagraph"/>
        <w:numPr>
          <w:ilvl w:val="1"/>
          <w:numId w:val="16"/>
        </w:numPr>
        <w:spacing w:after="0" w:line="240" w:lineRule="auto"/>
        <w:rPr>
          <w:rFonts w:ascii="Arial" w:eastAsia="Times New Roman" w:hAnsi="Arial" w:cs="Arial"/>
          <w:b/>
          <w:sz w:val="20"/>
          <w:szCs w:val="20"/>
          <w:lang w:val="en-ZA"/>
        </w:rPr>
      </w:pPr>
      <w:r w:rsidRPr="00C07E78">
        <w:rPr>
          <w:rFonts w:ascii="Arial" w:eastAsia="Times New Roman" w:hAnsi="Arial" w:cs="Arial"/>
          <w:b/>
          <w:sz w:val="20"/>
          <w:szCs w:val="20"/>
        </w:rPr>
        <w:t>Department of Social Development</w:t>
      </w:r>
    </w:p>
    <w:p w:rsidR="007C0942" w:rsidRPr="00C07E78" w:rsidRDefault="007C0942" w:rsidP="00C07E78">
      <w:pPr>
        <w:pStyle w:val="ListParagraph"/>
        <w:spacing w:after="0" w:line="240" w:lineRule="auto"/>
        <w:ind w:left="360"/>
        <w:rPr>
          <w:rFonts w:ascii="Arial" w:eastAsia="Times New Roman" w:hAnsi="Arial" w:cs="Arial"/>
          <w:b/>
          <w:sz w:val="20"/>
          <w:szCs w:val="20"/>
          <w:lang w:val="en-ZA"/>
        </w:rPr>
      </w:pPr>
    </w:p>
    <w:p w:rsidR="000A3A07" w:rsidRPr="00C07E78" w:rsidRDefault="00462175" w:rsidP="00C07E78">
      <w:pPr>
        <w:spacing w:after="0" w:line="240" w:lineRule="auto"/>
        <w:rPr>
          <w:rFonts w:ascii="Arial" w:eastAsia="Times New Roman" w:hAnsi="Arial" w:cs="Arial"/>
          <w:bCs/>
          <w:sz w:val="20"/>
          <w:szCs w:val="20"/>
          <w:lang w:val="en-GB"/>
        </w:rPr>
      </w:pPr>
      <w:r w:rsidRPr="00C07E78">
        <w:rPr>
          <w:rFonts w:ascii="Arial" w:eastAsia="Times New Roman" w:hAnsi="Arial" w:cs="Arial"/>
          <w:sz w:val="20"/>
          <w:szCs w:val="20"/>
        </w:rPr>
        <w:t xml:space="preserve">The Department of Social Development (DSD) </w:t>
      </w:r>
      <w:r w:rsidRPr="00C07E78">
        <w:rPr>
          <w:rFonts w:ascii="Arial" w:eastAsia="Times New Roman" w:hAnsi="Arial" w:cs="Arial"/>
          <w:bCs/>
          <w:sz w:val="20"/>
          <w:szCs w:val="20"/>
          <w:lang w:val="en-GB"/>
        </w:rPr>
        <w:t xml:space="preserve">appraised the Committee on overall possible service delivery implications of the proposed allocation of R711 billion over the 2022 MTEF. It submitted that </w:t>
      </w:r>
      <w:r w:rsidR="006E47D4" w:rsidRPr="00C07E78">
        <w:rPr>
          <w:rFonts w:ascii="Arial" w:eastAsia="Times New Roman" w:hAnsi="Arial" w:cs="Arial"/>
          <w:bCs/>
          <w:sz w:val="20"/>
          <w:szCs w:val="20"/>
          <w:lang w:val="en-GB"/>
        </w:rPr>
        <w:t xml:space="preserve">the Social Development </w:t>
      </w:r>
      <w:r w:rsidR="000A3A07" w:rsidRPr="00C07E78">
        <w:rPr>
          <w:rFonts w:ascii="Arial" w:eastAsia="Times New Roman" w:hAnsi="Arial" w:cs="Arial"/>
          <w:bCs/>
          <w:sz w:val="20"/>
          <w:szCs w:val="20"/>
        </w:rPr>
        <w:t>Portfolio budget was reduced significantly, in part</w:t>
      </w:r>
      <w:r w:rsidRPr="00C07E78">
        <w:rPr>
          <w:rFonts w:ascii="Arial" w:eastAsia="Times New Roman" w:hAnsi="Arial" w:cs="Arial"/>
          <w:bCs/>
          <w:sz w:val="20"/>
          <w:szCs w:val="20"/>
        </w:rPr>
        <w:t>icular for the Provincial</w:t>
      </w:r>
      <w:r w:rsidR="00C505E1" w:rsidRPr="00C07E78">
        <w:rPr>
          <w:rFonts w:ascii="Arial" w:eastAsia="Times New Roman" w:hAnsi="Arial" w:cs="Arial"/>
          <w:bCs/>
          <w:sz w:val="20"/>
          <w:szCs w:val="20"/>
        </w:rPr>
        <w:t xml:space="preserve"> Departments of Social Development</w:t>
      </w:r>
      <w:r w:rsidRPr="00C07E78">
        <w:rPr>
          <w:rFonts w:ascii="Arial" w:eastAsia="Times New Roman" w:hAnsi="Arial" w:cs="Arial"/>
          <w:bCs/>
          <w:sz w:val="20"/>
          <w:szCs w:val="20"/>
        </w:rPr>
        <w:t xml:space="preserve">. </w:t>
      </w:r>
      <w:r w:rsidR="000A3A07" w:rsidRPr="00C07E78">
        <w:rPr>
          <w:rFonts w:ascii="Arial" w:eastAsia="Times New Roman" w:hAnsi="Arial" w:cs="Arial"/>
          <w:bCs/>
          <w:sz w:val="20"/>
          <w:szCs w:val="20"/>
          <w:lang w:val="en-GB"/>
        </w:rPr>
        <w:t>This budget reduction in the main has affected the appointment of social service professionals and the funding of the much-needed services rendered by the Non-Profit Sector, as well as the deployment of ad</w:t>
      </w:r>
      <w:r w:rsidRPr="00C07E78">
        <w:rPr>
          <w:rFonts w:ascii="Arial" w:eastAsia="Times New Roman" w:hAnsi="Arial" w:cs="Arial"/>
          <w:bCs/>
          <w:sz w:val="20"/>
          <w:szCs w:val="20"/>
          <w:lang w:val="en-GB"/>
        </w:rPr>
        <w:t xml:space="preserve">ditional prevention programmes. </w:t>
      </w:r>
      <w:r w:rsidR="000A3A07" w:rsidRPr="00C07E78">
        <w:rPr>
          <w:rFonts w:ascii="Arial" w:eastAsia="Times New Roman" w:hAnsi="Arial" w:cs="Arial"/>
          <w:bCs/>
          <w:sz w:val="20"/>
          <w:szCs w:val="20"/>
          <w:lang w:val="en-GB"/>
        </w:rPr>
        <w:t xml:space="preserve">Furthermore, </w:t>
      </w:r>
      <w:r w:rsidRPr="00C07E78">
        <w:rPr>
          <w:rFonts w:ascii="Arial" w:eastAsia="Times New Roman" w:hAnsi="Arial" w:cs="Arial"/>
          <w:bCs/>
          <w:sz w:val="20"/>
          <w:szCs w:val="20"/>
          <w:lang w:val="en-GB"/>
        </w:rPr>
        <w:t xml:space="preserve">DSD submitted that this had a negative impact on the provision of some of its </w:t>
      </w:r>
      <w:r w:rsidR="000A3A07" w:rsidRPr="00C07E78">
        <w:rPr>
          <w:rFonts w:ascii="Arial" w:eastAsia="Times New Roman" w:hAnsi="Arial" w:cs="Arial"/>
          <w:bCs/>
          <w:sz w:val="20"/>
          <w:szCs w:val="20"/>
          <w:lang w:val="en-GB"/>
        </w:rPr>
        <w:t xml:space="preserve">community empowerment services, which </w:t>
      </w:r>
      <w:r w:rsidRPr="00C07E78">
        <w:rPr>
          <w:rFonts w:ascii="Arial" w:eastAsia="Times New Roman" w:hAnsi="Arial" w:cs="Arial"/>
          <w:bCs/>
          <w:sz w:val="20"/>
          <w:szCs w:val="20"/>
          <w:lang w:val="en-GB"/>
        </w:rPr>
        <w:t xml:space="preserve">in turn hampers its </w:t>
      </w:r>
      <w:r w:rsidR="000A3A07" w:rsidRPr="00C07E78">
        <w:rPr>
          <w:rFonts w:ascii="Arial" w:eastAsia="Times New Roman" w:hAnsi="Arial" w:cs="Arial"/>
          <w:bCs/>
          <w:sz w:val="20"/>
          <w:szCs w:val="20"/>
          <w:lang w:val="en-GB"/>
        </w:rPr>
        <w:t>efforts to build vibrant and self-relia</w:t>
      </w:r>
      <w:r w:rsidRPr="00C07E78">
        <w:rPr>
          <w:rFonts w:ascii="Arial" w:eastAsia="Times New Roman" w:hAnsi="Arial" w:cs="Arial"/>
          <w:bCs/>
          <w:sz w:val="20"/>
          <w:szCs w:val="20"/>
          <w:lang w:val="en-GB"/>
        </w:rPr>
        <w:t xml:space="preserve">nt and sustainable communities. The aforementioned includes the </w:t>
      </w:r>
      <w:r w:rsidR="000A3A07" w:rsidRPr="00C07E78">
        <w:rPr>
          <w:rFonts w:ascii="Arial" w:eastAsia="Times New Roman" w:hAnsi="Arial" w:cs="Arial"/>
          <w:bCs/>
          <w:sz w:val="20"/>
          <w:szCs w:val="20"/>
          <w:lang w:val="en-GB"/>
        </w:rPr>
        <w:t>ability to provide food</w:t>
      </w:r>
      <w:r w:rsidR="000A3A07" w:rsidRPr="00C07E78">
        <w:rPr>
          <w:rFonts w:ascii="Arial" w:eastAsia="Times New Roman" w:hAnsi="Arial" w:cs="Arial"/>
          <w:b/>
          <w:bCs/>
          <w:sz w:val="20"/>
          <w:szCs w:val="20"/>
          <w:lang w:val="en-GB"/>
        </w:rPr>
        <w:t xml:space="preserve"> </w:t>
      </w:r>
      <w:r w:rsidR="000A3A07" w:rsidRPr="00C07E78">
        <w:rPr>
          <w:rFonts w:ascii="Arial" w:eastAsia="Times New Roman" w:hAnsi="Arial" w:cs="Arial"/>
          <w:bCs/>
          <w:sz w:val="20"/>
          <w:szCs w:val="20"/>
          <w:lang w:val="en-GB"/>
        </w:rPr>
        <w:t xml:space="preserve">to those that have become destitute due to loss of employment and those that have recently become homeless as a result of disasters. </w:t>
      </w:r>
    </w:p>
    <w:p w:rsidR="00960DA0" w:rsidRPr="00C07E78" w:rsidRDefault="00960DA0" w:rsidP="00C07E78">
      <w:pPr>
        <w:spacing w:after="0" w:line="240" w:lineRule="auto"/>
        <w:rPr>
          <w:rFonts w:ascii="Arial" w:eastAsia="Times New Roman" w:hAnsi="Arial" w:cs="Arial"/>
          <w:bCs/>
          <w:sz w:val="20"/>
          <w:szCs w:val="20"/>
        </w:rPr>
      </w:pPr>
    </w:p>
    <w:p w:rsidR="00172463" w:rsidRPr="00C07E78" w:rsidRDefault="00C505E1" w:rsidP="00C07E78">
      <w:pPr>
        <w:spacing w:after="0" w:line="240" w:lineRule="auto"/>
        <w:rPr>
          <w:rFonts w:ascii="Arial" w:eastAsia="Times New Roman" w:hAnsi="Arial" w:cs="Arial"/>
          <w:sz w:val="20"/>
          <w:szCs w:val="20"/>
          <w:lang w:val="en-GB"/>
        </w:rPr>
      </w:pPr>
      <w:r w:rsidRPr="00C07E78">
        <w:rPr>
          <w:rFonts w:ascii="Arial" w:eastAsia="Times New Roman" w:hAnsi="Arial" w:cs="Arial"/>
          <w:bCs/>
          <w:sz w:val="20"/>
          <w:szCs w:val="20"/>
        </w:rPr>
        <w:t xml:space="preserve">With regard to the recently gazetted regulations relating to the distribution of the R350 Social Relief of </w:t>
      </w:r>
      <w:r w:rsidR="00FB7F24" w:rsidRPr="00C07E78">
        <w:rPr>
          <w:rFonts w:ascii="Arial" w:eastAsia="Times New Roman" w:hAnsi="Arial" w:cs="Arial"/>
          <w:bCs/>
          <w:sz w:val="20"/>
          <w:szCs w:val="20"/>
        </w:rPr>
        <w:t>Distressed (SRD) grant</w:t>
      </w:r>
      <w:r w:rsidRPr="00C07E78">
        <w:rPr>
          <w:rFonts w:ascii="Arial" w:eastAsia="Times New Roman" w:hAnsi="Arial" w:cs="Arial"/>
          <w:bCs/>
          <w:sz w:val="20"/>
          <w:szCs w:val="20"/>
        </w:rPr>
        <w:t xml:space="preserve">, the DSD submitted that </w:t>
      </w:r>
      <w:r w:rsidR="000A3A07" w:rsidRPr="00C07E78">
        <w:rPr>
          <w:rFonts w:ascii="Arial" w:eastAsia="Times New Roman" w:hAnsi="Arial" w:cs="Arial"/>
          <w:bCs/>
          <w:sz w:val="20"/>
          <w:szCs w:val="20"/>
        </w:rPr>
        <w:t>with the lifting of the national state of disaster, the legal framework for the provision of this grant had to change, as it could no longer be provided under the Disaster Management Act.  T</w:t>
      </w:r>
      <w:r w:rsidR="006E47D4" w:rsidRPr="00C07E78">
        <w:rPr>
          <w:rFonts w:ascii="Arial" w:eastAsia="Times New Roman" w:hAnsi="Arial" w:cs="Arial"/>
          <w:bCs/>
          <w:sz w:val="20"/>
          <w:szCs w:val="20"/>
        </w:rPr>
        <w:t xml:space="preserve">he SRD grant </w:t>
      </w:r>
      <w:r w:rsidR="000A3A07" w:rsidRPr="00C07E78">
        <w:rPr>
          <w:rFonts w:ascii="Arial" w:eastAsia="Times New Roman" w:hAnsi="Arial" w:cs="Arial"/>
          <w:bCs/>
          <w:sz w:val="20"/>
          <w:szCs w:val="20"/>
        </w:rPr>
        <w:t>was brought in under the Regulations to the Social Assistance Act, 2004.  The amended Regulations were</w:t>
      </w:r>
      <w:r w:rsidR="000A3A07" w:rsidRPr="00C07E78">
        <w:rPr>
          <w:rFonts w:ascii="Arial" w:eastAsia="Times New Roman" w:hAnsi="Arial" w:cs="Arial"/>
          <w:sz w:val="20"/>
          <w:szCs w:val="20"/>
          <w:lang w:val="en-GB"/>
        </w:rPr>
        <w:t xml:space="preserve"> published on 22 April 2022 and the application channels for the SRD grant were opened on 23 April.</w:t>
      </w:r>
      <w:r w:rsidRPr="00C07E78">
        <w:rPr>
          <w:rFonts w:ascii="Arial" w:eastAsia="Times New Roman" w:hAnsi="Arial" w:cs="Arial"/>
          <w:sz w:val="20"/>
          <w:szCs w:val="20"/>
          <w:lang w:val="en-GB"/>
        </w:rPr>
        <w:t xml:space="preserve"> </w:t>
      </w:r>
      <w:r w:rsidR="000A3A07" w:rsidRPr="00C07E78">
        <w:rPr>
          <w:rFonts w:ascii="Arial" w:eastAsia="Times New Roman" w:hAnsi="Arial" w:cs="Arial"/>
          <w:sz w:val="20"/>
          <w:szCs w:val="20"/>
          <w:lang w:val="en-GB"/>
        </w:rPr>
        <w:t xml:space="preserve">By implication, </w:t>
      </w:r>
      <w:r w:rsidRPr="00C07E78">
        <w:rPr>
          <w:rFonts w:ascii="Arial" w:eastAsia="Times New Roman" w:hAnsi="Arial" w:cs="Arial"/>
          <w:sz w:val="20"/>
          <w:szCs w:val="20"/>
          <w:lang w:val="en-GB"/>
        </w:rPr>
        <w:t xml:space="preserve">all existing applicants were </w:t>
      </w:r>
      <w:r w:rsidR="000A3A07" w:rsidRPr="00C07E78">
        <w:rPr>
          <w:rFonts w:ascii="Arial" w:eastAsia="Times New Roman" w:hAnsi="Arial" w:cs="Arial"/>
          <w:sz w:val="20"/>
          <w:szCs w:val="20"/>
          <w:lang w:val="en-GB"/>
        </w:rPr>
        <w:t xml:space="preserve">required to reapply for the grant. </w:t>
      </w:r>
      <w:r w:rsidRPr="00C07E78">
        <w:rPr>
          <w:rFonts w:ascii="Arial" w:eastAsia="Times New Roman" w:hAnsi="Arial" w:cs="Arial"/>
          <w:sz w:val="20"/>
          <w:szCs w:val="20"/>
          <w:lang w:val="en-GB"/>
        </w:rPr>
        <w:t>In line with previous trends, DSD submitted that it</w:t>
      </w:r>
      <w:r w:rsidR="000A3A07" w:rsidRPr="00C07E78">
        <w:rPr>
          <w:rFonts w:ascii="Arial" w:eastAsia="Times New Roman" w:hAnsi="Arial" w:cs="Arial"/>
          <w:sz w:val="20"/>
          <w:szCs w:val="20"/>
          <w:lang w:val="en-GB"/>
        </w:rPr>
        <w:t xml:space="preserve"> expect</w:t>
      </w:r>
      <w:r w:rsidRPr="00C07E78">
        <w:rPr>
          <w:rFonts w:ascii="Arial" w:eastAsia="Times New Roman" w:hAnsi="Arial" w:cs="Arial"/>
          <w:sz w:val="20"/>
          <w:szCs w:val="20"/>
          <w:lang w:val="en-GB"/>
        </w:rPr>
        <w:t>ed</w:t>
      </w:r>
      <w:r w:rsidR="000A3A07" w:rsidRPr="00C07E78">
        <w:rPr>
          <w:rFonts w:ascii="Arial" w:eastAsia="Times New Roman" w:hAnsi="Arial" w:cs="Arial"/>
          <w:sz w:val="20"/>
          <w:szCs w:val="20"/>
          <w:lang w:val="en-GB"/>
        </w:rPr>
        <w:t xml:space="preserve"> the number of approved benefits in the first month or two t</w:t>
      </w:r>
      <w:r w:rsidRPr="00C07E78">
        <w:rPr>
          <w:rFonts w:ascii="Arial" w:eastAsia="Times New Roman" w:hAnsi="Arial" w:cs="Arial"/>
          <w:sz w:val="20"/>
          <w:szCs w:val="20"/>
          <w:lang w:val="en-GB"/>
        </w:rPr>
        <w:t xml:space="preserve">o be less than the 10.9 million. </w:t>
      </w:r>
    </w:p>
    <w:p w:rsidR="009B458A" w:rsidRPr="00C07E78" w:rsidRDefault="009B458A" w:rsidP="00C07E78">
      <w:pPr>
        <w:spacing w:after="0" w:line="240" w:lineRule="auto"/>
        <w:rPr>
          <w:rFonts w:ascii="Arial" w:eastAsia="Times New Roman" w:hAnsi="Arial" w:cs="Arial"/>
          <w:sz w:val="20"/>
          <w:szCs w:val="20"/>
          <w:lang w:val="en-GB"/>
        </w:rPr>
      </w:pPr>
    </w:p>
    <w:p w:rsidR="000A3A07" w:rsidRPr="00C07E78" w:rsidRDefault="006E47D4" w:rsidP="00C07E78">
      <w:pPr>
        <w:spacing w:after="0" w:line="240" w:lineRule="auto"/>
        <w:rPr>
          <w:rFonts w:ascii="Arial" w:eastAsia="Times New Roman" w:hAnsi="Arial" w:cs="Arial"/>
          <w:sz w:val="20"/>
          <w:szCs w:val="20"/>
          <w:lang w:val="en-GB"/>
        </w:rPr>
      </w:pPr>
      <w:r w:rsidRPr="00C07E78">
        <w:rPr>
          <w:rFonts w:ascii="Arial" w:eastAsia="Times New Roman" w:hAnsi="Arial" w:cs="Arial"/>
          <w:sz w:val="20"/>
          <w:szCs w:val="20"/>
          <w:lang w:val="en-GB"/>
        </w:rPr>
        <w:t xml:space="preserve">DSD also </w:t>
      </w:r>
      <w:r w:rsidR="00C505E1" w:rsidRPr="00C07E78">
        <w:rPr>
          <w:rFonts w:ascii="Arial" w:eastAsia="Times New Roman" w:hAnsi="Arial" w:cs="Arial"/>
          <w:sz w:val="20"/>
          <w:szCs w:val="20"/>
          <w:lang w:val="en-GB"/>
        </w:rPr>
        <w:t>provide</w:t>
      </w:r>
      <w:r w:rsidRPr="00C07E78">
        <w:rPr>
          <w:rFonts w:ascii="Arial" w:eastAsia="Times New Roman" w:hAnsi="Arial" w:cs="Arial"/>
          <w:sz w:val="20"/>
          <w:szCs w:val="20"/>
          <w:lang w:val="en-GB"/>
        </w:rPr>
        <w:t>d</w:t>
      </w:r>
      <w:r w:rsidR="00C505E1" w:rsidRPr="00C07E78">
        <w:rPr>
          <w:rFonts w:ascii="Arial" w:eastAsia="Times New Roman" w:hAnsi="Arial" w:cs="Arial"/>
          <w:sz w:val="20"/>
          <w:szCs w:val="20"/>
          <w:lang w:val="en-GB"/>
        </w:rPr>
        <w:t xml:space="preserve"> an overview on the new regulations</w:t>
      </w:r>
      <w:r w:rsidR="00172463" w:rsidRPr="00C07E78">
        <w:rPr>
          <w:rFonts w:ascii="Arial" w:eastAsia="Times New Roman" w:hAnsi="Arial" w:cs="Arial"/>
          <w:sz w:val="20"/>
          <w:szCs w:val="20"/>
          <w:lang w:val="en-GB"/>
        </w:rPr>
        <w:t xml:space="preserve"> </w:t>
      </w:r>
      <w:r w:rsidRPr="00C07E78">
        <w:rPr>
          <w:rFonts w:ascii="Arial" w:eastAsia="Times New Roman" w:hAnsi="Arial" w:cs="Arial"/>
          <w:sz w:val="20"/>
          <w:szCs w:val="20"/>
          <w:lang w:val="en-GB"/>
        </w:rPr>
        <w:t xml:space="preserve">for the SRD grant </w:t>
      </w:r>
      <w:r w:rsidR="00172463" w:rsidRPr="00C07E78">
        <w:rPr>
          <w:rFonts w:ascii="Arial" w:eastAsia="Times New Roman" w:hAnsi="Arial" w:cs="Arial"/>
          <w:sz w:val="20"/>
          <w:szCs w:val="20"/>
          <w:lang w:val="en-GB"/>
        </w:rPr>
        <w:t xml:space="preserve">and further emphasised that </w:t>
      </w:r>
      <w:r w:rsidR="00172463" w:rsidRPr="00C07E78">
        <w:rPr>
          <w:rFonts w:ascii="Arial" w:eastAsia="Times New Roman" w:hAnsi="Arial" w:cs="Arial"/>
          <w:sz w:val="20"/>
          <w:szCs w:val="20"/>
        </w:rPr>
        <w:t>it received a budget of R44 billion which was</w:t>
      </w:r>
      <w:r w:rsidR="000A3A07" w:rsidRPr="00C07E78">
        <w:rPr>
          <w:rFonts w:ascii="Arial" w:eastAsia="Times New Roman" w:hAnsi="Arial" w:cs="Arial"/>
          <w:sz w:val="20"/>
          <w:szCs w:val="20"/>
        </w:rPr>
        <w:t xml:space="preserve"> sufficient to cover </w:t>
      </w:r>
      <w:r w:rsidR="007F23CD" w:rsidRPr="00C07E78">
        <w:rPr>
          <w:rFonts w:ascii="Arial" w:eastAsia="Times New Roman" w:hAnsi="Arial" w:cs="Arial"/>
          <w:sz w:val="20"/>
          <w:szCs w:val="20"/>
        </w:rPr>
        <w:t xml:space="preserve">only </w:t>
      </w:r>
      <w:r w:rsidR="000A3A07" w:rsidRPr="00C07E78">
        <w:rPr>
          <w:rFonts w:ascii="Arial" w:eastAsia="Times New Roman" w:hAnsi="Arial" w:cs="Arial"/>
          <w:sz w:val="20"/>
          <w:szCs w:val="20"/>
        </w:rPr>
        <w:t>10.5 million people.</w:t>
      </w:r>
      <w:r w:rsidR="00172463" w:rsidRPr="00C07E78">
        <w:rPr>
          <w:rFonts w:ascii="Arial" w:eastAsia="Times New Roman" w:hAnsi="Arial" w:cs="Arial"/>
          <w:sz w:val="20"/>
          <w:szCs w:val="20"/>
        </w:rPr>
        <w:t xml:space="preserve"> DSD submitted that a</w:t>
      </w:r>
      <w:r w:rsidR="00172463" w:rsidRPr="00C07E78">
        <w:rPr>
          <w:rFonts w:ascii="Arial" w:eastAsia="Times New Roman" w:hAnsi="Arial" w:cs="Arial"/>
          <w:sz w:val="20"/>
          <w:szCs w:val="20"/>
          <w:lang w:val="en-GB"/>
        </w:rPr>
        <w:t>according to survey data, there were</w:t>
      </w:r>
      <w:r w:rsidR="000A3A07" w:rsidRPr="00C07E78">
        <w:rPr>
          <w:rFonts w:ascii="Arial" w:eastAsia="Times New Roman" w:hAnsi="Arial" w:cs="Arial"/>
          <w:sz w:val="20"/>
          <w:szCs w:val="20"/>
          <w:lang w:val="en-GB"/>
        </w:rPr>
        <w:t xml:space="preserve"> 13.4 million people with no income and 18.3 million people below the food poverty line. </w:t>
      </w:r>
      <w:r w:rsidR="00172463" w:rsidRPr="00C07E78">
        <w:rPr>
          <w:rFonts w:ascii="Arial" w:eastAsia="Times New Roman" w:hAnsi="Arial" w:cs="Arial"/>
          <w:sz w:val="20"/>
          <w:szCs w:val="20"/>
          <w:lang w:val="en-GB"/>
        </w:rPr>
        <w:t xml:space="preserve">Unemployment was at 35.3 per cent </w:t>
      </w:r>
      <w:r w:rsidR="000A3A07" w:rsidRPr="00C07E78">
        <w:rPr>
          <w:rFonts w:ascii="Arial" w:eastAsia="Times New Roman" w:hAnsi="Arial" w:cs="Arial"/>
          <w:sz w:val="20"/>
          <w:szCs w:val="20"/>
          <w:lang w:val="en-GB"/>
        </w:rPr>
        <w:t xml:space="preserve">(7.9 million people) </w:t>
      </w:r>
      <w:r w:rsidR="007F23CD" w:rsidRPr="00C07E78">
        <w:rPr>
          <w:rFonts w:ascii="Arial" w:eastAsia="Times New Roman" w:hAnsi="Arial" w:cs="Arial"/>
          <w:sz w:val="20"/>
          <w:szCs w:val="20"/>
          <w:lang w:val="en-GB"/>
        </w:rPr>
        <w:t>using</w:t>
      </w:r>
      <w:r w:rsidR="00172463" w:rsidRPr="00C07E78">
        <w:rPr>
          <w:rFonts w:ascii="Arial" w:eastAsia="Times New Roman" w:hAnsi="Arial" w:cs="Arial"/>
          <w:sz w:val="20"/>
          <w:szCs w:val="20"/>
          <w:lang w:val="en-GB"/>
        </w:rPr>
        <w:t xml:space="preserve"> narrow definition and 46.2 per cent </w:t>
      </w:r>
      <w:r w:rsidR="000A3A07" w:rsidRPr="00C07E78">
        <w:rPr>
          <w:rFonts w:ascii="Arial" w:eastAsia="Times New Roman" w:hAnsi="Arial" w:cs="Arial"/>
          <w:sz w:val="20"/>
          <w:szCs w:val="20"/>
          <w:lang w:val="en-GB"/>
        </w:rPr>
        <w:t xml:space="preserve">(11.7 million </w:t>
      </w:r>
      <w:r w:rsidR="000A3A07" w:rsidRPr="00C07E78">
        <w:rPr>
          <w:rFonts w:ascii="Arial" w:eastAsia="Times New Roman" w:hAnsi="Arial" w:cs="Arial"/>
          <w:sz w:val="20"/>
          <w:szCs w:val="20"/>
          <w:lang w:val="en-GB"/>
        </w:rPr>
        <w:lastRenderedPageBreak/>
        <w:t xml:space="preserve">people) </w:t>
      </w:r>
      <w:r w:rsidR="007F23CD" w:rsidRPr="00C07E78">
        <w:rPr>
          <w:rFonts w:ascii="Arial" w:eastAsia="Times New Roman" w:hAnsi="Arial" w:cs="Arial"/>
          <w:sz w:val="20"/>
          <w:szCs w:val="20"/>
          <w:lang w:val="en-GB"/>
        </w:rPr>
        <w:t>using</w:t>
      </w:r>
      <w:r w:rsidR="000A3A07" w:rsidRPr="00C07E78">
        <w:rPr>
          <w:rFonts w:ascii="Arial" w:eastAsia="Times New Roman" w:hAnsi="Arial" w:cs="Arial"/>
          <w:sz w:val="20"/>
          <w:szCs w:val="20"/>
          <w:lang w:val="en-GB"/>
        </w:rPr>
        <w:t xml:space="preserve"> expanded definition. </w:t>
      </w:r>
      <w:r w:rsidR="00172463" w:rsidRPr="00C07E78">
        <w:rPr>
          <w:rFonts w:ascii="Arial" w:eastAsia="Times New Roman" w:hAnsi="Arial" w:cs="Arial"/>
          <w:sz w:val="20"/>
          <w:szCs w:val="20"/>
          <w:lang w:val="en-GB"/>
        </w:rPr>
        <w:t xml:space="preserve">It highlighted that given the proposed budget allocation for the 2022/23 financial year, additional restrictions will have to be added in order to remain within budget. </w:t>
      </w:r>
    </w:p>
    <w:p w:rsidR="009B458A" w:rsidRPr="00C07E78" w:rsidRDefault="009B458A" w:rsidP="00C07E78">
      <w:pPr>
        <w:spacing w:after="0" w:line="240" w:lineRule="auto"/>
        <w:rPr>
          <w:rFonts w:ascii="Arial" w:eastAsia="Times New Roman" w:hAnsi="Arial" w:cs="Arial"/>
          <w:sz w:val="20"/>
          <w:szCs w:val="20"/>
        </w:rPr>
      </w:pPr>
    </w:p>
    <w:p w:rsidR="000A3A07" w:rsidRPr="00C07E78" w:rsidRDefault="00172463" w:rsidP="00C07E78">
      <w:pPr>
        <w:spacing w:after="0" w:line="240" w:lineRule="auto"/>
        <w:rPr>
          <w:rFonts w:ascii="Arial" w:eastAsia="Times New Roman" w:hAnsi="Arial" w:cs="Arial"/>
          <w:sz w:val="20"/>
          <w:szCs w:val="20"/>
          <w:lang w:val="en-GB"/>
        </w:rPr>
      </w:pPr>
      <w:r w:rsidRPr="00C07E78">
        <w:rPr>
          <w:rFonts w:ascii="Arial" w:eastAsia="Times New Roman" w:hAnsi="Arial" w:cs="Arial"/>
          <w:sz w:val="20"/>
          <w:szCs w:val="20"/>
          <w:lang w:val="en-GB"/>
        </w:rPr>
        <w:t>In terms of challenges faced in the uptake, distribution</w:t>
      </w:r>
      <w:r w:rsidR="0010137F" w:rsidRPr="00C07E78">
        <w:rPr>
          <w:rFonts w:ascii="Arial" w:eastAsia="Times New Roman" w:hAnsi="Arial" w:cs="Arial"/>
          <w:sz w:val="20"/>
          <w:szCs w:val="20"/>
          <w:lang w:val="en-GB"/>
        </w:rPr>
        <w:t xml:space="preserve"> challenges faced by </w:t>
      </w:r>
      <w:r w:rsidR="006E47D4" w:rsidRPr="00C07E78">
        <w:rPr>
          <w:rFonts w:ascii="Arial" w:eastAsia="Times New Roman" w:hAnsi="Arial" w:cs="Arial"/>
          <w:sz w:val="20"/>
          <w:szCs w:val="20"/>
          <w:lang w:val="en-GB"/>
        </w:rPr>
        <w:t>South African Social Security Agency (</w:t>
      </w:r>
      <w:r w:rsidR="0010137F" w:rsidRPr="00C07E78">
        <w:rPr>
          <w:rFonts w:ascii="Arial" w:eastAsia="Times New Roman" w:hAnsi="Arial" w:cs="Arial"/>
          <w:sz w:val="20"/>
          <w:szCs w:val="20"/>
          <w:lang w:val="en-GB"/>
        </w:rPr>
        <w:t>SASSA</w:t>
      </w:r>
      <w:r w:rsidR="006E47D4" w:rsidRPr="00C07E78">
        <w:rPr>
          <w:rFonts w:ascii="Arial" w:eastAsia="Times New Roman" w:hAnsi="Arial" w:cs="Arial"/>
          <w:sz w:val="20"/>
          <w:szCs w:val="20"/>
          <w:lang w:val="en-GB"/>
        </w:rPr>
        <w:t>)</w:t>
      </w:r>
      <w:r w:rsidR="0010137F" w:rsidRPr="00C07E78">
        <w:rPr>
          <w:rFonts w:ascii="Arial" w:eastAsia="Times New Roman" w:hAnsi="Arial" w:cs="Arial"/>
          <w:sz w:val="20"/>
          <w:szCs w:val="20"/>
          <w:lang w:val="en-GB"/>
        </w:rPr>
        <w:t xml:space="preserve"> with regard to the SRD grant, DSD reported that </w:t>
      </w:r>
      <w:r w:rsidR="000A3A07" w:rsidRPr="00C07E78">
        <w:rPr>
          <w:rFonts w:ascii="Arial" w:eastAsia="Times New Roman" w:hAnsi="Arial" w:cs="Arial"/>
          <w:sz w:val="20"/>
          <w:szCs w:val="20"/>
          <w:lang w:val="en-GB"/>
        </w:rPr>
        <w:t>all applications, once validated against the various databases to which SASSA has access, have to be means tested. This can only be done by b</w:t>
      </w:r>
      <w:r w:rsidR="007C5670" w:rsidRPr="00C07E78">
        <w:rPr>
          <w:rFonts w:ascii="Arial" w:eastAsia="Times New Roman" w:hAnsi="Arial" w:cs="Arial"/>
          <w:sz w:val="20"/>
          <w:szCs w:val="20"/>
          <w:lang w:val="en-GB"/>
        </w:rPr>
        <w:t>anks, who confirm whether the identity document</w:t>
      </w:r>
      <w:r w:rsidR="000A3A07" w:rsidRPr="00C07E78">
        <w:rPr>
          <w:rFonts w:ascii="Arial" w:eastAsia="Times New Roman" w:hAnsi="Arial" w:cs="Arial"/>
          <w:sz w:val="20"/>
          <w:szCs w:val="20"/>
          <w:lang w:val="en-GB"/>
        </w:rPr>
        <w:t xml:space="preserve"> number is linked to any bank account which has received an inflow of more than R350 in the preceding month (excluding social </w:t>
      </w:r>
      <w:r w:rsidR="008C2708" w:rsidRPr="00C07E78">
        <w:rPr>
          <w:rFonts w:ascii="Arial" w:eastAsia="Times New Roman" w:hAnsi="Arial" w:cs="Arial"/>
          <w:sz w:val="20"/>
          <w:szCs w:val="20"/>
          <w:lang w:val="en-GB"/>
        </w:rPr>
        <w:t xml:space="preserve">grants and the R350 SRD grant). </w:t>
      </w:r>
      <w:r w:rsidR="0010137F" w:rsidRPr="00C07E78">
        <w:rPr>
          <w:rFonts w:ascii="Arial" w:eastAsia="Times New Roman" w:hAnsi="Arial" w:cs="Arial"/>
          <w:sz w:val="20"/>
          <w:szCs w:val="20"/>
          <w:lang w:val="en-GB"/>
        </w:rPr>
        <w:t>However, the banks</w:t>
      </w:r>
      <w:r w:rsidR="000A3A07" w:rsidRPr="00C07E78">
        <w:rPr>
          <w:rFonts w:ascii="Arial" w:eastAsia="Times New Roman" w:hAnsi="Arial" w:cs="Arial"/>
          <w:sz w:val="20"/>
          <w:szCs w:val="20"/>
          <w:lang w:val="en-GB"/>
        </w:rPr>
        <w:t xml:space="preserve"> do not provide detail on the amounts coming into the account</w:t>
      </w:r>
      <w:r w:rsidR="0010137F" w:rsidRPr="00C07E78">
        <w:rPr>
          <w:rFonts w:ascii="Arial" w:eastAsia="Times New Roman" w:hAnsi="Arial" w:cs="Arial"/>
          <w:sz w:val="20"/>
          <w:szCs w:val="20"/>
          <w:lang w:val="en-GB"/>
        </w:rPr>
        <w:t>s</w:t>
      </w:r>
      <w:r w:rsidR="000A3A07" w:rsidRPr="00C07E78">
        <w:rPr>
          <w:rFonts w:ascii="Arial" w:eastAsia="Times New Roman" w:hAnsi="Arial" w:cs="Arial"/>
          <w:sz w:val="20"/>
          <w:szCs w:val="20"/>
          <w:lang w:val="en-GB"/>
        </w:rPr>
        <w:t>, but merely confirm whether or not there is inflow above the set threshold.</w:t>
      </w:r>
      <w:r w:rsidR="0010137F" w:rsidRPr="00C07E78">
        <w:rPr>
          <w:rFonts w:ascii="Arial" w:eastAsia="Times New Roman" w:hAnsi="Arial" w:cs="Arial"/>
          <w:sz w:val="20"/>
          <w:szCs w:val="20"/>
          <w:lang w:val="en-GB"/>
        </w:rPr>
        <w:t xml:space="preserve"> Furthermore, t</w:t>
      </w:r>
      <w:r w:rsidR="000A3A07" w:rsidRPr="00C07E78">
        <w:rPr>
          <w:rFonts w:ascii="Arial" w:eastAsia="Times New Roman" w:hAnsi="Arial" w:cs="Arial"/>
          <w:sz w:val="20"/>
          <w:szCs w:val="20"/>
          <w:lang w:val="en-GB"/>
        </w:rPr>
        <w:t>he</w:t>
      </w:r>
      <w:r w:rsidR="007C5670" w:rsidRPr="00C07E78">
        <w:rPr>
          <w:rFonts w:ascii="Arial" w:eastAsia="Times New Roman" w:hAnsi="Arial" w:cs="Arial"/>
          <w:sz w:val="20"/>
          <w:szCs w:val="20"/>
          <w:lang w:val="en-GB"/>
        </w:rPr>
        <w:t>re were delays in the finalisation of the contracting process with the banks and following engagements</w:t>
      </w:r>
      <w:r w:rsidR="0010137F" w:rsidRPr="00C07E78">
        <w:rPr>
          <w:rFonts w:ascii="Arial" w:eastAsia="Times New Roman" w:hAnsi="Arial" w:cs="Arial"/>
          <w:sz w:val="20"/>
          <w:szCs w:val="20"/>
          <w:lang w:val="en-GB"/>
        </w:rPr>
        <w:t>, facilitated by the Banking Association of South Africa</w:t>
      </w:r>
      <w:r w:rsidR="000A3A07" w:rsidRPr="00C07E78">
        <w:rPr>
          <w:rFonts w:ascii="Arial" w:eastAsia="Times New Roman" w:hAnsi="Arial" w:cs="Arial"/>
          <w:sz w:val="20"/>
          <w:szCs w:val="20"/>
          <w:lang w:val="en-GB"/>
        </w:rPr>
        <w:t>, the final draft of the agreements with banks was ready f</w:t>
      </w:r>
      <w:r w:rsidR="0010137F" w:rsidRPr="00C07E78">
        <w:rPr>
          <w:rFonts w:ascii="Arial" w:eastAsia="Times New Roman" w:hAnsi="Arial" w:cs="Arial"/>
          <w:sz w:val="20"/>
          <w:szCs w:val="20"/>
          <w:lang w:val="en-GB"/>
        </w:rPr>
        <w:t>or consultation on 23 May 2022 with t</w:t>
      </w:r>
      <w:r w:rsidR="000A3A07" w:rsidRPr="00C07E78">
        <w:rPr>
          <w:rFonts w:ascii="Arial" w:eastAsia="Times New Roman" w:hAnsi="Arial" w:cs="Arial"/>
          <w:sz w:val="20"/>
          <w:szCs w:val="20"/>
          <w:lang w:val="en-GB"/>
        </w:rPr>
        <w:t>he target date</w:t>
      </w:r>
      <w:r w:rsidR="0010137F" w:rsidRPr="00C07E78">
        <w:rPr>
          <w:rFonts w:ascii="Arial" w:eastAsia="Times New Roman" w:hAnsi="Arial" w:cs="Arial"/>
          <w:sz w:val="20"/>
          <w:szCs w:val="20"/>
          <w:lang w:val="en-GB"/>
        </w:rPr>
        <w:t xml:space="preserve"> for signing these agreements being </w:t>
      </w:r>
      <w:r w:rsidR="000A3A07" w:rsidRPr="00C07E78">
        <w:rPr>
          <w:rFonts w:ascii="Arial" w:eastAsia="Times New Roman" w:hAnsi="Arial" w:cs="Arial"/>
          <w:sz w:val="20"/>
          <w:szCs w:val="20"/>
          <w:lang w:val="en-GB"/>
        </w:rPr>
        <w:t xml:space="preserve">31 May 2022. </w:t>
      </w:r>
      <w:r w:rsidR="008258B6" w:rsidRPr="00C07E78">
        <w:rPr>
          <w:rFonts w:ascii="Arial" w:eastAsia="Times New Roman" w:hAnsi="Arial" w:cs="Arial"/>
          <w:sz w:val="20"/>
          <w:szCs w:val="20"/>
          <w:lang w:val="en-GB"/>
        </w:rPr>
        <w:t>T</w:t>
      </w:r>
      <w:r w:rsidR="000A3A07" w:rsidRPr="00C07E78">
        <w:rPr>
          <w:rFonts w:ascii="Arial" w:eastAsia="Times New Roman" w:hAnsi="Arial" w:cs="Arial"/>
          <w:sz w:val="20"/>
          <w:szCs w:val="20"/>
          <w:lang w:val="en-GB"/>
        </w:rPr>
        <w:t>he means testing will begin</w:t>
      </w:r>
      <w:r w:rsidR="0010137F" w:rsidRPr="00C07E78">
        <w:rPr>
          <w:rFonts w:ascii="Arial" w:eastAsia="Times New Roman" w:hAnsi="Arial" w:cs="Arial"/>
          <w:sz w:val="20"/>
          <w:szCs w:val="20"/>
          <w:lang w:val="en-GB"/>
        </w:rPr>
        <w:t xml:space="preserve"> after the aforementioned agreement has been signed</w:t>
      </w:r>
      <w:r w:rsidR="000A3A07" w:rsidRPr="00C07E78">
        <w:rPr>
          <w:rFonts w:ascii="Arial" w:eastAsia="Times New Roman" w:hAnsi="Arial" w:cs="Arial"/>
          <w:sz w:val="20"/>
          <w:szCs w:val="20"/>
          <w:lang w:val="en-GB"/>
        </w:rPr>
        <w:t xml:space="preserve">, with payments </w:t>
      </w:r>
      <w:r w:rsidR="007F23CD" w:rsidRPr="00C07E78">
        <w:rPr>
          <w:rFonts w:ascii="Arial" w:eastAsia="Times New Roman" w:hAnsi="Arial" w:cs="Arial"/>
          <w:sz w:val="20"/>
          <w:szCs w:val="20"/>
          <w:lang w:val="en-GB"/>
        </w:rPr>
        <w:t>which were meant</w:t>
      </w:r>
      <w:r w:rsidR="008258B6" w:rsidRPr="00C07E78">
        <w:rPr>
          <w:rFonts w:ascii="Arial" w:eastAsia="Times New Roman" w:hAnsi="Arial" w:cs="Arial"/>
          <w:sz w:val="20"/>
          <w:szCs w:val="20"/>
          <w:lang w:val="en-GB"/>
        </w:rPr>
        <w:t xml:space="preserve"> to distributed in </w:t>
      </w:r>
      <w:r w:rsidR="000A3A07" w:rsidRPr="00C07E78">
        <w:rPr>
          <w:rFonts w:ascii="Arial" w:eastAsia="Times New Roman" w:hAnsi="Arial" w:cs="Arial"/>
          <w:sz w:val="20"/>
          <w:szCs w:val="20"/>
          <w:lang w:val="en-GB"/>
        </w:rPr>
        <w:t xml:space="preserve">April </w:t>
      </w:r>
      <w:r w:rsidR="008258B6" w:rsidRPr="00C07E78">
        <w:rPr>
          <w:rFonts w:ascii="Arial" w:eastAsia="Times New Roman" w:hAnsi="Arial" w:cs="Arial"/>
          <w:sz w:val="20"/>
          <w:szCs w:val="20"/>
          <w:lang w:val="en-GB"/>
        </w:rPr>
        <w:t xml:space="preserve">2022 </w:t>
      </w:r>
      <w:r w:rsidR="007F23CD" w:rsidRPr="00C07E78">
        <w:rPr>
          <w:rFonts w:ascii="Arial" w:eastAsia="Times New Roman" w:hAnsi="Arial" w:cs="Arial"/>
          <w:sz w:val="20"/>
          <w:szCs w:val="20"/>
          <w:lang w:val="en-GB"/>
        </w:rPr>
        <w:t>to be distributed in</w:t>
      </w:r>
      <w:r w:rsidR="000A3A07" w:rsidRPr="00C07E78">
        <w:rPr>
          <w:rFonts w:ascii="Arial" w:eastAsia="Times New Roman" w:hAnsi="Arial" w:cs="Arial"/>
          <w:sz w:val="20"/>
          <w:szCs w:val="20"/>
          <w:lang w:val="en-GB"/>
        </w:rPr>
        <w:t xml:space="preserve"> June 2022</w:t>
      </w:r>
      <w:r w:rsidR="007F23CD" w:rsidRPr="00C07E78">
        <w:rPr>
          <w:rFonts w:ascii="Arial" w:eastAsia="Times New Roman" w:hAnsi="Arial" w:cs="Arial"/>
          <w:sz w:val="20"/>
          <w:szCs w:val="20"/>
          <w:lang w:val="en-GB"/>
        </w:rPr>
        <w:t>.</w:t>
      </w:r>
      <w:r w:rsidR="000A3A07" w:rsidRPr="00C07E78">
        <w:rPr>
          <w:rFonts w:ascii="Arial" w:eastAsia="Times New Roman" w:hAnsi="Arial" w:cs="Arial"/>
          <w:sz w:val="20"/>
          <w:szCs w:val="20"/>
          <w:lang w:val="en-GB"/>
        </w:rPr>
        <w:t xml:space="preserve"> </w:t>
      </w:r>
    </w:p>
    <w:p w:rsidR="009B458A" w:rsidRPr="00C07E78" w:rsidRDefault="009B458A" w:rsidP="00C07E78">
      <w:pPr>
        <w:spacing w:after="0" w:line="240" w:lineRule="auto"/>
        <w:rPr>
          <w:rFonts w:ascii="Arial" w:eastAsia="Times New Roman" w:hAnsi="Arial" w:cs="Arial"/>
          <w:sz w:val="20"/>
          <w:szCs w:val="20"/>
          <w:lang w:val="en-GB"/>
        </w:rPr>
      </w:pPr>
    </w:p>
    <w:p w:rsidR="00C568C4" w:rsidRPr="00C07E78" w:rsidRDefault="00652FBD" w:rsidP="00C07E78">
      <w:pPr>
        <w:spacing w:after="0" w:line="240" w:lineRule="auto"/>
        <w:rPr>
          <w:rFonts w:ascii="Arial" w:eastAsia="Times New Roman" w:hAnsi="Arial" w:cs="Arial"/>
          <w:sz w:val="20"/>
          <w:szCs w:val="20"/>
          <w:lang w:val="en-GB"/>
        </w:rPr>
      </w:pPr>
      <w:r w:rsidRPr="00C07E78">
        <w:rPr>
          <w:rFonts w:ascii="Arial" w:eastAsia="Times New Roman" w:hAnsi="Arial" w:cs="Arial"/>
          <w:sz w:val="20"/>
          <w:szCs w:val="20"/>
          <w:lang w:val="en-GB"/>
        </w:rPr>
        <w:t>With regard</w:t>
      </w:r>
      <w:r w:rsidR="007F23CD" w:rsidRPr="00C07E78">
        <w:rPr>
          <w:rFonts w:ascii="Arial" w:eastAsia="Times New Roman" w:hAnsi="Arial" w:cs="Arial"/>
          <w:sz w:val="20"/>
          <w:szCs w:val="20"/>
          <w:lang w:val="en-GB"/>
        </w:rPr>
        <w:t>s</w:t>
      </w:r>
      <w:r w:rsidRPr="00C07E78">
        <w:rPr>
          <w:rFonts w:ascii="Arial" w:eastAsia="Times New Roman" w:hAnsi="Arial" w:cs="Arial"/>
          <w:sz w:val="20"/>
          <w:szCs w:val="20"/>
          <w:lang w:val="en-GB"/>
        </w:rPr>
        <w:t xml:space="preserve"> to its preliminary spending outcomes, DSD had an available budget of R232.1 billion in 2021/22. Of this, R231.2 billion was appropriated for transfers and subsidies. Of the budget for transfers and subsidies, R221.7 billion or 95.9 per cent was for transfer to households for social grants, R8 billion for transfer to </w:t>
      </w:r>
      <w:r w:rsidR="006E47D4" w:rsidRPr="00C07E78">
        <w:rPr>
          <w:rFonts w:ascii="Arial" w:eastAsia="Times New Roman" w:hAnsi="Arial" w:cs="Arial"/>
          <w:sz w:val="20"/>
          <w:szCs w:val="20"/>
          <w:lang w:val="en-GB"/>
        </w:rPr>
        <w:t>SASSA</w:t>
      </w:r>
      <w:r w:rsidRPr="00C07E78">
        <w:rPr>
          <w:rFonts w:ascii="Arial" w:eastAsia="Times New Roman" w:hAnsi="Arial" w:cs="Arial"/>
          <w:sz w:val="20"/>
          <w:szCs w:val="20"/>
          <w:lang w:val="en-GB"/>
        </w:rPr>
        <w:t xml:space="preserve"> for administration of social grants, and R246</w:t>
      </w:r>
      <w:r w:rsidR="007F23CD" w:rsidRPr="00C07E78">
        <w:rPr>
          <w:rFonts w:ascii="Arial" w:eastAsia="Times New Roman" w:hAnsi="Arial" w:cs="Arial"/>
          <w:sz w:val="20"/>
          <w:szCs w:val="20"/>
          <w:lang w:val="en-GB"/>
        </w:rPr>
        <w:t xml:space="preserve"> </w:t>
      </w:r>
      <w:r w:rsidRPr="00C07E78">
        <w:rPr>
          <w:rFonts w:ascii="Arial" w:eastAsia="Times New Roman" w:hAnsi="Arial" w:cs="Arial"/>
          <w:sz w:val="20"/>
          <w:szCs w:val="20"/>
          <w:lang w:val="en-GB"/>
        </w:rPr>
        <w:t>million to the National Development Agency (NDA). The bulk of social grants allocation went to the child support grant which benefited 13.31 million children, and the old age grant which benefited 3.75 million people ag</w:t>
      </w:r>
      <w:r w:rsidR="006E47D4" w:rsidRPr="00C07E78">
        <w:rPr>
          <w:rFonts w:ascii="Arial" w:eastAsia="Times New Roman" w:hAnsi="Arial" w:cs="Arial"/>
          <w:sz w:val="20"/>
          <w:szCs w:val="20"/>
          <w:lang w:val="en-GB"/>
        </w:rPr>
        <w:t xml:space="preserve">ed 60 and above. DSD had </w:t>
      </w:r>
      <w:r w:rsidRPr="00C07E78">
        <w:rPr>
          <w:rFonts w:ascii="Arial" w:eastAsia="Times New Roman" w:hAnsi="Arial" w:cs="Arial"/>
          <w:sz w:val="20"/>
          <w:szCs w:val="20"/>
          <w:lang w:val="en-GB"/>
        </w:rPr>
        <w:t xml:space="preserve">spent R233.1 billion by the end of the fourth quarter, about R962.6 million higher than the available budget. This was mainly due to overspending on the SRD grant as a result of higher than anticipated number of beneficiaries. </w:t>
      </w:r>
    </w:p>
    <w:p w:rsidR="00652FBD" w:rsidRPr="00C07E78" w:rsidRDefault="00652FBD" w:rsidP="00C07E78">
      <w:pPr>
        <w:spacing w:after="0" w:line="240" w:lineRule="auto"/>
        <w:rPr>
          <w:rFonts w:ascii="Arial" w:eastAsia="Times New Roman" w:hAnsi="Arial" w:cs="Arial"/>
          <w:b/>
          <w:sz w:val="20"/>
          <w:szCs w:val="20"/>
        </w:rPr>
      </w:pPr>
    </w:p>
    <w:p w:rsidR="00BE5FE6" w:rsidRPr="00C07E78" w:rsidRDefault="000809F5" w:rsidP="00C07E78">
      <w:pPr>
        <w:numPr>
          <w:ilvl w:val="0"/>
          <w:numId w:val="16"/>
        </w:numPr>
        <w:spacing w:after="0" w:line="240" w:lineRule="auto"/>
        <w:ind w:left="567" w:hanging="567"/>
        <w:contextualSpacing/>
        <w:rPr>
          <w:rFonts w:ascii="Arial" w:eastAsia="Times New Roman" w:hAnsi="Arial" w:cs="Arial"/>
          <w:b/>
          <w:sz w:val="20"/>
          <w:szCs w:val="20"/>
        </w:rPr>
      </w:pPr>
      <w:r w:rsidRPr="00C07E78">
        <w:rPr>
          <w:rFonts w:ascii="Arial" w:eastAsia="Times New Roman" w:hAnsi="Arial" w:cs="Arial"/>
          <w:b/>
          <w:sz w:val="20"/>
          <w:szCs w:val="20"/>
        </w:rPr>
        <w:t>Public submissions on the 2022</w:t>
      </w:r>
      <w:r w:rsidR="00BE5FE6" w:rsidRPr="00C07E78">
        <w:rPr>
          <w:rFonts w:ascii="Arial" w:eastAsia="Times New Roman" w:hAnsi="Arial" w:cs="Arial"/>
          <w:b/>
          <w:sz w:val="20"/>
          <w:szCs w:val="20"/>
        </w:rPr>
        <w:t xml:space="preserve"> Appropriation Bill </w:t>
      </w:r>
    </w:p>
    <w:p w:rsidR="00BE5FE6" w:rsidRPr="00C07E78" w:rsidRDefault="00BE5FE6" w:rsidP="00C07E78">
      <w:pPr>
        <w:spacing w:after="0" w:line="240" w:lineRule="auto"/>
        <w:contextualSpacing/>
        <w:rPr>
          <w:rFonts w:ascii="Arial" w:eastAsia="Times New Roman" w:hAnsi="Arial" w:cs="Arial"/>
          <w:b/>
          <w:sz w:val="20"/>
          <w:szCs w:val="20"/>
        </w:rPr>
      </w:pPr>
    </w:p>
    <w:p w:rsidR="00BE5FE6" w:rsidRPr="00C07E78" w:rsidRDefault="00BE5FE6"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 xml:space="preserve">The sections below provide an overview of the submissions that were made in response of the advertisement that was published in print media. </w:t>
      </w:r>
    </w:p>
    <w:p w:rsidR="00BE5FE6" w:rsidRPr="00C07E78" w:rsidRDefault="00BE5FE6" w:rsidP="00C07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sz w:val="20"/>
          <w:szCs w:val="20"/>
          <w:lang w:eastAsia="en-ZA"/>
        </w:rPr>
      </w:pPr>
    </w:p>
    <w:p w:rsidR="000809F5" w:rsidRPr="00C07E78" w:rsidRDefault="000809F5" w:rsidP="00C07E78">
      <w:pPr>
        <w:autoSpaceDE w:val="0"/>
        <w:autoSpaceDN w:val="0"/>
        <w:adjustRightInd w:val="0"/>
        <w:spacing w:after="0" w:line="240" w:lineRule="auto"/>
        <w:rPr>
          <w:rFonts w:ascii="Arial" w:hAnsi="Arial" w:cs="Arial"/>
          <w:b/>
          <w:sz w:val="20"/>
          <w:szCs w:val="20"/>
        </w:rPr>
      </w:pPr>
      <w:r w:rsidRPr="00C07E78">
        <w:rPr>
          <w:rFonts w:ascii="Arial" w:hAnsi="Arial" w:cs="Arial"/>
          <w:b/>
          <w:sz w:val="20"/>
          <w:szCs w:val="20"/>
        </w:rPr>
        <w:t>5.1</w:t>
      </w:r>
      <w:r w:rsidRPr="00C07E78">
        <w:rPr>
          <w:rFonts w:ascii="Arial" w:hAnsi="Arial" w:cs="Arial"/>
          <w:b/>
          <w:sz w:val="20"/>
          <w:szCs w:val="20"/>
        </w:rPr>
        <w:tab/>
        <w:t>Equal Education</w:t>
      </w:r>
    </w:p>
    <w:p w:rsidR="000809F5" w:rsidRPr="00C07E78" w:rsidRDefault="000809F5" w:rsidP="00C07E78">
      <w:pPr>
        <w:autoSpaceDE w:val="0"/>
        <w:autoSpaceDN w:val="0"/>
        <w:adjustRightInd w:val="0"/>
        <w:spacing w:after="0" w:line="240" w:lineRule="auto"/>
        <w:rPr>
          <w:rFonts w:ascii="Arial" w:hAnsi="Arial" w:cs="Arial"/>
          <w:b/>
          <w:sz w:val="20"/>
          <w:szCs w:val="20"/>
        </w:rPr>
      </w:pPr>
    </w:p>
    <w:p w:rsidR="00CF249F" w:rsidRPr="00C07E78" w:rsidRDefault="00CF249F" w:rsidP="00C07E78">
      <w:p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lang w:val="af-ZA"/>
        </w:rPr>
        <w:t>Equal Education pointed out that quality basic education was a constitutionally recognised human right, which had been acknowledged and affirmed through various court cases. As such, the government had a duty to prioritise access to quality education, which required adequate funding in the budget. Despite this, basic education funding ha</w:t>
      </w:r>
      <w:r w:rsidR="007F23CD" w:rsidRPr="00C07E78">
        <w:rPr>
          <w:rFonts w:ascii="Arial" w:hAnsi="Arial" w:cs="Arial"/>
          <w:sz w:val="20"/>
          <w:szCs w:val="20"/>
          <w:lang w:val="af-ZA"/>
        </w:rPr>
        <w:t>s</w:t>
      </w:r>
      <w:r w:rsidRPr="00C07E78">
        <w:rPr>
          <w:rFonts w:ascii="Arial" w:hAnsi="Arial" w:cs="Arial"/>
          <w:sz w:val="20"/>
          <w:szCs w:val="20"/>
          <w:lang w:val="af-ZA"/>
        </w:rPr>
        <w:t xml:space="preserve"> experienced continued de-prioritisation in recent years, with the C</w:t>
      </w:r>
      <w:r w:rsidR="00160F22" w:rsidRPr="00C07E78">
        <w:rPr>
          <w:rFonts w:ascii="Arial" w:hAnsi="Arial" w:cs="Arial"/>
          <w:sz w:val="20"/>
          <w:szCs w:val="20"/>
          <w:lang w:val="af-ZA"/>
        </w:rPr>
        <w:t>ovid</w:t>
      </w:r>
      <w:r w:rsidRPr="00C07E78">
        <w:rPr>
          <w:rFonts w:ascii="Arial" w:hAnsi="Arial" w:cs="Arial"/>
          <w:sz w:val="20"/>
          <w:szCs w:val="20"/>
          <w:lang w:val="af-ZA"/>
        </w:rPr>
        <w:t xml:space="preserve">-19 pandemic accelerating this trend. Furthermore, access to, and delivery of, quality basic education was </w:t>
      </w:r>
      <w:r w:rsidR="007F23CD" w:rsidRPr="00C07E78">
        <w:rPr>
          <w:rFonts w:ascii="Arial" w:hAnsi="Arial" w:cs="Arial"/>
          <w:sz w:val="20"/>
          <w:szCs w:val="20"/>
          <w:lang w:val="af-ZA"/>
        </w:rPr>
        <w:t xml:space="preserve">affected </w:t>
      </w:r>
      <w:r w:rsidRPr="00C07E78">
        <w:rPr>
          <w:rFonts w:ascii="Arial" w:hAnsi="Arial" w:cs="Arial"/>
          <w:sz w:val="20"/>
          <w:szCs w:val="20"/>
          <w:lang w:val="af-ZA"/>
        </w:rPr>
        <w:t xml:space="preserve">by the weakened </w:t>
      </w:r>
      <w:r w:rsidR="007F23CD" w:rsidRPr="00C07E78">
        <w:rPr>
          <w:rFonts w:ascii="Arial" w:hAnsi="Arial" w:cs="Arial"/>
          <w:sz w:val="20"/>
          <w:szCs w:val="20"/>
          <w:lang w:val="af-ZA"/>
        </w:rPr>
        <w:t>s</w:t>
      </w:r>
      <w:r w:rsidRPr="00C07E78">
        <w:rPr>
          <w:rFonts w:ascii="Arial" w:hAnsi="Arial" w:cs="Arial"/>
          <w:sz w:val="20"/>
          <w:szCs w:val="20"/>
          <w:lang w:val="af-ZA"/>
        </w:rPr>
        <w:t>tate capacity and corruption that had eroded national and provincial departments’ ability to properly plan for and spend money allocated to them in the annual budget.</w:t>
      </w:r>
    </w:p>
    <w:p w:rsidR="00CF249F" w:rsidRPr="00C07E78" w:rsidRDefault="00CF249F" w:rsidP="00C07E78">
      <w:pPr>
        <w:autoSpaceDE w:val="0"/>
        <w:autoSpaceDN w:val="0"/>
        <w:adjustRightInd w:val="0"/>
        <w:spacing w:after="0" w:line="240" w:lineRule="auto"/>
        <w:rPr>
          <w:rFonts w:ascii="Arial" w:hAnsi="Arial" w:cs="Arial"/>
          <w:sz w:val="20"/>
          <w:szCs w:val="20"/>
        </w:rPr>
      </w:pPr>
    </w:p>
    <w:p w:rsidR="00E82D35" w:rsidRPr="00C07E78" w:rsidRDefault="00CF249F" w:rsidP="00C07E78">
      <w:p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Equal Education welcomed the following with regard to appropriated funds for Basic Education and Higher Education and Training:</w:t>
      </w:r>
    </w:p>
    <w:p w:rsidR="00CF249F" w:rsidRPr="00C07E78" w:rsidRDefault="00CF249F" w:rsidP="00C07E78">
      <w:pPr>
        <w:numPr>
          <w:ilvl w:val="0"/>
          <w:numId w:val="6"/>
        </w:num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rPr>
        <w:t xml:space="preserve">It was encouraging that the deep and regressive cuts made to Basic Education in the previous two years were not continued and that, for the 2022/23 financial year, funding to Basic Education was keeping up with inflation and that the funding had increased in real terms, albeit by a small amount. </w:t>
      </w:r>
    </w:p>
    <w:p w:rsidR="00CF249F" w:rsidRPr="00C07E78" w:rsidRDefault="00CF249F" w:rsidP="00C07E78">
      <w:pPr>
        <w:numPr>
          <w:ilvl w:val="0"/>
          <w:numId w:val="6"/>
        </w:num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rPr>
        <w:t xml:space="preserve">Infrastructure spending increased by approximately R700 million in the 2022/23 financial year. However, this was an insufficient step in addressing the deep infrastructure crisis facing South Africa, and beyond 2022/23, infrastructure funding once again decreased in real terms. </w:t>
      </w:r>
    </w:p>
    <w:p w:rsidR="00CF249F" w:rsidRPr="00C07E78" w:rsidRDefault="00CF249F" w:rsidP="00C07E78">
      <w:pPr>
        <w:numPr>
          <w:ilvl w:val="0"/>
          <w:numId w:val="6"/>
        </w:num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rPr>
        <w:t xml:space="preserve">More than R26 billion had been allocated to the National School Nutrition Programme (NSNP) over the following three years. However, there was concern that the funding was not keeping up with increases in food prices, which may affect the nutritional value of the meals that learners received. </w:t>
      </w:r>
    </w:p>
    <w:p w:rsidR="00CF249F" w:rsidRPr="00C07E78" w:rsidRDefault="00CF249F" w:rsidP="00C07E78">
      <w:pPr>
        <w:numPr>
          <w:ilvl w:val="0"/>
          <w:numId w:val="6"/>
        </w:num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rPr>
        <w:t xml:space="preserve">While supporting the fee-free higher education funding allocated to NSFAS for students from poor and working class households, Equal Education was concerned over the reported inefficiencies with the administration of NSFAS. </w:t>
      </w:r>
    </w:p>
    <w:p w:rsidR="00CF249F" w:rsidRPr="00C07E78" w:rsidRDefault="00CF249F" w:rsidP="00C07E78">
      <w:pPr>
        <w:autoSpaceDE w:val="0"/>
        <w:autoSpaceDN w:val="0"/>
        <w:adjustRightInd w:val="0"/>
        <w:spacing w:after="0" w:line="240" w:lineRule="auto"/>
        <w:rPr>
          <w:rFonts w:ascii="Arial" w:hAnsi="Arial" w:cs="Arial"/>
          <w:sz w:val="20"/>
          <w:szCs w:val="20"/>
          <w:lang w:val="af-ZA"/>
        </w:rPr>
      </w:pPr>
    </w:p>
    <w:p w:rsidR="00CF249F" w:rsidRPr="00C07E78" w:rsidRDefault="00CF249F" w:rsidP="00C07E78">
      <w:p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lang w:val="af-ZA"/>
        </w:rPr>
        <w:t xml:space="preserve">The quality of basic education provided to learners  was also determined by the capacity of national, provincial and local governments to spend these funds effectively. Under-spending, irregular expenditure, and wasteful and </w:t>
      </w:r>
      <w:r w:rsidRPr="00C07E78">
        <w:rPr>
          <w:rFonts w:ascii="Arial" w:hAnsi="Arial" w:cs="Arial"/>
          <w:sz w:val="20"/>
          <w:szCs w:val="20"/>
          <w:lang w:val="af-ZA"/>
        </w:rPr>
        <w:lastRenderedPageBreak/>
        <w:t xml:space="preserve">fruitless expenditure were consistent issues in the basic education sector and fundamentally undermined government's functionality. Since 2012/13, at least R2.7 billion had been irregularly spent through the </w:t>
      </w:r>
      <w:r w:rsidRPr="00C07E78">
        <w:rPr>
          <w:rFonts w:ascii="Arial" w:hAnsi="Arial" w:cs="Arial"/>
          <w:bCs/>
          <w:sz w:val="20"/>
          <w:szCs w:val="20"/>
          <w:lang w:val="af-ZA"/>
        </w:rPr>
        <w:t>Accelerated School Infrastructure Delivery Initiative (ASIDI)</w:t>
      </w:r>
      <w:r w:rsidRPr="00C07E78">
        <w:rPr>
          <w:rFonts w:ascii="Arial" w:hAnsi="Arial" w:cs="Arial"/>
          <w:sz w:val="20"/>
          <w:szCs w:val="20"/>
          <w:lang w:val="af-ZA"/>
        </w:rPr>
        <w:t xml:space="preserve">; and between 2011 and 2019, 30 percent of ASIDI funding had not even been spent. </w:t>
      </w:r>
    </w:p>
    <w:p w:rsidR="00CF249F" w:rsidRPr="00C07E78" w:rsidRDefault="00CF249F" w:rsidP="00C07E78">
      <w:pPr>
        <w:autoSpaceDE w:val="0"/>
        <w:autoSpaceDN w:val="0"/>
        <w:adjustRightInd w:val="0"/>
        <w:spacing w:after="0" w:line="240" w:lineRule="auto"/>
        <w:rPr>
          <w:rFonts w:ascii="Arial" w:hAnsi="Arial" w:cs="Arial"/>
          <w:sz w:val="20"/>
          <w:szCs w:val="20"/>
          <w:lang w:val="af-ZA"/>
        </w:rPr>
      </w:pPr>
    </w:p>
    <w:p w:rsidR="00CF249F" w:rsidRPr="00C07E78" w:rsidRDefault="00CF249F" w:rsidP="00C07E78">
      <w:p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lang w:val="af-ZA"/>
        </w:rPr>
        <w:t>Equal Education was of the view that National Treasury and the Appropriations Committees, together with other key role players, were mandated to take an active role in the oversight and capacity building of provincial and municipal governments and their departments. As such, Equal Education called on the Appropriations Committees to ensure that National Treasury fulfilled its duty in monitoring and assisting in the elimination of expenditure-related issues in the basic education sector.</w:t>
      </w:r>
    </w:p>
    <w:p w:rsidR="00E82D35" w:rsidRPr="00C07E78" w:rsidRDefault="00CF249F" w:rsidP="00C07E78">
      <w:p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lang w:val="af-ZA"/>
        </w:rPr>
        <w:t>Equal Education recommended tha</w:t>
      </w:r>
      <w:r w:rsidR="00E82D35" w:rsidRPr="00C07E78">
        <w:rPr>
          <w:rFonts w:ascii="Arial" w:hAnsi="Arial" w:cs="Arial"/>
          <w:sz w:val="20"/>
          <w:szCs w:val="20"/>
          <w:lang w:val="af-ZA"/>
        </w:rPr>
        <w:t xml:space="preserve">t the Appropriations Committee: </w:t>
      </w:r>
    </w:p>
    <w:p w:rsidR="00CF249F" w:rsidRPr="00C07E78" w:rsidRDefault="00CF249F" w:rsidP="00C07E78">
      <w:pPr>
        <w:numPr>
          <w:ilvl w:val="0"/>
          <w:numId w:val="7"/>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Advocate for Basic Education to receive funding that grew in line with learner enrolment and inflation and was pro- poor and gender inclusive; </w:t>
      </w:r>
    </w:p>
    <w:p w:rsidR="00CF249F" w:rsidRPr="00C07E78" w:rsidRDefault="00CF249F" w:rsidP="00C07E78">
      <w:pPr>
        <w:numPr>
          <w:ilvl w:val="0"/>
          <w:numId w:val="7"/>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Called on National Treasury to provide meaningful oversight of the sector;</w:t>
      </w:r>
    </w:p>
    <w:p w:rsidR="00CF249F" w:rsidRPr="00C07E78" w:rsidRDefault="00CF249F" w:rsidP="00C07E78">
      <w:pPr>
        <w:numPr>
          <w:ilvl w:val="0"/>
          <w:numId w:val="7"/>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Engage National Treasury on its decision to reduce infrastructure funding for Basic Education over the medium term, once inflation was taken into account;</w:t>
      </w:r>
    </w:p>
    <w:p w:rsidR="00CF249F" w:rsidRPr="00C07E78" w:rsidRDefault="00CF249F" w:rsidP="00C07E78">
      <w:pPr>
        <w:numPr>
          <w:ilvl w:val="0"/>
          <w:numId w:val="7"/>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Ensure that provincial education departments received sufficient funding to meet the national minimum thresholds for per learner funding; and</w:t>
      </w:r>
    </w:p>
    <w:p w:rsidR="00CF249F" w:rsidRPr="00C07E78" w:rsidRDefault="00CF249F" w:rsidP="00C07E78">
      <w:pPr>
        <w:numPr>
          <w:ilvl w:val="0"/>
          <w:numId w:val="7"/>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Ensure that National Treasury and the Department of Higher Education and Training (DHET), develop a cohesive policy that ensured that all learners had access to higher education.</w:t>
      </w:r>
    </w:p>
    <w:p w:rsidR="000809F5" w:rsidRPr="00C07E78" w:rsidRDefault="000809F5" w:rsidP="00C07E78">
      <w:pPr>
        <w:autoSpaceDE w:val="0"/>
        <w:autoSpaceDN w:val="0"/>
        <w:adjustRightInd w:val="0"/>
        <w:spacing w:after="0" w:line="240" w:lineRule="auto"/>
        <w:rPr>
          <w:rFonts w:ascii="Arial" w:hAnsi="Arial" w:cs="Arial"/>
          <w:sz w:val="20"/>
          <w:szCs w:val="20"/>
        </w:rPr>
      </w:pPr>
    </w:p>
    <w:p w:rsidR="000809F5" w:rsidRPr="00C07E78" w:rsidRDefault="000809F5" w:rsidP="00C07E78">
      <w:pPr>
        <w:autoSpaceDE w:val="0"/>
        <w:autoSpaceDN w:val="0"/>
        <w:adjustRightInd w:val="0"/>
        <w:spacing w:after="0" w:line="240" w:lineRule="auto"/>
        <w:rPr>
          <w:rFonts w:ascii="Arial" w:hAnsi="Arial" w:cs="Arial"/>
          <w:b/>
          <w:sz w:val="20"/>
          <w:szCs w:val="20"/>
        </w:rPr>
      </w:pPr>
      <w:r w:rsidRPr="00C07E78">
        <w:rPr>
          <w:rFonts w:ascii="Arial" w:hAnsi="Arial" w:cs="Arial"/>
          <w:b/>
          <w:sz w:val="20"/>
          <w:szCs w:val="20"/>
        </w:rPr>
        <w:t>5.2</w:t>
      </w:r>
      <w:r w:rsidRPr="00C07E78">
        <w:rPr>
          <w:rFonts w:ascii="Arial" w:hAnsi="Arial" w:cs="Arial"/>
          <w:b/>
          <w:sz w:val="20"/>
          <w:szCs w:val="20"/>
        </w:rPr>
        <w:tab/>
        <w:t>South African Institute for Chartered Accountants</w:t>
      </w:r>
    </w:p>
    <w:p w:rsidR="000809F5" w:rsidRPr="00C07E78" w:rsidRDefault="000809F5" w:rsidP="00C07E78">
      <w:pPr>
        <w:autoSpaceDE w:val="0"/>
        <w:autoSpaceDN w:val="0"/>
        <w:adjustRightInd w:val="0"/>
        <w:spacing w:after="0" w:line="240" w:lineRule="auto"/>
        <w:rPr>
          <w:rFonts w:ascii="Arial" w:hAnsi="Arial" w:cs="Arial"/>
          <w:b/>
          <w:sz w:val="20"/>
          <w:szCs w:val="20"/>
        </w:rPr>
      </w:pPr>
    </w:p>
    <w:p w:rsidR="008342A0" w:rsidRPr="00C07E78" w:rsidRDefault="008342A0" w:rsidP="00C07E78">
      <w:p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The South African Institute of Chartered Accountants (SAICA) questioned the budget allocated for VIP protection, which had received an increase of R1.7 billion in the 2021 Budget; while the </w:t>
      </w:r>
      <w:r w:rsidRPr="00C07E78">
        <w:rPr>
          <w:rFonts w:ascii="Arial" w:hAnsi="Arial" w:cs="Arial"/>
          <w:bCs/>
          <w:sz w:val="20"/>
          <w:szCs w:val="20"/>
        </w:rPr>
        <w:t xml:space="preserve">National Prosecuting Agency (NPA) </w:t>
      </w:r>
      <w:r w:rsidRPr="00C07E78">
        <w:rPr>
          <w:rFonts w:ascii="Arial" w:hAnsi="Arial" w:cs="Arial"/>
          <w:sz w:val="20"/>
          <w:szCs w:val="20"/>
        </w:rPr>
        <w:t>budget had been cut by R400 million in the same year, and the NPA had stated that it needed a further R1.7 billion to prosecute state capture cases and to modernise the organisation. SAICA further indicated that the 4.9 percent increase to</w:t>
      </w:r>
      <w:r w:rsidR="007F23CD" w:rsidRPr="00C07E78">
        <w:rPr>
          <w:rFonts w:ascii="Arial" w:hAnsi="Arial" w:cs="Arial"/>
          <w:sz w:val="20"/>
          <w:szCs w:val="20"/>
        </w:rPr>
        <w:t xml:space="preserve"> </w:t>
      </w:r>
      <w:r w:rsidRPr="00C07E78">
        <w:rPr>
          <w:rFonts w:ascii="Arial" w:hAnsi="Arial" w:cs="Arial"/>
          <w:bCs/>
          <w:sz w:val="20"/>
          <w:szCs w:val="20"/>
        </w:rPr>
        <w:t xml:space="preserve">SAPS </w:t>
      </w:r>
      <w:r w:rsidRPr="00C07E78">
        <w:rPr>
          <w:rFonts w:ascii="Arial" w:hAnsi="Arial" w:cs="Arial"/>
          <w:sz w:val="20"/>
          <w:szCs w:val="20"/>
        </w:rPr>
        <w:t xml:space="preserve">for employees, did not show any intent on behalf of the government to meet its commitment to the </w:t>
      </w:r>
      <w:r w:rsidRPr="00C07E78">
        <w:rPr>
          <w:rFonts w:ascii="Arial" w:hAnsi="Arial" w:cs="Arial"/>
          <w:bCs/>
          <w:sz w:val="20"/>
          <w:szCs w:val="20"/>
        </w:rPr>
        <w:t>Financial Action Task Force (FATF)</w:t>
      </w:r>
      <w:r w:rsidR="00160F22" w:rsidRPr="00C07E78">
        <w:rPr>
          <w:rFonts w:ascii="Arial" w:hAnsi="Arial" w:cs="Arial"/>
          <w:bCs/>
          <w:sz w:val="20"/>
          <w:szCs w:val="20"/>
        </w:rPr>
        <w:t>. The FATF is important</w:t>
      </w:r>
      <w:r w:rsidRPr="00C07E78">
        <w:rPr>
          <w:rFonts w:ascii="Arial" w:hAnsi="Arial" w:cs="Arial"/>
          <w:bCs/>
          <w:sz w:val="20"/>
          <w:szCs w:val="20"/>
        </w:rPr>
        <w:t xml:space="preserve"> </w:t>
      </w:r>
      <w:r w:rsidRPr="00C07E78">
        <w:rPr>
          <w:rFonts w:ascii="Arial" w:hAnsi="Arial" w:cs="Arial"/>
          <w:sz w:val="20"/>
          <w:szCs w:val="20"/>
        </w:rPr>
        <w:t xml:space="preserve">in addressing </w:t>
      </w:r>
      <w:r w:rsidR="00160F22" w:rsidRPr="00C07E78">
        <w:rPr>
          <w:rFonts w:ascii="Arial" w:hAnsi="Arial" w:cs="Arial"/>
          <w:sz w:val="20"/>
          <w:szCs w:val="20"/>
        </w:rPr>
        <w:t xml:space="preserve">the </w:t>
      </w:r>
      <w:r w:rsidRPr="00C07E78">
        <w:rPr>
          <w:rFonts w:ascii="Arial" w:hAnsi="Arial" w:cs="Arial"/>
          <w:sz w:val="20"/>
          <w:szCs w:val="20"/>
        </w:rPr>
        <w:t xml:space="preserve">shortcomings related to </w:t>
      </w:r>
      <w:r w:rsidR="00160F22" w:rsidRPr="00C07E78">
        <w:rPr>
          <w:rFonts w:ascii="Arial" w:hAnsi="Arial" w:cs="Arial"/>
          <w:sz w:val="20"/>
          <w:szCs w:val="20"/>
        </w:rPr>
        <w:t>the high levels of</w:t>
      </w:r>
      <w:r w:rsidRPr="00C07E78">
        <w:rPr>
          <w:rFonts w:ascii="Arial" w:hAnsi="Arial" w:cs="Arial"/>
          <w:sz w:val="20"/>
          <w:szCs w:val="20"/>
        </w:rPr>
        <w:t xml:space="preserve"> money laundering, financing of terrorism and counter financing of proliferation, thus putting the whole country at risk.</w:t>
      </w:r>
      <w:r w:rsidR="007F23CD" w:rsidRPr="00C07E78">
        <w:rPr>
          <w:rFonts w:ascii="Arial" w:hAnsi="Arial" w:cs="Arial"/>
          <w:sz w:val="20"/>
          <w:szCs w:val="20"/>
        </w:rPr>
        <w:t xml:space="preserve"> </w:t>
      </w:r>
    </w:p>
    <w:p w:rsidR="000E7FB7" w:rsidRPr="00C07E78" w:rsidRDefault="000E7FB7" w:rsidP="00C07E78">
      <w:pPr>
        <w:autoSpaceDE w:val="0"/>
        <w:autoSpaceDN w:val="0"/>
        <w:adjustRightInd w:val="0"/>
        <w:spacing w:after="0" w:line="240" w:lineRule="auto"/>
        <w:rPr>
          <w:rFonts w:ascii="Arial" w:hAnsi="Arial" w:cs="Arial"/>
          <w:sz w:val="20"/>
          <w:szCs w:val="20"/>
        </w:rPr>
      </w:pPr>
    </w:p>
    <w:p w:rsidR="008342A0" w:rsidRPr="00C07E78" w:rsidRDefault="008342A0" w:rsidP="00C07E78">
      <w:p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SAICA also questioned the use of the contingency reserve funds for bailouts to </w:t>
      </w:r>
      <w:r w:rsidR="00160F22" w:rsidRPr="00C07E78">
        <w:rPr>
          <w:rFonts w:ascii="Arial" w:hAnsi="Arial" w:cs="Arial"/>
          <w:sz w:val="20"/>
          <w:szCs w:val="20"/>
        </w:rPr>
        <w:t>SOEs</w:t>
      </w:r>
      <w:r w:rsidRPr="00C07E78">
        <w:rPr>
          <w:rFonts w:ascii="Arial" w:hAnsi="Arial" w:cs="Arial"/>
          <w:sz w:val="20"/>
          <w:szCs w:val="20"/>
        </w:rPr>
        <w:t xml:space="preserve"> including </w:t>
      </w:r>
      <w:r w:rsidRPr="00C07E78">
        <w:rPr>
          <w:rFonts w:ascii="Arial" w:hAnsi="Arial" w:cs="Arial"/>
          <w:bCs/>
          <w:sz w:val="20"/>
          <w:szCs w:val="20"/>
        </w:rPr>
        <w:t xml:space="preserve">South African Airways (SAA) </w:t>
      </w:r>
      <w:r w:rsidRPr="00C07E78">
        <w:rPr>
          <w:rFonts w:ascii="Arial" w:hAnsi="Arial" w:cs="Arial"/>
          <w:sz w:val="20"/>
          <w:szCs w:val="20"/>
        </w:rPr>
        <w:t xml:space="preserve">and the </w:t>
      </w:r>
      <w:r w:rsidRPr="00C07E78">
        <w:rPr>
          <w:rFonts w:ascii="Arial" w:hAnsi="Arial" w:cs="Arial"/>
          <w:bCs/>
          <w:sz w:val="20"/>
          <w:szCs w:val="20"/>
        </w:rPr>
        <w:t xml:space="preserve">Land </w:t>
      </w:r>
      <w:r w:rsidR="00160F22" w:rsidRPr="00C07E78">
        <w:rPr>
          <w:rFonts w:ascii="Arial" w:hAnsi="Arial" w:cs="Arial"/>
          <w:bCs/>
          <w:sz w:val="20"/>
          <w:szCs w:val="20"/>
        </w:rPr>
        <w:t xml:space="preserve">and Agricultural Development </w:t>
      </w:r>
      <w:r w:rsidRPr="00C07E78">
        <w:rPr>
          <w:rFonts w:ascii="Arial" w:hAnsi="Arial" w:cs="Arial"/>
          <w:bCs/>
          <w:sz w:val="20"/>
          <w:szCs w:val="20"/>
        </w:rPr>
        <w:t>Bank</w:t>
      </w:r>
      <w:r w:rsidR="00160F22" w:rsidRPr="00C07E78">
        <w:rPr>
          <w:rFonts w:ascii="Arial" w:hAnsi="Arial" w:cs="Arial"/>
          <w:bCs/>
          <w:sz w:val="20"/>
          <w:szCs w:val="20"/>
        </w:rPr>
        <w:t xml:space="preserve"> of South Africa (Land Bank)</w:t>
      </w:r>
      <w:r w:rsidRPr="00C07E78">
        <w:rPr>
          <w:rFonts w:ascii="Arial" w:hAnsi="Arial" w:cs="Arial"/>
          <w:bCs/>
          <w:sz w:val="20"/>
          <w:szCs w:val="20"/>
        </w:rPr>
        <w:t xml:space="preserve">. </w:t>
      </w:r>
      <w:r w:rsidRPr="00C07E78">
        <w:rPr>
          <w:rFonts w:ascii="Arial" w:hAnsi="Arial" w:cs="Arial"/>
          <w:sz w:val="20"/>
          <w:szCs w:val="20"/>
        </w:rPr>
        <w:t>SAICA interpreted the definition of unforeseeable spending pressures to be events such as natural disasters or pandemics. Given the recent floods in KwaZulu-Natal and the need for relief measures, it would be rational to conclude that this should be funded from the contingency reserve. However, National Treasury had proposed that municipalities and provincial departments divert funds within their budgets for disaster relief and apply for unforeseeable and unavoidable expenditure. SAICA believed that the contingency reserve fund was underfunded given that, of the R10 billion budgeted for 2022, R5 billion had already been allocated to the Land Bank, R1 billion for immediate flood relief and R3.5 billion would most likely be directed to fund the restructuring of SAA, leaving a balance of R500 million for disaster relief and other unforeseen events.</w:t>
      </w:r>
    </w:p>
    <w:p w:rsidR="008342A0" w:rsidRPr="00C07E78" w:rsidRDefault="008342A0" w:rsidP="00C07E78">
      <w:pPr>
        <w:autoSpaceDE w:val="0"/>
        <w:autoSpaceDN w:val="0"/>
        <w:adjustRightInd w:val="0"/>
        <w:spacing w:after="0" w:line="240" w:lineRule="auto"/>
        <w:rPr>
          <w:rFonts w:ascii="Arial" w:hAnsi="Arial" w:cs="Arial"/>
          <w:sz w:val="20"/>
          <w:szCs w:val="20"/>
        </w:rPr>
      </w:pPr>
    </w:p>
    <w:p w:rsidR="008342A0" w:rsidRPr="00C07E78" w:rsidRDefault="008342A0" w:rsidP="00C07E78">
      <w:p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SAICA was co</w:t>
      </w:r>
      <w:r w:rsidRPr="00C07E78">
        <w:rPr>
          <w:rFonts w:ascii="Arial" w:hAnsi="Arial" w:cs="Arial"/>
          <w:sz w:val="20"/>
          <w:szCs w:val="20"/>
          <w:lang w:val="af-ZA"/>
        </w:rPr>
        <w:t>ncerned that the South African Revenue Service (SARS) had insufficient funds to meet its April 2022 deadline for implementation of Generally Recognised Accounting Practice (GRAP) and that it could not fulfil its mandate successfully. SAICA had seen an increase in taxpayer dissatisfaction with SARS’ service, as was evidenced by the number of operational queries received from its members, as well as an increase in enquiries and complaints to the Office of the Tax Ombud.</w:t>
      </w:r>
    </w:p>
    <w:p w:rsidR="008342A0" w:rsidRPr="00C07E78" w:rsidRDefault="008342A0" w:rsidP="00C07E78">
      <w:pPr>
        <w:autoSpaceDE w:val="0"/>
        <w:autoSpaceDN w:val="0"/>
        <w:adjustRightInd w:val="0"/>
        <w:spacing w:after="0" w:line="240" w:lineRule="auto"/>
        <w:rPr>
          <w:rFonts w:ascii="Arial" w:hAnsi="Arial" w:cs="Arial"/>
          <w:sz w:val="20"/>
          <w:szCs w:val="20"/>
          <w:lang w:val="af-ZA"/>
        </w:rPr>
      </w:pPr>
    </w:p>
    <w:p w:rsidR="008342A0" w:rsidRPr="00C07E78" w:rsidRDefault="008342A0" w:rsidP="00C07E78">
      <w:p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lang w:val="af-ZA"/>
        </w:rPr>
        <w:t>SAICA indicated that unbudgeted items remained a significant risk to the credibility of the budget. These included the following:</w:t>
      </w:r>
    </w:p>
    <w:p w:rsidR="008342A0" w:rsidRPr="00C07E78" w:rsidRDefault="008342A0" w:rsidP="00C07E78">
      <w:pPr>
        <w:numPr>
          <w:ilvl w:val="0"/>
          <w:numId w:val="8"/>
        </w:num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lang w:val="af-ZA"/>
        </w:rPr>
        <w:t>SOEs’ contingent liabilities of R1.17 trillion in guarantees were a lot closer in principle to being government debt, as the previous 10 years had shown that on a balance of probability, they would more likely than not need to be converted to bailouts or state funding.</w:t>
      </w:r>
    </w:p>
    <w:p w:rsidR="008342A0" w:rsidRPr="00C07E78" w:rsidRDefault="008342A0" w:rsidP="00C07E78">
      <w:pPr>
        <w:numPr>
          <w:ilvl w:val="0"/>
          <w:numId w:val="8"/>
        </w:num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lang w:val="af-ZA"/>
        </w:rPr>
        <w:t>The allocation of R2.3 billion for Water and Sanitation over the following three years was not sufficient, given that infrastructure was imploding and access to drinkable water was becoming more problematic.</w:t>
      </w:r>
    </w:p>
    <w:p w:rsidR="008342A0" w:rsidRPr="00C07E78" w:rsidRDefault="008342A0" w:rsidP="00C07E78">
      <w:pPr>
        <w:numPr>
          <w:ilvl w:val="0"/>
          <w:numId w:val="8"/>
        </w:num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lang w:val="af-ZA"/>
        </w:rPr>
        <w:lastRenderedPageBreak/>
        <w:t>Crime remained a fundamental problem in growing the economy and the state of the Police was a concern with effective service delivery decreasing, as reflected in the crime statistics. The Police’s ability to apply resources effectively was also a concern, with R4 billion unspent, even with all the shortage of vehicles and equipment and the state of disrepair at most police stations. In this regard, the Minister’s assessment that the Police would be supported by an increase of R8.7 billion in the medium term required unpacking.</w:t>
      </w:r>
    </w:p>
    <w:p w:rsidR="008342A0" w:rsidRPr="00C07E78" w:rsidRDefault="008342A0" w:rsidP="00C07E78">
      <w:pPr>
        <w:numPr>
          <w:ilvl w:val="0"/>
          <w:numId w:val="8"/>
        </w:num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lang w:val="af-ZA"/>
        </w:rPr>
        <w:t>It seemed that no provision was made for contingent liabilities</w:t>
      </w:r>
      <w:r w:rsidR="007F23CD" w:rsidRPr="00C07E78">
        <w:rPr>
          <w:rFonts w:ascii="Arial" w:hAnsi="Arial" w:cs="Arial"/>
          <w:sz w:val="20"/>
          <w:szCs w:val="20"/>
          <w:lang w:val="af-ZA"/>
        </w:rPr>
        <w:t xml:space="preserve">, </w:t>
      </w:r>
      <w:r w:rsidRPr="00C07E78">
        <w:rPr>
          <w:rFonts w:ascii="Arial" w:hAnsi="Arial" w:cs="Arial"/>
          <w:sz w:val="20"/>
          <w:szCs w:val="20"/>
          <w:lang w:val="af-ZA"/>
        </w:rPr>
        <w:t xml:space="preserve">legal claims or </w:t>
      </w:r>
      <w:r w:rsidR="007F23CD" w:rsidRPr="00C07E78">
        <w:rPr>
          <w:rFonts w:ascii="Arial" w:hAnsi="Arial" w:cs="Arial"/>
          <w:sz w:val="20"/>
          <w:szCs w:val="20"/>
          <w:lang w:val="af-ZA"/>
        </w:rPr>
        <w:t>l</w:t>
      </w:r>
      <w:r w:rsidRPr="00C07E78">
        <w:rPr>
          <w:rFonts w:ascii="Arial" w:hAnsi="Arial" w:cs="Arial"/>
          <w:sz w:val="20"/>
          <w:szCs w:val="20"/>
          <w:lang w:val="af-ZA"/>
        </w:rPr>
        <w:t xml:space="preserve">itigation costs. </w:t>
      </w:r>
      <w:r w:rsidR="007F23CD" w:rsidRPr="00C07E78">
        <w:rPr>
          <w:rFonts w:ascii="Arial" w:hAnsi="Arial" w:cs="Arial"/>
          <w:sz w:val="20"/>
          <w:szCs w:val="20"/>
          <w:lang w:val="af-ZA"/>
        </w:rPr>
        <w:t xml:space="preserve">AGSA </w:t>
      </w:r>
      <w:r w:rsidRPr="00C07E78">
        <w:rPr>
          <w:rFonts w:ascii="Arial" w:hAnsi="Arial" w:cs="Arial"/>
          <w:sz w:val="20"/>
          <w:szCs w:val="20"/>
          <w:lang w:val="af-ZA"/>
        </w:rPr>
        <w:t>had stated that there were increasing claims against departments, flagging an emergency risk. SAICA had noted the claims against the Department of Health amounted to R105 billion and those against the Police, to R16 billion. When legal claims were incurred, they eroded the current year budget, as they were expensed when the department had cash flows, but at the expense of other budget items.</w:t>
      </w:r>
    </w:p>
    <w:p w:rsidR="008342A0" w:rsidRPr="00C07E78" w:rsidRDefault="008342A0" w:rsidP="00C07E78">
      <w:pPr>
        <w:numPr>
          <w:ilvl w:val="0"/>
          <w:numId w:val="8"/>
        </w:num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lang w:val="af-ZA"/>
        </w:rPr>
        <w:t>The financial sustainability of the Independent Regulatory Board for Auditors (IRBA) was in jeopardy, considering a High Court judgement which, if not successfully appealed, would require it to repay auditors just over R60 million, which was almost half of its budget; and IRBA would then have to increase its reliance on the government to ensure its sustainability.</w:t>
      </w:r>
    </w:p>
    <w:p w:rsidR="008342A0" w:rsidRPr="00C07E78" w:rsidRDefault="008342A0" w:rsidP="00C07E78">
      <w:pPr>
        <w:numPr>
          <w:ilvl w:val="0"/>
          <w:numId w:val="8"/>
        </w:num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lang w:val="af-ZA"/>
        </w:rPr>
        <w:t>The Government Employee Pension Fund (GEFP) had a long-term funding shortfall of approximately R2.5 billion per year according to its latest actuarial report, dated 31 March 2021.</w:t>
      </w:r>
    </w:p>
    <w:p w:rsidR="008342A0" w:rsidRPr="00C07E78" w:rsidRDefault="008342A0" w:rsidP="00C07E78">
      <w:pPr>
        <w:autoSpaceDE w:val="0"/>
        <w:autoSpaceDN w:val="0"/>
        <w:adjustRightInd w:val="0"/>
        <w:spacing w:after="0" w:line="240" w:lineRule="auto"/>
        <w:rPr>
          <w:rFonts w:ascii="Arial" w:hAnsi="Arial" w:cs="Arial"/>
          <w:sz w:val="20"/>
          <w:szCs w:val="20"/>
          <w:lang w:val="af-ZA"/>
        </w:rPr>
      </w:pPr>
    </w:p>
    <w:p w:rsidR="008342A0" w:rsidRPr="00C07E78" w:rsidRDefault="008342A0" w:rsidP="00C07E78">
      <w:pPr>
        <w:autoSpaceDE w:val="0"/>
        <w:autoSpaceDN w:val="0"/>
        <w:adjustRightInd w:val="0"/>
        <w:spacing w:after="0" w:line="240" w:lineRule="auto"/>
        <w:rPr>
          <w:rFonts w:ascii="Arial" w:hAnsi="Arial" w:cs="Arial"/>
          <w:sz w:val="20"/>
          <w:szCs w:val="20"/>
          <w:lang w:val="af-ZA"/>
        </w:rPr>
      </w:pPr>
      <w:r w:rsidRPr="00C07E78">
        <w:rPr>
          <w:rFonts w:ascii="Arial" w:hAnsi="Arial" w:cs="Arial"/>
          <w:sz w:val="20"/>
          <w:szCs w:val="20"/>
          <w:lang w:val="af-ZA"/>
        </w:rPr>
        <w:t>SAICA asked the Committees the following questions:</w:t>
      </w:r>
    </w:p>
    <w:p w:rsidR="008342A0" w:rsidRPr="00C07E78" w:rsidRDefault="008342A0" w:rsidP="00C07E78">
      <w:pPr>
        <w:numPr>
          <w:ilvl w:val="0"/>
          <w:numId w:val="9"/>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Considering the critical and urgent role of the NPA, did Members believe that the NPA was appropriately funded; and should the VIP unit be allocated relatively more money than the NPA, considering the number of individuals these units serve? </w:t>
      </w:r>
    </w:p>
    <w:p w:rsidR="008342A0" w:rsidRPr="00C07E78" w:rsidRDefault="008342A0" w:rsidP="00C07E78">
      <w:pPr>
        <w:numPr>
          <w:ilvl w:val="0"/>
          <w:numId w:val="9"/>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Did Parliament accept joint accountability for the government’s obligations to FATF and the consequences of non-compliance? </w:t>
      </w:r>
    </w:p>
    <w:p w:rsidR="008342A0" w:rsidRPr="00C07E78" w:rsidRDefault="008342A0" w:rsidP="00C07E78">
      <w:pPr>
        <w:numPr>
          <w:ilvl w:val="0"/>
          <w:numId w:val="9"/>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Were Members satisfied that the contingency reserve was used as a “suspense account” to pay the R5 billion to the Land Bank, rather than an account for unforeseen emergencies? Would the additional funding R3.5 billion required for SAA also be funded from the contingency reserve, pushing it even more into the red? </w:t>
      </w:r>
    </w:p>
    <w:p w:rsidR="008342A0" w:rsidRPr="00C07E78" w:rsidRDefault="008342A0" w:rsidP="00C07E78">
      <w:pPr>
        <w:numPr>
          <w:ilvl w:val="0"/>
          <w:numId w:val="9"/>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Were Members aware of what services would no longer be delivered should municipalities and departments use a portion of their current budgets to fund the flood disaster efforts? </w:t>
      </w:r>
    </w:p>
    <w:p w:rsidR="008342A0" w:rsidRPr="00C07E78" w:rsidRDefault="008342A0" w:rsidP="00C07E78">
      <w:pPr>
        <w:numPr>
          <w:ilvl w:val="0"/>
          <w:numId w:val="9"/>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Did Members know where the additional funds would come from to make up for the shortfall in the contingency reserve; that is, would further debt need to be taken on to fund this shortfall? </w:t>
      </w:r>
    </w:p>
    <w:p w:rsidR="008342A0" w:rsidRPr="00C07E78" w:rsidRDefault="008342A0" w:rsidP="00C07E78">
      <w:pPr>
        <w:numPr>
          <w:ilvl w:val="0"/>
          <w:numId w:val="9"/>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If further real unforeseen emergencies occurred, as had happened with the recent flooding in KwaZulu-Natal and the Eastern Cape, would the government have sufficient financial resources to address these emergencies, considering the estimated balance of the contingency? </w:t>
      </w:r>
    </w:p>
    <w:p w:rsidR="008342A0" w:rsidRPr="00C07E78" w:rsidRDefault="008342A0" w:rsidP="00C07E78">
      <w:pPr>
        <w:numPr>
          <w:ilvl w:val="0"/>
          <w:numId w:val="9"/>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Were Members satisfied that SARS had sufficient resources to continue its drive to use high-tech systems to target non-compliant taxpayers and to deliver its services to compliant taxpayers in such a way that it would not negatively influence their tax compliance behaviour? Did ambitious targets incentivise the wrong SARS behaviour when oversight was lacking? </w:t>
      </w:r>
    </w:p>
    <w:p w:rsidR="008342A0" w:rsidRPr="00C07E78" w:rsidRDefault="008342A0" w:rsidP="00C07E78">
      <w:pPr>
        <w:numPr>
          <w:ilvl w:val="0"/>
          <w:numId w:val="9"/>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Considering the questionable practices resulting from the non-implementation of GRAP by SARS (and the whole public sector), were Members aware of National Treasury’s progress in this regard, and was the delay acceptable? </w:t>
      </w:r>
    </w:p>
    <w:p w:rsidR="008342A0" w:rsidRPr="00C07E78" w:rsidRDefault="008342A0" w:rsidP="00C07E78">
      <w:pPr>
        <w:numPr>
          <w:ilvl w:val="0"/>
          <w:numId w:val="9"/>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Were Members satisfied that the budget was credible without considering the above unbudgeted expense items; and that Parliament had exercised proper oversight when amounts that clearly should be budgeted for, were not? </w:t>
      </w:r>
    </w:p>
    <w:p w:rsidR="008342A0" w:rsidRPr="00C07E78" w:rsidRDefault="008342A0" w:rsidP="00C07E78">
      <w:pPr>
        <w:numPr>
          <w:ilvl w:val="0"/>
          <w:numId w:val="9"/>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How did Parliament believe the 12 000 additional police officers would be appointed when, after adjusting for inflation, the Police would have a lower budget in 2025 than in 2022? </w:t>
      </w:r>
    </w:p>
    <w:p w:rsidR="008342A0" w:rsidRPr="00C07E78" w:rsidRDefault="008342A0" w:rsidP="00C07E78">
      <w:pPr>
        <w:numPr>
          <w:ilvl w:val="0"/>
          <w:numId w:val="9"/>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Did Members know why there was a difference between the Budget allocating R110 billion to police services and the Bill allocating R100 billion to the Police? </w:t>
      </w:r>
    </w:p>
    <w:p w:rsidR="008342A0" w:rsidRPr="00C07E78" w:rsidRDefault="008342A0" w:rsidP="00C07E78">
      <w:pPr>
        <w:numPr>
          <w:ilvl w:val="0"/>
          <w:numId w:val="9"/>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From where would government obtain the additional R2.5 billion per annum needed to fund the shortfall in the GEPF? </w:t>
      </w:r>
    </w:p>
    <w:p w:rsidR="008342A0" w:rsidRPr="00C07E78" w:rsidRDefault="008342A0" w:rsidP="00C07E78">
      <w:pPr>
        <w:autoSpaceDE w:val="0"/>
        <w:autoSpaceDN w:val="0"/>
        <w:adjustRightInd w:val="0"/>
        <w:spacing w:after="0" w:line="240" w:lineRule="auto"/>
        <w:rPr>
          <w:rFonts w:ascii="Arial" w:hAnsi="Arial" w:cs="Arial"/>
          <w:sz w:val="20"/>
          <w:szCs w:val="20"/>
        </w:rPr>
      </w:pPr>
    </w:p>
    <w:p w:rsidR="008342A0" w:rsidRPr="00C07E78" w:rsidRDefault="008342A0" w:rsidP="00C07E78">
      <w:p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Oversight was key to a credible budget process and therefore SAICA recommended that Parliament review its Committee mandate concerning the separation between the Finance and Appropriations Committees and the </w:t>
      </w:r>
      <w:r w:rsidRPr="00C07E78">
        <w:rPr>
          <w:rFonts w:ascii="Arial" w:hAnsi="Arial" w:cs="Arial"/>
          <w:sz w:val="20"/>
          <w:szCs w:val="20"/>
        </w:rPr>
        <w:lastRenderedPageBreak/>
        <w:t xml:space="preserve">Committee on Public Accounts, to ensure that oversight obligations did not fall in-between the cracks and that Parliament was effective as a single collective arm of government. </w:t>
      </w:r>
    </w:p>
    <w:p w:rsidR="00AA0452" w:rsidRPr="00C07E78" w:rsidRDefault="00AA0452" w:rsidP="00C07E78">
      <w:pPr>
        <w:autoSpaceDE w:val="0"/>
        <w:autoSpaceDN w:val="0"/>
        <w:adjustRightInd w:val="0"/>
        <w:spacing w:after="0" w:line="240" w:lineRule="auto"/>
        <w:rPr>
          <w:rFonts w:ascii="Arial" w:hAnsi="Arial" w:cs="Arial"/>
          <w:sz w:val="20"/>
          <w:szCs w:val="20"/>
        </w:rPr>
      </w:pPr>
    </w:p>
    <w:p w:rsidR="00BE5FE6" w:rsidRPr="00C07E78" w:rsidRDefault="000809F5" w:rsidP="00C07E78">
      <w:pPr>
        <w:autoSpaceDE w:val="0"/>
        <w:autoSpaceDN w:val="0"/>
        <w:adjustRightInd w:val="0"/>
        <w:spacing w:after="0" w:line="240" w:lineRule="auto"/>
        <w:rPr>
          <w:rFonts w:ascii="Arial" w:hAnsi="Arial" w:cs="Arial"/>
          <w:b/>
          <w:sz w:val="20"/>
          <w:szCs w:val="20"/>
        </w:rPr>
      </w:pPr>
      <w:r w:rsidRPr="00C07E78">
        <w:rPr>
          <w:rFonts w:ascii="Arial" w:hAnsi="Arial" w:cs="Arial"/>
          <w:b/>
          <w:sz w:val="20"/>
          <w:szCs w:val="20"/>
        </w:rPr>
        <w:t>5.3</w:t>
      </w:r>
      <w:r w:rsidRPr="00C07E78">
        <w:rPr>
          <w:rFonts w:ascii="Arial" w:hAnsi="Arial" w:cs="Arial"/>
          <w:b/>
          <w:sz w:val="20"/>
          <w:szCs w:val="20"/>
        </w:rPr>
        <w:tab/>
      </w:r>
      <w:r w:rsidR="00BE5FE6" w:rsidRPr="00C07E78">
        <w:rPr>
          <w:rFonts w:ascii="Arial" w:hAnsi="Arial" w:cs="Arial"/>
          <w:b/>
          <w:sz w:val="20"/>
          <w:szCs w:val="20"/>
        </w:rPr>
        <w:t>Congress of South African Trade Unions</w:t>
      </w:r>
    </w:p>
    <w:p w:rsidR="00BE5FE6" w:rsidRPr="00C07E78" w:rsidRDefault="00BE5FE6" w:rsidP="00C07E78">
      <w:pPr>
        <w:autoSpaceDE w:val="0"/>
        <w:autoSpaceDN w:val="0"/>
        <w:adjustRightInd w:val="0"/>
        <w:spacing w:after="0" w:line="240" w:lineRule="auto"/>
        <w:rPr>
          <w:rFonts w:ascii="Arial" w:hAnsi="Arial" w:cs="Arial"/>
          <w:sz w:val="20"/>
          <w:szCs w:val="20"/>
        </w:rPr>
      </w:pPr>
    </w:p>
    <w:p w:rsidR="006E5886" w:rsidRPr="00C07E78" w:rsidRDefault="006E5886" w:rsidP="00C07E78">
      <w:p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The </w:t>
      </w:r>
      <w:r w:rsidRPr="00C07E78">
        <w:rPr>
          <w:rFonts w:ascii="Arial" w:hAnsi="Arial" w:cs="Arial"/>
          <w:bCs/>
          <w:sz w:val="20"/>
          <w:szCs w:val="20"/>
        </w:rPr>
        <w:t>Congress of South African Trade Unions (COSATU) was of the view</w:t>
      </w:r>
      <w:r w:rsidRPr="00C07E78">
        <w:rPr>
          <w:rFonts w:ascii="Arial" w:hAnsi="Arial" w:cs="Arial"/>
          <w:sz w:val="20"/>
          <w:szCs w:val="20"/>
        </w:rPr>
        <w:t xml:space="preserve"> that the Bill was not focused on enhancing the labour-absorbing capacity of the economy; but essentially maintained the composition of expenditure of the past years, which did not address the problem of economic stagnation. Despite COSATU’s overall disappointment with the Bill, it did welcome and support the funds allocated to the following national departments and programmes:</w:t>
      </w:r>
    </w:p>
    <w:p w:rsidR="006E5886" w:rsidRPr="00C07E78" w:rsidRDefault="00FB7F24" w:rsidP="00C07E78">
      <w:pPr>
        <w:numPr>
          <w:ilvl w:val="0"/>
          <w:numId w:val="10"/>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The extension of the SRD grant</w:t>
      </w:r>
      <w:r w:rsidR="006E5886" w:rsidRPr="00C07E78">
        <w:rPr>
          <w:rFonts w:ascii="Arial" w:hAnsi="Arial" w:cs="Arial"/>
          <w:sz w:val="20"/>
          <w:szCs w:val="20"/>
        </w:rPr>
        <w:t>.</w:t>
      </w:r>
    </w:p>
    <w:p w:rsidR="006E5886" w:rsidRPr="00C07E78" w:rsidRDefault="006E5886" w:rsidP="00C07E78">
      <w:pPr>
        <w:numPr>
          <w:ilvl w:val="0"/>
          <w:numId w:val="10"/>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The allocation of R35 billion in loan and equity support for small, medium and micro enterprises (SMMEs) recovering from the C</w:t>
      </w:r>
      <w:r w:rsidR="00160F22" w:rsidRPr="00C07E78">
        <w:rPr>
          <w:rFonts w:ascii="Arial" w:hAnsi="Arial" w:cs="Arial"/>
          <w:sz w:val="20"/>
          <w:szCs w:val="20"/>
        </w:rPr>
        <w:t>ovid</w:t>
      </w:r>
      <w:r w:rsidRPr="00C07E78">
        <w:rPr>
          <w:rFonts w:ascii="Arial" w:hAnsi="Arial" w:cs="Arial"/>
          <w:sz w:val="20"/>
          <w:szCs w:val="20"/>
        </w:rPr>
        <w:t>-19 pandemic.</w:t>
      </w:r>
    </w:p>
    <w:p w:rsidR="006E5886" w:rsidRPr="00C07E78" w:rsidRDefault="006E5886" w:rsidP="00C07E78">
      <w:pPr>
        <w:numPr>
          <w:ilvl w:val="0"/>
          <w:numId w:val="10"/>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The additional allocation of R43 billion to Eskom and the progress made in reducing its debt burden by R100 billion.</w:t>
      </w:r>
    </w:p>
    <w:p w:rsidR="006E5886" w:rsidRPr="00C07E78" w:rsidRDefault="006E5886" w:rsidP="00C07E78">
      <w:pPr>
        <w:numPr>
          <w:ilvl w:val="0"/>
          <w:numId w:val="10"/>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The allocation of R17 billion to the Department of Trade, Industry and Competition (DTIC) for industrial financing over the Medium Term Expenditure Framework (MTEF).</w:t>
      </w:r>
    </w:p>
    <w:p w:rsidR="006E5886" w:rsidRPr="00C07E78" w:rsidRDefault="006E5886" w:rsidP="00C07E78">
      <w:pPr>
        <w:numPr>
          <w:ilvl w:val="0"/>
          <w:numId w:val="10"/>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The R120 million to the Commission for Conciliation, Mediation and Arbitration (CCMA) over the MTEF, even though this would not be enough to help undo the damage of the previous cuts to an overwhelmed CCMA that was struggling to cope with a flood of retrenchments.</w:t>
      </w:r>
    </w:p>
    <w:p w:rsidR="006E5886" w:rsidRPr="00C07E78" w:rsidRDefault="006E5886" w:rsidP="00C07E78">
      <w:pPr>
        <w:autoSpaceDE w:val="0"/>
        <w:autoSpaceDN w:val="0"/>
        <w:adjustRightInd w:val="0"/>
        <w:spacing w:after="0" w:line="240" w:lineRule="auto"/>
        <w:rPr>
          <w:rFonts w:ascii="Arial" w:hAnsi="Arial" w:cs="Arial"/>
          <w:sz w:val="20"/>
          <w:szCs w:val="20"/>
        </w:rPr>
      </w:pPr>
    </w:p>
    <w:p w:rsidR="007F23CD" w:rsidRPr="00C07E78" w:rsidRDefault="007F23CD" w:rsidP="00C07E78">
      <w:pPr>
        <w:autoSpaceDE w:val="0"/>
        <w:autoSpaceDN w:val="0"/>
        <w:adjustRightInd w:val="0"/>
        <w:spacing w:after="0" w:line="240" w:lineRule="auto"/>
        <w:rPr>
          <w:rFonts w:ascii="Arial" w:hAnsi="Arial" w:cs="Arial"/>
          <w:sz w:val="20"/>
          <w:szCs w:val="20"/>
        </w:rPr>
      </w:pPr>
    </w:p>
    <w:p w:rsidR="006E5886" w:rsidRPr="00C07E78" w:rsidRDefault="006E5886" w:rsidP="00C07E78">
      <w:p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COSATU made the following key recommendations:</w:t>
      </w:r>
    </w:p>
    <w:p w:rsidR="006E5886" w:rsidRPr="00C07E78" w:rsidRDefault="00FB7F24" w:rsidP="00C07E78">
      <w:pPr>
        <w:numPr>
          <w:ilvl w:val="0"/>
          <w:numId w:val="11"/>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The SRD g</w:t>
      </w:r>
      <w:r w:rsidR="006E5886" w:rsidRPr="00C07E78">
        <w:rPr>
          <w:rFonts w:ascii="Arial" w:hAnsi="Arial" w:cs="Arial"/>
          <w:sz w:val="20"/>
          <w:szCs w:val="20"/>
        </w:rPr>
        <w:t>rant needed to be linked to skills training programmes to help its recipients find jobs.</w:t>
      </w:r>
    </w:p>
    <w:p w:rsidR="006E5886" w:rsidRPr="00C07E78" w:rsidRDefault="006E5886" w:rsidP="00C07E78">
      <w:pPr>
        <w:numPr>
          <w:ilvl w:val="0"/>
          <w:numId w:val="11"/>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Development Finance Institutions (DFIs) should administer the allocation of R35 billion in loan and equity support for SMMEs, as opposed to the commercial banks that would sadly suffocate this programme as they did the Loan Guarantee Scheme.</w:t>
      </w:r>
    </w:p>
    <w:p w:rsidR="006E5886" w:rsidRPr="00C07E78" w:rsidRDefault="006E5886" w:rsidP="00C07E78">
      <w:pPr>
        <w:numPr>
          <w:ilvl w:val="0"/>
          <w:numId w:val="11"/>
        </w:num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 xml:space="preserve">It was critical that the implementation of the Eskom Social Compact be accelerated to ramp up maintenance, bring on board new generation capacity faster and ensure a Just Energy Transition that would not lead to more unemployment or create ghost towns. </w:t>
      </w:r>
    </w:p>
    <w:p w:rsidR="008342A0" w:rsidRPr="00C07E78" w:rsidRDefault="008342A0" w:rsidP="00C07E78">
      <w:pPr>
        <w:autoSpaceDE w:val="0"/>
        <w:autoSpaceDN w:val="0"/>
        <w:adjustRightInd w:val="0"/>
        <w:spacing w:after="0" w:line="240" w:lineRule="auto"/>
        <w:rPr>
          <w:rFonts w:ascii="Arial" w:hAnsi="Arial" w:cs="Arial"/>
          <w:sz w:val="20"/>
          <w:szCs w:val="20"/>
        </w:rPr>
      </w:pPr>
    </w:p>
    <w:p w:rsidR="00BE5FE6" w:rsidRPr="00C07E78" w:rsidRDefault="000809F5" w:rsidP="00C07E78">
      <w:pPr>
        <w:autoSpaceDE w:val="0"/>
        <w:autoSpaceDN w:val="0"/>
        <w:adjustRightInd w:val="0"/>
        <w:spacing w:after="0" w:line="240" w:lineRule="auto"/>
        <w:rPr>
          <w:rFonts w:ascii="Arial" w:hAnsi="Arial" w:cs="Arial"/>
          <w:b/>
          <w:sz w:val="20"/>
          <w:szCs w:val="20"/>
        </w:rPr>
      </w:pPr>
      <w:r w:rsidRPr="00C07E78">
        <w:rPr>
          <w:rFonts w:ascii="Arial" w:hAnsi="Arial" w:cs="Arial"/>
          <w:b/>
          <w:sz w:val="20"/>
          <w:szCs w:val="20"/>
        </w:rPr>
        <w:t>5.5</w:t>
      </w:r>
      <w:r w:rsidRPr="00C07E78">
        <w:rPr>
          <w:rFonts w:ascii="Arial" w:hAnsi="Arial" w:cs="Arial"/>
          <w:b/>
          <w:sz w:val="20"/>
          <w:szCs w:val="20"/>
        </w:rPr>
        <w:tab/>
        <w:t>Mr V Kalikopu</w:t>
      </w:r>
    </w:p>
    <w:p w:rsidR="00BE5FE6" w:rsidRPr="00C07E78" w:rsidRDefault="00BE5FE6" w:rsidP="00C07E78">
      <w:pPr>
        <w:autoSpaceDE w:val="0"/>
        <w:autoSpaceDN w:val="0"/>
        <w:adjustRightInd w:val="0"/>
        <w:spacing w:after="0" w:line="240" w:lineRule="auto"/>
        <w:rPr>
          <w:rFonts w:ascii="Arial" w:hAnsi="Arial" w:cs="Arial"/>
          <w:sz w:val="20"/>
          <w:szCs w:val="20"/>
        </w:rPr>
      </w:pPr>
    </w:p>
    <w:p w:rsidR="002E0E4E" w:rsidRPr="00C07E78" w:rsidRDefault="003A3361" w:rsidP="00C07E78">
      <w:pPr>
        <w:autoSpaceDE w:val="0"/>
        <w:autoSpaceDN w:val="0"/>
        <w:adjustRightInd w:val="0"/>
        <w:spacing w:after="0" w:line="240" w:lineRule="auto"/>
        <w:rPr>
          <w:rFonts w:ascii="Arial" w:hAnsi="Arial" w:cs="Arial"/>
          <w:sz w:val="20"/>
          <w:szCs w:val="20"/>
        </w:rPr>
      </w:pPr>
      <w:r w:rsidRPr="00C07E78">
        <w:rPr>
          <w:rFonts w:ascii="Arial" w:hAnsi="Arial" w:cs="Arial"/>
          <w:sz w:val="20"/>
          <w:szCs w:val="20"/>
        </w:rPr>
        <w:t>Mr V Kalikopu requested financial assistance to help Cape Town Youth</w:t>
      </w:r>
      <w:r w:rsidR="00B7227D" w:rsidRPr="00C07E78">
        <w:rPr>
          <w:rFonts w:ascii="Arial" w:hAnsi="Arial" w:cs="Arial"/>
          <w:sz w:val="20"/>
          <w:szCs w:val="20"/>
        </w:rPr>
        <w:t xml:space="preserve"> who stay along the N2 at the Cape Town International Airport bridge. The items listed by Mr Kalikopu included assistance for food, clothing, transport, a venue, and equipment. </w:t>
      </w:r>
    </w:p>
    <w:p w:rsidR="00BE5FE6" w:rsidRPr="00C07E78" w:rsidRDefault="00BE5FE6" w:rsidP="00C07E78">
      <w:pPr>
        <w:autoSpaceDE w:val="0"/>
        <w:autoSpaceDN w:val="0"/>
        <w:adjustRightInd w:val="0"/>
        <w:spacing w:after="0" w:line="240" w:lineRule="auto"/>
        <w:ind w:left="720"/>
        <w:rPr>
          <w:rFonts w:ascii="Arial" w:hAnsi="Arial" w:cs="Arial"/>
          <w:sz w:val="20"/>
          <w:szCs w:val="20"/>
        </w:rPr>
      </w:pPr>
    </w:p>
    <w:p w:rsidR="00BE5FE6" w:rsidRPr="00C07E78" w:rsidRDefault="00BE5FE6" w:rsidP="00C07E78">
      <w:pPr>
        <w:numPr>
          <w:ilvl w:val="0"/>
          <w:numId w:val="16"/>
        </w:numPr>
        <w:spacing w:after="0" w:line="240" w:lineRule="auto"/>
        <w:ind w:left="567" w:hanging="567"/>
        <w:contextualSpacing/>
        <w:rPr>
          <w:rFonts w:ascii="Arial" w:eastAsia="Times New Roman" w:hAnsi="Arial" w:cs="Arial"/>
          <w:b/>
          <w:sz w:val="20"/>
          <w:szCs w:val="20"/>
        </w:rPr>
      </w:pPr>
      <w:r w:rsidRPr="00C07E78">
        <w:rPr>
          <w:rFonts w:ascii="Arial" w:eastAsia="Times New Roman" w:hAnsi="Arial" w:cs="Arial"/>
          <w:b/>
          <w:sz w:val="20"/>
          <w:szCs w:val="20"/>
        </w:rPr>
        <w:t>Committee Findings and Observations</w:t>
      </w:r>
    </w:p>
    <w:p w:rsidR="00BE5FE6" w:rsidRPr="00C07E78" w:rsidRDefault="00BE5FE6" w:rsidP="00C07E78">
      <w:pPr>
        <w:tabs>
          <w:tab w:val="num" w:pos="1440"/>
        </w:tabs>
        <w:spacing w:after="0" w:line="240" w:lineRule="auto"/>
        <w:rPr>
          <w:rFonts w:ascii="Arial" w:eastAsia="Times New Roman" w:hAnsi="Arial" w:cs="Arial"/>
          <w:spacing w:val="6"/>
          <w:sz w:val="20"/>
          <w:szCs w:val="20"/>
        </w:rPr>
      </w:pPr>
    </w:p>
    <w:p w:rsidR="00BE5FE6" w:rsidRPr="00C07E78" w:rsidRDefault="00BE5FE6" w:rsidP="00C07E78">
      <w:pPr>
        <w:spacing w:after="0" w:line="240" w:lineRule="auto"/>
        <w:rPr>
          <w:rFonts w:ascii="Arial" w:eastAsia="Times New Roman" w:hAnsi="Arial" w:cs="Arial"/>
          <w:sz w:val="20"/>
          <w:szCs w:val="20"/>
        </w:rPr>
      </w:pPr>
      <w:r w:rsidRPr="00C07E78">
        <w:rPr>
          <w:rFonts w:ascii="Arial" w:eastAsia="Times New Roman" w:hAnsi="Arial" w:cs="Arial"/>
          <w:sz w:val="20"/>
          <w:szCs w:val="20"/>
        </w:rPr>
        <w:t>Having deliberated and considered all the submissions made by the above stakeholder</w:t>
      </w:r>
      <w:r w:rsidR="002E0E4E" w:rsidRPr="00C07E78">
        <w:rPr>
          <w:rFonts w:ascii="Arial" w:eastAsia="Times New Roman" w:hAnsi="Arial" w:cs="Arial"/>
          <w:sz w:val="20"/>
          <w:szCs w:val="20"/>
        </w:rPr>
        <w:t>s on Appropriation Bill [B7-2022]</w:t>
      </w:r>
      <w:r w:rsidRPr="00C07E78">
        <w:rPr>
          <w:rFonts w:ascii="Arial" w:eastAsia="Times New Roman" w:hAnsi="Arial" w:cs="Arial"/>
          <w:sz w:val="20"/>
          <w:szCs w:val="20"/>
        </w:rPr>
        <w:t>, the Standing Committee on Appropriations makes the following findings and observations:</w:t>
      </w:r>
      <w:r w:rsidRPr="00C07E78">
        <w:rPr>
          <w:rFonts w:ascii="Arial" w:eastAsia="Times New Roman" w:hAnsi="Arial" w:cs="Arial"/>
          <w:b/>
          <w:spacing w:val="6"/>
          <w:sz w:val="20"/>
          <w:szCs w:val="20"/>
          <w:lang w:eastAsia="en-GB"/>
        </w:rPr>
        <w:t xml:space="preserve"> </w:t>
      </w:r>
    </w:p>
    <w:p w:rsidR="00BE5FE6" w:rsidRPr="00C07E78" w:rsidRDefault="00BE5FE6" w:rsidP="00C07E78">
      <w:pPr>
        <w:spacing w:after="0" w:line="240" w:lineRule="auto"/>
        <w:contextualSpacing/>
        <w:rPr>
          <w:rFonts w:ascii="Arial" w:eastAsia="Times New Roman" w:hAnsi="Arial" w:cs="Arial"/>
          <w:sz w:val="20"/>
          <w:szCs w:val="20"/>
        </w:rPr>
      </w:pPr>
    </w:p>
    <w:p w:rsidR="00853ACC"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 xml:space="preserve">The Committee notes that the Bill proposes a total Vote allocation of R1.057 trillion (excluding direct charges of R902.66 billion) for the 2022/23 financial year. Furthermore, the Committee welcomes that 61 per cent of the total budget is appropriated to the Departments of Cooperative Governance, Higher Education and Training, Social Development, Police and Transport mainly for free basic services, post-school education and training, social grants, crime prevention and investigation, and maintenance of the road transport network. </w:t>
      </w:r>
    </w:p>
    <w:p w:rsidR="00853ACC"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The Committee notes and welcomes that 71.2 per cent of these proposed Vote allocations goes to transfers and subsidies. These are transfers to provinces, municipalities, public corporations and other non-profit making entities mainly for the payment of social grants, conditional grants allocations, transfers to public entities, university subsidies and NSFAS.</w:t>
      </w:r>
      <w:r w:rsidR="00BD2C4B" w:rsidRPr="00C07E78">
        <w:rPr>
          <w:rFonts w:ascii="Arial" w:eastAsia="Times New Roman" w:hAnsi="Arial" w:cs="Arial"/>
          <w:sz w:val="20"/>
          <w:szCs w:val="20"/>
        </w:rPr>
        <w:t xml:space="preserve"> The Committee views provinces and municipalities in particular to be at the centre of service delivery and th</w:t>
      </w:r>
      <w:r w:rsidR="007F23CD" w:rsidRPr="00C07E78">
        <w:rPr>
          <w:rFonts w:ascii="Arial" w:eastAsia="Times New Roman" w:hAnsi="Arial" w:cs="Arial"/>
          <w:sz w:val="20"/>
          <w:szCs w:val="20"/>
        </w:rPr>
        <w:t>ese</w:t>
      </w:r>
      <w:r w:rsidR="00BD2C4B" w:rsidRPr="00C07E78">
        <w:rPr>
          <w:rFonts w:ascii="Arial" w:eastAsia="Times New Roman" w:hAnsi="Arial" w:cs="Arial"/>
          <w:sz w:val="20"/>
          <w:szCs w:val="20"/>
        </w:rPr>
        <w:t xml:space="preserve"> proposals </w:t>
      </w:r>
      <w:r w:rsidR="007F23CD" w:rsidRPr="00C07E78">
        <w:rPr>
          <w:rFonts w:ascii="Arial" w:eastAsia="Times New Roman" w:hAnsi="Arial" w:cs="Arial"/>
          <w:sz w:val="20"/>
          <w:szCs w:val="20"/>
        </w:rPr>
        <w:t>are</w:t>
      </w:r>
      <w:r w:rsidR="00BD2C4B" w:rsidRPr="00C07E78">
        <w:rPr>
          <w:rFonts w:ascii="Arial" w:eastAsia="Times New Roman" w:hAnsi="Arial" w:cs="Arial"/>
          <w:sz w:val="20"/>
          <w:szCs w:val="20"/>
        </w:rPr>
        <w:t xml:space="preserve"> supported by the Committee since </w:t>
      </w:r>
      <w:r w:rsidR="007F23CD" w:rsidRPr="00C07E78">
        <w:rPr>
          <w:rFonts w:ascii="Arial" w:eastAsia="Times New Roman" w:hAnsi="Arial" w:cs="Arial"/>
          <w:sz w:val="20"/>
          <w:szCs w:val="20"/>
        </w:rPr>
        <w:t>they are</w:t>
      </w:r>
      <w:r w:rsidR="00BD2C4B" w:rsidRPr="00C07E78">
        <w:rPr>
          <w:rFonts w:ascii="Arial" w:eastAsia="Times New Roman" w:hAnsi="Arial" w:cs="Arial"/>
          <w:sz w:val="20"/>
          <w:szCs w:val="20"/>
        </w:rPr>
        <w:t xml:space="preserve"> indicative of the bulk of government services</w:t>
      </w:r>
      <w:r w:rsidR="007F23CD" w:rsidRPr="00C07E78">
        <w:rPr>
          <w:rFonts w:ascii="Arial" w:eastAsia="Times New Roman" w:hAnsi="Arial" w:cs="Arial"/>
          <w:sz w:val="20"/>
          <w:szCs w:val="20"/>
        </w:rPr>
        <w:t>.</w:t>
      </w:r>
      <w:r w:rsidR="00BD2C4B" w:rsidRPr="00C07E78">
        <w:rPr>
          <w:rFonts w:ascii="Arial" w:eastAsia="Times New Roman" w:hAnsi="Arial" w:cs="Arial"/>
          <w:sz w:val="20"/>
          <w:szCs w:val="20"/>
        </w:rPr>
        <w:t xml:space="preserve"> </w:t>
      </w:r>
    </w:p>
    <w:p w:rsidR="00853ACC" w:rsidRPr="00C07E78" w:rsidRDefault="00853ACC" w:rsidP="00C07E78">
      <w:pPr>
        <w:pStyle w:val="ListParagraph"/>
        <w:spacing w:after="0" w:line="240" w:lineRule="auto"/>
        <w:ind w:left="709"/>
        <w:rPr>
          <w:rFonts w:ascii="Arial" w:eastAsia="Times New Roman" w:hAnsi="Arial" w:cs="Arial"/>
          <w:sz w:val="20"/>
          <w:szCs w:val="20"/>
        </w:rPr>
      </w:pPr>
    </w:p>
    <w:p w:rsidR="00853ACC"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lastRenderedPageBreak/>
        <w:t xml:space="preserve">The Committee notes that relative to the 2021 budget, the main budget non-interest spending increases by a net R282.3 billion over the medium term expenditure framework, supported by higher than anticipated revenue collections that also does not jeopardise government’s path to deficit reduction. </w:t>
      </w:r>
    </w:p>
    <w:p w:rsidR="00853ACC" w:rsidRPr="00C07E78" w:rsidRDefault="00853ACC" w:rsidP="00C07E78">
      <w:pPr>
        <w:pStyle w:val="ListParagraph"/>
        <w:spacing w:after="0" w:line="240" w:lineRule="auto"/>
        <w:ind w:left="709"/>
        <w:rPr>
          <w:rFonts w:ascii="Arial" w:eastAsia="Times New Roman" w:hAnsi="Arial" w:cs="Arial"/>
          <w:sz w:val="20"/>
          <w:szCs w:val="20"/>
        </w:rPr>
      </w:pPr>
    </w:p>
    <w:p w:rsidR="00853ACC"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 xml:space="preserve">The Committee notes and welcomes the proposed additional allocation of R110.8 billion in 2002/23 (R227.4 billion over the MTEF) to fund government priorities that could not be funded through budget reprioritisation. The Committee is encouraged that government was able to fund some of the priorities like the extension of the special Covid-19 social relief of distress grant, the continuation of bursaries for students benefiting from the Student Financial Aid Scheme, and to fund the presidential employment initiative.  </w:t>
      </w:r>
    </w:p>
    <w:p w:rsidR="00853ACC" w:rsidRPr="00C07E78" w:rsidRDefault="00853ACC" w:rsidP="00C07E78">
      <w:pPr>
        <w:pStyle w:val="ListParagraph"/>
        <w:spacing w:after="0" w:line="240" w:lineRule="auto"/>
        <w:ind w:left="709"/>
        <w:rPr>
          <w:rFonts w:ascii="Arial" w:eastAsia="Times New Roman" w:hAnsi="Arial" w:cs="Arial"/>
          <w:sz w:val="20"/>
          <w:szCs w:val="20"/>
        </w:rPr>
      </w:pPr>
    </w:p>
    <w:p w:rsidR="00853ACC"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The Committee notes and welcomes the proposed allocation of R9 billion in 2022/23 (R9.4 billion in 2023/24) for the Presidential Employment Interventions for the creation of about 513 905 (514 000 in total) short term jobs in 2022/23. The Committee would like to re-emphasise its appreciation of the negative impact caused by the Covid-19 pandemic, particularly on job los</w:t>
      </w:r>
      <w:r w:rsidR="007F23CD" w:rsidRPr="00C07E78">
        <w:rPr>
          <w:rFonts w:ascii="Arial" w:eastAsia="Times New Roman" w:hAnsi="Arial" w:cs="Arial"/>
          <w:sz w:val="20"/>
          <w:szCs w:val="20"/>
        </w:rPr>
        <w:t>s</w:t>
      </w:r>
      <w:r w:rsidRPr="00C07E78">
        <w:rPr>
          <w:rFonts w:ascii="Arial" w:eastAsia="Times New Roman" w:hAnsi="Arial" w:cs="Arial"/>
          <w:sz w:val="20"/>
          <w:szCs w:val="20"/>
        </w:rPr>
        <w:t>es cause</w:t>
      </w:r>
      <w:r w:rsidR="007F23CD" w:rsidRPr="00C07E78">
        <w:rPr>
          <w:rFonts w:ascii="Arial" w:eastAsia="Times New Roman" w:hAnsi="Arial" w:cs="Arial"/>
          <w:sz w:val="20"/>
          <w:szCs w:val="20"/>
        </w:rPr>
        <w:t>d</w:t>
      </w:r>
      <w:r w:rsidRPr="00C07E78">
        <w:rPr>
          <w:rFonts w:ascii="Arial" w:eastAsia="Times New Roman" w:hAnsi="Arial" w:cs="Arial"/>
          <w:sz w:val="20"/>
          <w:szCs w:val="20"/>
        </w:rPr>
        <w:t xml:space="preserve"> by slow economic </w:t>
      </w:r>
      <w:r w:rsidR="00C1308A" w:rsidRPr="00C07E78">
        <w:rPr>
          <w:rFonts w:ascii="Arial" w:eastAsia="Times New Roman" w:hAnsi="Arial" w:cs="Arial"/>
          <w:sz w:val="20"/>
          <w:szCs w:val="20"/>
        </w:rPr>
        <w:t xml:space="preserve">activities </w:t>
      </w:r>
      <w:r w:rsidRPr="00C07E78">
        <w:rPr>
          <w:rFonts w:ascii="Arial" w:eastAsia="Times New Roman" w:hAnsi="Arial" w:cs="Arial"/>
          <w:sz w:val="20"/>
          <w:szCs w:val="20"/>
        </w:rPr>
        <w:t>and its associated lockdowns. The Committee supports th</w:t>
      </w:r>
      <w:r w:rsidR="007F23CD" w:rsidRPr="00C07E78">
        <w:rPr>
          <w:rFonts w:ascii="Arial" w:eastAsia="Times New Roman" w:hAnsi="Arial" w:cs="Arial"/>
          <w:sz w:val="20"/>
          <w:szCs w:val="20"/>
        </w:rPr>
        <w:t>e</w:t>
      </w:r>
      <w:r w:rsidRPr="00C07E78">
        <w:rPr>
          <w:rFonts w:ascii="Arial" w:eastAsia="Times New Roman" w:hAnsi="Arial" w:cs="Arial"/>
          <w:sz w:val="20"/>
          <w:szCs w:val="20"/>
        </w:rPr>
        <w:t xml:space="preserve"> Presidential Employment Initiatives to create jobs</w:t>
      </w:r>
      <w:r w:rsidR="007F23CD" w:rsidRPr="00C07E78">
        <w:rPr>
          <w:rFonts w:ascii="Arial" w:eastAsia="Times New Roman" w:hAnsi="Arial" w:cs="Arial"/>
          <w:sz w:val="20"/>
          <w:szCs w:val="20"/>
        </w:rPr>
        <w:t>.</w:t>
      </w:r>
      <w:r w:rsidRPr="00C07E78">
        <w:rPr>
          <w:rFonts w:ascii="Arial" w:eastAsia="Times New Roman" w:hAnsi="Arial" w:cs="Arial"/>
          <w:sz w:val="20"/>
          <w:szCs w:val="20"/>
        </w:rPr>
        <w:t xml:space="preserve"> However, the Committee would also like to re-emphasise on the need to ensure that the utilisation of these resources is done in a manner that demonstrate</w:t>
      </w:r>
      <w:r w:rsidR="007F23CD" w:rsidRPr="00C07E78">
        <w:rPr>
          <w:rFonts w:ascii="Arial" w:eastAsia="Times New Roman" w:hAnsi="Arial" w:cs="Arial"/>
          <w:sz w:val="20"/>
          <w:szCs w:val="20"/>
        </w:rPr>
        <w:t xml:space="preserve">s </w:t>
      </w:r>
      <w:r w:rsidRPr="00C07E78">
        <w:rPr>
          <w:rFonts w:ascii="Arial" w:eastAsia="Times New Roman" w:hAnsi="Arial" w:cs="Arial"/>
          <w:sz w:val="20"/>
          <w:szCs w:val="20"/>
        </w:rPr>
        <w:t>the understanding of the</w:t>
      </w:r>
      <w:r w:rsidR="00A3275E" w:rsidRPr="00C07E78">
        <w:rPr>
          <w:rFonts w:ascii="Arial" w:eastAsia="Times New Roman" w:hAnsi="Arial" w:cs="Arial"/>
          <w:sz w:val="20"/>
          <w:szCs w:val="20"/>
        </w:rPr>
        <w:t xml:space="preserve"> scarcity of these resources</w:t>
      </w:r>
      <w:r w:rsidR="007F23CD" w:rsidRPr="00C07E78">
        <w:rPr>
          <w:rFonts w:ascii="Arial" w:eastAsia="Times New Roman" w:hAnsi="Arial" w:cs="Arial"/>
          <w:sz w:val="20"/>
          <w:szCs w:val="20"/>
        </w:rPr>
        <w:t>.</w:t>
      </w:r>
    </w:p>
    <w:p w:rsidR="00853ACC" w:rsidRPr="00C07E78" w:rsidRDefault="00853ACC" w:rsidP="00C07E78">
      <w:pPr>
        <w:pStyle w:val="ListParagraph"/>
        <w:spacing w:after="0" w:line="240" w:lineRule="auto"/>
        <w:ind w:left="709"/>
        <w:rPr>
          <w:rFonts w:ascii="Arial" w:eastAsia="Times New Roman" w:hAnsi="Arial" w:cs="Arial"/>
          <w:sz w:val="20"/>
          <w:szCs w:val="20"/>
        </w:rPr>
      </w:pPr>
    </w:p>
    <w:p w:rsidR="00853ACC"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The Committee notes and welcomes the proposed allocation of R44 billion in 2022/23 to extend the special Covid-19 social relief of distress grant until March 2023. The Committee acknowledges the negative impact caused by Covid-19 and its associated lockdowns, particularly on the livelihoods of many South Africans. The Committee is encouraged by this tempora</w:t>
      </w:r>
      <w:r w:rsidR="007F23CD" w:rsidRPr="00C07E78">
        <w:rPr>
          <w:rFonts w:ascii="Arial" w:eastAsia="Times New Roman" w:hAnsi="Arial" w:cs="Arial"/>
          <w:sz w:val="20"/>
          <w:szCs w:val="20"/>
        </w:rPr>
        <w:t>ry</w:t>
      </w:r>
      <w:r w:rsidRPr="00C07E78">
        <w:rPr>
          <w:rFonts w:ascii="Arial" w:eastAsia="Times New Roman" w:hAnsi="Arial" w:cs="Arial"/>
          <w:sz w:val="20"/>
          <w:szCs w:val="20"/>
        </w:rPr>
        <w:t xml:space="preserve"> intervention from government, designed to cushion the poor and the most vulnerable households against </w:t>
      </w:r>
      <w:r w:rsidR="007F23CD" w:rsidRPr="00C07E78">
        <w:rPr>
          <w:rFonts w:ascii="Arial" w:eastAsia="Times New Roman" w:hAnsi="Arial" w:cs="Arial"/>
          <w:sz w:val="20"/>
          <w:szCs w:val="20"/>
        </w:rPr>
        <w:t>its</w:t>
      </w:r>
      <w:r w:rsidRPr="00C07E78">
        <w:rPr>
          <w:rFonts w:ascii="Arial" w:eastAsia="Times New Roman" w:hAnsi="Arial" w:cs="Arial"/>
          <w:sz w:val="20"/>
          <w:szCs w:val="20"/>
        </w:rPr>
        <w:t xml:space="preserve"> severe negative impact</w:t>
      </w:r>
      <w:r w:rsidR="007F23CD" w:rsidRPr="00C07E78">
        <w:rPr>
          <w:rFonts w:ascii="Arial" w:eastAsia="Times New Roman" w:hAnsi="Arial" w:cs="Arial"/>
          <w:sz w:val="20"/>
          <w:szCs w:val="20"/>
        </w:rPr>
        <w:t>.</w:t>
      </w:r>
      <w:r w:rsidRPr="00C07E78">
        <w:rPr>
          <w:rFonts w:ascii="Arial" w:eastAsia="Times New Roman" w:hAnsi="Arial" w:cs="Arial"/>
          <w:sz w:val="20"/>
          <w:szCs w:val="20"/>
        </w:rPr>
        <w:t xml:space="preserve"> However, in consideration of the high levels of unemployment, poverty and inequality experienced by many South Africans, the Committee would like to encourage government to fast-tract its engagement with all stakeholders on the feasibility of introducing the basic income grant and its associated funding methodologies. </w:t>
      </w:r>
    </w:p>
    <w:p w:rsidR="00853ACC" w:rsidRPr="00C07E78" w:rsidRDefault="00853ACC" w:rsidP="00C07E78">
      <w:pPr>
        <w:pStyle w:val="ListParagraph"/>
        <w:spacing w:after="0" w:line="240" w:lineRule="auto"/>
        <w:ind w:left="709"/>
        <w:rPr>
          <w:rFonts w:ascii="Arial" w:eastAsia="Times New Roman" w:hAnsi="Arial" w:cs="Arial"/>
          <w:sz w:val="20"/>
          <w:szCs w:val="20"/>
        </w:rPr>
      </w:pPr>
    </w:p>
    <w:p w:rsidR="00853ACC"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The Committee notes COSATU’s support of the extension of the R350 special Covid-19 social relief of distress grant. The Committee further note</w:t>
      </w:r>
      <w:r w:rsidR="00FB7F24" w:rsidRPr="00C07E78">
        <w:rPr>
          <w:rFonts w:ascii="Arial" w:eastAsia="Times New Roman" w:hAnsi="Arial" w:cs="Arial"/>
          <w:sz w:val="20"/>
          <w:szCs w:val="20"/>
        </w:rPr>
        <w:t>s COSATU’s proposal that SRD g</w:t>
      </w:r>
      <w:r w:rsidRPr="00C07E78">
        <w:rPr>
          <w:rFonts w:ascii="Arial" w:eastAsia="Times New Roman" w:hAnsi="Arial" w:cs="Arial"/>
          <w:sz w:val="20"/>
          <w:szCs w:val="20"/>
        </w:rPr>
        <w:t xml:space="preserve">rant needs to be extended and linked to skills training programmes to help its recipients find jobs. </w:t>
      </w:r>
    </w:p>
    <w:p w:rsidR="00853ACC" w:rsidRPr="00C07E78" w:rsidRDefault="00853ACC" w:rsidP="00C07E78">
      <w:pPr>
        <w:pStyle w:val="ListParagraph"/>
        <w:spacing w:after="0" w:line="240" w:lineRule="auto"/>
        <w:ind w:left="709"/>
        <w:rPr>
          <w:rFonts w:ascii="Arial" w:eastAsia="Times New Roman" w:hAnsi="Arial" w:cs="Arial"/>
          <w:sz w:val="20"/>
          <w:szCs w:val="20"/>
        </w:rPr>
      </w:pPr>
    </w:p>
    <w:p w:rsidR="002A24CD"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 xml:space="preserve">The Committee notes </w:t>
      </w:r>
      <w:r w:rsidR="00160F22" w:rsidRPr="00C07E78">
        <w:rPr>
          <w:rFonts w:ascii="Arial" w:eastAsia="Times New Roman" w:hAnsi="Arial" w:cs="Arial"/>
          <w:sz w:val="20"/>
          <w:szCs w:val="20"/>
        </w:rPr>
        <w:t>that the</w:t>
      </w:r>
      <w:r w:rsidRPr="00C07E78">
        <w:rPr>
          <w:rFonts w:ascii="Arial" w:eastAsia="Times New Roman" w:hAnsi="Arial" w:cs="Arial"/>
          <w:sz w:val="20"/>
          <w:szCs w:val="20"/>
        </w:rPr>
        <w:t xml:space="preserve"> FFC </w:t>
      </w:r>
      <w:r w:rsidR="00160F22" w:rsidRPr="00C07E78">
        <w:rPr>
          <w:rFonts w:ascii="Arial" w:eastAsia="Times New Roman" w:hAnsi="Arial" w:cs="Arial"/>
          <w:sz w:val="20"/>
          <w:szCs w:val="20"/>
        </w:rPr>
        <w:t>welcomed</w:t>
      </w:r>
      <w:r w:rsidRPr="00C07E78">
        <w:rPr>
          <w:rFonts w:ascii="Arial" w:eastAsia="Times New Roman" w:hAnsi="Arial" w:cs="Arial"/>
          <w:sz w:val="20"/>
          <w:szCs w:val="20"/>
        </w:rPr>
        <w:t xml:space="preserve"> the relief brought about the different social grants to poor and vulnerable households who rely on social security grants especially given the detrimental effects of the past two years. </w:t>
      </w:r>
      <w:r w:rsidR="00160F22" w:rsidRPr="00C07E78">
        <w:rPr>
          <w:rFonts w:ascii="Arial" w:eastAsia="Times New Roman" w:hAnsi="Arial" w:cs="Arial"/>
          <w:sz w:val="20"/>
          <w:szCs w:val="20"/>
        </w:rPr>
        <w:t xml:space="preserve">The Committee further welcomes the submission by </w:t>
      </w:r>
      <w:r w:rsidRPr="00C07E78">
        <w:rPr>
          <w:rFonts w:ascii="Arial" w:eastAsia="Times New Roman" w:hAnsi="Arial" w:cs="Arial"/>
          <w:sz w:val="20"/>
          <w:szCs w:val="20"/>
        </w:rPr>
        <w:t xml:space="preserve">the FFC that key consideration should be on the long term viability of any considered replacement </w:t>
      </w:r>
      <w:r w:rsidR="00160F22" w:rsidRPr="00C07E78">
        <w:rPr>
          <w:rFonts w:ascii="Arial" w:eastAsia="Times New Roman" w:hAnsi="Arial" w:cs="Arial"/>
          <w:sz w:val="20"/>
          <w:szCs w:val="20"/>
        </w:rPr>
        <w:t xml:space="preserve">of relief funding </w:t>
      </w:r>
      <w:r w:rsidRPr="00C07E78">
        <w:rPr>
          <w:rFonts w:ascii="Arial" w:eastAsia="Times New Roman" w:hAnsi="Arial" w:cs="Arial"/>
          <w:sz w:val="20"/>
          <w:szCs w:val="20"/>
        </w:rPr>
        <w:t xml:space="preserve">and its long run effect on the sustainability of the fiscus. </w:t>
      </w:r>
    </w:p>
    <w:p w:rsidR="002A24CD" w:rsidRPr="00C07E78" w:rsidRDefault="002A24CD" w:rsidP="00C07E78">
      <w:pPr>
        <w:pStyle w:val="ListParagraph"/>
        <w:spacing w:after="0" w:line="240" w:lineRule="auto"/>
        <w:rPr>
          <w:rFonts w:ascii="Arial" w:eastAsia="Times New Roman" w:hAnsi="Arial" w:cs="Arial"/>
          <w:sz w:val="20"/>
          <w:szCs w:val="20"/>
        </w:rPr>
      </w:pPr>
    </w:p>
    <w:p w:rsidR="002A24CD"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 xml:space="preserve">The Committee notes and welcomes the proposed allocation of R7.8 billion in 2022/23 (32.6 billion over the MTEF) for financial support </w:t>
      </w:r>
      <w:r w:rsidR="007F23CD" w:rsidRPr="00C07E78">
        <w:rPr>
          <w:rFonts w:ascii="Arial" w:eastAsia="Times New Roman" w:hAnsi="Arial" w:cs="Arial"/>
          <w:sz w:val="20"/>
          <w:szCs w:val="20"/>
        </w:rPr>
        <w:t xml:space="preserve">to </w:t>
      </w:r>
      <w:r w:rsidRPr="00C07E78">
        <w:rPr>
          <w:rFonts w:ascii="Arial" w:eastAsia="Times New Roman" w:hAnsi="Arial" w:cs="Arial"/>
          <w:sz w:val="20"/>
          <w:szCs w:val="20"/>
        </w:rPr>
        <w:t>current bursary holders and first year students under the National Student Financial Aid Scheme. The Committee support</w:t>
      </w:r>
      <w:r w:rsidR="007F23CD" w:rsidRPr="00C07E78">
        <w:rPr>
          <w:rFonts w:ascii="Arial" w:eastAsia="Times New Roman" w:hAnsi="Arial" w:cs="Arial"/>
          <w:sz w:val="20"/>
          <w:szCs w:val="20"/>
        </w:rPr>
        <w:t>s</w:t>
      </w:r>
      <w:r w:rsidRPr="00C07E78">
        <w:rPr>
          <w:rFonts w:ascii="Arial" w:eastAsia="Times New Roman" w:hAnsi="Arial" w:cs="Arial"/>
          <w:sz w:val="20"/>
          <w:szCs w:val="20"/>
        </w:rPr>
        <w:t xml:space="preserve"> this government policy of free fee higher education to deserving students. The Committee views education as an important pillar for any democratic and developing society and is of the view that the long-term benefits of an educated nation are far greater than current associated costs. This view is further supported by the submission of Equal Education who posit</w:t>
      </w:r>
      <w:r w:rsidR="007F23CD" w:rsidRPr="00C07E78">
        <w:rPr>
          <w:rFonts w:ascii="Arial" w:eastAsia="Times New Roman" w:hAnsi="Arial" w:cs="Arial"/>
          <w:sz w:val="20"/>
          <w:szCs w:val="20"/>
        </w:rPr>
        <w:t>s</w:t>
      </w:r>
      <w:r w:rsidRPr="00C07E78">
        <w:rPr>
          <w:rFonts w:ascii="Arial" w:eastAsia="Times New Roman" w:hAnsi="Arial" w:cs="Arial"/>
          <w:sz w:val="20"/>
          <w:szCs w:val="20"/>
        </w:rPr>
        <w:t>, “the single most important investment any country can make is in its people. Education has intrinsic and instrumental value in creating societies that are better able to respond to the challenges of the 21st century.”</w:t>
      </w:r>
    </w:p>
    <w:p w:rsidR="002A24CD" w:rsidRPr="00C07E78" w:rsidRDefault="002A24CD" w:rsidP="00C07E78">
      <w:pPr>
        <w:pStyle w:val="ListParagraph"/>
        <w:spacing w:after="0" w:line="240" w:lineRule="auto"/>
        <w:rPr>
          <w:rFonts w:ascii="Arial" w:eastAsia="Times New Roman" w:hAnsi="Arial" w:cs="Arial"/>
          <w:sz w:val="20"/>
          <w:szCs w:val="20"/>
        </w:rPr>
      </w:pPr>
    </w:p>
    <w:p w:rsidR="002A24CD" w:rsidRPr="00C07E78" w:rsidRDefault="00111453"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The Committee notes</w:t>
      </w:r>
      <w:r w:rsidR="000A3A07" w:rsidRPr="00C07E78">
        <w:rPr>
          <w:rFonts w:ascii="Arial" w:eastAsia="Times New Roman" w:hAnsi="Arial" w:cs="Arial"/>
          <w:sz w:val="20"/>
          <w:szCs w:val="20"/>
        </w:rPr>
        <w:t xml:space="preserve"> the recommendation by Equal Education that National Treasury and the Department of Higher Education and Training should consider developing a cohesive policy that ensures that all learners have access to higher education. The Committee has always held the view that all learners in South Africa should have equal access to education to ensure their proper development and preparing them to be independent adults who are ready for 21</w:t>
      </w:r>
      <w:r w:rsidR="000A3A07" w:rsidRPr="00C07E78">
        <w:rPr>
          <w:rFonts w:ascii="Arial" w:eastAsia="Times New Roman" w:hAnsi="Arial" w:cs="Arial"/>
          <w:sz w:val="20"/>
          <w:szCs w:val="20"/>
          <w:vertAlign w:val="superscript"/>
        </w:rPr>
        <w:t>st</w:t>
      </w:r>
      <w:r w:rsidR="000A3A07" w:rsidRPr="00C07E78">
        <w:rPr>
          <w:rFonts w:ascii="Arial" w:eastAsia="Times New Roman" w:hAnsi="Arial" w:cs="Arial"/>
          <w:sz w:val="20"/>
          <w:szCs w:val="20"/>
        </w:rPr>
        <w:t xml:space="preserve"> century</w:t>
      </w:r>
      <w:r w:rsidR="00592ED4" w:rsidRPr="00C07E78">
        <w:rPr>
          <w:rFonts w:ascii="Arial" w:eastAsia="Times New Roman" w:hAnsi="Arial" w:cs="Arial"/>
          <w:sz w:val="20"/>
          <w:szCs w:val="20"/>
        </w:rPr>
        <w:t>, irrespective of their backgrounds</w:t>
      </w:r>
      <w:r w:rsidR="000A3A07" w:rsidRPr="00C07E78">
        <w:rPr>
          <w:rFonts w:ascii="Arial" w:eastAsia="Times New Roman" w:hAnsi="Arial" w:cs="Arial"/>
          <w:sz w:val="20"/>
          <w:szCs w:val="20"/>
        </w:rPr>
        <w:t xml:space="preserve">. </w:t>
      </w:r>
    </w:p>
    <w:p w:rsidR="002A24CD" w:rsidRPr="00C07E78" w:rsidRDefault="002A24CD" w:rsidP="00C07E78">
      <w:pPr>
        <w:pStyle w:val="ListParagraph"/>
        <w:spacing w:after="0" w:line="240" w:lineRule="auto"/>
        <w:rPr>
          <w:rFonts w:ascii="Arial" w:eastAsia="Times New Roman" w:hAnsi="Arial" w:cs="Arial"/>
          <w:sz w:val="20"/>
          <w:szCs w:val="20"/>
        </w:rPr>
      </w:pPr>
    </w:p>
    <w:p w:rsidR="00160F22" w:rsidRPr="00C07E78" w:rsidRDefault="00160F22" w:rsidP="00C07E78">
      <w:pPr>
        <w:pStyle w:val="ListParagraph"/>
        <w:spacing w:after="0" w:line="240" w:lineRule="auto"/>
        <w:rPr>
          <w:rFonts w:ascii="Arial" w:eastAsia="Times New Roman" w:hAnsi="Arial" w:cs="Arial"/>
          <w:sz w:val="20"/>
          <w:szCs w:val="20"/>
        </w:rPr>
      </w:pPr>
    </w:p>
    <w:p w:rsidR="002A24CD"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The Committee notes with concerns the submission by Equal Education that expenditure issues i</w:t>
      </w:r>
      <w:r w:rsidR="00592ED4" w:rsidRPr="00C07E78">
        <w:rPr>
          <w:rFonts w:ascii="Arial" w:eastAsia="Times New Roman" w:hAnsi="Arial" w:cs="Arial"/>
          <w:sz w:val="20"/>
          <w:szCs w:val="20"/>
        </w:rPr>
        <w:t>n the basic education sector</w:t>
      </w:r>
      <w:r w:rsidRPr="00C07E78">
        <w:rPr>
          <w:rFonts w:ascii="Arial" w:eastAsia="Times New Roman" w:hAnsi="Arial" w:cs="Arial"/>
          <w:sz w:val="20"/>
          <w:szCs w:val="20"/>
        </w:rPr>
        <w:t xml:space="preserve"> fundamentally undermine government's functionality, submitting that since 2012/13 at least R2.7 </w:t>
      </w:r>
      <w:r w:rsidR="00160F22" w:rsidRPr="00C07E78">
        <w:rPr>
          <w:rFonts w:ascii="Arial" w:eastAsia="Times New Roman" w:hAnsi="Arial" w:cs="Arial"/>
          <w:sz w:val="20"/>
          <w:szCs w:val="20"/>
        </w:rPr>
        <w:t>b</w:t>
      </w:r>
      <w:r w:rsidRPr="00C07E78">
        <w:rPr>
          <w:rFonts w:ascii="Arial" w:eastAsia="Times New Roman" w:hAnsi="Arial" w:cs="Arial"/>
          <w:sz w:val="20"/>
          <w:szCs w:val="20"/>
        </w:rPr>
        <w:t>illion ha</w:t>
      </w:r>
      <w:r w:rsidR="00592ED4" w:rsidRPr="00C07E78">
        <w:rPr>
          <w:rFonts w:ascii="Arial" w:eastAsia="Times New Roman" w:hAnsi="Arial" w:cs="Arial"/>
          <w:sz w:val="20"/>
          <w:szCs w:val="20"/>
        </w:rPr>
        <w:t xml:space="preserve">s been irregularly spent </w:t>
      </w:r>
      <w:r w:rsidR="00160F22" w:rsidRPr="00C07E78">
        <w:rPr>
          <w:rFonts w:ascii="Arial" w:eastAsia="Times New Roman" w:hAnsi="Arial" w:cs="Arial"/>
          <w:sz w:val="20"/>
          <w:szCs w:val="20"/>
        </w:rPr>
        <w:t>under</w:t>
      </w:r>
      <w:r w:rsidRPr="00C07E78">
        <w:rPr>
          <w:rFonts w:ascii="Arial" w:eastAsia="Times New Roman" w:hAnsi="Arial" w:cs="Arial"/>
          <w:sz w:val="20"/>
          <w:szCs w:val="20"/>
        </w:rPr>
        <w:t xml:space="preserve"> the </w:t>
      </w:r>
      <w:r w:rsidR="00160F22" w:rsidRPr="00C07E78">
        <w:rPr>
          <w:rFonts w:ascii="Arial" w:eastAsia="Times New Roman" w:hAnsi="Arial" w:cs="Arial"/>
          <w:sz w:val="20"/>
          <w:szCs w:val="20"/>
        </w:rPr>
        <w:t xml:space="preserve">ASIDI programme </w:t>
      </w:r>
      <w:r w:rsidRPr="00C07E78">
        <w:rPr>
          <w:rFonts w:ascii="Arial" w:eastAsia="Times New Roman" w:hAnsi="Arial" w:cs="Arial"/>
          <w:sz w:val="20"/>
          <w:szCs w:val="20"/>
        </w:rPr>
        <w:t xml:space="preserve">while between 2011 and 2019, 30 percent of ASIDI funding was not even spent. The Committee </w:t>
      </w:r>
      <w:r w:rsidR="00160F22" w:rsidRPr="00C07E78">
        <w:rPr>
          <w:rFonts w:ascii="Arial" w:eastAsia="Times New Roman" w:hAnsi="Arial" w:cs="Arial"/>
          <w:sz w:val="20"/>
          <w:szCs w:val="20"/>
        </w:rPr>
        <w:t>holds</w:t>
      </w:r>
      <w:r w:rsidRPr="00C07E78">
        <w:rPr>
          <w:rFonts w:ascii="Arial" w:eastAsia="Times New Roman" w:hAnsi="Arial" w:cs="Arial"/>
          <w:sz w:val="20"/>
          <w:szCs w:val="20"/>
        </w:rPr>
        <w:t xml:space="preserve"> the view that even if these infrastructure projects were completed and delivered, any violation of public finance laws and regulation should not be condoned</w:t>
      </w:r>
      <w:r w:rsidR="00160F22" w:rsidRPr="00C07E78">
        <w:rPr>
          <w:rFonts w:ascii="Arial" w:eastAsia="Times New Roman" w:hAnsi="Arial" w:cs="Arial"/>
          <w:sz w:val="20"/>
          <w:szCs w:val="20"/>
        </w:rPr>
        <w:t xml:space="preserve">. Furthermore, </w:t>
      </w:r>
      <w:r w:rsidR="00592ED4" w:rsidRPr="00C07E78">
        <w:rPr>
          <w:rFonts w:ascii="Arial" w:eastAsia="Times New Roman" w:hAnsi="Arial" w:cs="Arial"/>
          <w:sz w:val="20"/>
          <w:szCs w:val="20"/>
        </w:rPr>
        <w:t>in instances where the Auditor General of South Africa report</w:t>
      </w:r>
      <w:r w:rsidR="007F23CD" w:rsidRPr="00C07E78">
        <w:rPr>
          <w:rFonts w:ascii="Arial" w:eastAsia="Times New Roman" w:hAnsi="Arial" w:cs="Arial"/>
          <w:sz w:val="20"/>
          <w:szCs w:val="20"/>
        </w:rPr>
        <w:t>s</w:t>
      </w:r>
      <w:r w:rsidR="00592ED4" w:rsidRPr="00C07E78">
        <w:rPr>
          <w:rFonts w:ascii="Arial" w:eastAsia="Times New Roman" w:hAnsi="Arial" w:cs="Arial"/>
          <w:sz w:val="20"/>
          <w:szCs w:val="20"/>
        </w:rPr>
        <w:t xml:space="preserve"> such transgression, actions and consequence management should be applied</w:t>
      </w:r>
      <w:r w:rsidRPr="00C07E78">
        <w:rPr>
          <w:rFonts w:ascii="Arial" w:eastAsia="Times New Roman" w:hAnsi="Arial" w:cs="Arial"/>
          <w:sz w:val="20"/>
          <w:szCs w:val="20"/>
        </w:rPr>
        <w:t xml:space="preserve">. </w:t>
      </w:r>
    </w:p>
    <w:p w:rsidR="002A24CD" w:rsidRPr="00C07E78" w:rsidRDefault="002A24CD" w:rsidP="00C07E78">
      <w:pPr>
        <w:pStyle w:val="ListParagraph"/>
        <w:spacing w:after="0" w:line="240" w:lineRule="auto"/>
        <w:ind w:left="709"/>
        <w:rPr>
          <w:rFonts w:ascii="Arial" w:eastAsia="Times New Roman" w:hAnsi="Arial" w:cs="Arial"/>
          <w:sz w:val="20"/>
          <w:szCs w:val="20"/>
        </w:rPr>
      </w:pPr>
    </w:p>
    <w:p w:rsidR="002A24CD"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 xml:space="preserve">The Committee notes with concerns the submission by Equal Education that while </w:t>
      </w:r>
      <w:r w:rsidR="00160F22" w:rsidRPr="00C07E78">
        <w:rPr>
          <w:rFonts w:ascii="Arial" w:eastAsia="Times New Roman" w:hAnsi="Arial" w:cs="Arial"/>
          <w:sz w:val="20"/>
          <w:szCs w:val="20"/>
        </w:rPr>
        <w:t>NSFAS</w:t>
      </w:r>
      <w:r w:rsidRPr="00C07E78">
        <w:rPr>
          <w:rFonts w:ascii="Arial" w:eastAsia="Times New Roman" w:hAnsi="Arial" w:cs="Arial"/>
          <w:sz w:val="20"/>
          <w:szCs w:val="20"/>
        </w:rPr>
        <w:t xml:space="preserve"> </w:t>
      </w:r>
      <w:r w:rsidR="00111453" w:rsidRPr="00C07E78">
        <w:rPr>
          <w:rFonts w:ascii="Arial" w:eastAsia="Times New Roman" w:hAnsi="Arial" w:cs="Arial"/>
          <w:sz w:val="20"/>
          <w:szCs w:val="20"/>
        </w:rPr>
        <w:t>is</w:t>
      </w:r>
      <w:r w:rsidRPr="00C07E78">
        <w:rPr>
          <w:rFonts w:ascii="Arial" w:eastAsia="Times New Roman" w:hAnsi="Arial" w:cs="Arial"/>
          <w:sz w:val="20"/>
          <w:szCs w:val="20"/>
        </w:rPr>
        <w:t xml:space="preserve"> the appropriate channel to ensure that students from poor and working class households access higher education institutions, however the scheme has been dysfunctional. The Committee is concerned by the report that there were </w:t>
      </w:r>
      <w:r w:rsidR="007F23CD" w:rsidRPr="00C07E78">
        <w:rPr>
          <w:rFonts w:ascii="Arial" w:eastAsia="Times New Roman" w:hAnsi="Arial" w:cs="Arial"/>
          <w:sz w:val="20"/>
          <w:szCs w:val="20"/>
        </w:rPr>
        <w:t>u</w:t>
      </w:r>
      <w:r w:rsidRPr="00C07E78">
        <w:rPr>
          <w:rFonts w:ascii="Arial" w:eastAsia="Times New Roman" w:hAnsi="Arial" w:cs="Arial"/>
          <w:sz w:val="20"/>
          <w:szCs w:val="20"/>
        </w:rPr>
        <w:t xml:space="preserve">niversities who were still owed their NSFAS funding. The Committee is of the view that NSFAS funding should be paid immediately to allow universities to both cover their costs and for the well-functioning of these academic institutions. </w:t>
      </w:r>
    </w:p>
    <w:p w:rsidR="002A24CD" w:rsidRPr="00C07E78" w:rsidRDefault="002A24CD" w:rsidP="00C07E78">
      <w:pPr>
        <w:pStyle w:val="ListParagraph"/>
        <w:spacing w:after="0" w:line="240" w:lineRule="auto"/>
        <w:ind w:left="709"/>
        <w:rPr>
          <w:rFonts w:ascii="Arial" w:eastAsia="Times New Roman" w:hAnsi="Arial" w:cs="Arial"/>
          <w:sz w:val="20"/>
          <w:szCs w:val="20"/>
        </w:rPr>
      </w:pPr>
    </w:p>
    <w:p w:rsidR="002A24CD" w:rsidRPr="00C07E78" w:rsidRDefault="00111453"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The Committee notes</w:t>
      </w:r>
      <w:r w:rsidR="000A3A07" w:rsidRPr="00C07E78">
        <w:rPr>
          <w:rFonts w:ascii="Arial" w:eastAsia="Times New Roman" w:hAnsi="Arial" w:cs="Arial"/>
          <w:sz w:val="20"/>
          <w:szCs w:val="20"/>
        </w:rPr>
        <w:t xml:space="preserve"> the recommendation by the FFC that government should be mindful of the urgency of ensuring that the processes related to the introduction of the new higher education funding model unfold swiftly and </w:t>
      </w:r>
      <w:r w:rsidR="007F23CD" w:rsidRPr="00C07E78">
        <w:rPr>
          <w:rFonts w:ascii="Arial" w:eastAsia="Times New Roman" w:hAnsi="Arial" w:cs="Arial"/>
          <w:sz w:val="20"/>
          <w:szCs w:val="20"/>
        </w:rPr>
        <w:t>is</w:t>
      </w:r>
      <w:r w:rsidR="000A3A07" w:rsidRPr="00C07E78">
        <w:rPr>
          <w:rFonts w:ascii="Arial" w:eastAsia="Times New Roman" w:hAnsi="Arial" w:cs="Arial"/>
          <w:sz w:val="20"/>
          <w:szCs w:val="20"/>
        </w:rPr>
        <w:t xml:space="preserve"> concluded in time for introduction in 2023. </w:t>
      </w:r>
    </w:p>
    <w:p w:rsidR="002A24CD" w:rsidRPr="00C07E78" w:rsidRDefault="002A24CD" w:rsidP="00C07E78">
      <w:pPr>
        <w:pStyle w:val="ListParagraph"/>
        <w:spacing w:after="0" w:line="240" w:lineRule="auto"/>
        <w:ind w:left="709"/>
        <w:rPr>
          <w:rFonts w:ascii="Arial" w:eastAsia="Times New Roman" w:hAnsi="Arial" w:cs="Arial"/>
          <w:sz w:val="20"/>
          <w:szCs w:val="20"/>
        </w:rPr>
      </w:pPr>
    </w:p>
    <w:p w:rsidR="002A24CD"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 xml:space="preserve">The Committee notes and welcomes the proposed allocation of R9 billion in 2022/23 (R24.6 billion over the MTEF) to address teacher shortages in schools. The Committee views this as an important step in addressing both the shortages of teachers in schools, as well as achieving the correct balance in the teacher learner required ratio. The Committee </w:t>
      </w:r>
      <w:r w:rsidR="007F23CD" w:rsidRPr="00C07E78">
        <w:rPr>
          <w:rFonts w:ascii="Arial" w:eastAsia="Times New Roman" w:hAnsi="Arial" w:cs="Arial"/>
          <w:sz w:val="20"/>
          <w:szCs w:val="20"/>
        </w:rPr>
        <w:t>holds a</w:t>
      </w:r>
      <w:r w:rsidRPr="00C07E78">
        <w:rPr>
          <w:rFonts w:ascii="Arial" w:eastAsia="Times New Roman" w:hAnsi="Arial" w:cs="Arial"/>
          <w:sz w:val="20"/>
          <w:szCs w:val="20"/>
        </w:rPr>
        <w:t xml:space="preserve"> view that the shortage of teachers in schools needs to be addressed urgently if the quality of education and education outcomes are to be improved. </w:t>
      </w:r>
    </w:p>
    <w:p w:rsidR="002A24CD" w:rsidRPr="00C07E78" w:rsidRDefault="002A24CD" w:rsidP="00C07E78">
      <w:pPr>
        <w:pStyle w:val="ListParagraph"/>
        <w:spacing w:after="0" w:line="240" w:lineRule="auto"/>
        <w:ind w:left="709"/>
        <w:rPr>
          <w:rFonts w:ascii="Arial" w:eastAsia="Times New Roman" w:hAnsi="Arial" w:cs="Arial"/>
          <w:sz w:val="20"/>
          <w:szCs w:val="20"/>
        </w:rPr>
      </w:pPr>
    </w:p>
    <w:p w:rsidR="002A24CD"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The Committee notes and welcomes the proposed allocation of R4.2 billion in 2022/23 (R28.9 billion</w:t>
      </w:r>
      <w:r w:rsidR="00160F22" w:rsidRPr="00C07E78">
        <w:rPr>
          <w:rFonts w:ascii="Arial" w:eastAsia="Times New Roman" w:hAnsi="Arial" w:cs="Arial"/>
          <w:sz w:val="20"/>
          <w:szCs w:val="20"/>
        </w:rPr>
        <w:t xml:space="preserve"> over the MTEF</w:t>
      </w:r>
      <w:r w:rsidRPr="00C07E78">
        <w:rPr>
          <w:rFonts w:ascii="Arial" w:eastAsia="Times New Roman" w:hAnsi="Arial" w:cs="Arial"/>
          <w:sz w:val="20"/>
          <w:szCs w:val="20"/>
        </w:rPr>
        <w:t xml:space="preserve">) to the Department of Cooperative Governance for the local government equitable share to assist municipalities to continue providing services as water, sanitation, electricity, refuse removal and other basic services. As pointed out in the submission by the FFC, these services are important for both social and economic development. </w:t>
      </w:r>
    </w:p>
    <w:p w:rsidR="002A24CD" w:rsidRPr="00C07E78" w:rsidRDefault="002A24CD" w:rsidP="00C07E78">
      <w:pPr>
        <w:pStyle w:val="ListParagraph"/>
        <w:spacing w:after="0" w:line="240" w:lineRule="auto"/>
        <w:ind w:left="709"/>
        <w:rPr>
          <w:rFonts w:ascii="Arial" w:eastAsia="Times New Roman" w:hAnsi="Arial" w:cs="Arial"/>
          <w:sz w:val="20"/>
          <w:szCs w:val="20"/>
        </w:rPr>
      </w:pPr>
    </w:p>
    <w:p w:rsidR="00EA2D6B" w:rsidRPr="00C07E78" w:rsidRDefault="00E51210"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The Committee notes with concerns the comment by PBO that suggests that the increase in local government funding through the Department of Cooperative Governance does not mean the needs of the indigent household</w:t>
      </w:r>
      <w:r w:rsidR="007F23CD" w:rsidRPr="00C07E78">
        <w:rPr>
          <w:rFonts w:ascii="Arial" w:eastAsia="Times New Roman" w:hAnsi="Arial" w:cs="Arial"/>
          <w:sz w:val="20"/>
          <w:szCs w:val="20"/>
        </w:rPr>
        <w:t>s</w:t>
      </w:r>
      <w:r w:rsidRPr="00C07E78">
        <w:rPr>
          <w:rFonts w:ascii="Arial" w:eastAsia="Times New Roman" w:hAnsi="Arial" w:cs="Arial"/>
          <w:sz w:val="20"/>
          <w:szCs w:val="20"/>
        </w:rPr>
        <w:t xml:space="preserve"> and the poor will be me</w:t>
      </w:r>
      <w:r w:rsidR="007F23CD" w:rsidRPr="00C07E78">
        <w:rPr>
          <w:rFonts w:ascii="Arial" w:eastAsia="Times New Roman" w:hAnsi="Arial" w:cs="Arial"/>
          <w:sz w:val="20"/>
          <w:szCs w:val="20"/>
        </w:rPr>
        <w:t>t</w:t>
      </w:r>
      <w:r w:rsidRPr="00C07E78">
        <w:rPr>
          <w:rFonts w:ascii="Arial" w:eastAsia="Times New Roman" w:hAnsi="Arial" w:cs="Arial"/>
          <w:sz w:val="20"/>
          <w:szCs w:val="20"/>
        </w:rPr>
        <w:t xml:space="preserve"> if the system of financial and operational challenges </w:t>
      </w:r>
      <w:r w:rsidR="007F23CD" w:rsidRPr="00C07E78">
        <w:rPr>
          <w:rFonts w:ascii="Arial" w:eastAsia="Times New Roman" w:hAnsi="Arial" w:cs="Arial"/>
          <w:sz w:val="20"/>
          <w:szCs w:val="20"/>
        </w:rPr>
        <w:t xml:space="preserve">is </w:t>
      </w:r>
      <w:r w:rsidRPr="00C07E78">
        <w:rPr>
          <w:rFonts w:ascii="Arial" w:eastAsia="Times New Roman" w:hAnsi="Arial" w:cs="Arial"/>
          <w:sz w:val="20"/>
          <w:szCs w:val="20"/>
        </w:rPr>
        <w:t xml:space="preserve">not addressed. The Committee has on numerous occasions engaged the Department of Cooperative Governance and the South African Local Government Association (SALGA) in trying to understand both the financial and operational challenges faced by municipalities, in order to try and find solutions </w:t>
      </w:r>
      <w:r w:rsidR="007F23CD" w:rsidRPr="00C07E78">
        <w:rPr>
          <w:rFonts w:ascii="Arial" w:eastAsia="Times New Roman" w:hAnsi="Arial" w:cs="Arial"/>
          <w:sz w:val="20"/>
          <w:szCs w:val="20"/>
        </w:rPr>
        <w:t>to</w:t>
      </w:r>
      <w:r w:rsidRPr="00C07E78">
        <w:rPr>
          <w:rFonts w:ascii="Arial" w:eastAsia="Times New Roman" w:hAnsi="Arial" w:cs="Arial"/>
          <w:sz w:val="20"/>
          <w:szCs w:val="20"/>
        </w:rPr>
        <w:t xml:space="preserve"> these challenges. The Committee is concerned about constantly recommending to the National Assembly the appropriation of funds to local government when those funds are not helpful to indigent and poor households. </w:t>
      </w:r>
    </w:p>
    <w:p w:rsidR="00EA2D6B" w:rsidRPr="00C07E78" w:rsidRDefault="00EA2D6B" w:rsidP="00C07E78">
      <w:pPr>
        <w:pStyle w:val="ListParagraph"/>
        <w:spacing w:after="0" w:line="240" w:lineRule="auto"/>
        <w:ind w:left="709"/>
        <w:rPr>
          <w:rFonts w:ascii="Arial" w:eastAsia="Times New Roman" w:hAnsi="Arial" w:cs="Arial"/>
          <w:sz w:val="20"/>
          <w:szCs w:val="20"/>
        </w:rPr>
      </w:pPr>
    </w:p>
    <w:p w:rsidR="00EA2D6B"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 xml:space="preserve">The Committee notes with concerns the submission by SAICA that late payment to small businesses by government impacts their survival as they are heavily dependent on their cash flows. This further negatively </w:t>
      </w:r>
      <w:r w:rsidR="00C8115A" w:rsidRPr="00C07E78">
        <w:rPr>
          <w:rFonts w:ascii="Arial" w:eastAsia="Times New Roman" w:hAnsi="Arial" w:cs="Arial"/>
          <w:sz w:val="20"/>
          <w:szCs w:val="20"/>
        </w:rPr>
        <w:t>affects</w:t>
      </w:r>
      <w:r w:rsidRPr="00C07E78">
        <w:rPr>
          <w:rFonts w:ascii="Arial" w:eastAsia="Times New Roman" w:hAnsi="Arial" w:cs="Arial"/>
          <w:sz w:val="20"/>
          <w:szCs w:val="20"/>
        </w:rPr>
        <w:t xml:space="preserve"> government’s aim of creating jobs and growing the economy. The Committee </w:t>
      </w:r>
      <w:r w:rsidR="004B3657" w:rsidRPr="00C07E78">
        <w:rPr>
          <w:rFonts w:ascii="Arial" w:eastAsia="Times New Roman" w:hAnsi="Arial" w:cs="Arial"/>
          <w:sz w:val="20"/>
          <w:szCs w:val="20"/>
        </w:rPr>
        <w:t>holds</w:t>
      </w:r>
      <w:r w:rsidRPr="00C07E78">
        <w:rPr>
          <w:rFonts w:ascii="Arial" w:eastAsia="Times New Roman" w:hAnsi="Arial" w:cs="Arial"/>
          <w:sz w:val="20"/>
          <w:szCs w:val="20"/>
        </w:rPr>
        <w:t xml:space="preserve"> the view that all government institutions (both national and provincial) sh</w:t>
      </w:r>
      <w:r w:rsidR="00C8115A" w:rsidRPr="00C07E78">
        <w:rPr>
          <w:rFonts w:ascii="Arial" w:eastAsia="Times New Roman" w:hAnsi="Arial" w:cs="Arial"/>
          <w:sz w:val="20"/>
          <w:szCs w:val="20"/>
        </w:rPr>
        <w:t>ould always pay inv</w:t>
      </w:r>
      <w:r w:rsidR="004B3657" w:rsidRPr="00C07E78">
        <w:rPr>
          <w:rFonts w:ascii="Arial" w:eastAsia="Times New Roman" w:hAnsi="Arial" w:cs="Arial"/>
          <w:sz w:val="20"/>
          <w:szCs w:val="20"/>
        </w:rPr>
        <w:t>oices</w:t>
      </w:r>
      <w:r w:rsidR="00C8115A" w:rsidRPr="00C07E78">
        <w:rPr>
          <w:rFonts w:ascii="Arial" w:eastAsia="Times New Roman" w:hAnsi="Arial" w:cs="Arial"/>
          <w:sz w:val="20"/>
          <w:szCs w:val="20"/>
        </w:rPr>
        <w:t xml:space="preserve"> within</w:t>
      </w:r>
      <w:r w:rsidRPr="00C07E78">
        <w:rPr>
          <w:rFonts w:ascii="Arial" w:eastAsia="Times New Roman" w:hAnsi="Arial" w:cs="Arial"/>
          <w:sz w:val="20"/>
          <w:szCs w:val="20"/>
        </w:rPr>
        <w:t xml:space="preserve"> 30 days as required by the PFMA and treasury regulations.</w:t>
      </w:r>
      <w:r w:rsidR="00C8115A" w:rsidRPr="00C07E78">
        <w:rPr>
          <w:rFonts w:ascii="Arial" w:eastAsia="Times New Roman" w:hAnsi="Arial" w:cs="Arial"/>
          <w:sz w:val="20"/>
          <w:szCs w:val="20"/>
        </w:rPr>
        <w:t xml:space="preserve"> However, due to the persisten</w:t>
      </w:r>
      <w:r w:rsidR="004B3657" w:rsidRPr="00C07E78">
        <w:rPr>
          <w:rFonts w:ascii="Arial" w:eastAsia="Times New Roman" w:hAnsi="Arial" w:cs="Arial"/>
          <w:sz w:val="20"/>
          <w:szCs w:val="20"/>
        </w:rPr>
        <w:t>t</w:t>
      </w:r>
      <w:r w:rsidR="00C8115A" w:rsidRPr="00C07E78">
        <w:rPr>
          <w:rFonts w:ascii="Arial" w:eastAsia="Times New Roman" w:hAnsi="Arial" w:cs="Arial"/>
          <w:sz w:val="20"/>
          <w:szCs w:val="20"/>
        </w:rPr>
        <w:t xml:space="preserve"> nature of this problem, the Committee </w:t>
      </w:r>
      <w:r w:rsidR="009204BD" w:rsidRPr="00C07E78">
        <w:rPr>
          <w:rFonts w:ascii="Arial" w:eastAsia="Times New Roman" w:hAnsi="Arial" w:cs="Arial"/>
          <w:sz w:val="20"/>
          <w:szCs w:val="20"/>
        </w:rPr>
        <w:t>believes</w:t>
      </w:r>
      <w:r w:rsidR="00C8115A" w:rsidRPr="00C07E78">
        <w:rPr>
          <w:rFonts w:ascii="Arial" w:eastAsia="Times New Roman" w:hAnsi="Arial" w:cs="Arial"/>
          <w:sz w:val="20"/>
          <w:szCs w:val="20"/>
        </w:rPr>
        <w:t xml:space="preserve"> that both the Department of Planning, Monitoring and Evaluation and the Department of Small Business Development should clarify their roles in ensuring that all organs of the State adhere to the payment of invoices within the require</w:t>
      </w:r>
      <w:r w:rsidR="009204BD" w:rsidRPr="00C07E78">
        <w:rPr>
          <w:rFonts w:ascii="Arial" w:eastAsia="Times New Roman" w:hAnsi="Arial" w:cs="Arial"/>
          <w:sz w:val="20"/>
          <w:szCs w:val="20"/>
        </w:rPr>
        <w:t>d</w:t>
      </w:r>
      <w:r w:rsidR="00C8115A" w:rsidRPr="00C07E78">
        <w:rPr>
          <w:rFonts w:ascii="Arial" w:eastAsia="Times New Roman" w:hAnsi="Arial" w:cs="Arial"/>
          <w:sz w:val="20"/>
          <w:szCs w:val="20"/>
        </w:rPr>
        <w:t xml:space="preserve"> timeframes. Furthermore, the Committee </w:t>
      </w:r>
      <w:r w:rsidR="00D00433" w:rsidRPr="00C07E78">
        <w:rPr>
          <w:rFonts w:ascii="Arial" w:eastAsia="Times New Roman" w:hAnsi="Arial" w:cs="Arial"/>
          <w:sz w:val="20"/>
          <w:szCs w:val="20"/>
        </w:rPr>
        <w:t>suggests</w:t>
      </w:r>
      <w:r w:rsidR="00C8115A" w:rsidRPr="00C07E78">
        <w:rPr>
          <w:rFonts w:ascii="Arial" w:eastAsia="Times New Roman" w:hAnsi="Arial" w:cs="Arial"/>
          <w:sz w:val="20"/>
          <w:szCs w:val="20"/>
        </w:rPr>
        <w:t xml:space="preserve"> that in cases where there are disputes on the i</w:t>
      </w:r>
      <w:r w:rsidR="009955AF" w:rsidRPr="00C07E78">
        <w:rPr>
          <w:rFonts w:ascii="Arial" w:eastAsia="Times New Roman" w:hAnsi="Arial" w:cs="Arial"/>
          <w:sz w:val="20"/>
          <w:szCs w:val="20"/>
        </w:rPr>
        <w:t>nvoices, a turnaround timeframe</w:t>
      </w:r>
      <w:r w:rsidR="00C8115A" w:rsidRPr="00C07E78">
        <w:rPr>
          <w:rFonts w:ascii="Arial" w:eastAsia="Times New Roman" w:hAnsi="Arial" w:cs="Arial"/>
          <w:sz w:val="20"/>
          <w:szCs w:val="20"/>
        </w:rPr>
        <w:t xml:space="preserve"> is a necessity. </w:t>
      </w:r>
      <w:r w:rsidRPr="00C07E78">
        <w:rPr>
          <w:rFonts w:ascii="Arial" w:eastAsia="Times New Roman" w:hAnsi="Arial" w:cs="Arial"/>
          <w:sz w:val="20"/>
          <w:szCs w:val="20"/>
        </w:rPr>
        <w:t xml:space="preserve"> </w:t>
      </w:r>
    </w:p>
    <w:p w:rsidR="00EA2D6B" w:rsidRPr="00C07E78" w:rsidRDefault="00EA2D6B" w:rsidP="00C07E78">
      <w:pPr>
        <w:pStyle w:val="ListParagraph"/>
        <w:spacing w:after="0" w:line="240" w:lineRule="auto"/>
        <w:ind w:left="709"/>
        <w:rPr>
          <w:rFonts w:ascii="Arial" w:eastAsia="Times New Roman" w:hAnsi="Arial" w:cs="Arial"/>
          <w:sz w:val="20"/>
          <w:szCs w:val="20"/>
        </w:rPr>
      </w:pPr>
    </w:p>
    <w:p w:rsidR="00EA2D6B"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 xml:space="preserve">The Committee notes that COSATU supports the Presidential Employment Initiative, which according to COSATU has helped 840 000 people find work and gain experience and skills, and the proposed MTEF allocation of R76 billion was also supported. </w:t>
      </w:r>
    </w:p>
    <w:p w:rsidR="00EA2D6B" w:rsidRPr="00C07E78" w:rsidRDefault="00EA2D6B" w:rsidP="00C07E78">
      <w:pPr>
        <w:pStyle w:val="ListParagraph"/>
        <w:spacing w:after="0" w:line="240" w:lineRule="auto"/>
        <w:ind w:left="709"/>
        <w:rPr>
          <w:rFonts w:ascii="Arial" w:eastAsia="Times New Roman" w:hAnsi="Arial" w:cs="Arial"/>
          <w:sz w:val="20"/>
          <w:szCs w:val="20"/>
        </w:rPr>
      </w:pPr>
    </w:p>
    <w:p w:rsidR="00126F44" w:rsidRPr="00C07E78" w:rsidRDefault="003134CA"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lastRenderedPageBreak/>
        <w:t>The Committee notes</w:t>
      </w:r>
      <w:r w:rsidR="000A3A07" w:rsidRPr="00C07E78">
        <w:rPr>
          <w:rFonts w:ascii="Arial" w:eastAsia="Times New Roman" w:hAnsi="Arial" w:cs="Arial"/>
          <w:sz w:val="20"/>
          <w:szCs w:val="20"/>
        </w:rPr>
        <w:t xml:space="preserve"> the submission by Mr Kalikopu who proposes that the Bill should cater for youth in Cape Town. In addition to the youth in Cape Town, the Committee is of the view that the Bill should adequately address the challenges face</w:t>
      </w:r>
      <w:r w:rsidR="00575E7C" w:rsidRPr="00C07E78">
        <w:rPr>
          <w:rFonts w:ascii="Arial" w:eastAsia="Times New Roman" w:hAnsi="Arial" w:cs="Arial"/>
          <w:sz w:val="20"/>
          <w:szCs w:val="20"/>
        </w:rPr>
        <w:t>d</w:t>
      </w:r>
      <w:r w:rsidR="000A3A07" w:rsidRPr="00C07E78">
        <w:rPr>
          <w:rFonts w:ascii="Arial" w:eastAsia="Times New Roman" w:hAnsi="Arial" w:cs="Arial"/>
          <w:sz w:val="20"/>
          <w:szCs w:val="20"/>
        </w:rPr>
        <w:t xml:space="preserve"> by South African youth. Furthermore, the Committee is of the view that the Department of Women, Youth and Persons with Disabiliti</w:t>
      </w:r>
      <w:r w:rsidR="00601478" w:rsidRPr="00C07E78">
        <w:rPr>
          <w:rFonts w:ascii="Arial" w:eastAsia="Times New Roman" w:hAnsi="Arial" w:cs="Arial"/>
          <w:sz w:val="20"/>
          <w:szCs w:val="20"/>
        </w:rPr>
        <w:t xml:space="preserve">es, Department of Social Development, and Department of Employment and Labour </w:t>
      </w:r>
      <w:r w:rsidR="000A3A07" w:rsidRPr="00C07E78">
        <w:rPr>
          <w:rFonts w:ascii="Arial" w:eastAsia="Times New Roman" w:hAnsi="Arial" w:cs="Arial"/>
          <w:sz w:val="20"/>
          <w:szCs w:val="20"/>
        </w:rPr>
        <w:t>should play a pivotal role in ensuring that the challenge</w:t>
      </w:r>
      <w:r w:rsidR="00601478" w:rsidRPr="00C07E78">
        <w:rPr>
          <w:rFonts w:ascii="Arial" w:eastAsia="Times New Roman" w:hAnsi="Arial" w:cs="Arial"/>
          <w:sz w:val="20"/>
          <w:szCs w:val="20"/>
        </w:rPr>
        <w:t>s</w:t>
      </w:r>
      <w:r w:rsidR="000A3A07" w:rsidRPr="00C07E78">
        <w:rPr>
          <w:rFonts w:ascii="Arial" w:eastAsia="Times New Roman" w:hAnsi="Arial" w:cs="Arial"/>
          <w:sz w:val="20"/>
          <w:szCs w:val="20"/>
        </w:rPr>
        <w:t xml:space="preserve"> faced by South African youth are adequately addresse</w:t>
      </w:r>
      <w:r w:rsidR="00575E7C" w:rsidRPr="00C07E78">
        <w:rPr>
          <w:rFonts w:ascii="Arial" w:eastAsia="Times New Roman" w:hAnsi="Arial" w:cs="Arial"/>
          <w:sz w:val="20"/>
          <w:szCs w:val="20"/>
        </w:rPr>
        <w:t>d</w:t>
      </w:r>
      <w:r w:rsidR="000A3A07" w:rsidRPr="00C07E78">
        <w:rPr>
          <w:rFonts w:ascii="Arial" w:eastAsia="Times New Roman" w:hAnsi="Arial" w:cs="Arial"/>
          <w:sz w:val="20"/>
          <w:szCs w:val="20"/>
        </w:rPr>
        <w:t xml:space="preserve">, as suggested by Mr Kalikopu.  </w:t>
      </w:r>
    </w:p>
    <w:p w:rsidR="00EA2D6B" w:rsidRPr="00C07E78" w:rsidRDefault="00EA2D6B" w:rsidP="00C07E78">
      <w:pPr>
        <w:pStyle w:val="ListParagraph"/>
        <w:spacing w:after="0" w:line="240" w:lineRule="auto"/>
        <w:ind w:left="709"/>
        <w:rPr>
          <w:rFonts w:ascii="Arial" w:eastAsia="Times New Roman" w:hAnsi="Arial" w:cs="Arial"/>
          <w:sz w:val="20"/>
          <w:szCs w:val="20"/>
        </w:rPr>
      </w:pPr>
    </w:p>
    <w:p w:rsidR="00EA2D6B" w:rsidRPr="00C07E78" w:rsidRDefault="00FE091C"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The Committee notes and welcomes the report by SAPS</w:t>
      </w:r>
      <w:r w:rsidR="00C529BB" w:rsidRPr="00C07E78">
        <w:rPr>
          <w:rFonts w:ascii="Arial" w:eastAsia="Times New Roman" w:hAnsi="Arial" w:cs="Arial"/>
          <w:sz w:val="20"/>
          <w:szCs w:val="20"/>
        </w:rPr>
        <w:t>’s</w:t>
      </w:r>
      <w:r w:rsidRPr="00C07E78">
        <w:rPr>
          <w:rFonts w:ascii="Arial" w:eastAsia="Times New Roman" w:hAnsi="Arial" w:cs="Arial"/>
          <w:sz w:val="20"/>
          <w:szCs w:val="20"/>
        </w:rPr>
        <w:t xml:space="preserve"> evaluation of the pilot of GBV </w:t>
      </w:r>
      <w:r w:rsidR="00C529BB" w:rsidRPr="00C07E78">
        <w:rPr>
          <w:rFonts w:ascii="Arial" w:eastAsia="Times New Roman" w:hAnsi="Arial" w:cs="Arial"/>
          <w:sz w:val="20"/>
          <w:szCs w:val="20"/>
        </w:rPr>
        <w:t>d</w:t>
      </w:r>
      <w:r w:rsidRPr="00C07E78">
        <w:rPr>
          <w:rFonts w:ascii="Arial" w:eastAsia="Times New Roman" w:hAnsi="Arial" w:cs="Arial"/>
          <w:sz w:val="20"/>
          <w:szCs w:val="20"/>
        </w:rPr>
        <w:t>esks in order to develop guidelines for uniform implementation o</w:t>
      </w:r>
      <w:r w:rsidR="00C529BB" w:rsidRPr="00C07E78">
        <w:rPr>
          <w:rFonts w:ascii="Arial" w:eastAsia="Times New Roman" w:hAnsi="Arial" w:cs="Arial"/>
          <w:sz w:val="20"/>
          <w:szCs w:val="20"/>
        </w:rPr>
        <w:t>f</w:t>
      </w:r>
      <w:r w:rsidRPr="00C07E78">
        <w:rPr>
          <w:rFonts w:ascii="Arial" w:eastAsia="Times New Roman" w:hAnsi="Arial" w:cs="Arial"/>
          <w:sz w:val="20"/>
          <w:szCs w:val="20"/>
        </w:rPr>
        <w:t xml:space="preserve"> GBV cases </w:t>
      </w:r>
      <w:r w:rsidR="00C529BB" w:rsidRPr="00C07E78">
        <w:rPr>
          <w:rFonts w:ascii="Arial" w:eastAsia="Times New Roman" w:hAnsi="Arial" w:cs="Arial"/>
          <w:sz w:val="20"/>
          <w:szCs w:val="20"/>
        </w:rPr>
        <w:t xml:space="preserve">which </w:t>
      </w:r>
      <w:r w:rsidRPr="00C07E78">
        <w:rPr>
          <w:rFonts w:ascii="Arial" w:eastAsia="Times New Roman" w:hAnsi="Arial" w:cs="Arial"/>
          <w:sz w:val="20"/>
          <w:szCs w:val="20"/>
        </w:rPr>
        <w:t>is already underway and will be comp</w:t>
      </w:r>
      <w:r w:rsidR="00FB7F24" w:rsidRPr="00C07E78">
        <w:rPr>
          <w:rFonts w:ascii="Arial" w:eastAsia="Times New Roman" w:hAnsi="Arial" w:cs="Arial"/>
          <w:sz w:val="20"/>
          <w:szCs w:val="20"/>
        </w:rPr>
        <w:t xml:space="preserve">leted in December 2023. However, </w:t>
      </w:r>
      <w:r w:rsidRPr="00C07E78">
        <w:rPr>
          <w:rFonts w:ascii="Arial" w:eastAsia="Times New Roman" w:hAnsi="Arial" w:cs="Arial"/>
          <w:sz w:val="20"/>
          <w:szCs w:val="20"/>
        </w:rPr>
        <w:t xml:space="preserve">the Committee is concerned that delays in finalising these guidelines pose a serious threat to the lives of women, children and the elderly, considering the high levels of reported gender based violence case in South Africa. </w:t>
      </w:r>
    </w:p>
    <w:p w:rsidR="00EA2D6B" w:rsidRPr="00C07E78" w:rsidRDefault="00EA2D6B" w:rsidP="00C07E78">
      <w:pPr>
        <w:pStyle w:val="ListParagraph"/>
        <w:spacing w:after="0" w:line="240" w:lineRule="auto"/>
        <w:ind w:left="709"/>
        <w:rPr>
          <w:rFonts w:ascii="Arial" w:eastAsia="Times New Roman" w:hAnsi="Arial" w:cs="Arial"/>
          <w:sz w:val="20"/>
          <w:szCs w:val="20"/>
        </w:rPr>
      </w:pPr>
    </w:p>
    <w:p w:rsidR="00EA2D6B" w:rsidRPr="00C07E78" w:rsidRDefault="00FE091C"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The Committee notes the report by SAPS that th</w:t>
      </w:r>
      <w:r w:rsidR="000868BD" w:rsidRPr="00C07E78">
        <w:rPr>
          <w:rFonts w:ascii="Arial" w:eastAsia="Times New Roman" w:hAnsi="Arial" w:cs="Arial"/>
          <w:sz w:val="20"/>
          <w:szCs w:val="20"/>
        </w:rPr>
        <w:t xml:space="preserve">e 2022 proposed allocations is distributed more to provinces with reported high crime rates. The Committee welcomes this submission as it is </w:t>
      </w:r>
      <w:r w:rsidR="00C529BB" w:rsidRPr="00C07E78">
        <w:rPr>
          <w:rFonts w:ascii="Arial" w:eastAsia="Times New Roman" w:hAnsi="Arial" w:cs="Arial"/>
          <w:sz w:val="20"/>
          <w:szCs w:val="20"/>
        </w:rPr>
        <w:t xml:space="preserve">of </w:t>
      </w:r>
      <w:r w:rsidR="000868BD" w:rsidRPr="00C07E78">
        <w:rPr>
          <w:rFonts w:ascii="Arial" w:eastAsia="Times New Roman" w:hAnsi="Arial" w:cs="Arial"/>
          <w:sz w:val="20"/>
          <w:szCs w:val="20"/>
        </w:rPr>
        <w:t xml:space="preserve">the </w:t>
      </w:r>
      <w:r w:rsidR="00C529BB" w:rsidRPr="00C07E78">
        <w:rPr>
          <w:rFonts w:ascii="Arial" w:eastAsia="Times New Roman" w:hAnsi="Arial" w:cs="Arial"/>
          <w:sz w:val="20"/>
          <w:szCs w:val="20"/>
        </w:rPr>
        <w:t>v</w:t>
      </w:r>
      <w:r w:rsidR="000868BD" w:rsidRPr="00C07E78">
        <w:rPr>
          <w:rFonts w:ascii="Arial" w:eastAsia="Times New Roman" w:hAnsi="Arial" w:cs="Arial"/>
          <w:sz w:val="20"/>
          <w:szCs w:val="20"/>
        </w:rPr>
        <w:t xml:space="preserve">iew that policing resources should follow the crime hotspots if South Africa is to make a serious dent </w:t>
      </w:r>
      <w:r w:rsidR="00C529BB" w:rsidRPr="00C07E78">
        <w:rPr>
          <w:rFonts w:ascii="Arial" w:eastAsia="Times New Roman" w:hAnsi="Arial" w:cs="Arial"/>
          <w:sz w:val="20"/>
          <w:szCs w:val="20"/>
        </w:rPr>
        <w:t>to</w:t>
      </w:r>
      <w:r w:rsidR="000868BD" w:rsidRPr="00C07E78">
        <w:rPr>
          <w:rFonts w:ascii="Arial" w:eastAsia="Times New Roman" w:hAnsi="Arial" w:cs="Arial"/>
          <w:sz w:val="20"/>
          <w:szCs w:val="20"/>
        </w:rPr>
        <w:t xml:space="preserve"> both reported and unreported crime. Furthermore, the Committee notes the proposed allocation of R5.8 billion over the METF to the SAPS to rejuvenate and improve policing capacity through the appointment of police trainees and absorbing those who have already concluded their training. However, the Committee would like to remind SAPS to ensure that the recruitment of new training should be corrupt free and should cover all corners of South Africa and demonstrate the understanding and respect of its demographic population.  </w:t>
      </w:r>
    </w:p>
    <w:p w:rsidR="00EA2D6B" w:rsidRPr="00C07E78" w:rsidRDefault="00EA2D6B" w:rsidP="00C07E78">
      <w:pPr>
        <w:pStyle w:val="ListParagraph"/>
        <w:spacing w:after="0" w:line="240" w:lineRule="auto"/>
        <w:ind w:left="709"/>
        <w:rPr>
          <w:rFonts w:ascii="Arial" w:eastAsia="Times New Roman" w:hAnsi="Arial" w:cs="Arial"/>
          <w:sz w:val="20"/>
          <w:szCs w:val="20"/>
        </w:rPr>
      </w:pPr>
    </w:p>
    <w:p w:rsidR="00EA2D6B" w:rsidRPr="00C07E78" w:rsidRDefault="000868BD"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 xml:space="preserve">The Committee notes the submission by the Department of Water and Sanitation that it is targeting to remove the remaining 10 800 bucket toilets in the Northern Cape and Free State by March 2023 through the Bucket Eradication Programme. Notwithstanding all the challenges around the </w:t>
      </w:r>
      <w:r w:rsidR="00C32B77" w:rsidRPr="00C07E78">
        <w:rPr>
          <w:rFonts w:ascii="Arial" w:eastAsia="Times New Roman" w:hAnsi="Arial" w:cs="Arial"/>
          <w:sz w:val="20"/>
          <w:szCs w:val="20"/>
        </w:rPr>
        <w:t xml:space="preserve">eradication of bucket toilets, the Committee is of the view that this programme is long overdue and this continues to expose poor households to unacceptable levels of indignity. </w:t>
      </w:r>
    </w:p>
    <w:p w:rsidR="00EA2D6B" w:rsidRPr="00C07E78" w:rsidRDefault="00EA2D6B" w:rsidP="00C07E78">
      <w:pPr>
        <w:pStyle w:val="ListParagraph"/>
        <w:spacing w:after="0" w:line="240" w:lineRule="auto"/>
        <w:ind w:left="709"/>
        <w:rPr>
          <w:rFonts w:ascii="Arial" w:eastAsia="Times New Roman" w:hAnsi="Arial" w:cs="Arial"/>
          <w:sz w:val="20"/>
          <w:szCs w:val="20"/>
        </w:rPr>
      </w:pPr>
    </w:p>
    <w:p w:rsidR="00EA2D6B" w:rsidRPr="00C07E78" w:rsidRDefault="00EA2B04"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The Committee notes the submission by the Departme</w:t>
      </w:r>
      <w:r w:rsidR="00FB7F24" w:rsidRPr="00C07E78">
        <w:rPr>
          <w:rFonts w:ascii="Arial" w:eastAsia="Times New Roman" w:hAnsi="Arial" w:cs="Arial"/>
          <w:sz w:val="20"/>
          <w:szCs w:val="20"/>
        </w:rPr>
        <w:t xml:space="preserve">nt of Social Development that </w:t>
      </w:r>
      <w:r w:rsidRPr="00C07E78">
        <w:rPr>
          <w:rFonts w:ascii="Arial" w:eastAsia="Times New Roman" w:hAnsi="Arial" w:cs="Arial"/>
          <w:sz w:val="20"/>
          <w:szCs w:val="20"/>
        </w:rPr>
        <w:t xml:space="preserve">the lifting of the national state of disaster necessitated the change in the legal framework for the provision of this grant, as it could no longer be provided under the Disaster Management Act but </w:t>
      </w:r>
      <w:r w:rsidR="00E724F0" w:rsidRPr="00C07E78">
        <w:rPr>
          <w:rFonts w:ascii="Arial" w:eastAsia="Times New Roman" w:hAnsi="Arial" w:cs="Arial"/>
          <w:sz w:val="20"/>
          <w:szCs w:val="20"/>
        </w:rPr>
        <w:t>under the Regulations of</w:t>
      </w:r>
      <w:r w:rsidRPr="00C07E78">
        <w:rPr>
          <w:rFonts w:ascii="Arial" w:eastAsia="Times New Roman" w:hAnsi="Arial" w:cs="Arial"/>
          <w:sz w:val="20"/>
          <w:szCs w:val="20"/>
        </w:rPr>
        <w:t xml:space="preserve"> the Social Assistance Act, 2004.  The amended Regulations were published on 22 April 2022 and the application channels for the SRD grant were opened on 23 April</w:t>
      </w:r>
      <w:r w:rsidR="00C529BB" w:rsidRPr="00C07E78">
        <w:rPr>
          <w:rFonts w:ascii="Arial" w:eastAsia="Times New Roman" w:hAnsi="Arial" w:cs="Arial"/>
          <w:sz w:val="20"/>
          <w:szCs w:val="20"/>
        </w:rPr>
        <w:t xml:space="preserve"> 2022</w:t>
      </w:r>
      <w:r w:rsidRPr="00C07E78">
        <w:rPr>
          <w:rFonts w:ascii="Arial" w:eastAsia="Times New Roman" w:hAnsi="Arial" w:cs="Arial"/>
          <w:sz w:val="20"/>
          <w:szCs w:val="20"/>
        </w:rPr>
        <w:t xml:space="preserve">. However, the Committee </w:t>
      </w:r>
      <w:r w:rsidR="00C529BB" w:rsidRPr="00C07E78">
        <w:rPr>
          <w:rFonts w:ascii="Arial" w:eastAsia="Times New Roman" w:hAnsi="Arial" w:cs="Arial"/>
          <w:sz w:val="20"/>
          <w:szCs w:val="20"/>
        </w:rPr>
        <w:t>holds</w:t>
      </w:r>
      <w:r w:rsidRPr="00C07E78">
        <w:rPr>
          <w:rFonts w:ascii="Arial" w:eastAsia="Times New Roman" w:hAnsi="Arial" w:cs="Arial"/>
          <w:sz w:val="20"/>
          <w:szCs w:val="20"/>
        </w:rPr>
        <w:t xml:space="preserve"> the view that government should ha</w:t>
      </w:r>
      <w:r w:rsidR="008842B4" w:rsidRPr="00C07E78">
        <w:rPr>
          <w:rFonts w:ascii="Arial" w:eastAsia="Times New Roman" w:hAnsi="Arial" w:cs="Arial"/>
          <w:sz w:val="20"/>
          <w:szCs w:val="20"/>
        </w:rPr>
        <w:t>ve had adequate plans in place</w:t>
      </w:r>
      <w:r w:rsidR="00C529BB" w:rsidRPr="00C07E78">
        <w:rPr>
          <w:rFonts w:ascii="Arial" w:eastAsia="Times New Roman" w:hAnsi="Arial" w:cs="Arial"/>
          <w:sz w:val="20"/>
          <w:szCs w:val="20"/>
        </w:rPr>
        <w:t xml:space="preserve"> </w:t>
      </w:r>
      <w:r w:rsidRPr="00C07E78">
        <w:rPr>
          <w:rFonts w:ascii="Arial" w:eastAsia="Times New Roman" w:hAnsi="Arial" w:cs="Arial"/>
          <w:sz w:val="20"/>
          <w:szCs w:val="20"/>
        </w:rPr>
        <w:t xml:space="preserve">before ending the National State of Disaster </w:t>
      </w:r>
      <w:r w:rsidR="008842B4" w:rsidRPr="00C07E78">
        <w:rPr>
          <w:rFonts w:ascii="Arial" w:eastAsia="Times New Roman" w:hAnsi="Arial" w:cs="Arial"/>
          <w:sz w:val="20"/>
          <w:szCs w:val="20"/>
        </w:rPr>
        <w:t>as this would have</w:t>
      </w:r>
      <w:r w:rsidRPr="00C07E78">
        <w:rPr>
          <w:rFonts w:ascii="Arial" w:eastAsia="Times New Roman" w:hAnsi="Arial" w:cs="Arial"/>
          <w:sz w:val="20"/>
          <w:szCs w:val="20"/>
        </w:rPr>
        <w:t xml:space="preserve"> ensure</w:t>
      </w:r>
      <w:r w:rsidR="008842B4" w:rsidRPr="00C07E78">
        <w:rPr>
          <w:rFonts w:ascii="Arial" w:eastAsia="Times New Roman" w:hAnsi="Arial" w:cs="Arial"/>
          <w:sz w:val="20"/>
          <w:szCs w:val="20"/>
        </w:rPr>
        <w:t>d</w:t>
      </w:r>
      <w:r w:rsidRPr="00C07E78">
        <w:rPr>
          <w:rFonts w:ascii="Arial" w:eastAsia="Times New Roman" w:hAnsi="Arial" w:cs="Arial"/>
          <w:sz w:val="20"/>
          <w:szCs w:val="20"/>
        </w:rPr>
        <w:t xml:space="preserve"> </w:t>
      </w:r>
      <w:r w:rsidR="008842B4" w:rsidRPr="00C07E78">
        <w:rPr>
          <w:rFonts w:ascii="Arial" w:eastAsia="Times New Roman" w:hAnsi="Arial" w:cs="Arial"/>
          <w:sz w:val="20"/>
          <w:szCs w:val="20"/>
        </w:rPr>
        <w:t xml:space="preserve">a </w:t>
      </w:r>
      <w:r w:rsidRPr="00C07E78">
        <w:rPr>
          <w:rFonts w:ascii="Arial" w:eastAsia="Times New Roman" w:hAnsi="Arial" w:cs="Arial"/>
          <w:sz w:val="20"/>
          <w:szCs w:val="20"/>
        </w:rPr>
        <w:t xml:space="preserve">seamless migration of </w:t>
      </w:r>
      <w:r w:rsidR="008842B4" w:rsidRPr="00C07E78">
        <w:rPr>
          <w:rFonts w:ascii="Arial" w:eastAsia="Times New Roman" w:hAnsi="Arial" w:cs="Arial"/>
          <w:sz w:val="20"/>
          <w:szCs w:val="20"/>
        </w:rPr>
        <w:t xml:space="preserve">the </w:t>
      </w:r>
      <w:r w:rsidRPr="00C07E78">
        <w:rPr>
          <w:rFonts w:ascii="Arial" w:eastAsia="Times New Roman" w:hAnsi="Arial" w:cs="Arial"/>
          <w:sz w:val="20"/>
          <w:szCs w:val="20"/>
        </w:rPr>
        <w:t xml:space="preserve">people who initially benefited from the SRD grant under the Disaster Management Act. Given the challenges experienced by poor people </w:t>
      </w:r>
      <w:r w:rsidR="00C529BB" w:rsidRPr="00C07E78">
        <w:rPr>
          <w:rFonts w:ascii="Arial" w:eastAsia="Times New Roman" w:hAnsi="Arial" w:cs="Arial"/>
          <w:sz w:val="20"/>
          <w:szCs w:val="20"/>
        </w:rPr>
        <w:t xml:space="preserve">to </w:t>
      </w:r>
      <w:r w:rsidRPr="00C07E78">
        <w:rPr>
          <w:rFonts w:ascii="Arial" w:eastAsia="Times New Roman" w:hAnsi="Arial" w:cs="Arial"/>
          <w:sz w:val="20"/>
          <w:szCs w:val="20"/>
        </w:rPr>
        <w:t xml:space="preserve">register for this grant when it was initiated, the Department of Social Development should have developed a migration plan. </w:t>
      </w:r>
    </w:p>
    <w:p w:rsidR="00EA2D6B" w:rsidRPr="00C07E78" w:rsidRDefault="00EA2D6B" w:rsidP="00C07E78">
      <w:pPr>
        <w:pStyle w:val="ListParagraph"/>
        <w:spacing w:after="0" w:line="240" w:lineRule="auto"/>
        <w:ind w:left="709"/>
        <w:rPr>
          <w:rFonts w:ascii="Arial" w:eastAsia="Times New Roman" w:hAnsi="Arial" w:cs="Arial"/>
          <w:sz w:val="20"/>
          <w:szCs w:val="20"/>
        </w:rPr>
      </w:pPr>
    </w:p>
    <w:p w:rsidR="00EA2D6B" w:rsidRPr="00C07E78" w:rsidRDefault="00B92D6D"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 xml:space="preserve">The Committee notes the submission by Equal Education that the Department of Basic Education should receive funding that is equal to the learner’s enrolment, inflation adjusted, pro-poor and gender </w:t>
      </w:r>
      <w:r w:rsidR="000C0E65" w:rsidRPr="00C07E78">
        <w:rPr>
          <w:rFonts w:ascii="Arial" w:eastAsia="Times New Roman" w:hAnsi="Arial" w:cs="Arial"/>
          <w:sz w:val="20"/>
          <w:szCs w:val="20"/>
        </w:rPr>
        <w:t>sensitive</w:t>
      </w:r>
      <w:r w:rsidRPr="00C07E78">
        <w:rPr>
          <w:rFonts w:ascii="Arial" w:eastAsia="Times New Roman" w:hAnsi="Arial" w:cs="Arial"/>
          <w:sz w:val="20"/>
          <w:szCs w:val="20"/>
        </w:rPr>
        <w:t xml:space="preserve">. </w:t>
      </w:r>
      <w:r w:rsidR="000868BD" w:rsidRPr="00C07E78">
        <w:rPr>
          <w:rFonts w:ascii="Arial" w:eastAsia="Times New Roman" w:hAnsi="Arial" w:cs="Arial"/>
          <w:sz w:val="20"/>
          <w:szCs w:val="20"/>
        </w:rPr>
        <w:t xml:space="preserve"> </w:t>
      </w:r>
    </w:p>
    <w:p w:rsidR="00EA2D6B" w:rsidRPr="00C07E78" w:rsidRDefault="00EA2D6B" w:rsidP="00C07E78">
      <w:pPr>
        <w:pStyle w:val="ListParagraph"/>
        <w:spacing w:after="0" w:line="240" w:lineRule="auto"/>
        <w:ind w:left="709"/>
        <w:rPr>
          <w:rFonts w:ascii="Arial" w:eastAsia="Times New Roman" w:hAnsi="Arial" w:cs="Arial"/>
          <w:sz w:val="20"/>
          <w:szCs w:val="20"/>
        </w:rPr>
      </w:pPr>
    </w:p>
    <w:p w:rsidR="000A3A07" w:rsidRPr="00C07E78" w:rsidRDefault="000A3A07" w:rsidP="00C07E78">
      <w:pPr>
        <w:pStyle w:val="ListParagraph"/>
        <w:numPr>
          <w:ilvl w:val="1"/>
          <w:numId w:val="20"/>
        </w:numPr>
        <w:spacing w:after="0" w:line="240" w:lineRule="auto"/>
        <w:ind w:left="709" w:hanging="709"/>
        <w:rPr>
          <w:rFonts w:ascii="Arial" w:eastAsia="Times New Roman" w:hAnsi="Arial" w:cs="Arial"/>
          <w:sz w:val="20"/>
          <w:szCs w:val="20"/>
        </w:rPr>
      </w:pPr>
      <w:r w:rsidRPr="00C07E78">
        <w:rPr>
          <w:rFonts w:ascii="Arial" w:eastAsia="Times New Roman" w:hAnsi="Arial" w:cs="Arial"/>
          <w:sz w:val="20"/>
          <w:szCs w:val="20"/>
        </w:rPr>
        <w:t>The Committee notes with concerns the submission by National Treasury based on the 2021/22 financial year preliminary result that there are government departments/institutions who continuously underspend their allocated scarce resources. The Committee is concerned about the underspending of appropriated funds, considering that government has many competing priori</w:t>
      </w:r>
      <w:r w:rsidR="00C529BB" w:rsidRPr="00C07E78">
        <w:rPr>
          <w:rFonts w:ascii="Arial" w:eastAsia="Times New Roman" w:hAnsi="Arial" w:cs="Arial"/>
          <w:sz w:val="20"/>
          <w:szCs w:val="20"/>
        </w:rPr>
        <w:t>ti</w:t>
      </w:r>
      <w:r w:rsidRPr="00C07E78">
        <w:rPr>
          <w:rFonts w:ascii="Arial" w:eastAsia="Times New Roman" w:hAnsi="Arial" w:cs="Arial"/>
          <w:sz w:val="20"/>
          <w:szCs w:val="20"/>
        </w:rPr>
        <w:t>es, funds are borrowed, and the requirement of government services are high, the perpetual underspending of appropriated funds should not be accepted.</w:t>
      </w:r>
    </w:p>
    <w:p w:rsidR="00BE5FE6" w:rsidRPr="00C07E78" w:rsidRDefault="00BE5FE6" w:rsidP="00C07E78">
      <w:pPr>
        <w:spacing w:after="0" w:line="240" w:lineRule="auto"/>
        <w:ind w:left="567"/>
        <w:contextualSpacing/>
        <w:rPr>
          <w:rFonts w:ascii="Arial" w:eastAsia="Times New Roman" w:hAnsi="Arial" w:cs="Arial"/>
          <w:sz w:val="20"/>
          <w:szCs w:val="20"/>
        </w:rPr>
      </w:pPr>
    </w:p>
    <w:p w:rsidR="00BE5FE6" w:rsidRPr="00C07E78" w:rsidRDefault="00BE5FE6" w:rsidP="00C07E78">
      <w:pPr>
        <w:numPr>
          <w:ilvl w:val="0"/>
          <w:numId w:val="20"/>
        </w:numPr>
        <w:spacing w:after="0" w:line="240" w:lineRule="auto"/>
        <w:contextualSpacing/>
        <w:rPr>
          <w:rFonts w:ascii="Arial" w:eastAsia="Times New Roman" w:hAnsi="Arial" w:cs="Arial"/>
          <w:b/>
          <w:sz w:val="20"/>
          <w:szCs w:val="20"/>
          <w:lang w:val="en-GB"/>
        </w:rPr>
      </w:pPr>
      <w:r w:rsidRPr="00C07E78">
        <w:rPr>
          <w:rFonts w:ascii="Arial" w:eastAsia="Times New Roman" w:hAnsi="Arial" w:cs="Arial"/>
          <w:b/>
          <w:sz w:val="20"/>
          <w:szCs w:val="20"/>
          <w:lang w:val="en-GB"/>
        </w:rPr>
        <w:t>Recommendations</w:t>
      </w:r>
    </w:p>
    <w:p w:rsidR="00BE5FE6" w:rsidRPr="00C07E78" w:rsidRDefault="00BE5FE6" w:rsidP="00C07E78">
      <w:pPr>
        <w:spacing w:after="0" w:line="240" w:lineRule="auto"/>
        <w:contextualSpacing/>
        <w:rPr>
          <w:rFonts w:ascii="Arial" w:eastAsia="Times New Roman" w:hAnsi="Arial" w:cs="Arial"/>
          <w:b/>
          <w:sz w:val="20"/>
          <w:szCs w:val="20"/>
        </w:rPr>
      </w:pPr>
    </w:p>
    <w:p w:rsidR="00BE5FE6" w:rsidRPr="00C07E78" w:rsidRDefault="00BE5FE6" w:rsidP="00C07E78">
      <w:pPr>
        <w:spacing w:after="0" w:line="240" w:lineRule="auto"/>
        <w:contextualSpacing/>
        <w:rPr>
          <w:rFonts w:ascii="Arial" w:eastAsia="Times New Roman" w:hAnsi="Arial" w:cs="Arial"/>
          <w:sz w:val="20"/>
          <w:szCs w:val="20"/>
        </w:rPr>
      </w:pPr>
      <w:r w:rsidRPr="00C07E78">
        <w:rPr>
          <w:rFonts w:ascii="Arial" w:eastAsia="Times New Roman" w:hAnsi="Arial" w:cs="Arial"/>
          <w:sz w:val="20"/>
          <w:szCs w:val="20"/>
        </w:rPr>
        <w:t>The Standing Committee on Appropriations, having considered the above submissions and inpu</w:t>
      </w:r>
      <w:r w:rsidR="002E0E4E" w:rsidRPr="00C07E78">
        <w:rPr>
          <w:rFonts w:ascii="Arial" w:eastAsia="Times New Roman" w:hAnsi="Arial" w:cs="Arial"/>
          <w:sz w:val="20"/>
          <w:szCs w:val="20"/>
        </w:rPr>
        <w:t>ts on the Appropriation Bill [B7-2022</w:t>
      </w:r>
      <w:r w:rsidRPr="00C07E78">
        <w:rPr>
          <w:rFonts w:ascii="Arial" w:eastAsia="Times New Roman" w:hAnsi="Arial" w:cs="Arial"/>
          <w:sz w:val="20"/>
          <w:szCs w:val="20"/>
        </w:rPr>
        <w:t>], recommends as follows:</w:t>
      </w:r>
    </w:p>
    <w:p w:rsidR="000436B2" w:rsidRPr="00C07E78" w:rsidRDefault="000436B2" w:rsidP="00C07E78">
      <w:pPr>
        <w:spacing w:after="0" w:line="240" w:lineRule="auto"/>
        <w:contextualSpacing/>
        <w:rPr>
          <w:rFonts w:ascii="Arial" w:eastAsia="Times New Roman" w:hAnsi="Arial" w:cs="Arial"/>
          <w:sz w:val="20"/>
          <w:szCs w:val="20"/>
        </w:rPr>
      </w:pPr>
    </w:p>
    <w:p w:rsidR="003F7599" w:rsidRPr="00C07E78" w:rsidRDefault="000436B2" w:rsidP="00C07E78">
      <w:pPr>
        <w:pStyle w:val="ListParagraph"/>
        <w:numPr>
          <w:ilvl w:val="1"/>
          <w:numId w:val="20"/>
        </w:numPr>
        <w:spacing w:after="0" w:line="240" w:lineRule="auto"/>
        <w:ind w:left="567" w:hanging="567"/>
        <w:rPr>
          <w:rFonts w:ascii="Arial" w:eastAsia="Times New Roman" w:hAnsi="Arial" w:cs="Arial"/>
          <w:sz w:val="20"/>
          <w:szCs w:val="20"/>
        </w:rPr>
      </w:pPr>
      <w:r w:rsidRPr="00C07E78">
        <w:rPr>
          <w:rFonts w:ascii="Arial" w:eastAsia="Times New Roman" w:hAnsi="Arial" w:cs="Arial"/>
          <w:sz w:val="20"/>
          <w:szCs w:val="20"/>
        </w:rPr>
        <w:t xml:space="preserve">That the </w:t>
      </w:r>
      <w:r w:rsidR="003F7599" w:rsidRPr="00C07E78">
        <w:rPr>
          <w:rFonts w:ascii="Arial" w:eastAsia="Times New Roman" w:hAnsi="Arial" w:cs="Arial"/>
          <w:sz w:val="20"/>
          <w:szCs w:val="20"/>
        </w:rPr>
        <w:t>M</w:t>
      </w:r>
      <w:r w:rsidR="003D04CB" w:rsidRPr="00C07E78">
        <w:rPr>
          <w:rFonts w:ascii="Arial" w:eastAsia="Times New Roman" w:hAnsi="Arial" w:cs="Arial"/>
          <w:sz w:val="20"/>
          <w:szCs w:val="20"/>
        </w:rPr>
        <w:t>inister of Higher Education, Science and Innovation</w:t>
      </w:r>
      <w:r w:rsidR="003F7599" w:rsidRPr="00C07E78">
        <w:rPr>
          <w:rFonts w:ascii="Arial" w:eastAsia="Times New Roman" w:hAnsi="Arial" w:cs="Arial"/>
          <w:sz w:val="20"/>
          <w:szCs w:val="20"/>
        </w:rPr>
        <w:t xml:space="preserve"> ensures that the Department of </w:t>
      </w:r>
      <w:r w:rsidR="003D04CB" w:rsidRPr="00C07E78">
        <w:rPr>
          <w:rFonts w:ascii="Arial" w:eastAsia="Times New Roman" w:hAnsi="Arial" w:cs="Arial"/>
          <w:sz w:val="20"/>
          <w:szCs w:val="20"/>
        </w:rPr>
        <w:t>Higher Education and Training</w:t>
      </w:r>
      <w:r w:rsidR="003F7599" w:rsidRPr="00C07E78">
        <w:rPr>
          <w:rFonts w:ascii="Arial" w:eastAsia="Times New Roman" w:hAnsi="Arial" w:cs="Arial"/>
          <w:sz w:val="20"/>
          <w:szCs w:val="20"/>
        </w:rPr>
        <w:t xml:space="preserve"> pays</w:t>
      </w:r>
      <w:r w:rsidR="003F7599" w:rsidRPr="00C07E78">
        <w:rPr>
          <w:rFonts w:ascii="Arial" w:eastAsia="Times New Roman" w:hAnsi="Arial" w:cs="Arial"/>
          <w:sz w:val="20"/>
          <w:szCs w:val="20"/>
          <w:u w:val="single"/>
        </w:rPr>
        <w:t xml:space="preserve"> </w:t>
      </w:r>
      <w:r w:rsidR="003F7599" w:rsidRPr="00C07E78">
        <w:rPr>
          <w:rFonts w:ascii="Arial" w:eastAsia="Times New Roman" w:hAnsi="Arial" w:cs="Arial"/>
          <w:sz w:val="20"/>
          <w:szCs w:val="20"/>
        </w:rPr>
        <w:t xml:space="preserve">all outstanding NSFAS funding to </w:t>
      </w:r>
      <w:r w:rsidR="00C529BB" w:rsidRPr="00C07E78">
        <w:rPr>
          <w:rFonts w:ascii="Arial" w:eastAsia="Times New Roman" w:hAnsi="Arial" w:cs="Arial"/>
          <w:sz w:val="20"/>
          <w:szCs w:val="20"/>
        </w:rPr>
        <w:t>u</w:t>
      </w:r>
      <w:r w:rsidR="003F7599" w:rsidRPr="00C07E78">
        <w:rPr>
          <w:rFonts w:ascii="Arial" w:eastAsia="Times New Roman" w:hAnsi="Arial" w:cs="Arial"/>
          <w:sz w:val="20"/>
          <w:szCs w:val="20"/>
        </w:rPr>
        <w:t xml:space="preserve">niversities that are owed these funds, in order to allow </w:t>
      </w:r>
      <w:r w:rsidR="00C529BB" w:rsidRPr="00C07E78">
        <w:rPr>
          <w:rFonts w:ascii="Arial" w:eastAsia="Times New Roman" w:hAnsi="Arial" w:cs="Arial"/>
          <w:sz w:val="20"/>
          <w:szCs w:val="20"/>
        </w:rPr>
        <w:t>u</w:t>
      </w:r>
      <w:r w:rsidR="003F7599" w:rsidRPr="00C07E78">
        <w:rPr>
          <w:rFonts w:ascii="Arial" w:eastAsia="Times New Roman" w:hAnsi="Arial" w:cs="Arial"/>
          <w:sz w:val="20"/>
          <w:szCs w:val="20"/>
        </w:rPr>
        <w:t xml:space="preserve">niversities </w:t>
      </w:r>
      <w:r w:rsidR="003D04CB" w:rsidRPr="00C07E78">
        <w:rPr>
          <w:rFonts w:ascii="Arial" w:eastAsia="Times New Roman" w:hAnsi="Arial" w:cs="Arial"/>
          <w:sz w:val="20"/>
          <w:szCs w:val="20"/>
        </w:rPr>
        <w:t xml:space="preserve">to </w:t>
      </w:r>
      <w:r w:rsidR="003F7599" w:rsidRPr="00C07E78">
        <w:rPr>
          <w:rFonts w:ascii="Arial" w:eastAsia="Times New Roman" w:hAnsi="Arial" w:cs="Arial"/>
          <w:sz w:val="20"/>
          <w:szCs w:val="20"/>
        </w:rPr>
        <w:t xml:space="preserve">focus on their mandates and ease their financial burden. </w:t>
      </w:r>
    </w:p>
    <w:p w:rsidR="003F7599" w:rsidRPr="00C07E78" w:rsidRDefault="003F7599" w:rsidP="00C07E78">
      <w:pPr>
        <w:pStyle w:val="ListParagraph"/>
        <w:spacing w:after="0" w:line="240" w:lineRule="auto"/>
        <w:ind w:left="360"/>
        <w:rPr>
          <w:rFonts w:ascii="Arial" w:eastAsia="Times New Roman" w:hAnsi="Arial" w:cs="Arial"/>
          <w:sz w:val="20"/>
          <w:szCs w:val="20"/>
        </w:rPr>
      </w:pPr>
    </w:p>
    <w:p w:rsidR="000436B2" w:rsidRPr="00C07E78" w:rsidRDefault="003F7599" w:rsidP="00C07E78">
      <w:pPr>
        <w:pStyle w:val="ListParagraph"/>
        <w:numPr>
          <w:ilvl w:val="1"/>
          <w:numId w:val="20"/>
        </w:numPr>
        <w:spacing w:after="0" w:line="240" w:lineRule="auto"/>
        <w:ind w:left="567" w:hanging="567"/>
        <w:rPr>
          <w:rFonts w:ascii="Arial" w:eastAsia="Times New Roman" w:hAnsi="Arial" w:cs="Arial"/>
          <w:sz w:val="20"/>
          <w:szCs w:val="20"/>
        </w:rPr>
      </w:pPr>
      <w:r w:rsidRPr="00C07E78">
        <w:rPr>
          <w:rFonts w:ascii="Arial" w:eastAsia="Times New Roman" w:hAnsi="Arial" w:cs="Arial"/>
          <w:sz w:val="20"/>
          <w:szCs w:val="20"/>
        </w:rPr>
        <w:t xml:space="preserve">That the Minister </w:t>
      </w:r>
      <w:r w:rsidR="003D04CB" w:rsidRPr="00C07E78">
        <w:rPr>
          <w:rFonts w:ascii="Arial" w:eastAsia="Times New Roman" w:hAnsi="Arial" w:cs="Arial"/>
          <w:sz w:val="20"/>
          <w:szCs w:val="20"/>
        </w:rPr>
        <w:t xml:space="preserve">of Finance and the Project </w:t>
      </w:r>
      <w:r w:rsidRPr="00C07E78">
        <w:rPr>
          <w:rFonts w:ascii="Arial" w:eastAsia="Times New Roman" w:hAnsi="Arial" w:cs="Arial"/>
          <w:sz w:val="20"/>
          <w:szCs w:val="20"/>
        </w:rPr>
        <w:t xml:space="preserve">Management Office </w:t>
      </w:r>
      <w:r w:rsidR="003D04CB" w:rsidRPr="00C07E78">
        <w:rPr>
          <w:rFonts w:ascii="Arial" w:eastAsia="Times New Roman" w:hAnsi="Arial" w:cs="Arial"/>
          <w:sz w:val="20"/>
          <w:szCs w:val="20"/>
        </w:rPr>
        <w:t xml:space="preserve">in The Presidency </w:t>
      </w:r>
      <w:r w:rsidRPr="00C07E78">
        <w:rPr>
          <w:rFonts w:ascii="Arial" w:eastAsia="Times New Roman" w:hAnsi="Arial" w:cs="Arial"/>
          <w:sz w:val="20"/>
          <w:szCs w:val="20"/>
        </w:rPr>
        <w:t>ensure that the funds allocated towards the Presidential Youth Initiatives are spent within the required guidelines and framework in order to avoid potential abuse and corruption.</w:t>
      </w:r>
    </w:p>
    <w:p w:rsidR="003F7599" w:rsidRPr="00C07E78" w:rsidRDefault="003F7599" w:rsidP="00C07E78">
      <w:pPr>
        <w:pStyle w:val="ListParagraph"/>
        <w:spacing w:after="0" w:line="240" w:lineRule="auto"/>
        <w:rPr>
          <w:rFonts w:ascii="Arial" w:eastAsia="Times New Roman" w:hAnsi="Arial" w:cs="Arial"/>
          <w:sz w:val="20"/>
          <w:szCs w:val="20"/>
        </w:rPr>
      </w:pPr>
    </w:p>
    <w:p w:rsidR="003F7599" w:rsidRPr="00C07E78" w:rsidRDefault="003F7599" w:rsidP="00C07E78">
      <w:pPr>
        <w:pStyle w:val="ListParagraph"/>
        <w:numPr>
          <w:ilvl w:val="1"/>
          <w:numId w:val="20"/>
        </w:numPr>
        <w:spacing w:after="0" w:line="240" w:lineRule="auto"/>
        <w:ind w:left="567" w:hanging="567"/>
        <w:rPr>
          <w:rFonts w:ascii="Arial" w:eastAsia="Times New Roman" w:hAnsi="Arial" w:cs="Arial"/>
          <w:sz w:val="20"/>
          <w:szCs w:val="20"/>
        </w:rPr>
      </w:pPr>
      <w:r w:rsidRPr="00C07E78">
        <w:rPr>
          <w:rFonts w:ascii="Arial" w:eastAsia="Times New Roman" w:hAnsi="Arial" w:cs="Arial"/>
          <w:sz w:val="20"/>
          <w:szCs w:val="20"/>
        </w:rPr>
        <w:t>That the Minister of Small Business Development and the Minister in the Presidency responsible for the Department of Monitoring and Evaluation ensure that the Department of Small Business Development and the Department of Monitoring and Evaluation, provid</w:t>
      </w:r>
      <w:r w:rsidR="00FB7F24" w:rsidRPr="00C07E78">
        <w:rPr>
          <w:rFonts w:ascii="Arial" w:eastAsia="Times New Roman" w:hAnsi="Arial" w:cs="Arial"/>
          <w:sz w:val="20"/>
          <w:szCs w:val="20"/>
        </w:rPr>
        <w:t>e a detailed plan</w:t>
      </w:r>
      <w:r w:rsidRPr="00C07E78">
        <w:rPr>
          <w:rFonts w:ascii="Arial" w:eastAsia="Times New Roman" w:hAnsi="Arial" w:cs="Arial"/>
          <w:sz w:val="20"/>
          <w:szCs w:val="20"/>
        </w:rPr>
        <w:t xml:space="preserve"> on how they will ensure that all organs of the </w:t>
      </w:r>
      <w:r w:rsidR="00C529BB" w:rsidRPr="00C07E78">
        <w:rPr>
          <w:rFonts w:ascii="Arial" w:eastAsia="Times New Roman" w:hAnsi="Arial" w:cs="Arial"/>
          <w:sz w:val="20"/>
          <w:szCs w:val="20"/>
        </w:rPr>
        <w:t>s</w:t>
      </w:r>
      <w:r w:rsidRPr="00C07E78">
        <w:rPr>
          <w:rFonts w:ascii="Arial" w:eastAsia="Times New Roman" w:hAnsi="Arial" w:cs="Arial"/>
          <w:sz w:val="20"/>
          <w:szCs w:val="20"/>
        </w:rPr>
        <w:t xml:space="preserve">tate </w:t>
      </w:r>
      <w:r w:rsidR="00C529BB" w:rsidRPr="00C07E78">
        <w:rPr>
          <w:rFonts w:ascii="Arial" w:eastAsia="Times New Roman" w:hAnsi="Arial" w:cs="Arial"/>
          <w:sz w:val="20"/>
          <w:szCs w:val="20"/>
        </w:rPr>
        <w:t xml:space="preserve">will </w:t>
      </w:r>
      <w:r w:rsidRPr="00C07E78">
        <w:rPr>
          <w:rFonts w:ascii="Arial" w:eastAsia="Times New Roman" w:hAnsi="Arial" w:cs="Arial"/>
          <w:sz w:val="20"/>
          <w:szCs w:val="20"/>
        </w:rPr>
        <w:t xml:space="preserve">pay invoices to small business within the required time frame of 30 days. This plans should include easy and reliable dispute resolutions. </w:t>
      </w:r>
    </w:p>
    <w:p w:rsidR="003F7599" w:rsidRPr="00C07E78" w:rsidRDefault="003F7599" w:rsidP="00C07E78">
      <w:pPr>
        <w:pStyle w:val="ListParagraph"/>
        <w:spacing w:after="0" w:line="240" w:lineRule="auto"/>
        <w:ind w:left="567"/>
        <w:rPr>
          <w:rFonts w:ascii="Arial" w:eastAsia="Times New Roman" w:hAnsi="Arial" w:cs="Arial"/>
          <w:sz w:val="20"/>
          <w:szCs w:val="20"/>
        </w:rPr>
      </w:pPr>
    </w:p>
    <w:p w:rsidR="00DA67C8" w:rsidRPr="00C07E78" w:rsidRDefault="003F7599" w:rsidP="00C07E78">
      <w:pPr>
        <w:pStyle w:val="ListParagraph"/>
        <w:numPr>
          <w:ilvl w:val="1"/>
          <w:numId w:val="20"/>
        </w:numPr>
        <w:spacing w:after="0" w:line="240" w:lineRule="auto"/>
        <w:ind w:left="567" w:hanging="567"/>
        <w:rPr>
          <w:rFonts w:ascii="Arial" w:eastAsia="Times New Roman" w:hAnsi="Arial" w:cs="Arial"/>
          <w:sz w:val="20"/>
          <w:szCs w:val="20"/>
        </w:rPr>
      </w:pPr>
      <w:r w:rsidRPr="00C07E78">
        <w:rPr>
          <w:rFonts w:ascii="Arial" w:eastAsia="Times New Roman" w:hAnsi="Arial" w:cs="Arial"/>
          <w:sz w:val="20"/>
          <w:szCs w:val="20"/>
        </w:rPr>
        <w:t xml:space="preserve">That the Minister of Police ensures that </w:t>
      </w:r>
      <w:r w:rsidR="00DA67C8" w:rsidRPr="00C07E78">
        <w:rPr>
          <w:rFonts w:ascii="Arial" w:eastAsia="Times New Roman" w:hAnsi="Arial" w:cs="Arial"/>
          <w:sz w:val="20"/>
          <w:szCs w:val="20"/>
        </w:rPr>
        <w:t xml:space="preserve">that the Department of Police provides a detailed report to </w:t>
      </w:r>
      <w:r w:rsidR="00C529BB" w:rsidRPr="00C07E78">
        <w:rPr>
          <w:rFonts w:ascii="Arial" w:eastAsia="Times New Roman" w:hAnsi="Arial" w:cs="Arial"/>
          <w:sz w:val="20"/>
          <w:szCs w:val="20"/>
        </w:rPr>
        <w:t>Parliament</w:t>
      </w:r>
      <w:r w:rsidR="00DA67C8" w:rsidRPr="00C07E78">
        <w:rPr>
          <w:rFonts w:ascii="Arial" w:eastAsia="Times New Roman" w:hAnsi="Arial" w:cs="Arial"/>
          <w:sz w:val="20"/>
          <w:szCs w:val="20"/>
        </w:rPr>
        <w:t xml:space="preserve"> on the guidelines for the u</w:t>
      </w:r>
      <w:r w:rsidR="00524990" w:rsidRPr="00C07E78">
        <w:rPr>
          <w:rFonts w:ascii="Arial" w:eastAsia="Times New Roman" w:hAnsi="Arial" w:cs="Arial"/>
          <w:sz w:val="20"/>
          <w:szCs w:val="20"/>
        </w:rPr>
        <w:t>niform implementation of Gender-</w:t>
      </w:r>
      <w:r w:rsidR="00DA67C8" w:rsidRPr="00C07E78">
        <w:rPr>
          <w:rFonts w:ascii="Arial" w:eastAsia="Times New Roman" w:hAnsi="Arial" w:cs="Arial"/>
          <w:sz w:val="20"/>
          <w:szCs w:val="20"/>
        </w:rPr>
        <w:t>Based Viol</w:t>
      </w:r>
      <w:r w:rsidR="00FB7F24" w:rsidRPr="00C07E78">
        <w:rPr>
          <w:rFonts w:ascii="Arial" w:eastAsia="Times New Roman" w:hAnsi="Arial" w:cs="Arial"/>
          <w:sz w:val="20"/>
          <w:szCs w:val="20"/>
        </w:rPr>
        <w:t>ence Desk in all South African police s</w:t>
      </w:r>
      <w:r w:rsidR="00DA67C8" w:rsidRPr="00C07E78">
        <w:rPr>
          <w:rFonts w:ascii="Arial" w:eastAsia="Times New Roman" w:hAnsi="Arial" w:cs="Arial"/>
          <w:sz w:val="20"/>
          <w:szCs w:val="20"/>
        </w:rPr>
        <w:t xml:space="preserve">tations. </w:t>
      </w:r>
    </w:p>
    <w:p w:rsidR="00DA67C8" w:rsidRPr="00C07E78" w:rsidRDefault="00DA67C8" w:rsidP="00C07E78">
      <w:pPr>
        <w:pStyle w:val="ListParagraph"/>
        <w:spacing w:after="0" w:line="240" w:lineRule="auto"/>
        <w:ind w:left="567"/>
        <w:rPr>
          <w:rFonts w:ascii="Arial" w:eastAsia="Times New Roman" w:hAnsi="Arial" w:cs="Arial"/>
          <w:sz w:val="20"/>
          <w:szCs w:val="20"/>
        </w:rPr>
      </w:pPr>
    </w:p>
    <w:p w:rsidR="003F7599" w:rsidRPr="00C07E78" w:rsidRDefault="00DA67C8" w:rsidP="00C07E78">
      <w:pPr>
        <w:pStyle w:val="ListParagraph"/>
        <w:numPr>
          <w:ilvl w:val="1"/>
          <w:numId w:val="20"/>
        </w:numPr>
        <w:spacing w:after="0" w:line="240" w:lineRule="auto"/>
        <w:ind w:left="567" w:hanging="567"/>
        <w:rPr>
          <w:rFonts w:ascii="Arial" w:eastAsia="Times New Roman" w:hAnsi="Arial" w:cs="Arial"/>
          <w:sz w:val="20"/>
          <w:szCs w:val="20"/>
        </w:rPr>
      </w:pPr>
      <w:r w:rsidRPr="00C07E78">
        <w:rPr>
          <w:rFonts w:ascii="Arial" w:eastAsia="Times New Roman" w:hAnsi="Arial" w:cs="Arial"/>
          <w:sz w:val="20"/>
          <w:szCs w:val="20"/>
        </w:rPr>
        <w:t xml:space="preserve">That the Minister of Social Development ensures that the Department of Social Development provide a detailed report on the status of migrating the beneficiaries of the special Covid-19 of Social Relief of Distress grant </w:t>
      </w:r>
      <w:r w:rsidR="006937BD" w:rsidRPr="00C07E78">
        <w:rPr>
          <w:rFonts w:ascii="Arial" w:eastAsia="Times New Roman" w:hAnsi="Arial" w:cs="Arial"/>
          <w:sz w:val="20"/>
          <w:szCs w:val="20"/>
        </w:rPr>
        <w:t xml:space="preserve">from the Disaster Management Act to the Regulations of the Social Assistance Act, 2004. This is to ensure that beneficiaries who benefited during the implementation of the Disaster Management Act are not left our due to application, administration and registration related barriers. </w:t>
      </w:r>
    </w:p>
    <w:p w:rsidR="00C005C4" w:rsidRPr="00C07E78" w:rsidRDefault="00C005C4" w:rsidP="00C07E78">
      <w:pPr>
        <w:pStyle w:val="ListParagraph"/>
        <w:spacing w:after="0" w:line="240" w:lineRule="auto"/>
        <w:ind w:left="567"/>
        <w:rPr>
          <w:rFonts w:ascii="Arial" w:eastAsia="Times New Roman" w:hAnsi="Arial" w:cs="Arial"/>
          <w:sz w:val="20"/>
          <w:szCs w:val="20"/>
        </w:rPr>
      </w:pPr>
    </w:p>
    <w:p w:rsidR="00C005C4" w:rsidRPr="00C07E78" w:rsidRDefault="00C005C4" w:rsidP="00C07E78">
      <w:pPr>
        <w:pStyle w:val="ListParagraph"/>
        <w:numPr>
          <w:ilvl w:val="1"/>
          <w:numId w:val="20"/>
        </w:numPr>
        <w:spacing w:after="0" w:line="240" w:lineRule="auto"/>
        <w:ind w:left="567" w:hanging="567"/>
        <w:rPr>
          <w:rFonts w:ascii="Arial" w:eastAsia="Times New Roman" w:hAnsi="Arial" w:cs="Arial"/>
          <w:sz w:val="20"/>
          <w:szCs w:val="20"/>
        </w:rPr>
      </w:pPr>
      <w:r w:rsidRPr="00C07E78">
        <w:rPr>
          <w:rFonts w:ascii="Arial" w:eastAsia="Times New Roman" w:hAnsi="Arial" w:cs="Arial"/>
          <w:sz w:val="20"/>
          <w:szCs w:val="20"/>
        </w:rPr>
        <w:t xml:space="preserve">That all Portfolio Committees of the National Assembly ensure that </w:t>
      </w:r>
      <w:r w:rsidR="00300060" w:rsidRPr="00C07E78">
        <w:rPr>
          <w:rFonts w:ascii="Arial" w:eastAsia="Times New Roman" w:hAnsi="Arial" w:cs="Arial"/>
          <w:sz w:val="20"/>
          <w:szCs w:val="20"/>
        </w:rPr>
        <w:t xml:space="preserve">no organ of </w:t>
      </w:r>
      <w:r w:rsidR="00C529BB" w:rsidRPr="00C07E78">
        <w:rPr>
          <w:rFonts w:ascii="Arial" w:eastAsia="Times New Roman" w:hAnsi="Arial" w:cs="Arial"/>
          <w:sz w:val="20"/>
          <w:szCs w:val="20"/>
        </w:rPr>
        <w:t>s</w:t>
      </w:r>
      <w:r w:rsidR="00300060" w:rsidRPr="00C07E78">
        <w:rPr>
          <w:rFonts w:ascii="Arial" w:eastAsia="Times New Roman" w:hAnsi="Arial" w:cs="Arial"/>
          <w:sz w:val="20"/>
          <w:szCs w:val="20"/>
        </w:rPr>
        <w:t>tate accountable to each Portfolio Committee</w:t>
      </w:r>
      <w:r w:rsidR="00C529BB" w:rsidRPr="00C07E78">
        <w:rPr>
          <w:rFonts w:ascii="Arial" w:eastAsia="Times New Roman" w:hAnsi="Arial" w:cs="Arial"/>
          <w:sz w:val="20"/>
          <w:szCs w:val="20"/>
        </w:rPr>
        <w:t xml:space="preserve"> </w:t>
      </w:r>
      <w:r w:rsidR="00300060" w:rsidRPr="00C07E78">
        <w:rPr>
          <w:rFonts w:ascii="Arial" w:eastAsia="Times New Roman" w:hAnsi="Arial" w:cs="Arial"/>
          <w:sz w:val="20"/>
          <w:szCs w:val="20"/>
        </w:rPr>
        <w:t xml:space="preserve">underspend on appropriated funds. Underspending on Parliament’s appropriated funds undermines government policies and has a negative impact on the services that government provides to South Africans, and the impact is worse for the poor majority who are mostly dependent on various government services for their daily needs and survival. </w:t>
      </w:r>
    </w:p>
    <w:p w:rsidR="00C46761" w:rsidRPr="00C07E78" w:rsidRDefault="00C46761" w:rsidP="00C07E78">
      <w:pPr>
        <w:pStyle w:val="ListParagraph"/>
        <w:spacing w:after="0" w:line="240" w:lineRule="auto"/>
        <w:rPr>
          <w:rFonts w:ascii="Arial" w:eastAsia="Times New Roman" w:hAnsi="Arial" w:cs="Arial"/>
          <w:sz w:val="20"/>
          <w:szCs w:val="20"/>
        </w:rPr>
      </w:pPr>
    </w:p>
    <w:p w:rsidR="00C46761" w:rsidRPr="00C07E78" w:rsidRDefault="00C46761" w:rsidP="00C07E78">
      <w:pPr>
        <w:pStyle w:val="ListParagraph"/>
        <w:numPr>
          <w:ilvl w:val="1"/>
          <w:numId w:val="20"/>
        </w:numPr>
        <w:spacing w:after="0" w:line="240" w:lineRule="auto"/>
        <w:ind w:left="567" w:hanging="567"/>
        <w:rPr>
          <w:rFonts w:ascii="Arial" w:eastAsia="Times New Roman" w:hAnsi="Arial" w:cs="Arial"/>
          <w:sz w:val="20"/>
          <w:szCs w:val="20"/>
        </w:rPr>
      </w:pPr>
      <w:r w:rsidRPr="00C07E78">
        <w:rPr>
          <w:rFonts w:ascii="Arial" w:eastAsia="Times New Roman" w:hAnsi="Arial" w:cs="Arial"/>
          <w:sz w:val="20"/>
          <w:szCs w:val="20"/>
        </w:rPr>
        <w:t xml:space="preserve">That the Presiding Officers of the Parliament of the Republic of South Africa ensure that mechanisms are put in place that would ensure that members of the public, in particular the poor, have equal access to Parliamentary processes, especially relating to the budget. </w:t>
      </w:r>
    </w:p>
    <w:p w:rsidR="00FB7F24" w:rsidRPr="00C07E78" w:rsidRDefault="00FB7F24" w:rsidP="00C07E78">
      <w:pPr>
        <w:pStyle w:val="ListParagraph"/>
        <w:spacing w:after="0" w:line="240" w:lineRule="auto"/>
        <w:ind w:left="567"/>
        <w:rPr>
          <w:rFonts w:ascii="Arial" w:eastAsia="Times New Roman" w:hAnsi="Arial" w:cs="Arial"/>
          <w:sz w:val="20"/>
          <w:szCs w:val="20"/>
        </w:rPr>
      </w:pPr>
    </w:p>
    <w:p w:rsidR="00524990" w:rsidRPr="00C07E78" w:rsidRDefault="00524990" w:rsidP="00C07E78">
      <w:pPr>
        <w:pStyle w:val="ListParagraph"/>
        <w:spacing w:after="0" w:line="240" w:lineRule="auto"/>
        <w:ind w:left="567"/>
        <w:rPr>
          <w:rFonts w:ascii="Arial" w:eastAsia="Times New Roman" w:hAnsi="Arial" w:cs="Arial"/>
          <w:sz w:val="20"/>
          <w:szCs w:val="20"/>
        </w:rPr>
      </w:pPr>
    </w:p>
    <w:p w:rsidR="00524990" w:rsidRPr="00C07E78" w:rsidRDefault="00524990" w:rsidP="00C07E78">
      <w:pPr>
        <w:pStyle w:val="ListParagraph"/>
        <w:spacing w:after="0" w:line="240" w:lineRule="auto"/>
        <w:ind w:left="567"/>
        <w:rPr>
          <w:rFonts w:ascii="Arial" w:eastAsia="Times New Roman" w:hAnsi="Arial" w:cs="Arial"/>
          <w:sz w:val="20"/>
          <w:szCs w:val="20"/>
        </w:rPr>
      </w:pPr>
    </w:p>
    <w:p w:rsidR="00524990" w:rsidRPr="00C07E78" w:rsidRDefault="00524990" w:rsidP="00C07E78">
      <w:pPr>
        <w:pStyle w:val="ListParagraph"/>
        <w:spacing w:after="0" w:line="240" w:lineRule="auto"/>
        <w:ind w:left="567"/>
        <w:rPr>
          <w:rFonts w:ascii="Arial" w:eastAsia="Times New Roman" w:hAnsi="Arial" w:cs="Arial"/>
          <w:sz w:val="20"/>
          <w:szCs w:val="20"/>
        </w:rPr>
      </w:pPr>
    </w:p>
    <w:p w:rsidR="00524990" w:rsidRPr="00C07E78" w:rsidRDefault="00524990" w:rsidP="00C07E78">
      <w:pPr>
        <w:pStyle w:val="ListParagraph"/>
        <w:spacing w:after="0" w:line="240" w:lineRule="auto"/>
        <w:ind w:left="567"/>
        <w:rPr>
          <w:rFonts w:ascii="Arial" w:eastAsia="Times New Roman" w:hAnsi="Arial" w:cs="Arial"/>
          <w:sz w:val="20"/>
          <w:szCs w:val="20"/>
        </w:rPr>
      </w:pPr>
    </w:p>
    <w:p w:rsidR="00BE5FE6" w:rsidRPr="00C07E78" w:rsidRDefault="000E7FB7" w:rsidP="00C07E78">
      <w:pPr>
        <w:numPr>
          <w:ilvl w:val="0"/>
          <w:numId w:val="20"/>
        </w:numPr>
        <w:spacing w:after="0" w:line="240" w:lineRule="auto"/>
        <w:ind w:left="426" w:hanging="426"/>
        <w:contextualSpacing/>
        <w:rPr>
          <w:rFonts w:ascii="Arial" w:eastAsia="Times New Roman" w:hAnsi="Arial" w:cs="Arial"/>
          <w:b/>
          <w:sz w:val="20"/>
          <w:szCs w:val="20"/>
        </w:rPr>
      </w:pPr>
      <w:r w:rsidRPr="00C07E78">
        <w:rPr>
          <w:rFonts w:ascii="Arial" w:eastAsia="Times New Roman" w:hAnsi="Arial" w:cs="Arial"/>
          <w:b/>
          <w:sz w:val="20"/>
          <w:szCs w:val="20"/>
        </w:rPr>
        <w:t>Committee Recommendation</w:t>
      </w:r>
      <w:r w:rsidR="00BE5FE6" w:rsidRPr="00C07E78">
        <w:rPr>
          <w:rFonts w:ascii="Arial" w:eastAsia="Times New Roman" w:hAnsi="Arial" w:cs="Arial"/>
          <w:b/>
          <w:sz w:val="20"/>
          <w:szCs w:val="20"/>
        </w:rPr>
        <w:t xml:space="preserve"> on the Bill</w:t>
      </w:r>
    </w:p>
    <w:p w:rsidR="00BE5FE6" w:rsidRPr="00C07E78" w:rsidRDefault="00BE5FE6" w:rsidP="00C07E78">
      <w:pPr>
        <w:spacing w:after="0" w:line="240" w:lineRule="auto"/>
        <w:ind w:left="567"/>
        <w:contextualSpacing/>
        <w:rPr>
          <w:rFonts w:ascii="Arial" w:eastAsia="Times New Roman" w:hAnsi="Arial" w:cs="Arial"/>
          <w:sz w:val="20"/>
          <w:szCs w:val="20"/>
        </w:rPr>
      </w:pPr>
    </w:p>
    <w:p w:rsidR="00BE5FE6" w:rsidRPr="00C07E78" w:rsidRDefault="00BE5FE6" w:rsidP="00C07E78">
      <w:pPr>
        <w:spacing w:after="0" w:line="240" w:lineRule="auto"/>
        <w:contextualSpacing/>
        <w:rPr>
          <w:rFonts w:ascii="Arial" w:hAnsi="Arial" w:cs="Arial"/>
          <w:sz w:val="20"/>
          <w:szCs w:val="20"/>
        </w:rPr>
      </w:pPr>
      <w:r w:rsidRPr="00C07E78">
        <w:rPr>
          <w:rFonts w:ascii="Arial" w:hAnsi="Arial" w:cs="Arial"/>
          <w:sz w:val="20"/>
          <w:szCs w:val="20"/>
        </w:rPr>
        <w:t xml:space="preserve">The Standing Committee on Appropriations, having considered the </w:t>
      </w:r>
      <w:r w:rsidRPr="00C07E78">
        <w:rPr>
          <w:rFonts w:ascii="Arial" w:hAnsi="Arial" w:cs="Arial"/>
          <w:bCs/>
          <w:iCs/>
          <w:sz w:val="20"/>
          <w:szCs w:val="20"/>
        </w:rPr>
        <w:t>Appropriation Bill</w:t>
      </w:r>
      <w:r w:rsidRPr="00C07E78">
        <w:rPr>
          <w:rFonts w:ascii="Arial" w:hAnsi="Arial" w:cs="Arial"/>
          <w:bCs/>
          <w:i/>
          <w:iCs/>
          <w:sz w:val="20"/>
          <w:szCs w:val="20"/>
        </w:rPr>
        <w:t xml:space="preserve"> </w:t>
      </w:r>
      <w:r w:rsidR="002E0E4E" w:rsidRPr="00C07E78">
        <w:rPr>
          <w:rFonts w:ascii="Arial" w:hAnsi="Arial" w:cs="Arial"/>
          <w:sz w:val="20"/>
          <w:szCs w:val="20"/>
        </w:rPr>
        <w:t>[B7</w:t>
      </w:r>
      <w:r w:rsidRPr="00C07E78">
        <w:rPr>
          <w:rFonts w:ascii="Arial" w:hAnsi="Arial" w:cs="Arial"/>
          <w:sz w:val="20"/>
          <w:szCs w:val="20"/>
        </w:rPr>
        <w:t>–202</w:t>
      </w:r>
      <w:r w:rsidR="002E0E4E" w:rsidRPr="00C07E78">
        <w:rPr>
          <w:rFonts w:ascii="Arial" w:hAnsi="Arial" w:cs="Arial"/>
          <w:sz w:val="20"/>
          <w:szCs w:val="20"/>
        </w:rPr>
        <w:t>2</w:t>
      </w:r>
      <w:r w:rsidRPr="00C07E78">
        <w:rPr>
          <w:rFonts w:ascii="Arial" w:hAnsi="Arial" w:cs="Arial"/>
          <w:sz w:val="20"/>
          <w:szCs w:val="20"/>
        </w:rPr>
        <w:t>] (National Assembly: Section 77) referred to it and classified by the Joint Tagging Mechanism; recommends that the Bi</w:t>
      </w:r>
      <w:r w:rsidR="002E0E4E" w:rsidRPr="00C07E78">
        <w:rPr>
          <w:rFonts w:ascii="Arial" w:hAnsi="Arial" w:cs="Arial"/>
          <w:sz w:val="20"/>
          <w:szCs w:val="20"/>
        </w:rPr>
        <w:t>ll be adopted</w:t>
      </w:r>
      <w:r w:rsidR="000E7FB7" w:rsidRPr="00C07E78">
        <w:rPr>
          <w:rFonts w:ascii="Arial" w:hAnsi="Arial" w:cs="Arial"/>
          <w:sz w:val="20"/>
          <w:szCs w:val="20"/>
        </w:rPr>
        <w:t>,</w:t>
      </w:r>
      <w:r w:rsidR="002E0E4E" w:rsidRPr="00C07E78">
        <w:rPr>
          <w:rFonts w:ascii="Arial" w:hAnsi="Arial" w:cs="Arial"/>
          <w:sz w:val="20"/>
          <w:szCs w:val="20"/>
        </w:rPr>
        <w:t xml:space="preserve"> without amendments. </w:t>
      </w:r>
    </w:p>
    <w:p w:rsidR="003D04CB" w:rsidRPr="00C07E78" w:rsidRDefault="003D04CB" w:rsidP="00C07E78">
      <w:pPr>
        <w:autoSpaceDE w:val="0"/>
        <w:autoSpaceDN w:val="0"/>
        <w:adjustRightInd w:val="0"/>
        <w:spacing w:after="0" w:line="240" w:lineRule="auto"/>
        <w:rPr>
          <w:rFonts w:ascii="Arial" w:eastAsia="Times New Roman" w:hAnsi="Arial" w:cs="Arial"/>
          <w:sz w:val="20"/>
          <w:szCs w:val="20"/>
        </w:rPr>
      </w:pPr>
    </w:p>
    <w:p w:rsidR="00BE5FE6" w:rsidRPr="00C07E78" w:rsidRDefault="00BE5FE6" w:rsidP="00C07E78">
      <w:pPr>
        <w:numPr>
          <w:ilvl w:val="0"/>
          <w:numId w:val="20"/>
        </w:numPr>
        <w:spacing w:after="0" w:line="240" w:lineRule="auto"/>
        <w:ind w:left="426" w:hanging="426"/>
        <w:contextualSpacing/>
        <w:rPr>
          <w:rFonts w:ascii="Arial" w:eastAsia="Times New Roman" w:hAnsi="Arial" w:cs="Arial"/>
          <w:b/>
          <w:sz w:val="20"/>
          <w:szCs w:val="20"/>
        </w:rPr>
      </w:pPr>
      <w:r w:rsidRPr="00C07E78">
        <w:rPr>
          <w:rFonts w:ascii="Arial" w:eastAsia="Times New Roman" w:hAnsi="Arial" w:cs="Arial"/>
          <w:b/>
          <w:sz w:val="20"/>
          <w:szCs w:val="20"/>
        </w:rPr>
        <w:t>Conclusion</w:t>
      </w:r>
    </w:p>
    <w:p w:rsidR="00BE5FE6" w:rsidRPr="00C07E78" w:rsidRDefault="00BE5FE6" w:rsidP="00C07E78">
      <w:pPr>
        <w:autoSpaceDE w:val="0"/>
        <w:autoSpaceDN w:val="0"/>
        <w:adjustRightInd w:val="0"/>
        <w:spacing w:after="0" w:line="240" w:lineRule="auto"/>
        <w:rPr>
          <w:rFonts w:ascii="Arial" w:eastAsia="Times New Roman" w:hAnsi="Arial" w:cs="Arial"/>
          <w:spacing w:val="6"/>
          <w:sz w:val="20"/>
          <w:szCs w:val="20"/>
          <w:lang w:eastAsia="en-GB"/>
        </w:rPr>
      </w:pPr>
    </w:p>
    <w:p w:rsidR="00BE5FE6" w:rsidRPr="00C07E78" w:rsidRDefault="00BE5FE6" w:rsidP="00C07E78">
      <w:pPr>
        <w:autoSpaceDE w:val="0"/>
        <w:autoSpaceDN w:val="0"/>
        <w:adjustRightInd w:val="0"/>
        <w:spacing w:after="0" w:line="240" w:lineRule="auto"/>
        <w:rPr>
          <w:rFonts w:ascii="Arial" w:eastAsia="Times New Roman" w:hAnsi="Arial" w:cs="Arial"/>
          <w:spacing w:val="6"/>
          <w:sz w:val="20"/>
          <w:szCs w:val="20"/>
          <w:lang w:eastAsia="en-GB"/>
        </w:rPr>
      </w:pPr>
      <w:r w:rsidRPr="00C07E78">
        <w:rPr>
          <w:rFonts w:ascii="Arial" w:eastAsia="Times New Roman" w:hAnsi="Arial" w:cs="Arial"/>
          <w:spacing w:val="6"/>
          <w:sz w:val="20"/>
          <w:szCs w:val="20"/>
          <w:lang w:eastAsia="en-GB"/>
        </w:rPr>
        <w:t xml:space="preserve">The Committee appreciates the valuable contributions and advices made by the public and different organisations when processing the Bill. </w:t>
      </w:r>
      <w:r w:rsidR="00040419" w:rsidRPr="00C07E78">
        <w:rPr>
          <w:rFonts w:ascii="Arial" w:eastAsia="Times New Roman" w:hAnsi="Arial" w:cs="Arial"/>
          <w:spacing w:val="6"/>
          <w:sz w:val="20"/>
          <w:szCs w:val="20"/>
          <w:lang w:eastAsia="en-GB"/>
        </w:rPr>
        <w:t xml:space="preserve">The Committee </w:t>
      </w:r>
      <w:r w:rsidRPr="00C07E78">
        <w:rPr>
          <w:rFonts w:ascii="Arial" w:eastAsia="Times New Roman" w:hAnsi="Arial" w:cs="Arial"/>
          <w:spacing w:val="6"/>
          <w:sz w:val="20"/>
          <w:szCs w:val="20"/>
          <w:lang w:eastAsia="en-GB"/>
        </w:rPr>
        <w:t>emphasises the need for government departments to always ensure efficient, economic and effective use of appropriated funds in line with the principles set out in Section 195 of the Constitution and other relevant legislations governing the use of public funds, and applicable to the Republic of South Africa.</w:t>
      </w:r>
    </w:p>
    <w:p w:rsidR="00FB7F24" w:rsidRPr="00C07E78" w:rsidRDefault="00FB7F24" w:rsidP="00C07E78">
      <w:pPr>
        <w:spacing w:after="0" w:line="240" w:lineRule="auto"/>
        <w:rPr>
          <w:rFonts w:ascii="Arial" w:eastAsia="Times New Roman" w:hAnsi="Arial" w:cs="Arial"/>
          <w:color w:val="000000"/>
          <w:spacing w:val="6"/>
          <w:sz w:val="20"/>
          <w:szCs w:val="20"/>
          <w:lang w:eastAsia="en-GB"/>
        </w:rPr>
      </w:pPr>
    </w:p>
    <w:p w:rsidR="00FA142B" w:rsidRPr="00C07E78" w:rsidRDefault="00FA142B" w:rsidP="00C07E78">
      <w:pPr>
        <w:spacing w:after="0" w:line="240" w:lineRule="auto"/>
        <w:rPr>
          <w:rFonts w:ascii="Arial" w:eastAsia="Times New Roman" w:hAnsi="Arial" w:cs="Arial"/>
          <w:color w:val="000000"/>
          <w:spacing w:val="6"/>
          <w:sz w:val="20"/>
          <w:szCs w:val="20"/>
          <w:lang w:eastAsia="en-GB"/>
        </w:rPr>
      </w:pPr>
      <w:r w:rsidRPr="00C07E78">
        <w:rPr>
          <w:rFonts w:ascii="Arial" w:eastAsia="Times New Roman" w:hAnsi="Arial" w:cs="Arial"/>
          <w:color w:val="000000"/>
          <w:spacing w:val="6"/>
          <w:sz w:val="20"/>
          <w:szCs w:val="20"/>
          <w:lang w:eastAsia="en-GB"/>
        </w:rPr>
        <w:t>The relevant Executive Authorities must send the responses to the recommendations as set out in section 7 above to Parliament as well as the Committee within 60 days of the adoption of this report by the National Assembly.</w:t>
      </w:r>
    </w:p>
    <w:p w:rsidR="00FA142B" w:rsidRPr="00C07E78" w:rsidRDefault="00FA142B" w:rsidP="00C07E78">
      <w:pPr>
        <w:autoSpaceDE w:val="0"/>
        <w:autoSpaceDN w:val="0"/>
        <w:adjustRightInd w:val="0"/>
        <w:spacing w:after="0" w:line="240" w:lineRule="auto"/>
        <w:rPr>
          <w:rFonts w:ascii="Arial" w:eastAsia="Times New Roman" w:hAnsi="Arial" w:cs="Arial"/>
          <w:spacing w:val="6"/>
          <w:sz w:val="20"/>
          <w:szCs w:val="20"/>
          <w:lang w:eastAsia="en-GB"/>
        </w:rPr>
      </w:pPr>
    </w:p>
    <w:p w:rsidR="00BE5FE6" w:rsidRPr="00C07E78" w:rsidRDefault="00BE5FE6" w:rsidP="00C07E78">
      <w:pPr>
        <w:spacing w:after="0" w:line="240" w:lineRule="auto"/>
        <w:ind w:left="720" w:hanging="720"/>
        <w:rPr>
          <w:rFonts w:ascii="Arial" w:eastAsia="Times New Roman" w:hAnsi="Arial" w:cs="Arial"/>
          <w:sz w:val="20"/>
          <w:szCs w:val="20"/>
        </w:rPr>
      </w:pPr>
    </w:p>
    <w:p w:rsidR="00BE5FE6" w:rsidRPr="00C07E78" w:rsidRDefault="00BE5FE6" w:rsidP="00C07E78">
      <w:pPr>
        <w:spacing w:after="0" w:line="240" w:lineRule="auto"/>
        <w:ind w:left="720" w:hanging="720"/>
        <w:rPr>
          <w:rFonts w:ascii="Arial" w:eastAsia="Times New Roman" w:hAnsi="Arial" w:cs="Arial"/>
          <w:sz w:val="20"/>
          <w:szCs w:val="20"/>
        </w:rPr>
      </w:pPr>
    </w:p>
    <w:p w:rsidR="00BE5FE6" w:rsidRPr="00C07E78" w:rsidRDefault="00BE5FE6" w:rsidP="00C07E78">
      <w:pPr>
        <w:spacing w:after="0" w:line="240" w:lineRule="auto"/>
        <w:ind w:left="720" w:hanging="720"/>
        <w:rPr>
          <w:rFonts w:ascii="Arial" w:eastAsia="Times New Roman" w:hAnsi="Arial" w:cs="Arial"/>
          <w:sz w:val="20"/>
          <w:szCs w:val="20"/>
        </w:rPr>
      </w:pPr>
    </w:p>
    <w:p w:rsidR="00BE5FE6" w:rsidRPr="00C07E78" w:rsidRDefault="00BE5FE6" w:rsidP="00C07E78">
      <w:pPr>
        <w:spacing w:after="0" w:line="240" w:lineRule="auto"/>
        <w:ind w:left="720" w:hanging="720"/>
        <w:rPr>
          <w:rFonts w:ascii="Arial" w:eastAsia="Times New Roman" w:hAnsi="Arial" w:cs="Arial"/>
          <w:sz w:val="20"/>
          <w:szCs w:val="20"/>
        </w:rPr>
      </w:pPr>
      <w:r w:rsidRPr="00C07E78">
        <w:rPr>
          <w:rFonts w:ascii="Arial" w:eastAsia="Times New Roman" w:hAnsi="Arial" w:cs="Arial"/>
          <w:sz w:val="20"/>
          <w:szCs w:val="20"/>
        </w:rPr>
        <w:lastRenderedPageBreak/>
        <w:t xml:space="preserve">Report to be considered. </w:t>
      </w:r>
    </w:p>
    <w:p w:rsidR="00BE5FE6" w:rsidRPr="00C07E78" w:rsidRDefault="00BE5FE6" w:rsidP="00C07E78">
      <w:pPr>
        <w:spacing w:after="0" w:line="240" w:lineRule="auto"/>
        <w:rPr>
          <w:rFonts w:ascii="Arial" w:hAnsi="Arial" w:cs="Arial"/>
          <w:sz w:val="20"/>
          <w:szCs w:val="20"/>
        </w:rPr>
      </w:pPr>
    </w:p>
    <w:p w:rsidR="00A7210A" w:rsidRPr="00C07E78" w:rsidRDefault="00A7210A" w:rsidP="00C07E78">
      <w:pPr>
        <w:spacing w:after="0" w:line="240" w:lineRule="auto"/>
        <w:rPr>
          <w:rFonts w:ascii="Arial" w:hAnsi="Arial" w:cs="Arial"/>
          <w:sz w:val="20"/>
          <w:szCs w:val="20"/>
        </w:rPr>
      </w:pPr>
    </w:p>
    <w:sectPr w:rsidR="00A7210A" w:rsidRPr="00C07E78" w:rsidSect="00BE5FE6">
      <w:footerReference w:type="even" r:id="rId8"/>
      <w:footerReference w:type="default" r:id="rId9"/>
      <w:pgSz w:w="12240" w:h="15840"/>
      <w:pgMar w:top="1418" w:right="1041"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417" w:rsidRDefault="00205417" w:rsidP="00137ACC">
      <w:pPr>
        <w:spacing w:after="0" w:line="240" w:lineRule="auto"/>
      </w:pPr>
      <w:r>
        <w:separator/>
      </w:r>
    </w:p>
  </w:endnote>
  <w:endnote w:type="continuationSeparator" w:id="0">
    <w:p w:rsidR="00205417" w:rsidRDefault="00205417" w:rsidP="00137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07" w:rsidRDefault="00572B4F" w:rsidP="00BE5FE6">
    <w:pPr>
      <w:pStyle w:val="Footer"/>
      <w:framePr w:wrap="around" w:vAnchor="text" w:hAnchor="margin" w:xAlign="right" w:y="1"/>
      <w:rPr>
        <w:rStyle w:val="PageNumber"/>
      </w:rPr>
    </w:pPr>
    <w:r>
      <w:rPr>
        <w:rStyle w:val="PageNumber"/>
      </w:rPr>
      <w:fldChar w:fldCharType="begin"/>
    </w:r>
    <w:r w:rsidR="000A3A07">
      <w:rPr>
        <w:rStyle w:val="PageNumber"/>
      </w:rPr>
      <w:instrText xml:space="preserve">PAGE  </w:instrText>
    </w:r>
    <w:r>
      <w:rPr>
        <w:rStyle w:val="PageNumber"/>
      </w:rPr>
      <w:fldChar w:fldCharType="end"/>
    </w:r>
  </w:p>
  <w:p w:rsidR="000A3A07" w:rsidRDefault="000A3A07" w:rsidP="00BE5F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07" w:rsidRDefault="00572B4F" w:rsidP="00BE5FE6">
    <w:pPr>
      <w:pStyle w:val="Footer"/>
      <w:framePr w:wrap="around" w:vAnchor="text" w:hAnchor="margin" w:xAlign="right" w:y="1"/>
      <w:rPr>
        <w:rStyle w:val="PageNumber"/>
      </w:rPr>
    </w:pPr>
    <w:r>
      <w:rPr>
        <w:rStyle w:val="PageNumber"/>
      </w:rPr>
      <w:fldChar w:fldCharType="begin"/>
    </w:r>
    <w:r w:rsidR="000A3A07">
      <w:rPr>
        <w:rStyle w:val="PageNumber"/>
      </w:rPr>
      <w:instrText xml:space="preserve">PAGE  </w:instrText>
    </w:r>
    <w:r>
      <w:rPr>
        <w:rStyle w:val="PageNumber"/>
      </w:rPr>
      <w:fldChar w:fldCharType="separate"/>
    </w:r>
    <w:r w:rsidR="00C07E78">
      <w:rPr>
        <w:rStyle w:val="PageNumber"/>
        <w:noProof/>
      </w:rPr>
      <w:t>1</w:t>
    </w:r>
    <w:r>
      <w:rPr>
        <w:rStyle w:val="PageNumber"/>
      </w:rPr>
      <w:fldChar w:fldCharType="end"/>
    </w:r>
  </w:p>
  <w:p w:rsidR="000A3A07" w:rsidRDefault="000A3A07" w:rsidP="00BE5F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417" w:rsidRDefault="00205417" w:rsidP="00137ACC">
      <w:pPr>
        <w:spacing w:after="0" w:line="240" w:lineRule="auto"/>
      </w:pPr>
      <w:r>
        <w:separator/>
      </w:r>
    </w:p>
  </w:footnote>
  <w:footnote w:type="continuationSeparator" w:id="0">
    <w:p w:rsidR="00205417" w:rsidRDefault="00205417" w:rsidP="00137A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AF0"/>
    <w:multiLevelType w:val="hybridMultilevel"/>
    <w:tmpl w:val="A77CD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1D579A"/>
    <w:multiLevelType w:val="multilevel"/>
    <w:tmpl w:val="CC52EC2A"/>
    <w:lvl w:ilvl="0">
      <w:start w:val="4"/>
      <w:numFmt w:val="decimal"/>
      <w:lvlText w:val="%1."/>
      <w:lvlJc w:val="left"/>
      <w:pPr>
        <w:ind w:left="2421" w:hanging="360"/>
      </w:pPr>
      <w:rPr>
        <w:rFonts w:hint="default"/>
        <w:b/>
      </w:rPr>
    </w:lvl>
    <w:lvl w:ilvl="1">
      <w:start w:val="1"/>
      <w:numFmt w:val="decimal"/>
      <w:isLgl/>
      <w:lvlText w:val="%1.%2"/>
      <w:lvlJc w:val="left"/>
      <w:pPr>
        <w:ind w:left="2421" w:hanging="360"/>
      </w:pPr>
      <w:rPr>
        <w:rFonts w:hint="default"/>
        <w:b/>
      </w:rPr>
    </w:lvl>
    <w:lvl w:ilvl="2">
      <w:start w:val="1"/>
      <w:numFmt w:val="decimal"/>
      <w:isLgl/>
      <w:lvlText w:val="%1.%2.%3"/>
      <w:lvlJc w:val="left"/>
      <w:pPr>
        <w:ind w:left="2781" w:hanging="720"/>
      </w:pPr>
      <w:rPr>
        <w:rFonts w:hint="default"/>
        <w:b/>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2">
    <w:nsid w:val="1D2D7580"/>
    <w:multiLevelType w:val="hybridMultilevel"/>
    <w:tmpl w:val="07442F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CC10E8"/>
    <w:multiLevelType w:val="hybridMultilevel"/>
    <w:tmpl w:val="8F181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FE25390"/>
    <w:multiLevelType w:val="hybridMultilevel"/>
    <w:tmpl w:val="E54C1706"/>
    <w:lvl w:ilvl="0" w:tplc="B4E8A7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860FA6"/>
    <w:multiLevelType w:val="hybridMultilevel"/>
    <w:tmpl w:val="FC8C11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55C4BC8"/>
    <w:multiLevelType w:val="hybridMultilevel"/>
    <w:tmpl w:val="06101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4D357C"/>
    <w:multiLevelType w:val="multilevel"/>
    <w:tmpl w:val="F1EC85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934477"/>
    <w:multiLevelType w:val="hybridMultilevel"/>
    <w:tmpl w:val="A24A5C6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CB117BA"/>
    <w:multiLevelType w:val="hybridMultilevel"/>
    <w:tmpl w:val="EE222E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3D47165"/>
    <w:multiLevelType w:val="hybridMultilevel"/>
    <w:tmpl w:val="F3640E2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nsid w:val="49CD0380"/>
    <w:multiLevelType w:val="multilevel"/>
    <w:tmpl w:val="D41A9E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02383D"/>
    <w:multiLevelType w:val="hybridMultilevel"/>
    <w:tmpl w:val="789C9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D24118A"/>
    <w:multiLevelType w:val="hybridMultilevel"/>
    <w:tmpl w:val="3C6C70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4060A1B"/>
    <w:multiLevelType w:val="multilevel"/>
    <w:tmpl w:val="AC16339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8471A6"/>
    <w:multiLevelType w:val="hybridMultilevel"/>
    <w:tmpl w:val="97E001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0926568"/>
    <w:multiLevelType w:val="multilevel"/>
    <w:tmpl w:val="C192AF6A"/>
    <w:lvl w:ilvl="0">
      <w:start w:val="3"/>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86759B7"/>
    <w:multiLevelType w:val="hybridMultilevel"/>
    <w:tmpl w:val="174AB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8FF232F"/>
    <w:multiLevelType w:val="hybridMultilevel"/>
    <w:tmpl w:val="0C32150C"/>
    <w:lvl w:ilvl="0" w:tplc="E48425B2">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99E7FD6"/>
    <w:multiLevelType w:val="hybridMultilevel"/>
    <w:tmpl w:val="33A823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
  </w:num>
  <w:num w:numId="4">
    <w:abstractNumId w:val="16"/>
  </w:num>
  <w:num w:numId="5">
    <w:abstractNumId w:val="4"/>
  </w:num>
  <w:num w:numId="6">
    <w:abstractNumId w:val="19"/>
  </w:num>
  <w:num w:numId="7">
    <w:abstractNumId w:val="6"/>
  </w:num>
  <w:num w:numId="8">
    <w:abstractNumId w:val="0"/>
  </w:num>
  <w:num w:numId="9">
    <w:abstractNumId w:val="15"/>
  </w:num>
  <w:num w:numId="10">
    <w:abstractNumId w:val="17"/>
  </w:num>
  <w:num w:numId="11">
    <w:abstractNumId w:val="3"/>
  </w:num>
  <w:num w:numId="12">
    <w:abstractNumId w:val="5"/>
  </w:num>
  <w:num w:numId="13">
    <w:abstractNumId w:val="12"/>
  </w:num>
  <w:num w:numId="14">
    <w:abstractNumId w:val="10"/>
  </w:num>
  <w:num w:numId="15">
    <w:abstractNumId w:val="13"/>
  </w:num>
  <w:num w:numId="16">
    <w:abstractNumId w:val="14"/>
  </w:num>
  <w:num w:numId="17">
    <w:abstractNumId w:val="8"/>
  </w:num>
  <w:num w:numId="18">
    <w:abstractNumId w:val="9"/>
  </w:num>
  <w:num w:numId="19">
    <w:abstractNumId w:val="2"/>
  </w:num>
  <w:num w:numId="20">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BE5FE6"/>
    <w:rsid w:val="00014094"/>
    <w:rsid w:val="00027A2D"/>
    <w:rsid w:val="000402E9"/>
    <w:rsid w:val="00040419"/>
    <w:rsid w:val="000436B2"/>
    <w:rsid w:val="000566BD"/>
    <w:rsid w:val="000809F5"/>
    <w:rsid w:val="000868BD"/>
    <w:rsid w:val="00091FD9"/>
    <w:rsid w:val="000A0489"/>
    <w:rsid w:val="000A3A07"/>
    <w:rsid w:val="000C0E65"/>
    <w:rsid w:val="000E6E09"/>
    <w:rsid w:val="000E7FB7"/>
    <w:rsid w:val="0010137F"/>
    <w:rsid w:val="00111453"/>
    <w:rsid w:val="00126F44"/>
    <w:rsid w:val="00137ACC"/>
    <w:rsid w:val="00160F22"/>
    <w:rsid w:val="00172463"/>
    <w:rsid w:val="001C23A9"/>
    <w:rsid w:val="001E0F95"/>
    <w:rsid w:val="0020368F"/>
    <w:rsid w:val="00205417"/>
    <w:rsid w:val="00205D94"/>
    <w:rsid w:val="002438B4"/>
    <w:rsid w:val="00251A6F"/>
    <w:rsid w:val="00255255"/>
    <w:rsid w:val="002A24CD"/>
    <w:rsid w:val="002E0E4E"/>
    <w:rsid w:val="002F5E9B"/>
    <w:rsid w:val="00300060"/>
    <w:rsid w:val="003134CA"/>
    <w:rsid w:val="00336E34"/>
    <w:rsid w:val="00340FDB"/>
    <w:rsid w:val="00343900"/>
    <w:rsid w:val="0036223A"/>
    <w:rsid w:val="00390013"/>
    <w:rsid w:val="003A12B3"/>
    <w:rsid w:val="003A275E"/>
    <w:rsid w:val="003A3361"/>
    <w:rsid w:val="003A61D3"/>
    <w:rsid w:val="003D04CB"/>
    <w:rsid w:val="003D3787"/>
    <w:rsid w:val="003E3F30"/>
    <w:rsid w:val="003F7599"/>
    <w:rsid w:val="0042747E"/>
    <w:rsid w:val="00462175"/>
    <w:rsid w:val="00486532"/>
    <w:rsid w:val="004A4907"/>
    <w:rsid w:val="004A5A72"/>
    <w:rsid w:val="004B2CD5"/>
    <w:rsid w:val="004B3657"/>
    <w:rsid w:val="004C3714"/>
    <w:rsid w:val="004D4309"/>
    <w:rsid w:val="004E5AB9"/>
    <w:rsid w:val="00501A11"/>
    <w:rsid w:val="00513411"/>
    <w:rsid w:val="00524990"/>
    <w:rsid w:val="00537D8D"/>
    <w:rsid w:val="00571162"/>
    <w:rsid w:val="00571E9B"/>
    <w:rsid w:val="00572B4F"/>
    <w:rsid w:val="00575E7C"/>
    <w:rsid w:val="00592ED4"/>
    <w:rsid w:val="005D7C9A"/>
    <w:rsid w:val="00601478"/>
    <w:rsid w:val="00602F56"/>
    <w:rsid w:val="00652FBD"/>
    <w:rsid w:val="006566D3"/>
    <w:rsid w:val="00657C1A"/>
    <w:rsid w:val="00667275"/>
    <w:rsid w:val="00673C02"/>
    <w:rsid w:val="0068028E"/>
    <w:rsid w:val="0068253B"/>
    <w:rsid w:val="006844AF"/>
    <w:rsid w:val="006937BD"/>
    <w:rsid w:val="006B6D11"/>
    <w:rsid w:val="006E47D4"/>
    <w:rsid w:val="006E5886"/>
    <w:rsid w:val="006F6F11"/>
    <w:rsid w:val="00700082"/>
    <w:rsid w:val="00703872"/>
    <w:rsid w:val="00707DF4"/>
    <w:rsid w:val="00731A85"/>
    <w:rsid w:val="00761D6A"/>
    <w:rsid w:val="00790679"/>
    <w:rsid w:val="00797AFF"/>
    <w:rsid w:val="007B6616"/>
    <w:rsid w:val="007C0942"/>
    <w:rsid w:val="007C368C"/>
    <w:rsid w:val="007C3C93"/>
    <w:rsid w:val="007C5670"/>
    <w:rsid w:val="007E1EEA"/>
    <w:rsid w:val="007F23CD"/>
    <w:rsid w:val="00802CC2"/>
    <w:rsid w:val="00812024"/>
    <w:rsid w:val="0081726B"/>
    <w:rsid w:val="008258B6"/>
    <w:rsid w:val="008342A0"/>
    <w:rsid w:val="00853ACC"/>
    <w:rsid w:val="0087456C"/>
    <w:rsid w:val="008842B4"/>
    <w:rsid w:val="008C2708"/>
    <w:rsid w:val="008D6489"/>
    <w:rsid w:val="008E2C6C"/>
    <w:rsid w:val="00900A72"/>
    <w:rsid w:val="009204BD"/>
    <w:rsid w:val="009330D0"/>
    <w:rsid w:val="00941209"/>
    <w:rsid w:val="00960DA0"/>
    <w:rsid w:val="009707B1"/>
    <w:rsid w:val="00976FB7"/>
    <w:rsid w:val="009900AF"/>
    <w:rsid w:val="00992279"/>
    <w:rsid w:val="009951CC"/>
    <w:rsid w:val="009955AF"/>
    <w:rsid w:val="009B0ACB"/>
    <w:rsid w:val="009B458A"/>
    <w:rsid w:val="009C29E7"/>
    <w:rsid w:val="009F06FE"/>
    <w:rsid w:val="00A3275E"/>
    <w:rsid w:val="00A7210A"/>
    <w:rsid w:val="00A7281F"/>
    <w:rsid w:val="00A77111"/>
    <w:rsid w:val="00A90034"/>
    <w:rsid w:val="00AA0452"/>
    <w:rsid w:val="00AE47FA"/>
    <w:rsid w:val="00B06394"/>
    <w:rsid w:val="00B10E53"/>
    <w:rsid w:val="00B400FE"/>
    <w:rsid w:val="00B7227D"/>
    <w:rsid w:val="00B825E1"/>
    <w:rsid w:val="00B92D6D"/>
    <w:rsid w:val="00BB758D"/>
    <w:rsid w:val="00BB7905"/>
    <w:rsid w:val="00BD2C4B"/>
    <w:rsid w:val="00BE5FE6"/>
    <w:rsid w:val="00BF049C"/>
    <w:rsid w:val="00BF2D16"/>
    <w:rsid w:val="00C005C4"/>
    <w:rsid w:val="00C07E78"/>
    <w:rsid w:val="00C1308A"/>
    <w:rsid w:val="00C13690"/>
    <w:rsid w:val="00C32B77"/>
    <w:rsid w:val="00C34F77"/>
    <w:rsid w:val="00C46761"/>
    <w:rsid w:val="00C47891"/>
    <w:rsid w:val="00C505E1"/>
    <w:rsid w:val="00C529BB"/>
    <w:rsid w:val="00C568C4"/>
    <w:rsid w:val="00C8115A"/>
    <w:rsid w:val="00C94571"/>
    <w:rsid w:val="00CA0AF0"/>
    <w:rsid w:val="00CB341E"/>
    <w:rsid w:val="00CE4B1B"/>
    <w:rsid w:val="00CF249F"/>
    <w:rsid w:val="00D00433"/>
    <w:rsid w:val="00D150C2"/>
    <w:rsid w:val="00D22957"/>
    <w:rsid w:val="00D24740"/>
    <w:rsid w:val="00DA67C8"/>
    <w:rsid w:val="00DB0423"/>
    <w:rsid w:val="00DC4190"/>
    <w:rsid w:val="00E26744"/>
    <w:rsid w:val="00E4356A"/>
    <w:rsid w:val="00E51210"/>
    <w:rsid w:val="00E605E4"/>
    <w:rsid w:val="00E6526C"/>
    <w:rsid w:val="00E724F0"/>
    <w:rsid w:val="00E82D35"/>
    <w:rsid w:val="00EA10DF"/>
    <w:rsid w:val="00EA2B04"/>
    <w:rsid w:val="00EA2D6B"/>
    <w:rsid w:val="00ED5843"/>
    <w:rsid w:val="00EE1EDB"/>
    <w:rsid w:val="00EF4EA3"/>
    <w:rsid w:val="00F54458"/>
    <w:rsid w:val="00F9728C"/>
    <w:rsid w:val="00FA142B"/>
    <w:rsid w:val="00FB7F24"/>
    <w:rsid w:val="00FE091C"/>
    <w:rsid w:val="00FE4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5FE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BE5FE6"/>
    <w:rPr>
      <w:lang w:val="en-GB"/>
    </w:rPr>
  </w:style>
  <w:style w:type="character" w:styleId="PageNumber">
    <w:name w:val="page number"/>
    <w:basedOn w:val="DefaultParagraphFont"/>
    <w:uiPriority w:val="99"/>
    <w:rsid w:val="00BE5FE6"/>
    <w:rPr>
      <w:rFonts w:cs="Times New Roman"/>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BE5FE6"/>
    <w:pPr>
      <w:ind w:left="720"/>
      <w:contextualSpacing/>
    </w:pPr>
    <w:rPr>
      <w:lang w:val="en-GB"/>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locked/>
    <w:rsid w:val="00BE5FE6"/>
    <w:rPr>
      <w:lang w:val="en-GB"/>
    </w:rPr>
  </w:style>
  <w:style w:type="table" w:styleId="TableGrid">
    <w:name w:val="Table Grid"/>
    <w:basedOn w:val="TableNormal"/>
    <w:uiPriority w:val="39"/>
    <w:rsid w:val="00BE5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BE5FE6"/>
    <w:rPr>
      <w:rFonts w:ascii="Segoe UI" w:hAnsi="Segoe UI" w:cs="Segoe UI"/>
      <w:sz w:val="18"/>
      <w:szCs w:val="18"/>
      <w:lang w:val="en-GB"/>
    </w:rPr>
  </w:style>
  <w:style w:type="paragraph" w:styleId="BalloonText">
    <w:name w:val="Balloon Text"/>
    <w:basedOn w:val="Normal"/>
    <w:link w:val="BalloonTextChar"/>
    <w:uiPriority w:val="99"/>
    <w:semiHidden/>
    <w:unhideWhenUsed/>
    <w:rsid w:val="00BE5FE6"/>
    <w:pPr>
      <w:spacing w:after="0" w:line="240" w:lineRule="auto"/>
    </w:pPr>
    <w:rPr>
      <w:rFonts w:ascii="Segoe UI" w:hAnsi="Segoe UI" w:cs="Segoe UI"/>
      <w:sz w:val="18"/>
      <w:szCs w:val="18"/>
      <w:lang w:val="en-GB"/>
    </w:rPr>
  </w:style>
  <w:style w:type="character" w:customStyle="1" w:styleId="BalloonTextChar1">
    <w:name w:val="Balloon Text Char1"/>
    <w:basedOn w:val="DefaultParagraphFont"/>
    <w:uiPriority w:val="99"/>
    <w:semiHidden/>
    <w:rsid w:val="00BE5FE6"/>
    <w:rPr>
      <w:rFonts w:ascii="Segoe UI" w:hAnsi="Segoe UI" w:cs="Segoe UI"/>
      <w:sz w:val="18"/>
      <w:szCs w:val="18"/>
    </w:rPr>
  </w:style>
  <w:style w:type="paragraph" w:styleId="Header">
    <w:name w:val="header"/>
    <w:basedOn w:val="Normal"/>
    <w:link w:val="HeaderChar"/>
    <w:uiPriority w:val="99"/>
    <w:unhideWhenUsed/>
    <w:rsid w:val="00BE5FE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BE5FE6"/>
    <w:rPr>
      <w:lang w:val="en-GB"/>
    </w:rPr>
  </w:style>
  <w:style w:type="character" w:customStyle="1" w:styleId="CharAttribute0">
    <w:name w:val="CharAttribute0"/>
    <w:rsid w:val="00BE5FE6"/>
    <w:rPr>
      <w:rFonts w:ascii="Times New Roman" w:eastAsia="Times New Roman"/>
    </w:rPr>
  </w:style>
  <w:style w:type="character" w:customStyle="1" w:styleId="tgc">
    <w:name w:val="_tgc"/>
    <w:basedOn w:val="DefaultParagraphFont"/>
    <w:rsid w:val="00BE5FE6"/>
  </w:style>
  <w:style w:type="paragraph" w:customStyle="1" w:styleId="char">
    <w:name w:val="char"/>
    <w:basedOn w:val="Normal"/>
    <w:uiPriority w:val="99"/>
    <w:rsid w:val="00BE5FE6"/>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customStyle="1" w:styleId="Default">
    <w:name w:val="Default"/>
    <w:rsid w:val="00BE5FE6"/>
    <w:pPr>
      <w:autoSpaceDE w:val="0"/>
      <w:autoSpaceDN w:val="0"/>
      <w:adjustRightInd w:val="0"/>
      <w:spacing w:after="0" w:line="240" w:lineRule="auto"/>
    </w:pPr>
    <w:rPr>
      <w:rFonts w:ascii="Calibri" w:hAnsi="Calibri" w:cs="Calibri"/>
      <w:color w:val="000000"/>
      <w:sz w:val="24"/>
      <w:szCs w:val="24"/>
      <w:lang w:val="en-GB"/>
    </w:rPr>
  </w:style>
  <w:style w:type="character" w:customStyle="1" w:styleId="CommentTextChar">
    <w:name w:val="Comment Text Char"/>
    <w:basedOn w:val="DefaultParagraphFont"/>
    <w:link w:val="CommentText"/>
    <w:uiPriority w:val="99"/>
    <w:semiHidden/>
    <w:rsid w:val="00BE5FE6"/>
    <w:rPr>
      <w:sz w:val="20"/>
      <w:szCs w:val="20"/>
      <w:lang w:val="en-GB"/>
    </w:rPr>
  </w:style>
  <w:style w:type="paragraph" w:styleId="CommentText">
    <w:name w:val="annotation text"/>
    <w:basedOn w:val="Normal"/>
    <w:link w:val="CommentTextChar"/>
    <w:uiPriority w:val="99"/>
    <w:semiHidden/>
    <w:unhideWhenUsed/>
    <w:rsid w:val="00BE5FE6"/>
    <w:pPr>
      <w:spacing w:line="240" w:lineRule="auto"/>
    </w:pPr>
    <w:rPr>
      <w:sz w:val="20"/>
      <w:szCs w:val="20"/>
      <w:lang w:val="en-GB"/>
    </w:rPr>
  </w:style>
  <w:style w:type="character" w:customStyle="1" w:styleId="CommentTextChar1">
    <w:name w:val="Comment Text Char1"/>
    <w:basedOn w:val="DefaultParagraphFont"/>
    <w:uiPriority w:val="99"/>
    <w:semiHidden/>
    <w:rsid w:val="00BE5FE6"/>
    <w:rPr>
      <w:sz w:val="20"/>
      <w:szCs w:val="20"/>
    </w:rPr>
  </w:style>
  <w:style w:type="character" w:customStyle="1" w:styleId="item-title">
    <w:name w:val="item-title"/>
    <w:basedOn w:val="DefaultParagraphFont"/>
    <w:rsid w:val="00BE5FE6"/>
  </w:style>
  <w:style w:type="character" w:customStyle="1" w:styleId="CommentSubjectChar">
    <w:name w:val="Comment Subject Char"/>
    <w:basedOn w:val="CommentTextChar"/>
    <w:link w:val="CommentSubject"/>
    <w:uiPriority w:val="99"/>
    <w:semiHidden/>
    <w:rsid w:val="00BE5FE6"/>
    <w:rPr>
      <w:b/>
      <w:bCs/>
      <w:sz w:val="20"/>
      <w:szCs w:val="20"/>
      <w:lang w:val="en-GB"/>
    </w:rPr>
  </w:style>
  <w:style w:type="paragraph" w:styleId="CommentSubject">
    <w:name w:val="annotation subject"/>
    <w:basedOn w:val="CommentText"/>
    <w:next w:val="CommentText"/>
    <w:link w:val="CommentSubjectChar"/>
    <w:uiPriority w:val="99"/>
    <w:semiHidden/>
    <w:unhideWhenUsed/>
    <w:rsid w:val="00BE5FE6"/>
    <w:rPr>
      <w:b/>
      <w:bCs/>
    </w:rPr>
  </w:style>
  <w:style w:type="character" w:customStyle="1" w:styleId="CommentSubjectChar1">
    <w:name w:val="Comment Subject Char1"/>
    <w:basedOn w:val="CommentTextChar1"/>
    <w:uiPriority w:val="99"/>
    <w:semiHidden/>
    <w:rsid w:val="00BE5FE6"/>
    <w:rPr>
      <w:b/>
      <w:bCs/>
      <w:sz w:val="20"/>
      <w:szCs w:val="20"/>
    </w:rPr>
  </w:style>
  <w:style w:type="character" w:customStyle="1" w:styleId="FootnoteTextChar">
    <w:name w:val="Footnote Text Char"/>
    <w:basedOn w:val="DefaultParagraphFont"/>
    <w:link w:val="FootnoteText"/>
    <w:uiPriority w:val="99"/>
    <w:semiHidden/>
    <w:rsid w:val="00BE5FE6"/>
    <w:rPr>
      <w:sz w:val="20"/>
      <w:szCs w:val="20"/>
      <w:lang w:val="en-GB"/>
    </w:rPr>
  </w:style>
  <w:style w:type="paragraph" w:styleId="FootnoteText">
    <w:name w:val="footnote text"/>
    <w:basedOn w:val="Normal"/>
    <w:link w:val="FootnoteTextChar"/>
    <w:uiPriority w:val="99"/>
    <w:semiHidden/>
    <w:unhideWhenUsed/>
    <w:rsid w:val="00BE5FE6"/>
    <w:pPr>
      <w:spacing w:after="0" w:line="240" w:lineRule="auto"/>
    </w:pPr>
    <w:rPr>
      <w:sz w:val="20"/>
      <w:szCs w:val="20"/>
      <w:lang w:val="en-GB"/>
    </w:rPr>
  </w:style>
  <w:style w:type="paragraph" w:styleId="NormalWeb">
    <w:name w:val="Normal (Web)"/>
    <w:basedOn w:val="Normal"/>
    <w:uiPriority w:val="99"/>
    <w:semiHidden/>
    <w:unhideWhenUsed/>
    <w:rsid w:val="00501A1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2D16"/>
    <w:rPr>
      <w:sz w:val="16"/>
      <w:szCs w:val="16"/>
    </w:rPr>
  </w:style>
</w:styles>
</file>

<file path=word/webSettings.xml><?xml version="1.0" encoding="utf-8"?>
<w:webSettings xmlns:r="http://schemas.openxmlformats.org/officeDocument/2006/relationships" xmlns:w="http://schemas.openxmlformats.org/wordprocessingml/2006/main">
  <w:divs>
    <w:div w:id="178351090">
      <w:bodyDiv w:val="1"/>
      <w:marLeft w:val="0"/>
      <w:marRight w:val="0"/>
      <w:marTop w:val="0"/>
      <w:marBottom w:val="0"/>
      <w:divBdr>
        <w:top w:val="none" w:sz="0" w:space="0" w:color="auto"/>
        <w:left w:val="none" w:sz="0" w:space="0" w:color="auto"/>
        <w:bottom w:val="none" w:sz="0" w:space="0" w:color="auto"/>
        <w:right w:val="none" w:sz="0" w:space="0" w:color="auto"/>
      </w:divBdr>
      <w:divsChild>
        <w:div w:id="2085298416">
          <w:marLeft w:val="360"/>
          <w:marRight w:val="0"/>
          <w:marTop w:val="200"/>
          <w:marBottom w:val="0"/>
          <w:divBdr>
            <w:top w:val="none" w:sz="0" w:space="0" w:color="auto"/>
            <w:left w:val="none" w:sz="0" w:space="0" w:color="auto"/>
            <w:bottom w:val="none" w:sz="0" w:space="0" w:color="auto"/>
            <w:right w:val="none" w:sz="0" w:space="0" w:color="auto"/>
          </w:divBdr>
        </w:div>
        <w:div w:id="944844650">
          <w:marLeft w:val="360"/>
          <w:marRight w:val="0"/>
          <w:marTop w:val="200"/>
          <w:marBottom w:val="0"/>
          <w:divBdr>
            <w:top w:val="none" w:sz="0" w:space="0" w:color="auto"/>
            <w:left w:val="none" w:sz="0" w:space="0" w:color="auto"/>
            <w:bottom w:val="none" w:sz="0" w:space="0" w:color="auto"/>
            <w:right w:val="none" w:sz="0" w:space="0" w:color="auto"/>
          </w:divBdr>
        </w:div>
      </w:divsChild>
    </w:div>
    <w:div w:id="219102211">
      <w:bodyDiv w:val="1"/>
      <w:marLeft w:val="0"/>
      <w:marRight w:val="0"/>
      <w:marTop w:val="0"/>
      <w:marBottom w:val="0"/>
      <w:divBdr>
        <w:top w:val="none" w:sz="0" w:space="0" w:color="auto"/>
        <w:left w:val="none" w:sz="0" w:space="0" w:color="auto"/>
        <w:bottom w:val="none" w:sz="0" w:space="0" w:color="auto"/>
        <w:right w:val="none" w:sz="0" w:space="0" w:color="auto"/>
      </w:divBdr>
      <w:divsChild>
        <w:div w:id="990449020">
          <w:marLeft w:val="547"/>
          <w:marRight w:val="0"/>
          <w:marTop w:val="134"/>
          <w:marBottom w:val="0"/>
          <w:divBdr>
            <w:top w:val="none" w:sz="0" w:space="0" w:color="auto"/>
            <w:left w:val="none" w:sz="0" w:space="0" w:color="auto"/>
            <w:bottom w:val="none" w:sz="0" w:space="0" w:color="auto"/>
            <w:right w:val="none" w:sz="0" w:space="0" w:color="auto"/>
          </w:divBdr>
        </w:div>
        <w:div w:id="1305043000">
          <w:marLeft w:val="1800"/>
          <w:marRight w:val="0"/>
          <w:marTop w:val="115"/>
          <w:marBottom w:val="0"/>
          <w:divBdr>
            <w:top w:val="none" w:sz="0" w:space="0" w:color="auto"/>
            <w:left w:val="none" w:sz="0" w:space="0" w:color="auto"/>
            <w:bottom w:val="none" w:sz="0" w:space="0" w:color="auto"/>
            <w:right w:val="none" w:sz="0" w:space="0" w:color="auto"/>
          </w:divBdr>
        </w:div>
        <w:div w:id="567886339">
          <w:marLeft w:val="1800"/>
          <w:marRight w:val="0"/>
          <w:marTop w:val="115"/>
          <w:marBottom w:val="0"/>
          <w:divBdr>
            <w:top w:val="none" w:sz="0" w:space="0" w:color="auto"/>
            <w:left w:val="none" w:sz="0" w:space="0" w:color="auto"/>
            <w:bottom w:val="none" w:sz="0" w:space="0" w:color="auto"/>
            <w:right w:val="none" w:sz="0" w:space="0" w:color="auto"/>
          </w:divBdr>
        </w:div>
      </w:divsChild>
    </w:div>
    <w:div w:id="22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42085900">
          <w:marLeft w:val="360"/>
          <w:marRight w:val="0"/>
          <w:marTop w:val="200"/>
          <w:marBottom w:val="0"/>
          <w:divBdr>
            <w:top w:val="none" w:sz="0" w:space="0" w:color="auto"/>
            <w:left w:val="none" w:sz="0" w:space="0" w:color="auto"/>
            <w:bottom w:val="none" w:sz="0" w:space="0" w:color="auto"/>
            <w:right w:val="none" w:sz="0" w:space="0" w:color="auto"/>
          </w:divBdr>
        </w:div>
        <w:div w:id="1835218097">
          <w:marLeft w:val="360"/>
          <w:marRight w:val="0"/>
          <w:marTop w:val="200"/>
          <w:marBottom w:val="0"/>
          <w:divBdr>
            <w:top w:val="none" w:sz="0" w:space="0" w:color="auto"/>
            <w:left w:val="none" w:sz="0" w:space="0" w:color="auto"/>
            <w:bottom w:val="none" w:sz="0" w:space="0" w:color="auto"/>
            <w:right w:val="none" w:sz="0" w:space="0" w:color="auto"/>
          </w:divBdr>
        </w:div>
      </w:divsChild>
    </w:div>
    <w:div w:id="227112047">
      <w:bodyDiv w:val="1"/>
      <w:marLeft w:val="0"/>
      <w:marRight w:val="0"/>
      <w:marTop w:val="0"/>
      <w:marBottom w:val="0"/>
      <w:divBdr>
        <w:top w:val="none" w:sz="0" w:space="0" w:color="auto"/>
        <w:left w:val="none" w:sz="0" w:space="0" w:color="auto"/>
        <w:bottom w:val="none" w:sz="0" w:space="0" w:color="auto"/>
        <w:right w:val="none" w:sz="0" w:space="0" w:color="auto"/>
      </w:divBdr>
    </w:div>
    <w:div w:id="269435242">
      <w:bodyDiv w:val="1"/>
      <w:marLeft w:val="0"/>
      <w:marRight w:val="0"/>
      <w:marTop w:val="0"/>
      <w:marBottom w:val="0"/>
      <w:divBdr>
        <w:top w:val="none" w:sz="0" w:space="0" w:color="auto"/>
        <w:left w:val="none" w:sz="0" w:space="0" w:color="auto"/>
        <w:bottom w:val="none" w:sz="0" w:space="0" w:color="auto"/>
        <w:right w:val="none" w:sz="0" w:space="0" w:color="auto"/>
      </w:divBdr>
      <w:divsChild>
        <w:div w:id="1745490051">
          <w:marLeft w:val="1166"/>
          <w:marRight w:val="0"/>
          <w:marTop w:val="96"/>
          <w:marBottom w:val="0"/>
          <w:divBdr>
            <w:top w:val="none" w:sz="0" w:space="0" w:color="auto"/>
            <w:left w:val="none" w:sz="0" w:space="0" w:color="auto"/>
            <w:bottom w:val="none" w:sz="0" w:space="0" w:color="auto"/>
            <w:right w:val="none" w:sz="0" w:space="0" w:color="auto"/>
          </w:divBdr>
        </w:div>
        <w:div w:id="715814579">
          <w:marLeft w:val="1166"/>
          <w:marRight w:val="0"/>
          <w:marTop w:val="96"/>
          <w:marBottom w:val="0"/>
          <w:divBdr>
            <w:top w:val="none" w:sz="0" w:space="0" w:color="auto"/>
            <w:left w:val="none" w:sz="0" w:space="0" w:color="auto"/>
            <w:bottom w:val="none" w:sz="0" w:space="0" w:color="auto"/>
            <w:right w:val="none" w:sz="0" w:space="0" w:color="auto"/>
          </w:divBdr>
        </w:div>
        <w:div w:id="2114862352">
          <w:marLeft w:val="1166"/>
          <w:marRight w:val="0"/>
          <w:marTop w:val="96"/>
          <w:marBottom w:val="0"/>
          <w:divBdr>
            <w:top w:val="none" w:sz="0" w:space="0" w:color="auto"/>
            <w:left w:val="none" w:sz="0" w:space="0" w:color="auto"/>
            <w:bottom w:val="none" w:sz="0" w:space="0" w:color="auto"/>
            <w:right w:val="none" w:sz="0" w:space="0" w:color="auto"/>
          </w:divBdr>
        </w:div>
        <w:div w:id="3291757">
          <w:marLeft w:val="1166"/>
          <w:marRight w:val="0"/>
          <w:marTop w:val="96"/>
          <w:marBottom w:val="0"/>
          <w:divBdr>
            <w:top w:val="none" w:sz="0" w:space="0" w:color="auto"/>
            <w:left w:val="none" w:sz="0" w:space="0" w:color="auto"/>
            <w:bottom w:val="none" w:sz="0" w:space="0" w:color="auto"/>
            <w:right w:val="none" w:sz="0" w:space="0" w:color="auto"/>
          </w:divBdr>
        </w:div>
      </w:divsChild>
    </w:div>
    <w:div w:id="283659246">
      <w:bodyDiv w:val="1"/>
      <w:marLeft w:val="0"/>
      <w:marRight w:val="0"/>
      <w:marTop w:val="0"/>
      <w:marBottom w:val="0"/>
      <w:divBdr>
        <w:top w:val="none" w:sz="0" w:space="0" w:color="auto"/>
        <w:left w:val="none" w:sz="0" w:space="0" w:color="auto"/>
        <w:bottom w:val="none" w:sz="0" w:space="0" w:color="auto"/>
        <w:right w:val="none" w:sz="0" w:space="0" w:color="auto"/>
      </w:divBdr>
      <w:divsChild>
        <w:div w:id="196429501">
          <w:marLeft w:val="360"/>
          <w:marRight w:val="0"/>
          <w:marTop w:val="200"/>
          <w:marBottom w:val="0"/>
          <w:divBdr>
            <w:top w:val="none" w:sz="0" w:space="0" w:color="auto"/>
            <w:left w:val="none" w:sz="0" w:space="0" w:color="auto"/>
            <w:bottom w:val="none" w:sz="0" w:space="0" w:color="auto"/>
            <w:right w:val="none" w:sz="0" w:space="0" w:color="auto"/>
          </w:divBdr>
        </w:div>
        <w:div w:id="1986927821">
          <w:marLeft w:val="360"/>
          <w:marRight w:val="0"/>
          <w:marTop w:val="200"/>
          <w:marBottom w:val="0"/>
          <w:divBdr>
            <w:top w:val="none" w:sz="0" w:space="0" w:color="auto"/>
            <w:left w:val="none" w:sz="0" w:space="0" w:color="auto"/>
            <w:bottom w:val="none" w:sz="0" w:space="0" w:color="auto"/>
            <w:right w:val="none" w:sz="0" w:space="0" w:color="auto"/>
          </w:divBdr>
        </w:div>
        <w:div w:id="1536040443">
          <w:marLeft w:val="360"/>
          <w:marRight w:val="0"/>
          <w:marTop w:val="200"/>
          <w:marBottom w:val="0"/>
          <w:divBdr>
            <w:top w:val="none" w:sz="0" w:space="0" w:color="auto"/>
            <w:left w:val="none" w:sz="0" w:space="0" w:color="auto"/>
            <w:bottom w:val="none" w:sz="0" w:space="0" w:color="auto"/>
            <w:right w:val="none" w:sz="0" w:space="0" w:color="auto"/>
          </w:divBdr>
        </w:div>
        <w:div w:id="637078833">
          <w:marLeft w:val="360"/>
          <w:marRight w:val="0"/>
          <w:marTop w:val="200"/>
          <w:marBottom w:val="0"/>
          <w:divBdr>
            <w:top w:val="none" w:sz="0" w:space="0" w:color="auto"/>
            <w:left w:val="none" w:sz="0" w:space="0" w:color="auto"/>
            <w:bottom w:val="none" w:sz="0" w:space="0" w:color="auto"/>
            <w:right w:val="none" w:sz="0" w:space="0" w:color="auto"/>
          </w:divBdr>
        </w:div>
      </w:divsChild>
    </w:div>
    <w:div w:id="326829729">
      <w:bodyDiv w:val="1"/>
      <w:marLeft w:val="0"/>
      <w:marRight w:val="0"/>
      <w:marTop w:val="0"/>
      <w:marBottom w:val="0"/>
      <w:divBdr>
        <w:top w:val="none" w:sz="0" w:space="0" w:color="auto"/>
        <w:left w:val="none" w:sz="0" w:space="0" w:color="auto"/>
        <w:bottom w:val="none" w:sz="0" w:space="0" w:color="auto"/>
        <w:right w:val="none" w:sz="0" w:space="0" w:color="auto"/>
      </w:divBdr>
      <w:divsChild>
        <w:div w:id="290672108">
          <w:marLeft w:val="360"/>
          <w:marRight w:val="0"/>
          <w:marTop w:val="200"/>
          <w:marBottom w:val="0"/>
          <w:divBdr>
            <w:top w:val="none" w:sz="0" w:space="0" w:color="auto"/>
            <w:left w:val="none" w:sz="0" w:space="0" w:color="auto"/>
            <w:bottom w:val="none" w:sz="0" w:space="0" w:color="auto"/>
            <w:right w:val="none" w:sz="0" w:space="0" w:color="auto"/>
          </w:divBdr>
        </w:div>
        <w:div w:id="452596898">
          <w:marLeft w:val="360"/>
          <w:marRight w:val="0"/>
          <w:marTop w:val="200"/>
          <w:marBottom w:val="0"/>
          <w:divBdr>
            <w:top w:val="none" w:sz="0" w:space="0" w:color="auto"/>
            <w:left w:val="none" w:sz="0" w:space="0" w:color="auto"/>
            <w:bottom w:val="none" w:sz="0" w:space="0" w:color="auto"/>
            <w:right w:val="none" w:sz="0" w:space="0" w:color="auto"/>
          </w:divBdr>
        </w:div>
      </w:divsChild>
    </w:div>
    <w:div w:id="357124626">
      <w:bodyDiv w:val="1"/>
      <w:marLeft w:val="0"/>
      <w:marRight w:val="0"/>
      <w:marTop w:val="0"/>
      <w:marBottom w:val="0"/>
      <w:divBdr>
        <w:top w:val="none" w:sz="0" w:space="0" w:color="auto"/>
        <w:left w:val="none" w:sz="0" w:space="0" w:color="auto"/>
        <w:bottom w:val="none" w:sz="0" w:space="0" w:color="auto"/>
        <w:right w:val="none" w:sz="0" w:space="0" w:color="auto"/>
      </w:divBdr>
      <w:divsChild>
        <w:div w:id="1201937237">
          <w:marLeft w:val="547"/>
          <w:marRight w:val="0"/>
          <w:marTop w:val="77"/>
          <w:marBottom w:val="0"/>
          <w:divBdr>
            <w:top w:val="none" w:sz="0" w:space="0" w:color="auto"/>
            <w:left w:val="none" w:sz="0" w:space="0" w:color="auto"/>
            <w:bottom w:val="none" w:sz="0" w:space="0" w:color="auto"/>
            <w:right w:val="none" w:sz="0" w:space="0" w:color="auto"/>
          </w:divBdr>
        </w:div>
      </w:divsChild>
    </w:div>
    <w:div w:id="467627282">
      <w:bodyDiv w:val="1"/>
      <w:marLeft w:val="0"/>
      <w:marRight w:val="0"/>
      <w:marTop w:val="0"/>
      <w:marBottom w:val="0"/>
      <w:divBdr>
        <w:top w:val="none" w:sz="0" w:space="0" w:color="auto"/>
        <w:left w:val="none" w:sz="0" w:space="0" w:color="auto"/>
        <w:bottom w:val="none" w:sz="0" w:space="0" w:color="auto"/>
        <w:right w:val="none" w:sz="0" w:space="0" w:color="auto"/>
      </w:divBdr>
      <w:divsChild>
        <w:div w:id="1377392442">
          <w:marLeft w:val="518"/>
          <w:marRight w:val="0"/>
          <w:marTop w:val="0"/>
          <w:marBottom w:val="0"/>
          <w:divBdr>
            <w:top w:val="none" w:sz="0" w:space="0" w:color="auto"/>
            <w:left w:val="none" w:sz="0" w:space="0" w:color="auto"/>
            <w:bottom w:val="none" w:sz="0" w:space="0" w:color="auto"/>
            <w:right w:val="none" w:sz="0" w:space="0" w:color="auto"/>
          </w:divBdr>
        </w:div>
        <w:div w:id="937982568">
          <w:marLeft w:val="518"/>
          <w:marRight w:val="0"/>
          <w:marTop w:val="0"/>
          <w:marBottom w:val="0"/>
          <w:divBdr>
            <w:top w:val="none" w:sz="0" w:space="0" w:color="auto"/>
            <w:left w:val="none" w:sz="0" w:space="0" w:color="auto"/>
            <w:bottom w:val="none" w:sz="0" w:space="0" w:color="auto"/>
            <w:right w:val="none" w:sz="0" w:space="0" w:color="auto"/>
          </w:divBdr>
        </w:div>
        <w:div w:id="625430682">
          <w:marLeft w:val="518"/>
          <w:marRight w:val="0"/>
          <w:marTop w:val="0"/>
          <w:marBottom w:val="0"/>
          <w:divBdr>
            <w:top w:val="none" w:sz="0" w:space="0" w:color="auto"/>
            <w:left w:val="none" w:sz="0" w:space="0" w:color="auto"/>
            <w:bottom w:val="none" w:sz="0" w:space="0" w:color="auto"/>
            <w:right w:val="none" w:sz="0" w:space="0" w:color="auto"/>
          </w:divBdr>
        </w:div>
        <w:div w:id="1361006552">
          <w:marLeft w:val="518"/>
          <w:marRight w:val="0"/>
          <w:marTop w:val="0"/>
          <w:marBottom w:val="0"/>
          <w:divBdr>
            <w:top w:val="none" w:sz="0" w:space="0" w:color="auto"/>
            <w:left w:val="none" w:sz="0" w:space="0" w:color="auto"/>
            <w:bottom w:val="none" w:sz="0" w:space="0" w:color="auto"/>
            <w:right w:val="none" w:sz="0" w:space="0" w:color="auto"/>
          </w:divBdr>
        </w:div>
        <w:div w:id="1830903078">
          <w:marLeft w:val="518"/>
          <w:marRight w:val="0"/>
          <w:marTop w:val="0"/>
          <w:marBottom w:val="0"/>
          <w:divBdr>
            <w:top w:val="none" w:sz="0" w:space="0" w:color="auto"/>
            <w:left w:val="none" w:sz="0" w:space="0" w:color="auto"/>
            <w:bottom w:val="none" w:sz="0" w:space="0" w:color="auto"/>
            <w:right w:val="none" w:sz="0" w:space="0" w:color="auto"/>
          </w:divBdr>
        </w:div>
      </w:divsChild>
    </w:div>
    <w:div w:id="615866517">
      <w:bodyDiv w:val="1"/>
      <w:marLeft w:val="0"/>
      <w:marRight w:val="0"/>
      <w:marTop w:val="0"/>
      <w:marBottom w:val="0"/>
      <w:divBdr>
        <w:top w:val="none" w:sz="0" w:space="0" w:color="auto"/>
        <w:left w:val="none" w:sz="0" w:space="0" w:color="auto"/>
        <w:bottom w:val="none" w:sz="0" w:space="0" w:color="auto"/>
        <w:right w:val="none" w:sz="0" w:space="0" w:color="auto"/>
      </w:divBdr>
      <w:divsChild>
        <w:div w:id="1351637309">
          <w:marLeft w:val="0"/>
          <w:marRight w:val="0"/>
          <w:marTop w:val="186"/>
          <w:marBottom w:val="0"/>
          <w:divBdr>
            <w:top w:val="none" w:sz="0" w:space="0" w:color="auto"/>
            <w:left w:val="none" w:sz="0" w:space="0" w:color="auto"/>
            <w:bottom w:val="none" w:sz="0" w:space="0" w:color="auto"/>
            <w:right w:val="none" w:sz="0" w:space="0" w:color="auto"/>
          </w:divBdr>
        </w:div>
        <w:div w:id="1516725709">
          <w:marLeft w:val="0"/>
          <w:marRight w:val="0"/>
          <w:marTop w:val="186"/>
          <w:marBottom w:val="0"/>
          <w:divBdr>
            <w:top w:val="none" w:sz="0" w:space="0" w:color="auto"/>
            <w:left w:val="none" w:sz="0" w:space="0" w:color="auto"/>
            <w:bottom w:val="none" w:sz="0" w:space="0" w:color="auto"/>
            <w:right w:val="none" w:sz="0" w:space="0" w:color="auto"/>
          </w:divBdr>
        </w:div>
        <w:div w:id="821893677">
          <w:marLeft w:val="0"/>
          <w:marRight w:val="0"/>
          <w:marTop w:val="186"/>
          <w:marBottom w:val="0"/>
          <w:divBdr>
            <w:top w:val="none" w:sz="0" w:space="0" w:color="auto"/>
            <w:left w:val="none" w:sz="0" w:space="0" w:color="auto"/>
            <w:bottom w:val="none" w:sz="0" w:space="0" w:color="auto"/>
            <w:right w:val="none" w:sz="0" w:space="0" w:color="auto"/>
          </w:divBdr>
        </w:div>
        <w:div w:id="98572491">
          <w:marLeft w:val="0"/>
          <w:marRight w:val="0"/>
          <w:marTop w:val="186"/>
          <w:marBottom w:val="0"/>
          <w:divBdr>
            <w:top w:val="none" w:sz="0" w:space="0" w:color="auto"/>
            <w:left w:val="none" w:sz="0" w:space="0" w:color="auto"/>
            <w:bottom w:val="none" w:sz="0" w:space="0" w:color="auto"/>
            <w:right w:val="none" w:sz="0" w:space="0" w:color="auto"/>
          </w:divBdr>
        </w:div>
      </w:divsChild>
    </w:div>
    <w:div w:id="711226441">
      <w:bodyDiv w:val="1"/>
      <w:marLeft w:val="0"/>
      <w:marRight w:val="0"/>
      <w:marTop w:val="0"/>
      <w:marBottom w:val="0"/>
      <w:divBdr>
        <w:top w:val="none" w:sz="0" w:space="0" w:color="auto"/>
        <w:left w:val="none" w:sz="0" w:space="0" w:color="auto"/>
        <w:bottom w:val="none" w:sz="0" w:space="0" w:color="auto"/>
        <w:right w:val="none" w:sz="0" w:space="0" w:color="auto"/>
      </w:divBdr>
    </w:div>
    <w:div w:id="893934490">
      <w:bodyDiv w:val="1"/>
      <w:marLeft w:val="0"/>
      <w:marRight w:val="0"/>
      <w:marTop w:val="0"/>
      <w:marBottom w:val="0"/>
      <w:divBdr>
        <w:top w:val="none" w:sz="0" w:space="0" w:color="auto"/>
        <w:left w:val="none" w:sz="0" w:space="0" w:color="auto"/>
        <w:bottom w:val="none" w:sz="0" w:space="0" w:color="auto"/>
        <w:right w:val="none" w:sz="0" w:space="0" w:color="auto"/>
      </w:divBdr>
      <w:divsChild>
        <w:div w:id="939262923">
          <w:marLeft w:val="547"/>
          <w:marRight w:val="0"/>
          <w:marTop w:val="96"/>
          <w:marBottom w:val="0"/>
          <w:divBdr>
            <w:top w:val="none" w:sz="0" w:space="0" w:color="auto"/>
            <w:left w:val="none" w:sz="0" w:space="0" w:color="auto"/>
            <w:bottom w:val="none" w:sz="0" w:space="0" w:color="auto"/>
            <w:right w:val="none" w:sz="0" w:space="0" w:color="auto"/>
          </w:divBdr>
        </w:div>
        <w:div w:id="1146556166">
          <w:marLeft w:val="547"/>
          <w:marRight w:val="0"/>
          <w:marTop w:val="96"/>
          <w:marBottom w:val="0"/>
          <w:divBdr>
            <w:top w:val="none" w:sz="0" w:space="0" w:color="auto"/>
            <w:left w:val="none" w:sz="0" w:space="0" w:color="auto"/>
            <w:bottom w:val="none" w:sz="0" w:space="0" w:color="auto"/>
            <w:right w:val="none" w:sz="0" w:space="0" w:color="auto"/>
          </w:divBdr>
        </w:div>
        <w:div w:id="236400328">
          <w:marLeft w:val="547"/>
          <w:marRight w:val="0"/>
          <w:marTop w:val="96"/>
          <w:marBottom w:val="0"/>
          <w:divBdr>
            <w:top w:val="none" w:sz="0" w:space="0" w:color="auto"/>
            <w:left w:val="none" w:sz="0" w:space="0" w:color="auto"/>
            <w:bottom w:val="none" w:sz="0" w:space="0" w:color="auto"/>
            <w:right w:val="none" w:sz="0" w:space="0" w:color="auto"/>
          </w:divBdr>
        </w:div>
        <w:div w:id="1852640401">
          <w:marLeft w:val="547"/>
          <w:marRight w:val="0"/>
          <w:marTop w:val="96"/>
          <w:marBottom w:val="0"/>
          <w:divBdr>
            <w:top w:val="none" w:sz="0" w:space="0" w:color="auto"/>
            <w:left w:val="none" w:sz="0" w:space="0" w:color="auto"/>
            <w:bottom w:val="none" w:sz="0" w:space="0" w:color="auto"/>
            <w:right w:val="none" w:sz="0" w:space="0" w:color="auto"/>
          </w:divBdr>
        </w:div>
        <w:div w:id="798844917">
          <w:marLeft w:val="547"/>
          <w:marRight w:val="0"/>
          <w:marTop w:val="96"/>
          <w:marBottom w:val="0"/>
          <w:divBdr>
            <w:top w:val="none" w:sz="0" w:space="0" w:color="auto"/>
            <w:left w:val="none" w:sz="0" w:space="0" w:color="auto"/>
            <w:bottom w:val="none" w:sz="0" w:space="0" w:color="auto"/>
            <w:right w:val="none" w:sz="0" w:space="0" w:color="auto"/>
          </w:divBdr>
        </w:div>
        <w:div w:id="63769976">
          <w:marLeft w:val="547"/>
          <w:marRight w:val="0"/>
          <w:marTop w:val="96"/>
          <w:marBottom w:val="0"/>
          <w:divBdr>
            <w:top w:val="none" w:sz="0" w:space="0" w:color="auto"/>
            <w:left w:val="none" w:sz="0" w:space="0" w:color="auto"/>
            <w:bottom w:val="none" w:sz="0" w:space="0" w:color="auto"/>
            <w:right w:val="none" w:sz="0" w:space="0" w:color="auto"/>
          </w:divBdr>
        </w:div>
        <w:div w:id="503396802">
          <w:marLeft w:val="547"/>
          <w:marRight w:val="0"/>
          <w:marTop w:val="96"/>
          <w:marBottom w:val="0"/>
          <w:divBdr>
            <w:top w:val="none" w:sz="0" w:space="0" w:color="auto"/>
            <w:left w:val="none" w:sz="0" w:space="0" w:color="auto"/>
            <w:bottom w:val="none" w:sz="0" w:space="0" w:color="auto"/>
            <w:right w:val="none" w:sz="0" w:space="0" w:color="auto"/>
          </w:divBdr>
        </w:div>
        <w:div w:id="1865556662">
          <w:marLeft w:val="547"/>
          <w:marRight w:val="0"/>
          <w:marTop w:val="96"/>
          <w:marBottom w:val="0"/>
          <w:divBdr>
            <w:top w:val="none" w:sz="0" w:space="0" w:color="auto"/>
            <w:left w:val="none" w:sz="0" w:space="0" w:color="auto"/>
            <w:bottom w:val="none" w:sz="0" w:space="0" w:color="auto"/>
            <w:right w:val="none" w:sz="0" w:space="0" w:color="auto"/>
          </w:divBdr>
        </w:div>
      </w:divsChild>
    </w:div>
    <w:div w:id="1025324286">
      <w:bodyDiv w:val="1"/>
      <w:marLeft w:val="0"/>
      <w:marRight w:val="0"/>
      <w:marTop w:val="0"/>
      <w:marBottom w:val="0"/>
      <w:divBdr>
        <w:top w:val="none" w:sz="0" w:space="0" w:color="auto"/>
        <w:left w:val="none" w:sz="0" w:space="0" w:color="auto"/>
        <w:bottom w:val="none" w:sz="0" w:space="0" w:color="auto"/>
        <w:right w:val="none" w:sz="0" w:space="0" w:color="auto"/>
      </w:divBdr>
    </w:div>
    <w:div w:id="1092120686">
      <w:bodyDiv w:val="1"/>
      <w:marLeft w:val="0"/>
      <w:marRight w:val="0"/>
      <w:marTop w:val="0"/>
      <w:marBottom w:val="0"/>
      <w:divBdr>
        <w:top w:val="none" w:sz="0" w:space="0" w:color="auto"/>
        <w:left w:val="none" w:sz="0" w:space="0" w:color="auto"/>
        <w:bottom w:val="none" w:sz="0" w:space="0" w:color="auto"/>
        <w:right w:val="none" w:sz="0" w:space="0" w:color="auto"/>
      </w:divBdr>
    </w:div>
    <w:div w:id="1241283743">
      <w:bodyDiv w:val="1"/>
      <w:marLeft w:val="0"/>
      <w:marRight w:val="0"/>
      <w:marTop w:val="0"/>
      <w:marBottom w:val="0"/>
      <w:divBdr>
        <w:top w:val="none" w:sz="0" w:space="0" w:color="auto"/>
        <w:left w:val="none" w:sz="0" w:space="0" w:color="auto"/>
        <w:bottom w:val="none" w:sz="0" w:space="0" w:color="auto"/>
        <w:right w:val="none" w:sz="0" w:space="0" w:color="auto"/>
      </w:divBdr>
      <w:divsChild>
        <w:div w:id="13577764">
          <w:marLeft w:val="806"/>
          <w:marRight w:val="0"/>
          <w:marTop w:val="120"/>
          <w:marBottom w:val="120"/>
          <w:divBdr>
            <w:top w:val="none" w:sz="0" w:space="0" w:color="auto"/>
            <w:left w:val="none" w:sz="0" w:space="0" w:color="auto"/>
            <w:bottom w:val="none" w:sz="0" w:space="0" w:color="auto"/>
            <w:right w:val="none" w:sz="0" w:space="0" w:color="auto"/>
          </w:divBdr>
        </w:div>
        <w:div w:id="1810434891">
          <w:marLeft w:val="806"/>
          <w:marRight w:val="0"/>
          <w:marTop w:val="120"/>
          <w:marBottom w:val="120"/>
          <w:divBdr>
            <w:top w:val="none" w:sz="0" w:space="0" w:color="auto"/>
            <w:left w:val="none" w:sz="0" w:space="0" w:color="auto"/>
            <w:bottom w:val="none" w:sz="0" w:space="0" w:color="auto"/>
            <w:right w:val="none" w:sz="0" w:space="0" w:color="auto"/>
          </w:divBdr>
        </w:div>
      </w:divsChild>
    </w:div>
    <w:div w:id="1251348174">
      <w:bodyDiv w:val="1"/>
      <w:marLeft w:val="0"/>
      <w:marRight w:val="0"/>
      <w:marTop w:val="0"/>
      <w:marBottom w:val="0"/>
      <w:divBdr>
        <w:top w:val="none" w:sz="0" w:space="0" w:color="auto"/>
        <w:left w:val="none" w:sz="0" w:space="0" w:color="auto"/>
        <w:bottom w:val="none" w:sz="0" w:space="0" w:color="auto"/>
        <w:right w:val="none" w:sz="0" w:space="0" w:color="auto"/>
      </w:divBdr>
      <w:divsChild>
        <w:div w:id="212547917">
          <w:marLeft w:val="806"/>
          <w:marRight w:val="0"/>
          <w:marTop w:val="120"/>
          <w:marBottom w:val="120"/>
          <w:divBdr>
            <w:top w:val="none" w:sz="0" w:space="0" w:color="auto"/>
            <w:left w:val="none" w:sz="0" w:space="0" w:color="auto"/>
            <w:bottom w:val="none" w:sz="0" w:space="0" w:color="auto"/>
            <w:right w:val="none" w:sz="0" w:space="0" w:color="auto"/>
          </w:divBdr>
        </w:div>
        <w:div w:id="1735277194">
          <w:marLeft w:val="806"/>
          <w:marRight w:val="0"/>
          <w:marTop w:val="120"/>
          <w:marBottom w:val="120"/>
          <w:divBdr>
            <w:top w:val="none" w:sz="0" w:space="0" w:color="auto"/>
            <w:left w:val="none" w:sz="0" w:space="0" w:color="auto"/>
            <w:bottom w:val="none" w:sz="0" w:space="0" w:color="auto"/>
            <w:right w:val="none" w:sz="0" w:space="0" w:color="auto"/>
          </w:divBdr>
        </w:div>
      </w:divsChild>
    </w:div>
    <w:div w:id="1271009367">
      <w:bodyDiv w:val="1"/>
      <w:marLeft w:val="0"/>
      <w:marRight w:val="0"/>
      <w:marTop w:val="0"/>
      <w:marBottom w:val="0"/>
      <w:divBdr>
        <w:top w:val="none" w:sz="0" w:space="0" w:color="auto"/>
        <w:left w:val="none" w:sz="0" w:space="0" w:color="auto"/>
        <w:bottom w:val="none" w:sz="0" w:space="0" w:color="auto"/>
        <w:right w:val="none" w:sz="0" w:space="0" w:color="auto"/>
      </w:divBdr>
    </w:div>
    <w:div w:id="1308819831">
      <w:bodyDiv w:val="1"/>
      <w:marLeft w:val="0"/>
      <w:marRight w:val="0"/>
      <w:marTop w:val="0"/>
      <w:marBottom w:val="0"/>
      <w:divBdr>
        <w:top w:val="none" w:sz="0" w:space="0" w:color="auto"/>
        <w:left w:val="none" w:sz="0" w:space="0" w:color="auto"/>
        <w:bottom w:val="none" w:sz="0" w:space="0" w:color="auto"/>
        <w:right w:val="none" w:sz="0" w:space="0" w:color="auto"/>
      </w:divBdr>
    </w:div>
    <w:div w:id="1326206898">
      <w:bodyDiv w:val="1"/>
      <w:marLeft w:val="0"/>
      <w:marRight w:val="0"/>
      <w:marTop w:val="0"/>
      <w:marBottom w:val="0"/>
      <w:divBdr>
        <w:top w:val="none" w:sz="0" w:space="0" w:color="auto"/>
        <w:left w:val="none" w:sz="0" w:space="0" w:color="auto"/>
        <w:bottom w:val="none" w:sz="0" w:space="0" w:color="auto"/>
        <w:right w:val="none" w:sz="0" w:space="0" w:color="auto"/>
      </w:divBdr>
      <w:divsChild>
        <w:div w:id="619799958">
          <w:marLeft w:val="547"/>
          <w:marRight w:val="0"/>
          <w:marTop w:val="77"/>
          <w:marBottom w:val="0"/>
          <w:divBdr>
            <w:top w:val="none" w:sz="0" w:space="0" w:color="auto"/>
            <w:left w:val="none" w:sz="0" w:space="0" w:color="auto"/>
            <w:bottom w:val="none" w:sz="0" w:space="0" w:color="auto"/>
            <w:right w:val="none" w:sz="0" w:space="0" w:color="auto"/>
          </w:divBdr>
        </w:div>
      </w:divsChild>
    </w:div>
    <w:div w:id="1485779474">
      <w:bodyDiv w:val="1"/>
      <w:marLeft w:val="0"/>
      <w:marRight w:val="0"/>
      <w:marTop w:val="0"/>
      <w:marBottom w:val="0"/>
      <w:divBdr>
        <w:top w:val="none" w:sz="0" w:space="0" w:color="auto"/>
        <w:left w:val="none" w:sz="0" w:space="0" w:color="auto"/>
        <w:bottom w:val="none" w:sz="0" w:space="0" w:color="auto"/>
        <w:right w:val="none" w:sz="0" w:space="0" w:color="auto"/>
      </w:divBdr>
      <w:divsChild>
        <w:div w:id="936524356">
          <w:marLeft w:val="360"/>
          <w:marRight w:val="0"/>
          <w:marTop w:val="200"/>
          <w:marBottom w:val="0"/>
          <w:divBdr>
            <w:top w:val="none" w:sz="0" w:space="0" w:color="auto"/>
            <w:left w:val="none" w:sz="0" w:space="0" w:color="auto"/>
            <w:bottom w:val="none" w:sz="0" w:space="0" w:color="auto"/>
            <w:right w:val="none" w:sz="0" w:space="0" w:color="auto"/>
          </w:divBdr>
        </w:div>
      </w:divsChild>
    </w:div>
    <w:div w:id="1525944623">
      <w:bodyDiv w:val="1"/>
      <w:marLeft w:val="0"/>
      <w:marRight w:val="0"/>
      <w:marTop w:val="0"/>
      <w:marBottom w:val="0"/>
      <w:divBdr>
        <w:top w:val="none" w:sz="0" w:space="0" w:color="auto"/>
        <w:left w:val="none" w:sz="0" w:space="0" w:color="auto"/>
        <w:bottom w:val="none" w:sz="0" w:space="0" w:color="auto"/>
        <w:right w:val="none" w:sz="0" w:space="0" w:color="auto"/>
      </w:divBdr>
      <w:divsChild>
        <w:div w:id="295330715">
          <w:marLeft w:val="446"/>
          <w:marRight w:val="0"/>
          <w:marTop w:val="0"/>
          <w:marBottom w:val="0"/>
          <w:divBdr>
            <w:top w:val="none" w:sz="0" w:space="0" w:color="auto"/>
            <w:left w:val="none" w:sz="0" w:space="0" w:color="auto"/>
            <w:bottom w:val="none" w:sz="0" w:space="0" w:color="auto"/>
            <w:right w:val="none" w:sz="0" w:space="0" w:color="auto"/>
          </w:divBdr>
        </w:div>
      </w:divsChild>
    </w:div>
    <w:div w:id="1926068195">
      <w:bodyDiv w:val="1"/>
      <w:marLeft w:val="0"/>
      <w:marRight w:val="0"/>
      <w:marTop w:val="0"/>
      <w:marBottom w:val="0"/>
      <w:divBdr>
        <w:top w:val="none" w:sz="0" w:space="0" w:color="auto"/>
        <w:left w:val="none" w:sz="0" w:space="0" w:color="auto"/>
        <w:bottom w:val="none" w:sz="0" w:space="0" w:color="auto"/>
        <w:right w:val="none" w:sz="0" w:space="0" w:color="auto"/>
      </w:divBdr>
    </w:div>
    <w:div w:id="1935043144">
      <w:bodyDiv w:val="1"/>
      <w:marLeft w:val="0"/>
      <w:marRight w:val="0"/>
      <w:marTop w:val="0"/>
      <w:marBottom w:val="0"/>
      <w:divBdr>
        <w:top w:val="none" w:sz="0" w:space="0" w:color="auto"/>
        <w:left w:val="none" w:sz="0" w:space="0" w:color="auto"/>
        <w:bottom w:val="none" w:sz="0" w:space="0" w:color="auto"/>
        <w:right w:val="none" w:sz="0" w:space="0" w:color="auto"/>
      </w:divBdr>
      <w:divsChild>
        <w:div w:id="1107045491">
          <w:marLeft w:val="360"/>
          <w:marRight w:val="0"/>
          <w:marTop w:val="200"/>
          <w:marBottom w:val="0"/>
          <w:divBdr>
            <w:top w:val="none" w:sz="0" w:space="0" w:color="auto"/>
            <w:left w:val="none" w:sz="0" w:space="0" w:color="auto"/>
            <w:bottom w:val="none" w:sz="0" w:space="0" w:color="auto"/>
            <w:right w:val="none" w:sz="0" w:space="0" w:color="auto"/>
          </w:divBdr>
        </w:div>
        <w:div w:id="2036348739">
          <w:marLeft w:val="360"/>
          <w:marRight w:val="0"/>
          <w:marTop w:val="200"/>
          <w:marBottom w:val="0"/>
          <w:divBdr>
            <w:top w:val="none" w:sz="0" w:space="0" w:color="auto"/>
            <w:left w:val="none" w:sz="0" w:space="0" w:color="auto"/>
            <w:bottom w:val="none" w:sz="0" w:space="0" w:color="auto"/>
            <w:right w:val="none" w:sz="0" w:space="0" w:color="auto"/>
          </w:divBdr>
        </w:div>
        <w:div w:id="847912519">
          <w:marLeft w:val="360"/>
          <w:marRight w:val="0"/>
          <w:marTop w:val="200"/>
          <w:marBottom w:val="0"/>
          <w:divBdr>
            <w:top w:val="none" w:sz="0" w:space="0" w:color="auto"/>
            <w:left w:val="none" w:sz="0" w:space="0" w:color="auto"/>
            <w:bottom w:val="none" w:sz="0" w:space="0" w:color="auto"/>
            <w:right w:val="none" w:sz="0" w:space="0" w:color="auto"/>
          </w:divBdr>
        </w:div>
        <w:div w:id="714239167">
          <w:marLeft w:val="360"/>
          <w:marRight w:val="0"/>
          <w:marTop w:val="200"/>
          <w:marBottom w:val="0"/>
          <w:divBdr>
            <w:top w:val="none" w:sz="0" w:space="0" w:color="auto"/>
            <w:left w:val="none" w:sz="0" w:space="0" w:color="auto"/>
            <w:bottom w:val="none" w:sz="0" w:space="0" w:color="auto"/>
            <w:right w:val="none" w:sz="0" w:space="0" w:color="auto"/>
          </w:divBdr>
        </w:div>
      </w:divsChild>
    </w:div>
    <w:div w:id="2081369621">
      <w:bodyDiv w:val="1"/>
      <w:marLeft w:val="0"/>
      <w:marRight w:val="0"/>
      <w:marTop w:val="0"/>
      <w:marBottom w:val="0"/>
      <w:divBdr>
        <w:top w:val="none" w:sz="0" w:space="0" w:color="auto"/>
        <w:left w:val="none" w:sz="0" w:space="0" w:color="auto"/>
        <w:bottom w:val="none" w:sz="0" w:space="0" w:color="auto"/>
        <w:right w:val="none" w:sz="0" w:space="0" w:color="auto"/>
      </w:divBdr>
    </w:div>
    <w:div w:id="2081562444">
      <w:bodyDiv w:val="1"/>
      <w:marLeft w:val="0"/>
      <w:marRight w:val="0"/>
      <w:marTop w:val="0"/>
      <w:marBottom w:val="0"/>
      <w:divBdr>
        <w:top w:val="none" w:sz="0" w:space="0" w:color="auto"/>
        <w:left w:val="none" w:sz="0" w:space="0" w:color="auto"/>
        <w:bottom w:val="none" w:sz="0" w:space="0" w:color="auto"/>
        <w:right w:val="none" w:sz="0" w:space="0" w:color="auto"/>
      </w:divBdr>
      <w:divsChild>
        <w:div w:id="1862087892">
          <w:marLeft w:val="547"/>
          <w:marRight w:val="0"/>
          <w:marTop w:val="115"/>
          <w:marBottom w:val="0"/>
          <w:divBdr>
            <w:top w:val="none" w:sz="0" w:space="0" w:color="auto"/>
            <w:left w:val="none" w:sz="0" w:space="0" w:color="auto"/>
            <w:bottom w:val="none" w:sz="0" w:space="0" w:color="auto"/>
            <w:right w:val="none" w:sz="0" w:space="0" w:color="auto"/>
          </w:divBdr>
        </w:div>
        <w:div w:id="1354111628">
          <w:marLeft w:val="547"/>
          <w:marRight w:val="0"/>
          <w:marTop w:val="115"/>
          <w:marBottom w:val="0"/>
          <w:divBdr>
            <w:top w:val="none" w:sz="0" w:space="0" w:color="auto"/>
            <w:left w:val="none" w:sz="0" w:space="0" w:color="auto"/>
            <w:bottom w:val="none" w:sz="0" w:space="0" w:color="auto"/>
            <w:right w:val="none" w:sz="0" w:space="0" w:color="auto"/>
          </w:divBdr>
        </w:div>
        <w:div w:id="2234448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11167</Words>
  <Characters>63658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2022-06-08T20:23:00Z</dcterms:created>
  <dcterms:modified xsi:type="dcterms:W3CDTF">2022-06-08T20:23:00Z</dcterms:modified>
</cp:coreProperties>
</file>