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F6" w:rsidRPr="008927F6" w:rsidRDefault="008927F6" w:rsidP="008927F6">
      <w:pPr>
        <w:rPr>
          <w:rFonts w:ascii="Arial" w:hAnsi="Arial" w:cs="Arial"/>
          <w:b/>
          <w:color w:val="001F00"/>
          <w:spacing w:val="6"/>
          <w:lang w:eastAsia="en-GB"/>
        </w:rPr>
      </w:pPr>
      <w:r>
        <w:rPr>
          <w:rFonts w:ascii="Arial" w:hAnsi="Arial" w:cs="Arial"/>
          <w:b/>
          <w:color w:val="001F00"/>
          <w:spacing w:val="6"/>
          <w:lang w:eastAsia="en-GB"/>
        </w:rPr>
        <w:t>Report o</w:t>
      </w:r>
      <w:r w:rsidRPr="008927F6">
        <w:rPr>
          <w:rFonts w:ascii="Arial" w:hAnsi="Arial" w:cs="Arial"/>
          <w:b/>
          <w:color w:val="001F00"/>
          <w:spacing w:val="6"/>
          <w:lang w:eastAsia="en-GB"/>
        </w:rPr>
        <w:t xml:space="preserve">f the Select Committee on Health and Social Services on the Annual Performance Plan (Budget Vote 20) </w:t>
      </w:r>
      <w:r>
        <w:rPr>
          <w:rFonts w:ascii="Arial" w:hAnsi="Arial" w:cs="Arial"/>
          <w:b/>
          <w:color w:val="001F00"/>
          <w:spacing w:val="6"/>
          <w:lang w:eastAsia="en-GB"/>
        </w:rPr>
        <w:t>o</w:t>
      </w:r>
      <w:r w:rsidRPr="008927F6">
        <w:rPr>
          <w:rFonts w:ascii="Arial" w:hAnsi="Arial" w:cs="Arial"/>
          <w:b/>
          <w:color w:val="001F00"/>
          <w:spacing w:val="6"/>
          <w:lang w:eastAsia="en-GB"/>
        </w:rPr>
        <w:t>f the</w:t>
      </w:r>
      <w:r>
        <w:rPr>
          <w:rFonts w:ascii="Arial" w:hAnsi="Arial" w:cs="Arial"/>
          <w:b/>
          <w:color w:val="001F00"/>
          <w:spacing w:val="6"/>
          <w:lang w:eastAsia="en-GB"/>
        </w:rPr>
        <w:t xml:space="preserve"> Department o</w:t>
      </w:r>
      <w:r w:rsidRPr="008927F6">
        <w:rPr>
          <w:rFonts w:ascii="Arial" w:hAnsi="Arial" w:cs="Arial"/>
          <w:b/>
          <w:color w:val="001F00"/>
          <w:spacing w:val="6"/>
          <w:lang w:eastAsia="en-GB"/>
        </w:rPr>
        <w:t>f Women, Youth and Persons with Disabilities for Financial Year 2022/23, Dated 07 June 2022</w:t>
      </w:r>
    </w:p>
    <w:p w:rsidR="008927F6" w:rsidRPr="008927F6" w:rsidRDefault="008927F6" w:rsidP="008927F6">
      <w:pPr>
        <w:rPr>
          <w:rFonts w:ascii="Arial" w:hAnsi="Arial" w:cs="Arial"/>
          <w:b/>
          <w:color w:val="001F00"/>
          <w:spacing w:val="6"/>
          <w:lang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eastAsia="en-GB"/>
        </w:rPr>
        <w:t>The Select Committee on Health and Social Services, having considered the Annual Performance Plan (APP) and Budget of the Department in the Presidency for Women, Youth and Persons with Disabilities for 2022/23 on the 24 May 2022, reports as follows:</w:t>
      </w:r>
    </w:p>
    <w:p w:rsidR="008927F6" w:rsidRPr="008927F6" w:rsidRDefault="008927F6" w:rsidP="008927F6">
      <w:pPr>
        <w:rPr>
          <w:rFonts w:ascii="Arial" w:hAnsi="Arial" w:cs="Arial"/>
          <w:color w:val="001F00"/>
          <w:spacing w:val="6"/>
          <w:lang w:eastAsia="en-GB"/>
        </w:rPr>
      </w:pPr>
    </w:p>
    <w:p w:rsidR="008927F6" w:rsidRPr="008927F6" w:rsidRDefault="008927F6" w:rsidP="008927F6">
      <w:pPr>
        <w:keepNext/>
        <w:numPr>
          <w:ilvl w:val="0"/>
          <w:numId w:val="17"/>
        </w:numPr>
        <w:outlineLvl w:val="0"/>
        <w:rPr>
          <w:rFonts w:ascii="Arial" w:hAnsi="Arial" w:cs="Arial"/>
          <w:b/>
          <w:bCs/>
          <w:color w:val="001F00"/>
          <w:spacing w:val="6"/>
          <w:kern w:val="32"/>
          <w:lang w:eastAsia="en-GB"/>
        </w:rPr>
      </w:pPr>
      <w:r w:rsidRPr="008927F6">
        <w:rPr>
          <w:rFonts w:ascii="Arial" w:hAnsi="Arial" w:cs="Arial"/>
          <w:b/>
          <w:bCs/>
          <w:color w:val="001F00"/>
          <w:spacing w:val="6"/>
          <w:kern w:val="32"/>
          <w:lang w:eastAsia="en-GB"/>
        </w:rPr>
        <w:t>INTRODUCTION</w:t>
      </w:r>
    </w:p>
    <w:p w:rsidR="008927F6" w:rsidRPr="008927F6" w:rsidRDefault="008927F6" w:rsidP="008927F6">
      <w:pPr>
        <w:rPr>
          <w:rFonts w:ascii="Arial" w:hAnsi="Arial" w:cs="Arial"/>
          <w:color w:val="001F00"/>
          <w:spacing w:val="6"/>
          <w:lang w:eastAsia="en-GB"/>
        </w:rPr>
      </w:pPr>
    </w:p>
    <w:p w:rsidR="008927F6" w:rsidRPr="008927F6" w:rsidRDefault="008927F6" w:rsidP="008927F6">
      <w:pPr>
        <w:ind w:left="360"/>
        <w:rPr>
          <w:rFonts w:ascii="Arial" w:hAnsi="Arial" w:cs="Arial"/>
          <w:color w:val="001F00"/>
          <w:spacing w:val="6"/>
          <w:lang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eastAsia="en-GB"/>
        </w:rPr>
        <w:t>The Select Committee on Health and Social Services, in performing its constitutional oversight mandate, engaged with the Department of Women, Youth and Persons with Disabilities (hereafter referred to as the Department).</w:t>
      </w:r>
    </w:p>
    <w:p w:rsidR="008927F6" w:rsidRPr="008927F6" w:rsidRDefault="008927F6" w:rsidP="008927F6">
      <w:pPr>
        <w:rPr>
          <w:rFonts w:ascii="Arial" w:hAnsi="Arial" w:cs="Arial"/>
          <w:color w:val="001F00"/>
          <w:spacing w:val="6"/>
          <w:lang w:eastAsia="en-GB"/>
        </w:rPr>
      </w:pPr>
    </w:p>
    <w:p w:rsidR="008927F6" w:rsidRPr="008927F6" w:rsidRDefault="008927F6" w:rsidP="008927F6">
      <w:pPr>
        <w:keepNext/>
        <w:numPr>
          <w:ilvl w:val="0"/>
          <w:numId w:val="17"/>
        </w:numPr>
        <w:outlineLvl w:val="0"/>
        <w:rPr>
          <w:rFonts w:ascii="Arial" w:hAnsi="Arial" w:cs="Arial"/>
          <w:b/>
          <w:bCs/>
          <w:color w:val="001F00"/>
          <w:spacing w:val="6"/>
          <w:kern w:val="32"/>
          <w:lang w:eastAsia="en-GB"/>
        </w:rPr>
      </w:pPr>
      <w:r w:rsidRPr="008927F6">
        <w:rPr>
          <w:rFonts w:ascii="Arial" w:hAnsi="Arial" w:cs="Arial"/>
          <w:b/>
          <w:bCs/>
          <w:color w:val="001F00"/>
          <w:spacing w:val="6"/>
          <w:kern w:val="32"/>
          <w:lang w:eastAsia="en-GB"/>
        </w:rPr>
        <w:t>MANDATE AND STRATEGIC OBJECTIVES OF THE DEPARTMENT</w:t>
      </w:r>
    </w:p>
    <w:p w:rsidR="008927F6" w:rsidRPr="008927F6" w:rsidRDefault="008927F6" w:rsidP="008927F6">
      <w:pPr>
        <w:ind w:left="720"/>
        <w:rPr>
          <w:rFonts w:ascii="Arial" w:hAnsi="Arial" w:cs="Arial"/>
          <w:color w:val="001F00"/>
          <w:spacing w:val="6"/>
          <w:lang w:eastAsia="en-GB"/>
        </w:rPr>
      </w:pPr>
    </w:p>
    <w:p w:rsidR="008927F6" w:rsidRPr="008927F6" w:rsidRDefault="008927F6" w:rsidP="008927F6">
      <w:pPr>
        <w:rPr>
          <w:rFonts w:ascii="Arial" w:hAnsi="Arial" w:cs="Arial"/>
          <w:bCs/>
          <w:color w:val="001F00"/>
          <w:spacing w:val="6"/>
          <w:lang w:val="en-ZA" w:eastAsia="en-GB"/>
        </w:rPr>
      </w:pPr>
      <w:r w:rsidRPr="008927F6">
        <w:rPr>
          <w:rFonts w:ascii="Arial" w:hAnsi="Arial" w:cs="Arial"/>
          <w:color w:val="001F00"/>
          <w:spacing w:val="6"/>
          <w:lang w:eastAsia="en-GB"/>
        </w:rPr>
        <w:t>The Department was reestablished and announced in the 26 June 2019 Gazette following the Presidential Announcement of the sixth administration.</w:t>
      </w:r>
      <w:r w:rsidRPr="008927F6">
        <w:rPr>
          <w:rFonts w:ascii="Arial" w:hAnsi="Arial" w:cs="Arial"/>
          <w:color w:val="000000"/>
          <w:lang w:val="en-ZA" w:eastAsia="en-ZA"/>
        </w:rPr>
        <w:t xml:space="preserve"> </w:t>
      </w:r>
      <w:r w:rsidRPr="008927F6">
        <w:rPr>
          <w:rFonts w:ascii="Arial" w:hAnsi="Arial" w:cs="Arial"/>
          <w:color w:val="001F00"/>
          <w:spacing w:val="6"/>
          <w:lang w:val="en-ZA" w:eastAsia="en-GB"/>
        </w:rPr>
        <w:t xml:space="preserve">At that stage, the Department was reconfigured and was charged with </w:t>
      </w:r>
      <w:r w:rsidRPr="008927F6">
        <w:rPr>
          <w:rFonts w:ascii="Arial" w:hAnsi="Arial" w:cs="Arial"/>
          <w:b/>
          <w:bCs/>
          <w:color w:val="001F00"/>
          <w:spacing w:val="6"/>
          <w:lang w:val="en-ZA" w:eastAsia="en-GB"/>
        </w:rPr>
        <w:t>“</w:t>
      </w:r>
      <w:r w:rsidRPr="008927F6">
        <w:rPr>
          <w:rFonts w:ascii="Arial" w:hAnsi="Arial" w:cs="Arial"/>
          <w:bCs/>
          <w:color w:val="001F00"/>
          <w:spacing w:val="6"/>
          <w:lang w:val="en-ZA" w:eastAsia="en-GB"/>
        </w:rPr>
        <w:t>taking the lead on socio-economic transformation and implementation of the empowerment and participation of women, youth and persons with disabilities through mainstreaming, advocacy, monitoring and evaluation.”</w:t>
      </w:r>
      <w:r w:rsidRPr="008927F6">
        <w:rPr>
          <w:rFonts w:ascii="Arial" w:hAnsi="Arial" w:cs="Arial"/>
          <w:bCs/>
          <w:color w:val="001F00"/>
          <w:spacing w:val="6"/>
          <w:vertAlign w:val="superscript"/>
          <w:lang w:val="en-ZA" w:eastAsia="en-GB"/>
        </w:rPr>
        <w:footnoteReference w:id="1"/>
      </w:r>
      <w:r w:rsidRPr="008927F6">
        <w:rPr>
          <w:rFonts w:ascii="Arial" w:hAnsi="Arial" w:cs="Arial"/>
          <w:bCs/>
          <w:color w:val="001F00"/>
          <w:spacing w:val="6"/>
          <w:lang w:val="en-ZA" w:eastAsia="en-GB"/>
        </w:rPr>
        <w:t xml:space="preserve"> </w:t>
      </w:r>
      <w:r w:rsidRPr="008927F6">
        <w:rPr>
          <w:rFonts w:ascii="Arial" w:hAnsi="Arial" w:cs="Arial"/>
          <w:bCs/>
          <w:color w:val="001F00"/>
          <w:spacing w:val="6"/>
          <w:lang w:val="en-GB" w:eastAsia="en-GB"/>
        </w:rPr>
        <w:t>Subsequently, the mandate was changed to, “</w:t>
      </w:r>
      <w:r w:rsidRPr="008927F6">
        <w:rPr>
          <w:rFonts w:ascii="Arial" w:hAnsi="Arial" w:cs="Arial"/>
          <w:bCs/>
          <w:color w:val="001F00"/>
          <w:spacing w:val="6"/>
          <w:lang w:val="en-ZA" w:eastAsia="en-GB"/>
        </w:rPr>
        <w:t>regulate the socio-economic transformation and implementation of the empowerment and participation of women, youth and persons with disabilities”</w:t>
      </w:r>
      <w:r w:rsidRPr="008927F6">
        <w:rPr>
          <w:rFonts w:ascii="Arial" w:hAnsi="Arial" w:cs="Arial"/>
          <w:bCs/>
          <w:color w:val="001F00"/>
          <w:spacing w:val="6"/>
          <w:vertAlign w:val="superscript"/>
          <w:lang w:val="en-ZA" w:eastAsia="en-GB"/>
        </w:rPr>
        <w:footnoteReference w:id="2"/>
      </w:r>
      <w:r w:rsidRPr="008927F6">
        <w:rPr>
          <w:rFonts w:ascii="Arial" w:hAnsi="Arial" w:cs="Arial"/>
          <w:bCs/>
          <w:color w:val="001F00"/>
          <w:spacing w:val="6"/>
          <w:lang w:val="en-ZA" w:eastAsia="en-GB"/>
        </w:rPr>
        <w:t>.</w:t>
      </w:r>
    </w:p>
    <w:p w:rsidR="008927F6" w:rsidRPr="008927F6" w:rsidRDefault="008927F6" w:rsidP="008927F6">
      <w:pPr>
        <w:rPr>
          <w:rFonts w:ascii="Arial" w:hAnsi="Arial" w:cs="Arial"/>
          <w:b/>
          <w:lang w:eastAsia="en-GB"/>
        </w:rPr>
      </w:pPr>
    </w:p>
    <w:p w:rsidR="008927F6" w:rsidRPr="008927F6" w:rsidRDefault="008927F6" w:rsidP="008927F6">
      <w:pPr>
        <w:rPr>
          <w:rFonts w:ascii="Arial" w:hAnsi="Arial" w:cs="Arial"/>
          <w:lang w:val="en-GB" w:eastAsia="en-GB"/>
        </w:rPr>
      </w:pPr>
      <w:r w:rsidRPr="008927F6">
        <w:rPr>
          <w:rFonts w:ascii="Arial" w:hAnsi="Arial" w:cs="Arial"/>
          <w:lang w:val="en-GB" w:eastAsia="en-GB"/>
        </w:rPr>
        <w:t>The Department envisions seeing “rights of women, youth and persons with disabilities realised”</w:t>
      </w:r>
      <w:r w:rsidRPr="008927F6">
        <w:rPr>
          <w:rFonts w:ascii="Arial" w:hAnsi="Arial" w:cs="Arial"/>
          <w:vertAlign w:val="superscript"/>
          <w:lang w:val="en-GB" w:eastAsia="en-GB"/>
        </w:rPr>
        <w:footnoteReference w:id="3"/>
      </w:r>
      <w:r w:rsidRPr="008927F6">
        <w:rPr>
          <w:rFonts w:ascii="Arial" w:hAnsi="Arial" w:cs="Arial"/>
          <w:lang w:val="en-GB" w:eastAsia="en-GB"/>
        </w:rPr>
        <w:t xml:space="preserve">. </w:t>
      </w:r>
    </w:p>
    <w:p w:rsidR="008927F6" w:rsidRPr="008927F6" w:rsidRDefault="008927F6" w:rsidP="008927F6">
      <w:pPr>
        <w:rPr>
          <w:rFonts w:ascii="Arial" w:hAnsi="Arial" w:cs="Arial"/>
          <w:lang w:val="en-GB" w:eastAsia="en-GB"/>
        </w:rPr>
      </w:pPr>
    </w:p>
    <w:p w:rsidR="008927F6" w:rsidRPr="008927F6" w:rsidRDefault="008927F6" w:rsidP="008927F6">
      <w:pPr>
        <w:rPr>
          <w:rFonts w:ascii="Arial" w:hAnsi="Arial" w:cs="Arial"/>
          <w:lang w:val="en-GB" w:eastAsia="en-GB"/>
        </w:rPr>
      </w:pPr>
      <w:r w:rsidRPr="008927F6">
        <w:rPr>
          <w:rFonts w:ascii="Arial" w:hAnsi="Arial" w:cs="Arial"/>
          <w:lang w:val="en-GB" w:eastAsia="en-GB"/>
        </w:rPr>
        <w:t xml:space="preserve">The mission of the Department is to </w:t>
      </w:r>
      <w:r w:rsidRPr="008927F6">
        <w:rPr>
          <w:rFonts w:ascii="Arial" w:hAnsi="Arial" w:cs="Arial"/>
          <w:color w:val="001F00"/>
          <w:spacing w:val="6"/>
          <w:lang w:val="en-ZA" w:eastAsia="en-GB"/>
        </w:rPr>
        <w:t>regulate the rights of women, youth and persons with disabilities</w:t>
      </w:r>
      <w:r w:rsidRPr="008927F6">
        <w:rPr>
          <w:rFonts w:ascii="Arial" w:hAnsi="Arial" w:cs="Arial"/>
          <w:color w:val="001F00"/>
          <w:spacing w:val="6"/>
          <w:vertAlign w:val="superscript"/>
          <w:lang w:eastAsia="en-GB"/>
        </w:rPr>
        <w:footnoteReference w:id="4"/>
      </w:r>
      <w:r w:rsidRPr="008927F6">
        <w:rPr>
          <w:rFonts w:ascii="Arial" w:hAnsi="Arial" w:cs="Arial"/>
          <w:color w:val="001F00"/>
          <w:spacing w:val="6"/>
          <w:lang w:val="en-ZA" w:eastAsia="en-GB"/>
        </w:rPr>
        <w:t>.</w:t>
      </w:r>
    </w:p>
    <w:p w:rsidR="008927F6" w:rsidRPr="008927F6" w:rsidRDefault="008927F6" w:rsidP="008927F6">
      <w:pPr>
        <w:rPr>
          <w:rFonts w:ascii="Arial" w:hAnsi="Arial" w:cs="Arial"/>
          <w:color w:val="001F00"/>
          <w:spacing w:val="6"/>
          <w:lang w:eastAsia="en-GB"/>
        </w:rPr>
      </w:pPr>
    </w:p>
    <w:p w:rsidR="008927F6" w:rsidRPr="008927F6" w:rsidRDefault="008927F6" w:rsidP="008927F6">
      <w:pPr>
        <w:keepNext/>
        <w:numPr>
          <w:ilvl w:val="0"/>
          <w:numId w:val="17"/>
        </w:numPr>
        <w:outlineLvl w:val="0"/>
        <w:rPr>
          <w:rFonts w:ascii="Arial" w:hAnsi="Arial" w:cs="Arial"/>
          <w:bCs/>
          <w:color w:val="001F00"/>
          <w:spacing w:val="6"/>
          <w:kern w:val="32"/>
          <w:lang w:eastAsia="en-GB"/>
        </w:rPr>
      </w:pPr>
      <w:r w:rsidRPr="008927F6">
        <w:rPr>
          <w:rFonts w:ascii="Arial" w:hAnsi="Arial" w:cs="Arial"/>
          <w:b/>
          <w:bCs/>
          <w:color w:val="001F00"/>
          <w:spacing w:val="6"/>
          <w:kern w:val="32"/>
          <w:lang w:eastAsia="en-GB"/>
        </w:rPr>
        <w:t>ANALYSIS OF BUDGET FOR THE DEPARTMENT</w:t>
      </w:r>
      <w:r w:rsidRPr="008927F6">
        <w:rPr>
          <w:rFonts w:ascii="Arial" w:hAnsi="Arial" w:cs="Arial"/>
          <w:bCs/>
          <w:color w:val="001F00"/>
          <w:spacing w:val="6"/>
          <w:kern w:val="32"/>
          <w:lang w:eastAsia="en-GB"/>
        </w:rPr>
        <w:t xml:space="preserve"> </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eastAsia="en-GB"/>
        </w:rPr>
        <w:t>The Department’s APP is aligned to the following policy priorities of the Medium Term Strategic Framework (MTSF) 2019-2024</w:t>
      </w:r>
      <w:r w:rsidRPr="008927F6">
        <w:rPr>
          <w:rFonts w:ascii="Arial" w:hAnsi="Arial" w:cs="Arial"/>
          <w:color w:val="001F00"/>
          <w:spacing w:val="6"/>
          <w:vertAlign w:val="superscript"/>
          <w:lang w:val="en-ZA" w:eastAsia="en-GB"/>
        </w:rPr>
        <w:footnoteReference w:id="5"/>
      </w:r>
      <w:r w:rsidRPr="008927F6">
        <w:rPr>
          <w:rFonts w:ascii="Arial" w:hAnsi="Arial" w:cs="Arial"/>
          <w:color w:val="001F00"/>
          <w:spacing w:val="6"/>
          <w:lang w:eastAsia="en-GB"/>
        </w:rPr>
        <w:t>:</w:t>
      </w:r>
    </w:p>
    <w:p w:rsidR="008927F6" w:rsidRPr="008927F6" w:rsidRDefault="008927F6" w:rsidP="008927F6">
      <w:pPr>
        <w:rPr>
          <w:rFonts w:ascii="Arial" w:hAnsi="Arial" w:cs="Arial"/>
          <w:color w:val="001F00"/>
          <w:spacing w:val="6"/>
          <w:lang w:eastAsia="en-GB"/>
        </w:rPr>
      </w:pPr>
    </w:p>
    <w:p w:rsidR="008927F6" w:rsidRPr="008927F6" w:rsidRDefault="008927F6" w:rsidP="008927F6">
      <w:pPr>
        <w:numPr>
          <w:ilvl w:val="0"/>
          <w:numId w:val="13"/>
        </w:numPr>
        <w:tabs>
          <w:tab w:val="left" w:pos="360"/>
        </w:tabs>
        <w:ind w:left="360"/>
        <w:contextualSpacing/>
        <w:rPr>
          <w:rFonts w:ascii="Arial" w:hAnsi="Arial" w:cs="Arial"/>
          <w:color w:val="001F00"/>
          <w:spacing w:val="6"/>
          <w:lang w:val="en-ZA" w:eastAsia="en-GB"/>
        </w:rPr>
      </w:pPr>
      <w:r w:rsidRPr="008927F6">
        <w:rPr>
          <w:rFonts w:ascii="Arial" w:hAnsi="Arial" w:cs="Arial"/>
          <w:color w:val="001F00"/>
          <w:spacing w:val="6"/>
          <w:lang w:val="en-ZA" w:eastAsia="en-GB"/>
        </w:rPr>
        <w:t>A gender, youth and disability responsive public service.</w:t>
      </w:r>
    </w:p>
    <w:p w:rsidR="008927F6" w:rsidRPr="008927F6" w:rsidRDefault="008927F6" w:rsidP="008927F6">
      <w:pPr>
        <w:numPr>
          <w:ilvl w:val="0"/>
          <w:numId w:val="13"/>
        </w:numPr>
        <w:tabs>
          <w:tab w:val="left" w:pos="360"/>
        </w:tabs>
        <w:ind w:left="360"/>
        <w:contextualSpacing/>
        <w:rPr>
          <w:rFonts w:ascii="Arial" w:hAnsi="Arial" w:cs="Arial"/>
          <w:color w:val="001F00"/>
          <w:spacing w:val="6"/>
          <w:lang w:val="en-ZA" w:eastAsia="en-GB"/>
        </w:rPr>
      </w:pPr>
      <w:r w:rsidRPr="008927F6">
        <w:rPr>
          <w:rFonts w:ascii="Arial" w:hAnsi="Arial" w:cs="Arial"/>
          <w:color w:val="001F00"/>
          <w:spacing w:val="6"/>
          <w:lang w:val="en-ZA" w:eastAsia="en-GB"/>
        </w:rPr>
        <w:t>Transformed, representative and inclusive economy that prioritises women, youth and persons with disabilities.</w:t>
      </w:r>
    </w:p>
    <w:p w:rsidR="008927F6" w:rsidRPr="008927F6" w:rsidRDefault="008927F6" w:rsidP="008927F6">
      <w:pPr>
        <w:numPr>
          <w:ilvl w:val="0"/>
          <w:numId w:val="13"/>
        </w:numPr>
        <w:tabs>
          <w:tab w:val="left" w:pos="360"/>
        </w:tabs>
        <w:ind w:left="360"/>
        <w:contextualSpacing/>
        <w:rPr>
          <w:rFonts w:ascii="Arial" w:hAnsi="Arial" w:cs="Arial"/>
          <w:color w:val="001F00"/>
          <w:spacing w:val="6"/>
          <w:lang w:val="en-ZA" w:eastAsia="en-GB"/>
        </w:rPr>
      </w:pPr>
      <w:r w:rsidRPr="008927F6">
        <w:rPr>
          <w:rFonts w:ascii="Arial" w:hAnsi="Arial" w:cs="Arial"/>
          <w:color w:val="001F00"/>
          <w:spacing w:val="6"/>
          <w:lang w:val="en-ZA" w:eastAsia="en-GB"/>
        </w:rPr>
        <w:t>All women, girls, youth and persons with disabilities enjoy good quality health care and better life opportunities.</w:t>
      </w:r>
    </w:p>
    <w:p w:rsidR="008927F6" w:rsidRPr="008927F6" w:rsidRDefault="008927F6" w:rsidP="008927F6">
      <w:pPr>
        <w:numPr>
          <w:ilvl w:val="0"/>
          <w:numId w:val="13"/>
        </w:numPr>
        <w:tabs>
          <w:tab w:val="left" w:pos="360"/>
        </w:tabs>
        <w:ind w:left="360"/>
        <w:contextualSpacing/>
        <w:rPr>
          <w:rFonts w:ascii="Arial" w:hAnsi="Arial" w:cs="Arial"/>
          <w:color w:val="001F00"/>
          <w:spacing w:val="6"/>
          <w:lang w:val="en-ZA" w:eastAsia="en-GB"/>
        </w:rPr>
      </w:pPr>
      <w:r w:rsidRPr="008927F6">
        <w:rPr>
          <w:rFonts w:ascii="Arial" w:hAnsi="Arial" w:cs="Arial"/>
          <w:color w:val="001F00"/>
          <w:spacing w:val="6"/>
          <w:lang w:val="en-ZA" w:eastAsia="en-GB"/>
        </w:rPr>
        <w:t>Human dignity for persons with severe disabilities, women and girls’ achieved through freedom of choice and decent living conditions.</w:t>
      </w:r>
    </w:p>
    <w:p w:rsidR="008927F6" w:rsidRPr="008927F6" w:rsidRDefault="008927F6" w:rsidP="008927F6">
      <w:pPr>
        <w:numPr>
          <w:ilvl w:val="0"/>
          <w:numId w:val="13"/>
        </w:numPr>
        <w:tabs>
          <w:tab w:val="left" w:pos="360"/>
        </w:tabs>
        <w:ind w:left="360"/>
        <w:contextualSpacing/>
        <w:rPr>
          <w:rFonts w:ascii="Arial" w:hAnsi="Arial" w:cs="Arial"/>
          <w:color w:val="001F00"/>
          <w:spacing w:val="6"/>
          <w:lang w:val="en-ZA" w:eastAsia="en-GB"/>
        </w:rPr>
      </w:pPr>
      <w:r w:rsidRPr="008927F6">
        <w:rPr>
          <w:rFonts w:ascii="Arial" w:hAnsi="Arial" w:cs="Arial"/>
          <w:color w:val="001F00"/>
          <w:spacing w:val="6"/>
          <w:lang w:val="en-ZA" w:eastAsia="en-GB"/>
        </w:rPr>
        <w:t>Transform ownership and management patterns by supporting women-owned and led enterprises.</w:t>
      </w:r>
    </w:p>
    <w:p w:rsidR="008927F6" w:rsidRPr="008927F6" w:rsidRDefault="008927F6" w:rsidP="008927F6">
      <w:pPr>
        <w:numPr>
          <w:ilvl w:val="0"/>
          <w:numId w:val="13"/>
        </w:numPr>
        <w:tabs>
          <w:tab w:val="left" w:pos="360"/>
        </w:tabs>
        <w:ind w:left="360"/>
        <w:contextualSpacing/>
        <w:rPr>
          <w:rFonts w:ascii="Arial" w:hAnsi="Arial" w:cs="Arial"/>
          <w:color w:val="001F00"/>
          <w:spacing w:val="6"/>
          <w:lang w:val="en-ZA" w:eastAsia="en-GB"/>
        </w:rPr>
      </w:pPr>
      <w:r w:rsidRPr="008927F6">
        <w:rPr>
          <w:rFonts w:ascii="Arial" w:hAnsi="Arial" w:cs="Arial"/>
          <w:color w:val="001F00"/>
          <w:spacing w:val="6"/>
          <w:lang w:val="en-ZA" w:eastAsia="en-GB"/>
        </w:rPr>
        <w:t>All women, girls, youth and persons with disabilities are and feel safe and enjoy freedom and a better life.</w:t>
      </w:r>
    </w:p>
    <w:p w:rsidR="008927F6" w:rsidRPr="008927F6" w:rsidRDefault="008927F6" w:rsidP="008927F6">
      <w:pPr>
        <w:numPr>
          <w:ilvl w:val="0"/>
          <w:numId w:val="13"/>
        </w:numPr>
        <w:tabs>
          <w:tab w:val="left" w:pos="360"/>
        </w:tabs>
        <w:ind w:left="360"/>
        <w:contextualSpacing/>
        <w:rPr>
          <w:rFonts w:ascii="Arial" w:hAnsi="Arial" w:cs="Arial"/>
          <w:color w:val="001F00"/>
          <w:spacing w:val="6"/>
          <w:lang w:eastAsia="en-GB"/>
        </w:rPr>
      </w:pPr>
      <w:r w:rsidRPr="008927F6">
        <w:rPr>
          <w:rFonts w:ascii="Arial" w:hAnsi="Arial" w:cs="Arial"/>
          <w:color w:val="001F00"/>
          <w:spacing w:val="6"/>
          <w:lang w:val="en-ZA" w:eastAsia="en-GB"/>
        </w:rPr>
        <w:t>A better Africa and world for all women, girls, youth and persons with disabilities.</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color w:val="001F00"/>
          <w:spacing w:val="6"/>
          <w:lang w:val="en-ZA" w:eastAsia="en-GB"/>
        </w:rPr>
      </w:pPr>
      <w:r w:rsidRPr="008927F6">
        <w:rPr>
          <w:rFonts w:ascii="Arial" w:hAnsi="Arial" w:cs="Arial"/>
          <w:color w:val="001F00"/>
          <w:spacing w:val="6"/>
          <w:lang w:eastAsia="en-GB"/>
        </w:rPr>
        <w:t xml:space="preserve">The Estimates of National Expenditure (2022) states that </w:t>
      </w:r>
      <w:r w:rsidRPr="008927F6">
        <w:rPr>
          <w:rFonts w:ascii="Arial" w:hAnsi="Arial" w:cs="Arial"/>
          <w:color w:val="001F00"/>
          <w:spacing w:val="6"/>
          <w:lang w:val="en-ZA" w:eastAsia="en-GB"/>
        </w:rPr>
        <w:t>the Department will continue to focus on the following over the medium term expenditure framework (MTEF) period</w:t>
      </w:r>
      <w:r w:rsidRPr="008927F6">
        <w:rPr>
          <w:rFonts w:ascii="Arial" w:hAnsi="Arial" w:cs="Arial"/>
          <w:color w:val="001F00"/>
          <w:spacing w:val="6"/>
          <w:vertAlign w:val="superscript"/>
          <w:lang w:val="en-ZA" w:eastAsia="en-GB"/>
        </w:rPr>
        <w:footnoteReference w:id="6"/>
      </w:r>
      <w:r w:rsidRPr="008927F6">
        <w:rPr>
          <w:rFonts w:ascii="Arial" w:hAnsi="Arial" w:cs="Arial"/>
          <w:color w:val="001F00"/>
          <w:spacing w:val="6"/>
          <w:lang w:val="en-ZA" w:eastAsia="en-GB"/>
        </w:rPr>
        <w:t>:</w:t>
      </w:r>
    </w:p>
    <w:p w:rsidR="008927F6" w:rsidRPr="008927F6" w:rsidRDefault="008927F6" w:rsidP="008927F6">
      <w:pPr>
        <w:numPr>
          <w:ilvl w:val="0"/>
          <w:numId w:val="18"/>
        </w:numPr>
        <w:ind w:left="360"/>
        <w:contextualSpacing/>
        <w:rPr>
          <w:rFonts w:ascii="Arial" w:hAnsi="Arial" w:cs="Arial"/>
          <w:color w:val="001F00"/>
          <w:spacing w:val="6"/>
          <w:lang w:val="en-ZA" w:eastAsia="en-GB"/>
        </w:rPr>
      </w:pPr>
      <w:r w:rsidRPr="008927F6">
        <w:rPr>
          <w:rFonts w:ascii="Arial" w:hAnsi="Arial" w:cs="Arial"/>
          <w:color w:val="001F00"/>
          <w:spacing w:val="6"/>
          <w:lang w:val="en-ZA" w:eastAsia="en-GB"/>
        </w:rPr>
        <w:lastRenderedPageBreak/>
        <w:t>Strengthening the coordination of the national response to gender</w:t>
      </w:r>
      <w:r w:rsidRPr="008927F6">
        <w:rPr>
          <w:rFonts w:ascii="Times New Roman" w:hAnsi="Times New Roman" w:cs="Arial"/>
          <w:color w:val="001F00"/>
          <w:spacing w:val="6"/>
          <w:lang w:val="en-ZA" w:eastAsia="en-GB"/>
        </w:rPr>
        <w:t>‐</w:t>
      </w:r>
      <w:r w:rsidRPr="008927F6">
        <w:rPr>
          <w:rFonts w:ascii="Arial" w:hAnsi="Arial" w:cs="Arial"/>
          <w:color w:val="001F00"/>
          <w:spacing w:val="6"/>
          <w:lang w:val="en-ZA" w:eastAsia="en-GB"/>
        </w:rPr>
        <w:t>based violence (GBV);</w:t>
      </w:r>
    </w:p>
    <w:p w:rsidR="008927F6" w:rsidRPr="008927F6" w:rsidRDefault="008927F6" w:rsidP="008927F6">
      <w:pPr>
        <w:numPr>
          <w:ilvl w:val="0"/>
          <w:numId w:val="18"/>
        </w:numPr>
        <w:ind w:left="360"/>
        <w:contextualSpacing/>
        <w:rPr>
          <w:rFonts w:ascii="Arial" w:hAnsi="Arial" w:cs="Arial"/>
          <w:color w:val="001F00"/>
          <w:spacing w:val="6"/>
          <w:lang w:val="en-ZA" w:eastAsia="en-GB"/>
        </w:rPr>
      </w:pPr>
      <w:r w:rsidRPr="008927F6">
        <w:rPr>
          <w:rFonts w:ascii="Arial" w:hAnsi="Arial" w:cs="Arial"/>
          <w:color w:val="001F00"/>
          <w:spacing w:val="6"/>
          <w:lang w:val="en-ZA" w:eastAsia="en-GB"/>
        </w:rPr>
        <w:t>Promoting more responsive planning, budgeting, monitoring and evaluation in government;</w:t>
      </w:r>
    </w:p>
    <w:p w:rsidR="008927F6" w:rsidRPr="008927F6" w:rsidRDefault="008927F6" w:rsidP="008927F6">
      <w:pPr>
        <w:numPr>
          <w:ilvl w:val="0"/>
          <w:numId w:val="18"/>
        </w:numPr>
        <w:ind w:left="360"/>
        <w:contextualSpacing/>
        <w:rPr>
          <w:rFonts w:ascii="Arial" w:hAnsi="Arial" w:cs="Arial"/>
          <w:color w:val="001F00"/>
          <w:spacing w:val="6"/>
          <w:lang w:val="en-ZA" w:eastAsia="en-GB"/>
        </w:rPr>
      </w:pPr>
      <w:r w:rsidRPr="008927F6">
        <w:rPr>
          <w:rFonts w:ascii="Arial" w:hAnsi="Arial" w:cs="Arial"/>
          <w:color w:val="001F00"/>
          <w:spacing w:val="6"/>
          <w:lang w:val="en-ZA" w:eastAsia="en-GB"/>
        </w:rPr>
        <w:t xml:space="preserve">Protecting the rights of people with disabilities; and </w:t>
      </w:r>
    </w:p>
    <w:p w:rsidR="008927F6" w:rsidRPr="008927F6" w:rsidRDefault="008927F6" w:rsidP="008927F6">
      <w:pPr>
        <w:numPr>
          <w:ilvl w:val="0"/>
          <w:numId w:val="18"/>
        </w:numPr>
        <w:ind w:left="360"/>
        <w:contextualSpacing/>
        <w:rPr>
          <w:rFonts w:ascii="Arial" w:hAnsi="Arial" w:cs="Arial"/>
          <w:color w:val="001F00"/>
          <w:spacing w:val="6"/>
          <w:lang w:val="en-ZA" w:eastAsia="en-GB"/>
        </w:rPr>
      </w:pPr>
      <w:r w:rsidRPr="008927F6">
        <w:rPr>
          <w:rFonts w:ascii="Arial" w:hAnsi="Arial" w:cs="Arial"/>
          <w:color w:val="001F00"/>
          <w:spacing w:val="6"/>
          <w:lang w:val="en-ZA" w:eastAsia="en-GB"/>
        </w:rPr>
        <w:t>Supporting the participation of young people in the mainstream economy.</w:t>
      </w:r>
    </w:p>
    <w:p w:rsidR="008927F6" w:rsidRPr="008927F6" w:rsidRDefault="008927F6" w:rsidP="008927F6">
      <w:pPr>
        <w:rPr>
          <w:rFonts w:ascii="Arial" w:hAnsi="Arial" w:cs="Arial"/>
          <w:color w:val="001F00"/>
          <w:spacing w:val="6"/>
          <w:lang w:val="en-ZA" w:eastAsia="en-GB"/>
        </w:rPr>
      </w:pPr>
    </w:p>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ZA" w:eastAsia="en-GB"/>
        </w:rPr>
        <w:t>As such, the Department’s budget structure was amended from five to four programmes, to align better with the department’s mandate.</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color w:val="001F00"/>
          <w:spacing w:val="6"/>
          <w:lang w:val="en-ZA" w:eastAsia="en-GB"/>
        </w:rPr>
      </w:pPr>
      <w:r w:rsidRPr="008927F6">
        <w:rPr>
          <w:rFonts w:ascii="Arial" w:hAnsi="Arial" w:cs="Arial"/>
          <w:color w:val="001F00"/>
          <w:spacing w:val="6"/>
          <w:lang w:val="en-ZA" w:eastAsia="en-GB"/>
        </w:rPr>
        <w:t>According to the National Treasury 2022 Estimates of National Expenditure (ENE), the Department under Vote 20 received an annual appropriation of R987.3 million. However, it must be noted that the Department facilitates transfer payments to two entities, namely the Commission for Gender Equality (CGE) and the National Youth Development Agency (NYDA). During the 2022/23 financial year, the Department is expected to transfer R100.7 million to the CGE and R681.5 million to the NYDA. This amounts to R782.2 million as reflected in Table 1. This means that the Department would be left with an actual operating budget of approximately R205.1 million to undertake its programmes and meet its targets for 2022/23.</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b/>
          <w:color w:val="001F00"/>
          <w:spacing w:val="6"/>
          <w:lang w:eastAsia="en-GB"/>
        </w:rPr>
      </w:pPr>
      <w:r w:rsidRPr="008927F6">
        <w:rPr>
          <w:rFonts w:ascii="Arial" w:hAnsi="Arial" w:cs="Arial"/>
          <w:b/>
          <w:color w:val="001F00"/>
          <w:spacing w:val="6"/>
          <w:lang w:eastAsia="en-GB"/>
        </w:rPr>
        <w:t>Table 1: Department of Women, Youth and Persons with Disabilities Budget Summary</w:t>
      </w:r>
      <w:r w:rsidRPr="008927F6">
        <w:rPr>
          <w:rFonts w:ascii="Arial" w:hAnsi="Arial" w:cs="Arial"/>
          <w:b/>
          <w:color w:val="001F00"/>
          <w:spacing w:val="6"/>
          <w:vertAlign w:val="superscript"/>
          <w:lang w:eastAsia="en-GB"/>
        </w:rPr>
        <w:footnoteReference w:id="7"/>
      </w:r>
    </w:p>
    <w:tbl>
      <w:tblPr>
        <w:tblStyle w:val="PlainTable11"/>
        <w:tblW w:w="4997" w:type="pct"/>
        <w:tblLook w:val="0600"/>
      </w:tblPr>
      <w:tblGrid>
        <w:gridCol w:w="2590"/>
        <w:gridCol w:w="913"/>
        <w:gridCol w:w="1376"/>
        <w:gridCol w:w="1493"/>
        <w:gridCol w:w="1236"/>
        <w:gridCol w:w="981"/>
        <w:gridCol w:w="981"/>
      </w:tblGrid>
      <w:tr w:rsidR="008927F6" w:rsidRPr="008927F6" w:rsidTr="0023447C">
        <w:trPr>
          <w:trHeight w:val="400"/>
        </w:trPr>
        <w:tc>
          <w:tcPr>
            <w:tcW w:w="1918" w:type="pct"/>
            <w:vMerge w:val="restart"/>
            <w:shd w:val="clear" w:color="auto" w:fill="D9D9D9"/>
          </w:tcPr>
          <w:p w:rsidR="008927F6" w:rsidRPr="008927F6" w:rsidRDefault="008927F6" w:rsidP="008927F6">
            <w:pPr>
              <w:rPr>
                <w:rFonts w:ascii="Arial" w:hAnsi="Arial" w:cs="Arial"/>
                <w:b/>
                <w:bCs/>
                <w:color w:val="001F00"/>
                <w:spacing w:val="6"/>
                <w:lang w:val="en-GB" w:eastAsia="en-GB"/>
              </w:rPr>
            </w:pPr>
            <w:r w:rsidRPr="008927F6">
              <w:rPr>
                <w:rFonts w:ascii="Arial" w:hAnsi="Arial" w:cs="Arial"/>
                <w:b/>
                <w:bCs/>
                <w:color w:val="001F00"/>
                <w:spacing w:val="6"/>
                <w:lang w:val="en-GB" w:eastAsia="en-GB"/>
              </w:rPr>
              <w:t>PROGRAMMES</w:t>
            </w:r>
          </w:p>
        </w:tc>
        <w:tc>
          <w:tcPr>
            <w:tcW w:w="2194" w:type="pct"/>
            <w:gridSpan w:val="4"/>
            <w:shd w:val="clear" w:color="auto" w:fill="D9D9D9"/>
          </w:tcPr>
          <w:p w:rsidR="008927F6" w:rsidRPr="008927F6" w:rsidRDefault="008927F6" w:rsidP="008927F6">
            <w:pPr>
              <w:rPr>
                <w:rFonts w:ascii="Arial" w:hAnsi="Arial" w:cs="Arial"/>
                <w:b/>
                <w:bCs/>
                <w:color w:val="001F00"/>
                <w:spacing w:val="6"/>
                <w:lang w:val="en-GB" w:eastAsia="en-GB"/>
              </w:rPr>
            </w:pPr>
            <w:r w:rsidRPr="008927F6">
              <w:rPr>
                <w:rFonts w:ascii="Arial" w:hAnsi="Arial" w:cs="Arial"/>
                <w:b/>
                <w:bCs/>
                <w:color w:val="001F00"/>
                <w:spacing w:val="6"/>
                <w:lang w:val="en-GB" w:eastAsia="en-GB"/>
              </w:rPr>
              <w:t>2022/23</w:t>
            </w:r>
          </w:p>
        </w:tc>
        <w:tc>
          <w:tcPr>
            <w:tcW w:w="448" w:type="pct"/>
            <w:shd w:val="clear" w:color="auto" w:fill="D9D9D9"/>
          </w:tcPr>
          <w:p w:rsidR="008927F6" w:rsidRPr="008927F6" w:rsidRDefault="008927F6" w:rsidP="008927F6">
            <w:pPr>
              <w:rPr>
                <w:rFonts w:ascii="Arial" w:hAnsi="Arial" w:cs="Arial"/>
                <w:b/>
                <w:bCs/>
                <w:color w:val="001F00"/>
                <w:spacing w:val="6"/>
                <w:lang w:val="en-GB" w:eastAsia="en-GB"/>
              </w:rPr>
            </w:pPr>
            <w:r w:rsidRPr="008927F6">
              <w:rPr>
                <w:rFonts w:ascii="Arial" w:hAnsi="Arial" w:cs="Arial"/>
                <w:b/>
                <w:bCs/>
                <w:color w:val="001F00"/>
                <w:spacing w:val="6"/>
                <w:lang w:val="en-GB" w:eastAsia="en-GB"/>
              </w:rPr>
              <w:t>2023/24</w:t>
            </w:r>
          </w:p>
        </w:tc>
        <w:tc>
          <w:tcPr>
            <w:tcW w:w="441" w:type="pct"/>
            <w:shd w:val="clear" w:color="auto" w:fill="D9D9D9"/>
          </w:tcPr>
          <w:p w:rsidR="008927F6" w:rsidRPr="008927F6" w:rsidRDefault="008927F6" w:rsidP="008927F6">
            <w:pPr>
              <w:rPr>
                <w:rFonts w:ascii="Arial" w:hAnsi="Arial" w:cs="Arial"/>
                <w:b/>
                <w:bCs/>
                <w:color w:val="001F00"/>
                <w:spacing w:val="6"/>
                <w:lang w:val="en-GB" w:eastAsia="en-GB"/>
              </w:rPr>
            </w:pPr>
            <w:r w:rsidRPr="008927F6">
              <w:rPr>
                <w:rFonts w:ascii="Arial" w:hAnsi="Arial" w:cs="Arial"/>
                <w:b/>
                <w:bCs/>
                <w:color w:val="001F00"/>
                <w:spacing w:val="6"/>
                <w:lang w:val="en-GB" w:eastAsia="en-GB"/>
              </w:rPr>
              <w:t>2024/25</w:t>
            </w:r>
          </w:p>
        </w:tc>
      </w:tr>
      <w:tr w:rsidR="008927F6" w:rsidRPr="008927F6" w:rsidTr="0023447C">
        <w:trPr>
          <w:trHeight w:val="400"/>
        </w:trPr>
        <w:tc>
          <w:tcPr>
            <w:tcW w:w="1918" w:type="pct"/>
            <w:vMerge/>
            <w:shd w:val="clear" w:color="auto" w:fill="D9D9D9"/>
          </w:tcPr>
          <w:p w:rsidR="008927F6" w:rsidRPr="008927F6" w:rsidRDefault="008927F6" w:rsidP="008927F6">
            <w:pPr>
              <w:rPr>
                <w:rFonts w:ascii="Arial" w:hAnsi="Arial" w:cs="Arial"/>
                <w:b/>
                <w:bCs/>
                <w:color w:val="001F00"/>
                <w:spacing w:val="6"/>
                <w:lang w:val="en-GB" w:eastAsia="en-GB"/>
              </w:rPr>
            </w:pPr>
          </w:p>
        </w:tc>
        <w:tc>
          <w:tcPr>
            <w:tcW w:w="662" w:type="pct"/>
            <w:shd w:val="clear" w:color="auto" w:fill="D9D9D9"/>
          </w:tcPr>
          <w:p w:rsidR="008927F6" w:rsidRPr="008927F6" w:rsidRDefault="008927F6" w:rsidP="008927F6">
            <w:pPr>
              <w:rPr>
                <w:rFonts w:ascii="Arial" w:hAnsi="Arial" w:cs="Arial"/>
                <w:b/>
                <w:color w:val="001F00"/>
                <w:spacing w:val="6"/>
                <w:lang w:val="en-GB" w:eastAsia="en-GB"/>
              </w:rPr>
            </w:pPr>
            <w:r w:rsidRPr="008927F6">
              <w:rPr>
                <w:rFonts w:ascii="Arial" w:hAnsi="Arial" w:cs="Arial"/>
                <w:b/>
                <w:bCs/>
                <w:color w:val="001F00"/>
                <w:spacing w:val="6"/>
                <w:lang w:val="en-GB" w:eastAsia="en-GB"/>
              </w:rPr>
              <w:t>TOTAL</w:t>
            </w:r>
          </w:p>
        </w:tc>
        <w:tc>
          <w:tcPr>
            <w:tcW w:w="514" w:type="pct"/>
            <w:shd w:val="clear" w:color="auto" w:fill="D9D9D9"/>
          </w:tcPr>
          <w:p w:rsidR="008927F6" w:rsidRPr="008927F6" w:rsidRDefault="008927F6" w:rsidP="008927F6">
            <w:pPr>
              <w:rPr>
                <w:rFonts w:ascii="Arial" w:hAnsi="Arial" w:cs="Arial"/>
                <w:b/>
                <w:color w:val="001F00"/>
                <w:spacing w:val="6"/>
                <w:lang w:val="en-GB" w:eastAsia="en-GB"/>
              </w:rPr>
            </w:pPr>
            <w:r w:rsidRPr="008927F6">
              <w:rPr>
                <w:rFonts w:ascii="Arial" w:hAnsi="Arial" w:cs="Arial"/>
                <w:b/>
                <w:color w:val="001F00"/>
                <w:spacing w:val="6"/>
                <w:lang w:val="en-GB" w:eastAsia="en-GB"/>
              </w:rPr>
              <w:t>CURRENT PAYMENTS</w:t>
            </w:r>
          </w:p>
        </w:tc>
        <w:tc>
          <w:tcPr>
            <w:tcW w:w="476" w:type="pct"/>
            <w:shd w:val="clear" w:color="auto" w:fill="D9D9D9"/>
          </w:tcPr>
          <w:p w:rsidR="008927F6" w:rsidRPr="008927F6" w:rsidRDefault="008927F6" w:rsidP="008927F6">
            <w:pPr>
              <w:rPr>
                <w:rFonts w:ascii="Arial" w:hAnsi="Arial" w:cs="Arial"/>
                <w:b/>
                <w:color w:val="001F00"/>
                <w:spacing w:val="6"/>
                <w:lang w:val="en-GB" w:eastAsia="en-GB"/>
              </w:rPr>
            </w:pPr>
            <w:r w:rsidRPr="008927F6">
              <w:rPr>
                <w:rFonts w:ascii="Arial" w:hAnsi="Arial" w:cs="Arial"/>
                <w:b/>
                <w:color w:val="001F00"/>
                <w:spacing w:val="6"/>
                <w:lang w:val="en-GB" w:eastAsia="en-GB"/>
              </w:rPr>
              <w:t>TRANSFERS SUBSIDIES</w:t>
            </w:r>
          </w:p>
        </w:tc>
        <w:tc>
          <w:tcPr>
            <w:tcW w:w="542" w:type="pct"/>
            <w:shd w:val="clear" w:color="auto" w:fill="D9D9D9"/>
          </w:tcPr>
          <w:p w:rsidR="008927F6" w:rsidRPr="008927F6" w:rsidRDefault="008927F6" w:rsidP="008927F6">
            <w:pPr>
              <w:rPr>
                <w:rFonts w:ascii="Arial" w:hAnsi="Arial" w:cs="Arial"/>
                <w:b/>
                <w:bCs/>
                <w:color w:val="001F00"/>
                <w:spacing w:val="6"/>
                <w:lang w:val="en-GB" w:eastAsia="en-GB"/>
              </w:rPr>
            </w:pPr>
            <w:r w:rsidRPr="008927F6">
              <w:rPr>
                <w:rFonts w:ascii="Arial" w:hAnsi="Arial" w:cs="Arial"/>
                <w:b/>
                <w:bCs/>
                <w:color w:val="001F00"/>
                <w:spacing w:val="6"/>
                <w:lang w:val="en-GB" w:eastAsia="en-GB"/>
              </w:rPr>
              <w:t>PAYMENT FOR CAPITAL ASSETS</w:t>
            </w:r>
          </w:p>
        </w:tc>
        <w:tc>
          <w:tcPr>
            <w:tcW w:w="448" w:type="pct"/>
            <w:shd w:val="clear" w:color="auto" w:fill="D9D9D9"/>
          </w:tcPr>
          <w:p w:rsidR="008927F6" w:rsidRPr="008927F6" w:rsidRDefault="008927F6" w:rsidP="008927F6">
            <w:pPr>
              <w:rPr>
                <w:rFonts w:ascii="Arial" w:hAnsi="Arial" w:cs="Arial"/>
                <w:b/>
                <w:bCs/>
                <w:color w:val="001F00"/>
                <w:spacing w:val="6"/>
                <w:lang w:val="en-GB" w:eastAsia="en-GB"/>
              </w:rPr>
            </w:pPr>
            <w:r w:rsidRPr="008927F6">
              <w:rPr>
                <w:rFonts w:ascii="Arial" w:hAnsi="Arial" w:cs="Arial"/>
                <w:b/>
                <w:bCs/>
                <w:color w:val="001F00"/>
                <w:spacing w:val="6"/>
                <w:lang w:val="en-GB" w:eastAsia="en-GB"/>
              </w:rPr>
              <w:t>TOTAL</w:t>
            </w:r>
          </w:p>
        </w:tc>
        <w:tc>
          <w:tcPr>
            <w:tcW w:w="441" w:type="pct"/>
            <w:shd w:val="clear" w:color="auto" w:fill="D9D9D9"/>
          </w:tcPr>
          <w:p w:rsidR="008927F6" w:rsidRPr="008927F6" w:rsidRDefault="008927F6" w:rsidP="008927F6">
            <w:pPr>
              <w:rPr>
                <w:rFonts w:ascii="Arial" w:hAnsi="Arial" w:cs="Arial"/>
                <w:b/>
                <w:bCs/>
                <w:color w:val="001F00"/>
                <w:spacing w:val="6"/>
                <w:lang w:val="en-GB" w:eastAsia="en-GB"/>
              </w:rPr>
            </w:pPr>
            <w:r w:rsidRPr="008927F6">
              <w:rPr>
                <w:rFonts w:ascii="Arial" w:hAnsi="Arial" w:cs="Arial"/>
                <w:b/>
                <w:bCs/>
                <w:color w:val="001F00"/>
                <w:spacing w:val="6"/>
                <w:lang w:val="en-GB" w:eastAsia="en-GB"/>
              </w:rPr>
              <w:t>TOTAL</w:t>
            </w:r>
          </w:p>
        </w:tc>
      </w:tr>
      <w:tr w:rsidR="008927F6" w:rsidRPr="008927F6" w:rsidTr="0023447C">
        <w:trPr>
          <w:trHeight w:val="400"/>
        </w:trPr>
        <w:tc>
          <w:tcPr>
            <w:tcW w:w="1918" w:type="pct"/>
            <w:hideMark/>
          </w:tcPr>
          <w:p w:rsidR="008927F6" w:rsidRPr="008927F6" w:rsidRDefault="008927F6" w:rsidP="008927F6">
            <w:pPr>
              <w:numPr>
                <w:ilvl w:val="0"/>
                <w:numId w:val="1"/>
              </w:numPr>
              <w:ind w:left="414"/>
              <w:rPr>
                <w:rFonts w:ascii="Arial" w:hAnsi="Arial" w:cs="Arial"/>
                <w:color w:val="001F00"/>
                <w:spacing w:val="6"/>
                <w:lang w:val="en-GB" w:eastAsia="en-GB"/>
              </w:rPr>
            </w:pPr>
            <w:r w:rsidRPr="008927F6">
              <w:rPr>
                <w:rFonts w:ascii="Arial" w:hAnsi="Arial" w:cs="Arial"/>
                <w:color w:val="001F00"/>
                <w:spacing w:val="6"/>
                <w:lang w:val="en-GB" w:eastAsia="en-GB"/>
              </w:rPr>
              <w:t>Administration</w:t>
            </w:r>
          </w:p>
        </w:tc>
        <w:tc>
          <w:tcPr>
            <w:tcW w:w="662" w:type="pct"/>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98.7</w:t>
            </w:r>
          </w:p>
        </w:tc>
        <w:tc>
          <w:tcPr>
            <w:tcW w:w="514" w:type="pct"/>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96.4</w:t>
            </w:r>
          </w:p>
        </w:tc>
        <w:tc>
          <w:tcPr>
            <w:tcW w:w="476" w:type="pct"/>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0.0</w:t>
            </w:r>
          </w:p>
        </w:tc>
        <w:tc>
          <w:tcPr>
            <w:tcW w:w="542" w:type="pct"/>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2.3</w:t>
            </w:r>
          </w:p>
        </w:tc>
        <w:tc>
          <w:tcPr>
            <w:tcW w:w="448" w:type="pct"/>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97.7</w:t>
            </w:r>
          </w:p>
        </w:tc>
        <w:tc>
          <w:tcPr>
            <w:tcW w:w="441" w:type="pct"/>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102.0</w:t>
            </w:r>
          </w:p>
        </w:tc>
      </w:tr>
      <w:tr w:rsidR="008927F6" w:rsidRPr="008927F6" w:rsidTr="0023447C">
        <w:trPr>
          <w:trHeight w:val="460"/>
        </w:trPr>
        <w:tc>
          <w:tcPr>
            <w:tcW w:w="1918" w:type="pct"/>
            <w:shd w:val="clear" w:color="auto" w:fill="D9D9D9"/>
            <w:hideMark/>
          </w:tcPr>
          <w:p w:rsidR="008927F6" w:rsidRPr="008927F6" w:rsidRDefault="008927F6" w:rsidP="008927F6">
            <w:pPr>
              <w:numPr>
                <w:ilvl w:val="0"/>
                <w:numId w:val="2"/>
              </w:numPr>
              <w:ind w:left="414"/>
              <w:rPr>
                <w:rFonts w:ascii="Arial" w:hAnsi="Arial" w:cs="Arial"/>
                <w:color w:val="001F00"/>
                <w:spacing w:val="6"/>
                <w:lang w:val="en-GB" w:eastAsia="en-GB"/>
              </w:rPr>
            </w:pPr>
            <w:r w:rsidRPr="008927F6">
              <w:rPr>
                <w:rFonts w:ascii="Arial" w:hAnsi="Arial" w:cs="Arial"/>
                <w:color w:val="001F00"/>
                <w:spacing w:val="6"/>
                <w:lang w:val="en-GB" w:eastAsia="en-GB"/>
              </w:rPr>
              <w:t>Social Transformation and Economic Empowerment</w:t>
            </w:r>
          </w:p>
        </w:tc>
        <w:tc>
          <w:tcPr>
            <w:tcW w:w="662" w:type="pct"/>
            <w:shd w:val="clear" w:color="auto" w:fill="D9D9D9"/>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134.3</w:t>
            </w:r>
          </w:p>
        </w:tc>
        <w:tc>
          <w:tcPr>
            <w:tcW w:w="514" w:type="pct"/>
            <w:shd w:val="clear" w:color="auto" w:fill="D9D9D9"/>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33.1</w:t>
            </w:r>
          </w:p>
        </w:tc>
        <w:tc>
          <w:tcPr>
            <w:tcW w:w="476" w:type="pct"/>
            <w:shd w:val="clear" w:color="auto" w:fill="D9D9D9"/>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100.7</w:t>
            </w:r>
          </w:p>
        </w:tc>
        <w:tc>
          <w:tcPr>
            <w:tcW w:w="542" w:type="pct"/>
            <w:shd w:val="clear" w:color="auto" w:fill="D9D9D9"/>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0.5</w:t>
            </w:r>
          </w:p>
        </w:tc>
        <w:tc>
          <w:tcPr>
            <w:tcW w:w="448" w:type="pct"/>
            <w:shd w:val="clear" w:color="auto" w:fill="D9D9D9"/>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127.8</w:t>
            </w:r>
          </w:p>
        </w:tc>
        <w:tc>
          <w:tcPr>
            <w:tcW w:w="441" w:type="pct"/>
            <w:shd w:val="clear" w:color="auto" w:fill="D9D9D9"/>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133.5</w:t>
            </w:r>
          </w:p>
        </w:tc>
      </w:tr>
      <w:tr w:rsidR="008927F6" w:rsidRPr="008927F6" w:rsidTr="0023447C">
        <w:trPr>
          <w:trHeight w:val="274"/>
        </w:trPr>
        <w:tc>
          <w:tcPr>
            <w:tcW w:w="1918" w:type="pct"/>
            <w:hideMark/>
          </w:tcPr>
          <w:p w:rsidR="008927F6" w:rsidRPr="008927F6" w:rsidRDefault="008927F6" w:rsidP="008927F6">
            <w:pPr>
              <w:numPr>
                <w:ilvl w:val="0"/>
                <w:numId w:val="3"/>
              </w:numPr>
              <w:ind w:left="414"/>
              <w:rPr>
                <w:rFonts w:ascii="Arial" w:hAnsi="Arial" w:cs="Arial"/>
                <w:color w:val="001F00"/>
                <w:spacing w:val="6"/>
                <w:lang w:val="en-GB" w:eastAsia="en-GB"/>
              </w:rPr>
            </w:pPr>
            <w:r w:rsidRPr="008927F6">
              <w:rPr>
                <w:rFonts w:ascii="Arial" w:hAnsi="Arial" w:cs="Arial"/>
                <w:color w:val="001F00"/>
                <w:spacing w:val="6"/>
                <w:lang w:val="en-GB" w:eastAsia="en-GB"/>
              </w:rPr>
              <w:t>Policy  Stakeholder, Coordination and Knowledge Management</w:t>
            </w:r>
          </w:p>
        </w:tc>
        <w:tc>
          <w:tcPr>
            <w:tcW w:w="662" w:type="pct"/>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42.5</w:t>
            </w:r>
          </w:p>
        </w:tc>
        <w:tc>
          <w:tcPr>
            <w:tcW w:w="514" w:type="pct"/>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41.6</w:t>
            </w:r>
          </w:p>
        </w:tc>
        <w:tc>
          <w:tcPr>
            <w:tcW w:w="476" w:type="pct"/>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w:t>
            </w:r>
          </w:p>
        </w:tc>
        <w:tc>
          <w:tcPr>
            <w:tcW w:w="542" w:type="pct"/>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0.9</w:t>
            </w:r>
          </w:p>
        </w:tc>
        <w:tc>
          <w:tcPr>
            <w:tcW w:w="448" w:type="pct"/>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42.7</w:t>
            </w:r>
          </w:p>
        </w:tc>
        <w:tc>
          <w:tcPr>
            <w:tcW w:w="441" w:type="pct"/>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44.6</w:t>
            </w:r>
          </w:p>
        </w:tc>
      </w:tr>
      <w:tr w:rsidR="008927F6" w:rsidRPr="008927F6" w:rsidTr="0023447C">
        <w:trPr>
          <w:trHeight w:val="274"/>
        </w:trPr>
        <w:tc>
          <w:tcPr>
            <w:tcW w:w="1918" w:type="pct"/>
            <w:shd w:val="clear" w:color="auto" w:fill="D9D9D9"/>
          </w:tcPr>
          <w:p w:rsidR="008927F6" w:rsidRPr="008927F6" w:rsidRDefault="008927F6" w:rsidP="008927F6">
            <w:pPr>
              <w:numPr>
                <w:ilvl w:val="0"/>
                <w:numId w:val="3"/>
              </w:numPr>
              <w:ind w:left="414"/>
              <w:rPr>
                <w:rFonts w:ascii="Arial" w:hAnsi="Arial" w:cs="Arial"/>
                <w:color w:val="001F00"/>
                <w:spacing w:val="6"/>
                <w:lang w:val="en-GB" w:eastAsia="en-GB"/>
              </w:rPr>
            </w:pPr>
            <w:r w:rsidRPr="008927F6">
              <w:rPr>
                <w:rFonts w:ascii="Arial" w:hAnsi="Arial" w:cs="Arial"/>
                <w:color w:val="001F00"/>
                <w:spacing w:val="6"/>
                <w:lang w:val="en-GB" w:eastAsia="en-GB"/>
              </w:rPr>
              <w:t>Mainstreaming Youth and Persons with Disabilities Rights and Advocacy</w:t>
            </w:r>
          </w:p>
        </w:tc>
        <w:tc>
          <w:tcPr>
            <w:tcW w:w="662" w:type="pct"/>
            <w:shd w:val="clear" w:color="auto" w:fill="D9D9D9"/>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711.8</w:t>
            </w:r>
          </w:p>
        </w:tc>
        <w:tc>
          <w:tcPr>
            <w:tcW w:w="514" w:type="pct"/>
            <w:shd w:val="clear" w:color="auto" w:fill="D9D9D9"/>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29.9</w:t>
            </w:r>
          </w:p>
        </w:tc>
        <w:tc>
          <w:tcPr>
            <w:tcW w:w="476" w:type="pct"/>
            <w:shd w:val="clear" w:color="auto" w:fill="D9D9D9"/>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681.5</w:t>
            </w:r>
          </w:p>
        </w:tc>
        <w:tc>
          <w:tcPr>
            <w:tcW w:w="542" w:type="pct"/>
            <w:shd w:val="clear" w:color="auto" w:fill="D9D9D9"/>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0.4</w:t>
            </w:r>
          </w:p>
        </w:tc>
        <w:tc>
          <w:tcPr>
            <w:tcW w:w="448" w:type="pct"/>
            <w:shd w:val="clear" w:color="auto" w:fill="D9D9D9"/>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763.7</w:t>
            </w:r>
          </w:p>
        </w:tc>
        <w:tc>
          <w:tcPr>
            <w:tcW w:w="441" w:type="pct"/>
            <w:shd w:val="clear" w:color="auto" w:fill="D9D9D9"/>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536.8</w:t>
            </w:r>
          </w:p>
        </w:tc>
      </w:tr>
      <w:tr w:rsidR="008927F6" w:rsidRPr="008927F6" w:rsidTr="0023447C">
        <w:trPr>
          <w:trHeight w:val="133"/>
        </w:trPr>
        <w:tc>
          <w:tcPr>
            <w:tcW w:w="1918" w:type="pct"/>
            <w:hideMark/>
          </w:tcPr>
          <w:p w:rsidR="008927F6" w:rsidRPr="008927F6" w:rsidRDefault="008927F6" w:rsidP="008927F6">
            <w:pPr>
              <w:rPr>
                <w:rFonts w:ascii="Arial" w:hAnsi="Arial" w:cs="Arial"/>
                <w:color w:val="001F00"/>
                <w:spacing w:val="6"/>
                <w:lang w:val="en-GB" w:eastAsia="en-GB"/>
              </w:rPr>
            </w:pPr>
            <w:r w:rsidRPr="008927F6">
              <w:rPr>
                <w:rFonts w:ascii="Arial" w:hAnsi="Arial" w:cs="Arial"/>
                <w:b/>
                <w:bCs/>
                <w:color w:val="001F00"/>
                <w:spacing w:val="6"/>
                <w:lang w:val="en-GB" w:eastAsia="en-GB"/>
              </w:rPr>
              <w:t>Total Expenditure Estimates</w:t>
            </w:r>
          </w:p>
        </w:tc>
        <w:tc>
          <w:tcPr>
            <w:tcW w:w="662" w:type="pct"/>
          </w:tcPr>
          <w:p w:rsidR="008927F6" w:rsidRPr="008927F6" w:rsidRDefault="008927F6" w:rsidP="008927F6">
            <w:pPr>
              <w:rPr>
                <w:rFonts w:ascii="Arial" w:hAnsi="Arial" w:cs="Arial"/>
                <w:b/>
                <w:color w:val="001F00"/>
                <w:spacing w:val="6"/>
                <w:lang w:val="en-GB" w:eastAsia="en-GB"/>
              </w:rPr>
            </w:pPr>
            <w:r w:rsidRPr="008927F6">
              <w:rPr>
                <w:rFonts w:ascii="Arial" w:hAnsi="Arial" w:cs="Arial"/>
                <w:b/>
                <w:color w:val="001F00"/>
                <w:spacing w:val="6"/>
                <w:lang w:val="en-GB" w:eastAsia="en-GB"/>
              </w:rPr>
              <w:t>987.3</w:t>
            </w:r>
          </w:p>
        </w:tc>
        <w:tc>
          <w:tcPr>
            <w:tcW w:w="514" w:type="pct"/>
          </w:tcPr>
          <w:p w:rsidR="008927F6" w:rsidRPr="008927F6" w:rsidRDefault="008927F6" w:rsidP="008927F6">
            <w:pPr>
              <w:rPr>
                <w:rFonts w:ascii="Arial" w:hAnsi="Arial" w:cs="Arial"/>
                <w:b/>
                <w:color w:val="001F00"/>
                <w:spacing w:val="6"/>
                <w:lang w:val="en-GB" w:eastAsia="en-GB"/>
              </w:rPr>
            </w:pPr>
            <w:r w:rsidRPr="008927F6">
              <w:rPr>
                <w:rFonts w:ascii="Arial" w:hAnsi="Arial" w:cs="Arial"/>
                <w:b/>
                <w:color w:val="001F00"/>
                <w:spacing w:val="6"/>
                <w:lang w:val="en-GB" w:eastAsia="en-GB"/>
              </w:rPr>
              <w:t>201.0</w:t>
            </w:r>
          </w:p>
        </w:tc>
        <w:tc>
          <w:tcPr>
            <w:tcW w:w="476" w:type="pct"/>
          </w:tcPr>
          <w:p w:rsidR="008927F6" w:rsidRPr="008927F6" w:rsidRDefault="008927F6" w:rsidP="008927F6">
            <w:pPr>
              <w:rPr>
                <w:rFonts w:ascii="Arial" w:hAnsi="Arial" w:cs="Arial"/>
                <w:b/>
                <w:color w:val="001F00"/>
                <w:spacing w:val="6"/>
                <w:lang w:val="en-GB" w:eastAsia="en-GB"/>
              </w:rPr>
            </w:pPr>
            <w:r w:rsidRPr="008927F6">
              <w:rPr>
                <w:rFonts w:ascii="Arial" w:hAnsi="Arial" w:cs="Arial"/>
                <w:b/>
                <w:color w:val="001F00"/>
                <w:spacing w:val="6"/>
                <w:lang w:val="en-GB" w:eastAsia="en-GB"/>
              </w:rPr>
              <w:t>782.2</w:t>
            </w:r>
          </w:p>
        </w:tc>
        <w:tc>
          <w:tcPr>
            <w:tcW w:w="542" w:type="pct"/>
          </w:tcPr>
          <w:p w:rsidR="008927F6" w:rsidRPr="008927F6" w:rsidRDefault="008927F6" w:rsidP="008927F6">
            <w:pPr>
              <w:rPr>
                <w:rFonts w:ascii="Arial" w:hAnsi="Arial" w:cs="Arial"/>
                <w:b/>
                <w:color w:val="001F00"/>
                <w:spacing w:val="6"/>
                <w:lang w:val="en-GB" w:eastAsia="en-GB"/>
              </w:rPr>
            </w:pPr>
            <w:r w:rsidRPr="008927F6">
              <w:rPr>
                <w:rFonts w:ascii="Arial" w:hAnsi="Arial" w:cs="Arial"/>
                <w:b/>
                <w:color w:val="001F00"/>
                <w:spacing w:val="6"/>
                <w:lang w:val="en-GB" w:eastAsia="en-GB"/>
              </w:rPr>
              <w:t>4.1</w:t>
            </w:r>
          </w:p>
        </w:tc>
        <w:tc>
          <w:tcPr>
            <w:tcW w:w="448" w:type="pct"/>
          </w:tcPr>
          <w:p w:rsidR="008927F6" w:rsidRPr="008927F6" w:rsidRDefault="008927F6" w:rsidP="008927F6">
            <w:pPr>
              <w:rPr>
                <w:rFonts w:ascii="Arial" w:hAnsi="Arial" w:cs="Arial"/>
                <w:b/>
                <w:color w:val="001F00"/>
                <w:spacing w:val="6"/>
                <w:lang w:val="en-GB" w:eastAsia="en-GB"/>
              </w:rPr>
            </w:pPr>
            <w:r w:rsidRPr="008927F6">
              <w:rPr>
                <w:rFonts w:ascii="Arial" w:hAnsi="Arial" w:cs="Arial"/>
                <w:b/>
                <w:color w:val="001F00"/>
                <w:spacing w:val="6"/>
                <w:lang w:val="en-GB" w:eastAsia="en-GB"/>
              </w:rPr>
              <w:t>1 031.0</w:t>
            </w:r>
          </w:p>
        </w:tc>
        <w:tc>
          <w:tcPr>
            <w:tcW w:w="441" w:type="pct"/>
          </w:tcPr>
          <w:p w:rsidR="008927F6" w:rsidRPr="008927F6" w:rsidRDefault="008927F6" w:rsidP="008927F6">
            <w:pPr>
              <w:rPr>
                <w:rFonts w:ascii="Arial" w:hAnsi="Arial" w:cs="Arial"/>
                <w:b/>
                <w:color w:val="001F00"/>
                <w:spacing w:val="6"/>
                <w:lang w:val="en-GB" w:eastAsia="en-GB"/>
              </w:rPr>
            </w:pPr>
            <w:r w:rsidRPr="008927F6">
              <w:rPr>
                <w:rFonts w:ascii="Arial" w:hAnsi="Arial" w:cs="Arial"/>
                <w:b/>
                <w:color w:val="001F00"/>
                <w:spacing w:val="6"/>
                <w:lang w:val="en-GB" w:eastAsia="en-GB"/>
              </w:rPr>
              <w:t>817.0</w:t>
            </w:r>
          </w:p>
        </w:tc>
      </w:tr>
    </w:tbl>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eastAsia="en-GB"/>
        </w:rPr>
        <w:t>Of the R205.4 million, R113 million (56.2%) of the Department’s operating budget is allocated to Compensation of Employees and R87.9 million (43.8%) to Goods and Services. The key cost drivers under Goods and Services for the Department is as follows:</w:t>
      </w:r>
    </w:p>
    <w:p w:rsidR="008927F6" w:rsidRPr="008927F6" w:rsidRDefault="008927F6" w:rsidP="008927F6">
      <w:pPr>
        <w:rPr>
          <w:rFonts w:ascii="Arial" w:hAnsi="Arial" w:cs="Arial"/>
          <w:color w:val="001F00"/>
          <w:spacing w:val="6"/>
          <w:lang w:val="en-ZA" w:eastAsia="en-GB"/>
        </w:rPr>
      </w:pPr>
    </w:p>
    <w:p w:rsidR="008927F6" w:rsidRPr="008927F6" w:rsidRDefault="008927F6" w:rsidP="008927F6">
      <w:pPr>
        <w:numPr>
          <w:ilvl w:val="0"/>
          <w:numId w:val="7"/>
        </w:numPr>
        <w:ind w:left="360"/>
        <w:contextualSpacing/>
        <w:rPr>
          <w:rFonts w:ascii="Arial" w:hAnsi="Arial" w:cs="Arial"/>
          <w:color w:val="001F00"/>
          <w:spacing w:val="6"/>
          <w:lang w:val="en-ZA" w:eastAsia="en-GB"/>
        </w:rPr>
      </w:pPr>
      <w:r w:rsidRPr="008927F6">
        <w:rPr>
          <w:rFonts w:ascii="Arial" w:hAnsi="Arial" w:cs="Arial"/>
          <w:color w:val="001F00"/>
          <w:spacing w:val="6"/>
          <w:lang w:val="en-ZA" w:eastAsia="en-GB"/>
        </w:rPr>
        <w:t>Property Payments: R19.1 million;</w:t>
      </w:r>
    </w:p>
    <w:p w:rsidR="008927F6" w:rsidRPr="008927F6" w:rsidRDefault="008927F6" w:rsidP="008927F6">
      <w:pPr>
        <w:numPr>
          <w:ilvl w:val="0"/>
          <w:numId w:val="7"/>
        </w:numPr>
        <w:ind w:left="360"/>
        <w:contextualSpacing/>
        <w:rPr>
          <w:rFonts w:ascii="Arial" w:hAnsi="Arial" w:cs="Arial"/>
          <w:color w:val="001F00"/>
          <w:spacing w:val="6"/>
          <w:lang w:val="en-ZA" w:eastAsia="en-GB"/>
        </w:rPr>
      </w:pPr>
      <w:r w:rsidRPr="008927F6">
        <w:rPr>
          <w:rFonts w:ascii="Arial" w:hAnsi="Arial" w:cs="Arial"/>
          <w:color w:val="001F00"/>
          <w:spacing w:val="6"/>
          <w:lang w:val="en-ZA" w:eastAsia="en-GB"/>
        </w:rPr>
        <w:t>Travel &amp; Subsistence: R18.4 million;</w:t>
      </w:r>
    </w:p>
    <w:p w:rsidR="008927F6" w:rsidRPr="008927F6" w:rsidRDefault="008927F6" w:rsidP="008927F6">
      <w:pPr>
        <w:numPr>
          <w:ilvl w:val="0"/>
          <w:numId w:val="7"/>
        </w:numPr>
        <w:ind w:left="360"/>
        <w:contextualSpacing/>
        <w:rPr>
          <w:rFonts w:ascii="Arial" w:hAnsi="Arial" w:cs="Arial"/>
          <w:color w:val="001F00"/>
          <w:spacing w:val="6"/>
          <w:lang w:val="en-ZA" w:eastAsia="en-GB"/>
        </w:rPr>
      </w:pPr>
      <w:r w:rsidRPr="008927F6">
        <w:rPr>
          <w:rFonts w:ascii="Arial" w:hAnsi="Arial" w:cs="Arial"/>
          <w:color w:val="001F00"/>
          <w:spacing w:val="6"/>
          <w:lang w:val="en-ZA" w:eastAsia="en-GB"/>
        </w:rPr>
        <w:t xml:space="preserve">Consultants: R15.6 million; </w:t>
      </w:r>
    </w:p>
    <w:p w:rsidR="008927F6" w:rsidRPr="008927F6" w:rsidRDefault="008927F6" w:rsidP="008927F6">
      <w:pPr>
        <w:numPr>
          <w:ilvl w:val="0"/>
          <w:numId w:val="7"/>
        </w:numPr>
        <w:ind w:left="360"/>
        <w:contextualSpacing/>
        <w:rPr>
          <w:rFonts w:ascii="Arial" w:hAnsi="Arial" w:cs="Arial"/>
          <w:color w:val="001F00"/>
          <w:spacing w:val="6"/>
          <w:lang w:val="en-ZA" w:eastAsia="en-GB"/>
        </w:rPr>
      </w:pPr>
      <w:r w:rsidRPr="008927F6">
        <w:rPr>
          <w:rFonts w:ascii="Arial" w:hAnsi="Arial" w:cs="Arial"/>
          <w:color w:val="001F00"/>
          <w:spacing w:val="6"/>
          <w:lang w:val="en-ZA" w:eastAsia="en-GB"/>
        </w:rPr>
        <w:t xml:space="preserve">Venues &amp; facilities: R5.7 million; and </w:t>
      </w:r>
    </w:p>
    <w:p w:rsidR="008927F6" w:rsidRPr="008927F6" w:rsidRDefault="008927F6" w:rsidP="008927F6">
      <w:pPr>
        <w:numPr>
          <w:ilvl w:val="0"/>
          <w:numId w:val="7"/>
        </w:numPr>
        <w:ind w:left="360"/>
        <w:contextualSpacing/>
        <w:rPr>
          <w:rFonts w:ascii="Arial" w:hAnsi="Arial" w:cs="Arial"/>
          <w:color w:val="001F00"/>
          <w:spacing w:val="6"/>
          <w:lang w:val="en-ZA" w:eastAsia="en-GB"/>
        </w:rPr>
      </w:pPr>
      <w:r w:rsidRPr="008927F6">
        <w:rPr>
          <w:rFonts w:ascii="Arial" w:hAnsi="Arial" w:cs="Arial"/>
          <w:color w:val="001F00"/>
          <w:spacing w:val="6"/>
          <w:lang w:val="en-ZA" w:eastAsia="en-GB"/>
        </w:rPr>
        <w:t>External Audit Costs: R4.4 million.</w:t>
      </w:r>
    </w:p>
    <w:p w:rsidR="008927F6" w:rsidRPr="008927F6" w:rsidRDefault="008927F6" w:rsidP="008927F6">
      <w:pPr>
        <w:rPr>
          <w:rFonts w:ascii="Arial" w:hAnsi="Arial" w:cs="Arial"/>
          <w:color w:val="001F00"/>
          <w:spacing w:val="6"/>
          <w:lang w:val="en-ZA"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val="en-ZA" w:eastAsia="en-GB"/>
        </w:rPr>
        <w:t xml:space="preserve">The aforementioned cost drivers consume approximately 72% (R63.2 million) of the Goods and Services allocation. </w:t>
      </w:r>
      <w:r w:rsidRPr="008927F6">
        <w:rPr>
          <w:rFonts w:ascii="Arial" w:hAnsi="Arial" w:cs="Arial"/>
          <w:color w:val="001F00"/>
          <w:spacing w:val="6"/>
          <w:lang w:eastAsia="en-GB"/>
        </w:rPr>
        <w:t>The next section provides a more in-depth analysis of the budgetary allocation per programme for the Department and a reflection of the targets.</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b/>
          <w:color w:val="001F00"/>
          <w:spacing w:val="6"/>
          <w:lang w:eastAsia="en-GB"/>
        </w:rPr>
      </w:pPr>
      <w:r w:rsidRPr="008927F6">
        <w:rPr>
          <w:rFonts w:ascii="Arial" w:hAnsi="Arial" w:cs="Arial"/>
          <w:b/>
          <w:color w:val="001F00"/>
          <w:spacing w:val="6"/>
          <w:lang w:eastAsia="en-GB"/>
        </w:rPr>
        <w:t>3.1 Programme 1 (Administration)</w:t>
      </w:r>
    </w:p>
    <w:p w:rsidR="008927F6" w:rsidRPr="008927F6" w:rsidRDefault="008927F6" w:rsidP="008927F6">
      <w:pPr>
        <w:rPr>
          <w:rFonts w:ascii="Arial" w:hAnsi="Arial" w:cs="Arial"/>
          <w:color w:val="001F00"/>
          <w:spacing w:val="6"/>
          <w:lang w:val="en-GB" w:eastAsia="en-GB"/>
        </w:rPr>
      </w:pPr>
    </w:p>
    <w:p w:rsidR="008927F6" w:rsidRPr="008927F6" w:rsidRDefault="008927F6" w:rsidP="008927F6">
      <w:pPr>
        <w:rPr>
          <w:rFonts w:ascii="Arial" w:hAnsi="Arial" w:cs="Arial"/>
          <w:b/>
          <w:bCs/>
          <w:color w:val="001F00"/>
          <w:spacing w:val="6"/>
          <w:lang w:val="en-ZA" w:eastAsia="en-GB"/>
        </w:rPr>
      </w:pPr>
      <w:r w:rsidRPr="008927F6">
        <w:rPr>
          <w:rFonts w:ascii="Arial" w:hAnsi="Arial" w:cs="Arial"/>
          <w:color w:val="001F00"/>
          <w:spacing w:val="6"/>
          <w:lang w:val="en-ZA" w:eastAsia="en-GB"/>
        </w:rPr>
        <w:t xml:space="preserve">The purpose of this programme is to provide strategic leadership, management and support services to the department. This programme is comprise of five sub-programmes namely: </w:t>
      </w:r>
      <w:r w:rsidRPr="008927F6">
        <w:rPr>
          <w:rFonts w:ascii="Arial" w:hAnsi="Arial" w:cs="Arial"/>
          <w:bCs/>
          <w:color w:val="001F00"/>
          <w:spacing w:val="6"/>
          <w:lang w:val="en-ZA" w:eastAsia="en-GB"/>
        </w:rPr>
        <w:t>Ministry, Departmental Management,</w:t>
      </w:r>
      <w:r w:rsidRPr="008927F6">
        <w:rPr>
          <w:rFonts w:ascii="Arial" w:hAnsi="Arial" w:cs="Arial"/>
          <w:color w:val="001F00"/>
          <w:spacing w:val="6"/>
          <w:lang w:val="en-ZA" w:eastAsia="en-GB"/>
        </w:rPr>
        <w:t xml:space="preserve"> </w:t>
      </w:r>
      <w:r w:rsidRPr="008927F6">
        <w:rPr>
          <w:rFonts w:ascii="Arial" w:hAnsi="Arial" w:cs="Arial"/>
          <w:bCs/>
          <w:color w:val="001F00"/>
          <w:spacing w:val="6"/>
          <w:lang w:val="en-ZA" w:eastAsia="en-GB"/>
        </w:rPr>
        <w:t xml:space="preserve">Corporate Management, Financial Management, </w:t>
      </w:r>
      <w:r w:rsidRPr="008927F6">
        <w:rPr>
          <w:rFonts w:ascii="Arial" w:hAnsi="Arial" w:cs="Arial"/>
          <w:color w:val="001F00"/>
          <w:spacing w:val="6"/>
          <w:lang w:val="en-ZA" w:eastAsia="en-GB"/>
        </w:rPr>
        <w:t xml:space="preserve">and </w:t>
      </w:r>
      <w:r w:rsidRPr="008927F6">
        <w:rPr>
          <w:rFonts w:ascii="Arial" w:hAnsi="Arial" w:cs="Arial"/>
          <w:bCs/>
          <w:color w:val="001F00"/>
          <w:spacing w:val="6"/>
          <w:lang w:val="en-ZA" w:eastAsia="en-GB"/>
        </w:rPr>
        <w:t>Office Accommodation.</w:t>
      </w:r>
      <w:r w:rsidRPr="008927F6">
        <w:rPr>
          <w:rFonts w:ascii="Arial" w:hAnsi="Arial" w:cs="Arial"/>
          <w:b/>
          <w:bCs/>
          <w:color w:val="001F00"/>
          <w:spacing w:val="6"/>
          <w:lang w:val="en-ZA" w:eastAsia="en-GB"/>
        </w:rPr>
        <w:t xml:space="preserve"> </w:t>
      </w:r>
    </w:p>
    <w:p w:rsidR="008927F6" w:rsidRPr="008927F6" w:rsidRDefault="008927F6" w:rsidP="008927F6">
      <w:pPr>
        <w:rPr>
          <w:rFonts w:ascii="Arial" w:hAnsi="Arial" w:cs="Arial"/>
          <w:color w:val="001F00"/>
          <w:spacing w:val="6"/>
          <w:lang w:val="en-GB"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val="en-GB" w:eastAsia="en-GB"/>
        </w:rPr>
        <w:t xml:space="preserve">The total allocation for this programme is R98 709 million. It, constitutes 48% of the Department’s operational budget. This allocation is R11.5 million less than in the 2021/22 financial year. However, when taking into consideration the Real Rand change, this programme only sees a decrease of 14.2% to its allocation, which amounts to R15.8 million. Table 2 outlines the </w:t>
      </w:r>
      <w:r w:rsidRPr="008927F6">
        <w:rPr>
          <w:rFonts w:ascii="Arial" w:hAnsi="Arial" w:cs="Arial"/>
          <w:color w:val="001F00"/>
          <w:spacing w:val="6"/>
          <w:lang w:eastAsia="en-GB"/>
        </w:rPr>
        <w:t>expenditure under Programme 1 per sub-programme.</w:t>
      </w:r>
      <w:r w:rsidRPr="008927F6">
        <w:rPr>
          <w:rFonts w:ascii="Arial" w:hAnsi="Arial" w:cs="Arial"/>
          <w:color w:val="001F00"/>
          <w:spacing w:val="6"/>
          <w:vertAlign w:val="superscript"/>
          <w:lang w:eastAsia="en-GB"/>
        </w:rPr>
        <w:footnoteReference w:id="8"/>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b/>
          <w:color w:val="001F00"/>
          <w:spacing w:val="6"/>
          <w:lang w:eastAsia="en-GB"/>
        </w:rPr>
      </w:pPr>
      <w:r w:rsidRPr="008927F6">
        <w:rPr>
          <w:rFonts w:ascii="Arial" w:hAnsi="Arial" w:cs="Arial"/>
          <w:b/>
          <w:color w:val="001F00"/>
          <w:spacing w:val="6"/>
          <w:lang w:eastAsia="en-GB"/>
        </w:rPr>
        <w:t>Table 2: Sub-programme allocations for 2022/23</w:t>
      </w:r>
    </w:p>
    <w:tbl>
      <w:tblPr>
        <w:tblStyle w:val="PlainTable11"/>
        <w:tblW w:w="0" w:type="auto"/>
        <w:tblLook w:val="04A0"/>
      </w:tblPr>
      <w:tblGrid>
        <w:gridCol w:w="4565"/>
        <w:gridCol w:w="5011"/>
      </w:tblGrid>
      <w:tr w:rsidR="008927F6" w:rsidRPr="008927F6" w:rsidTr="0023447C">
        <w:trPr>
          <w:cnfStyle w:val="100000000000"/>
          <w:trHeight w:val="349"/>
        </w:trPr>
        <w:tc>
          <w:tcPr>
            <w:cnfStyle w:val="001000000000"/>
            <w:tcW w:w="4585"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SUB-PROGRAMME</w:t>
            </w:r>
          </w:p>
        </w:tc>
        <w:tc>
          <w:tcPr>
            <w:tcW w:w="5040" w:type="dxa"/>
          </w:tcPr>
          <w:p w:rsidR="008927F6" w:rsidRPr="008927F6" w:rsidRDefault="008927F6" w:rsidP="008927F6">
            <w:pPr>
              <w:autoSpaceDE w:val="0"/>
              <w:autoSpaceDN w:val="0"/>
              <w:adjustRightInd w:val="0"/>
              <w:cnfStyle w:val="100000000000"/>
              <w:rPr>
                <w:rFonts w:ascii="Arial" w:hAnsi="Arial" w:cs="Arial"/>
                <w:color w:val="000000"/>
              </w:rPr>
            </w:pPr>
            <w:r w:rsidRPr="008927F6">
              <w:rPr>
                <w:rFonts w:ascii="Arial" w:hAnsi="Arial" w:cs="Arial"/>
                <w:color w:val="000000"/>
              </w:rPr>
              <w:t>YEAR 2022/23</w:t>
            </w:r>
          </w:p>
        </w:tc>
      </w:tr>
      <w:tr w:rsidR="008927F6" w:rsidRPr="008927F6" w:rsidTr="0023447C">
        <w:trPr>
          <w:cnfStyle w:val="000000100000"/>
          <w:trHeight w:val="349"/>
        </w:trPr>
        <w:tc>
          <w:tcPr>
            <w:cnfStyle w:val="001000000000"/>
            <w:tcW w:w="4585"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Ministry</w:t>
            </w:r>
          </w:p>
        </w:tc>
        <w:tc>
          <w:tcPr>
            <w:tcW w:w="5040" w:type="dxa"/>
          </w:tcPr>
          <w:p w:rsidR="008927F6" w:rsidRPr="008927F6" w:rsidRDefault="008927F6" w:rsidP="008927F6">
            <w:pPr>
              <w:tabs>
                <w:tab w:val="left" w:pos="555"/>
              </w:tabs>
              <w:autoSpaceDE w:val="0"/>
              <w:autoSpaceDN w:val="0"/>
              <w:adjustRightInd w:val="0"/>
              <w:cnfStyle w:val="000000100000"/>
              <w:rPr>
                <w:rFonts w:ascii="Arial" w:hAnsi="Arial" w:cs="Arial"/>
                <w:color w:val="000000"/>
              </w:rPr>
            </w:pPr>
            <w:r w:rsidRPr="008927F6">
              <w:rPr>
                <w:rFonts w:ascii="Arial" w:hAnsi="Arial" w:cs="Arial"/>
                <w:color w:val="000000"/>
              </w:rPr>
              <w:t>R23 945 million</w:t>
            </w:r>
          </w:p>
        </w:tc>
      </w:tr>
      <w:tr w:rsidR="008927F6" w:rsidRPr="008927F6" w:rsidTr="0023447C">
        <w:trPr>
          <w:trHeight w:val="349"/>
        </w:trPr>
        <w:tc>
          <w:tcPr>
            <w:cnfStyle w:val="001000000000"/>
            <w:tcW w:w="4585"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Departmental Management</w:t>
            </w:r>
          </w:p>
        </w:tc>
        <w:tc>
          <w:tcPr>
            <w:tcW w:w="5040" w:type="dxa"/>
          </w:tcPr>
          <w:p w:rsidR="008927F6" w:rsidRPr="008927F6" w:rsidRDefault="008927F6" w:rsidP="008927F6">
            <w:pPr>
              <w:autoSpaceDE w:val="0"/>
              <w:autoSpaceDN w:val="0"/>
              <w:adjustRightInd w:val="0"/>
              <w:cnfStyle w:val="000000000000"/>
              <w:rPr>
                <w:rFonts w:ascii="Arial" w:hAnsi="Arial" w:cs="Arial"/>
                <w:color w:val="000000"/>
              </w:rPr>
            </w:pPr>
            <w:r w:rsidRPr="008927F6">
              <w:rPr>
                <w:rFonts w:ascii="Arial" w:hAnsi="Arial" w:cs="Arial"/>
                <w:color w:val="000000"/>
              </w:rPr>
              <w:t>R16 078 million</w:t>
            </w:r>
          </w:p>
        </w:tc>
      </w:tr>
      <w:tr w:rsidR="008927F6" w:rsidRPr="008927F6" w:rsidTr="0023447C">
        <w:trPr>
          <w:cnfStyle w:val="000000100000"/>
          <w:trHeight w:val="349"/>
        </w:trPr>
        <w:tc>
          <w:tcPr>
            <w:cnfStyle w:val="001000000000"/>
            <w:tcW w:w="4585"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Corporate Services</w:t>
            </w:r>
          </w:p>
        </w:tc>
        <w:tc>
          <w:tcPr>
            <w:tcW w:w="5040" w:type="dxa"/>
          </w:tcPr>
          <w:p w:rsidR="008927F6" w:rsidRPr="008927F6" w:rsidRDefault="008927F6" w:rsidP="008927F6">
            <w:pPr>
              <w:autoSpaceDE w:val="0"/>
              <w:autoSpaceDN w:val="0"/>
              <w:adjustRightInd w:val="0"/>
              <w:cnfStyle w:val="000000100000"/>
              <w:rPr>
                <w:rFonts w:ascii="Arial" w:hAnsi="Arial" w:cs="Arial"/>
                <w:color w:val="000000"/>
              </w:rPr>
            </w:pPr>
            <w:r w:rsidRPr="008927F6">
              <w:rPr>
                <w:rFonts w:ascii="Arial" w:hAnsi="Arial" w:cs="Arial"/>
                <w:color w:val="000000"/>
              </w:rPr>
              <w:t>R24 200 million</w:t>
            </w:r>
          </w:p>
        </w:tc>
      </w:tr>
      <w:tr w:rsidR="008927F6" w:rsidRPr="008927F6" w:rsidTr="0023447C">
        <w:trPr>
          <w:trHeight w:val="349"/>
        </w:trPr>
        <w:tc>
          <w:tcPr>
            <w:cnfStyle w:val="001000000000"/>
            <w:tcW w:w="4585"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Financial Management</w:t>
            </w:r>
          </w:p>
        </w:tc>
        <w:tc>
          <w:tcPr>
            <w:tcW w:w="5040" w:type="dxa"/>
          </w:tcPr>
          <w:p w:rsidR="008927F6" w:rsidRPr="008927F6" w:rsidRDefault="008927F6" w:rsidP="008927F6">
            <w:pPr>
              <w:autoSpaceDE w:val="0"/>
              <w:autoSpaceDN w:val="0"/>
              <w:adjustRightInd w:val="0"/>
              <w:cnfStyle w:val="000000000000"/>
              <w:rPr>
                <w:rFonts w:ascii="Arial" w:hAnsi="Arial" w:cs="Arial"/>
                <w:color w:val="000000"/>
              </w:rPr>
            </w:pPr>
            <w:r w:rsidRPr="008927F6">
              <w:rPr>
                <w:rFonts w:ascii="Arial" w:hAnsi="Arial" w:cs="Arial"/>
                <w:color w:val="000000"/>
              </w:rPr>
              <w:t>R15 586 million</w:t>
            </w:r>
          </w:p>
        </w:tc>
      </w:tr>
      <w:tr w:rsidR="008927F6" w:rsidRPr="008927F6" w:rsidTr="0023447C">
        <w:trPr>
          <w:cnfStyle w:val="000000100000"/>
          <w:trHeight w:val="349"/>
        </w:trPr>
        <w:tc>
          <w:tcPr>
            <w:cnfStyle w:val="001000000000"/>
            <w:tcW w:w="4585"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Office Accommodation</w:t>
            </w:r>
          </w:p>
        </w:tc>
        <w:tc>
          <w:tcPr>
            <w:tcW w:w="5040" w:type="dxa"/>
          </w:tcPr>
          <w:p w:rsidR="008927F6" w:rsidRPr="008927F6" w:rsidRDefault="008927F6" w:rsidP="008927F6">
            <w:pPr>
              <w:autoSpaceDE w:val="0"/>
              <w:autoSpaceDN w:val="0"/>
              <w:adjustRightInd w:val="0"/>
              <w:cnfStyle w:val="000000100000"/>
              <w:rPr>
                <w:rFonts w:ascii="Arial" w:hAnsi="Arial" w:cs="Arial"/>
                <w:color w:val="000000"/>
              </w:rPr>
            </w:pPr>
            <w:r w:rsidRPr="008927F6">
              <w:rPr>
                <w:rFonts w:ascii="Arial" w:hAnsi="Arial" w:cs="Arial"/>
                <w:color w:val="000000"/>
              </w:rPr>
              <w:t>R18 900 million</w:t>
            </w:r>
          </w:p>
        </w:tc>
      </w:tr>
      <w:tr w:rsidR="008927F6" w:rsidRPr="008927F6" w:rsidTr="0023447C">
        <w:trPr>
          <w:trHeight w:val="349"/>
        </w:trPr>
        <w:tc>
          <w:tcPr>
            <w:cnfStyle w:val="001000000000"/>
            <w:tcW w:w="4585"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Total</w:t>
            </w:r>
          </w:p>
        </w:tc>
        <w:tc>
          <w:tcPr>
            <w:tcW w:w="5040" w:type="dxa"/>
          </w:tcPr>
          <w:p w:rsidR="008927F6" w:rsidRPr="008927F6" w:rsidRDefault="008927F6" w:rsidP="008927F6">
            <w:pPr>
              <w:autoSpaceDE w:val="0"/>
              <w:autoSpaceDN w:val="0"/>
              <w:adjustRightInd w:val="0"/>
              <w:cnfStyle w:val="000000000000"/>
              <w:rPr>
                <w:rFonts w:ascii="Arial" w:hAnsi="Arial" w:cs="Arial"/>
                <w:b/>
                <w:bCs/>
                <w:color w:val="000000"/>
              </w:rPr>
            </w:pPr>
            <w:r w:rsidRPr="008927F6">
              <w:rPr>
                <w:rFonts w:ascii="Arial" w:hAnsi="Arial" w:cs="Arial"/>
                <w:b/>
                <w:bCs/>
                <w:color w:val="000000"/>
              </w:rPr>
              <w:t>R98 709 million</w:t>
            </w:r>
          </w:p>
        </w:tc>
      </w:tr>
      <w:tr w:rsidR="008927F6" w:rsidRPr="008927F6" w:rsidTr="0023447C">
        <w:trPr>
          <w:cnfStyle w:val="000000100000"/>
          <w:trHeight w:val="349"/>
        </w:trPr>
        <w:tc>
          <w:tcPr>
            <w:cnfStyle w:val="001000000000"/>
            <w:tcW w:w="4585"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Compensation of employees</w:t>
            </w:r>
          </w:p>
        </w:tc>
        <w:tc>
          <w:tcPr>
            <w:tcW w:w="5040" w:type="dxa"/>
          </w:tcPr>
          <w:p w:rsidR="008927F6" w:rsidRPr="008927F6" w:rsidRDefault="008927F6" w:rsidP="008927F6">
            <w:pPr>
              <w:autoSpaceDE w:val="0"/>
              <w:autoSpaceDN w:val="0"/>
              <w:adjustRightInd w:val="0"/>
              <w:cnfStyle w:val="000000100000"/>
              <w:rPr>
                <w:rFonts w:ascii="Arial" w:hAnsi="Arial" w:cs="Arial"/>
                <w:bCs/>
                <w:color w:val="000000"/>
              </w:rPr>
            </w:pPr>
            <w:r w:rsidRPr="008927F6">
              <w:rPr>
                <w:rFonts w:ascii="Arial" w:hAnsi="Arial" w:cs="Arial"/>
                <w:bCs/>
                <w:color w:val="000000"/>
              </w:rPr>
              <w:t>R57 605 million (58.3%)</w:t>
            </w:r>
          </w:p>
        </w:tc>
      </w:tr>
      <w:tr w:rsidR="008927F6" w:rsidRPr="008927F6" w:rsidTr="0023447C">
        <w:trPr>
          <w:trHeight w:val="349"/>
        </w:trPr>
        <w:tc>
          <w:tcPr>
            <w:cnfStyle w:val="001000000000"/>
            <w:tcW w:w="4585"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Goods and services</w:t>
            </w:r>
          </w:p>
        </w:tc>
        <w:tc>
          <w:tcPr>
            <w:tcW w:w="5040" w:type="dxa"/>
          </w:tcPr>
          <w:p w:rsidR="008927F6" w:rsidRPr="008927F6" w:rsidRDefault="008927F6" w:rsidP="008927F6">
            <w:pPr>
              <w:autoSpaceDE w:val="0"/>
              <w:autoSpaceDN w:val="0"/>
              <w:adjustRightInd w:val="0"/>
              <w:cnfStyle w:val="000000000000"/>
              <w:rPr>
                <w:rFonts w:ascii="Arial" w:hAnsi="Arial" w:cs="Arial"/>
                <w:bCs/>
                <w:color w:val="000000"/>
              </w:rPr>
            </w:pPr>
            <w:r w:rsidRPr="008927F6">
              <w:rPr>
                <w:rFonts w:ascii="Arial" w:hAnsi="Arial" w:cs="Arial"/>
                <w:bCs/>
                <w:color w:val="000000"/>
              </w:rPr>
              <w:t>R38 796 million (39.3%)</w:t>
            </w:r>
          </w:p>
        </w:tc>
      </w:tr>
    </w:tbl>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eastAsia="en-GB"/>
        </w:rPr>
        <w:t>The key cost drivers as per the 2022/23 APP are as follows:</w:t>
      </w:r>
    </w:p>
    <w:p w:rsidR="008927F6" w:rsidRPr="008927F6" w:rsidRDefault="008927F6" w:rsidP="008927F6">
      <w:pPr>
        <w:numPr>
          <w:ilvl w:val="0"/>
          <w:numId w:val="4"/>
        </w:numPr>
        <w:ind w:left="360"/>
        <w:contextualSpacing/>
        <w:rPr>
          <w:rFonts w:ascii="Arial" w:hAnsi="Arial" w:cs="Arial"/>
          <w:color w:val="001F00"/>
          <w:spacing w:val="6"/>
          <w:lang w:eastAsia="en-GB"/>
        </w:rPr>
      </w:pPr>
      <w:r w:rsidRPr="008927F6">
        <w:rPr>
          <w:rFonts w:ascii="Arial" w:hAnsi="Arial" w:cs="Arial"/>
          <w:color w:val="001F00"/>
          <w:spacing w:val="6"/>
          <w:lang w:eastAsia="en-GB"/>
        </w:rPr>
        <w:t>Compensation of Employees (R57 605 million) which constitutes 58.3% of the overall allocation for this programme.</w:t>
      </w:r>
    </w:p>
    <w:p w:rsidR="008927F6" w:rsidRPr="008927F6" w:rsidRDefault="008927F6" w:rsidP="008927F6">
      <w:pPr>
        <w:numPr>
          <w:ilvl w:val="0"/>
          <w:numId w:val="4"/>
        </w:numPr>
        <w:ind w:left="360"/>
        <w:contextualSpacing/>
        <w:rPr>
          <w:rFonts w:ascii="Arial" w:hAnsi="Arial" w:cs="Arial"/>
          <w:color w:val="001F00"/>
          <w:spacing w:val="6"/>
          <w:lang w:eastAsia="en-GB"/>
        </w:rPr>
      </w:pPr>
      <w:r w:rsidRPr="008927F6">
        <w:rPr>
          <w:rFonts w:ascii="Arial" w:hAnsi="Arial" w:cs="Arial"/>
          <w:color w:val="001F00"/>
          <w:spacing w:val="6"/>
          <w:lang w:eastAsia="en-GB"/>
        </w:rPr>
        <w:t>Good and services (R38 796 million) which constitutes 39.3% of the overall allocation for this programme.</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eastAsia="en-GB"/>
        </w:rPr>
        <w:t>As per the 2022 ENE, the main cost drivers for Good and services are as follows:</w:t>
      </w:r>
    </w:p>
    <w:p w:rsidR="008927F6" w:rsidRPr="008927F6" w:rsidRDefault="008927F6" w:rsidP="008927F6">
      <w:pPr>
        <w:numPr>
          <w:ilvl w:val="0"/>
          <w:numId w:val="5"/>
        </w:numPr>
        <w:ind w:left="360"/>
        <w:contextualSpacing/>
        <w:rPr>
          <w:rFonts w:ascii="Arial" w:hAnsi="Arial" w:cs="Arial"/>
          <w:color w:val="001F00"/>
          <w:spacing w:val="6"/>
          <w:lang w:eastAsia="en-GB"/>
        </w:rPr>
      </w:pPr>
      <w:r w:rsidRPr="008927F6">
        <w:rPr>
          <w:rFonts w:ascii="Arial" w:hAnsi="Arial" w:cs="Arial"/>
          <w:color w:val="001F00"/>
          <w:spacing w:val="6"/>
          <w:lang w:eastAsia="en-GB"/>
        </w:rPr>
        <w:t>Property payment R19.1 million;</w:t>
      </w:r>
    </w:p>
    <w:p w:rsidR="008927F6" w:rsidRPr="008927F6" w:rsidRDefault="008927F6" w:rsidP="008927F6">
      <w:pPr>
        <w:numPr>
          <w:ilvl w:val="0"/>
          <w:numId w:val="5"/>
        </w:numPr>
        <w:ind w:left="360"/>
        <w:contextualSpacing/>
        <w:rPr>
          <w:rFonts w:ascii="Arial" w:hAnsi="Arial" w:cs="Arial"/>
          <w:color w:val="001F00"/>
          <w:spacing w:val="6"/>
          <w:lang w:eastAsia="en-GB"/>
        </w:rPr>
      </w:pPr>
      <w:r w:rsidRPr="008927F6">
        <w:rPr>
          <w:rFonts w:ascii="Arial" w:hAnsi="Arial" w:cs="Arial"/>
          <w:color w:val="001F00"/>
          <w:spacing w:val="6"/>
          <w:lang w:eastAsia="en-GB"/>
        </w:rPr>
        <w:t>Audit costs: External R4.4 million;</w:t>
      </w:r>
    </w:p>
    <w:p w:rsidR="008927F6" w:rsidRPr="008927F6" w:rsidRDefault="008927F6" w:rsidP="008927F6">
      <w:pPr>
        <w:numPr>
          <w:ilvl w:val="0"/>
          <w:numId w:val="5"/>
        </w:numPr>
        <w:ind w:left="360"/>
        <w:contextualSpacing/>
        <w:rPr>
          <w:rFonts w:ascii="Arial" w:hAnsi="Arial" w:cs="Arial"/>
          <w:color w:val="001F00"/>
          <w:spacing w:val="6"/>
          <w:lang w:eastAsia="en-GB"/>
        </w:rPr>
      </w:pPr>
      <w:r w:rsidRPr="008927F6">
        <w:rPr>
          <w:rFonts w:ascii="Arial" w:hAnsi="Arial" w:cs="Arial"/>
          <w:color w:val="001F00"/>
          <w:spacing w:val="6"/>
          <w:lang w:eastAsia="en-GB"/>
        </w:rPr>
        <w:t>Computer services: R3.1 million; and</w:t>
      </w:r>
    </w:p>
    <w:p w:rsidR="008927F6" w:rsidRPr="008927F6" w:rsidRDefault="008927F6" w:rsidP="008927F6">
      <w:pPr>
        <w:numPr>
          <w:ilvl w:val="0"/>
          <w:numId w:val="5"/>
        </w:numPr>
        <w:ind w:left="360"/>
        <w:contextualSpacing/>
        <w:rPr>
          <w:rFonts w:ascii="Arial" w:hAnsi="Arial" w:cs="Arial"/>
          <w:color w:val="001F00"/>
          <w:spacing w:val="6"/>
          <w:lang w:eastAsia="en-GB"/>
        </w:rPr>
      </w:pPr>
      <w:r w:rsidRPr="008927F6">
        <w:rPr>
          <w:rFonts w:ascii="Arial" w:hAnsi="Arial" w:cs="Arial"/>
          <w:color w:val="001F00"/>
          <w:spacing w:val="6"/>
          <w:lang w:eastAsia="en-GB"/>
        </w:rPr>
        <w:t>Travel and Subsistence: R4.5 million.</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eastAsia="en-GB"/>
        </w:rPr>
        <w:t>This programme has a staff compliment comprising of 75 posts and is earmarked to achieve seven targets, which include the following:</w:t>
      </w:r>
    </w:p>
    <w:p w:rsidR="008927F6" w:rsidRPr="008927F6" w:rsidRDefault="008927F6" w:rsidP="008927F6">
      <w:pPr>
        <w:rPr>
          <w:rFonts w:ascii="Arial" w:hAnsi="Arial" w:cs="Arial"/>
          <w:color w:val="001F00"/>
          <w:spacing w:val="6"/>
          <w:lang w:eastAsia="en-GB"/>
        </w:rPr>
      </w:pPr>
    </w:p>
    <w:p w:rsidR="008927F6" w:rsidRPr="008927F6" w:rsidRDefault="008927F6" w:rsidP="008927F6">
      <w:pPr>
        <w:numPr>
          <w:ilvl w:val="0"/>
          <w:numId w:val="9"/>
        </w:numPr>
        <w:ind w:left="360"/>
        <w:contextualSpacing/>
        <w:rPr>
          <w:rFonts w:ascii="Arial" w:hAnsi="Arial" w:cs="Arial"/>
          <w:color w:val="001F00"/>
          <w:spacing w:val="6"/>
          <w:lang w:eastAsia="en-GB"/>
        </w:rPr>
      </w:pPr>
      <w:r w:rsidRPr="008927F6">
        <w:rPr>
          <w:rFonts w:ascii="Arial" w:hAnsi="Arial" w:cs="Arial"/>
          <w:color w:val="001F00"/>
          <w:spacing w:val="6"/>
          <w:lang w:eastAsia="en-GB"/>
        </w:rPr>
        <w:t>Achieve an unqualified audit opinion on predetermined objectives and Annual Financial Statements.</w:t>
      </w:r>
    </w:p>
    <w:p w:rsidR="008927F6" w:rsidRPr="008927F6" w:rsidRDefault="008927F6" w:rsidP="008927F6">
      <w:pPr>
        <w:numPr>
          <w:ilvl w:val="0"/>
          <w:numId w:val="9"/>
        </w:numPr>
        <w:ind w:left="360"/>
        <w:contextualSpacing/>
        <w:rPr>
          <w:rFonts w:ascii="Arial" w:hAnsi="Arial" w:cs="Arial"/>
          <w:color w:val="001F00"/>
          <w:spacing w:val="6"/>
          <w:lang w:eastAsia="en-GB"/>
        </w:rPr>
      </w:pPr>
      <w:r w:rsidRPr="008927F6">
        <w:rPr>
          <w:rFonts w:ascii="Arial" w:hAnsi="Arial" w:cs="Arial"/>
          <w:color w:val="001F00"/>
          <w:spacing w:val="6"/>
          <w:lang w:eastAsia="en-GB"/>
        </w:rPr>
        <w:t>Pay 100% of all valid invoices within 30 days.</w:t>
      </w:r>
    </w:p>
    <w:p w:rsidR="008927F6" w:rsidRPr="008927F6" w:rsidRDefault="008927F6" w:rsidP="008927F6">
      <w:pPr>
        <w:numPr>
          <w:ilvl w:val="0"/>
          <w:numId w:val="9"/>
        </w:numPr>
        <w:ind w:left="360"/>
        <w:contextualSpacing/>
        <w:rPr>
          <w:rFonts w:ascii="Arial" w:hAnsi="Arial" w:cs="Arial"/>
          <w:color w:val="001F00"/>
          <w:spacing w:val="6"/>
          <w:lang w:eastAsia="en-GB"/>
        </w:rPr>
      </w:pPr>
      <w:r w:rsidRPr="008927F6">
        <w:rPr>
          <w:rFonts w:ascii="Arial" w:hAnsi="Arial" w:cs="Arial"/>
          <w:color w:val="001F00"/>
          <w:spacing w:val="6"/>
          <w:lang w:eastAsia="en-GB"/>
        </w:rPr>
        <w:lastRenderedPageBreak/>
        <w:t>Maintain a vacancy rate of less than 10% annually.</w:t>
      </w:r>
    </w:p>
    <w:p w:rsidR="008927F6" w:rsidRPr="008927F6" w:rsidRDefault="008927F6" w:rsidP="008927F6">
      <w:pPr>
        <w:numPr>
          <w:ilvl w:val="0"/>
          <w:numId w:val="9"/>
        </w:numPr>
        <w:ind w:left="360"/>
        <w:contextualSpacing/>
        <w:rPr>
          <w:rFonts w:ascii="Arial" w:hAnsi="Arial" w:cs="Arial"/>
          <w:color w:val="001F00"/>
          <w:spacing w:val="6"/>
          <w:lang w:eastAsia="en-GB"/>
        </w:rPr>
      </w:pPr>
      <w:r w:rsidRPr="008927F6">
        <w:rPr>
          <w:rFonts w:ascii="Arial" w:hAnsi="Arial" w:cs="Arial"/>
          <w:color w:val="001F00"/>
          <w:spacing w:val="6"/>
          <w:lang w:eastAsia="en-GB"/>
        </w:rPr>
        <w:t>Implement reports of the Human Resource Plan.</w:t>
      </w: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eastAsia="en-GB"/>
        </w:rPr>
        <w:t xml:space="preserve">New target: 40% procurement spend on entities owned by women. </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eastAsia="en-GB"/>
        </w:rPr>
        <w:t>Overall, the targets for Programme 1 have remained fairly similar between 2021/22 and 2022/23 except for one new target that was introduced as noted above.</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b/>
          <w:bCs/>
          <w:color w:val="001F00"/>
          <w:spacing w:val="6"/>
          <w:lang w:val="en-ZA" w:eastAsia="en-GB"/>
        </w:rPr>
      </w:pPr>
      <w:r w:rsidRPr="008927F6">
        <w:rPr>
          <w:rFonts w:ascii="Arial" w:hAnsi="Arial" w:cs="Arial"/>
          <w:b/>
          <w:color w:val="001F00"/>
          <w:spacing w:val="6"/>
          <w:lang w:eastAsia="en-GB"/>
        </w:rPr>
        <w:t xml:space="preserve">3.2 </w:t>
      </w:r>
      <w:r w:rsidRPr="008927F6">
        <w:rPr>
          <w:rFonts w:ascii="Arial" w:hAnsi="Arial" w:cs="Arial"/>
          <w:b/>
          <w:bCs/>
          <w:color w:val="001F00"/>
          <w:spacing w:val="6"/>
          <w:lang w:val="en-ZA" w:eastAsia="en-GB"/>
        </w:rPr>
        <w:t>Programme 2: Mainstreaming Women’s Rights and Advocacy</w:t>
      </w:r>
    </w:p>
    <w:p w:rsidR="008927F6" w:rsidRPr="008927F6" w:rsidRDefault="008927F6" w:rsidP="008927F6">
      <w:pPr>
        <w:rPr>
          <w:rFonts w:ascii="Arial" w:hAnsi="Arial" w:cs="Arial"/>
          <w:b/>
          <w:bCs/>
          <w:color w:val="001F00"/>
          <w:spacing w:val="6"/>
          <w:lang w:val="en-ZA"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bCs/>
          <w:color w:val="001F00"/>
          <w:spacing w:val="6"/>
          <w:lang w:val="en-ZA" w:eastAsia="en-GB"/>
        </w:rPr>
        <w:t xml:space="preserve">The purpose of this programme is to promote good governance regarding the rights and transformation of the social and economic empowerment of women. This </w:t>
      </w:r>
      <w:r w:rsidRPr="008927F6">
        <w:rPr>
          <w:rFonts w:ascii="Arial" w:hAnsi="Arial" w:cs="Arial"/>
          <w:color w:val="001F00"/>
          <w:spacing w:val="6"/>
          <w:lang w:val="en-ZA" w:eastAsia="en-GB"/>
        </w:rPr>
        <w:t xml:space="preserve">programme consists of four sub-programmes namely: </w:t>
      </w:r>
      <w:r w:rsidRPr="008927F6">
        <w:rPr>
          <w:rFonts w:ascii="Arial" w:hAnsi="Arial" w:cs="Arial"/>
          <w:color w:val="001F00"/>
          <w:spacing w:val="6"/>
          <w:lang w:val="en-GB" w:eastAsia="en-GB"/>
        </w:rPr>
        <w:t>Management: Advocacy and Mainstreaming for the Rights of Women, Social Empowerment of Women (SEW), Economic Empowerment of Women (EEW), and the Commission for Gender Equality (CGE).</w:t>
      </w:r>
      <w:r w:rsidRPr="008927F6">
        <w:rPr>
          <w:rFonts w:ascii="Arial" w:hAnsi="Arial" w:cs="Arial"/>
          <w:b/>
          <w:color w:val="001F00"/>
          <w:spacing w:val="6"/>
          <w:lang w:val="en-GB" w:eastAsia="en-GB"/>
        </w:rPr>
        <w:t xml:space="preserve"> </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eastAsia="en-GB"/>
        </w:rPr>
        <w:t>The expenditure allocation under Programme 2 is shown in Table 3.</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b/>
          <w:color w:val="001F00"/>
          <w:spacing w:val="6"/>
          <w:lang w:eastAsia="en-GB"/>
        </w:rPr>
      </w:pPr>
      <w:r w:rsidRPr="008927F6">
        <w:rPr>
          <w:rFonts w:ascii="Arial" w:hAnsi="Arial" w:cs="Arial"/>
          <w:b/>
          <w:color w:val="001F00"/>
          <w:spacing w:val="6"/>
          <w:lang w:eastAsia="en-GB"/>
        </w:rPr>
        <w:t>Table 3: Sub-programme allocation for 2022/23 in Programme 2</w:t>
      </w:r>
      <w:r w:rsidRPr="008927F6">
        <w:rPr>
          <w:rFonts w:ascii="Arial" w:hAnsi="Arial" w:cs="Arial"/>
          <w:b/>
          <w:color w:val="001F00"/>
          <w:spacing w:val="6"/>
          <w:vertAlign w:val="superscript"/>
          <w:lang w:eastAsia="en-GB"/>
        </w:rPr>
        <w:footnoteReference w:id="9"/>
      </w:r>
    </w:p>
    <w:tbl>
      <w:tblPr>
        <w:tblStyle w:val="PlainTable11"/>
        <w:tblW w:w="0" w:type="auto"/>
        <w:tblLook w:val="04A0"/>
      </w:tblPr>
      <w:tblGrid>
        <w:gridCol w:w="6896"/>
        <w:gridCol w:w="2680"/>
      </w:tblGrid>
      <w:tr w:rsidR="008927F6" w:rsidRPr="008927F6" w:rsidTr="0023447C">
        <w:trPr>
          <w:cnfStyle w:val="100000000000"/>
          <w:trHeight w:val="361"/>
        </w:trPr>
        <w:tc>
          <w:tcPr>
            <w:cnfStyle w:val="001000000000"/>
            <w:tcW w:w="6933"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 xml:space="preserve">SUB-PROGRAMME </w:t>
            </w:r>
          </w:p>
        </w:tc>
        <w:tc>
          <w:tcPr>
            <w:tcW w:w="2692" w:type="dxa"/>
          </w:tcPr>
          <w:p w:rsidR="008927F6" w:rsidRPr="008927F6" w:rsidRDefault="008927F6" w:rsidP="008927F6">
            <w:pPr>
              <w:autoSpaceDE w:val="0"/>
              <w:autoSpaceDN w:val="0"/>
              <w:adjustRightInd w:val="0"/>
              <w:cnfStyle w:val="100000000000"/>
              <w:rPr>
                <w:rFonts w:ascii="Arial" w:hAnsi="Arial" w:cs="Arial"/>
                <w:color w:val="000000"/>
              </w:rPr>
            </w:pPr>
            <w:r w:rsidRPr="008927F6">
              <w:rPr>
                <w:rFonts w:ascii="Arial" w:hAnsi="Arial" w:cs="Arial"/>
                <w:color w:val="000000"/>
              </w:rPr>
              <w:t>YEAR 2022/23</w:t>
            </w:r>
          </w:p>
        </w:tc>
      </w:tr>
      <w:tr w:rsidR="008927F6" w:rsidRPr="008927F6" w:rsidTr="0023447C">
        <w:trPr>
          <w:cnfStyle w:val="000000100000"/>
          <w:trHeight w:val="113"/>
        </w:trPr>
        <w:tc>
          <w:tcPr>
            <w:cnfStyle w:val="001000000000"/>
            <w:tcW w:w="6933"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 xml:space="preserve">Management: Advocacy and Mainstreaming for the Rights of Women  </w:t>
            </w:r>
          </w:p>
        </w:tc>
        <w:tc>
          <w:tcPr>
            <w:tcW w:w="2692" w:type="dxa"/>
          </w:tcPr>
          <w:p w:rsidR="008927F6" w:rsidRPr="008927F6" w:rsidRDefault="008927F6" w:rsidP="008927F6">
            <w:pPr>
              <w:autoSpaceDE w:val="0"/>
              <w:autoSpaceDN w:val="0"/>
              <w:adjustRightInd w:val="0"/>
              <w:cnfStyle w:val="000000100000"/>
              <w:rPr>
                <w:rFonts w:ascii="Arial" w:hAnsi="Arial" w:cs="Arial"/>
                <w:color w:val="000000"/>
              </w:rPr>
            </w:pPr>
            <w:r w:rsidRPr="008927F6">
              <w:rPr>
                <w:rFonts w:ascii="Arial" w:hAnsi="Arial" w:cs="Arial"/>
                <w:color w:val="000000"/>
              </w:rPr>
              <w:t>R 5 761 million</w:t>
            </w:r>
          </w:p>
        </w:tc>
      </w:tr>
      <w:tr w:rsidR="008927F6" w:rsidRPr="008927F6" w:rsidTr="0023447C">
        <w:trPr>
          <w:trHeight w:val="361"/>
        </w:trPr>
        <w:tc>
          <w:tcPr>
            <w:cnfStyle w:val="001000000000"/>
            <w:tcW w:w="6933"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 xml:space="preserve">Social Empowerment of Women </w:t>
            </w:r>
          </w:p>
        </w:tc>
        <w:tc>
          <w:tcPr>
            <w:tcW w:w="2692" w:type="dxa"/>
          </w:tcPr>
          <w:p w:rsidR="008927F6" w:rsidRPr="008927F6" w:rsidRDefault="008927F6" w:rsidP="008927F6">
            <w:pPr>
              <w:autoSpaceDE w:val="0"/>
              <w:autoSpaceDN w:val="0"/>
              <w:adjustRightInd w:val="0"/>
              <w:cnfStyle w:val="000000000000"/>
              <w:rPr>
                <w:rFonts w:ascii="Arial" w:hAnsi="Arial" w:cs="Arial"/>
                <w:color w:val="000000"/>
              </w:rPr>
            </w:pPr>
            <w:r w:rsidRPr="008927F6">
              <w:rPr>
                <w:rFonts w:ascii="Arial" w:hAnsi="Arial" w:cs="Arial"/>
                <w:color w:val="000000"/>
              </w:rPr>
              <w:t>R 22 993 million</w:t>
            </w:r>
          </w:p>
        </w:tc>
      </w:tr>
      <w:tr w:rsidR="008927F6" w:rsidRPr="008927F6" w:rsidTr="0023447C">
        <w:trPr>
          <w:cnfStyle w:val="000000100000"/>
          <w:trHeight w:val="361"/>
        </w:trPr>
        <w:tc>
          <w:tcPr>
            <w:cnfStyle w:val="001000000000"/>
            <w:tcW w:w="6933"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 xml:space="preserve">Economic Empowerment of Women </w:t>
            </w:r>
          </w:p>
        </w:tc>
        <w:tc>
          <w:tcPr>
            <w:tcW w:w="2692" w:type="dxa"/>
          </w:tcPr>
          <w:p w:rsidR="008927F6" w:rsidRPr="008927F6" w:rsidRDefault="008927F6" w:rsidP="008927F6">
            <w:pPr>
              <w:autoSpaceDE w:val="0"/>
              <w:autoSpaceDN w:val="0"/>
              <w:adjustRightInd w:val="0"/>
              <w:cnfStyle w:val="000000100000"/>
              <w:rPr>
                <w:rFonts w:ascii="Arial" w:hAnsi="Arial" w:cs="Arial"/>
                <w:color w:val="000000"/>
              </w:rPr>
            </w:pPr>
            <w:r w:rsidRPr="008927F6">
              <w:rPr>
                <w:rFonts w:ascii="Arial" w:hAnsi="Arial" w:cs="Arial"/>
                <w:color w:val="000000"/>
              </w:rPr>
              <w:t>R 4 797 million</w:t>
            </w:r>
          </w:p>
        </w:tc>
      </w:tr>
      <w:tr w:rsidR="008927F6" w:rsidRPr="008927F6" w:rsidTr="0023447C">
        <w:trPr>
          <w:trHeight w:val="361"/>
        </w:trPr>
        <w:tc>
          <w:tcPr>
            <w:cnfStyle w:val="001000000000"/>
            <w:tcW w:w="6933"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 xml:space="preserve">TOTAL </w:t>
            </w:r>
          </w:p>
        </w:tc>
        <w:tc>
          <w:tcPr>
            <w:tcW w:w="2692" w:type="dxa"/>
          </w:tcPr>
          <w:p w:rsidR="008927F6" w:rsidRPr="008927F6" w:rsidRDefault="008927F6" w:rsidP="008927F6">
            <w:pPr>
              <w:autoSpaceDE w:val="0"/>
              <w:autoSpaceDN w:val="0"/>
              <w:adjustRightInd w:val="0"/>
              <w:cnfStyle w:val="000000000000"/>
              <w:rPr>
                <w:rFonts w:ascii="Arial" w:hAnsi="Arial" w:cs="Arial"/>
                <w:color w:val="000000"/>
              </w:rPr>
            </w:pPr>
            <w:r w:rsidRPr="008927F6">
              <w:rPr>
                <w:rFonts w:ascii="Arial" w:hAnsi="Arial" w:cs="Arial"/>
                <w:b/>
                <w:bCs/>
                <w:color w:val="000000"/>
              </w:rPr>
              <w:t>R33 551 million</w:t>
            </w:r>
          </w:p>
        </w:tc>
      </w:tr>
      <w:tr w:rsidR="008927F6" w:rsidRPr="008927F6" w:rsidTr="0023447C">
        <w:trPr>
          <w:cnfStyle w:val="000000100000"/>
          <w:trHeight w:val="361"/>
        </w:trPr>
        <w:tc>
          <w:tcPr>
            <w:cnfStyle w:val="001000000000"/>
            <w:tcW w:w="6933"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Compensation of Employees</w:t>
            </w:r>
          </w:p>
        </w:tc>
        <w:tc>
          <w:tcPr>
            <w:tcW w:w="2692" w:type="dxa"/>
          </w:tcPr>
          <w:p w:rsidR="008927F6" w:rsidRPr="008927F6" w:rsidRDefault="008927F6" w:rsidP="008927F6">
            <w:pPr>
              <w:autoSpaceDE w:val="0"/>
              <w:autoSpaceDN w:val="0"/>
              <w:adjustRightInd w:val="0"/>
              <w:cnfStyle w:val="000000100000"/>
              <w:rPr>
                <w:rFonts w:ascii="Arial" w:hAnsi="Arial" w:cs="Arial"/>
                <w:bCs/>
                <w:color w:val="000000"/>
              </w:rPr>
            </w:pPr>
            <w:r w:rsidRPr="008927F6">
              <w:rPr>
                <w:rFonts w:ascii="Arial" w:hAnsi="Arial" w:cs="Arial"/>
                <w:bCs/>
                <w:color w:val="000000"/>
              </w:rPr>
              <w:t>R 15 282 million (46%)</w:t>
            </w:r>
          </w:p>
        </w:tc>
      </w:tr>
      <w:tr w:rsidR="008927F6" w:rsidRPr="008927F6" w:rsidTr="0023447C">
        <w:trPr>
          <w:trHeight w:val="361"/>
        </w:trPr>
        <w:tc>
          <w:tcPr>
            <w:cnfStyle w:val="001000000000"/>
            <w:tcW w:w="6933"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Goods and services</w:t>
            </w:r>
          </w:p>
        </w:tc>
        <w:tc>
          <w:tcPr>
            <w:tcW w:w="2692" w:type="dxa"/>
          </w:tcPr>
          <w:p w:rsidR="008927F6" w:rsidRPr="008927F6" w:rsidRDefault="008927F6" w:rsidP="008927F6">
            <w:pPr>
              <w:autoSpaceDE w:val="0"/>
              <w:autoSpaceDN w:val="0"/>
              <w:adjustRightInd w:val="0"/>
              <w:cnfStyle w:val="000000000000"/>
              <w:rPr>
                <w:rFonts w:ascii="Arial" w:hAnsi="Arial" w:cs="Arial"/>
                <w:bCs/>
                <w:color w:val="000000"/>
              </w:rPr>
            </w:pPr>
            <w:r w:rsidRPr="008927F6">
              <w:rPr>
                <w:rFonts w:ascii="Arial" w:hAnsi="Arial" w:cs="Arial"/>
                <w:bCs/>
                <w:color w:val="000000"/>
              </w:rPr>
              <w:t>R17 787 million (54.3%)</w:t>
            </w:r>
          </w:p>
        </w:tc>
      </w:tr>
    </w:tbl>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eastAsia="en-GB"/>
        </w:rPr>
        <w:t>The total programme allocation is R134 273 million that is inclusive of the transfer payment of R100 722 million to the Commission for Gender Equality (CGE), leaving the programme with an operating budget of R33 551 million. On closer examination, this Programme’s operating budget increased from R27 million in 2021/22 to R33.6 million in 2022/23. However, the Real Rand change was only R5.2 million (19.09% increase).</w:t>
      </w:r>
      <w:r w:rsidRPr="008927F6">
        <w:rPr>
          <w:rFonts w:ascii="Arial" w:hAnsi="Arial" w:cs="Arial"/>
          <w:color w:val="001F00"/>
          <w:spacing w:val="6"/>
          <w:vertAlign w:val="superscript"/>
          <w:lang w:eastAsia="en-GB"/>
        </w:rPr>
        <w:footnoteReference w:id="10"/>
      </w:r>
      <w:r w:rsidRPr="008927F6">
        <w:rPr>
          <w:rFonts w:ascii="Arial" w:hAnsi="Arial" w:cs="Arial"/>
          <w:color w:val="001F00"/>
          <w:spacing w:val="6"/>
          <w:lang w:eastAsia="en-GB"/>
        </w:rPr>
        <w:t xml:space="preserve"> </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From the operating budget of R33 551 million, R15 282 million (46%) is for Compensation of Employees and R17 787 million (54.3%) will go towards Goods and services. This programme consumes 16.3% of the Department’s operational budget. The main cost driver under Goods and services is Consultants: Business and advisory services at R8.7 million (49% of the Goods and Services allocation) as per the Estimates of National Expenditure 2022. This is a significant increase from the previous financial year 2020/21 when R4.9 million was allocated. In addition, the other key cost driver under Goods and services is Travel and subsistence, which is allocated R4.6 million (26% of G&amp;S allocation).</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eastAsia="en-GB"/>
        </w:rPr>
        <w:t>This programme has 22 posts and is earmarked to achieve 11 annual targets for the current financial year as listed below.</w:t>
      </w:r>
    </w:p>
    <w:p w:rsidR="008927F6" w:rsidRPr="008927F6" w:rsidRDefault="008927F6" w:rsidP="008927F6">
      <w:pPr>
        <w:rPr>
          <w:rFonts w:ascii="Arial" w:hAnsi="Arial" w:cs="Arial"/>
          <w:color w:val="001F00"/>
          <w:spacing w:val="6"/>
          <w:lang w:eastAsia="en-GB"/>
        </w:rPr>
      </w:pPr>
    </w:p>
    <w:p w:rsidR="008927F6" w:rsidRPr="008927F6" w:rsidRDefault="008927F6" w:rsidP="008927F6">
      <w:pPr>
        <w:numPr>
          <w:ilvl w:val="0"/>
          <w:numId w:val="8"/>
        </w:numPr>
        <w:ind w:left="360"/>
        <w:contextualSpacing/>
        <w:rPr>
          <w:rFonts w:ascii="Arial" w:hAnsi="Arial" w:cs="Arial"/>
          <w:color w:val="001F00"/>
          <w:spacing w:val="6"/>
          <w:lang w:eastAsia="en-GB"/>
        </w:rPr>
      </w:pPr>
      <w:r w:rsidRPr="008927F6">
        <w:rPr>
          <w:rFonts w:ascii="Arial" w:hAnsi="Arial" w:cs="Arial"/>
          <w:color w:val="001F00"/>
          <w:spacing w:val="6"/>
          <w:lang w:eastAsia="en-GB"/>
        </w:rPr>
        <w:t>Develop one research report on the development of a socio-economic index.</w:t>
      </w:r>
    </w:p>
    <w:p w:rsidR="008927F6" w:rsidRPr="008927F6" w:rsidRDefault="008927F6" w:rsidP="008927F6">
      <w:pPr>
        <w:numPr>
          <w:ilvl w:val="0"/>
          <w:numId w:val="8"/>
        </w:numPr>
        <w:ind w:left="360"/>
        <w:contextualSpacing/>
        <w:rPr>
          <w:rFonts w:ascii="Arial" w:hAnsi="Arial" w:cs="Arial"/>
          <w:color w:val="001F00"/>
          <w:spacing w:val="6"/>
          <w:lang w:eastAsia="en-GB"/>
        </w:rPr>
      </w:pPr>
      <w:r w:rsidRPr="008927F6">
        <w:rPr>
          <w:rFonts w:ascii="Arial" w:hAnsi="Arial" w:cs="Arial"/>
          <w:color w:val="001F00"/>
          <w:spacing w:val="6"/>
          <w:lang w:eastAsia="en-GB"/>
        </w:rPr>
        <w:t xml:space="preserve">Implement 4 interventions to support economic empowerment and participation of women, youth and persons with disabilities. </w:t>
      </w:r>
    </w:p>
    <w:p w:rsidR="008927F6" w:rsidRPr="008927F6" w:rsidRDefault="008927F6" w:rsidP="008927F6">
      <w:pPr>
        <w:numPr>
          <w:ilvl w:val="0"/>
          <w:numId w:val="8"/>
        </w:numPr>
        <w:ind w:left="360"/>
        <w:contextualSpacing/>
        <w:rPr>
          <w:rFonts w:ascii="Arial" w:hAnsi="Arial" w:cs="Arial"/>
          <w:color w:val="001F00"/>
          <w:spacing w:val="6"/>
          <w:lang w:eastAsia="en-GB"/>
        </w:rPr>
      </w:pPr>
      <w:r w:rsidRPr="008927F6">
        <w:rPr>
          <w:rFonts w:ascii="Arial" w:hAnsi="Arial" w:cs="Arial"/>
          <w:color w:val="001F00"/>
          <w:spacing w:val="6"/>
          <w:lang w:eastAsia="en-GB"/>
        </w:rPr>
        <w:lastRenderedPageBreak/>
        <w:t>Produce one report on the development of the women, youth and persons with disabilities Socio-Economic Empowerment Index.</w:t>
      </w:r>
    </w:p>
    <w:p w:rsidR="008927F6" w:rsidRPr="008927F6" w:rsidRDefault="008927F6" w:rsidP="008927F6">
      <w:pPr>
        <w:numPr>
          <w:ilvl w:val="0"/>
          <w:numId w:val="8"/>
        </w:numPr>
        <w:ind w:left="360"/>
        <w:contextualSpacing/>
        <w:rPr>
          <w:rFonts w:ascii="Arial" w:hAnsi="Arial" w:cs="Arial"/>
          <w:color w:val="001F00"/>
          <w:spacing w:val="6"/>
          <w:lang w:eastAsia="en-GB"/>
        </w:rPr>
      </w:pPr>
      <w:r w:rsidRPr="008927F6">
        <w:rPr>
          <w:rFonts w:ascii="Arial" w:hAnsi="Arial" w:cs="Arial"/>
          <w:color w:val="001F00"/>
          <w:spacing w:val="6"/>
          <w:lang w:eastAsia="en-GB"/>
        </w:rPr>
        <w:t>Implement four interventions to support empowerment and participation of women, youth and persons with disabilities.</w:t>
      </w:r>
    </w:p>
    <w:p w:rsidR="008927F6" w:rsidRPr="008927F6" w:rsidRDefault="008927F6" w:rsidP="008927F6">
      <w:pPr>
        <w:numPr>
          <w:ilvl w:val="0"/>
          <w:numId w:val="8"/>
        </w:numPr>
        <w:ind w:left="360"/>
        <w:contextualSpacing/>
        <w:rPr>
          <w:rFonts w:ascii="Arial" w:hAnsi="Arial" w:cs="Arial"/>
          <w:color w:val="001F00"/>
          <w:spacing w:val="6"/>
          <w:lang w:eastAsia="en-GB"/>
        </w:rPr>
      </w:pPr>
      <w:r w:rsidRPr="008927F6">
        <w:rPr>
          <w:rFonts w:ascii="Arial" w:hAnsi="Arial" w:cs="Arial"/>
          <w:color w:val="001F00"/>
          <w:spacing w:val="6"/>
          <w:lang w:eastAsia="en-GB"/>
        </w:rPr>
        <w:t>Develop four quarterly reports on the implementation of NSP on GBVF Monitoring Framework.</w:t>
      </w:r>
    </w:p>
    <w:p w:rsidR="008927F6" w:rsidRPr="008927F6" w:rsidRDefault="008927F6" w:rsidP="008927F6">
      <w:pPr>
        <w:numPr>
          <w:ilvl w:val="0"/>
          <w:numId w:val="8"/>
        </w:numPr>
        <w:ind w:left="360"/>
        <w:contextualSpacing/>
        <w:rPr>
          <w:rFonts w:ascii="Arial" w:hAnsi="Arial" w:cs="Arial"/>
          <w:color w:val="001F00"/>
          <w:spacing w:val="6"/>
          <w:lang w:eastAsia="en-GB"/>
        </w:rPr>
      </w:pPr>
      <w:r w:rsidRPr="008927F6">
        <w:rPr>
          <w:rFonts w:ascii="Arial" w:hAnsi="Arial" w:cs="Arial"/>
          <w:color w:val="001F00"/>
          <w:spacing w:val="6"/>
          <w:lang w:eastAsia="en-GB"/>
        </w:rPr>
        <w:t>Monitor one national Department’s implementation of NSP GBVF.</w:t>
      </w:r>
    </w:p>
    <w:p w:rsidR="008927F6" w:rsidRPr="008927F6" w:rsidRDefault="008927F6" w:rsidP="008927F6">
      <w:pPr>
        <w:numPr>
          <w:ilvl w:val="0"/>
          <w:numId w:val="8"/>
        </w:numPr>
        <w:ind w:left="360"/>
        <w:contextualSpacing/>
        <w:rPr>
          <w:rFonts w:ascii="Arial" w:hAnsi="Arial" w:cs="Arial"/>
          <w:color w:val="001F00"/>
          <w:spacing w:val="6"/>
          <w:lang w:eastAsia="en-GB"/>
        </w:rPr>
      </w:pPr>
      <w:r w:rsidRPr="008927F6">
        <w:rPr>
          <w:rFonts w:ascii="Arial" w:hAnsi="Arial" w:cs="Arial"/>
          <w:color w:val="001F00"/>
          <w:spacing w:val="6"/>
          <w:lang w:eastAsia="en-GB"/>
        </w:rPr>
        <w:t>Monitor nine provincial departments’ and four municipalities’ plans on the implementation of NSP GBVF.</w:t>
      </w:r>
    </w:p>
    <w:p w:rsidR="008927F6" w:rsidRPr="008927F6" w:rsidRDefault="008927F6" w:rsidP="008927F6">
      <w:pPr>
        <w:numPr>
          <w:ilvl w:val="0"/>
          <w:numId w:val="8"/>
        </w:numPr>
        <w:ind w:left="360"/>
        <w:contextualSpacing/>
        <w:rPr>
          <w:rFonts w:ascii="Arial" w:hAnsi="Arial" w:cs="Arial"/>
          <w:color w:val="001F00"/>
          <w:spacing w:val="6"/>
          <w:lang w:eastAsia="en-GB"/>
        </w:rPr>
      </w:pPr>
      <w:r w:rsidRPr="008927F6">
        <w:rPr>
          <w:rFonts w:ascii="Arial" w:hAnsi="Arial" w:cs="Arial"/>
          <w:color w:val="001F00"/>
          <w:spacing w:val="6"/>
          <w:lang w:eastAsia="en-GB"/>
        </w:rPr>
        <w:t xml:space="preserve">Establish 18 Rapid Response Teams. </w:t>
      </w:r>
    </w:p>
    <w:p w:rsidR="008927F6" w:rsidRPr="008927F6" w:rsidRDefault="008927F6" w:rsidP="008927F6">
      <w:pPr>
        <w:numPr>
          <w:ilvl w:val="0"/>
          <w:numId w:val="8"/>
        </w:numPr>
        <w:ind w:left="360"/>
        <w:contextualSpacing/>
        <w:rPr>
          <w:rFonts w:ascii="Arial" w:hAnsi="Arial" w:cs="Arial"/>
          <w:color w:val="001F00"/>
          <w:spacing w:val="6"/>
          <w:lang w:eastAsia="en-GB"/>
        </w:rPr>
      </w:pPr>
      <w:r w:rsidRPr="008927F6">
        <w:rPr>
          <w:rFonts w:ascii="Arial" w:hAnsi="Arial" w:cs="Arial"/>
          <w:color w:val="001F00"/>
          <w:spacing w:val="6"/>
          <w:lang w:eastAsia="en-GB"/>
        </w:rPr>
        <w:t>Develop two reports on the implementation of Comprehensive National GBVF Prevention Strategy.</w:t>
      </w:r>
    </w:p>
    <w:p w:rsidR="008927F6" w:rsidRPr="008927F6" w:rsidRDefault="008927F6" w:rsidP="008927F6">
      <w:pPr>
        <w:numPr>
          <w:ilvl w:val="0"/>
          <w:numId w:val="8"/>
        </w:numPr>
        <w:ind w:left="360"/>
        <w:contextualSpacing/>
        <w:rPr>
          <w:rFonts w:ascii="Arial" w:hAnsi="Arial" w:cs="Arial"/>
          <w:color w:val="001F00"/>
          <w:spacing w:val="6"/>
          <w:lang w:eastAsia="en-GB"/>
        </w:rPr>
      </w:pPr>
      <w:r w:rsidRPr="008927F6">
        <w:rPr>
          <w:rFonts w:ascii="Arial" w:hAnsi="Arial" w:cs="Arial"/>
          <w:color w:val="001F00"/>
          <w:spacing w:val="6"/>
          <w:lang w:eastAsia="en-GB"/>
        </w:rPr>
        <w:t>Convene two GEYODI machineries.</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eastAsia="en-GB"/>
        </w:rPr>
        <w:t>This programme has undergone name changes and structural changes to its sub-programmes when compared to the 2021/22 APP.</w:t>
      </w:r>
    </w:p>
    <w:p w:rsidR="008927F6" w:rsidRPr="008927F6" w:rsidRDefault="008927F6" w:rsidP="008927F6">
      <w:pPr>
        <w:rPr>
          <w:rFonts w:ascii="Arial" w:hAnsi="Arial" w:cs="Arial"/>
          <w:color w:val="001F00"/>
          <w:spacing w:val="6"/>
          <w:lang w:eastAsia="en-GB"/>
        </w:rPr>
      </w:pPr>
    </w:p>
    <w:p w:rsidR="008927F6" w:rsidRPr="008927F6" w:rsidRDefault="008927F6" w:rsidP="008927F6">
      <w:pPr>
        <w:numPr>
          <w:ilvl w:val="1"/>
          <w:numId w:val="14"/>
        </w:numPr>
        <w:contextualSpacing/>
        <w:rPr>
          <w:rFonts w:ascii="Arial" w:hAnsi="Arial" w:cs="Arial"/>
          <w:b/>
          <w:color w:val="001F00"/>
          <w:spacing w:val="6"/>
          <w:lang w:val="en-GB" w:eastAsia="en-GB"/>
        </w:rPr>
      </w:pPr>
      <w:r w:rsidRPr="008927F6">
        <w:rPr>
          <w:rFonts w:ascii="Arial" w:hAnsi="Arial" w:cs="Arial"/>
          <w:b/>
          <w:bCs/>
          <w:color w:val="001F00"/>
          <w:spacing w:val="6"/>
          <w:lang w:val="en-GB" w:eastAsia="en-GB"/>
        </w:rPr>
        <w:t xml:space="preserve">Programme 3:  </w:t>
      </w:r>
      <w:r w:rsidRPr="008927F6">
        <w:rPr>
          <w:rFonts w:ascii="Arial" w:hAnsi="Arial" w:cs="Arial"/>
          <w:b/>
          <w:color w:val="001F00"/>
          <w:spacing w:val="6"/>
          <w:lang w:val="en-ZA" w:eastAsia="en-GB"/>
        </w:rPr>
        <w:t>Monitoring, Evaluation, Research and Coordination</w:t>
      </w:r>
    </w:p>
    <w:p w:rsidR="008927F6" w:rsidRPr="008927F6" w:rsidRDefault="008927F6" w:rsidP="008927F6">
      <w:pPr>
        <w:ind w:left="720"/>
        <w:rPr>
          <w:rFonts w:ascii="Arial" w:hAnsi="Arial" w:cs="Arial"/>
          <w:color w:val="001F00"/>
          <w:spacing w:val="6"/>
          <w:lang w:val="en-ZA"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val="en-ZA" w:eastAsia="en-GB"/>
        </w:rPr>
        <w:t xml:space="preserve">The purpose of this programme is to provide research, knowledge management, international relations, stakeholder management, monitoring, and evaluation for women, youth and persons with disabilities. It comprises of four Sub-Programmes namely: </w:t>
      </w:r>
      <w:r w:rsidRPr="008927F6">
        <w:rPr>
          <w:rFonts w:ascii="Arial" w:hAnsi="Arial" w:cs="Arial"/>
          <w:bCs/>
          <w:color w:val="001F00"/>
          <w:spacing w:val="6"/>
          <w:lang w:val="en-ZA" w:eastAsia="en-GB"/>
        </w:rPr>
        <w:t xml:space="preserve">Management, Research and Knowledge Management, International Relations, Stakeholder Management and Capacity Building, and Monitoring and Evaluation. </w:t>
      </w:r>
    </w:p>
    <w:p w:rsidR="008927F6" w:rsidRPr="008927F6" w:rsidRDefault="008927F6" w:rsidP="008927F6">
      <w:pPr>
        <w:rPr>
          <w:rFonts w:ascii="Arial" w:hAnsi="Arial" w:cs="Arial"/>
          <w:color w:val="001F00"/>
          <w:spacing w:val="6"/>
          <w:lang w:val="en-GB"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val="en-GB" w:eastAsia="en-GB"/>
        </w:rPr>
        <w:t xml:space="preserve">The total allocation for this programme is R42 516 million. This constitutes 20.7% of the Department’s operational budget. This allocation is R1 884 million more than in the 2021/22 financial year. However, when taking into consideration the Real Rand change, this programme only sees increase of 7.88% to its allocation which amounts to R3 million. Table 4 outlines the </w:t>
      </w:r>
      <w:r w:rsidRPr="008927F6">
        <w:rPr>
          <w:rFonts w:ascii="Arial" w:hAnsi="Arial" w:cs="Arial"/>
          <w:color w:val="001F00"/>
          <w:spacing w:val="6"/>
          <w:lang w:eastAsia="en-GB"/>
        </w:rPr>
        <w:t xml:space="preserve">expenditure under Programme 3. </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b/>
          <w:color w:val="001F00"/>
          <w:spacing w:val="6"/>
          <w:lang w:eastAsia="en-GB"/>
        </w:rPr>
      </w:pPr>
      <w:r w:rsidRPr="008927F6">
        <w:rPr>
          <w:rFonts w:ascii="Arial" w:hAnsi="Arial" w:cs="Arial"/>
          <w:b/>
          <w:color w:val="001F00"/>
          <w:spacing w:val="6"/>
          <w:lang w:eastAsia="en-GB"/>
        </w:rPr>
        <w:t>Table 4: Sub-programme allocation for 2022/23 in Programme 3</w:t>
      </w:r>
      <w:r w:rsidRPr="008927F6">
        <w:rPr>
          <w:rFonts w:ascii="Arial" w:hAnsi="Arial" w:cs="Arial"/>
          <w:b/>
          <w:color w:val="001F00"/>
          <w:spacing w:val="6"/>
          <w:vertAlign w:val="superscript"/>
          <w:lang w:eastAsia="en-GB"/>
        </w:rPr>
        <w:footnoteReference w:id="11"/>
      </w:r>
    </w:p>
    <w:tbl>
      <w:tblPr>
        <w:tblStyle w:val="PlainTable11"/>
        <w:tblW w:w="0" w:type="auto"/>
        <w:tblLook w:val="04A0"/>
      </w:tblPr>
      <w:tblGrid>
        <w:gridCol w:w="6707"/>
        <w:gridCol w:w="2869"/>
      </w:tblGrid>
      <w:tr w:rsidR="008927F6" w:rsidRPr="008927F6" w:rsidTr="0023447C">
        <w:trPr>
          <w:cnfStyle w:val="100000000000"/>
        </w:trPr>
        <w:tc>
          <w:tcPr>
            <w:cnfStyle w:val="001000000000"/>
            <w:tcW w:w="6745"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 xml:space="preserve">SUB-PROGRAMME </w:t>
            </w:r>
          </w:p>
        </w:tc>
        <w:tc>
          <w:tcPr>
            <w:tcW w:w="2883" w:type="dxa"/>
          </w:tcPr>
          <w:p w:rsidR="008927F6" w:rsidRPr="008927F6" w:rsidRDefault="008927F6" w:rsidP="008927F6">
            <w:pPr>
              <w:autoSpaceDE w:val="0"/>
              <w:autoSpaceDN w:val="0"/>
              <w:adjustRightInd w:val="0"/>
              <w:cnfStyle w:val="100000000000"/>
              <w:rPr>
                <w:rFonts w:ascii="Arial" w:hAnsi="Arial" w:cs="Arial"/>
                <w:color w:val="000000"/>
              </w:rPr>
            </w:pPr>
            <w:r w:rsidRPr="008927F6">
              <w:rPr>
                <w:rFonts w:ascii="Arial" w:hAnsi="Arial" w:cs="Arial"/>
                <w:color w:val="000000"/>
              </w:rPr>
              <w:t>YEAR 2022/23</w:t>
            </w:r>
          </w:p>
        </w:tc>
      </w:tr>
      <w:tr w:rsidR="008927F6" w:rsidRPr="008927F6" w:rsidTr="0023447C">
        <w:trPr>
          <w:cnfStyle w:val="000000100000"/>
        </w:trPr>
        <w:tc>
          <w:tcPr>
            <w:cnfStyle w:val="001000000000"/>
            <w:tcW w:w="6745" w:type="dxa"/>
          </w:tcPr>
          <w:tbl>
            <w:tblPr>
              <w:tblW w:w="0" w:type="auto"/>
              <w:tblBorders>
                <w:top w:val="nil"/>
                <w:left w:val="nil"/>
                <w:bottom w:val="nil"/>
                <w:right w:val="nil"/>
              </w:tblBorders>
              <w:tblLook w:val="0000"/>
            </w:tblPr>
            <w:tblGrid>
              <w:gridCol w:w="5686"/>
            </w:tblGrid>
            <w:tr w:rsidR="008927F6" w:rsidRPr="008927F6" w:rsidTr="0023447C">
              <w:trPr>
                <w:trHeight w:val="243"/>
              </w:trPr>
              <w:tc>
                <w:tcPr>
                  <w:tcW w:w="0" w:type="auto"/>
                </w:tcPr>
                <w:p w:rsidR="008927F6" w:rsidRPr="008927F6" w:rsidRDefault="008927F6" w:rsidP="008927F6">
                  <w:pPr>
                    <w:autoSpaceDE w:val="0"/>
                    <w:autoSpaceDN w:val="0"/>
                    <w:adjustRightInd w:val="0"/>
                    <w:ind w:hanging="134"/>
                    <w:rPr>
                      <w:rFonts w:ascii="Arial" w:hAnsi="Arial" w:cs="Arial"/>
                      <w:bCs/>
                      <w:color w:val="000000"/>
                      <w:lang w:val="en-ZA" w:eastAsia="en-ZA"/>
                    </w:rPr>
                  </w:pPr>
                  <w:r w:rsidRPr="008927F6">
                    <w:rPr>
                      <w:rFonts w:ascii="Arial" w:hAnsi="Arial" w:cs="Arial"/>
                      <w:bCs/>
                      <w:color w:val="000000"/>
                      <w:lang w:val="en-ZA" w:eastAsia="en-ZA"/>
                    </w:rPr>
                    <w:t xml:space="preserve">Management: Monitoring, Evaluation, Research &amp; Coordination </w:t>
                  </w:r>
                </w:p>
              </w:tc>
            </w:tr>
          </w:tbl>
          <w:p w:rsidR="008927F6" w:rsidRPr="008927F6" w:rsidRDefault="008927F6" w:rsidP="008927F6">
            <w:pPr>
              <w:autoSpaceDE w:val="0"/>
              <w:autoSpaceDN w:val="0"/>
              <w:adjustRightInd w:val="0"/>
              <w:rPr>
                <w:rFonts w:ascii="Arial" w:hAnsi="Arial" w:cs="Arial"/>
                <w:color w:val="000000"/>
              </w:rPr>
            </w:pPr>
          </w:p>
        </w:tc>
        <w:tc>
          <w:tcPr>
            <w:tcW w:w="2883" w:type="dxa"/>
          </w:tcPr>
          <w:p w:rsidR="008927F6" w:rsidRPr="008927F6" w:rsidRDefault="008927F6" w:rsidP="008927F6">
            <w:pPr>
              <w:autoSpaceDE w:val="0"/>
              <w:autoSpaceDN w:val="0"/>
              <w:adjustRightInd w:val="0"/>
              <w:cnfStyle w:val="000000100000"/>
              <w:rPr>
                <w:rFonts w:ascii="Arial" w:hAnsi="Arial" w:cs="Arial"/>
                <w:color w:val="000000"/>
              </w:rPr>
            </w:pPr>
            <w:r w:rsidRPr="008927F6">
              <w:rPr>
                <w:rFonts w:ascii="Arial" w:hAnsi="Arial" w:cs="Arial"/>
                <w:color w:val="000000"/>
              </w:rPr>
              <w:t>R6 180 million</w:t>
            </w:r>
          </w:p>
        </w:tc>
      </w:tr>
      <w:tr w:rsidR="008927F6" w:rsidRPr="008927F6" w:rsidTr="0023447C">
        <w:tc>
          <w:tcPr>
            <w:cnfStyle w:val="001000000000"/>
            <w:tcW w:w="6745"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 xml:space="preserve">Research &amp; Knowledge management </w:t>
            </w:r>
          </w:p>
        </w:tc>
        <w:tc>
          <w:tcPr>
            <w:tcW w:w="2883" w:type="dxa"/>
          </w:tcPr>
          <w:p w:rsidR="008927F6" w:rsidRPr="008927F6" w:rsidRDefault="008927F6" w:rsidP="008927F6">
            <w:pPr>
              <w:autoSpaceDE w:val="0"/>
              <w:autoSpaceDN w:val="0"/>
              <w:adjustRightInd w:val="0"/>
              <w:cnfStyle w:val="000000000000"/>
              <w:rPr>
                <w:rFonts w:ascii="Arial" w:hAnsi="Arial" w:cs="Arial"/>
                <w:color w:val="000000"/>
              </w:rPr>
            </w:pPr>
            <w:r w:rsidRPr="008927F6">
              <w:rPr>
                <w:rFonts w:ascii="Arial" w:hAnsi="Arial" w:cs="Arial"/>
                <w:color w:val="000000"/>
              </w:rPr>
              <w:t>R8 002 million</w:t>
            </w:r>
          </w:p>
        </w:tc>
      </w:tr>
      <w:tr w:rsidR="008927F6" w:rsidRPr="008927F6" w:rsidTr="0023447C">
        <w:trPr>
          <w:cnfStyle w:val="000000100000"/>
        </w:trPr>
        <w:tc>
          <w:tcPr>
            <w:cnfStyle w:val="001000000000"/>
            <w:tcW w:w="6745"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 xml:space="preserve">International Relations, Stakeholder Management &amp; Capacity Building </w:t>
            </w:r>
          </w:p>
        </w:tc>
        <w:tc>
          <w:tcPr>
            <w:tcW w:w="2883" w:type="dxa"/>
          </w:tcPr>
          <w:p w:rsidR="008927F6" w:rsidRPr="008927F6" w:rsidRDefault="008927F6" w:rsidP="008927F6">
            <w:pPr>
              <w:autoSpaceDE w:val="0"/>
              <w:autoSpaceDN w:val="0"/>
              <w:adjustRightInd w:val="0"/>
              <w:cnfStyle w:val="000000100000"/>
              <w:rPr>
                <w:rFonts w:ascii="Arial" w:hAnsi="Arial" w:cs="Arial"/>
                <w:color w:val="000000"/>
              </w:rPr>
            </w:pPr>
            <w:r w:rsidRPr="008927F6">
              <w:rPr>
                <w:rFonts w:ascii="Arial" w:hAnsi="Arial" w:cs="Arial"/>
                <w:color w:val="000000"/>
              </w:rPr>
              <w:t>R19 416 million</w:t>
            </w:r>
          </w:p>
        </w:tc>
      </w:tr>
      <w:tr w:rsidR="008927F6" w:rsidRPr="008927F6" w:rsidTr="0023447C">
        <w:tc>
          <w:tcPr>
            <w:cnfStyle w:val="001000000000"/>
            <w:tcW w:w="6745"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 xml:space="preserve">Monitoring and Evaluation: WYPD </w:t>
            </w:r>
          </w:p>
        </w:tc>
        <w:tc>
          <w:tcPr>
            <w:tcW w:w="2883" w:type="dxa"/>
          </w:tcPr>
          <w:p w:rsidR="008927F6" w:rsidRPr="008927F6" w:rsidRDefault="008927F6" w:rsidP="008927F6">
            <w:pPr>
              <w:autoSpaceDE w:val="0"/>
              <w:autoSpaceDN w:val="0"/>
              <w:adjustRightInd w:val="0"/>
              <w:cnfStyle w:val="000000000000"/>
              <w:rPr>
                <w:rFonts w:ascii="Arial" w:hAnsi="Arial" w:cs="Arial"/>
                <w:color w:val="000000"/>
              </w:rPr>
            </w:pPr>
            <w:r w:rsidRPr="008927F6">
              <w:rPr>
                <w:rFonts w:ascii="Arial" w:hAnsi="Arial" w:cs="Arial"/>
                <w:color w:val="000000"/>
              </w:rPr>
              <w:t>R8 918 million</w:t>
            </w:r>
          </w:p>
        </w:tc>
      </w:tr>
      <w:tr w:rsidR="008927F6" w:rsidRPr="008927F6" w:rsidTr="0023447C">
        <w:trPr>
          <w:cnfStyle w:val="000000100000"/>
        </w:trPr>
        <w:tc>
          <w:tcPr>
            <w:cnfStyle w:val="001000000000"/>
            <w:tcW w:w="6745"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 xml:space="preserve">TOTAL </w:t>
            </w:r>
          </w:p>
        </w:tc>
        <w:tc>
          <w:tcPr>
            <w:tcW w:w="2883" w:type="dxa"/>
          </w:tcPr>
          <w:p w:rsidR="008927F6" w:rsidRPr="008927F6" w:rsidRDefault="008927F6" w:rsidP="008927F6">
            <w:pPr>
              <w:autoSpaceDE w:val="0"/>
              <w:autoSpaceDN w:val="0"/>
              <w:adjustRightInd w:val="0"/>
              <w:cnfStyle w:val="000000100000"/>
              <w:rPr>
                <w:rFonts w:ascii="Arial" w:hAnsi="Arial" w:cs="Arial"/>
                <w:color w:val="000000"/>
              </w:rPr>
            </w:pPr>
            <w:r w:rsidRPr="008927F6">
              <w:rPr>
                <w:rFonts w:ascii="Arial" w:hAnsi="Arial" w:cs="Arial"/>
                <w:b/>
                <w:bCs/>
                <w:color w:val="000000"/>
              </w:rPr>
              <w:t>R 42 516 million</w:t>
            </w:r>
          </w:p>
        </w:tc>
      </w:tr>
      <w:tr w:rsidR="008927F6" w:rsidRPr="008927F6" w:rsidTr="0023447C">
        <w:tc>
          <w:tcPr>
            <w:cnfStyle w:val="001000000000"/>
            <w:tcW w:w="6745"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Compensation of Employees</w:t>
            </w:r>
          </w:p>
        </w:tc>
        <w:tc>
          <w:tcPr>
            <w:tcW w:w="2883" w:type="dxa"/>
          </w:tcPr>
          <w:p w:rsidR="008927F6" w:rsidRPr="008927F6" w:rsidRDefault="008927F6" w:rsidP="008927F6">
            <w:pPr>
              <w:autoSpaceDE w:val="0"/>
              <w:autoSpaceDN w:val="0"/>
              <w:adjustRightInd w:val="0"/>
              <w:cnfStyle w:val="000000000000"/>
              <w:rPr>
                <w:rFonts w:ascii="Arial" w:hAnsi="Arial" w:cs="Arial"/>
                <w:bCs/>
                <w:color w:val="000000"/>
              </w:rPr>
            </w:pPr>
            <w:r w:rsidRPr="008927F6">
              <w:rPr>
                <w:rFonts w:ascii="Arial" w:hAnsi="Arial" w:cs="Arial"/>
                <w:bCs/>
                <w:color w:val="000000"/>
              </w:rPr>
              <w:t>R24 401 million (57.4%)</w:t>
            </w:r>
          </w:p>
        </w:tc>
      </w:tr>
      <w:tr w:rsidR="008927F6" w:rsidRPr="008927F6" w:rsidTr="0023447C">
        <w:trPr>
          <w:cnfStyle w:val="000000100000"/>
        </w:trPr>
        <w:tc>
          <w:tcPr>
            <w:cnfStyle w:val="001000000000"/>
            <w:tcW w:w="6745" w:type="dxa"/>
          </w:tcPr>
          <w:p w:rsidR="008927F6" w:rsidRPr="008927F6" w:rsidRDefault="008927F6" w:rsidP="008927F6">
            <w:pPr>
              <w:autoSpaceDE w:val="0"/>
              <w:autoSpaceDN w:val="0"/>
              <w:adjustRightInd w:val="0"/>
              <w:rPr>
                <w:rFonts w:ascii="Arial" w:hAnsi="Arial" w:cs="Arial"/>
                <w:color w:val="000000"/>
              </w:rPr>
            </w:pPr>
            <w:r w:rsidRPr="008927F6">
              <w:rPr>
                <w:rFonts w:ascii="Arial" w:hAnsi="Arial" w:cs="Arial"/>
                <w:color w:val="000000"/>
              </w:rPr>
              <w:t>Goods and Services</w:t>
            </w:r>
          </w:p>
        </w:tc>
        <w:tc>
          <w:tcPr>
            <w:tcW w:w="2883" w:type="dxa"/>
          </w:tcPr>
          <w:p w:rsidR="008927F6" w:rsidRPr="008927F6" w:rsidRDefault="008927F6" w:rsidP="008927F6">
            <w:pPr>
              <w:autoSpaceDE w:val="0"/>
              <w:autoSpaceDN w:val="0"/>
              <w:adjustRightInd w:val="0"/>
              <w:cnfStyle w:val="000000100000"/>
              <w:rPr>
                <w:rFonts w:ascii="Arial" w:hAnsi="Arial" w:cs="Arial"/>
                <w:bCs/>
                <w:color w:val="000000"/>
              </w:rPr>
            </w:pPr>
            <w:r w:rsidRPr="008927F6">
              <w:rPr>
                <w:rFonts w:ascii="Arial" w:hAnsi="Arial" w:cs="Arial"/>
                <w:bCs/>
                <w:color w:val="000000"/>
              </w:rPr>
              <w:t>R18 187 million (40.4%)</w:t>
            </w:r>
          </w:p>
        </w:tc>
      </w:tr>
    </w:tbl>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 xml:space="preserve">Programme 3 has a total allocation of R42.5 million, of which R24 401 million (57.4%) is allocated for Compensation of employees and R18 187 million (40.4%) is allocated for Goods and services. Of the Goods and services budget, R4.9 million or nearly </w:t>
      </w:r>
      <w:r w:rsidRPr="008927F6">
        <w:rPr>
          <w:rFonts w:ascii="Arial" w:hAnsi="Arial" w:cs="Arial"/>
          <w:color w:val="001F00"/>
          <w:spacing w:val="6"/>
          <w:highlight w:val="yellow"/>
          <w:lang w:val="en-GB" w:eastAsia="en-GB"/>
        </w:rPr>
        <w:t>%</w:t>
      </w:r>
      <w:r w:rsidRPr="008927F6">
        <w:rPr>
          <w:rFonts w:ascii="Arial" w:hAnsi="Arial" w:cs="Arial"/>
          <w:color w:val="001F00"/>
          <w:spacing w:val="6"/>
          <w:lang w:val="en-GB" w:eastAsia="en-GB"/>
        </w:rPr>
        <w:t xml:space="preserve"> is allocated for Travel and subsistence as per the Estimates of National Expenditure for 2022. The other main costs drivers under Goods and services are as follows:</w:t>
      </w:r>
    </w:p>
    <w:p w:rsidR="008927F6" w:rsidRPr="008927F6" w:rsidRDefault="008927F6" w:rsidP="008927F6">
      <w:pPr>
        <w:rPr>
          <w:rFonts w:ascii="Arial" w:hAnsi="Arial" w:cs="Arial"/>
          <w:color w:val="001F00"/>
          <w:spacing w:val="6"/>
          <w:lang w:val="en-GB" w:eastAsia="en-GB"/>
        </w:rPr>
      </w:pPr>
    </w:p>
    <w:p w:rsidR="008927F6" w:rsidRPr="008927F6" w:rsidRDefault="008927F6" w:rsidP="008927F6">
      <w:pPr>
        <w:numPr>
          <w:ilvl w:val="0"/>
          <w:numId w:val="6"/>
        </w:numPr>
        <w:ind w:left="360"/>
        <w:contextualSpacing/>
        <w:rPr>
          <w:rFonts w:ascii="Arial" w:hAnsi="Arial" w:cs="Arial"/>
          <w:color w:val="001F00"/>
          <w:spacing w:val="6"/>
          <w:lang w:val="en-GB" w:eastAsia="en-GB"/>
        </w:rPr>
      </w:pPr>
      <w:r w:rsidRPr="008927F6">
        <w:rPr>
          <w:rFonts w:ascii="Arial" w:hAnsi="Arial" w:cs="Arial"/>
          <w:color w:val="001F00"/>
          <w:spacing w:val="6"/>
          <w:lang w:val="en-GB" w:eastAsia="en-GB"/>
        </w:rPr>
        <w:t>Catering: Departmental activities – R2.2 million.</w:t>
      </w:r>
    </w:p>
    <w:p w:rsidR="008927F6" w:rsidRPr="008927F6" w:rsidRDefault="008927F6" w:rsidP="008927F6">
      <w:pPr>
        <w:numPr>
          <w:ilvl w:val="0"/>
          <w:numId w:val="6"/>
        </w:numPr>
        <w:ind w:left="360"/>
        <w:contextualSpacing/>
        <w:rPr>
          <w:rFonts w:ascii="Arial" w:hAnsi="Arial" w:cs="Arial"/>
          <w:color w:val="001F00"/>
          <w:spacing w:val="6"/>
          <w:lang w:val="en-GB" w:eastAsia="en-GB"/>
        </w:rPr>
      </w:pPr>
      <w:r w:rsidRPr="008927F6">
        <w:rPr>
          <w:rFonts w:ascii="Arial" w:hAnsi="Arial" w:cs="Arial"/>
          <w:color w:val="001F00"/>
          <w:spacing w:val="6"/>
          <w:lang w:val="en-GB" w:eastAsia="en-GB"/>
        </w:rPr>
        <w:t>Consultants: Business and advisory services – R2.4 million.</w:t>
      </w:r>
    </w:p>
    <w:p w:rsidR="008927F6" w:rsidRPr="008927F6" w:rsidRDefault="008927F6" w:rsidP="008927F6">
      <w:pPr>
        <w:numPr>
          <w:ilvl w:val="0"/>
          <w:numId w:val="6"/>
        </w:numPr>
        <w:ind w:left="360"/>
        <w:contextualSpacing/>
        <w:rPr>
          <w:rFonts w:ascii="Arial" w:hAnsi="Arial" w:cs="Arial"/>
          <w:color w:val="001F00"/>
          <w:spacing w:val="6"/>
          <w:lang w:val="en-GB" w:eastAsia="en-GB"/>
        </w:rPr>
      </w:pPr>
      <w:r w:rsidRPr="008927F6">
        <w:rPr>
          <w:rFonts w:ascii="Arial" w:hAnsi="Arial" w:cs="Arial"/>
          <w:color w:val="001F00"/>
          <w:spacing w:val="6"/>
          <w:lang w:val="en-GB" w:eastAsia="en-GB"/>
        </w:rPr>
        <w:t>Transport provided -  Departmental activity – R2 million.</w:t>
      </w:r>
    </w:p>
    <w:p w:rsidR="008927F6" w:rsidRPr="008927F6" w:rsidRDefault="008927F6" w:rsidP="008927F6">
      <w:pPr>
        <w:numPr>
          <w:ilvl w:val="0"/>
          <w:numId w:val="6"/>
        </w:numPr>
        <w:ind w:left="360"/>
        <w:contextualSpacing/>
        <w:rPr>
          <w:rFonts w:ascii="Arial" w:hAnsi="Arial" w:cs="Arial"/>
          <w:color w:val="001F00"/>
          <w:spacing w:val="6"/>
          <w:lang w:val="en-GB" w:eastAsia="en-GB"/>
        </w:rPr>
      </w:pPr>
      <w:r w:rsidRPr="008927F6">
        <w:rPr>
          <w:rFonts w:ascii="Arial" w:hAnsi="Arial" w:cs="Arial"/>
          <w:color w:val="001F00"/>
          <w:spacing w:val="6"/>
          <w:lang w:val="en-GB" w:eastAsia="en-GB"/>
        </w:rPr>
        <w:t>Venue and facilities – R2 million.</w:t>
      </w:r>
    </w:p>
    <w:p w:rsidR="008927F6" w:rsidRPr="008927F6" w:rsidRDefault="008927F6" w:rsidP="008927F6">
      <w:pPr>
        <w:rPr>
          <w:rFonts w:ascii="Arial" w:hAnsi="Arial" w:cs="Arial"/>
          <w:b/>
          <w:color w:val="001F00"/>
          <w:spacing w:val="6"/>
          <w:lang w:val="en-GB"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eastAsia="en-GB"/>
        </w:rPr>
        <w:lastRenderedPageBreak/>
        <w:t>This programme has 26 posts and is earmarked to achieve 12 annual targets for the current financial year as listed below:</w:t>
      </w:r>
    </w:p>
    <w:p w:rsidR="008927F6" w:rsidRPr="008927F6" w:rsidRDefault="008927F6" w:rsidP="008927F6">
      <w:pPr>
        <w:rPr>
          <w:rFonts w:ascii="Arial" w:hAnsi="Arial" w:cs="Arial"/>
          <w:b/>
          <w:color w:val="001F00"/>
          <w:spacing w:val="6"/>
          <w:lang w:val="en-GB" w:eastAsia="en-GB"/>
        </w:rPr>
      </w:pPr>
    </w:p>
    <w:p w:rsidR="008927F6" w:rsidRPr="008927F6" w:rsidRDefault="008927F6" w:rsidP="008927F6">
      <w:pPr>
        <w:numPr>
          <w:ilvl w:val="0"/>
          <w:numId w:val="15"/>
        </w:numPr>
        <w:ind w:left="360" w:hanging="450"/>
        <w:contextualSpacing/>
        <w:rPr>
          <w:rFonts w:ascii="Arial" w:hAnsi="Arial" w:cs="Arial"/>
          <w:color w:val="001F00"/>
          <w:spacing w:val="6"/>
          <w:lang w:val="en-GB" w:eastAsia="en-GB"/>
        </w:rPr>
      </w:pPr>
      <w:r w:rsidRPr="008927F6">
        <w:rPr>
          <w:rFonts w:ascii="Arial" w:hAnsi="Arial" w:cs="Arial"/>
          <w:color w:val="001F00"/>
          <w:spacing w:val="6"/>
          <w:lang w:val="en-GB" w:eastAsia="en-GB"/>
        </w:rPr>
        <w:t>Develop one status report on the implementation of the National Gender Policy Framework.</w:t>
      </w:r>
    </w:p>
    <w:p w:rsidR="008927F6" w:rsidRPr="008927F6" w:rsidRDefault="008927F6" w:rsidP="008927F6">
      <w:pPr>
        <w:numPr>
          <w:ilvl w:val="0"/>
          <w:numId w:val="15"/>
        </w:numPr>
        <w:ind w:left="360" w:hanging="450"/>
        <w:contextualSpacing/>
        <w:rPr>
          <w:rFonts w:ascii="Arial" w:hAnsi="Arial" w:cs="Arial"/>
          <w:color w:val="001F00"/>
          <w:spacing w:val="6"/>
          <w:lang w:val="en-GB" w:eastAsia="en-GB"/>
        </w:rPr>
      </w:pPr>
      <w:r w:rsidRPr="008927F6">
        <w:rPr>
          <w:rFonts w:ascii="Arial" w:hAnsi="Arial" w:cs="Arial"/>
          <w:color w:val="001F00"/>
          <w:spacing w:val="6"/>
          <w:lang w:val="en-GB" w:eastAsia="en-GB"/>
        </w:rPr>
        <w:t xml:space="preserve">Develop one status report on the implementation of the Regulatory Framework for the mainstreaming of women, youth and persons with disabilities. </w:t>
      </w:r>
    </w:p>
    <w:p w:rsidR="008927F6" w:rsidRPr="008927F6" w:rsidRDefault="008927F6" w:rsidP="008927F6">
      <w:pPr>
        <w:numPr>
          <w:ilvl w:val="0"/>
          <w:numId w:val="15"/>
        </w:numPr>
        <w:ind w:left="360" w:hanging="450"/>
        <w:contextualSpacing/>
        <w:rPr>
          <w:rFonts w:ascii="Arial" w:hAnsi="Arial" w:cs="Arial"/>
          <w:color w:val="001F00"/>
          <w:spacing w:val="6"/>
          <w:lang w:val="en-GB" w:eastAsia="en-GB"/>
        </w:rPr>
      </w:pPr>
      <w:r w:rsidRPr="008927F6">
        <w:rPr>
          <w:rFonts w:ascii="Arial" w:hAnsi="Arial" w:cs="Arial"/>
          <w:color w:val="001F00"/>
          <w:spacing w:val="6"/>
          <w:lang w:val="en-GB" w:eastAsia="en-GB"/>
        </w:rPr>
        <w:t xml:space="preserve">Develop two progress reports on the piloting of the Integrated Knowledge Hub. </w:t>
      </w:r>
    </w:p>
    <w:p w:rsidR="008927F6" w:rsidRPr="008927F6" w:rsidRDefault="008927F6" w:rsidP="008927F6">
      <w:pPr>
        <w:numPr>
          <w:ilvl w:val="0"/>
          <w:numId w:val="15"/>
        </w:numPr>
        <w:ind w:left="360" w:hanging="450"/>
        <w:contextualSpacing/>
        <w:rPr>
          <w:rFonts w:ascii="Arial" w:hAnsi="Arial" w:cs="Arial"/>
          <w:color w:val="001F00"/>
          <w:spacing w:val="6"/>
          <w:lang w:val="en-GB" w:eastAsia="en-GB"/>
        </w:rPr>
      </w:pPr>
      <w:r w:rsidRPr="008927F6">
        <w:rPr>
          <w:rFonts w:ascii="Arial" w:hAnsi="Arial" w:cs="Arial"/>
          <w:color w:val="001F00"/>
          <w:spacing w:val="6"/>
          <w:lang w:val="en-GB" w:eastAsia="en-GB"/>
        </w:rPr>
        <w:t>Produce one research report on government priorities.</w:t>
      </w:r>
    </w:p>
    <w:p w:rsidR="008927F6" w:rsidRPr="008927F6" w:rsidRDefault="008927F6" w:rsidP="008927F6">
      <w:pPr>
        <w:numPr>
          <w:ilvl w:val="0"/>
          <w:numId w:val="15"/>
        </w:numPr>
        <w:ind w:left="360" w:hanging="450"/>
        <w:contextualSpacing/>
        <w:rPr>
          <w:rFonts w:ascii="Arial" w:hAnsi="Arial" w:cs="Arial"/>
          <w:color w:val="001F00"/>
          <w:spacing w:val="6"/>
          <w:lang w:val="en-GB" w:eastAsia="en-GB"/>
        </w:rPr>
      </w:pPr>
      <w:r w:rsidRPr="008927F6">
        <w:rPr>
          <w:rFonts w:ascii="Arial" w:hAnsi="Arial" w:cs="Arial"/>
          <w:color w:val="001F00"/>
          <w:spacing w:val="6"/>
          <w:lang w:val="en-GB" w:eastAsia="en-GB"/>
        </w:rPr>
        <w:t>Produce two reports on compliance of government commitments with international and regional commitments of women.</w:t>
      </w:r>
    </w:p>
    <w:p w:rsidR="008927F6" w:rsidRPr="008927F6" w:rsidRDefault="008927F6" w:rsidP="008927F6">
      <w:pPr>
        <w:numPr>
          <w:ilvl w:val="0"/>
          <w:numId w:val="15"/>
        </w:numPr>
        <w:ind w:left="360" w:hanging="450"/>
        <w:contextualSpacing/>
        <w:rPr>
          <w:rFonts w:ascii="Arial" w:hAnsi="Arial" w:cs="Arial"/>
          <w:color w:val="001F00"/>
          <w:spacing w:val="6"/>
          <w:lang w:val="en-GB" w:eastAsia="en-GB"/>
        </w:rPr>
      </w:pPr>
      <w:r w:rsidRPr="008927F6">
        <w:rPr>
          <w:rFonts w:ascii="Arial" w:hAnsi="Arial" w:cs="Arial"/>
          <w:color w:val="001F00"/>
          <w:spacing w:val="6"/>
          <w:lang w:val="en-GB" w:eastAsia="en-GB"/>
        </w:rPr>
        <w:t>Have 50% of national departments implementing Gender Responsive Planning, Budgeting, Monitoring, evaluation and Auditing Framework (GRPBMEAF).</w:t>
      </w:r>
    </w:p>
    <w:p w:rsidR="008927F6" w:rsidRPr="008927F6" w:rsidRDefault="008927F6" w:rsidP="008927F6">
      <w:pPr>
        <w:numPr>
          <w:ilvl w:val="0"/>
          <w:numId w:val="15"/>
        </w:numPr>
        <w:ind w:left="360" w:hanging="450"/>
        <w:contextualSpacing/>
        <w:rPr>
          <w:rFonts w:ascii="Arial" w:hAnsi="Arial" w:cs="Arial"/>
          <w:color w:val="001F00"/>
          <w:spacing w:val="6"/>
          <w:lang w:val="en-GB" w:eastAsia="en-GB"/>
        </w:rPr>
      </w:pPr>
      <w:r w:rsidRPr="008927F6">
        <w:rPr>
          <w:rFonts w:ascii="Arial" w:hAnsi="Arial" w:cs="Arial"/>
          <w:color w:val="001F00"/>
          <w:spacing w:val="6"/>
          <w:lang w:val="en-GB" w:eastAsia="en-GB"/>
        </w:rPr>
        <w:t>Produce one monitoring report on the empowerment of women, youth and persons with disabilities.</w:t>
      </w:r>
    </w:p>
    <w:p w:rsidR="008927F6" w:rsidRPr="008927F6" w:rsidRDefault="008927F6" w:rsidP="008927F6">
      <w:pPr>
        <w:numPr>
          <w:ilvl w:val="0"/>
          <w:numId w:val="15"/>
        </w:numPr>
        <w:ind w:left="360" w:hanging="450"/>
        <w:contextualSpacing/>
        <w:rPr>
          <w:rFonts w:ascii="Arial" w:hAnsi="Arial" w:cs="Arial"/>
          <w:color w:val="001F00"/>
          <w:spacing w:val="6"/>
          <w:lang w:val="en-GB" w:eastAsia="en-GB"/>
        </w:rPr>
      </w:pPr>
      <w:r w:rsidRPr="008927F6">
        <w:rPr>
          <w:rFonts w:ascii="Arial" w:hAnsi="Arial" w:cs="Arial"/>
          <w:color w:val="001F00"/>
          <w:spacing w:val="6"/>
          <w:lang w:val="en-GB" w:eastAsia="en-GB"/>
        </w:rPr>
        <w:t xml:space="preserve">Conduct one evaluation on empowerment of women, youth and persons with disabilities. </w:t>
      </w:r>
    </w:p>
    <w:p w:rsidR="008927F6" w:rsidRPr="008927F6" w:rsidRDefault="008927F6" w:rsidP="008927F6">
      <w:pPr>
        <w:numPr>
          <w:ilvl w:val="0"/>
          <w:numId w:val="15"/>
        </w:numPr>
        <w:ind w:left="360" w:hanging="450"/>
        <w:contextualSpacing/>
        <w:rPr>
          <w:rFonts w:ascii="Arial" w:hAnsi="Arial" w:cs="Arial"/>
          <w:color w:val="001F00"/>
          <w:spacing w:val="6"/>
          <w:lang w:val="en-GB" w:eastAsia="en-GB"/>
        </w:rPr>
      </w:pPr>
      <w:r w:rsidRPr="008927F6">
        <w:rPr>
          <w:rFonts w:ascii="Arial" w:hAnsi="Arial" w:cs="Arial"/>
          <w:color w:val="001F00"/>
          <w:spacing w:val="6"/>
          <w:lang w:val="en-GB" w:eastAsia="en-GB"/>
        </w:rPr>
        <w:t xml:space="preserve">Develop four status reports on the implementation of the women, youth and persons with disabilities International Relations Strategy. </w:t>
      </w:r>
    </w:p>
    <w:p w:rsidR="008927F6" w:rsidRPr="008927F6" w:rsidRDefault="008927F6" w:rsidP="008927F6">
      <w:pPr>
        <w:numPr>
          <w:ilvl w:val="0"/>
          <w:numId w:val="15"/>
        </w:numPr>
        <w:ind w:left="360" w:hanging="450"/>
        <w:contextualSpacing/>
        <w:rPr>
          <w:rFonts w:ascii="Arial" w:hAnsi="Arial" w:cs="Arial"/>
          <w:color w:val="001F00"/>
          <w:spacing w:val="6"/>
          <w:lang w:val="en-GB" w:eastAsia="en-GB"/>
        </w:rPr>
      </w:pPr>
      <w:r w:rsidRPr="008927F6">
        <w:rPr>
          <w:rFonts w:ascii="Arial" w:hAnsi="Arial" w:cs="Arial"/>
          <w:color w:val="001F00"/>
          <w:spacing w:val="6"/>
          <w:lang w:val="en-GB" w:eastAsia="en-GB"/>
        </w:rPr>
        <w:t xml:space="preserve">Develop two progress reports on the implementation of the women, youth and persons with disabilities Stakeholder Management Framework. </w:t>
      </w:r>
    </w:p>
    <w:p w:rsidR="008927F6" w:rsidRPr="008927F6" w:rsidRDefault="008927F6" w:rsidP="008927F6">
      <w:pPr>
        <w:numPr>
          <w:ilvl w:val="0"/>
          <w:numId w:val="15"/>
        </w:numPr>
        <w:ind w:left="360" w:hanging="450"/>
        <w:contextualSpacing/>
        <w:rPr>
          <w:rFonts w:ascii="Arial" w:hAnsi="Arial" w:cs="Arial"/>
          <w:color w:val="001F00"/>
          <w:spacing w:val="6"/>
          <w:lang w:val="en-GB" w:eastAsia="en-GB"/>
        </w:rPr>
      </w:pPr>
      <w:r w:rsidRPr="008927F6">
        <w:rPr>
          <w:rFonts w:ascii="Arial" w:hAnsi="Arial" w:cs="Arial"/>
          <w:color w:val="001F00"/>
          <w:spacing w:val="6"/>
          <w:lang w:val="en-GB" w:eastAsia="en-GB"/>
        </w:rPr>
        <w:t xml:space="preserve">Conduct 12 stakeholder engagements. </w:t>
      </w:r>
    </w:p>
    <w:p w:rsidR="008927F6" w:rsidRPr="008927F6" w:rsidRDefault="008927F6" w:rsidP="008927F6">
      <w:pPr>
        <w:numPr>
          <w:ilvl w:val="0"/>
          <w:numId w:val="15"/>
        </w:numPr>
        <w:ind w:left="360" w:hanging="450"/>
        <w:contextualSpacing/>
        <w:rPr>
          <w:rFonts w:ascii="Arial" w:hAnsi="Arial" w:cs="Arial"/>
          <w:color w:val="001F00"/>
          <w:spacing w:val="6"/>
          <w:lang w:val="en-GB" w:eastAsia="en-GB"/>
        </w:rPr>
      </w:pPr>
      <w:r w:rsidRPr="008927F6">
        <w:rPr>
          <w:rFonts w:ascii="Arial" w:hAnsi="Arial" w:cs="Arial"/>
          <w:color w:val="001F00"/>
          <w:spacing w:val="6"/>
          <w:lang w:val="en-GB" w:eastAsia="en-GB"/>
        </w:rPr>
        <w:t xml:space="preserve">Conduct four community mobilisation initiatives. </w:t>
      </w:r>
    </w:p>
    <w:p w:rsidR="008927F6" w:rsidRPr="008927F6" w:rsidRDefault="008927F6" w:rsidP="008927F6">
      <w:pPr>
        <w:rPr>
          <w:rFonts w:ascii="Arial" w:hAnsi="Arial" w:cs="Arial"/>
          <w:b/>
          <w:color w:val="001F00"/>
          <w:spacing w:val="6"/>
          <w:lang w:val="en-GB" w:eastAsia="en-GB"/>
        </w:rPr>
      </w:pPr>
    </w:p>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 xml:space="preserve">This programme had undergone name changes and structural changes to its sub-programmes when compared to the APP of 2021/22. </w:t>
      </w:r>
    </w:p>
    <w:p w:rsidR="008927F6" w:rsidRPr="008927F6" w:rsidRDefault="008927F6" w:rsidP="008927F6">
      <w:pPr>
        <w:rPr>
          <w:rFonts w:ascii="Arial" w:hAnsi="Arial" w:cs="Arial"/>
          <w:b/>
          <w:color w:val="001F00"/>
          <w:spacing w:val="6"/>
          <w:lang w:val="en-GB" w:eastAsia="en-GB"/>
        </w:rPr>
      </w:pPr>
    </w:p>
    <w:p w:rsidR="008927F6" w:rsidRPr="008927F6" w:rsidRDefault="008927F6" w:rsidP="008927F6">
      <w:pPr>
        <w:rPr>
          <w:rFonts w:ascii="Arial" w:hAnsi="Arial" w:cs="Arial"/>
          <w:b/>
          <w:color w:val="001F00"/>
          <w:spacing w:val="6"/>
          <w:lang w:val="en-GB" w:eastAsia="en-GB"/>
        </w:rPr>
      </w:pPr>
      <w:r w:rsidRPr="008927F6">
        <w:rPr>
          <w:rFonts w:ascii="Arial" w:hAnsi="Arial" w:cs="Arial"/>
          <w:b/>
          <w:color w:val="001F00"/>
          <w:spacing w:val="6"/>
          <w:lang w:val="en-GB" w:eastAsia="en-GB"/>
        </w:rPr>
        <w:t xml:space="preserve">3.4   Programme 4: Mainstreaming Youth and Persons with Disabilities Rights and Advocacy </w:t>
      </w:r>
    </w:p>
    <w:p w:rsidR="008927F6" w:rsidRPr="008927F6" w:rsidRDefault="008927F6" w:rsidP="008927F6">
      <w:pPr>
        <w:rPr>
          <w:rFonts w:ascii="Arial" w:hAnsi="Arial" w:cs="Arial"/>
          <w:color w:val="001F00"/>
          <w:spacing w:val="6"/>
          <w:lang w:val="en-GB" w:eastAsia="en-GB"/>
        </w:rPr>
      </w:pPr>
    </w:p>
    <w:p w:rsidR="008927F6" w:rsidRPr="008927F6" w:rsidRDefault="008927F6" w:rsidP="008927F6">
      <w:pPr>
        <w:rPr>
          <w:rFonts w:ascii="Arial" w:hAnsi="Arial" w:cs="Arial"/>
          <w:color w:val="001F00"/>
          <w:spacing w:val="6"/>
          <w:lang w:val="en-ZA" w:eastAsia="en-GB"/>
        </w:rPr>
      </w:pPr>
      <w:r w:rsidRPr="008927F6">
        <w:rPr>
          <w:rFonts w:ascii="Arial" w:hAnsi="Arial" w:cs="Arial"/>
          <w:color w:val="001F00"/>
          <w:spacing w:val="6"/>
          <w:lang w:val="en-GB" w:eastAsia="en-GB"/>
        </w:rPr>
        <w:t>The purpose of Programme 4 is to</w:t>
      </w:r>
      <w:r w:rsidRPr="008927F6">
        <w:rPr>
          <w:rFonts w:ascii="Arial" w:hAnsi="Arial" w:cs="Arial"/>
          <w:color w:val="001F00"/>
          <w:spacing w:val="6"/>
          <w:lang w:val="en-ZA" w:eastAsia="en-GB"/>
        </w:rPr>
        <w:t xml:space="preserve"> promote good governance regarding the rights and transformation of the social and economic empowerment of youth and persons with disabilities. The objectives of the programme are to promote the development and empowerment of young people by reviewing legislative frameworks to advance their rights over the medium term; and support, monitor and coordinate government’s implementation of the 2015 White Paper on the rights of persons with disabilities.</w:t>
      </w:r>
    </w:p>
    <w:p w:rsidR="008927F6" w:rsidRPr="008927F6" w:rsidRDefault="008927F6" w:rsidP="008927F6">
      <w:pPr>
        <w:rPr>
          <w:rFonts w:ascii="Arial" w:hAnsi="Arial" w:cs="Arial"/>
          <w:color w:val="001F00"/>
          <w:spacing w:val="6"/>
          <w:lang w:val="en-ZA" w:eastAsia="en-GB"/>
        </w:rPr>
      </w:pPr>
    </w:p>
    <w:p w:rsidR="008927F6" w:rsidRPr="008927F6" w:rsidRDefault="008927F6" w:rsidP="008927F6">
      <w:pPr>
        <w:rPr>
          <w:rFonts w:ascii="Arial" w:hAnsi="Arial" w:cs="Arial"/>
          <w:color w:val="001F00"/>
          <w:spacing w:val="6"/>
          <w:highlight w:val="yellow"/>
          <w:lang w:val="en-ZA" w:eastAsia="en-GB"/>
        </w:rPr>
      </w:pPr>
      <w:r w:rsidRPr="008927F6">
        <w:rPr>
          <w:rFonts w:ascii="Arial" w:hAnsi="Arial" w:cs="Arial"/>
          <w:color w:val="001F00"/>
          <w:spacing w:val="6"/>
          <w:lang w:val="en-ZA" w:eastAsia="en-GB"/>
        </w:rPr>
        <w:t xml:space="preserve">This programme is comprised of four sub-programmes namely: </w:t>
      </w:r>
      <w:r w:rsidRPr="008927F6">
        <w:rPr>
          <w:rFonts w:ascii="Arial" w:hAnsi="Arial" w:cs="Arial"/>
          <w:iCs/>
          <w:color w:val="001F00"/>
          <w:spacing w:val="6"/>
          <w:lang w:val="en-ZA" w:eastAsia="en-GB"/>
        </w:rPr>
        <w:t>Management (Advocacy and Mainstreaming for the Rights of Youth and Persons with Disabilities); Advocacy and Mainstreaming for the Rights of Youth; Advocacy and Mainstreaming for the Rights of Persons with Disabilities; and the National Youth Development Agency (NYDA).</w:t>
      </w:r>
    </w:p>
    <w:p w:rsidR="008927F6" w:rsidRPr="008927F6" w:rsidRDefault="008927F6" w:rsidP="008927F6">
      <w:pPr>
        <w:rPr>
          <w:rFonts w:ascii="Arial" w:hAnsi="Arial" w:cs="Arial"/>
          <w:color w:val="001F00"/>
          <w:spacing w:val="6"/>
          <w:lang w:val="en-ZA"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val="en-GB" w:eastAsia="en-GB"/>
        </w:rPr>
        <w:t>The total allocation for this programme is R711.8 million. This is inclusive of the transfer to the NYDA of R681.3 million. Its operational budget is R30.4 million (less the NYDA transfer) which constitutes 14.8% of the Department’s operational budget - also the smallest allocation. This allocation is R2.2 million more than in the 20221/22 financial year.</w:t>
      </w:r>
      <w:r w:rsidRPr="008927F6">
        <w:rPr>
          <w:rFonts w:ascii="Arial" w:hAnsi="Arial" w:cs="Arial"/>
          <w:color w:val="001F00"/>
          <w:spacing w:val="6"/>
          <w:vertAlign w:val="superscript"/>
          <w:lang w:val="en-GB" w:eastAsia="en-GB"/>
        </w:rPr>
        <w:footnoteReference w:id="12"/>
      </w:r>
      <w:r w:rsidRPr="008927F6">
        <w:rPr>
          <w:rFonts w:ascii="Arial" w:hAnsi="Arial" w:cs="Arial"/>
          <w:color w:val="001F00"/>
          <w:spacing w:val="6"/>
          <w:lang w:val="en-GB" w:eastAsia="en-GB"/>
        </w:rPr>
        <w:t xml:space="preserve"> However, when taking into consideration the Real Rand change, this programme only sees an increase of 3.11% to its allocation which amounts to R 900 000.</w:t>
      </w:r>
      <w:r w:rsidRPr="008927F6">
        <w:rPr>
          <w:rFonts w:ascii="Arial" w:hAnsi="Arial" w:cs="Arial"/>
          <w:color w:val="001F00"/>
          <w:spacing w:val="6"/>
          <w:vertAlign w:val="superscript"/>
          <w:lang w:val="en-GB" w:eastAsia="en-GB"/>
        </w:rPr>
        <w:footnoteReference w:id="13"/>
      </w:r>
      <w:r w:rsidRPr="008927F6">
        <w:rPr>
          <w:rFonts w:ascii="Arial" w:hAnsi="Arial" w:cs="Arial"/>
          <w:color w:val="001F00"/>
          <w:spacing w:val="6"/>
          <w:lang w:val="en-GB" w:eastAsia="en-GB"/>
        </w:rPr>
        <w:t xml:space="preserve"> The </w:t>
      </w:r>
      <w:r w:rsidRPr="008927F6">
        <w:rPr>
          <w:rFonts w:ascii="Arial" w:hAnsi="Arial" w:cs="Arial"/>
          <w:color w:val="001F00"/>
          <w:spacing w:val="6"/>
          <w:lang w:eastAsia="en-GB"/>
        </w:rPr>
        <w:t>Expenditure under Programme 4 is shown in Table 5.</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b/>
          <w:color w:val="001F00"/>
          <w:spacing w:val="6"/>
          <w:lang w:val="en-GB" w:eastAsia="en-GB"/>
        </w:rPr>
      </w:pPr>
      <w:r w:rsidRPr="008927F6">
        <w:rPr>
          <w:rFonts w:ascii="Arial" w:hAnsi="Arial" w:cs="Arial"/>
          <w:b/>
          <w:color w:val="001F00"/>
          <w:spacing w:val="6"/>
          <w:lang w:val="en-GB" w:eastAsia="en-GB"/>
        </w:rPr>
        <w:t xml:space="preserve">Table 5: National Youth Development expenditure trends by sub-programme </w:t>
      </w:r>
    </w:p>
    <w:tbl>
      <w:tblPr>
        <w:tblStyle w:val="PlainTable11"/>
        <w:tblW w:w="0" w:type="auto"/>
        <w:tblLook w:val="04A0"/>
      </w:tblPr>
      <w:tblGrid>
        <w:gridCol w:w="7690"/>
        <w:gridCol w:w="1886"/>
      </w:tblGrid>
      <w:tr w:rsidR="008927F6" w:rsidRPr="008927F6" w:rsidTr="0023447C">
        <w:trPr>
          <w:cnfStyle w:val="100000000000"/>
          <w:trHeight w:val="244"/>
        </w:trPr>
        <w:tc>
          <w:tcPr>
            <w:cnfStyle w:val="001000000000"/>
            <w:tcW w:w="7735" w:type="dxa"/>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SUB-PROGRAMME</w:t>
            </w:r>
          </w:p>
        </w:tc>
        <w:tc>
          <w:tcPr>
            <w:tcW w:w="1893" w:type="dxa"/>
          </w:tcPr>
          <w:p w:rsidR="008927F6" w:rsidRPr="008927F6" w:rsidRDefault="008927F6" w:rsidP="008927F6">
            <w:pPr>
              <w:cnfStyle w:val="100000000000"/>
              <w:rPr>
                <w:rFonts w:ascii="Arial" w:hAnsi="Arial" w:cs="Arial"/>
                <w:color w:val="001F00"/>
                <w:spacing w:val="6"/>
                <w:lang w:val="en-GB" w:eastAsia="en-GB"/>
              </w:rPr>
            </w:pPr>
            <w:r w:rsidRPr="008927F6">
              <w:rPr>
                <w:rFonts w:ascii="Arial" w:hAnsi="Arial" w:cs="Arial"/>
                <w:color w:val="001F00"/>
                <w:spacing w:val="6"/>
                <w:lang w:val="en-GB" w:eastAsia="en-GB"/>
              </w:rPr>
              <w:t>YEAR 2022/23</w:t>
            </w:r>
          </w:p>
        </w:tc>
      </w:tr>
      <w:tr w:rsidR="008927F6" w:rsidRPr="008927F6" w:rsidTr="0023447C">
        <w:trPr>
          <w:cnfStyle w:val="000000100000"/>
        </w:trPr>
        <w:tc>
          <w:tcPr>
            <w:cnfStyle w:val="001000000000"/>
            <w:tcW w:w="7735" w:type="dxa"/>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Management (Advocacy &amp; Mainstreaming for the Rights of Youth and Persons with Disabilities)</w:t>
            </w:r>
          </w:p>
        </w:tc>
        <w:tc>
          <w:tcPr>
            <w:tcW w:w="1893" w:type="dxa"/>
          </w:tcPr>
          <w:p w:rsidR="008927F6" w:rsidRPr="008927F6" w:rsidRDefault="008927F6" w:rsidP="008927F6">
            <w:pPr>
              <w:cnfStyle w:val="000000100000"/>
              <w:rPr>
                <w:rFonts w:ascii="Arial" w:hAnsi="Arial" w:cs="Arial"/>
                <w:color w:val="001F00"/>
                <w:spacing w:val="6"/>
                <w:lang w:val="en-GB" w:eastAsia="en-GB"/>
              </w:rPr>
            </w:pPr>
            <w:r w:rsidRPr="008927F6">
              <w:rPr>
                <w:rFonts w:ascii="Arial" w:hAnsi="Arial" w:cs="Arial"/>
                <w:color w:val="001F00"/>
                <w:spacing w:val="6"/>
                <w:lang w:val="en-GB" w:eastAsia="en-GB"/>
              </w:rPr>
              <w:t>R1.3 million</w:t>
            </w:r>
          </w:p>
        </w:tc>
      </w:tr>
      <w:tr w:rsidR="008927F6" w:rsidRPr="008927F6" w:rsidTr="0023447C">
        <w:tc>
          <w:tcPr>
            <w:cnfStyle w:val="001000000000"/>
            <w:tcW w:w="7735" w:type="dxa"/>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lastRenderedPageBreak/>
              <w:t xml:space="preserve">Advocacy and Mainstreaming for the Rights of Youth </w:t>
            </w:r>
          </w:p>
        </w:tc>
        <w:tc>
          <w:tcPr>
            <w:tcW w:w="1893" w:type="dxa"/>
          </w:tcPr>
          <w:p w:rsidR="008927F6" w:rsidRPr="008927F6" w:rsidRDefault="008927F6" w:rsidP="008927F6">
            <w:pPr>
              <w:cnfStyle w:val="000000000000"/>
              <w:rPr>
                <w:rFonts w:ascii="Arial" w:hAnsi="Arial" w:cs="Arial"/>
                <w:color w:val="001F00"/>
                <w:spacing w:val="6"/>
                <w:lang w:val="en-GB" w:eastAsia="en-GB"/>
              </w:rPr>
            </w:pPr>
            <w:r w:rsidRPr="008927F6">
              <w:rPr>
                <w:rFonts w:ascii="Arial" w:hAnsi="Arial" w:cs="Arial"/>
                <w:color w:val="001F00"/>
                <w:spacing w:val="6"/>
                <w:lang w:val="en-GB" w:eastAsia="en-GB"/>
              </w:rPr>
              <w:t>R12.4 million</w:t>
            </w:r>
          </w:p>
        </w:tc>
      </w:tr>
      <w:tr w:rsidR="008927F6" w:rsidRPr="008927F6" w:rsidTr="0023447C">
        <w:trPr>
          <w:cnfStyle w:val="000000100000"/>
        </w:trPr>
        <w:tc>
          <w:tcPr>
            <w:cnfStyle w:val="001000000000"/>
            <w:tcW w:w="7735" w:type="dxa"/>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Advocacy and Mainstreaming for the Rights of Persons with Disabilities</w:t>
            </w:r>
          </w:p>
        </w:tc>
        <w:tc>
          <w:tcPr>
            <w:tcW w:w="1893" w:type="dxa"/>
          </w:tcPr>
          <w:p w:rsidR="008927F6" w:rsidRPr="008927F6" w:rsidRDefault="008927F6" w:rsidP="008927F6">
            <w:pPr>
              <w:cnfStyle w:val="000000100000"/>
              <w:rPr>
                <w:rFonts w:ascii="Arial" w:hAnsi="Arial" w:cs="Arial"/>
                <w:color w:val="001F00"/>
                <w:spacing w:val="6"/>
                <w:lang w:val="en-GB" w:eastAsia="en-GB"/>
              </w:rPr>
            </w:pPr>
            <w:r w:rsidRPr="008927F6">
              <w:rPr>
                <w:rFonts w:ascii="Arial" w:hAnsi="Arial" w:cs="Arial"/>
                <w:color w:val="001F00"/>
                <w:spacing w:val="6"/>
                <w:lang w:val="en-GB" w:eastAsia="en-GB"/>
              </w:rPr>
              <w:t xml:space="preserve">R16.8 million </w:t>
            </w:r>
          </w:p>
        </w:tc>
      </w:tr>
      <w:tr w:rsidR="008927F6" w:rsidRPr="008927F6" w:rsidTr="0023447C">
        <w:tc>
          <w:tcPr>
            <w:cnfStyle w:val="001000000000"/>
            <w:tcW w:w="7735" w:type="dxa"/>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NYDA</w:t>
            </w:r>
          </w:p>
        </w:tc>
        <w:tc>
          <w:tcPr>
            <w:tcW w:w="1893" w:type="dxa"/>
          </w:tcPr>
          <w:p w:rsidR="008927F6" w:rsidRPr="008927F6" w:rsidRDefault="008927F6" w:rsidP="008927F6">
            <w:pPr>
              <w:cnfStyle w:val="000000000000"/>
              <w:rPr>
                <w:rFonts w:ascii="Arial" w:hAnsi="Arial" w:cs="Arial"/>
                <w:color w:val="001F00"/>
                <w:spacing w:val="6"/>
                <w:lang w:val="en-GB" w:eastAsia="en-GB"/>
              </w:rPr>
            </w:pPr>
            <w:r w:rsidRPr="008927F6">
              <w:rPr>
                <w:rFonts w:ascii="Arial" w:hAnsi="Arial" w:cs="Arial"/>
                <w:color w:val="001F00"/>
                <w:spacing w:val="6"/>
                <w:lang w:val="en-GB" w:eastAsia="en-GB"/>
              </w:rPr>
              <w:t>R681.3 million</w:t>
            </w:r>
          </w:p>
        </w:tc>
      </w:tr>
      <w:tr w:rsidR="008927F6" w:rsidRPr="008927F6" w:rsidTr="0023447C">
        <w:trPr>
          <w:cnfStyle w:val="000000100000"/>
        </w:trPr>
        <w:tc>
          <w:tcPr>
            <w:cnfStyle w:val="001000000000"/>
            <w:tcW w:w="7735" w:type="dxa"/>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Total</w:t>
            </w:r>
          </w:p>
        </w:tc>
        <w:tc>
          <w:tcPr>
            <w:tcW w:w="1893" w:type="dxa"/>
          </w:tcPr>
          <w:p w:rsidR="008927F6" w:rsidRPr="008927F6" w:rsidRDefault="008927F6" w:rsidP="008927F6">
            <w:pPr>
              <w:cnfStyle w:val="000000100000"/>
              <w:rPr>
                <w:rFonts w:ascii="Arial" w:hAnsi="Arial" w:cs="Arial"/>
                <w:b/>
                <w:color w:val="001F00"/>
                <w:spacing w:val="6"/>
                <w:lang w:val="en-GB" w:eastAsia="en-GB"/>
              </w:rPr>
            </w:pPr>
            <w:r w:rsidRPr="008927F6">
              <w:rPr>
                <w:rFonts w:ascii="Arial" w:hAnsi="Arial" w:cs="Arial"/>
                <w:b/>
                <w:color w:val="001F00"/>
                <w:spacing w:val="6"/>
                <w:lang w:val="en-GB" w:eastAsia="en-GB"/>
              </w:rPr>
              <w:t>R711.8 million</w:t>
            </w:r>
          </w:p>
        </w:tc>
      </w:tr>
      <w:tr w:rsidR="008927F6" w:rsidRPr="008927F6" w:rsidTr="0023447C">
        <w:tc>
          <w:tcPr>
            <w:cnfStyle w:val="001000000000"/>
            <w:tcW w:w="7735" w:type="dxa"/>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Compensation of Employees</w:t>
            </w:r>
          </w:p>
        </w:tc>
        <w:tc>
          <w:tcPr>
            <w:tcW w:w="1893" w:type="dxa"/>
          </w:tcPr>
          <w:p w:rsidR="008927F6" w:rsidRPr="008927F6" w:rsidRDefault="008927F6" w:rsidP="008927F6">
            <w:pPr>
              <w:cnfStyle w:val="000000000000"/>
              <w:rPr>
                <w:rFonts w:ascii="Arial" w:hAnsi="Arial" w:cs="Arial"/>
                <w:color w:val="001F00"/>
                <w:spacing w:val="6"/>
                <w:lang w:val="en-GB" w:eastAsia="en-GB"/>
              </w:rPr>
            </w:pPr>
            <w:r w:rsidRPr="008927F6">
              <w:rPr>
                <w:rFonts w:ascii="Arial" w:hAnsi="Arial" w:cs="Arial"/>
                <w:color w:val="001F00"/>
                <w:spacing w:val="6"/>
                <w:lang w:val="en-GB" w:eastAsia="en-GB"/>
              </w:rPr>
              <w:t>R15.8 million</w:t>
            </w:r>
          </w:p>
        </w:tc>
      </w:tr>
      <w:tr w:rsidR="008927F6" w:rsidRPr="008927F6" w:rsidTr="0023447C">
        <w:trPr>
          <w:cnfStyle w:val="000000100000"/>
        </w:trPr>
        <w:tc>
          <w:tcPr>
            <w:cnfStyle w:val="001000000000"/>
            <w:tcW w:w="7735" w:type="dxa"/>
          </w:tcPr>
          <w:p w:rsidR="008927F6" w:rsidRPr="008927F6" w:rsidRDefault="008927F6" w:rsidP="008927F6">
            <w:pPr>
              <w:rPr>
                <w:rFonts w:ascii="Arial" w:hAnsi="Arial" w:cs="Arial"/>
                <w:color w:val="001F00"/>
                <w:spacing w:val="6"/>
                <w:lang w:val="en-GB" w:eastAsia="en-GB"/>
              </w:rPr>
            </w:pPr>
            <w:r w:rsidRPr="008927F6">
              <w:rPr>
                <w:rFonts w:ascii="Arial" w:hAnsi="Arial" w:cs="Arial"/>
                <w:color w:val="001F00"/>
                <w:spacing w:val="6"/>
                <w:lang w:val="en-GB" w:eastAsia="en-GB"/>
              </w:rPr>
              <w:t>Goods and Services</w:t>
            </w:r>
          </w:p>
        </w:tc>
        <w:tc>
          <w:tcPr>
            <w:tcW w:w="1893" w:type="dxa"/>
          </w:tcPr>
          <w:p w:rsidR="008927F6" w:rsidRPr="008927F6" w:rsidRDefault="008927F6" w:rsidP="008927F6">
            <w:pPr>
              <w:cnfStyle w:val="000000100000"/>
              <w:rPr>
                <w:rFonts w:ascii="Arial" w:hAnsi="Arial" w:cs="Arial"/>
                <w:color w:val="001F00"/>
                <w:spacing w:val="6"/>
                <w:lang w:val="en-GB" w:eastAsia="en-GB"/>
              </w:rPr>
            </w:pPr>
            <w:r w:rsidRPr="008927F6">
              <w:rPr>
                <w:rFonts w:ascii="Arial" w:hAnsi="Arial" w:cs="Arial"/>
                <w:color w:val="001F00"/>
                <w:spacing w:val="6"/>
                <w:lang w:val="en-GB" w:eastAsia="en-GB"/>
              </w:rPr>
              <w:t>R14.1 million</w:t>
            </w:r>
          </w:p>
        </w:tc>
      </w:tr>
    </w:tbl>
    <w:p w:rsidR="008927F6" w:rsidRPr="008927F6" w:rsidRDefault="008927F6" w:rsidP="008927F6">
      <w:pPr>
        <w:rPr>
          <w:rFonts w:ascii="Arial" w:hAnsi="Arial" w:cs="Arial"/>
          <w:color w:val="001F00"/>
          <w:spacing w:val="6"/>
          <w:lang w:val="en-GB" w:eastAsia="en-GB"/>
        </w:rPr>
      </w:pPr>
    </w:p>
    <w:p w:rsidR="008927F6" w:rsidRPr="008927F6" w:rsidRDefault="008927F6" w:rsidP="008927F6">
      <w:pPr>
        <w:rPr>
          <w:rFonts w:ascii="Arial" w:hAnsi="Arial" w:cs="Arial"/>
          <w:color w:val="001F00"/>
          <w:spacing w:val="6"/>
          <w:lang w:val="en-GB" w:eastAsia="en-GB"/>
        </w:rPr>
      </w:pPr>
      <w:r w:rsidRPr="008927F6">
        <w:rPr>
          <w:rFonts w:ascii="Arial" w:hAnsi="Arial" w:cs="Arial"/>
          <w:spacing w:val="6"/>
          <w:lang w:eastAsia="en-GB"/>
        </w:rPr>
        <w:t xml:space="preserve">The programme’s budget, which is now the combination of the two programmes, has not changed the Department’s budgeting allocation for youth and persons with disabilities since 2021/22. Of the R 30.5 million, 50% (R 15.8 million) of the budget is allocated to Compensation of Employees and R14.1 million to Goods and Services (46% of total operational budget). </w:t>
      </w:r>
      <w:r w:rsidRPr="008927F6">
        <w:rPr>
          <w:rFonts w:ascii="Arial" w:hAnsi="Arial" w:cs="Arial"/>
          <w:color w:val="001F00"/>
          <w:spacing w:val="6"/>
          <w:lang w:val="en-GB" w:eastAsia="en-GB"/>
        </w:rPr>
        <w:t>Of the Goods and services budget, R4.5 million (32%) is allocated for travel and subsistence as per the Estimates of National Expenditure for 2022. The other main costs driver under Goods and services are for Consultants: Business and advisory services, R3.9 million (28%) and venue and facilities for R2.2 million (16%).</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eastAsia="en-GB"/>
        </w:rPr>
        <w:t>This programme has 20 posts and is earmarked to achieve 13 annual targets for the current financial year as follows:</w:t>
      </w:r>
    </w:p>
    <w:p w:rsidR="008927F6" w:rsidRPr="008927F6" w:rsidRDefault="008927F6" w:rsidP="008927F6">
      <w:pPr>
        <w:rPr>
          <w:rFonts w:ascii="Arial" w:hAnsi="Arial" w:cs="Arial"/>
          <w:color w:val="001F00"/>
          <w:spacing w:val="6"/>
          <w:lang w:eastAsia="en-GB"/>
        </w:rPr>
      </w:pPr>
    </w:p>
    <w:p w:rsidR="008927F6" w:rsidRPr="008927F6" w:rsidRDefault="008927F6" w:rsidP="008927F6">
      <w:pPr>
        <w:rPr>
          <w:rFonts w:ascii="Arial" w:hAnsi="Arial" w:cs="Arial"/>
          <w:i/>
          <w:color w:val="001F00"/>
          <w:spacing w:val="6"/>
          <w:lang w:eastAsia="en-GB"/>
        </w:rPr>
      </w:pPr>
      <w:r w:rsidRPr="008927F6">
        <w:rPr>
          <w:rFonts w:ascii="Arial" w:hAnsi="Arial" w:cs="Arial"/>
          <w:i/>
          <w:color w:val="001F00"/>
          <w:spacing w:val="6"/>
          <w:lang w:eastAsia="en-GB"/>
        </w:rPr>
        <w:t>Sub-programme: Advocacy and Mainstreaming Rights of Youth</w:t>
      </w:r>
    </w:p>
    <w:p w:rsidR="008927F6" w:rsidRPr="008927F6" w:rsidRDefault="008927F6" w:rsidP="008927F6">
      <w:pPr>
        <w:numPr>
          <w:ilvl w:val="0"/>
          <w:numId w:val="16"/>
        </w:numPr>
        <w:ind w:left="270" w:hanging="270"/>
        <w:contextualSpacing/>
        <w:rPr>
          <w:rFonts w:ascii="Arial" w:hAnsi="Arial" w:cs="Arial"/>
          <w:color w:val="001F00"/>
          <w:spacing w:val="6"/>
          <w:lang w:eastAsia="en-GB"/>
        </w:rPr>
      </w:pPr>
      <w:r w:rsidRPr="008927F6">
        <w:rPr>
          <w:rFonts w:ascii="Arial" w:hAnsi="Arial" w:cs="Arial"/>
          <w:color w:val="001F00"/>
          <w:spacing w:val="6"/>
          <w:lang w:eastAsia="en-GB"/>
        </w:rPr>
        <w:t>Produce four NYP Implementation Monitoring Reports.</w:t>
      </w:r>
    </w:p>
    <w:p w:rsidR="008927F6" w:rsidRPr="008927F6" w:rsidRDefault="008927F6" w:rsidP="008927F6">
      <w:pPr>
        <w:numPr>
          <w:ilvl w:val="0"/>
          <w:numId w:val="16"/>
        </w:numPr>
        <w:ind w:left="270" w:hanging="270"/>
        <w:contextualSpacing/>
        <w:rPr>
          <w:rFonts w:ascii="Arial" w:hAnsi="Arial" w:cs="Arial"/>
          <w:color w:val="001F00"/>
          <w:spacing w:val="6"/>
          <w:lang w:eastAsia="en-GB"/>
        </w:rPr>
      </w:pPr>
      <w:r w:rsidRPr="008927F6">
        <w:rPr>
          <w:rFonts w:ascii="Arial" w:hAnsi="Arial" w:cs="Arial"/>
          <w:color w:val="001F00"/>
          <w:spacing w:val="6"/>
          <w:lang w:eastAsia="en-GB"/>
        </w:rPr>
        <w:t>Refine the South African Youth Development Bill.</w:t>
      </w:r>
    </w:p>
    <w:p w:rsidR="008927F6" w:rsidRPr="008927F6" w:rsidRDefault="008927F6" w:rsidP="008927F6">
      <w:pPr>
        <w:numPr>
          <w:ilvl w:val="0"/>
          <w:numId w:val="16"/>
        </w:numPr>
        <w:ind w:left="270" w:hanging="270"/>
        <w:contextualSpacing/>
        <w:rPr>
          <w:rFonts w:ascii="Arial" w:hAnsi="Arial" w:cs="Arial"/>
          <w:color w:val="001F00"/>
          <w:spacing w:val="6"/>
          <w:lang w:eastAsia="en-GB"/>
        </w:rPr>
      </w:pPr>
      <w:r w:rsidRPr="008927F6">
        <w:rPr>
          <w:rFonts w:ascii="Arial" w:hAnsi="Arial" w:cs="Arial"/>
          <w:color w:val="001F00"/>
          <w:spacing w:val="6"/>
          <w:lang w:eastAsia="en-GB"/>
        </w:rPr>
        <w:t>Produce four NYDA quarterly monitoring reports.</w:t>
      </w:r>
    </w:p>
    <w:p w:rsidR="008927F6" w:rsidRPr="008927F6" w:rsidRDefault="008927F6" w:rsidP="008927F6">
      <w:pPr>
        <w:numPr>
          <w:ilvl w:val="0"/>
          <w:numId w:val="16"/>
        </w:numPr>
        <w:ind w:left="270" w:hanging="270"/>
        <w:contextualSpacing/>
        <w:rPr>
          <w:rFonts w:ascii="Arial" w:hAnsi="Arial" w:cs="Arial"/>
          <w:color w:val="001F00"/>
          <w:spacing w:val="6"/>
          <w:lang w:eastAsia="en-GB"/>
        </w:rPr>
      </w:pPr>
      <w:r w:rsidRPr="008927F6">
        <w:rPr>
          <w:rFonts w:ascii="Arial" w:hAnsi="Arial" w:cs="Arial"/>
          <w:color w:val="001F00"/>
          <w:spacing w:val="6"/>
          <w:lang w:eastAsia="en-GB"/>
        </w:rPr>
        <w:t>Convene four National Youth Machinery Meetings.</w:t>
      </w:r>
    </w:p>
    <w:p w:rsidR="008927F6" w:rsidRPr="008927F6" w:rsidRDefault="008927F6" w:rsidP="008927F6">
      <w:pPr>
        <w:numPr>
          <w:ilvl w:val="0"/>
          <w:numId w:val="16"/>
        </w:numPr>
        <w:ind w:left="270" w:hanging="270"/>
        <w:contextualSpacing/>
        <w:rPr>
          <w:rFonts w:ascii="Arial" w:hAnsi="Arial" w:cs="Arial"/>
          <w:color w:val="001F00"/>
          <w:spacing w:val="6"/>
          <w:lang w:eastAsia="en-GB"/>
        </w:rPr>
      </w:pPr>
      <w:r w:rsidRPr="008927F6">
        <w:rPr>
          <w:rFonts w:ascii="Arial" w:hAnsi="Arial" w:cs="Arial"/>
          <w:color w:val="001F00"/>
          <w:spacing w:val="6"/>
          <w:lang w:eastAsia="en-GB"/>
        </w:rPr>
        <w:t>Produce two International youth engagement reports.</w:t>
      </w:r>
    </w:p>
    <w:p w:rsidR="008927F6" w:rsidRPr="008927F6" w:rsidRDefault="008927F6" w:rsidP="008927F6">
      <w:pPr>
        <w:rPr>
          <w:rFonts w:ascii="Arial" w:hAnsi="Arial" w:cs="Arial"/>
          <w:color w:val="001F00"/>
          <w:spacing w:val="6"/>
          <w:lang w:val="en-GB" w:eastAsia="en-GB"/>
        </w:rPr>
      </w:pPr>
    </w:p>
    <w:p w:rsidR="008927F6" w:rsidRPr="008927F6" w:rsidRDefault="008927F6" w:rsidP="008927F6">
      <w:pPr>
        <w:rPr>
          <w:rFonts w:ascii="Arial" w:hAnsi="Arial" w:cs="Arial"/>
          <w:i/>
          <w:color w:val="001F00"/>
          <w:spacing w:val="6"/>
          <w:lang w:val="en-GB" w:eastAsia="en-GB"/>
        </w:rPr>
      </w:pPr>
      <w:r w:rsidRPr="008927F6">
        <w:rPr>
          <w:rFonts w:ascii="Arial" w:hAnsi="Arial" w:cs="Arial"/>
          <w:i/>
          <w:color w:val="001F00"/>
          <w:spacing w:val="6"/>
          <w:lang w:val="en-GB" w:eastAsia="en-GB"/>
        </w:rPr>
        <w:t>Sub-programme: Advocacy and Mainstreaming Rights of Persons with Disabilities</w:t>
      </w:r>
    </w:p>
    <w:p w:rsidR="008927F6" w:rsidRPr="008927F6" w:rsidRDefault="008927F6" w:rsidP="008927F6">
      <w:pPr>
        <w:numPr>
          <w:ilvl w:val="0"/>
          <w:numId w:val="10"/>
        </w:numPr>
        <w:ind w:left="360"/>
        <w:contextualSpacing/>
        <w:rPr>
          <w:rFonts w:ascii="Arial" w:hAnsi="Arial" w:cs="Arial"/>
          <w:color w:val="001F00"/>
          <w:spacing w:val="6"/>
          <w:lang w:val="en-GB" w:eastAsia="en-GB"/>
        </w:rPr>
      </w:pPr>
      <w:r w:rsidRPr="008927F6">
        <w:rPr>
          <w:rFonts w:ascii="Arial" w:hAnsi="Arial" w:cs="Arial"/>
          <w:color w:val="001F00"/>
          <w:spacing w:val="6"/>
          <w:lang w:val="en-GB" w:eastAsia="en-GB"/>
        </w:rPr>
        <w:t xml:space="preserve">Develop one report on the Awareness Raising Framework. </w:t>
      </w:r>
    </w:p>
    <w:p w:rsidR="008927F6" w:rsidRPr="008927F6" w:rsidRDefault="008927F6" w:rsidP="008927F6">
      <w:pPr>
        <w:numPr>
          <w:ilvl w:val="0"/>
          <w:numId w:val="10"/>
        </w:numPr>
        <w:ind w:left="360"/>
        <w:contextualSpacing/>
        <w:rPr>
          <w:rFonts w:ascii="Arial" w:hAnsi="Arial" w:cs="Arial"/>
          <w:color w:val="001F00"/>
          <w:spacing w:val="6"/>
          <w:lang w:val="en-GB" w:eastAsia="en-GB"/>
        </w:rPr>
      </w:pPr>
      <w:r w:rsidRPr="008927F6">
        <w:rPr>
          <w:rFonts w:ascii="Arial" w:hAnsi="Arial" w:cs="Arial"/>
          <w:color w:val="001F00"/>
          <w:spacing w:val="6"/>
          <w:lang w:val="en-GB" w:eastAsia="en-GB"/>
        </w:rPr>
        <w:t xml:space="preserve">Develop one report on the Self Representation Framework. </w:t>
      </w:r>
    </w:p>
    <w:p w:rsidR="008927F6" w:rsidRPr="008927F6" w:rsidRDefault="008927F6" w:rsidP="008927F6">
      <w:pPr>
        <w:numPr>
          <w:ilvl w:val="0"/>
          <w:numId w:val="10"/>
        </w:numPr>
        <w:ind w:left="360"/>
        <w:contextualSpacing/>
        <w:rPr>
          <w:rFonts w:ascii="Arial" w:hAnsi="Arial" w:cs="Arial"/>
          <w:color w:val="001F00"/>
          <w:spacing w:val="6"/>
          <w:lang w:val="en-GB" w:eastAsia="en-GB"/>
        </w:rPr>
      </w:pPr>
      <w:r w:rsidRPr="008927F6">
        <w:rPr>
          <w:rFonts w:ascii="Arial" w:hAnsi="Arial" w:cs="Arial"/>
          <w:color w:val="001F00"/>
          <w:spacing w:val="6"/>
          <w:lang w:val="en-GB" w:eastAsia="en-GB"/>
        </w:rPr>
        <w:t xml:space="preserve">Develop one report on the Reasonable Accommodation Framework. </w:t>
      </w:r>
    </w:p>
    <w:p w:rsidR="008927F6" w:rsidRPr="008927F6" w:rsidRDefault="008927F6" w:rsidP="008927F6">
      <w:pPr>
        <w:numPr>
          <w:ilvl w:val="0"/>
          <w:numId w:val="10"/>
        </w:numPr>
        <w:ind w:left="360"/>
        <w:contextualSpacing/>
        <w:rPr>
          <w:rFonts w:ascii="Arial" w:hAnsi="Arial" w:cs="Arial"/>
          <w:color w:val="001F00"/>
          <w:spacing w:val="6"/>
          <w:lang w:val="en-GB" w:eastAsia="en-GB"/>
        </w:rPr>
      </w:pPr>
      <w:r w:rsidRPr="008927F6">
        <w:rPr>
          <w:rFonts w:ascii="Arial" w:hAnsi="Arial" w:cs="Arial"/>
          <w:color w:val="001F00"/>
          <w:spacing w:val="6"/>
          <w:lang w:val="en-GB" w:eastAsia="en-GB"/>
        </w:rPr>
        <w:t xml:space="preserve">Develop one report on awareness raising on the Universal Design and Access Framework. </w:t>
      </w:r>
    </w:p>
    <w:p w:rsidR="008927F6" w:rsidRPr="008927F6" w:rsidRDefault="008927F6" w:rsidP="008927F6">
      <w:pPr>
        <w:numPr>
          <w:ilvl w:val="0"/>
          <w:numId w:val="10"/>
        </w:numPr>
        <w:ind w:left="360"/>
        <w:contextualSpacing/>
        <w:rPr>
          <w:rFonts w:ascii="Arial" w:hAnsi="Arial" w:cs="Arial"/>
          <w:color w:val="001F00"/>
          <w:spacing w:val="6"/>
          <w:lang w:val="en-GB" w:eastAsia="en-GB"/>
        </w:rPr>
      </w:pPr>
      <w:r w:rsidRPr="008927F6">
        <w:rPr>
          <w:rFonts w:ascii="Arial" w:hAnsi="Arial" w:cs="Arial"/>
          <w:color w:val="001F00"/>
          <w:spacing w:val="6"/>
          <w:lang w:val="en-GB" w:eastAsia="en-GB"/>
        </w:rPr>
        <w:t>Produce one status report on national and international obligations on the inclusion of persons with disabilities.</w:t>
      </w:r>
    </w:p>
    <w:p w:rsidR="008927F6" w:rsidRPr="008927F6" w:rsidRDefault="008927F6" w:rsidP="008927F6">
      <w:pPr>
        <w:numPr>
          <w:ilvl w:val="0"/>
          <w:numId w:val="10"/>
        </w:numPr>
        <w:ind w:left="360"/>
        <w:contextualSpacing/>
        <w:rPr>
          <w:rFonts w:ascii="Arial" w:hAnsi="Arial" w:cs="Arial"/>
          <w:color w:val="001F00"/>
          <w:spacing w:val="6"/>
          <w:lang w:val="en-GB" w:eastAsia="en-GB"/>
        </w:rPr>
      </w:pPr>
      <w:r w:rsidRPr="008927F6">
        <w:rPr>
          <w:rFonts w:ascii="Arial" w:hAnsi="Arial" w:cs="Arial"/>
          <w:color w:val="001F00"/>
          <w:spacing w:val="6"/>
          <w:lang w:val="en-GB" w:eastAsia="en-GB"/>
        </w:rPr>
        <w:t>Produce one analysis report on the draft Annual Performance Plans for all national government departments.</w:t>
      </w:r>
    </w:p>
    <w:p w:rsidR="008927F6" w:rsidRPr="008927F6" w:rsidRDefault="008927F6" w:rsidP="008927F6">
      <w:pPr>
        <w:numPr>
          <w:ilvl w:val="0"/>
          <w:numId w:val="10"/>
        </w:numPr>
        <w:ind w:left="360"/>
        <w:contextualSpacing/>
        <w:rPr>
          <w:rFonts w:ascii="Arial" w:hAnsi="Arial" w:cs="Arial"/>
          <w:color w:val="001F00"/>
          <w:spacing w:val="6"/>
          <w:lang w:val="en-GB" w:eastAsia="en-GB"/>
        </w:rPr>
      </w:pPr>
      <w:r w:rsidRPr="008927F6">
        <w:rPr>
          <w:rFonts w:ascii="Arial" w:hAnsi="Arial" w:cs="Arial"/>
          <w:color w:val="001F00"/>
          <w:spacing w:val="6"/>
          <w:lang w:val="en-GB" w:eastAsia="en-GB"/>
        </w:rPr>
        <w:t>Develop one draft evaluation report on the implementation of the White Paper in the Rights of Persons with Disabilities.</w:t>
      </w:r>
    </w:p>
    <w:p w:rsidR="008927F6" w:rsidRPr="008927F6" w:rsidRDefault="008927F6" w:rsidP="008927F6">
      <w:pPr>
        <w:numPr>
          <w:ilvl w:val="0"/>
          <w:numId w:val="10"/>
        </w:numPr>
        <w:ind w:left="360"/>
        <w:contextualSpacing/>
        <w:rPr>
          <w:rFonts w:ascii="Arial" w:hAnsi="Arial" w:cs="Arial"/>
          <w:color w:val="001F00"/>
          <w:spacing w:val="6"/>
          <w:lang w:val="en-GB" w:eastAsia="en-GB"/>
        </w:rPr>
      </w:pPr>
      <w:r w:rsidRPr="008927F6">
        <w:rPr>
          <w:rFonts w:ascii="Arial" w:hAnsi="Arial" w:cs="Arial"/>
          <w:color w:val="001F00"/>
          <w:spacing w:val="6"/>
          <w:lang w:val="en-GB" w:eastAsia="en-GB"/>
        </w:rPr>
        <w:t>Develop one status report on the disability rights monitoring tool.</w:t>
      </w:r>
    </w:p>
    <w:p w:rsidR="008927F6" w:rsidRPr="008927F6" w:rsidRDefault="008927F6" w:rsidP="008927F6">
      <w:pPr>
        <w:rPr>
          <w:rFonts w:ascii="Arial" w:hAnsi="Arial" w:cs="Arial"/>
          <w:color w:val="001F00"/>
          <w:spacing w:val="6"/>
          <w:lang w:val="en-GB" w:eastAsia="en-GB"/>
        </w:rPr>
      </w:pPr>
    </w:p>
    <w:p w:rsidR="008927F6" w:rsidRPr="008927F6" w:rsidRDefault="008927F6" w:rsidP="008927F6">
      <w:pPr>
        <w:keepNext/>
        <w:numPr>
          <w:ilvl w:val="0"/>
          <w:numId w:val="17"/>
        </w:numPr>
        <w:outlineLvl w:val="0"/>
        <w:rPr>
          <w:rFonts w:ascii="Arial" w:hAnsi="Arial" w:cs="Arial"/>
          <w:b/>
          <w:bCs/>
          <w:color w:val="001F00"/>
          <w:spacing w:val="6"/>
          <w:kern w:val="32"/>
          <w:lang w:val="en-GB" w:eastAsia="en-GB"/>
        </w:rPr>
      </w:pPr>
      <w:r w:rsidRPr="008927F6">
        <w:rPr>
          <w:rFonts w:ascii="Arial" w:hAnsi="Arial" w:cs="Arial"/>
          <w:b/>
          <w:bCs/>
          <w:color w:val="001F00"/>
          <w:spacing w:val="6"/>
          <w:kern w:val="32"/>
          <w:lang w:val="en-GB" w:eastAsia="en-GB"/>
        </w:rPr>
        <w:t>COMMITTEE OBSERVATIONS</w:t>
      </w:r>
    </w:p>
    <w:p w:rsidR="008927F6" w:rsidRPr="008927F6" w:rsidRDefault="008927F6" w:rsidP="008927F6">
      <w:pPr>
        <w:rPr>
          <w:rFonts w:ascii="Arial" w:hAnsi="Arial" w:cs="Arial"/>
          <w:color w:val="001F00"/>
          <w:spacing w:val="6"/>
          <w:lang w:val="en-GB" w:eastAsia="en-GB"/>
        </w:rPr>
      </w:pPr>
    </w:p>
    <w:p w:rsidR="008927F6" w:rsidRPr="008927F6" w:rsidRDefault="008927F6" w:rsidP="008927F6">
      <w:pPr>
        <w:rPr>
          <w:rFonts w:ascii="Arial" w:hAnsi="Arial" w:cs="Arial"/>
          <w:i/>
          <w:color w:val="001F00"/>
          <w:spacing w:val="6"/>
          <w:lang w:val="en-GB" w:eastAsia="en-GB"/>
        </w:rPr>
      </w:pPr>
      <w:r w:rsidRPr="008927F6">
        <w:rPr>
          <w:rFonts w:ascii="Arial" w:hAnsi="Arial" w:cs="Arial"/>
          <w:i/>
          <w:color w:val="001F00"/>
          <w:spacing w:val="6"/>
          <w:lang w:val="en-GB" w:eastAsia="en-GB"/>
        </w:rPr>
        <w:t>General matters</w:t>
      </w:r>
    </w:p>
    <w:p w:rsidR="008927F6" w:rsidRPr="008927F6" w:rsidRDefault="008927F6" w:rsidP="008927F6">
      <w:pPr>
        <w:numPr>
          <w:ilvl w:val="0"/>
          <w:numId w:val="11"/>
        </w:numPr>
        <w:suppressAutoHyphens/>
        <w:autoSpaceDN w:val="0"/>
        <w:ind w:left="270" w:hanging="270"/>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 xml:space="preserve">The Committee questioned how the Department holds other government departments to account for slow or non-delivery in the absence of finalised frameworks and an updated policy. </w:t>
      </w:r>
    </w:p>
    <w:p w:rsidR="008927F6" w:rsidRPr="008927F6" w:rsidRDefault="008927F6" w:rsidP="008927F6">
      <w:pPr>
        <w:numPr>
          <w:ilvl w:val="0"/>
          <w:numId w:val="11"/>
        </w:numPr>
        <w:suppressAutoHyphens/>
        <w:autoSpaceDN w:val="0"/>
        <w:ind w:left="270" w:hanging="270"/>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 xml:space="preserve">The Committee queried what directives and regulations have been prioritised for 2022/23 in relation to women, youth and persons with disabilities. </w:t>
      </w:r>
    </w:p>
    <w:p w:rsidR="008927F6" w:rsidRPr="008927F6" w:rsidRDefault="008927F6" w:rsidP="008927F6">
      <w:pPr>
        <w:numPr>
          <w:ilvl w:val="0"/>
          <w:numId w:val="11"/>
        </w:numPr>
        <w:suppressAutoHyphens/>
        <w:autoSpaceDN w:val="0"/>
        <w:ind w:left="270" w:hanging="270"/>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The Committee wanted to know the Department’s monitoring and evaluation strategy.</w:t>
      </w:r>
    </w:p>
    <w:p w:rsidR="008927F6" w:rsidRPr="008927F6" w:rsidRDefault="008927F6" w:rsidP="008927F6">
      <w:pPr>
        <w:numPr>
          <w:ilvl w:val="0"/>
          <w:numId w:val="11"/>
        </w:numPr>
        <w:suppressAutoHyphens/>
        <w:autoSpaceDN w:val="0"/>
        <w:ind w:left="270" w:hanging="270"/>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 xml:space="preserve">The Committee queried what the Department’s monitoring, evaluation, research and coordination unit was doing. </w:t>
      </w:r>
    </w:p>
    <w:p w:rsidR="008927F6" w:rsidRPr="008927F6" w:rsidRDefault="008927F6" w:rsidP="008927F6">
      <w:pPr>
        <w:numPr>
          <w:ilvl w:val="0"/>
          <w:numId w:val="11"/>
        </w:numPr>
        <w:suppressAutoHyphens/>
        <w:autoSpaceDN w:val="0"/>
        <w:ind w:left="270" w:hanging="270"/>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The Committee questioned whether the Department has the capacity to undertake planning, monitoring and evaluation; and if not, what are the contingency measures.</w:t>
      </w:r>
    </w:p>
    <w:p w:rsidR="008927F6" w:rsidRPr="008927F6" w:rsidRDefault="008927F6" w:rsidP="008927F6">
      <w:pPr>
        <w:numPr>
          <w:ilvl w:val="0"/>
          <w:numId w:val="11"/>
        </w:numPr>
        <w:suppressAutoHyphens/>
        <w:autoSpaceDN w:val="0"/>
        <w:ind w:left="270" w:hanging="270"/>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 xml:space="preserve">The Committee wanted to know how the Department plans to better support the NYDA and CGE to fulfil the respective mandates. </w:t>
      </w:r>
    </w:p>
    <w:p w:rsidR="008927F6" w:rsidRPr="008927F6" w:rsidRDefault="008927F6" w:rsidP="008927F6">
      <w:pPr>
        <w:rPr>
          <w:rFonts w:ascii="Arial" w:hAnsi="Arial" w:cs="Arial"/>
          <w:color w:val="001F00"/>
          <w:spacing w:val="6"/>
          <w:lang w:val="en-GB" w:eastAsia="en-GB"/>
        </w:rPr>
      </w:pPr>
    </w:p>
    <w:p w:rsidR="008927F6" w:rsidRPr="008927F6" w:rsidRDefault="008927F6" w:rsidP="008927F6">
      <w:pPr>
        <w:rPr>
          <w:rFonts w:ascii="Arial" w:hAnsi="Arial" w:cs="Arial"/>
          <w:i/>
          <w:color w:val="001F00"/>
          <w:spacing w:val="6"/>
          <w:lang w:val="en-ZA" w:eastAsia="en-GB"/>
        </w:rPr>
      </w:pPr>
      <w:r w:rsidRPr="008927F6">
        <w:rPr>
          <w:rFonts w:ascii="Arial" w:hAnsi="Arial" w:cs="Arial"/>
          <w:i/>
          <w:color w:val="001F00"/>
          <w:spacing w:val="6"/>
          <w:lang w:val="en-ZA" w:eastAsia="en-GB"/>
        </w:rPr>
        <w:t>Organisational redesign, structural changes and merger implications</w:t>
      </w:r>
    </w:p>
    <w:p w:rsidR="008927F6" w:rsidRPr="008927F6" w:rsidRDefault="008927F6" w:rsidP="008927F6">
      <w:pPr>
        <w:numPr>
          <w:ilvl w:val="0"/>
          <w:numId w:val="11"/>
        </w:numPr>
        <w:ind w:left="360"/>
        <w:rPr>
          <w:rFonts w:ascii="Arial" w:hAnsi="Arial" w:cs="Arial"/>
          <w:color w:val="001F00"/>
          <w:spacing w:val="6"/>
          <w:lang w:val="en-ZA" w:eastAsia="en-GB"/>
        </w:rPr>
      </w:pPr>
      <w:r w:rsidRPr="008927F6">
        <w:rPr>
          <w:rFonts w:ascii="Arial" w:hAnsi="Arial" w:cs="Arial"/>
          <w:color w:val="001F00"/>
          <w:spacing w:val="6"/>
          <w:lang w:val="en-ZA" w:eastAsia="en-GB"/>
        </w:rPr>
        <w:lastRenderedPageBreak/>
        <w:t>The Committee noted with concern the merger of the programmes focusing on the rights of persons with disabilities and youth development with no justification provided.</w:t>
      </w:r>
    </w:p>
    <w:p w:rsidR="008927F6" w:rsidRPr="008927F6" w:rsidRDefault="008927F6" w:rsidP="008927F6">
      <w:pPr>
        <w:numPr>
          <w:ilvl w:val="0"/>
          <w:numId w:val="11"/>
        </w:numPr>
        <w:suppressAutoHyphens/>
        <w:autoSpaceDN w:val="0"/>
        <w:ind w:left="360"/>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 xml:space="preserve">The Committee was concerned about the changes in the organisational structure and enquired whether the Department received approval from the National Treasury to merge Programmes 4 and 5. </w:t>
      </w:r>
      <w:r w:rsidRPr="008927F6">
        <w:rPr>
          <w:rFonts w:ascii="Arial" w:hAnsi="Arial" w:cs="Arial"/>
          <w:color w:val="001F00"/>
          <w:spacing w:val="6"/>
          <w:lang w:val="en-ZA" w:eastAsia="en-GB"/>
        </w:rPr>
        <w:t>The Committee wanted to know the rationale for this and the implications thereof.</w:t>
      </w:r>
    </w:p>
    <w:p w:rsidR="008927F6" w:rsidRPr="008927F6" w:rsidRDefault="008927F6" w:rsidP="008927F6">
      <w:pPr>
        <w:numPr>
          <w:ilvl w:val="0"/>
          <w:numId w:val="11"/>
        </w:numPr>
        <w:suppressAutoHyphens/>
        <w:autoSpaceDN w:val="0"/>
        <w:ind w:left="360"/>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 xml:space="preserve">The Committee asked if the Department is able to focus on the implementation of its mandate given recurring changes in organisational design. </w:t>
      </w:r>
    </w:p>
    <w:p w:rsidR="008927F6" w:rsidRPr="008927F6" w:rsidRDefault="008927F6" w:rsidP="008927F6">
      <w:pPr>
        <w:rPr>
          <w:rFonts w:ascii="Arial" w:hAnsi="Arial" w:cs="Arial"/>
          <w:color w:val="001F00"/>
          <w:spacing w:val="6"/>
          <w:lang w:val="en-GB" w:eastAsia="en-GB"/>
        </w:rPr>
      </w:pPr>
    </w:p>
    <w:p w:rsidR="008927F6" w:rsidRPr="008927F6" w:rsidRDefault="008927F6" w:rsidP="008927F6">
      <w:pPr>
        <w:rPr>
          <w:rFonts w:ascii="Arial" w:hAnsi="Arial" w:cs="Arial"/>
          <w:i/>
          <w:color w:val="001F00"/>
          <w:spacing w:val="6"/>
          <w:lang w:val="en-GB" w:eastAsia="en-GB"/>
        </w:rPr>
      </w:pPr>
      <w:r w:rsidRPr="008927F6">
        <w:rPr>
          <w:rFonts w:ascii="Arial" w:hAnsi="Arial" w:cs="Arial"/>
          <w:i/>
          <w:color w:val="001F00"/>
          <w:spacing w:val="6"/>
          <w:lang w:val="en-GB" w:eastAsia="en-GB"/>
        </w:rPr>
        <w:t>Role of the Department</w:t>
      </w:r>
    </w:p>
    <w:p w:rsidR="008927F6" w:rsidRPr="008927F6" w:rsidRDefault="008927F6" w:rsidP="008927F6">
      <w:pPr>
        <w:numPr>
          <w:ilvl w:val="0"/>
          <w:numId w:val="12"/>
        </w:numPr>
        <w:ind w:left="360"/>
        <w:rPr>
          <w:rFonts w:ascii="Arial" w:hAnsi="Arial" w:cs="Arial"/>
          <w:color w:val="001F00"/>
          <w:spacing w:val="6"/>
          <w:lang w:val="en-GB" w:eastAsia="en-GB"/>
        </w:rPr>
      </w:pPr>
      <w:r w:rsidRPr="008927F6">
        <w:rPr>
          <w:rFonts w:ascii="Arial" w:hAnsi="Arial" w:cs="Arial"/>
          <w:color w:val="001F00"/>
          <w:spacing w:val="6"/>
          <w:lang w:val="en-ZA" w:eastAsia="en-GB"/>
        </w:rPr>
        <w:t>The Committee raised a concern that the Department’s mandate may not be well understood in government and across society.</w:t>
      </w:r>
    </w:p>
    <w:p w:rsidR="008927F6" w:rsidRPr="008927F6" w:rsidRDefault="008927F6" w:rsidP="008927F6">
      <w:pPr>
        <w:numPr>
          <w:ilvl w:val="0"/>
          <w:numId w:val="12"/>
        </w:numPr>
        <w:ind w:left="360"/>
        <w:rPr>
          <w:rFonts w:ascii="Arial" w:hAnsi="Arial" w:cs="Arial"/>
          <w:color w:val="001F00"/>
          <w:spacing w:val="6"/>
          <w:lang w:val="en-GB" w:eastAsia="en-GB"/>
        </w:rPr>
      </w:pPr>
      <w:r w:rsidRPr="008927F6">
        <w:rPr>
          <w:rFonts w:ascii="Arial" w:hAnsi="Arial" w:cs="Arial"/>
          <w:color w:val="001F00"/>
          <w:spacing w:val="6"/>
          <w:lang w:val="en-ZA" w:eastAsia="en-GB"/>
        </w:rPr>
        <w:t>The Committee raised concern about the increasing youth unemployment and substance abuse rates. The Committee wanted to know what interventions the Department is involved in, in tis regard.</w:t>
      </w:r>
    </w:p>
    <w:p w:rsidR="008927F6" w:rsidRPr="008927F6" w:rsidRDefault="008927F6" w:rsidP="008927F6">
      <w:pPr>
        <w:rPr>
          <w:rFonts w:ascii="Arial" w:hAnsi="Arial" w:cs="Arial"/>
          <w:color w:val="001F00"/>
          <w:spacing w:val="6"/>
          <w:lang w:val="en-GB" w:eastAsia="en-GB"/>
        </w:rPr>
      </w:pPr>
    </w:p>
    <w:p w:rsidR="008927F6" w:rsidRPr="008927F6" w:rsidRDefault="008927F6" w:rsidP="008927F6">
      <w:pPr>
        <w:rPr>
          <w:rFonts w:ascii="Arial" w:hAnsi="Arial" w:cs="Arial"/>
          <w:i/>
          <w:color w:val="001F00"/>
          <w:spacing w:val="6"/>
          <w:lang w:val="en-ZA" w:eastAsia="en-GB"/>
        </w:rPr>
      </w:pPr>
      <w:r w:rsidRPr="008927F6">
        <w:rPr>
          <w:rFonts w:ascii="Arial" w:hAnsi="Arial" w:cs="Arial"/>
          <w:i/>
          <w:color w:val="001F00"/>
          <w:spacing w:val="6"/>
          <w:lang w:val="en-ZA" w:eastAsia="en-GB"/>
        </w:rPr>
        <w:t>Human Resources</w:t>
      </w:r>
    </w:p>
    <w:p w:rsidR="008927F6" w:rsidRPr="008927F6" w:rsidRDefault="008927F6" w:rsidP="008927F6">
      <w:pPr>
        <w:numPr>
          <w:ilvl w:val="0"/>
          <w:numId w:val="11"/>
        </w:numPr>
        <w:ind w:left="360"/>
        <w:rPr>
          <w:rFonts w:ascii="Arial" w:hAnsi="Arial" w:cs="Arial"/>
          <w:color w:val="001F00"/>
          <w:spacing w:val="6"/>
          <w:lang w:val="en-ZA" w:eastAsia="en-GB"/>
        </w:rPr>
      </w:pPr>
      <w:r w:rsidRPr="008927F6">
        <w:rPr>
          <w:rFonts w:ascii="Arial" w:hAnsi="Arial" w:cs="Arial"/>
          <w:color w:val="001F00"/>
          <w:spacing w:val="6"/>
          <w:lang w:val="en-ZA" w:eastAsia="en-GB"/>
        </w:rPr>
        <w:t>The Committee noted with concern that the majority of staff were em</w:t>
      </w:r>
      <w:bookmarkStart w:id="0" w:name="_GoBack"/>
      <w:bookmarkEnd w:id="0"/>
      <w:r w:rsidRPr="008927F6">
        <w:rPr>
          <w:rFonts w:ascii="Arial" w:hAnsi="Arial" w:cs="Arial"/>
          <w:color w:val="001F00"/>
          <w:spacing w:val="6"/>
          <w:lang w:val="en-ZA" w:eastAsia="en-GB"/>
        </w:rPr>
        <w:t>ployed within the Administration programme as opposed to the core programmes and despite this, there were still key critical vacancies in Programme 1.</w:t>
      </w:r>
    </w:p>
    <w:p w:rsidR="008927F6" w:rsidRPr="008927F6" w:rsidRDefault="008927F6" w:rsidP="008927F6">
      <w:pPr>
        <w:numPr>
          <w:ilvl w:val="0"/>
          <w:numId w:val="11"/>
        </w:numPr>
        <w:ind w:left="360"/>
        <w:rPr>
          <w:rFonts w:ascii="Arial" w:hAnsi="Arial" w:cs="Arial"/>
          <w:color w:val="001F00"/>
          <w:spacing w:val="6"/>
          <w:lang w:val="en-ZA" w:eastAsia="en-GB"/>
        </w:rPr>
      </w:pPr>
      <w:r w:rsidRPr="008927F6">
        <w:rPr>
          <w:rFonts w:ascii="Arial" w:hAnsi="Arial" w:cs="Arial"/>
          <w:color w:val="001F00"/>
          <w:spacing w:val="6"/>
          <w:lang w:val="en-ZA" w:eastAsia="en-GB"/>
        </w:rPr>
        <w:t xml:space="preserve">The Committee indicated that Programme 3 seems poorly resourced. </w:t>
      </w:r>
    </w:p>
    <w:p w:rsidR="008927F6" w:rsidRPr="008927F6" w:rsidRDefault="008927F6" w:rsidP="008927F6">
      <w:pPr>
        <w:rPr>
          <w:rFonts w:ascii="Arial" w:hAnsi="Arial" w:cs="Arial"/>
          <w:color w:val="001F00"/>
          <w:spacing w:val="6"/>
          <w:lang w:val="en-GB" w:eastAsia="en-GB"/>
        </w:rPr>
      </w:pPr>
    </w:p>
    <w:p w:rsidR="008927F6" w:rsidRPr="008927F6" w:rsidRDefault="008927F6" w:rsidP="008927F6">
      <w:pPr>
        <w:rPr>
          <w:rFonts w:ascii="Arial" w:hAnsi="Arial" w:cs="Arial"/>
          <w:i/>
          <w:color w:val="001F00"/>
          <w:spacing w:val="6"/>
          <w:lang w:val="en-GB" w:eastAsia="en-GB"/>
        </w:rPr>
      </w:pPr>
      <w:r w:rsidRPr="008927F6">
        <w:rPr>
          <w:rFonts w:ascii="Arial" w:hAnsi="Arial" w:cs="Arial"/>
          <w:i/>
          <w:color w:val="001F00"/>
          <w:spacing w:val="6"/>
          <w:lang w:val="en-GB" w:eastAsia="en-GB"/>
        </w:rPr>
        <w:t>Use of consultants</w:t>
      </w:r>
    </w:p>
    <w:p w:rsidR="008927F6" w:rsidRPr="008927F6" w:rsidRDefault="008927F6" w:rsidP="008927F6">
      <w:pPr>
        <w:numPr>
          <w:ilvl w:val="0"/>
          <w:numId w:val="11"/>
        </w:numPr>
        <w:suppressAutoHyphens/>
        <w:autoSpaceDN w:val="0"/>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 xml:space="preserve">The Committee was concerned about the use of consultants to do work on behalf of the Department and wanted the rationale for this. </w:t>
      </w:r>
    </w:p>
    <w:p w:rsidR="008927F6" w:rsidRPr="008927F6" w:rsidRDefault="008927F6" w:rsidP="008927F6">
      <w:pPr>
        <w:rPr>
          <w:rFonts w:ascii="Arial" w:hAnsi="Arial" w:cs="Arial"/>
          <w:i/>
          <w:color w:val="001F00"/>
          <w:spacing w:val="6"/>
          <w:lang w:val="en-GB" w:eastAsia="en-GB"/>
        </w:rPr>
      </w:pPr>
    </w:p>
    <w:p w:rsidR="008927F6" w:rsidRPr="008927F6" w:rsidRDefault="008927F6" w:rsidP="008927F6">
      <w:pPr>
        <w:rPr>
          <w:rFonts w:ascii="Arial" w:hAnsi="Arial" w:cs="Arial"/>
          <w:i/>
          <w:color w:val="001F00"/>
          <w:spacing w:val="6"/>
          <w:lang w:val="en-ZA" w:eastAsia="en-GB"/>
        </w:rPr>
      </w:pPr>
      <w:r w:rsidRPr="008927F6">
        <w:rPr>
          <w:rFonts w:ascii="Arial" w:hAnsi="Arial" w:cs="Arial"/>
          <w:i/>
          <w:color w:val="001F00"/>
          <w:spacing w:val="6"/>
          <w:lang w:val="en-ZA" w:eastAsia="en-GB"/>
        </w:rPr>
        <w:t>Sanitary Dignity</w:t>
      </w:r>
    </w:p>
    <w:p w:rsidR="008927F6" w:rsidRPr="008927F6" w:rsidRDefault="008927F6" w:rsidP="008927F6">
      <w:pPr>
        <w:numPr>
          <w:ilvl w:val="0"/>
          <w:numId w:val="11"/>
        </w:numPr>
        <w:ind w:left="360"/>
        <w:rPr>
          <w:rFonts w:ascii="Arial" w:hAnsi="Arial" w:cs="Arial"/>
          <w:color w:val="001F00"/>
          <w:spacing w:val="6"/>
          <w:lang w:val="en-ZA" w:eastAsia="en-GB"/>
        </w:rPr>
      </w:pPr>
      <w:r w:rsidRPr="008927F6">
        <w:rPr>
          <w:rFonts w:ascii="Arial" w:hAnsi="Arial" w:cs="Arial"/>
          <w:color w:val="001F00"/>
          <w:spacing w:val="6"/>
          <w:lang w:val="en-ZA" w:eastAsia="en-GB"/>
        </w:rPr>
        <w:t xml:space="preserve">The Committee requested a detailed report on the implementation of Sanitary Dignity Implementation Framework by provinces. Further, the Department was asked to provide a detailed distribution plan. </w:t>
      </w:r>
    </w:p>
    <w:p w:rsidR="008927F6" w:rsidRPr="008927F6" w:rsidRDefault="008927F6" w:rsidP="008927F6">
      <w:pPr>
        <w:ind w:left="720"/>
        <w:rPr>
          <w:rFonts w:ascii="Arial" w:hAnsi="Arial" w:cs="Arial"/>
          <w:color w:val="001F00"/>
          <w:spacing w:val="6"/>
          <w:lang w:val="en-ZA" w:eastAsia="en-GB"/>
        </w:rPr>
      </w:pPr>
    </w:p>
    <w:p w:rsidR="008927F6" w:rsidRPr="008927F6" w:rsidRDefault="008927F6" w:rsidP="008927F6">
      <w:pPr>
        <w:rPr>
          <w:rFonts w:ascii="Arial" w:hAnsi="Arial" w:cs="Arial"/>
          <w:i/>
          <w:color w:val="001F00"/>
          <w:spacing w:val="6"/>
          <w:lang w:val="en-ZA" w:eastAsia="en-GB"/>
        </w:rPr>
      </w:pPr>
      <w:r w:rsidRPr="008927F6">
        <w:rPr>
          <w:rFonts w:ascii="Arial" w:hAnsi="Arial" w:cs="Arial"/>
          <w:i/>
          <w:color w:val="001F00"/>
          <w:spacing w:val="6"/>
          <w:lang w:val="en-ZA" w:eastAsia="en-GB"/>
        </w:rPr>
        <w:t>Gender-Based Violence and Femicide (GBVF)</w:t>
      </w:r>
    </w:p>
    <w:p w:rsidR="008927F6" w:rsidRPr="008927F6" w:rsidRDefault="008927F6" w:rsidP="008927F6">
      <w:pPr>
        <w:numPr>
          <w:ilvl w:val="0"/>
          <w:numId w:val="11"/>
        </w:numPr>
        <w:suppressAutoHyphens/>
        <w:autoSpaceDN w:val="0"/>
        <w:ind w:left="360"/>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The Committee asked what the status of National Council GBV is.</w:t>
      </w:r>
    </w:p>
    <w:p w:rsidR="008927F6" w:rsidRPr="008927F6" w:rsidRDefault="008927F6" w:rsidP="008927F6">
      <w:pPr>
        <w:numPr>
          <w:ilvl w:val="0"/>
          <w:numId w:val="11"/>
        </w:numPr>
        <w:suppressAutoHyphens/>
        <w:autoSpaceDN w:val="0"/>
        <w:ind w:left="360"/>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The Committee con raised a concern regarding the scourge of GBVF and wanted to know what strategies will be put in place to address this.</w:t>
      </w:r>
    </w:p>
    <w:p w:rsidR="008927F6" w:rsidRPr="008927F6" w:rsidRDefault="008927F6" w:rsidP="008927F6">
      <w:pPr>
        <w:rPr>
          <w:rFonts w:ascii="Arial" w:hAnsi="Arial" w:cs="Arial"/>
          <w:color w:val="001F00"/>
          <w:spacing w:val="6"/>
          <w:lang w:val="en-ZA" w:eastAsia="en-GB"/>
        </w:rPr>
      </w:pPr>
    </w:p>
    <w:p w:rsidR="008927F6" w:rsidRPr="008927F6" w:rsidRDefault="008927F6" w:rsidP="008927F6">
      <w:pPr>
        <w:rPr>
          <w:rFonts w:ascii="Arial" w:hAnsi="Arial" w:cs="Arial"/>
          <w:i/>
          <w:color w:val="001F00"/>
          <w:spacing w:val="6"/>
          <w:lang w:val="en-ZA" w:eastAsia="en-GB"/>
        </w:rPr>
      </w:pPr>
      <w:r w:rsidRPr="008927F6">
        <w:rPr>
          <w:rFonts w:ascii="Arial" w:hAnsi="Arial" w:cs="Arial"/>
          <w:i/>
          <w:color w:val="001F00"/>
          <w:spacing w:val="6"/>
          <w:lang w:val="en-ZA" w:eastAsia="en-GB"/>
        </w:rPr>
        <w:t>Economic Empowerment</w:t>
      </w:r>
    </w:p>
    <w:p w:rsidR="008927F6" w:rsidRPr="008927F6" w:rsidRDefault="008927F6" w:rsidP="008927F6">
      <w:pPr>
        <w:numPr>
          <w:ilvl w:val="0"/>
          <w:numId w:val="12"/>
        </w:numPr>
        <w:ind w:left="360"/>
        <w:contextualSpacing/>
        <w:rPr>
          <w:rFonts w:ascii="Arial" w:hAnsi="Arial" w:cs="Arial"/>
          <w:color w:val="001F00"/>
          <w:spacing w:val="6"/>
          <w:lang w:val="en-ZA" w:eastAsia="en-GB"/>
        </w:rPr>
      </w:pPr>
      <w:r w:rsidRPr="008927F6">
        <w:rPr>
          <w:rFonts w:ascii="Arial" w:hAnsi="Arial" w:cs="Arial"/>
          <w:color w:val="001F00"/>
          <w:spacing w:val="6"/>
          <w:lang w:val="en-ZA" w:eastAsia="en-GB"/>
        </w:rPr>
        <w:t>The Committee wanted to know how the Department is supporting economic empowerment of women, youth and persons with disabilities. The Department was asked to clearly stipulate its current and planned strategies.</w:t>
      </w:r>
    </w:p>
    <w:p w:rsidR="008927F6" w:rsidRPr="008927F6" w:rsidRDefault="008927F6" w:rsidP="008927F6">
      <w:pPr>
        <w:rPr>
          <w:rFonts w:ascii="Arial" w:hAnsi="Arial" w:cs="Arial"/>
          <w:b/>
          <w:color w:val="001F00"/>
          <w:spacing w:val="6"/>
          <w:lang w:val="en-ZA" w:eastAsia="en-GB"/>
        </w:rPr>
      </w:pPr>
    </w:p>
    <w:p w:rsidR="008927F6" w:rsidRPr="008927F6" w:rsidRDefault="008927F6" w:rsidP="008927F6">
      <w:pPr>
        <w:rPr>
          <w:rFonts w:ascii="Arial" w:hAnsi="Arial" w:cs="Arial"/>
          <w:color w:val="001F00"/>
          <w:spacing w:val="6"/>
          <w:lang w:val="en-ZA" w:eastAsia="en-GB"/>
        </w:rPr>
      </w:pPr>
      <w:r w:rsidRPr="008927F6">
        <w:rPr>
          <w:rFonts w:ascii="Arial" w:hAnsi="Arial" w:cs="Arial"/>
          <w:i/>
          <w:color w:val="001F00"/>
          <w:spacing w:val="6"/>
          <w:lang w:val="en-ZA" w:eastAsia="en-GB"/>
        </w:rPr>
        <w:t>Disability Rights Bill</w:t>
      </w:r>
    </w:p>
    <w:p w:rsidR="008927F6" w:rsidRPr="008927F6" w:rsidRDefault="008927F6" w:rsidP="008927F6">
      <w:pPr>
        <w:numPr>
          <w:ilvl w:val="0"/>
          <w:numId w:val="22"/>
        </w:numPr>
        <w:ind w:left="360"/>
        <w:contextualSpacing/>
        <w:rPr>
          <w:rFonts w:ascii="Arial" w:hAnsi="Arial" w:cs="Arial"/>
          <w:color w:val="001F00"/>
          <w:spacing w:val="6"/>
          <w:lang w:val="en-GB" w:eastAsia="en-GB"/>
        </w:rPr>
      </w:pPr>
      <w:r w:rsidRPr="008927F6">
        <w:rPr>
          <w:rFonts w:ascii="Arial" w:hAnsi="Arial" w:cs="Arial"/>
          <w:color w:val="001F00"/>
          <w:spacing w:val="6"/>
          <w:lang w:val="en-GB" w:eastAsia="en-GB"/>
        </w:rPr>
        <w:t xml:space="preserve">The Committee noted that there was no mention of the Disability Rights Bill in the APP 2022/23 as a separate target and questioned how the Department would then ensure the development of the Bill. </w:t>
      </w:r>
    </w:p>
    <w:p w:rsidR="008927F6" w:rsidRPr="008927F6" w:rsidRDefault="008927F6" w:rsidP="008927F6">
      <w:pPr>
        <w:rPr>
          <w:rFonts w:ascii="Arial" w:hAnsi="Arial" w:cs="Arial"/>
          <w:color w:val="001F00"/>
          <w:spacing w:val="6"/>
          <w:lang w:val="en-ZA" w:eastAsia="en-GB"/>
        </w:rPr>
      </w:pPr>
    </w:p>
    <w:p w:rsidR="008927F6" w:rsidRPr="008927F6" w:rsidRDefault="008927F6" w:rsidP="008927F6">
      <w:pPr>
        <w:rPr>
          <w:rFonts w:ascii="Arial" w:hAnsi="Arial" w:cs="Arial"/>
          <w:i/>
          <w:color w:val="001F00"/>
          <w:spacing w:val="6"/>
          <w:lang w:val="en-ZA" w:eastAsia="en-GB"/>
        </w:rPr>
      </w:pPr>
      <w:r w:rsidRPr="008927F6">
        <w:rPr>
          <w:rFonts w:ascii="Arial" w:hAnsi="Arial" w:cs="Arial"/>
          <w:i/>
          <w:color w:val="001F00"/>
          <w:spacing w:val="6"/>
          <w:lang w:val="en-ZA" w:eastAsia="en-GB"/>
        </w:rPr>
        <w:t>Knowledge Hub</w:t>
      </w:r>
    </w:p>
    <w:p w:rsidR="008927F6" w:rsidRPr="008927F6" w:rsidRDefault="008927F6" w:rsidP="008927F6">
      <w:pPr>
        <w:numPr>
          <w:ilvl w:val="0"/>
          <w:numId w:val="22"/>
        </w:numPr>
        <w:ind w:left="360"/>
        <w:contextualSpacing/>
        <w:rPr>
          <w:rFonts w:ascii="Arial" w:hAnsi="Arial" w:cs="Arial"/>
          <w:color w:val="001F00"/>
          <w:spacing w:val="6"/>
          <w:lang w:val="en-ZA" w:eastAsia="en-GB"/>
        </w:rPr>
      </w:pPr>
      <w:r w:rsidRPr="008927F6">
        <w:rPr>
          <w:rFonts w:ascii="Arial" w:hAnsi="Arial" w:cs="Arial"/>
          <w:color w:val="001F00"/>
          <w:spacing w:val="6"/>
          <w:lang w:val="en-ZA" w:eastAsia="en-GB"/>
        </w:rPr>
        <w:t>The Committee wanted a progress update on the work related to the Knowledge Hub and the planned pilot.</w:t>
      </w:r>
    </w:p>
    <w:p w:rsidR="008927F6" w:rsidRPr="008927F6" w:rsidRDefault="008927F6" w:rsidP="008927F6">
      <w:pPr>
        <w:rPr>
          <w:rFonts w:ascii="Arial" w:hAnsi="Arial" w:cs="Arial"/>
          <w:color w:val="001F00"/>
          <w:spacing w:val="6"/>
          <w:lang w:val="en-ZA" w:eastAsia="en-GB"/>
        </w:rPr>
      </w:pPr>
    </w:p>
    <w:p w:rsidR="008927F6" w:rsidRPr="008927F6" w:rsidRDefault="008927F6" w:rsidP="008927F6">
      <w:pPr>
        <w:keepNext/>
        <w:numPr>
          <w:ilvl w:val="0"/>
          <w:numId w:val="17"/>
        </w:numPr>
        <w:outlineLvl w:val="0"/>
        <w:rPr>
          <w:rFonts w:ascii="Arial" w:hAnsi="Arial" w:cs="Arial"/>
          <w:b/>
          <w:bCs/>
          <w:color w:val="001F00"/>
          <w:spacing w:val="6"/>
          <w:kern w:val="32"/>
          <w:lang w:val="en-GB" w:eastAsia="en-GB"/>
        </w:rPr>
      </w:pPr>
      <w:r w:rsidRPr="008927F6">
        <w:rPr>
          <w:rFonts w:ascii="Arial" w:hAnsi="Arial" w:cs="Arial"/>
          <w:b/>
          <w:bCs/>
          <w:color w:val="001F00"/>
          <w:spacing w:val="6"/>
          <w:kern w:val="32"/>
          <w:lang w:val="en-GB" w:eastAsia="en-GB"/>
        </w:rPr>
        <w:t>RECOMMENDATIONS</w:t>
      </w:r>
    </w:p>
    <w:p w:rsidR="008927F6" w:rsidRPr="008927F6" w:rsidRDefault="008927F6" w:rsidP="008927F6">
      <w:pPr>
        <w:rPr>
          <w:rFonts w:ascii="Arial" w:hAnsi="Arial" w:cs="Arial"/>
          <w:b/>
          <w:color w:val="001F00"/>
          <w:spacing w:val="6"/>
          <w:lang w:val="en-GB" w:eastAsia="en-GB"/>
        </w:rPr>
      </w:pPr>
    </w:p>
    <w:p w:rsidR="008927F6" w:rsidRPr="008927F6" w:rsidRDefault="008927F6" w:rsidP="008927F6">
      <w:pPr>
        <w:contextualSpacing/>
        <w:rPr>
          <w:rFonts w:ascii="Arial" w:hAnsi="Arial" w:cs="Arial"/>
          <w:spacing w:val="6"/>
          <w:lang w:val="en-GB" w:eastAsia="en-GB"/>
        </w:rPr>
      </w:pPr>
      <w:r w:rsidRPr="008927F6">
        <w:rPr>
          <w:rFonts w:ascii="Arial" w:hAnsi="Arial" w:cs="Arial"/>
          <w:spacing w:val="6"/>
          <w:lang w:val="en-GB" w:eastAsia="en-GB"/>
        </w:rPr>
        <w:t xml:space="preserve">The Committee recommends that the Minister of Women, Youth and Persons with Disabilities should consider the following: </w:t>
      </w:r>
    </w:p>
    <w:p w:rsidR="008927F6" w:rsidRPr="008927F6" w:rsidRDefault="008927F6" w:rsidP="008927F6">
      <w:pPr>
        <w:rPr>
          <w:rFonts w:ascii="Arial" w:hAnsi="Arial" w:cs="Arial"/>
          <w:i/>
          <w:color w:val="001F00"/>
          <w:spacing w:val="6"/>
          <w:lang w:val="en-ZA" w:eastAsia="en-GB"/>
        </w:rPr>
      </w:pPr>
    </w:p>
    <w:p w:rsidR="008927F6" w:rsidRPr="008927F6" w:rsidRDefault="008927F6" w:rsidP="008927F6">
      <w:pPr>
        <w:rPr>
          <w:rFonts w:ascii="Arial" w:hAnsi="Arial" w:cs="Arial"/>
          <w:i/>
          <w:color w:val="001F00"/>
          <w:spacing w:val="6"/>
          <w:lang w:val="en-ZA" w:eastAsia="en-GB"/>
        </w:rPr>
      </w:pPr>
      <w:r w:rsidRPr="008927F6">
        <w:rPr>
          <w:rFonts w:ascii="Arial" w:hAnsi="Arial" w:cs="Arial"/>
          <w:i/>
          <w:color w:val="001F00"/>
          <w:spacing w:val="6"/>
          <w:lang w:val="en-ZA" w:eastAsia="en-GB"/>
        </w:rPr>
        <w:t>Organisational redesign, structural changes and merger implications</w:t>
      </w:r>
    </w:p>
    <w:p w:rsidR="008927F6" w:rsidRPr="008927F6" w:rsidRDefault="008927F6" w:rsidP="008927F6">
      <w:pPr>
        <w:numPr>
          <w:ilvl w:val="0"/>
          <w:numId w:val="19"/>
        </w:numPr>
        <w:suppressAutoHyphens/>
        <w:autoSpaceDN w:val="0"/>
        <w:ind w:left="360"/>
        <w:contextualSpacing/>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lastRenderedPageBreak/>
        <w:t>The Department should submit the documents received from National Treasury regarding the approval of the organisational structure.</w:t>
      </w:r>
    </w:p>
    <w:p w:rsidR="008927F6" w:rsidRPr="008927F6" w:rsidRDefault="008927F6" w:rsidP="008927F6">
      <w:pPr>
        <w:numPr>
          <w:ilvl w:val="0"/>
          <w:numId w:val="19"/>
        </w:numPr>
        <w:suppressAutoHyphens/>
        <w:autoSpaceDN w:val="0"/>
        <w:ind w:left="360"/>
        <w:contextualSpacing/>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 xml:space="preserve">The Department should report to the Committee after engaging with National Treasury on the merger of the (former) Programme 4 and Programme 5. The rationale and implications of allowing the Department to only have four Programmes should be clearly stipulated. </w:t>
      </w:r>
    </w:p>
    <w:p w:rsidR="008927F6" w:rsidRPr="008927F6" w:rsidRDefault="008927F6" w:rsidP="008927F6">
      <w:pPr>
        <w:suppressAutoHyphens/>
        <w:autoSpaceDN w:val="0"/>
        <w:ind w:left="360"/>
        <w:textAlignment w:val="baseline"/>
        <w:rPr>
          <w:rFonts w:ascii="Arial" w:hAnsi="Arial" w:cs="Arial"/>
          <w:i/>
          <w:color w:val="001F00"/>
          <w:spacing w:val="6"/>
          <w:lang w:val="en-GB" w:eastAsia="en-GB"/>
        </w:rPr>
      </w:pPr>
    </w:p>
    <w:p w:rsidR="008927F6" w:rsidRPr="008927F6" w:rsidRDefault="008927F6" w:rsidP="008927F6">
      <w:pPr>
        <w:rPr>
          <w:rFonts w:ascii="Arial" w:hAnsi="Arial" w:cs="Arial"/>
          <w:i/>
          <w:color w:val="001F00"/>
          <w:spacing w:val="6"/>
          <w:lang w:val="en-GB" w:eastAsia="en-GB"/>
        </w:rPr>
      </w:pPr>
      <w:r w:rsidRPr="008927F6">
        <w:rPr>
          <w:rFonts w:ascii="Arial" w:hAnsi="Arial" w:cs="Arial"/>
          <w:i/>
          <w:color w:val="001F00"/>
          <w:spacing w:val="6"/>
          <w:lang w:val="en-GB" w:eastAsia="en-GB"/>
        </w:rPr>
        <w:t xml:space="preserve">Planning, Monitoring, Reporting </w:t>
      </w:r>
    </w:p>
    <w:p w:rsidR="008927F6" w:rsidRPr="008927F6" w:rsidRDefault="008927F6" w:rsidP="008927F6">
      <w:pPr>
        <w:numPr>
          <w:ilvl w:val="0"/>
          <w:numId w:val="20"/>
        </w:numPr>
        <w:ind w:left="360"/>
        <w:contextualSpacing/>
        <w:rPr>
          <w:rFonts w:ascii="Arial" w:hAnsi="Arial" w:cs="Arial"/>
          <w:color w:val="001F00"/>
          <w:spacing w:val="6"/>
          <w:lang w:val="en-GB" w:eastAsia="en-GB"/>
        </w:rPr>
      </w:pPr>
      <w:r w:rsidRPr="008927F6">
        <w:rPr>
          <w:rFonts w:ascii="Arial" w:hAnsi="Arial" w:cs="Arial"/>
          <w:color w:val="001F00"/>
          <w:spacing w:val="6"/>
          <w:lang w:val="en-GB" w:eastAsia="en-GB"/>
        </w:rPr>
        <w:t>The Department must ensure that the Annual Performance Plan and the Strategic Plan are aligned and comprise of clear timeframes. The regulatory part of the mandate should be incorporated in Programmes of the Department. The report should clearly articulate what monitoring and evaluation activities will be undertaken by the Department in the current financial year.</w:t>
      </w:r>
    </w:p>
    <w:p w:rsidR="008927F6" w:rsidRPr="008927F6" w:rsidRDefault="008927F6" w:rsidP="008927F6">
      <w:pPr>
        <w:suppressAutoHyphens/>
        <w:autoSpaceDN w:val="0"/>
        <w:textAlignment w:val="baseline"/>
        <w:rPr>
          <w:rFonts w:ascii="Arial" w:hAnsi="Arial" w:cs="Arial"/>
          <w:color w:val="001F00"/>
          <w:spacing w:val="6"/>
          <w:lang w:val="en-GB" w:eastAsia="en-GB"/>
        </w:rPr>
      </w:pPr>
    </w:p>
    <w:p w:rsidR="008927F6" w:rsidRPr="008927F6" w:rsidRDefault="008927F6" w:rsidP="008927F6">
      <w:pPr>
        <w:suppressAutoHyphens/>
        <w:autoSpaceDN w:val="0"/>
        <w:textAlignment w:val="baseline"/>
        <w:rPr>
          <w:rFonts w:ascii="Arial" w:hAnsi="Arial" w:cs="Arial"/>
          <w:i/>
          <w:color w:val="001F00"/>
          <w:spacing w:val="6"/>
          <w:lang w:val="en-GB" w:eastAsia="en-GB"/>
        </w:rPr>
      </w:pPr>
      <w:r w:rsidRPr="008927F6">
        <w:rPr>
          <w:rFonts w:ascii="Arial" w:hAnsi="Arial" w:cs="Arial"/>
          <w:i/>
          <w:color w:val="001F00"/>
          <w:spacing w:val="6"/>
          <w:lang w:val="en-GB" w:eastAsia="en-GB"/>
        </w:rPr>
        <w:t>Human resources</w:t>
      </w:r>
    </w:p>
    <w:p w:rsidR="008927F6" w:rsidRPr="008927F6" w:rsidRDefault="008927F6" w:rsidP="008927F6">
      <w:pPr>
        <w:numPr>
          <w:ilvl w:val="0"/>
          <w:numId w:val="20"/>
        </w:numPr>
        <w:suppressAutoHyphens/>
        <w:autoSpaceDN w:val="0"/>
        <w:ind w:left="360"/>
        <w:contextualSpacing/>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 xml:space="preserve">Critical posts should be filled. </w:t>
      </w:r>
    </w:p>
    <w:p w:rsidR="008927F6" w:rsidRPr="008927F6" w:rsidRDefault="008927F6" w:rsidP="008927F6">
      <w:pPr>
        <w:numPr>
          <w:ilvl w:val="0"/>
          <w:numId w:val="20"/>
        </w:numPr>
        <w:suppressAutoHyphens/>
        <w:autoSpaceDN w:val="0"/>
        <w:ind w:left="360"/>
        <w:contextualSpacing/>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 xml:space="preserve">Sub-programmes should be well capacitated. </w:t>
      </w:r>
    </w:p>
    <w:p w:rsidR="008927F6" w:rsidRPr="008927F6" w:rsidRDefault="008927F6" w:rsidP="008927F6">
      <w:pPr>
        <w:numPr>
          <w:ilvl w:val="0"/>
          <w:numId w:val="20"/>
        </w:numPr>
        <w:suppressAutoHyphens/>
        <w:autoSpaceDN w:val="0"/>
        <w:ind w:left="360"/>
        <w:contextualSpacing/>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 xml:space="preserve">Use of consultants should be minimised. </w:t>
      </w:r>
    </w:p>
    <w:p w:rsidR="008927F6" w:rsidRPr="008927F6" w:rsidRDefault="008927F6" w:rsidP="008927F6">
      <w:pPr>
        <w:numPr>
          <w:ilvl w:val="0"/>
          <w:numId w:val="20"/>
        </w:numPr>
        <w:suppressAutoHyphens/>
        <w:autoSpaceDN w:val="0"/>
        <w:ind w:left="360"/>
        <w:contextualSpacing/>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The distribution of skills and human resources should be reviewed to ensure that respective Programmes and sub-programmes are able to operate more efficiently and effectively.</w:t>
      </w:r>
    </w:p>
    <w:p w:rsidR="008927F6" w:rsidRPr="008927F6" w:rsidRDefault="008927F6" w:rsidP="008927F6">
      <w:pPr>
        <w:suppressAutoHyphens/>
        <w:autoSpaceDN w:val="0"/>
        <w:textAlignment w:val="baseline"/>
        <w:rPr>
          <w:rFonts w:ascii="Arial" w:hAnsi="Arial" w:cs="Arial"/>
          <w:color w:val="001F00"/>
          <w:spacing w:val="6"/>
          <w:lang w:val="en-GB" w:eastAsia="en-GB"/>
        </w:rPr>
      </w:pPr>
    </w:p>
    <w:p w:rsidR="008927F6" w:rsidRPr="008927F6" w:rsidRDefault="008927F6" w:rsidP="008927F6">
      <w:pPr>
        <w:suppressAutoHyphens/>
        <w:autoSpaceDN w:val="0"/>
        <w:textAlignment w:val="baseline"/>
        <w:rPr>
          <w:rFonts w:ascii="Arial" w:hAnsi="Arial" w:cs="Arial"/>
          <w:i/>
          <w:color w:val="001F00"/>
          <w:spacing w:val="6"/>
          <w:lang w:val="en-GB" w:eastAsia="en-GB"/>
        </w:rPr>
      </w:pPr>
      <w:r w:rsidRPr="008927F6">
        <w:rPr>
          <w:rFonts w:ascii="Arial" w:hAnsi="Arial" w:cs="Arial"/>
          <w:i/>
          <w:color w:val="001F00"/>
          <w:spacing w:val="6"/>
          <w:lang w:val="en-GB" w:eastAsia="en-GB"/>
        </w:rPr>
        <w:t>Implementation of anti-GBVF strategies</w:t>
      </w:r>
    </w:p>
    <w:p w:rsidR="008927F6" w:rsidRPr="008927F6" w:rsidRDefault="008927F6" w:rsidP="008927F6">
      <w:pPr>
        <w:numPr>
          <w:ilvl w:val="0"/>
          <w:numId w:val="21"/>
        </w:numPr>
        <w:tabs>
          <w:tab w:val="left" w:pos="360"/>
        </w:tabs>
        <w:suppressAutoHyphens/>
        <w:autoSpaceDN w:val="0"/>
        <w:ind w:left="360"/>
        <w:contextualSpacing/>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 xml:space="preserve">The Department should facilitate (together with relevant stakeholders and role-players) strategies to curb GBVF in the country. There should be a clear implementation that is reported on, to Parliament and the public. </w:t>
      </w:r>
    </w:p>
    <w:p w:rsidR="008927F6" w:rsidRPr="008927F6" w:rsidRDefault="008927F6" w:rsidP="008927F6">
      <w:pPr>
        <w:suppressAutoHyphens/>
        <w:autoSpaceDN w:val="0"/>
        <w:textAlignment w:val="baseline"/>
        <w:rPr>
          <w:rFonts w:ascii="Arial" w:hAnsi="Arial" w:cs="Arial"/>
          <w:color w:val="001F00"/>
          <w:spacing w:val="6"/>
          <w:lang w:val="en-GB" w:eastAsia="en-GB"/>
        </w:rPr>
      </w:pPr>
    </w:p>
    <w:p w:rsidR="008927F6" w:rsidRPr="008927F6" w:rsidRDefault="008927F6" w:rsidP="008927F6">
      <w:pPr>
        <w:suppressAutoHyphens/>
        <w:autoSpaceDN w:val="0"/>
        <w:textAlignment w:val="baseline"/>
        <w:rPr>
          <w:rFonts w:ascii="Arial" w:hAnsi="Arial" w:cs="Arial"/>
          <w:i/>
          <w:color w:val="001F00"/>
          <w:spacing w:val="6"/>
          <w:lang w:val="en-GB" w:eastAsia="en-GB"/>
        </w:rPr>
      </w:pPr>
      <w:r w:rsidRPr="008927F6">
        <w:rPr>
          <w:rFonts w:ascii="Arial" w:hAnsi="Arial" w:cs="Arial"/>
          <w:i/>
          <w:color w:val="001F00"/>
          <w:spacing w:val="6"/>
          <w:lang w:val="en-GB" w:eastAsia="en-GB"/>
        </w:rPr>
        <w:t xml:space="preserve">Role of the Department </w:t>
      </w:r>
    </w:p>
    <w:p w:rsidR="008927F6" w:rsidRPr="008927F6" w:rsidRDefault="008927F6" w:rsidP="008927F6">
      <w:pPr>
        <w:numPr>
          <w:ilvl w:val="0"/>
          <w:numId w:val="21"/>
        </w:numPr>
        <w:suppressAutoHyphens/>
        <w:autoSpaceDN w:val="0"/>
        <w:ind w:left="360"/>
        <w:contextualSpacing/>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 xml:space="preserve">The Department should look at streamlining its work to be better enabled to fulfil its vision and mission. </w:t>
      </w:r>
    </w:p>
    <w:p w:rsidR="008927F6" w:rsidRPr="008927F6" w:rsidRDefault="008927F6" w:rsidP="008927F6">
      <w:pPr>
        <w:numPr>
          <w:ilvl w:val="0"/>
          <w:numId w:val="21"/>
        </w:numPr>
        <w:suppressAutoHyphens/>
        <w:autoSpaceDN w:val="0"/>
        <w:ind w:left="360"/>
        <w:contextualSpacing/>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The Department should strengthen its advocacy role and improve its visibility in communities.</w:t>
      </w:r>
    </w:p>
    <w:p w:rsidR="008927F6" w:rsidRPr="008927F6" w:rsidRDefault="008927F6" w:rsidP="008927F6">
      <w:pPr>
        <w:numPr>
          <w:ilvl w:val="0"/>
          <w:numId w:val="21"/>
        </w:numPr>
        <w:suppressAutoHyphens/>
        <w:autoSpaceDN w:val="0"/>
        <w:ind w:left="360"/>
        <w:contextualSpacing/>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 xml:space="preserve">The Committee should strengthen its focus on strategic planning, monitoring and implementation.  </w:t>
      </w:r>
    </w:p>
    <w:p w:rsidR="008927F6" w:rsidRPr="008927F6" w:rsidRDefault="008927F6" w:rsidP="008927F6">
      <w:pPr>
        <w:suppressAutoHyphens/>
        <w:autoSpaceDN w:val="0"/>
        <w:textAlignment w:val="baseline"/>
        <w:rPr>
          <w:rFonts w:ascii="Arial" w:hAnsi="Arial" w:cs="Arial"/>
          <w:color w:val="001F00"/>
          <w:spacing w:val="6"/>
          <w:lang w:val="en-GB" w:eastAsia="en-GB"/>
        </w:rPr>
      </w:pPr>
    </w:p>
    <w:p w:rsidR="008927F6" w:rsidRPr="008927F6" w:rsidRDefault="008927F6" w:rsidP="008927F6">
      <w:pPr>
        <w:suppressAutoHyphens/>
        <w:autoSpaceDN w:val="0"/>
        <w:textAlignment w:val="baseline"/>
        <w:rPr>
          <w:rFonts w:ascii="Arial" w:hAnsi="Arial" w:cs="Arial"/>
          <w:i/>
          <w:color w:val="001F00"/>
          <w:spacing w:val="6"/>
          <w:lang w:val="en-GB" w:eastAsia="en-GB"/>
        </w:rPr>
      </w:pPr>
    </w:p>
    <w:p w:rsidR="008927F6" w:rsidRPr="008927F6" w:rsidRDefault="008927F6" w:rsidP="008927F6">
      <w:pPr>
        <w:suppressAutoHyphens/>
        <w:autoSpaceDN w:val="0"/>
        <w:textAlignment w:val="baseline"/>
        <w:rPr>
          <w:rFonts w:ascii="Arial" w:hAnsi="Arial" w:cs="Arial"/>
          <w:i/>
          <w:color w:val="001F00"/>
          <w:spacing w:val="6"/>
          <w:lang w:val="en-GB" w:eastAsia="en-GB"/>
        </w:rPr>
      </w:pPr>
      <w:r w:rsidRPr="008927F6">
        <w:rPr>
          <w:rFonts w:ascii="Arial" w:hAnsi="Arial" w:cs="Arial"/>
          <w:i/>
          <w:color w:val="001F00"/>
          <w:spacing w:val="6"/>
          <w:lang w:val="en-GB" w:eastAsia="en-GB"/>
        </w:rPr>
        <w:t xml:space="preserve">Sanitary Dignity Implementation Framework </w:t>
      </w:r>
    </w:p>
    <w:p w:rsidR="008927F6" w:rsidRPr="008927F6" w:rsidRDefault="008927F6" w:rsidP="008927F6">
      <w:pPr>
        <w:numPr>
          <w:ilvl w:val="0"/>
          <w:numId w:val="23"/>
        </w:numPr>
        <w:suppressAutoHyphens/>
        <w:autoSpaceDN w:val="0"/>
        <w:ind w:left="360"/>
        <w:contextualSpacing/>
        <w:textAlignment w:val="baseline"/>
        <w:rPr>
          <w:rFonts w:ascii="Arial" w:hAnsi="Arial" w:cs="Arial"/>
          <w:color w:val="001F00"/>
          <w:spacing w:val="6"/>
          <w:lang w:val="en-GB" w:eastAsia="en-GB"/>
        </w:rPr>
      </w:pPr>
      <w:r w:rsidRPr="008927F6">
        <w:rPr>
          <w:rFonts w:ascii="Arial" w:hAnsi="Arial" w:cs="Arial"/>
          <w:color w:val="001F00"/>
          <w:spacing w:val="6"/>
          <w:lang w:val="en-GB" w:eastAsia="en-GB"/>
        </w:rPr>
        <w:t xml:space="preserve">The Department should provide to the Committee the </w:t>
      </w:r>
      <w:r w:rsidRPr="008927F6">
        <w:rPr>
          <w:rFonts w:ascii="Arial" w:hAnsi="Arial" w:cs="Arial"/>
          <w:color w:val="001F00"/>
          <w:spacing w:val="6"/>
          <w:lang w:val="en-ZA" w:eastAsia="en-GB"/>
        </w:rPr>
        <w:t xml:space="preserve">Sanitary Dignity Implementation Framework by provinces, and include a detailed distribution plan. </w:t>
      </w:r>
    </w:p>
    <w:p w:rsidR="008927F6" w:rsidRPr="008927F6" w:rsidRDefault="008927F6" w:rsidP="008927F6">
      <w:pPr>
        <w:ind w:left="66"/>
        <w:rPr>
          <w:rFonts w:ascii="Arial" w:hAnsi="Arial" w:cs="Arial"/>
          <w:color w:val="001F00"/>
          <w:spacing w:val="6"/>
          <w:lang w:val="en-GB" w:eastAsia="en-GB"/>
        </w:rPr>
      </w:pPr>
    </w:p>
    <w:p w:rsidR="008927F6" w:rsidRPr="008927F6" w:rsidRDefault="008927F6" w:rsidP="008927F6">
      <w:pPr>
        <w:keepNext/>
        <w:numPr>
          <w:ilvl w:val="0"/>
          <w:numId w:val="17"/>
        </w:numPr>
        <w:outlineLvl w:val="0"/>
        <w:rPr>
          <w:rFonts w:ascii="Arial" w:hAnsi="Arial" w:cs="Arial"/>
          <w:b/>
          <w:bCs/>
          <w:color w:val="001F00"/>
          <w:spacing w:val="6"/>
          <w:kern w:val="32"/>
          <w:lang w:eastAsia="en-GB"/>
        </w:rPr>
      </w:pPr>
      <w:r w:rsidRPr="008927F6">
        <w:rPr>
          <w:rFonts w:ascii="Arial" w:hAnsi="Arial" w:cs="Arial"/>
          <w:b/>
          <w:bCs/>
          <w:color w:val="001F00"/>
          <w:spacing w:val="6"/>
          <w:kern w:val="32"/>
          <w:lang w:eastAsia="en-GB"/>
        </w:rPr>
        <w:t>CONCLUSION</w:t>
      </w:r>
    </w:p>
    <w:p w:rsidR="008927F6" w:rsidRPr="008927F6" w:rsidRDefault="008927F6" w:rsidP="008927F6">
      <w:pPr>
        <w:rPr>
          <w:rFonts w:ascii="Arial" w:hAnsi="Arial" w:cs="Arial"/>
          <w:color w:val="001F00"/>
          <w:spacing w:val="6"/>
          <w:lang w:eastAsia="en-GB"/>
        </w:rPr>
      </w:pPr>
    </w:p>
    <w:p w:rsidR="008927F6" w:rsidRPr="008927F6" w:rsidRDefault="008927F6" w:rsidP="008927F6">
      <w:pPr>
        <w:contextualSpacing/>
        <w:rPr>
          <w:rFonts w:ascii="Arial" w:hAnsi="Arial" w:cs="Arial"/>
          <w:spacing w:val="6"/>
          <w:lang w:eastAsia="en-GB"/>
        </w:rPr>
      </w:pPr>
      <w:r w:rsidRPr="008927F6">
        <w:rPr>
          <w:rFonts w:ascii="Arial" w:hAnsi="Arial" w:cs="Arial"/>
          <w:spacing w:val="6"/>
          <w:lang w:eastAsia="en-GB"/>
        </w:rPr>
        <w:t>The Department of Women, Youth and Persons with Disabilities should respond to the Committee recommendations as soon as possible or on the day the report is adopted by the House.</w:t>
      </w:r>
    </w:p>
    <w:p w:rsidR="008927F6" w:rsidRPr="008927F6" w:rsidRDefault="008927F6" w:rsidP="008927F6">
      <w:pPr>
        <w:ind w:left="720"/>
        <w:contextualSpacing/>
        <w:rPr>
          <w:rFonts w:ascii="Arial" w:hAnsi="Arial" w:cs="Arial"/>
          <w:color w:val="001F00"/>
          <w:spacing w:val="6"/>
          <w:lang w:eastAsia="en-GB"/>
        </w:rPr>
      </w:pPr>
    </w:p>
    <w:p w:rsidR="008927F6" w:rsidRPr="008927F6" w:rsidRDefault="008927F6" w:rsidP="008927F6">
      <w:pPr>
        <w:rPr>
          <w:rFonts w:ascii="Arial" w:hAnsi="Arial" w:cs="Arial"/>
          <w:color w:val="001F00"/>
          <w:spacing w:val="6"/>
          <w:lang w:eastAsia="en-GB"/>
        </w:rPr>
      </w:pPr>
      <w:r w:rsidRPr="008927F6">
        <w:rPr>
          <w:rFonts w:ascii="Arial" w:hAnsi="Arial" w:cs="Arial"/>
          <w:color w:val="001F00"/>
          <w:spacing w:val="6"/>
          <w:lang w:eastAsia="en-GB"/>
        </w:rPr>
        <w:t>Report to be considered.</w:t>
      </w:r>
    </w:p>
    <w:p w:rsidR="00E9402B" w:rsidRPr="008927F6" w:rsidRDefault="00E9402B" w:rsidP="008927F6">
      <w:pPr>
        <w:rPr>
          <w:rFonts w:ascii="Arial" w:hAnsi="Arial" w:cs="Arial"/>
        </w:rPr>
      </w:pPr>
    </w:p>
    <w:sectPr w:rsidR="00E9402B" w:rsidRPr="008927F6" w:rsidSect="00E9402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AD0" w:rsidRDefault="00AE2AD0" w:rsidP="008927F6">
      <w:r>
        <w:separator/>
      </w:r>
    </w:p>
  </w:endnote>
  <w:endnote w:type="continuationSeparator" w:id="0">
    <w:p w:rsidR="00AE2AD0" w:rsidRDefault="00AE2AD0" w:rsidP="00892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AD0" w:rsidRDefault="00AE2AD0" w:rsidP="008927F6">
      <w:r>
        <w:separator/>
      </w:r>
    </w:p>
  </w:footnote>
  <w:footnote w:type="continuationSeparator" w:id="0">
    <w:p w:rsidR="00AE2AD0" w:rsidRDefault="00AE2AD0" w:rsidP="008927F6">
      <w:r>
        <w:continuationSeparator/>
      </w:r>
    </w:p>
  </w:footnote>
  <w:footnote w:id="1">
    <w:p w:rsidR="008927F6" w:rsidRPr="000431A3" w:rsidRDefault="008927F6" w:rsidP="008927F6">
      <w:pPr>
        <w:pStyle w:val="FootnoteText"/>
        <w:rPr>
          <w:sz w:val="18"/>
          <w:szCs w:val="18"/>
          <w:lang w:val="en-ZA"/>
        </w:rPr>
      </w:pPr>
      <w:r w:rsidRPr="000431A3">
        <w:rPr>
          <w:rStyle w:val="FootnoteReference"/>
          <w:sz w:val="18"/>
          <w:szCs w:val="18"/>
        </w:rPr>
        <w:footnoteRef/>
      </w:r>
      <w:r w:rsidRPr="000431A3">
        <w:rPr>
          <w:sz w:val="18"/>
          <w:szCs w:val="18"/>
        </w:rPr>
        <w:t xml:space="preserve"> </w:t>
      </w:r>
      <w:r w:rsidRPr="000431A3">
        <w:rPr>
          <w:sz w:val="18"/>
          <w:szCs w:val="18"/>
          <w:lang w:val="en-ZA"/>
        </w:rPr>
        <w:t xml:space="preserve">Department of Women, Youth and Persons with Disabilities Strategic Plan 2020-2025, pg.10.  </w:t>
      </w:r>
    </w:p>
  </w:footnote>
  <w:footnote w:id="2">
    <w:p w:rsidR="008927F6" w:rsidRPr="000431A3" w:rsidRDefault="008927F6" w:rsidP="008927F6">
      <w:pPr>
        <w:pStyle w:val="FootnoteText"/>
        <w:rPr>
          <w:sz w:val="18"/>
          <w:szCs w:val="18"/>
          <w:lang w:val="en-ZA"/>
        </w:rPr>
      </w:pPr>
      <w:r w:rsidRPr="000431A3">
        <w:rPr>
          <w:rStyle w:val="FootnoteReference"/>
          <w:sz w:val="18"/>
          <w:szCs w:val="18"/>
        </w:rPr>
        <w:footnoteRef/>
      </w:r>
      <w:r w:rsidRPr="000431A3">
        <w:rPr>
          <w:sz w:val="18"/>
          <w:szCs w:val="18"/>
        </w:rPr>
        <w:t xml:space="preserve"> </w:t>
      </w:r>
      <w:r w:rsidRPr="000431A3">
        <w:rPr>
          <w:sz w:val="18"/>
          <w:szCs w:val="18"/>
          <w:lang w:val="en-ZA"/>
        </w:rPr>
        <w:t>Department of Women, Youth and Persons with Disabilities (2022) Annual Performance Plan 2022/23, p.10.</w:t>
      </w:r>
    </w:p>
  </w:footnote>
  <w:footnote w:id="3">
    <w:p w:rsidR="008927F6" w:rsidRDefault="008927F6" w:rsidP="008927F6">
      <w:pPr>
        <w:pStyle w:val="FootnoteText"/>
      </w:pPr>
      <w:r w:rsidRPr="000431A3">
        <w:rPr>
          <w:rStyle w:val="FootnoteReference"/>
          <w:sz w:val="18"/>
          <w:szCs w:val="18"/>
        </w:rPr>
        <w:footnoteRef/>
      </w:r>
      <w:r w:rsidRPr="000431A3">
        <w:rPr>
          <w:sz w:val="18"/>
          <w:szCs w:val="18"/>
        </w:rPr>
        <w:t xml:space="preserve"> Ibid</w:t>
      </w:r>
    </w:p>
  </w:footnote>
  <w:footnote w:id="4">
    <w:p w:rsidR="008927F6" w:rsidRPr="009B1B7C" w:rsidRDefault="008927F6" w:rsidP="008927F6">
      <w:pPr>
        <w:pStyle w:val="FootnoteText"/>
        <w:jc w:val="both"/>
        <w:rPr>
          <w:sz w:val="18"/>
          <w:szCs w:val="18"/>
          <w:lang w:val="en-ZA"/>
        </w:rPr>
      </w:pPr>
      <w:r w:rsidRPr="009B1B7C">
        <w:rPr>
          <w:rStyle w:val="FootnoteReference"/>
          <w:sz w:val="18"/>
          <w:szCs w:val="18"/>
        </w:rPr>
        <w:footnoteRef/>
      </w:r>
      <w:r w:rsidRPr="009B1B7C">
        <w:rPr>
          <w:sz w:val="18"/>
          <w:szCs w:val="18"/>
        </w:rPr>
        <w:t xml:space="preserve"> </w:t>
      </w:r>
      <w:r w:rsidRPr="009B1B7C">
        <w:rPr>
          <w:sz w:val="18"/>
          <w:szCs w:val="18"/>
          <w:lang w:val="en-ZA"/>
        </w:rPr>
        <w:t>Ibid</w:t>
      </w:r>
    </w:p>
  </w:footnote>
  <w:footnote w:id="5">
    <w:p w:rsidR="008927F6" w:rsidRPr="0054036C" w:rsidRDefault="008927F6" w:rsidP="008927F6">
      <w:pPr>
        <w:pStyle w:val="FootnoteText"/>
        <w:rPr>
          <w:sz w:val="18"/>
          <w:szCs w:val="18"/>
          <w:lang w:val="en-ZA"/>
        </w:rPr>
      </w:pPr>
      <w:r w:rsidRPr="0054036C">
        <w:rPr>
          <w:rStyle w:val="FootnoteReference"/>
          <w:sz w:val="18"/>
          <w:szCs w:val="18"/>
        </w:rPr>
        <w:footnoteRef/>
      </w:r>
      <w:r w:rsidRPr="0054036C">
        <w:rPr>
          <w:sz w:val="18"/>
          <w:szCs w:val="18"/>
        </w:rPr>
        <w:t xml:space="preserve"> </w:t>
      </w:r>
      <w:r w:rsidRPr="0054036C">
        <w:rPr>
          <w:sz w:val="18"/>
          <w:szCs w:val="18"/>
          <w:lang w:val="en-ZA"/>
        </w:rPr>
        <w:t>Department of Women, Youth and Persons with Disabilities (2022) Annual Performance Plan 2022/23, p.3.</w:t>
      </w:r>
    </w:p>
  </w:footnote>
  <w:footnote w:id="6">
    <w:p w:rsidR="008927F6" w:rsidRPr="0054036C" w:rsidRDefault="008927F6" w:rsidP="008927F6">
      <w:pPr>
        <w:pStyle w:val="FootnoteText"/>
        <w:jc w:val="both"/>
        <w:rPr>
          <w:sz w:val="18"/>
          <w:szCs w:val="18"/>
          <w:lang w:val="en-ZA"/>
        </w:rPr>
      </w:pPr>
      <w:r w:rsidRPr="0054036C">
        <w:rPr>
          <w:rStyle w:val="FootnoteReference"/>
          <w:sz w:val="18"/>
          <w:szCs w:val="18"/>
        </w:rPr>
        <w:footnoteRef/>
      </w:r>
      <w:r w:rsidRPr="0054036C">
        <w:rPr>
          <w:sz w:val="18"/>
          <w:szCs w:val="18"/>
        </w:rPr>
        <w:t xml:space="preserve"> </w:t>
      </w:r>
      <w:r w:rsidRPr="0054036C">
        <w:rPr>
          <w:sz w:val="18"/>
          <w:szCs w:val="18"/>
          <w:lang w:val="en-ZA"/>
        </w:rPr>
        <w:t>National Treasury (2022) Estimates of National Expenditure, Vote 20 Department of Women, Youth and Persons with Disabilities, p. 362.</w:t>
      </w:r>
    </w:p>
  </w:footnote>
  <w:footnote w:id="7">
    <w:p w:rsidR="008927F6" w:rsidRPr="00DA57B6" w:rsidRDefault="008927F6" w:rsidP="008927F6">
      <w:pPr>
        <w:pStyle w:val="FootnoteText"/>
        <w:jc w:val="both"/>
      </w:pPr>
      <w:r w:rsidRPr="0054036C">
        <w:rPr>
          <w:rStyle w:val="FootnoteReference"/>
          <w:sz w:val="18"/>
          <w:szCs w:val="18"/>
        </w:rPr>
        <w:footnoteRef/>
      </w:r>
      <w:r w:rsidRPr="0054036C">
        <w:rPr>
          <w:sz w:val="18"/>
          <w:szCs w:val="18"/>
        </w:rPr>
        <w:t xml:space="preserve"> Adapted from Estimates of National Expenditure (2022), Vote 20 Department of Women, Youth and Persons with Disabilities, p.361.</w:t>
      </w:r>
    </w:p>
  </w:footnote>
  <w:footnote w:id="8">
    <w:p w:rsidR="008927F6" w:rsidRPr="0054036C" w:rsidRDefault="008927F6" w:rsidP="008927F6">
      <w:pPr>
        <w:pStyle w:val="FootnoteText"/>
        <w:jc w:val="both"/>
        <w:rPr>
          <w:sz w:val="18"/>
          <w:szCs w:val="18"/>
          <w:lang w:val="en-ZA"/>
        </w:rPr>
      </w:pPr>
      <w:r w:rsidRPr="0054036C">
        <w:rPr>
          <w:rStyle w:val="FootnoteReference"/>
          <w:sz w:val="18"/>
          <w:szCs w:val="18"/>
        </w:rPr>
        <w:footnoteRef/>
      </w:r>
      <w:r w:rsidRPr="0054036C">
        <w:rPr>
          <w:sz w:val="18"/>
          <w:szCs w:val="18"/>
        </w:rPr>
        <w:t xml:space="preserve"> </w:t>
      </w:r>
      <w:r w:rsidRPr="0054036C">
        <w:rPr>
          <w:sz w:val="18"/>
          <w:szCs w:val="18"/>
          <w:lang w:val="en-ZA"/>
        </w:rPr>
        <w:t>Levendale, C (2022) Overview: Department of Women, Youth and Persons with Disabilities - Annual Performance Plan 2022/23 and Budget 2022/23: Programmes 1, 2 and 3.</w:t>
      </w:r>
    </w:p>
  </w:footnote>
  <w:footnote w:id="9">
    <w:p w:rsidR="008927F6" w:rsidRPr="0054036C" w:rsidRDefault="008927F6" w:rsidP="008927F6">
      <w:pPr>
        <w:pStyle w:val="FootnoteText"/>
        <w:rPr>
          <w:sz w:val="18"/>
          <w:szCs w:val="18"/>
          <w:lang w:val="en-ZA"/>
        </w:rPr>
      </w:pPr>
      <w:r w:rsidRPr="0054036C">
        <w:rPr>
          <w:rStyle w:val="FootnoteReference"/>
          <w:sz w:val="18"/>
          <w:szCs w:val="18"/>
        </w:rPr>
        <w:footnoteRef/>
      </w:r>
      <w:r w:rsidRPr="0054036C">
        <w:rPr>
          <w:sz w:val="18"/>
          <w:szCs w:val="18"/>
        </w:rPr>
        <w:t xml:space="preserve"> </w:t>
      </w:r>
      <w:r w:rsidRPr="0054036C">
        <w:rPr>
          <w:sz w:val="18"/>
          <w:szCs w:val="18"/>
          <w:lang w:val="en-ZA"/>
        </w:rPr>
        <w:t>Levendale, C (2022) Overview: Department of Women, Youth and Persons with Disabilities - Annual Performance Plan 2022/23 and Budget 2022/23: Programmes 1, 2 and 3</w:t>
      </w:r>
      <w:r>
        <w:rPr>
          <w:sz w:val="18"/>
          <w:szCs w:val="18"/>
          <w:lang w:val="en-ZA"/>
        </w:rPr>
        <w:t>.</w:t>
      </w:r>
    </w:p>
  </w:footnote>
  <w:footnote w:id="10">
    <w:p w:rsidR="008927F6" w:rsidRPr="00612C34" w:rsidRDefault="008927F6" w:rsidP="008927F6">
      <w:pPr>
        <w:pStyle w:val="FootnoteText"/>
        <w:rPr>
          <w:lang w:val="en-ZA"/>
        </w:rPr>
      </w:pPr>
      <w:r w:rsidRPr="0054036C">
        <w:rPr>
          <w:rStyle w:val="FootnoteReference"/>
          <w:sz w:val="18"/>
          <w:szCs w:val="18"/>
        </w:rPr>
        <w:footnoteRef/>
      </w:r>
      <w:r w:rsidRPr="0054036C">
        <w:rPr>
          <w:sz w:val="18"/>
          <w:szCs w:val="18"/>
        </w:rPr>
        <w:t xml:space="preserve"> </w:t>
      </w:r>
      <w:r w:rsidRPr="0054036C">
        <w:rPr>
          <w:sz w:val="18"/>
          <w:szCs w:val="18"/>
          <w:lang w:val="en-ZA"/>
        </w:rPr>
        <w:t>Ibid</w:t>
      </w:r>
    </w:p>
  </w:footnote>
  <w:footnote w:id="11">
    <w:p w:rsidR="008927F6" w:rsidRPr="0054036C" w:rsidRDefault="008927F6" w:rsidP="008927F6">
      <w:pPr>
        <w:pStyle w:val="FootnoteText"/>
        <w:rPr>
          <w:sz w:val="18"/>
          <w:szCs w:val="18"/>
          <w:lang w:val="en-ZA"/>
        </w:rPr>
      </w:pPr>
      <w:r w:rsidRPr="0054036C">
        <w:rPr>
          <w:rStyle w:val="FootnoteReference"/>
          <w:sz w:val="18"/>
          <w:szCs w:val="18"/>
        </w:rPr>
        <w:footnoteRef/>
      </w:r>
      <w:r w:rsidRPr="0054036C">
        <w:rPr>
          <w:sz w:val="18"/>
          <w:szCs w:val="18"/>
        </w:rPr>
        <w:t xml:space="preserve"> </w:t>
      </w:r>
      <w:r w:rsidRPr="0054036C">
        <w:rPr>
          <w:sz w:val="18"/>
          <w:szCs w:val="18"/>
          <w:lang w:val="en-ZA"/>
        </w:rPr>
        <w:t>Levendale, C (2022) Overview: Department of Women, Youth and Persons with Disabilities - Annual Performance Plan 2022/23 and Budget 2022/23: Programmes 1, 2 and 3.</w:t>
      </w:r>
    </w:p>
  </w:footnote>
  <w:footnote w:id="12">
    <w:p w:rsidR="008927F6" w:rsidRPr="0054036C" w:rsidRDefault="008927F6" w:rsidP="008927F6">
      <w:pPr>
        <w:pStyle w:val="FootnoteText"/>
        <w:rPr>
          <w:sz w:val="18"/>
          <w:szCs w:val="18"/>
          <w:lang w:val="en-ZA"/>
        </w:rPr>
      </w:pPr>
      <w:r w:rsidRPr="0054036C">
        <w:rPr>
          <w:rStyle w:val="FootnoteReference"/>
          <w:sz w:val="18"/>
          <w:szCs w:val="18"/>
        </w:rPr>
        <w:footnoteRef/>
      </w:r>
      <w:r w:rsidRPr="0054036C">
        <w:rPr>
          <w:sz w:val="18"/>
          <w:szCs w:val="18"/>
        </w:rPr>
        <w:t xml:space="preserve"> </w:t>
      </w:r>
      <w:r w:rsidRPr="0054036C">
        <w:rPr>
          <w:sz w:val="18"/>
          <w:szCs w:val="18"/>
          <w:lang w:val="en-ZA"/>
        </w:rPr>
        <w:t>Matthews, T (2022) Department of Women, Youth and Persons with Disabilities: Analysis of Programme 4: 2022/23.</w:t>
      </w:r>
    </w:p>
  </w:footnote>
  <w:footnote w:id="13">
    <w:p w:rsidR="008927F6" w:rsidRPr="00612C34" w:rsidRDefault="008927F6" w:rsidP="008927F6">
      <w:pPr>
        <w:pStyle w:val="FootnoteText"/>
        <w:jc w:val="both"/>
        <w:rPr>
          <w:lang w:val="en-ZA"/>
        </w:rPr>
      </w:pPr>
      <w:r w:rsidRPr="0054036C">
        <w:rPr>
          <w:rStyle w:val="FootnoteReference"/>
          <w:sz w:val="18"/>
          <w:szCs w:val="18"/>
        </w:rPr>
        <w:footnoteRef/>
      </w:r>
      <w:r w:rsidRPr="0054036C">
        <w:rPr>
          <w:sz w:val="18"/>
          <w:szCs w:val="18"/>
        </w:rPr>
        <w:t xml:space="preserve"> </w:t>
      </w:r>
      <w:r w:rsidRPr="0054036C">
        <w:rPr>
          <w:sz w:val="18"/>
          <w:szCs w:val="18"/>
          <w:lang w:val="en-ZA"/>
        </w:rPr>
        <w:t>Levendale, C (2022) Overview: Department of Women, Youth and Persons with Disabilities - Annual Performance Plan 2022/23 and Budget 2022/23: Programmes 1, 2 and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406"/>
    <w:multiLevelType w:val="hybridMultilevel"/>
    <w:tmpl w:val="CF5A4B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092EEE"/>
    <w:multiLevelType w:val="hybridMultilevel"/>
    <w:tmpl w:val="20F816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1F4DBA"/>
    <w:multiLevelType w:val="hybridMultilevel"/>
    <w:tmpl w:val="3AAE709E"/>
    <w:lvl w:ilvl="0" w:tplc="CD4ECAB2">
      <w:start w:val="1"/>
      <w:numFmt w:val="decimal"/>
      <w:lvlText w:val="%1."/>
      <w:lvlJc w:val="left"/>
      <w:pPr>
        <w:tabs>
          <w:tab w:val="num" w:pos="720"/>
        </w:tabs>
        <w:ind w:left="720" w:hanging="360"/>
      </w:pPr>
    </w:lvl>
    <w:lvl w:ilvl="1" w:tplc="BC7C7F18" w:tentative="1">
      <w:start w:val="1"/>
      <w:numFmt w:val="decimal"/>
      <w:lvlText w:val="%2."/>
      <w:lvlJc w:val="left"/>
      <w:pPr>
        <w:tabs>
          <w:tab w:val="num" w:pos="1440"/>
        </w:tabs>
        <w:ind w:left="1440" w:hanging="360"/>
      </w:pPr>
    </w:lvl>
    <w:lvl w:ilvl="2" w:tplc="34BC9BEC" w:tentative="1">
      <w:start w:val="1"/>
      <w:numFmt w:val="decimal"/>
      <w:lvlText w:val="%3."/>
      <w:lvlJc w:val="left"/>
      <w:pPr>
        <w:tabs>
          <w:tab w:val="num" w:pos="2160"/>
        </w:tabs>
        <w:ind w:left="2160" w:hanging="360"/>
      </w:pPr>
    </w:lvl>
    <w:lvl w:ilvl="3" w:tplc="328C7F52" w:tentative="1">
      <w:start w:val="1"/>
      <w:numFmt w:val="decimal"/>
      <w:lvlText w:val="%4."/>
      <w:lvlJc w:val="left"/>
      <w:pPr>
        <w:tabs>
          <w:tab w:val="num" w:pos="2880"/>
        </w:tabs>
        <w:ind w:left="2880" w:hanging="360"/>
      </w:pPr>
    </w:lvl>
    <w:lvl w:ilvl="4" w:tplc="D9B6C22C" w:tentative="1">
      <w:start w:val="1"/>
      <w:numFmt w:val="decimal"/>
      <w:lvlText w:val="%5."/>
      <w:lvlJc w:val="left"/>
      <w:pPr>
        <w:tabs>
          <w:tab w:val="num" w:pos="3600"/>
        </w:tabs>
        <w:ind w:left="3600" w:hanging="360"/>
      </w:pPr>
    </w:lvl>
    <w:lvl w:ilvl="5" w:tplc="8298A900" w:tentative="1">
      <w:start w:val="1"/>
      <w:numFmt w:val="decimal"/>
      <w:lvlText w:val="%6."/>
      <w:lvlJc w:val="left"/>
      <w:pPr>
        <w:tabs>
          <w:tab w:val="num" w:pos="4320"/>
        </w:tabs>
        <w:ind w:left="4320" w:hanging="360"/>
      </w:pPr>
    </w:lvl>
    <w:lvl w:ilvl="6" w:tplc="140C97B8" w:tentative="1">
      <w:start w:val="1"/>
      <w:numFmt w:val="decimal"/>
      <w:lvlText w:val="%7."/>
      <w:lvlJc w:val="left"/>
      <w:pPr>
        <w:tabs>
          <w:tab w:val="num" w:pos="5040"/>
        </w:tabs>
        <w:ind w:left="5040" w:hanging="360"/>
      </w:pPr>
    </w:lvl>
    <w:lvl w:ilvl="7" w:tplc="E916B568" w:tentative="1">
      <w:start w:val="1"/>
      <w:numFmt w:val="decimal"/>
      <w:lvlText w:val="%8."/>
      <w:lvlJc w:val="left"/>
      <w:pPr>
        <w:tabs>
          <w:tab w:val="num" w:pos="5760"/>
        </w:tabs>
        <w:ind w:left="5760" w:hanging="360"/>
      </w:pPr>
    </w:lvl>
    <w:lvl w:ilvl="8" w:tplc="F4AAADDA" w:tentative="1">
      <w:start w:val="1"/>
      <w:numFmt w:val="decimal"/>
      <w:lvlText w:val="%9."/>
      <w:lvlJc w:val="left"/>
      <w:pPr>
        <w:tabs>
          <w:tab w:val="num" w:pos="6480"/>
        </w:tabs>
        <w:ind w:left="6480" w:hanging="360"/>
      </w:pPr>
    </w:lvl>
  </w:abstractNum>
  <w:abstractNum w:abstractNumId="3">
    <w:nsid w:val="09E71F4D"/>
    <w:multiLevelType w:val="multilevel"/>
    <w:tmpl w:val="283AAF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2611D8"/>
    <w:multiLevelType w:val="hybridMultilevel"/>
    <w:tmpl w:val="35A68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4F3FAC"/>
    <w:multiLevelType w:val="hybridMultilevel"/>
    <w:tmpl w:val="2EE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B79BF"/>
    <w:multiLevelType w:val="hybridMultilevel"/>
    <w:tmpl w:val="D70E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D1BC6"/>
    <w:multiLevelType w:val="hybridMultilevel"/>
    <w:tmpl w:val="AC6664CE"/>
    <w:lvl w:ilvl="0" w:tplc="74DCA578">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4293A65"/>
    <w:multiLevelType w:val="hybridMultilevel"/>
    <w:tmpl w:val="EB861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4AF645F"/>
    <w:multiLevelType w:val="hybridMultilevel"/>
    <w:tmpl w:val="AAB68604"/>
    <w:lvl w:ilvl="0" w:tplc="E31A1D22">
      <w:start w:val="3"/>
      <w:numFmt w:val="decimal"/>
      <w:lvlText w:val="%1."/>
      <w:lvlJc w:val="left"/>
      <w:pPr>
        <w:tabs>
          <w:tab w:val="num" w:pos="720"/>
        </w:tabs>
        <w:ind w:left="720" w:hanging="360"/>
      </w:pPr>
    </w:lvl>
    <w:lvl w:ilvl="1" w:tplc="FE6E65D0" w:tentative="1">
      <w:start w:val="1"/>
      <w:numFmt w:val="decimal"/>
      <w:lvlText w:val="%2."/>
      <w:lvlJc w:val="left"/>
      <w:pPr>
        <w:tabs>
          <w:tab w:val="num" w:pos="1440"/>
        </w:tabs>
        <w:ind w:left="1440" w:hanging="360"/>
      </w:pPr>
    </w:lvl>
    <w:lvl w:ilvl="2" w:tplc="6B249DEA" w:tentative="1">
      <w:start w:val="1"/>
      <w:numFmt w:val="decimal"/>
      <w:lvlText w:val="%3."/>
      <w:lvlJc w:val="left"/>
      <w:pPr>
        <w:tabs>
          <w:tab w:val="num" w:pos="2160"/>
        </w:tabs>
        <w:ind w:left="2160" w:hanging="360"/>
      </w:pPr>
    </w:lvl>
    <w:lvl w:ilvl="3" w:tplc="BC6C2BFA" w:tentative="1">
      <w:start w:val="1"/>
      <w:numFmt w:val="decimal"/>
      <w:lvlText w:val="%4."/>
      <w:lvlJc w:val="left"/>
      <w:pPr>
        <w:tabs>
          <w:tab w:val="num" w:pos="2880"/>
        </w:tabs>
        <w:ind w:left="2880" w:hanging="360"/>
      </w:pPr>
    </w:lvl>
    <w:lvl w:ilvl="4" w:tplc="91562660" w:tentative="1">
      <w:start w:val="1"/>
      <w:numFmt w:val="decimal"/>
      <w:lvlText w:val="%5."/>
      <w:lvlJc w:val="left"/>
      <w:pPr>
        <w:tabs>
          <w:tab w:val="num" w:pos="3600"/>
        </w:tabs>
        <w:ind w:left="3600" w:hanging="360"/>
      </w:pPr>
    </w:lvl>
    <w:lvl w:ilvl="5" w:tplc="B27856D4" w:tentative="1">
      <w:start w:val="1"/>
      <w:numFmt w:val="decimal"/>
      <w:lvlText w:val="%6."/>
      <w:lvlJc w:val="left"/>
      <w:pPr>
        <w:tabs>
          <w:tab w:val="num" w:pos="4320"/>
        </w:tabs>
        <w:ind w:left="4320" w:hanging="360"/>
      </w:pPr>
    </w:lvl>
    <w:lvl w:ilvl="6" w:tplc="9CDAF37A" w:tentative="1">
      <w:start w:val="1"/>
      <w:numFmt w:val="decimal"/>
      <w:lvlText w:val="%7."/>
      <w:lvlJc w:val="left"/>
      <w:pPr>
        <w:tabs>
          <w:tab w:val="num" w:pos="5040"/>
        </w:tabs>
        <w:ind w:left="5040" w:hanging="360"/>
      </w:pPr>
    </w:lvl>
    <w:lvl w:ilvl="7" w:tplc="4C4A0888" w:tentative="1">
      <w:start w:val="1"/>
      <w:numFmt w:val="decimal"/>
      <w:lvlText w:val="%8."/>
      <w:lvlJc w:val="left"/>
      <w:pPr>
        <w:tabs>
          <w:tab w:val="num" w:pos="5760"/>
        </w:tabs>
        <w:ind w:left="5760" w:hanging="360"/>
      </w:pPr>
    </w:lvl>
    <w:lvl w:ilvl="8" w:tplc="963C1448" w:tentative="1">
      <w:start w:val="1"/>
      <w:numFmt w:val="decimal"/>
      <w:lvlText w:val="%9."/>
      <w:lvlJc w:val="left"/>
      <w:pPr>
        <w:tabs>
          <w:tab w:val="num" w:pos="6480"/>
        </w:tabs>
        <w:ind w:left="6480" w:hanging="360"/>
      </w:pPr>
    </w:lvl>
  </w:abstractNum>
  <w:abstractNum w:abstractNumId="10">
    <w:nsid w:val="47B41286"/>
    <w:multiLevelType w:val="hybridMultilevel"/>
    <w:tmpl w:val="B1F81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95E5827"/>
    <w:multiLevelType w:val="hybridMultilevel"/>
    <w:tmpl w:val="47AC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33D69"/>
    <w:multiLevelType w:val="hybridMultilevel"/>
    <w:tmpl w:val="373201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E39155C"/>
    <w:multiLevelType w:val="hybridMultilevel"/>
    <w:tmpl w:val="4EDA56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8D47AA4"/>
    <w:multiLevelType w:val="hybridMultilevel"/>
    <w:tmpl w:val="5F247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32C6DF9"/>
    <w:multiLevelType w:val="hybridMultilevel"/>
    <w:tmpl w:val="52E2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A15595"/>
    <w:multiLevelType w:val="hybridMultilevel"/>
    <w:tmpl w:val="1FCC3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B491641"/>
    <w:multiLevelType w:val="hybridMultilevel"/>
    <w:tmpl w:val="1D9EB00A"/>
    <w:lvl w:ilvl="0" w:tplc="185E1B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042BF"/>
    <w:multiLevelType w:val="hybridMultilevel"/>
    <w:tmpl w:val="07A4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563D70"/>
    <w:multiLevelType w:val="hybridMultilevel"/>
    <w:tmpl w:val="65526BBA"/>
    <w:lvl w:ilvl="0" w:tplc="C33EC852">
      <w:start w:val="2"/>
      <w:numFmt w:val="decimal"/>
      <w:lvlText w:val="%1."/>
      <w:lvlJc w:val="left"/>
      <w:pPr>
        <w:tabs>
          <w:tab w:val="num" w:pos="720"/>
        </w:tabs>
        <w:ind w:left="720" w:hanging="360"/>
      </w:pPr>
    </w:lvl>
    <w:lvl w:ilvl="1" w:tplc="1CC4D3BA">
      <w:numFmt w:val="bullet"/>
      <w:lvlText w:val="•"/>
      <w:lvlJc w:val="left"/>
      <w:pPr>
        <w:ind w:left="1440" w:hanging="360"/>
      </w:pPr>
      <w:rPr>
        <w:rFonts w:ascii="Times New Roman" w:eastAsia="Times New Roman" w:hAnsi="Times New Roman" w:cs="Times New Roman" w:hint="default"/>
        <w:b/>
      </w:rPr>
    </w:lvl>
    <w:lvl w:ilvl="2" w:tplc="9F2CDA44" w:tentative="1">
      <w:start w:val="1"/>
      <w:numFmt w:val="decimal"/>
      <w:lvlText w:val="%3."/>
      <w:lvlJc w:val="left"/>
      <w:pPr>
        <w:tabs>
          <w:tab w:val="num" w:pos="2160"/>
        </w:tabs>
        <w:ind w:left="2160" w:hanging="360"/>
      </w:pPr>
    </w:lvl>
    <w:lvl w:ilvl="3" w:tplc="F7122786" w:tentative="1">
      <w:start w:val="1"/>
      <w:numFmt w:val="decimal"/>
      <w:lvlText w:val="%4."/>
      <w:lvlJc w:val="left"/>
      <w:pPr>
        <w:tabs>
          <w:tab w:val="num" w:pos="2880"/>
        </w:tabs>
        <w:ind w:left="2880" w:hanging="360"/>
      </w:pPr>
    </w:lvl>
    <w:lvl w:ilvl="4" w:tplc="9EF6E59E" w:tentative="1">
      <w:start w:val="1"/>
      <w:numFmt w:val="decimal"/>
      <w:lvlText w:val="%5."/>
      <w:lvlJc w:val="left"/>
      <w:pPr>
        <w:tabs>
          <w:tab w:val="num" w:pos="3600"/>
        </w:tabs>
        <w:ind w:left="3600" w:hanging="360"/>
      </w:pPr>
    </w:lvl>
    <w:lvl w:ilvl="5" w:tplc="7138F03C" w:tentative="1">
      <w:start w:val="1"/>
      <w:numFmt w:val="decimal"/>
      <w:lvlText w:val="%6."/>
      <w:lvlJc w:val="left"/>
      <w:pPr>
        <w:tabs>
          <w:tab w:val="num" w:pos="4320"/>
        </w:tabs>
        <w:ind w:left="4320" w:hanging="360"/>
      </w:pPr>
    </w:lvl>
    <w:lvl w:ilvl="6" w:tplc="CC7AF38E" w:tentative="1">
      <w:start w:val="1"/>
      <w:numFmt w:val="decimal"/>
      <w:lvlText w:val="%7."/>
      <w:lvlJc w:val="left"/>
      <w:pPr>
        <w:tabs>
          <w:tab w:val="num" w:pos="5040"/>
        </w:tabs>
        <w:ind w:left="5040" w:hanging="360"/>
      </w:pPr>
    </w:lvl>
    <w:lvl w:ilvl="7" w:tplc="16029FBC" w:tentative="1">
      <w:start w:val="1"/>
      <w:numFmt w:val="decimal"/>
      <w:lvlText w:val="%8."/>
      <w:lvlJc w:val="left"/>
      <w:pPr>
        <w:tabs>
          <w:tab w:val="num" w:pos="5760"/>
        </w:tabs>
        <w:ind w:left="5760" w:hanging="360"/>
      </w:pPr>
    </w:lvl>
    <w:lvl w:ilvl="8" w:tplc="7E3AD970" w:tentative="1">
      <w:start w:val="1"/>
      <w:numFmt w:val="decimal"/>
      <w:lvlText w:val="%9."/>
      <w:lvlJc w:val="left"/>
      <w:pPr>
        <w:tabs>
          <w:tab w:val="num" w:pos="6480"/>
        </w:tabs>
        <w:ind w:left="6480" w:hanging="360"/>
      </w:pPr>
    </w:lvl>
  </w:abstractNum>
  <w:abstractNum w:abstractNumId="20">
    <w:nsid w:val="78872F41"/>
    <w:multiLevelType w:val="hybridMultilevel"/>
    <w:tmpl w:val="3B102A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A711EFA"/>
    <w:multiLevelType w:val="hybridMultilevel"/>
    <w:tmpl w:val="0874C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FD9011D"/>
    <w:multiLevelType w:val="hybridMultilevel"/>
    <w:tmpl w:val="E480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9"/>
  </w:num>
  <w:num w:numId="4">
    <w:abstractNumId w:val="8"/>
  </w:num>
  <w:num w:numId="5">
    <w:abstractNumId w:val="20"/>
  </w:num>
  <w:num w:numId="6">
    <w:abstractNumId w:val="16"/>
  </w:num>
  <w:num w:numId="7">
    <w:abstractNumId w:val="10"/>
  </w:num>
  <w:num w:numId="8">
    <w:abstractNumId w:val="0"/>
  </w:num>
  <w:num w:numId="9">
    <w:abstractNumId w:val="14"/>
  </w:num>
  <w:num w:numId="10">
    <w:abstractNumId w:val="1"/>
  </w:num>
  <w:num w:numId="11">
    <w:abstractNumId w:val="7"/>
  </w:num>
  <w:num w:numId="12">
    <w:abstractNumId w:val="4"/>
  </w:num>
  <w:num w:numId="13">
    <w:abstractNumId w:val="13"/>
  </w:num>
  <w:num w:numId="14">
    <w:abstractNumId w:val="3"/>
  </w:num>
  <w:num w:numId="15">
    <w:abstractNumId w:val="12"/>
  </w:num>
  <w:num w:numId="16">
    <w:abstractNumId w:val="21"/>
  </w:num>
  <w:num w:numId="17">
    <w:abstractNumId w:val="17"/>
  </w:num>
  <w:num w:numId="18">
    <w:abstractNumId w:val="15"/>
  </w:num>
  <w:num w:numId="19">
    <w:abstractNumId w:val="11"/>
  </w:num>
  <w:num w:numId="20">
    <w:abstractNumId w:val="6"/>
  </w:num>
  <w:num w:numId="21">
    <w:abstractNumId w:val="5"/>
  </w:num>
  <w:num w:numId="22">
    <w:abstractNumId w:val="18"/>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927F6"/>
    <w:rsid w:val="008927F6"/>
    <w:rsid w:val="00AE2AD0"/>
    <w:rsid w:val="00E94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7F6"/>
    <w:pPr>
      <w:spacing w:after="0" w:line="240" w:lineRule="auto"/>
    </w:pPr>
    <w:rPr>
      <w:rFonts w:ascii="Times" w:eastAsia="Times New Roman"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
    <w:basedOn w:val="Normal"/>
    <w:link w:val="FootnoteTextChar"/>
    <w:unhideWhenUsed/>
    <w:rsid w:val="008927F6"/>
    <w:rPr>
      <w:rFonts w:asciiTheme="minorHAnsi" w:eastAsiaTheme="minorHAnsi" w:hAnsiTheme="minorHAnsi" w:cstheme="minorBidi"/>
    </w:rPr>
  </w:style>
  <w:style w:type="character" w:customStyle="1" w:styleId="FootnoteTextChar">
    <w:name w:val="Footnote Text Char"/>
    <w:aliases w:val="Footnote Text Char1 Char,Footnote Text Char Char Char"/>
    <w:basedOn w:val="DefaultParagraphFont"/>
    <w:link w:val="FootnoteText"/>
    <w:rsid w:val="008927F6"/>
    <w:rPr>
      <w:sz w:val="20"/>
      <w:szCs w:val="20"/>
    </w:rPr>
  </w:style>
  <w:style w:type="character" w:styleId="FootnoteReference">
    <w:name w:val="footnote reference"/>
    <w:basedOn w:val="DefaultParagraphFont"/>
    <w:unhideWhenUsed/>
    <w:rsid w:val="008927F6"/>
    <w:rPr>
      <w:vertAlign w:val="superscript"/>
    </w:rPr>
  </w:style>
  <w:style w:type="table" w:customStyle="1" w:styleId="PlainTable11">
    <w:name w:val="Plain Table 11"/>
    <w:basedOn w:val="TableNormal"/>
    <w:next w:val="TableNormal"/>
    <w:uiPriority w:val="41"/>
    <w:rsid w:val="008927F6"/>
    <w:pPr>
      <w:spacing w:after="0" w:line="240" w:lineRule="auto"/>
    </w:pPr>
    <w:rPr>
      <w:rFonts w:ascii="Times New Roman" w:eastAsia="Times New Roman" w:hAnsi="Times New Roman" w:cs="Times New Roman"/>
      <w:sz w:val="20"/>
      <w:szCs w:val="20"/>
      <w:lang w:val="en-ZA" w:eastAsia="en-Z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3464</Words>
  <Characters>19746</Characters>
  <Application>Microsoft Office Word</Application>
  <DocSecurity>0</DocSecurity>
  <Lines>164</Lines>
  <Paragraphs>46</Paragraphs>
  <ScaleCrop>false</ScaleCrop>
  <Company/>
  <LinksUpToDate>false</LinksUpToDate>
  <CharactersWithSpaces>23164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2022-06-07T20:33:00Z</dcterms:created>
  <dcterms:modified xsi:type="dcterms:W3CDTF">2022-06-07T20:34:00Z</dcterms:modified>
</cp:coreProperties>
</file>