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D42" w:rsidRPr="00CE42F2" w:rsidRDefault="001E7E56" w:rsidP="00CE42F2">
      <w:pPr>
        <w:tabs>
          <w:tab w:val="left" w:pos="3960"/>
        </w:tabs>
        <w:rPr>
          <w:rFonts w:cs="Arial"/>
          <w:b/>
          <w:color w:val="auto"/>
          <w:sz w:val="20"/>
          <w:szCs w:val="20"/>
        </w:rPr>
      </w:pPr>
      <w:r w:rsidRPr="00CE42F2">
        <w:rPr>
          <w:rFonts w:cs="Arial"/>
          <w:b/>
          <w:color w:val="auto"/>
          <w:sz w:val="20"/>
          <w:szCs w:val="20"/>
        </w:rPr>
        <w:t xml:space="preserve">REPORT OF THE PORTFOLIO COMMITTEE ON PUBLIC ENTERPRISES ON BUDGET VOTE 10: PUBLIC ENTERPRISES, AND ON THE </w:t>
      </w:r>
      <w:r w:rsidR="00D117E9" w:rsidRPr="00CE42F2">
        <w:rPr>
          <w:rFonts w:cs="Arial"/>
          <w:b/>
          <w:color w:val="auto"/>
          <w:sz w:val="20"/>
          <w:szCs w:val="20"/>
        </w:rPr>
        <w:t xml:space="preserve">STRATEGIC PLAN AND </w:t>
      </w:r>
      <w:r w:rsidRPr="00CE42F2">
        <w:rPr>
          <w:rFonts w:cs="Arial"/>
          <w:b/>
          <w:color w:val="auto"/>
          <w:sz w:val="20"/>
          <w:szCs w:val="20"/>
        </w:rPr>
        <w:t>ANNUAL PERFORMANCE PLAN FOR 2022/23 OF THE DEPARTMENT OF PUBLIC ENTERPRISES, DATED 18 MAY 2022</w:t>
      </w:r>
    </w:p>
    <w:p w:rsidR="00621D42" w:rsidRPr="00CE42F2" w:rsidRDefault="00621D42" w:rsidP="00CE42F2">
      <w:pPr>
        <w:tabs>
          <w:tab w:val="left" w:pos="3960"/>
        </w:tabs>
        <w:rPr>
          <w:rFonts w:cs="Arial"/>
          <w:color w:val="auto"/>
          <w:sz w:val="20"/>
          <w:szCs w:val="20"/>
        </w:rPr>
      </w:pPr>
    </w:p>
    <w:p w:rsidR="00621D42" w:rsidRPr="00CE42F2" w:rsidRDefault="00621D42" w:rsidP="00CE42F2">
      <w:pPr>
        <w:tabs>
          <w:tab w:val="left" w:pos="3960"/>
        </w:tabs>
        <w:rPr>
          <w:rFonts w:cs="Arial"/>
          <w:color w:val="auto"/>
          <w:sz w:val="20"/>
          <w:szCs w:val="20"/>
        </w:rPr>
      </w:pPr>
      <w:r w:rsidRPr="00CE42F2">
        <w:rPr>
          <w:rFonts w:cs="Arial"/>
          <w:color w:val="auto"/>
          <w:sz w:val="20"/>
          <w:szCs w:val="20"/>
        </w:rPr>
        <w:t>The Portfolio Committee on Public Enterprises, having received a briefing from the Department of Public Enterprises on the</w:t>
      </w:r>
      <w:r w:rsidR="00911E5F" w:rsidRPr="00CE42F2">
        <w:rPr>
          <w:rFonts w:cs="Arial"/>
          <w:color w:val="auto"/>
          <w:sz w:val="20"/>
          <w:szCs w:val="20"/>
        </w:rPr>
        <w:t xml:space="preserve"> Strategic Plan</w:t>
      </w:r>
      <w:r w:rsidR="00D87980" w:rsidRPr="00CE42F2">
        <w:rPr>
          <w:rFonts w:cs="Arial"/>
          <w:color w:val="auto"/>
          <w:sz w:val="20"/>
          <w:szCs w:val="20"/>
        </w:rPr>
        <w:t xml:space="preserve">, </w:t>
      </w:r>
      <w:r w:rsidRPr="00CE42F2">
        <w:rPr>
          <w:rFonts w:cs="Arial"/>
          <w:color w:val="auto"/>
          <w:sz w:val="20"/>
          <w:szCs w:val="20"/>
        </w:rPr>
        <w:t>Annual Performance Plan a</w:t>
      </w:r>
      <w:r w:rsidR="006141C4" w:rsidRPr="00CE42F2">
        <w:rPr>
          <w:rFonts w:cs="Arial"/>
          <w:color w:val="auto"/>
          <w:sz w:val="20"/>
          <w:szCs w:val="20"/>
        </w:rPr>
        <w:t xml:space="preserve">nd on the </w:t>
      </w:r>
      <w:r w:rsidR="00E373F9" w:rsidRPr="00CE42F2">
        <w:rPr>
          <w:rFonts w:cs="Arial"/>
          <w:color w:val="auto"/>
          <w:sz w:val="20"/>
          <w:szCs w:val="20"/>
        </w:rPr>
        <w:t xml:space="preserve">Budget Vote </w:t>
      </w:r>
      <w:r w:rsidR="006141C4" w:rsidRPr="00CE42F2">
        <w:rPr>
          <w:rFonts w:cs="Arial"/>
          <w:color w:val="auto"/>
          <w:sz w:val="20"/>
          <w:szCs w:val="20"/>
        </w:rPr>
        <w:t xml:space="preserve">on </w:t>
      </w:r>
      <w:r w:rsidR="00AB73D7" w:rsidRPr="00CE42F2">
        <w:rPr>
          <w:rFonts w:cs="Arial"/>
          <w:color w:val="auto"/>
          <w:sz w:val="20"/>
          <w:szCs w:val="20"/>
        </w:rPr>
        <w:t>11 May 2022</w:t>
      </w:r>
      <w:r w:rsidRPr="00CE42F2">
        <w:rPr>
          <w:rFonts w:cs="Arial"/>
          <w:color w:val="auto"/>
          <w:sz w:val="20"/>
          <w:szCs w:val="20"/>
        </w:rPr>
        <w:t xml:space="preserve">, reports as follows: </w:t>
      </w:r>
    </w:p>
    <w:p w:rsidR="00621D42" w:rsidRPr="00CE42F2" w:rsidRDefault="00621D42" w:rsidP="00CE42F2">
      <w:pPr>
        <w:tabs>
          <w:tab w:val="left" w:pos="3960"/>
        </w:tabs>
        <w:rPr>
          <w:rFonts w:cs="Arial"/>
          <w:color w:val="auto"/>
          <w:sz w:val="20"/>
          <w:szCs w:val="20"/>
        </w:rPr>
      </w:pPr>
    </w:p>
    <w:p w:rsidR="00621D42" w:rsidRPr="00CE42F2" w:rsidRDefault="00621D42" w:rsidP="00CE42F2">
      <w:pPr>
        <w:tabs>
          <w:tab w:val="left" w:pos="3960"/>
        </w:tabs>
        <w:rPr>
          <w:rFonts w:cs="Arial"/>
          <w:b/>
          <w:color w:val="auto"/>
          <w:sz w:val="20"/>
          <w:szCs w:val="20"/>
        </w:rPr>
      </w:pPr>
      <w:r w:rsidRPr="00CE42F2">
        <w:rPr>
          <w:rFonts w:cs="Arial"/>
          <w:b/>
          <w:color w:val="auto"/>
          <w:sz w:val="20"/>
          <w:szCs w:val="20"/>
        </w:rPr>
        <w:t>1.      Introduction</w:t>
      </w:r>
    </w:p>
    <w:p w:rsidR="00621D42" w:rsidRPr="00CE42F2" w:rsidRDefault="00621D42" w:rsidP="00CE42F2">
      <w:pPr>
        <w:tabs>
          <w:tab w:val="left" w:pos="2355"/>
        </w:tabs>
        <w:rPr>
          <w:rFonts w:cs="Arial"/>
          <w:bCs/>
          <w:color w:val="auto"/>
          <w:sz w:val="20"/>
          <w:szCs w:val="20"/>
        </w:rPr>
      </w:pPr>
      <w:r w:rsidRPr="00CE42F2">
        <w:rPr>
          <w:rFonts w:cs="Arial"/>
          <w:bCs/>
          <w:color w:val="auto"/>
          <w:sz w:val="20"/>
          <w:szCs w:val="20"/>
        </w:rPr>
        <w:tab/>
      </w:r>
    </w:p>
    <w:p w:rsidR="003071EE" w:rsidRPr="00CE42F2" w:rsidRDefault="00621D42" w:rsidP="00CE42F2">
      <w:pPr>
        <w:rPr>
          <w:rFonts w:cs="Arial"/>
          <w:bCs/>
          <w:color w:val="auto"/>
          <w:sz w:val="20"/>
          <w:szCs w:val="20"/>
        </w:rPr>
      </w:pPr>
      <w:r w:rsidRPr="00CE42F2">
        <w:rPr>
          <w:rFonts w:cs="Arial"/>
          <w:bCs/>
          <w:color w:val="auto"/>
          <w:sz w:val="20"/>
          <w:szCs w:val="20"/>
        </w:rPr>
        <w:t>Guided by the Rules of Parliament, promulgated in terms of the Constitution, the Portfolio Committee on Public Enterprises plays an oversight role on the Ministry, Department of Public Enterprises and State</w:t>
      </w:r>
      <w:r w:rsidR="00986180" w:rsidRPr="00CE42F2">
        <w:rPr>
          <w:rFonts w:cs="Arial"/>
          <w:bCs/>
          <w:color w:val="auto"/>
          <w:sz w:val="20"/>
          <w:szCs w:val="20"/>
        </w:rPr>
        <w:t>-</w:t>
      </w:r>
      <w:r w:rsidRPr="00CE42F2">
        <w:rPr>
          <w:rFonts w:cs="Arial"/>
          <w:bCs/>
          <w:color w:val="auto"/>
          <w:sz w:val="20"/>
          <w:szCs w:val="20"/>
        </w:rPr>
        <w:t>Owned Companies.</w:t>
      </w:r>
    </w:p>
    <w:p w:rsidR="003071EE" w:rsidRPr="00CE42F2" w:rsidRDefault="003071EE" w:rsidP="00CE42F2">
      <w:pPr>
        <w:rPr>
          <w:rFonts w:cs="Arial"/>
          <w:bCs/>
          <w:color w:val="auto"/>
          <w:sz w:val="20"/>
          <w:szCs w:val="20"/>
        </w:rPr>
      </w:pPr>
    </w:p>
    <w:p w:rsidR="00621D42" w:rsidRPr="00CE42F2" w:rsidRDefault="00621D42" w:rsidP="00CE42F2">
      <w:pPr>
        <w:rPr>
          <w:rFonts w:cs="Arial"/>
          <w:b/>
          <w:color w:val="auto"/>
          <w:sz w:val="20"/>
          <w:szCs w:val="20"/>
        </w:rPr>
      </w:pPr>
      <w:r w:rsidRPr="00CE42F2">
        <w:rPr>
          <w:rFonts w:cs="Arial"/>
          <w:bCs/>
          <w:color w:val="auto"/>
          <w:sz w:val="20"/>
          <w:szCs w:val="20"/>
        </w:rPr>
        <w:t>The Committee has to scrutinise the Strategic Plan and Annual Performance Plan of the Department and its entities in order to see if the funds requested are aligned to the objectives as stated in the respective Strategic Plan and Annual Performance Plan documents</w:t>
      </w:r>
      <w:r w:rsidRPr="00CE42F2">
        <w:rPr>
          <w:rFonts w:cs="Arial"/>
          <w:b/>
          <w:color w:val="auto"/>
          <w:sz w:val="20"/>
          <w:szCs w:val="20"/>
        </w:rPr>
        <w:t>.</w:t>
      </w:r>
    </w:p>
    <w:p w:rsidR="00621D42" w:rsidRPr="00CE42F2" w:rsidRDefault="00621D42" w:rsidP="00CE42F2">
      <w:pPr>
        <w:tabs>
          <w:tab w:val="left" w:pos="3960"/>
        </w:tabs>
        <w:rPr>
          <w:rFonts w:cs="Arial"/>
          <w:color w:val="auto"/>
          <w:sz w:val="20"/>
          <w:szCs w:val="20"/>
        </w:rPr>
      </w:pPr>
    </w:p>
    <w:p w:rsidR="00621D42" w:rsidRPr="00CE42F2" w:rsidRDefault="00621D42" w:rsidP="00CE42F2">
      <w:pPr>
        <w:tabs>
          <w:tab w:val="left" w:pos="3960"/>
        </w:tabs>
        <w:rPr>
          <w:rFonts w:cs="Arial"/>
          <w:b/>
          <w:color w:val="auto"/>
          <w:sz w:val="20"/>
          <w:szCs w:val="20"/>
        </w:rPr>
      </w:pPr>
      <w:r w:rsidRPr="00CE42F2">
        <w:rPr>
          <w:rFonts w:cs="Arial"/>
          <w:b/>
          <w:color w:val="auto"/>
          <w:sz w:val="20"/>
          <w:szCs w:val="20"/>
        </w:rPr>
        <w:t xml:space="preserve">1.1      Background </w:t>
      </w:r>
    </w:p>
    <w:p w:rsidR="00621D42" w:rsidRPr="00CE42F2" w:rsidRDefault="00621D42" w:rsidP="00CE42F2">
      <w:pPr>
        <w:rPr>
          <w:rFonts w:cs="Arial"/>
          <w:color w:val="auto"/>
          <w:sz w:val="20"/>
          <w:szCs w:val="20"/>
          <w:lang w:val="en-US"/>
        </w:rPr>
      </w:pPr>
    </w:p>
    <w:p w:rsidR="00621D42" w:rsidRPr="00CE42F2" w:rsidRDefault="00621D42" w:rsidP="00CE42F2">
      <w:pPr>
        <w:rPr>
          <w:rFonts w:cs="Arial"/>
          <w:color w:val="auto"/>
          <w:spacing w:val="0"/>
          <w:sz w:val="20"/>
          <w:szCs w:val="20"/>
          <w:lang w:val="en-US" w:eastAsia="en-ZA"/>
        </w:rPr>
      </w:pPr>
      <w:r w:rsidRPr="00CE42F2">
        <w:rPr>
          <w:rFonts w:cs="Arial"/>
          <w:color w:val="auto"/>
          <w:sz w:val="20"/>
          <w:szCs w:val="20"/>
          <w:lang w:val="en-US"/>
        </w:rPr>
        <w:t>The State has a devel</w:t>
      </w:r>
      <w:r w:rsidR="00D87980" w:rsidRPr="00CE42F2">
        <w:rPr>
          <w:rFonts w:cs="Arial"/>
          <w:color w:val="auto"/>
          <w:sz w:val="20"/>
          <w:szCs w:val="20"/>
          <w:lang w:val="en-US"/>
        </w:rPr>
        <w:t>opmental role to play and uses state-owned c</w:t>
      </w:r>
      <w:r w:rsidRPr="00CE42F2">
        <w:rPr>
          <w:rFonts w:cs="Arial"/>
          <w:color w:val="auto"/>
          <w:sz w:val="20"/>
          <w:szCs w:val="20"/>
          <w:lang w:val="en-US"/>
        </w:rPr>
        <w:t xml:space="preserve">ompanies as the </w:t>
      </w:r>
      <w:r w:rsidR="00F568D0" w:rsidRPr="00CE42F2">
        <w:rPr>
          <w:rFonts w:cs="Arial"/>
          <w:color w:val="auto"/>
          <w:sz w:val="20"/>
          <w:szCs w:val="20"/>
          <w:lang w:val="en-US"/>
        </w:rPr>
        <w:t xml:space="preserve">implementation </w:t>
      </w:r>
      <w:r w:rsidRPr="00CE42F2">
        <w:rPr>
          <w:rFonts w:cs="Arial"/>
          <w:color w:val="auto"/>
          <w:sz w:val="20"/>
          <w:szCs w:val="20"/>
          <w:lang w:val="en-US"/>
        </w:rPr>
        <w:t xml:space="preserve">tools for fulfilling this role. </w:t>
      </w:r>
      <w:r w:rsidRPr="00CE42F2">
        <w:rPr>
          <w:rFonts w:cs="Arial"/>
          <w:color w:val="auto"/>
          <w:spacing w:val="0"/>
          <w:sz w:val="20"/>
          <w:szCs w:val="20"/>
          <w:lang w:val="en-US" w:eastAsia="en-ZA"/>
        </w:rPr>
        <w:t xml:space="preserve">The developmental role should support a number of economic and development goals, including delivery of strategic infrastructure that will unlock growth potential in the country; support of the wider economy and marginal business sectors and support of economic recovery </w:t>
      </w:r>
      <w:r w:rsidR="00F568D0" w:rsidRPr="00CE42F2">
        <w:rPr>
          <w:rFonts w:cs="Arial"/>
          <w:color w:val="auto"/>
          <w:spacing w:val="0"/>
          <w:sz w:val="20"/>
          <w:szCs w:val="20"/>
          <w:lang w:val="en-US" w:eastAsia="en-ZA"/>
        </w:rPr>
        <w:t xml:space="preserve">and reconstruction </w:t>
      </w:r>
      <w:r w:rsidRPr="00CE42F2">
        <w:rPr>
          <w:rFonts w:cs="Arial"/>
          <w:color w:val="auto"/>
          <w:spacing w:val="0"/>
          <w:sz w:val="20"/>
          <w:szCs w:val="20"/>
          <w:lang w:val="en-US" w:eastAsia="en-ZA"/>
        </w:rPr>
        <w:t>where needed. The State requires strategic, organizational and operational capacity to play its developmental role.</w:t>
      </w:r>
      <w:r w:rsidR="00D87980" w:rsidRPr="00CE42F2">
        <w:rPr>
          <w:rFonts w:cs="Arial"/>
          <w:color w:val="auto"/>
          <w:sz w:val="20"/>
          <w:szCs w:val="20"/>
        </w:rPr>
        <w:t xml:space="preserve"> S</w:t>
      </w:r>
      <w:r w:rsidRPr="00CE42F2">
        <w:rPr>
          <w:rFonts w:cs="Arial"/>
          <w:color w:val="auto"/>
          <w:sz w:val="20"/>
          <w:szCs w:val="20"/>
        </w:rPr>
        <w:t>ta</w:t>
      </w:r>
      <w:r w:rsidR="00D87980" w:rsidRPr="00CE42F2">
        <w:rPr>
          <w:rFonts w:cs="Arial"/>
          <w:color w:val="auto"/>
          <w:sz w:val="20"/>
          <w:szCs w:val="20"/>
        </w:rPr>
        <w:t>te-owned c</w:t>
      </w:r>
      <w:r w:rsidRPr="00CE42F2">
        <w:rPr>
          <w:rFonts w:cs="Arial"/>
          <w:color w:val="auto"/>
          <w:sz w:val="20"/>
          <w:szCs w:val="20"/>
        </w:rPr>
        <w:t>ompanies (</w:t>
      </w:r>
      <w:r w:rsidRPr="00CE42F2">
        <w:rPr>
          <w:rFonts w:cs="Arial"/>
          <w:color w:val="auto"/>
          <w:spacing w:val="0"/>
          <w:sz w:val="20"/>
          <w:szCs w:val="20"/>
          <w:lang w:val="en-US" w:eastAsia="en-ZA"/>
        </w:rPr>
        <w:t xml:space="preserve">SOCs) </w:t>
      </w:r>
      <w:r w:rsidR="00F568D0" w:rsidRPr="00CE42F2">
        <w:rPr>
          <w:rFonts w:cs="Arial"/>
          <w:color w:val="auto"/>
          <w:spacing w:val="0"/>
          <w:sz w:val="20"/>
          <w:szCs w:val="20"/>
          <w:lang w:val="en-US" w:eastAsia="en-ZA"/>
        </w:rPr>
        <w:t>act as the extension of the</w:t>
      </w:r>
      <w:r w:rsidRPr="00CE42F2">
        <w:rPr>
          <w:rFonts w:cs="Arial"/>
          <w:color w:val="auto"/>
          <w:spacing w:val="0"/>
          <w:sz w:val="20"/>
          <w:szCs w:val="20"/>
          <w:lang w:val="en-US" w:eastAsia="en-ZA"/>
        </w:rPr>
        <w:t xml:space="preserve"> state’s </w:t>
      </w:r>
      <w:r w:rsidR="00E02DCB" w:rsidRPr="00CE42F2">
        <w:rPr>
          <w:rFonts w:cs="Arial"/>
          <w:color w:val="auto"/>
          <w:spacing w:val="0"/>
          <w:sz w:val="20"/>
          <w:szCs w:val="20"/>
          <w:lang w:val="en-US" w:eastAsia="en-ZA"/>
        </w:rPr>
        <w:t>capabilities in</w:t>
      </w:r>
      <w:r w:rsidRPr="00CE42F2">
        <w:rPr>
          <w:rFonts w:cs="Arial"/>
          <w:color w:val="auto"/>
          <w:spacing w:val="0"/>
          <w:sz w:val="20"/>
          <w:szCs w:val="20"/>
          <w:lang w:val="en-US" w:eastAsia="en-ZA"/>
        </w:rPr>
        <w:t xml:space="preserve"> this </w:t>
      </w:r>
      <w:r w:rsidR="00F568D0" w:rsidRPr="00CE42F2">
        <w:rPr>
          <w:rFonts w:cs="Arial"/>
          <w:color w:val="auto"/>
          <w:spacing w:val="0"/>
          <w:sz w:val="20"/>
          <w:szCs w:val="20"/>
          <w:lang w:val="en-US" w:eastAsia="en-ZA"/>
        </w:rPr>
        <w:t>regard</w:t>
      </w:r>
      <w:r w:rsidRPr="00CE42F2">
        <w:rPr>
          <w:rFonts w:cs="Arial"/>
          <w:color w:val="auto"/>
          <w:spacing w:val="0"/>
          <w:sz w:val="20"/>
          <w:szCs w:val="20"/>
          <w:lang w:val="en-US" w:eastAsia="en-ZA"/>
        </w:rPr>
        <w:t xml:space="preserve">, </w:t>
      </w:r>
      <w:r w:rsidR="00F568D0" w:rsidRPr="00CE42F2">
        <w:rPr>
          <w:rFonts w:cs="Arial"/>
          <w:color w:val="auto"/>
          <w:spacing w:val="0"/>
          <w:sz w:val="20"/>
          <w:szCs w:val="20"/>
          <w:lang w:val="en-US" w:eastAsia="en-ZA"/>
        </w:rPr>
        <w:t xml:space="preserve">and </w:t>
      </w:r>
      <w:r w:rsidRPr="00CE42F2">
        <w:rPr>
          <w:rFonts w:cs="Arial"/>
          <w:color w:val="auto"/>
          <w:spacing w:val="0"/>
          <w:sz w:val="20"/>
          <w:szCs w:val="20"/>
          <w:lang w:val="en-US" w:eastAsia="en-ZA"/>
        </w:rPr>
        <w:t xml:space="preserve">act as the implementing agents for </w:t>
      </w:r>
      <w:r w:rsidR="00F568D0" w:rsidRPr="00CE42F2">
        <w:rPr>
          <w:rFonts w:cs="Arial"/>
          <w:color w:val="auto"/>
          <w:spacing w:val="0"/>
          <w:sz w:val="20"/>
          <w:szCs w:val="20"/>
          <w:lang w:val="en-US" w:eastAsia="en-ZA"/>
        </w:rPr>
        <w:t>execution of projects assigned in line with national priorities</w:t>
      </w:r>
      <w:r w:rsidRPr="00CE42F2">
        <w:rPr>
          <w:rFonts w:cs="Arial"/>
          <w:color w:val="auto"/>
          <w:spacing w:val="0"/>
          <w:sz w:val="20"/>
          <w:szCs w:val="20"/>
          <w:lang w:val="en-US" w:eastAsia="en-ZA"/>
        </w:rPr>
        <w:t>.</w:t>
      </w:r>
    </w:p>
    <w:p w:rsidR="00242AA4" w:rsidRPr="00CE42F2" w:rsidRDefault="00242AA4" w:rsidP="00CE42F2">
      <w:pPr>
        <w:rPr>
          <w:rFonts w:cs="Arial"/>
          <w:color w:val="auto"/>
          <w:spacing w:val="0"/>
          <w:sz w:val="20"/>
          <w:szCs w:val="20"/>
          <w:lang w:val="en-US" w:eastAsia="en-ZA"/>
        </w:rPr>
      </w:pPr>
    </w:p>
    <w:p w:rsidR="00242AA4" w:rsidRPr="00CE42F2" w:rsidRDefault="00242AA4" w:rsidP="00CE42F2">
      <w:pPr>
        <w:rPr>
          <w:rFonts w:cs="Arial"/>
          <w:color w:val="auto"/>
          <w:spacing w:val="0"/>
          <w:sz w:val="20"/>
          <w:szCs w:val="20"/>
          <w:lang w:val="en-US" w:eastAsia="en-ZA"/>
        </w:rPr>
      </w:pPr>
    </w:p>
    <w:p w:rsidR="00621D42" w:rsidRPr="00CE42F2" w:rsidRDefault="00621D42" w:rsidP="00CE42F2">
      <w:pPr>
        <w:rPr>
          <w:rFonts w:cs="Arial"/>
          <w:color w:val="auto"/>
          <w:spacing w:val="0"/>
          <w:sz w:val="20"/>
          <w:szCs w:val="20"/>
          <w:lang w:val="en-US" w:eastAsia="en-ZA"/>
        </w:rPr>
      </w:pPr>
    </w:p>
    <w:p w:rsidR="00621D42" w:rsidRPr="00CE42F2" w:rsidRDefault="00621D42" w:rsidP="00CE42F2">
      <w:pPr>
        <w:tabs>
          <w:tab w:val="left" w:pos="3960"/>
        </w:tabs>
        <w:rPr>
          <w:rFonts w:cs="Arial"/>
          <w:color w:val="auto"/>
          <w:sz w:val="20"/>
          <w:szCs w:val="20"/>
        </w:rPr>
      </w:pPr>
      <w:r w:rsidRPr="00CE42F2">
        <w:rPr>
          <w:rFonts w:cs="Arial"/>
          <w:b/>
          <w:color w:val="auto"/>
          <w:sz w:val="20"/>
          <w:szCs w:val="20"/>
        </w:rPr>
        <w:t xml:space="preserve">2.      Annual Performance Plan of the Department of Public Enterprises </w:t>
      </w:r>
    </w:p>
    <w:p w:rsidR="00621D42" w:rsidRPr="00CE42F2" w:rsidRDefault="00621D42" w:rsidP="00CE42F2">
      <w:pPr>
        <w:tabs>
          <w:tab w:val="left" w:pos="3960"/>
        </w:tabs>
        <w:rPr>
          <w:rFonts w:cs="Arial"/>
          <w:color w:val="auto"/>
          <w:sz w:val="20"/>
          <w:szCs w:val="20"/>
        </w:rPr>
      </w:pPr>
    </w:p>
    <w:p w:rsidR="00F568D0" w:rsidRPr="00CE42F2" w:rsidRDefault="00621D42" w:rsidP="00CE42F2">
      <w:pPr>
        <w:tabs>
          <w:tab w:val="left" w:pos="3960"/>
        </w:tabs>
        <w:rPr>
          <w:rFonts w:cs="Arial"/>
          <w:color w:val="auto"/>
          <w:sz w:val="20"/>
          <w:szCs w:val="20"/>
        </w:rPr>
      </w:pPr>
      <w:r w:rsidRPr="00CE42F2">
        <w:rPr>
          <w:rFonts w:cs="Arial"/>
          <w:color w:val="auto"/>
          <w:sz w:val="20"/>
          <w:szCs w:val="20"/>
        </w:rPr>
        <w:t>The Department of Public Enterprises presented an A</w:t>
      </w:r>
      <w:r w:rsidR="00172C2D" w:rsidRPr="00CE42F2">
        <w:rPr>
          <w:rFonts w:cs="Arial"/>
          <w:color w:val="auto"/>
          <w:sz w:val="20"/>
          <w:szCs w:val="20"/>
        </w:rPr>
        <w:t>nnual Performance Plan for 20</w:t>
      </w:r>
      <w:r w:rsidR="00E02DCB" w:rsidRPr="00CE42F2">
        <w:rPr>
          <w:rFonts w:cs="Arial"/>
          <w:color w:val="auto"/>
          <w:sz w:val="20"/>
          <w:szCs w:val="20"/>
        </w:rPr>
        <w:t>22/23</w:t>
      </w:r>
      <w:r w:rsidRPr="00CE42F2">
        <w:rPr>
          <w:rFonts w:cs="Arial"/>
          <w:color w:val="auto"/>
          <w:sz w:val="20"/>
          <w:szCs w:val="20"/>
        </w:rPr>
        <w:t xml:space="preserve"> financial year </w:t>
      </w:r>
      <w:r w:rsidR="00986180" w:rsidRPr="00CE42F2">
        <w:rPr>
          <w:rFonts w:cs="Arial"/>
          <w:color w:val="auto"/>
          <w:sz w:val="20"/>
          <w:szCs w:val="20"/>
        </w:rPr>
        <w:t xml:space="preserve">to </w:t>
      </w:r>
      <w:r w:rsidRPr="00CE42F2">
        <w:rPr>
          <w:rFonts w:cs="Arial"/>
          <w:color w:val="auto"/>
          <w:sz w:val="20"/>
          <w:szCs w:val="20"/>
        </w:rPr>
        <w:t>the Committee. The Department described the overarching policy and strategic direction and priorities of Govern</w:t>
      </w:r>
      <w:r w:rsidR="00E02DCB" w:rsidRPr="00CE42F2">
        <w:rPr>
          <w:rFonts w:cs="Arial"/>
          <w:color w:val="auto"/>
          <w:sz w:val="20"/>
          <w:szCs w:val="20"/>
        </w:rPr>
        <w:t>ment, as articulated by the 2022</w:t>
      </w:r>
      <w:r w:rsidRPr="00CE42F2">
        <w:rPr>
          <w:rFonts w:cs="Arial"/>
          <w:color w:val="auto"/>
          <w:sz w:val="20"/>
          <w:szCs w:val="20"/>
        </w:rPr>
        <w:t xml:space="preserve"> State of the Nation Address by the President, the National Development Plan, </w:t>
      </w:r>
      <w:r w:rsidR="00885721" w:rsidRPr="00CE42F2">
        <w:rPr>
          <w:rFonts w:cs="Arial"/>
          <w:color w:val="auto"/>
          <w:sz w:val="20"/>
          <w:szCs w:val="20"/>
        </w:rPr>
        <w:t>t</w:t>
      </w:r>
      <w:r w:rsidRPr="00CE42F2">
        <w:rPr>
          <w:rFonts w:cs="Arial"/>
          <w:color w:val="auto"/>
          <w:sz w:val="20"/>
          <w:szCs w:val="20"/>
        </w:rPr>
        <w:t>he Presidential Review Commi</w:t>
      </w:r>
      <w:r w:rsidR="00172C2D" w:rsidRPr="00CE42F2">
        <w:rPr>
          <w:rFonts w:cs="Arial"/>
          <w:color w:val="auto"/>
          <w:sz w:val="20"/>
          <w:szCs w:val="20"/>
        </w:rPr>
        <w:t>ttee on State Owned Enterprises</w:t>
      </w:r>
      <w:r w:rsidR="00F568D0" w:rsidRPr="00CE42F2">
        <w:rPr>
          <w:rFonts w:cs="Arial"/>
          <w:color w:val="auto"/>
          <w:sz w:val="20"/>
          <w:szCs w:val="20"/>
        </w:rPr>
        <w:t>, and other pronouncements of Government on the repositioning and repurposing of the SOCs</w:t>
      </w:r>
      <w:r w:rsidR="00172C2D" w:rsidRPr="00CE42F2">
        <w:rPr>
          <w:rFonts w:cs="Arial"/>
          <w:color w:val="auto"/>
          <w:sz w:val="20"/>
          <w:szCs w:val="20"/>
        </w:rPr>
        <w:t xml:space="preserve">. </w:t>
      </w:r>
    </w:p>
    <w:p w:rsidR="00F568D0" w:rsidRPr="00CE42F2" w:rsidRDefault="00F568D0" w:rsidP="00CE42F2">
      <w:pPr>
        <w:tabs>
          <w:tab w:val="left" w:pos="3960"/>
        </w:tabs>
        <w:rPr>
          <w:rFonts w:cs="Arial"/>
          <w:color w:val="auto"/>
          <w:sz w:val="20"/>
          <w:szCs w:val="20"/>
        </w:rPr>
      </w:pPr>
    </w:p>
    <w:p w:rsidR="00930C5A" w:rsidRPr="00CE42F2" w:rsidRDefault="00172C2D" w:rsidP="00CE42F2">
      <w:pPr>
        <w:tabs>
          <w:tab w:val="left" w:pos="3960"/>
        </w:tabs>
        <w:rPr>
          <w:rFonts w:cs="Arial"/>
          <w:color w:val="auto"/>
          <w:sz w:val="20"/>
          <w:szCs w:val="20"/>
        </w:rPr>
      </w:pPr>
      <w:r w:rsidRPr="00CE42F2">
        <w:rPr>
          <w:rFonts w:cs="Arial"/>
          <w:color w:val="auto"/>
          <w:sz w:val="20"/>
          <w:szCs w:val="20"/>
        </w:rPr>
        <w:t>The Department</w:t>
      </w:r>
      <w:r w:rsidR="003071EE" w:rsidRPr="00CE42F2">
        <w:rPr>
          <w:rFonts w:cs="Arial"/>
          <w:color w:val="auto"/>
          <w:sz w:val="20"/>
          <w:szCs w:val="20"/>
        </w:rPr>
        <w:t>’s allocation is a product of a budget process of the</w:t>
      </w:r>
      <w:r w:rsidRPr="00CE42F2">
        <w:rPr>
          <w:rFonts w:cs="Arial"/>
          <w:color w:val="auto"/>
          <w:sz w:val="20"/>
          <w:szCs w:val="20"/>
        </w:rPr>
        <w:t xml:space="preserve"> National Treasury</w:t>
      </w:r>
      <w:r w:rsidR="00930C5A" w:rsidRPr="00CE42F2">
        <w:rPr>
          <w:rFonts w:cs="Arial"/>
          <w:color w:val="auto"/>
          <w:sz w:val="20"/>
          <w:szCs w:val="20"/>
        </w:rPr>
        <w:t>, which starts in July</w:t>
      </w:r>
      <w:r w:rsidR="003071EE" w:rsidRPr="00CE42F2">
        <w:rPr>
          <w:rFonts w:cs="Arial"/>
          <w:color w:val="auto"/>
          <w:sz w:val="20"/>
          <w:szCs w:val="20"/>
        </w:rPr>
        <w:t xml:space="preserve"> of a prior year and culminates in the Medium Term Budget Policy Statement (MTBPS) in </w:t>
      </w:r>
      <w:r w:rsidRPr="00CE42F2">
        <w:rPr>
          <w:rFonts w:cs="Arial"/>
          <w:color w:val="auto"/>
          <w:sz w:val="20"/>
          <w:szCs w:val="20"/>
        </w:rPr>
        <w:t xml:space="preserve">November </w:t>
      </w:r>
      <w:r w:rsidR="003071EE" w:rsidRPr="00CE42F2">
        <w:rPr>
          <w:rFonts w:cs="Arial"/>
          <w:color w:val="auto"/>
          <w:sz w:val="20"/>
          <w:szCs w:val="20"/>
        </w:rPr>
        <w:t>of the prior year, and the confirmation of allocations in the February Minister of Finance’</w:t>
      </w:r>
      <w:r w:rsidRPr="00CE42F2">
        <w:rPr>
          <w:rFonts w:cs="Arial"/>
          <w:color w:val="auto"/>
          <w:sz w:val="20"/>
          <w:szCs w:val="20"/>
        </w:rPr>
        <w:t xml:space="preserve"> </w:t>
      </w:r>
      <w:r w:rsidR="00930C5A" w:rsidRPr="00CE42F2">
        <w:rPr>
          <w:rFonts w:cs="Arial"/>
          <w:color w:val="auto"/>
          <w:sz w:val="20"/>
          <w:szCs w:val="20"/>
        </w:rPr>
        <w:t>B</w:t>
      </w:r>
      <w:r w:rsidRPr="00CE42F2">
        <w:rPr>
          <w:rFonts w:cs="Arial"/>
          <w:color w:val="auto"/>
          <w:sz w:val="20"/>
          <w:szCs w:val="20"/>
        </w:rPr>
        <w:t xml:space="preserve">udget </w:t>
      </w:r>
      <w:r w:rsidR="00930C5A" w:rsidRPr="00CE42F2">
        <w:rPr>
          <w:rFonts w:cs="Arial"/>
          <w:color w:val="auto"/>
          <w:sz w:val="20"/>
          <w:szCs w:val="20"/>
        </w:rPr>
        <w:t xml:space="preserve">Statement (Estimates of National Expenditure), with a three-year view, that are then </w:t>
      </w:r>
      <w:r w:rsidRPr="00CE42F2">
        <w:rPr>
          <w:rFonts w:cs="Arial"/>
          <w:color w:val="auto"/>
          <w:sz w:val="20"/>
          <w:szCs w:val="20"/>
        </w:rPr>
        <w:t>outlined in the</w:t>
      </w:r>
      <w:r w:rsidR="00930C5A" w:rsidRPr="00CE42F2">
        <w:rPr>
          <w:rFonts w:cs="Arial"/>
          <w:color w:val="auto"/>
          <w:sz w:val="20"/>
          <w:szCs w:val="20"/>
        </w:rPr>
        <w:t xml:space="preserve"> Department’s</w:t>
      </w:r>
      <w:r w:rsidRPr="00CE42F2">
        <w:rPr>
          <w:rFonts w:cs="Arial"/>
          <w:color w:val="auto"/>
          <w:sz w:val="20"/>
          <w:szCs w:val="20"/>
        </w:rPr>
        <w:t xml:space="preserve"> Annual Performance Plans. </w:t>
      </w:r>
    </w:p>
    <w:p w:rsidR="00930C5A" w:rsidRPr="00CE42F2" w:rsidRDefault="00930C5A" w:rsidP="00CE42F2">
      <w:pPr>
        <w:tabs>
          <w:tab w:val="left" w:pos="3960"/>
        </w:tabs>
        <w:rPr>
          <w:rFonts w:cs="Arial"/>
          <w:color w:val="auto"/>
          <w:sz w:val="20"/>
          <w:szCs w:val="20"/>
        </w:rPr>
      </w:pPr>
    </w:p>
    <w:p w:rsidR="00930C5A" w:rsidRPr="00CE42F2" w:rsidRDefault="00172C2D" w:rsidP="00CE42F2">
      <w:pPr>
        <w:tabs>
          <w:tab w:val="left" w:pos="3960"/>
        </w:tabs>
        <w:rPr>
          <w:rFonts w:cs="Arial"/>
          <w:color w:val="auto"/>
          <w:sz w:val="20"/>
          <w:szCs w:val="20"/>
        </w:rPr>
      </w:pPr>
      <w:r w:rsidRPr="00CE42F2">
        <w:rPr>
          <w:rFonts w:cs="Arial"/>
          <w:color w:val="auto"/>
          <w:sz w:val="20"/>
          <w:szCs w:val="20"/>
        </w:rPr>
        <w:t>The</w:t>
      </w:r>
      <w:r w:rsidR="00930C5A" w:rsidRPr="00CE42F2">
        <w:rPr>
          <w:rFonts w:cs="Arial"/>
          <w:color w:val="auto"/>
          <w:sz w:val="20"/>
          <w:szCs w:val="20"/>
        </w:rPr>
        <w:t xml:space="preserve"> Department </w:t>
      </w:r>
      <w:r w:rsidRPr="00CE42F2">
        <w:rPr>
          <w:rFonts w:cs="Arial"/>
          <w:color w:val="auto"/>
          <w:sz w:val="20"/>
          <w:szCs w:val="20"/>
        </w:rPr>
        <w:t>in the Annual Performance Plan includes the priorities set in the Medium</w:t>
      </w:r>
      <w:r w:rsidR="00946C5D" w:rsidRPr="00CE42F2">
        <w:rPr>
          <w:rFonts w:cs="Arial"/>
          <w:color w:val="auto"/>
          <w:sz w:val="20"/>
          <w:szCs w:val="20"/>
        </w:rPr>
        <w:t>-</w:t>
      </w:r>
      <w:r w:rsidRPr="00CE42F2">
        <w:rPr>
          <w:rFonts w:cs="Arial"/>
          <w:color w:val="auto"/>
          <w:sz w:val="20"/>
          <w:szCs w:val="20"/>
        </w:rPr>
        <w:t>Term Strategic Framework</w:t>
      </w:r>
      <w:r w:rsidR="00930C5A" w:rsidRPr="00CE42F2">
        <w:rPr>
          <w:rFonts w:cs="Arial"/>
          <w:color w:val="auto"/>
          <w:sz w:val="20"/>
          <w:szCs w:val="20"/>
        </w:rPr>
        <w:t>, which are to be implemented by either the Department directly or indirectly through its SOCs</w:t>
      </w:r>
      <w:r w:rsidRPr="00CE42F2">
        <w:rPr>
          <w:rFonts w:cs="Arial"/>
          <w:color w:val="auto"/>
          <w:sz w:val="20"/>
          <w:szCs w:val="20"/>
        </w:rPr>
        <w:t>.</w:t>
      </w:r>
    </w:p>
    <w:p w:rsidR="00930C5A" w:rsidRPr="00CE42F2" w:rsidRDefault="00930C5A" w:rsidP="00CE42F2">
      <w:pPr>
        <w:tabs>
          <w:tab w:val="left" w:pos="3960"/>
        </w:tabs>
        <w:rPr>
          <w:rFonts w:cs="Arial"/>
          <w:color w:val="auto"/>
          <w:sz w:val="20"/>
          <w:szCs w:val="20"/>
        </w:rPr>
      </w:pPr>
    </w:p>
    <w:p w:rsidR="00621D42" w:rsidRPr="00CE42F2" w:rsidRDefault="00621D42" w:rsidP="00CE42F2">
      <w:pPr>
        <w:tabs>
          <w:tab w:val="left" w:pos="3960"/>
        </w:tabs>
        <w:rPr>
          <w:rFonts w:cs="Arial"/>
          <w:color w:val="auto"/>
          <w:sz w:val="20"/>
          <w:szCs w:val="20"/>
        </w:rPr>
      </w:pPr>
    </w:p>
    <w:p w:rsidR="00621D42" w:rsidRPr="00CE42F2" w:rsidRDefault="00621D42" w:rsidP="00CE42F2">
      <w:pPr>
        <w:tabs>
          <w:tab w:val="left" w:pos="3960"/>
        </w:tabs>
        <w:rPr>
          <w:rFonts w:cs="Arial"/>
          <w:b/>
          <w:color w:val="auto"/>
          <w:sz w:val="20"/>
          <w:szCs w:val="20"/>
        </w:rPr>
      </w:pPr>
      <w:r w:rsidRPr="00CE42F2">
        <w:rPr>
          <w:rFonts w:cs="Arial"/>
          <w:b/>
          <w:color w:val="auto"/>
          <w:sz w:val="20"/>
          <w:szCs w:val="20"/>
        </w:rPr>
        <w:t>2.1      Mandate of the Department of Public Enterprises</w:t>
      </w:r>
    </w:p>
    <w:p w:rsidR="004826DE" w:rsidRPr="00CE42F2" w:rsidRDefault="004826DE" w:rsidP="00CE42F2">
      <w:pPr>
        <w:tabs>
          <w:tab w:val="left" w:pos="3960"/>
        </w:tabs>
        <w:rPr>
          <w:rFonts w:cs="Arial"/>
          <w:bCs/>
          <w:color w:val="auto"/>
          <w:sz w:val="20"/>
          <w:szCs w:val="20"/>
        </w:rPr>
      </w:pPr>
    </w:p>
    <w:p w:rsidR="00242AA4" w:rsidRPr="00CE42F2" w:rsidRDefault="00242AA4" w:rsidP="00CE42F2">
      <w:pPr>
        <w:tabs>
          <w:tab w:val="left" w:pos="3960"/>
        </w:tabs>
        <w:rPr>
          <w:rFonts w:cs="Arial"/>
          <w:bCs/>
          <w:color w:val="auto"/>
          <w:sz w:val="20"/>
          <w:szCs w:val="20"/>
        </w:rPr>
      </w:pPr>
      <w:r w:rsidRPr="00CE42F2">
        <w:rPr>
          <w:rFonts w:cs="Arial"/>
          <w:bCs/>
          <w:color w:val="auto"/>
          <w:sz w:val="20"/>
          <w:szCs w:val="20"/>
        </w:rPr>
        <w:t>The Department of Public Enterprises (DPE or the Department) undertakes shareholder oversight for Government and is currently instructed by the Executive Authority to oversee strategic State-Owned Companies (SOCs)</w:t>
      </w:r>
      <w:r w:rsidR="00F568D0" w:rsidRPr="00CE42F2">
        <w:rPr>
          <w:rFonts w:cs="Arial"/>
          <w:bCs/>
          <w:color w:val="auto"/>
          <w:sz w:val="20"/>
          <w:szCs w:val="20"/>
        </w:rPr>
        <w:t xml:space="preserve"> within its </w:t>
      </w:r>
      <w:r w:rsidR="00E23B2B" w:rsidRPr="00CE42F2">
        <w:rPr>
          <w:rFonts w:cs="Arial"/>
          <w:bCs/>
          <w:color w:val="auto"/>
          <w:sz w:val="20"/>
          <w:szCs w:val="20"/>
        </w:rPr>
        <w:t xml:space="preserve">portfolio </w:t>
      </w:r>
      <w:r w:rsidR="00F568D0" w:rsidRPr="00CE42F2">
        <w:rPr>
          <w:rFonts w:cs="Arial"/>
          <w:bCs/>
          <w:color w:val="auto"/>
          <w:sz w:val="20"/>
          <w:szCs w:val="20"/>
        </w:rPr>
        <w:t>o</w:t>
      </w:r>
      <w:r w:rsidR="0039142A" w:rsidRPr="00CE42F2">
        <w:rPr>
          <w:rFonts w:cs="Arial"/>
          <w:bCs/>
          <w:color w:val="auto"/>
          <w:sz w:val="20"/>
          <w:szCs w:val="20"/>
        </w:rPr>
        <w:t>f seven (</w:t>
      </w:r>
      <w:r w:rsidR="00E23B2B" w:rsidRPr="00CE42F2">
        <w:rPr>
          <w:rFonts w:cs="Arial"/>
          <w:bCs/>
          <w:color w:val="auto"/>
          <w:sz w:val="20"/>
          <w:szCs w:val="20"/>
        </w:rPr>
        <w:t>7) entities</w:t>
      </w:r>
      <w:r w:rsidRPr="00CE42F2">
        <w:rPr>
          <w:rFonts w:cs="Arial"/>
          <w:bCs/>
          <w:color w:val="auto"/>
          <w:sz w:val="20"/>
          <w:szCs w:val="20"/>
        </w:rPr>
        <w:t>. Currently, the DPE does not have a legislated constitutional mandate.  The DPE is recognised as a Government Department through Proclamation No. 82 of 1999.  It has an agreed and assigned dual responsibility to:</w:t>
      </w:r>
    </w:p>
    <w:p w:rsidR="00242AA4" w:rsidRPr="00CE42F2" w:rsidRDefault="00242AA4" w:rsidP="00CE42F2">
      <w:pPr>
        <w:tabs>
          <w:tab w:val="left" w:pos="3960"/>
        </w:tabs>
        <w:rPr>
          <w:rFonts w:cs="Arial"/>
          <w:bCs/>
          <w:color w:val="auto"/>
          <w:sz w:val="20"/>
          <w:szCs w:val="20"/>
        </w:rPr>
      </w:pPr>
    </w:p>
    <w:p w:rsidR="00242AA4" w:rsidRPr="00CE42F2" w:rsidRDefault="00242AA4" w:rsidP="00CE42F2">
      <w:pPr>
        <w:numPr>
          <w:ilvl w:val="0"/>
          <w:numId w:val="6"/>
        </w:numPr>
        <w:tabs>
          <w:tab w:val="left" w:pos="3960"/>
        </w:tabs>
        <w:rPr>
          <w:rFonts w:cs="Arial"/>
          <w:bCs/>
          <w:color w:val="auto"/>
          <w:sz w:val="20"/>
          <w:szCs w:val="20"/>
        </w:rPr>
      </w:pPr>
      <w:r w:rsidRPr="00CE42F2">
        <w:rPr>
          <w:rFonts w:cs="Arial"/>
          <w:bCs/>
          <w:color w:val="auto"/>
          <w:sz w:val="20"/>
          <w:szCs w:val="20"/>
        </w:rPr>
        <w:t>Direct and support improvements in the financial, commercial and operational performance of the SOCs and their contribution to the South African economy; and</w:t>
      </w:r>
    </w:p>
    <w:p w:rsidR="00242AA4" w:rsidRPr="00CE42F2" w:rsidRDefault="00242AA4" w:rsidP="00CE42F2">
      <w:pPr>
        <w:numPr>
          <w:ilvl w:val="0"/>
          <w:numId w:val="6"/>
        </w:numPr>
        <w:tabs>
          <w:tab w:val="left" w:pos="3960"/>
        </w:tabs>
        <w:rPr>
          <w:rFonts w:cs="Arial"/>
          <w:bCs/>
          <w:color w:val="auto"/>
          <w:sz w:val="20"/>
          <w:szCs w:val="20"/>
        </w:rPr>
      </w:pPr>
      <w:r w:rsidRPr="00CE42F2">
        <w:rPr>
          <w:rFonts w:cs="Arial"/>
          <w:bCs/>
          <w:color w:val="auto"/>
          <w:sz w:val="20"/>
          <w:szCs w:val="20"/>
        </w:rPr>
        <w:t>Make a positive contribution to the transformation of the South African economy in line with the National Development Plan (NDP) to create a better and sustainable economic environment for all South Africans.</w:t>
      </w:r>
    </w:p>
    <w:p w:rsidR="00242AA4" w:rsidRPr="00CE42F2" w:rsidRDefault="00242AA4" w:rsidP="00CE42F2">
      <w:pPr>
        <w:tabs>
          <w:tab w:val="left" w:pos="3960"/>
        </w:tabs>
        <w:rPr>
          <w:rFonts w:cs="Arial"/>
          <w:bCs/>
          <w:color w:val="auto"/>
          <w:sz w:val="20"/>
          <w:szCs w:val="20"/>
        </w:rPr>
      </w:pPr>
    </w:p>
    <w:p w:rsidR="00242AA4" w:rsidRPr="00CE42F2" w:rsidRDefault="00242AA4" w:rsidP="00CE42F2">
      <w:pPr>
        <w:tabs>
          <w:tab w:val="left" w:pos="3960"/>
        </w:tabs>
        <w:rPr>
          <w:rFonts w:cs="Arial"/>
          <w:bCs/>
          <w:color w:val="auto"/>
          <w:sz w:val="20"/>
          <w:szCs w:val="20"/>
        </w:rPr>
      </w:pPr>
      <w:r w:rsidRPr="00CE42F2">
        <w:rPr>
          <w:rFonts w:cs="Arial"/>
          <w:bCs/>
          <w:color w:val="auto"/>
          <w:sz w:val="20"/>
          <w:szCs w:val="20"/>
        </w:rPr>
        <w:t>The DPE aims to drive investment, productivity and transformation in the Department’s portfolio of state-owned companies (SOC), their customers and suppliers to unlock growth, drive industrialisation, create jobs and develop skills.  The Department’s portfolio has seven state-owned companies namely; Alexkor, Denel, Eskom, South African Forestry Company (SAFCOL), South African Airways (SAA), South African Express Airways (SAX), and Transnet.</w:t>
      </w:r>
    </w:p>
    <w:p w:rsidR="00242AA4" w:rsidRPr="00CE42F2" w:rsidRDefault="00242AA4" w:rsidP="00CE42F2">
      <w:pPr>
        <w:tabs>
          <w:tab w:val="left" w:pos="3960"/>
        </w:tabs>
        <w:rPr>
          <w:rFonts w:cs="Arial"/>
          <w:bCs/>
          <w:color w:val="auto"/>
          <w:sz w:val="20"/>
          <w:szCs w:val="20"/>
          <w:lang w:val="en-ZA"/>
        </w:rPr>
      </w:pPr>
      <w:r w:rsidRPr="00CE42F2">
        <w:rPr>
          <w:rFonts w:cs="Arial"/>
          <w:bCs/>
          <w:color w:val="auto"/>
          <w:sz w:val="20"/>
          <w:szCs w:val="20"/>
          <w:lang w:val="en-ZA"/>
        </w:rPr>
        <w:t xml:space="preserve"> </w:t>
      </w:r>
    </w:p>
    <w:p w:rsidR="00242AA4" w:rsidRPr="00CE42F2" w:rsidRDefault="00242AA4" w:rsidP="00CE42F2">
      <w:pPr>
        <w:tabs>
          <w:tab w:val="left" w:pos="3960"/>
        </w:tabs>
        <w:rPr>
          <w:rFonts w:cs="Arial"/>
          <w:bCs/>
          <w:color w:val="auto"/>
          <w:sz w:val="20"/>
          <w:szCs w:val="20"/>
          <w:lang w:val="en-ZA"/>
        </w:rPr>
      </w:pPr>
      <w:r w:rsidRPr="00CE42F2">
        <w:rPr>
          <w:rFonts w:cs="Arial"/>
          <w:bCs/>
          <w:color w:val="auto"/>
          <w:sz w:val="20"/>
          <w:szCs w:val="20"/>
          <w:lang w:val="en-ZA"/>
        </w:rPr>
        <w:t xml:space="preserve">The vision of the Department is to create an enabling environment in which SOCs add real economic value by focussing on operational excellence, commercial viability and fiscal prudence.  This will drive developmental objectives, industrialisation, job creation and skills development. </w:t>
      </w:r>
    </w:p>
    <w:p w:rsidR="00242AA4" w:rsidRPr="00CE42F2" w:rsidRDefault="00242AA4" w:rsidP="00CE42F2">
      <w:pPr>
        <w:tabs>
          <w:tab w:val="left" w:pos="3960"/>
        </w:tabs>
        <w:rPr>
          <w:rFonts w:cs="Arial"/>
          <w:bCs/>
          <w:color w:val="auto"/>
          <w:sz w:val="20"/>
          <w:szCs w:val="20"/>
          <w:lang w:val="en-ZA"/>
        </w:rPr>
      </w:pPr>
    </w:p>
    <w:p w:rsidR="00242AA4" w:rsidRPr="00CE42F2" w:rsidRDefault="00242AA4" w:rsidP="00CE42F2">
      <w:pPr>
        <w:tabs>
          <w:tab w:val="left" w:pos="3960"/>
        </w:tabs>
        <w:rPr>
          <w:rFonts w:cs="Arial"/>
          <w:bCs/>
          <w:color w:val="auto"/>
          <w:sz w:val="20"/>
          <w:szCs w:val="20"/>
          <w:lang w:val="en-ZA"/>
        </w:rPr>
      </w:pPr>
      <w:r w:rsidRPr="00CE42F2">
        <w:rPr>
          <w:rFonts w:cs="Arial"/>
          <w:bCs/>
          <w:color w:val="auto"/>
          <w:sz w:val="20"/>
          <w:szCs w:val="20"/>
          <w:lang w:val="en-ZA"/>
        </w:rPr>
        <w:t>The mission of the Department is to provide clear strategic direction and oversight to the Department’s SOCs, seeking to ensure that the SOCs:</w:t>
      </w:r>
    </w:p>
    <w:p w:rsidR="00242AA4" w:rsidRPr="00CE42F2" w:rsidRDefault="00242AA4" w:rsidP="00CE42F2">
      <w:pPr>
        <w:tabs>
          <w:tab w:val="left" w:pos="3960"/>
        </w:tabs>
        <w:rPr>
          <w:rFonts w:cs="Arial"/>
          <w:bCs/>
          <w:color w:val="auto"/>
          <w:sz w:val="20"/>
          <w:szCs w:val="20"/>
          <w:lang w:val="en-ZA"/>
        </w:rPr>
      </w:pPr>
    </w:p>
    <w:p w:rsidR="00242AA4" w:rsidRPr="00CE42F2" w:rsidRDefault="00242AA4" w:rsidP="00CE42F2">
      <w:pPr>
        <w:numPr>
          <w:ilvl w:val="0"/>
          <w:numId w:val="7"/>
        </w:numPr>
        <w:tabs>
          <w:tab w:val="left" w:pos="3960"/>
        </w:tabs>
        <w:rPr>
          <w:rFonts w:cs="Arial"/>
          <w:bCs/>
          <w:color w:val="auto"/>
          <w:sz w:val="20"/>
          <w:szCs w:val="20"/>
          <w:lang w:val="en-ZA"/>
        </w:rPr>
      </w:pPr>
      <w:r w:rsidRPr="00CE42F2">
        <w:rPr>
          <w:rFonts w:cs="Arial"/>
          <w:bCs/>
          <w:color w:val="auto"/>
          <w:sz w:val="20"/>
          <w:szCs w:val="20"/>
          <w:lang w:val="en-ZA"/>
        </w:rPr>
        <w:t>Are financially sustainable, adequately funded and operationally robust;</w:t>
      </w:r>
    </w:p>
    <w:p w:rsidR="00242AA4" w:rsidRPr="00CE42F2" w:rsidRDefault="00242AA4" w:rsidP="00CE42F2">
      <w:pPr>
        <w:numPr>
          <w:ilvl w:val="0"/>
          <w:numId w:val="7"/>
        </w:numPr>
        <w:tabs>
          <w:tab w:val="left" w:pos="3960"/>
        </w:tabs>
        <w:rPr>
          <w:rFonts w:cs="Arial"/>
          <w:bCs/>
          <w:color w:val="auto"/>
          <w:sz w:val="20"/>
          <w:szCs w:val="20"/>
          <w:lang w:val="en-ZA"/>
        </w:rPr>
      </w:pPr>
      <w:r w:rsidRPr="00CE42F2">
        <w:rPr>
          <w:rFonts w:cs="Arial"/>
          <w:bCs/>
          <w:color w:val="auto"/>
          <w:sz w:val="20"/>
          <w:szCs w:val="20"/>
          <w:lang w:val="en-ZA"/>
        </w:rPr>
        <w:t>Have operating models that keep pace with global development and innovation;</w:t>
      </w:r>
    </w:p>
    <w:p w:rsidR="00242AA4" w:rsidRPr="00CE42F2" w:rsidRDefault="00242AA4" w:rsidP="00CE42F2">
      <w:pPr>
        <w:numPr>
          <w:ilvl w:val="0"/>
          <w:numId w:val="7"/>
        </w:numPr>
        <w:tabs>
          <w:tab w:val="left" w:pos="3960"/>
        </w:tabs>
        <w:rPr>
          <w:rFonts w:cs="Arial"/>
          <w:bCs/>
          <w:color w:val="auto"/>
          <w:sz w:val="20"/>
          <w:szCs w:val="20"/>
          <w:lang w:val="en-ZA"/>
        </w:rPr>
      </w:pPr>
      <w:r w:rsidRPr="00CE42F2">
        <w:rPr>
          <w:rFonts w:cs="Arial"/>
          <w:bCs/>
          <w:color w:val="auto"/>
          <w:sz w:val="20"/>
          <w:szCs w:val="20"/>
          <w:lang w:val="en-ZA"/>
        </w:rPr>
        <w:t>Provide reliable, high-quality and cost-effective services and infrastructure to industry and our citizens;</w:t>
      </w:r>
    </w:p>
    <w:p w:rsidR="00242AA4" w:rsidRPr="00CE42F2" w:rsidRDefault="00242AA4" w:rsidP="00CE42F2">
      <w:pPr>
        <w:numPr>
          <w:ilvl w:val="0"/>
          <w:numId w:val="7"/>
        </w:numPr>
        <w:tabs>
          <w:tab w:val="left" w:pos="3960"/>
        </w:tabs>
        <w:rPr>
          <w:rFonts w:cs="Arial"/>
          <w:bCs/>
          <w:color w:val="auto"/>
          <w:sz w:val="20"/>
          <w:szCs w:val="20"/>
          <w:lang w:val="en-ZA"/>
        </w:rPr>
      </w:pPr>
      <w:r w:rsidRPr="00CE42F2">
        <w:rPr>
          <w:rFonts w:cs="Arial"/>
          <w:bCs/>
          <w:color w:val="auto"/>
          <w:sz w:val="20"/>
          <w:szCs w:val="20"/>
          <w:lang w:val="en-ZA"/>
        </w:rPr>
        <w:t>Secure investment and funding for strategic industrial development; and</w:t>
      </w:r>
    </w:p>
    <w:p w:rsidR="00242AA4" w:rsidRPr="00CE42F2" w:rsidRDefault="00242AA4" w:rsidP="00CE42F2">
      <w:pPr>
        <w:numPr>
          <w:ilvl w:val="0"/>
          <w:numId w:val="7"/>
        </w:numPr>
        <w:tabs>
          <w:tab w:val="left" w:pos="3960"/>
        </w:tabs>
        <w:rPr>
          <w:rFonts w:cs="Arial"/>
          <w:bCs/>
          <w:color w:val="auto"/>
          <w:sz w:val="20"/>
          <w:szCs w:val="20"/>
          <w:lang w:val="en-ZA"/>
        </w:rPr>
      </w:pPr>
      <w:r w:rsidRPr="00CE42F2">
        <w:rPr>
          <w:rFonts w:cs="Arial"/>
          <w:bCs/>
          <w:color w:val="auto"/>
          <w:sz w:val="20"/>
          <w:szCs w:val="20"/>
          <w:lang w:val="en-ZA"/>
        </w:rPr>
        <w:t xml:space="preserve">Align with national developmental objectives. </w:t>
      </w:r>
    </w:p>
    <w:p w:rsidR="00242AA4" w:rsidRPr="00CE42F2" w:rsidRDefault="00242AA4" w:rsidP="00CE42F2">
      <w:pPr>
        <w:tabs>
          <w:tab w:val="left" w:pos="3960"/>
        </w:tabs>
        <w:rPr>
          <w:rFonts w:cs="Arial"/>
          <w:bCs/>
          <w:color w:val="auto"/>
          <w:sz w:val="20"/>
          <w:szCs w:val="20"/>
          <w:lang w:val="en-ZA"/>
        </w:rPr>
      </w:pPr>
    </w:p>
    <w:p w:rsidR="00E23B2B" w:rsidRPr="00CE42F2" w:rsidRDefault="00242AA4" w:rsidP="00CE42F2">
      <w:pPr>
        <w:tabs>
          <w:tab w:val="left" w:pos="3960"/>
        </w:tabs>
        <w:rPr>
          <w:rFonts w:cs="Arial"/>
          <w:bCs/>
          <w:color w:val="auto"/>
          <w:sz w:val="20"/>
          <w:szCs w:val="20"/>
          <w:lang w:val="en-ZA"/>
        </w:rPr>
      </w:pPr>
      <w:r w:rsidRPr="00CE42F2">
        <w:rPr>
          <w:rFonts w:cs="Arial"/>
          <w:bCs/>
          <w:color w:val="auto"/>
          <w:sz w:val="20"/>
          <w:szCs w:val="20"/>
          <w:lang w:val="en-ZA"/>
        </w:rPr>
        <w:t xml:space="preserve">The Department’s overall mandate is to ensure that the SOC within its portfolio are directed to serve Government’s strategic objectives as outlined in the NDP and </w:t>
      </w:r>
      <w:r w:rsidR="00E23B2B" w:rsidRPr="00CE42F2">
        <w:rPr>
          <w:rFonts w:cs="Arial"/>
          <w:bCs/>
          <w:color w:val="auto"/>
          <w:sz w:val="20"/>
          <w:szCs w:val="20"/>
          <w:lang w:val="en-ZA"/>
        </w:rPr>
        <w:t>other policies of sector policy departments</w:t>
      </w:r>
      <w:r w:rsidRPr="00CE42F2">
        <w:rPr>
          <w:rFonts w:cs="Arial"/>
          <w:bCs/>
          <w:color w:val="auto"/>
          <w:sz w:val="20"/>
          <w:szCs w:val="20"/>
          <w:lang w:val="en-ZA"/>
        </w:rPr>
        <w:t xml:space="preserve">.  The Department does not directly execute programmes but seeks to leverage the state ownership in the economy to support the delivery of key outcomes outlined in the NDP and the Medium Term Strategic Framework (MTSF). </w:t>
      </w:r>
    </w:p>
    <w:p w:rsidR="001D2289" w:rsidRPr="00CE42F2" w:rsidRDefault="001D2289" w:rsidP="00CE42F2">
      <w:pPr>
        <w:tabs>
          <w:tab w:val="left" w:pos="3960"/>
        </w:tabs>
        <w:rPr>
          <w:rFonts w:cs="Arial"/>
          <w:color w:val="auto"/>
          <w:sz w:val="20"/>
          <w:szCs w:val="20"/>
        </w:rPr>
      </w:pPr>
    </w:p>
    <w:p w:rsidR="00621D42" w:rsidRPr="00CE42F2" w:rsidRDefault="00621D42" w:rsidP="00CE42F2">
      <w:pPr>
        <w:tabs>
          <w:tab w:val="left" w:pos="3960"/>
        </w:tabs>
        <w:rPr>
          <w:rFonts w:cs="Arial"/>
          <w:b/>
          <w:color w:val="auto"/>
          <w:sz w:val="20"/>
          <w:szCs w:val="20"/>
        </w:rPr>
      </w:pPr>
      <w:r w:rsidRPr="00CE42F2">
        <w:rPr>
          <w:rFonts w:cs="Arial"/>
          <w:b/>
          <w:color w:val="auto"/>
          <w:sz w:val="20"/>
          <w:szCs w:val="20"/>
        </w:rPr>
        <w:t xml:space="preserve">2.2      Strategic Objectives of the Department </w:t>
      </w:r>
    </w:p>
    <w:p w:rsidR="00621D42" w:rsidRPr="00CE42F2" w:rsidRDefault="00621D42" w:rsidP="00CE42F2">
      <w:pPr>
        <w:tabs>
          <w:tab w:val="left" w:pos="3960"/>
        </w:tabs>
        <w:rPr>
          <w:rFonts w:cs="Arial"/>
          <w:color w:val="auto"/>
          <w:sz w:val="20"/>
          <w:szCs w:val="20"/>
        </w:rPr>
      </w:pPr>
    </w:p>
    <w:p w:rsidR="00930C5A" w:rsidRPr="00CE42F2" w:rsidRDefault="00621D42" w:rsidP="00CE42F2">
      <w:pPr>
        <w:autoSpaceDE w:val="0"/>
        <w:autoSpaceDN w:val="0"/>
        <w:adjustRightInd w:val="0"/>
        <w:rPr>
          <w:rFonts w:cs="Arial"/>
          <w:color w:val="auto"/>
          <w:sz w:val="20"/>
          <w:szCs w:val="20"/>
        </w:rPr>
      </w:pPr>
      <w:r w:rsidRPr="00CE42F2">
        <w:rPr>
          <w:rFonts w:cs="Arial"/>
          <w:color w:val="auto"/>
          <w:sz w:val="20"/>
          <w:szCs w:val="20"/>
        </w:rPr>
        <w:t>The</w:t>
      </w:r>
      <w:r w:rsidR="00350206" w:rsidRPr="00CE42F2">
        <w:rPr>
          <w:rFonts w:cs="Arial"/>
          <w:color w:val="auto"/>
          <w:sz w:val="20"/>
          <w:szCs w:val="20"/>
        </w:rPr>
        <w:t xml:space="preserve"> Department adopted a new Strategic Plan in line with the National Development Plan (NDP) and Medium</w:t>
      </w:r>
      <w:r w:rsidR="00946C5D" w:rsidRPr="00CE42F2">
        <w:rPr>
          <w:rFonts w:cs="Arial"/>
          <w:color w:val="auto"/>
          <w:sz w:val="20"/>
          <w:szCs w:val="20"/>
        </w:rPr>
        <w:t>-</w:t>
      </w:r>
      <w:r w:rsidR="00350206" w:rsidRPr="00CE42F2">
        <w:rPr>
          <w:rFonts w:cs="Arial"/>
          <w:color w:val="auto"/>
          <w:sz w:val="20"/>
          <w:szCs w:val="20"/>
        </w:rPr>
        <w:t xml:space="preserve">Term Strategic Framework (MTSF) in response to internal and external environment. </w:t>
      </w:r>
    </w:p>
    <w:p w:rsidR="00930C5A" w:rsidRPr="00CE42F2" w:rsidRDefault="00930C5A" w:rsidP="00CE42F2">
      <w:pPr>
        <w:autoSpaceDE w:val="0"/>
        <w:autoSpaceDN w:val="0"/>
        <w:adjustRightInd w:val="0"/>
        <w:rPr>
          <w:rFonts w:cs="Arial"/>
          <w:color w:val="auto"/>
          <w:sz w:val="20"/>
          <w:szCs w:val="20"/>
        </w:rPr>
      </w:pPr>
    </w:p>
    <w:p w:rsidR="00930C5A" w:rsidRPr="00CE42F2" w:rsidRDefault="00350206" w:rsidP="00CE42F2">
      <w:pPr>
        <w:autoSpaceDE w:val="0"/>
        <w:autoSpaceDN w:val="0"/>
        <w:adjustRightInd w:val="0"/>
        <w:rPr>
          <w:rFonts w:eastAsia="MyriadPro-Light" w:cs="Arial"/>
          <w:color w:val="auto"/>
          <w:spacing w:val="0"/>
          <w:sz w:val="20"/>
          <w:szCs w:val="20"/>
          <w:lang w:val="en-ZA" w:eastAsia="en-ZA"/>
        </w:rPr>
      </w:pPr>
      <w:r w:rsidRPr="00CE42F2">
        <w:rPr>
          <w:rFonts w:cs="Arial"/>
          <w:color w:val="auto"/>
          <w:sz w:val="20"/>
          <w:szCs w:val="20"/>
        </w:rPr>
        <w:t>The strategy seeks to respond to prevailing macro-economic challenges and to best utilise scarce resources through creating of maximum efficiencies and effectiveness in its execution.</w:t>
      </w:r>
      <w:r w:rsidRPr="00CE42F2">
        <w:rPr>
          <w:rFonts w:eastAsia="MyriadPro-Light" w:cs="Arial"/>
          <w:color w:val="auto"/>
          <w:spacing w:val="0"/>
          <w:sz w:val="20"/>
          <w:szCs w:val="20"/>
          <w:lang w:val="en-ZA" w:eastAsia="en-ZA"/>
        </w:rPr>
        <w:t xml:space="preserve"> </w:t>
      </w:r>
      <w:r w:rsidR="00415565" w:rsidRPr="00CE42F2">
        <w:rPr>
          <w:rFonts w:eastAsia="MyriadPro-Light" w:cs="Arial"/>
          <w:color w:val="auto"/>
          <w:spacing w:val="0"/>
          <w:sz w:val="20"/>
          <w:szCs w:val="20"/>
          <w:lang w:val="en-ZA" w:eastAsia="en-ZA"/>
        </w:rPr>
        <w:t xml:space="preserve">The department </w:t>
      </w:r>
      <w:r w:rsidRPr="00CE42F2">
        <w:rPr>
          <w:rFonts w:eastAsia="MyriadPro-Light" w:cs="Arial"/>
          <w:color w:val="auto"/>
          <w:spacing w:val="0"/>
          <w:sz w:val="20"/>
          <w:szCs w:val="20"/>
          <w:lang w:val="en-ZA" w:eastAsia="en-ZA"/>
        </w:rPr>
        <w:t>has a significant role to play in the South African economy and is, albeit indirectly, a key enabler of economic</w:t>
      </w:r>
      <w:r w:rsidR="002B2189" w:rsidRPr="00CE42F2">
        <w:rPr>
          <w:rFonts w:eastAsia="MyriadPro-Light" w:cs="Arial"/>
          <w:color w:val="auto"/>
          <w:spacing w:val="0"/>
          <w:sz w:val="20"/>
          <w:szCs w:val="20"/>
          <w:lang w:val="en-ZA" w:eastAsia="en-ZA"/>
        </w:rPr>
        <w:t xml:space="preserve"> stability and growth. </w:t>
      </w:r>
    </w:p>
    <w:p w:rsidR="00930C5A" w:rsidRPr="00CE42F2" w:rsidRDefault="00930C5A" w:rsidP="00CE42F2">
      <w:pPr>
        <w:autoSpaceDE w:val="0"/>
        <w:autoSpaceDN w:val="0"/>
        <w:adjustRightInd w:val="0"/>
        <w:rPr>
          <w:rFonts w:eastAsia="MyriadPro-Light" w:cs="Arial"/>
          <w:color w:val="auto"/>
          <w:spacing w:val="0"/>
          <w:sz w:val="20"/>
          <w:szCs w:val="20"/>
          <w:lang w:val="en-ZA" w:eastAsia="en-ZA"/>
        </w:rPr>
      </w:pPr>
    </w:p>
    <w:p w:rsidR="00930C5A" w:rsidRPr="00CE42F2" w:rsidRDefault="002B2189" w:rsidP="00CE42F2">
      <w:pPr>
        <w:autoSpaceDE w:val="0"/>
        <w:autoSpaceDN w:val="0"/>
        <w:adjustRightInd w:val="0"/>
        <w:rPr>
          <w:rFonts w:eastAsia="MyriadPro-Light" w:cs="Arial"/>
          <w:color w:val="auto"/>
          <w:spacing w:val="0"/>
          <w:sz w:val="20"/>
          <w:szCs w:val="20"/>
          <w:lang w:val="en-ZA" w:eastAsia="en-ZA"/>
        </w:rPr>
      </w:pPr>
      <w:r w:rsidRPr="00CE42F2">
        <w:rPr>
          <w:rFonts w:eastAsia="MyriadPro-Light" w:cs="Arial"/>
          <w:color w:val="auto"/>
          <w:spacing w:val="0"/>
          <w:sz w:val="20"/>
          <w:szCs w:val="20"/>
          <w:lang w:val="en-ZA" w:eastAsia="en-ZA"/>
        </w:rPr>
        <w:t>It is the department’s</w:t>
      </w:r>
      <w:r w:rsidR="00350206" w:rsidRPr="00CE42F2">
        <w:rPr>
          <w:rFonts w:eastAsia="MyriadPro-Light" w:cs="Arial"/>
          <w:color w:val="auto"/>
          <w:spacing w:val="0"/>
          <w:sz w:val="20"/>
          <w:szCs w:val="20"/>
          <w:lang w:val="en-ZA" w:eastAsia="en-ZA"/>
        </w:rPr>
        <w:t xml:space="preserve"> intention to progressively reposition </w:t>
      </w:r>
      <w:r w:rsidR="00415565" w:rsidRPr="00CE42F2">
        <w:rPr>
          <w:rFonts w:eastAsia="MyriadPro-Light" w:cs="Arial"/>
          <w:color w:val="auto"/>
          <w:spacing w:val="0"/>
          <w:sz w:val="20"/>
          <w:szCs w:val="20"/>
          <w:lang w:val="en-ZA" w:eastAsia="en-ZA"/>
        </w:rPr>
        <w:t>the department</w:t>
      </w:r>
      <w:r w:rsidR="00350206" w:rsidRPr="00CE42F2">
        <w:rPr>
          <w:rFonts w:eastAsia="MyriadPro-Light" w:cs="Arial"/>
          <w:color w:val="auto"/>
          <w:spacing w:val="0"/>
          <w:sz w:val="20"/>
          <w:szCs w:val="20"/>
          <w:lang w:val="en-ZA" w:eastAsia="en-ZA"/>
        </w:rPr>
        <w:t xml:space="preserve"> from a largely compliance-driven focus to being a major contributor to the</w:t>
      </w:r>
      <w:r w:rsidR="00E23B2B" w:rsidRPr="00CE42F2">
        <w:rPr>
          <w:rFonts w:eastAsia="MyriadPro-Light" w:cs="Arial"/>
          <w:color w:val="auto"/>
          <w:spacing w:val="0"/>
          <w:sz w:val="20"/>
          <w:szCs w:val="20"/>
          <w:lang w:val="en-ZA" w:eastAsia="en-ZA"/>
        </w:rPr>
        <w:t xml:space="preserve"> infrastructure development and</w:t>
      </w:r>
      <w:r w:rsidR="00350206" w:rsidRPr="00CE42F2">
        <w:rPr>
          <w:rFonts w:eastAsia="MyriadPro-Light" w:cs="Arial"/>
          <w:color w:val="auto"/>
          <w:spacing w:val="0"/>
          <w:sz w:val="20"/>
          <w:szCs w:val="20"/>
          <w:lang w:val="en-ZA" w:eastAsia="en-ZA"/>
        </w:rPr>
        <w:t xml:space="preserve"> reindustrialisation of the economy through the</w:t>
      </w:r>
      <w:r w:rsidRPr="00CE42F2">
        <w:rPr>
          <w:rFonts w:eastAsia="MyriadPro-Light" w:cs="Arial"/>
          <w:color w:val="auto"/>
          <w:spacing w:val="0"/>
          <w:sz w:val="20"/>
          <w:szCs w:val="20"/>
          <w:lang w:val="en-ZA" w:eastAsia="en-ZA"/>
        </w:rPr>
        <w:t xml:space="preserve"> capacity that exists within its</w:t>
      </w:r>
      <w:r w:rsidR="00350206" w:rsidRPr="00CE42F2">
        <w:rPr>
          <w:rFonts w:eastAsia="MyriadPro-Light" w:cs="Arial"/>
          <w:color w:val="auto"/>
          <w:spacing w:val="0"/>
          <w:sz w:val="20"/>
          <w:szCs w:val="20"/>
          <w:lang w:val="en-ZA" w:eastAsia="en-ZA"/>
        </w:rPr>
        <w:t xml:space="preserve"> portfolio of SOCs. This repositioning also re-emphasises the leading role that the DPE must take to set standards that guide the oversight function across Government. </w:t>
      </w:r>
    </w:p>
    <w:p w:rsidR="00930C5A" w:rsidRPr="00CE42F2" w:rsidRDefault="00930C5A" w:rsidP="00CE42F2">
      <w:pPr>
        <w:autoSpaceDE w:val="0"/>
        <w:autoSpaceDN w:val="0"/>
        <w:adjustRightInd w:val="0"/>
        <w:rPr>
          <w:rFonts w:eastAsia="MyriadPro-Light" w:cs="Arial"/>
          <w:color w:val="auto"/>
          <w:spacing w:val="0"/>
          <w:sz w:val="20"/>
          <w:szCs w:val="20"/>
          <w:lang w:val="en-ZA" w:eastAsia="en-ZA"/>
        </w:rPr>
      </w:pPr>
    </w:p>
    <w:p w:rsidR="00350206" w:rsidRPr="00CE42F2" w:rsidRDefault="00350206" w:rsidP="00CE42F2">
      <w:pPr>
        <w:autoSpaceDE w:val="0"/>
        <w:autoSpaceDN w:val="0"/>
        <w:adjustRightInd w:val="0"/>
        <w:rPr>
          <w:rFonts w:cs="Arial"/>
          <w:color w:val="auto"/>
          <w:sz w:val="20"/>
          <w:szCs w:val="20"/>
        </w:rPr>
      </w:pPr>
      <w:r w:rsidRPr="00CE42F2">
        <w:rPr>
          <w:rFonts w:eastAsia="MyriadPro-Light" w:cs="Arial"/>
          <w:color w:val="auto"/>
          <w:spacing w:val="0"/>
          <w:sz w:val="20"/>
          <w:szCs w:val="20"/>
          <w:lang w:val="en-ZA" w:eastAsia="en-ZA"/>
        </w:rPr>
        <w:t>S</w:t>
      </w:r>
      <w:r w:rsidR="00415565" w:rsidRPr="00CE42F2">
        <w:rPr>
          <w:rFonts w:eastAsia="MyriadPro-Light" w:cs="Arial"/>
          <w:color w:val="auto"/>
          <w:spacing w:val="0"/>
          <w:sz w:val="20"/>
          <w:szCs w:val="20"/>
          <w:lang w:val="en-ZA" w:eastAsia="en-ZA"/>
        </w:rPr>
        <w:t>everal of the SOCs under the department</w:t>
      </w:r>
      <w:r w:rsidRPr="00CE42F2">
        <w:rPr>
          <w:rFonts w:eastAsia="MyriadPro-Light" w:cs="Arial"/>
          <w:color w:val="auto"/>
          <w:spacing w:val="0"/>
          <w:sz w:val="20"/>
          <w:szCs w:val="20"/>
          <w:lang w:val="en-ZA" w:eastAsia="en-ZA"/>
        </w:rPr>
        <w:t xml:space="preserve">’s oversight </w:t>
      </w:r>
      <w:r w:rsidR="00946C5D" w:rsidRPr="00CE42F2">
        <w:rPr>
          <w:rFonts w:eastAsia="MyriadPro-Light" w:cs="Arial"/>
          <w:color w:val="auto"/>
          <w:spacing w:val="0"/>
          <w:sz w:val="20"/>
          <w:szCs w:val="20"/>
          <w:lang w:val="en-ZA" w:eastAsia="en-ZA"/>
        </w:rPr>
        <w:t xml:space="preserve">have </w:t>
      </w:r>
      <w:r w:rsidR="00E23B2B" w:rsidRPr="00CE42F2">
        <w:rPr>
          <w:rFonts w:eastAsia="MyriadPro-Light" w:cs="Arial"/>
          <w:color w:val="auto"/>
          <w:spacing w:val="0"/>
          <w:sz w:val="20"/>
          <w:szCs w:val="20"/>
          <w:lang w:val="en-ZA" w:eastAsia="en-ZA"/>
        </w:rPr>
        <w:t>financial challenges</w:t>
      </w:r>
      <w:r w:rsidRPr="00CE42F2">
        <w:rPr>
          <w:rFonts w:eastAsia="MyriadPro-Light" w:cs="Arial"/>
          <w:color w:val="auto"/>
          <w:spacing w:val="0"/>
          <w:sz w:val="20"/>
          <w:szCs w:val="20"/>
          <w:lang w:val="en-ZA" w:eastAsia="en-ZA"/>
        </w:rPr>
        <w:t xml:space="preserve">, due to not only operational </w:t>
      </w:r>
      <w:r w:rsidR="00DB1594" w:rsidRPr="00CE42F2">
        <w:rPr>
          <w:rFonts w:eastAsia="MyriadPro-Light" w:cs="Arial"/>
          <w:color w:val="auto"/>
          <w:spacing w:val="0"/>
          <w:sz w:val="20"/>
          <w:szCs w:val="20"/>
          <w:lang w:val="en-ZA" w:eastAsia="en-ZA"/>
        </w:rPr>
        <w:t xml:space="preserve">inadequacies </w:t>
      </w:r>
      <w:r w:rsidRPr="00CE42F2">
        <w:rPr>
          <w:rFonts w:eastAsia="MyriadPro-Light" w:cs="Arial"/>
          <w:color w:val="auto"/>
          <w:spacing w:val="0"/>
          <w:sz w:val="20"/>
          <w:szCs w:val="20"/>
          <w:lang w:val="en-ZA" w:eastAsia="en-ZA"/>
        </w:rPr>
        <w:t>and the legacy of state capture, but also the increasingly difficult and complex challenges of sustainably balancing financial and commercial viability and the needs of the markets they serve, with meeting the socio-economic commitments of the NDP.</w:t>
      </w:r>
    </w:p>
    <w:p w:rsidR="00350206" w:rsidRPr="00CE42F2" w:rsidRDefault="00350206" w:rsidP="00CE42F2">
      <w:pPr>
        <w:textAlignment w:val="baseline"/>
        <w:rPr>
          <w:rFonts w:cs="Arial"/>
          <w:color w:val="auto"/>
          <w:sz w:val="20"/>
          <w:szCs w:val="20"/>
        </w:rPr>
      </w:pPr>
    </w:p>
    <w:p w:rsidR="00E075BF" w:rsidRPr="00CE42F2" w:rsidRDefault="009F3097" w:rsidP="00CE42F2">
      <w:pPr>
        <w:autoSpaceDE w:val="0"/>
        <w:autoSpaceDN w:val="0"/>
        <w:adjustRightInd w:val="0"/>
        <w:rPr>
          <w:rFonts w:cs="Arial"/>
          <w:color w:val="auto"/>
          <w:sz w:val="20"/>
          <w:szCs w:val="20"/>
        </w:rPr>
      </w:pPr>
      <w:r w:rsidRPr="00CE42F2">
        <w:rPr>
          <w:rFonts w:eastAsia="MyriadPro-Regular" w:cs="Arial"/>
          <w:color w:val="auto"/>
          <w:spacing w:val="0"/>
          <w:sz w:val="20"/>
          <w:szCs w:val="20"/>
          <w:lang w:val="en-ZA" w:eastAsia="en-ZA"/>
        </w:rPr>
        <w:t>In executi</w:t>
      </w:r>
      <w:r w:rsidR="00617433" w:rsidRPr="00CE42F2">
        <w:rPr>
          <w:rFonts w:eastAsia="MyriadPro-Regular" w:cs="Arial"/>
          <w:color w:val="auto"/>
          <w:spacing w:val="0"/>
          <w:sz w:val="20"/>
          <w:szCs w:val="20"/>
          <w:lang w:val="en-ZA" w:eastAsia="en-ZA"/>
        </w:rPr>
        <w:t>ng</w:t>
      </w:r>
      <w:r w:rsidRPr="00CE42F2">
        <w:rPr>
          <w:rFonts w:eastAsia="MyriadPro-Regular" w:cs="Arial"/>
          <w:color w:val="auto"/>
          <w:spacing w:val="0"/>
          <w:sz w:val="20"/>
          <w:szCs w:val="20"/>
          <w:lang w:val="en-ZA" w:eastAsia="en-ZA"/>
        </w:rPr>
        <w:t xml:space="preserve"> this </w:t>
      </w:r>
      <w:r w:rsidR="00617433" w:rsidRPr="00CE42F2">
        <w:rPr>
          <w:rFonts w:eastAsia="MyriadPro-Regular" w:cs="Arial"/>
          <w:color w:val="auto"/>
          <w:spacing w:val="0"/>
          <w:sz w:val="20"/>
          <w:szCs w:val="20"/>
          <w:lang w:val="en-ZA" w:eastAsia="en-ZA"/>
        </w:rPr>
        <w:t>function,</w:t>
      </w:r>
      <w:r w:rsidRPr="00CE42F2">
        <w:rPr>
          <w:rFonts w:eastAsia="MyriadPro-Regular" w:cs="Arial"/>
          <w:color w:val="auto"/>
          <w:spacing w:val="0"/>
          <w:sz w:val="20"/>
          <w:szCs w:val="20"/>
          <w:lang w:val="en-ZA" w:eastAsia="en-ZA"/>
        </w:rPr>
        <w:t xml:space="preserve"> the department has identified three programmes in its Annual Performance Plan (APP) which are the following</w:t>
      </w:r>
      <w:r w:rsidR="00DB1594" w:rsidRPr="00CE42F2">
        <w:rPr>
          <w:rFonts w:eastAsia="MyriadPro-Regular" w:cs="Arial"/>
          <w:color w:val="auto"/>
          <w:spacing w:val="0"/>
          <w:sz w:val="20"/>
          <w:szCs w:val="20"/>
          <w:lang w:val="en-ZA" w:eastAsia="en-ZA"/>
        </w:rPr>
        <w:t>:</w:t>
      </w:r>
      <w:r w:rsidRPr="00CE42F2">
        <w:rPr>
          <w:rFonts w:eastAsia="MyriadPro-Regular" w:cs="Arial"/>
          <w:color w:val="auto"/>
          <w:spacing w:val="0"/>
          <w:sz w:val="20"/>
          <w:szCs w:val="20"/>
          <w:lang w:val="en-ZA" w:eastAsia="en-ZA"/>
        </w:rPr>
        <w:t xml:space="preserve"> Administration and Corporate Manag</w:t>
      </w:r>
      <w:r w:rsidR="00654667" w:rsidRPr="00CE42F2">
        <w:rPr>
          <w:rFonts w:eastAsia="MyriadPro-Regular" w:cs="Arial"/>
          <w:color w:val="auto"/>
          <w:spacing w:val="0"/>
          <w:sz w:val="20"/>
          <w:szCs w:val="20"/>
          <w:lang w:val="en-ZA" w:eastAsia="en-ZA"/>
        </w:rPr>
        <w:t>ement, SOCs Governance Assurance and Performance</w:t>
      </w:r>
      <w:r w:rsidRPr="00CE42F2">
        <w:rPr>
          <w:rFonts w:eastAsia="MyriadPro-Regular" w:cs="Arial"/>
          <w:color w:val="auto"/>
          <w:spacing w:val="0"/>
          <w:sz w:val="20"/>
          <w:szCs w:val="20"/>
          <w:lang w:val="en-ZA" w:eastAsia="en-ZA"/>
        </w:rPr>
        <w:t>, and Business Enhancement and Industrialisation.</w:t>
      </w:r>
      <w:r w:rsidR="008F1C4D" w:rsidRPr="00CE42F2">
        <w:rPr>
          <w:rFonts w:eastAsia="MyriadPro-Regular" w:cs="Arial"/>
          <w:color w:val="auto"/>
          <w:spacing w:val="0"/>
          <w:sz w:val="20"/>
          <w:szCs w:val="20"/>
          <w:lang w:val="en-ZA" w:eastAsia="en-ZA"/>
        </w:rPr>
        <w:t xml:space="preserve"> </w:t>
      </w:r>
      <w:r w:rsidR="00621D42" w:rsidRPr="00CE42F2">
        <w:rPr>
          <w:rFonts w:cs="Arial"/>
          <w:color w:val="auto"/>
          <w:sz w:val="20"/>
          <w:szCs w:val="20"/>
        </w:rPr>
        <w:t xml:space="preserve"> </w:t>
      </w:r>
    </w:p>
    <w:p w:rsidR="00E075BF" w:rsidRPr="00CE42F2" w:rsidRDefault="00E075BF" w:rsidP="00CE42F2">
      <w:pPr>
        <w:autoSpaceDE w:val="0"/>
        <w:autoSpaceDN w:val="0"/>
        <w:adjustRightInd w:val="0"/>
        <w:rPr>
          <w:rFonts w:cs="Arial"/>
          <w:color w:val="auto"/>
          <w:sz w:val="20"/>
          <w:szCs w:val="20"/>
        </w:rPr>
      </w:pPr>
    </w:p>
    <w:p w:rsidR="00930C5A" w:rsidRPr="00CE42F2" w:rsidRDefault="00C13499" w:rsidP="00CE42F2">
      <w:pPr>
        <w:autoSpaceDE w:val="0"/>
        <w:autoSpaceDN w:val="0"/>
        <w:adjustRightInd w:val="0"/>
        <w:rPr>
          <w:rFonts w:cs="Arial"/>
          <w:color w:val="auto"/>
          <w:sz w:val="20"/>
          <w:szCs w:val="20"/>
        </w:rPr>
      </w:pPr>
      <w:r w:rsidRPr="00CE42F2">
        <w:rPr>
          <w:rFonts w:cs="Arial"/>
          <w:color w:val="auto"/>
          <w:sz w:val="20"/>
          <w:szCs w:val="20"/>
        </w:rPr>
        <w:t>The Administration and Corporate Managem</w:t>
      </w:r>
      <w:r w:rsidR="00EB2B5D" w:rsidRPr="00CE42F2">
        <w:rPr>
          <w:rFonts w:cs="Arial"/>
          <w:color w:val="auto"/>
          <w:sz w:val="20"/>
          <w:szCs w:val="20"/>
        </w:rPr>
        <w:t xml:space="preserve">ent programme has prioritised </w:t>
      </w:r>
      <w:r w:rsidRPr="00CE42F2">
        <w:rPr>
          <w:rFonts w:cs="Arial"/>
          <w:color w:val="auto"/>
          <w:sz w:val="20"/>
          <w:szCs w:val="20"/>
        </w:rPr>
        <w:t>o</w:t>
      </w:r>
      <w:r w:rsidR="00EB2B5D" w:rsidRPr="00CE42F2">
        <w:rPr>
          <w:rFonts w:cs="Arial"/>
          <w:color w:val="auto"/>
          <w:sz w:val="20"/>
          <w:szCs w:val="20"/>
        </w:rPr>
        <w:t>ne outcome</w:t>
      </w:r>
      <w:r w:rsidR="00617433" w:rsidRPr="00CE42F2">
        <w:rPr>
          <w:rFonts w:cs="Arial"/>
          <w:color w:val="auto"/>
          <w:sz w:val="20"/>
          <w:szCs w:val="20"/>
        </w:rPr>
        <w:t>, namely,</w:t>
      </w:r>
      <w:r w:rsidRPr="00CE42F2">
        <w:rPr>
          <w:rFonts w:cs="Arial"/>
          <w:color w:val="auto"/>
          <w:sz w:val="20"/>
          <w:szCs w:val="20"/>
        </w:rPr>
        <w:t xml:space="preserve"> </w:t>
      </w:r>
      <w:r w:rsidR="00EB2B5D" w:rsidRPr="00CE42F2">
        <w:rPr>
          <w:rFonts w:cs="Arial"/>
          <w:color w:val="auto"/>
          <w:sz w:val="20"/>
          <w:szCs w:val="20"/>
        </w:rPr>
        <w:t>strengthen the governance system of SOCs and promote institutional alignment in the execution of the oversight function.</w:t>
      </w:r>
      <w:r w:rsidR="00617433" w:rsidRPr="00CE42F2">
        <w:rPr>
          <w:rFonts w:cs="Arial"/>
          <w:color w:val="auto"/>
          <w:sz w:val="20"/>
          <w:szCs w:val="20"/>
        </w:rPr>
        <w:t xml:space="preserve"> </w:t>
      </w:r>
    </w:p>
    <w:p w:rsidR="00E075BF" w:rsidRPr="00CE42F2" w:rsidRDefault="00E075BF" w:rsidP="00CE42F2">
      <w:pPr>
        <w:autoSpaceDE w:val="0"/>
        <w:autoSpaceDN w:val="0"/>
        <w:adjustRightInd w:val="0"/>
        <w:rPr>
          <w:rFonts w:cs="Arial"/>
          <w:color w:val="auto"/>
          <w:sz w:val="20"/>
          <w:szCs w:val="20"/>
        </w:rPr>
      </w:pPr>
    </w:p>
    <w:p w:rsidR="009C1D61" w:rsidRPr="00CE42F2" w:rsidRDefault="00EB2B5D" w:rsidP="00CE42F2">
      <w:pPr>
        <w:autoSpaceDE w:val="0"/>
        <w:autoSpaceDN w:val="0"/>
        <w:adjustRightInd w:val="0"/>
        <w:rPr>
          <w:rFonts w:cs="Arial"/>
          <w:color w:val="auto"/>
          <w:sz w:val="20"/>
          <w:szCs w:val="20"/>
        </w:rPr>
      </w:pPr>
      <w:r w:rsidRPr="00CE42F2">
        <w:rPr>
          <w:rFonts w:cs="Arial"/>
          <w:color w:val="auto"/>
          <w:sz w:val="20"/>
          <w:szCs w:val="20"/>
        </w:rPr>
        <w:t xml:space="preserve">The </w:t>
      </w:r>
      <w:r w:rsidR="00E075BF" w:rsidRPr="00CE42F2">
        <w:rPr>
          <w:rFonts w:cs="Arial"/>
          <w:color w:val="auto"/>
          <w:sz w:val="20"/>
          <w:szCs w:val="20"/>
        </w:rPr>
        <w:t>SOC Governance Assurance and Performan</w:t>
      </w:r>
      <w:r w:rsidR="001D2289" w:rsidRPr="00CE42F2">
        <w:rPr>
          <w:rFonts w:cs="Arial"/>
          <w:color w:val="auto"/>
          <w:sz w:val="20"/>
          <w:szCs w:val="20"/>
        </w:rPr>
        <w:t>ce in 2022/23</w:t>
      </w:r>
      <w:r w:rsidR="006D30B6" w:rsidRPr="00CE42F2">
        <w:rPr>
          <w:rFonts w:cs="Arial"/>
          <w:color w:val="auto"/>
          <w:sz w:val="20"/>
          <w:szCs w:val="20"/>
        </w:rPr>
        <w:t xml:space="preserve"> has identified the following outcomes; strengthen the governance system of SOCs</w:t>
      </w:r>
      <w:r w:rsidR="00DF1351" w:rsidRPr="00CE42F2">
        <w:rPr>
          <w:rFonts w:cs="Arial"/>
          <w:color w:val="auto"/>
          <w:sz w:val="20"/>
          <w:szCs w:val="20"/>
        </w:rPr>
        <w:t xml:space="preserve"> and promote institutional alignment in the execution of oversight function, </w:t>
      </w:r>
      <w:r w:rsidRPr="00CE42F2">
        <w:rPr>
          <w:rFonts w:cs="Arial"/>
          <w:color w:val="auto"/>
          <w:sz w:val="20"/>
          <w:szCs w:val="20"/>
        </w:rPr>
        <w:t xml:space="preserve">and improved governance and accountability. </w:t>
      </w:r>
      <w:r w:rsidR="00DF1351" w:rsidRPr="00CE42F2">
        <w:rPr>
          <w:rFonts w:cs="Arial"/>
          <w:color w:val="auto"/>
          <w:sz w:val="20"/>
          <w:szCs w:val="20"/>
        </w:rPr>
        <w:t xml:space="preserve">The indicators include annual assessment of independent board performance evaluation framework, </w:t>
      </w:r>
      <w:r w:rsidR="00657010" w:rsidRPr="00CE42F2">
        <w:rPr>
          <w:rFonts w:cs="Arial"/>
          <w:color w:val="auto"/>
          <w:sz w:val="20"/>
          <w:szCs w:val="20"/>
        </w:rPr>
        <w:t xml:space="preserve">development and implementation of </w:t>
      </w:r>
      <w:r w:rsidR="00DF1351" w:rsidRPr="00CE42F2">
        <w:rPr>
          <w:rFonts w:cs="Arial"/>
          <w:color w:val="auto"/>
          <w:sz w:val="20"/>
          <w:szCs w:val="20"/>
        </w:rPr>
        <w:t xml:space="preserve">SOCs </w:t>
      </w:r>
      <w:r w:rsidR="00657010" w:rsidRPr="00CE42F2">
        <w:rPr>
          <w:rFonts w:cs="Arial"/>
          <w:color w:val="auto"/>
          <w:sz w:val="20"/>
          <w:szCs w:val="20"/>
        </w:rPr>
        <w:t xml:space="preserve">Risk Integrity management framework, Government Shareholder Management Bill adopted into law by 2023 and review previously undertaken forensic audits and ensure recommendations are implemented including (State Capture Commission). The sub programme on financial assessment and investment support has an </w:t>
      </w:r>
      <w:r w:rsidR="00657010" w:rsidRPr="00CE42F2">
        <w:rPr>
          <w:rFonts w:cs="Arial"/>
          <w:color w:val="auto"/>
          <w:sz w:val="20"/>
          <w:szCs w:val="20"/>
        </w:rPr>
        <w:lastRenderedPageBreak/>
        <w:t>outcome on improved financial sustainability of SO</w:t>
      </w:r>
      <w:r w:rsidR="009B45B0" w:rsidRPr="00CE42F2">
        <w:rPr>
          <w:rFonts w:cs="Arial"/>
          <w:color w:val="auto"/>
          <w:sz w:val="20"/>
          <w:szCs w:val="20"/>
        </w:rPr>
        <w:t>Cs with the following outputs</w:t>
      </w:r>
      <w:r w:rsidR="00657010" w:rsidRPr="00CE42F2">
        <w:rPr>
          <w:rFonts w:cs="Arial"/>
          <w:color w:val="auto"/>
          <w:sz w:val="20"/>
          <w:szCs w:val="20"/>
        </w:rPr>
        <w:t xml:space="preserve">: </w:t>
      </w:r>
      <w:r w:rsidR="009B45B0" w:rsidRPr="00CE42F2">
        <w:rPr>
          <w:rFonts w:cs="Arial"/>
          <w:color w:val="auto"/>
          <w:sz w:val="20"/>
          <w:szCs w:val="20"/>
        </w:rPr>
        <w:t>outlook on SOC financial position, alignment of SOC plans to key priorities outlined in SIS and SHC, monitor the implementation of SOCs external auditor’s audit findings and payment of SOCs proportion of earnings.</w:t>
      </w:r>
    </w:p>
    <w:p w:rsidR="00657010" w:rsidRPr="00CE42F2" w:rsidRDefault="00657010" w:rsidP="00CE42F2">
      <w:pPr>
        <w:autoSpaceDE w:val="0"/>
        <w:autoSpaceDN w:val="0"/>
        <w:adjustRightInd w:val="0"/>
        <w:rPr>
          <w:rFonts w:cs="Arial"/>
          <w:color w:val="auto"/>
          <w:sz w:val="20"/>
          <w:szCs w:val="20"/>
        </w:rPr>
      </w:pPr>
    </w:p>
    <w:p w:rsidR="00B7575E" w:rsidRPr="00CE42F2" w:rsidRDefault="009C1D61" w:rsidP="00CE42F2">
      <w:pPr>
        <w:autoSpaceDE w:val="0"/>
        <w:autoSpaceDN w:val="0"/>
        <w:adjustRightInd w:val="0"/>
        <w:rPr>
          <w:rFonts w:eastAsia="MyriadPro-Regular" w:cs="Arial"/>
          <w:color w:val="auto"/>
          <w:spacing w:val="0"/>
          <w:sz w:val="20"/>
          <w:szCs w:val="20"/>
          <w:lang w:val="en-ZA" w:eastAsia="en-ZA"/>
        </w:rPr>
      </w:pPr>
      <w:r w:rsidRPr="00CE42F2">
        <w:rPr>
          <w:rFonts w:cs="Arial"/>
          <w:color w:val="auto"/>
          <w:sz w:val="20"/>
          <w:szCs w:val="20"/>
        </w:rPr>
        <w:t xml:space="preserve">The Business Enhancement and Industrialisation </w:t>
      </w:r>
      <w:r w:rsidR="00FD5135" w:rsidRPr="00CE42F2">
        <w:rPr>
          <w:rFonts w:cs="Arial"/>
          <w:color w:val="auto"/>
          <w:sz w:val="20"/>
          <w:szCs w:val="20"/>
        </w:rPr>
        <w:t xml:space="preserve">programme </w:t>
      </w:r>
      <w:r w:rsidRPr="00CE42F2">
        <w:rPr>
          <w:rFonts w:cs="Arial"/>
          <w:color w:val="auto"/>
          <w:sz w:val="20"/>
          <w:szCs w:val="20"/>
        </w:rPr>
        <w:t xml:space="preserve">is intended </w:t>
      </w:r>
      <w:r w:rsidR="00464728" w:rsidRPr="00CE42F2">
        <w:rPr>
          <w:rFonts w:cs="Arial"/>
          <w:color w:val="auto"/>
          <w:sz w:val="20"/>
          <w:szCs w:val="20"/>
        </w:rPr>
        <w:t>t</w:t>
      </w:r>
      <w:r w:rsidRPr="00CE42F2">
        <w:rPr>
          <w:rFonts w:eastAsia="MyriadPro-Regular" w:cs="Arial"/>
          <w:color w:val="auto"/>
          <w:spacing w:val="0"/>
          <w:sz w:val="20"/>
          <w:szCs w:val="20"/>
          <w:lang w:val="en-ZA" w:eastAsia="en-ZA"/>
        </w:rPr>
        <w:t>o provide sector oversight of SOCs by advancing industrialisation,</w:t>
      </w:r>
      <w:r w:rsidR="00464728" w:rsidRPr="00CE42F2">
        <w:rPr>
          <w:rFonts w:eastAsia="MyriadPro-Regular" w:cs="Arial"/>
          <w:color w:val="auto"/>
          <w:spacing w:val="0"/>
          <w:sz w:val="20"/>
          <w:szCs w:val="20"/>
          <w:lang w:val="en-ZA" w:eastAsia="en-ZA"/>
        </w:rPr>
        <w:t xml:space="preserve"> </w:t>
      </w:r>
      <w:r w:rsidRPr="00CE42F2">
        <w:rPr>
          <w:rFonts w:eastAsia="MyriadPro-Regular" w:cs="Arial"/>
          <w:color w:val="auto"/>
          <w:spacing w:val="0"/>
          <w:sz w:val="20"/>
          <w:szCs w:val="20"/>
          <w:lang w:val="en-ZA" w:eastAsia="en-ZA"/>
        </w:rPr>
        <w:t>transformation, intergovernmental relations and international collaboration services;</w:t>
      </w:r>
      <w:r w:rsidR="00464728" w:rsidRPr="00CE42F2">
        <w:rPr>
          <w:rFonts w:eastAsia="MyriadPro-Regular" w:cs="Arial"/>
          <w:color w:val="auto"/>
          <w:spacing w:val="0"/>
          <w:sz w:val="20"/>
          <w:szCs w:val="20"/>
          <w:lang w:val="en-ZA" w:eastAsia="en-ZA"/>
        </w:rPr>
        <w:t xml:space="preserve"> </w:t>
      </w:r>
      <w:r w:rsidRPr="00CE42F2">
        <w:rPr>
          <w:rFonts w:eastAsia="MyriadPro-Regular" w:cs="Arial"/>
          <w:color w:val="auto"/>
          <w:spacing w:val="0"/>
          <w:sz w:val="20"/>
          <w:szCs w:val="20"/>
          <w:lang w:val="en-ZA" w:eastAsia="en-ZA"/>
        </w:rPr>
        <w:t>and support the Shareholder to strategically position and enhance the operations of</w:t>
      </w:r>
      <w:r w:rsidR="00464728" w:rsidRPr="00CE42F2">
        <w:rPr>
          <w:rFonts w:eastAsia="MyriadPro-Regular" w:cs="Arial"/>
          <w:color w:val="auto"/>
          <w:spacing w:val="0"/>
          <w:sz w:val="20"/>
          <w:szCs w:val="20"/>
          <w:lang w:val="en-ZA" w:eastAsia="en-ZA"/>
        </w:rPr>
        <w:t xml:space="preserve"> </w:t>
      </w:r>
      <w:r w:rsidRPr="00CE42F2">
        <w:rPr>
          <w:rFonts w:eastAsia="MyriadPro-Regular" w:cs="Arial"/>
          <w:color w:val="auto"/>
          <w:spacing w:val="0"/>
          <w:sz w:val="20"/>
          <w:szCs w:val="20"/>
          <w:lang w:val="en-ZA" w:eastAsia="en-ZA"/>
        </w:rPr>
        <w:t>SOCs.</w:t>
      </w:r>
      <w:r w:rsidR="00464728" w:rsidRPr="00CE42F2">
        <w:rPr>
          <w:rFonts w:eastAsia="MyriadPro-Regular" w:cs="Arial"/>
          <w:color w:val="auto"/>
          <w:spacing w:val="0"/>
          <w:sz w:val="20"/>
          <w:szCs w:val="20"/>
          <w:lang w:val="en-ZA" w:eastAsia="en-ZA"/>
        </w:rPr>
        <w:t xml:space="preserve"> </w:t>
      </w:r>
    </w:p>
    <w:p w:rsidR="00B7575E" w:rsidRPr="00CE42F2" w:rsidRDefault="00B7575E" w:rsidP="00CE42F2">
      <w:pPr>
        <w:autoSpaceDE w:val="0"/>
        <w:autoSpaceDN w:val="0"/>
        <w:adjustRightInd w:val="0"/>
        <w:rPr>
          <w:rFonts w:eastAsia="MyriadPro-Regular" w:cs="Arial"/>
          <w:color w:val="auto"/>
          <w:spacing w:val="0"/>
          <w:sz w:val="20"/>
          <w:szCs w:val="20"/>
          <w:lang w:val="en-ZA" w:eastAsia="en-ZA"/>
        </w:rPr>
      </w:pPr>
    </w:p>
    <w:p w:rsidR="00CE1C8D" w:rsidRPr="00CE42F2" w:rsidRDefault="00464728" w:rsidP="00CE42F2">
      <w:pPr>
        <w:autoSpaceDE w:val="0"/>
        <w:autoSpaceDN w:val="0"/>
        <w:adjustRightInd w:val="0"/>
        <w:rPr>
          <w:rFonts w:eastAsia="MyriadPro-Regular" w:cs="Arial"/>
          <w:color w:val="auto"/>
          <w:spacing w:val="0"/>
          <w:sz w:val="20"/>
          <w:szCs w:val="20"/>
          <w:lang w:val="en-ZA" w:eastAsia="en-ZA"/>
        </w:rPr>
      </w:pPr>
      <w:r w:rsidRPr="00CE42F2">
        <w:rPr>
          <w:rFonts w:eastAsia="MyriadPro-Regular" w:cs="Arial"/>
          <w:color w:val="auto"/>
          <w:spacing w:val="0"/>
          <w:sz w:val="20"/>
          <w:szCs w:val="20"/>
          <w:lang w:val="en-ZA" w:eastAsia="en-ZA"/>
        </w:rPr>
        <w:t>The outcomes of the programme are the following</w:t>
      </w:r>
      <w:r w:rsidR="00DB1594" w:rsidRPr="00CE42F2">
        <w:rPr>
          <w:rFonts w:eastAsia="MyriadPro-Regular" w:cs="Arial"/>
          <w:color w:val="auto"/>
          <w:spacing w:val="0"/>
          <w:sz w:val="20"/>
          <w:szCs w:val="20"/>
          <w:lang w:val="en-ZA" w:eastAsia="en-ZA"/>
        </w:rPr>
        <w:t>:</w:t>
      </w:r>
      <w:r w:rsidRPr="00CE42F2">
        <w:rPr>
          <w:rFonts w:eastAsia="MyriadPro-Regular" w:cs="Arial"/>
          <w:color w:val="auto"/>
          <w:spacing w:val="0"/>
          <w:sz w:val="20"/>
          <w:szCs w:val="20"/>
          <w:lang w:val="en-ZA" w:eastAsia="en-ZA"/>
        </w:rPr>
        <w:t xml:space="preserve"> </w:t>
      </w:r>
      <w:r w:rsidR="00257A1D" w:rsidRPr="00CE42F2">
        <w:rPr>
          <w:rFonts w:eastAsia="MyriadPro-Regular" w:cs="Arial"/>
          <w:color w:val="auto"/>
          <w:spacing w:val="0"/>
          <w:sz w:val="20"/>
          <w:szCs w:val="20"/>
          <w:lang w:val="en-ZA" w:eastAsia="en-ZA"/>
        </w:rPr>
        <w:t>I</w:t>
      </w:r>
      <w:r w:rsidRPr="00CE42F2">
        <w:rPr>
          <w:rFonts w:eastAsia="MyriadPro-Regular" w:cs="Arial"/>
          <w:color w:val="auto"/>
          <w:spacing w:val="0"/>
          <w:sz w:val="20"/>
          <w:szCs w:val="20"/>
          <w:lang w:val="en-ZA" w:eastAsia="en-ZA"/>
        </w:rPr>
        <w:t>ncrease the contribution of SOCs to support the transformation of the South African economy, support the development of small, medium</w:t>
      </w:r>
      <w:r w:rsidR="00257A1D" w:rsidRPr="00CE42F2">
        <w:rPr>
          <w:rFonts w:eastAsia="MyriadPro-Regular" w:cs="Arial"/>
          <w:color w:val="auto"/>
          <w:spacing w:val="0"/>
          <w:sz w:val="20"/>
          <w:szCs w:val="20"/>
          <w:lang w:val="en-ZA" w:eastAsia="en-ZA"/>
        </w:rPr>
        <w:t>, and micro enterprises (SMMEs), economic transformation and job creation, position SOCs to support the reindustrialisation</w:t>
      </w:r>
      <w:r w:rsidR="00CE1C8D" w:rsidRPr="00CE42F2">
        <w:rPr>
          <w:rFonts w:eastAsia="MyriadPro-Regular" w:cs="Arial"/>
          <w:color w:val="auto"/>
          <w:spacing w:val="0"/>
          <w:sz w:val="20"/>
          <w:szCs w:val="20"/>
          <w:lang w:val="en-ZA" w:eastAsia="en-ZA"/>
        </w:rPr>
        <w:t xml:space="preserve"> of the SA economy and position.</w:t>
      </w:r>
    </w:p>
    <w:p w:rsidR="00CE1C8D" w:rsidRPr="00CE42F2" w:rsidRDefault="00CE1C8D" w:rsidP="00CE42F2">
      <w:pPr>
        <w:autoSpaceDE w:val="0"/>
        <w:autoSpaceDN w:val="0"/>
        <w:adjustRightInd w:val="0"/>
        <w:rPr>
          <w:rFonts w:eastAsia="MyriadPro-Regular" w:cs="Arial"/>
          <w:color w:val="auto"/>
          <w:spacing w:val="0"/>
          <w:sz w:val="20"/>
          <w:szCs w:val="20"/>
          <w:lang w:val="en-ZA" w:eastAsia="en-ZA"/>
        </w:rPr>
      </w:pPr>
    </w:p>
    <w:p w:rsidR="00F517F9" w:rsidRPr="00CE42F2" w:rsidRDefault="00CE1C8D" w:rsidP="00CE42F2">
      <w:pPr>
        <w:autoSpaceDE w:val="0"/>
        <w:autoSpaceDN w:val="0"/>
        <w:adjustRightInd w:val="0"/>
        <w:rPr>
          <w:rFonts w:eastAsia="MyriadPro-Regular" w:cs="Arial"/>
          <w:color w:val="auto"/>
          <w:spacing w:val="0"/>
          <w:sz w:val="20"/>
          <w:szCs w:val="20"/>
          <w:lang w:val="en-ZA" w:eastAsia="en-ZA"/>
        </w:rPr>
      </w:pPr>
      <w:r w:rsidRPr="00CE42F2">
        <w:rPr>
          <w:rFonts w:eastAsia="MyriadPro-Regular" w:cs="Arial"/>
          <w:color w:val="auto"/>
          <w:spacing w:val="0"/>
          <w:sz w:val="20"/>
          <w:szCs w:val="20"/>
          <w:lang w:val="en-ZA" w:eastAsia="en-ZA"/>
        </w:rPr>
        <w:t>The outputs</w:t>
      </w:r>
      <w:r w:rsidR="0050154C" w:rsidRPr="00CE42F2">
        <w:rPr>
          <w:rFonts w:eastAsia="MyriadPro-Regular" w:cs="Arial"/>
          <w:color w:val="auto"/>
          <w:spacing w:val="0"/>
          <w:sz w:val="20"/>
          <w:szCs w:val="20"/>
          <w:lang w:val="en-ZA" w:eastAsia="en-ZA"/>
        </w:rPr>
        <w:t xml:space="preserve"> for this programme includes; increase percentage spend on local</w:t>
      </w:r>
      <w:r w:rsidR="00F517F9" w:rsidRPr="00CE42F2">
        <w:rPr>
          <w:rFonts w:eastAsia="MyriadPro-Regular" w:cs="Arial"/>
          <w:color w:val="auto"/>
          <w:spacing w:val="0"/>
          <w:sz w:val="20"/>
          <w:szCs w:val="20"/>
          <w:lang w:val="en-ZA" w:eastAsia="en-ZA"/>
        </w:rPr>
        <w:t>ly manufactured goods and services</w:t>
      </w:r>
      <w:r w:rsidR="0050154C" w:rsidRPr="00CE42F2">
        <w:rPr>
          <w:rFonts w:eastAsia="MyriadPro-Regular" w:cs="Arial"/>
          <w:color w:val="auto"/>
          <w:spacing w:val="0"/>
          <w:sz w:val="20"/>
          <w:szCs w:val="20"/>
          <w:lang w:val="en-ZA" w:eastAsia="en-ZA"/>
        </w:rPr>
        <w:t>, i</w:t>
      </w:r>
      <w:r w:rsidR="00F517F9" w:rsidRPr="00CE42F2">
        <w:rPr>
          <w:rFonts w:eastAsia="MyriadPro-Regular" w:cs="Arial"/>
          <w:color w:val="auto"/>
          <w:spacing w:val="0"/>
          <w:sz w:val="20"/>
          <w:szCs w:val="20"/>
          <w:lang w:val="en-ZA" w:eastAsia="en-ZA"/>
        </w:rPr>
        <w:t>mproved SOCs contribution to the transformation agenda, socio-economic development of SOCs, improved spend on enterprise development a minimum % of leviable amount (excluding statutory skills development) on essential skills development, adaptation to climate change impact, monitor implementation of SOCs climate change response and plans to reduce emissions and increase resilience to climate change impact.</w:t>
      </w:r>
    </w:p>
    <w:p w:rsidR="00E075BF" w:rsidRPr="00CE42F2" w:rsidRDefault="00E075BF" w:rsidP="00CE42F2">
      <w:pPr>
        <w:autoSpaceDE w:val="0"/>
        <w:autoSpaceDN w:val="0"/>
        <w:adjustRightInd w:val="0"/>
        <w:rPr>
          <w:rFonts w:cs="Arial"/>
          <w:color w:val="auto"/>
          <w:sz w:val="20"/>
          <w:szCs w:val="20"/>
        </w:rPr>
      </w:pPr>
    </w:p>
    <w:p w:rsidR="00621D42" w:rsidRPr="00CE42F2" w:rsidRDefault="00621D42" w:rsidP="00CE42F2">
      <w:pPr>
        <w:tabs>
          <w:tab w:val="left" w:pos="3960"/>
        </w:tabs>
        <w:rPr>
          <w:rFonts w:cs="Arial"/>
          <w:b/>
          <w:color w:val="auto"/>
          <w:sz w:val="20"/>
          <w:szCs w:val="20"/>
        </w:rPr>
      </w:pPr>
      <w:r w:rsidRPr="00CE42F2">
        <w:rPr>
          <w:rFonts w:cs="Arial"/>
          <w:b/>
          <w:color w:val="auto"/>
          <w:sz w:val="20"/>
          <w:szCs w:val="20"/>
        </w:rPr>
        <w:t xml:space="preserve">2.3     </w:t>
      </w:r>
      <w:r w:rsidR="006049E7" w:rsidRPr="00CE42F2">
        <w:rPr>
          <w:rFonts w:cs="Arial"/>
          <w:b/>
          <w:color w:val="auto"/>
          <w:sz w:val="20"/>
          <w:szCs w:val="20"/>
        </w:rPr>
        <w:t>Policy Priorities for 20</w:t>
      </w:r>
      <w:r w:rsidR="00E02DCB" w:rsidRPr="00CE42F2">
        <w:rPr>
          <w:rFonts w:cs="Arial"/>
          <w:b/>
          <w:color w:val="auto"/>
          <w:sz w:val="20"/>
          <w:szCs w:val="20"/>
        </w:rPr>
        <w:t>22/23</w:t>
      </w:r>
    </w:p>
    <w:p w:rsidR="00E02DCB" w:rsidRPr="00CE42F2" w:rsidRDefault="00E02DCB" w:rsidP="00CE42F2">
      <w:pPr>
        <w:autoSpaceDE w:val="0"/>
        <w:autoSpaceDN w:val="0"/>
        <w:adjustRightInd w:val="0"/>
        <w:rPr>
          <w:rFonts w:eastAsia="TimesNewRoman" w:cs="Arial"/>
          <w:color w:val="FF0000"/>
          <w:spacing w:val="0"/>
          <w:sz w:val="20"/>
          <w:szCs w:val="20"/>
          <w:lang w:val="en-ZA" w:eastAsia="en-ZA"/>
        </w:rPr>
      </w:pPr>
    </w:p>
    <w:p w:rsidR="00E02DCB" w:rsidRPr="00CE42F2" w:rsidRDefault="00E02DCB" w:rsidP="00CE42F2">
      <w:pPr>
        <w:autoSpaceDE w:val="0"/>
        <w:autoSpaceDN w:val="0"/>
        <w:adjustRightInd w:val="0"/>
        <w:rPr>
          <w:rFonts w:eastAsia="TimesNewRoman" w:cs="Arial"/>
          <w:color w:val="auto"/>
          <w:spacing w:val="0"/>
          <w:sz w:val="20"/>
          <w:szCs w:val="20"/>
          <w:lang w:val="en-ZA" w:eastAsia="en-ZA"/>
        </w:rPr>
      </w:pPr>
      <w:r w:rsidRPr="00CE42F2">
        <w:rPr>
          <w:rFonts w:eastAsia="TimesNewRoman" w:cs="Arial"/>
          <w:color w:val="auto"/>
          <w:spacing w:val="0"/>
          <w:sz w:val="20"/>
          <w:szCs w:val="20"/>
          <w:lang w:val="en-ZA" w:eastAsia="en-ZA"/>
        </w:rPr>
        <w:t>The Department of Public Enterprises oversees seven state-owned companies, namely Alexkor, Denel, the South African Forestry Company (SAFCOL), Eskom, South African Airways (SAA), South African Express Airways (SAX) and Transnet. The President made the following pronouncements in his State of the Nation address in February 2022</w:t>
      </w:r>
      <w:r w:rsidR="00655B79" w:rsidRPr="00CE42F2">
        <w:rPr>
          <w:rFonts w:eastAsia="TimesNewRoman" w:cs="Arial"/>
          <w:color w:val="auto"/>
          <w:spacing w:val="0"/>
          <w:sz w:val="20"/>
          <w:szCs w:val="20"/>
          <w:lang w:val="en-ZA" w:eastAsia="en-ZA"/>
        </w:rPr>
        <w:t>.</w:t>
      </w:r>
    </w:p>
    <w:p w:rsidR="00E02DCB" w:rsidRPr="00CE42F2" w:rsidRDefault="00E02DCB" w:rsidP="00CE42F2">
      <w:pPr>
        <w:textAlignment w:val="baseline"/>
        <w:rPr>
          <w:rFonts w:cs="Arial"/>
          <w:color w:val="auto"/>
          <w:sz w:val="20"/>
          <w:szCs w:val="20"/>
          <w:lang/>
        </w:rPr>
      </w:pPr>
      <w:r w:rsidRPr="00CE42F2">
        <w:rPr>
          <w:rFonts w:cs="Arial"/>
          <w:color w:val="auto"/>
          <w:sz w:val="20"/>
          <w:szCs w:val="20"/>
          <w:lang/>
        </w:rPr>
        <w:t>Government priorities for 2022</w:t>
      </w:r>
      <w:r w:rsidR="00655B79" w:rsidRPr="00CE42F2">
        <w:rPr>
          <w:rFonts w:cs="Arial"/>
          <w:color w:val="auto"/>
          <w:sz w:val="20"/>
          <w:szCs w:val="20"/>
          <w:lang/>
        </w:rPr>
        <w:t>/23 are</w:t>
      </w:r>
      <w:r w:rsidRPr="00CE42F2">
        <w:rPr>
          <w:rFonts w:cs="Arial"/>
          <w:color w:val="auto"/>
          <w:sz w:val="20"/>
          <w:szCs w:val="20"/>
          <w:lang/>
        </w:rPr>
        <w:t>:</w:t>
      </w:r>
    </w:p>
    <w:p w:rsidR="00E02DCB" w:rsidRPr="00CE42F2" w:rsidRDefault="00E02DCB" w:rsidP="00CE42F2">
      <w:pPr>
        <w:numPr>
          <w:ilvl w:val="0"/>
          <w:numId w:val="5"/>
        </w:numPr>
        <w:textAlignment w:val="baseline"/>
        <w:rPr>
          <w:rFonts w:cs="Arial"/>
          <w:color w:val="auto"/>
          <w:spacing w:val="0"/>
          <w:sz w:val="20"/>
          <w:szCs w:val="20"/>
          <w:lang w:eastAsia="en-ZA"/>
        </w:rPr>
      </w:pPr>
      <w:r w:rsidRPr="00CE42F2">
        <w:rPr>
          <w:rFonts w:cs="Arial"/>
          <w:color w:val="auto"/>
          <w:spacing w:val="0"/>
          <w:sz w:val="20"/>
          <w:szCs w:val="20"/>
          <w:lang w:eastAsia="en-ZA"/>
        </w:rPr>
        <w:t>overcoming the COVID-19 pandemic,</w:t>
      </w:r>
    </w:p>
    <w:p w:rsidR="00E02DCB" w:rsidRPr="00CE42F2" w:rsidRDefault="00E02DCB" w:rsidP="00CE42F2">
      <w:pPr>
        <w:numPr>
          <w:ilvl w:val="0"/>
          <w:numId w:val="5"/>
        </w:numPr>
        <w:textAlignment w:val="baseline"/>
        <w:rPr>
          <w:rFonts w:cs="Arial"/>
          <w:color w:val="auto"/>
          <w:spacing w:val="0"/>
          <w:sz w:val="20"/>
          <w:szCs w:val="20"/>
          <w:lang w:eastAsia="en-ZA"/>
        </w:rPr>
      </w:pPr>
      <w:r w:rsidRPr="00CE42F2">
        <w:rPr>
          <w:rFonts w:cs="Arial"/>
          <w:color w:val="auto"/>
          <w:spacing w:val="0"/>
          <w:sz w:val="20"/>
          <w:szCs w:val="20"/>
          <w:lang w:eastAsia="en-ZA"/>
        </w:rPr>
        <w:t>a massive rollout of infrastructure,</w:t>
      </w:r>
    </w:p>
    <w:p w:rsidR="00E02DCB" w:rsidRPr="00CE42F2" w:rsidRDefault="00E02DCB" w:rsidP="00CE42F2">
      <w:pPr>
        <w:numPr>
          <w:ilvl w:val="0"/>
          <w:numId w:val="5"/>
        </w:numPr>
        <w:textAlignment w:val="baseline"/>
        <w:rPr>
          <w:rFonts w:cs="Arial"/>
          <w:color w:val="auto"/>
          <w:spacing w:val="0"/>
          <w:sz w:val="20"/>
          <w:szCs w:val="20"/>
          <w:lang w:eastAsia="en-ZA"/>
        </w:rPr>
      </w:pPr>
      <w:r w:rsidRPr="00CE42F2">
        <w:rPr>
          <w:rFonts w:cs="Arial"/>
          <w:color w:val="auto"/>
          <w:spacing w:val="0"/>
          <w:sz w:val="20"/>
          <w:szCs w:val="20"/>
          <w:lang w:eastAsia="en-ZA"/>
        </w:rPr>
        <w:t>a substantial increase in local production,</w:t>
      </w:r>
    </w:p>
    <w:p w:rsidR="00E02DCB" w:rsidRPr="00CE42F2" w:rsidRDefault="00E02DCB" w:rsidP="00CE42F2">
      <w:pPr>
        <w:numPr>
          <w:ilvl w:val="0"/>
          <w:numId w:val="5"/>
        </w:numPr>
        <w:textAlignment w:val="baseline"/>
        <w:rPr>
          <w:rFonts w:cs="Arial"/>
          <w:color w:val="auto"/>
          <w:spacing w:val="0"/>
          <w:sz w:val="20"/>
          <w:szCs w:val="20"/>
          <w:lang w:eastAsia="en-ZA"/>
        </w:rPr>
      </w:pPr>
      <w:r w:rsidRPr="00CE42F2">
        <w:rPr>
          <w:rFonts w:cs="Arial"/>
          <w:color w:val="auto"/>
          <w:spacing w:val="0"/>
          <w:sz w:val="20"/>
          <w:szCs w:val="20"/>
          <w:lang w:eastAsia="en-ZA"/>
        </w:rPr>
        <w:t>an employment stimulus to create jobs and support livelihoods,</w:t>
      </w:r>
    </w:p>
    <w:p w:rsidR="00E02DCB" w:rsidRPr="00CE42F2" w:rsidRDefault="00E02DCB" w:rsidP="00CE42F2">
      <w:pPr>
        <w:numPr>
          <w:ilvl w:val="0"/>
          <w:numId w:val="5"/>
        </w:numPr>
        <w:textAlignment w:val="baseline"/>
        <w:rPr>
          <w:rFonts w:cs="Arial"/>
          <w:color w:val="auto"/>
          <w:spacing w:val="0"/>
          <w:sz w:val="20"/>
          <w:szCs w:val="20"/>
          <w:lang w:eastAsia="en-ZA"/>
        </w:rPr>
      </w:pPr>
      <w:r w:rsidRPr="00CE42F2">
        <w:rPr>
          <w:rFonts w:cs="Arial"/>
          <w:color w:val="auto"/>
          <w:spacing w:val="0"/>
          <w:sz w:val="20"/>
          <w:szCs w:val="20"/>
          <w:lang w:eastAsia="en-ZA"/>
        </w:rPr>
        <w:t>the rapid expansion of our energy generation capacity.</w:t>
      </w:r>
    </w:p>
    <w:p w:rsidR="00E02DCB" w:rsidRPr="00CE42F2" w:rsidRDefault="00E02DCB" w:rsidP="00CE42F2">
      <w:pPr>
        <w:pStyle w:val="ListParagraph"/>
        <w:ind w:left="1440"/>
        <w:textAlignment w:val="baseline"/>
        <w:rPr>
          <w:rFonts w:ascii="Arial" w:hAnsi="Arial" w:cs="Arial"/>
          <w:sz w:val="20"/>
          <w:szCs w:val="20"/>
          <w:lang/>
        </w:rPr>
      </w:pPr>
    </w:p>
    <w:p w:rsidR="00E02DCB" w:rsidRPr="00CE42F2" w:rsidRDefault="00E02DCB" w:rsidP="00CE42F2">
      <w:pPr>
        <w:autoSpaceDE w:val="0"/>
        <w:autoSpaceDN w:val="0"/>
        <w:adjustRightInd w:val="0"/>
        <w:rPr>
          <w:rFonts w:cs="Arial"/>
          <w:color w:val="auto"/>
          <w:sz w:val="20"/>
          <w:szCs w:val="20"/>
        </w:rPr>
      </w:pPr>
      <w:r w:rsidRPr="00CE42F2">
        <w:rPr>
          <w:rFonts w:cs="Arial"/>
          <w:color w:val="auto"/>
          <w:sz w:val="20"/>
          <w:szCs w:val="20"/>
        </w:rPr>
        <w:t xml:space="preserve">The priorities for the Department for the Medium Term Expenditure Framework period are the following: </w:t>
      </w:r>
    </w:p>
    <w:p w:rsidR="00E02DCB" w:rsidRPr="00CE42F2" w:rsidRDefault="00E02DCB" w:rsidP="00CE42F2">
      <w:pPr>
        <w:autoSpaceDE w:val="0"/>
        <w:autoSpaceDN w:val="0"/>
        <w:adjustRightInd w:val="0"/>
        <w:rPr>
          <w:rFonts w:cs="Arial"/>
          <w:color w:val="auto"/>
          <w:sz w:val="20"/>
          <w:szCs w:val="20"/>
        </w:rPr>
      </w:pPr>
    </w:p>
    <w:p w:rsidR="00E02DCB" w:rsidRPr="00CE42F2" w:rsidRDefault="00E02DCB" w:rsidP="00CE42F2">
      <w:pPr>
        <w:autoSpaceDE w:val="0"/>
        <w:autoSpaceDN w:val="0"/>
        <w:adjustRightInd w:val="0"/>
        <w:rPr>
          <w:rFonts w:cs="Arial"/>
          <w:color w:val="auto"/>
          <w:sz w:val="20"/>
          <w:szCs w:val="20"/>
        </w:rPr>
      </w:pPr>
      <w:r w:rsidRPr="00CE42F2">
        <w:rPr>
          <w:rFonts w:cs="Arial"/>
          <w:color w:val="auto"/>
          <w:sz w:val="20"/>
          <w:szCs w:val="20"/>
        </w:rPr>
        <w:t xml:space="preserve">a) </w:t>
      </w:r>
      <w:r w:rsidRPr="00CE42F2">
        <w:rPr>
          <w:rFonts w:cs="Arial"/>
          <w:b/>
          <w:bCs/>
          <w:color w:val="auto"/>
          <w:sz w:val="20"/>
          <w:szCs w:val="20"/>
        </w:rPr>
        <w:t xml:space="preserve">Oversight model: </w:t>
      </w:r>
      <w:r w:rsidRPr="00CE42F2">
        <w:rPr>
          <w:rFonts w:cs="Arial"/>
          <w:color w:val="auto"/>
          <w:sz w:val="20"/>
          <w:szCs w:val="20"/>
        </w:rPr>
        <w:t xml:space="preserve">Develop an enhanced and internationally benchmarked SOC oversight model. </w:t>
      </w:r>
    </w:p>
    <w:p w:rsidR="00E02DCB" w:rsidRPr="00CE42F2" w:rsidRDefault="00E02DCB" w:rsidP="00CE42F2">
      <w:pPr>
        <w:autoSpaceDE w:val="0"/>
        <w:autoSpaceDN w:val="0"/>
        <w:adjustRightInd w:val="0"/>
        <w:rPr>
          <w:rFonts w:cs="Arial"/>
          <w:color w:val="auto"/>
          <w:sz w:val="20"/>
          <w:szCs w:val="20"/>
        </w:rPr>
      </w:pPr>
      <w:r w:rsidRPr="00CE42F2">
        <w:rPr>
          <w:rFonts w:cs="Arial"/>
          <w:color w:val="auto"/>
          <w:sz w:val="20"/>
          <w:szCs w:val="20"/>
        </w:rPr>
        <w:t xml:space="preserve">b) </w:t>
      </w:r>
      <w:r w:rsidRPr="00CE42F2">
        <w:rPr>
          <w:rFonts w:cs="Arial"/>
          <w:b/>
          <w:bCs/>
          <w:color w:val="auto"/>
          <w:sz w:val="20"/>
          <w:szCs w:val="20"/>
        </w:rPr>
        <w:t xml:space="preserve">Private Sector Participation: </w:t>
      </w:r>
      <w:r w:rsidRPr="00CE42F2">
        <w:rPr>
          <w:rFonts w:cs="Arial"/>
          <w:color w:val="auto"/>
          <w:sz w:val="20"/>
          <w:szCs w:val="20"/>
        </w:rPr>
        <w:t xml:space="preserve">Mobilise the private sector to stimulate capital investment. </w:t>
      </w:r>
    </w:p>
    <w:p w:rsidR="00E02DCB" w:rsidRPr="00CE42F2" w:rsidRDefault="00E02DCB" w:rsidP="00CE42F2">
      <w:pPr>
        <w:autoSpaceDE w:val="0"/>
        <w:autoSpaceDN w:val="0"/>
        <w:adjustRightInd w:val="0"/>
        <w:rPr>
          <w:rFonts w:cs="Arial"/>
          <w:color w:val="auto"/>
          <w:sz w:val="20"/>
          <w:szCs w:val="20"/>
        </w:rPr>
      </w:pPr>
      <w:r w:rsidRPr="00CE42F2">
        <w:rPr>
          <w:rFonts w:cs="Arial"/>
          <w:color w:val="auto"/>
          <w:sz w:val="20"/>
          <w:szCs w:val="20"/>
        </w:rPr>
        <w:t xml:space="preserve">c) </w:t>
      </w:r>
      <w:r w:rsidRPr="00CE42F2">
        <w:rPr>
          <w:rFonts w:cs="Arial"/>
          <w:b/>
          <w:bCs/>
          <w:color w:val="auto"/>
          <w:sz w:val="20"/>
          <w:szCs w:val="20"/>
        </w:rPr>
        <w:t xml:space="preserve">Research-based Restructuring of SOCs: </w:t>
      </w:r>
      <w:r w:rsidRPr="00CE42F2">
        <w:rPr>
          <w:rFonts w:cs="Arial"/>
          <w:color w:val="auto"/>
          <w:sz w:val="20"/>
          <w:szCs w:val="20"/>
        </w:rPr>
        <w:t xml:space="preserve">DPE research capacity needs to be improved to attain the goal of developing world class SOCs. </w:t>
      </w:r>
    </w:p>
    <w:p w:rsidR="00E02DCB" w:rsidRPr="00CE42F2" w:rsidRDefault="00E02DCB" w:rsidP="00CE42F2">
      <w:pPr>
        <w:autoSpaceDE w:val="0"/>
        <w:autoSpaceDN w:val="0"/>
        <w:adjustRightInd w:val="0"/>
        <w:rPr>
          <w:rFonts w:cs="Arial"/>
          <w:color w:val="auto"/>
          <w:sz w:val="20"/>
          <w:szCs w:val="20"/>
        </w:rPr>
      </w:pPr>
      <w:r w:rsidRPr="00CE42F2">
        <w:rPr>
          <w:rFonts w:cs="Arial"/>
          <w:color w:val="auto"/>
          <w:sz w:val="20"/>
          <w:szCs w:val="20"/>
        </w:rPr>
        <w:t xml:space="preserve">d) </w:t>
      </w:r>
      <w:r w:rsidRPr="00CE42F2">
        <w:rPr>
          <w:rFonts w:cs="Arial"/>
          <w:b/>
          <w:bCs/>
          <w:color w:val="auto"/>
          <w:sz w:val="20"/>
          <w:szCs w:val="20"/>
        </w:rPr>
        <w:t xml:space="preserve">Restructuring office: </w:t>
      </w:r>
      <w:r w:rsidRPr="00CE42F2">
        <w:rPr>
          <w:rFonts w:cs="Arial"/>
          <w:color w:val="auto"/>
          <w:sz w:val="20"/>
          <w:szCs w:val="20"/>
        </w:rPr>
        <w:t xml:space="preserve">The restructuring of SOCs require skills not found in the public sector. This office will then be staffed by professionals sourced through partnerships with the private sector either through sourcing contracts or through initiatives such as </w:t>
      </w:r>
      <w:r w:rsidRPr="00CE42F2">
        <w:rPr>
          <w:rFonts w:cs="Arial"/>
          <w:i/>
          <w:iCs/>
          <w:color w:val="auto"/>
          <w:sz w:val="20"/>
          <w:szCs w:val="20"/>
        </w:rPr>
        <w:t>Thuma Mina</w:t>
      </w:r>
      <w:r w:rsidRPr="00CE42F2">
        <w:rPr>
          <w:rFonts w:cs="Arial"/>
          <w:color w:val="auto"/>
          <w:sz w:val="20"/>
          <w:szCs w:val="20"/>
        </w:rPr>
        <w:t xml:space="preserve">. </w:t>
      </w:r>
    </w:p>
    <w:p w:rsidR="00E02DCB" w:rsidRPr="00CE42F2" w:rsidRDefault="00E02DCB" w:rsidP="00CE42F2">
      <w:pPr>
        <w:autoSpaceDE w:val="0"/>
        <w:autoSpaceDN w:val="0"/>
        <w:adjustRightInd w:val="0"/>
        <w:rPr>
          <w:rFonts w:cs="Arial"/>
          <w:color w:val="auto"/>
          <w:sz w:val="20"/>
          <w:szCs w:val="20"/>
        </w:rPr>
      </w:pPr>
      <w:r w:rsidRPr="00CE42F2">
        <w:rPr>
          <w:rFonts w:cs="Arial"/>
          <w:color w:val="auto"/>
          <w:sz w:val="20"/>
          <w:szCs w:val="20"/>
        </w:rPr>
        <w:t xml:space="preserve">e) </w:t>
      </w:r>
      <w:r w:rsidRPr="00CE42F2">
        <w:rPr>
          <w:rFonts w:cs="Arial"/>
          <w:b/>
          <w:bCs/>
          <w:color w:val="auto"/>
          <w:sz w:val="20"/>
          <w:szCs w:val="20"/>
        </w:rPr>
        <w:t xml:space="preserve">Innovative Funding Solutions: </w:t>
      </w:r>
      <w:r w:rsidRPr="00CE42F2">
        <w:rPr>
          <w:rFonts w:cs="Arial"/>
          <w:color w:val="auto"/>
          <w:sz w:val="20"/>
          <w:szCs w:val="20"/>
        </w:rPr>
        <w:t xml:space="preserve">Development of strategies on management of existing capital and attraction of new capital to fund the enormous infrastructure and industrial development effort required of Government. </w:t>
      </w:r>
    </w:p>
    <w:p w:rsidR="00E02DCB" w:rsidRPr="00CE42F2" w:rsidRDefault="00E02DCB" w:rsidP="00CE42F2">
      <w:pPr>
        <w:autoSpaceDE w:val="0"/>
        <w:autoSpaceDN w:val="0"/>
        <w:adjustRightInd w:val="0"/>
        <w:rPr>
          <w:rFonts w:cs="Arial"/>
          <w:color w:val="auto"/>
          <w:sz w:val="20"/>
          <w:szCs w:val="20"/>
        </w:rPr>
      </w:pPr>
      <w:r w:rsidRPr="00CE42F2">
        <w:rPr>
          <w:rFonts w:cs="Arial"/>
          <w:color w:val="auto"/>
          <w:sz w:val="20"/>
          <w:szCs w:val="20"/>
        </w:rPr>
        <w:t xml:space="preserve">f) </w:t>
      </w:r>
      <w:r w:rsidRPr="00CE42F2">
        <w:rPr>
          <w:rFonts w:cs="Arial"/>
          <w:b/>
          <w:bCs/>
          <w:color w:val="auto"/>
          <w:sz w:val="20"/>
          <w:szCs w:val="20"/>
        </w:rPr>
        <w:t xml:space="preserve">SOC Leadership model: </w:t>
      </w:r>
      <w:r w:rsidRPr="00CE42F2">
        <w:rPr>
          <w:rFonts w:cs="Arial"/>
          <w:color w:val="auto"/>
          <w:sz w:val="20"/>
          <w:szCs w:val="20"/>
        </w:rPr>
        <w:t xml:space="preserve">Development of dedicated leadership development programmes. </w:t>
      </w:r>
    </w:p>
    <w:p w:rsidR="00E02DCB" w:rsidRPr="00CE42F2" w:rsidRDefault="00E02DCB" w:rsidP="00CE42F2">
      <w:pPr>
        <w:autoSpaceDE w:val="0"/>
        <w:autoSpaceDN w:val="0"/>
        <w:adjustRightInd w:val="0"/>
        <w:rPr>
          <w:rFonts w:cs="Arial"/>
          <w:color w:val="auto"/>
          <w:sz w:val="20"/>
          <w:szCs w:val="20"/>
        </w:rPr>
      </w:pPr>
      <w:r w:rsidRPr="00CE42F2">
        <w:rPr>
          <w:rFonts w:cs="Arial"/>
          <w:color w:val="auto"/>
          <w:sz w:val="20"/>
          <w:szCs w:val="20"/>
        </w:rPr>
        <w:t xml:space="preserve">g) </w:t>
      </w:r>
      <w:r w:rsidRPr="00CE42F2">
        <w:rPr>
          <w:rFonts w:cs="Arial"/>
          <w:b/>
          <w:bCs/>
          <w:color w:val="auto"/>
          <w:sz w:val="20"/>
          <w:szCs w:val="20"/>
        </w:rPr>
        <w:t xml:space="preserve">Corruption and Malfeasance: </w:t>
      </w:r>
      <w:r w:rsidRPr="00CE42F2">
        <w:rPr>
          <w:rFonts w:cs="Arial"/>
          <w:color w:val="auto"/>
          <w:sz w:val="20"/>
          <w:szCs w:val="20"/>
        </w:rPr>
        <w:t xml:space="preserve">An internal unit will be established to ensure that historical malfeasance is correctly addressed. </w:t>
      </w:r>
    </w:p>
    <w:p w:rsidR="00E02DCB" w:rsidRPr="00CE42F2" w:rsidRDefault="00E02DCB" w:rsidP="00CE42F2">
      <w:pPr>
        <w:autoSpaceDE w:val="0"/>
        <w:autoSpaceDN w:val="0"/>
        <w:adjustRightInd w:val="0"/>
        <w:rPr>
          <w:rFonts w:cs="Arial"/>
          <w:color w:val="auto"/>
          <w:sz w:val="20"/>
          <w:szCs w:val="20"/>
        </w:rPr>
      </w:pPr>
      <w:r w:rsidRPr="00CE42F2">
        <w:rPr>
          <w:rFonts w:cs="Arial"/>
          <w:color w:val="auto"/>
          <w:sz w:val="20"/>
          <w:szCs w:val="20"/>
        </w:rPr>
        <w:t xml:space="preserve">h) </w:t>
      </w:r>
      <w:r w:rsidRPr="00CE42F2">
        <w:rPr>
          <w:rFonts w:cs="Arial"/>
          <w:b/>
          <w:bCs/>
          <w:color w:val="auto"/>
          <w:sz w:val="20"/>
          <w:szCs w:val="20"/>
        </w:rPr>
        <w:t xml:space="preserve">Performance tracking solution: </w:t>
      </w:r>
      <w:r w:rsidRPr="00CE42F2">
        <w:rPr>
          <w:rFonts w:cs="Arial"/>
          <w:color w:val="auto"/>
          <w:sz w:val="20"/>
          <w:szCs w:val="20"/>
        </w:rPr>
        <w:t xml:space="preserve">In order to obtain reliable and immediate data on performance on SOCs, the DPE will ensure that enabling infrastructure is developed. </w:t>
      </w:r>
    </w:p>
    <w:p w:rsidR="00E02DCB" w:rsidRPr="00CE42F2" w:rsidRDefault="00E02DCB" w:rsidP="00CE42F2">
      <w:pPr>
        <w:autoSpaceDE w:val="0"/>
        <w:autoSpaceDN w:val="0"/>
        <w:adjustRightInd w:val="0"/>
        <w:rPr>
          <w:rFonts w:cs="Arial"/>
          <w:color w:val="auto"/>
          <w:sz w:val="20"/>
          <w:szCs w:val="20"/>
        </w:rPr>
      </w:pPr>
      <w:r w:rsidRPr="00CE42F2">
        <w:rPr>
          <w:rFonts w:cs="Arial"/>
          <w:color w:val="auto"/>
          <w:sz w:val="20"/>
          <w:szCs w:val="20"/>
        </w:rPr>
        <w:t xml:space="preserve">i) </w:t>
      </w:r>
      <w:r w:rsidRPr="00CE42F2">
        <w:rPr>
          <w:rFonts w:cs="Arial"/>
          <w:b/>
          <w:bCs/>
          <w:color w:val="auto"/>
          <w:sz w:val="20"/>
          <w:szCs w:val="20"/>
        </w:rPr>
        <w:t xml:space="preserve">Innovative Empowerment and Community Development Solutions: </w:t>
      </w:r>
      <w:r w:rsidRPr="00CE42F2">
        <w:rPr>
          <w:rFonts w:cs="Arial"/>
          <w:color w:val="auto"/>
          <w:sz w:val="20"/>
          <w:szCs w:val="20"/>
        </w:rPr>
        <w:t xml:space="preserve">The SOCs’ approach to Corporate Social Investment (CSI) and empowerment needs to be reviewed and aligned with the developmental needs of communities and comply with environmental regulations. </w:t>
      </w:r>
    </w:p>
    <w:p w:rsidR="00E02DCB" w:rsidRPr="00CE42F2" w:rsidRDefault="00E02DCB" w:rsidP="00CE42F2">
      <w:pPr>
        <w:autoSpaceDE w:val="0"/>
        <w:autoSpaceDN w:val="0"/>
        <w:adjustRightInd w:val="0"/>
        <w:rPr>
          <w:rFonts w:cs="Arial"/>
          <w:color w:val="auto"/>
          <w:sz w:val="20"/>
          <w:szCs w:val="20"/>
        </w:rPr>
      </w:pPr>
      <w:r w:rsidRPr="00CE42F2">
        <w:rPr>
          <w:rFonts w:cs="Arial"/>
          <w:color w:val="auto"/>
          <w:sz w:val="20"/>
          <w:szCs w:val="20"/>
        </w:rPr>
        <w:t xml:space="preserve">j) </w:t>
      </w:r>
      <w:r w:rsidRPr="00CE42F2">
        <w:rPr>
          <w:rFonts w:cs="Arial"/>
          <w:b/>
          <w:bCs/>
          <w:color w:val="auto"/>
          <w:sz w:val="20"/>
          <w:szCs w:val="20"/>
        </w:rPr>
        <w:t xml:space="preserve">Localisation and Industrialisation: </w:t>
      </w:r>
      <w:r w:rsidRPr="00CE42F2">
        <w:rPr>
          <w:rFonts w:cs="Arial"/>
          <w:color w:val="auto"/>
          <w:sz w:val="20"/>
          <w:szCs w:val="20"/>
        </w:rPr>
        <w:t xml:space="preserve">The buying power of the SOCs will be used to ensure the various procurement leverage programmes of government are utilised to ensure localisation of critical industrial capabilities. </w:t>
      </w:r>
    </w:p>
    <w:p w:rsidR="00E02DCB" w:rsidRPr="00CE42F2" w:rsidRDefault="00E02DCB" w:rsidP="00CE42F2">
      <w:pPr>
        <w:tabs>
          <w:tab w:val="left" w:pos="1980"/>
        </w:tabs>
        <w:rPr>
          <w:rFonts w:cs="Arial"/>
          <w:color w:val="auto"/>
          <w:sz w:val="20"/>
          <w:szCs w:val="20"/>
        </w:rPr>
      </w:pPr>
    </w:p>
    <w:p w:rsidR="004D1126" w:rsidRPr="00CE42F2" w:rsidRDefault="004D1126" w:rsidP="00CE42F2">
      <w:pPr>
        <w:rPr>
          <w:rFonts w:cs="Arial"/>
          <w:b/>
          <w:color w:val="auto"/>
          <w:sz w:val="20"/>
          <w:szCs w:val="20"/>
        </w:rPr>
      </w:pPr>
      <w:r w:rsidRPr="00CE42F2">
        <w:rPr>
          <w:rFonts w:cs="Arial"/>
          <w:b/>
          <w:color w:val="auto"/>
          <w:sz w:val="20"/>
          <w:szCs w:val="20"/>
        </w:rPr>
        <w:t>3.</w:t>
      </w:r>
      <w:r w:rsidRPr="00CE42F2">
        <w:rPr>
          <w:rFonts w:cs="Arial"/>
          <w:b/>
          <w:color w:val="auto"/>
          <w:sz w:val="20"/>
          <w:szCs w:val="20"/>
        </w:rPr>
        <w:tab/>
      </w:r>
      <w:r w:rsidR="00E240DA" w:rsidRPr="00CE42F2">
        <w:rPr>
          <w:rFonts w:cs="Arial"/>
          <w:b/>
          <w:color w:val="auto"/>
          <w:sz w:val="20"/>
          <w:szCs w:val="20"/>
        </w:rPr>
        <w:t>Programmes of the Department</w:t>
      </w:r>
    </w:p>
    <w:p w:rsidR="00E240DA" w:rsidRPr="00CE42F2" w:rsidRDefault="00E240DA" w:rsidP="00CE42F2">
      <w:pPr>
        <w:rPr>
          <w:rFonts w:cs="Arial"/>
          <w:b/>
          <w:color w:val="auto"/>
          <w:sz w:val="20"/>
          <w:szCs w:val="20"/>
        </w:rPr>
      </w:pPr>
      <w:r w:rsidRPr="00CE42F2">
        <w:rPr>
          <w:rFonts w:cs="Arial"/>
          <w:b/>
          <w:color w:val="auto"/>
          <w:sz w:val="20"/>
          <w:szCs w:val="20"/>
        </w:rPr>
        <w:t>3.1</w:t>
      </w:r>
      <w:r w:rsidRPr="00CE42F2">
        <w:rPr>
          <w:rFonts w:cs="Arial"/>
          <w:b/>
          <w:color w:val="auto"/>
          <w:sz w:val="20"/>
          <w:szCs w:val="20"/>
        </w:rPr>
        <w:tab/>
        <w:t xml:space="preserve">Programme 1: Administration </w:t>
      </w:r>
      <w:r w:rsidR="006D3D92" w:rsidRPr="00CE42F2">
        <w:rPr>
          <w:rFonts w:cs="Arial"/>
          <w:b/>
          <w:color w:val="auto"/>
          <w:sz w:val="20"/>
          <w:szCs w:val="20"/>
        </w:rPr>
        <w:t>and Corporate Management</w:t>
      </w:r>
    </w:p>
    <w:p w:rsidR="00E02DCB" w:rsidRPr="00CE42F2" w:rsidRDefault="00E02DCB" w:rsidP="00CE42F2">
      <w:pPr>
        <w:tabs>
          <w:tab w:val="left" w:pos="1980"/>
        </w:tabs>
        <w:rPr>
          <w:rFonts w:cs="Arial"/>
          <w:color w:val="auto"/>
          <w:sz w:val="20"/>
          <w:szCs w:val="20"/>
        </w:rPr>
      </w:pPr>
    </w:p>
    <w:p w:rsidR="00AB73D7" w:rsidRPr="00CE42F2" w:rsidRDefault="00AB73D7" w:rsidP="00CE42F2">
      <w:pPr>
        <w:tabs>
          <w:tab w:val="left" w:pos="1980"/>
        </w:tabs>
        <w:rPr>
          <w:rFonts w:cs="Arial"/>
          <w:color w:val="auto"/>
          <w:sz w:val="20"/>
          <w:szCs w:val="20"/>
        </w:rPr>
      </w:pPr>
      <w:r w:rsidRPr="00CE42F2">
        <w:rPr>
          <w:rFonts w:cs="Arial"/>
          <w:color w:val="auto"/>
          <w:sz w:val="20"/>
          <w:szCs w:val="20"/>
        </w:rPr>
        <w:t xml:space="preserve">The purpose of this programme is to provide strategic management and support services to </w:t>
      </w:r>
    </w:p>
    <w:p w:rsidR="00AB73D7" w:rsidRPr="00CE42F2" w:rsidRDefault="00AB73D7" w:rsidP="00CE42F2">
      <w:pPr>
        <w:tabs>
          <w:tab w:val="left" w:pos="1980"/>
        </w:tabs>
        <w:rPr>
          <w:rFonts w:cs="Arial"/>
          <w:color w:val="auto"/>
          <w:sz w:val="20"/>
          <w:szCs w:val="20"/>
        </w:rPr>
      </w:pPr>
      <w:r w:rsidRPr="00CE42F2">
        <w:rPr>
          <w:rFonts w:cs="Arial"/>
          <w:color w:val="auto"/>
          <w:sz w:val="20"/>
          <w:szCs w:val="20"/>
        </w:rPr>
        <w:lastRenderedPageBreak/>
        <w:t xml:space="preserve">the Department. </w:t>
      </w:r>
    </w:p>
    <w:p w:rsidR="00E02DCB" w:rsidRPr="00CE42F2" w:rsidRDefault="00E02DCB" w:rsidP="00CE42F2">
      <w:pPr>
        <w:tabs>
          <w:tab w:val="left" w:pos="1980"/>
        </w:tabs>
        <w:rPr>
          <w:rFonts w:cs="Arial"/>
          <w:color w:val="auto"/>
          <w:sz w:val="20"/>
          <w:szCs w:val="20"/>
        </w:rPr>
      </w:pPr>
    </w:p>
    <w:p w:rsidR="00AB73D7" w:rsidRPr="00CE42F2" w:rsidRDefault="00AB73D7" w:rsidP="00CE42F2">
      <w:pPr>
        <w:tabs>
          <w:tab w:val="left" w:pos="1980"/>
        </w:tabs>
        <w:rPr>
          <w:rFonts w:cs="Arial"/>
          <w:color w:val="auto"/>
          <w:sz w:val="20"/>
          <w:szCs w:val="20"/>
        </w:rPr>
      </w:pPr>
      <w:r w:rsidRPr="00CE42F2">
        <w:rPr>
          <w:rFonts w:cs="Arial"/>
          <w:color w:val="auto"/>
          <w:sz w:val="20"/>
          <w:szCs w:val="20"/>
        </w:rPr>
        <w:t>The programme includes the Office of the Director-General/Management. The programme is currently made up of the following sub-programmes: Management; Security and Facilities Management; Information Management and Technology; Office of the Chief Financial Officer; Human Resources; Communications; Strategic Management; and Internal Audit. The Department’s core functions require significant administrative support, and a substantial portion of the budget is in the Administration programme, an amount of R166.3 million for 2022/23, which has cross-cutting sub-programmes providing for intergovernmental and international relations, strategic planning, monitoring and evaluation, and communications. The majority of the budget, R97.2 million, is for compensation of employees, while R65.3 million is for goods and services. The balance of R3.9 million is for machinery and equipment.</w:t>
      </w:r>
    </w:p>
    <w:p w:rsidR="00AB73D7" w:rsidRPr="00CE42F2" w:rsidRDefault="00AB73D7" w:rsidP="00CE42F2">
      <w:pPr>
        <w:tabs>
          <w:tab w:val="left" w:pos="1980"/>
        </w:tabs>
        <w:rPr>
          <w:rFonts w:cs="Arial"/>
          <w:color w:val="auto"/>
          <w:sz w:val="20"/>
          <w:szCs w:val="20"/>
        </w:rPr>
      </w:pPr>
    </w:p>
    <w:p w:rsidR="00AB73D7" w:rsidRPr="00CE42F2" w:rsidRDefault="00AB73D7" w:rsidP="00CE42F2">
      <w:pPr>
        <w:tabs>
          <w:tab w:val="left" w:pos="1980"/>
        </w:tabs>
        <w:rPr>
          <w:rFonts w:cs="Arial"/>
          <w:color w:val="auto"/>
          <w:sz w:val="20"/>
          <w:szCs w:val="20"/>
        </w:rPr>
      </w:pPr>
      <w:r w:rsidRPr="00CE42F2">
        <w:rPr>
          <w:rFonts w:cs="Arial"/>
          <w:color w:val="auto"/>
          <w:sz w:val="20"/>
          <w:szCs w:val="20"/>
        </w:rPr>
        <w:t xml:space="preserve">The spending focus over the medium term will be on supporting the Department to play its </w:t>
      </w:r>
    </w:p>
    <w:p w:rsidR="00AB73D7" w:rsidRPr="00CE42F2" w:rsidRDefault="00AB73D7" w:rsidP="00CE42F2">
      <w:pPr>
        <w:tabs>
          <w:tab w:val="left" w:pos="1980"/>
        </w:tabs>
        <w:rPr>
          <w:rFonts w:cs="Arial"/>
          <w:color w:val="auto"/>
          <w:sz w:val="20"/>
          <w:szCs w:val="20"/>
        </w:rPr>
      </w:pPr>
      <w:r w:rsidRPr="00CE42F2">
        <w:rPr>
          <w:rFonts w:cs="Arial"/>
          <w:color w:val="auto"/>
          <w:sz w:val="20"/>
          <w:szCs w:val="20"/>
        </w:rPr>
        <w:t xml:space="preserve">oversight role on SOCs by providing administrative support services to the Department. Over the medium term, the majority of the allocation is within compensation of employees, which will provide technical and administrative support to the Department. </w:t>
      </w:r>
    </w:p>
    <w:p w:rsidR="00655B79" w:rsidRPr="00CE42F2" w:rsidRDefault="00655B79" w:rsidP="00CE42F2">
      <w:pPr>
        <w:tabs>
          <w:tab w:val="left" w:pos="1980"/>
        </w:tabs>
        <w:rPr>
          <w:rFonts w:cs="Arial"/>
          <w:color w:val="auto"/>
          <w:sz w:val="20"/>
          <w:szCs w:val="20"/>
        </w:rPr>
      </w:pPr>
    </w:p>
    <w:p w:rsidR="00AB73D7" w:rsidRPr="00CE42F2" w:rsidRDefault="00AB73D7" w:rsidP="00CE42F2">
      <w:pPr>
        <w:tabs>
          <w:tab w:val="left" w:pos="1980"/>
        </w:tabs>
        <w:rPr>
          <w:rFonts w:cs="Arial"/>
          <w:color w:val="auto"/>
          <w:sz w:val="20"/>
          <w:szCs w:val="20"/>
        </w:rPr>
      </w:pPr>
      <w:r w:rsidRPr="00CE42F2">
        <w:rPr>
          <w:rFonts w:cs="Arial"/>
          <w:color w:val="auto"/>
          <w:sz w:val="20"/>
          <w:szCs w:val="20"/>
        </w:rPr>
        <w:t xml:space="preserve">The programme has six output indicators, up from the four output indicators in the previous </w:t>
      </w:r>
    </w:p>
    <w:p w:rsidR="00AB73D7" w:rsidRPr="00CE42F2" w:rsidRDefault="00AB73D7" w:rsidP="00CE42F2">
      <w:pPr>
        <w:rPr>
          <w:rFonts w:cs="Arial"/>
          <w:sz w:val="20"/>
          <w:szCs w:val="20"/>
        </w:rPr>
      </w:pPr>
      <w:r w:rsidRPr="00CE42F2">
        <w:rPr>
          <w:rFonts w:cs="Arial"/>
          <w:sz w:val="20"/>
          <w:szCs w:val="20"/>
        </w:rPr>
        <w:t>year. The indicators are:</w:t>
      </w:r>
    </w:p>
    <w:p w:rsidR="00AB73D7" w:rsidRPr="00CE42F2" w:rsidRDefault="00AB73D7" w:rsidP="00CE42F2">
      <w:pPr>
        <w:pStyle w:val="ListParagraph"/>
        <w:numPr>
          <w:ilvl w:val="0"/>
          <w:numId w:val="8"/>
        </w:numPr>
        <w:rPr>
          <w:rFonts w:ascii="Arial" w:hAnsi="Arial" w:cs="Arial"/>
          <w:sz w:val="20"/>
          <w:szCs w:val="20"/>
        </w:rPr>
      </w:pPr>
      <w:r w:rsidRPr="00CE42F2">
        <w:rPr>
          <w:rFonts w:ascii="Arial" w:hAnsi="Arial" w:cs="Arial"/>
          <w:sz w:val="20"/>
          <w:szCs w:val="20"/>
        </w:rPr>
        <w:t>Percentage of vacancy rate reduced;</w:t>
      </w:r>
    </w:p>
    <w:p w:rsidR="00AB73D7" w:rsidRPr="00CE42F2" w:rsidRDefault="00AB73D7" w:rsidP="00CE42F2">
      <w:pPr>
        <w:ind w:left="360" w:hanging="360"/>
        <w:rPr>
          <w:rFonts w:cs="Arial"/>
          <w:sz w:val="20"/>
          <w:szCs w:val="20"/>
        </w:rPr>
      </w:pPr>
      <w:r w:rsidRPr="00CE42F2">
        <w:rPr>
          <w:rFonts w:cs="Arial"/>
          <w:sz w:val="20"/>
          <w:szCs w:val="20"/>
        </w:rPr>
        <w:sym w:font="Symbol" w:char="F0B7"/>
      </w:r>
      <w:r w:rsidRPr="00CE42F2">
        <w:rPr>
          <w:rFonts w:cs="Arial"/>
          <w:sz w:val="20"/>
          <w:szCs w:val="20"/>
        </w:rPr>
        <w:t xml:space="preserve"> </w:t>
      </w:r>
      <w:r w:rsidRPr="00CE42F2">
        <w:rPr>
          <w:rFonts w:cs="Arial"/>
          <w:sz w:val="20"/>
          <w:szCs w:val="20"/>
        </w:rPr>
        <w:tab/>
        <w:t xml:space="preserve">Percentage of performance management achieved as per individual performance agreements linked to Annual Performance Plan (APP) and Annual Operating Plan (AOP); </w:t>
      </w:r>
    </w:p>
    <w:p w:rsidR="00AB73D7" w:rsidRPr="00CE42F2" w:rsidRDefault="00AB73D7" w:rsidP="00CE42F2">
      <w:pPr>
        <w:ind w:left="360" w:hanging="360"/>
        <w:rPr>
          <w:rFonts w:cs="Arial"/>
          <w:sz w:val="20"/>
          <w:szCs w:val="20"/>
        </w:rPr>
      </w:pPr>
      <w:r w:rsidRPr="00CE42F2">
        <w:rPr>
          <w:rFonts w:cs="Arial"/>
          <w:sz w:val="20"/>
          <w:szCs w:val="20"/>
        </w:rPr>
        <w:sym w:font="Symbol" w:char="F0B7"/>
      </w:r>
      <w:r w:rsidRPr="00CE42F2">
        <w:rPr>
          <w:rFonts w:cs="Arial"/>
          <w:sz w:val="20"/>
          <w:szCs w:val="20"/>
        </w:rPr>
        <w:t xml:space="preserve"> </w:t>
      </w:r>
      <w:r w:rsidR="000F31E5" w:rsidRPr="00CE42F2">
        <w:rPr>
          <w:rFonts w:cs="Arial"/>
          <w:sz w:val="20"/>
          <w:szCs w:val="20"/>
        </w:rPr>
        <w:t xml:space="preserve">  </w:t>
      </w:r>
      <w:r w:rsidRPr="00CE42F2">
        <w:rPr>
          <w:rFonts w:cs="Arial"/>
          <w:sz w:val="20"/>
          <w:szCs w:val="20"/>
        </w:rPr>
        <w:t>Percentage on improvement of ICT Infrastructure services and 90 per cent of systems availability maintained</w:t>
      </w:r>
      <w:r w:rsidR="001120AC" w:rsidRPr="00CE42F2">
        <w:rPr>
          <w:rFonts w:cs="Arial"/>
          <w:sz w:val="20"/>
          <w:szCs w:val="20"/>
        </w:rPr>
        <w:t>;</w:t>
      </w:r>
    </w:p>
    <w:p w:rsidR="000F31E5" w:rsidRPr="00CE42F2" w:rsidRDefault="00AB73D7" w:rsidP="00CE42F2">
      <w:pPr>
        <w:rPr>
          <w:rFonts w:cs="Arial"/>
          <w:sz w:val="20"/>
          <w:szCs w:val="20"/>
        </w:rPr>
      </w:pPr>
      <w:r w:rsidRPr="00CE42F2">
        <w:rPr>
          <w:rFonts w:cs="Arial"/>
          <w:sz w:val="20"/>
          <w:szCs w:val="20"/>
        </w:rPr>
        <w:sym w:font="Symbol" w:char="F0B7"/>
      </w:r>
      <w:r w:rsidRPr="00CE42F2">
        <w:rPr>
          <w:rFonts w:cs="Arial"/>
          <w:sz w:val="20"/>
          <w:szCs w:val="20"/>
        </w:rPr>
        <w:t xml:space="preserve"> </w:t>
      </w:r>
      <w:r w:rsidR="000F31E5" w:rsidRPr="00CE42F2">
        <w:rPr>
          <w:rFonts w:cs="Arial"/>
          <w:sz w:val="20"/>
          <w:szCs w:val="20"/>
        </w:rPr>
        <w:t xml:space="preserve">  </w:t>
      </w:r>
      <w:r w:rsidRPr="00CE42F2">
        <w:rPr>
          <w:rFonts w:cs="Arial"/>
          <w:sz w:val="20"/>
          <w:szCs w:val="20"/>
        </w:rPr>
        <w:t xml:space="preserve">Percentage on population of ICT </w:t>
      </w:r>
      <w:r w:rsidR="001120AC" w:rsidRPr="00CE42F2">
        <w:rPr>
          <w:rFonts w:cs="Arial"/>
          <w:sz w:val="20"/>
          <w:szCs w:val="20"/>
        </w:rPr>
        <w:t>structure with new capabilities;</w:t>
      </w:r>
      <w:r w:rsidRPr="00CE42F2">
        <w:rPr>
          <w:rFonts w:cs="Arial"/>
          <w:sz w:val="20"/>
          <w:szCs w:val="20"/>
        </w:rPr>
        <w:t xml:space="preserve"> </w:t>
      </w:r>
    </w:p>
    <w:p w:rsidR="000F31E5" w:rsidRPr="00CE42F2" w:rsidRDefault="00AB73D7" w:rsidP="00CE42F2">
      <w:pPr>
        <w:rPr>
          <w:rFonts w:cs="Arial"/>
          <w:sz w:val="20"/>
          <w:szCs w:val="20"/>
        </w:rPr>
      </w:pPr>
      <w:r w:rsidRPr="00CE42F2">
        <w:rPr>
          <w:rFonts w:cs="Arial"/>
          <w:sz w:val="20"/>
          <w:szCs w:val="20"/>
        </w:rPr>
        <w:sym w:font="Symbol" w:char="F0B7"/>
      </w:r>
      <w:r w:rsidRPr="00CE42F2">
        <w:rPr>
          <w:rFonts w:cs="Arial"/>
          <w:sz w:val="20"/>
          <w:szCs w:val="20"/>
        </w:rPr>
        <w:t xml:space="preserve"> </w:t>
      </w:r>
      <w:r w:rsidR="000F31E5" w:rsidRPr="00CE42F2">
        <w:rPr>
          <w:rFonts w:cs="Arial"/>
          <w:sz w:val="20"/>
          <w:szCs w:val="20"/>
        </w:rPr>
        <w:t xml:space="preserve">  </w:t>
      </w:r>
      <w:r w:rsidRPr="00CE42F2">
        <w:rPr>
          <w:rFonts w:cs="Arial"/>
          <w:sz w:val="20"/>
          <w:szCs w:val="20"/>
        </w:rPr>
        <w:t>Percentage on</w:t>
      </w:r>
      <w:r w:rsidR="000F31E5" w:rsidRPr="00CE42F2">
        <w:rPr>
          <w:rFonts w:cs="Arial"/>
          <w:sz w:val="20"/>
          <w:szCs w:val="20"/>
        </w:rPr>
        <w:t xml:space="preserve"> </w:t>
      </w:r>
      <w:r w:rsidRPr="00CE42F2">
        <w:rPr>
          <w:rFonts w:cs="Arial"/>
          <w:sz w:val="20"/>
          <w:szCs w:val="20"/>
        </w:rPr>
        <w:t xml:space="preserve">implementation of signed co-operation agreement to reduce SOCs </w:t>
      </w:r>
      <w:r w:rsidR="000F31E5" w:rsidRPr="00CE42F2">
        <w:rPr>
          <w:rFonts w:cs="Arial"/>
          <w:sz w:val="20"/>
          <w:szCs w:val="20"/>
        </w:rPr>
        <w:t xml:space="preserve">  </w:t>
      </w:r>
    </w:p>
    <w:p w:rsidR="000F31E5" w:rsidRPr="00CE42F2" w:rsidRDefault="000F31E5" w:rsidP="00CE42F2">
      <w:pPr>
        <w:rPr>
          <w:rFonts w:cs="Arial"/>
          <w:sz w:val="20"/>
          <w:szCs w:val="20"/>
        </w:rPr>
      </w:pPr>
      <w:r w:rsidRPr="00CE42F2">
        <w:rPr>
          <w:rFonts w:cs="Arial"/>
          <w:sz w:val="20"/>
          <w:szCs w:val="20"/>
        </w:rPr>
        <w:t xml:space="preserve">     </w:t>
      </w:r>
      <w:r w:rsidR="00AB73D7" w:rsidRPr="00CE42F2">
        <w:rPr>
          <w:rFonts w:cs="Arial"/>
          <w:sz w:val="20"/>
          <w:szCs w:val="20"/>
        </w:rPr>
        <w:t>infrastructure</w:t>
      </w:r>
      <w:r w:rsidRPr="00CE42F2">
        <w:rPr>
          <w:rFonts w:cs="Arial"/>
          <w:sz w:val="20"/>
          <w:szCs w:val="20"/>
        </w:rPr>
        <w:t xml:space="preserve"> </w:t>
      </w:r>
      <w:r w:rsidR="00AB73D7" w:rsidRPr="00CE42F2">
        <w:rPr>
          <w:rFonts w:cs="Arial"/>
          <w:sz w:val="20"/>
          <w:szCs w:val="20"/>
        </w:rPr>
        <w:t>vandalism through signing</w:t>
      </w:r>
      <w:r w:rsidR="001120AC" w:rsidRPr="00CE42F2">
        <w:rPr>
          <w:rFonts w:cs="Arial"/>
          <w:sz w:val="20"/>
          <w:szCs w:val="20"/>
        </w:rPr>
        <w:t xml:space="preserve"> co-operation with stakeholders;</w:t>
      </w:r>
    </w:p>
    <w:p w:rsidR="00AB73D7" w:rsidRPr="00CE42F2" w:rsidRDefault="00AB73D7" w:rsidP="00CE42F2">
      <w:pPr>
        <w:rPr>
          <w:rFonts w:cs="Arial"/>
          <w:sz w:val="20"/>
          <w:szCs w:val="20"/>
        </w:rPr>
      </w:pPr>
      <w:r w:rsidRPr="00CE42F2">
        <w:rPr>
          <w:rFonts w:cs="Arial"/>
          <w:sz w:val="20"/>
          <w:szCs w:val="20"/>
        </w:rPr>
        <w:t xml:space="preserve"> </w:t>
      </w:r>
      <w:r w:rsidRPr="00CE42F2">
        <w:rPr>
          <w:rFonts w:cs="Arial"/>
          <w:sz w:val="20"/>
          <w:szCs w:val="20"/>
        </w:rPr>
        <w:sym w:font="Symbol" w:char="F0B7"/>
      </w:r>
      <w:r w:rsidRPr="00CE42F2">
        <w:rPr>
          <w:rFonts w:cs="Arial"/>
          <w:sz w:val="20"/>
          <w:szCs w:val="20"/>
        </w:rPr>
        <w:t xml:space="preserve"> </w:t>
      </w:r>
      <w:r w:rsidR="000F31E5" w:rsidRPr="00CE42F2">
        <w:rPr>
          <w:rFonts w:cs="Arial"/>
          <w:sz w:val="20"/>
          <w:szCs w:val="20"/>
        </w:rPr>
        <w:t xml:space="preserve"> </w:t>
      </w:r>
      <w:r w:rsidRPr="00CE42F2">
        <w:rPr>
          <w:rFonts w:cs="Arial"/>
          <w:sz w:val="20"/>
          <w:szCs w:val="20"/>
        </w:rPr>
        <w:t>Percentage on media public perception survey achieved.</w:t>
      </w:r>
    </w:p>
    <w:p w:rsidR="009933E8" w:rsidRPr="00CE42F2" w:rsidRDefault="009933E8" w:rsidP="00CE42F2">
      <w:pPr>
        <w:rPr>
          <w:rFonts w:cs="Arial"/>
          <w:b/>
          <w:color w:val="auto"/>
          <w:sz w:val="20"/>
          <w:szCs w:val="20"/>
        </w:rPr>
      </w:pPr>
    </w:p>
    <w:p w:rsidR="00E240DA" w:rsidRPr="00CE42F2" w:rsidRDefault="00E9262F" w:rsidP="00CE42F2">
      <w:pPr>
        <w:rPr>
          <w:rFonts w:cs="Arial"/>
          <w:b/>
          <w:color w:val="auto"/>
          <w:sz w:val="20"/>
          <w:szCs w:val="20"/>
        </w:rPr>
      </w:pPr>
      <w:r w:rsidRPr="00CE42F2">
        <w:rPr>
          <w:rFonts w:cs="Arial"/>
          <w:b/>
          <w:color w:val="auto"/>
          <w:sz w:val="20"/>
          <w:szCs w:val="20"/>
        </w:rPr>
        <w:t>3.2</w:t>
      </w:r>
      <w:r w:rsidRPr="00CE42F2">
        <w:rPr>
          <w:rFonts w:cs="Arial"/>
          <w:b/>
          <w:color w:val="auto"/>
          <w:sz w:val="20"/>
          <w:szCs w:val="20"/>
        </w:rPr>
        <w:tab/>
      </w:r>
      <w:r w:rsidR="00E240DA" w:rsidRPr="00CE42F2">
        <w:rPr>
          <w:rFonts w:cs="Arial"/>
          <w:b/>
          <w:color w:val="auto"/>
          <w:sz w:val="20"/>
          <w:szCs w:val="20"/>
        </w:rPr>
        <w:t xml:space="preserve">Programme 2: </w:t>
      </w:r>
      <w:r w:rsidR="00DA5618" w:rsidRPr="00CE42F2">
        <w:rPr>
          <w:rFonts w:cs="Arial"/>
          <w:b/>
          <w:color w:val="auto"/>
          <w:sz w:val="20"/>
          <w:szCs w:val="20"/>
        </w:rPr>
        <w:t>SOC</w:t>
      </w:r>
      <w:r w:rsidR="00D35A13" w:rsidRPr="00CE42F2">
        <w:rPr>
          <w:rFonts w:cs="Arial"/>
          <w:b/>
          <w:color w:val="auto"/>
          <w:sz w:val="20"/>
          <w:szCs w:val="20"/>
        </w:rPr>
        <w:t>s</w:t>
      </w:r>
      <w:r w:rsidR="00DA5618" w:rsidRPr="00CE42F2">
        <w:rPr>
          <w:rFonts w:cs="Arial"/>
          <w:b/>
          <w:color w:val="auto"/>
          <w:sz w:val="20"/>
          <w:szCs w:val="20"/>
        </w:rPr>
        <w:t xml:space="preserve"> </w:t>
      </w:r>
      <w:r w:rsidR="00220943" w:rsidRPr="00CE42F2">
        <w:rPr>
          <w:rFonts w:cs="Arial"/>
          <w:b/>
          <w:color w:val="auto"/>
          <w:sz w:val="20"/>
          <w:szCs w:val="20"/>
        </w:rPr>
        <w:t>Governance Assurance and Performance</w:t>
      </w:r>
    </w:p>
    <w:p w:rsidR="00655B79" w:rsidRPr="00CE42F2" w:rsidRDefault="00655B79" w:rsidP="00CE42F2">
      <w:pPr>
        <w:rPr>
          <w:rFonts w:cs="Arial"/>
          <w:color w:val="auto"/>
          <w:sz w:val="20"/>
          <w:szCs w:val="20"/>
        </w:rPr>
      </w:pPr>
    </w:p>
    <w:p w:rsidR="00FB1DDE" w:rsidRPr="00CE42F2" w:rsidRDefault="00FB1DDE" w:rsidP="00CE42F2">
      <w:pPr>
        <w:rPr>
          <w:rFonts w:cs="Arial"/>
          <w:color w:val="auto"/>
          <w:sz w:val="20"/>
          <w:szCs w:val="20"/>
        </w:rPr>
      </w:pPr>
      <w:r w:rsidRPr="00CE42F2">
        <w:rPr>
          <w:rFonts w:cs="Arial"/>
          <w:color w:val="auto"/>
          <w:sz w:val="20"/>
          <w:szCs w:val="20"/>
        </w:rPr>
        <w:t>The purpose of this programme is to provide and enforce SOCs’ governance, legal assurance, financial and non-financial performance monitoring, evaluation and reporting systems, in support of the Shareholder, and to ensure alignment with Government’s priorities.</w:t>
      </w:r>
    </w:p>
    <w:p w:rsidR="00FB1DDE" w:rsidRPr="00CE42F2" w:rsidRDefault="00FB1DDE" w:rsidP="00CE42F2">
      <w:pPr>
        <w:rPr>
          <w:rFonts w:cs="Arial"/>
          <w:color w:val="auto"/>
          <w:sz w:val="20"/>
          <w:szCs w:val="20"/>
        </w:rPr>
      </w:pPr>
    </w:p>
    <w:p w:rsidR="00AB73D7" w:rsidRPr="00CE42F2" w:rsidRDefault="00FB1DDE" w:rsidP="00CE42F2">
      <w:pPr>
        <w:rPr>
          <w:rFonts w:cs="Arial"/>
          <w:sz w:val="20"/>
          <w:szCs w:val="20"/>
        </w:rPr>
      </w:pPr>
      <w:r w:rsidRPr="00CE42F2">
        <w:rPr>
          <w:rFonts w:cs="Arial"/>
          <w:color w:val="auto"/>
          <w:sz w:val="20"/>
          <w:szCs w:val="20"/>
        </w:rPr>
        <w:t>Over the medium term, the programme will ensure the effective shareholder oversight of state owned companies by:</w:t>
      </w:r>
      <w:r w:rsidR="00AB73D7" w:rsidRPr="00CE42F2">
        <w:rPr>
          <w:rFonts w:cs="Arial"/>
          <w:sz w:val="20"/>
          <w:szCs w:val="20"/>
        </w:rPr>
        <w:t xml:space="preserve"> </w:t>
      </w:r>
    </w:p>
    <w:p w:rsidR="00FB1DDE" w:rsidRPr="00CE42F2" w:rsidRDefault="00FB1DDE" w:rsidP="00CE42F2">
      <w:pPr>
        <w:rPr>
          <w:rFonts w:cs="Arial"/>
          <w:color w:val="auto"/>
          <w:sz w:val="20"/>
          <w:szCs w:val="20"/>
        </w:rPr>
      </w:pPr>
    </w:p>
    <w:p w:rsidR="00FB1DDE" w:rsidRPr="00CE42F2" w:rsidRDefault="00FB1DDE" w:rsidP="00CE42F2">
      <w:pPr>
        <w:rPr>
          <w:rFonts w:cs="Arial"/>
          <w:color w:val="auto"/>
          <w:sz w:val="20"/>
          <w:szCs w:val="20"/>
        </w:rPr>
      </w:pPr>
      <w:r w:rsidRPr="00CE42F2">
        <w:rPr>
          <w:rFonts w:cs="Arial"/>
          <w:color w:val="auto"/>
          <w:sz w:val="20"/>
          <w:szCs w:val="20"/>
        </w:rPr>
        <w:t>•</w:t>
      </w:r>
      <w:r w:rsidRPr="00CE42F2">
        <w:rPr>
          <w:rFonts w:cs="Arial"/>
          <w:color w:val="auto"/>
          <w:sz w:val="20"/>
          <w:szCs w:val="20"/>
        </w:rPr>
        <w:tab/>
        <w:t>Providing governance and legal systems;</w:t>
      </w:r>
    </w:p>
    <w:p w:rsidR="00FB1DDE" w:rsidRPr="00CE42F2" w:rsidRDefault="00FB1DDE" w:rsidP="00CE42F2">
      <w:pPr>
        <w:rPr>
          <w:rFonts w:cs="Arial"/>
          <w:color w:val="auto"/>
          <w:sz w:val="20"/>
          <w:szCs w:val="20"/>
        </w:rPr>
      </w:pPr>
      <w:r w:rsidRPr="00CE42F2">
        <w:rPr>
          <w:rFonts w:cs="Arial"/>
          <w:color w:val="auto"/>
          <w:sz w:val="20"/>
          <w:szCs w:val="20"/>
        </w:rPr>
        <w:t>•</w:t>
      </w:r>
      <w:r w:rsidRPr="00CE42F2">
        <w:rPr>
          <w:rFonts w:cs="Arial"/>
          <w:color w:val="auto"/>
          <w:sz w:val="20"/>
          <w:szCs w:val="20"/>
        </w:rPr>
        <w:tab/>
        <w:t>Developing and maintaining shareholder risk profiles and mitigating strategies; and</w:t>
      </w:r>
    </w:p>
    <w:p w:rsidR="00FB1DDE" w:rsidRPr="00CE42F2" w:rsidRDefault="00FB1DDE" w:rsidP="00CE42F2">
      <w:pPr>
        <w:ind w:left="720" w:hanging="720"/>
        <w:rPr>
          <w:rFonts w:cs="Arial"/>
          <w:color w:val="auto"/>
          <w:sz w:val="20"/>
          <w:szCs w:val="20"/>
        </w:rPr>
      </w:pPr>
      <w:r w:rsidRPr="00CE42F2">
        <w:rPr>
          <w:rFonts w:cs="Arial"/>
          <w:color w:val="auto"/>
          <w:sz w:val="20"/>
          <w:szCs w:val="20"/>
        </w:rPr>
        <w:t>•</w:t>
      </w:r>
      <w:r w:rsidRPr="00CE42F2">
        <w:rPr>
          <w:rFonts w:cs="Arial"/>
          <w:color w:val="auto"/>
          <w:sz w:val="20"/>
          <w:szCs w:val="20"/>
        </w:rPr>
        <w:tab/>
        <w:t>Monitoring, evaluating and reporting on the financial and non-financial performance, and proposing intervention measures when required.</w:t>
      </w:r>
    </w:p>
    <w:p w:rsidR="00FB1DDE" w:rsidRPr="00CE42F2" w:rsidRDefault="00FB1DDE" w:rsidP="00CE42F2">
      <w:pPr>
        <w:rPr>
          <w:rFonts w:cs="Arial"/>
          <w:color w:val="auto"/>
          <w:sz w:val="20"/>
          <w:szCs w:val="20"/>
        </w:rPr>
      </w:pPr>
    </w:p>
    <w:p w:rsidR="000F31E5" w:rsidRPr="00CE42F2" w:rsidRDefault="000F31E5" w:rsidP="00CE42F2">
      <w:pPr>
        <w:rPr>
          <w:rFonts w:cs="Arial"/>
          <w:color w:val="auto"/>
          <w:sz w:val="20"/>
          <w:szCs w:val="20"/>
        </w:rPr>
      </w:pPr>
      <w:r w:rsidRPr="00CE42F2">
        <w:rPr>
          <w:rFonts w:cs="Arial"/>
          <w:color w:val="auto"/>
          <w:sz w:val="20"/>
          <w:szCs w:val="20"/>
        </w:rPr>
        <w:t xml:space="preserve">The programme has the smallest budget of the three programmes of the Department, </w:t>
      </w:r>
    </w:p>
    <w:p w:rsidR="000F31E5" w:rsidRPr="00CE42F2" w:rsidRDefault="000F31E5" w:rsidP="00CE42F2">
      <w:pPr>
        <w:rPr>
          <w:rFonts w:cs="Arial"/>
          <w:color w:val="auto"/>
          <w:sz w:val="20"/>
          <w:szCs w:val="20"/>
        </w:rPr>
      </w:pPr>
      <w:r w:rsidRPr="00CE42F2">
        <w:rPr>
          <w:rFonts w:cs="Arial"/>
          <w:color w:val="auto"/>
          <w:sz w:val="20"/>
          <w:szCs w:val="20"/>
        </w:rPr>
        <w:t xml:space="preserve">amounting to R60.7 million for the 2021/22 financial year. The majority of the budget </w:t>
      </w:r>
    </w:p>
    <w:p w:rsidR="000F31E5" w:rsidRPr="00CE42F2" w:rsidRDefault="000F31E5" w:rsidP="00CE42F2">
      <w:pPr>
        <w:rPr>
          <w:rFonts w:cs="Arial"/>
          <w:color w:val="auto"/>
          <w:sz w:val="20"/>
          <w:szCs w:val="20"/>
        </w:rPr>
      </w:pPr>
      <w:r w:rsidRPr="00CE42F2">
        <w:rPr>
          <w:rFonts w:cs="Arial"/>
          <w:color w:val="auto"/>
          <w:sz w:val="20"/>
          <w:szCs w:val="20"/>
        </w:rPr>
        <w:t xml:space="preserve">goes to compensation of employees of R31.7 million, with the balance going to goods </w:t>
      </w:r>
    </w:p>
    <w:p w:rsidR="000F31E5" w:rsidRPr="00CE42F2" w:rsidRDefault="000F31E5" w:rsidP="00CE42F2">
      <w:pPr>
        <w:rPr>
          <w:rFonts w:cs="Arial"/>
          <w:color w:val="auto"/>
          <w:sz w:val="20"/>
          <w:szCs w:val="20"/>
        </w:rPr>
      </w:pPr>
      <w:r w:rsidRPr="00CE42F2">
        <w:rPr>
          <w:rFonts w:cs="Arial"/>
          <w:color w:val="auto"/>
          <w:sz w:val="20"/>
          <w:szCs w:val="20"/>
        </w:rPr>
        <w:t>and services amounting to R29 million.</w:t>
      </w:r>
    </w:p>
    <w:p w:rsidR="00FB1DDE" w:rsidRPr="00CE42F2" w:rsidRDefault="00FB1DDE" w:rsidP="00CE42F2">
      <w:pPr>
        <w:rPr>
          <w:rFonts w:cs="Arial"/>
          <w:color w:val="auto"/>
          <w:sz w:val="20"/>
          <w:szCs w:val="20"/>
        </w:rPr>
      </w:pPr>
    </w:p>
    <w:p w:rsidR="00FB1DDE" w:rsidRPr="00CE42F2" w:rsidRDefault="00FB1DDE" w:rsidP="00CE42F2">
      <w:pPr>
        <w:rPr>
          <w:rFonts w:cs="Arial"/>
          <w:color w:val="auto"/>
          <w:sz w:val="20"/>
          <w:szCs w:val="20"/>
        </w:rPr>
      </w:pPr>
      <w:r w:rsidRPr="00CE42F2">
        <w:rPr>
          <w:rFonts w:cs="Arial"/>
          <w:color w:val="auto"/>
          <w:sz w:val="20"/>
          <w:szCs w:val="20"/>
        </w:rPr>
        <w:t>The Sub-programmes include:</w:t>
      </w:r>
    </w:p>
    <w:p w:rsidR="00FB1DDE" w:rsidRPr="00CE42F2" w:rsidRDefault="00FB1DDE" w:rsidP="00CE42F2">
      <w:pPr>
        <w:rPr>
          <w:rFonts w:cs="Arial"/>
          <w:color w:val="auto"/>
          <w:sz w:val="20"/>
          <w:szCs w:val="20"/>
        </w:rPr>
      </w:pPr>
    </w:p>
    <w:p w:rsidR="0089532D" w:rsidRPr="00CE42F2" w:rsidRDefault="0089532D" w:rsidP="00CE42F2">
      <w:pPr>
        <w:rPr>
          <w:rFonts w:cs="Arial"/>
          <w:color w:val="auto"/>
          <w:sz w:val="20"/>
          <w:szCs w:val="20"/>
          <w:lang w:val="en-ZA"/>
        </w:rPr>
      </w:pPr>
      <w:r w:rsidRPr="00CE42F2">
        <w:rPr>
          <w:rFonts w:cs="Arial"/>
          <w:color w:val="auto"/>
          <w:sz w:val="20"/>
          <w:szCs w:val="20"/>
          <w:lang w:val="en-ZA"/>
        </w:rPr>
        <w:t xml:space="preserve">The </w:t>
      </w:r>
      <w:r w:rsidRPr="00CE42F2">
        <w:rPr>
          <w:rFonts w:cs="Arial"/>
          <w:b/>
          <w:color w:val="auto"/>
          <w:sz w:val="20"/>
          <w:szCs w:val="20"/>
          <w:lang w:val="en-ZA"/>
        </w:rPr>
        <w:t>Managemen</w:t>
      </w:r>
      <w:r w:rsidRPr="00CE42F2">
        <w:rPr>
          <w:rFonts w:cs="Arial"/>
          <w:color w:val="auto"/>
          <w:sz w:val="20"/>
          <w:szCs w:val="20"/>
          <w:lang w:val="en-ZA"/>
        </w:rPr>
        <w:t xml:space="preserve">t sub-programme comprises the office of the Deputy Director General, which provides strategic leadership and management of the programme personnel. </w:t>
      </w:r>
    </w:p>
    <w:p w:rsidR="0089532D" w:rsidRPr="00CE42F2" w:rsidRDefault="0089532D" w:rsidP="00CE42F2">
      <w:pPr>
        <w:rPr>
          <w:rFonts w:cs="Arial"/>
          <w:color w:val="auto"/>
          <w:sz w:val="20"/>
          <w:szCs w:val="20"/>
          <w:lang w:val="en-ZA"/>
        </w:rPr>
      </w:pPr>
    </w:p>
    <w:p w:rsidR="0089532D" w:rsidRPr="00CE42F2" w:rsidRDefault="0089532D" w:rsidP="00CE42F2">
      <w:pPr>
        <w:rPr>
          <w:rFonts w:cs="Arial"/>
          <w:color w:val="auto"/>
          <w:sz w:val="20"/>
          <w:szCs w:val="20"/>
          <w:lang w:val="en-ZA"/>
        </w:rPr>
      </w:pPr>
      <w:r w:rsidRPr="00CE42F2">
        <w:rPr>
          <w:rFonts w:cs="Arial"/>
          <w:color w:val="auto"/>
          <w:sz w:val="20"/>
          <w:szCs w:val="20"/>
          <w:lang w:val="en-ZA"/>
        </w:rPr>
        <w:t xml:space="preserve">The sub-programme </w:t>
      </w:r>
      <w:r w:rsidRPr="00CE42F2">
        <w:rPr>
          <w:rFonts w:cs="Arial"/>
          <w:b/>
          <w:color w:val="auto"/>
          <w:sz w:val="20"/>
          <w:szCs w:val="20"/>
          <w:lang w:val="en-ZA"/>
        </w:rPr>
        <w:t>Legal</w:t>
      </w:r>
      <w:r w:rsidRPr="00CE42F2">
        <w:rPr>
          <w:rFonts w:cs="Arial"/>
          <w:color w:val="auto"/>
          <w:sz w:val="20"/>
          <w:szCs w:val="20"/>
          <w:lang w:val="en-ZA"/>
        </w:rPr>
        <w:t xml:space="preserve"> provides external legal services and oversight support to sector teams. This entails providing legal services, including transaction and contract management support to the Department, as well as work specifically related to sector teams’ oversight of commercial activities of state-owned companies within their portfolios. </w:t>
      </w:r>
    </w:p>
    <w:p w:rsidR="0089532D" w:rsidRPr="00CE42F2" w:rsidRDefault="0089532D" w:rsidP="00CE42F2">
      <w:pPr>
        <w:rPr>
          <w:rFonts w:cs="Arial"/>
          <w:color w:val="auto"/>
          <w:sz w:val="20"/>
          <w:szCs w:val="20"/>
          <w:lang w:val="en-ZA"/>
        </w:rPr>
      </w:pPr>
    </w:p>
    <w:p w:rsidR="0089532D" w:rsidRPr="00CE42F2" w:rsidRDefault="0089532D" w:rsidP="00CE42F2">
      <w:pPr>
        <w:rPr>
          <w:rFonts w:cs="Arial"/>
          <w:color w:val="auto"/>
          <w:sz w:val="20"/>
          <w:szCs w:val="20"/>
          <w:lang w:val="en-ZA"/>
        </w:rPr>
      </w:pPr>
      <w:r w:rsidRPr="00CE42F2">
        <w:rPr>
          <w:rFonts w:cs="Arial"/>
          <w:color w:val="auto"/>
          <w:sz w:val="20"/>
          <w:szCs w:val="20"/>
          <w:lang w:val="en-ZA"/>
        </w:rPr>
        <w:t xml:space="preserve">The sub-programme </w:t>
      </w:r>
      <w:r w:rsidRPr="00CE42F2">
        <w:rPr>
          <w:rFonts w:cs="Arial"/>
          <w:b/>
          <w:color w:val="auto"/>
          <w:sz w:val="20"/>
          <w:szCs w:val="20"/>
          <w:lang w:val="en-ZA"/>
        </w:rPr>
        <w:t>Governance</w:t>
      </w:r>
      <w:r w:rsidRPr="00CE42F2">
        <w:rPr>
          <w:rFonts w:cs="Arial"/>
          <w:color w:val="auto"/>
          <w:sz w:val="20"/>
          <w:szCs w:val="20"/>
          <w:lang w:val="en-ZA"/>
        </w:rPr>
        <w:t xml:space="preserve"> develops, monitors and advises on legislative, corporate governance and shareholder management systems for the Department and its portfolio of state-owned companies. Risk and compliance management is a component of this unit, which is responsible for developing and implementing risk and compliance with laws and regulations.</w:t>
      </w:r>
    </w:p>
    <w:p w:rsidR="00543EE4" w:rsidRPr="00CE42F2" w:rsidRDefault="00543EE4" w:rsidP="00CE42F2">
      <w:pPr>
        <w:rPr>
          <w:rFonts w:cs="Arial"/>
          <w:color w:val="auto"/>
          <w:sz w:val="20"/>
          <w:szCs w:val="20"/>
          <w:lang w:val="en-ZA"/>
        </w:rPr>
      </w:pPr>
    </w:p>
    <w:p w:rsidR="0089532D" w:rsidRPr="00CE42F2" w:rsidRDefault="00CD2556" w:rsidP="00CE42F2">
      <w:pPr>
        <w:rPr>
          <w:rFonts w:cs="Arial"/>
          <w:color w:val="auto"/>
          <w:sz w:val="20"/>
          <w:szCs w:val="20"/>
          <w:lang w:val="en-ZA"/>
        </w:rPr>
      </w:pPr>
      <w:r w:rsidRPr="00CE42F2">
        <w:rPr>
          <w:rFonts w:cs="Arial"/>
          <w:b/>
          <w:color w:val="auto"/>
          <w:sz w:val="20"/>
          <w:szCs w:val="20"/>
          <w:lang w:val="en-ZA"/>
        </w:rPr>
        <w:t>3.3</w:t>
      </w:r>
      <w:r w:rsidR="001E7E56" w:rsidRPr="00CE42F2">
        <w:rPr>
          <w:rFonts w:cs="Arial"/>
          <w:b/>
          <w:color w:val="auto"/>
          <w:sz w:val="20"/>
          <w:szCs w:val="20"/>
          <w:lang w:val="en-ZA"/>
        </w:rPr>
        <w:tab/>
      </w:r>
      <w:r w:rsidRPr="00CE42F2">
        <w:rPr>
          <w:rFonts w:cs="Arial"/>
          <w:b/>
          <w:color w:val="auto"/>
          <w:sz w:val="20"/>
          <w:szCs w:val="20"/>
          <w:lang w:val="en-ZA"/>
        </w:rPr>
        <w:t>Programme 3: Business Enhancement, Transformation and Industrialisation</w:t>
      </w:r>
    </w:p>
    <w:p w:rsidR="0089532D" w:rsidRPr="00CE42F2" w:rsidRDefault="0089532D" w:rsidP="00CE42F2">
      <w:pPr>
        <w:rPr>
          <w:rFonts w:cs="Arial"/>
          <w:color w:val="auto"/>
          <w:sz w:val="20"/>
          <w:szCs w:val="20"/>
          <w:lang w:val="en-ZA"/>
        </w:rPr>
      </w:pPr>
    </w:p>
    <w:p w:rsidR="0089532D" w:rsidRPr="00CE42F2" w:rsidRDefault="0089532D" w:rsidP="00CE42F2">
      <w:pPr>
        <w:rPr>
          <w:rFonts w:cs="Arial"/>
          <w:color w:val="auto"/>
          <w:sz w:val="20"/>
          <w:szCs w:val="20"/>
        </w:rPr>
      </w:pPr>
      <w:r w:rsidRPr="00CE42F2">
        <w:rPr>
          <w:rFonts w:cs="Arial"/>
          <w:color w:val="auto"/>
          <w:sz w:val="20"/>
          <w:szCs w:val="20"/>
        </w:rPr>
        <w:t>The purpose of the programme is to provide sector oversight to ensure that state-owned companies contribute to the advancement of industrialisation, transformation, intergovernmental relations and international collaboration services.  The programme will also support the shareholder in strategically positioning and enhancing the operations of state-owned companies.</w:t>
      </w:r>
    </w:p>
    <w:p w:rsidR="0089532D" w:rsidRPr="00CE42F2" w:rsidRDefault="0089532D" w:rsidP="00CE42F2">
      <w:pPr>
        <w:rPr>
          <w:rFonts w:cs="Arial"/>
          <w:color w:val="auto"/>
          <w:sz w:val="20"/>
          <w:szCs w:val="20"/>
        </w:rPr>
      </w:pPr>
    </w:p>
    <w:p w:rsidR="0089532D" w:rsidRPr="00CE42F2" w:rsidRDefault="0089532D" w:rsidP="00CE42F2">
      <w:pPr>
        <w:rPr>
          <w:rFonts w:cs="Arial"/>
          <w:color w:val="auto"/>
          <w:sz w:val="20"/>
          <w:szCs w:val="20"/>
        </w:rPr>
      </w:pPr>
      <w:r w:rsidRPr="00CE42F2">
        <w:rPr>
          <w:rFonts w:cs="Arial"/>
          <w:color w:val="auto"/>
          <w:sz w:val="20"/>
          <w:szCs w:val="20"/>
        </w:rPr>
        <w:t>Through this programme, the Department will contribute to the enhancement of the performance of SOCs on an ongoing basis by:</w:t>
      </w:r>
    </w:p>
    <w:p w:rsidR="0089532D" w:rsidRPr="00CE42F2" w:rsidRDefault="0089532D" w:rsidP="00CE42F2">
      <w:pPr>
        <w:numPr>
          <w:ilvl w:val="0"/>
          <w:numId w:val="4"/>
        </w:numPr>
        <w:rPr>
          <w:rFonts w:cs="Arial"/>
          <w:sz w:val="20"/>
          <w:szCs w:val="20"/>
        </w:rPr>
      </w:pPr>
      <w:r w:rsidRPr="00CE42F2">
        <w:rPr>
          <w:rFonts w:cs="Arial"/>
          <w:sz w:val="20"/>
          <w:szCs w:val="20"/>
        </w:rPr>
        <w:t>Conducting reviews, research and modelling of pipeline and new business enhancement opportunities within SOCs;</w:t>
      </w:r>
    </w:p>
    <w:p w:rsidR="0089532D" w:rsidRPr="00CE42F2" w:rsidRDefault="0089532D" w:rsidP="00CE42F2">
      <w:pPr>
        <w:numPr>
          <w:ilvl w:val="0"/>
          <w:numId w:val="4"/>
        </w:numPr>
        <w:rPr>
          <w:rFonts w:cs="Arial"/>
          <w:sz w:val="20"/>
          <w:szCs w:val="20"/>
        </w:rPr>
      </w:pPr>
      <w:r w:rsidRPr="00CE42F2">
        <w:rPr>
          <w:rFonts w:cs="Arial"/>
          <w:sz w:val="20"/>
          <w:szCs w:val="20"/>
        </w:rPr>
        <w:t>Assessing operations of SOCs and developing mitigation instruments in conjunction with policy departments, regulatory bodies and industry; and</w:t>
      </w:r>
    </w:p>
    <w:p w:rsidR="0089532D" w:rsidRPr="00CE42F2" w:rsidRDefault="0089532D" w:rsidP="00CE42F2">
      <w:pPr>
        <w:numPr>
          <w:ilvl w:val="0"/>
          <w:numId w:val="4"/>
        </w:numPr>
        <w:rPr>
          <w:rFonts w:cs="Arial"/>
          <w:sz w:val="20"/>
          <w:szCs w:val="20"/>
        </w:rPr>
      </w:pPr>
      <w:r w:rsidRPr="00CE42F2">
        <w:rPr>
          <w:rFonts w:cs="Arial"/>
          <w:sz w:val="20"/>
          <w:szCs w:val="20"/>
        </w:rPr>
        <w:t xml:space="preserve">Conducting research, modelling job creation and transforming instruments for SOCs to inform compact alignment imperatives, promote SOCs’ contribution to inclusive economic growth, unlock bottlenecks affecting SOCs and inform evidence-based policy formulation.   </w:t>
      </w:r>
    </w:p>
    <w:p w:rsidR="0089532D" w:rsidRPr="00CE42F2" w:rsidRDefault="0089532D" w:rsidP="00CE42F2">
      <w:pPr>
        <w:rPr>
          <w:rFonts w:cs="Arial"/>
          <w:color w:val="auto"/>
          <w:sz w:val="20"/>
          <w:szCs w:val="20"/>
        </w:rPr>
      </w:pPr>
    </w:p>
    <w:p w:rsidR="0089532D" w:rsidRPr="00CE42F2" w:rsidRDefault="0089532D" w:rsidP="00CE42F2">
      <w:pPr>
        <w:rPr>
          <w:rFonts w:cs="Arial"/>
          <w:color w:val="auto"/>
          <w:sz w:val="20"/>
          <w:szCs w:val="20"/>
        </w:rPr>
      </w:pPr>
      <w:r w:rsidRPr="00CE42F2">
        <w:rPr>
          <w:rFonts w:cs="Arial"/>
          <w:color w:val="auto"/>
          <w:sz w:val="20"/>
          <w:szCs w:val="20"/>
        </w:rPr>
        <w:t xml:space="preserve">The budget for the programme amounts to R23.7 billion for the 2022/23 financial year, mostly due to R23.6 billion appropriated for the payment for financial assets.  Eskom is to receive an additional R21.9 billion to provide financial support to assist with their debt-service obligations, while SAA will receive R1.8 billion to settle government guaranteed debt. </w:t>
      </w:r>
    </w:p>
    <w:p w:rsidR="00CD2556" w:rsidRPr="00CE42F2" w:rsidRDefault="0089532D" w:rsidP="00CE42F2">
      <w:pPr>
        <w:rPr>
          <w:rFonts w:cs="Arial"/>
          <w:color w:val="auto"/>
          <w:sz w:val="20"/>
          <w:szCs w:val="20"/>
        </w:rPr>
      </w:pPr>
      <w:r w:rsidRPr="00CE42F2">
        <w:rPr>
          <w:rFonts w:cs="Arial"/>
          <w:color w:val="auto"/>
          <w:sz w:val="20"/>
          <w:szCs w:val="20"/>
        </w:rPr>
        <w:t xml:space="preserve">                             </w:t>
      </w:r>
    </w:p>
    <w:p w:rsidR="00AD2A03" w:rsidRPr="00CE42F2" w:rsidRDefault="00CD2556" w:rsidP="00CE42F2">
      <w:pPr>
        <w:rPr>
          <w:rFonts w:cs="Arial"/>
          <w:color w:val="auto"/>
          <w:sz w:val="20"/>
          <w:szCs w:val="20"/>
        </w:rPr>
      </w:pPr>
      <w:r w:rsidRPr="00CE42F2">
        <w:rPr>
          <w:rFonts w:cs="Arial"/>
          <w:color w:val="auto"/>
          <w:sz w:val="20"/>
          <w:szCs w:val="20"/>
        </w:rPr>
        <w:t>This programme</w:t>
      </w:r>
      <w:r w:rsidR="0089532D" w:rsidRPr="00CE42F2">
        <w:rPr>
          <w:rFonts w:cs="Arial"/>
          <w:color w:val="auto"/>
          <w:sz w:val="20"/>
          <w:szCs w:val="20"/>
        </w:rPr>
        <w:t xml:space="preserve"> develops and coordinates the implementation of SOCs’ strategies to leverage localisation programmes; provide intergovernmental coordination and support to programmes and SOCs in relation to economic development programmes, as agreed with provincial and local governments. It will also</w:t>
      </w:r>
      <w:r w:rsidR="00AD2A03" w:rsidRPr="00CE42F2">
        <w:rPr>
          <w:rFonts w:cs="Arial"/>
          <w:sz w:val="20"/>
          <w:szCs w:val="20"/>
        </w:rPr>
        <w:t xml:space="preserve"> </w:t>
      </w:r>
      <w:r w:rsidR="00AD2A03" w:rsidRPr="00CE42F2">
        <w:rPr>
          <w:rFonts w:cs="Arial"/>
          <w:color w:val="auto"/>
          <w:sz w:val="20"/>
          <w:szCs w:val="20"/>
        </w:rPr>
        <w:t xml:space="preserve">maintain a register of commitments made by SOCs and lobbies for the implementation of special programmes focusing on skills development, transformation and the youth.  </w:t>
      </w:r>
    </w:p>
    <w:p w:rsidR="00AD2A03" w:rsidRPr="00CE42F2" w:rsidRDefault="00AD2A03" w:rsidP="00CE42F2">
      <w:pPr>
        <w:rPr>
          <w:rFonts w:cs="Arial"/>
          <w:color w:val="auto"/>
          <w:sz w:val="20"/>
          <w:szCs w:val="20"/>
        </w:rPr>
      </w:pPr>
    </w:p>
    <w:p w:rsidR="00AD2A03" w:rsidRPr="00CE42F2" w:rsidRDefault="00AD2A03" w:rsidP="00CE42F2">
      <w:pPr>
        <w:rPr>
          <w:rFonts w:cs="Arial"/>
          <w:color w:val="auto"/>
          <w:sz w:val="20"/>
          <w:szCs w:val="20"/>
        </w:rPr>
      </w:pPr>
      <w:r w:rsidRPr="00CE42F2">
        <w:rPr>
          <w:rFonts w:cs="Arial"/>
          <w:color w:val="auto"/>
          <w:sz w:val="20"/>
          <w:szCs w:val="20"/>
        </w:rPr>
        <w:t>The sub-programme has three indicators, down from the seven performance indicators in the previous year.  The sub-programme has the following indicators:</w:t>
      </w:r>
    </w:p>
    <w:p w:rsidR="00AD2A03" w:rsidRPr="00CE42F2" w:rsidRDefault="00AD2A03" w:rsidP="00CE42F2">
      <w:pPr>
        <w:rPr>
          <w:rFonts w:cs="Arial"/>
          <w:color w:val="auto"/>
          <w:sz w:val="20"/>
          <w:szCs w:val="20"/>
        </w:rPr>
      </w:pPr>
    </w:p>
    <w:p w:rsidR="00AD2A03" w:rsidRPr="00CE42F2" w:rsidRDefault="00AD2A03" w:rsidP="00CE42F2">
      <w:pPr>
        <w:rPr>
          <w:rFonts w:cs="Arial"/>
          <w:color w:val="auto"/>
          <w:sz w:val="20"/>
          <w:szCs w:val="20"/>
        </w:rPr>
      </w:pPr>
      <w:r w:rsidRPr="00CE42F2">
        <w:rPr>
          <w:rFonts w:cs="Arial"/>
          <w:color w:val="auto"/>
          <w:sz w:val="20"/>
          <w:szCs w:val="20"/>
        </w:rPr>
        <w:t>•</w:t>
      </w:r>
      <w:r w:rsidRPr="00CE42F2">
        <w:rPr>
          <w:rFonts w:cs="Arial"/>
          <w:color w:val="auto"/>
          <w:sz w:val="20"/>
          <w:szCs w:val="20"/>
        </w:rPr>
        <w:tab/>
        <w:t>Number of Gender Responsive Plans approved and implemented;</w:t>
      </w:r>
    </w:p>
    <w:p w:rsidR="00AD2A03" w:rsidRPr="00CE42F2" w:rsidRDefault="00AD2A03" w:rsidP="00CE42F2">
      <w:pPr>
        <w:rPr>
          <w:rFonts w:cs="Arial"/>
          <w:color w:val="auto"/>
          <w:sz w:val="20"/>
          <w:szCs w:val="20"/>
        </w:rPr>
      </w:pPr>
      <w:r w:rsidRPr="00CE42F2">
        <w:rPr>
          <w:rFonts w:cs="Arial"/>
          <w:color w:val="auto"/>
          <w:sz w:val="20"/>
          <w:szCs w:val="20"/>
        </w:rPr>
        <w:t>•</w:t>
      </w:r>
      <w:r w:rsidRPr="00CE42F2">
        <w:rPr>
          <w:rFonts w:cs="Arial"/>
          <w:color w:val="auto"/>
          <w:sz w:val="20"/>
          <w:szCs w:val="20"/>
        </w:rPr>
        <w:tab/>
        <w:t>Percentage on SOC public procurement spent on Women-Owned Business;</w:t>
      </w:r>
    </w:p>
    <w:p w:rsidR="0089532D" w:rsidRPr="00CE42F2" w:rsidRDefault="00AD2A03" w:rsidP="00CE42F2">
      <w:pPr>
        <w:rPr>
          <w:rFonts w:cs="Arial"/>
          <w:color w:val="auto"/>
          <w:sz w:val="20"/>
          <w:szCs w:val="20"/>
          <w:lang w:val="en-ZA"/>
        </w:rPr>
      </w:pPr>
      <w:r w:rsidRPr="00CE42F2">
        <w:rPr>
          <w:rFonts w:cs="Arial"/>
          <w:color w:val="auto"/>
          <w:sz w:val="20"/>
          <w:szCs w:val="20"/>
        </w:rPr>
        <w:t>•</w:t>
      </w:r>
      <w:r w:rsidRPr="00CE42F2">
        <w:rPr>
          <w:rFonts w:cs="Arial"/>
          <w:color w:val="auto"/>
          <w:sz w:val="20"/>
          <w:szCs w:val="20"/>
        </w:rPr>
        <w:tab/>
        <w:t>SOCs Local content verification framework developed and tested.</w:t>
      </w:r>
    </w:p>
    <w:p w:rsidR="00AD2A03" w:rsidRPr="00CE42F2" w:rsidRDefault="00AD2A03" w:rsidP="00CE42F2">
      <w:pPr>
        <w:rPr>
          <w:rFonts w:cs="Arial"/>
          <w:color w:val="auto"/>
          <w:sz w:val="20"/>
          <w:szCs w:val="20"/>
          <w:lang w:val="en-ZA"/>
        </w:rPr>
      </w:pPr>
    </w:p>
    <w:p w:rsidR="00AD2A03" w:rsidRPr="00CE42F2" w:rsidRDefault="00AD2A03" w:rsidP="00CE42F2">
      <w:pPr>
        <w:rPr>
          <w:rFonts w:cs="Arial"/>
          <w:color w:val="auto"/>
          <w:sz w:val="20"/>
          <w:szCs w:val="20"/>
          <w:lang w:val="en-ZA"/>
        </w:rPr>
      </w:pPr>
      <w:r w:rsidRPr="00CE42F2">
        <w:rPr>
          <w:rFonts w:cs="Arial"/>
          <w:color w:val="auto"/>
          <w:sz w:val="20"/>
          <w:szCs w:val="20"/>
          <w:lang w:val="en-ZA"/>
        </w:rPr>
        <w:t xml:space="preserve">The sub-programme </w:t>
      </w:r>
      <w:r w:rsidRPr="00CE42F2">
        <w:rPr>
          <w:rFonts w:cs="Arial"/>
          <w:b/>
          <w:color w:val="auto"/>
          <w:sz w:val="20"/>
          <w:szCs w:val="20"/>
          <w:lang w:val="en-ZA"/>
        </w:rPr>
        <w:t>Energy Resources</w:t>
      </w:r>
      <w:r w:rsidRPr="00CE42F2">
        <w:rPr>
          <w:rFonts w:cs="Arial"/>
          <w:color w:val="auto"/>
          <w:sz w:val="20"/>
          <w:szCs w:val="20"/>
          <w:lang w:val="en-ZA"/>
        </w:rPr>
        <w:t xml:space="preserve"> exercises shareholder oversight over Eskom, Alexkor and the South African Forestry Company (SAFCOL).  The sub-programme has nine indicators, up from the seven performance targets in the previous year.  The Department will continue to monitor SAFCOL’s Timbadola re-investment project, Alexkor’s optimal operating structure, Eskom’s infrastructure programme, performance of its generation fleet and implementation of the Eskom Road Map for reformed electricity supply industry.  The sub-programme has the following indicators:</w:t>
      </w:r>
    </w:p>
    <w:p w:rsidR="00AD2A03" w:rsidRPr="00CE42F2" w:rsidRDefault="00AD2A03" w:rsidP="00CE42F2">
      <w:pPr>
        <w:rPr>
          <w:rFonts w:cs="Arial"/>
          <w:color w:val="auto"/>
          <w:sz w:val="20"/>
          <w:szCs w:val="20"/>
          <w:lang w:val="en-ZA"/>
        </w:rPr>
      </w:pPr>
    </w:p>
    <w:p w:rsidR="00AD2A03" w:rsidRPr="00CE42F2" w:rsidRDefault="00AD2A03" w:rsidP="00CE42F2">
      <w:pPr>
        <w:numPr>
          <w:ilvl w:val="0"/>
          <w:numId w:val="9"/>
        </w:numPr>
        <w:rPr>
          <w:rFonts w:cs="Arial"/>
          <w:color w:val="auto"/>
          <w:sz w:val="20"/>
          <w:szCs w:val="20"/>
          <w:lang w:val="en-ZA"/>
        </w:rPr>
      </w:pPr>
      <w:r w:rsidRPr="00CE42F2">
        <w:rPr>
          <w:rFonts w:cs="Arial"/>
          <w:color w:val="auto"/>
          <w:sz w:val="20"/>
          <w:szCs w:val="20"/>
          <w:lang w:val="en-ZA"/>
        </w:rPr>
        <w:t>Signed shareholder compact per year (Eskom; Alexkor; SAFCOL);</w:t>
      </w:r>
    </w:p>
    <w:p w:rsidR="00AD2A03" w:rsidRPr="00CE42F2" w:rsidRDefault="00AD2A03" w:rsidP="00CE42F2">
      <w:pPr>
        <w:numPr>
          <w:ilvl w:val="0"/>
          <w:numId w:val="9"/>
        </w:numPr>
        <w:rPr>
          <w:rFonts w:cs="Arial"/>
          <w:color w:val="auto"/>
          <w:sz w:val="20"/>
          <w:szCs w:val="20"/>
          <w:lang w:val="en-ZA"/>
        </w:rPr>
      </w:pPr>
      <w:r w:rsidRPr="00CE42F2">
        <w:rPr>
          <w:rFonts w:cs="Arial"/>
          <w:color w:val="auto"/>
          <w:sz w:val="20"/>
          <w:szCs w:val="20"/>
          <w:lang w:val="en-ZA"/>
        </w:rPr>
        <w:t>Increased energy availability factor;</w:t>
      </w:r>
    </w:p>
    <w:p w:rsidR="00AD2A03" w:rsidRPr="00CE42F2" w:rsidRDefault="00AD2A03" w:rsidP="00CE42F2">
      <w:pPr>
        <w:numPr>
          <w:ilvl w:val="0"/>
          <w:numId w:val="9"/>
        </w:numPr>
        <w:rPr>
          <w:rFonts w:cs="Arial"/>
          <w:color w:val="auto"/>
          <w:sz w:val="20"/>
          <w:szCs w:val="20"/>
          <w:lang w:val="en-ZA"/>
        </w:rPr>
      </w:pPr>
      <w:r w:rsidRPr="00CE42F2">
        <w:rPr>
          <w:rFonts w:cs="Arial"/>
          <w:color w:val="auto"/>
          <w:sz w:val="20"/>
          <w:szCs w:val="20"/>
          <w:lang w:val="en-ZA"/>
        </w:rPr>
        <w:t>Eskom planned capacity adherence (Infrastructure/Build Programme)</w:t>
      </w:r>
    </w:p>
    <w:p w:rsidR="00AD2A03" w:rsidRPr="00CE42F2" w:rsidRDefault="00AD2A03" w:rsidP="00CE42F2">
      <w:pPr>
        <w:numPr>
          <w:ilvl w:val="0"/>
          <w:numId w:val="9"/>
        </w:numPr>
        <w:rPr>
          <w:rFonts w:cs="Arial"/>
          <w:color w:val="auto"/>
          <w:sz w:val="20"/>
          <w:szCs w:val="20"/>
          <w:lang w:val="en-ZA"/>
        </w:rPr>
      </w:pPr>
      <w:r w:rsidRPr="00CE42F2">
        <w:rPr>
          <w:rFonts w:cs="Arial"/>
          <w:color w:val="auto"/>
          <w:sz w:val="20"/>
          <w:szCs w:val="20"/>
          <w:lang w:val="en-ZA"/>
        </w:rPr>
        <w:t>Increased electricity reserve margin by 15 per cent by 2024;</w:t>
      </w:r>
    </w:p>
    <w:p w:rsidR="00AD2A03" w:rsidRPr="00CE42F2" w:rsidRDefault="00AD2A03" w:rsidP="00CE42F2">
      <w:pPr>
        <w:numPr>
          <w:ilvl w:val="0"/>
          <w:numId w:val="9"/>
        </w:numPr>
        <w:rPr>
          <w:rFonts w:cs="Arial"/>
          <w:color w:val="auto"/>
          <w:sz w:val="20"/>
          <w:szCs w:val="20"/>
          <w:lang w:val="en-ZA"/>
        </w:rPr>
      </w:pPr>
      <w:r w:rsidRPr="00CE42F2">
        <w:rPr>
          <w:rFonts w:cs="Arial"/>
          <w:color w:val="auto"/>
          <w:sz w:val="20"/>
          <w:szCs w:val="20"/>
          <w:lang w:val="en-ZA"/>
        </w:rPr>
        <w:t>Eskom’s roadmap for reformed electricity supply industry implemented (unbundling process; Transmission, Generation and Distribution);</w:t>
      </w:r>
    </w:p>
    <w:p w:rsidR="00AD2A03" w:rsidRPr="00CE42F2" w:rsidRDefault="00AD2A03" w:rsidP="00CE42F2">
      <w:pPr>
        <w:numPr>
          <w:ilvl w:val="0"/>
          <w:numId w:val="9"/>
        </w:numPr>
        <w:rPr>
          <w:rFonts w:cs="Arial"/>
          <w:color w:val="auto"/>
          <w:sz w:val="20"/>
          <w:szCs w:val="20"/>
          <w:lang w:val="en-ZA"/>
        </w:rPr>
      </w:pPr>
      <w:r w:rsidRPr="00CE42F2">
        <w:rPr>
          <w:rFonts w:cs="Arial"/>
          <w:color w:val="auto"/>
          <w:sz w:val="20"/>
          <w:szCs w:val="20"/>
          <w:lang w:val="en-ZA"/>
        </w:rPr>
        <w:t>Number of reports on the maintenance of energy levels;</w:t>
      </w:r>
    </w:p>
    <w:p w:rsidR="00AD2A03" w:rsidRPr="00CE42F2" w:rsidRDefault="00AD2A03" w:rsidP="00CE42F2">
      <w:pPr>
        <w:numPr>
          <w:ilvl w:val="0"/>
          <w:numId w:val="9"/>
        </w:numPr>
        <w:rPr>
          <w:rFonts w:cs="Arial"/>
          <w:color w:val="auto"/>
          <w:sz w:val="20"/>
          <w:szCs w:val="20"/>
          <w:lang w:val="en-ZA"/>
        </w:rPr>
      </w:pPr>
      <w:r w:rsidRPr="00CE42F2">
        <w:rPr>
          <w:rFonts w:cs="Arial"/>
          <w:color w:val="auto"/>
          <w:sz w:val="20"/>
          <w:szCs w:val="20"/>
          <w:lang w:val="en-ZA"/>
        </w:rPr>
        <w:t xml:space="preserve">Number of progress reports on Additional 1 000MW commissioned by 2024 produced. </w:t>
      </w:r>
    </w:p>
    <w:p w:rsidR="00AD2A03" w:rsidRPr="00CE42F2" w:rsidRDefault="00AD2A03" w:rsidP="00CE42F2">
      <w:pPr>
        <w:ind w:left="720"/>
        <w:rPr>
          <w:rFonts w:cs="Arial"/>
          <w:color w:val="auto"/>
          <w:sz w:val="20"/>
          <w:szCs w:val="20"/>
          <w:lang w:val="en-ZA"/>
        </w:rPr>
      </w:pPr>
    </w:p>
    <w:p w:rsidR="00AD2A03" w:rsidRPr="00CE42F2" w:rsidRDefault="00AD2A03" w:rsidP="00CE42F2">
      <w:pPr>
        <w:rPr>
          <w:rFonts w:cs="Arial"/>
          <w:sz w:val="20"/>
          <w:szCs w:val="20"/>
        </w:rPr>
      </w:pPr>
      <w:r w:rsidRPr="00CE42F2">
        <w:rPr>
          <w:rFonts w:cs="Arial"/>
          <w:sz w:val="20"/>
          <w:szCs w:val="20"/>
        </w:rPr>
        <w:t xml:space="preserve">The sub-programme </w:t>
      </w:r>
      <w:r w:rsidRPr="00CE42F2">
        <w:rPr>
          <w:rFonts w:cs="Arial"/>
          <w:b/>
          <w:sz w:val="20"/>
          <w:szCs w:val="20"/>
        </w:rPr>
        <w:t>Transport and Defence</w:t>
      </w:r>
      <w:r w:rsidRPr="00CE42F2">
        <w:rPr>
          <w:rFonts w:cs="Arial"/>
          <w:sz w:val="20"/>
          <w:szCs w:val="20"/>
        </w:rPr>
        <w:t xml:space="preserve"> exercises shareholder oversight over Transnet, South African Airways, South African Express Airways and Denel.  The sub-programme has eight output indicators, up on the six performance indicators in the previous financial year.  The sub-programme has the following indicators:</w:t>
      </w:r>
    </w:p>
    <w:p w:rsidR="00AD2A03" w:rsidRPr="00CE42F2" w:rsidRDefault="00AD2A03" w:rsidP="00CE42F2">
      <w:pPr>
        <w:rPr>
          <w:rFonts w:cs="Arial"/>
          <w:sz w:val="20"/>
          <w:szCs w:val="20"/>
        </w:rPr>
      </w:pPr>
    </w:p>
    <w:p w:rsidR="00AD2A03" w:rsidRPr="00CE42F2" w:rsidRDefault="00AD2A03" w:rsidP="00CE42F2">
      <w:pPr>
        <w:pStyle w:val="ListParagraph"/>
        <w:numPr>
          <w:ilvl w:val="0"/>
          <w:numId w:val="10"/>
        </w:numPr>
        <w:rPr>
          <w:rFonts w:ascii="Arial" w:hAnsi="Arial" w:cs="Arial"/>
          <w:sz w:val="20"/>
          <w:szCs w:val="20"/>
        </w:rPr>
      </w:pPr>
      <w:r w:rsidRPr="00CE42F2">
        <w:rPr>
          <w:rFonts w:ascii="Arial" w:hAnsi="Arial" w:cs="Arial"/>
          <w:sz w:val="20"/>
          <w:szCs w:val="20"/>
        </w:rPr>
        <w:t>Signed shareholder compacts per year (Transnet);</w:t>
      </w:r>
    </w:p>
    <w:p w:rsidR="00AD2A03" w:rsidRPr="00CE42F2" w:rsidRDefault="00AD2A03" w:rsidP="00CE42F2">
      <w:pPr>
        <w:pStyle w:val="ListParagraph"/>
        <w:numPr>
          <w:ilvl w:val="0"/>
          <w:numId w:val="10"/>
        </w:numPr>
        <w:rPr>
          <w:rFonts w:ascii="Arial" w:hAnsi="Arial" w:cs="Arial"/>
          <w:sz w:val="20"/>
          <w:szCs w:val="20"/>
        </w:rPr>
      </w:pPr>
      <w:r w:rsidRPr="00CE42F2">
        <w:rPr>
          <w:rFonts w:ascii="Arial" w:hAnsi="Arial" w:cs="Arial"/>
          <w:sz w:val="20"/>
          <w:szCs w:val="20"/>
        </w:rPr>
        <w:t>Implementation of the agreed decision of government on the structure and functions of TNPA;</w:t>
      </w:r>
    </w:p>
    <w:p w:rsidR="00AD2A03" w:rsidRPr="00CE42F2" w:rsidRDefault="00AD2A03" w:rsidP="00CE42F2">
      <w:pPr>
        <w:pStyle w:val="ListParagraph"/>
        <w:numPr>
          <w:ilvl w:val="0"/>
          <w:numId w:val="10"/>
        </w:numPr>
        <w:rPr>
          <w:rFonts w:ascii="Arial" w:hAnsi="Arial" w:cs="Arial"/>
          <w:sz w:val="20"/>
          <w:szCs w:val="20"/>
        </w:rPr>
      </w:pPr>
      <w:r w:rsidRPr="00CE42F2">
        <w:rPr>
          <w:rFonts w:ascii="Arial" w:hAnsi="Arial" w:cs="Arial"/>
          <w:sz w:val="20"/>
          <w:szCs w:val="20"/>
        </w:rPr>
        <w:t>Percentage increase of rail friendly commodities moved from road to rail by Transnet Freight Rail (6.2 million tons by 2023/24)</w:t>
      </w:r>
    </w:p>
    <w:p w:rsidR="00AD2A03" w:rsidRPr="00CE42F2" w:rsidRDefault="00AD2A03" w:rsidP="00CE42F2">
      <w:pPr>
        <w:pStyle w:val="ListParagraph"/>
        <w:numPr>
          <w:ilvl w:val="0"/>
          <w:numId w:val="10"/>
        </w:numPr>
        <w:rPr>
          <w:rFonts w:ascii="Arial" w:hAnsi="Arial" w:cs="Arial"/>
          <w:sz w:val="20"/>
          <w:szCs w:val="20"/>
        </w:rPr>
      </w:pPr>
      <w:r w:rsidRPr="00CE42F2">
        <w:rPr>
          <w:rFonts w:ascii="Arial" w:hAnsi="Arial" w:cs="Arial"/>
          <w:sz w:val="20"/>
          <w:szCs w:val="20"/>
        </w:rPr>
        <w:t>Number of private sector participation (PSP) transactions in ports and rail identified;</w:t>
      </w:r>
    </w:p>
    <w:p w:rsidR="00AD2A03" w:rsidRPr="00CE42F2" w:rsidRDefault="00AD2A03" w:rsidP="00CE42F2">
      <w:pPr>
        <w:pStyle w:val="ListParagraph"/>
        <w:numPr>
          <w:ilvl w:val="0"/>
          <w:numId w:val="10"/>
        </w:numPr>
        <w:rPr>
          <w:rFonts w:ascii="Arial" w:hAnsi="Arial" w:cs="Arial"/>
          <w:sz w:val="20"/>
          <w:szCs w:val="20"/>
        </w:rPr>
      </w:pPr>
      <w:r w:rsidRPr="00CE42F2">
        <w:rPr>
          <w:rFonts w:ascii="Arial" w:hAnsi="Arial" w:cs="Arial"/>
          <w:sz w:val="20"/>
          <w:szCs w:val="20"/>
        </w:rPr>
        <w:t>Framework for the Shareholder Oversight Model for SOCs with a minority Government Shareholding developed. (SAA)</w:t>
      </w:r>
    </w:p>
    <w:p w:rsidR="00AD2A03" w:rsidRPr="00CE42F2" w:rsidRDefault="00AD2A03" w:rsidP="00CE42F2">
      <w:pPr>
        <w:pStyle w:val="ListParagraph"/>
        <w:numPr>
          <w:ilvl w:val="0"/>
          <w:numId w:val="10"/>
        </w:numPr>
        <w:rPr>
          <w:rFonts w:ascii="Arial" w:hAnsi="Arial" w:cs="Arial"/>
          <w:sz w:val="20"/>
          <w:szCs w:val="20"/>
        </w:rPr>
      </w:pPr>
      <w:r w:rsidRPr="00CE42F2">
        <w:rPr>
          <w:rFonts w:ascii="Arial" w:hAnsi="Arial" w:cs="Arial"/>
          <w:sz w:val="20"/>
          <w:szCs w:val="20"/>
        </w:rPr>
        <w:lastRenderedPageBreak/>
        <w:t>Number of reports on mapping of industrial defence capabilities and options for Denel divisions;</w:t>
      </w:r>
    </w:p>
    <w:p w:rsidR="00AD2A03" w:rsidRPr="00CE42F2" w:rsidRDefault="00AD2A03" w:rsidP="00CE42F2">
      <w:pPr>
        <w:pStyle w:val="ListParagraph"/>
        <w:numPr>
          <w:ilvl w:val="0"/>
          <w:numId w:val="10"/>
        </w:numPr>
        <w:rPr>
          <w:rFonts w:ascii="Arial" w:hAnsi="Arial" w:cs="Arial"/>
          <w:sz w:val="20"/>
          <w:szCs w:val="20"/>
        </w:rPr>
      </w:pPr>
      <w:r w:rsidRPr="00CE42F2">
        <w:rPr>
          <w:rFonts w:ascii="Arial" w:hAnsi="Arial" w:cs="Arial"/>
          <w:sz w:val="20"/>
          <w:szCs w:val="20"/>
        </w:rPr>
        <w:t>Number of diagnostic reports on the root causes to the challenges of the Denel Badger/Hoefyster contract and lessons learnt;</w:t>
      </w:r>
    </w:p>
    <w:p w:rsidR="00AD2A03" w:rsidRPr="00CE42F2" w:rsidRDefault="00AD2A03" w:rsidP="00CE42F2">
      <w:pPr>
        <w:pStyle w:val="ListParagraph"/>
        <w:numPr>
          <w:ilvl w:val="0"/>
          <w:numId w:val="10"/>
        </w:numPr>
        <w:rPr>
          <w:rFonts w:ascii="Arial" w:hAnsi="Arial" w:cs="Arial"/>
          <w:sz w:val="20"/>
          <w:szCs w:val="20"/>
        </w:rPr>
      </w:pPr>
      <w:r w:rsidRPr="00CE42F2">
        <w:rPr>
          <w:rFonts w:ascii="Arial" w:hAnsi="Arial" w:cs="Arial"/>
          <w:sz w:val="20"/>
          <w:szCs w:val="20"/>
        </w:rPr>
        <w:t xml:space="preserve">Number of quarterly reports update on the implementation of the Defence and Aerospace Masterplan. </w:t>
      </w:r>
    </w:p>
    <w:p w:rsidR="00DC2263" w:rsidRPr="00CE42F2" w:rsidRDefault="00DC2263" w:rsidP="00CE42F2">
      <w:pPr>
        <w:rPr>
          <w:rFonts w:cs="Arial"/>
          <w:sz w:val="20"/>
          <w:szCs w:val="20"/>
        </w:rPr>
      </w:pPr>
    </w:p>
    <w:p w:rsidR="00DC2263" w:rsidRPr="00CE42F2" w:rsidRDefault="00DC2263" w:rsidP="00CE42F2">
      <w:pPr>
        <w:rPr>
          <w:rFonts w:cs="Arial"/>
          <w:sz w:val="20"/>
          <w:szCs w:val="20"/>
          <w:lang w:val="en-ZA"/>
        </w:rPr>
      </w:pPr>
      <w:r w:rsidRPr="00CE42F2">
        <w:rPr>
          <w:rFonts w:cs="Arial"/>
          <w:sz w:val="20"/>
          <w:szCs w:val="20"/>
          <w:lang w:val="en-ZA"/>
        </w:rPr>
        <w:t xml:space="preserve">The sub-programme </w:t>
      </w:r>
      <w:r w:rsidRPr="00CE42F2">
        <w:rPr>
          <w:rFonts w:cs="Arial"/>
          <w:b/>
          <w:sz w:val="20"/>
          <w:szCs w:val="20"/>
          <w:lang w:val="en-ZA"/>
        </w:rPr>
        <w:t xml:space="preserve">Research and Economic Modelling </w:t>
      </w:r>
      <w:r w:rsidRPr="00CE42F2">
        <w:rPr>
          <w:rFonts w:cs="Arial"/>
          <w:sz w:val="20"/>
          <w:szCs w:val="20"/>
          <w:lang w:val="en-ZA"/>
        </w:rPr>
        <w:t>conducts cost-benefit analysis reviews on business enhancement and transformation initiatives, and develops economic sustainability models for proposed work packages and projects.  The sub-programme has 2 output indicators, down from the 3 performance indicators in the previous year.  The sub-programme has the following two indicators:</w:t>
      </w:r>
    </w:p>
    <w:p w:rsidR="00DC2263" w:rsidRPr="00CE42F2" w:rsidRDefault="00DC2263" w:rsidP="00CE42F2">
      <w:pPr>
        <w:rPr>
          <w:rFonts w:cs="Arial"/>
          <w:sz w:val="20"/>
          <w:szCs w:val="20"/>
          <w:lang w:val="en-ZA"/>
        </w:rPr>
      </w:pPr>
    </w:p>
    <w:p w:rsidR="00DC2263" w:rsidRPr="00CE42F2" w:rsidRDefault="00DC2263" w:rsidP="00CE42F2">
      <w:pPr>
        <w:numPr>
          <w:ilvl w:val="0"/>
          <w:numId w:val="11"/>
        </w:numPr>
        <w:rPr>
          <w:rFonts w:cs="Arial"/>
          <w:sz w:val="20"/>
          <w:szCs w:val="20"/>
          <w:lang w:val="en-ZA"/>
        </w:rPr>
      </w:pPr>
      <w:r w:rsidRPr="00CE42F2">
        <w:rPr>
          <w:rFonts w:cs="Arial"/>
          <w:sz w:val="20"/>
          <w:szCs w:val="20"/>
          <w:lang w:val="en-ZA"/>
        </w:rPr>
        <w:t>Number of reports on the implementation of “Just” energy Transition Framework;</w:t>
      </w:r>
    </w:p>
    <w:p w:rsidR="00DC2263" w:rsidRPr="00CE42F2" w:rsidRDefault="00DC2263" w:rsidP="00CE42F2">
      <w:pPr>
        <w:numPr>
          <w:ilvl w:val="0"/>
          <w:numId w:val="11"/>
        </w:numPr>
        <w:rPr>
          <w:rFonts w:cs="Arial"/>
          <w:sz w:val="20"/>
          <w:szCs w:val="20"/>
          <w:lang w:val="en-ZA"/>
        </w:rPr>
      </w:pPr>
      <w:r w:rsidRPr="00CE42F2">
        <w:rPr>
          <w:rFonts w:cs="Arial"/>
          <w:sz w:val="20"/>
          <w:szCs w:val="20"/>
          <w:lang w:val="en-ZA"/>
        </w:rPr>
        <w:t xml:space="preserve">Number of Industry-specific research working papers conducted.  </w:t>
      </w:r>
    </w:p>
    <w:p w:rsidR="00DC2263" w:rsidRPr="00CE42F2" w:rsidRDefault="00DC2263" w:rsidP="00CE42F2">
      <w:pPr>
        <w:rPr>
          <w:rFonts w:cs="Arial"/>
          <w:sz w:val="20"/>
          <w:szCs w:val="20"/>
        </w:rPr>
      </w:pPr>
    </w:p>
    <w:p w:rsidR="004D1126" w:rsidRPr="00CE42F2" w:rsidRDefault="00216238" w:rsidP="00CE42F2">
      <w:pPr>
        <w:tabs>
          <w:tab w:val="left" w:pos="3960"/>
        </w:tabs>
        <w:rPr>
          <w:rFonts w:cs="Arial"/>
          <w:color w:val="auto"/>
          <w:sz w:val="20"/>
          <w:szCs w:val="20"/>
          <w:lang w:val="en-US"/>
        </w:rPr>
      </w:pPr>
      <w:r w:rsidRPr="00CE42F2">
        <w:rPr>
          <w:rFonts w:cs="Arial"/>
          <w:b/>
          <w:color w:val="auto"/>
          <w:sz w:val="20"/>
          <w:szCs w:val="20"/>
          <w:lang w:val="en-US"/>
        </w:rPr>
        <w:t>4</w:t>
      </w:r>
      <w:r w:rsidR="001930DD" w:rsidRPr="00CE42F2">
        <w:rPr>
          <w:rFonts w:cs="Arial"/>
          <w:b/>
          <w:color w:val="auto"/>
          <w:sz w:val="20"/>
          <w:szCs w:val="20"/>
          <w:lang w:val="en-US"/>
        </w:rPr>
        <w:t>.</w:t>
      </w:r>
      <w:r w:rsidR="004D1126" w:rsidRPr="00CE42F2">
        <w:rPr>
          <w:rFonts w:cs="Arial"/>
          <w:b/>
          <w:color w:val="auto"/>
          <w:sz w:val="20"/>
          <w:szCs w:val="20"/>
          <w:lang w:val="en-US"/>
        </w:rPr>
        <w:t xml:space="preserve">      Budget  </w:t>
      </w:r>
    </w:p>
    <w:p w:rsidR="00E55648" w:rsidRPr="00CE42F2" w:rsidRDefault="00DC4BC7" w:rsidP="00CE42F2">
      <w:pPr>
        <w:tabs>
          <w:tab w:val="left" w:pos="3960"/>
        </w:tabs>
        <w:rPr>
          <w:rFonts w:cs="Arial"/>
          <w:bCs/>
          <w:color w:val="auto"/>
          <w:sz w:val="20"/>
          <w:szCs w:val="20"/>
          <w:lang w:val="en-ZA" w:eastAsia="en-ZA"/>
        </w:rPr>
      </w:pPr>
      <w:r w:rsidRPr="00CE42F2">
        <w:rPr>
          <w:rFonts w:cs="Arial"/>
          <w:color w:val="auto"/>
          <w:sz w:val="20"/>
          <w:szCs w:val="20"/>
          <w:lang w:eastAsia="en-ZA"/>
        </w:rPr>
        <w:t xml:space="preserve"> </w:t>
      </w:r>
      <w:r w:rsidR="00E55648" w:rsidRPr="00CE42F2">
        <w:rPr>
          <w:rFonts w:cs="Arial"/>
          <w:bCs/>
          <w:color w:val="auto"/>
          <w:sz w:val="20"/>
          <w:szCs w:val="20"/>
          <w:lang w:val="en-ZA" w:eastAsia="en-ZA"/>
        </w:rPr>
        <w:t>Over the medium term, the Department will focus on strengthening its oversight capacity and ensuring that SOCs under its authority are contributing to investment in key infrastructure. Overall, the Department’s budget decreases by 34.03 per cent in nominal terms from R36.3 billion in 2021/22 to R23.9 billion in 2022/23.</w:t>
      </w:r>
    </w:p>
    <w:p w:rsidR="00E55648" w:rsidRPr="00CE42F2" w:rsidRDefault="00E55648" w:rsidP="00CE42F2">
      <w:pPr>
        <w:tabs>
          <w:tab w:val="left" w:pos="3960"/>
        </w:tabs>
        <w:rPr>
          <w:rFonts w:cs="Arial"/>
          <w:bCs/>
          <w:color w:val="auto"/>
          <w:sz w:val="20"/>
          <w:szCs w:val="20"/>
          <w:lang w:val="en-ZA" w:eastAsia="en-ZA"/>
        </w:rPr>
      </w:pPr>
    </w:p>
    <w:p w:rsidR="00E55648" w:rsidRPr="00CE42F2" w:rsidRDefault="00E55648" w:rsidP="00CE42F2">
      <w:pPr>
        <w:tabs>
          <w:tab w:val="left" w:pos="3960"/>
        </w:tabs>
        <w:rPr>
          <w:rFonts w:cs="Arial"/>
          <w:bCs/>
          <w:color w:val="auto"/>
          <w:sz w:val="20"/>
          <w:szCs w:val="20"/>
          <w:lang w:val="en-ZA" w:eastAsia="en-ZA"/>
        </w:rPr>
      </w:pPr>
      <w:r w:rsidRPr="00CE42F2">
        <w:rPr>
          <w:rFonts w:cs="Arial"/>
          <w:bCs/>
          <w:color w:val="auto"/>
          <w:sz w:val="20"/>
          <w:szCs w:val="20"/>
          <w:lang w:val="en-ZA" w:eastAsia="en-ZA"/>
        </w:rPr>
        <w:t xml:space="preserve">Table 1 below gives the department’s medium term allocations with the real and nominal increase over the current financial year. </w:t>
      </w:r>
    </w:p>
    <w:p w:rsidR="00803979" w:rsidRPr="00CE42F2" w:rsidRDefault="00803979" w:rsidP="00CE42F2">
      <w:pPr>
        <w:tabs>
          <w:tab w:val="left" w:pos="3960"/>
        </w:tabs>
        <w:rPr>
          <w:rFonts w:cs="Arial"/>
          <w:b/>
          <w:bCs/>
          <w:color w:val="auto"/>
          <w:sz w:val="20"/>
          <w:szCs w:val="20"/>
        </w:rPr>
      </w:pPr>
    </w:p>
    <w:p w:rsidR="00E55648" w:rsidRPr="00CE42F2" w:rsidRDefault="00E55648" w:rsidP="00CE42F2">
      <w:pPr>
        <w:rPr>
          <w:rFonts w:eastAsia="Calibri" w:cs="Arial"/>
          <w:b/>
          <w:bCs/>
          <w:color w:val="auto"/>
          <w:spacing w:val="0"/>
          <w:sz w:val="20"/>
          <w:szCs w:val="20"/>
          <w:lang w:val="en-ZA" w:eastAsia="en-US"/>
        </w:rPr>
      </w:pPr>
      <w:r w:rsidRPr="00CE42F2">
        <w:rPr>
          <w:rFonts w:eastAsia="Calibri" w:cs="Arial"/>
          <w:b/>
          <w:bCs/>
          <w:color w:val="auto"/>
          <w:spacing w:val="0"/>
          <w:sz w:val="20"/>
          <w:szCs w:val="20"/>
          <w:lang w:val="en-ZA" w:eastAsia="en-US"/>
        </w:rPr>
        <w:t>Table 1. Estimate of Expenditure over the 2022 medium term</w:t>
      </w:r>
    </w:p>
    <w:tbl>
      <w:tblPr>
        <w:tblStyle w:val="TableGrid5"/>
        <w:tblW w:w="10991" w:type="dxa"/>
        <w:tblInd w:w="-856" w:type="dxa"/>
        <w:tblLook w:val="04A0"/>
      </w:tblPr>
      <w:tblGrid>
        <w:gridCol w:w="1985"/>
        <w:gridCol w:w="1009"/>
        <w:gridCol w:w="976"/>
        <w:gridCol w:w="939"/>
        <w:gridCol w:w="939"/>
        <w:gridCol w:w="1210"/>
        <w:gridCol w:w="6"/>
        <w:gridCol w:w="1128"/>
        <w:gridCol w:w="6"/>
        <w:gridCol w:w="1489"/>
        <w:gridCol w:w="1481"/>
      </w:tblGrid>
      <w:tr w:rsidR="00E55648" w:rsidRPr="00CE42F2" w:rsidTr="00E02DCB">
        <w:trPr>
          <w:trHeight w:val="780"/>
        </w:trPr>
        <w:tc>
          <w:tcPr>
            <w:tcW w:w="1985" w:type="dxa"/>
            <w:noWrap/>
            <w:vAlign w:val="center"/>
            <w:hideMark/>
          </w:tcPr>
          <w:p w:rsidR="00E55648" w:rsidRPr="00CE42F2" w:rsidRDefault="00E55648" w:rsidP="00CE42F2">
            <w:pPr>
              <w:rPr>
                <w:rFonts w:cs="Arial"/>
                <w:b/>
                <w:bCs/>
                <w:color w:val="auto"/>
                <w:spacing w:val="0"/>
                <w:sz w:val="20"/>
                <w:szCs w:val="20"/>
                <w:lang w:val="en-ZA" w:eastAsia="en-US"/>
              </w:rPr>
            </w:pPr>
            <w:r w:rsidRPr="00CE42F2">
              <w:rPr>
                <w:rFonts w:cs="Arial"/>
                <w:b/>
                <w:bCs/>
                <w:color w:val="auto"/>
                <w:spacing w:val="0"/>
                <w:sz w:val="20"/>
                <w:szCs w:val="20"/>
                <w:lang w:val="en-ZA" w:eastAsia="en-US"/>
              </w:rPr>
              <w:t>Programme</w:t>
            </w:r>
          </w:p>
        </w:tc>
        <w:tc>
          <w:tcPr>
            <w:tcW w:w="3686" w:type="dxa"/>
            <w:gridSpan w:val="4"/>
            <w:vAlign w:val="center"/>
            <w:hideMark/>
          </w:tcPr>
          <w:p w:rsidR="00E55648" w:rsidRPr="00CE42F2" w:rsidRDefault="00E55648" w:rsidP="00CE42F2">
            <w:pPr>
              <w:rPr>
                <w:rFonts w:cs="Arial"/>
                <w:b/>
                <w:bCs/>
                <w:color w:val="auto"/>
                <w:spacing w:val="0"/>
                <w:sz w:val="20"/>
                <w:szCs w:val="20"/>
                <w:lang w:val="en-ZA" w:eastAsia="en-US"/>
              </w:rPr>
            </w:pPr>
            <w:r w:rsidRPr="00CE42F2">
              <w:rPr>
                <w:rFonts w:cs="Arial"/>
                <w:b/>
                <w:bCs/>
                <w:color w:val="auto"/>
                <w:spacing w:val="0"/>
                <w:sz w:val="20"/>
                <w:szCs w:val="20"/>
                <w:lang w:val="en-ZA" w:eastAsia="en-US"/>
              </w:rPr>
              <w:t>Budget</w:t>
            </w:r>
          </w:p>
        </w:tc>
        <w:tc>
          <w:tcPr>
            <w:tcW w:w="1216" w:type="dxa"/>
            <w:gridSpan w:val="2"/>
            <w:vAlign w:val="center"/>
            <w:hideMark/>
          </w:tcPr>
          <w:p w:rsidR="00E55648" w:rsidRPr="00CE42F2" w:rsidRDefault="00E55648" w:rsidP="00CE42F2">
            <w:pPr>
              <w:rPr>
                <w:rFonts w:cs="Arial"/>
                <w:b/>
                <w:bCs/>
                <w:color w:val="auto"/>
                <w:spacing w:val="0"/>
                <w:sz w:val="20"/>
                <w:szCs w:val="20"/>
                <w:lang w:val="en-ZA" w:eastAsia="en-US"/>
              </w:rPr>
            </w:pPr>
            <w:r w:rsidRPr="00CE42F2">
              <w:rPr>
                <w:rFonts w:cs="Arial"/>
                <w:b/>
                <w:bCs/>
                <w:color w:val="auto"/>
                <w:spacing w:val="0"/>
                <w:sz w:val="20"/>
                <w:szCs w:val="20"/>
                <w:lang w:val="en-ZA" w:eastAsia="en-US"/>
              </w:rPr>
              <w:t>Nominal Rand change</w:t>
            </w:r>
          </w:p>
        </w:tc>
        <w:tc>
          <w:tcPr>
            <w:tcW w:w="1134" w:type="dxa"/>
            <w:gridSpan w:val="2"/>
            <w:vAlign w:val="center"/>
            <w:hideMark/>
          </w:tcPr>
          <w:p w:rsidR="00E55648" w:rsidRPr="00CE42F2" w:rsidRDefault="00E55648" w:rsidP="00CE42F2">
            <w:pPr>
              <w:rPr>
                <w:rFonts w:cs="Arial"/>
                <w:b/>
                <w:bCs/>
                <w:color w:val="auto"/>
                <w:spacing w:val="0"/>
                <w:sz w:val="20"/>
                <w:szCs w:val="20"/>
                <w:lang w:val="en-ZA" w:eastAsia="en-US"/>
              </w:rPr>
            </w:pPr>
            <w:r w:rsidRPr="00CE42F2">
              <w:rPr>
                <w:rFonts w:cs="Arial"/>
                <w:b/>
                <w:bCs/>
                <w:color w:val="auto"/>
                <w:spacing w:val="0"/>
                <w:sz w:val="20"/>
                <w:szCs w:val="20"/>
                <w:lang w:val="en-ZA" w:eastAsia="en-US"/>
              </w:rPr>
              <w:t>Real Rand change</w:t>
            </w:r>
          </w:p>
        </w:tc>
        <w:tc>
          <w:tcPr>
            <w:tcW w:w="1489" w:type="dxa"/>
            <w:vAlign w:val="center"/>
            <w:hideMark/>
          </w:tcPr>
          <w:p w:rsidR="00E55648" w:rsidRPr="00CE42F2" w:rsidRDefault="00E55648" w:rsidP="00CE42F2">
            <w:pPr>
              <w:rPr>
                <w:rFonts w:cs="Arial"/>
                <w:b/>
                <w:bCs/>
                <w:color w:val="auto"/>
                <w:spacing w:val="0"/>
                <w:sz w:val="20"/>
                <w:szCs w:val="20"/>
                <w:lang w:val="en-ZA" w:eastAsia="en-US"/>
              </w:rPr>
            </w:pPr>
            <w:r w:rsidRPr="00CE42F2">
              <w:rPr>
                <w:rFonts w:cs="Arial"/>
                <w:b/>
                <w:bCs/>
                <w:color w:val="auto"/>
                <w:spacing w:val="0"/>
                <w:sz w:val="20"/>
                <w:szCs w:val="20"/>
                <w:lang w:val="en-ZA" w:eastAsia="en-US"/>
              </w:rPr>
              <w:t>Nominal % change</w:t>
            </w:r>
          </w:p>
        </w:tc>
        <w:tc>
          <w:tcPr>
            <w:tcW w:w="1481" w:type="dxa"/>
            <w:vAlign w:val="center"/>
            <w:hideMark/>
          </w:tcPr>
          <w:p w:rsidR="00E55648" w:rsidRPr="00CE42F2" w:rsidRDefault="00E55648" w:rsidP="00CE42F2">
            <w:pPr>
              <w:rPr>
                <w:rFonts w:cs="Arial"/>
                <w:b/>
                <w:bCs/>
                <w:color w:val="auto"/>
                <w:spacing w:val="0"/>
                <w:sz w:val="20"/>
                <w:szCs w:val="20"/>
                <w:lang w:val="en-ZA" w:eastAsia="en-US"/>
              </w:rPr>
            </w:pPr>
            <w:r w:rsidRPr="00CE42F2">
              <w:rPr>
                <w:rFonts w:cs="Arial"/>
                <w:b/>
                <w:bCs/>
                <w:color w:val="auto"/>
                <w:spacing w:val="0"/>
                <w:sz w:val="20"/>
                <w:szCs w:val="20"/>
                <w:lang w:val="en-ZA" w:eastAsia="en-US"/>
              </w:rPr>
              <w:t>Real % change</w:t>
            </w:r>
          </w:p>
        </w:tc>
      </w:tr>
      <w:tr w:rsidR="00E55648" w:rsidRPr="00CE42F2" w:rsidTr="00E02DCB">
        <w:trPr>
          <w:trHeight w:val="264"/>
        </w:trPr>
        <w:tc>
          <w:tcPr>
            <w:tcW w:w="1985" w:type="dxa"/>
            <w:noWrap/>
            <w:vAlign w:val="center"/>
            <w:hideMark/>
          </w:tcPr>
          <w:p w:rsidR="00E55648" w:rsidRPr="00CE42F2" w:rsidRDefault="00E55648" w:rsidP="00CE42F2">
            <w:pPr>
              <w:rPr>
                <w:rFonts w:cs="Arial"/>
                <w:b/>
                <w:bCs/>
                <w:color w:val="auto"/>
                <w:spacing w:val="0"/>
                <w:sz w:val="20"/>
                <w:szCs w:val="20"/>
                <w:lang w:val="en-ZA" w:eastAsia="en-US"/>
              </w:rPr>
            </w:pPr>
            <w:r w:rsidRPr="00CE42F2">
              <w:rPr>
                <w:rFonts w:cs="Arial"/>
                <w:b/>
                <w:bCs/>
                <w:color w:val="auto"/>
                <w:spacing w:val="0"/>
                <w:sz w:val="20"/>
                <w:szCs w:val="20"/>
                <w:lang w:val="en-ZA" w:eastAsia="en-US"/>
              </w:rPr>
              <w:t>R million</w:t>
            </w:r>
          </w:p>
        </w:tc>
        <w:tc>
          <w:tcPr>
            <w:tcW w:w="1009" w:type="dxa"/>
            <w:noWrap/>
            <w:vAlign w:val="center"/>
            <w:hideMark/>
          </w:tcPr>
          <w:p w:rsidR="00E55648" w:rsidRPr="00CE42F2" w:rsidRDefault="00E55648" w:rsidP="00CE42F2">
            <w:pPr>
              <w:rPr>
                <w:rFonts w:cs="Arial"/>
                <w:b/>
                <w:bCs/>
                <w:color w:val="auto"/>
                <w:spacing w:val="0"/>
                <w:sz w:val="20"/>
                <w:szCs w:val="20"/>
                <w:lang w:val="en-ZA" w:eastAsia="en-US"/>
              </w:rPr>
            </w:pPr>
            <w:r w:rsidRPr="00CE42F2">
              <w:rPr>
                <w:rFonts w:cs="Arial"/>
                <w:b/>
                <w:bCs/>
                <w:color w:val="auto"/>
                <w:spacing w:val="0"/>
                <w:sz w:val="20"/>
                <w:szCs w:val="20"/>
                <w:lang w:val="en-ZA" w:eastAsia="en-US"/>
              </w:rPr>
              <w:t>2021/22</w:t>
            </w:r>
          </w:p>
        </w:tc>
        <w:tc>
          <w:tcPr>
            <w:tcW w:w="976" w:type="dxa"/>
            <w:noWrap/>
            <w:vAlign w:val="center"/>
            <w:hideMark/>
          </w:tcPr>
          <w:p w:rsidR="00E55648" w:rsidRPr="00CE42F2" w:rsidRDefault="00E55648" w:rsidP="00CE42F2">
            <w:pPr>
              <w:rPr>
                <w:rFonts w:cs="Arial"/>
                <w:b/>
                <w:bCs/>
                <w:color w:val="auto"/>
                <w:spacing w:val="0"/>
                <w:sz w:val="20"/>
                <w:szCs w:val="20"/>
                <w:lang w:val="en-ZA" w:eastAsia="en-US"/>
              </w:rPr>
            </w:pPr>
            <w:r w:rsidRPr="00CE42F2">
              <w:rPr>
                <w:rFonts w:cs="Arial"/>
                <w:b/>
                <w:bCs/>
                <w:color w:val="auto"/>
                <w:spacing w:val="0"/>
                <w:sz w:val="20"/>
                <w:szCs w:val="20"/>
                <w:lang w:val="en-ZA" w:eastAsia="en-US"/>
              </w:rPr>
              <w:t>2022/23</w:t>
            </w:r>
          </w:p>
        </w:tc>
        <w:tc>
          <w:tcPr>
            <w:tcW w:w="867" w:type="dxa"/>
            <w:noWrap/>
            <w:vAlign w:val="center"/>
            <w:hideMark/>
          </w:tcPr>
          <w:p w:rsidR="00E55648" w:rsidRPr="00CE42F2" w:rsidRDefault="00E55648" w:rsidP="00CE42F2">
            <w:pPr>
              <w:rPr>
                <w:rFonts w:cs="Arial"/>
                <w:b/>
                <w:bCs/>
                <w:color w:val="auto"/>
                <w:spacing w:val="0"/>
                <w:sz w:val="20"/>
                <w:szCs w:val="20"/>
                <w:lang w:val="en-ZA" w:eastAsia="en-US"/>
              </w:rPr>
            </w:pPr>
            <w:r w:rsidRPr="00CE42F2">
              <w:rPr>
                <w:rFonts w:cs="Arial"/>
                <w:b/>
                <w:bCs/>
                <w:color w:val="auto"/>
                <w:spacing w:val="0"/>
                <w:sz w:val="20"/>
                <w:szCs w:val="20"/>
                <w:lang w:val="en-ZA" w:eastAsia="en-US"/>
              </w:rPr>
              <w:t>2023/24</w:t>
            </w:r>
          </w:p>
        </w:tc>
        <w:tc>
          <w:tcPr>
            <w:tcW w:w="834" w:type="dxa"/>
            <w:noWrap/>
            <w:vAlign w:val="bottom"/>
            <w:hideMark/>
          </w:tcPr>
          <w:p w:rsidR="00E55648" w:rsidRPr="00CE42F2" w:rsidRDefault="00E55648" w:rsidP="00CE42F2">
            <w:pPr>
              <w:rPr>
                <w:rFonts w:cs="Arial"/>
                <w:b/>
                <w:bCs/>
                <w:color w:val="auto"/>
                <w:spacing w:val="0"/>
                <w:sz w:val="20"/>
                <w:szCs w:val="20"/>
                <w:lang w:val="en-ZA" w:eastAsia="en-US"/>
              </w:rPr>
            </w:pPr>
            <w:r w:rsidRPr="00CE42F2">
              <w:rPr>
                <w:rFonts w:cs="Arial"/>
                <w:b/>
                <w:bCs/>
                <w:color w:val="auto"/>
                <w:spacing w:val="0"/>
                <w:sz w:val="20"/>
                <w:szCs w:val="20"/>
                <w:lang w:val="en-ZA" w:eastAsia="en-US"/>
              </w:rPr>
              <w:t>2024/25</w:t>
            </w:r>
          </w:p>
        </w:tc>
        <w:tc>
          <w:tcPr>
            <w:tcW w:w="2344" w:type="dxa"/>
            <w:gridSpan w:val="3"/>
            <w:noWrap/>
            <w:vAlign w:val="center"/>
            <w:hideMark/>
          </w:tcPr>
          <w:p w:rsidR="00E55648" w:rsidRPr="00CE42F2" w:rsidRDefault="00E55648" w:rsidP="00CE42F2">
            <w:pPr>
              <w:rPr>
                <w:rFonts w:cs="Arial"/>
                <w:b/>
                <w:bCs/>
                <w:color w:val="auto"/>
                <w:spacing w:val="0"/>
                <w:sz w:val="20"/>
                <w:szCs w:val="20"/>
                <w:lang w:val="en-ZA" w:eastAsia="en-US"/>
              </w:rPr>
            </w:pPr>
            <w:r w:rsidRPr="00CE42F2">
              <w:rPr>
                <w:rFonts w:cs="Arial"/>
                <w:b/>
                <w:bCs/>
                <w:color w:val="auto"/>
                <w:spacing w:val="0"/>
                <w:sz w:val="20"/>
                <w:szCs w:val="20"/>
                <w:lang w:val="en-ZA" w:eastAsia="en-US"/>
              </w:rPr>
              <w:t>2021/22-2022/23</w:t>
            </w:r>
          </w:p>
        </w:tc>
        <w:tc>
          <w:tcPr>
            <w:tcW w:w="2976" w:type="dxa"/>
            <w:gridSpan w:val="3"/>
            <w:noWrap/>
            <w:vAlign w:val="center"/>
            <w:hideMark/>
          </w:tcPr>
          <w:p w:rsidR="00E55648" w:rsidRPr="00CE42F2" w:rsidRDefault="00E55648" w:rsidP="00CE42F2">
            <w:pPr>
              <w:rPr>
                <w:rFonts w:cs="Arial"/>
                <w:b/>
                <w:bCs/>
                <w:color w:val="auto"/>
                <w:spacing w:val="0"/>
                <w:sz w:val="20"/>
                <w:szCs w:val="20"/>
                <w:lang w:val="en-ZA" w:eastAsia="en-US"/>
              </w:rPr>
            </w:pPr>
            <w:r w:rsidRPr="00CE42F2">
              <w:rPr>
                <w:rFonts w:cs="Arial"/>
                <w:b/>
                <w:bCs/>
                <w:color w:val="auto"/>
                <w:spacing w:val="0"/>
                <w:sz w:val="20"/>
                <w:szCs w:val="20"/>
                <w:lang w:val="en-ZA" w:eastAsia="en-US"/>
              </w:rPr>
              <w:t>2021/22-2022/23</w:t>
            </w:r>
          </w:p>
        </w:tc>
      </w:tr>
      <w:tr w:rsidR="00E55648" w:rsidRPr="00CE42F2" w:rsidTr="00E02DCB">
        <w:trPr>
          <w:trHeight w:val="264"/>
        </w:trPr>
        <w:tc>
          <w:tcPr>
            <w:tcW w:w="1985" w:type="dxa"/>
            <w:vAlign w:val="center"/>
            <w:hideMark/>
          </w:tcPr>
          <w:p w:rsidR="00E55648" w:rsidRPr="00CE42F2" w:rsidRDefault="00E55648" w:rsidP="00CE42F2">
            <w:pPr>
              <w:rPr>
                <w:rFonts w:cs="Arial"/>
                <w:b/>
                <w:bCs/>
                <w:color w:val="auto"/>
                <w:spacing w:val="0"/>
                <w:sz w:val="20"/>
                <w:szCs w:val="20"/>
                <w:lang w:val="en-ZA" w:eastAsia="en-US"/>
              </w:rPr>
            </w:pPr>
            <w:r w:rsidRPr="00CE42F2">
              <w:rPr>
                <w:rFonts w:cs="Arial"/>
                <w:b/>
                <w:bCs/>
                <w:color w:val="auto"/>
                <w:spacing w:val="0"/>
                <w:sz w:val="20"/>
                <w:szCs w:val="20"/>
                <w:lang w:val="en-ZA" w:eastAsia="en-US"/>
              </w:rPr>
              <w:t>Programme 1: Administration</w:t>
            </w:r>
          </w:p>
        </w:tc>
        <w:tc>
          <w:tcPr>
            <w:tcW w:w="1009" w:type="dxa"/>
            <w:noWrap/>
            <w:vAlign w:val="center"/>
            <w:hideMark/>
          </w:tcPr>
          <w:p w:rsidR="00E55648" w:rsidRPr="00CE42F2" w:rsidRDefault="00E55648" w:rsidP="00CE42F2">
            <w:pPr>
              <w:rPr>
                <w:rFonts w:cs="Arial"/>
                <w:bCs/>
                <w:color w:val="auto"/>
                <w:spacing w:val="0"/>
                <w:sz w:val="20"/>
                <w:szCs w:val="20"/>
                <w:lang w:val="en-ZA" w:eastAsia="en-US"/>
              </w:rPr>
            </w:pPr>
            <w:r w:rsidRPr="00CE42F2">
              <w:rPr>
                <w:rFonts w:cs="Arial"/>
                <w:color w:val="auto"/>
                <w:spacing w:val="0"/>
                <w:sz w:val="20"/>
                <w:szCs w:val="20"/>
                <w:lang w:val="en-ZA" w:eastAsia="en-US"/>
              </w:rPr>
              <w:t xml:space="preserve">  150,1</w:t>
            </w:r>
          </w:p>
        </w:tc>
        <w:tc>
          <w:tcPr>
            <w:tcW w:w="976" w:type="dxa"/>
            <w:noWrap/>
            <w:vAlign w:val="center"/>
            <w:hideMark/>
          </w:tcPr>
          <w:p w:rsidR="00E55648" w:rsidRPr="00CE42F2" w:rsidRDefault="00E55648" w:rsidP="00CE42F2">
            <w:pPr>
              <w:rPr>
                <w:rFonts w:cs="Arial"/>
                <w:bCs/>
                <w:color w:val="auto"/>
                <w:spacing w:val="0"/>
                <w:sz w:val="20"/>
                <w:szCs w:val="20"/>
                <w:lang w:val="en-ZA" w:eastAsia="en-US"/>
              </w:rPr>
            </w:pPr>
            <w:r w:rsidRPr="00CE42F2">
              <w:rPr>
                <w:rFonts w:cs="Arial"/>
                <w:color w:val="auto"/>
                <w:spacing w:val="0"/>
                <w:sz w:val="20"/>
                <w:szCs w:val="20"/>
                <w:lang w:val="en-ZA" w:eastAsia="en-US"/>
              </w:rPr>
              <w:t xml:space="preserve">  166,3</w:t>
            </w:r>
          </w:p>
        </w:tc>
        <w:tc>
          <w:tcPr>
            <w:tcW w:w="867" w:type="dxa"/>
            <w:noWrap/>
            <w:vAlign w:val="center"/>
            <w:hideMark/>
          </w:tcPr>
          <w:p w:rsidR="00E55648" w:rsidRPr="00CE42F2" w:rsidRDefault="00E55648" w:rsidP="00CE42F2">
            <w:pPr>
              <w:rPr>
                <w:rFonts w:cs="Arial"/>
                <w:bCs/>
                <w:color w:val="auto"/>
                <w:spacing w:val="0"/>
                <w:sz w:val="20"/>
                <w:szCs w:val="20"/>
                <w:lang w:val="en-ZA" w:eastAsia="en-US"/>
              </w:rPr>
            </w:pPr>
            <w:r w:rsidRPr="00CE42F2">
              <w:rPr>
                <w:rFonts w:cs="Arial"/>
                <w:color w:val="auto"/>
                <w:spacing w:val="0"/>
                <w:sz w:val="20"/>
                <w:szCs w:val="20"/>
                <w:lang w:val="en-ZA" w:eastAsia="en-US"/>
              </w:rPr>
              <w:t xml:space="preserve">  168,7</w:t>
            </w:r>
          </w:p>
        </w:tc>
        <w:tc>
          <w:tcPr>
            <w:tcW w:w="834" w:type="dxa"/>
            <w:noWrap/>
            <w:vAlign w:val="center"/>
            <w:hideMark/>
          </w:tcPr>
          <w:p w:rsidR="00E55648" w:rsidRPr="00CE42F2" w:rsidRDefault="00E55648" w:rsidP="00CE42F2">
            <w:pPr>
              <w:rPr>
                <w:rFonts w:cs="Arial"/>
                <w:bCs/>
                <w:color w:val="auto"/>
                <w:spacing w:val="0"/>
                <w:sz w:val="20"/>
                <w:szCs w:val="20"/>
                <w:lang w:val="en-ZA" w:eastAsia="en-US"/>
              </w:rPr>
            </w:pPr>
            <w:r w:rsidRPr="00CE42F2">
              <w:rPr>
                <w:rFonts w:cs="Arial"/>
                <w:color w:val="auto"/>
                <w:spacing w:val="0"/>
                <w:sz w:val="20"/>
                <w:szCs w:val="20"/>
                <w:lang w:val="en-ZA" w:eastAsia="en-US"/>
              </w:rPr>
              <w:t xml:space="preserve">  176,2</w:t>
            </w:r>
          </w:p>
        </w:tc>
        <w:tc>
          <w:tcPr>
            <w:tcW w:w="1210" w:type="dxa"/>
            <w:noWrap/>
            <w:vAlign w:val="center"/>
            <w:hideMark/>
          </w:tcPr>
          <w:p w:rsidR="00E55648" w:rsidRPr="00CE42F2" w:rsidRDefault="00E55648" w:rsidP="00CE42F2">
            <w:pPr>
              <w:rPr>
                <w:rFonts w:cs="Arial"/>
                <w:bCs/>
                <w:color w:val="auto"/>
                <w:spacing w:val="0"/>
                <w:sz w:val="20"/>
                <w:szCs w:val="20"/>
                <w:lang w:val="en-ZA" w:eastAsia="en-US"/>
              </w:rPr>
            </w:pPr>
            <w:r w:rsidRPr="00CE42F2">
              <w:rPr>
                <w:rFonts w:cs="Arial"/>
                <w:color w:val="auto"/>
                <w:spacing w:val="0"/>
                <w:sz w:val="20"/>
                <w:szCs w:val="20"/>
                <w:lang w:val="en-ZA" w:eastAsia="en-US"/>
              </w:rPr>
              <w:t xml:space="preserve">  16,2</w:t>
            </w:r>
          </w:p>
        </w:tc>
        <w:tc>
          <w:tcPr>
            <w:tcW w:w="1134" w:type="dxa"/>
            <w:gridSpan w:val="2"/>
            <w:noWrap/>
            <w:vAlign w:val="center"/>
            <w:hideMark/>
          </w:tcPr>
          <w:p w:rsidR="00E55648" w:rsidRPr="00CE42F2" w:rsidRDefault="00E55648" w:rsidP="00CE42F2">
            <w:pPr>
              <w:rPr>
                <w:rFonts w:cs="Arial"/>
                <w:bCs/>
                <w:color w:val="auto"/>
                <w:spacing w:val="0"/>
                <w:sz w:val="20"/>
                <w:szCs w:val="20"/>
                <w:lang w:val="en-ZA" w:eastAsia="en-US"/>
              </w:rPr>
            </w:pPr>
            <w:r w:rsidRPr="00CE42F2">
              <w:rPr>
                <w:rFonts w:cs="Arial"/>
                <w:color w:val="auto"/>
                <w:spacing w:val="0"/>
                <w:sz w:val="20"/>
                <w:szCs w:val="20"/>
                <w:lang w:val="en-ZA" w:eastAsia="en-US"/>
              </w:rPr>
              <w:t xml:space="preserve">  9,0</w:t>
            </w:r>
          </w:p>
        </w:tc>
        <w:tc>
          <w:tcPr>
            <w:tcW w:w="1495" w:type="dxa"/>
            <w:gridSpan w:val="2"/>
            <w:noWrap/>
            <w:vAlign w:val="center"/>
            <w:hideMark/>
          </w:tcPr>
          <w:p w:rsidR="00E55648" w:rsidRPr="00CE42F2" w:rsidRDefault="00E55648" w:rsidP="00CE42F2">
            <w:pPr>
              <w:rPr>
                <w:rFonts w:cs="Arial"/>
                <w:bCs/>
                <w:color w:val="auto"/>
                <w:spacing w:val="0"/>
                <w:sz w:val="20"/>
                <w:szCs w:val="20"/>
                <w:lang w:val="en-ZA" w:eastAsia="en-US"/>
              </w:rPr>
            </w:pPr>
            <w:r w:rsidRPr="00CE42F2">
              <w:rPr>
                <w:rFonts w:cs="Arial"/>
                <w:color w:val="auto"/>
                <w:spacing w:val="0"/>
                <w:sz w:val="20"/>
                <w:szCs w:val="20"/>
                <w:lang w:val="en-ZA" w:eastAsia="en-US"/>
              </w:rPr>
              <w:t>10,79 per cent</w:t>
            </w:r>
          </w:p>
        </w:tc>
        <w:tc>
          <w:tcPr>
            <w:tcW w:w="1481" w:type="dxa"/>
            <w:noWrap/>
            <w:vAlign w:val="center"/>
            <w:hideMark/>
          </w:tcPr>
          <w:p w:rsidR="00E55648" w:rsidRPr="00CE42F2" w:rsidRDefault="00E55648" w:rsidP="00CE42F2">
            <w:pPr>
              <w:rPr>
                <w:rFonts w:cs="Arial"/>
                <w:bCs/>
                <w:color w:val="auto"/>
                <w:spacing w:val="0"/>
                <w:sz w:val="20"/>
                <w:szCs w:val="20"/>
                <w:lang w:val="en-ZA" w:eastAsia="en-US"/>
              </w:rPr>
            </w:pPr>
            <w:r w:rsidRPr="00CE42F2">
              <w:rPr>
                <w:rFonts w:cs="Arial"/>
                <w:color w:val="auto"/>
                <w:spacing w:val="0"/>
                <w:sz w:val="20"/>
                <w:szCs w:val="20"/>
                <w:lang w:val="en-ZA" w:eastAsia="en-US"/>
              </w:rPr>
              <w:t>6,02 per cent</w:t>
            </w:r>
          </w:p>
        </w:tc>
      </w:tr>
      <w:tr w:rsidR="00E55648" w:rsidRPr="00CE42F2" w:rsidTr="00E02DCB">
        <w:trPr>
          <w:trHeight w:val="624"/>
        </w:trPr>
        <w:tc>
          <w:tcPr>
            <w:tcW w:w="1985" w:type="dxa"/>
            <w:vAlign w:val="center"/>
            <w:hideMark/>
          </w:tcPr>
          <w:p w:rsidR="00E55648" w:rsidRPr="00CE42F2" w:rsidRDefault="00E55648" w:rsidP="00CE42F2">
            <w:pPr>
              <w:rPr>
                <w:rFonts w:cs="Arial"/>
                <w:b/>
                <w:bCs/>
                <w:color w:val="auto"/>
                <w:spacing w:val="0"/>
                <w:sz w:val="20"/>
                <w:szCs w:val="20"/>
                <w:lang w:val="en-ZA" w:eastAsia="en-US"/>
              </w:rPr>
            </w:pPr>
            <w:r w:rsidRPr="00CE42F2">
              <w:rPr>
                <w:rFonts w:cs="Arial"/>
                <w:b/>
                <w:bCs/>
                <w:color w:val="auto"/>
                <w:spacing w:val="0"/>
                <w:sz w:val="20"/>
                <w:szCs w:val="20"/>
                <w:lang w:val="en-ZA" w:eastAsia="en-US"/>
              </w:rPr>
              <w:t>Programme 2: State-Owned Companies Governance Assurance and Performance</w:t>
            </w:r>
          </w:p>
        </w:tc>
        <w:tc>
          <w:tcPr>
            <w:tcW w:w="1009" w:type="dxa"/>
            <w:noWrap/>
            <w:vAlign w:val="center"/>
            <w:hideMark/>
          </w:tcPr>
          <w:p w:rsidR="00E55648" w:rsidRPr="00CE42F2" w:rsidRDefault="00E55648" w:rsidP="00CE42F2">
            <w:pPr>
              <w:rPr>
                <w:rFonts w:cs="Arial"/>
                <w:bCs/>
                <w:color w:val="auto"/>
                <w:spacing w:val="0"/>
                <w:sz w:val="20"/>
                <w:szCs w:val="20"/>
                <w:lang w:val="en-ZA" w:eastAsia="en-US"/>
              </w:rPr>
            </w:pPr>
            <w:r w:rsidRPr="00CE42F2">
              <w:rPr>
                <w:rFonts w:cs="Arial"/>
                <w:color w:val="auto"/>
                <w:spacing w:val="0"/>
                <w:sz w:val="20"/>
                <w:szCs w:val="20"/>
                <w:lang w:val="en-ZA" w:eastAsia="en-US"/>
              </w:rPr>
              <w:t xml:space="preserve">  59,9</w:t>
            </w:r>
          </w:p>
        </w:tc>
        <w:tc>
          <w:tcPr>
            <w:tcW w:w="976" w:type="dxa"/>
            <w:noWrap/>
            <w:vAlign w:val="center"/>
            <w:hideMark/>
          </w:tcPr>
          <w:p w:rsidR="00E55648" w:rsidRPr="00CE42F2" w:rsidRDefault="00E55648" w:rsidP="00CE42F2">
            <w:pPr>
              <w:rPr>
                <w:rFonts w:cs="Arial"/>
                <w:bCs/>
                <w:color w:val="auto"/>
                <w:spacing w:val="0"/>
                <w:sz w:val="20"/>
                <w:szCs w:val="20"/>
                <w:lang w:val="en-ZA" w:eastAsia="en-US"/>
              </w:rPr>
            </w:pPr>
            <w:r w:rsidRPr="00CE42F2">
              <w:rPr>
                <w:rFonts w:cs="Arial"/>
                <w:color w:val="auto"/>
                <w:spacing w:val="0"/>
                <w:sz w:val="20"/>
                <w:szCs w:val="20"/>
                <w:lang w:val="en-ZA" w:eastAsia="en-US"/>
              </w:rPr>
              <w:t xml:space="preserve">  60,7</w:t>
            </w:r>
          </w:p>
        </w:tc>
        <w:tc>
          <w:tcPr>
            <w:tcW w:w="867" w:type="dxa"/>
            <w:noWrap/>
            <w:vAlign w:val="center"/>
            <w:hideMark/>
          </w:tcPr>
          <w:p w:rsidR="00E55648" w:rsidRPr="00CE42F2" w:rsidRDefault="00E55648" w:rsidP="00CE42F2">
            <w:pPr>
              <w:rPr>
                <w:rFonts w:cs="Arial"/>
                <w:bCs/>
                <w:color w:val="auto"/>
                <w:spacing w:val="0"/>
                <w:sz w:val="20"/>
                <w:szCs w:val="20"/>
                <w:lang w:val="en-ZA" w:eastAsia="en-US"/>
              </w:rPr>
            </w:pPr>
            <w:r w:rsidRPr="00CE42F2">
              <w:rPr>
                <w:rFonts w:cs="Arial"/>
                <w:color w:val="auto"/>
                <w:spacing w:val="0"/>
                <w:sz w:val="20"/>
                <w:szCs w:val="20"/>
                <w:lang w:val="en-ZA" w:eastAsia="en-US"/>
              </w:rPr>
              <w:t xml:space="preserve">  65,6</w:t>
            </w:r>
          </w:p>
        </w:tc>
        <w:tc>
          <w:tcPr>
            <w:tcW w:w="834" w:type="dxa"/>
            <w:noWrap/>
            <w:vAlign w:val="center"/>
            <w:hideMark/>
          </w:tcPr>
          <w:p w:rsidR="00E55648" w:rsidRPr="00CE42F2" w:rsidRDefault="00E55648" w:rsidP="00CE42F2">
            <w:pPr>
              <w:rPr>
                <w:rFonts w:cs="Arial"/>
                <w:bCs/>
                <w:color w:val="auto"/>
                <w:spacing w:val="0"/>
                <w:sz w:val="20"/>
                <w:szCs w:val="20"/>
                <w:lang w:val="en-ZA" w:eastAsia="en-US"/>
              </w:rPr>
            </w:pPr>
            <w:r w:rsidRPr="00CE42F2">
              <w:rPr>
                <w:rFonts w:cs="Arial"/>
                <w:color w:val="auto"/>
                <w:spacing w:val="0"/>
                <w:sz w:val="20"/>
                <w:szCs w:val="20"/>
                <w:lang w:val="en-ZA" w:eastAsia="en-US"/>
              </w:rPr>
              <w:t xml:space="preserve">  68,6</w:t>
            </w:r>
          </w:p>
        </w:tc>
        <w:tc>
          <w:tcPr>
            <w:tcW w:w="1210" w:type="dxa"/>
            <w:noWrap/>
            <w:vAlign w:val="center"/>
            <w:hideMark/>
          </w:tcPr>
          <w:p w:rsidR="00E55648" w:rsidRPr="00CE42F2" w:rsidRDefault="00E55648" w:rsidP="00CE42F2">
            <w:pPr>
              <w:rPr>
                <w:rFonts w:cs="Arial"/>
                <w:bCs/>
                <w:color w:val="auto"/>
                <w:spacing w:val="0"/>
                <w:sz w:val="20"/>
                <w:szCs w:val="20"/>
                <w:lang w:val="en-ZA" w:eastAsia="en-US"/>
              </w:rPr>
            </w:pPr>
            <w:r w:rsidRPr="00CE42F2">
              <w:rPr>
                <w:rFonts w:cs="Arial"/>
                <w:color w:val="auto"/>
                <w:spacing w:val="0"/>
                <w:sz w:val="20"/>
                <w:szCs w:val="20"/>
                <w:lang w:val="en-ZA" w:eastAsia="en-US"/>
              </w:rPr>
              <w:t xml:space="preserve">  0,8</w:t>
            </w:r>
          </w:p>
        </w:tc>
        <w:tc>
          <w:tcPr>
            <w:tcW w:w="1134" w:type="dxa"/>
            <w:gridSpan w:val="2"/>
            <w:noWrap/>
            <w:vAlign w:val="center"/>
            <w:hideMark/>
          </w:tcPr>
          <w:p w:rsidR="00E55648" w:rsidRPr="00CE42F2" w:rsidRDefault="00E55648" w:rsidP="00CE42F2">
            <w:pPr>
              <w:rPr>
                <w:rFonts w:cs="Arial"/>
                <w:bCs/>
                <w:color w:val="auto"/>
                <w:spacing w:val="0"/>
                <w:sz w:val="20"/>
                <w:szCs w:val="20"/>
                <w:lang w:val="en-ZA" w:eastAsia="en-US"/>
              </w:rPr>
            </w:pPr>
            <w:r w:rsidRPr="00CE42F2">
              <w:rPr>
                <w:rFonts w:cs="Arial"/>
                <w:color w:val="auto"/>
                <w:spacing w:val="0"/>
                <w:sz w:val="20"/>
                <w:szCs w:val="20"/>
                <w:lang w:val="en-ZA" w:eastAsia="en-US"/>
              </w:rPr>
              <w:t>-  1,8</w:t>
            </w:r>
          </w:p>
        </w:tc>
        <w:tc>
          <w:tcPr>
            <w:tcW w:w="1495" w:type="dxa"/>
            <w:gridSpan w:val="2"/>
            <w:noWrap/>
            <w:vAlign w:val="center"/>
            <w:hideMark/>
          </w:tcPr>
          <w:p w:rsidR="00E55648" w:rsidRPr="00CE42F2" w:rsidRDefault="00E55648" w:rsidP="00CE42F2">
            <w:pPr>
              <w:rPr>
                <w:rFonts w:cs="Arial"/>
                <w:bCs/>
                <w:color w:val="auto"/>
                <w:spacing w:val="0"/>
                <w:sz w:val="20"/>
                <w:szCs w:val="20"/>
                <w:lang w:val="en-ZA" w:eastAsia="en-US"/>
              </w:rPr>
            </w:pPr>
            <w:r w:rsidRPr="00CE42F2">
              <w:rPr>
                <w:rFonts w:cs="Arial"/>
                <w:color w:val="auto"/>
                <w:spacing w:val="0"/>
                <w:sz w:val="20"/>
                <w:szCs w:val="20"/>
                <w:lang w:val="en-ZA" w:eastAsia="en-US"/>
              </w:rPr>
              <w:t>1,34 per cent</w:t>
            </w:r>
          </w:p>
        </w:tc>
        <w:tc>
          <w:tcPr>
            <w:tcW w:w="1481" w:type="dxa"/>
            <w:noWrap/>
            <w:vAlign w:val="center"/>
            <w:hideMark/>
          </w:tcPr>
          <w:p w:rsidR="00E55648" w:rsidRPr="00CE42F2" w:rsidRDefault="00E55648" w:rsidP="00CE42F2">
            <w:pPr>
              <w:rPr>
                <w:rFonts w:cs="Arial"/>
                <w:bCs/>
                <w:color w:val="auto"/>
                <w:spacing w:val="0"/>
                <w:sz w:val="20"/>
                <w:szCs w:val="20"/>
                <w:lang w:val="en-ZA" w:eastAsia="en-US"/>
              </w:rPr>
            </w:pPr>
            <w:r w:rsidRPr="00CE42F2">
              <w:rPr>
                <w:rFonts w:cs="Arial"/>
                <w:color w:val="auto"/>
                <w:spacing w:val="0"/>
                <w:sz w:val="20"/>
                <w:szCs w:val="20"/>
                <w:lang w:val="en-ZA" w:eastAsia="en-US"/>
              </w:rPr>
              <w:t>-3,03 per cent</w:t>
            </w:r>
          </w:p>
        </w:tc>
      </w:tr>
      <w:tr w:rsidR="00E55648" w:rsidRPr="00CE42F2" w:rsidTr="00E02DCB">
        <w:trPr>
          <w:trHeight w:val="624"/>
        </w:trPr>
        <w:tc>
          <w:tcPr>
            <w:tcW w:w="1985" w:type="dxa"/>
            <w:vAlign w:val="center"/>
            <w:hideMark/>
          </w:tcPr>
          <w:p w:rsidR="00E55648" w:rsidRPr="00CE42F2" w:rsidRDefault="00E55648" w:rsidP="00CE42F2">
            <w:pPr>
              <w:rPr>
                <w:rFonts w:cs="Arial"/>
                <w:b/>
                <w:bCs/>
                <w:color w:val="auto"/>
                <w:spacing w:val="0"/>
                <w:sz w:val="20"/>
                <w:szCs w:val="20"/>
                <w:lang w:val="en-ZA" w:eastAsia="en-US"/>
              </w:rPr>
            </w:pPr>
            <w:r w:rsidRPr="00CE42F2">
              <w:rPr>
                <w:rFonts w:cs="Arial"/>
                <w:b/>
                <w:bCs/>
                <w:color w:val="auto"/>
                <w:spacing w:val="0"/>
                <w:sz w:val="20"/>
                <w:szCs w:val="20"/>
                <w:lang w:val="en-ZA" w:eastAsia="en-US"/>
              </w:rPr>
              <w:t>Programme 3: Business Enhancement, Transformation and Industrialisation</w:t>
            </w:r>
          </w:p>
        </w:tc>
        <w:tc>
          <w:tcPr>
            <w:tcW w:w="1009" w:type="dxa"/>
            <w:noWrap/>
            <w:vAlign w:val="center"/>
            <w:hideMark/>
          </w:tcPr>
          <w:p w:rsidR="00E55648" w:rsidRPr="00CE42F2" w:rsidRDefault="00E55648" w:rsidP="00CE42F2">
            <w:pPr>
              <w:rPr>
                <w:rFonts w:cs="Arial"/>
                <w:bCs/>
                <w:color w:val="auto"/>
                <w:spacing w:val="0"/>
                <w:sz w:val="20"/>
                <w:szCs w:val="20"/>
                <w:lang w:val="en-ZA" w:eastAsia="en-US"/>
              </w:rPr>
            </w:pPr>
            <w:r w:rsidRPr="00CE42F2">
              <w:rPr>
                <w:rFonts w:cs="Arial"/>
                <w:color w:val="auto"/>
                <w:spacing w:val="0"/>
                <w:sz w:val="20"/>
                <w:szCs w:val="20"/>
                <w:lang w:val="en-ZA" w:eastAsia="en-US"/>
              </w:rPr>
              <w:t xml:space="preserve"> 36 064,8</w:t>
            </w:r>
          </w:p>
        </w:tc>
        <w:tc>
          <w:tcPr>
            <w:tcW w:w="976" w:type="dxa"/>
            <w:noWrap/>
            <w:vAlign w:val="center"/>
            <w:hideMark/>
          </w:tcPr>
          <w:p w:rsidR="00E55648" w:rsidRPr="00CE42F2" w:rsidRDefault="00E55648" w:rsidP="00CE42F2">
            <w:pPr>
              <w:rPr>
                <w:rFonts w:cs="Arial"/>
                <w:bCs/>
                <w:color w:val="auto"/>
                <w:spacing w:val="0"/>
                <w:sz w:val="20"/>
                <w:szCs w:val="20"/>
                <w:lang w:val="en-ZA" w:eastAsia="en-US"/>
              </w:rPr>
            </w:pPr>
            <w:r w:rsidRPr="00CE42F2">
              <w:rPr>
                <w:rFonts w:cs="Arial"/>
                <w:color w:val="auto"/>
                <w:spacing w:val="0"/>
                <w:sz w:val="20"/>
                <w:szCs w:val="20"/>
                <w:lang w:val="en-ZA" w:eastAsia="en-US"/>
              </w:rPr>
              <w:t xml:space="preserve"> 23 701,9</w:t>
            </w:r>
          </w:p>
        </w:tc>
        <w:tc>
          <w:tcPr>
            <w:tcW w:w="867" w:type="dxa"/>
            <w:noWrap/>
            <w:vAlign w:val="center"/>
            <w:hideMark/>
          </w:tcPr>
          <w:p w:rsidR="00E55648" w:rsidRPr="00CE42F2" w:rsidRDefault="00E55648" w:rsidP="00CE42F2">
            <w:pPr>
              <w:rPr>
                <w:rFonts w:cs="Arial"/>
                <w:bCs/>
                <w:color w:val="auto"/>
                <w:spacing w:val="0"/>
                <w:sz w:val="20"/>
                <w:szCs w:val="20"/>
                <w:lang w:val="en-ZA" w:eastAsia="en-US"/>
              </w:rPr>
            </w:pPr>
            <w:r w:rsidRPr="00CE42F2">
              <w:rPr>
                <w:rFonts w:cs="Arial"/>
                <w:color w:val="auto"/>
                <w:spacing w:val="0"/>
                <w:sz w:val="20"/>
                <w:szCs w:val="20"/>
                <w:lang w:val="en-ZA" w:eastAsia="en-US"/>
              </w:rPr>
              <w:t xml:space="preserve">  63,3</w:t>
            </w:r>
          </w:p>
        </w:tc>
        <w:tc>
          <w:tcPr>
            <w:tcW w:w="834" w:type="dxa"/>
            <w:noWrap/>
            <w:vAlign w:val="center"/>
            <w:hideMark/>
          </w:tcPr>
          <w:p w:rsidR="00E55648" w:rsidRPr="00CE42F2" w:rsidRDefault="00E55648" w:rsidP="00CE42F2">
            <w:pPr>
              <w:rPr>
                <w:rFonts w:cs="Arial"/>
                <w:bCs/>
                <w:color w:val="auto"/>
                <w:spacing w:val="0"/>
                <w:sz w:val="20"/>
                <w:szCs w:val="20"/>
                <w:lang w:val="en-ZA" w:eastAsia="en-US"/>
              </w:rPr>
            </w:pPr>
            <w:r w:rsidRPr="00CE42F2">
              <w:rPr>
                <w:rFonts w:cs="Arial"/>
                <w:color w:val="auto"/>
                <w:spacing w:val="0"/>
                <w:sz w:val="20"/>
                <w:szCs w:val="20"/>
                <w:lang w:val="en-ZA" w:eastAsia="en-US"/>
              </w:rPr>
              <w:t xml:space="preserve">  66,1</w:t>
            </w:r>
          </w:p>
        </w:tc>
        <w:tc>
          <w:tcPr>
            <w:tcW w:w="1210" w:type="dxa"/>
            <w:noWrap/>
            <w:vAlign w:val="center"/>
            <w:hideMark/>
          </w:tcPr>
          <w:p w:rsidR="00E55648" w:rsidRPr="00CE42F2" w:rsidRDefault="00E55648" w:rsidP="00CE42F2">
            <w:pPr>
              <w:rPr>
                <w:rFonts w:cs="Arial"/>
                <w:bCs/>
                <w:color w:val="auto"/>
                <w:spacing w:val="0"/>
                <w:sz w:val="20"/>
                <w:szCs w:val="20"/>
                <w:lang w:val="en-ZA" w:eastAsia="en-US"/>
              </w:rPr>
            </w:pPr>
            <w:r w:rsidRPr="00CE42F2">
              <w:rPr>
                <w:rFonts w:cs="Arial"/>
                <w:color w:val="auto"/>
                <w:spacing w:val="0"/>
                <w:sz w:val="20"/>
                <w:szCs w:val="20"/>
                <w:lang w:val="en-ZA" w:eastAsia="en-US"/>
              </w:rPr>
              <w:t>- 12 362,9</w:t>
            </w:r>
          </w:p>
        </w:tc>
        <w:tc>
          <w:tcPr>
            <w:tcW w:w="1134" w:type="dxa"/>
            <w:gridSpan w:val="2"/>
            <w:noWrap/>
            <w:vAlign w:val="center"/>
            <w:hideMark/>
          </w:tcPr>
          <w:p w:rsidR="00E55648" w:rsidRPr="00CE42F2" w:rsidRDefault="00E55648" w:rsidP="00CE42F2">
            <w:pPr>
              <w:rPr>
                <w:rFonts w:cs="Arial"/>
                <w:bCs/>
                <w:color w:val="auto"/>
                <w:spacing w:val="0"/>
                <w:sz w:val="20"/>
                <w:szCs w:val="20"/>
                <w:lang w:val="en-ZA" w:eastAsia="en-US"/>
              </w:rPr>
            </w:pPr>
            <w:r w:rsidRPr="00CE42F2">
              <w:rPr>
                <w:rFonts w:cs="Arial"/>
                <w:color w:val="auto"/>
                <w:spacing w:val="0"/>
                <w:sz w:val="20"/>
                <w:szCs w:val="20"/>
                <w:lang w:val="en-ZA" w:eastAsia="en-US"/>
              </w:rPr>
              <w:t>- 13 383,6</w:t>
            </w:r>
          </w:p>
        </w:tc>
        <w:tc>
          <w:tcPr>
            <w:tcW w:w="1495" w:type="dxa"/>
            <w:gridSpan w:val="2"/>
            <w:noWrap/>
            <w:vAlign w:val="center"/>
            <w:hideMark/>
          </w:tcPr>
          <w:p w:rsidR="00E55648" w:rsidRPr="00CE42F2" w:rsidRDefault="00E55648" w:rsidP="00CE42F2">
            <w:pPr>
              <w:rPr>
                <w:rFonts w:cs="Arial"/>
                <w:bCs/>
                <w:color w:val="auto"/>
                <w:spacing w:val="0"/>
                <w:sz w:val="20"/>
                <w:szCs w:val="20"/>
                <w:lang w:val="en-ZA" w:eastAsia="en-US"/>
              </w:rPr>
            </w:pPr>
            <w:r w:rsidRPr="00CE42F2">
              <w:rPr>
                <w:rFonts w:cs="Arial"/>
                <w:color w:val="auto"/>
                <w:spacing w:val="0"/>
                <w:sz w:val="20"/>
                <w:szCs w:val="20"/>
                <w:lang w:val="en-ZA" w:eastAsia="en-US"/>
              </w:rPr>
              <w:t>-34,28 per cent</w:t>
            </w:r>
          </w:p>
        </w:tc>
        <w:tc>
          <w:tcPr>
            <w:tcW w:w="1481" w:type="dxa"/>
            <w:noWrap/>
            <w:vAlign w:val="center"/>
            <w:hideMark/>
          </w:tcPr>
          <w:p w:rsidR="00E55648" w:rsidRPr="00CE42F2" w:rsidRDefault="00E55648" w:rsidP="00CE42F2">
            <w:pPr>
              <w:rPr>
                <w:rFonts w:cs="Arial"/>
                <w:bCs/>
                <w:color w:val="auto"/>
                <w:spacing w:val="0"/>
                <w:sz w:val="20"/>
                <w:szCs w:val="20"/>
                <w:lang w:val="en-ZA" w:eastAsia="en-US"/>
              </w:rPr>
            </w:pPr>
            <w:r w:rsidRPr="00CE42F2">
              <w:rPr>
                <w:rFonts w:cs="Arial"/>
                <w:color w:val="auto"/>
                <w:spacing w:val="0"/>
                <w:sz w:val="20"/>
                <w:szCs w:val="20"/>
                <w:lang w:val="en-ZA" w:eastAsia="en-US"/>
              </w:rPr>
              <w:t>-37,11 per cent</w:t>
            </w:r>
          </w:p>
        </w:tc>
      </w:tr>
      <w:tr w:rsidR="00E55648" w:rsidRPr="00CE42F2" w:rsidTr="00E02DCB">
        <w:trPr>
          <w:trHeight w:val="624"/>
        </w:trPr>
        <w:tc>
          <w:tcPr>
            <w:tcW w:w="1985" w:type="dxa"/>
            <w:vAlign w:val="center"/>
          </w:tcPr>
          <w:p w:rsidR="00E55648" w:rsidRPr="00CE42F2" w:rsidRDefault="00E55648" w:rsidP="00CE42F2">
            <w:pPr>
              <w:rPr>
                <w:rFonts w:cs="Arial"/>
                <w:b/>
                <w:bCs/>
                <w:color w:val="auto"/>
                <w:spacing w:val="0"/>
                <w:sz w:val="20"/>
                <w:szCs w:val="20"/>
                <w:lang w:val="en-ZA" w:eastAsia="en-US"/>
              </w:rPr>
            </w:pPr>
            <w:r w:rsidRPr="00CE42F2">
              <w:rPr>
                <w:rFonts w:cs="Arial"/>
                <w:b/>
                <w:bCs/>
                <w:color w:val="auto"/>
                <w:spacing w:val="0"/>
                <w:sz w:val="20"/>
                <w:szCs w:val="20"/>
                <w:lang w:val="en-ZA" w:eastAsia="en-US"/>
              </w:rPr>
              <w:t>TOTAL</w:t>
            </w:r>
          </w:p>
        </w:tc>
        <w:tc>
          <w:tcPr>
            <w:tcW w:w="1009" w:type="dxa"/>
            <w:noWrap/>
            <w:vAlign w:val="center"/>
          </w:tcPr>
          <w:p w:rsidR="00E55648" w:rsidRPr="00CE42F2" w:rsidRDefault="00E55648" w:rsidP="00CE42F2">
            <w:pPr>
              <w:rPr>
                <w:rFonts w:cs="Arial"/>
                <w:b/>
                <w:bCs/>
                <w:color w:val="auto"/>
                <w:spacing w:val="0"/>
                <w:sz w:val="20"/>
                <w:szCs w:val="20"/>
                <w:lang w:val="en-ZA" w:eastAsia="en-US"/>
              </w:rPr>
            </w:pPr>
            <w:r w:rsidRPr="00CE42F2">
              <w:rPr>
                <w:rFonts w:cs="Arial"/>
                <w:b/>
                <w:color w:val="auto"/>
                <w:spacing w:val="0"/>
                <w:sz w:val="20"/>
                <w:szCs w:val="20"/>
                <w:lang w:val="en-ZA" w:eastAsia="en-US"/>
              </w:rPr>
              <w:t xml:space="preserve"> 36 274,8</w:t>
            </w:r>
          </w:p>
        </w:tc>
        <w:tc>
          <w:tcPr>
            <w:tcW w:w="976" w:type="dxa"/>
            <w:noWrap/>
            <w:vAlign w:val="center"/>
          </w:tcPr>
          <w:p w:rsidR="00E55648" w:rsidRPr="00CE42F2" w:rsidRDefault="00E55648" w:rsidP="00CE42F2">
            <w:pPr>
              <w:rPr>
                <w:rFonts w:cs="Arial"/>
                <w:b/>
                <w:bCs/>
                <w:color w:val="auto"/>
                <w:spacing w:val="0"/>
                <w:sz w:val="20"/>
                <w:szCs w:val="20"/>
                <w:lang w:val="en-ZA" w:eastAsia="en-US"/>
              </w:rPr>
            </w:pPr>
            <w:r w:rsidRPr="00CE42F2">
              <w:rPr>
                <w:rFonts w:cs="Arial"/>
                <w:b/>
                <w:color w:val="auto"/>
                <w:spacing w:val="0"/>
                <w:sz w:val="20"/>
                <w:szCs w:val="20"/>
                <w:lang w:val="en-ZA" w:eastAsia="en-US"/>
              </w:rPr>
              <w:t xml:space="preserve"> 23 928,9</w:t>
            </w:r>
          </w:p>
        </w:tc>
        <w:tc>
          <w:tcPr>
            <w:tcW w:w="867" w:type="dxa"/>
            <w:noWrap/>
            <w:vAlign w:val="center"/>
          </w:tcPr>
          <w:p w:rsidR="00E55648" w:rsidRPr="00CE42F2" w:rsidRDefault="00E55648" w:rsidP="00CE42F2">
            <w:pPr>
              <w:rPr>
                <w:rFonts w:cs="Arial"/>
                <w:b/>
                <w:bCs/>
                <w:color w:val="auto"/>
                <w:spacing w:val="0"/>
                <w:sz w:val="20"/>
                <w:szCs w:val="20"/>
                <w:lang w:val="en-ZA" w:eastAsia="en-US"/>
              </w:rPr>
            </w:pPr>
            <w:r w:rsidRPr="00CE42F2">
              <w:rPr>
                <w:rFonts w:cs="Arial"/>
                <w:b/>
                <w:color w:val="auto"/>
                <w:spacing w:val="0"/>
                <w:sz w:val="20"/>
                <w:szCs w:val="20"/>
                <w:lang w:val="en-ZA" w:eastAsia="en-US"/>
              </w:rPr>
              <w:t xml:space="preserve">  297,6</w:t>
            </w:r>
          </w:p>
        </w:tc>
        <w:tc>
          <w:tcPr>
            <w:tcW w:w="834" w:type="dxa"/>
            <w:noWrap/>
            <w:vAlign w:val="center"/>
          </w:tcPr>
          <w:p w:rsidR="00E55648" w:rsidRPr="00CE42F2" w:rsidRDefault="00E55648" w:rsidP="00CE42F2">
            <w:pPr>
              <w:rPr>
                <w:rFonts w:cs="Arial"/>
                <w:b/>
                <w:bCs/>
                <w:color w:val="auto"/>
                <w:spacing w:val="0"/>
                <w:sz w:val="20"/>
                <w:szCs w:val="20"/>
                <w:lang w:val="en-ZA" w:eastAsia="en-US"/>
              </w:rPr>
            </w:pPr>
            <w:r w:rsidRPr="00CE42F2">
              <w:rPr>
                <w:rFonts w:cs="Arial"/>
                <w:b/>
                <w:color w:val="auto"/>
                <w:spacing w:val="0"/>
                <w:sz w:val="20"/>
                <w:szCs w:val="20"/>
                <w:lang w:val="en-ZA" w:eastAsia="en-US"/>
              </w:rPr>
              <w:t xml:space="preserve">  310,9</w:t>
            </w:r>
          </w:p>
        </w:tc>
        <w:tc>
          <w:tcPr>
            <w:tcW w:w="1210" w:type="dxa"/>
            <w:noWrap/>
            <w:vAlign w:val="center"/>
          </w:tcPr>
          <w:p w:rsidR="00E55648" w:rsidRPr="00CE42F2" w:rsidRDefault="00E55648" w:rsidP="00CE42F2">
            <w:pPr>
              <w:rPr>
                <w:rFonts w:cs="Arial"/>
                <w:b/>
                <w:bCs/>
                <w:color w:val="auto"/>
                <w:spacing w:val="0"/>
                <w:sz w:val="20"/>
                <w:szCs w:val="20"/>
                <w:lang w:val="en-ZA" w:eastAsia="en-US"/>
              </w:rPr>
            </w:pPr>
            <w:r w:rsidRPr="00CE42F2">
              <w:rPr>
                <w:rFonts w:cs="Arial"/>
                <w:b/>
                <w:color w:val="auto"/>
                <w:spacing w:val="0"/>
                <w:sz w:val="20"/>
                <w:szCs w:val="20"/>
                <w:lang w:val="en-ZA" w:eastAsia="en-US"/>
              </w:rPr>
              <w:t>- 12 345,9</w:t>
            </w:r>
          </w:p>
        </w:tc>
        <w:tc>
          <w:tcPr>
            <w:tcW w:w="1134" w:type="dxa"/>
            <w:gridSpan w:val="2"/>
            <w:noWrap/>
            <w:vAlign w:val="center"/>
          </w:tcPr>
          <w:p w:rsidR="00E55648" w:rsidRPr="00CE42F2" w:rsidRDefault="00E55648" w:rsidP="00CE42F2">
            <w:pPr>
              <w:rPr>
                <w:rFonts w:cs="Arial"/>
                <w:b/>
                <w:bCs/>
                <w:color w:val="auto"/>
                <w:spacing w:val="0"/>
                <w:sz w:val="20"/>
                <w:szCs w:val="20"/>
                <w:lang w:val="en-ZA" w:eastAsia="en-US"/>
              </w:rPr>
            </w:pPr>
            <w:r w:rsidRPr="00CE42F2">
              <w:rPr>
                <w:rFonts w:cs="Arial"/>
                <w:b/>
                <w:color w:val="auto"/>
                <w:spacing w:val="0"/>
                <w:sz w:val="20"/>
                <w:szCs w:val="20"/>
                <w:lang w:val="en-ZA" w:eastAsia="en-US"/>
              </w:rPr>
              <w:t>- 13 376,3</w:t>
            </w:r>
          </w:p>
        </w:tc>
        <w:tc>
          <w:tcPr>
            <w:tcW w:w="1495" w:type="dxa"/>
            <w:gridSpan w:val="2"/>
            <w:noWrap/>
            <w:vAlign w:val="center"/>
          </w:tcPr>
          <w:p w:rsidR="00E55648" w:rsidRPr="00CE42F2" w:rsidRDefault="00E55648" w:rsidP="00CE42F2">
            <w:pPr>
              <w:rPr>
                <w:rFonts w:cs="Arial"/>
                <w:b/>
                <w:bCs/>
                <w:color w:val="auto"/>
                <w:spacing w:val="0"/>
                <w:sz w:val="20"/>
                <w:szCs w:val="20"/>
                <w:lang w:val="en-ZA" w:eastAsia="en-US"/>
              </w:rPr>
            </w:pPr>
            <w:r w:rsidRPr="00CE42F2">
              <w:rPr>
                <w:rFonts w:cs="Arial"/>
                <w:b/>
                <w:color w:val="auto"/>
                <w:spacing w:val="0"/>
                <w:sz w:val="20"/>
                <w:szCs w:val="20"/>
                <w:lang w:val="en-ZA" w:eastAsia="en-US"/>
              </w:rPr>
              <w:t>-34,03 per cent</w:t>
            </w:r>
          </w:p>
        </w:tc>
        <w:tc>
          <w:tcPr>
            <w:tcW w:w="1481" w:type="dxa"/>
            <w:noWrap/>
            <w:vAlign w:val="center"/>
          </w:tcPr>
          <w:p w:rsidR="00E55648" w:rsidRPr="00CE42F2" w:rsidRDefault="00E55648" w:rsidP="00CE42F2">
            <w:pPr>
              <w:rPr>
                <w:rFonts w:cs="Arial"/>
                <w:b/>
                <w:bCs/>
                <w:color w:val="auto"/>
                <w:spacing w:val="0"/>
                <w:sz w:val="20"/>
                <w:szCs w:val="20"/>
                <w:lang w:val="en-ZA" w:eastAsia="en-US"/>
              </w:rPr>
            </w:pPr>
            <w:r w:rsidRPr="00CE42F2">
              <w:rPr>
                <w:rFonts w:cs="Arial"/>
                <w:b/>
                <w:color w:val="auto"/>
                <w:spacing w:val="0"/>
                <w:sz w:val="20"/>
                <w:szCs w:val="20"/>
                <w:lang w:val="en-ZA" w:eastAsia="en-US"/>
              </w:rPr>
              <w:t>-36,87 per cent</w:t>
            </w:r>
          </w:p>
        </w:tc>
      </w:tr>
    </w:tbl>
    <w:p w:rsidR="00803979" w:rsidRPr="00CE42F2" w:rsidRDefault="00E55648" w:rsidP="00CE42F2">
      <w:pPr>
        <w:rPr>
          <w:rFonts w:eastAsia="Calibri" w:cs="Arial"/>
          <w:bCs/>
          <w:color w:val="auto"/>
          <w:spacing w:val="0"/>
          <w:sz w:val="20"/>
          <w:szCs w:val="20"/>
          <w:lang w:val="en-ZA" w:eastAsia="en-US"/>
        </w:rPr>
      </w:pPr>
      <w:r w:rsidRPr="00CE42F2">
        <w:rPr>
          <w:rFonts w:eastAsia="Calibri" w:cs="Arial"/>
          <w:b/>
          <w:bCs/>
          <w:color w:val="auto"/>
          <w:spacing w:val="0"/>
          <w:sz w:val="20"/>
          <w:szCs w:val="20"/>
          <w:lang w:val="en-ZA" w:eastAsia="en-US"/>
        </w:rPr>
        <w:t>Source:</w:t>
      </w:r>
      <w:r w:rsidRPr="00CE42F2">
        <w:rPr>
          <w:rFonts w:eastAsia="Calibri" w:cs="Arial"/>
          <w:bCs/>
          <w:color w:val="auto"/>
          <w:spacing w:val="0"/>
          <w:sz w:val="20"/>
          <w:szCs w:val="20"/>
          <w:lang w:val="en-ZA" w:eastAsia="en-US"/>
        </w:rPr>
        <w:t xml:space="preserve"> National Treasury (2022b)</w:t>
      </w:r>
    </w:p>
    <w:p w:rsidR="00E55648" w:rsidRPr="00CE42F2" w:rsidRDefault="00E55648" w:rsidP="00CE42F2">
      <w:pPr>
        <w:rPr>
          <w:rFonts w:eastAsia="Calibri" w:cs="Arial"/>
          <w:bCs/>
          <w:color w:val="auto"/>
          <w:spacing w:val="0"/>
          <w:sz w:val="20"/>
          <w:szCs w:val="20"/>
          <w:lang w:val="en-ZA" w:eastAsia="en-US"/>
        </w:rPr>
      </w:pPr>
    </w:p>
    <w:p w:rsidR="00E55648" w:rsidRPr="00CE42F2" w:rsidRDefault="00E55648" w:rsidP="00CE42F2">
      <w:pPr>
        <w:rPr>
          <w:rFonts w:eastAsia="Calibri" w:cs="Arial"/>
          <w:bCs/>
          <w:color w:val="auto"/>
          <w:spacing w:val="0"/>
          <w:sz w:val="20"/>
          <w:szCs w:val="20"/>
          <w:lang w:val="en-ZA" w:eastAsia="en-US"/>
        </w:rPr>
      </w:pPr>
    </w:p>
    <w:p w:rsidR="00E55648" w:rsidRPr="00CE42F2" w:rsidRDefault="00E55648" w:rsidP="00CE42F2">
      <w:pPr>
        <w:rPr>
          <w:rFonts w:eastAsia="Calibri" w:cs="Arial"/>
          <w:bCs/>
          <w:color w:val="auto"/>
          <w:spacing w:val="0"/>
          <w:sz w:val="20"/>
          <w:szCs w:val="20"/>
          <w:lang w:val="en-ZA" w:eastAsia="en-US"/>
        </w:rPr>
      </w:pPr>
    </w:p>
    <w:p w:rsidR="00E55648" w:rsidRPr="00CE42F2" w:rsidRDefault="00E55648" w:rsidP="00CE42F2">
      <w:pPr>
        <w:pStyle w:val="ListParagraph"/>
        <w:numPr>
          <w:ilvl w:val="0"/>
          <w:numId w:val="1"/>
        </w:numPr>
        <w:ind w:left="720"/>
        <w:rPr>
          <w:rFonts w:ascii="Arial" w:hAnsi="Arial" w:cs="Arial"/>
          <w:bCs/>
          <w:sz w:val="20"/>
          <w:szCs w:val="20"/>
        </w:rPr>
      </w:pPr>
      <w:r w:rsidRPr="00CE42F2">
        <w:rPr>
          <w:rFonts w:ascii="Arial" w:hAnsi="Arial" w:cs="Arial"/>
          <w:b/>
          <w:bCs/>
          <w:sz w:val="20"/>
          <w:szCs w:val="20"/>
        </w:rPr>
        <w:t>Programme 1</w:t>
      </w:r>
      <w:r w:rsidRPr="00CE42F2">
        <w:rPr>
          <w:rFonts w:ascii="Arial" w:hAnsi="Arial" w:cs="Arial"/>
          <w:bCs/>
          <w:sz w:val="20"/>
          <w:szCs w:val="20"/>
        </w:rPr>
        <w:t xml:space="preserve"> accounts for the second largest allocation of the Department’s overall budget in 2022/23 with a total allocation of R166,3 million or 0,7 per cent of the total budget. Programme 1: Administration, has a nominal increase of 10.79 per cent in 2022/23, with a real increase of 6.02 per cent. </w:t>
      </w:r>
    </w:p>
    <w:p w:rsidR="00E55648" w:rsidRPr="00CE42F2" w:rsidRDefault="00E55648" w:rsidP="00CE42F2">
      <w:pPr>
        <w:pStyle w:val="ListParagraph"/>
        <w:numPr>
          <w:ilvl w:val="0"/>
          <w:numId w:val="1"/>
        </w:numPr>
        <w:ind w:left="720"/>
        <w:rPr>
          <w:rFonts w:ascii="Arial" w:hAnsi="Arial" w:cs="Arial"/>
          <w:bCs/>
          <w:sz w:val="20"/>
          <w:szCs w:val="20"/>
        </w:rPr>
      </w:pPr>
      <w:r w:rsidRPr="00CE42F2">
        <w:rPr>
          <w:rFonts w:ascii="Arial" w:hAnsi="Arial" w:cs="Arial"/>
          <w:b/>
          <w:bCs/>
          <w:sz w:val="20"/>
          <w:szCs w:val="20"/>
        </w:rPr>
        <w:t>Programme 2:</w:t>
      </w:r>
      <w:r w:rsidRPr="00CE42F2">
        <w:rPr>
          <w:rFonts w:ascii="Arial" w:hAnsi="Arial" w:cs="Arial"/>
          <w:bCs/>
          <w:sz w:val="20"/>
          <w:szCs w:val="20"/>
        </w:rPr>
        <w:t xml:space="preserve"> State-Owned Companies Governance Assurance and Performance receive the smallest allocation in 2022/23 will a total allocation of R60,7 million or 0,3 per cent of the total budget. The programme increases by 1.34 per cent nominally in 2022/23 and decreased in real terms by 3.03 per cent. </w:t>
      </w:r>
    </w:p>
    <w:p w:rsidR="00E55648" w:rsidRPr="00CE42F2" w:rsidRDefault="00E55648" w:rsidP="00CE42F2">
      <w:pPr>
        <w:pStyle w:val="ListParagraph"/>
        <w:numPr>
          <w:ilvl w:val="0"/>
          <w:numId w:val="1"/>
        </w:numPr>
        <w:ind w:left="720"/>
        <w:rPr>
          <w:rFonts w:ascii="Arial" w:hAnsi="Arial" w:cs="Arial"/>
          <w:bCs/>
          <w:sz w:val="20"/>
          <w:szCs w:val="20"/>
        </w:rPr>
      </w:pPr>
      <w:r w:rsidRPr="00CE42F2">
        <w:rPr>
          <w:rFonts w:ascii="Arial" w:hAnsi="Arial" w:cs="Arial"/>
          <w:b/>
          <w:bCs/>
          <w:sz w:val="20"/>
          <w:szCs w:val="20"/>
        </w:rPr>
        <w:t>Programme 3</w:t>
      </w:r>
      <w:r w:rsidRPr="00CE42F2">
        <w:rPr>
          <w:rFonts w:ascii="Arial" w:hAnsi="Arial" w:cs="Arial"/>
          <w:bCs/>
          <w:sz w:val="20"/>
          <w:szCs w:val="20"/>
        </w:rPr>
        <w:t>: Business Enhancement, Transformation and Industrialisation accounts for the largest allocation of the budget, approximately R23,7 billion or 99 per cent of the total budget.  Programme 3 allocations has decreased by 34.03 per cent due to the inflated 2021/22 budget due to the R38.9 billion allocations to Eskom, SAA and Denel for payments for financial assets.</w:t>
      </w:r>
    </w:p>
    <w:p w:rsidR="00E55648" w:rsidRPr="00CE42F2" w:rsidRDefault="00E55648" w:rsidP="00CE42F2">
      <w:pPr>
        <w:rPr>
          <w:rFonts w:cs="Arial"/>
          <w:bCs/>
          <w:sz w:val="20"/>
          <w:szCs w:val="20"/>
        </w:rPr>
      </w:pPr>
    </w:p>
    <w:p w:rsidR="00E55648" w:rsidRPr="00CE42F2" w:rsidRDefault="00E55648" w:rsidP="00CE42F2">
      <w:pPr>
        <w:rPr>
          <w:rFonts w:cs="Arial"/>
          <w:bCs/>
          <w:sz w:val="20"/>
          <w:szCs w:val="20"/>
        </w:rPr>
      </w:pPr>
      <w:r w:rsidRPr="00CE42F2">
        <w:rPr>
          <w:rFonts w:cs="Arial"/>
          <w:bCs/>
          <w:sz w:val="20"/>
          <w:szCs w:val="20"/>
        </w:rPr>
        <w:lastRenderedPageBreak/>
        <w:t>Compensation of employees amounts to R177.5 million for 2022/23, an increase of 18.5 per cent on R159.0 million in 2021/22, which constitutes the Department’s largest administrative cost driver.    Goods and services amounts to R113.1 million, an increase of 3.5 per cent on R109.6 million in 2021/22.  Of the goods and services budget, the use of consultants constitutes 37.7 per cent while travel and subsistence accounts for 10.3 per cent of the goods and services budget for 2022/23.  Travel and subsistence decreases from R25.1 million in 2021/22 to R11.7 million in 2022/23; while consultants increases from R33.1 million in 2021/22 to R42.6 million in 2022/23.</w:t>
      </w:r>
    </w:p>
    <w:p w:rsidR="00E55648" w:rsidRPr="00CE42F2" w:rsidRDefault="00E55648" w:rsidP="00CE42F2">
      <w:pPr>
        <w:rPr>
          <w:rFonts w:eastAsia="Calibri" w:cs="Arial"/>
          <w:bCs/>
          <w:color w:val="auto"/>
          <w:spacing w:val="0"/>
          <w:sz w:val="20"/>
          <w:szCs w:val="20"/>
          <w:lang w:val="en-ZA" w:eastAsia="en-US"/>
        </w:rPr>
      </w:pPr>
    </w:p>
    <w:p w:rsidR="002849BB" w:rsidRPr="00CE42F2" w:rsidRDefault="002849BB" w:rsidP="00CE42F2">
      <w:pPr>
        <w:tabs>
          <w:tab w:val="left" w:pos="3960"/>
        </w:tabs>
        <w:rPr>
          <w:rFonts w:cs="Arial"/>
          <w:bCs/>
          <w:color w:val="auto"/>
          <w:sz w:val="20"/>
          <w:szCs w:val="20"/>
        </w:rPr>
      </w:pPr>
    </w:p>
    <w:p w:rsidR="002849BB" w:rsidRPr="00CE42F2" w:rsidRDefault="00DB2AA4" w:rsidP="00CE42F2">
      <w:pPr>
        <w:rPr>
          <w:rFonts w:cs="Arial"/>
          <w:b/>
          <w:bCs/>
          <w:iCs/>
          <w:color w:val="auto"/>
          <w:sz w:val="20"/>
          <w:szCs w:val="20"/>
        </w:rPr>
      </w:pPr>
      <w:r w:rsidRPr="00CE42F2">
        <w:rPr>
          <w:rFonts w:cs="Arial"/>
          <w:b/>
          <w:bCs/>
          <w:color w:val="auto"/>
          <w:sz w:val="20"/>
          <w:szCs w:val="20"/>
        </w:rPr>
        <w:t>4.1</w:t>
      </w:r>
      <w:r w:rsidR="002D13E2" w:rsidRPr="00CE42F2">
        <w:rPr>
          <w:rFonts w:cs="Arial"/>
          <w:b/>
          <w:bCs/>
          <w:color w:val="auto"/>
          <w:sz w:val="20"/>
          <w:szCs w:val="20"/>
        </w:rPr>
        <w:t xml:space="preserve">   </w:t>
      </w:r>
      <w:bookmarkStart w:id="0" w:name="_Toc97209054"/>
      <w:r w:rsidR="002849BB" w:rsidRPr="00CE42F2">
        <w:rPr>
          <w:rFonts w:cs="Arial"/>
          <w:b/>
          <w:bCs/>
          <w:iCs/>
          <w:color w:val="auto"/>
          <w:sz w:val="20"/>
          <w:szCs w:val="20"/>
        </w:rPr>
        <w:t>Programme 1: Administration</w:t>
      </w:r>
      <w:bookmarkEnd w:id="0"/>
    </w:p>
    <w:p w:rsidR="002849BB" w:rsidRPr="00CE42F2" w:rsidRDefault="002849BB" w:rsidP="00CE42F2">
      <w:pPr>
        <w:tabs>
          <w:tab w:val="left" w:pos="3960"/>
        </w:tabs>
        <w:rPr>
          <w:rFonts w:cs="Arial"/>
          <w:bCs/>
          <w:color w:val="auto"/>
          <w:sz w:val="20"/>
          <w:szCs w:val="20"/>
        </w:rPr>
      </w:pPr>
    </w:p>
    <w:p w:rsidR="002849BB" w:rsidRPr="00CE42F2" w:rsidRDefault="002849BB" w:rsidP="00CE42F2">
      <w:pPr>
        <w:tabs>
          <w:tab w:val="left" w:pos="3960"/>
        </w:tabs>
        <w:rPr>
          <w:rFonts w:cs="Arial"/>
          <w:bCs/>
          <w:color w:val="auto"/>
          <w:sz w:val="20"/>
          <w:szCs w:val="20"/>
        </w:rPr>
      </w:pPr>
      <w:r w:rsidRPr="00CE42F2">
        <w:rPr>
          <w:rFonts w:cs="Arial"/>
          <w:bCs/>
          <w:color w:val="auto"/>
          <w:sz w:val="20"/>
          <w:szCs w:val="20"/>
        </w:rPr>
        <w:t>Over the medium term, the majority of the allocation is within programme 1 is the compensation of employees, which will provide technical and administrative support to the Department. The overall budget for the programme increases by 16.2 per cent from R150.1 million in 2021/22 to R166.3 million in 2022/23.  Expenditure on compensation of employees constitutes 58.5 per cent of the programme budget for the 2022/23 financial year.  Over the medium term, expenditure on compensation of employees grows by 9.4 per cent from R79.1 million in 2021/22 to R103.5 million in 2024/25.  The number of personnel is expected to increase from 106 employees to 125 employees over the medium term.</w:t>
      </w:r>
    </w:p>
    <w:p w:rsidR="002849BB" w:rsidRPr="00CE42F2" w:rsidRDefault="002849BB" w:rsidP="00CE42F2">
      <w:pPr>
        <w:tabs>
          <w:tab w:val="left" w:pos="3960"/>
        </w:tabs>
        <w:rPr>
          <w:rFonts w:cs="Arial"/>
          <w:bCs/>
          <w:color w:val="auto"/>
          <w:sz w:val="20"/>
          <w:szCs w:val="20"/>
        </w:rPr>
      </w:pPr>
    </w:p>
    <w:p w:rsidR="002849BB" w:rsidRPr="00CE42F2" w:rsidRDefault="002849BB" w:rsidP="00CE42F2">
      <w:pPr>
        <w:tabs>
          <w:tab w:val="left" w:pos="3960"/>
        </w:tabs>
        <w:rPr>
          <w:rFonts w:cs="Arial"/>
          <w:bCs/>
          <w:color w:val="auto"/>
          <w:sz w:val="20"/>
          <w:szCs w:val="20"/>
          <w:lang w:val="en-US"/>
        </w:rPr>
      </w:pPr>
      <w:r w:rsidRPr="00CE42F2">
        <w:rPr>
          <w:rFonts w:cs="Arial"/>
          <w:bCs/>
          <w:color w:val="auto"/>
          <w:sz w:val="20"/>
          <w:szCs w:val="20"/>
        </w:rPr>
        <w:t>Goods and services constitute 39.3 per cent of the budget for the 2022/23 financial year.  Goods and services decreases from R67.0 million in 2021/22 to R65.3 million in 2022/23, a decrease of 2,5 per cent.   Operating leases and consultants make up the largest portion of</w:t>
      </w:r>
      <w:r w:rsidR="00DE6857" w:rsidRPr="00CE42F2">
        <w:rPr>
          <w:rFonts w:cs="Arial"/>
          <w:bCs/>
          <w:color w:val="auto"/>
          <w:sz w:val="20"/>
          <w:szCs w:val="20"/>
          <w:lang w:val="en-US"/>
        </w:rPr>
        <w:t xml:space="preserve"> </w:t>
      </w:r>
      <w:r w:rsidRPr="00CE42F2">
        <w:rPr>
          <w:rFonts w:cs="Arial"/>
          <w:bCs/>
          <w:color w:val="auto"/>
          <w:sz w:val="20"/>
          <w:szCs w:val="20"/>
          <w:lang w:val="en-US"/>
        </w:rPr>
        <w:t>goods and services for the 2022/23 financial year, constituting 19.1 per cent and 15.8 per cent respectively.</w:t>
      </w:r>
    </w:p>
    <w:p w:rsidR="002849BB" w:rsidRPr="00CE42F2" w:rsidRDefault="002849BB" w:rsidP="00CE42F2">
      <w:pPr>
        <w:tabs>
          <w:tab w:val="left" w:pos="3960"/>
        </w:tabs>
        <w:rPr>
          <w:rFonts w:cs="Arial"/>
          <w:bCs/>
          <w:color w:val="auto"/>
          <w:sz w:val="20"/>
          <w:szCs w:val="20"/>
          <w:lang w:val="en-US"/>
        </w:rPr>
      </w:pPr>
    </w:p>
    <w:p w:rsidR="002849BB" w:rsidRPr="00CE42F2" w:rsidRDefault="001E7E56" w:rsidP="00CE42F2">
      <w:pPr>
        <w:pStyle w:val="Heading2"/>
        <w:keepLines/>
        <w:ind w:left="720" w:hanging="720"/>
        <w:rPr>
          <w:sz w:val="20"/>
          <w:szCs w:val="20"/>
        </w:rPr>
      </w:pPr>
      <w:bookmarkStart w:id="1" w:name="_Toc97209055"/>
      <w:r w:rsidRPr="00CE42F2">
        <w:rPr>
          <w:iCs w:val="0"/>
          <w:color w:val="auto"/>
          <w:sz w:val="20"/>
          <w:szCs w:val="20"/>
        </w:rPr>
        <w:t>4.2</w:t>
      </w:r>
      <w:r w:rsidRPr="00CE42F2">
        <w:rPr>
          <w:iCs w:val="0"/>
          <w:color w:val="auto"/>
          <w:sz w:val="20"/>
          <w:szCs w:val="20"/>
        </w:rPr>
        <w:tab/>
      </w:r>
      <w:r w:rsidR="002849BB" w:rsidRPr="00CE42F2">
        <w:rPr>
          <w:iCs w:val="0"/>
          <w:color w:val="auto"/>
          <w:sz w:val="20"/>
          <w:szCs w:val="20"/>
        </w:rPr>
        <w:t>Programme 2: State-Owned Companies Governance Assurance and</w:t>
      </w:r>
      <w:r w:rsidR="002849BB" w:rsidRPr="00CE42F2">
        <w:rPr>
          <w:sz w:val="20"/>
          <w:szCs w:val="20"/>
        </w:rPr>
        <w:t xml:space="preserve"> Performance</w:t>
      </w:r>
      <w:bookmarkEnd w:id="1"/>
    </w:p>
    <w:p w:rsidR="002849BB" w:rsidRPr="00CE42F2" w:rsidRDefault="002849BB" w:rsidP="00CE42F2">
      <w:pPr>
        <w:rPr>
          <w:rFonts w:cs="Arial"/>
          <w:sz w:val="20"/>
          <w:szCs w:val="20"/>
        </w:rPr>
      </w:pPr>
    </w:p>
    <w:p w:rsidR="002849BB" w:rsidRPr="00CE42F2" w:rsidRDefault="002849BB" w:rsidP="00CE42F2">
      <w:pPr>
        <w:rPr>
          <w:rFonts w:cs="Arial"/>
          <w:sz w:val="20"/>
          <w:szCs w:val="20"/>
        </w:rPr>
      </w:pPr>
      <w:r w:rsidRPr="00CE42F2">
        <w:rPr>
          <w:rFonts w:cs="Arial"/>
          <w:sz w:val="20"/>
          <w:szCs w:val="20"/>
        </w:rPr>
        <w:t xml:space="preserve">The purpose of this programme is to provide state-owned companies’ governance, legal assurance, financial and non-financial performance monitoring, evaluation and reporting systems, in support of the shareholder to ensure alignment with government priorities.  </w:t>
      </w:r>
    </w:p>
    <w:p w:rsidR="002849BB" w:rsidRPr="00CE42F2" w:rsidRDefault="002849BB" w:rsidP="00CE42F2">
      <w:pPr>
        <w:rPr>
          <w:rFonts w:cs="Arial"/>
          <w:sz w:val="20"/>
          <w:szCs w:val="20"/>
        </w:rPr>
      </w:pPr>
    </w:p>
    <w:p w:rsidR="002849BB" w:rsidRPr="00CE42F2" w:rsidRDefault="002849BB" w:rsidP="00CE42F2">
      <w:pPr>
        <w:rPr>
          <w:rFonts w:cs="Arial"/>
          <w:sz w:val="20"/>
          <w:szCs w:val="20"/>
        </w:rPr>
      </w:pPr>
    </w:p>
    <w:p w:rsidR="002849BB" w:rsidRPr="00CE42F2" w:rsidRDefault="002849BB" w:rsidP="00CE42F2">
      <w:pPr>
        <w:rPr>
          <w:rFonts w:cs="Arial"/>
          <w:sz w:val="20"/>
          <w:szCs w:val="20"/>
        </w:rPr>
      </w:pPr>
      <w:r w:rsidRPr="00CE42F2">
        <w:rPr>
          <w:rFonts w:cs="Arial"/>
          <w:sz w:val="20"/>
          <w:szCs w:val="20"/>
        </w:rPr>
        <w:t>The sub-programme Management constitutes the smallest unit of the programme at 4.7 per cent of the budget for the 2022/23 financial year.  The largest sub-programme is Governance at 45.3 per cent of the budget followed by the Legal sub-programme at 29.5 per cent and Financial Assessment and Investment Support at 20.3 per cent of the budget. The overall budget for the programme increases by 1.3 per cent from R59.9 million in 2021/22 to R60.7 million in 2022/23.</w:t>
      </w:r>
    </w:p>
    <w:p w:rsidR="002849BB" w:rsidRPr="00CE42F2" w:rsidRDefault="002849BB" w:rsidP="00CE42F2">
      <w:pPr>
        <w:rPr>
          <w:rFonts w:cs="Arial"/>
          <w:sz w:val="20"/>
          <w:szCs w:val="20"/>
        </w:rPr>
      </w:pPr>
    </w:p>
    <w:p w:rsidR="002849BB" w:rsidRPr="00CE42F2" w:rsidRDefault="002849BB" w:rsidP="00CE42F2">
      <w:pPr>
        <w:rPr>
          <w:rFonts w:cs="Arial"/>
          <w:sz w:val="20"/>
          <w:szCs w:val="20"/>
        </w:rPr>
      </w:pPr>
      <w:r w:rsidRPr="00CE42F2">
        <w:rPr>
          <w:rFonts w:cs="Arial"/>
          <w:sz w:val="20"/>
          <w:szCs w:val="20"/>
        </w:rPr>
        <w:t>For the 2022/23 financial year, 52.2 per cent of the programme 2 budget is allocated for spending on compensation of employees, with the number of personnel expected to decrease from 36 employees in 2021/22 to 35 employees.  Compensation of employees decreases by 1.2 per cent, from R32.1 million in 2021/22 to R31.7 million in 2022/23. Goods and services constitutes 47.8 per cent and increases from R27.8 million in 2021/22 to R29.0 million in 2022/23, an increase of 4.3 per cent.  Consultants constitutes 62.4 per cent while legal services constitute 16.8 per cent of the goods and services budget.  Expenditure on consultants is expected to increase by 4.6 per cent from R17.3 million in 2021/22 to R18.1 million in 2022/23. Legal services increase by 59.4 per cent, and increases from</w:t>
      </w:r>
      <w:r w:rsidR="00226CEA" w:rsidRPr="00CE42F2">
        <w:rPr>
          <w:rFonts w:cs="Arial"/>
          <w:sz w:val="20"/>
          <w:szCs w:val="20"/>
        </w:rPr>
        <w:t xml:space="preserve"> </w:t>
      </w:r>
      <w:r w:rsidRPr="00CE42F2">
        <w:rPr>
          <w:rFonts w:cs="Arial"/>
          <w:sz w:val="20"/>
          <w:szCs w:val="20"/>
        </w:rPr>
        <w:t xml:space="preserve">R6.4 million in 2021/22 to R10.2 million in 2022/23.  </w:t>
      </w:r>
    </w:p>
    <w:p w:rsidR="002849BB" w:rsidRPr="00CE42F2" w:rsidRDefault="002849BB" w:rsidP="00CE42F2">
      <w:pPr>
        <w:rPr>
          <w:rFonts w:cs="Arial"/>
          <w:sz w:val="20"/>
          <w:szCs w:val="20"/>
        </w:rPr>
      </w:pPr>
    </w:p>
    <w:p w:rsidR="002849BB" w:rsidRPr="00CE42F2" w:rsidRDefault="002849BB" w:rsidP="00CE42F2">
      <w:pPr>
        <w:tabs>
          <w:tab w:val="left" w:pos="3960"/>
        </w:tabs>
        <w:rPr>
          <w:rFonts w:cs="Arial"/>
          <w:bCs/>
          <w:color w:val="auto"/>
          <w:sz w:val="20"/>
          <w:szCs w:val="20"/>
          <w:lang w:val="en-US"/>
        </w:rPr>
      </w:pPr>
    </w:p>
    <w:p w:rsidR="002849BB" w:rsidRPr="00CE42F2" w:rsidRDefault="001E7E56" w:rsidP="00CE42F2">
      <w:pPr>
        <w:keepNext/>
        <w:keepLines/>
        <w:outlineLvl w:val="1"/>
        <w:rPr>
          <w:rFonts w:cs="Arial"/>
          <w:b/>
          <w:sz w:val="20"/>
          <w:szCs w:val="20"/>
          <w:lang w:eastAsia="en-US"/>
        </w:rPr>
      </w:pPr>
      <w:bookmarkStart w:id="2" w:name="_Toc97209056"/>
      <w:r w:rsidRPr="00CE42F2">
        <w:rPr>
          <w:rFonts w:cs="Arial"/>
          <w:b/>
          <w:sz w:val="20"/>
          <w:szCs w:val="20"/>
          <w:lang w:eastAsia="en-US"/>
        </w:rPr>
        <w:t>4.3</w:t>
      </w:r>
      <w:r w:rsidRPr="00CE42F2">
        <w:rPr>
          <w:rFonts w:cs="Arial"/>
          <w:b/>
          <w:sz w:val="20"/>
          <w:szCs w:val="20"/>
          <w:lang w:eastAsia="en-US"/>
        </w:rPr>
        <w:tab/>
      </w:r>
      <w:r w:rsidR="002849BB" w:rsidRPr="00CE42F2">
        <w:rPr>
          <w:rFonts w:cs="Arial"/>
          <w:b/>
          <w:sz w:val="20"/>
          <w:szCs w:val="20"/>
          <w:lang w:eastAsia="en-US"/>
        </w:rPr>
        <w:t>Programme 3: Business Enhancement, Transformation and Industrialisation</w:t>
      </w:r>
      <w:bookmarkEnd w:id="2"/>
    </w:p>
    <w:p w:rsidR="002849BB" w:rsidRPr="00CE42F2" w:rsidRDefault="002849BB" w:rsidP="00CE42F2">
      <w:pPr>
        <w:rPr>
          <w:rFonts w:eastAsia="Calibri" w:cs="Arial"/>
          <w:color w:val="auto"/>
          <w:spacing w:val="0"/>
          <w:sz w:val="20"/>
          <w:szCs w:val="20"/>
          <w:lang w:val="en-ZA" w:eastAsia="en-US"/>
        </w:rPr>
      </w:pPr>
    </w:p>
    <w:p w:rsidR="002849BB" w:rsidRPr="00CE42F2" w:rsidRDefault="002849BB" w:rsidP="00CE42F2">
      <w:pPr>
        <w:rPr>
          <w:rFonts w:eastAsia="Calibri" w:cs="Arial"/>
          <w:color w:val="auto"/>
          <w:spacing w:val="0"/>
          <w:sz w:val="20"/>
          <w:szCs w:val="20"/>
          <w:lang w:val="en-ZA" w:eastAsia="en-US"/>
        </w:rPr>
      </w:pPr>
      <w:r w:rsidRPr="00CE42F2">
        <w:rPr>
          <w:rFonts w:eastAsia="Calibri" w:cs="Arial"/>
          <w:color w:val="auto"/>
          <w:spacing w:val="0"/>
          <w:sz w:val="20"/>
          <w:szCs w:val="20"/>
          <w:lang w:val="en-ZA" w:eastAsia="en-US"/>
        </w:rPr>
        <w:t xml:space="preserve">The purpose of the programme is to provide sector oversight to ensure that state-owned companies contribute to the advancement of industrialisation, transformation, intergovernmental relations and international collaboration services.  The programme will also support the shareholder in strategically positioning and enhancing the operations of state-owned companies. </w:t>
      </w:r>
    </w:p>
    <w:p w:rsidR="002849BB" w:rsidRPr="00CE42F2" w:rsidRDefault="002849BB" w:rsidP="00CE42F2">
      <w:pPr>
        <w:rPr>
          <w:rFonts w:eastAsia="Calibri" w:cs="Arial"/>
          <w:color w:val="auto"/>
          <w:spacing w:val="0"/>
          <w:sz w:val="20"/>
          <w:szCs w:val="20"/>
          <w:lang w:val="en-ZA" w:eastAsia="en-US"/>
        </w:rPr>
      </w:pPr>
    </w:p>
    <w:p w:rsidR="002849BB" w:rsidRPr="00CE42F2" w:rsidRDefault="002849BB" w:rsidP="00CE42F2">
      <w:pPr>
        <w:rPr>
          <w:rFonts w:eastAsia="Calibri" w:cs="Arial"/>
          <w:color w:val="auto"/>
          <w:spacing w:val="0"/>
          <w:sz w:val="20"/>
          <w:szCs w:val="20"/>
          <w:lang w:val="en-ZA" w:eastAsia="en-US"/>
        </w:rPr>
      </w:pPr>
      <w:r w:rsidRPr="00CE42F2">
        <w:rPr>
          <w:rFonts w:eastAsia="Calibri" w:cs="Arial"/>
          <w:color w:val="auto"/>
          <w:spacing w:val="0"/>
          <w:sz w:val="20"/>
          <w:szCs w:val="20"/>
          <w:lang w:val="en-ZA" w:eastAsia="en-US"/>
        </w:rPr>
        <w:t xml:space="preserve">The programme’s budget decreases by 34.3 per cent from R36.1 billion in 2021/22 to </w:t>
      </w:r>
      <w:r w:rsidRPr="00CE42F2">
        <w:rPr>
          <w:rFonts w:eastAsia="Calibri" w:cs="Arial"/>
          <w:color w:val="auto"/>
          <w:spacing w:val="0"/>
          <w:sz w:val="20"/>
          <w:szCs w:val="20"/>
          <w:lang w:val="en-ZA" w:eastAsia="en-US"/>
        </w:rPr>
        <w:br/>
        <w:t xml:space="preserve">R23.7 billion in 2022/23.  The decrease is due to the Department </w:t>
      </w:r>
      <w:r w:rsidRPr="00CE42F2">
        <w:rPr>
          <w:rFonts w:eastAsia="Calibri" w:cs="Arial"/>
          <w:bCs/>
          <w:color w:val="auto"/>
          <w:spacing w:val="0"/>
          <w:sz w:val="20"/>
          <w:szCs w:val="20"/>
          <w:lang w:val="en-ZA" w:eastAsia="en-US"/>
        </w:rPr>
        <w:t xml:space="preserve">reducing transfers to the SOCs, specifically for Eskom and SAA.  This is discussed further under Section 5. </w:t>
      </w:r>
    </w:p>
    <w:p w:rsidR="002849BB" w:rsidRPr="00CE42F2" w:rsidRDefault="002849BB" w:rsidP="00CE42F2">
      <w:pPr>
        <w:rPr>
          <w:rFonts w:eastAsia="Calibri" w:cs="Arial"/>
          <w:color w:val="auto"/>
          <w:spacing w:val="0"/>
          <w:sz w:val="20"/>
          <w:szCs w:val="20"/>
          <w:lang w:val="en-ZA" w:eastAsia="en-US"/>
        </w:rPr>
      </w:pPr>
    </w:p>
    <w:p w:rsidR="002849BB" w:rsidRPr="00CE42F2" w:rsidRDefault="002849BB" w:rsidP="00CE42F2">
      <w:pPr>
        <w:rPr>
          <w:rFonts w:eastAsia="Calibri" w:cs="Arial"/>
          <w:color w:val="auto"/>
          <w:spacing w:val="0"/>
          <w:sz w:val="20"/>
          <w:szCs w:val="20"/>
          <w:lang w:val="en-ZA" w:eastAsia="en-US"/>
        </w:rPr>
      </w:pPr>
      <w:r w:rsidRPr="00CE42F2">
        <w:rPr>
          <w:rFonts w:eastAsia="Calibri" w:cs="Arial"/>
          <w:color w:val="auto"/>
          <w:spacing w:val="0"/>
          <w:sz w:val="20"/>
          <w:szCs w:val="20"/>
          <w:lang w:val="en-ZA" w:eastAsia="en-US"/>
        </w:rPr>
        <w:t xml:space="preserve">The sub-programme </w:t>
      </w:r>
      <w:r w:rsidRPr="00CE42F2">
        <w:rPr>
          <w:rFonts w:eastAsia="Calibri" w:cs="Arial"/>
          <w:b/>
          <w:color w:val="auto"/>
          <w:spacing w:val="0"/>
          <w:sz w:val="20"/>
          <w:szCs w:val="20"/>
          <w:lang w:val="en-ZA" w:eastAsia="en-US"/>
        </w:rPr>
        <w:t>Energy Resources</w:t>
      </w:r>
      <w:r w:rsidRPr="00CE42F2">
        <w:rPr>
          <w:rFonts w:eastAsia="Calibri" w:cs="Arial"/>
          <w:color w:val="auto"/>
          <w:spacing w:val="0"/>
          <w:sz w:val="20"/>
          <w:szCs w:val="20"/>
          <w:lang w:val="en-ZA" w:eastAsia="en-US"/>
        </w:rPr>
        <w:t xml:space="preserve"> exercises shareholder oversight over Eskom, Alexkor and the South African Forestry Company (SAFCOL).  The budget for Energy Resources is expected to decrease by 30.9 per cent from R31.7 billion in 2021/22 to R21.9 billion in 2022/23.  The sub-</w:t>
      </w:r>
      <w:r w:rsidRPr="00CE42F2">
        <w:rPr>
          <w:rFonts w:eastAsia="Calibri" w:cs="Arial"/>
          <w:color w:val="auto"/>
          <w:spacing w:val="0"/>
          <w:sz w:val="20"/>
          <w:szCs w:val="20"/>
          <w:lang w:val="en-ZA" w:eastAsia="en-US"/>
        </w:rPr>
        <w:lastRenderedPageBreak/>
        <w:t>programme constitutes 92.3 per cent of the programme’s budget.  Over the next three financial years until 2024/25, the programme grows negatively by 94 per cent due to reduction in transfers to Eskom.</w:t>
      </w:r>
    </w:p>
    <w:p w:rsidR="002849BB" w:rsidRPr="00CE42F2" w:rsidRDefault="002849BB" w:rsidP="00CE42F2">
      <w:pPr>
        <w:rPr>
          <w:rFonts w:eastAsia="Calibri" w:cs="Arial"/>
          <w:color w:val="auto"/>
          <w:spacing w:val="0"/>
          <w:sz w:val="20"/>
          <w:szCs w:val="20"/>
          <w:lang w:val="en-ZA" w:eastAsia="en-US"/>
        </w:rPr>
      </w:pPr>
    </w:p>
    <w:p w:rsidR="002849BB" w:rsidRPr="00CE42F2" w:rsidRDefault="002849BB" w:rsidP="00CE42F2">
      <w:pPr>
        <w:rPr>
          <w:rFonts w:eastAsia="Calibri" w:cs="Arial"/>
          <w:color w:val="auto"/>
          <w:spacing w:val="0"/>
          <w:sz w:val="20"/>
          <w:szCs w:val="20"/>
          <w:lang w:val="en-ZA" w:eastAsia="en-US"/>
        </w:rPr>
      </w:pPr>
      <w:r w:rsidRPr="00CE42F2">
        <w:rPr>
          <w:rFonts w:eastAsia="Calibri" w:cs="Arial"/>
          <w:color w:val="auto"/>
          <w:spacing w:val="0"/>
          <w:sz w:val="20"/>
          <w:szCs w:val="20"/>
          <w:lang w:val="en-ZA" w:eastAsia="en-US"/>
        </w:rPr>
        <w:t xml:space="preserve">The sub-programme </w:t>
      </w:r>
      <w:r w:rsidRPr="00CE42F2">
        <w:rPr>
          <w:rFonts w:eastAsia="Calibri" w:cs="Arial"/>
          <w:b/>
          <w:color w:val="auto"/>
          <w:spacing w:val="0"/>
          <w:sz w:val="20"/>
          <w:szCs w:val="20"/>
          <w:lang w:val="en-ZA" w:eastAsia="en-US"/>
        </w:rPr>
        <w:t xml:space="preserve">Research and Economic Modelling </w:t>
      </w:r>
      <w:r w:rsidRPr="00CE42F2">
        <w:rPr>
          <w:rFonts w:eastAsia="Calibri" w:cs="Arial"/>
          <w:color w:val="auto"/>
          <w:spacing w:val="0"/>
          <w:sz w:val="20"/>
          <w:szCs w:val="20"/>
          <w:lang w:val="en-ZA" w:eastAsia="en-US"/>
        </w:rPr>
        <w:t xml:space="preserve">conducts cost benefit analysis reviews on business enhancement and transformation initiatives, and develops economic sustainability models for proposed work packages and projects. The budget decreases from R10.7 million in 2021/22 to R8.8 million in 2022/23, a decrease of 17.8 per cent in nominal terms. </w:t>
      </w:r>
    </w:p>
    <w:p w:rsidR="002849BB" w:rsidRPr="00CE42F2" w:rsidRDefault="002849BB" w:rsidP="00CE42F2">
      <w:pPr>
        <w:rPr>
          <w:rFonts w:eastAsia="Calibri" w:cs="Arial"/>
          <w:color w:val="auto"/>
          <w:spacing w:val="0"/>
          <w:sz w:val="20"/>
          <w:szCs w:val="20"/>
          <w:lang w:val="en-ZA" w:eastAsia="en-US"/>
        </w:rPr>
      </w:pPr>
    </w:p>
    <w:p w:rsidR="002849BB" w:rsidRPr="00CE42F2" w:rsidRDefault="002849BB" w:rsidP="00CE42F2">
      <w:pPr>
        <w:rPr>
          <w:rFonts w:eastAsia="Calibri" w:cs="Arial"/>
          <w:color w:val="auto"/>
          <w:spacing w:val="0"/>
          <w:sz w:val="20"/>
          <w:szCs w:val="20"/>
          <w:lang w:val="en-ZA" w:eastAsia="en-US"/>
        </w:rPr>
      </w:pPr>
      <w:r w:rsidRPr="00CE42F2">
        <w:rPr>
          <w:rFonts w:eastAsia="Calibri" w:cs="Arial"/>
          <w:color w:val="auto"/>
          <w:spacing w:val="0"/>
          <w:sz w:val="20"/>
          <w:szCs w:val="20"/>
          <w:lang w:val="en-ZA" w:eastAsia="en-US"/>
        </w:rPr>
        <w:t xml:space="preserve">The sub-programme </w:t>
      </w:r>
      <w:r w:rsidRPr="00CE42F2">
        <w:rPr>
          <w:rFonts w:eastAsia="Calibri" w:cs="Arial"/>
          <w:b/>
          <w:color w:val="auto"/>
          <w:spacing w:val="0"/>
          <w:sz w:val="20"/>
          <w:szCs w:val="20"/>
          <w:lang w:val="en-ZA" w:eastAsia="en-US"/>
        </w:rPr>
        <w:t>Transport and Defence</w:t>
      </w:r>
      <w:r w:rsidRPr="00CE42F2">
        <w:rPr>
          <w:rFonts w:eastAsia="Calibri" w:cs="Arial"/>
          <w:color w:val="auto"/>
          <w:spacing w:val="0"/>
          <w:sz w:val="20"/>
          <w:szCs w:val="20"/>
          <w:lang w:val="en-ZA" w:eastAsia="en-US"/>
        </w:rPr>
        <w:t xml:space="preserve"> exercises shareholder oversight over Transnet, South African Airways, South African Express Airways and Denel. The budget for the sub-programme constitutes 7.6 per cent of the programme budget for the 2022/23 financial year.  The sub-programme budget decreased in nominal terms by 58.6 per cent from R4.3 billion in 2021/22 to R1.8 billion in 2022/23.  This is mainly due to decreased transfers to SAA and Denel. </w:t>
      </w:r>
    </w:p>
    <w:p w:rsidR="002849BB" w:rsidRPr="00CE42F2" w:rsidRDefault="002849BB" w:rsidP="00CE42F2">
      <w:pPr>
        <w:rPr>
          <w:rFonts w:eastAsia="Calibri" w:cs="Arial"/>
          <w:color w:val="auto"/>
          <w:spacing w:val="0"/>
          <w:sz w:val="20"/>
          <w:szCs w:val="20"/>
          <w:lang w:val="en-ZA" w:eastAsia="en-US"/>
        </w:rPr>
      </w:pPr>
    </w:p>
    <w:p w:rsidR="002849BB" w:rsidRPr="00CE42F2" w:rsidRDefault="002849BB" w:rsidP="00CE42F2">
      <w:pPr>
        <w:rPr>
          <w:rFonts w:eastAsia="Calibri" w:cs="Arial"/>
          <w:color w:val="auto"/>
          <w:spacing w:val="0"/>
          <w:sz w:val="20"/>
          <w:szCs w:val="20"/>
          <w:lang w:val="en-ZA" w:eastAsia="en-US"/>
        </w:rPr>
      </w:pPr>
      <w:r w:rsidRPr="00CE42F2">
        <w:rPr>
          <w:rFonts w:eastAsia="Calibri" w:cs="Arial"/>
          <w:color w:val="auto"/>
          <w:spacing w:val="0"/>
          <w:sz w:val="20"/>
          <w:szCs w:val="20"/>
          <w:lang w:val="en-ZA" w:eastAsia="en-US"/>
        </w:rPr>
        <w:t xml:space="preserve">The sub-programme </w:t>
      </w:r>
      <w:r w:rsidRPr="00CE42F2">
        <w:rPr>
          <w:rFonts w:eastAsia="Calibri" w:cs="Arial"/>
          <w:b/>
          <w:color w:val="auto"/>
          <w:spacing w:val="0"/>
          <w:sz w:val="20"/>
          <w:szCs w:val="20"/>
          <w:lang w:val="en-ZA" w:eastAsia="en-US"/>
        </w:rPr>
        <w:t>Business Enhancement Services</w:t>
      </w:r>
      <w:r w:rsidRPr="00CE42F2">
        <w:rPr>
          <w:rFonts w:eastAsia="Calibri" w:cs="Arial"/>
          <w:color w:val="auto"/>
          <w:spacing w:val="0"/>
          <w:sz w:val="20"/>
          <w:szCs w:val="20"/>
          <w:lang w:val="en-ZA" w:eastAsia="en-US"/>
        </w:rPr>
        <w:t xml:space="preserve"> develops and coordinates the implementation of SOCs’ strategies to leverage localisation programmes; provide intergovernmental coordination and support to programmes and SOCs in relation to economic development programmes, as agreed with provincial and local governments; and maintains a register of commitments made by SOCs and lobbies for the implementation of special programmes focusing on skills development, transformation and the youth.  The sub-programme’s budget increases in nominal terms by 16.6 per cent from </w:t>
      </w:r>
      <w:r w:rsidRPr="00CE42F2">
        <w:rPr>
          <w:rFonts w:eastAsia="Calibri" w:cs="Arial"/>
          <w:color w:val="auto"/>
          <w:spacing w:val="0"/>
          <w:sz w:val="20"/>
          <w:szCs w:val="20"/>
          <w:lang w:val="en-ZA" w:eastAsia="en-US"/>
        </w:rPr>
        <w:br/>
        <w:t>R27.7 million in 2021/22 to R32.3 million in 2022/23.</w:t>
      </w:r>
    </w:p>
    <w:p w:rsidR="002849BB" w:rsidRPr="00CE42F2" w:rsidRDefault="002849BB" w:rsidP="00CE42F2">
      <w:pPr>
        <w:rPr>
          <w:rFonts w:eastAsia="Calibri" w:cs="Arial"/>
          <w:color w:val="auto"/>
          <w:spacing w:val="0"/>
          <w:sz w:val="20"/>
          <w:szCs w:val="20"/>
          <w:lang w:val="en-ZA" w:eastAsia="en-US"/>
        </w:rPr>
      </w:pPr>
    </w:p>
    <w:p w:rsidR="002849BB" w:rsidRPr="00CE42F2" w:rsidRDefault="002849BB" w:rsidP="00CE42F2">
      <w:pPr>
        <w:rPr>
          <w:rFonts w:eastAsia="Calibri" w:cs="Arial"/>
          <w:color w:val="auto"/>
          <w:spacing w:val="0"/>
          <w:sz w:val="20"/>
          <w:szCs w:val="20"/>
          <w:lang w:val="en-ZA" w:eastAsia="en-US"/>
        </w:rPr>
      </w:pPr>
      <w:r w:rsidRPr="00CE42F2">
        <w:rPr>
          <w:rFonts w:eastAsia="Calibri" w:cs="Arial"/>
          <w:color w:val="auto"/>
          <w:spacing w:val="0"/>
          <w:sz w:val="20"/>
          <w:szCs w:val="20"/>
          <w:lang w:val="en-ZA" w:eastAsia="en-US"/>
        </w:rPr>
        <w:t xml:space="preserve">Compensation of employees increases by 1.7 per cent from R47.8 million in 2021/22 to </w:t>
      </w:r>
      <w:r w:rsidRPr="00CE42F2">
        <w:rPr>
          <w:rFonts w:eastAsia="Calibri" w:cs="Arial"/>
          <w:color w:val="auto"/>
          <w:spacing w:val="0"/>
          <w:sz w:val="20"/>
          <w:szCs w:val="20"/>
          <w:lang w:val="en-ZA" w:eastAsia="en-US"/>
        </w:rPr>
        <w:br/>
        <w:t xml:space="preserve">R48.6 million in 2022/23.  Personnel in the programme is projected to remain stable from 2021/22 to 2022/23 at 58 employees.  Goods and services is projected to increase by 27.0 per cent from R14.8 million in 2021/22 to R18.8 million in 2022/23.  Consultants increase by 257.5 per cent from R4.0 million in 2021/22 to R14.3 million in 2022/23.  Consultants accounts for 76.1 per cent of the goods and services budget for the 2022/23 financial year. </w:t>
      </w:r>
    </w:p>
    <w:p w:rsidR="002849BB" w:rsidRPr="00CE42F2" w:rsidRDefault="002849BB" w:rsidP="00CE42F2">
      <w:pPr>
        <w:rPr>
          <w:rFonts w:eastAsia="Calibri" w:cs="Arial"/>
          <w:color w:val="auto"/>
          <w:spacing w:val="0"/>
          <w:sz w:val="20"/>
          <w:szCs w:val="20"/>
          <w:lang w:val="en-ZA" w:eastAsia="en-US"/>
        </w:rPr>
      </w:pPr>
    </w:p>
    <w:p w:rsidR="002849BB" w:rsidRPr="00CE42F2" w:rsidRDefault="002849BB" w:rsidP="00CE42F2">
      <w:pPr>
        <w:tabs>
          <w:tab w:val="left" w:pos="3960"/>
        </w:tabs>
        <w:rPr>
          <w:rFonts w:cs="Arial"/>
          <w:bCs/>
          <w:color w:val="auto"/>
          <w:sz w:val="20"/>
          <w:szCs w:val="20"/>
          <w:lang w:val="en-US"/>
        </w:rPr>
      </w:pPr>
      <w:r w:rsidRPr="00CE42F2">
        <w:rPr>
          <w:rFonts w:eastAsia="Calibri" w:cs="Arial"/>
          <w:color w:val="auto"/>
          <w:spacing w:val="0"/>
          <w:sz w:val="20"/>
          <w:szCs w:val="20"/>
          <w:lang w:val="en-ZA" w:eastAsia="en-US"/>
        </w:rPr>
        <w:t xml:space="preserve">Payments for financial assets constitutes 99.7 per cent of the programmes budget.  Payments for financial assets decreases by 34.3 per cent from R36.0 billion in 2021/22 to R23.6 billion in 2022/23.  These payments for financial assets include amounts of R21.9 billion for Eskom and R1.8 billion for South African Airways in the 2022/23 financial year.    </w:t>
      </w:r>
    </w:p>
    <w:p w:rsidR="002849BB" w:rsidRPr="00CE42F2" w:rsidRDefault="002849BB" w:rsidP="00CE42F2">
      <w:pPr>
        <w:tabs>
          <w:tab w:val="left" w:pos="3960"/>
        </w:tabs>
        <w:rPr>
          <w:rFonts w:cs="Arial"/>
          <w:b/>
          <w:color w:val="auto"/>
          <w:sz w:val="20"/>
          <w:szCs w:val="20"/>
          <w:lang w:val="en-US"/>
        </w:rPr>
      </w:pPr>
    </w:p>
    <w:p w:rsidR="00E97F33" w:rsidRPr="00CE42F2" w:rsidRDefault="001E7E56" w:rsidP="00CE42F2">
      <w:pPr>
        <w:ind w:left="720" w:hanging="720"/>
        <w:rPr>
          <w:rFonts w:cs="Arial"/>
          <w:b/>
          <w:sz w:val="20"/>
          <w:szCs w:val="20"/>
          <w:lang w:val="en-US"/>
        </w:rPr>
      </w:pPr>
      <w:r w:rsidRPr="00CE42F2">
        <w:rPr>
          <w:rFonts w:cs="Arial"/>
          <w:b/>
          <w:sz w:val="20"/>
          <w:szCs w:val="20"/>
          <w:lang w:val="en-US"/>
        </w:rPr>
        <w:t>4.4</w:t>
      </w:r>
      <w:r w:rsidRPr="00CE42F2">
        <w:rPr>
          <w:rFonts w:cs="Arial"/>
          <w:b/>
          <w:sz w:val="20"/>
          <w:szCs w:val="20"/>
          <w:lang w:val="en-US"/>
        </w:rPr>
        <w:tab/>
      </w:r>
      <w:r w:rsidR="00DE6857" w:rsidRPr="00CE42F2">
        <w:rPr>
          <w:rFonts w:cs="Arial"/>
          <w:b/>
          <w:sz w:val="20"/>
          <w:szCs w:val="20"/>
          <w:lang w:val="en-US"/>
        </w:rPr>
        <w:t>Report of Auditor</w:t>
      </w:r>
      <w:r w:rsidR="00154D09" w:rsidRPr="00CE42F2">
        <w:rPr>
          <w:rFonts w:cs="Arial"/>
          <w:b/>
          <w:sz w:val="20"/>
          <w:szCs w:val="20"/>
          <w:lang w:val="en-US"/>
        </w:rPr>
        <w:t>-</w:t>
      </w:r>
      <w:r w:rsidR="00DE6857" w:rsidRPr="00CE42F2">
        <w:rPr>
          <w:rFonts w:cs="Arial"/>
          <w:b/>
          <w:sz w:val="20"/>
          <w:szCs w:val="20"/>
          <w:lang w:val="en-US"/>
        </w:rPr>
        <w:t xml:space="preserve">General on </w:t>
      </w:r>
      <w:r w:rsidR="002F51B6" w:rsidRPr="00CE42F2">
        <w:rPr>
          <w:rFonts w:cs="Arial"/>
          <w:b/>
          <w:sz w:val="20"/>
          <w:szCs w:val="20"/>
          <w:lang w:val="en-US"/>
        </w:rPr>
        <w:t>the Annual Performance Plan</w:t>
      </w:r>
      <w:r w:rsidR="00DE6857" w:rsidRPr="00CE42F2">
        <w:rPr>
          <w:rFonts w:cs="Arial"/>
          <w:b/>
          <w:sz w:val="20"/>
          <w:szCs w:val="20"/>
          <w:lang w:val="en-US"/>
        </w:rPr>
        <w:t xml:space="preserve"> </w:t>
      </w:r>
      <w:r w:rsidR="002F51B6" w:rsidRPr="00CE42F2">
        <w:rPr>
          <w:rFonts w:cs="Arial"/>
          <w:b/>
          <w:sz w:val="20"/>
          <w:szCs w:val="20"/>
          <w:lang w:val="en-US"/>
        </w:rPr>
        <w:t>of</w:t>
      </w:r>
      <w:r w:rsidR="00DE6857" w:rsidRPr="00CE42F2">
        <w:rPr>
          <w:rFonts w:cs="Arial"/>
          <w:b/>
          <w:sz w:val="20"/>
          <w:szCs w:val="20"/>
          <w:lang w:val="en-US"/>
        </w:rPr>
        <w:t xml:space="preserve"> the Department of Publi</w:t>
      </w:r>
      <w:r w:rsidR="00F01970" w:rsidRPr="00CE42F2">
        <w:rPr>
          <w:rFonts w:cs="Arial"/>
          <w:b/>
          <w:sz w:val="20"/>
          <w:szCs w:val="20"/>
          <w:lang w:val="en-US"/>
        </w:rPr>
        <w:t>c Enterprises for 2021/22</w:t>
      </w:r>
      <w:r w:rsidR="00E24946" w:rsidRPr="00CE42F2">
        <w:rPr>
          <w:rFonts w:cs="Arial"/>
          <w:b/>
          <w:sz w:val="20"/>
          <w:szCs w:val="20"/>
          <w:lang w:val="en-US"/>
        </w:rPr>
        <w:t xml:space="preserve"> </w:t>
      </w:r>
      <w:r w:rsidR="002F51B6" w:rsidRPr="00CE42F2">
        <w:rPr>
          <w:rFonts w:cs="Arial"/>
          <w:b/>
          <w:sz w:val="20"/>
          <w:szCs w:val="20"/>
          <w:lang w:val="en-US"/>
        </w:rPr>
        <w:t>financial year</w:t>
      </w:r>
    </w:p>
    <w:p w:rsidR="00655B79" w:rsidRPr="00CE42F2" w:rsidRDefault="00655B79" w:rsidP="00CE42F2">
      <w:pPr>
        <w:tabs>
          <w:tab w:val="left" w:pos="3960"/>
        </w:tabs>
        <w:rPr>
          <w:rFonts w:cs="Arial"/>
          <w:color w:val="auto"/>
          <w:sz w:val="20"/>
          <w:szCs w:val="20"/>
          <w:lang w:val="en-US"/>
        </w:rPr>
      </w:pPr>
    </w:p>
    <w:p w:rsidR="002E291A" w:rsidRPr="00CE42F2" w:rsidRDefault="00E24946" w:rsidP="00CE42F2">
      <w:pPr>
        <w:tabs>
          <w:tab w:val="left" w:pos="3960"/>
        </w:tabs>
        <w:rPr>
          <w:rFonts w:cs="Arial"/>
          <w:color w:val="auto"/>
          <w:sz w:val="20"/>
          <w:szCs w:val="20"/>
          <w:lang w:val="en-US"/>
        </w:rPr>
      </w:pPr>
      <w:r w:rsidRPr="00CE42F2">
        <w:rPr>
          <w:rFonts w:cs="Arial"/>
          <w:color w:val="auto"/>
          <w:sz w:val="20"/>
          <w:szCs w:val="20"/>
          <w:lang w:val="en-US"/>
        </w:rPr>
        <w:t xml:space="preserve">By the time of the consideration of the annual performance plan and budget of the Department of Public Enterprises, the Auditor-General had not yet completed the auditing of the annual performance plans of the department and its state-owned companies.  </w:t>
      </w:r>
    </w:p>
    <w:p w:rsidR="003A2AF7" w:rsidRPr="00CE42F2" w:rsidRDefault="003A2AF7" w:rsidP="00CE42F2">
      <w:pPr>
        <w:pStyle w:val="Default"/>
        <w:rPr>
          <w:rFonts w:ascii="Arial" w:hAnsi="Arial" w:cs="Arial"/>
          <w:color w:val="auto"/>
          <w:sz w:val="20"/>
          <w:szCs w:val="20"/>
        </w:rPr>
      </w:pPr>
    </w:p>
    <w:p w:rsidR="00292DF3" w:rsidRPr="00CE42F2" w:rsidRDefault="005000C4" w:rsidP="00CE42F2">
      <w:pPr>
        <w:rPr>
          <w:rFonts w:cs="Arial"/>
          <w:b/>
          <w:color w:val="auto"/>
          <w:sz w:val="20"/>
          <w:szCs w:val="20"/>
        </w:rPr>
      </w:pPr>
      <w:r w:rsidRPr="00CE42F2">
        <w:rPr>
          <w:rFonts w:cs="Arial"/>
          <w:b/>
          <w:color w:val="auto"/>
          <w:sz w:val="20"/>
          <w:szCs w:val="20"/>
        </w:rPr>
        <w:t>5</w:t>
      </w:r>
      <w:r w:rsidR="004D1126" w:rsidRPr="00CE42F2">
        <w:rPr>
          <w:rFonts w:cs="Arial"/>
          <w:b/>
          <w:color w:val="auto"/>
          <w:sz w:val="20"/>
          <w:szCs w:val="20"/>
        </w:rPr>
        <w:t>.</w:t>
      </w:r>
      <w:r w:rsidR="002C1BB1" w:rsidRPr="00CE42F2">
        <w:rPr>
          <w:rFonts w:cs="Arial"/>
          <w:b/>
          <w:color w:val="auto"/>
          <w:sz w:val="20"/>
          <w:szCs w:val="20"/>
        </w:rPr>
        <w:tab/>
      </w:r>
      <w:r w:rsidR="00EE003F" w:rsidRPr="00CE42F2">
        <w:rPr>
          <w:rFonts w:cs="Arial"/>
          <w:b/>
          <w:color w:val="auto"/>
          <w:sz w:val="20"/>
          <w:szCs w:val="20"/>
        </w:rPr>
        <w:t>State</w:t>
      </w:r>
      <w:r w:rsidR="00222626" w:rsidRPr="00CE42F2">
        <w:rPr>
          <w:rFonts w:cs="Arial"/>
          <w:b/>
          <w:color w:val="auto"/>
          <w:sz w:val="20"/>
          <w:szCs w:val="20"/>
        </w:rPr>
        <w:t>-</w:t>
      </w:r>
      <w:r w:rsidR="00EE003F" w:rsidRPr="00CE42F2">
        <w:rPr>
          <w:rFonts w:cs="Arial"/>
          <w:b/>
          <w:color w:val="auto"/>
          <w:sz w:val="20"/>
          <w:szCs w:val="20"/>
        </w:rPr>
        <w:t>Owned Companies</w:t>
      </w:r>
      <w:r w:rsidR="001E7E56" w:rsidRPr="00CE42F2">
        <w:rPr>
          <w:rFonts w:cs="Arial"/>
          <w:b/>
          <w:color w:val="auto"/>
          <w:sz w:val="20"/>
          <w:szCs w:val="20"/>
        </w:rPr>
        <w:t>’</w:t>
      </w:r>
      <w:r w:rsidR="00EE003F" w:rsidRPr="00CE42F2">
        <w:rPr>
          <w:rFonts w:cs="Arial"/>
          <w:b/>
          <w:color w:val="auto"/>
          <w:sz w:val="20"/>
          <w:szCs w:val="20"/>
        </w:rPr>
        <w:t xml:space="preserve"> Performance</w:t>
      </w:r>
    </w:p>
    <w:p w:rsidR="001D2289" w:rsidRPr="00CE42F2" w:rsidRDefault="001D2289" w:rsidP="00CE42F2">
      <w:pPr>
        <w:tabs>
          <w:tab w:val="left" w:pos="3960"/>
        </w:tabs>
        <w:rPr>
          <w:rFonts w:cs="Arial"/>
          <w:color w:val="FF0000"/>
          <w:sz w:val="20"/>
          <w:szCs w:val="20"/>
        </w:rPr>
      </w:pPr>
    </w:p>
    <w:p w:rsidR="00E02DCB" w:rsidRPr="00CE42F2" w:rsidRDefault="00E02DCB" w:rsidP="00CE42F2">
      <w:pPr>
        <w:tabs>
          <w:tab w:val="left" w:pos="3960"/>
        </w:tabs>
        <w:rPr>
          <w:rFonts w:cs="Arial"/>
          <w:color w:val="auto"/>
          <w:sz w:val="20"/>
          <w:szCs w:val="20"/>
        </w:rPr>
      </w:pPr>
      <w:r w:rsidRPr="00CE42F2">
        <w:rPr>
          <w:rFonts w:cs="Arial"/>
          <w:color w:val="auto"/>
          <w:sz w:val="20"/>
          <w:szCs w:val="20"/>
        </w:rPr>
        <w:t xml:space="preserve">State-owned companies are experiencing financial and operational challenges that have affected their performance. The following section deals with their performance and future plans. </w:t>
      </w:r>
    </w:p>
    <w:p w:rsidR="00E02DCB" w:rsidRPr="00CE42F2" w:rsidRDefault="00E02DCB" w:rsidP="00CE42F2">
      <w:pPr>
        <w:tabs>
          <w:tab w:val="left" w:pos="3960"/>
        </w:tabs>
        <w:rPr>
          <w:rFonts w:cs="Arial"/>
          <w:color w:val="auto"/>
          <w:sz w:val="20"/>
          <w:szCs w:val="20"/>
        </w:rPr>
      </w:pPr>
    </w:p>
    <w:p w:rsidR="00E02DCB" w:rsidRPr="00CE42F2" w:rsidRDefault="00E02DCB" w:rsidP="00CE42F2">
      <w:pPr>
        <w:rPr>
          <w:rFonts w:cs="Arial"/>
          <w:b/>
          <w:color w:val="auto"/>
          <w:sz w:val="20"/>
          <w:szCs w:val="20"/>
        </w:rPr>
      </w:pPr>
      <w:r w:rsidRPr="00CE42F2">
        <w:rPr>
          <w:rFonts w:cs="Arial"/>
          <w:b/>
          <w:color w:val="auto"/>
          <w:sz w:val="20"/>
          <w:szCs w:val="20"/>
        </w:rPr>
        <w:t>5.1</w:t>
      </w:r>
      <w:r w:rsidR="002C1BB1" w:rsidRPr="00CE42F2">
        <w:rPr>
          <w:rFonts w:cs="Arial"/>
          <w:b/>
          <w:color w:val="auto"/>
          <w:sz w:val="20"/>
          <w:szCs w:val="20"/>
        </w:rPr>
        <w:tab/>
      </w:r>
      <w:r w:rsidRPr="00CE42F2">
        <w:rPr>
          <w:rFonts w:cs="Arial"/>
          <w:b/>
          <w:color w:val="auto"/>
          <w:sz w:val="20"/>
          <w:szCs w:val="20"/>
        </w:rPr>
        <w:t>Alexkor</w:t>
      </w:r>
    </w:p>
    <w:p w:rsidR="00E02DCB" w:rsidRPr="00CE42F2" w:rsidRDefault="00E02DCB" w:rsidP="00CE42F2">
      <w:pPr>
        <w:tabs>
          <w:tab w:val="left" w:pos="3960"/>
        </w:tabs>
        <w:rPr>
          <w:rFonts w:cs="Arial"/>
          <w:color w:val="auto"/>
          <w:sz w:val="20"/>
          <w:szCs w:val="20"/>
        </w:rPr>
      </w:pPr>
    </w:p>
    <w:p w:rsidR="00E02DCB" w:rsidRPr="00CE42F2" w:rsidRDefault="00E02DCB" w:rsidP="00CE42F2">
      <w:pPr>
        <w:autoSpaceDE w:val="0"/>
        <w:autoSpaceDN w:val="0"/>
        <w:adjustRightInd w:val="0"/>
        <w:rPr>
          <w:rFonts w:cs="Arial"/>
          <w:color w:val="auto"/>
          <w:spacing w:val="0"/>
          <w:sz w:val="20"/>
          <w:szCs w:val="20"/>
          <w:lang w:val="en-ZA" w:eastAsia="en-ZA"/>
        </w:rPr>
      </w:pPr>
      <w:r w:rsidRPr="00CE42F2">
        <w:rPr>
          <w:rFonts w:cs="Arial"/>
          <w:color w:val="auto"/>
          <w:spacing w:val="0"/>
          <w:sz w:val="20"/>
          <w:szCs w:val="20"/>
          <w:lang w:val="en-ZA" w:eastAsia="en-ZA"/>
        </w:rPr>
        <w:t>Alexkor was established in terms of the Alexkor Limited Act (1992) to mine marine and land diamonds in Alexander Bay, Northern Cape. The company holds a 51 per cent share in the Alexkor Richtersveld Mining Company Pooling and Sharing Joint Venture. Over the medium term, the company will focus on expanding its diamond</w:t>
      </w:r>
      <w:r w:rsidRPr="00CE42F2">
        <w:rPr>
          <w:rFonts w:ascii="Times New Roman" w:hAnsi="Times New Roman" w:cs="Arial"/>
          <w:color w:val="auto"/>
          <w:spacing w:val="0"/>
          <w:sz w:val="20"/>
          <w:szCs w:val="20"/>
          <w:lang w:val="en-ZA" w:eastAsia="en-ZA"/>
        </w:rPr>
        <w:t>‐</w:t>
      </w:r>
      <w:r w:rsidRPr="00CE42F2">
        <w:rPr>
          <w:rFonts w:cs="Arial"/>
          <w:color w:val="auto"/>
          <w:spacing w:val="0"/>
          <w:sz w:val="20"/>
          <w:szCs w:val="20"/>
          <w:lang w:val="en-ZA" w:eastAsia="en-ZA"/>
        </w:rPr>
        <w:t>mining operations. Although Alexkor mined more than 28 000 carats per year in 2019/20 and 2020/21, production did not increase year</w:t>
      </w:r>
      <w:r w:rsidRPr="00CE42F2">
        <w:rPr>
          <w:rFonts w:ascii="Times New Roman" w:hAnsi="Times New Roman" w:cs="Arial"/>
          <w:color w:val="auto"/>
          <w:spacing w:val="0"/>
          <w:sz w:val="20"/>
          <w:szCs w:val="20"/>
          <w:lang w:val="en-ZA" w:eastAsia="en-ZA"/>
        </w:rPr>
        <w:t>‐</w:t>
      </w:r>
      <w:r w:rsidRPr="00CE42F2">
        <w:rPr>
          <w:rFonts w:cs="Arial"/>
          <w:color w:val="auto"/>
          <w:spacing w:val="0"/>
          <w:sz w:val="20"/>
          <w:szCs w:val="20"/>
          <w:lang w:val="en-ZA" w:eastAsia="en-ZA"/>
        </w:rPr>
        <w:t>on</w:t>
      </w:r>
      <w:r w:rsidRPr="00CE42F2">
        <w:rPr>
          <w:rFonts w:ascii="Times New Roman" w:hAnsi="Times New Roman" w:cs="Arial"/>
          <w:color w:val="auto"/>
          <w:spacing w:val="0"/>
          <w:sz w:val="20"/>
          <w:szCs w:val="20"/>
          <w:lang w:val="en-ZA" w:eastAsia="en-ZA"/>
        </w:rPr>
        <w:t>‐</w:t>
      </w:r>
      <w:r w:rsidRPr="00CE42F2">
        <w:rPr>
          <w:rFonts w:cs="Arial"/>
          <w:color w:val="auto"/>
          <w:spacing w:val="0"/>
          <w:sz w:val="20"/>
          <w:szCs w:val="20"/>
          <w:lang w:val="en-ZA" w:eastAsia="en-ZA"/>
        </w:rPr>
        <w:t>year. Due to a lack of geological information and the relatively low carat value of its diamonds, particularly land</w:t>
      </w:r>
      <w:r w:rsidRPr="00CE42F2">
        <w:rPr>
          <w:rFonts w:ascii="Times New Roman" w:hAnsi="Times New Roman" w:cs="Arial"/>
          <w:color w:val="auto"/>
          <w:spacing w:val="0"/>
          <w:sz w:val="20"/>
          <w:szCs w:val="20"/>
          <w:lang w:val="en-ZA" w:eastAsia="en-ZA"/>
        </w:rPr>
        <w:t>‐</w:t>
      </w:r>
      <w:r w:rsidRPr="00CE42F2">
        <w:rPr>
          <w:rFonts w:cs="Arial"/>
          <w:color w:val="auto"/>
          <w:spacing w:val="0"/>
          <w:sz w:val="20"/>
          <w:szCs w:val="20"/>
          <w:lang w:val="en-ZA" w:eastAsia="en-ZA"/>
        </w:rPr>
        <w:t>based ones, the joint venture struggled to attract investment. To increase revenue, Alexkor acquired a licence to sell and market diamonds through the State Diamond Trader in November 2021. The department’s immediate focus is to review Alexkor’s operations to ensure it becomes sustainable. A service provider is expected to be appointed by the beginning of 2022/23 to help determine an optimal operating model for the state’s mineral assets. Alexkor generated unaudited revenue of R158 million in 2020/21, down 7 per cent from the R170 million it generated in 2019/20. This was mainly due to the suspension of operations in the first quarter of 2020/21 to comply with COVID</w:t>
      </w:r>
      <w:r w:rsidRPr="00CE42F2">
        <w:rPr>
          <w:rFonts w:ascii="Times New Roman" w:hAnsi="Times New Roman" w:cs="Arial"/>
          <w:color w:val="auto"/>
          <w:spacing w:val="0"/>
          <w:sz w:val="20"/>
          <w:szCs w:val="20"/>
          <w:lang w:val="en-ZA" w:eastAsia="en-ZA"/>
        </w:rPr>
        <w:t>‐</w:t>
      </w:r>
      <w:r w:rsidRPr="00CE42F2">
        <w:rPr>
          <w:rFonts w:cs="Arial"/>
          <w:color w:val="auto"/>
          <w:spacing w:val="0"/>
          <w:sz w:val="20"/>
          <w:szCs w:val="20"/>
          <w:lang w:val="en-ZA" w:eastAsia="en-ZA"/>
        </w:rPr>
        <w:t>19 lockdown restrictions. The company downsized operations in 2020/21, resulting in retrenchments and resignations. As a result, it reported an unaudited after</w:t>
      </w:r>
      <w:r w:rsidRPr="00CE42F2">
        <w:rPr>
          <w:rFonts w:ascii="Times New Roman" w:hAnsi="Times New Roman" w:cs="Arial"/>
          <w:color w:val="auto"/>
          <w:spacing w:val="0"/>
          <w:sz w:val="20"/>
          <w:szCs w:val="20"/>
          <w:lang w:val="en-ZA" w:eastAsia="en-ZA"/>
        </w:rPr>
        <w:t>‐</w:t>
      </w:r>
      <w:r w:rsidRPr="00CE42F2">
        <w:rPr>
          <w:rFonts w:cs="Arial"/>
          <w:color w:val="auto"/>
          <w:spacing w:val="0"/>
          <w:sz w:val="20"/>
          <w:szCs w:val="20"/>
          <w:lang w:val="en-ZA" w:eastAsia="en-ZA"/>
        </w:rPr>
        <w:t xml:space="preserve">tax profit of R34 million in 2020/21 compared to the R109 million loss it incurred in 2019/20. Alexkor’s liquidity has improved due to the settlement of significant obligations and reduced personnel </w:t>
      </w:r>
      <w:r w:rsidRPr="00CE42F2">
        <w:rPr>
          <w:rFonts w:cs="Arial"/>
          <w:color w:val="auto"/>
          <w:spacing w:val="0"/>
          <w:sz w:val="20"/>
          <w:szCs w:val="20"/>
          <w:lang w:val="en-ZA" w:eastAsia="en-ZA"/>
        </w:rPr>
        <w:lastRenderedPageBreak/>
        <w:t>costs. The company is solvent and does not have long</w:t>
      </w:r>
      <w:r w:rsidRPr="00CE42F2">
        <w:rPr>
          <w:rFonts w:ascii="Times New Roman" w:hAnsi="Times New Roman" w:cs="Arial"/>
          <w:color w:val="auto"/>
          <w:spacing w:val="0"/>
          <w:sz w:val="20"/>
          <w:szCs w:val="20"/>
          <w:lang w:val="en-ZA" w:eastAsia="en-ZA"/>
        </w:rPr>
        <w:t>‐</w:t>
      </w:r>
      <w:r w:rsidRPr="00CE42F2">
        <w:rPr>
          <w:rFonts w:cs="Arial"/>
          <w:color w:val="auto"/>
          <w:spacing w:val="0"/>
          <w:sz w:val="20"/>
          <w:szCs w:val="20"/>
          <w:lang w:val="en-ZA" w:eastAsia="en-ZA"/>
        </w:rPr>
        <w:t>term debt, which has reduced its risk assessment as a going concern.</w:t>
      </w:r>
    </w:p>
    <w:p w:rsidR="00E02DCB" w:rsidRPr="00CE42F2" w:rsidRDefault="00E02DCB" w:rsidP="00CE42F2">
      <w:pPr>
        <w:rPr>
          <w:rFonts w:cs="Arial"/>
          <w:color w:val="auto"/>
          <w:spacing w:val="0"/>
          <w:sz w:val="20"/>
          <w:szCs w:val="20"/>
          <w:lang w:val="en-ZA" w:eastAsia="en-ZA"/>
        </w:rPr>
      </w:pPr>
    </w:p>
    <w:p w:rsidR="00E02DCB" w:rsidRPr="00CE42F2" w:rsidRDefault="00E02DCB" w:rsidP="00CE42F2">
      <w:pPr>
        <w:rPr>
          <w:rFonts w:cs="Arial"/>
          <w:b/>
          <w:color w:val="auto"/>
          <w:sz w:val="20"/>
          <w:szCs w:val="20"/>
        </w:rPr>
      </w:pPr>
      <w:r w:rsidRPr="00CE42F2">
        <w:rPr>
          <w:rFonts w:cs="Arial"/>
          <w:b/>
          <w:color w:val="auto"/>
          <w:sz w:val="20"/>
          <w:szCs w:val="20"/>
        </w:rPr>
        <w:t>5.2</w:t>
      </w:r>
      <w:r w:rsidR="002C1BB1" w:rsidRPr="00CE42F2">
        <w:rPr>
          <w:rFonts w:cs="Arial"/>
          <w:b/>
          <w:color w:val="auto"/>
          <w:sz w:val="20"/>
          <w:szCs w:val="20"/>
        </w:rPr>
        <w:tab/>
      </w:r>
      <w:r w:rsidRPr="00CE42F2">
        <w:rPr>
          <w:rFonts w:cs="Arial"/>
          <w:b/>
          <w:color w:val="auto"/>
          <w:sz w:val="20"/>
          <w:szCs w:val="20"/>
        </w:rPr>
        <w:t>Denel</w:t>
      </w:r>
    </w:p>
    <w:p w:rsidR="00E02DCB" w:rsidRPr="00CE42F2" w:rsidRDefault="00E02DCB" w:rsidP="00CE42F2">
      <w:pPr>
        <w:rPr>
          <w:rFonts w:cs="Arial"/>
          <w:color w:val="auto"/>
          <w:sz w:val="20"/>
          <w:szCs w:val="20"/>
        </w:rPr>
      </w:pPr>
    </w:p>
    <w:p w:rsidR="00E02DCB" w:rsidRPr="00CE42F2" w:rsidRDefault="00E02DCB" w:rsidP="00CE42F2">
      <w:pPr>
        <w:autoSpaceDE w:val="0"/>
        <w:autoSpaceDN w:val="0"/>
        <w:adjustRightInd w:val="0"/>
        <w:rPr>
          <w:rFonts w:cs="Arial"/>
          <w:color w:val="auto"/>
          <w:spacing w:val="0"/>
          <w:sz w:val="20"/>
          <w:szCs w:val="20"/>
          <w:lang w:val="en-ZA" w:eastAsia="en-ZA"/>
        </w:rPr>
      </w:pPr>
      <w:r w:rsidRPr="00CE42F2">
        <w:rPr>
          <w:rFonts w:cs="Arial"/>
          <w:color w:val="auto"/>
          <w:spacing w:val="0"/>
          <w:sz w:val="20"/>
          <w:szCs w:val="20"/>
          <w:lang w:val="en-ZA" w:eastAsia="en-ZA"/>
        </w:rPr>
        <w:t>Denel was incorporated as a private company in 1992 in terms of the Companies Act (1973), with the South African government as its sole shareholder. It operates in the military aerospace and landward defence environment and provides strategic defence equipment. The company’s broad focus over the medium term will be on restructuring, which entails optimising its cost structure and implementing its new operating business model to better position it for future sustainability. The new operating model reduces Denel’s structure from 6 core business units to 3 – engineering, manufacturing, and maintenance and overhaul. This change will not only result in decreased expenditure, but in the improved allocation of critical resources. It will also require that the company accelerate its disposal of non</w:t>
      </w:r>
      <w:r w:rsidRPr="00CE42F2">
        <w:rPr>
          <w:rFonts w:ascii="Times New Roman" w:hAnsi="Times New Roman" w:cs="Arial"/>
          <w:color w:val="auto"/>
          <w:spacing w:val="0"/>
          <w:sz w:val="20"/>
          <w:szCs w:val="20"/>
          <w:lang w:val="en-ZA" w:eastAsia="en-ZA"/>
        </w:rPr>
        <w:t>‐</w:t>
      </w:r>
      <w:r w:rsidRPr="00CE42F2">
        <w:rPr>
          <w:rFonts w:cs="Arial"/>
          <w:color w:val="auto"/>
          <w:spacing w:val="0"/>
          <w:sz w:val="20"/>
          <w:szCs w:val="20"/>
          <w:lang w:val="en-ZA" w:eastAsia="en-ZA"/>
        </w:rPr>
        <w:t>core assets and businesses, improve supply chain policies, and align its IT infrastructure with its new organisational structure. Denel generated revenue of about R2.8 billion in 2020/21 – a similar amount to 2019/20. The stagnant growth</w:t>
      </w:r>
    </w:p>
    <w:p w:rsidR="00E02DCB" w:rsidRPr="00CE42F2" w:rsidRDefault="00E02DCB" w:rsidP="00CE42F2">
      <w:pPr>
        <w:autoSpaceDE w:val="0"/>
        <w:autoSpaceDN w:val="0"/>
        <w:adjustRightInd w:val="0"/>
        <w:rPr>
          <w:rFonts w:cs="Arial"/>
          <w:color w:val="auto"/>
          <w:spacing w:val="0"/>
          <w:sz w:val="20"/>
          <w:szCs w:val="20"/>
          <w:lang w:val="en-ZA" w:eastAsia="en-ZA"/>
        </w:rPr>
      </w:pPr>
      <w:r w:rsidRPr="00CE42F2">
        <w:rPr>
          <w:rFonts w:cs="Arial"/>
          <w:color w:val="auto"/>
          <w:spacing w:val="0"/>
          <w:sz w:val="20"/>
          <w:szCs w:val="20"/>
          <w:lang w:val="en-ZA" w:eastAsia="en-ZA"/>
        </w:rPr>
        <w:t>in revenue, generated mainly through the maintenance and overhaul unit, was largely a result of liquidity challenges that constrained operations and affected sales. The entity’s 2021/22 balance sheet shows that it continues to face liquidity and solvency challenges. It does not have sufficient cash to meet operational requirements, including the payment of salaries and suppliers. This has resulted in core business units operating at an average capacity of less than 30 per cent. Denel has lost experienced personnel with critical skills, which threatens the sustainability of various defence industrial capabilities. An allocation of R3 billion by government in 2021/22 enabled Denel to settle its guaranteed debt. This will support its equity position and materially reduce its interest obligations. However, the company’s poor liquidity means that it is unable to adequately fund operational obligations, which limits its ability to fulfil contracts that generate cash flow.</w:t>
      </w:r>
    </w:p>
    <w:p w:rsidR="00E02DCB" w:rsidRPr="00CE42F2" w:rsidRDefault="00E02DCB" w:rsidP="00CE42F2">
      <w:pPr>
        <w:rPr>
          <w:rFonts w:cs="Arial"/>
          <w:color w:val="auto"/>
          <w:spacing w:val="0"/>
          <w:sz w:val="20"/>
          <w:szCs w:val="20"/>
          <w:lang w:val="en-ZA" w:eastAsia="en-ZA"/>
        </w:rPr>
      </w:pPr>
    </w:p>
    <w:p w:rsidR="00E02DCB" w:rsidRPr="00CE42F2" w:rsidRDefault="00E02DCB" w:rsidP="00CE42F2">
      <w:pPr>
        <w:rPr>
          <w:rFonts w:cs="Arial"/>
          <w:b/>
          <w:color w:val="auto"/>
          <w:sz w:val="20"/>
          <w:szCs w:val="20"/>
        </w:rPr>
      </w:pPr>
      <w:r w:rsidRPr="00CE42F2">
        <w:rPr>
          <w:rFonts w:cs="Arial"/>
          <w:b/>
          <w:color w:val="auto"/>
          <w:sz w:val="20"/>
          <w:szCs w:val="20"/>
        </w:rPr>
        <w:t>5.3</w:t>
      </w:r>
      <w:r w:rsidR="002C1BB1" w:rsidRPr="00CE42F2">
        <w:rPr>
          <w:rFonts w:cs="Arial"/>
          <w:b/>
          <w:color w:val="auto"/>
          <w:sz w:val="20"/>
          <w:szCs w:val="20"/>
        </w:rPr>
        <w:tab/>
      </w:r>
      <w:r w:rsidRPr="00CE42F2">
        <w:rPr>
          <w:rFonts w:cs="Arial"/>
          <w:b/>
          <w:color w:val="auto"/>
          <w:sz w:val="20"/>
          <w:szCs w:val="20"/>
        </w:rPr>
        <w:t>Eskom</w:t>
      </w:r>
    </w:p>
    <w:p w:rsidR="00E02DCB" w:rsidRPr="00CE42F2" w:rsidRDefault="00E02DCB" w:rsidP="00CE42F2">
      <w:pPr>
        <w:rPr>
          <w:rFonts w:cs="Arial"/>
          <w:color w:val="auto"/>
          <w:sz w:val="20"/>
          <w:szCs w:val="20"/>
        </w:rPr>
      </w:pPr>
    </w:p>
    <w:p w:rsidR="00E02DCB" w:rsidRPr="00CE42F2" w:rsidRDefault="00E02DCB" w:rsidP="00CE42F2">
      <w:pPr>
        <w:autoSpaceDE w:val="0"/>
        <w:autoSpaceDN w:val="0"/>
        <w:adjustRightInd w:val="0"/>
        <w:rPr>
          <w:rFonts w:cs="Arial"/>
          <w:color w:val="auto"/>
          <w:spacing w:val="0"/>
          <w:sz w:val="20"/>
          <w:szCs w:val="20"/>
          <w:lang w:val="en-ZA" w:eastAsia="en-ZA"/>
        </w:rPr>
      </w:pPr>
      <w:r w:rsidRPr="00CE42F2">
        <w:rPr>
          <w:rFonts w:cs="Arial"/>
          <w:color w:val="auto"/>
          <w:spacing w:val="0"/>
          <w:sz w:val="20"/>
          <w:szCs w:val="20"/>
          <w:lang w:val="en-ZA" w:eastAsia="en-ZA"/>
        </w:rPr>
        <w:t>Eskom is mandated to generate, transmit and distribute electricity to industrial, mining, commercial, agricultural and residential customers and redistributors. Significant progress has been made on the unbundling of 3 subsidiaries: transmission, generation and distribution. The transmission division was corporatised in 2021/22, and the generation and distribution divisions are expected to be corporatised in 2022/23. At 64 per cent, Eskom’s generation performance was poor in 2021/22, mainly due to a 27 per cent incidence of unplanned plant breakdowns. To improve maintenance at power stations and ensure the availability of power, the generation recovery plan focuses on detecting defects; reducing trips and full load losses; and accelerating</w:t>
      </w:r>
    </w:p>
    <w:p w:rsidR="00E02DCB" w:rsidRPr="00CE42F2" w:rsidRDefault="00E02DCB" w:rsidP="00CE42F2">
      <w:pPr>
        <w:autoSpaceDE w:val="0"/>
        <w:autoSpaceDN w:val="0"/>
        <w:adjustRightInd w:val="0"/>
        <w:rPr>
          <w:rFonts w:cs="Arial"/>
          <w:color w:val="auto"/>
          <w:spacing w:val="0"/>
          <w:sz w:val="20"/>
          <w:szCs w:val="20"/>
          <w:lang w:val="en-ZA" w:eastAsia="en-ZA"/>
        </w:rPr>
      </w:pPr>
      <w:r w:rsidRPr="00CE42F2">
        <w:rPr>
          <w:rFonts w:cs="Arial"/>
          <w:color w:val="auto"/>
          <w:spacing w:val="0"/>
          <w:sz w:val="20"/>
          <w:szCs w:val="20"/>
          <w:lang w:val="en-ZA" w:eastAsia="en-ZA"/>
        </w:rPr>
        <w:t>the return of serviced units following long</w:t>
      </w:r>
      <w:r w:rsidRPr="00CE42F2">
        <w:rPr>
          <w:rFonts w:ascii="Times New Roman" w:hAnsi="Times New Roman" w:cs="Arial"/>
          <w:color w:val="auto"/>
          <w:spacing w:val="0"/>
          <w:sz w:val="20"/>
          <w:szCs w:val="20"/>
          <w:lang w:val="en-ZA" w:eastAsia="en-ZA"/>
        </w:rPr>
        <w:t>‐</w:t>
      </w:r>
      <w:r w:rsidRPr="00CE42F2">
        <w:rPr>
          <w:rFonts w:cs="Arial"/>
          <w:color w:val="auto"/>
          <w:spacing w:val="0"/>
          <w:sz w:val="20"/>
          <w:szCs w:val="20"/>
          <w:lang w:val="en-ZA" w:eastAsia="en-ZA"/>
        </w:rPr>
        <w:t>term forced outages, partial load losses and boiler tube leaks, particularly at the Medupi and Kusile power stations. Medupi’s last unit was commercialised in July 2021, and 3 of the 6 units at Kusile have been completed. As part of transitioning from coal to renewable energy technologies, in line with government’s energy policy, Eskom is in the process of decommissioning old coal</w:t>
      </w:r>
      <w:r w:rsidRPr="00CE42F2">
        <w:rPr>
          <w:rFonts w:ascii="Times New Roman" w:hAnsi="Times New Roman" w:cs="Arial"/>
          <w:color w:val="auto"/>
          <w:spacing w:val="0"/>
          <w:sz w:val="20"/>
          <w:szCs w:val="20"/>
          <w:lang w:val="en-ZA" w:eastAsia="en-ZA"/>
        </w:rPr>
        <w:t>‐</w:t>
      </w:r>
      <w:r w:rsidRPr="00CE42F2">
        <w:rPr>
          <w:rFonts w:cs="Arial"/>
          <w:color w:val="auto"/>
          <w:spacing w:val="0"/>
          <w:sz w:val="20"/>
          <w:szCs w:val="20"/>
          <w:lang w:val="en-ZA" w:eastAsia="en-ZA"/>
        </w:rPr>
        <w:t>fired power stations. Komati power station, which will be decommissioned in 2022, will be the first pilot site for this transition.</w:t>
      </w:r>
    </w:p>
    <w:p w:rsidR="00655B79" w:rsidRPr="00CE42F2" w:rsidRDefault="00655B79" w:rsidP="00CE42F2">
      <w:pPr>
        <w:autoSpaceDE w:val="0"/>
        <w:autoSpaceDN w:val="0"/>
        <w:adjustRightInd w:val="0"/>
        <w:rPr>
          <w:rFonts w:cs="Arial"/>
          <w:color w:val="auto"/>
          <w:spacing w:val="0"/>
          <w:sz w:val="20"/>
          <w:szCs w:val="20"/>
          <w:lang w:val="en-ZA" w:eastAsia="en-ZA"/>
        </w:rPr>
      </w:pPr>
    </w:p>
    <w:p w:rsidR="00E02DCB" w:rsidRPr="00CE42F2" w:rsidRDefault="00E02DCB" w:rsidP="00CE42F2">
      <w:pPr>
        <w:autoSpaceDE w:val="0"/>
        <w:autoSpaceDN w:val="0"/>
        <w:adjustRightInd w:val="0"/>
        <w:rPr>
          <w:rFonts w:cs="Arial"/>
          <w:color w:val="auto"/>
          <w:spacing w:val="0"/>
          <w:sz w:val="20"/>
          <w:szCs w:val="20"/>
          <w:lang w:val="en-ZA" w:eastAsia="en-ZA"/>
        </w:rPr>
      </w:pPr>
      <w:r w:rsidRPr="00CE42F2">
        <w:rPr>
          <w:rFonts w:cs="Arial"/>
          <w:color w:val="auto"/>
          <w:spacing w:val="0"/>
          <w:sz w:val="20"/>
          <w:szCs w:val="20"/>
          <w:lang w:val="en-ZA" w:eastAsia="en-ZA"/>
        </w:rPr>
        <w:t>Eskom’s revenue improved from R199.5 billion in 2019/20 to R204.3 billion in 2020/21, driven mainly by a tariff increase of 8.8 per cent, and the company’s loss decreased from R20.8 billion in 2019/20 to R18.9 billion in 2020/21. However, its financial position remains weak, and the entity is not able to generate enough cash from operations to cover debt obligations when they become due. As at 30 September 2021, Eskom’s debt amounted to R392 billion, while municipal arrears amounted to R40.9 billion. Given this weak financial position, government has committed to providing financial support to assist with the company’s debt</w:t>
      </w:r>
      <w:r w:rsidRPr="00CE42F2">
        <w:rPr>
          <w:rFonts w:ascii="Times New Roman" w:hAnsi="Times New Roman" w:cs="Arial"/>
          <w:color w:val="auto"/>
          <w:spacing w:val="0"/>
          <w:sz w:val="20"/>
          <w:szCs w:val="20"/>
          <w:lang w:val="en-ZA" w:eastAsia="en-ZA"/>
        </w:rPr>
        <w:t>‐</w:t>
      </w:r>
      <w:r w:rsidRPr="00CE42F2">
        <w:rPr>
          <w:rFonts w:cs="Arial"/>
          <w:color w:val="auto"/>
          <w:spacing w:val="0"/>
          <w:sz w:val="20"/>
          <w:szCs w:val="20"/>
          <w:lang w:val="en-ZA" w:eastAsia="en-ZA"/>
        </w:rPr>
        <w:t>service obligations,</w:t>
      </w:r>
    </w:p>
    <w:p w:rsidR="00E02DCB" w:rsidRPr="00CE42F2" w:rsidRDefault="00E02DCB" w:rsidP="00CE42F2">
      <w:pPr>
        <w:rPr>
          <w:rFonts w:cs="Arial"/>
          <w:color w:val="auto"/>
          <w:sz w:val="20"/>
          <w:szCs w:val="20"/>
        </w:rPr>
      </w:pPr>
      <w:r w:rsidRPr="00CE42F2">
        <w:rPr>
          <w:rFonts w:cs="Arial"/>
          <w:color w:val="auto"/>
          <w:spacing w:val="0"/>
          <w:sz w:val="20"/>
          <w:szCs w:val="20"/>
          <w:lang w:val="en-ZA" w:eastAsia="en-ZA"/>
        </w:rPr>
        <w:t>with an additional R21.9 billion allocated for this in 2022/23.</w:t>
      </w:r>
    </w:p>
    <w:p w:rsidR="00E02DCB" w:rsidRPr="00CE42F2" w:rsidRDefault="00E02DCB" w:rsidP="00CE42F2">
      <w:pPr>
        <w:rPr>
          <w:rFonts w:cs="Arial"/>
          <w:b/>
          <w:color w:val="auto"/>
          <w:sz w:val="20"/>
          <w:szCs w:val="20"/>
        </w:rPr>
      </w:pPr>
    </w:p>
    <w:p w:rsidR="00E02DCB" w:rsidRPr="00CE42F2" w:rsidRDefault="00E02DCB" w:rsidP="00CE42F2">
      <w:pPr>
        <w:rPr>
          <w:rFonts w:cs="Arial"/>
          <w:b/>
          <w:color w:val="auto"/>
          <w:sz w:val="20"/>
          <w:szCs w:val="20"/>
        </w:rPr>
      </w:pPr>
      <w:r w:rsidRPr="00CE42F2">
        <w:rPr>
          <w:rFonts w:cs="Arial"/>
          <w:b/>
          <w:color w:val="auto"/>
          <w:sz w:val="20"/>
          <w:szCs w:val="20"/>
        </w:rPr>
        <w:t>5.4</w:t>
      </w:r>
      <w:r w:rsidR="002C1BB1" w:rsidRPr="00CE42F2">
        <w:rPr>
          <w:rFonts w:cs="Arial"/>
          <w:b/>
          <w:color w:val="auto"/>
          <w:sz w:val="20"/>
          <w:szCs w:val="20"/>
        </w:rPr>
        <w:tab/>
      </w:r>
      <w:r w:rsidRPr="00CE42F2">
        <w:rPr>
          <w:rFonts w:cs="Arial"/>
          <w:b/>
          <w:color w:val="auto"/>
          <w:sz w:val="20"/>
          <w:szCs w:val="20"/>
        </w:rPr>
        <w:t>South African Airways</w:t>
      </w:r>
    </w:p>
    <w:p w:rsidR="00E02DCB" w:rsidRPr="00CE42F2" w:rsidRDefault="00E02DCB" w:rsidP="00CE42F2">
      <w:pPr>
        <w:rPr>
          <w:rFonts w:cs="Arial"/>
          <w:color w:val="auto"/>
          <w:sz w:val="20"/>
          <w:szCs w:val="20"/>
        </w:rPr>
      </w:pPr>
    </w:p>
    <w:p w:rsidR="00E02DCB" w:rsidRPr="00CE42F2" w:rsidRDefault="00E02DCB" w:rsidP="00CE42F2">
      <w:pPr>
        <w:autoSpaceDE w:val="0"/>
        <w:autoSpaceDN w:val="0"/>
        <w:adjustRightInd w:val="0"/>
        <w:rPr>
          <w:rFonts w:cs="Arial"/>
          <w:color w:val="auto"/>
          <w:spacing w:val="0"/>
          <w:sz w:val="20"/>
          <w:szCs w:val="20"/>
          <w:lang w:val="en-ZA" w:eastAsia="en-ZA"/>
        </w:rPr>
      </w:pPr>
      <w:r w:rsidRPr="00CE42F2">
        <w:rPr>
          <w:rFonts w:cs="Arial"/>
          <w:color w:val="auto"/>
          <w:spacing w:val="0"/>
          <w:sz w:val="20"/>
          <w:szCs w:val="20"/>
          <w:lang w:val="en-ZA" w:eastAsia="en-ZA"/>
        </w:rPr>
        <w:t>South African Airways operates a full</w:t>
      </w:r>
      <w:r w:rsidRPr="00CE42F2">
        <w:rPr>
          <w:rFonts w:ascii="Times New Roman" w:hAnsi="Times New Roman" w:cs="Arial"/>
          <w:color w:val="auto"/>
          <w:spacing w:val="0"/>
          <w:sz w:val="20"/>
          <w:szCs w:val="20"/>
          <w:lang w:val="en-ZA" w:eastAsia="en-ZA"/>
        </w:rPr>
        <w:t>‐</w:t>
      </w:r>
      <w:r w:rsidRPr="00CE42F2">
        <w:rPr>
          <w:rFonts w:cs="Arial"/>
          <w:color w:val="auto"/>
          <w:spacing w:val="0"/>
          <w:sz w:val="20"/>
          <w:szCs w:val="20"/>
          <w:lang w:val="en-ZA" w:eastAsia="en-ZA"/>
        </w:rPr>
        <w:t>service network in the international, regional and domestic markets. The airline is responsible for promoting air links with South Africa’s key business, trading and tourism markets across the world, and contributing to key domestic air linkages. The airline was placed under business rescue in December 2019 and the approved business rescue plan was published in August 2020. To implement the plan, R10.5 billion was allocated in the 2020 second adjustments budget. The restructured airline resumed operations in September 2021, operating domestically and regionally. However, the fourth wave of the COVID</w:t>
      </w:r>
      <w:r w:rsidRPr="00CE42F2">
        <w:rPr>
          <w:rFonts w:ascii="Times New Roman" w:hAnsi="Times New Roman" w:cs="Arial"/>
          <w:color w:val="auto"/>
          <w:spacing w:val="0"/>
          <w:sz w:val="20"/>
          <w:szCs w:val="20"/>
          <w:lang w:val="en-ZA" w:eastAsia="en-ZA"/>
        </w:rPr>
        <w:t>‐</w:t>
      </w:r>
      <w:r w:rsidRPr="00CE42F2">
        <w:rPr>
          <w:rFonts w:cs="Arial"/>
          <w:color w:val="auto"/>
          <w:spacing w:val="0"/>
          <w:sz w:val="20"/>
          <w:szCs w:val="20"/>
          <w:lang w:val="en-ZA" w:eastAsia="en-ZA"/>
        </w:rPr>
        <w:t>19 pandemic negatively affected its restart and ramp</w:t>
      </w:r>
      <w:r w:rsidRPr="00CE42F2">
        <w:rPr>
          <w:rFonts w:ascii="Times New Roman" w:hAnsi="Times New Roman" w:cs="Arial"/>
          <w:color w:val="auto"/>
          <w:spacing w:val="0"/>
          <w:sz w:val="20"/>
          <w:szCs w:val="20"/>
          <w:lang w:val="en-ZA" w:eastAsia="en-ZA"/>
        </w:rPr>
        <w:t>‐</w:t>
      </w:r>
      <w:r w:rsidRPr="00CE42F2">
        <w:rPr>
          <w:rFonts w:cs="Arial"/>
          <w:color w:val="auto"/>
          <w:spacing w:val="0"/>
          <w:sz w:val="20"/>
          <w:szCs w:val="20"/>
          <w:lang w:val="en-ZA" w:eastAsia="en-ZA"/>
        </w:rPr>
        <w:t>up plan as some destinations closed borders to South African carriers. Because the airline was in business rescue between</w:t>
      </w:r>
    </w:p>
    <w:p w:rsidR="00E02DCB" w:rsidRPr="00CE42F2" w:rsidRDefault="00E02DCB" w:rsidP="00CE42F2">
      <w:pPr>
        <w:autoSpaceDE w:val="0"/>
        <w:autoSpaceDN w:val="0"/>
        <w:adjustRightInd w:val="0"/>
        <w:rPr>
          <w:rFonts w:cs="Arial"/>
          <w:color w:val="auto"/>
          <w:spacing w:val="0"/>
          <w:sz w:val="20"/>
          <w:szCs w:val="20"/>
          <w:lang w:val="en-ZA" w:eastAsia="en-ZA"/>
        </w:rPr>
      </w:pPr>
      <w:r w:rsidRPr="00CE42F2">
        <w:rPr>
          <w:rFonts w:cs="Arial"/>
          <w:color w:val="auto"/>
          <w:spacing w:val="0"/>
          <w:sz w:val="20"/>
          <w:szCs w:val="20"/>
          <w:lang w:val="en-ZA" w:eastAsia="en-ZA"/>
        </w:rPr>
        <w:lastRenderedPageBreak/>
        <w:t>December 2019 and April 2021, it did not generate any revenue from scheduled flights during this period, only a few charter flights.</w:t>
      </w:r>
    </w:p>
    <w:p w:rsidR="00E02DCB" w:rsidRPr="00CE42F2" w:rsidRDefault="00E02DCB" w:rsidP="00CE42F2">
      <w:pPr>
        <w:autoSpaceDE w:val="0"/>
        <w:autoSpaceDN w:val="0"/>
        <w:adjustRightInd w:val="0"/>
        <w:rPr>
          <w:rFonts w:cs="Arial"/>
          <w:color w:val="auto"/>
          <w:spacing w:val="0"/>
          <w:sz w:val="20"/>
          <w:szCs w:val="20"/>
          <w:lang w:val="en-ZA" w:eastAsia="en-ZA"/>
        </w:rPr>
      </w:pPr>
    </w:p>
    <w:p w:rsidR="00E02DCB" w:rsidRPr="00CE42F2" w:rsidRDefault="00E02DCB" w:rsidP="00CE42F2">
      <w:pPr>
        <w:autoSpaceDE w:val="0"/>
        <w:autoSpaceDN w:val="0"/>
        <w:adjustRightInd w:val="0"/>
        <w:rPr>
          <w:rFonts w:cs="Arial"/>
          <w:color w:val="auto"/>
          <w:spacing w:val="0"/>
          <w:sz w:val="20"/>
          <w:szCs w:val="20"/>
          <w:lang w:val="en-ZA" w:eastAsia="en-ZA"/>
        </w:rPr>
      </w:pPr>
      <w:r w:rsidRPr="00CE42F2">
        <w:rPr>
          <w:rFonts w:cs="Arial"/>
          <w:color w:val="auto"/>
          <w:spacing w:val="0"/>
          <w:sz w:val="20"/>
          <w:szCs w:val="20"/>
          <w:lang w:val="en-ZA" w:eastAsia="en-ZA"/>
        </w:rPr>
        <w:t>The airline’s total guaranteed debt was R16.4 billion. To settle it, government paid R10.2 billion in 2020/21, R4.3 billion in 2021/22, and is expected to pay the remaining R1.8 billion in the second quarter of 2022/23. The airline is in the process of disposing of some non</w:t>
      </w:r>
      <w:r w:rsidRPr="00CE42F2">
        <w:rPr>
          <w:rFonts w:ascii="Times New Roman" w:hAnsi="Times New Roman" w:cs="Arial"/>
          <w:color w:val="auto"/>
          <w:spacing w:val="0"/>
          <w:sz w:val="20"/>
          <w:szCs w:val="20"/>
          <w:lang w:val="en-ZA" w:eastAsia="en-ZA"/>
        </w:rPr>
        <w:t>‐</w:t>
      </w:r>
      <w:r w:rsidRPr="00CE42F2">
        <w:rPr>
          <w:rFonts w:cs="Arial"/>
          <w:color w:val="auto"/>
          <w:spacing w:val="0"/>
          <w:sz w:val="20"/>
          <w:szCs w:val="20"/>
          <w:lang w:val="en-ZA" w:eastAsia="en-ZA"/>
        </w:rPr>
        <w:t>core assets as required by the appropriation conditions. Government is in the process of concluding the sale of its majority shareholding in the airline to a strategic equity partner that is expected to bring in the funding and skills required to strengthen its balance sheet and improve operations. This partnership is expected to be finalised by the beginning of 2022/23. Over the medium term, the</w:t>
      </w:r>
    </w:p>
    <w:p w:rsidR="00E02DCB" w:rsidRPr="00CE42F2" w:rsidRDefault="00E02DCB" w:rsidP="00CE42F2">
      <w:pPr>
        <w:rPr>
          <w:rFonts w:cs="Arial"/>
          <w:b/>
          <w:color w:val="auto"/>
          <w:sz w:val="20"/>
          <w:szCs w:val="20"/>
        </w:rPr>
      </w:pPr>
      <w:r w:rsidRPr="00CE42F2">
        <w:rPr>
          <w:rFonts w:cs="Arial"/>
          <w:color w:val="auto"/>
          <w:spacing w:val="0"/>
          <w:sz w:val="20"/>
          <w:szCs w:val="20"/>
          <w:lang w:val="en-ZA" w:eastAsia="en-ZA"/>
        </w:rPr>
        <w:t>airline will focus on improving its operations as international flights resume.</w:t>
      </w:r>
    </w:p>
    <w:p w:rsidR="00E02DCB" w:rsidRPr="00CE42F2" w:rsidRDefault="00E02DCB" w:rsidP="00CE42F2">
      <w:pPr>
        <w:rPr>
          <w:rFonts w:cs="Arial"/>
          <w:b/>
          <w:color w:val="auto"/>
          <w:sz w:val="20"/>
          <w:szCs w:val="20"/>
        </w:rPr>
      </w:pPr>
    </w:p>
    <w:p w:rsidR="00E02DCB" w:rsidRPr="00CE42F2" w:rsidRDefault="00E02DCB" w:rsidP="00CE42F2">
      <w:pPr>
        <w:rPr>
          <w:rFonts w:cs="Arial"/>
          <w:b/>
          <w:color w:val="auto"/>
          <w:sz w:val="20"/>
          <w:szCs w:val="20"/>
        </w:rPr>
      </w:pPr>
      <w:r w:rsidRPr="00CE42F2">
        <w:rPr>
          <w:rFonts w:cs="Arial"/>
          <w:b/>
          <w:color w:val="auto"/>
          <w:sz w:val="20"/>
          <w:szCs w:val="20"/>
        </w:rPr>
        <w:t>5.5</w:t>
      </w:r>
      <w:r w:rsidR="002C1BB1" w:rsidRPr="00CE42F2">
        <w:rPr>
          <w:rFonts w:cs="Arial"/>
          <w:b/>
          <w:color w:val="auto"/>
          <w:sz w:val="20"/>
          <w:szCs w:val="20"/>
        </w:rPr>
        <w:tab/>
      </w:r>
      <w:r w:rsidRPr="00CE42F2">
        <w:rPr>
          <w:rFonts w:cs="Arial"/>
          <w:b/>
          <w:color w:val="auto"/>
          <w:sz w:val="20"/>
          <w:szCs w:val="20"/>
        </w:rPr>
        <w:t>South African Express Airways</w:t>
      </w:r>
    </w:p>
    <w:p w:rsidR="00E02DCB" w:rsidRPr="00CE42F2" w:rsidRDefault="00E02DCB" w:rsidP="00CE42F2">
      <w:pPr>
        <w:rPr>
          <w:rFonts w:cs="Arial"/>
          <w:color w:val="auto"/>
          <w:spacing w:val="0"/>
          <w:sz w:val="20"/>
          <w:szCs w:val="20"/>
          <w:lang w:val="en-ZA" w:eastAsia="en-ZA"/>
        </w:rPr>
      </w:pPr>
    </w:p>
    <w:p w:rsidR="00E02DCB" w:rsidRPr="00CE42F2" w:rsidRDefault="00E02DCB" w:rsidP="00CE42F2">
      <w:pPr>
        <w:autoSpaceDE w:val="0"/>
        <w:autoSpaceDN w:val="0"/>
        <w:adjustRightInd w:val="0"/>
        <w:rPr>
          <w:rFonts w:cs="Arial"/>
          <w:color w:val="auto"/>
          <w:sz w:val="20"/>
          <w:szCs w:val="20"/>
        </w:rPr>
      </w:pPr>
      <w:r w:rsidRPr="00CE42F2">
        <w:rPr>
          <w:rFonts w:cs="Arial"/>
          <w:color w:val="auto"/>
          <w:spacing w:val="0"/>
          <w:sz w:val="20"/>
          <w:szCs w:val="20"/>
          <w:lang w:val="en-ZA" w:eastAsia="en-ZA"/>
        </w:rPr>
        <w:t>South African Express Airways has experienced severe operational and financial challenges for several years, and despite financial support from government, has been unable to recover. The airline was placed under business rescue in February 2020 but was unable to restructure, leading to it being placed under provisional liquidation in April 2020. By October 2020, the process of receiving expressions of interest had commenced. It was expected that the airline will be sold in the fourth quarter of 2021/22.</w:t>
      </w:r>
    </w:p>
    <w:p w:rsidR="00E02DCB" w:rsidRPr="00CE42F2" w:rsidRDefault="00E02DCB" w:rsidP="00CE42F2">
      <w:pPr>
        <w:rPr>
          <w:rFonts w:cs="Arial"/>
          <w:b/>
          <w:color w:val="auto"/>
          <w:sz w:val="20"/>
          <w:szCs w:val="20"/>
        </w:rPr>
      </w:pPr>
    </w:p>
    <w:p w:rsidR="00E02DCB" w:rsidRPr="00CE42F2" w:rsidRDefault="00E02DCB" w:rsidP="00CE42F2">
      <w:pPr>
        <w:rPr>
          <w:rFonts w:cs="Arial"/>
          <w:b/>
          <w:color w:val="auto"/>
          <w:sz w:val="20"/>
          <w:szCs w:val="20"/>
        </w:rPr>
      </w:pPr>
      <w:r w:rsidRPr="00CE42F2">
        <w:rPr>
          <w:rFonts w:cs="Arial"/>
          <w:b/>
          <w:color w:val="auto"/>
          <w:sz w:val="20"/>
          <w:szCs w:val="20"/>
        </w:rPr>
        <w:t>5.6</w:t>
      </w:r>
      <w:r w:rsidR="002C1BB1" w:rsidRPr="00CE42F2">
        <w:rPr>
          <w:rFonts w:cs="Arial"/>
          <w:b/>
          <w:color w:val="auto"/>
          <w:sz w:val="20"/>
          <w:szCs w:val="20"/>
        </w:rPr>
        <w:tab/>
      </w:r>
      <w:r w:rsidRPr="00CE42F2">
        <w:rPr>
          <w:rFonts w:cs="Arial"/>
          <w:b/>
          <w:color w:val="auto"/>
          <w:sz w:val="20"/>
          <w:szCs w:val="20"/>
        </w:rPr>
        <w:t>South African Forestry Company</w:t>
      </w:r>
    </w:p>
    <w:p w:rsidR="00E02DCB" w:rsidRPr="00CE42F2" w:rsidRDefault="00E02DCB" w:rsidP="00CE42F2">
      <w:pPr>
        <w:rPr>
          <w:rFonts w:cs="Arial"/>
          <w:color w:val="auto"/>
          <w:sz w:val="20"/>
          <w:szCs w:val="20"/>
        </w:rPr>
      </w:pPr>
    </w:p>
    <w:p w:rsidR="00E02DCB" w:rsidRPr="00CE42F2" w:rsidRDefault="00E02DCB" w:rsidP="00CE42F2">
      <w:pPr>
        <w:autoSpaceDE w:val="0"/>
        <w:autoSpaceDN w:val="0"/>
        <w:adjustRightInd w:val="0"/>
        <w:rPr>
          <w:rFonts w:cs="Arial"/>
          <w:color w:val="auto"/>
          <w:spacing w:val="0"/>
          <w:sz w:val="20"/>
          <w:szCs w:val="20"/>
          <w:lang w:val="en-ZA" w:eastAsia="en-ZA"/>
        </w:rPr>
      </w:pPr>
      <w:r w:rsidRPr="00CE42F2">
        <w:rPr>
          <w:rFonts w:cs="Arial"/>
          <w:color w:val="auto"/>
          <w:spacing w:val="0"/>
          <w:sz w:val="20"/>
          <w:szCs w:val="20"/>
          <w:lang w:val="en-ZA" w:eastAsia="en-ZA"/>
        </w:rPr>
        <w:t>The South African Forestry Company was established in 1992 in terms of the Management of State Forests Act (1992). It is mandated to ensure the sustainable management of plantation forests, increase downstream timber processing, and play a catalytic role in rural economic development and transformation. Over the medium term, the company will continue seeking viable partnerships to diversify its product offering by increasing its production of new timber products and investing in the tourism sector. Furthermore, the company plans to continue supporting communities near its operations through providing business opportunities, training and other services. The company is still struggling to increase investment in its strategic projects – particularly the Timbadola processing plant and the IFLOMA Mozambican investment – to ensure increased revenue in the future. However, with its current board and a full executive team, there has been a gradual shift in the company’s ability to raise funding. The company reported revenue of R920 million for 2020/21 – up by 11 per cent from the previous year despite challenging economic conditions. However, this still represents a loss of R45 million because of high fixed operating expenses. Increasing processing capacity through upgrading the Timbadola processing plant is one of the short</w:t>
      </w:r>
      <w:r w:rsidRPr="00CE42F2">
        <w:rPr>
          <w:rFonts w:ascii="Times New Roman" w:hAnsi="Times New Roman" w:cs="Arial"/>
          <w:color w:val="auto"/>
          <w:spacing w:val="0"/>
          <w:sz w:val="20"/>
          <w:szCs w:val="20"/>
          <w:lang w:val="en-ZA" w:eastAsia="en-ZA"/>
        </w:rPr>
        <w:t>‐</w:t>
      </w:r>
      <w:r w:rsidRPr="00CE42F2">
        <w:rPr>
          <w:rFonts w:cs="Arial"/>
          <w:color w:val="auto"/>
          <w:spacing w:val="0"/>
          <w:sz w:val="20"/>
          <w:szCs w:val="20"/>
          <w:lang w:val="en-ZA" w:eastAsia="en-ZA"/>
        </w:rPr>
        <w:t xml:space="preserve"> to medium</w:t>
      </w:r>
      <w:r w:rsidRPr="00CE42F2">
        <w:rPr>
          <w:rFonts w:ascii="Times New Roman" w:hAnsi="Times New Roman" w:cs="Arial"/>
          <w:color w:val="auto"/>
          <w:spacing w:val="0"/>
          <w:sz w:val="20"/>
          <w:szCs w:val="20"/>
          <w:lang w:val="en-ZA" w:eastAsia="en-ZA"/>
        </w:rPr>
        <w:t>‐</w:t>
      </w:r>
      <w:r w:rsidRPr="00CE42F2">
        <w:rPr>
          <w:rFonts w:cs="Arial"/>
          <w:color w:val="auto"/>
          <w:spacing w:val="0"/>
          <w:sz w:val="20"/>
          <w:szCs w:val="20"/>
          <w:lang w:val="en-ZA" w:eastAsia="en-ZA"/>
        </w:rPr>
        <w:t>term activities envisaged to increase revenue. This will further reduce operating costs, particularly for repairs and maintenance.</w:t>
      </w:r>
    </w:p>
    <w:p w:rsidR="00E02DCB" w:rsidRPr="00CE42F2" w:rsidRDefault="00E02DCB" w:rsidP="00CE42F2">
      <w:pPr>
        <w:autoSpaceDE w:val="0"/>
        <w:autoSpaceDN w:val="0"/>
        <w:adjustRightInd w:val="0"/>
        <w:rPr>
          <w:rFonts w:cs="Arial"/>
          <w:color w:val="auto"/>
          <w:spacing w:val="0"/>
          <w:sz w:val="20"/>
          <w:szCs w:val="20"/>
          <w:lang w:val="en-ZA" w:eastAsia="en-ZA"/>
        </w:rPr>
      </w:pPr>
    </w:p>
    <w:p w:rsidR="00E02DCB" w:rsidRPr="00CE42F2" w:rsidRDefault="00E02DCB" w:rsidP="00CE42F2">
      <w:pPr>
        <w:autoSpaceDE w:val="0"/>
        <w:autoSpaceDN w:val="0"/>
        <w:adjustRightInd w:val="0"/>
        <w:rPr>
          <w:rFonts w:cs="Arial"/>
          <w:color w:val="auto"/>
          <w:spacing w:val="0"/>
          <w:sz w:val="20"/>
          <w:szCs w:val="20"/>
          <w:lang w:val="en-ZA" w:eastAsia="en-ZA"/>
        </w:rPr>
      </w:pPr>
      <w:r w:rsidRPr="00CE42F2">
        <w:rPr>
          <w:rFonts w:cs="Arial"/>
          <w:color w:val="auto"/>
          <w:spacing w:val="0"/>
          <w:sz w:val="20"/>
          <w:szCs w:val="20"/>
          <w:lang w:val="en-ZA" w:eastAsia="en-ZA"/>
        </w:rPr>
        <w:t>The company’s liquidity and solvency position is satisfactory as it is not highly indebted. It can raise funding based on the strength of its balance sheet and project viability without support from the fiscus. The company maintained an unqualified audit report for a second consecutive year with a reduced number of findings. Irregular expenditure decreased by 41 per cent, from R183 million in 2019/20 to R107 million in 2020/21.</w:t>
      </w:r>
    </w:p>
    <w:p w:rsidR="00E02DCB" w:rsidRPr="00CE42F2" w:rsidRDefault="00E02DCB" w:rsidP="00CE42F2">
      <w:pPr>
        <w:autoSpaceDE w:val="0"/>
        <w:autoSpaceDN w:val="0"/>
        <w:adjustRightInd w:val="0"/>
        <w:rPr>
          <w:rFonts w:cs="Arial"/>
          <w:b/>
          <w:color w:val="auto"/>
          <w:spacing w:val="0"/>
          <w:sz w:val="20"/>
          <w:szCs w:val="20"/>
          <w:lang w:val="en-ZA" w:eastAsia="en-ZA"/>
        </w:rPr>
      </w:pPr>
    </w:p>
    <w:p w:rsidR="00E02DCB" w:rsidRPr="00CE42F2" w:rsidRDefault="00E02DCB" w:rsidP="00CE42F2">
      <w:pPr>
        <w:rPr>
          <w:rFonts w:cs="Arial"/>
          <w:b/>
          <w:color w:val="auto"/>
          <w:sz w:val="20"/>
          <w:szCs w:val="20"/>
        </w:rPr>
      </w:pPr>
      <w:r w:rsidRPr="00CE42F2">
        <w:rPr>
          <w:rFonts w:cs="Arial"/>
          <w:b/>
          <w:color w:val="auto"/>
          <w:sz w:val="20"/>
          <w:szCs w:val="20"/>
        </w:rPr>
        <w:t>5.7</w:t>
      </w:r>
      <w:r w:rsidR="002C1BB1" w:rsidRPr="00CE42F2">
        <w:rPr>
          <w:rFonts w:cs="Arial"/>
          <w:b/>
          <w:color w:val="auto"/>
          <w:sz w:val="20"/>
          <w:szCs w:val="20"/>
        </w:rPr>
        <w:tab/>
      </w:r>
      <w:r w:rsidRPr="00CE42F2">
        <w:rPr>
          <w:rFonts w:cs="Arial"/>
          <w:b/>
          <w:color w:val="auto"/>
          <w:sz w:val="20"/>
          <w:szCs w:val="20"/>
        </w:rPr>
        <w:t xml:space="preserve">Transnet </w:t>
      </w:r>
    </w:p>
    <w:p w:rsidR="000307EB" w:rsidRPr="00CE42F2" w:rsidRDefault="000307EB" w:rsidP="00CE42F2">
      <w:pPr>
        <w:autoSpaceDE w:val="0"/>
        <w:autoSpaceDN w:val="0"/>
        <w:adjustRightInd w:val="0"/>
        <w:rPr>
          <w:rFonts w:cs="Arial"/>
          <w:color w:val="auto"/>
          <w:spacing w:val="0"/>
          <w:sz w:val="20"/>
          <w:szCs w:val="20"/>
          <w:lang w:val="en-ZA" w:eastAsia="en-ZA"/>
        </w:rPr>
      </w:pPr>
    </w:p>
    <w:p w:rsidR="00E02DCB" w:rsidRPr="00CE42F2" w:rsidRDefault="00E02DCB" w:rsidP="00CE42F2">
      <w:pPr>
        <w:autoSpaceDE w:val="0"/>
        <w:autoSpaceDN w:val="0"/>
        <w:adjustRightInd w:val="0"/>
        <w:rPr>
          <w:rFonts w:cs="Arial"/>
          <w:color w:val="auto"/>
          <w:spacing w:val="0"/>
          <w:sz w:val="20"/>
          <w:szCs w:val="20"/>
          <w:lang w:val="en-ZA" w:eastAsia="en-ZA"/>
        </w:rPr>
      </w:pPr>
      <w:r w:rsidRPr="00CE42F2">
        <w:rPr>
          <w:rFonts w:cs="Arial"/>
          <w:color w:val="auto"/>
          <w:spacing w:val="0"/>
          <w:sz w:val="20"/>
          <w:szCs w:val="20"/>
          <w:lang w:val="en-ZA" w:eastAsia="en-ZA"/>
        </w:rPr>
        <w:t>Transnet provides and operates freight transportation services and infrastructure. The company’s operating model is geared towards lowering the cost of logistics in South Africa, promoting a modal shift from road to rail, creating partnerships with the private sector, developing skills, and supporting demand and market access for local producers and suppliers. To sustain and expand its capacity, over a 5</w:t>
      </w:r>
      <w:r w:rsidRPr="00CE42F2">
        <w:rPr>
          <w:rFonts w:ascii="Times New Roman" w:hAnsi="Times New Roman" w:cs="Arial"/>
          <w:color w:val="auto"/>
          <w:spacing w:val="0"/>
          <w:sz w:val="20"/>
          <w:szCs w:val="20"/>
          <w:lang w:val="en-ZA" w:eastAsia="en-ZA"/>
        </w:rPr>
        <w:t>‐</w:t>
      </w:r>
      <w:r w:rsidRPr="00CE42F2">
        <w:rPr>
          <w:rFonts w:cs="Arial"/>
          <w:color w:val="auto"/>
          <w:spacing w:val="0"/>
          <w:sz w:val="20"/>
          <w:szCs w:val="20"/>
          <w:lang w:val="en-ZA" w:eastAsia="en-ZA"/>
        </w:rPr>
        <w:t>year period ending in 2024/25, Transnet planned to invest R127.7 billion, 75.7 per cent (R96.7 billion) of which was earmarked to be invested in rail, ports and pipeline</w:t>
      </w:r>
    </w:p>
    <w:p w:rsidR="00E02DCB" w:rsidRPr="00CE42F2" w:rsidRDefault="00E02DCB" w:rsidP="00CE42F2">
      <w:pPr>
        <w:autoSpaceDE w:val="0"/>
        <w:autoSpaceDN w:val="0"/>
        <w:adjustRightInd w:val="0"/>
        <w:rPr>
          <w:rFonts w:cs="Arial"/>
          <w:color w:val="auto"/>
          <w:spacing w:val="0"/>
          <w:sz w:val="20"/>
          <w:szCs w:val="20"/>
          <w:lang w:val="en-ZA" w:eastAsia="en-ZA"/>
        </w:rPr>
      </w:pPr>
      <w:r w:rsidRPr="00CE42F2">
        <w:rPr>
          <w:rFonts w:cs="Arial"/>
          <w:color w:val="auto"/>
          <w:spacing w:val="0"/>
          <w:sz w:val="20"/>
          <w:szCs w:val="20"/>
          <w:lang w:val="en-ZA" w:eastAsia="en-ZA"/>
        </w:rPr>
        <w:t>infrastructure across its operating divisions. However, capital expenditure for 2020/21 was reduced by 14 per cent, from R18.6 billion to R15.9 billion, due to the closure of some project sites during the COVID</w:t>
      </w:r>
      <w:r w:rsidRPr="00CE42F2">
        <w:rPr>
          <w:rFonts w:ascii="Times New Roman" w:hAnsi="Times New Roman" w:cs="Arial"/>
          <w:color w:val="auto"/>
          <w:spacing w:val="0"/>
          <w:sz w:val="20"/>
          <w:szCs w:val="20"/>
          <w:lang w:val="en-ZA" w:eastAsia="en-ZA"/>
        </w:rPr>
        <w:t>‐</w:t>
      </w:r>
      <w:r w:rsidRPr="00CE42F2">
        <w:rPr>
          <w:rFonts w:cs="Arial"/>
          <w:color w:val="auto"/>
          <w:spacing w:val="0"/>
          <w:sz w:val="20"/>
          <w:szCs w:val="20"/>
          <w:lang w:val="en-ZA" w:eastAsia="en-ZA"/>
        </w:rPr>
        <w:t>19 pandemic. In 2021/22, the company expects capital expenditure to amount to R11.8 billion – 12 per cent less than its original target of R13.5 billion. An estimated 80 per cent of this capital expenditure will be from internally generated funds to reduce reliance on debt.</w:t>
      </w:r>
    </w:p>
    <w:p w:rsidR="00E02DCB" w:rsidRPr="00CE42F2" w:rsidRDefault="00E02DCB" w:rsidP="00CE42F2">
      <w:pPr>
        <w:autoSpaceDE w:val="0"/>
        <w:autoSpaceDN w:val="0"/>
        <w:adjustRightInd w:val="0"/>
        <w:rPr>
          <w:rFonts w:cs="Arial"/>
          <w:color w:val="auto"/>
          <w:spacing w:val="0"/>
          <w:sz w:val="20"/>
          <w:szCs w:val="20"/>
          <w:lang w:val="en-ZA" w:eastAsia="en-ZA"/>
        </w:rPr>
      </w:pPr>
    </w:p>
    <w:p w:rsidR="00E02DCB" w:rsidRPr="00CE42F2" w:rsidRDefault="00E02DCB" w:rsidP="00CE42F2">
      <w:pPr>
        <w:autoSpaceDE w:val="0"/>
        <w:autoSpaceDN w:val="0"/>
        <w:adjustRightInd w:val="0"/>
        <w:rPr>
          <w:rFonts w:cs="Arial"/>
          <w:color w:val="auto"/>
          <w:spacing w:val="0"/>
          <w:sz w:val="20"/>
          <w:szCs w:val="20"/>
          <w:lang w:val="en-ZA" w:eastAsia="en-ZA"/>
        </w:rPr>
      </w:pPr>
      <w:r w:rsidRPr="00CE42F2">
        <w:rPr>
          <w:rFonts w:cs="Arial"/>
          <w:color w:val="auto"/>
          <w:spacing w:val="0"/>
          <w:sz w:val="20"/>
          <w:szCs w:val="20"/>
          <w:lang w:val="en-ZA" w:eastAsia="en-ZA"/>
        </w:rPr>
        <w:t>Revenue decreased from R75.2 billion in 2019/20 to R67.3 billion in 2020/21 due to the negative impact of the COVID</w:t>
      </w:r>
      <w:r w:rsidRPr="00CE42F2">
        <w:rPr>
          <w:rFonts w:ascii="Times New Roman" w:hAnsi="Times New Roman" w:cs="Arial"/>
          <w:color w:val="auto"/>
          <w:spacing w:val="0"/>
          <w:sz w:val="20"/>
          <w:szCs w:val="20"/>
          <w:lang w:val="en-ZA" w:eastAsia="en-ZA"/>
        </w:rPr>
        <w:t>‐</w:t>
      </w:r>
      <w:r w:rsidRPr="00CE42F2">
        <w:rPr>
          <w:rFonts w:cs="Arial"/>
          <w:color w:val="auto"/>
          <w:spacing w:val="0"/>
          <w:sz w:val="20"/>
          <w:szCs w:val="20"/>
          <w:lang w:val="en-ZA" w:eastAsia="en-ZA"/>
        </w:rPr>
        <w:t xml:space="preserve">19 lockdowns. As a result, the entity reported a net loss of R8.4 billion in 2020/21 compared to a profit of R2.9 billion in 2019/20. The poor revenue performance in 2020/21 was exacerbated by the theft of cables and related rail infrastructure, an inability to carry out maintenance operations during lockdowns, global supply chain bottlenecks, and challenges in government and global procurement, all of which disrupted rail operations. However, the situation looks likely to </w:t>
      </w:r>
      <w:r w:rsidRPr="00CE42F2">
        <w:rPr>
          <w:rFonts w:cs="Arial"/>
          <w:color w:val="auto"/>
          <w:spacing w:val="0"/>
          <w:sz w:val="20"/>
          <w:szCs w:val="20"/>
          <w:lang w:val="en-ZA" w:eastAsia="en-ZA"/>
        </w:rPr>
        <w:lastRenderedPageBreak/>
        <w:t>improve. The resolution of contract disputes to acquire locomotives is set to improve the availability of rolling stock and maintenance material, as well as Transnet’s ability to access certain parts from original equipment manufacturers. Security implementation plans are being prioritised within Transnet and in collaboration with state security agencies and related government departments to address the recurring loss of revenue and the unavailability and unreliability of the rail network due to security incidents in freight corridors. The cost of these incidents in 2021/22 is estimated to be more than R2 billion. Some Transnet customers are also open to collaborating to limit the occurrence of security incidents. Through regular engagements and site visits, the department will monitor the implementation of structural reforms to ensure Transnet’s economic recovery and address inefficiencies in the freight transport sector. In June 2021, the president announced the establishment of the Transnet National Ports Authority as an independent subsidiary of Transnet in line with the National Ports Act (2005). New port equipment will be procured with the objective of reversing the negative effects of a lack of maintenance at ports over the years. The company will actively seek private</w:t>
      </w:r>
      <w:r w:rsidRPr="00CE42F2">
        <w:rPr>
          <w:rFonts w:ascii="Times New Roman" w:hAnsi="Times New Roman" w:cs="Arial"/>
          <w:color w:val="auto"/>
          <w:spacing w:val="0"/>
          <w:sz w:val="20"/>
          <w:szCs w:val="20"/>
          <w:lang w:val="en-ZA" w:eastAsia="en-ZA"/>
        </w:rPr>
        <w:t>‐</w:t>
      </w:r>
      <w:r w:rsidRPr="00CE42F2">
        <w:rPr>
          <w:rFonts w:cs="Arial"/>
          <w:color w:val="auto"/>
          <w:spacing w:val="0"/>
          <w:sz w:val="20"/>
          <w:szCs w:val="20"/>
          <w:lang w:val="en-ZA" w:eastAsia="en-ZA"/>
        </w:rPr>
        <w:t>sector participation in port and rail freight. This investment in ports, which is envisaged to be in place by the end of 2022/23, is expected to contribute to the modernisation of and improvements in the capacity of the Ngqura container terminal, Durban container terminal pier 2, and Kaalfontein automotive terminal. The cost of the Durban port expansion alone is projected to be more than R100 billion. Private</w:t>
      </w:r>
      <w:r w:rsidRPr="00CE42F2">
        <w:rPr>
          <w:rFonts w:ascii="Times New Roman" w:hAnsi="Times New Roman" w:cs="Arial"/>
          <w:color w:val="auto"/>
          <w:spacing w:val="0"/>
          <w:sz w:val="20"/>
          <w:szCs w:val="20"/>
          <w:lang w:val="en-ZA" w:eastAsia="en-ZA"/>
        </w:rPr>
        <w:t>‐</w:t>
      </w:r>
      <w:r w:rsidRPr="00CE42F2">
        <w:rPr>
          <w:rFonts w:cs="Arial"/>
          <w:color w:val="auto"/>
          <w:spacing w:val="0"/>
          <w:sz w:val="20"/>
          <w:szCs w:val="20"/>
          <w:lang w:val="en-ZA" w:eastAsia="en-ZA"/>
        </w:rPr>
        <w:t>sector investment is also expected to contribute to the migration from road to rail and reduce the cost of logistics. The department will collaborate with the Department of Transport to ensure the implementation of the road</w:t>
      </w:r>
      <w:r w:rsidRPr="00CE42F2">
        <w:rPr>
          <w:rFonts w:ascii="Times New Roman" w:hAnsi="Times New Roman" w:cs="Arial"/>
          <w:color w:val="auto"/>
          <w:spacing w:val="0"/>
          <w:sz w:val="20"/>
          <w:szCs w:val="20"/>
          <w:lang w:val="en-ZA" w:eastAsia="en-ZA"/>
        </w:rPr>
        <w:t>‐</w:t>
      </w:r>
      <w:r w:rsidRPr="00CE42F2">
        <w:rPr>
          <w:rFonts w:cs="Arial"/>
          <w:color w:val="auto"/>
          <w:spacing w:val="0"/>
          <w:sz w:val="20"/>
          <w:szCs w:val="20"/>
          <w:lang w:val="en-ZA" w:eastAsia="en-ZA"/>
        </w:rPr>
        <w:t>to</w:t>
      </w:r>
      <w:r w:rsidRPr="00CE42F2">
        <w:rPr>
          <w:rFonts w:ascii="Times New Roman" w:hAnsi="Times New Roman" w:cs="Arial"/>
          <w:color w:val="auto"/>
          <w:spacing w:val="0"/>
          <w:sz w:val="20"/>
          <w:szCs w:val="20"/>
          <w:lang w:val="en-ZA" w:eastAsia="en-ZA"/>
        </w:rPr>
        <w:t>‐</w:t>
      </w:r>
      <w:r w:rsidRPr="00CE42F2">
        <w:rPr>
          <w:rFonts w:cs="Arial"/>
          <w:color w:val="auto"/>
          <w:spacing w:val="0"/>
          <w:sz w:val="20"/>
          <w:szCs w:val="20"/>
          <w:lang w:val="en-ZA" w:eastAsia="en-ZA"/>
        </w:rPr>
        <w:t>rail strategy.</w:t>
      </w:r>
    </w:p>
    <w:p w:rsidR="00E52277" w:rsidRPr="00CE42F2" w:rsidRDefault="00E52277" w:rsidP="00CE42F2">
      <w:pPr>
        <w:tabs>
          <w:tab w:val="left" w:pos="3960"/>
        </w:tabs>
        <w:rPr>
          <w:rFonts w:cs="Arial"/>
          <w:color w:val="auto"/>
          <w:sz w:val="20"/>
          <w:szCs w:val="20"/>
        </w:rPr>
      </w:pPr>
    </w:p>
    <w:p w:rsidR="000B4E6A" w:rsidRPr="00CE42F2" w:rsidRDefault="000B4E6A" w:rsidP="00CE42F2">
      <w:pPr>
        <w:tabs>
          <w:tab w:val="left" w:pos="3960"/>
        </w:tabs>
        <w:rPr>
          <w:rFonts w:cs="Arial"/>
          <w:b/>
          <w:color w:val="auto"/>
          <w:sz w:val="20"/>
          <w:szCs w:val="20"/>
        </w:rPr>
      </w:pPr>
      <w:r w:rsidRPr="00CE42F2">
        <w:rPr>
          <w:rFonts w:cs="Arial"/>
          <w:b/>
          <w:color w:val="auto"/>
          <w:sz w:val="20"/>
          <w:szCs w:val="20"/>
        </w:rPr>
        <w:t xml:space="preserve">6.        Committee Observations </w:t>
      </w:r>
    </w:p>
    <w:p w:rsidR="000B4E6A" w:rsidRPr="00CE42F2" w:rsidRDefault="000B4E6A" w:rsidP="00CE42F2">
      <w:pPr>
        <w:tabs>
          <w:tab w:val="left" w:pos="3960"/>
        </w:tabs>
        <w:rPr>
          <w:rFonts w:cs="Arial"/>
          <w:b/>
          <w:color w:val="auto"/>
          <w:sz w:val="20"/>
          <w:szCs w:val="20"/>
        </w:rPr>
      </w:pPr>
    </w:p>
    <w:p w:rsidR="00811D56" w:rsidRPr="00CE42F2" w:rsidRDefault="00811D56" w:rsidP="00CE42F2">
      <w:pPr>
        <w:rPr>
          <w:rFonts w:cs="Arial"/>
          <w:color w:val="auto"/>
          <w:sz w:val="20"/>
          <w:szCs w:val="20"/>
        </w:rPr>
      </w:pPr>
      <w:r w:rsidRPr="00CE42F2">
        <w:rPr>
          <w:rFonts w:cs="Arial"/>
          <w:b/>
          <w:color w:val="auto"/>
          <w:sz w:val="20"/>
          <w:szCs w:val="20"/>
        </w:rPr>
        <w:t>6.1</w:t>
      </w:r>
      <w:r w:rsidRPr="00CE42F2">
        <w:rPr>
          <w:rFonts w:cs="Arial"/>
          <w:b/>
          <w:color w:val="auto"/>
          <w:sz w:val="20"/>
          <w:szCs w:val="20"/>
        </w:rPr>
        <w:tab/>
      </w:r>
      <w:r w:rsidRPr="00CE42F2">
        <w:rPr>
          <w:rFonts w:cs="Arial"/>
          <w:color w:val="auto"/>
          <w:sz w:val="20"/>
          <w:szCs w:val="20"/>
        </w:rPr>
        <w:t>The Committee made the following observations:</w:t>
      </w:r>
    </w:p>
    <w:p w:rsidR="00811D56" w:rsidRPr="00CE42F2" w:rsidRDefault="00811D56" w:rsidP="00CE42F2">
      <w:pPr>
        <w:ind w:firstLine="720"/>
        <w:rPr>
          <w:rFonts w:cs="Arial"/>
          <w:color w:val="auto"/>
          <w:sz w:val="20"/>
          <w:szCs w:val="20"/>
          <w:lang w:val="en-US" w:eastAsia="en-US"/>
        </w:rPr>
      </w:pPr>
      <w:r w:rsidRPr="00CE42F2">
        <w:rPr>
          <w:rFonts w:cs="Arial"/>
          <w:color w:val="auto"/>
          <w:sz w:val="20"/>
          <w:szCs w:val="20"/>
          <w:lang w:val="en-US" w:eastAsia="en-US"/>
        </w:rPr>
        <w:t xml:space="preserve">  </w:t>
      </w:r>
    </w:p>
    <w:p w:rsidR="00811D56" w:rsidRPr="00CE42F2" w:rsidRDefault="00811D56" w:rsidP="00CE42F2">
      <w:pPr>
        <w:ind w:left="720" w:hanging="720"/>
        <w:rPr>
          <w:rFonts w:cs="Arial"/>
          <w:color w:val="auto"/>
          <w:sz w:val="20"/>
          <w:szCs w:val="20"/>
          <w:lang w:val="en-US" w:eastAsia="en-US"/>
        </w:rPr>
      </w:pPr>
      <w:r w:rsidRPr="00CE42F2">
        <w:rPr>
          <w:rFonts w:cs="Arial"/>
          <w:color w:val="auto"/>
          <w:sz w:val="20"/>
          <w:szCs w:val="20"/>
          <w:lang w:val="en-US" w:eastAsia="en-US"/>
        </w:rPr>
        <w:t>6.1.1</w:t>
      </w:r>
      <w:r w:rsidRPr="00CE42F2">
        <w:rPr>
          <w:rFonts w:cs="Arial"/>
          <w:color w:val="auto"/>
          <w:sz w:val="20"/>
          <w:szCs w:val="20"/>
          <w:lang w:val="en-US" w:eastAsia="en-US"/>
        </w:rPr>
        <w:tab/>
        <w:t xml:space="preserve">The Committee welcomed the strategic plan and annual performance plan of the department, but noted with concern the constrained budget of the department to effectively exercise oversight over state-owned companies.  </w:t>
      </w:r>
    </w:p>
    <w:p w:rsidR="00811D56" w:rsidRPr="00CE42F2" w:rsidRDefault="00811D56" w:rsidP="00CE42F2">
      <w:pPr>
        <w:ind w:left="720" w:hanging="720"/>
        <w:rPr>
          <w:rFonts w:cs="Arial"/>
          <w:color w:val="auto"/>
          <w:sz w:val="20"/>
          <w:szCs w:val="20"/>
          <w:lang w:val="en-US" w:eastAsia="en-US"/>
        </w:rPr>
      </w:pPr>
      <w:r w:rsidRPr="00CE42F2">
        <w:rPr>
          <w:rFonts w:cs="Arial"/>
          <w:color w:val="auto"/>
          <w:sz w:val="20"/>
          <w:szCs w:val="20"/>
          <w:lang w:val="en-US" w:eastAsia="en-US"/>
        </w:rPr>
        <w:t>6.1.2</w:t>
      </w:r>
      <w:r w:rsidRPr="00CE42F2">
        <w:rPr>
          <w:rFonts w:cs="Arial"/>
          <w:color w:val="auto"/>
          <w:sz w:val="20"/>
          <w:szCs w:val="20"/>
          <w:lang w:val="en-US" w:eastAsia="en-US"/>
        </w:rPr>
        <w:tab/>
        <w:t>The Committee noted with concern that the Shareholder Management Bill did not feature as a deliverable in 2022/23 financial year, and the absence of such an overa</w:t>
      </w:r>
      <w:r w:rsidR="00C76647" w:rsidRPr="00CE42F2">
        <w:rPr>
          <w:rFonts w:cs="Arial"/>
          <w:color w:val="auto"/>
          <w:sz w:val="20"/>
          <w:szCs w:val="20"/>
          <w:lang w:val="en-US" w:eastAsia="en-US"/>
        </w:rPr>
        <w:t>r</w:t>
      </w:r>
      <w:r w:rsidRPr="00CE42F2">
        <w:rPr>
          <w:rFonts w:cs="Arial"/>
          <w:color w:val="auto"/>
          <w:sz w:val="20"/>
          <w:szCs w:val="20"/>
          <w:lang w:val="en-US" w:eastAsia="en-US"/>
        </w:rPr>
        <w:t>ching legislation continues to weaken the ability of the state to direct SOCs in advancing the developmental objectives of government.</w:t>
      </w:r>
    </w:p>
    <w:p w:rsidR="00811D56" w:rsidRPr="00CE42F2" w:rsidRDefault="00811D56" w:rsidP="00CE42F2">
      <w:pPr>
        <w:ind w:left="709" w:hanging="709"/>
        <w:rPr>
          <w:rFonts w:cs="Arial"/>
          <w:color w:val="auto"/>
          <w:sz w:val="20"/>
          <w:szCs w:val="20"/>
          <w:lang w:val="en-US" w:eastAsia="en-US"/>
        </w:rPr>
      </w:pPr>
      <w:r w:rsidRPr="00CE42F2">
        <w:rPr>
          <w:rFonts w:cs="Arial"/>
          <w:color w:val="auto"/>
          <w:sz w:val="20"/>
          <w:szCs w:val="20"/>
          <w:lang w:val="en-US" w:eastAsia="en-US"/>
        </w:rPr>
        <w:t>6.1.3</w:t>
      </w:r>
      <w:r w:rsidR="001E7E56" w:rsidRPr="00CE42F2">
        <w:rPr>
          <w:rFonts w:cs="Arial"/>
          <w:color w:val="auto"/>
          <w:sz w:val="20"/>
          <w:szCs w:val="20"/>
          <w:lang w:val="en-US" w:eastAsia="en-US"/>
        </w:rPr>
        <w:tab/>
      </w:r>
      <w:r w:rsidRPr="00CE42F2">
        <w:rPr>
          <w:rFonts w:cs="Arial"/>
          <w:color w:val="auto"/>
          <w:sz w:val="20"/>
          <w:szCs w:val="20"/>
          <w:lang w:val="en-US" w:eastAsia="en-US"/>
        </w:rPr>
        <w:t>The Committee expressed concern that there are still no remuneration standards for executives and boards of state-owned companies.</w:t>
      </w:r>
    </w:p>
    <w:p w:rsidR="00811D56" w:rsidRPr="00CE42F2" w:rsidRDefault="00811D56" w:rsidP="00CE42F2">
      <w:pPr>
        <w:ind w:left="720" w:hanging="720"/>
        <w:rPr>
          <w:rFonts w:cs="Arial"/>
          <w:color w:val="auto"/>
          <w:sz w:val="20"/>
          <w:szCs w:val="20"/>
          <w:lang w:val="en-US" w:eastAsia="en-US"/>
        </w:rPr>
      </w:pPr>
      <w:r w:rsidRPr="00CE42F2">
        <w:rPr>
          <w:rFonts w:cs="Arial"/>
          <w:color w:val="auto"/>
          <w:sz w:val="20"/>
          <w:szCs w:val="20"/>
          <w:lang w:val="en-US" w:eastAsia="en-US"/>
        </w:rPr>
        <w:t>6.1.4</w:t>
      </w:r>
      <w:r w:rsidRPr="00CE42F2">
        <w:rPr>
          <w:rFonts w:cs="Arial"/>
          <w:color w:val="auto"/>
          <w:sz w:val="20"/>
          <w:szCs w:val="20"/>
          <w:lang w:val="en-US" w:eastAsia="en-US"/>
        </w:rPr>
        <w:tab/>
        <w:t xml:space="preserve">The Committee noted with concern the lack of favourable legislative and policy environment to enable SOCs to operate efficiently and be competitive in the market. </w:t>
      </w:r>
    </w:p>
    <w:p w:rsidR="00811D56" w:rsidRPr="00CE42F2" w:rsidRDefault="00811D56" w:rsidP="00CE42F2">
      <w:pPr>
        <w:ind w:left="720" w:hanging="720"/>
        <w:rPr>
          <w:rFonts w:cs="Arial"/>
          <w:color w:val="auto"/>
          <w:sz w:val="20"/>
          <w:szCs w:val="20"/>
          <w:lang w:val="en-US" w:eastAsia="en-US"/>
        </w:rPr>
      </w:pPr>
      <w:r w:rsidRPr="00CE42F2">
        <w:rPr>
          <w:rFonts w:cs="Arial"/>
          <w:color w:val="auto"/>
          <w:sz w:val="20"/>
          <w:szCs w:val="20"/>
          <w:lang w:val="en-US" w:eastAsia="en-US"/>
        </w:rPr>
        <w:t>6.1.5</w:t>
      </w:r>
      <w:r w:rsidRPr="00CE42F2">
        <w:rPr>
          <w:rFonts w:cs="Arial"/>
          <w:color w:val="auto"/>
          <w:sz w:val="20"/>
          <w:szCs w:val="20"/>
          <w:lang w:val="en-US" w:eastAsia="en-US"/>
        </w:rPr>
        <w:tab/>
        <w:t xml:space="preserve">The Committee expressed concern regarding the ageing infrastructure and the lack of investment in capital equipment and machinery in most state-owned companies, which has affected the productivity of the companies. </w:t>
      </w:r>
    </w:p>
    <w:p w:rsidR="00811D56" w:rsidRPr="00CE42F2" w:rsidRDefault="00811D56" w:rsidP="00CE42F2">
      <w:pPr>
        <w:ind w:left="720" w:hanging="720"/>
        <w:rPr>
          <w:rFonts w:cs="Arial"/>
          <w:color w:val="auto"/>
          <w:sz w:val="20"/>
          <w:szCs w:val="20"/>
          <w:lang w:val="en-US" w:eastAsia="en-US"/>
        </w:rPr>
      </w:pPr>
      <w:r w:rsidRPr="00CE42F2">
        <w:rPr>
          <w:rFonts w:cs="Arial"/>
          <w:color w:val="auto"/>
          <w:sz w:val="20"/>
          <w:szCs w:val="20"/>
          <w:lang w:val="en-US" w:eastAsia="en-US"/>
        </w:rPr>
        <w:t>6.1.6</w:t>
      </w:r>
      <w:r w:rsidRPr="00CE42F2">
        <w:rPr>
          <w:rFonts w:cs="Arial"/>
          <w:color w:val="auto"/>
          <w:sz w:val="20"/>
          <w:szCs w:val="20"/>
          <w:lang w:val="en-US" w:eastAsia="en-US"/>
        </w:rPr>
        <w:tab/>
        <w:t xml:space="preserve">The Committee expressed concern over lack of transformation and lack of effort in ensuring that there is improved percentage of local content in goods and services purchased by SOCs. </w:t>
      </w:r>
    </w:p>
    <w:p w:rsidR="00811D56" w:rsidRPr="00CE42F2" w:rsidRDefault="00811D56" w:rsidP="00CE42F2">
      <w:pPr>
        <w:ind w:left="720" w:hanging="720"/>
        <w:rPr>
          <w:rFonts w:cs="Arial"/>
          <w:color w:val="auto"/>
          <w:sz w:val="20"/>
          <w:szCs w:val="20"/>
          <w:lang w:val="en-US" w:eastAsia="en-US"/>
        </w:rPr>
      </w:pPr>
      <w:r w:rsidRPr="00CE42F2">
        <w:rPr>
          <w:rFonts w:cs="Arial"/>
          <w:color w:val="auto"/>
          <w:sz w:val="20"/>
          <w:szCs w:val="20"/>
          <w:lang w:val="en-US" w:eastAsia="en-US"/>
        </w:rPr>
        <w:t>6.1.7</w:t>
      </w:r>
      <w:r w:rsidRPr="00CE42F2">
        <w:rPr>
          <w:rFonts w:cs="Arial"/>
          <w:color w:val="auto"/>
          <w:sz w:val="20"/>
          <w:szCs w:val="20"/>
          <w:lang w:val="en-US" w:eastAsia="en-US"/>
        </w:rPr>
        <w:tab/>
        <w:t>The Committee noted that whilst there is progress in the appointment of female executives, there is still more that need to be done with regards to empowerment of youth, women and people living with disabilities.</w:t>
      </w:r>
    </w:p>
    <w:p w:rsidR="00811D56" w:rsidRPr="00CE42F2" w:rsidRDefault="00811D56" w:rsidP="00CE42F2">
      <w:pPr>
        <w:ind w:left="720" w:hanging="720"/>
        <w:rPr>
          <w:rFonts w:cs="Arial"/>
          <w:color w:val="auto"/>
          <w:sz w:val="20"/>
          <w:szCs w:val="20"/>
          <w:lang w:val="en-US" w:eastAsia="en-US"/>
        </w:rPr>
      </w:pPr>
      <w:r w:rsidRPr="00CE42F2">
        <w:rPr>
          <w:rFonts w:cs="Arial"/>
          <w:color w:val="auto"/>
          <w:sz w:val="20"/>
          <w:szCs w:val="20"/>
          <w:lang w:val="en-US" w:eastAsia="en-US"/>
        </w:rPr>
        <w:t>6.1.8</w:t>
      </w:r>
      <w:r w:rsidRPr="00CE42F2">
        <w:rPr>
          <w:rFonts w:cs="Arial"/>
          <w:color w:val="auto"/>
          <w:sz w:val="20"/>
          <w:szCs w:val="20"/>
          <w:lang w:val="en-US" w:eastAsia="en-US"/>
        </w:rPr>
        <w:tab/>
        <w:t>The Committee expressed concern that in some entities such as Denel, there is still a plight of unpaid workers due to financial challenges facing the company.</w:t>
      </w:r>
    </w:p>
    <w:p w:rsidR="00811D56" w:rsidRPr="00CE42F2" w:rsidRDefault="00811D56" w:rsidP="00CE42F2">
      <w:pPr>
        <w:ind w:left="720" w:hanging="720"/>
        <w:rPr>
          <w:rFonts w:cs="Arial"/>
          <w:color w:val="auto"/>
          <w:sz w:val="20"/>
          <w:szCs w:val="20"/>
          <w:lang w:val="en-US" w:eastAsia="en-US"/>
        </w:rPr>
      </w:pPr>
      <w:r w:rsidRPr="00CE42F2">
        <w:rPr>
          <w:rFonts w:cs="Arial"/>
          <w:color w:val="auto"/>
          <w:sz w:val="20"/>
          <w:szCs w:val="20"/>
          <w:lang w:val="en-US" w:eastAsia="en-US"/>
        </w:rPr>
        <w:t>6.1.9   The Committee has welcomed the call to restructure SOCs by the Department which will focus on Eskom, Transnet, Denel and SAA.</w:t>
      </w:r>
    </w:p>
    <w:p w:rsidR="00811D56" w:rsidRPr="00CE42F2" w:rsidRDefault="00811D56" w:rsidP="00CE42F2">
      <w:pPr>
        <w:ind w:left="720" w:hanging="720"/>
        <w:rPr>
          <w:rFonts w:cs="Arial"/>
          <w:color w:val="auto"/>
          <w:sz w:val="20"/>
          <w:szCs w:val="20"/>
          <w:lang w:val="en-US" w:eastAsia="en-US"/>
        </w:rPr>
      </w:pPr>
      <w:r w:rsidRPr="00CE42F2">
        <w:rPr>
          <w:rFonts w:cs="Arial"/>
          <w:color w:val="auto"/>
          <w:sz w:val="20"/>
          <w:szCs w:val="20"/>
          <w:lang w:val="en-US" w:eastAsia="en-US"/>
        </w:rPr>
        <w:t>6.1.10</w:t>
      </w:r>
      <w:r w:rsidR="002C1BB1" w:rsidRPr="00CE42F2">
        <w:rPr>
          <w:rFonts w:cs="Arial"/>
          <w:color w:val="auto"/>
          <w:sz w:val="20"/>
          <w:szCs w:val="20"/>
          <w:lang w:val="en-US" w:eastAsia="en-US"/>
        </w:rPr>
        <w:tab/>
      </w:r>
      <w:r w:rsidRPr="00CE42F2">
        <w:rPr>
          <w:rFonts w:cs="Arial"/>
          <w:color w:val="auto"/>
          <w:sz w:val="20"/>
          <w:szCs w:val="20"/>
          <w:lang w:val="en-US" w:eastAsia="en-US"/>
        </w:rPr>
        <w:t>The Committee noted that energy security remains critical for socio-economic growth and will further monitor the restructuring of Eskom into three subsidiaries</w:t>
      </w:r>
      <w:r w:rsidR="002C158D" w:rsidRPr="00CE42F2">
        <w:rPr>
          <w:rFonts w:cs="Arial"/>
          <w:color w:val="auto"/>
          <w:sz w:val="20"/>
          <w:szCs w:val="20"/>
          <w:lang w:val="en-US" w:eastAsia="en-US"/>
        </w:rPr>
        <w:t xml:space="preserve">, namely </w:t>
      </w:r>
      <w:r w:rsidRPr="00CE42F2">
        <w:rPr>
          <w:rFonts w:cs="Arial"/>
          <w:color w:val="auto"/>
          <w:sz w:val="20"/>
          <w:szCs w:val="20"/>
          <w:lang w:val="en-US" w:eastAsia="en-US"/>
        </w:rPr>
        <w:t>Generation, Transmission and Distribution</w:t>
      </w:r>
      <w:r w:rsidR="002C158D" w:rsidRPr="00CE42F2">
        <w:rPr>
          <w:rFonts w:cs="Arial"/>
          <w:color w:val="auto"/>
          <w:sz w:val="20"/>
          <w:szCs w:val="20"/>
          <w:lang w:val="en-US" w:eastAsia="en-US"/>
        </w:rPr>
        <w:t>,</w:t>
      </w:r>
      <w:r w:rsidRPr="00CE42F2">
        <w:rPr>
          <w:rFonts w:cs="Arial"/>
          <w:color w:val="auto"/>
          <w:sz w:val="20"/>
          <w:szCs w:val="20"/>
          <w:lang w:val="en-US" w:eastAsia="en-US"/>
        </w:rPr>
        <w:t xml:space="preserve"> as planned.</w:t>
      </w:r>
    </w:p>
    <w:p w:rsidR="00811D56" w:rsidRPr="00CE42F2" w:rsidRDefault="00811D56" w:rsidP="00CE42F2">
      <w:pPr>
        <w:ind w:left="720" w:hanging="720"/>
        <w:rPr>
          <w:rFonts w:cs="Arial"/>
          <w:color w:val="auto"/>
          <w:sz w:val="20"/>
          <w:szCs w:val="20"/>
          <w:lang w:val="en-US" w:eastAsia="en-US"/>
        </w:rPr>
      </w:pPr>
      <w:r w:rsidRPr="00CE42F2">
        <w:rPr>
          <w:rFonts w:cs="Arial"/>
          <w:color w:val="auto"/>
          <w:sz w:val="20"/>
          <w:szCs w:val="20"/>
          <w:lang w:val="en-US" w:eastAsia="en-US"/>
        </w:rPr>
        <w:t xml:space="preserve">6.1.11 The Committee noted the sale of 51% of SAA shares to Takatso Consortium, and will closely monitor the conclusion of the transaction, including ensuring that former employees do receive their due payments.   </w:t>
      </w:r>
    </w:p>
    <w:p w:rsidR="00811D56" w:rsidRPr="00CE42F2" w:rsidRDefault="00811D56" w:rsidP="00CE42F2">
      <w:pPr>
        <w:ind w:left="720" w:hanging="720"/>
        <w:rPr>
          <w:rFonts w:cs="Arial"/>
          <w:color w:val="auto"/>
          <w:sz w:val="20"/>
          <w:szCs w:val="20"/>
          <w:lang w:val="en-US" w:eastAsia="en-US"/>
        </w:rPr>
      </w:pPr>
      <w:r w:rsidRPr="00CE42F2">
        <w:rPr>
          <w:rFonts w:cs="Arial"/>
          <w:color w:val="auto"/>
          <w:sz w:val="20"/>
          <w:szCs w:val="20"/>
          <w:lang w:val="en-US" w:eastAsia="en-US"/>
        </w:rPr>
        <w:t>6.1.1</w:t>
      </w:r>
      <w:r w:rsidR="00830298" w:rsidRPr="00CE42F2">
        <w:rPr>
          <w:rFonts w:cs="Arial"/>
          <w:color w:val="auto"/>
          <w:sz w:val="20"/>
          <w:szCs w:val="20"/>
          <w:lang w:val="en-US" w:eastAsia="en-US"/>
        </w:rPr>
        <w:t>2</w:t>
      </w:r>
      <w:r w:rsidR="002C1BB1" w:rsidRPr="00CE42F2">
        <w:rPr>
          <w:rFonts w:cs="Arial"/>
          <w:color w:val="auto"/>
          <w:sz w:val="20"/>
          <w:szCs w:val="20"/>
          <w:lang w:val="en-US" w:eastAsia="en-US"/>
        </w:rPr>
        <w:tab/>
      </w:r>
      <w:r w:rsidRPr="00CE42F2">
        <w:rPr>
          <w:rFonts w:cs="Arial"/>
          <w:color w:val="auto"/>
          <w:sz w:val="20"/>
          <w:szCs w:val="20"/>
          <w:lang w:val="en-US" w:eastAsia="en-US"/>
        </w:rPr>
        <w:t xml:space="preserve">The Committee noted with concern that the recoveries of monies, assets and intellectual properties from SOCs during the state capture </w:t>
      </w:r>
      <w:r w:rsidR="00C76647" w:rsidRPr="00CE42F2">
        <w:rPr>
          <w:rFonts w:cs="Arial"/>
          <w:color w:val="auto"/>
          <w:sz w:val="20"/>
          <w:szCs w:val="20"/>
          <w:lang w:val="en-US" w:eastAsia="en-US"/>
        </w:rPr>
        <w:t xml:space="preserve">process </w:t>
      </w:r>
      <w:r w:rsidRPr="00CE42F2">
        <w:rPr>
          <w:rFonts w:cs="Arial"/>
          <w:color w:val="auto"/>
          <w:sz w:val="20"/>
          <w:szCs w:val="20"/>
          <w:lang w:val="en-US" w:eastAsia="en-US"/>
        </w:rPr>
        <w:t xml:space="preserve">has been slow.  </w:t>
      </w:r>
    </w:p>
    <w:p w:rsidR="00811D56" w:rsidRPr="00CE42F2" w:rsidRDefault="00811D56" w:rsidP="00CE42F2">
      <w:pPr>
        <w:ind w:left="720" w:hanging="720"/>
        <w:rPr>
          <w:rFonts w:cs="Arial"/>
          <w:color w:val="auto"/>
          <w:sz w:val="20"/>
          <w:szCs w:val="20"/>
          <w:lang w:val="en-US" w:eastAsia="en-US"/>
        </w:rPr>
      </w:pPr>
      <w:r w:rsidRPr="00CE42F2">
        <w:rPr>
          <w:rFonts w:cs="Arial"/>
          <w:color w:val="auto"/>
          <w:sz w:val="20"/>
          <w:szCs w:val="20"/>
          <w:lang w:val="en-US" w:eastAsia="en-US"/>
        </w:rPr>
        <w:t>6.1.1</w:t>
      </w:r>
      <w:r w:rsidR="00830298" w:rsidRPr="00CE42F2">
        <w:rPr>
          <w:rFonts w:cs="Arial"/>
          <w:color w:val="auto"/>
          <w:sz w:val="20"/>
          <w:szCs w:val="20"/>
          <w:lang w:val="en-US" w:eastAsia="en-US"/>
        </w:rPr>
        <w:t>3</w:t>
      </w:r>
      <w:r w:rsidR="002C1BB1" w:rsidRPr="00CE42F2">
        <w:rPr>
          <w:rFonts w:cs="Arial"/>
          <w:color w:val="auto"/>
          <w:sz w:val="20"/>
          <w:szCs w:val="20"/>
          <w:lang w:val="en-US" w:eastAsia="en-US"/>
        </w:rPr>
        <w:tab/>
      </w:r>
      <w:r w:rsidRPr="00CE42F2">
        <w:rPr>
          <w:rFonts w:cs="Arial"/>
          <w:color w:val="auto"/>
          <w:sz w:val="20"/>
          <w:szCs w:val="20"/>
          <w:lang w:val="en-US" w:eastAsia="en-US"/>
        </w:rPr>
        <w:t>The Committee welcomed efforts of the Department of Public Enterprises to start</w:t>
      </w:r>
      <w:r w:rsidR="00C76647" w:rsidRPr="00CE42F2">
        <w:rPr>
          <w:rFonts w:cs="Arial"/>
          <w:color w:val="auto"/>
          <w:sz w:val="20"/>
          <w:szCs w:val="20"/>
          <w:lang w:val="en-US" w:eastAsia="en-US"/>
        </w:rPr>
        <w:t xml:space="preserve"> the</w:t>
      </w:r>
      <w:r w:rsidRPr="00CE42F2">
        <w:rPr>
          <w:rFonts w:cs="Arial"/>
          <w:color w:val="auto"/>
          <w:sz w:val="20"/>
          <w:szCs w:val="20"/>
          <w:lang w:val="en-US" w:eastAsia="en-US"/>
        </w:rPr>
        <w:t xml:space="preserve"> SOE Integrity Risk Unit which will review forensic reports and follow up on </w:t>
      </w:r>
      <w:r w:rsidR="00C76647" w:rsidRPr="00CE42F2">
        <w:rPr>
          <w:rFonts w:cs="Arial"/>
          <w:color w:val="auto"/>
          <w:sz w:val="20"/>
          <w:szCs w:val="20"/>
          <w:lang w:val="en-US" w:eastAsia="en-US"/>
        </w:rPr>
        <w:t xml:space="preserve">with the </w:t>
      </w:r>
      <w:r w:rsidRPr="00CE42F2">
        <w:rPr>
          <w:rFonts w:cs="Arial"/>
          <w:color w:val="auto"/>
          <w:sz w:val="20"/>
          <w:szCs w:val="20"/>
          <w:lang w:val="en-US" w:eastAsia="en-US"/>
        </w:rPr>
        <w:t>Special Investigati</w:t>
      </w:r>
      <w:r w:rsidR="00830298" w:rsidRPr="00CE42F2">
        <w:rPr>
          <w:rFonts w:cs="Arial"/>
          <w:color w:val="auto"/>
          <w:sz w:val="20"/>
          <w:szCs w:val="20"/>
          <w:lang w:val="en-US" w:eastAsia="en-US"/>
        </w:rPr>
        <w:t>ng</w:t>
      </w:r>
      <w:r w:rsidRPr="00CE42F2">
        <w:rPr>
          <w:rFonts w:cs="Arial"/>
          <w:color w:val="auto"/>
          <w:sz w:val="20"/>
          <w:szCs w:val="20"/>
          <w:lang w:val="en-US" w:eastAsia="en-US"/>
        </w:rPr>
        <w:t xml:space="preserve"> Unit (SIU) in pursuing those implicated in corruption and looting the SOCs.</w:t>
      </w:r>
    </w:p>
    <w:p w:rsidR="00811D56" w:rsidRPr="00CE42F2" w:rsidRDefault="00811D56" w:rsidP="00CE42F2">
      <w:pPr>
        <w:ind w:left="720" w:hanging="720"/>
        <w:rPr>
          <w:rFonts w:cs="Arial"/>
          <w:color w:val="auto"/>
          <w:sz w:val="20"/>
          <w:szCs w:val="20"/>
          <w:lang w:val="en-US" w:eastAsia="en-US"/>
        </w:rPr>
      </w:pPr>
      <w:r w:rsidRPr="00CE42F2">
        <w:rPr>
          <w:rFonts w:cs="Arial"/>
          <w:color w:val="auto"/>
          <w:sz w:val="20"/>
          <w:szCs w:val="20"/>
          <w:lang w:val="en-US" w:eastAsia="en-US"/>
        </w:rPr>
        <w:t>6.1.1</w:t>
      </w:r>
      <w:r w:rsidR="00830298" w:rsidRPr="00CE42F2">
        <w:rPr>
          <w:rFonts w:cs="Arial"/>
          <w:color w:val="auto"/>
          <w:sz w:val="20"/>
          <w:szCs w:val="20"/>
          <w:lang w:val="en-US" w:eastAsia="en-US"/>
        </w:rPr>
        <w:t>4</w:t>
      </w:r>
      <w:r w:rsidR="002C1BB1" w:rsidRPr="00CE42F2">
        <w:rPr>
          <w:rFonts w:cs="Arial"/>
          <w:color w:val="auto"/>
          <w:sz w:val="20"/>
          <w:szCs w:val="20"/>
          <w:lang w:val="en-US" w:eastAsia="en-US"/>
        </w:rPr>
        <w:tab/>
      </w:r>
      <w:r w:rsidRPr="00CE42F2">
        <w:rPr>
          <w:rFonts w:cs="Arial"/>
          <w:color w:val="auto"/>
          <w:sz w:val="20"/>
          <w:szCs w:val="20"/>
          <w:lang w:val="en-US" w:eastAsia="en-US"/>
        </w:rPr>
        <w:t xml:space="preserve">The Committee noted with concern the lack of urgency by National Treasury to inject capital in order to rescue Denel. The Committee firmly believes that the country cannot afford to lose the advanced industrial and manufacturing capabilities, hence Denel cannot be liquidated.  </w:t>
      </w:r>
    </w:p>
    <w:p w:rsidR="00830298" w:rsidRPr="00CE42F2" w:rsidRDefault="00830298" w:rsidP="00CE42F2">
      <w:pPr>
        <w:ind w:left="720" w:hanging="720"/>
        <w:rPr>
          <w:rFonts w:cs="Arial"/>
          <w:color w:val="auto"/>
          <w:sz w:val="20"/>
          <w:szCs w:val="20"/>
          <w:lang w:val="en-US" w:eastAsia="en-US"/>
        </w:rPr>
      </w:pPr>
    </w:p>
    <w:p w:rsidR="00830298" w:rsidRPr="00CE42F2" w:rsidRDefault="00830298" w:rsidP="00CE42F2">
      <w:pPr>
        <w:ind w:left="720" w:hanging="720"/>
        <w:rPr>
          <w:rFonts w:cs="Arial"/>
          <w:color w:val="auto"/>
          <w:sz w:val="20"/>
          <w:szCs w:val="20"/>
          <w:lang w:val="en-US" w:eastAsia="en-US"/>
        </w:rPr>
      </w:pPr>
    </w:p>
    <w:p w:rsidR="00811D56" w:rsidRPr="00CE42F2" w:rsidRDefault="00811D56" w:rsidP="00CE42F2">
      <w:pPr>
        <w:tabs>
          <w:tab w:val="left" w:pos="3960"/>
        </w:tabs>
        <w:rPr>
          <w:rFonts w:cs="Arial"/>
          <w:b/>
          <w:color w:val="auto"/>
          <w:sz w:val="20"/>
          <w:szCs w:val="20"/>
        </w:rPr>
      </w:pPr>
      <w:r w:rsidRPr="00CE42F2">
        <w:rPr>
          <w:rFonts w:cs="Arial"/>
          <w:b/>
          <w:color w:val="auto"/>
          <w:sz w:val="20"/>
          <w:szCs w:val="20"/>
        </w:rPr>
        <w:t>7.        Recommendations</w:t>
      </w:r>
    </w:p>
    <w:p w:rsidR="00811D56" w:rsidRPr="00CE42F2" w:rsidRDefault="00811D56" w:rsidP="00CE42F2">
      <w:pPr>
        <w:tabs>
          <w:tab w:val="left" w:pos="3960"/>
        </w:tabs>
        <w:rPr>
          <w:rFonts w:cs="Arial"/>
          <w:color w:val="auto"/>
          <w:sz w:val="20"/>
          <w:szCs w:val="20"/>
        </w:rPr>
      </w:pPr>
    </w:p>
    <w:p w:rsidR="00811D56" w:rsidRPr="00CE42F2" w:rsidRDefault="00811D56" w:rsidP="00CE42F2">
      <w:pPr>
        <w:tabs>
          <w:tab w:val="left" w:pos="3960"/>
        </w:tabs>
        <w:rPr>
          <w:rFonts w:cs="Arial"/>
          <w:color w:val="auto"/>
          <w:sz w:val="20"/>
          <w:szCs w:val="20"/>
        </w:rPr>
      </w:pPr>
      <w:r w:rsidRPr="00CE42F2">
        <w:rPr>
          <w:rFonts w:cs="Arial"/>
          <w:color w:val="auto"/>
          <w:sz w:val="20"/>
          <w:szCs w:val="20"/>
        </w:rPr>
        <w:t>The Committee recommended that the Minister of Public Enterprises should, within the 202</w:t>
      </w:r>
      <w:r w:rsidR="00C76647" w:rsidRPr="00CE42F2">
        <w:rPr>
          <w:rFonts w:cs="Arial"/>
          <w:color w:val="auto"/>
          <w:sz w:val="20"/>
          <w:szCs w:val="20"/>
        </w:rPr>
        <w:t>2</w:t>
      </w:r>
      <w:r w:rsidRPr="00CE42F2">
        <w:rPr>
          <w:rFonts w:cs="Arial"/>
          <w:color w:val="auto"/>
          <w:sz w:val="20"/>
          <w:szCs w:val="20"/>
        </w:rPr>
        <w:t>/2</w:t>
      </w:r>
      <w:r w:rsidR="00C76647" w:rsidRPr="00CE42F2">
        <w:rPr>
          <w:rFonts w:cs="Arial"/>
          <w:color w:val="auto"/>
          <w:sz w:val="20"/>
          <w:szCs w:val="20"/>
        </w:rPr>
        <w:t>3</w:t>
      </w:r>
      <w:r w:rsidRPr="00CE42F2">
        <w:rPr>
          <w:rFonts w:cs="Arial"/>
          <w:color w:val="auto"/>
          <w:sz w:val="20"/>
          <w:szCs w:val="20"/>
        </w:rPr>
        <w:t xml:space="preserve"> financial year, ensure that the Department of Public Enterprises: </w:t>
      </w:r>
    </w:p>
    <w:p w:rsidR="00811D56" w:rsidRPr="00CE42F2" w:rsidRDefault="00811D56" w:rsidP="00CE42F2">
      <w:pPr>
        <w:ind w:left="720" w:hanging="720"/>
        <w:rPr>
          <w:rFonts w:cs="Arial"/>
          <w:color w:val="auto"/>
          <w:sz w:val="20"/>
          <w:szCs w:val="20"/>
          <w:lang w:val="en-US" w:eastAsia="en-US"/>
        </w:rPr>
      </w:pPr>
      <w:r w:rsidRPr="00CE42F2">
        <w:rPr>
          <w:rFonts w:cs="Arial"/>
          <w:color w:val="auto"/>
          <w:sz w:val="20"/>
          <w:szCs w:val="20"/>
          <w:lang w:val="en-US" w:eastAsia="en-US"/>
        </w:rPr>
        <w:t>7.1</w:t>
      </w:r>
      <w:r w:rsidRPr="00CE42F2">
        <w:rPr>
          <w:rFonts w:cs="Arial"/>
          <w:color w:val="auto"/>
          <w:sz w:val="20"/>
          <w:szCs w:val="20"/>
          <w:lang w:val="en-US" w:eastAsia="en-US"/>
        </w:rPr>
        <w:tab/>
        <w:t>report to the Committee on the establishment and operationalization of the Presidential SOE Coordinating Council, including the work the council will be doing in the implementation of the recommendations of the 2014 report by the Presidential Review Commission on SOEs. Some of the recommendations were that Government should develop: shareholder management bill, the shareholder model, SOE remuneration</w:t>
      </w:r>
      <w:r w:rsidR="0033078E" w:rsidRPr="00CE42F2">
        <w:rPr>
          <w:rFonts w:cs="Arial"/>
          <w:color w:val="auto"/>
          <w:sz w:val="20"/>
          <w:szCs w:val="20"/>
          <w:lang w:val="en-US" w:eastAsia="en-US"/>
        </w:rPr>
        <w:t xml:space="preserve"> standards, etc</w:t>
      </w:r>
      <w:r w:rsidR="002C158D" w:rsidRPr="00CE42F2">
        <w:rPr>
          <w:rFonts w:cs="Arial"/>
          <w:color w:val="auto"/>
          <w:sz w:val="20"/>
          <w:szCs w:val="20"/>
          <w:lang w:val="en-US" w:eastAsia="en-US"/>
        </w:rPr>
        <w:t>,</w:t>
      </w:r>
      <w:r w:rsidRPr="00CE42F2">
        <w:rPr>
          <w:rFonts w:cs="Arial"/>
          <w:color w:val="auto"/>
          <w:sz w:val="20"/>
          <w:szCs w:val="20"/>
          <w:lang w:val="en-US" w:eastAsia="en-US"/>
        </w:rPr>
        <w:t xml:space="preserve"> to empower the Government in its oversight </w:t>
      </w:r>
      <w:r w:rsidR="00C76647" w:rsidRPr="00CE42F2">
        <w:rPr>
          <w:rFonts w:cs="Arial"/>
          <w:color w:val="auto"/>
          <w:sz w:val="20"/>
          <w:szCs w:val="20"/>
          <w:lang w:val="en-US" w:eastAsia="en-US"/>
        </w:rPr>
        <w:t>o</w:t>
      </w:r>
      <w:r w:rsidRPr="00CE42F2">
        <w:rPr>
          <w:rFonts w:cs="Arial"/>
          <w:color w:val="auto"/>
          <w:sz w:val="20"/>
          <w:szCs w:val="20"/>
          <w:lang w:val="en-US" w:eastAsia="en-US"/>
        </w:rPr>
        <w:t>f SOCs</w:t>
      </w:r>
      <w:r w:rsidR="00806F11" w:rsidRPr="00CE42F2">
        <w:rPr>
          <w:rFonts w:cs="Arial"/>
          <w:color w:val="auto"/>
          <w:sz w:val="20"/>
          <w:szCs w:val="20"/>
          <w:lang w:val="en-US" w:eastAsia="en-US"/>
        </w:rPr>
        <w:t xml:space="preserve">. The Department should report on the progress of the Shareholder Management Bill per quarter. </w:t>
      </w:r>
    </w:p>
    <w:p w:rsidR="00811D56" w:rsidRPr="00CE42F2" w:rsidRDefault="00811D56" w:rsidP="00CE42F2">
      <w:pPr>
        <w:ind w:left="720" w:hanging="720"/>
        <w:rPr>
          <w:rFonts w:cs="Arial"/>
          <w:color w:val="auto"/>
          <w:sz w:val="20"/>
          <w:szCs w:val="20"/>
          <w:lang w:val="en-US" w:eastAsia="en-US"/>
        </w:rPr>
      </w:pPr>
      <w:r w:rsidRPr="00CE42F2">
        <w:rPr>
          <w:rFonts w:cs="Arial"/>
          <w:color w:val="auto"/>
          <w:sz w:val="20"/>
          <w:szCs w:val="20"/>
          <w:lang w:val="en-US" w:eastAsia="en-US"/>
        </w:rPr>
        <w:t>7.2</w:t>
      </w:r>
      <w:r w:rsidRPr="00CE42F2">
        <w:rPr>
          <w:rFonts w:cs="Arial"/>
          <w:color w:val="auto"/>
          <w:sz w:val="20"/>
          <w:szCs w:val="20"/>
          <w:lang w:val="en-US" w:eastAsia="en-US"/>
        </w:rPr>
        <w:tab/>
        <w:t>consider introducing a comprehensive plan to expand the corporate social investment of SOCs to rural parts of the country.</w:t>
      </w:r>
      <w:r w:rsidRPr="00CE42F2">
        <w:rPr>
          <w:rFonts w:cs="Arial"/>
          <w:color w:val="auto"/>
          <w:sz w:val="20"/>
          <w:szCs w:val="20"/>
          <w:lang w:val="en-US" w:eastAsia="en-US"/>
        </w:rPr>
        <w:tab/>
        <w:t xml:space="preserve"> </w:t>
      </w:r>
    </w:p>
    <w:p w:rsidR="00811D56" w:rsidRPr="00CE42F2" w:rsidRDefault="00811D56" w:rsidP="00CE42F2">
      <w:pPr>
        <w:ind w:left="720" w:hanging="720"/>
        <w:rPr>
          <w:rFonts w:cs="Arial"/>
          <w:color w:val="auto"/>
          <w:sz w:val="20"/>
          <w:szCs w:val="20"/>
          <w:lang w:val="en-US" w:eastAsia="en-US"/>
        </w:rPr>
      </w:pPr>
      <w:r w:rsidRPr="00CE42F2">
        <w:rPr>
          <w:rFonts w:cs="Arial"/>
          <w:color w:val="auto"/>
          <w:sz w:val="20"/>
          <w:szCs w:val="20"/>
          <w:lang w:val="en-US" w:eastAsia="en-US"/>
        </w:rPr>
        <w:t>7.3</w:t>
      </w:r>
      <w:r w:rsidRPr="00CE42F2">
        <w:rPr>
          <w:rFonts w:cs="Arial"/>
          <w:color w:val="auto"/>
          <w:sz w:val="20"/>
          <w:szCs w:val="20"/>
          <w:lang w:val="en-US" w:eastAsia="en-US"/>
        </w:rPr>
        <w:tab/>
        <w:t>consider working with the Department of Trade and Industry and National Treasury in addressing localization strategies.  These should include resetting of trade and investment cooperation to stimulate and support small businesses and employment initiatives, reduce barriers to trade in services (which are often labor-intensive) and investments in industrial value chains.</w:t>
      </w:r>
    </w:p>
    <w:p w:rsidR="00811D56" w:rsidRPr="00CE42F2" w:rsidRDefault="00811D56" w:rsidP="00CE42F2">
      <w:pPr>
        <w:ind w:left="720" w:hanging="720"/>
        <w:rPr>
          <w:rFonts w:cs="Arial"/>
          <w:color w:val="auto"/>
          <w:sz w:val="20"/>
          <w:szCs w:val="20"/>
          <w:lang w:val="en-US" w:eastAsia="en-US"/>
        </w:rPr>
      </w:pPr>
      <w:r w:rsidRPr="00CE42F2">
        <w:rPr>
          <w:rFonts w:cs="Arial"/>
          <w:color w:val="auto"/>
          <w:sz w:val="20"/>
          <w:szCs w:val="20"/>
          <w:lang w:val="en-US" w:eastAsia="en-US"/>
        </w:rPr>
        <w:t>7.4</w:t>
      </w:r>
      <w:r w:rsidRPr="00CE42F2">
        <w:rPr>
          <w:rFonts w:cs="Arial"/>
          <w:color w:val="auto"/>
          <w:sz w:val="20"/>
          <w:szCs w:val="20"/>
          <w:lang w:val="en-US" w:eastAsia="en-US"/>
        </w:rPr>
        <w:tab/>
        <w:t xml:space="preserve">prioritise </w:t>
      </w:r>
      <w:r w:rsidR="002C1BB1" w:rsidRPr="00CE42F2">
        <w:rPr>
          <w:rFonts w:cs="Arial"/>
          <w:color w:val="auto"/>
          <w:sz w:val="20"/>
          <w:szCs w:val="20"/>
          <w:lang w:val="en-US" w:eastAsia="en-US"/>
        </w:rPr>
        <w:t xml:space="preserve">the </w:t>
      </w:r>
      <w:r w:rsidRPr="00CE42F2">
        <w:rPr>
          <w:rFonts w:cs="Arial"/>
          <w:color w:val="auto"/>
          <w:sz w:val="20"/>
          <w:szCs w:val="20"/>
          <w:lang w:val="en-US" w:eastAsia="en-US"/>
        </w:rPr>
        <w:t>development of program</w:t>
      </w:r>
      <w:r w:rsidR="002C1BB1" w:rsidRPr="00CE42F2">
        <w:rPr>
          <w:rFonts w:cs="Arial"/>
          <w:color w:val="auto"/>
          <w:sz w:val="20"/>
          <w:szCs w:val="20"/>
          <w:lang w:val="en-US" w:eastAsia="en-US"/>
        </w:rPr>
        <w:t>me</w:t>
      </w:r>
      <w:r w:rsidRPr="00CE42F2">
        <w:rPr>
          <w:rFonts w:cs="Arial"/>
          <w:color w:val="auto"/>
          <w:sz w:val="20"/>
          <w:szCs w:val="20"/>
          <w:lang w:val="en-US" w:eastAsia="en-US"/>
        </w:rPr>
        <w:t>s with SOC aimed at equipping young people with appropriate skills for the economy to address youth unemployment.</w:t>
      </w:r>
    </w:p>
    <w:p w:rsidR="00811D56" w:rsidRPr="00CE42F2" w:rsidRDefault="00811D56" w:rsidP="00CE42F2">
      <w:pPr>
        <w:ind w:left="720" w:hanging="720"/>
        <w:rPr>
          <w:rFonts w:cs="Arial"/>
          <w:color w:val="auto"/>
          <w:sz w:val="20"/>
          <w:szCs w:val="20"/>
          <w:lang w:val="en-US" w:eastAsia="en-US"/>
        </w:rPr>
      </w:pPr>
      <w:r w:rsidRPr="00CE42F2">
        <w:rPr>
          <w:rFonts w:cs="Arial"/>
          <w:color w:val="auto"/>
          <w:sz w:val="20"/>
          <w:szCs w:val="20"/>
          <w:lang w:val="en-US" w:eastAsia="en-US"/>
        </w:rPr>
        <w:t xml:space="preserve">7.5 </w:t>
      </w:r>
      <w:r w:rsidRPr="00CE42F2">
        <w:rPr>
          <w:rFonts w:cs="Arial"/>
          <w:color w:val="auto"/>
          <w:sz w:val="20"/>
          <w:szCs w:val="20"/>
          <w:lang w:val="en-US" w:eastAsia="en-US"/>
        </w:rPr>
        <w:tab/>
        <w:t>provide the Committee with shareholder compacts on an annual basis and quarterly reports on how the companies are performing in achieving targets.</w:t>
      </w:r>
    </w:p>
    <w:p w:rsidR="00811D56" w:rsidRPr="00CE42F2" w:rsidRDefault="00811D56" w:rsidP="00CE42F2">
      <w:pPr>
        <w:ind w:left="720" w:hanging="720"/>
        <w:rPr>
          <w:rFonts w:cs="Arial"/>
          <w:color w:val="auto"/>
          <w:sz w:val="20"/>
          <w:szCs w:val="20"/>
          <w:lang w:val="en-US" w:eastAsia="en-US"/>
        </w:rPr>
      </w:pPr>
      <w:r w:rsidRPr="00CE42F2">
        <w:rPr>
          <w:rFonts w:cs="Arial"/>
          <w:color w:val="auto"/>
          <w:sz w:val="20"/>
          <w:szCs w:val="20"/>
          <w:lang w:val="en-US" w:eastAsia="en-US"/>
        </w:rPr>
        <w:t xml:space="preserve">7.6 </w:t>
      </w:r>
      <w:r w:rsidRPr="00CE42F2">
        <w:rPr>
          <w:rFonts w:cs="Arial"/>
          <w:color w:val="auto"/>
          <w:sz w:val="20"/>
          <w:szCs w:val="20"/>
          <w:lang w:val="en-US" w:eastAsia="en-US"/>
        </w:rPr>
        <w:tab/>
        <w:t xml:space="preserve">ensure </w:t>
      </w:r>
      <w:r w:rsidR="002C158D" w:rsidRPr="00CE42F2">
        <w:rPr>
          <w:rFonts w:cs="Arial"/>
          <w:color w:val="auto"/>
          <w:sz w:val="20"/>
          <w:szCs w:val="20"/>
          <w:lang w:val="en-US" w:eastAsia="en-US"/>
        </w:rPr>
        <w:t xml:space="preserve">that </w:t>
      </w:r>
      <w:r w:rsidRPr="00CE42F2">
        <w:rPr>
          <w:rFonts w:cs="Arial"/>
          <w:color w:val="auto"/>
          <w:sz w:val="20"/>
          <w:szCs w:val="20"/>
          <w:lang w:val="en-US" w:eastAsia="en-US"/>
        </w:rPr>
        <w:t xml:space="preserve">SOCs accelerate investment and procurement programmes, promote industrialization and support small and medium enterprises that are owned by women, youth and people with disabilities.  </w:t>
      </w:r>
    </w:p>
    <w:p w:rsidR="00811D56" w:rsidRPr="00CE42F2" w:rsidRDefault="00811D56" w:rsidP="00CE42F2">
      <w:pPr>
        <w:ind w:left="720" w:hanging="720"/>
        <w:rPr>
          <w:rFonts w:cs="Arial"/>
          <w:color w:val="auto"/>
          <w:sz w:val="20"/>
          <w:szCs w:val="20"/>
          <w:lang w:val="en-US" w:eastAsia="en-US"/>
        </w:rPr>
      </w:pPr>
      <w:r w:rsidRPr="00CE42F2">
        <w:rPr>
          <w:rFonts w:cs="Arial"/>
          <w:color w:val="auto"/>
          <w:sz w:val="20"/>
          <w:szCs w:val="20"/>
          <w:lang w:val="en-US" w:eastAsia="en-US"/>
        </w:rPr>
        <w:t xml:space="preserve">7.7 </w:t>
      </w:r>
      <w:r w:rsidRPr="00CE42F2">
        <w:rPr>
          <w:rFonts w:cs="Arial"/>
          <w:color w:val="auto"/>
          <w:sz w:val="20"/>
          <w:szCs w:val="20"/>
          <w:lang w:val="en-US" w:eastAsia="en-US"/>
        </w:rPr>
        <w:tab/>
        <w:t xml:space="preserve">ensure that SOCs find a balance between advancing their commercial and public mandates. They should not over-concentrate on the commercial mandate while neglecting the developmental mandate of transforming the economy and improving the quality of lives of South Africans. </w:t>
      </w:r>
      <w:r w:rsidR="00806F11" w:rsidRPr="00CE42F2">
        <w:rPr>
          <w:rFonts w:cs="Arial"/>
          <w:color w:val="auto"/>
          <w:sz w:val="20"/>
          <w:szCs w:val="20"/>
          <w:lang w:val="en-US" w:eastAsia="en-US"/>
        </w:rPr>
        <w:t xml:space="preserve">The SOCs should have credible empowerment and demographic targets. </w:t>
      </w:r>
    </w:p>
    <w:p w:rsidR="00811D56" w:rsidRPr="00CE42F2" w:rsidRDefault="00811D56" w:rsidP="00CE42F2">
      <w:pPr>
        <w:ind w:left="720" w:hanging="720"/>
        <w:rPr>
          <w:rFonts w:cs="Arial"/>
          <w:color w:val="auto"/>
          <w:spacing w:val="0"/>
          <w:sz w:val="20"/>
          <w:szCs w:val="20"/>
          <w:lang w:val="en-ZA" w:eastAsia="en-ZA"/>
        </w:rPr>
      </w:pPr>
      <w:r w:rsidRPr="00CE42F2">
        <w:rPr>
          <w:rFonts w:cs="Arial"/>
          <w:color w:val="auto"/>
          <w:sz w:val="20"/>
          <w:szCs w:val="20"/>
          <w:lang w:val="en-US" w:eastAsia="en-US"/>
        </w:rPr>
        <w:t>7.8</w:t>
      </w:r>
      <w:r w:rsidRPr="00CE42F2">
        <w:rPr>
          <w:rFonts w:cs="Arial"/>
          <w:color w:val="auto"/>
          <w:sz w:val="20"/>
          <w:szCs w:val="20"/>
          <w:lang w:val="en-US" w:eastAsia="en-US"/>
        </w:rPr>
        <w:tab/>
        <w:t xml:space="preserve">ensure competent executive and board appointments at SOC through conducting of security clearances, integrity checks, and </w:t>
      </w:r>
      <w:r w:rsidRPr="00CE42F2">
        <w:rPr>
          <w:rFonts w:cs="Arial"/>
          <w:color w:val="auto"/>
          <w:spacing w:val="0"/>
          <w:sz w:val="20"/>
          <w:szCs w:val="20"/>
          <w:lang w:val="en-ZA" w:eastAsia="en-ZA"/>
        </w:rPr>
        <w:t>lifestyle audits.</w:t>
      </w:r>
    </w:p>
    <w:p w:rsidR="00806F11" w:rsidRPr="00CE42F2" w:rsidRDefault="00806F11" w:rsidP="00CE42F2">
      <w:pPr>
        <w:ind w:left="720" w:hanging="720"/>
        <w:rPr>
          <w:rFonts w:cs="Arial"/>
          <w:color w:val="auto"/>
          <w:sz w:val="20"/>
          <w:szCs w:val="20"/>
          <w:lang w:val="en-US" w:eastAsia="en-US"/>
        </w:rPr>
      </w:pPr>
      <w:r w:rsidRPr="00CE42F2">
        <w:rPr>
          <w:rFonts w:cs="Arial"/>
          <w:color w:val="auto"/>
          <w:sz w:val="20"/>
          <w:szCs w:val="20"/>
          <w:lang w:val="en-US" w:eastAsia="en-US"/>
        </w:rPr>
        <w:t xml:space="preserve">7.9 </w:t>
      </w:r>
      <w:r w:rsidRPr="00CE42F2">
        <w:rPr>
          <w:rFonts w:cs="Arial"/>
          <w:color w:val="auto"/>
          <w:sz w:val="20"/>
          <w:szCs w:val="20"/>
          <w:lang w:val="en-US" w:eastAsia="en-US"/>
        </w:rPr>
        <w:tab/>
        <w:t>engage N</w:t>
      </w:r>
      <w:r w:rsidR="00830298" w:rsidRPr="00CE42F2">
        <w:rPr>
          <w:rFonts w:cs="Arial"/>
          <w:color w:val="auto"/>
          <w:sz w:val="20"/>
          <w:szCs w:val="20"/>
          <w:lang w:val="en-US" w:eastAsia="en-US"/>
        </w:rPr>
        <w:t xml:space="preserve">ational </w:t>
      </w:r>
      <w:r w:rsidRPr="00CE42F2">
        <w:rPr>
          <w:rFonts w:cs="Arial"/>
          <w:color w:val="auto"/>
          <w:sz w:val="20"/>
          <w:szCs w:val="20"/>
          <w:lang w:val="en-US" w:eastAsia="en-US"/>
        </w:rPr>
        <w:t>T</w:t>
      </w:r>
      <w:r w:rsidR="00830298" w:rsidRPr="00CE42F2">
        <w:rPr>
          <w:rFonts w:cs="Arial"/>
          <w:color w:val="auto"/>
          <w:sz w:val="20"/>
          <w:szCs w:val="20"/>
          <w:lang w:val="en-US" w:eastAsia="en-US"/>
        </w:rPr>
        <w:t>reasury</w:t>
      </w:r>
      <w:r w:rsidRPr="00CE42F2">
        <w:rPr>
          <w:rFonts w:cs="Arial"/>
          <w:color w:val="auto"/>
          <w:sz w:val="20"/>
          <w:szCs w:val="20"/>
          <w:lang w:val="en-US" w:eastAsia="en-US"/>
        </w:rPr>
        <w:t xml:space="preserve">, </w:t>
      </w:r>
      <w:r w:rsidR="00830298" w:rsidRPr="00CE42F2">
        <w:rPr>
          <w:rFonts w:cs="Arial"/>
          <w:color w:val="auto"/>
          <w:sz w:val="20"/>
          <w:szCs w:val="20"/>
          <w:lang w:val="en-US" w:eastAsia="en-US"/>
        </w:rPr>
        <w:t xml:space="preserve">Department of Defense and Military Veterans </w:t>
      </w:r>
      <w:r w:rsidRPr="00CE42F2">
        <w:rPr>
          <w:rFonts w:cs="Arial"/>
          <w:color w:val="auto"/>
          <w:sz w:val="20"/>
          <w:szCs w:val="20"/>
          <w:lang w:val="en-US" w:eastAsia="en-US"/>
        </w:rPr>
        <w:t>and Denel to finalise a concrete plan to save Denel.  An urgent decision is necessary on this matter.</w:t>
      </w:r>
    </w:p>
    <w:p w:rsidR="00811D56" w:rsidRPr="00CE42F2" w:rsidRDefault="00811D56" w:rsidP="00CE42F2">
      <w:pPr>
        <w:ind w:left="720" w:hanging="720"/>
        <w:rPr>
          <w:rFonts w:cs="Arial"/>
          <w:color w:val="auto"/>
          <w:sz w:val="20"/>
          <w:szCs w:val="20"/>
          <w:lang w:val="en-US" w:eastAsia="en-US"/>
        </w:rPr>
      </w:pPr>
      <w:r w:rsidRPr="00CE42F2">
        <w:rPr>
          <w:rFonts w:cs="Arial"/>
          <w:color w:val="auto"/>
          <w:sz w:val="20"/>
          <w:szCs w:val="20"/>
          <w:lang w:val="en-US" w:eastAsia="en-US"/>
        </w:rPr>
        <w:t>7.9</w:t>
      </w:r>
      <w:r w:rsidRPr="00CE42F2">
        <w:rPr>
          <w:rFonts w:cs="Arial"/>
          <w:color w:val="auto"/>
          <w:sz w:val="20"/>
          <w:szCs w:val="20"/>
          <w:lang w:val="en-US" w:eastAsia="en-US"/>
        </w:rPr>
        <w:tab/>
        <w:t>collaborate with the Department of Rural Development and Land Reform, in addressing long outstanding issues relating to Safcol land claims and that regular progress reports (twice a year) to the Committee.</w:t>
      </w:r>
    </w:p>
    <w:p w:rsidR="00811D56" w:rsidRPr="00CE42F2" w:rsidRDefault="00811D56" w:rsidP="00CE42F2">
      <w:pPr>
        <w:ind w:left="720" w:hanging="720"/>
        <w:rPr>
          <w:rFonts w:cs="Arial"/>
          <w:color w:val="auto"/>
          <w:sz w:val="20"/>
          <w:szCs w:val="20"/>
          <w:lang w:val="en-US" w:eastAsia="en-US"/>
        </w:rPr>
      </w:pPr>
      <w:r w:rsidRPr="00CE42F2">
        <w:rPr>
          <w:rFonts w:cs="Arial"/>
          <w:color w:val="auto"/>
          <w:sz w:val="20"/>
          <w:szCs w:val="20"/>
          <w:lang w:val="en-US" w:eastAsia="en-US"/>
        </w:rPr>
        <w:t>7.10</w:t>
      </w:r>
      <w:r w:rsidRPr="00CE42F2">
        <w:rPr>
          <w:rFonts w:cs="Arial"/>
          <w:color w:val="auto"/>
          <w:sz w:val="20"/>
          <w:szCs w:val="20"/>
          <w:lang w:val="en-US" w:eastAsia="en-US"/>
        </w:rPr>
        <w:tab/>
        <w:t xml:space="preserve">ensure that the liquidation of South African Express Airways is speedily concluded, and that former employees are paid what is due to them. </w:t>
      </w:r>
    </w:p>
    <w:p w:rsidR="00811D56" w:rsidRPr="00CE42F2" w:rsidRDefault="00811D56" w:rsidP="00CE42F2">
      <w:pPr>
        <w:ind w:left="720" w:hanging="720"/>
        <w:rPr>
          <w:rFonts w:cs="Arial"/>
          <w:color w:val="auto"/>
          <w:sz w:val="20"/>
          <w:szCs w:val="20"/>
          <w:lang w:val="en-US" w:eastAsia="en-US"/>
        </w:rPr>
      </w:pPr>
      <w:r w:rsidRPr="00CE42F2">
        <w:rPr>
          <w:rFonts w:cs="Arial"/>
          <w:color w:val="auto"/>
          <w:sz w:val="20"/>
          <w:szCs w:val="20"/>
          <w:lang w:val="en-US" w:eastAsia="en-US"/>
        </w:rPr>
        <w:t>7.11</w:t>
      </w:r>
      <w:r w:rsidRPr="00CE42F2">
        <w:rPr>
          <w:rFonts w:cs="Arial"/>
          <w:color w:val="auto"/>
          <w:sz w:val="20"/>
          <w:szCs w:val="20"/>
          <w:lang w:val="en-US" w:eastAsia="en-US"/>
        </w:rPr>
        <w:tab/>
        <w:t>develop state aviation strategy that will enable the sustainability of the national carrier with the Department of Transport.</w:t>
      </w:r>
    </w:p>
    <w:p w:rsidR="00811D56" w:rsidRPr="00CE42F2" w:rsidRDefault="00811D56" w:rsidP="00CE42F2">
      <w:pPr>
        <w:ind w:left="720" w:hanging="720"/>
        <w:rPr>
          <w:rFonts w:cs="Arial"/>
          <w:color w:val="auto"/>
          <w:spacing w:val="0"/>
          <w:sz w:val="20"/>
          <w:szCs w:val="20"/>
          <w:lang w:val="en-ZA" w:eastAsia="en-ZA"/>
        </w:rPr>
      </w:pPr>
      <w:r w:rsidRPr="00CE42F2">
        <w:rPr>
          <w:rFonts w:cs="Arial"/>
          <w:color w:val="auto"/>
          <w:sz w:val="20"/>
          <w:szCs w:val="20"/>
          <w:lang w:val="en-US" w:eastAsia="en-US"/>
        </w:rPr>
        <w:t>7.12</w:t>
      </w:r>
      <w:r w:rsidRPr="00CE42F2">
        <w:rPr>
          <w:rFonts w:cs="Arial"/>
          <w:color w:val="auto"/>
          <w:sz w:val="20"/>
          <w:szCs w:val="20"/>
          <w:lang w:val="en-US" w:eastAsia="en-US"/>
        </w:rPr>
        <w:tab/>
      </w:r>
      <w:r w:rsidRPr="00CE42F2">
        <w:rPr>
          <w:rFonts w:cs="Arial"/>
          <w:color w:val="auto"/>
          <w:spacing w:val="0"/>
          <w:sz w:val="20"/>
          <w:szCs w:val="20"/>
          <w:lang w:val="en-ZA" w:eastAsia="en-ZA"/>
        </w:rPr>
        <w:t>work with the Departments of Cooperative Governance and Traditional Affairs, and</w:t>
      </w:r>
      <w:r w:rsidR="00D55A93" w:rsidRPr="00CE42F2">
        <w:rPr>
          <w:rFonts w:cs="Arial"/>
          <w:color w:val="auto"/>
          <w:spacing w:val="0"/>
          <w:sz w:val="20"/>
          <w:szCs w:val="20"/>
          <w:lang w:val="en-ZA" w:eastAsia="en-ZA"/>
        </w:rPr>
        <w:t xml:space="preserve"> of</w:t>
      </w:r>
      <w:r w:rsidRPr="00CE42F2">
        <w:rPr>
          <w:rFonts w:cs="Arial"/>
          <w:color w:val="auto"/>
          <w:spacing w:val="0"/>
          <w:sz w:val="20"/>
          <w:szCs w:val="20"/>
          <w:lang w:val="en-ZA" w:eastAsia="en-ZA"/>
        </w:rPr>
        <w:t xml:space="preserve"> Rural Development and Land Reform to ensure that the Richtersveld Mining Company and Communal Property Association</w:t>
      </w:r>
      <w:r w:rsidRPr="00CE42F2">
        <w:rPr>
          <w:rFonts w:cs="Arial"/>
          <w:color w:val="auto"/>
          <w:sz w:val="20"/>
          <w:szCs w:val="20"/>
        </w:rPr>
        <w:t xml:space="preserve"> are</w:t>
      </w:r>
      <w:r w:rsidRPr="00CE42F2">
        <w:rPr>
          <w:rFonts w:cs="Arial"/>
          <w:color w:val="auto"/>
          <w:spacing w:val="0"/>
          <w:sz w:val="20"/>
          <w:szCs w:val="20"/>
          <w:lang w:val="en-ZA" w:eastAsia="en-ZA"/>
        </w:rPr>
        <w:t xml:space="preserve"> properly constituted to facilitate the successful implementation of the of the deed of settlement, and delivery of socio-economic development programmes to the beneficiaries.</w:t>
      </w:r>
      <w:r w:rsidRPr="00CE42F2">
        <w:rPr>
          <w:rFonts w:cs="Arial"/>
          <w:color w:val="auto"/>
          <w:spacing w:val="0"/>
          <w:sz w:val="20"/>
          <w:szCs w:val="20"/>
          <w:lang w:val="en-ZA" w:eastAsia="en-ZA"/>
        </w:rPr>
        <w:tab/>
      </w:r>
    </w:p>
    <w:p w:rsidR="00811D56" w:rsidRPr="00CE42F2" w:rsidRDefault="00811D56" w:rsidP="00CE42F2">
      <w:pPr>
        <w:ind w:left="720" w:hanging="720"/>
        <w:rPr>
          <w:rFonts w:cs="Arial"/>
          <w:color w:val="auto"/>
          <w:spacing w:val="0"/>
          <w:sz w:val="20"/>
          <w:szCs w:val="20"/>
          <w:lang w:val="en-ZA" w:eastAsia="en-ZA"/>
        </w:rPr>
      </w:pPr>
      <w:r w:rsidRPr="00CE42F2">
        <w:rPr>
          <w:rFonts w:cs="Arial"/>
          <w:color w:val="auto"/>
          <w:spacing w:val="0"/>
          <w:sz w:val="20"/>
          <w:szCs w:val="20"/>
          <w:lang w:val="en-ZA" w:eastAsia="en-ZA"/>
        </w:rPr>
        <w:t>7.13</w:t>
      </w:r>
      <w:r w:rsidRPr="00CE42F2">
        <w:rPr>
          <w:rFonts w:cs="Arial"/>
          <w:color w:val="auto"/>
          <w:spacing w:val="0"/>
          <w:sz w:val="20"/>
          <w:szCs w:val="20"/>
          <w:lang w:val="en-ZA" w:eastAsia="en-ZA"/>
        </w:rPr>
        <w:tab/>
        <w:t>address the financial and governance issues facing the state-owned companies within the Department’s portfolio and provide regular feedback to the Committee.</w:t>
      </w:r>
    </w:p>
    <w:p w:rsidR="00811D56" w:rsidRPr="00CE42F2" w:rsidRDefault="00811D56" w:rsidP="00CE42F2">
      <w:pPr>
        <w:ind w:left="720" w:hanging="720"/>
        <w:rPr>
          <w:rFonts w:cs="Arial"/>
          <w:color w:val="auto"/>
          <w:spacing w:val="0"/>
          <w:sz w:val="20"/>
          <w:szCs w:val="20"/>
          <w:lang w:val="en-ZA" w:eastAsia="en-ZA"/>
        </w:rPr>
      </w:pPr>
      <w:r w:rsidRPr="00CE42F2">
        <w:rPr>
          <w:rFonts w:cs="Arial"/>
          <w:color w:val="auto"/>
          <w:spacing w:val="0"/>
          <w:sz w:val="20"/>
          <w:szCs w:val="20"/>
          <w:lang w:val="en-ZA" w:eastAsia="en-ZA"/>
        </w:rPr>
        <w:t>7.14</w:t>
      </w:r>
      <w:r w:rsidRPr="00CE42F2">
        <w:rPr>
          <w:rFonts w:cs="Arial"/>
          <w:color w:val="auto"/>
          <w:spacing w:val="0"/>
          <w:sz w:val="20"/>
          <w:szCs w:val="20"/>
          <w:lang w:val="en-ZA" w:eastAsia="en-ZA"/>
        </w:rPr>
        <w:tab/>
      </w:r>
      <w:r w:rsidR="00D55A93" w:rsidRPr="00CE42F2">
        <w:rPr>
          <w:rFonts w:cs="Arial"/>
          <w:color w:val="auto"/>
          <w:spacing w:val="0"/>
          <w:sz w:val="20"/>
          <w:szCs w:val="20"/>
          <w:lang w:val="en-ZA" w:eastAsia="en-ZA"/>
        </w:rPr>
        <w:t xml:space="preserve">work </w:t>
      </w:r>
      <w:r w:rsidRPr="00CE42F2">
        <w:rPr>
          <w:rFonts w:cs="Arial"/>
          <w:color w:val="auto"/>
          <w:spacing w:val="0"/>
          <w:sz w:val="20"/>
          <w:szCs w:val="20"/>
          <w:lang w:val="en-ZA" w:eastAsia="en-ZA"/>
        </w:rPr>
        <w:t>with the Department of Cooperative Governance and Traditional Affairs and other relevant parties to resolve the municipal debt owed to Eskom and provide feedback to the Committee on this process quarterly.</w:t>
      </w:r>
    </w:p>
    <w:p w:rsidR="00811D56" w:rsidRPr="00CE42F2" w:rsidRDefault="00811D56" w:rsidP="00CE42F2">
      <w:pPr>
        <w:ind w:left="720" w:hanging="720"/>
        <w:rPr>
          <w:rFonts w:cs="Arial"/>
          <w:color w:val="auto"/>
          <w:spacing w:val="0"/>
          <w:sz w:val="20"/>
          <w:szCs w:val="20"/>
          <w:lang w:val="en-ZA" w:eastAsia="en-ZA"/>
        </w:rPr>
      </w:pPr>
      <w:r w:rsidRPr="00CE42F2">
        <w:rPr>
          <w:rFonts w:cs="Arial"/>
          <w:color w:val="auto"/>
          <w:spacing w:val="0"/>
          <w:sz w:val="20"/>
          <w:szCs w:val="20"/>
          <w:lang w:val="en-ZA" w:eastAsia="en-ZA"/>
        </w:rPr>
        <w:t xml:space="preserve">7.15    ensure that all vacant positions are permanently filled within the Department of Public Enterprises by the end of the financial year. </w:t>
      </w:r>
    </w:p>
    <w:p w:rsidR="00B953A4" w:rsidRPr="00CE42F2" w:rsidRDefault="00B953A4" w:rsidP="00CE42F2">
      <w:pPr>
        <w:ind w:left="720" w:hanging="720"/>
        <w:rPr>
          <w:rFonts w:cs="Arial"/>
          <w:color w:val="auto"/>
          <w:spacing w:val="0"/>
          <w:sz w:val="20"/>
          <w:szCs w:val="20"/>
          <w:lang w:val="en-ZA" w:eastAsia="en-ZA"/>
        </w:rPr>
      </w:pPr>
      <w:r w:rsidRPr="00CE42F2">
        <w:rPr>
          <w:rFonts w:cs="Arial"/>
          <w:color w:val="auto"/>
          <w:spacing w:val="0"/>
          <w:sz w:val="20"/>
          <w:szCs w:val="20"/>
          <w:lang w:val="en-ZA" w:eastAsia="en-ZA"/>
        </w:rPr>
        <w:t>7.</w:t>
      </w:r>
      <w:r w:rsidR="0033078E" w:rsidRPr="00CE42F2">
        <w:rPr>
          <w:rFonts w:cs="Arial"/>
          <w:color w:val="auto"/>
          <w:spacing w:val="0"/>
          <w:sz w:val="20"/>
          <w:szCs w:val="20"/>
          <w:lang w:val="en-ZA" w:eastAsia="en-ZA"/>
        </w:rPr>
        <w:t>16</w:t>
      </w:r>
      <w:r w:rsidRPr="00CE42F2">
        <w:rPr>
          <w:rFonts w:cs="Arial"/>
          <w:color w:val="auto"/>
          <w:spacing w:val="0"/>
          <w:sz w:val="20"/>
          <w:szCs w:val="20"/>
          <w:lang w:val="en-ZA" w:eastAsia="en-ZA"/>
        </w:rPr>
        <w:tab/>
        <w:t xml:space="preserve">work closely with National Treasury to ensure that the procurement processes within SOCs are fluid enough to enable the SOCs to respond swiftly to market demand. </w:t>
      </w:r>
    </w:p>
    <w:p w:rsidR="00811D56" w:rsidRPr="00CE42F2" w:rsidRDefault="0033078E" w:rsidP="00CE42F2">
      <w:pPr>
        <w:ind w:left="720" w:hanging="720"/>
        <w:rPr>
          <w:rFonts w:cs="Arial"/>
          <w:color w:val="auto"/>
          <w:spacing w:val="0"/>
          <w:sz w:val="20"/>
          <w:szCs w:val="20"/>
          <w:lang w:val="en-ZA" w:eastAsia="en-ZA"/>
        </w:rPr>
      </w:pPr>
      <w:r w:rsidRPr="00CE42F2">
        <w:rPr>
          <w:rFonts w:cs="Arial"/>
          <w:color w:val="auto"/>
          <w:spacing w:val="0"/>
          <w:sz w:val="20"/>
          <w:szCs w:val="20"/>
          <w:lang w:val="en-ZA" w:eastAsia="en-ZA"/>
        </w:rPr>
        <w:t>7.17</w:t>
      </w:r>
      <w:r w:rsidR="00D55A93" w:rsidRPr="00CE42F2">
        <w:rPr>
          <w:rFonts w:cs="Arial"/>
          <w:color w:val="auto"/>
          <w:spacing w:val="0"/>
          <w:sz w:val="20"/>
          <w:szCs w:val="20"/>
          <w:lang w:val="en-ZA" w:eastAsia="en-ZA"/>
        </w:rPr>
        <w:tab/>
      </w:r>
      <w:r w:rsidR="0094142A" w:rsidRPr="00CE42F2">
        <w:rPr>
          <w:rFonts w:cs="Arial"/>
          <w:color w:val="auto"/>
          <w:spacing w:val="0"/>
          <w:sz w:val="20"/>
          <w:szCs w:val="20"/>
          <w:lang w:val="en-ZA" w:eastAsia="en-ZA"/>
        </w:rPr>
        <w:t>report every</w:t>
      </w:r>
      <w:r w:rsidR="00811D56" w:rsidRPr="00CE42F2">
        <w:rPr>
          <w:rFonts w:cs="Arial"/>
          <w:color w:val="auto"/>
          <w:spacing w:val="0"/>
          <w:sz w:val="20"/>
          <w:szCs w:val="20"/>
          <w:lang w:val="en-ZA" w:eastAsia="en-ZA"/>
        </w:rPr>
        <w:t xml:space="preserve"> quarter to the Committee on progress being made</w:t>
      </w:r>
      <w:r w:rsidR="00806F11" w:rsidRPr="00CE42F2">
        <w:rPr>
          <w:rFonts w:cs="Arial"/>
          <w:color w:val="auto"/>
          <w:spacing w:val="0"/>
          <w:sz w:val="20"/>
          <w:szCs w:val="20"/>
          <w:lang w:val="en-ZA" w:eastAsia="en-ZA"/>
        </w:rPr>
        <w:t xml:space="preserve"> in regard to the above recommendations</w:t>
      </w:r>
      <w:r w:rsidR="00541740" w:rsidRPr="00CE42F2">
        <w:rPr>
          <w:rFonts w:cs="Arial"/>
          <w:color w:val="auto"/>
          <w:spacing w:val="0"/>
          <w:sz w:val="20"/>
          <w:szCs w:val="20"/>
          <w:lang w:val="en-ZA" w:eastAsia="en-ZA"/>
        </w:rPr>
        <w:t>.</w:t>
      </w:r>
      <w:r w:rsidR="00811D56" w:rsidRPr="00CE42F2">
        <w:rPr>
          <w:rFonts w:cs="Arial"/>
          <w:color w:val="auto"/>
          <w:spacing w:val="0"/>
          <w:sz w:val="20"/>
          <w:szCs w:val="20"/>
          <w:lang w:val="en-ZA" w:eastAsia="en-ZA"/>
        </w:rPr>
        <w:t xml:space="preserve">   </w:t>
      </w:r>
    </w:p>
    <w:p w:rsidR="000307EB" w:rsidRPr="00CE42F2" w:rsidRDefault="000307EB" w:rsidP="00CE42F2">
      <w:pPr>
        <w:rPr>
          <w:rFonts w:cs="Arial"/>
          <w:color w:val="auto"/>
          <w:sz w:val="20"/>
          <w:szCs w:val="20"/>
          <w:lang w:val="en-US" w:eastAsia="en-US"/>
        </w:rPr>
      </w:pPr>
    </w:p>
    <w:p w:rsidR="000B4E6A" w:rsidRPr="00CE42F2" w:rsidRDefault="000B4E6A" w:rsidP="00CE42F2">
      <w:pPr>
        <w:tabs>
          <w:tab w:val="left" w:pos="3960"/>
        </w:tabs>
        <w:rPr>
          <w:rFonts w:cs="Arial"/>
          <w:b/>
          <w:color w:val="auto"/>
          <w:sz w:val="20"/>
          <w:szCs w:val="20"/>
        </w:rPr>
      </w:pPr>
      <w:r w:rsidRPr="00CE42F2">
        <w:rPr>
          <w:rFonts w:cs="Arial"/>
          <w:b/>
          <w:color w:val="auto"/>
          <w:sz w:val="20"/>
          <w:szCs w:val="20"/>
        </w:rPr>
        <w:t>8.        Conclusion</w:t>
      </w:r>
    </w:p>
    <w:p w:rsidR="000B4E6A" w:rsidRPr="00CE42F2" w:rsidRDefault="000B4E6A" w:rsidP="00CE42F2">
      <w:pPr>
        <w:tabs>
          <w:tab w:val="left" w:pos="3960"/>
        </w:tabs>
        <w:rPr>
          <w:rFonts w:cs="Arial"/>
          <w:color w:val="auto"/>
          <w:sz w:val="20"/>
          <w:szCs w:val="20"/>
        </w:rPr>
      </w:pPr>
    </w:p>
    <w:p w:rsidR="000B4E6A" w:rsidRPr="00CE42F2" w:rsidRDefault="000B4E6A" w:rsidP="00CE42F2">
      <w:pPr>
        <w:tabs>
          <w:tab w:val="left" w:pos="3960"/>
        </w:tabs>
        <w:rPr>
          <w:rFonts w:cs="Arial"/>
          <w:b/>
          <w:color w:val="auto"/>
          <w:sz w:val="20"/>
          <w:szCs w:val="20"/>
        </w:rPr>
      </w:pPr>
      <w:r w:rsidRPr="00CE42F2">
        <w:rPr>
          <w:rFonts w:cs="Arial"/>
          <w:color w:val="auto"/>
          <w:sz w:val="20"/>
          <w:szCs w:val="20"/>
        </w:rPr>
        <w:t xml:space="preserve">Having considered the Budget Vote and the </w:t>
      </w:r>
      <w:r w:rsidR="00D8048D" w:rsidRPr="00CE42F2">
        <w:rPr>
          <w:rFonts w:cs="Arial"/>
          <w:color w:val="auto"/>
          <w:sz w:val="20"/>
          <w:szCs w:val="20"/>
        </w:rPr>
        <w:t xml:space="preserve">Strategic Plan and the </w:t>
      </w:r>
      <w:r w:rsidRPr="00CE42F2">
        <w:rPr>
          <w:rFonts w:cs="Arial"/>
          <w:color w:val="auto"/>
          <w:sz w:val="20"/>
          <w:szCs w:val="20"/>
        </w:rPr>
        <w:t>Annual Performance Plan of the Department of Public Enterprises, the Committee recommends that the House passes the budget.</w:t>
      </w:r>
    </w:p>
    <w:p w:rsidR="000B4E6A" w:rsidRPr="00CE42F2" w:rsidRDefault="000B4E6A" w:rsidP="00CE42F2">
      <w:pPr>
        <w:tabs>
          <w:tab w:val="left" w:pos="3960"/>
        </w:tabs>
        <w:rPr>
          <w:rFonts w:cs="Arial"/>
          <w:color w:val="auto"/>
          <w:sz w:val="20"/>
          <w:szCs w:val="20"/>
        </w:rPr>
      </w:pPr>
    </w:p>
    <w:p w:rsidR="000B4E6A" w:rsidRPr="00CE42F2" w:rsidRDefault="000B4E6A" w:rsidP="00CE42F2">
      <w:pPr>
        <w:tabs>
          <w:tab w:val="left" w:pos="3960"/>
        </w:tabs>
        <w:rPr>
          <w:rFonts w:cs="Arial"/>
          <w:color w:val="auto"/>
          <w:sz w:val="20"/>
          <w:szCs w:val="20"/>
        </w:rPr>
      </w:pPr>
      <w:r w:rsidRPr="00CE42F2">
        <w:rPr>
          <w:rFonts w:cs="Arial"/>
          <w:color w:val="auto"/>
          <w:sz w:val="20"/>
          <w:szCs w:val="20"/>
        </w:rPr>
        <w:t>Report to be considered.</w:t>
      </w:r>
    </w:p>
    <w:sectPr w:rsidR="000B4E6A" w:rsidRPr="00CE42F2" w:rsidSect="00716262">
      <w:footerReference w:type="even" r:id="rId11"/>
      <w:footerReference w:type="default" r:id="rId12"/>
      <w:pgSz w:w="11906" w:h="16838" w:code="9"/>
      <w:pgMar w:top="899" w:right="1134" w:bottom="540" w:left="1620"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4F4" w:rsidRDefault="00A014F4">
      <w:r>
        <w:separator/>
      </w:r>
    </w:p>
  </w:endnote>
  <w:endnote w:type="continuationSeparator" w:id="0">
    <w:p w:rsidR="00A014F4" w:rsidRDefault="00A014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Pro-Light">
    <w:panose1 w:val="00000000000000000000"/>
    <w:charset w:val="00"/>
    <w:family w:val="swiss"/>
    <w:notTrueType/>
    <w:pitch w:val="default"/>
    <w:sig w:usb0="00000003" w:usb1="00000000" w:usb2="00000000" w:usb3="00000000" w:csb0="00000001" w:csb1="00000000"/>
  </w:font>
  <w:font w:name="MyriadPro-Regular">
    <w:altName w:val="MS Gothic"/>
    <w:panose1 w:val="00000000000000000000"/>
    <w:charset w:val="80"/>
    <w:family w:val="swiss"/>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CB" w:rsidRDefault="0093362A" w:rsidP="00205DA5">
    <w:pPr>
      <w:pStyle w:val="Footer"/>
      <w:framePr w:wrap="around" w:vAnchor="text" w:hAnchor="margin" w:xAlign="right" w:y="1"/>
      <w:rPr>
        <w:rStyle w:val="PageNumber"/>
      </w:rPr>
    </w:pPr>
    <w:r>
      <w:rPr>
        <w:rStyle w:val="PageNumber"/>
      </w:rPr>
      <w:fldChar w:fldCharType="begin"/>
    </w:r>
    <w:r w:rsidR="00E02DCB">
      <w:rPr>
        <w:rStyle w:val="PageNumber"/>
      </w:rPr>
      <w:instrText xml:space="preserve">PAGE  </w:instrText>
    </w:r>
    <w:r>
      <w:rPr>
        <w:rStyle w:val="PageNumber"/>
      </w:rPr>
      <w:fldChar w:fldCharType="end"/>
    </w:r>
  </w:p>
  <w:p w:rsidR="00E02DCB" w:rsidRDefault="00E02D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CB" w:rsidRDefault="00E02DCB" w:rsidP="00432E69">
    <w:pPr>
      <w:pStyle w:val="Footer"/>
      <w:tabs>
        <w:tab w:val="left" w:pos="1005"/>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4F4" w:rsidRDefault="00A014F4">
      <w:r>
        <w:separator/>
      </w:r>
    </w:p>
  </w:footnote>
  <w:footnote w:type="continuationSeparator" w:id="0">
    <w:p w:rsidR="00A014F4" w:rsidRDefault="00A01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95D"/>
    <w:multiLevelType w:val="hybridMultilevel"/>
    <w:tmpl w:val="76AC3C5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
    <w:nsid w:val="23B81170"/>
    <w:multiLevelType w:val="hybridMultilevel"/>
    <w:tmpl w:val="69822A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A6A24AF"/>
    <w:multiLevelType w:val="hybridMultilevel"/>
    <w:tmpl w:val="2CD8DC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F6552E5"/>
    <w:multiLevelType w:val="hybridMultilevel"/>
    <w:tmpl w:val="E430A45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
    <w:nsid w:val="51D177AB"/>
    <w:multiLevelType w:val="hybridMultilevel"/>
    <w:tmpl w:val="774ABD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C5A2205"/>
    <w:multiLevelType w:val="multilevel"/>
    <w:tmpl w:val="B2E457E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63475DEF"/>
    <w:multiLevelType w:val="hybridMultilevel"/>
    <w:tmpl w:val="DFCE69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A4654D4"/>
    <w:multiLevelType w:val="hybridMultilevel"/>
    <w:tmpl w:val="2834D0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6A730806"/>
    <w:multiLevelType w:val="hybridMultilevel"/>
    <w:tmpl w:val="E8BABC12"/>
    <w:lvl w:ilvl="0" w:tplc="1C090005">
      <w:start w:val="1"/>
      <w:numFmt w:val="bullet"/>
      <w:lvlText w:val=""/>
      <w:lvlJc w:val="left"/>
      <w:pPr>
        <w:ind w:left="720" w:hanging="360"/>
      </w:pPr>
      <w:rPr>
        <w:rFonts w:ascii="Wingdings" w:hAnsi="Wingdings" w:hint="default"/>
      </w:rPr>
    </w:lvl>
    <w:lvl w:ilvl="1" w:tplc="1C090005">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ED075D4"/>
    <w:multiLevelType w:val="hybridMultilevel"/>
    <w:tmpl w:val="4776F9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7636C54"/>
    <w:multiLevelType w:val="hybridMultilevel"/>
    <w:tmpl w:val="4B1608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7B0953A0"/>
    <w:multiLevelType w:val="hybridMultilevel"/>
    <w:tmpl w:val="E5743C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1"/>
  </w:num>
  <w:num w:numId="5">
    <w:abstractNumId w:val="8"/>
  </w:num>
  <w:num w:numId="6">
    <w:abstractNumId w:val="9"/>
  </w:num>
  <w:num w:numId="7">
    <w:abstractNumId w:val="1"/>
  </w:num>
  <w:num w:numId="8">
    <w:abstractNumId w:val="10"/>
  </w:num>
  <w:num w:numId="9">
    <w:abstractNumId w:val="4"/>
  </w:num>
  <w:num w:numId="10">
    <w:abstractNumId w:val="3"/>
  </w:num>
  <w:num w:numId="11">
    <w:abstractNumId w:val="0"/>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961ECF"/>
    <w:rsid w:val="00006012"/>
    <w:rsid w:val="00011D51"/>
    <w:rsid w:val="00020F75"/>
    <w:rsid w:val="00021F84"/>
    <w:rsid w:val="000234E7"/>
    <w:rsid w:val="00023500"/>
    <w:rsid w:val="00023B02"/>
    <w:rsid w:val="00024DF9"/>
    <w:rsid w:val="000257D1"/>
    <w:rsid w:val="00030288"/>
    <w:rsid w:val="000307EB"/>
    <w:rsid w:val="00030B80"/>
    <w:rsid w:val="00030F2B"/>
    <w:rsid w:val="00031D9F"/>
    <w:rsid w:val="00033CD8"/>
    <w:rsid w:val="000348ED"/>
    <w:rsid w:val="00035BCB"/>
    <w:rsid w:val="00035D19"/>
    <w:rsid w:val="0003659E"/>
    <w:rsid w:val="00036D28"/>
    <w:rsid w:val="000420F2"/>
    <w:rsid w:val="0004219F"/>
    <w:rsid w:val="00043B3C"/>
    <w:rsid w:val="000442E8"/>
    <w:rsid w:val="00044AA4"/>
    <w:rsid w:val="0004525B"/>
    <w:rsid w:val="00052CDC"/>
    <w:rsid w:val="00055785"/>
    <w:rsid w:val="000559B0"/>
    <w:rsid w:val="0005679A"/>
    <w:rsid w:val="00062339"/>
    <w:rsid w:val="0006393C"/>
    <w:rsid w:val="00066279"/>
    <w:rsid w:val="000665F5"/>
    <w:rsid w:val="00070EC8"/>
    <w:rsid w:val="00072C14"/>
    <w:rsid w:val="00082B5A"/>
    <w:rsid w:val="00083660"/>
    <w:rsid w:val="00086899"/>
    <w:rsid w:val="0009150A"/>
    <w:rsid w:val="0009250A"/>
    <w:rsid w:val="000950C5"/>
    <w:rsid w:val="00096232"/>
    <w:rsid w:val="00096767"/>
    <w:rsid w:val="000A20EC"/>
    <w:rsid w:val="000A2AE4"/>
    <w:rsid w:val="000A5491"/>
    <w:rsid w:val="000B1382"/>
    <w:rsid w:val="000B4E6A"/>
    <w:rsid w:val="000B5239"/>
    <w:rsid w:val="000C0C08"/>
    <w:rsid w:val="000C48D2"/>
    <w:rsid w:val="000C4A30"/>
    <w:rsid w:val="000C4F08"/>
    <w:rsid w:val="000D180C"/>
    <w:rsid w:val="000D5703"/>
    <w:rsid w:val="000D586F"/>
    <w:rsid w:val="000D6598"/>
    <w:rsid w:val="000E150C"/>
    <w:rsid w:val="000F0F6B"/>
    <w:rsid w:val="000F31E5"/>
    <w:rsid w:val="000F58E5"/>
    <w:rsid w:val="000F6199"/>
    <w:rsid w:val="000F69F8"/>
    <w:rsid w:val="00104055"/>
    <w:rsid w:val="00107888"/>
    <w:rsid w:val="00107AF0"/>
    <w:rsid w:val="001120AC"/>
    <w:rsid w:val="00115544"/>
    <w:rsid w:val="0011566D"/>
    <w:rsid w:val="00115755"/>
    <w:rsid w:val="00116204"/>
    <w:rsid w:val="0011737E"/>
    <w:rsid w:val="0012015C"/>
    <w:rsid w:val="00136C53"/>
    <w:rsid w:val="00137605"/>
    <w:rsid w:val="00140B83"/>
    <w:rsid w:val="001413C1"/>
    <w:rsid w:val="0014534C"/>
    <w:rsid w:val="001460E0"/>
    <w:rsid w:val="00146EAB"/>
    <w:rsid w:val="00150BB4"/>
    <w:rsid w:val="00150DEE"/>
    <w:rsid w:val="001511C0"/>
    <w:rsid w:val="0015193E"/>
    <w:rsid w:val="001524A0"/>
    <w:rsid w:val="00154D09"/>
    <w:rsid w:val="001556C5"/>
    <w:rsid w:val="00157019"/>
    <w:rsid w:val="00157597"/>
    <w:rsid w:val="001622DF"/>
    <w:rsid w:val="00163ED3"/>
    <w:rsid w:val="00167ECA"/>
    <w:rsid w:val="001702AD"/>
    <w:rsid w:val="00171AE9"/>
    <w:rsid w:val="00172C2D"/>
    <w:rsid w:val="00174320"/>
    <w:rsid w:val="00175660"/>
    <w:rsid w:val="00175718"/>
    <w:rsid w:val="001759EB"/>
    <w:rsid w:val="00175FB4"/>
    <w:rsid w:val="001845B4"/>
    <w:rsid w:val="00187DCB"/>
    <w:rsid w:val="001930DD"/>
    <w:rsid w:val="00194C3A"/>
    <w:rsid w:val="00195BB9"/>
    <w:rsid w:val="001962F4"/>
    <w:rsid w:val="00197403"/>
    <w:rsid w:val="001A4156"/>
    <w:rsid w:val="001A4720"/>
    <w:rsid w:val="001A47FF"/>
    <w:rsid w:val="001B05B1"/>
    <w:rsid w:val="001B2744"/>
    <w:rsid w:val="001B36AD"/>
    <w:rsid w:val="001B4640"/>
    <w:rsid w:val="001B7824"/>
    <w:rsid w:val="001C44D0"/>
    <w:rsid w:val="001C6819"/>
    <w:rsid w:val="001D2289"/>
    <w:rsid w:val="001D7549"/>
    <w:rsid w:val="001E262C"/>
    <w:rsid w:val="001E2F4E"/>
    <w:rsid w:val="001E6EF3"/>
    <w:rsid w:val="001E721A"/>
    <w:rsid w:val="001E7E56"/>
    <w:rsid w:val="001F00F7"/>
    <w:rsid w:val="001F6605"/>
    <w:rsid w:val="001F7B64"/>
    <w:rsid w:val="002009AE"/>
    <w:rsid w:val="002056D6"/>
    <w:rsid w:val="00205DA5"/>
    <w:rsid w:val="00207884"/>
    <w:rsid w:val="00213719"/>
    <w:rsid w:val="00214C4F"/>
    <w:rsid w:val="00216238"/>
    <w:rsid w:val="00220943"/>
    <w:rsid w:val="00222626"/>
    <w:rsid w:val="00223777"/>
    <w:rsid w:val="00225067"/>
    <w:rsid w:val="002260C6"/>
    <w:rsid w:val="002263E0"/>
    <w:rsid w:val="00226CEA"/>
    <w:rsid w:val="00230C55"/>
    <w:rsid w:val="00230E3E"/>
    <w:rsid w:val="00231C9E"/>
    <w:rsid w:val="00232457"/>
    <w:rsid w:val="002325A3"/>
    <w:rsid w:val="00237C04"/>
    <w:rsid w:val="00242AA4"/>
    <w:rsid w:val="0025024A"/>
    <w:rsid w:val="002502DA"/>
    <w:rsid w:val="0025559A"/>
    <w:rsid w:val="00257A1D"/>
    <w:rsid w:val="00260D61"/>
    <w:rsid w:val="00260F20"/>
    <w:rsid w:val="00261CCF"/>
    <w:rsid w:val="00263D72"/>
    <w:rsid w:val="0026435F"/>
    <w:rsid w:val="00271061"/>
    <w:rsid w:val="00272231"/>
    <w:rsid w:val="00275C0F"/>
    <w:rsid w:val="002849BB"/>
    <w:rsid w:val="00286868"/>
    <w:rsid w:val="00290D86"/>
    <w:rsid w:val="00291576"/>
    <w:rsid w:val="00291648"/>
    <w:rsid w:val="00292DF3"/>
    <w:rsid w:val="00294EF0"/>
    <w:rsid w:val="00295425"/>
    <w:rsid w:val="002959C6"/>
    <w:rsid w:val="0029642F"/>
    <w:rsid w:val="00297A94"/>
    <w:rsid w:val="002A00B2"/>
    <w:rsid w:val="002A300F"/>
    <w:rsid w:val="002A3770"/>
    <w:rsid w:val="002A3B78"/>
    <w:rsid w:val="002B1ECC"/>
    <w:rsid w:val="002B2189"/>
    <w:rsid w:val="002B7EBD"/>
    <w:rsid w:val="002C0A3E"/>
    <w:rsid w:val="002C158D"/>
    <w:rsid w:val="002C1AAF"/>
    <w:rsid w:val="002C1BB1"/>
    <w:rsid w:val="002C20C5"/>
    <w:rsid w:val="002C638C"/>
    <w:rsid w:val="002C690E"/>
    <w:rsid w:val="002C7095"/>
    <w:rsid w:val="002D13E2"/>
    <w:rsid w:val="002D69B7"/>
    <w:rsid w:val="002E291A"/>
    <w:rsid w:val="002E2C61"/>
    <w:rsid w:val="002E33E2"/>
    <w:rsid w:val="002E7AB6"/>
    <w:rsid w:val="002F08F0"/>
    <w:rsid w:val="002F11CD"/>
    <w:rsid w:val="002F2979"/>
    <w:rsid w:val="002F51B6"/>
    <w:rsid w:val="002F5984"/>
    <w:rsid w:val="002F7FE5"/>
    <w:rsid w:val="00300BE8"/>
    <w:rsid w:val="00306181"/>
    <w:rsid w:val="003071EE"/>
    <w:rsid w:val="0031431D"/>
    <w:rsid w:val="003149CC"/>
    <w:rsid w:val="003151E2"/>
    <w:rsid w:val="0031544D"/>
    <w:rsid w:val="00321E01"/>
    <w:rsid w:val="003249A4"/>
    <w:rsid w:val="00326BF1"/>
    <w:rsid w:val="00327F98"/>
    <w:rsid w:val="0033078E"/>
    <w:rsid w:val="003332D2"/>
    <w:rsid w:val="003348BB"/>
    <w:rsid w:val="003370DC"/>
    <w:rsid w:val="00340317"/>
    <w:rsid w:val="00341552"/>
    <w:rsid w:val="0034298E"/>
    <w:rsid w:val="00345898"/>
    <w:rsid w:val="00345E80"/>
    <w:rsid w:val="00350206"/>
    <w:rsid w:val="00351567"/>
    <w:rsid w:val="00352A0B"/>
    <w:rsid w:val="00354001"/>
    <w:rsid w:val="00360FEB"/>
    <w:rsid w:val="00362185"/>
    <w:rsid w:val="003654B1"/>
    <w:rsid w:val="00365F2A"/>
    <w:rsid w:val="00366EFA"/>
    <w:rsid w:val="00367511"/>
    <w:rsid w:val="00371396"/>
    <w:rsid w:val="00372D01"/>
    <w:rsid w:val="00375A09"/>
    <w:rsid w:val="00376B72"/>
    <w:rsid w:val="00380386"/>
    <w:rsid w:val="00380EEB"/>
    <w:rsid w:val="0038112B"/>
    <w:rsid w:val="00381A80"/>
    <w:rsid w:val="00384F19"/>
    <w:rsid w:val="00384FED"/>
    <w:rsid w:val="00385C04"/>
    <w:rsid w:val="00385CA7"/>
    <w:rsid w:val="00390685"/>
    <w:rsid w:val="003911AD"/>
    <w:rsid w:val="0039142A"/>
    <w:rsid w:val="003955BE"/>
    <w:rsid w:val="003A032D"/>
    <w:rsid w:val="003A2AF7"/>
    <w:rsid w:val="003A4D89"/>
    <w:rsid w:val="003A5F4A"/>
    <w:rsid w:val="003A60A9"/>
    <w:rsid w:val="003B037D"/>
    <w:rsid w:val="003B5927"/>
    <w:rsid w:val="003C0174"/>
    <w:rsid w:val="003C14E7"/>
    <w:rsid w:val="003C4264"/>
    <w:rsid w:val="003D106D"/>
    <w:rsid w:val="003D18D3"/>
    <w:rsid w:val="003D5D37"/>
    <w:rsid w:val="003D63FC"/>
    <w:rsid w:val="003E17EB"/>
    <w:rsid w:val="003E7377"/>
    <w:rsid w:val="003E7CE4"/>
    <w:rsid w:val="003F159F"/>
    <w:rsid w:val="003F626F"/>
    <w:rsid w:val="003F7FE4"/>
    <w:rsid w:val="00400009"/>
    <w:rsid w:val="00407C20"/>
    <w:rsid w:val="00407DE5"/>
    <w:rsid w:val="00413C50"/>
    <w:rsid w:val="00415565"/>
    <w:rsid w:val="00416089"/>
    <w:rsid w:val="004160F2"/>
    <w:rsid w:val="004162FB"/>
    <w:rsid w:val="00417A3A"/>
    <w:rsid w:val="00420145"/>
    <w:rsid w:val="004235D9"/>
    <w:rsid w:val="00423C6E"/>
    <w:rsid w:val="00427B79"/>
    <w:rsid w:val="004302B7"/>
    <w:rsid w:val="00432E69"/>
    <w:rsid w:val="0043452F"/>
    <w:rsid w:val="004370C2"/>
    <w:rsid w:val="004403A4"/>
    <w:rsid w:val="0044384C"/>
    <w:rsid w:val="00443E3D"/>
    <w:rsid w:val="004448AD"/>
    <w:rsid w:val="004471EC"/>
    <w:rsid w:val="0044748B"/>
    <w:rsid w:val="00452E41"/>
    <w:rsid w:val="00454654"/>
    <w:rsid w:val="0046152A"/>
    <w:rsid w:val="00462D37"/>
    <w:rsid w:val="00464728"/>
    <w:rsid w:val="00467928"/>
    <w:rsid w:val="00470545"/>
    <w:rsid w:val="00470FF8"/>
    <w:rsid w:val="004717A7"/>
    <w:rsid w:val="0047250E"/>
    <w:rsid w:val="004801BC"/>
    <w:rsid w:val="004822A7"/>
    <w:rsid w:val="004826DE"/>
    <w:rsid w:val="00490986"/>
    <w:rsid w:val="00492325"/>
    <w:rsid w:val="0049333D"/>
    <w:rsid w:val="00494F92"/>
    <w:rsid w:val="004950FD"/>
    <w:rsid w:val="00495AB3"/>
    <w:rsid w:val="0049667D"/>
    <w:rsid w:val="00497E64"/>
    <w:rsid w:val="004A0975"/>
    <w:rsid w:val="004A1046"/>
    <w:rsid w:val="004A1448"/>
    <w:rsid w:val="004A4932"/>
    <w:rsid w:val="004A4B93"/>
    <w:rsid w:val="004A7C5E"/>
    <w:rsid w:val="004B010D"/>
    <w:rsid w:val="004B1522"/>
    <w:rsid w:val="004B40E8"/>
    <w:rsid w:val="004B4D4D"/>
    <w:rsid w:val="004B50B4"/>
    <w:rsid w:val="004B50EB"/>
    <w:rsid w:val="004B5860"/>
    <w:rsid w:val="004B7B2A"/>
    <w:rsid w:val="004C17F3"/>
    <w:rsid w:val="004C32A2"/>
    <w:rsid w:val="004C36AA"/>
    <w:rsid w:val="004D0D39"/>
    <w:rsid w:val="004D1126"/>
    <w:rsid w:val="004D2C65"/>
    <w:rsid w:val="004D2D56"/>
    <w:rsid w:val="004E153D"/>
    <w:rsid w:val="004E339F"/>
    <w:rsid w:val="004E5307"/>
    <w:rsid w:val="004E682A"/>
    <w:rsid w:val="004F30B0"/>
    <w:rsid w:val="004F3C52"/>
    <w:rsid w:val="005000C4"/>
    <w:rsid w:val="00500BA9"/>
    <w:rsid w:val="0050154C"/>
    <w:rsid w:val="00511284"/>
    <w:rsid w:val="0051681F"/>
    <w:rsid w:val="00516E96"/>
    <w:rsid w:val="00517362"/>
    <w:rsid w:val="00523448"/>
    <w:rsid w:val="00530B70"/>
    <w:rsid w:val="00533FDC"/>
    <w:rsid w:val="00535794"/>
    <w:rsid w:val="005364AD"/>
    <w:rsid w:val="0053700F"/>
    <w:rsid w:val="0053707C"/>
    <w:rsid w:val="00541740"/>
    <w:rsid w:val="0054325A"/>
    <w:rsid w:val="00543EE4"/>
    <w:rsid w:val="00545B6B"/>
    <w:rsid w:val="00550BC2"/>
    <w:rsid w:val="00551F5C"/>
    <w:rsid w:val="00553383"/>
    <w:rsid w:val="00554CD8"/>
    <w:rsid w:val="005558E8"/>
    <w:rsid w:val="00557341"/>
    <w:rsid w:val="00557C8C"/>
    <w:rsid w:val="0056235B"/>
    <w:rsid w:val="005634D2"/>
    <w:rsid w:val="00564F51"/>
    <w:rsid w:val="005724E1"/>
    <w:rsid w:val="005748DA"/>
    <w:rsid w:val="00575F4A"/>
    <w:rsid w:val="005771EA"/>
    <w:rsid w:val="005822E6"/>
    <w:rsid w:val="0058236C"/>
    <w:rsid w:val="00583443"/>
    <w:rsid w:val="00584C2D"/>
    <w:rsid w:val="00586DA5"/>
    <w:rsid w:val="0059370F"/>
    <w:rsid w:val="005944BE"/>
    <w:rsid w:val="0059462A"/>
    <w:rsid w:val="00596963"/>
    <w:rsid w:val="005A1CD3"/>
    <w:rsid w:val="005A56B7"/>
    <w:rsid w:val="005A7842"/>
    <w:rsid w:val="005B54D5"/>
    <w:rsid w:val="005B6086"/>
    <w:rsid w:val="005B6758"/>
    <w:rsid w:val="005B7F60"/>
    <w:rsid w:val="005C31CC"/>
    <w:rsid w:val="005C418F"/>
    <w:rsid w:val="005C7852"/>
    <w:rsid w:val="005D1FE7"/>
    <w:rsid w:val="005D2606"/>
    <w:rsid w:val="005D27F1"/>
    <w:rsid w:val="005D3EC6"/>
    <w:rsid w:val="005D45B9"/>
    <w:rsid w:val="005D4747"/>
    <w:rsid w:val="005D7A7B"/>
    <w:rsid w:val="005E00A3"/>
    <w:rsid w:val="005E0FC1"/>
    <w:rsid w:val="005E2CC0"/>
    <w:rsid w:val="005E35F2"/>
    <w:rsid w:val="005F13C0"/>
    <w:rsid w:val="006013FF"/>
    <w:rsid w:val="00601A1E"/>
    <w:rsid w:val="00601DB2"/>
    <w:rsid w:val="00602B59"/>
    <w:rsid w:val="006043B8"/>
    <w:rsid w:val="006049E7"/>
    <w:rsid w:val="006141C4"/>
    <w:rsid w:val="00615AAE"/>
    <w:rsid w:val="00617433"/>
    <w:rsid w:val="00621D42"/>
    <w:rsid w:val="00623275"/>
    <w:rsid w:val="0062443D"/>
    <w:rsid w:val="00626F49"/>
    <w:rsid w:val="006318CE"/>
    <w:rsid w:val="0063317F"/>
    <w:rsid w:val="00633B4A"/>
    <w:rsid w:val="00642732"/>
    <w:rsid w:val="00643B71"/>
    <w:rsid w:val="00646672"/>
    <w:rsid w:val="00646E19"/>
    <w:rsid w:val="00647ECA"/>
    <w:rsid w:val="00654667"/>
    <w:rsid w:val="00655B79"/>
    <w:rsid w:val="00655BAE"/>
    <w:rsid w:val="00655E81"/>
    <w:rsid w:val="00656941"/>
    <w:rsid w:val="00657010"/>
    <w:rsid w:val="00657195"/>
    <w:rsid w:val="00661682"/>
    <w:rsid w:val="006628A0"/>
    <w:rsid w:val="006676ED"/>
    <w:rsid w:val="00667BA2"/>
    <w:rsid w:val="006706E7"/>
    <w:rsid w:val="00671BDE"/>
    <w:rsid w:val="00681873"/>
    <w:rsid w:val="00683018"/>
    <w:rsid w:val="00687871"/>
    <w:rsid w:val="00692C9E"/>
    <w:rsid w:val="00693076"/>
    <w:rsid w:val="006935CF"/>
    <w:rsid w:val="006A0AF9"/>
    <w:rsid w:val="006A24A4"/>
    <w:rsid w:val="006A2B47"/>
    <w:rsid w:val="006A3AAE"/>
    <w:rsid w:val="006A4AAF"/>
    <w:rsid w:val="006A4F16"/>
    <w:rsid w:val="006A67C1"/>
    <w:rsid w:val="006A757A"/>
    <w:rsid w:val="006A7694"/>
    <w:rsid w:val="006A7B9B"/>
    <w:rsid w:val="006B0395"/>
    <w:rsid w:val="006B1E79"/>
    <w:rsid w:val="006B4C90"/>
    <w:rsid w:val="006B5025"/>
    <w:rsid w:val="006B610D"/>
    <w:rsid w:val="006C1C7B"/>
    <w:rsid w:val="006C1DD1"/>
    <w:rsid w:val="006C4BEE"/>
    <w:rsid w:val="006C4D95"/>
    <w:rsid w:val="006C7CEC"/>
    <w:rsid w:val="006D30B6"/>
    <w:rsid w:val="006D3D92"/>
    <w:rsid w:val="006E15E1"/>
    <w:rsid w:val="006E2098"/>
    <w:rsid w:val="006E25A7"/>
    <w:rsid w:val="006E27B0"/>
    <w:rsid w:val="006E4A03"/>
    <w:rsid w:val="006F1745"/>
    <w:rsid w:val="006F4A0C"/>
    <w:rsid w:val="006F61E0"/>
    <w:rsid w:val="00701925"/>
    <w:rsid w:val="007056CD"/>
    <w:rsid w:val="007056F8"/>
    <w:rsid w:val="0070754F"/>
    <w:rsid w:val="00707812"/>
    <w:rsid w:val="00707D83"/>
    <w:rsid w:val="00710848"/>
    <w:rsid w:val="0071544D"/>
    <w:rsid w:val="00716262"/>
    <w:rsid w:val="00716690"/>
    <w:rsid w:val="00717518"/>
    <w:rsid w:val="007226D8"/>
    <w:rsid w:val="007233E6"/>
    <w:rsid w:val="0072751E"/>
    <w:rsid w:val="00733262"/>
    <w:rsid w:val="007337D3"/>
    <w:rsid w:val="007355EE"/>
    <w:rsid w:val="007373D8"/>
    <w:rsid w:val="00740A9A"/>
    <w:rsid w:val="00743C3A"/>
    <w:rsid w:val="007454C8"/>
    <w:rsid w:val="00746765"/>
    <w:rsid w:val="00750687"/>
    <w:rsid w:val="007621B5"/>
    <w:rsid w:val="00764D0F"/>
    <w:rsid w:val="007658B0"/>
    <w:rsid w:val="00765F03"/>
    <w:rsid w:val="00766453"/>
    <w:rsid w:val="0076708A"/>
    <w:rsid w:val="00767D56"/>
    <w:rsid w:val="007728ED"/>
    <w:rsid w:val="00773466"/>
    <w:rsid w:val="00775F29"/>
    <w:rsid w:val="00785025"/>
    <w:rsid w:val="00785BF6"/>
    <w:rsid w:val="007903E7"/>
    <w:rsid w:val="007907F0"/>
    <w:rsid w:val="00794378"/>
    <w:rsid w:val="007977C9"/>
    <w:rsid w:val="007A264E"/>
    <w:rsid w:val="007A31C7"/>
    <w:rsid w:val="007B4833"/>
    <w:rsid w:val="007B7F36"/>
    <w:rsid w:val="007C03FE"/>
    <w:rsid w:val="007C186A"/>
    <w:rsid w:val="007C3A76"/>
    <w:rsid w:val="007C49CA"/>
    <w:rsid w:val="007C5076"/>
    <w:rsid w:val="007D3E6B"/>
    <w:rsid w:val="007D4D52"/>
    <w:rsid w:val="007D6551"/>
    <w:rsid w:val="007D693D"/>
    <w:rsid w:val="007E1321"/>
    <w:rsid w:val="007E1A63"/>
    <w:rsid w:val="007E5257"/>
    <w:rsid w:val="007E5DF7"/>
    <w:rsid w:val="007F0416"/>
    <w:rsid w:val="007F2777"/>
    <w:rsid w:val="007F27F3"/>
    <w:rsid w:val="007F7810"/>
    <w:rsid w:val="008026F5"/>
    <w:rsid w:val="00803979"/>
    <w:rsid w:val="00803FCE"/>
    <w:rsid w:val="00804165"/>
    <w:rsid w:val="00806129"/>
    <w:rsid w:val="0080617E"/>
    <w:rsid w:val="00806F11"/>
    <w:rsid w:val="00811D56"/>
    <w:rsid w:val="00817555"/>
    <w:rsid w:val="00817920"/>
    <w:rsid w:val="008210AA"/>
    <w:rsid w:val="00821B10"/>
    <w:rsid w:val="008220CD"/>
    <w:rsid w:val="00822CAB"/>
    <w:rsid w:val="00825640"/>
    <w:rsid w:val="0082721F"/>
    <w:rsid w:val="00830298"/>
    <w:rsid w:val="008316FB"/>
    <w:rsid w:val="00831ED4"/>
    <w:rsid w:val="0083263B"/>
    <w:rsid w:val="00833F31"/>
    <w:rsid w:val="00834AB4"/>
    <w:rsid w:val="008352CD"/>
    <w:rsid w:val="00835B03"/>
    <w:rsid w:val="00836BE6"/>
    <w:rsid w:val="0084068C"/>
    <w:rsid w:val="00843FC0"/>
    <w:rsid w:val="00845D3B"/>
    <w:rsid w:val="00847B4A"/>
    <w:rsid w:val="008501DF"/>
    <w:rsid w:val="00850BEB"/>
    <w:rsid w:val="0085255F"/>
    <w:rsid w:val="00853513"/>
    <w:rsid w:val="00861B63"/>
    <w:rsid w:val="00863AD7"/>
    <w:rsid w:val="0086670F"/>
    <w:rsid w:val="0086766D"/>
    <w:rsid w:val="00870391"/>
    <w:rsid w:val="00871714"/>
    <w:rsid w:val="00875913"/>
    <w:rsid w:val="00876DB4"/>
    <w:rsid w:val="00881B71"/>
    <w:rsid w:val="00882595"/>
    <w:rsid w:val="00883164"/>
    <w:rsid w:val="00885721"/>
    <w:rsid w:val="00887215"/>
    <w:rsid w:val="008875C6"/>
    <w:rsid w:val="00890903"/>
    <w:rsid w:val="00890BE5"/>
    <w:rsid w:val="008916FB"/>
    <w:rsid w:val="00891CE0"/>
    <w:rsid w:val="00892A6D"/>
    <w:rsid w:val="00894090"/>
    <w:rsid w:val="0089532D"/>
    <w:rsid w:val="00895B18"/>
    <w:rsid w:val="00897A64"/>
    <w:rsid w:val="008A3F62"/>
    <w:rsid w:val="008A4BAA"/>
    <w:rsid w:val="008A675F"/>
    <w:rsid w:val="008B0700"/>
    <w:rsid w:val="008B0F55"/>
    <w:rsid w:val="008B1111"/>
    <w:rsid w:val="008B15E4"/>
    <w:rsid w:val="008B1ACC"/>
    <w:rsid w:val="008B286C"/>
    <w:rsid w:val="008C0155"/>
    <w:rsid w:val="008C0C28"/>
    <w:rsid w:val="008C0DBC"/>
    <w:rsid w:val="008C238E"/>
    <w:rsid w:val="008C366B"/>
    <w:rsid w:val="008D4586"/>
    <w:rsid w:val="008D6EE3"/>
    <w:rsid w:val="008D7151"/>
    <w:rsid w:val="008D7A17"/>
    <w:rsid w:val="008E1ED9"/>
    <w:rsid w:val="008E5465"/>
    <w:rsid w:val="008E66C2"/>
    <w:rsid w:val="008E7257"/>
    <w:rsid w:val="008F1C4D"/>
    <w:rsid w:val="008F598B"/>
    <w:rsid w:val="008F5A7C"/>
    <w:rsid w:val="009002D9"/>
    <w:rsid w:val="00900460"/>
    <w:rsid w:val="009027FF"/>
    <w:rsid w:val="00902A08"/>
    <w:rsid w:val="00903A1C"/>
    <w:rsid w:val="00906561"/>
    <w:rsid w:val="00906CC3"/>
    <w:rsid w:val="0091072E"/>
    <w:rsid w:val="0091083F"/>
    <w:rsid w:val="00911E5F"/>
    <w:rsid w:val="00913D04"/>
    <w:rsid w:val="0091458F"/>
    <w:rsid w:val="009173AB"/>
    <w:rsid w:val="0091769B"/>
    <w:rsid w:val="00921A3F"/>
    <w:rsid w:val="00922F44"/>
    <w:rsid w:val="0092569D"/>
    <w:rsid w:val="00926DDC"/>
    <w:rsid w:val="009270E7"/>
    <w:rsid w:val="00930C5A"/>
    <w:rsid w:val="0093362A"/>
    <w:rsid w:val="00935B80"/>
    <w:rsid w:val="00936C38"/>
    <w:rsid w:val="0094142A"/>
    <w:rsid w:val="00941782"/>
    <w:rsid w:val="00944A97"/>
    <w:rsid w:val="009459C4"/>
    <w:rsid w:val="00946C5D"/>
    <w:rsid w:val="00947D76"/>
    <w:rsid w:val="00950266"/>
    <w:rsid w:val="00951544"/>
    <w:rsid w:val="00957091"/>
    <w:rsid w:val="00961ECF"/>
    <w:rsid w:val="00962C19"/>
    <w:rsid w:val="0096352D"/>
    <w:rsid w:val="00972406"/>
    <w:rsid w:val="00974852"/>
    <w:rsid w:val="009751FB"/>
    <w:rsid w:val="00983AF3"/>
    <w:rsid w:val="00984BBB"/>
    <w:rsid w:val="00986180"/>
    <w:rsid w:val="0099178A"/>
    <w:rsid w:val="00991C36"/>
    <w:rsid w:val="0099234D"/>
    <w:rsid w:val="0099324B"/>
    <w:rsid w:val="009933E8"/>
    <w:rsid w:val="00995936"/>
    <w:rsid w:val="00997601"/>
    <w:rsid w:val="00997E54"/>
    <w:rsid w:val="00997E8B"/>
    <w:rsid w:val="009A0671"/>
    <w:rsid w:val="009A30EF"/>
    <w:rsid w:val="009A4BE3"/>
    <w:rsid w:val="009A51BB"/>
    <w:rsid w:val="009A5FAC"/>
    <w:rsid w:val="009A7A50"/>
    <w:rsid w:val="009B0FFC"/>
    <w:rsid w:val="009B2F55"/>
    <w:rsid w:val="009B45B0"/>
    <w:rsid w:val="009B65E6"/>
    <w:rsid w:val="009C0B0A"/>
    <w:rsid w:val="009C1D61"/>
    <w:rsid w:val="009C2F35"/>
    <w:rsid w:val="009C465E"/>
    <w:rsid w:val="009C5313"/>
    <w:rsid w:val="009C538F"/>
    <w:rsid w:val="009C56D3"/>
    <w:rsid w:val="009C6667"/>
    <w:rsid w:val="009D11CA"/>
    <w:rsid w:val="009D7D58"/>
    <w:rsid w:val="009E111D"/>
    <w:rsid w:val="009E377E"/>
    <w:rsid w:val="009E3CF5"/>
    <w:rsid w:val="009E3D44"/>
    <w:rsid w:val="009E5237"/>
    <w:rsid w:val="009F0B17"/>
    <w:rsid w:val="009F11A1"/>
    <w:rsid w:val="009F29E6"/>
    <w:rsid w:val="009F3097"/>
    <w:rsid w:val="00A014F4"/>
    <w:rsid w:val="00A0208F"/>
    <w:rsid w:val="00A0716E"/>
    <w:rsid w:val="00A07A24"/>
    <w:rsid w:val="00A114CA"/>
    <w:rsid w:val="00A15179"/>
    <w:rsid w:val="00A172FD"/>
    <w:rsid w:val="00A212D4"/>
    <w:rsid w:val="00A23506"/>
    <w:rsid w:val="00A24166"/>
    <w:rsid w:val="00A2485E"/>
    <w:rsid w:val="00A253D3"/>
    <w:rsid w:val="00A312A4"/>
    <w:rsid w:val="00A33263"/>
    <w:rsid w:val="00A33AD7"/>
    <w:rsid w:val="00A34BE1"/>
    <w:rsid w:val="00A359C8"/>
    <w:rsid w:val="00A42C5F"/>
    <w:rsid w:val="00A50D57"/>
    <w:rsid w:val="00A51BAB"/>
    <w:rsid w:val="00A51E1F"/>
    <w:rsid w:val="00A525CC"/>
    <w:rsid w:val="00A53A82"/>
    <w:rsid w:val="00A5468F"/>
    <w:rsid w:val="00A56C18"/>
    <w:rsid w:val="00A574B0"/>
    <w:rsid w:val="00A6124C"/>
    <w:rsid w:val="00A63D2A"/>
    <w:rsid w:val="00A64D62"/>
    <w:rsid w:val="00A651EA"/>
    <w:rsid w:val="00A6576E"/>
    <w:rsid w:val="00A7195F"/>
    <w:rsid w:val="00A72A92"/>
    <w:rsid w:val="00A73DE3"/>
    <w:rsid w:val="00A8131C"/>
    <w:rsid w:val="00A82B91"/>
    <w:rsid w:val="00A836C2"/>
    <w:rsid w:val="00A84AD5"/>
    <w:rsid w:val="00A90B25"/>
    <w:rsid w:val="00A94F24"/>
    <w:rsid w:val="00AA2090"/>
    <w:rsid w:val="00AA56AF"/>
    <w:rsid w:val="00AA58E8"/>
    <w:rsid w:val="00AA6C5C"/>
    <w:rsid w:val="00AA6FBE"/>
    <w:rsid w:val="00AB0F30"/>
    <w:rsid w:val="00AB2153"/>
    <w:rsid w:val="00AB4075"/>
    <w:rsid w:val="00AB6843"/>
    <w:rsid w:val="00AB73D7"/>
    <w:rsid w:val="00AB7E10"/>
    <w:rsid w:val="00AC1CB9"/>
    <w:rsid w:val="00AC1D7D"/>
    <w:rsid w:val="00AC2FF4"/>
    <w:rsid w:val="00AD1EB9"/>
    <w:rsid w:val="00AD2A03"/>
    <w:rsid w:val="00AD33D1"/>
    <w:rsid w:val="00AD485A"/>
    <w:rsid w:val="00AD6BA1"/>
    <w:rsid w:val="00AD7449"/>
    <w:rsid w:val="00AE0586"/>
    <w:rsid w:val="00AE1813"/>
    <w:rsid w:val="00AE1C6C"/>
    <w:rsid w:val="00AE5B35"/>
    <w:rsid w:val="00AE747B"/>
    <w:rsid w:val="00AF14A6"/>
    <w:rsid w:val="00AF490F"/>
    <w:rsid w:val="00AF7A97"/>
    <w:rsid w:val="00B0007A"/>
    <w:rsid w:val="00B00C5E"/>
    <w:rsid w:val="00B0120A"/>
    <w:rsid w:val="00B0299F"/>
    <w:rsid w:val="00B07469"/>
    <w:rsid w:val="00B10B40"/>
    <w:rsid w:val="00B14BDA"/>
    <w:rsid w:val="00B244E8"/>
    <w:rsid w:val="00B247B5"/>
    <w:rsid w:val="00B24C6F"/>
    <w:rsid w:val="00B277DA"/>
    <w:rsid w:val="00B27DB8"/>
    <w:rsid w:val="00B31FB7"/>
    <w:rsid w:val="00B32CC5"/>
    <w:rsid w:val="00B32DC6"/>
    <w:rsid w:val="00B338A6"/>
    <w:rsid w:val="00B35C34"/>
    <w:rsid w:val="00B36693"/>
    <w:rsid w:val="00B36A56"/>
    <w:rsid w:val="00B372BA"/>
    <w:rsid w:val="00B40B0F"/>
    <w:rsid w:val="00B41D59"/>
    <w:rsid w:val="00B4278D"/>
    <w:rsid w:val="00B473B6"/>
    <w:rsid w:val="00B47D22"/>
    <w:rsid w:val="00B50176"/>
    <w:rsid w:val="00B5032D"/>
    <w:rsid w:val="00B507E4"/>
    <w:rsid w:val="00B53793"/>
    <w:rsid w:val="00B5463D"/>
    <w:rsid w:val="00B55AE5"/>
    <w:rsid w:val="00B55CA7"/>
    <w:rsid w:val="00B625B6"/>
    <w:rsid w:val="00B64808"/>
    <w:rsid w:val="00B6714B"/>
    <w:rsid w:val="00B71B3C"/>
    <w:rsid w:val="00B72EFA"/>
    <w:rsid w:val="00B7575E"/>
    <w:rsid w:val="00B77236"/>
    <w:rsid w:val="00B8082B"/>
    <w:rsid w:val="00B82EC1"/>
    <w:rsid w:val="00B83F2F"/>
    <w:rsid w:val="00B84F5B"/>
    <w:rsid w:val="00B8517D"/>
    <w:rsid w:val="00B866BF"/>
    <w:rsid w:val="00B953A4"/>
    <w:rsid w:val="00B969CF"/>
    <w:rsid w:val="00BA0131"/>
    <w:rsid w:val="00BA35B3"/>
    <w:rsid w:val="00BB0B0A"/>
    <w:rsid w:val="00BC007B"/>
    <w:rsid w:val="00BC0087"/>
    <w:rsid w:val="00BC0B9E"/>
    <w:rsid w:val="00BC12B2"/>
    <w:rsid w:val="00BC186F"/>
    <w:rsid w:val="00BC20BE"/>
    <w:rsid w:val="00BC3D7C"/>
    <w:rsid w:val="00BC476D"/>
    <w:rsid w:val="00BC60DC"/>
    <w:rsid w:val="00BD1774"/>
    <w:rsid w:val="00BD3A3F"/>
    <w:rsid w:val="00BD605E"/>
    <w:rsid w:val="00BD7003"/>
    <w:rsid w:val="00BE1DF0"/>
    <w:rsid w:val="00BE21EB"/>
    <w:rsid w:val="00BE2AF1"/>
    <w:rsid w:val="00BE35F0"/>
    <w:rsid w:val="00BF0806"/>
    <w:rsid w:val="00BF3569"/>
    <w:rsid w:val="00C0262C"/>
    <w:rsid w:val="00C03B35"/>
    <w:rsid w:val="00C07793"/>
    <w:rsid w:val="00C07F87"/>
    <w:rsid w:val="00C12705"/>
    <w:rsid w:val="00C13499"/>
    <w:rsid w:val="00C146D0"/>
    <w:rsid w:val="00C1692C"/>
    <w:rsid w:val="00C21E34"/>
    <w:rsid w:val="00C2239F"/>
    <w:rsid w:val="00C23CEE"/>
    <w:rsid w:val="00C2402A"/>
    <w:rsid w:val="00C270BE"/>
    <w:rsid w:val="00C35397"/>
    <w:rsid w:val="00C408F0"/>
    <w:rsid w:val="00C44357"/>
    <w:rsid w:val="00C45541"/>
    <w:rsid w:val="00C462C4"/>
    <w:rsid w:val="00C46E30"/>
    <w:rsid w:val="00C51570"/>
    <w:rsid w:val="00C516C6"/>
    <w:rsid w:val="00C51CC6"/>
    <w:rsid w:val="00C545CA"/>
    <w:rsid w:val="00C56833"/>
    <w:rsid w:val="00C56BCE"/>
    <w:rsid w:val="00C570B7"/>
    <w:rsid w:val="00C571B2"/>
    <w:rsid w:val="00C57401"/>
    <w:rsid w:val="00C57D27"/>
    <w:rsid w:val="00C65FE4"/>
    <w:rsid w:val="00C66E10"/>
    <w:rsid w:val="00C67303"/>
    <w:rsid w:val="00C67332"/>
    <w:rsid w:val="00C74396"/>
    <w:rsid w:val="00C75389"/>
    <w:rsid w:val="00C76647"/>
    <w:rsid w:val="00C80A39"/>
    <w:rsid w:val="00C814E8"/>
    <w:rsid w:val="00C81552"/>
    <w:rsid w:val="00C82128"/>
    <w:rsid w:val="00C831B1"/>
    <w:rsid w:val="00C83641"/>
    <w:rsid w:val="00C84756"/>
    <w:rsid w:val="00C8478F"/>
    <w:rsid w:val="00C868C2"/>
    <w:rsid w:val="00C9512F"/>
    <w:rsid w:val="00CA02E3"/>
    <w:rsid w:val="00CA44D3"/>
    <w:rsid w:val="00CA4A23"/>
    <w:rsid w:val="00CA676C"/>
    <w:rsid w:val="00CB093E"/>
    <w:rsid w:val="00CB12A8"/>
    <w:rsid w:val="00CB16CF"/>
    <w:rsid w:val="00CB27E3"/>
    <w:rsid w:val="00CB5144"/>
    <w:rsid w:val="00CB623B"/>
    <w:rsid w:val="00CC2548"/>
    <w:rsid w:val="00CC2B9A"/>
    <w:rsid w:val="00CC395E"/>
    <w:rsid w:val="00CC3EED"/>
    <w:rsid w:val="00CC597A"/>
    <w:rsid w:val="00CD2556"/>
    <w:rsid w:val="00CD2666"/>
    <w:rsid w:val="00CD2CF5"/>
    <w:rsid w:val="00CD3FF3"/>
    <w:rsid w:val="00CD6A98"/>
    <w:rsid w:val="00CD76D5"/>
    <w:rsid w:val="00CD79B3"/>
    <w:rsid w:val="00CD7C61"/>
    <w:rsid w:val="00CE1C8D"/>
    <w:rsid w:val="00CE3448"/>
    <w:rsid w:val="00CE372F"/>
    <w:rsid w:val="00CE3BF4"/>
    <w:rsid w:val="00CE42F2"/>
    <w:rsid w:val="00CE5DC3"/>
    <w:rsid w:val="00CF2AF0"/>
    <w:rsid w:val="00D0247F"/>
    <w:rsid w:val="00D038AE"/>
    <w:rsid w:val="00D052CA"/>
    <w:rsid w:val="00D053A0"/>
    <w:rsid w:val="00D06FC1"/>
    <w:rsid w:val="00D117E9"/>
    <w:rsid w:val="00D11830"/>
    <w:rsid w:val="00D11CD8"/>
    <w:rsid w:val="00D1244E"/>
    <w:rsid w:val="00D16D99"/>
    <w:rsid w:val="00D21C86"/>
    <w:rsid w:val="00D24A01"/>
    <w:rsid w:val="00D24FAA"/>
    <w:rsid w:val="00D326E1"/>
    <w:rsid w:val="00D33B5A"/>
    <w:rsid w:val="00D35A13"/>
    <w:rsid w:val="00D3636E"/>
    <w:rsid w:val="00D36BB4"/>
    <w:rsid w:val="00D37943"/>
    <w:rsid w:val="00D37BDA"/>
    <w:rsid w:val="00D4025D"/>
    <w:rsid w:val="00D41A93"/>
    <w:rsid w:val="00D420FB"/>
    <w:rsid w:val="00D42D23"/>
    <w:rsid w:val="00D434FE"/>
    <w:rsid w:val="00D47894"/>
    <w:rsid w:val="00D47B94"/>
    <w:rsid w:val="00D5378B"/>
    <w:rsid w:val="00D54E0E"/>
    <w:rsid w:val="00D55A93"/>
    <w:rsid w:val="00D6035B"/>
    <w:rsid w:val="00D63332"/>
    <w:rsid w:val="00D64314"/>
    <w:rsid w:val="00D64426"/>
    <w:rsid w:val="00D676E2"/>
    <w:rsid w:val="00D730F4"/>
    <w:rsid w:val="00D73AD0"/>
    <w:rsid w:val="00D73DA3"/>
    <w:rsid w:val="00D77D55"/>
    <w:rsid w:val="00D8048D"/>
    <w:rsid w:val="00D847B6"/>
    <w:rsid w:val="00D85104"/>
    <w:rsid w:val="00D868FB"/>
    <w:rsid w:val="00D86DCD"/>
    <w:rsid w:val="00D87294"/>
    <w:rsid w:val="00D87980"/>
    <w:rsid w:val="00D91A31"/>
    <w:rsid w:val="00D92556"/>
    <w:rsid w:val="00D93E0F"/>
    <w:rsid w:val="00D97647"/>
    <w:rsid w:val="00DA15A2"/>
    <w:rsid w:val="00DA32C4"/>
    <w:rsid w:val="00DA5618"/>
    <w:rsid w:val="00DA7E67"/>
    <w:rsid w:val="00DB1594"/>
    <w:rsid w:val="00DB18AA"/>
    <w:rsid w:val="00DB2584"/>
    <w:rsid w:val="00DB25ED"/>
    <w:rsid w:val="00DB2AA4"/>
    <w:rsid w:val="00DB2B70"/>
    <w:rsid w:val="00DB31A6"/>
    <w:rsid w:val="00DB362F"/>
    <w:rsid w:val="00DB63D1"/>
    <w:rsid w:val="00DB67BA"/>
    <w:rsid w:val="00DC0417"/>
    <w:rsid w:val="00DC062F"/>
    <w:rsid w:val="00DC09EA"/>
    <w:rsid w:val="00DC2196"/>
    <w:rsid w:val="00DC2263"/>
    <w:rsid w:val="00DC272B"/>
    <w:rsid w:val="00DC2A06"/>
    <w:rsid w:val="00DC3F0B"/>
    <w:rsid w:val="00DC4BC7"/>
    <w:rsid w:val="00DD0E67"/>
    <w:rsid w:val="00DD7721"/>
    <w:rsid w:val="00DE069F"/>
    <w:rsid w:val="00DE08CD"/>
    <w:rsid w:val="00DE5108"/>
    <w:rsid w:val="00DE5235"/>
    <w:rsid w:val="00DE5EE6"/>
    <w:rsid w:val="00DE6857"/>
    <w:rsid w:val="00DF1351"/>
    <w:rsid w:val="00DF4FBF"/>
    <w:rsid w:val="00DF5651"/>
    <w:rsid w:val="00E015B4"/>
    <w:rsid w:val="00E02A50"/>
    <w:rsid w:val="00E02DCB"/>
    <w:rsid w:val="00E03B29"/>
    <w:rsid w:val="00E03C3D"/>
    <w:rsid w:val="00E075BF"/>
    <w:rsid w:val="00E1085A"/>
    <w:rsid w:val="00E10E98"/>
    <w:rsid w:val="00E11C5A"/>
    <w:rsid w:val="00E220A2"/>
    <w:rsid w:val="00E225C4"/>
    <w:rsid w:val="00E22C03"/>
    <w:rsid w:val="00E23A0E"/>
    <w:rsid w:val="00E23B2B"/>
    <w:rsid w:val="00E23D0B"/>
    <w:rsid w:val="00E240DA"/>
    <w:rsid w:val="00E24946"/>
    <w:rsid w:val="00E26FF0"/>
    <w:rsid w:val="00E30014"/>
    <w:rsid w:val="00E30FF6"/>
    <w:rsid w:val="00E3196E"/>
    <w:rsid w:val="00E373F9"/>
    <w:rsid w:val="00E376A2"/>
    <w:rsid w:val="00E40493"/>
    <w:rsid w:val="00E4112E"/>
    <w:rsid w:val="00E44E94"/>
    <w:rsid w:val="00E4593B"/>
    <w:rsid w:val="00E479D6"/>
    <w:rsid w:val="00E52117"/>
    <w:rsid w:val="00E52277"/>
    <w:rsid w:val="00E54FA6"/>
    <w:rsid w:val="00E55648"/>
    <w:rsid w:val="00E55CCB"/>
    <w:rsid w:val="00E5653A"/>
    <w:rsid w:val="00E57AAC"/>
    <w:rsid w:val="00E57DD5"/>
    <w:rsid w:val="00E655F9"/>
    <w:rsid w:val="00E66606"/>
    <w:rsid w:val="00E675DC"/>
    <w:rsid w:val="00E7668E"/>
    <w:rsid w:val="00E81B54"/>
    <w:rsid w:val="00E83BC2"/>
    <w:rsid w:val="00E84787"/>
    <w:rsid w:val="00E8571F"/>
    <w:rsid w:val="00E876D3"/>
    <w:rsid w:val="00E87C36"/>
    <w:rsid w:val="00E90FDF"/>
    <w:rsid w:val="00E91F04"/>
    <w:rsid w:val="00E9262F"/>
    <w:rsid w:val="00E9264F"/>
    <w:rsid w:val="00E94B99"/>
    <w:rsid w:val="00E971E0"/>
    <w:rsid w:val="00E9752A"/>
    <w:rsid w:val="00E97F33"/>
    <w:rsid w:val="00EA63C3"/>
    <w:rsid w:val="00EB2B5D"/>
    <w:rsid w:val="00EB5635"/>
    <w:rsid w:val="00EB7D8F"/>
    <w:rsid w:val="00EC09BD"/>
    <w:rsid w:val="00EC5B47"/>
    <w:rsid w:val="00EC68A8"/>
    <w:rsid w:val="00ED00AB"/>
    <w:rsid w:val="00ED3ED9"/>
    <w:rsid w:val="00ED4F0D"/>
    <w:rsid w:val="00ED5D42"/>
    <w:rsid w:val="00ED6E36"/>
    <w:rsid w:val="00ED7A80"/>
    <w:rsid w:val="00EE003F"/>
    <w:rsid w:val="00EE020D"/>
    <w:rsid w:val="00EE24FA"/>
    <w:rsid w:val="00EE4964"/>
    <w:rsid w:val="00EE66A4"/>
    <w:rsid w:val="00EE705D"/>
    <w:rsid w:val="00EF10C4"/>
    <w:rsid w:val="00EF3994"/>
    <w:rsid w:val="00EF3A51"/>
    <w:rsid w:val="00F0160E"/>
    <w:rsid w:val="00F016AD"/>
    <w:rsid w:val="00F01970"/>
    <w:rsid w:val="00F035DB"/>
    <w:rsid w:val="00F0565A"/>
    <w:rsid w:val="00F06927"/>
    <w:rsid w:val="00F07DF1"/>
    <w:rsid w:val="00F1319A"/>
    <w:rsid w:val="00F17B66"/>
    <w:rsid w:val="00F20172"/>
    <w:rsid w:val="00F23D3C"/>
    <w:rsid w:val="00F2452E"/>
    <w:rsid w:val="00F24992"/>
    <w:rsid w:val="00F32C63"/>
    <w:rsid w:val="00F34872"/>
    <w:rsid w:val="00F34FE9"/>
    <w:rsid w:val="00F35D13"/>
    <w:rsid w:val="00F35E76"/>
    <w:rsid w:val="00F450EE"/>
    <w:rsid w:val="00F45516"/>
    <w:rsid w:val="00F50C98"/>
    <w:rsid w:val="00F517F9"/>
    <w:rsid w:val="00F51B5F"/>
    <w:rsid w:val="00F52865"/>
    <w:rsid w:val="00F551A2"/>
    <w:rsid w:val="00F55801"/>
    <w:rsid w:val="00F55D9A"/>
    <w:rsid w:val="00F568D0"/>
    <w:rsid w:val="00F57450"/>
    <w:rsid w:val="00F57873"/>
    <w:rsid w:val="00F57B8E"/>
    <w:rsid w:val="00F6284B"/>
    <w:rsid w:val="00F652D9"/>
    <w:rsid w:val="00F67899"/>
    <w:rsid w:val="00F760AB"/>
    <w:rsid w:val="00F80C7E"/>
    <w:rsid w:val="00F83CBF"/>
    <w:rsid w:val="00F8533D"/>
    <w:rsid w:val="00F87821"/>
    <w:rsid w:val="00F90962"/>
    <w:rsid w:val="00F92EE6"/>
    <w:rsid w:val="00F930E9"/>
    <w:rsid w:val="00F949FA"/>
    <w:rsid w:val="00F960E3"/>
    <w:rsid w:val="00F97D6B"/>
    <w:rsid w:val="00FA1013"/>
    <w:rsid w:val="00FA1197"/>
    <w:rsid w:val="00FA1D9F"/>
    <w:rsid w:val="00FA3A9B"/>
    <w:rsid w:val="00FA7608"/>
    <w:rsid w:val="00FB1DDE"/>
    <w:rsid w:val="00FB312F"/>
    <w:rsid w:val="00FB3C8A"/>
    <w:rsid w:val="00FB51BD"/>
    <w:rsid w:val="00FB56CD"/>
    <w:rsid w:val="00FB6ACF"/>
    <w:rsid w:val="00FB7691"/>
    <w:rsid w:val="00FB7A97"/>
    <w:rsid w:val="00FC24CC"/>
    <w:rsid w:val="00FD03AA"/>
    <w:rsid w:val="00FD4D9A"/>
    <w:rsid w:val="00FD5135"/>
    <w:rsid w:val="00FD5BE9"/>
    <w:rsid w:val="00FD76D0"/>
    <w:rsid w:val="00FE1CC8"/>
    <w:rsid w:val="00FE1E6F"/>
    <w:rsid w:val="00FE28E7"/>
    <w:rsid w:val="00FE34E9"/>
    <w:rsid w:val="00FE3923"/>
    <w:rsid w:val="00FE5D1A"/>
    <w:rsid w:val="00FF1505"/>
    <w:rsid w:val="00FF2229"/>
    <w:rsid w:val="00FF2491"/>
    <w:rsid w:val="00FF4448"/>
    <w:rsid w:val="00FF518D"/>
    <w:rsid w:val="00FF54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footer" w:uiPriority="99"/>
    <w:lsdException w:name="caption" w:locked="1" w:semiHidden="1" w:unhideWhenUsed="1" w:qFormat="1"/>
    <w:lsdException w:name="footnote reference" w:uiPriority="99"/>
    <w:lsdException w:name="Title" w:locked="1" w:qFormat="1"/>
    <w:lsdException w:name="Subtitle" w:locked="1" w:qFormat="1"/>
    <w:lsdException w:name="Strong" w:locked="1" w:uiPriority="22"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793"/>
    <w:rPr>
      <w:rFonts w:ascii="Arial" w:hAnsi="Arial"/>
      <w:color w:val="001F00"/>
      <w:spacing w:val="6"/>
      <w:sz w:val="18"/>
      <w:szCs w:val="18"/>
      <w:lang w:val="en-GB" w:eastAsia="en-GB"/>
    </w:rPr>
  </w:style>
  <w:style w:type="paragraph" w:styleId="Heading1">
    <w:name w:val="heading 1"/>
    <w:basedOn w:val="Normal"/>
    <w:next w:val="Normal"/>
    <w:qFormat/>
    <w:rsid w:val="00C07793"/>
    <w:pPr>
      <w:keepNext/>
      <w:outlineLvl w:val="0"/>
    </w:pPr>
    <w:rPr>
      <w:rFonts w:cs="Arial"/>
      <w:b/>
      <w:bCs/>
      <w:kern w:val="32"/>
      <w:sz w:val="20"/>
      <w:szCs w:val="20"/>
    </w:rPr>
  </w:style>
  <w:style w:type="paragraph" w:styleId="Heading2">
    <w:name w:val="heading 2"/>
    <w:basedOn w:val="Normal"/>
    <w:next w:val="Normal"/>
    <w:qFormat/>
    <w:rsid w:val="00C07793"/>
    <w:pPr>
      <w:keepNext/>
      <w:outlineLvl w:val="1"/>
    </w:pPr>
    <w:rPr>
      <w:rFonts w:cs="Arial"/>
      <w:b/>
      <w:bCs/>
      <w:iCs/>
    </w:rPr>
  </w:style>
  <w:style w:type="paragraph" w:styleId="Heading5">
    <w:name w:val="heading 5"/>
    <w:basedOn w:val="Normal"/>
    <w:next w:val="Normal"/>
    <w:qFormat/>
    <w:rsid w:val="00C0779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7793"/>
    <w:rPr>
      <w:color w:val="auto"/>
      <w:sz w:val="14"/>
      <w:szCs w:val="14"/>
    </w:rPr>
  </w:style>
  <w:style w:type="paragraph" w:styleId="Header">
    <w:name w:val="header"/>
    <w:basedOn w:val="Normal"/>
    <w:rsid w:val="00C07793"/>
    <w:pPr>
      <w:tabs>
        <w:tab w:val="center" w:pos="4153"/>
        <w:tab w:val="right" w:pos="8306"/>
      </w:tabs>
    </w:pPr>
  </w:style>
  <w:style w:type="character" w:customStyle="1" w:styleId="CharChar">
    <w:name w:val="Char Char"/>
    <w:rsid w:val="00C07793"/>
    <w:rPr>
      <w:rFonts w:ascii="Arial" w:hAnsi="Arial" w:cs="Times New Roman"/>
      <w:spacing w:val="6"/>
      <w:sz w:val="14"/>
      <w:szCs w:val="14"/>
      <w:lang w:val="en-GB" w:eastAsia="en-GB" w:bidi="ar-SA"/>
    </w:rPr>
  </w:style>
  <w:style w:type="character" w:styleId="PageNumber">
    <w:name w:val="page number"/>
    <w:rsid w:val="00C07793"/>
    <w:rPr>
      <w:rFonts w:cs="Times New Roman"/>
    </w:rPr>
  </w:style>
  <w:style w:type="paragraph" w:styleId="Title">
    <w:name w:val="Title"/>
    <w:basedOn w:val="Normal"/>
    <w:qFormat/>
    <w:rsid w:val="00C07793"/>
    <w:pPr>
      <w:jc w:val="center"/>
    </w:pPr>
    <w:rPr>
      <w:rFonts w:ascii="Times New Roman" w:hAnsi="Times New Roman"/>
      <w:b/>
      <w:bCs/>
      <w:color w:val="auto"/>
      <w:spacing w:val="0"/>
      <w:sz w:val="24"/>
      <w:szCs w:val="24"/>
      <w:lang w:val="en-US" w:eastAsia="en-US"/>
    </w:rPr>
  </w:style>
  <w:style w:type="paragraph" w:styleId="Subtitle">
    <w:name w:val="Subtitle"/>
    <w:basedOn w:val="Normal"/>
    <w:qFormat/>
    <w:rsid w:val="00C07793"/>
    <w:pPr>
      <w:jc w:val="center"/>
    </w:pPr>
    <w:rPr>
      <w:rFonts w:ascii="Times New Roman" w:hAnsi="Times New Roman"/>
      <w:b/>
      <w:bCs/>
      <w:color w:val="auto"/>
      <w:spacing w:val="0"/>
      <w:sz w:val="24"/>
      <w:szCs w:val="24"/>
      <w:lang w:val="en-US" w:eastAsia="en-US"/>
    </w:rPr>
  </w:style>
  <w:style w:type="character" w:styleId="Hyperlink">
    <w:name w:val="Hyperlink"/>
    <w:rsid w:val="00C07793"/>
    <w:rPr>
      <w:rFonts w:cs="Times New Roman"/>
      <w:color w:val="0000FF"/>
      <w:u w:val="single"/>
    </w:rPr>
  </w:style>
  <w:style w:type="paragraph" w:styleId="BodyText2">
    <w:name w:val="Body Text 2"/>
    <w:basedOn w:val="Normal"/>
    <w:rsid w:val="00C07793"/>
    <w:pPr>
      <w:jc w:val="both"/>
    </w:pPr>
    <w:rPr>
      <w:rFonts w:ascii="Courier New" w:hAnsi="Courier New" w:cs="Courier New"/>
      <w:color w:val="000000"/>
      <w:spacing w:val="0"/>
      <w:sz w:val="20"/>
      <w:szCs w:val="20"/>
      <w:lang w:val="en-US" w:eastAsia="en-US"/>
    </w:rPr>
  </w:style>
  <w:style w:type="paragraph" w:styleId="BalloonText">
    <w:name w:val="Balloon Text"/>
    <w:basedOn w:val="Normal"/>
    <w:semiHidden/>
    <w:rsid w:val="00DD7721"/>
    <w:rPr>
      <w:rFonts w:ascii="Tahoma" w:hAnsi="Tahoma" w:cs="Tahoma"/>
      <w:sz w:val="16"/>
      <w:szCs w:val="16"/>
    </w:rPr>
  </w:style>
  <w:style w:type="paragraph" w:styleId="EndnoteText">
    <w:name w:val="endnote text"/>
    <w:basedOn w:val="Normal"/>
    <w:semiHidden/>
    <w:rsid w:val="00DE5EE6"/>
    <w:rPr>
      <w:rFonts w:ascii="Times New Roman" w:hAnsi="Times New Roman"/>
      <w:color w:val="auto"/>
      <w:spacing w:val="0"/>
      <w:sz w:val="20"/>
      <w:szCs w:val="20"/>
      <w:lang w:eastAsia="en-US"/>
    </w:rPr>
  </w:style>
  <w:style w:type="character" w:styleId="EndnoteReference">
    <w:name w:val="endnote reference"/>
    <w:semiHidden/>
    <w:rsid w:val="00DE5EE6"/>
    <w:rPr>
      <w:rFonts w:cs="Times New Roman"/>
      <w:vertAlign w:val="superscript"/>
    </w:rPr>
  </w:style>
  <w:style w:type="character" w:styleId="CommentReference">
    <w:name w:val="annotation reference"/>
    <w:rsid w:val="00FA1013"/>
    <w:rPr>
      <w:rFonts w:cs="Times New Roman"/>
      <w:sz w:val="16"/>
      <w:szCs w:val="16"/>
    </w:rPr>
  </w:style>
  <w:style w:type="paragraph" w:styleId="CommentText">
    <w:name w:val="annotation text"/>
    <w:basedOn w:val="Normal"/>
    <w:link w:val="CommentTextChar"/>
    <w:rsid w:val="00FA1013"/>
    <w:rPr>
      <w:sz w:val="20"/>
      <w:szCs w:val="20"/>
    </w:rPr>
  </w:style>
  <w:style w:type="character" w:customStyle="1" w:styleId="CommentTextChar">
    <w:name w:val="Comment Text Char"/>
    <w:link w:val="CommentText"/>
    <w:locked/>
    <w:rsid w:val="00FA1013"/>
    <w:rPr>
      <w:rFonts w:ascii="Arial" w:hAnsi="Arial" w:cs="Times New Roman"/>
      <w:color w:val="001F00"/>
      <w:spacing w:val="6"/>
      <w:lang w:val="en-GB" w:eastAsia="en-GB"/>
    </w:rPr>
  </w:style>
  <w:style w:type="paragraph" w:styleId="CommentSubject">
    <w:name w:val="annotation subject"/>
    <w:basedOn w:val="CommentText"/>
    <w:next w:val="CommentText"/>
    <w:link w:val="CommentSubjectChar"/>
    <w:rsid w:val="00FA1013"/>
    <w:rPr>
      <w:b/>
      <w:bCs/>
    </w:rPr>
  </w:style>
  <w:style w:type="character" w:customStyle="1" w:styleId="CommentSubjectChar">
    <w:name w:val="Comment Subject Char"/>
    <w:link w:val="CommentSubject"/>
    <w:locked/>
    <w:rsid w:val="00FA1013"/>
    <w:rPr>
      <w:rFonts w:ascii="Arial" w:hAnsi="Arial" w:cs="Times New Roman"/>
      <w:b/>
      <w:bCs/>
      <w:color w:val="001F00"/>
      <w:spacing w:val="6"/>
      <w:lang w:val="en-GB" w:eastAsia="en-GB"/>
    </w:rPr>
  </w:style>
  <w:style w:type="paragraph" w:customStyle="1" w:styleId="Default">
    <w:name w:val="Default"/>
    <w:rsid w:val="00926DDC"/>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947D76"/>
    <w:pPr>
      <w:ind w:left="720"/>
      <w:contextualSpacing/>
    </w:pPr>
    <w:rPr>
      <w:rFonts w:ascii="Times New Roman" w:hAnsi="Times New Roman"/>
      <w:color w:val="auto"/>
      <w:spacing w:val="0"/>
      <w:sz w:val="24"/>
      <w:szCs w:val="24"/>
      <w:lang w:val="en-ZA" w:eastAsia="en-ZA"/>
    </w:rPr>
  </w:style>
  <w:style w:type="paragraph" w:customStyle="1" w:styleId="FootnoteText1">
    <w:name w:val="Footnote Text1"/>
    <w:basedOn w:val="Normal"/>
    <w:next w:val="FootnoteText"/>
    <w:link w:val="FootnoteTextChar"/>
    <w:uiPriority w:val="99"/>
    <w:semiHidden/>
    <w:unhideWhenUsed/>
    <w:rsid w:val="007C186A"/>
    <w:pPr>
      <w:jc w:val="both"/>
    </w:pPr>
    <w:rPr>
      <w:color w:val="auto"/>
      <w:spacing w:val="0"/>
      <w:sz w:val="20"/>
      <w:szCs w:val="20"/>
      <w:lang w:val="en-ZA" w:eastAsia="en-ZA"/>
    </w:rPr>
  </w:style>
  <w:style w:type="character" w:customStyle="1" w:styleId="FootnoteTextChar">
    <w:name w:val="Footnote Text Char"/>
    <w:link w:val="FootnoteText1"/>
    <w:uiPriority w:val="99"/>
    <w:semiHidden/>
    <w:rsid w:val="007C186A"/>
    <w:rPr>
      <w:rFonts w:ascii="Arial" w:hAnsi="Arial"/>
      <w:sz w:val="20"/>
      <w:szCs w:val="20"/>
    </w:rPr>
  </w:style>
  <w:style w:type="character" w:styleId="FootnoteReference">
    <w:name w:val="footnote reference"/>
    <w:uiPriority w:val="99"/>
    <w:rsid w:val="007C186A"/>
    <w:rPr>
      <w:vertAlign w:val="superscript"/>
    </w:rPr>
  </w:style>
  <w:style w:type="paragraph" w:styleId="FootnoteText">
    <w:name w:val="footnote text"/>
    <w:basedOn w:val="Normal"/>
    <w:link w:val="FootnoteTextChar1"/>
    <w:uiPriority w:val="99"/>
    <w:rsid w:val="007C186A"/>
    <w:rPr>
      <w:sz w:val="20"/>
      <w:szCs w:val="20"/>
    </w:rPr>
  </w:style>
  <w:style w:type="character" w:customStyle="1" w:styleId="FootnoteTextChar1">
    <w:name w:val="Footnote Text Char1"/>
    <w:link w:val="FootnoteText"/>
    <w:rsid w:val="007C186A"/>
    <w:rPr>
      <w:rFonts w:ascii="Arial" w:hAnsi="Arial"/>
      <w:color w:val="001F00"/>
      <w:spacing w:val="6"/>
      <w:lang w:val="en-GB" w:eastAsia="en-GB"/>
    </w:rPr>
  </w:style>
  <w:style w:type="table" w:styleId="TableGrid">
    <w:name w:val="Table Grid"/>
    <w:basedOn w:val="TableNormal"/>
    <w:rsid w:val="0008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D11CA"/>
    <w:pPr>
      <w:spacing w:after="330" w:line="330" w:lineRule="atLeast"/>
    </w:pPr>
    <w:rPr>
      <w:rFonts w:ascii="Times New Roman" w:hAnsi="Times New Roman"/>
      <w:color w:val="auto"/>
      <w:spacing w:val="0"/>
      <w:sz w:val="24"/>
      <w:szCs w:val="24"/>
      <w:lang w:val="en-ZA" w:eastAsia="en-ZA"/>
    </w:rPr>
  </w:style>
  <w:style w:type="table" w:customStyle="1" w:styleId="TableGrid1">
    <w:name w:val="Table Grid1"/>
    <w:basedOn w:val="TableNormal"/>
    <w:next w:val="TableGrid"/>
    <w:uiPriority w:val="39"/>
    <w:rsid w:val="0022094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836C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43E3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unit">
    <w:name w:val="ob-unit"/>
    <w:basedOn w:val="DefaultParagraphFont"/>
    <w:rsid w:val="00E52277"/>
  </w:style>
  <w:style w:type="character" w:styleId="Strong">
    <w:name w:val="Strong"/>
    <w:basedOn w:val="DefaultParagraphFont"/>
    <w:uiPriority w:val="22"/>
    <w:qFormat/>
    <w:locked/>
    <w:rsid w:val="00500BA9"/>
    <w:rPr>
      <w:b/>
      <w:bCs/>
    </w:rPr>
  </w:style>
  <w:style w:type="character" w:customStyle="1" w:styleId="FooterChar">
    <w:name w:val="Footer Char"/>
    <w:basedOn w:val="DefaultParagraphFont"/>
    <w:link w:val="Footer"/>
    <w:uiPriority w:val="99"/>
    <w:rsid w:val="000348ED"/>
    <w:rPr>
      <w:rFonts w:ascii="Arial" w:hAnsi="Arial"/>
      <w:spacing w:val="6"/>
      <w:sz w:val="14"/>
      <w:szCs w:val="14"/>
      <w:lang w:val="en-GB" w:eastAsia="en-GB"/>
    </w:rPr>
  </w:style>
  <w:style w:type="table" w:customStyle="1" w:styleId="TableGrid4">
    <w:name w:val="Table Grid4"/>
    <w:basedOn w:val="TableNormal"/>
    <w:next w:val="TableGrid"/>
    <w:uiPriority w:val="39"/>
    <w:rsid w:val="00FB1D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E556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78">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359">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338">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311">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sChild>
        <w:div w:id="20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71">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1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80">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
      <w:marLeft w:val="0"/>
      <w:marRight w:val="0"/>
      <w:marTop w:val="0"/>
      <w:marBottom w:val="0"/>
      <w:divBdr>
        <w:top w:val="none" w:sz="0" w:space="0" w:color="auto"/>
        <w:left w:val="none" w:sz="0" w:space="0" w:color="auto"/>
        <w:bottom w:val="none" w:sz="0" w:space="0" w:color="auto"/>
        <w:right w:val="none" w:sz="0" w:space="0" w:color="auto"/>
      </w:divBdr>
      <w:divsChild>
        <w:div w:id="337">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97">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
      <w:marLeft w:val="0"/>
      <w:marRight w:val="0"/>
      <w:marTop w:val="0"/>
      <w:marBottom w:val="0"/>
      <w:divBdr>
        <w:top w:val="none" w:sz="0" w:space="0" w:color="auto"/>
        <w:left w:val="none" w:sz="0" w:space="0" w:color="auto"/>
        <w:bottom w:val="none" w:sz="0" w:space="0" w:color="auto"/>
        <w:right w:val="none" w:sz="0" w:space="0" w:color="auto"/>
      </w:divBdr>
      <w:divsChild>
        <w:div w:id="239">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
      <w:marLeft w:val="0"/>
      <w:marRight w:val="0"/>
      <w:marTop w:val="0"/>
      <w:marBottom w:val="0"/>
      <w:divBdr>
        <w:top w:val="none" w:sz="0" w:space="0" w:color="auto"/>
        <w:left w:val="none" w:sz="0" w:space="0" w:color="auto"/>
        <w:bottom w:val="none" w:sz="0" w:space="0" w:color="auto"/>
        <w:right w:val="none" w:sz="0" w:space="0" w:color="auto"/>
      </w:divBdr>
      <w:divsChild>
        <w:div w:id="350">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93">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
      <w:marLeft w:val="0"/>
      <w:marRight w:val="0"/>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
      <w:marLeft w:val="0"/>
      <w:marRight w:val="0"/>
      <w:marTop w:val="0"/>
      <w:marBottom w:val="0"/>
      <w:divBdr>
        <w:top w:val="none" w:sz="0" w:space="0" w:color="auto"/>
        <w:left w:val="none" w:sz="0" w:space="0" w:color="auto"/>
        <w:bottom w:val="none" w:sz="0" w:space="0" w:color="auto"/>
        <w:right w:val="none" w:sz="0" w:space="0" w:color="auto"/>
      </w:divBdr>
      <w:divsChild>
        <w:div w:id="340">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
            <w:div w:id="336">
              <w:marLeft w:val="0"/>
              <w:marRight w:val="0"/>
              <w:marTop w:val="0"/>
              <w:marBottom w:val="0"/>
              <w:divBdr>
                <w:top w:val="none" w:sz="0" w:space="0" w:color="auto"/>
                <w:left w:val="none" w:sz="0" w:space="0" w:color="auto"/>
                <w:bottom w:val="none" w:sz="0" w:space="0" w:color="auto"/>
                <w:right w:val="none" w:sz="0" w:space="0" w:color="auto"/>
              </w:divBdr>
            </w:div>
            <w:div w:id="341">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8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
      <w:marLeft w:val="0"/>
      <w:marRight w:val="0"/>
      <w:marTop w:val="0"/>
      <w:marBottom w:val="0"/>
      <w:divBdr>
        <w:top w:val="none" w:sz="0" w:space="0" w:color="auto"/>
        <w:left w:val="none" w:sz="0" w:space="0" w:color="auto"/>
        <w:bottom w:val="none" w:sz="0" w:space="0" w:color="auto"/>
        <w:right w:val="none" w:sz="0" w:space="0" w:color="auto"/>
      </w:divBdr>
      <w:divsChild>
        <w:div w:id="328">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
      <w:marLeft w:val="0"/>
      <w:marRight w:val="0"/>
      <w:marTop w:val="0"/>
      <w:marBottom w:val="0"/>
      <w:divBdr>
        <w:top w:val="none" w:sz="0" w:space="0" w:color="auto"/>
        <w:left w:val="none" w:sz="0" w:space="0" w:color="auto"/>
        <w:bottom w:val="none" w:sz="0" w:space="0" w:color="auto"/>
        <w:right w:val="none" w:sz="0" w:space="0" w:color="auto"/>
      </w:divBdr>
      <w:divsChild>
        <w:div w:id="404">
          <w:marLeft w:val="0"/>
          <w:marRight w:val="0"/>
          <w:marTop w:val="0"/>
          <w:marBottom w:val="0"/>
          <w:divBdr>
            <w:top w:val="none" w:sz="0" w:space="0" w:color="auto"/>
            <w:left w:val="none" w:sz="0" w:space="0" w:color="auto"/>
            <w:bottom w:val="none" w:sz="0" w:space="0" w:color="auto"/>
            <w:right w:val="none" w:sz="0" w:space="0" w:color="auto"/>
          </w:divBdr>
        </w:div>
      </w:divsChild>
    </w:div>
    <w:div w:id="360">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380">
              <w:marLeft w:val="0"/>
              <w:marRight w:val="0"/>
              <w:marTop w:val="0"/>
              <w:marBottom w:val="0"/>
              <w:divBdr>
                <w:top w:val="none" w:sz="0" w:space="0" w:color="auto"/>
                <w:left w:val="none" w:sz="0" w:space="0" w:color="auto"/>
                <w:bottom w:val="none" w:sz="0" w:space="0" w:color="auto"/>
                <w:right w:val="none" w:sz="0" w:space="0" w:color="auto"/>
              </w:divBdr>
            </w:div>
            <w:div w:id="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307">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
      <w:marLeft w:val="0"/>
      <w:marRight w:val="0"/>
      <w:marTop w:val="0"/>
      <w:marBottom w:val="0"/>
      <w:divBdr>
        <w:top w:val="none" w:sz="0" w:space="0" w:color="auto"/>
        <w:left w:val="none" w:sz="0" w:space="0" w:color="auto"/>
        <w:bottom w:val="none" w:sz="0" w:space="0" w:color="auto"/>
        <w:right w:val="none" w:sz="0" w:space="0" w:color="auto"/>
      </w:divBdr>
      <w:divsChild>
        <w:div w:id="25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75">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
      <w:marLeft w:val="0"/>
      <w:marRight w:val="0"/>
      <w:marTop w:val="0"/>
      <w:marBottom w:val="0"/>
      <w:divBdr>
        <w:top w:val="none" w:sz="0" w:space="0" w:color="auto"/>
        <w:left w:val="none" w:sz="0" w:space="0" w:color="auto"/>
        <w:bottom w:val="none" w:sz="0" w:space="0" w:color="auto"/>
        <w:right w:val="none" w:sz="0" w:space="0" w:color="auto"/>
      </w:divBdr>
      <w:divsChild>
        <w:div w:id="222">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6904">
      <w:bodyDiv w:val="1"/>
      <w:marLeft w:val="0"/>
      <w:marRight w:val="0"/>
      <w:marTop w:val="0"/>
      <w:marBottom w:val="0"/>
      <w:divBdr>
        <w:top w:val="none" w:sz="0" w:space="0" w:color="auto"/>
        <w:left w:val="none" w:sz="0" w:space="0" w:color="auto"/>
        <w:bottom w:val="none" w:sz="0" w:space="0" w:color="auto"/>
        <w:right w:val="none" w:sz="0" w:space="0" w:color="auto"/>
      </w:divBdr>
      <w:divsChild>
        <w:div w:id="1306935830">
          <w:marLeft w:val="0"/>
          <w:marRight w:val="0"/>
          <w:marTop w:val="0"/>
          <w:marBottom w:val="0"/>
          <w:divBdr>
            <w:top w:val="none" w:sz="0" w:space="0" w:color="auto"/>
            <w:left w:val="none" w:sz="0" w:space="0" w:color="auto"/>
            <w:bottom w:val="none" w:sz="0" w:space="0" w:color="auto"/>
            <w:right w:val="none" w:sz="0" w:space="0" w:color="auto"/>
          </w:divBdr>
        </w:div>
        <w:div w:id="804078729">
          <w:marLeft w:val="0"/>
          <w:marRight w:val="0"/>
          <w:marTop w:val="0"/>
          <w:marBottom w:val="0"/>
          <w:divBdr>
            <w:top w:val="none" w:sz="0" w:space="0" w:color="auto"/>
            <w:left w:val="none" w:sz="0" w:space="0" w:color="auto"/>
            <w:bottom w:val="none" w:sz="0" w:space="0" w:color="auto"/>
            <w:right w:val="none" w:sz="0" w:space="0" w:color="auto"/>
          </w:divBdr>
          <w:divsChild>
            <w:div w:id="1440446356">
              <w:marLeft w:val="0"/>
              <w:marRight w:val="0"/>
              <w:marTop w:val="0"/>
              <w:marBottom w:val="0"/>
              <w:divBdr>
                <w:top w:val="none" w:sz="0" w:space="0" w:color="auto"/>
                <w:left w:val="none" w:sz="0" w:space="0" w:color="auto"/>
                <w:bottom w:val="none" w:sz="0" w:space="0" w:color="auto"/>
                <w:right w:val="none" w:sz="0" w:space="0" w:color="auto"/>
              </w:divBdr>
              <w:divsChild>
                <w:div w:id="183515636">
                  <w:marLeft w:val="0"/>
                  <w:marRight w:val="0"/>
                  <w:marTop w:val="0"/>
                  <w:marBottom w:val="0"/>
                  <w:divBdr>
                    <w:top w:val="none" w:sz="0" w:space="0" w:color="auto"/>
                    <w:left w:val="none" w:sz="0" w:space="0" w:color="auto"/>
                    <w:bottom w:val="none" w:sz="0" w:space="0" w:color="auto"/>
                    <w:right w:val="none" w:sz="0" w:space="0" w:color="auto"/>
                  </w:divBdr>
                  <w:divsChild>
                    <w:div w:id="17120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5521">
              <w:marLeft w:val="0"/>
              <w:marRight w:val="0"/>
              <w:marTop w:val="0"/>
              <w:marBottom w:val="0"/>
              <w:divBdr>
                <w:top w:val="none" w:sz="0" w:space="0" w:color="auto"/>
                <w:left w:val="none" w:sz="0" w:space="0" w:color="auto"/>
                <w:bottom w:val="none" w:sz="0" w:space="0" w:color="auto"/>
                <w:right w:val="none" w:sz="0" w:space="0" w:color="auto"/>
              </w:divBdr>
              <w:divsChild>
                <w:div w:id="810171685">
                  <w:marLeft w:val="0"/>
                  <w:marRight w:val="0"/>
                  <w:marTop w:val="0"/>
                  <w:marBottom w:val="0"/>
                  <w:divBdr>
                    <w:top w:val="none" w:sz="0" w:space="0" w:color="auto"/>
                    <w:left w:val="none" w:sz="0" w:space="0" w:color="auto"/>
                    <w:bottom w:val="none" w:sz="0" w:space="0" w:color="auto"/>
                    <w:right w:val="none" w:sz="0" w:space="0" w:color="auto"/>
                  </w:divBdr>
                  <w:divsChild>
                    <w:div w:id="63394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530473">
              <w:marLeft w:val="0"/>
              <w:marRight w:val="0"/>
              <w:marTop w:val="300"/>
              <w:marBottom w:val="0"/>
              <w:divBdr>
                <w:top w:val="none" w:sz="0" w:space="0" w:color="auto"/>
                <w:left w:val="none" w:sz="0" w:space="0" w:color="auto"/>
                <w:bottom w:val="none" w:sz="0" w:space="0" w:color="auto"/>
                <w:right w:val="none" w:sz="0" w:space="0" w:color="auto"/>
              </w:divBdr>
              <w:divsChild>
                <w:div w:id="1504272677">
                  <w:marLeft w:val="0"/>
                  <w:marRight w:val="0"/>
                  <w:marTop w:val="0"/>
                  <w:marBottom w:val="0"/>
                  <w:divBdr>
                    <w:top w:val="none" w:sz="0" w:space="0" w:color="auto"/>
                    <w:left w:val="none" w:sz="0" w:space="0" w:color="auto"/>
                    <w:bottom w:val="none" w:sz="0" w:space="0" w:color="auto"/>
                    <w:right w:val="none" w:sz="0" w:space="0" w:color="auto"/>
                  </w:divBdr>
                  <w:divsChild>
                    <w:div w:id="2973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2076">
              <w:marLeft w:val="0"/>
              <w:marRight w:val="0"/>
              <w:marTop w:val="300"/>
              <w:marBottom w:val="0"/>
              <w:divBdr>
                <w:top w:val="none" w:sz="0" w:space="0" w:color="auto"/>
                <w:left w:val="none" w:sz="0" w:space="0" w:color="auto"/>
                <w:bottom w:val="none" w:sz="0" w:space="0" w:color="auto"/>
                <w:right w:val="none" w:sz="0" w:space="0" w:color="auto"/>
              </w:divBdr>
              <w:divsChild>
                <w:div w:id="1064371757">
                  <w:marLeft w:val="0"/>
                  <w:marRight w:val="0"/>
                  <w:marTop w:val="0"/>
                  <w:marBottom w:val="0"/>
                  <w:divBdr>
                    <w:top w:val="none" w:sz="0" w:space="0" w:color="auto"/>
                    <w:left w:val="none" w:sz="0" w:space="0" w:color="auto"/>
                    <w:bottom w:val="none" w:sz="0" w:space="0" w:color="auto"/>
                    <w:right w:val="none" w:sz="0" w:space="0" w:color="auto"/>
                  </w:divBdr>
                  <w:divsChild>
                    <w:div w:id="87625033">
                      <w:marLeft w:val="0"/>
                      <w:marRight w:val="0"/>
                      <w:marTop w:val="0"/>
                      <w:marBottom w:val="0"/>
                      <w:divBdr>
                        <w:top w:val="none" w:sz="0" w:space="0" w:color="auto"/>
                        <w:left w:val="none" w:sz="0" w:space="0" w:color="auto"/>
                        <w:bottom w:val="none" w:sz="0" w:space="0" w:color="auto"/>
                        <w:right w:val="none" w:sz="0" w:space="0" w:color="auto"/>
                      </w:divBdr>
                      <w:divsChild>
                        <w:div w:id="14538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80993">
              <w:marLeft w:val="0"/>
              <w:marRight w:val="0"/>
              <w:marTop w:val="300"/>
              <w:marBottom w:val="0"/>
              <w:divBdr>
                <w:top w:val="none" w:sz="0" w:space="0" w:color="auto"/>
                <w:left w:val="none" w:sz="0" w:space="0" w:color="auto"/>
                <w:bottom w:val="none" w:sz="0" w:space="0" w:color="auto"/>
                <w:right w:val="none" w:sz="0" w:space="0" w:color="auto"/>
              </w:divBdr>
              <w:divsChild>
                <w:div w:id="1852405867">
                  <w:marLeft w:val="0"/>
                  <w:marRight w:val="0"/>
                  <w:marTop w:val="0"/>
                  <w:marBottom w:val="0"/>
                  <w:divBdr>
                    <w:top w:val="none" w:sz="0" w:space="0" w:color="auto"/>
                    <w:left w:val="none" w:sz="0" w:space="0" w:color="auto"/>
                    <w:bottom w:val="none" w:sz="0" w:space="0" w:color="auto"/>
                    <w:right w:val="none" w:sz="0" w:space="0" w:color="auto"/>
                  </w:divBdr>
                  <w:divsChild>
                    <w:div w:id="175728303">
                      <w:marLeft w:val="0"/>
                      <w:marRight w:val="0"/>
                      <w:marTop w:val="0"/>
                      <w:marBottom w:val="0"/>
                      <w:divBdr>
                        <w:top w:val="none" w:sz="0" w:space="0" w:color="auto"/>
                        <w:left w:val="none" w:sz="0" w:space="0" w:color="auto"/>
                        <w:bottom w:val="none" w:sz="0" w:space="0" w:color="auto"/>
                        <w:right w:val="none" w:sz="0" w:space="0" w:color="auto"/>
                      </w:divBdr>
                      <w:divsChild>
                        <w:div w:id="14342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299204">
          <w:marLeft w:val="0"/>
          <w:marRight w:val="0"/>
          <w:marTop w:val="0"/>
          <w:marBottom w:val="0"/>
          <w:divBdr>
            <w:top w:val="none" w:sz="0" w:space="0" w:color="auto"/>
            <w:left w:val="none" w:sz="0" w:space="0" w:color="auto"/>
            <w:bottom w:val="none" w:sz="0" w:space="0" w:color="auto"/>
            <w:right w:val="none" w:sz="0" w:space="0" w:color="auto"/>
          </w:divBdr>
          <w:divsChild>
            <w:div w:id="1799951744">
              <w:marLeft w:val="0"/>
              <w:marRight w:val="0"/>
              <w:marTop w:val="0"/>
              <w:marBottom w:val="0"/>
              <w:divBdr>
                <w:top w:val="none" w:sz="0" w:space="0" w:color="auto"/>
                <w:left w:val="none" w:sz="0" w:space="0" w:color="auto"/>
                <w:bottom w:val="none" w:sz="0" w:space="0" w:color="auto"/>
                <w:right w:val="none" w:sz="0" w:space="0" w:color="auto"/>
              </w:divBdr>
              <w:divsChild>
                <w:div w:id="2144688583">
                  <w:marLeft w:val="0"/>
                  <w:marRight w:val="0"/>
                  <w:marTop w:val="0"/>
                  <w:marBottom w:val="0"/>
                  <w:divBdr>
                    <w:top w:val="none" w:sz="0" w:space="0" w:color="auto"/>
                    <w:left w:val="none" w:sz="0" w:space="0" w:color="auto"/>
                    <w:bottom w:val="none" w:sz="0" w:space="0" w:color="auto"/>
                    <w:right w:val="none" w:sz="0" w:space="0" w:color="auto"/>
                  </w:divBdr>
                  <w:divsChild>
                    <w:div w:id="1615674300">
                      <w:marLeft w:val="0"/>
                      <w:marRight w:val="0"/>
                      <w:marTop w:val="0"/>
                      <w:marBottom w:val="0"/>
                      <w:divBdr>
                        <w:top w:val="none" w:sz="0" w:space="0" w:color="auto"/>
                        <w:left w:val="none" w:sz="0" w:space="0" w:color="auto"/>
                        <w:bottom w:val="none" w:sz="0" w:space="0" w:color="auto"/>
                        <w:right w:val="none" w:sz="0" w:space="0" w:color="auto"/>
                      </w:divBdr>
                    </w:div>
                  </w:divsChild>
                </w:div>
                <w:div w:id="11965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30373">
          <w:marLeft w:val="0"/>
          <w:marRight w:val="0"/>
          <w:marTop w:val="300"/>
          <w:marBottom w:val="0"/>
          <w:divBdr>
            <w:top w:val="none" w:sz="0" w:space="0" w:color="auto"/>
            <w:left w:val="none" w:sz="0" w:space="0" w:color="auto"/>
            <w:bottom w:val="none" w:sz="0" w:space="0" w:color="auto"/>
            <w:right w:val="none" w:sz="0" w:space="0" w:color="auto"/>
          </w:divBdr>
          <w:divsChild>
            <w:div w:id="209923711">
              <w:marLeft w:val="0"/>
              <w:marRight w:val="0"/>
              <w:marTop w:val="0"/>
              <w:marBottom w:val="0"/>
              <w:divBdr>
                <w:top w:val="none" w:sz="0" w:space="0" w:color="auto"/>
                <w:left w:val="none" w:sz="0" w:space="0" w:color="auto"/>
                <w:bottom w:val="none" w:sz="0" w:space="0" w:color="auto"/>
                <w:right w:val="none" w:sz="0" w:space="0" w:color="auto"/>
              </w:divBdr>
            </w:div>
          </w:divsChild>
        </w:div>
        <w:div w:id="205602402">
          <w:marLeft w:val="0"/>
          <w:marRight w:val="0"/>
          <w:marTop w:val="0"/>
          <w:marBottom w:val="0"/>
          <w:divBdr>
            <w:top w:val="single" w:sz="6" w:space="0" w:color="FFFFFF"/>
            <w:left w:val="single" w:sz="6" w:space="0" w:color="FFFFFF"/>
            <w:bottom w:val="single" w:sz="6" w:space="0" w:color="FFFFFF"/>
            <w:right w:val="single" w:sz="6" w:space="0" w:color="FFFFFF"/>
          </w:divBdr>
          <w:divsChild>
            <w:div w:id="154808675">
              <w:marLeft w:val="0"/>
              <w:marRight w:val="0"/>
              <w:marTop w:val="0"/>
              <w:marBottom w:val="0"/>
              <w:divBdr>
                <w:top w:val="none" w:sz="0" w:space="0" w:color="auto"/>
                <w:left w:val="none" w:sz="0" w:space="0" w:color="auto"/>
                <w:bottom w:val="dotted" w:sz="6" w:space="8" w:color="999999"/>
                <w:right w:val="none" w:sz="0" w:space="0" w:color="auto"/>
              </w:divBdr>
            </w:div>
            <w:div w:id="297682616">
              <w:marLeft w:val="150"/>
              <w:marRight w:val="150"/>
              <w:marTop w:val="150"/>
              <w:marBottom w:val="150"/>
              <w:divBdr>
                <w:top w:val="none" w:sz="0" w:space="0" w:color="auto"/>
                <w:left w:val="none" w:sz="0" w:space="0" w:color="auto"/>
                <w:bottom w:val="none" w:sz="0" w:space="0" w:color="auto"/>
                <w:right w:val="none" w:sz="0" w:space="0" w:color="auto"/>
              </w:divBdr>
              <w:divsChild>
                <w:div w:id="1337541157">
                  <w:marLeft w:val="0"/>
                  <w:marRight w:val="0"/>
                  <w:marTop w:val="0"/>
                  <w:marBottom w:val="0"/>
                  <w:divBdr>
                    <w:top w:val="none" w:sz="0" w:space="0" w:color="auto"/>
                    <w:left w:val="none" w:sz="0" w:space="0" w:color="auto"/>
                    <w:bottom w:val="none" w:sz="0" w:space="0" w:color="auto"/>
                    <w:right w:val="none" w:sz="0" w:space="0" w:color="auto"/>
                  </w:divBdr>
                  <w:divsChild>
                    <w:div w:id="12389030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64961121">
          <w:marLeft w:val="0"/>
          <w:marRight w:val="0"/>
          <w:marTop w:val="0"/>
          <w:marBottom w:val="0"/>
          <w:divBdr>
            <w:top w:val="single" w:sz="6" w:space="12" w:color="ECECEC"/>
            <w:left w:val="none" w:sz="0" w:space="0" w:color="auto"/>
            <w:bottom w:val="single" w:sz="6" w:space="12" w:color="ECECEC"/>
            <w:right w:val="none" w:sz="0" w:space="0" w:color="auto"/>
          </w:divBdr>
          <w:divsChild>
            <w:div w:id="1146974446">
              <w:marLeft w:val="0"/>
              <w:marRight w:val="0"/>
              <w:marTop w:val="0"/>
              <w:marBottom w:val="0"/>
              <w:divBdr>
                <w:top w:val="none" w:sz="0" w:space="0" w:color="auto"/>
                <w:left w:val="none" w:sz="0" w:space="0" w:color="auto"/>
                <w:bottom w:val="none" w:sz="0" w:space="0" w:color="auto"/>
                <w:right w:val="none" w:sz="0" w:space="0" w:color="auto"/>
              </w:divBdr>
            </w:div>
            <w:div w:id="2010211626">
              <w:marLeft w:val="0"/>
              <w:marRight w:val="0"/>
              <w:marTop w:val="0"/>
              <w:marBottom w:val="0"/>
              <w:divBdr>
                <w:top w:val="none" w:sz="0" w:space="0" w:color="auto"/>
                <w:left w:val="none" w:sz="0" w:space="0" w:color="auto"/>
                <w:bottom w:val="none" w:sz="0" w:space="0" w:color="auto"/>
                <w:right w:val="none" w:sz="0" w:space="0" w:color="auto"/>
              </w:divBdr>
            </w:div>
            <w:div w:id="646979911">
              <w:marLeft w:val="0"/>
              <w:marRight w:val="0"/>
              <w:marTop w:val="0"/>
              <w:marBottom w:val="0"/>
              <w:divBdr>
                <w:top w:val="none" w:sz="0" w:space="0" w:color="auto"/>
                <w:left w:val="none" w:sz="0" w:space="0" w:color="auto"/>
                <w:bottom w:val="none" w:sz="0" w:space="0" w:color="auto"/>
                <w:right w:val="none" w:sz="0" w:space="0" w:color="auto"/>
              </w:divBdr>
            </w:div>
            <w:div w:id="672802854">
              <w:marLeft w:val="0"/>
              <w:marRight w:val="0"/>
              <w:marTop w:val="0"/>
              <w:marBottom w:val="0"/>
              <w:divBdr>
                <w:top w:val="none" w:sz="0" w:space="0" w:color="auto"/>
                <w:left w:val="none" w:sz="0" w:space="0" w:color="auto"/>
                <w:bottom w:val="none" w:sz="0" w:space="0" w:color="auto"/>
                <w:right w:val="none" w:sz="0" w:space="0" w:color="auto"/>
              </w:divBdr>
            </w:div>
            <w:div w:id="1178470779">
              <w:marLeft w:val="0"/>
              <w:marRight w:val="0"/>
              <w:marTop w:val="0"/>
              <w:marBottom w:val="0"/>
              <w:divBdr>
                <w:top w:val="none" w:sz="0" w:space="0" w:color="auto"/>
                <w:left w:val="none" w:sz="0" w:space="0" w:color="auto"/>
                <w:bottom w:val="none" w:sz="0" w:space="0" w:color="auto"/>
                <w:right w:val="none" w:sz="0" w:space="0" w:color="auto"/>
              </w:divBdr>
            </w:div>
          </w:divsChild>
        </w:div>
        <w:div w:id="1627391416">
          <w:marLeft w:val="0"/>
          <w:marRight w:val="0"/>
          <w:marTop w:val="0"/>
          <w:marBottom w:val="0"/>
          <w:divBdr>
            <w:top w:val="none" w:sz="0" w:space="0" w:color="auto"/>
            <w:left w:val="none" w:sz="0" w:space="0" w:color="auto"/>
            <w:bottom w:val="none" w:sz="0" w:space="0" w:color="auto"/>
            <w:right w:val="none" w:sz="0" w:space="0" w:color="auto"/>
          </w:divBdr>
        </w:div>
        <w:div w:id="1059521707">
          <w:marLeft w:val="0"/>
          <w:marRight w:val="0"/>
          <w:marTop w:val="0"/>
          <w:marBottom w:val="0"/>
          <w:divBdr>
            <w:top w:val="none" w:sz="0" w:space="0" w:color="auto"/>
            <w:left w:val="none" w:sz="0" w:space="0" w:color="auto"/>
            <w:bottom w:val="none" w:sz="0" w:space="0" w:color="auto"/>
            <w:right w:val="none" w:sz="0" w:space="0" w:color="auto"/>
          </w:divBdr>
        </w:div>
        <w:div w:id="738023071">
          <w:marLeft w:val="0"/>
          <w:marRight w:val="0"/>
          <w:marTop w:val="0"/>
          <w:marBottom w:val="0"/>
          <w:divBdr>
            <w:top w:val="none" w:sz="0" w:space="0" w:color="auto"/>
            <w:left w:val="none" w:sz="0" w:space="0" w:color="auto"/>
            <w:bottom w:val="none" w:sz="0" w:space="0" w:color="auto"/>
            <w:right w:val="none" w:sz="0" w:space="0" w:color="auto"/>
          </w:divBdr>
        </w:div>
        <w:div w:id="1086271600">
          <w:marLeft w:val="0"/>
          <w:marRight w:val="0"/>
          <w:marTop w:val="0"/>
          <w:marBottom w:val="0"/>
          <w:divBdr>
            <w:top w:val="none" w:sz="0" w:space="0" w:color="auto"/>
            <w:left w:val="none" w:sz="0" w:space="0" w:color="auto"/>
            <w:bottom w:val="none" w:sz="0" w:space="0" w:color="auto"/>
            <w:right w:val="none" w:sz="0" w:space="0" w:color="auto"/>
          </w:divBdr>
        </w:div>
        <w:div w:id="89090542">
          <w:marLeft w:val="0"/>
          <w:marRight w:val="0"/>
          <w:marTop w:val="0"/>
          <w:marBottom w:val="0"/>
          <w:divBdr>
            <w:top w:val="none" w:sz="0" w:space="0" w:color="auto"/>
            <w:left w:val="none" w:sz="0" w:space="0" w:color="auto"/>
            <w:bottom w:val="none" w:sz="0" w:space="0" w:color="auto"/>
            <w:right w:val="none" w:sz="0" w:space="0" w:color="auto"/>
          </w:divBdr>
        </w:div>
        <w:div w:id="1171331038">
          <w:marLeft w:val="0"/>
          <w:marRight w:val="0"/>
          <w:marTop w:val="0"/>
          <w:marBottom w:val="0"/>
          <w:divBdr>
            <w:top w:val="none" w:sz="0" w:space="0" w:color="auto"/>
            <w:left w:val="none" w:sz="0" w:space="0" w:color="auto"/>
            <w:bottom w:val="none" w:sz="0" w:space="0" w:color="auto"/>
            <w:right w:val="none" w:sz="0" w:space="0" w:color="auto"/>
          </w:divBdr>
          <w:divsChild>
            <w:div w:id="1896163722">
              <w:marLeft w:val="0"/>
              <w:marRight w:val="0"/>
              <w:marTop w:val="0"/>
              <w:marBottom w:val="0"/>
              <w:divBdr>
                <w:top w:val="none" w:sz="0" w:space="0" w:color="auto"/>
                <w:left w:val="none" w:sz="0" w:space="0" w:color="auto"/>
                <w:bottom w:val="none" w:sz="0" w:space="0" w:color="auto"/>
                <w:right w:val="none" w:sz="0" w:space="0" w:color="auto"/>
              </w:divBdr>
            </w:div>
            <w:div w:id="1871264323">
              <w:marLeft w:val="0"/>
              <w:marRight w:val="0"/>
              <w:marTop w:val="0"/>
              <w:marBottom w:val="0"/>
              <w:divBdr>
                <w:top w:val="single" w:sz="6" w:space="8" w:color="E9E9E9"/>
                <w:left w:val="single" w:sz="6" w:space="8" w:color="E9E9E9"/>
                <w:bottom w:val="single" w:sz="6" w:space="8" w:color="E9E9E9"/>
                <w:right w:val="single" w:sz="6" w:space="8" w:color="E9E9E9"/>
              </w:divBdr>
              <w:divsChild>
                <w:div w:id="388698493">
                  <w:marLeft w:val="0"/>
                  <w:marRight w:val="0"/>
                  <w:marTop w:val="0"/>
                  <w:marBottom w:val="0"/>
                  <w:divBdr>
                    <w:top w:val="none" w:sz="0" w:space="0" w:color="auto"/>
                    <w:left w:val="none" w:sz="0" w:space="0" w:color="auto"/>
                    <w:bottom w:val="none" w:sz="0" w:space="0" w:color="auto"/>
                    <w:right w:val="none" w:sz="0" w:space="0" w:color="auto"/>
                  </w:divBdr>
                </w:div>
                <w:div w:id="1752391426">
                  <w:marLeft w:val="0"/>
                  <w:marRight w:val="0"/>
                  <w:marTop w:val="0"/>
                  <w:marBottom w:val="0"/>
                  <w:divBdr>
                    <w:top w:val="none" w:sz="0" w:space="0" w:color="auto"/>
                    <w:left w:val="none" w:sz="0" w:space="0" w:color="auto"/>
                    <w:bottom w:val="none" w:sz="0" w:space="0" w:color="auto"/>
                    <w:right w:val="none" w:sz="0" w:space="0" w:color="auto"/>
                  </w:divBdr>
                </w:div>
                <w:div w:id="11560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2611">
          <w:marLeft w:val="0"/>
          <w:marRight w:val="0"/>
          <w:marTop w:val="0"/>
          <w:marBottom w:val="0"/>
          <w:divBdr>
            <w:top w:val="none" w:sz="0" w:space="0" w:color="auto"/>
            <w:left w:val="none" w:sz="0" w:space="0" w:color="auto"/>
            <w:bottom w:val="none" w:sz="0" w:space="0" w:color="auto"/>
            <w:right w:val="none" w:sz="0" w:space="0" w:color="auto"/>
          </w:divBdr>
        </w:div>
        <w:div w:id="324892897">
          <w:marLeft w:val="120"/>
          <w:marRight w:val="120"/>
          <w:marTop w:val="180"/>
          <w:marBottom w:val="180"/>
          <w:divBdr>
            <w:top w:val="none" w:sz="0" w:space="0" w:color="auto"/>
            <w:left w:val="none" w:sz="0" w:space="0" w:color="auto"/>
            <w:bottom w:val="none" w:sz="0" w:space="0" w:color="auto"/>
            <w:right w:val="none" w:sz="0" w:space="0" w:color="auto"/>
          </w:divBdr>
        </w:div>
      </w:divsChild>
    </w:div>
    <w:div w:id="234751112">
      <w:bodyDiv w:val="1"/>
      <w:marLeft w:val="0"/>
      <w:marRight w:val="0"/>
      <w:marTop w:val="0"/>
      <w:marBottom w:val="0"/>
      <w:divBdr>
        <w:top w:val="none" w:sz="0" w:space="0" w:color="auto"/>
        <w:left w:val="none" w:sz="0" w:space="0" w:color="auto"/>
        <w:bottom w:val="none" w:sz="0" w:space="0" w:color="auto"/>
        <w:right w:val="none" w:sz="0" w:space="0" w:color="auto"/>
      </w:divBdr>
      <w:divsChild>
        <w:div w:id="80758052">
          <w:marLeft w:val="187"/>
          <w:marRight w:val="0"/>
          <w:marTop w:val="0"/>
          <w:marBottom w:val="0"/>
          <w:divBdr>
            <w:top w:val="none" w:sz="0" w:space="0" w:color="auto"/>
            <w:left w:val="none" w:sz="0" w:space="0" w:color="auto"/>
            <w:bottom w:val="none" w:sz="0" w:space="0" w:color="auto"/>
            <w:right w:val="none" w:sz="0" w:space="0" w:color="auto"/>
          </w:divBdr>
        </w:div>
        <w:div w:id="1228153722">
          <w:marLeft w:val="187"/>
          <w:marRight w:val="0"/>
          <w:marTop w:val="0"/>
          <w:marBottom w:val="0"/>
          <w:divBdr>
            <w:top w:val="none" w:sz="0" w:space="0" w:color="auto"/>
            <w:left w:val="none" w:sz="0" w:space="0" w:color="auto"/>
            <w:bottom w:val="none" w:sz="0" w:space="0" w:color="auto"/>
            <w:right w:val="none" w:sz="0" w:space="0" w:color="auto"/>
          </w:divBdr>
        </w:div>
        <w:div w:id="1554150732">
          <w:marLeft w:val="187"/>
          <w:marRight w:val="0"/>
          <w:marTop w:val="0"/>
          <w:marBottom w:val="0"/>
          <w:divBdr>
            <w:top w:val="none" w:sz="0" w:space="0" w:color="auto"/>
            <w:left w:val="none" w:sz="0" w:space="0" w:color="auto"/>
            <w:bottom w:val="none" w:sz="0" w:space="0" w:color="auto"/>
            <w:right w:val="none" w:sz="0" w:space="0" w:color="auto"/>
          </w:divBdr>
        </w:div>
        <w:div w:id="1900168010">
          <w:marLeft w:val="187"/>
          <w:marRight w:val="0"/>
          <w:marTop w:val="0"/>
          <w:marBottom w:val="0"/>
          <w:divBdr>
            <w:top w:val="none" w:sz="0" w:space="0" w:color="auto"/>
            <w:left w:val="none" w:sz="0" w:space="0" w:color="auto"/>
            <w:bottom w:val="none" w:sz="0" w:space="0" w:color="auto"/>
            <w:right w:val="none" w:sz="0" w:space="0" w:color="auto"/>
          </w:divBdr>
        </w:div>
      </w:divsChild>
    </w:div>
    <w:div w:id="279458292">
      <w:bodyDiv w:val="1"/>
      <w:marLeft w:val="0"/>
      <w:marRight w:val="0"/>
      <w:marTop w:val="0"/>
      <w:marBottom w:val="0"/>
      <w:divBdr>
        <w:top w:val="single" w:sz="48" w:space="0" w:color="006430"/>
        <w:left w:val="none" w:sz="0" w:space="0" w:color="auto"/>
        <w:bottom w:val="none" w:sz="0" w:space="0" w:color="auto"/>
        <w:right w:val="none" w:sz="0" w:space="0" w:color="auto"/>
      </w:divBdr>
      <w:divsChild>
        <w:div w:id="2063016035">
          <w:marLeft w:val="0"/>
          <w:marRight w:val="0"/>
          <w:marTop w:val="0"/>
          <w:marBottom w:val="0"/>
          <w:divBdr>
            <w:top w:val="none" w:sz="0" w:space="0" w:color="auto"/>
            <w:left w:val="none" w:sz="0" w:space="0" w:color="auto"/>
            <w:bottom w:val="none" w:sz="0" w:space="0" w:color="auto"/>
            <w:right w:val="none" w:sz="0" w:space="0" w:color="auto"/>
          </w:divBdr>
          <w:divsChild>
            <w:div w:id="31882389">
              <w:marLeft w:val="0"/>
              <w:marRight w:val="0"/>
              <w:marTop w:val="0"/>
              <w:marBottom w:val="0"/>
              <w:divBdr>
                <w:top w:val="none" w:sz="0" w:space="0" w:color="auto"/>
                <w:left w:val="none" w:sz="0" w:space="0" w:color="auto"/>
                <w:bottom w:val="none" w:sz="0" w:space="0" w:color="auto"/>
                <w:right w:val="none" w:sz="0" w:space="0" w:color="auto"/>
              </w:divBdr>
              <w:divsChild>
                <w:div w:id="2078356557">
                  <w:marLeft w:val="0"/>
                  <w:marRight w:val="0"/>
                  <w:marTop w:val="0"/>
                  <w:marBottom w:val="0"/>
                  <w:divBdr>
                    <w:top w:val="none" w:sz="0" w:space="0" w:color="auto"/>
                    <w:left w:val="none" w:sz="0" w:space="0" w:color="auto"/>
                    <w:bottom w:val="none" w:sz="0" w:space="0" w:color="auto"/>
                    <w:right w:val="none" w:sz="0" w:space="0" w:color="auto"/>
                  </w:divBdr>
                  <w:divsChild>
                    <w:div w:id="946231676">
                      <w:marLeft w:val="150"/>
                      <w:marRight w:val="150"/>
                      <w:marTop w:val="0"/>
                      <w:marBottom w:val="0"/>
                      <w:divBdr>
                        <w:top w:val="none" w:sz="0" w:space="0" w:color="auto"/>
                        <w:left w:val="none" w:sz="0" w:space="0" w:color="auto"/>
                        <w:bottom w:val="none" w:sz="0" w:space="0" w:color="auto"/>
                        <w:right w:val="none" w:sz="0" w:space="0" w:color="auto"/>
                      </w:divBdr>
                      <w:divsChild>
                        <w:div w:id="1507020520">
                          <w:marLeft w:val="0"/>
                          <w:marRight w:val="0"/>
                          <w:marTop w:val="0"/>
                          <w:marBottom w:val="0"/>
                          <w:divBdr>
                            <w:top w:val="none" w:sz="0" w:space="0" w:color="auto"/>
                            <w:left w:val="none" w:sz="0" w:space="0" w:color="auto"/>
                            <w:bottom w:val="none" w:sz="0" w:space="0" w:color="auto"/>
                            <w:right w:val="none" w:sz="0" w:space="0" w:color="auto"/>
                          </w:divBdr>
                          <w:divsChild>
                            <w:div w:id="636574315">
                              <w:marLeft w:val="0"/>
                              <w:marRight w:val="0"/>
                              <w:marTop w:val="0"/>
                              <w:marBottom w:val="0"/>
                              <w:divBdr>
                                <w:top w:val="none" w:sz="0" w:space="0" w:color="auto"/>
                                <w:left w:val="none" w:sz="0" w:space="0" w:color="auto"/>
                                <w:bottom w:val="none" w:sz="0" w:space="0" w:color="auto"/>
                                <w:right w:val="none" w:sz="0" w:space="0" w:color="auto"/>
                              </w:divBdr>
                              <w:divsChild>
                                <w:div w:id="319503882">
                                  <w:marLeft w:val="0"/>
                                  <w:marRight w:val="0"/>
                                  <w:marTop w:val="0"/>
                                  <w:marBottom w:val="0"/>
                                  <w:divBdr>
                                    <w:top w:val="none" w:sz="0" w:space="0" w:color="auto"/>
                                    <w:left w:val="none" w:sz="0" w:space="0" w:color="auto"/>
                                    <w:bottom w:val="none" w:sz="0" w:space="0" w:color="auto"/>
                                    <w:right w:val="none" w:sz="0" w:space="0" w:color="auto"/>
                                  </w:divBdr>
                                  <w:divsChild>
                                    <w:div w:id="1889955231">
                                      <w:marLeft w:val="0"/>
                                      <w:marRight w:val="0"/>
                                      <w:marTop w:val="0"/>
                                      <w:marBottom w:val="0"/>
                                      <w:divBdr>
                                        <w:top w:val="none" w:sz="0" w:space="0" w:color="auto"/>
                                        <w:left w:val="none" w:sz="0" w:space="0" w:color="auto"/>
                                        <w:bottom w:val="none" w:sz="0" w:space="0" w:color="auto"/>
                                        <w:right w:val="none" w:sz="0" w:space="0" w:color="auto"/>
                                      </w:divBdr>
                                      <w:divsChild>
                                        <w:div w:id="1063717054">
                                          <w:marLeft w:val="0"/>
                                          <w:marRight w:val="0"/>
                                          <w:marTop w:val="0"/>
                                          <w:marBottom w:val="0"/>
                                          <w:divBdr>
                                            <w:top w:val="none" w:sz="0" w:space="0" w:color="auto"/>
                                            <w:left w:val="none" w:sz="0" w:space="0" w:color="auto"/>
                                            <w:bottom w:val="none" w:sz="0" w:space="0" w:color="auto"/>
                                            <w:right w:val="none" w:sz="0" w:space="0" w:color="auto"/>
                                          </w:divBdr>
                                          <w:divsChild>
                                            <w:div w:id="1625572902">
                                              <w:marLeft w:val="0"/>
                                              <w:marRight w:val="0"/>
                                              <w:marTop w:val="0"/>
                                              <w:marBottom w:val="0"/>
                                              <w:divBdr>
                                                <w:top w:val="none" w:sz="0" w:space="0" w:color="auto"/>
                                                <w:left w:val="none" w:sz="0" w:space="0" w:color="auto"/>
                                                <w:bottom w:val="none" w:sz="0" w:space="0" w:color="auto"/>
                                                <w:right w:val="none" w:sz="0" w:space="0" w:color="auto"/>
                                              </w:divBdr>
                                              <w:divsChild>
                                                <w:div w:id="1859155081">
                                                  <w:marLeft w:val="0"/>
                                                  <w:marRight w:val="0"/>
                                                  <w:marTop w:val="0"/>
                                                  <w:marBottom w:val="0"/>
                                                  <w:divBdr>
                                                    <w:top w:val="none" w:sz="0" w:space="0" w:color="auto"/>
                                                    <w:left w:val="none" w:sz="0" w:space="0" w:color="auto"/>
                                                    <w:bottom w:val="none" w:sz="0" w:space="0" w:color="auto"/>
                                                    <w:right w:val="none" w:sz="0" w:space="0" w:color="auto"/>
                                                  </w:divBdr>
                                                  <w:divsChild>
                                                    <w:div w:id="12197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119827">
      <w:bodyDiv w:val="1"/>
      <w:marLeft w:val="0"/>
      <w:marRight w:val="0"/>
      <w:marTop w:val="0"/>
      <w:marBottom w:val="0"/>
      <w:divBdr>
        <w:top w:val="none" w:sz="0" w:space="0" w:color="auto"/>
        <w:left w:val="none" w:sz="0" w:space="0" w:color="auto"/>
        <w:bottom w:val="none" w:sz="0" w:space="0" w:color="auto"/>
        <w:right w:val="none" w:sz="0" w:space="0" w:color="auto"/>
      </w:divBdr>
      <w:divsChild>
        <w:div w:id="325474861">
          <w:marLeft w:val="274"/>
          <w:marRight w:val="0"/>
          <w:marTop w:val="67"/>
          <w:marBottom w:val="0"/>
          <w:divBdr>
            <w:top w:val="none" w:sz="0" w:space="0" w:color="auto"/>
            <w:left w:val="none" w:sz="0" w:space="0" w:color="auto"/>
            <w:bottom w:val="none" w:sz="0" w:space="0" w:color="auto"/>
            <w:right w:val="none" w:sz="0" w:space="0" w:color="auto"/>
          </w:divBdr>
        </w:div>
        <w:div w:id="682636077">
          <w:marLeft w:val="274"/>
          <w:marRight w:val="0"/>
          <w:marTop w:val="67"/>
          <w:marBottom w:val="0"/>
          <w:divBdr>
            <w:top w:val="none" w:sz="0" w:space="0" w:color="auto"/>
            <w:left w:val="none" w:sz="0" w:space="0" w:color="auto"/>
            <w:bottom w:val="none" w:sz="0" w:space="0" w:color="auto"/>
            <w:right w:val="none" w:sz="0" w:space="0" w:color="auto"/>
          </w:divBdr>
        </w:div>
        <w:div w:id="704251034">
          <w:marLeft w:val="274"/>
          <w:marRight w:val="0"/>
          <w:marTop w:val="67"/>
          <w:marBottom w:val="0"/>
          <w:divBdr>
            <w:top w:val="none" w:sz="0" w:space="0" w:color="auto"/>
            <w:left w:val="none" w:sz="0" w:space="0" w:color="auto"/>
            <w:bottom w:val="none" w:sz="0" w:space="0" w:color="auto"/>
            <w:right w:val="none" w:sz="0" w:space="0" w:color="auto"/>
          </w:divBdr>
        </w:div>
        <w:div w:id="813571841">
          <w:marLeft w:val="274"/>
          <w:marRight w:val="0"/>
          <w:marTop w:val="120"/>
          <w:marBottom w:val="0"/>
          <w:divBdr>
            <w:top w:val="none" w:sz="0" w:space="0" w:color="auto"/>
            <w:left w:val="none" w:sz="0" w:space="0" w:color="auto"/>
            <w:bottom w:val="none" w:sz="0" w:space="0" w:color="auto"/>
            <w:right w:val="none" w:sz="0" w:space="0" w:color="auto"/>
          </w:divBdr>
        </w:div>
        <w:div w:id="974457416">
          <w:marLeft w:val="274"/>
          <w:marRight w:val="0"/>
          <w:marTop w:val="67"/>
          <w:marBottom w:val="0"/>
          <w:divBdr>
            <w:top w:val="none" w:sz="0" w:space="0" w:color="auto"/>
            <w:left w:val="none" w:sz="0" w:space="0" w:color="auto"/>
            <w:bottom w:val="none" w:sz="0" w:space="0" w:color="auto"/>
            <w:right w:val="none" w:sz="0" w:space="0" w:color="auto"/>
          </w:divBdr>
        </w:div>
        <w:div w:id="1327903736">
          <w:marLeft w:val="274"/>
          <w:marRight w:val="0"/>
          <w:marTop w:val="120"/>
          <w:marBottom w:val="0"/>
          <w:divBdr>
            <w:top w:val="none" w:sz="0" w:space="0" w:color="auto"/>
            <w:left w:val="none" w:sz="0" w:space="0" w:color="auto"/>
            <w:bottom w:val="none" w:sz="0" w:space="0" w:color="auto"/>
            <w:right w:val="none" w:sz="0" w:space="0" w:color="auto"/>
          </w:divBdr>
        </w:div>
        <w:div w:id="1436562806">
          <w:marLeft w:val="274"/>
          <w:marRight w:val="0"/>
          <w:marTop w:val="67"/>
          <w:marBottom w:val="0"/>
          <w:divBdr>
            <w:top w:val="none" w:sz="0" w:space="0" w:color="auto"/>
            <w:left w:val="none" w:sz="0" w:space="0" w:color="auto"/>
            <w:bottom w:val="none" w:sz="0" w:space="0" w:color="auto"/>
            <w:right w:val="none" w:sz="0" w:space="0" w:color="auto"/>
          </w:divBdr>
        </w:div>
        <w:div w:id="1560939245">
          <w:marLeft w:val="274"/>
          <w:marRight w:val="0"/>
          <w:marTop w:val="120"/>
          <w:marBottom w:val="0"/>
          <w:divBdr>
            <w:top w:val="none" w:sz="0" w:space="0" w:color="auto"/>
            <w:left w:val="none" w:sz="0" w:space="0" w:color="auto"/>
            <w:bottom w:val="none" w:sz="0" w:space="0" w:color="auto"/>
            <w:right w:val="none" w:sz="0" w:space="0" w:color="auto"/>
          </w:divBdr>
        </w:div>
        <w:div w:id="1877308189">
          <w:marLeft w:val="274"/>
          <w:marRight w:val="0"/>
          <w:marTop w:val="67"/>
          <w:marBottom w:val="0"/>
          <w:divBdr>
            <w:top w:val="none" w:sz="0" w:space="0" w:color="auto"/>
            <w:left w:val="none" w:sz="0" w:space="0" w:color="auto"/>
            <w:bottom w:val="none" w:sz="0" w:space="0" w:color="auto"/>
            <w:right w:val="none" w:sz="0" w:space="0" w:color="auto"/>
          </w:divBdr>
        </w:div>
      </w:divsChild>
    </w:div>
    <w:div w:id="389771846">
      <w:bodyDiv w:val="1"/>
      <w:marLeft w:val="0"/>
      <w:marRight w:val="0"/>
      <w:marTop w:val="0"/>
      <w:marBottom w:val="0"/>
      <w:divBdr>
        <w:top w:val="none" w:sz="0" w:space="0" w:color="auto"/>
        <w:left w:val="none" w:sz="0" w:space="0" w:color="auto"/>
        <w:bottom w:val="none" w:sz="0" w:space="0" w:color="auto"/>
        <w:right w:val="none" w:sz="0" w:space="0" w:color="auto"/>
      </w:divBdr>
      <w:divsChild>
        <w:div w:id="2016758745">
          <w:marLeft w:val="187"/>
          <w:marRight w:val="0"/>
          <w:marTop w:val="0"/>
          <w:marBottom w:val="0"/>
          <w:divBdr>
            <w:top w:val="none" w:sz="0" w:space="0" w:color="auto"/>
            <w:left w:val="none" w:sz="0" w:space="0" w:color="auto"/>
            <w:bottom w:val="none" w:sz="0" w:space="0" w:color="auto"/>
            <w:right w:val="none" w:sz="0" w:space="0" w:color="auto"/>
          </w:divBdr>
        </w:div>
        <w:div w:id="2085375963">
          <w:marLeft w:val="187"/>
          <w:marRight w:val="0"/>
          <w:marTop w:val="0"/>
          <w:marBottom w:val="0"/>
          <w:divBdr>
            <w:top w:val="none" w:sz="0" w:space="0" w:color="auto"/>
            <w:left w:val="none" w:sz="0" w:space="0" w:color="auto"/>
            <w:bottom w:val="none" w:sz="0" w:space="0" w:color="auto"/>
            <w:right w:val="none" w:sz="0" w:space="0" w:color="auto"/>
          </w:divBdr>
        </w:div>
      </w:divsChild>
    </w:div>
    <w:div w:id="423378054">
      <w:bodyDiv w:val="1"/>
      <w:marLeft w:val="0"/>
      <w:marRight w:val="0"/>
      <w:marTop w:val="0"/>
      <w:marBottom w:val="0"/>
      <w:divBdr>
        <w:top w:val="none" w:sz="0" w:space="0" w:color="auto"/>
        <w:left w:val="none" w:sz="0" w:space="0" w:color="auto"/>
        <w:bottom w:val="none" w:sz="0" w:space="0" w:color="auto"/>
        <w:right w:val="none" w:sz="0" w:space="0" w:color="auto"/>
      </w:divBdr>
      <w:divsChild>
        <w:div w:id="71241486">
          <w:marLeft w:val="187"/>
          <w:marRight w:val="0"/>
          <w:marTop w:val="0"/>
          <w:marBottom w:val="0"/>
          <w:divBdr>
            <w:top w:val="none" w:sz="0" w:space="0" w:color="auto"/>
            <w:left w:val="none" w:sz="0" w:space="0" w:color="auto"/>
            <w:bottom w:val="none" w:sz="0" w:space="0" w:color="auto"/>
            <w:right w:val="none" w:sz="0" w:space="0" w:color="auto"/>
          </w:divBdr>
        </w:div>
        <w:div w:id="130826739">
          <w:marLeft w:val="187"/>
          <w:marRight w:val="0"/>
          <w:marTop w:val="0"/>
          <w:marBottom w:val="0"/>
          <w:divBdr>
            <w:top w:val="none" w:sz="0" w:space="0" w:color="auto"/>
            <w:left w:val="none" w:sz="0" w:space="0" w:color="auto"/>
            <w:bottom w:val="none" w:sz="0" w:space="0" w:color="auto"/>
            <w:right w:val="none" w:sz="0" w:space="0" w:color="auto"/>
          </w:divBdr>
        </w:div>
        <w:div w:id="1837065874">
          <w:marLeft w:val="187"/>
          <w:marRight w:val="0"/>
          <w:marTop w:val="0"/>
          <w:marBottom w:val="0"/>
          <w:divBdr>
            <w:top w:val="none" w:sz="0" w:space="0" w:color="auto"/>
            <w:left w:val="none" w:sz="0" w:space="0" w:color="auto"/>
            <w:bottom w:val="none" w:sz="0" w:space="0" w:color="auto"/>
            <w:right w:val="none" w:sz="0" w:space="0" w:color="auto"/>
          </w:divBdr>
        </w:div>
      </w:divsChild>
    </w:div>
    <w:div w:id="511185079">
      <w:bodyDiv w:val="1"/>
      <w:marLeft w:val="0"/>
      <w:marRight w:val="0"/>
      <w:marTop w:val="0"/>
      <w:marBottom w:val="0"/>
      <w:divBdr>
        <w:top w:val="none" w:sz="0" w:space="0" w:color="auto"/>
        <w:left w:val="none" w:sz="0" w:space="0" w:color="auto"/>
        <w:bottom w:val="none" w:sz="0" w:space="0" w:color="auto"/>
        <w:right w:val="none" w:sz="0" w:space="0" w:color="auto"/>
      </w:divBdr>
      <w:divsChild>
        <w:div w:id="794296755">
          <w:marLeft w:val="187"/>
          <w:marRight w:val="0"/>
          <w:marTop w:val="0"/>
          <w:marBottom w:val="0"/>
          <w:divBdr>
            <w:top w:val="none" w:sz="0" w:space="0" w:color="auto"/>
            <w:left w:val="none" w:sz="0" w:space="0" w:color="auto"/>
            <w:bottom w:val="none" w:sz="0" w:space="0" w:color="auto"/>
            <w:right w:val="none" w:sz="0" w:space="0" w:color="auto"/>
          </w:divBdr>
        </w:div>
        <w:div w:id="1293360784">
          <w:marLeft w:val="187"/>
          <w:marRight w:val="0"/>
          <w:marTop w:val="0"/>
          <w:marBottom w:val="0"/>
          <w:divBdr>
            <w:top w:val="none" w:sz="0" w:space="0" w:color="auto"/>
            <w:left w:val="none" w:sz="0" w:space="0" w:color="auto"/>
            <w:bottom w:val="none" w:sz="0" w:space="0" w:color="auto"/>
            <w:right w:val="none" w:sz="0" w:space="0" w:color="auto"/>
          </w:divBdr>
        </w:div>
      </w:divsChild>
    </w:div>
    <w:div w:id="624625611">
      <w:bodyDiv w:val="1"/>
      <w:marLeft w:val="0"/>
      <w:marRight w:val="0"/>
      <w:marTop w:val="0"/>
      <w:marBottom w:val="0"/>
      <w:divBdr>
        <w:top w:val="none" w:sz="0" w:space="0" w:color="auto"/>
        <w:left w:val="none" w:sz="0" w:space="0" w:color="auto"/>
        <w:bottom w:val="none" w:sz="0" w:space="0" w:color="auto"/>
        <w:right w:val="none" w:sz="0" w:space="0" w:color="auto"/>
      </w:divBdr>
      <w:divsChild>
        <w:div w:id="90784449">
          <w:marLeft w:val="1166"/>
          <w:marRight w:val="0"/>
          <w:marTop w:val="77"/>
          <w:marBottom w:val="0"/>
          <w:divBdr>
            <w:top w:val="none" w:sz="0" w:space="0" w:color="auto"/>
            <w:left w:val="none" w:sz="0" w:space="0" w:color="auto"/>
            <w:bottom w:val="none" w:sz="0" w:space="0" w:color="auto"/>
            <w:right w:val="none" w:sz="0" w:space="0" w:color="auto"/>
          </w:divBdr>
        </w:div>
        <w:div w:id="583418664">
          <w:marLeft w:val="547"/>
          <w:marRight w:val="0"/>
          <w:marTop w:val="86"/>
          <w:marBottom w:val="0"/>
          <w:divBdr>
            <w:top w:val="none" w:sz="0" w:space="0" w:color="auto"/>
            <w:left w:val="none" w:sz="0" w:space="0" w:color="auto"/>
            <w:bottom w:val="none" w:sz="0" w:space="0" w:color="auto"/>
            <w:right w:val="none" w:sz="0" w:space="0" w:color="auto"/>
          </w:divBdr>
        </w:div>
        <w:div w:id="1156192316">
          <w:marLeft w:val="1166"/>
          <w:marRight w:val="0"/>
          <w:marTop w:val="77"/>
          <w:marBottom w:val="0"/>
          <w:divBdr>
            <w:top w:val="none" w:sz="0" w:space="0" w:color="auto"/>
            <w:left w:val="none" w:sz="0" w:space="0" w:color="auto"/>
            <w:bottom w:val="none" w:sz="0" w:space="0" w:color="auto"/>
            <w:right w:val="none" w:sz="0" w:space="0" w:color="auto"/>
          </w:divBdr>
        </w:div>
        <w:div w:id="1513646544">
          <w:marLeft w:val="1166"/>
          <w:marRight w:val="0"/>
          <w:marTop w:val="77"/>
          <w:marBottom w:val="0"/>
          <w:divBdr>
            <w:top w:val="none" w:sz="0" w:space="0" w:color="auto"/>
            <w:left w:val="none" w:sz="0" w:space="0" w:color="auto"/>
            <w:bottom w:val="none" w:sz="0" w:space="0" w:color="auto"/>
            <w:right w:val="none" w:sz="0" w:space="0" w:color="auto"/>
          </w:divBdr>
        </w:div>
        <w:div w:id="1830094576">
          <w:marLeft w:val="1166"/>
          <w:marRight w:val="0"/>
          <w:marTop w:val="77"/>
          <w:marBottom w:val="0"/>
          <w:divBdr>
            <w:top w:val="none" w:sz="0" w:space="0" w:color="auto"/>
            <w:left w:val="none" w:sz="0" w:space="0" w:color="auto"/>
            <w:bottom w:val="none" w:sz="0" w:space="0" w:color="auto"/>
            <w:right w:val="none" w:sz="0" w:space="0" w:color="auto"/>
          </w:divBdr>
        </w:div>
        <w:div w:id="2134058077">
          <w:marLeft w:val="547"/>
          <w:marRight w:val="0"/>
          <w:marTop w:val="86"/>
          <w:marBottom w:val="0"/>
          <w:divBdr>
            <w:top w:val="none" w:sz="0" w:space="0" w:color="auto"/>
            <w:left w:val="none" w:sz="0" w:space="0" w:color="auto"/>
            <w:bottom w:val="none" w:sz="0" w:space="0" w:color="auto"/>
            <w:right w:val="none" w:sz="0" w:space="0" w:color="auto"/>
          </w:divBdr>
        </w:div>
      </w:divsChild>
    </w:div>
    <w:div w:id="626083634">
      <w:bodyDiv w:val="1"/>
      <w:marLeft w:val="0"/>
      <w:marRight w:val="0"/>
      <w:marTop w:val="0"/>
      <w:marBottom w:val="0"/>
      <w:divBdr>
        <w:top w:val="none" w:sz="0" w:space="0" w:color="auto"/>
        <w:left w:val="none" w:sz="0" w:space="0" w:color="auto"/>
        <w:bottom w:val="none" w:sz="0" w:space="0" w:color="auto"/>
        <w:right w:val="none" w:sz="0" w:space="0" w:color="auto"/>
      </w:divBdr>
      <w:divsChild>
        <w:div w:id="12805956">
          <w:marLeft w:val="446"/>
          <w:marRight w:val="0"/>
          <w:marTop w:val="86"/>
          <w:marBottom w:val="0"/>
          <w:divBdr>
            <w:top w:val="none" w:sz="0" w:space="0" w:color="auto"/>
            <w:left w:val="none" w:sz="0" w:space="0" w:color="auto"/>
            <w:bottom w:val="none" w:sz="0" w:space="0" w:color="auto"/>
            <w:right w:val="none" w:sz="0" w:space="0" w:color="auto"/>
          </w:divBdr>
        </w:div>
        <w:div w:id="325980519">
          <w:marLeft w:val="446"/>
          <w:marRight w:val="0"/>
          <w:marTop w:val="86"/>
          <w:marBottom w:val="0"/>
          <w:divBdr>
            <w:top w:val="none" w:sz="0" w:space="0" w:color="auto"/>
            <w:left w:val="none" w:sz="0" w:space="0" w:color="auto"/>
            <w:bottom w:val="none" w:sz="0" w:space="0" w:color="auto"/>
            <w:right w:val="none" w:sz="0" w:space="0" w:color="auto"/>
          </w:divBdr>
        </w:div>
        <w:div w:id="996110508">
          <w:marLeft w:val="446"/>
          <w:marRight w:val="0"/>
          <w:marTop w:val="86"/>
          <w:marBottom w:val="0"/>
          <w:divBdr>
            <w:top w:val="none" w:sz="0" w:space="0" w:color="auto"/>
            <w:left w:val="none" w:sz="0" w:space="0" w:color="auto"/>
            <w:bottom w:val="none" w:sz="0" w:space="0" w:color="auto"/>
            <w:right w:val="none" w:sz="0" w:space="0" w:color="auto"/>
          </w:divBdr>
        </w:div>
        <w:div w:id="1362319481">
          <w:marLeft w:val="446"/>
          <w:marRight w:val="0"/>
          <w:marTop w:val="86"/>
          <w:marBottom w:val="0"/>
          <w:divBdr>
            <w:top w:val="none" w:sz="0" w:space="0" w:color="auto"/>
            <w:left w:val="none" w:sz="0" w:space="0" w:color="auto"/>
            <w:bottom w:val="none" w:sz="0" w:space="0" w:color="auto"/>
            <w:right w:val="none" w:sz="0" w:space="0" w:color="auto"/>
          </w:divBdr>
        </w:div>
        <w:div w:id="2068331909">
          <w:marLeft w:val="446"/>
          <w:marRight w:val="0"/>
          <w:marTop w:val="86"/>
          <w:marBottom w:val="0"/>
          <w:divBdr>
            <w:top w:val="none" w:sz="0" w:space="0" w:color="auto"/>
            <w:left w:val="none" w:sz="0" w:space="0" w:color="auto"/>
            <w:bottom w:val="none" w:sz="0" w:space="0" w:color="auto"/>
            <w:right w:val="none" w:sz="0" w:space="0" w:color="auto"/>
          </w:divBdr>
        </w:div>
      </w:divsChild>
    </w:div>
    <w:div w:id="853954255">
      <w:bodyDiv w:val="1"/>
      <w:marLeft w:val="0"/>
      <w:marRight w:val="0"/>
      <w:marTop w:val="0"/>
      <w:marBottom w:val="0"/>
      <w:divBdr>
        <w:top w:val="none" w:sz="0" w:space="0" w:color="auto"/>
        <w:left w:val="none" w:sz="0" w:space="0" w:color="auto"/>
        <w:bottom w:val="none" w:sz="0" w:space="0" w:color="auto"/>
        <w:right w:val="none" w:sz="0" w:space="0" w:color="auto"/>
      </w:divBdr>
    </w:div>
    <w:div w:id="877623891">
      <w:bodyDiv w:val="1"/>
      <w:marLeft w:val="0"/>
      <w:marRight w:val="0"/>
      <w:marTop w:val="0"/>
      <w:marBottom w:val="0"/>
      <w:divBdr>
        <w:top w:val="none" w:sz="0" w:space="0" w:color="auto"/>
        <w:left w:val="none" w:sz="0" w:space="0" w:color="auto"/>
        <w:bottom w:val="none" w:sz="0" w:space="0" w:color="auto"/>
        <w:right w:val="none" w:sz="0" w:space="0" w:color="auto"/>
      </w:divBdr>
      <w:divsChild>
        <w:div w:id="836657233">
          <w:marLeft w:val="0"/>
          <w:marRight w:val="0"/>
          <w:marTop w:val="0"/>
          <w:marBottom w:val="0"/>
          <w:divBdr>
            <w:top w:val="none" w:sz="0" w:space="0" w:color="auto"/>
            <w:left w:val="none" w:sz="0" w:space="0" w:color="auto"/>
            <w:bottom w:val="none" w:sz="0" w:space="0" w:color="auto"/>
            <w:right w:val="none" w:sz="0" w:space="0" w:color="auto"/>
          </w:divBdr>
          <w:divsChild>
            <w:div w:id="21038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15049">
      <w:bodyDiv w:val="1"/>
      <w:marLeft w:val="0"/>
      <w:marRight w:val="0"/>
      <w:marTop w:val="0"/>
      <w:marBottom w:val="0"/>
      <w:divBdr>
        <w:top w:val="none" w:sz="0" w:space="0" w:color="auto"/>
        <w:left w:val="none" w:sz="0" w:space="0" w:color="auto"/>
        <w:bottom w:val="none" w:sz="0" w:space="0" w:color="auto"/>
        <w:right w:val="none" w:sz="0" w:space="0" w:color="auto"/>
      </w:divBdr>
      <w:divsChild>
        <w:div w:id="139273276">
          <w:marLeft w:val="547"/>
          <w:marRight w:val="0"/>
          <w:marTop w:val="86"/>
          <w:marBottom w:val="0"/>
          <w:divBdr>
            <w:top w:val="none" w:sz="0" w:space="0" w:color="auto"/>
            <w:left w:val="none" w:sz="0" w:space="0" w:color="auto"/>
            <w:bottom w:val="none" w:sz="0" w:space="0" w:color="auto"/>
            <w:right w:val="none" w:sz="0" w:space="0" w:color="auto"/>
          </w:divBdr>
        </w:div>
        <w:div w:id="656614264">
          <w:marLeft w:val="547"/>
          <w:marRight w:val="0"/>
          <w:marTop w:val="86"/>
          <w:marBottom w:val="0"/>
          <w:divBdr>
            <w:top w:val="none" w:sz="0" w:space="0" w:color="auto"/>
            <w:left w:val="none" w:sz="0" w:space="0" w:color="auto"/>
            <w:bottom w:val="none" w:sz="0" w:space="0" w:color="auto"/>
            <w:right w:val="none" w:sz="0" w:space="0" w:color="auto"/>
          </w:divBdr>
        </w:div>
        <w:div w:id="1549953911">
          <w:marLeft w:val="547"/>
          <w:marRight w:val="0"/>
          <w:marTop w:val="86"/>
          <w:marBottom w:val="0"/>
          <w:divBdr>
            <w:top w:val="none" w:sz="0" w:space="0" w:color="auto"/>
            <w:left w:val="none" w:sz="0" w:space="0" w:color="auto"/>
            <w:bottom w:val="none" w:sz="0" w:space="0" w:color="auto"/>
            <w:right w:val="none" w:sz="0" w:space="0" w:color="auto"/>
          </w:divBdr>
        </w:div>
        <w:div w:id="1565069056">
          <w:marLeft w:val="547"/>
          <w:marRight w:val="0"/>
          <w:marTop w:val="86"/>
          <w:marBottom w:val="0"/>
          <w:divBdr>
            <w:top w:val="none" w:sz="0" w:space="0" w:color="auto"/>
            <w:left w:val="none" w:sz="0" w:space="0" w:color="auto"/>
            <w:bottom w:val="none" w:sz="0" w:space="0" w:color="auto"/>
            <w:right w:val="none" w:sz="0" w:space="0" w:color="auto"/>
          </w:divBdr>
        </w:div>
      </w:divsChild>
    </w:div>
    <w:div w:id="940839057">
      <w:bodyDiv w:val="1"/>
      <w:marLeft w:val="0"/>
      <w:marRight w:val="0"/>
      <w:marTop w:val="0"/>
      <w:marBottom w:val="0"/>
      <w:divBdr>
        <w:top w:val="none" w:sz="0" w:space="0" w:color="auto"/>
        <w:left w:val="none" w:sz="0" w:space="0" w:color="auto"/>
        <w:bottom w:val="none" w:sz="0" w:space="0" w:color="auto"/>
        <w:right w:val="none" w:sz="0" w:space="0" w:color="auto"/>
      </w:divBdr>
      <w:divsChild>
        <w:div w:id="1355614907">
          <w:marLeft w:val="187"/>
          <w:marRight w:val="0"/>
          <w:marTop w:val="0"/>
          <w:marBottom w:val="0"/>
          <w:divBdr>
            <w:top w:val="none" w:sz="0" w:space="0" w:color="auto"/>
            <w:left w:val="none" w:sz="0" w:space="0" w:color="auto"/>
            <w:bottom w:val="none" w:sz="0" w:space="0" w:color="auto"/>
            <w:right w:val="none" w:sz="0" w:space="0" w:color="auto"/>
          </w:divBdr>
        </w:div>
        <w:div w:id="1939681101">
          <w:marLeft w:val="187"/>
          <w:marRight w:val="0"/>
          <w:marTop w:val="0"/>
          <w:marBottom w:val="0"/>
          <w:divBdr>
            <w:top w:val="none" w:sz="0" w:space="0" w:color="auto"/>
            <w:left w:val="none" w:sz="0" w:space="0" w:color="auto"/>
            <w:bottom w:val="none" w:sz="0" w:space="0" w:color="auto"/>
            <w:right w:val="none" w:sz="0" w:space="0" w:color="auto"/>
          </w:divBdr>
        </w:div>
      </w:divsChild>
    </w:div>
    <w:div w:id="1411150331">
      <w:bodyDiv w:val="1"/>
      <w:marLeft w:val="0"/>
      <w:marRight w:val="0"/>
      <w:marTop w:val="0"/>
      <w:marBottom w:val="0"/>
      <w:divBdr>
        <w:top w:val="none" w:sz="0" w:space="0" w:color="auto"/>
        <w:left w:val="none" w:sz="0" w:space="0" w:color="auto"/>
        <w:bottom w:val="none" w:sz="0" w:space="0" w:color="auto"/>
        <w:right w:val="none" w:sz="0" w:space="0" w:color="auto"/>
      </w:divBdr>
      <w:divsChild>
        <w:div w:id="53703440">
          <w:marLeft w:val="0"/>
          <w:marRight w:val="0"/>
          <w:marTop w:val="0"/>
          <w:marBottom w:val="0"/>
          <w:divBdr>
            <w:top w:val="single" w:sz="6" w:space="0" w:color="F5F5F5"/>
            <w:left w:val="single" w:sz="6" w:space="0" w:color="F5F5F5"/>
            <w:bottom w:val="single" w:sz="6" w:space="0" w:color="F5F5F5"/>
            <w:right w:val="single" w:sz="6" w:space="0" w:color="F5F5F5"/>
          </w:divBdr>
          <w:divsChild>
            <w:div w:id="635716196">
              <w:marLeft w:val="0"/>
              <w:marRight w:val="0"/>
              <w:marTop w:val="0"/>
              <w:marBottom w:val="0"/>
              <w:divBdr>
                <w:top w:val="none" w:sz="0" w:space="0" w:color="auto"/>
                <w:left w:val="none" w:sz="0" w:space="0" w:color="auto"/>
                <w:bottom w:val="none" w:sz="0" w:space="0" w:color="auto"/>
                <w:right w:val="none" w:sz="0" w:space="0" w:color="auto"/>
              </w:divBdr>
              <w:divsChild>
                <w:div w:id="379943932">
                  <w:marLeft w:val="0"/>
                  <w:marRight w:val="0"/>
                  <w:marTop w:val="1050"/>
                  <w:marBottom w:val="0"/>
                  <w:divBdr>
                    <w:top w:val="none" w:sz="0" w:space="0" w:color="auto"/>
                    <w:left w:val="none" w:sz="0" w:space="0" w:color="auto"/>
                    <w:bottom w:val="none" w:sz="0" w:space="0" w:color="auto"/>
                    <w:right w:val="none" w:sz="0" w:space="0" w:color="auto"/>
                  </w:divBdr>
                  <w:divsChild>
                    <w:div w:id="866796142">
                      <w:marLeft w:val="0"/>
                      <w:marRight w:val="315"/>
                      <w:marTop w:val="0"/>
                      <w:marBottom w:val="0"/>
                      <w:divBdr>
                        <w:top w:val="none" w:sz="0" w:space="0" w:color="auto"/>
                        <w:left w:val="none" w:sz="0" w:space="0" w:color="auto"/>
                        <w:bottom w:val="none" w:sz="0" w:space="0" w:color="auto"/>
                        <w:right w:val="none" w:sz="0" w:space="0" w:color="auto"/>
                      </w:divBdr>
                      <w:divsChild>
                        <w:div w:id="2104564332">
                          <w:marLeft w:val="0"/>
                          <w:marRight w:val="0"/>
                          <w:marTop w:val="0"/>
                          <w:marBottom w:val="0"/>
                          <w:divBdr>
                            <w:top w:val="none" w:sz="0" w:space="0" w:color="auto"/>
                            <w:left w:val="none" w:sz="0" w:space="0" w:color="auto"/>
                            <w:bottom w:val="none" w:sz="0" w:space="0" w:color="auto"/>
                            <w:right w:val="none" w:sz="0" w:space="0" w:color="auto"/>
                          </w:divBdr>
                          <w:divsChild>
                            <w:div w:id="890654268">
                              <w:marLeft w:val="0"/>
                              <w:marRight w:val="0"/>
                              <w:marTop w:val="0"/>
                              <w:marBottom w:val="270"/>
                              <w:divBdr>
                                <w:top w:val="none" w:sz="0" w:space="0" w:color="auto"/>
                                <w:left w:val="none" w:sz="0" w:space="0" w:color="auto"/>
                                <w:bottom w:val="none" w:sz="0" w:space="0" w:color="auto"/>
                                <w:right w:val="none" w:sz="0" w:space="0" w:color="auto"/>
                              </w:divBdr>
                              <w:divsChild>
                                <w:div w:id="69824229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231868">
      <w:bodyDiv w:val="1"/>
      <w:marLeft w:val="0"/>
      <w:marRight w:val="0"/>
      <w:marTop w:val="0"/>
      <w:marBottom w:val="0"/>
      <w:divBdr>
        <w:top w:val="single" w:sz="48" w:space="0" w:color="006430"/>
        <w:left w:val="none" w:sz="0" w:space="0" w:color="auto"/>
        <w:bottom w:val="none" w:sz="0" w:space="0" w:color="auto"/>
        <w:right w:val="none" w:sz="0" w:space="0" w:color="auto"/>
      </w:divBdr>
      <w:divsChild>
        <w:div w:id="989943419">
          <w:marLeft w:val="0"/>
          <w:marRight w:val="0"/>
          <w:marTop w:val="0"/>
          <w:marBottom w:val="0"/>
          <w:divBdr>
            <w:top w:val="none" w:sz="0" w:space="0" w:color="auto"/>
            <w:left w:val="none" w:sz="0" w:space="0" w:color="auto"/>
            <w:bottom w:val="none" w:sz="0" w:space="0" w:color="auto"/>
            <w:right w:val="none" w:sz="0" w:space="0" w:color="auto"/>
          </w:divBdr>
          <w:divsChild>
            <w:div w:id="197007964">
              <w:marLeft w:val="0"/>
              <w:marRight w:val="0"/>
              <w:marTop w:val="0"/>
              <w:marBottom w:val="0"/>
              <w:divBdr>
                <w:top w:val="none" w:sz="0" w:space="0" w:color="auto"/>
                <w:left w:val="none" w:sz="0" w:space="0" w:color="auto"/>
                <w:bottom w:val="none" w:sz="0" w:space="0" w:color="auto"/>
                <w:right w:val="none" w:sz="0" w:space="0" w:color="auto"/>
              </w:divBdr>
              <w:divsChild>
                <w:div w:id="1897352147">
                  <w:marLeft w:val="0"/>
                  <w:marRight w:val="0"/>
                  <w:marTop w:val="0"/>
                  <w:marBottom w:val="0"/>
                  <w:divBdr>
                    <w:top w:val="none" w:sz="0" w:space="0" w:color="auto"/>
                    <w:left w:val="none" w:sz="0" w:space="0" w:color="auto"/>
                    <w:bottom w:val="none" w:sz="0" w:space="0" w:color="auto"/>
                    <w:right w:val="none" w:sz="0" w:space="0" w:color="auto"/>
                  </w:divBdr>
                  <w:divsChild>
                    <w:div w:id="1032615790">
                      <w:marLeft w:val="150"/>
                      <w:marRight w:val="150"/>
                      <w:marTop w:val="0"/>
                      <w:marBottom w:val="0"/>
                      <w:divBdr>
                        <w:top w:val="none" w:sz="0" w:space="0" w:color="auto"/>
                        <w:left w:val="none" w:sz="0" w:space="0" w:color="auto"/>
                        <w:bottom w:val="none" w:sz="0" w:space="0" w:color="auto"/>
                        <w:right w:val="none" w:sz="0" w:space="0" w:color="auto"/>
                      </w:divBdr>
                      <w:divsChild>
                        <w:div w:id="1461412075">
                          <w:marLeft w:val="0"/>
                          <w:marRight w:val="0"/>
                          <w:marTop w:val="0"/>
                          <w:marBottom w:val="0"/>
                          <w:divBdr>
                            <w:top w:val="none" w:sz="0" w:space="0" w:color="auto"/>
                            <w:left w:val="none" w:sz="0" w:space="0" w:color="auto"/>
                            <w:bottom w:val="none" w:sz="0" w:space="0" w:color="auto"/>
                            <w:right w:val="none" w:sz="0" w:space="0" w:color="auto"/>
                          </w:divBdr>
                          <w:divsChild>
                            <w:div w:id="1013727923">
                              <w:marLeft w:val="0"/>
                              <w:marRight w:val="0"/>
                              <w:marTop w:val="0"/>
                              <w:marBottom w:val="0"/>
                              <w:divBdr>
                                <w:top w:val="none" w:sz="0" w:space="0" w:color="auto"/>
                                <w:left w:val="none" w:sz="0" w:space="0" w:color="auto"/>
                                <w:bottom w:val="none" w:sz="0" w:space="0" w:color="auto"/>
                                <w:right w:val="none" w:sz="0" w:space="0" w:color="auto"/>
                              </w:divBdr>
                              <w:divsChild>
                                <w:div w:id="616831303">
                                  <w:marLeft w:val="0"/>
                                  <w:marRight w:val="0"/>
                                  <w:marTop w:val="0"/>
                                  <w:marBottom w:val="0"/>
                                  <w:divBdr>
                                    <w:top w:val="none" w:sz="0" w:space="0" w:color="auto"/>
                                    <w:left w:val="none" w:sz="0" w:space="0" w:color="auto"/>
                                    <w:bottom w:val="none" w:sz="0" w:space="0" w:color="auto"/>
                                    <w:right w:val="none" w:sz="0" w:space="0" w:color="auto"/>
                                  </w:divBdr>
                                  <w:divsChild>
                                    <w:div w:id="924411362">
                                      <w:marLeft w:val="0"/>
                                      <w:marRight w:val="0"/>
                                      <w:marTop w:val="0"/>
                                      <w:marBottom w:val="0"/>
                                      <w:divBdr>
                                        <w:top w:val="none" w:sz="0" w:space="0" w:color="auto"/>
                                        <w:left w:val="none" w:sz="0" w:space="0" w:color="auto"/>
                                        <w:bottom w:val="none" w:sz="0" w:space="0" w:color="auto"/>
                                        <w:right w:val="none" w:sz="0" w:space="0" w:color="auto"/>
                                      </w:divBdr>
                                      <w:divsChild>
                                        <w:div w:id="1165589914">
                                          <w:marLeft w:val="0"/>
                                          <w:marRight w:val="0"/>
                                          <w:marTop w:val="0"/>
                                          <w:marBottom w:val="0"/>
                                          <w:divBdr>
                                            <w:top w:val="none" w:sz="0" w:space="0" w:color="auto"/>
                                            <w:left w:val="none" w:sz="0" w:space="0" w:color="auto"/>
                                            <w:bottom w:val="none" w:sz="0" w:space="0" w:color="auto"/>
                                            <w:right w:val="none" w:sz="0" w:space="0" w:color="auto"/>
                                          </w:divBdr>
                                          <w:divsChild>
                                            <w:div w:id="1079911441">
                                              <w:marLeft w:val="0"/>
                                              <w:marRight w:val="0"/>
                                              <w:marTop w:val="0"/>
                                              <w:marBottom w:val="0"/>
                                              <w:divBdr>
                                                <w:top w:val="none" w:sz="0" w:space="0" w:color="auto"/>
                                                <w:left w:val="none" w:sz="0" w:space="0" w:color="auto"/>
                                                <w:bottom w:val="none" w:sz="0" w:space="0" w:color="auto"/>
                                                <w:right w:val="none" w:sz="0" w:space="0" w:color="auto"/>
                                              </w:divBdr>
                                              <w:divsChild>
                                                <w:div w:id="1733042924">
                                                  <w:marLeft w:val="0"/>
                                                  <w:marRight w:val="0"/>
                                                  <w:marTop w:val="0"/>
                                                  <w:marBottom w:val="0"/>
                                                  <w:divBdr>
                                                    <w:top w:val="none" w:sz="0" w:space="0" w:color="auto"/>
                                                    <w:left w:val="none" w:sz="0" w:space="0" w:color="auto"/>
                                                    <w:bottom w:val="none" w:sz="0" w:space="0" w:color="auto"/>
                                                    <w:right w:val="none" w:sz="0" w:space="0" w:color="auto"/>
                                                  </w:divBdr>
                                                  <w:divsChild>
                                                    <w:div w:id="13680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611064">
      <w:bodyDiv w:val="1"/>
      <w:marLeft w:val="0"/>
      <w:marRight w:val="0"/>
      <w:marTop w:val="0"/>
      <w:marBottom w:val="0"/>
      <w:divBdr>
        <w:top w:val="none" w:sz="0" w:space="0" w:color="auto"/>
        <w:left w:val="none" w:sz="0" w:space="0" w:color="auto"/>
        <w:bottom w:val="none" w:sz="0" w:space="0" w:color="auto"/>
        <w:right w:val="none" w:sz="0" w:space="0" w:color="auto"/>
      </w:divBdr>
      <w:divsChild>
        <w:div w:id="1530532150">
          <w:marLeft w:val="0"/>
          <w:marRight w:val="0"/>
          <w:marTop w:val="0"/>
          <w:marBottom w:val="0"/>
          <w:divBdr>
            <w:top w:val="single" w:sz="6" w:space="0" w:color="F5F5F5"/>
            <w:left w:val="single" w:sz="6" w:space="0" w:color="F5F5F5"/>
            <w:bottom w:val="single" w:sz="6" w:space="0" w:color="F5F5F5"/>
            <w:right w:val="single" w:sz="6" w:space="0" w:color="F5F5F5"/>
          </w:divBdr>
          <w:divsChild>
            <w:div w:id="39985744">
              <w:marLeft w:val="0"/>
              <w:marRight w:val="0"/>
              <w:marTop w:val="0"/>
              <w:marBottom w:val="0"/>
              <w:divBdr>
                <w:top w:val="none" w:sz="0" w:space="0" w:color="auto"/>
                <w:left w:val="none" w:sz="0" w:space="0" w:color="auto"/>
                <w:bottom w:val="none" w:sz="0" w:space="0" w:color="auto"/>
                <w:right w:val="none" w:sz="0" w:space="0" w:color="auto"/>
              </w:divBdr>
              <w:divsChild>
                <w:div w:id="1720323506">
                  <w:marLeft w:val="0"/>
                  <w:marRight w:val="0"/>
                  <w:marTop w:val="1050"/>
                  <w:marBottom w:val="0"/>
                  <w:divBdr>
                    <w:top w:val="none" w:sz="0" w:space="0" w:color="auto"/>
                    <w:left w:val="none" w:sz="0" w:space="0" w:color="auto"/>
                    <w:bottom w:val="none" w:sz="0" w:space="0" w:color="auto"/>
                    <w:right w:val="none" w:sz="0" w:space="0" w:color="auto"/>
                  </w:divBdr>
                  <w:divsChild>
                    <w:div w:id="1014265110">
                      <w:marLeft w:val="0"/>
                      <w:marRight w:val="315"/>
                      <w:marTop w:val="0"/>
                      <w:marBottom w:val="0"/>
                      <w:divBdr>
                        <w:top w:val="none" w:sz="0" w:space="0" w:color="auto"/>
                        <w:left w:val="none" w:sz="0" w:space="0" w:color="auto"/>
                        <w:bottom w:val="none" w:sz="0" w:space="0" w:color="auto"/>
                        <w:right w:val="none" w:sz="0" w:space="0" w:color="auto"/>
                      </w:divBdr>
                      <w:divsChild>
                        <w:div w:id="1266117080">
                          <w:marLeft w:val="0"/>
                          <w:marRight w:val="0"/>
                          <w:marTop w:val="0"/>
                          <w:marBottom w:val="0"/>
                          <w:divBdr>
                            <w:top w:val="none" w:sz="0" w:space="0" w:color="auto"/>
                            <w:left w:val="none" w:sz="0" w:space="0" w:color="auto"/>
                            <w:bottom w:val="none" w:sz="0" w:space="0" w:color="auto"/>
                            <w:right w:val="none" w:sz="0" w:space="0" w:color="auto"/>
                          </w:divBdr>
                          <w:divsChild>
                            <w:div w:id="1700160164">
                              <w:marLeft w:val="0"/>
                              <w:marRight w:val="0"/>
                              <w:marTop w:val="0"/>
                              <w:marBottom w:val="270"/>
                              <w:divBdr>
                                <w:top w:val="none" w:sz="0" w:space="0" w:color="auto"/>
                                <w:left w:val="none" w:sz="0" w:space="0" w:color="auto"/>
                                <w:bottom w:val="none" w:sz="0" w:space="0" w:color="auto"/>
                                <w:right w:val="none" w:sz="0" w:space="0" w:color="auto"/>
                              </w:divBdr>
                              <w:divsChild>
                                <w:div w:id="77898431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614307">
      <w:bodyDiv w:val="1"/>
      <w:marLeft w:val="0"/>
      <w:marRight w:val="0"/>
      <w:marTop w:val="0"/>
      <w:marBottom w:val="0"/>
      <w:divBdr>
        <w:top w:val="none" w:sz="0" w:space="0" w:color="auto"/>
        <w:left w:val="none" w:sz="0" w:space="0" w:color="auto"/>
        <w:bottom w:val="none" w:sz="0" w:space="0" w:color="auto"/>
        <w:right w:val="none" w:sz="0" w:space="0" w:color="auto"/>
      </w:divBdr>
      <w:divsChild>
        <w:div w:id="199440639">
          <w:marLeft w:val="547"/>
          <w:marRight w:val="0"/>
          <w:marTop w:val="67"/>
          <w:marBottom w:val="0"/>
          <w:divBdr>
            <w:top w:val="none" w:sz="0" w:space="0" w:color="auto"/>
            <w:left w:val="none" w:sz="0" w:space="0" w:color="auto"/>
            <w:bottom w:val="none" w:sz="0" w:space="0" w:color="auto"/>
            <w:right w:val="none" w:sz="0" w:space="0" w:color="auto"/>
          </w:divBdr>
        </w:div>
        <w:div w:id="233702750">
          <w:marLeft w:val="547"/>
          <w:marRight w:val="0"/>
          <w:marTop w:val="67"/>
          <w:marBottom w:val="0"/>
          <w:divBdr>
            <w:top w:val="none" w:sz="0" w:space="0" w:color="auto"/>
            <w:left w:val="none" w:sz="0" w:space="0" w:color="auto"/>
            <w:bottom w:val="none" w:sz="0" w:space="0" w:color="auto"/>
            <w:right w:val="none" w:sz="0" w:space="0" w:color="auto"/>
          </w:divBdr>
        </w:div>
        <w:div w:id="282149400">
          <w:marLeft w:val="547"/>
          <w:marRight w:val="0"/>
          <w:marTop w:val="67"/>
          <w:marBottom w:val="0"/>
          <w:divBdr>
            <w:top w:val="none" w:sz="0" w:space="0" w:color="auto"/>
            <w:left w:val="none" w:sz="0" w:space="0" w:color="auto"/>
            <w:bottom w:val="none" w:sz="0" w:space="0" w:color="auto"/>
            <w:right w:val="none" w:sz="0" w:space="0" w:color="auto"/>
          </w:divBdr>
        </w:div>
        <w:div w:id="655107323">
          <w:marLeft w:val="547"/>
          <w:marRight w:val="0"/>
          <w:marTop w:val="67"/>
          <w:marBottom w:val="0"/>
          <w:divBdr>
            <w:top w:val="none" w:sz="0" w:space="0" w:color="auto"/>
            <w:left w:val="none" w:sz="0" w:space="0" w:color="auto"/>
            <w:bottom w:val="none" w:sz="0" w:space="0" w:color="auto"/>
            <w:right w:val="none" w:sz="0" w:space="0" w:color="auto"/>
          </w:divBdr>
        </w:div>
        <w:div w:id="867059015">
          <w:marLeft w:val="547"/>
          <w:marRight w:val="0"/>
          <w:marTop w:val="67"/>
          <w:marBottom w:val="0"/>
          <w:divBdr>
            <w:top w:val="none" w:sz="0" w:space="0" w:color="auto"/>
            <w:left w:val="none" w:sz="0" w:space="0" w:color="auto"/>
            <w:bottom w:val="none" w:sz="0" w:space="0" w:color="auto"/>
            <w:right w:val="none" w:sz="0" w:space="0" w:color="auto"/>
          </w:divBdr>
        </w:div>
        <w:div w:id="1198354803">
          <w:marLeft w:val="547"/>
          <w:marRight w:val="0"/>
          <w:marTop w:val="67"/>
          <w:marBottom w:val="0"/>
          <w:divBdr>
            <w:top w:val="none" w:sz="0" w:space="0" w:color="auto"/>
            <w:left w:val="none" w:sz="0" w:space="0" w:color="auto"/>
            <w:bottom w:val="none" w:sz="0" w:space="0" w:color="auto"/>
            <w:right w:val="none" w:sz="0" w:space="0" w:color="auto"/>
          </w:divBdr>
        </w:div>
        <w:div w:id="1550417607">
          <w:marLeft w:val="274"/>
          <w:marRight w:val="0"/>
          <w:marTop w:val="67"/>
          <w:marBottom w:val="0"/>
          <w:divBdr>
            <w:top w:val="none" w:sz="0" w:space="0" w:color="auto"/>
            <w:left w:val="none" w:sz="0" w:space="0" w:color="auto"/>
            <w:bottom w:val="none" w:sz="0" w:space="0" w:color="auto"/>
            <w:right w:val="none" w:sz="0" w:space="0" w:color="auto"/>
          </w:divBdr>
        </w:div>
        <w:div w:id="1653018954">
          <w:marLeft w:val="547"/>
          <w:marRight w:val="0"/>
          <w:marTop w:val="67"/>
          <w:marBottom w:val="0"/>
          <w:divBdr>
            <w:top w:val="none" w:sz="0" w:space="0" w:color="auto"/>
            <w:left w:val="none" w:sz="0" w:space="0" w:color="auto"/>
            <w:bottom w:val="none" w:sz="0" w:space="0" w:color="auto"/>
            <w:right w:val="none" w:sz="0" w:space="0" w:color="auto"/>
          </w:divBdr>
        </w:div>
        <w:div w:id="1677656719">
          <w:marLeft w:val="547"/>
          <w:marRight w:val="0"/>
          <w:marTop w:val="67"/>
          <w:marBottom w:val="0"/>
          <w:divBdr>
            <w:top w:val="none" w:sz="0" w:space="0" w:color="auto"/>
            <w:left w:val="none" w:sz="0" w:space="0" w:color="auto"/>
            <w:bottom w:val="none" w:sz="0" w:space="0" w:color="auto"/>
            <w:right w:val="none" w:sz="0" w:space="0" w:color="auto"/>
          </w:divBdr>
        </w:div>
        <w:div w:id="1731539033">
          <w:marLeft w:val="547"/>
          <w:marRight w:val="0"/>
          <w:marTop w:val="67"/>
          <w:marBottom w:val="0"/>
          <w:divBdr>
            <w:top w:val="none" w:sz="0" w:space="0" w:color="auto"/>
            <w:left w:val="none" w:sz="0" w:space="0" w:color="auto"/>
            <w:bottom w:val="none" w:sz="0" w:space="0" w:color="auto"/>
            <w:right w:val="none" w:sz="0" w:space="0" w:color="auto"/>
          </w:divBdr>
        </w:div>
        <w:div w:id="1771731445">
          <w:marLeft w:val="274"/>
          <w:marRight w:val="0"/>
          <w:marTop w:val="67"/>
          <w:marBottom w:val="0"/>
          <w:divBdr>
            <w:top w:val="none" w:sz="0" w:space="0" w:color="auto"/>
            <w:left w:val="none" w:sz="0" w:space="0" w:color="auto"/>
            <w:bottom w:val="none" w:sz="0" w:space="0" w:color="auto"/>
            <w:right w:val="none" w:sz="0" w:space="0" w:color="auto"/>
          </w:divBdr>
        </w:div>
        <w:div w:id="1954094598">
          <w:marLeft w:val="547"/>
          <w:marRight w:val="0"/>
          <w:marTop w:val="67"/>
          <w:marBottom w:val="0"/>
          <w:divBdr>
            <w:top w:val="none" w:sz="0" w:space="0" w:color="auto"/>
            <w:left w:val="none" w:sz="0" w:space="0" w:color="auto"/>
            <w:bottom w:val="none" w:sz="0" w:space="0" w:color="auto"/>
            <w:right w:val="none" w:sz="0" w:space="0" w:color="auto"/>
          </w:divBdr>
        </w:div>
      </w:divsChild>
    </w:div>
    <w:div w:id="1615550948">
      <w:bodyDiv w:val="1"/>
      <w:marLeft w:val="0"/>
      <w:marRight w:val="0"/>
      <w:marTop w:val="0"/>
      <w:marBottom w:val="0"/>
      <w:divBdr>
        <w:top w:val="none" w:sz="0" w:space="0" w:color="auto"/>
        <w:left w:val="none" w:sz="0" w:space="0" w:color="auto"/>
        <w:bottom w:val="none" w:sz="0" w:space="0" w:color="auto"/>
        <w:right w:val="none" w:sz="0" w:space="0" w:color="auto"/>
      </w:divBdr>
      <w:divsChild>
        <w:div w:id="12928481">
          <w:marLeft w:val="187"/>
          <w:marRight w:val="0"/>
          <w:marTop w:val="0"/>
          <w:marBottom w:val="0"/>
          <w:divBdr>
            <w:top w:val="none" w:sz="0" w:space="0" w:color="auto"/>
            <w:left w:val="none" w:sz="0" w:space="0" w:color="auto"/>
            <w:bottom w:val="none" w:sz="0" w:space="0" w:color="auto"/>
            <w:right w:val="none" w:sz="0" w:space="0" w:color="auto"/>
          </w:divBdr>
        </w:div>
        <w:div w:id="525752662">
          <w:marLeft w:val="187"/>
          <w:marRight w:val="0"/>
          <w:marTop w:val="0"/>
          <w:marBottom w:val="0"/>
          <w:divBdr>
            <w:top w:val="none" w:sz="0" w:space="0" w:color="auto"/>
            <w:left w:val="none" w:sz="0" w:space="0" w:color="auto"/>
            <w:bottom w:val="none" w:sz="0" w:space="0" w:color="auto"/>
            <w:right w:val="none" w:sz="0" w:space="0" w:color="auto"/>
          </w:divBdr>
        </w:div>
      </w:divsChild>
    </w:div>
    <w:div w:id="1680690558">
      <w:bodyDiv w:val="1"/>
      <w:marLeft w:val="0"/>
      <w:marRight w:val="0"/>
      <w:marTop w:val="0"/>
      <w:marBottom w:val="0"/>
      <w:divBdr>
        <w:top w:val="none" w:sz="0" w:space="0" w:color="auto"/>
        <w:left w:val="none" w:sz="0" w:space="0" w:color="auto"/>
        <w:bottom w:val="none" w:sz="0" w:space="0" w:color="auto"/>
        <w:right w:val="none" w:sz="0" w:space="0" w:color="auto"/>
      </w:divBdr>
      <w:divsChild>
        <w:div w:id="920018787">
          <w:marLeft w:val="547"/>
          <w:marRight w:val="0"/>
          <w:marTop w:val="86"/>
          <w:marBottom w:val="0"/>
          <w:divBdr>
            <w:top w:val="none" w:sz="0" w:space="0" w:color="auto"/>
            <w:left w:val="none" w:sz="0" w:space="0" w:color="auto"/>
            <w:bottom w:val="none" w:sz="0" w:space="0" w:color="auto"/>
            <w:right w:val="none" w:sz="0" w:space="0" w:color="auto"/>
          </w:divBdr>
        </w:div>
        <w:div w:id="1092050230">
          <w:marLeft w:val="547"/>
          <w:marRight w:val="0"/>
          <w:marTop w:val="86"/>
          <w:marBottom w:val="0"/>
          <w:divBdr>
            <w:top w:val="none" w:sz="0" w:space="0" w:color="auto"/>
            <w:left w:val="none" w:sz="0" w:space="0" w:color="auto"/>
            <w:bottom w:val="none" w:sz="0" w:space="0" w:color="auto"/>
            <w:right w:val="none" w:sz="0" w:space="0" w:color="auto"/>
          </w:divBdr>
        </w:div>
        <w:div w:id="1402555653">
          <w:marLeft w:val="547"/>
          <w:marRight w:val="0"/>
          <w:marTop w:val="86"/>
          <w:marBottom w:val="0"/>
          <w:divBdr>
            <w:top w:val="none" w:sz="0" w:space="0" w:color="auto"/>
            <w:left w:val="none" w:sz="0" w:space="0" w:color="auto"/>
            <w:bottom w:val="none" w:sz="0" w:space="0" w:color="auto"/>
            <w:right w:val="none" w:sz="0" w:space="0" w:color="auto"/>
          </w:divBdr>
        </w:div>
        <w:div w:id="1834449975">
          <w:marLeft w:val="1166"/>
          <w:marRight w:val="0"/>
          <w:marTop w:val="77"/>
          <w:marBottom w:val="0"/>
          <w:divBdr>
            <w:top w:val="none" w:sz="0" w:space="0" w:color="auto"/>
            <w:left w:val="none" w:sz="0" w:space="0" w:color="auto"/>
            <w:bottom w:val="none" w:sz="0" w:space="0" w:color="auto"/>
            <w:right w:val="none" w:sz="0" w:space="0" w:color="auto"/>
          </w:divBdr>
        </w:div>
        <w:div w:id="1942567716">
          <w:marLeft w:val="1166"/>
          <w:marRight w:val="0"/>
          <w:marTop w:val="77"/>
          <w:marBottom w:val="0"/>
          <w:divBdr>
            <w:top w:val="none" w:sz="0" w:space="0" w:color="auto"/>
            <w:left w:val="none" w:sz="0" w:space="0" w:color="auto"/>
            <w:bottom w:val="none" w:sz="0" w:space="0" w:color="auto"/>
            <w:right w:val="none" w:sz="0" w:space="0" w:color="auto"/>
          </w:divBdr>
        </w:div>
        <w:div w:id="1974749505">
          <w:marLeft w:val="1166"/>
          <w:marRight w:val="0"/>
          <w:marTop w:val="77"/>
          <w:marBottom w:val="0"/>
          <w:divBdr>
            <w:top w:val="none" w:sz="0" w:space="0" w:color="auto"/>
            <w:left w:val="none" w:sz="0" w:space="0" w:color="auto"/>
            <w:bottom w:val="none" w:sz="0" w:space="0" w:color="auto"/>
            <w:right w:val="none" w:sz="0" w:space="0" w:color="auto"/>
          </w:divBdr>
        </w:div>
      </w:divsChild>
    </w:div>
    <w:div w:id="1741949904">
      <w:bodyDiv w:val="1"/>
      <w:marLeft w:val="0"/>
      <w:marRight w:val="0"/>
      <w:marTop w:val="0"/>
      <w:marBottom w:val="0"/>
      <w:divBdr>
        <w:top w:val="none" w:sz="0" w:space="0" w:color="auto"/>
        <w:left w:val="none" w:sz="0" w:space="0" w:color="auto"/>
        <w:bottom w:val="none" w:sz="0" w:space="0" w:color="auto"/>
        <w:right w:val="none" w:sz="0" w:space="0" w:color="auto"/>
      </w:divBdr>
      <w:divsChild>
        <w:div w:id="247618122">
          <w:marLeft w:val="0"/>
          <w:marRight w:val="0"/>
          <w:marTop w:val="0"/>
          <w:marBottom w:val="0"/>
          <w:divBdr>
            <w:top w:val="none" w:sz="0" w:space="0" w:color="auto"/>
            <w:left w:val="none" w:sz="0" w:space="0" w:color="auto"/>
            <w:bottom w:val="none" w:sz="0" w:space="0" w:color="auto"/>
            <w:right w:val="none" w:sz="0" w:space="0" w:color="auto"/>
          </w:divBdr>
          <w:divsChild>
            <w:div w:id="273177577">
              <w:marLeft w:val="0"/>
              <w:marRight w:val="0"/>
              <w:marTop w:val="0"/>
              <w:marBottom w:val="0"/>
              <w:divBdr>
                <w:top w:val="none" w:sz="0" w:space="0" w:color="auto"/>
                <w:left w:val="none" w:sz="0" w:space="0" w:color="auto"/>
                <w:bottom w:val="none" w:sz="0" w:space="0" w:color="auto"/>
                <w:right w:val="none" w:sz="0" w:space="0" w:color="auto"/>
              </w:divBdr>
              <w:divsChild>
                <w:div w:id="683630476">
                  <w:marLeft w:val="0"/>
                  <w:marRight w:val="0"/>
                  <w:marTop w:val="0"/>
                  <w:marBottom w:val="0"/>
                  <w:divBdr>
                    <w:top w:val="none" w:sz="0" w:space="0" w:color="auto"/>
                    <w:left w:val="none" w:sz="0" w:space="0" w:color="auto"/>
                    <w:bottom w:val="none" w:sz="0" w:space="0" w:color="auto"/>
                    <w:right w:val="none" w:sz="0" w:space="0" w:color="auto"/>
                  </w:divBdr>
                  <w:divsChild>
                    <w:div w:id="1077750755">
                      <w:marLeft w:val="0"/>
                      <w:marRight w:val="0"/>
                      <w:marTop w:val="0"/>
                      <w:marBottom w:val="0"/>
                      <w:divBdr>
                        <w:top w:val="none" w:sz="0" w:space="0" w:color="auto"/>
                        <w:left w:val="none" w:sz="0" w:space="0" w:color="auto"/>
                        <w:bottom w:val="none" w:sz="0" w:space="0" w:color="auto"/>
                        <w:right w:val="none" w:sz="0" w:space="0" w:color="auto"/>
                      </w:divBdr>
                      <w:divsChild>
                        <w:div w:id="724374935">
                          <w:marLeft w:val="0"/>
                          <w:marRight w:val="0"/>
                          <w:marTop w:val="0"/>
                          <w:marBottom w:val="0"/>
                          <w:divBdr>
                            <w:top w:val="none" w:sz="0" w:space="0" w:color="auto"/>
                            <w:left w:val="none" w:sz="0" w:space="0" w:color="auto"/>
                            <w:bottom w:val="none" w:sz="0" w:space="0" w:color="auto"/>
                            <w:right w:val="none" w:sz="0" w:space="0" w:color="auto"/>
                          </w:divBdr>
                          <w:divsChild>
                            <w:div w:id="1867521931">
                              <w:marLeft w:val="0"/>
                              <w:marRight w:val="0"/>
                              <w:marTop w:val="0"/>
                              <w:marBottom w:val="0"/>
                              <w:divBdr>
                                <w:top w:val="none" w:sz="0" w:space="0" w:color="auto"/>
                                <w:left w:val="none" w:sz="0" w:space="0" w:color="auto"/>
                                <w:bottom w:val="none" w:sz="0" w:space="0" w:color="auto"/>
                                <w:right w:val="none" w:sz="0" w:space="0" w:color="auto"/>
                              </w:divBdr>
                              <w:divsChild>
                                <w:div w:id="77095552">
                                  <w:marLeft w:val="0"/>
                                  <w:marRight w:val="0"/>
                                  <w:marTop w:val="0"/>
                                  <w:marBottom w:val="0"/>
                                  <w:divBdr>
                                    <w:top w:val="none" w:sz="0" w:space="0" w:color="auto"/>
                                    <w:left w:val="none" w:sz="0" w:space="0" w:color="auto"/>
                                    <w:bottom w:val="none" w:sz="0" w:space="0" w:color="auto"/>
                                    <w:right w:val="none" w:sz="0" w:space="0" w:color="auto"/>
                                  </w:divBdr>
                                </w:div>
                                <w:div w:id="18532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303946">
      <w:bodyDiv w:val="1"/>
      <w:marLeft w:val="0"/>
      <w:marRight w:val="0"/>
      <w:marTop w:val="0"/>
      <w:marBottom w:val="0"/>
      <w:divBdr>
        <w:top w:val="none" w:sz="0" w:space="0" w:color="auto"/>
        <w:left w:val="none" w:sz="0" w:space="0" w:color="auto"/>
        <w:bottom w:val="none" w:sz="0" w:space="0" w:color="auto"/>
        <w:right w:val="none" w:sz="0" w:space="0" w:color="auto"/>
      </w:divBdr>
      <w:divsChild>
        <w:div w:id="811097204">
          <w:marLeft w:val="0"/>
          <w:marRight w:val="0"/>
          <w:marTop w:val="0"/>
          <w:marBottom w:val="0"/>
          <w:divBdr>
            <w:top w:val="none" w:sz="0" w:space="0" w:color="auto"/>
            <w:left w:val="none" w:sz="0" w:space="0" w:color="auto"/>
            <w:bottom w:val="none" w:sz="0" w:space="0" w:color="auto"/>
            <w:right w:val="none" w:sz="0" w:space="0" w:color="auto"/>
          </w:divBdr>
          <w:divsChild>
            <w:div w:id="6598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7908">
      <w:bodyDiv w:val="1"/>
      <w:marLeft w:val="0"/>
      <w:marRight w:val="0"/>
      <w:marTop w:val="0"/>
      <w:marBottom w:val="0"/>
      <w:divBdr>
        <w:top w:val="none" w:sz="0" w:space="0" w:color="auto"/>
        <w:left w:val="none" w:sz="0" w:space="0" w:color="auto"/>
        <w:bottom w:val="none" w:sz="0" w:space="0" w:color="auto"/>
        <w:right w:val="none" w:sz="0" w:space="0" w:color="auto"/>
      </w:divBdr>
      <w:divsChild>
        <w:div w:id="907422135">
          <w:marLeft w:val="187"/>
          <w:marRight w:val="0"/>
          <w:marTop w:val="0"/>
          <w:marBottom w:val="0"/>
          <w:divBdr>
            <w:top w:val="none" w:sz="0" w:space="0" w:color="auto"/>
            <w:left w:val="none" w:sz="0" w:space="0" w:color="auto"/>
            <w:bottom w:val="none" w:sz="0" w:space="0" w:color="auto"/>
            <w:right w:val="none" w:sz="0" w:space="0" w:color="auto"/>
          </w:divBdr>
        </w:div>
        <w:div w:id="1287200966">
          <w:marLeft w:val="187"/>
          <w:marRight w:val="0"/>
          <w:marTop w:val="0"/>
          <w:marBottom w:val="0"/>
          <w:divBdr>
            <w:top w:val="none" w:sz="0" w:space="0" w:color="auto"/>
            <w:left w:val="none" w:sz="0" w:space="0" w:color="auto"/>
            <w:bottom w:val="none" w:sz="0" w:space="0" w:color="auto"/>
            <w:right w:val="none" w:sz="0" w:space="0" w:color="auto"/>
          </w:divBdr>
        </w:div>
        <w:div w:id="1409578859">
          <w:marLeft w:val="187"/>
          <w:marRight w:val="0"/>
          <w:marTop w:val="0"/>
          <w:marBottom w:val="0"/>
          <w:divBdr>
            <w:top w:val="none" w:sz="0" w:space="0" w:color="auto"/>
            <w:left w:val="none" w:sz="0" w:space="0" w:color="auto"/>
            <w:bottom w:val="none" w:sz="0" w:space="0" w:color="auto"/>
            <w:right w:val="none" w:sz="0" w:space="0" w:color="auto"/>
          </w:divBdr>
        </w:div>
        <w:div w:id="1791046607">
          <w:marLeft w:val="187"/>
          <w:marRight w:val="0"/>
          <w:marTop w:val="0"/>
          <w:marBottom w:val="0"/>
          <w:divBdr>
            <w:top w:val="none" w:sz="0" w:space="0" w:color="auto"/>
            <w:left w:val="none" w:sz="0" w:space="0" w:color="auto"/>
            <w:bottom w:val="none" w:sz="0" w:space="0" w:color="auto"/>
            <w:right w:val="none" w:sz="0" w:space="0" w:color="auto"/>
          </w:divBdr>
        </w:div>
      </w:divsChild>
    </w:div>
    <w:div w:id="2055152206">
      <w:bodyDiv w:val="1"/>
      <w:marLeft w:val="0"/>
      <w:marRight w:val="0"/>
      <w:marTop w:val="0"/>
      <w:marBottom w:val="0"/>
      <w:divBdr>
        <w:top w:val="single" w:sz="48" w:space="0" w:color="006430"/>
        <w:left w:val="none" w:sz="0" w:space="0" w:color="auto"/>
        <w:bottom w:val="none" w:sz="0" w:space="0" w:color="auto"/>
        <w:right w:val="none" w:sz="0" w:space="0" w:color="auto"/>
      </w:divBdr>
      <w:divsChild>
        <w:div w:id="239410388">
          <w:marLeft w:val="0"/>
          <w:marRight w:val="0"/>
          <w:marTop w:val="0"/>
          <w:marBottom w:val="0"/>
          <w:divBdr>
            <w:top w:val="none" w:sz="0" w:space="0" w:color="auto"/>
            <w:left w:val="none" w:sz="0" w:space="0" w:color="auto"/>
            <w:bottom w:val="none" w:sz="0" w:space="0" w:color="auto"/>
            <w:right w:val="none" w:sz="0" w:space="0" w:color="auto"/>
          </w:divBdr>
          <w:divsChild>
            <w:div w:id="1789162504">
              <w:marLeft w:val="0"/>
              <w:marRight w:val="0"/>
              <w:marTop w:val="0"/>
              <w:marBottom w:val="0"/>
              <w:divBdr>
                <w:top w:val="none" w:sz="0" w:space="0" w:color="auto"/>
                <w:left w:val="none" w:sz="0" w:space="0" w:color="auto"/>
                <w:bottom w:val="none" w:sz="0" w:space="0" w:color="auto"/>
                <w:right w:val="none" w:sz="0" w:space="0" w:color="auto"/>
              </w:divBdr>
              <w:divsChild>
                <w:div w:id="1706641272">
                  <w:marLeft w:val="0"/>
                  <w:marRight w:val="0"/>
                  <w:marTop w:val="0"/>
                  <w:marBottom w:val="0"/>
                  <w:divBdr>
                    <w:top w:val="none" w:sz="0" w:space="0" w:color="auto"/>
                    <w:left w:val="none" w:sz="0" w:space="0" w:color="auto"/>
                    <w:bottom w:val="none" w:sz="0" w:space="0" w:color="auto"/>
                    <w:right w:val="none" w:sz="0" w:space="0" w:color="auto"/>
                  </w:divBdr>
                  <w:divsChild>
                    <w:div w:id="1961033954">
                      <w:marLeft w:val="150"/>
                      <w:marRight w:val="150"/>
                      <w:marTop w:val="0"/>
                      <w:marBottom w:val="0"/>
                      <w:divBdr>
                        <w:top w:val="none" w:sz="0" w:space="0" w:color="auto"/>
                        <w:left w:val="none" w:sz="0" w:space="0" w:color="auto"/>
                        <w:bottom w:val="none" w:sz="0" w:space="0" w:color="auto"/>
                        <w:right w:val="none" w:sz="0" w:space="0" w:color="auto"/>
                      </w:divBdr>
                      <w:divsChild>
                        <w:div w:id="1794783402">
                          <w:marLeft w:val="0"/>
                          <w:marRight w:val="0"/>
                          <w:marTop w:val="0"/>
                          <w:marBottom w:val="0"/>
                          <w:divBdr>
                            <w:top w:val="none" w:sz="0" w:space="0" w:color="auto"/>
                            <w:left w:val="none" w:sz="0" w:space="0" w:color="auto"/>
                            <w:bottom w:val="none" w:sz="0" w:space="0" w:color="auto"/>
                            <w:right w:val="none" w:sz="0" w:space="0" w:color="auto"/>
                          </w:divBdr>
                          <w:divsChild>
                            <w:div w:id="1682781554">
                              <w:marLeft w:val="0"/>
                              <w:marRight w:val="0"/>
                              <w:marTop w:val="0"/>
                              <w:marBottom w:val="0"/>
                              <w:divBdr>
                                <w:top w:val="none" w:sz="0" w:space="0" w:color="auto"/>
                                <w:left w:val="none" w:sz="0" w:space="0" w:color="auto"/>
                                <w:bottom w:val="none" w:sz="0" w:space="0" w:color="auto"/>
                                <w:right w:val="none" w:sz="0" w:space="0" w:color="auto"/>
                              </w:divBdr>
                              <w:divsChild>
                                <w:div w:id="75329049">
                                  <w:marLeft w:val="0"/>
                                  <w:marRight w:val="0"/>
                                  <w:marTop w:val="0"/>
                                  <w:marBottom w:val="0"/>
                                  <w:divBdr>
                                    <w:top w:val="none" w:sz="0" w:space="0" w:color="auto"/>
                                    <w:left w:val="none" w:sz="0" w:space="0" w:color="auto"/>
                                    <w:bottom w:val="none" w:sz="0" w:space="0" w:color="auto"/>
                                    <w:right w:val="none" w:sz="0" w:space="0" w:color="auto"/>
                                  </w:divBdr>
                                  <w:divsChild>
                                    <w:div w:id="1694456335">
                                      <w:marLeft w:val="0"/>
                                      <w:marRight w:val="0"/>
                                      <w:marTop w:val="0"/>
                                      <w:marBottom w:val="0"/>
                                      <w:divBdr>
                                        <w:top w:val="none" w:sz="0" w:space="0" w:color="auto"/>
                                        <w:left w:val="none" w:sz="0" w:space="0" w:color="auto"/>
                                        <w:bottom w:val="none" w:sz="0" w:space="0" w:color="auto"/>
                                        <w:right w:val="none" w:sz="0" w:space="0" w:color="auto"/>
                                      </w:divBdr>
                                      <w:divsChild>
                                        <w:div w:id="1220821643">
                                          <w:marLeft w:val="0"/>
                                          <w:marRight w:val="0"/>
                                          <w:marTop w:val="0"/>
                                          <w:marBottom w:val="0"/>
                                          <w:divBdr>
                                            <w:top w:val="none" w:sz="0" w:space="0" w:color="auto"/>
                                            <w:left w:val="none" w:sz="0" w:space="0" w:color="auto"/>
                                            <w:bottom w:val="none" w:sz="0" w:space="0" w:color="auto"/>
                                            <w:right w:val="none" w:sz="0" w:space="0" w:color="auto"/>
                                          </w:divBdr>
                                          <w:divsChild>
                                            <w:div w:id="326245920">
                                              <w:marLeft w:val="0"/>
                                              <w:marRight w:val="0"/>
                                              <w:marTop w:val="0"/>
                                              <w:marBottom w:val="0"/>
                                              <w:divBdr>
                                                <w:top w:val="none" w:sz="0" w:space="0" w:color="auto"/>
                                                <w:left w:val="none" w:sz="0" w:space="0" w:color="auto"/>
                                                <w:bottom w:val="none" w:sz="0" w:space="0" w:color="auto"/>
                                                <w:right w:val="none" w:sz="0" w:space="0" w:color="auto"/>
                                              </w:divBdr>
                                              <w:divsChild>
                                                <w:div w:id="2129544381">
                                                  <w:marLeft w:val="0"/>
                                                  <w:marRight w:val="0"/>
                                                  <w:marTop w:val="0"/>
                                                  <w:marBottom w:val="0"/>
                                                  <w:divBdr>
                                                    <w:top w:val="none" w:sz="0" w:space="0" w:color="auto"/>
                                                    <w:left w:val="none" w:sz="0" w:space="0" w:color="auto"/>
                                                    <w:bottom w:val="none" w:sz="0" w:space="0" w:color="auto"/>
                                                    <w:right w:val="none" w:sz="0" w:space="0" w:color="auto"/>
                                                  </w:divBdr>
                                                  <w:divsChild>
                                                    <w:div w:id="252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27F5E7A0D514CBEBFBC9C79996F1A" ma:contentTypeVersion="7" ma:contentTypeDescription="Create a new document." ma:contentTypeScope="" ma:versionID="d131ee76d6a96cd2e07f7bb7c5e755db">
  <xsd:schema xmlns:xsd="http://www.w3.org/2001/XMLSchema" xmlns:xs="http://www.w3.org/2001/XMLSchema" xmlns:p="http://schemas.microsoft.com/office/2006/metadata/properties" xmlns:ns3="ce3fd22f-0b92-43d9-abb5-c0490853c7e8" xmlns:ns4="a4af5f31-cacb-47da-b080-99e5cbee975a" targetNamespace="http://schemas.microsoft.com/office/2006/metadata/properties" ma:root="true" ma:fieldsID="32ed78cc1739da470d53ddc826b71eb9" ns3:_="" ns4:_="">
    <xsd:import namespace="ce3fd22f-0b92-43d9-abb5-c0490853c7e8"/>
    <xsd:import namespace="a4af5f31-cacb-47da-b080-99e5cbee97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fd22f-0b92-43d9-abb5-c0490853c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f5f31-cacb-47da-b080-99e5cbee97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2E4D8-C750-48A2-AF6D-7AD490016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fd22f-0b92-43d9-abb5-c0490853c7e8"/>
    <ds:schemaRef ds:uri="a4af5f31-cacb-47da-b080-99e5cbee9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1538D-E717-4F1C-999A-5909E0A5C8F8}">
  <ds:schemaRefs>
    <ds:schemaRef ds:uri="http://schemas.microsoft.com/sharepoint/v3/contenttype/forms"/>
  </ds:schemaRefs>
</ds:datastoreItem>
</file>

<file path=customXml/itemProps3.xml><?xml version="1.0" encoding="utf-8"?>
<ds:datastoreItem xmlns:ds="http://schemas.openxmlformats.org/officeDocument/2006/customXml" ds:itemID="{3507E042-E61D-4BA6-B06F-E83FEEA8E4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7996FE-45FB-4458-A465-980062FE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7737</Words>
  <Characters>44102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PORTFOLIO COMMITTEE ON FOREIGN AFFAIRS</vt:lpstr>
    </vt:vector>
  </TitlesOfParts>
  <Company>Parliament of South Africa</Company>
  <LinksUpToDate>false</LinksUpToDate>
  <CharactersWithSpaces>51736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COMMITTEE ON FOREIGN AFFAIRS</dc:title>
  <dc:subject/>
  <dc:creator>bcabangana</dc:creator>
  <cp:keywords/>
  <cp:lastModifiedBy>User</cp:lastModifiedBy>
  <cp:revision>3</cp:revision>
  <cp:lastPrinted>2018-05-04T16:37:00Z</cp:lastPrinted>
  <dcterms:created xsi:type="dcterms:W3CDTF">2022-05-18T13:31:00Z</dcterms:created>
  <dcterms:modified xsi:type="dcterms:W3CDTF">2022-05-19T07:31:00Z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0x010100B4327F5E7A0D514CBEBFBC9C79996F1A</vt:lpwstr>
  </property>
</Properties>
</file>