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88" w:rsidRPr="00FE7D29" w:rsidRDefault="00BE0788" w:rsidP="00FE7D29">
      <w:pPr>
        <w:spacing w:line="240" w:lineRule="auto"/>
        <w:jc w:val="left"/>
        <w:rPr>
          <w:rFonts w:cs="Arial"/>
          <w:b/>
          <w:szCs w:val="20"/>
        </w:rPr>
      </w:pPr>
      <w:r w:rsidRPr="00FE7D29">
        <w:rPr>
          <w:rFonts w:cs="Arial"/>
          <w:b/>
          <w:szCs w:val="20"/>
        </w:rPr>
        <w:t xml:space="preserve">Report of the Portfolio Committee on Police </w:t>
      </w:r>
      <w:r w:rsidR="00991FAA" w:rsidRPr="00FE7D29">
        <w:rPr>
          <w:rFonts w:cs="Arial"/>
          <w:b/>
          <w:szCs w:val="20"/>
        </w:rPr>
        <w:t>on</w:t>
      </w:r>
      <w:r w:rsidR="00E36492" w:rsidRPr="00FE7D29">
        <w:rPr>
          <w:rFonts w:cs="Arial"/>
          <w:b/>
          <w:szCs w:val="20"/>
        </w:rPr>
        <w:t xml:space="preserve"> the</w:t>
      </w:r>
      <w:r w:rsidR="00991FAA" w:rsidRPr="00FE7D29">
        <w:rPr>
          <w:rFonts w:cs="Arial"/>
          <w:b/>
          <w:szCs w:val="20"/>
        </w:rPr>
        <w:t xml:space="preserve"> Criminal</w:t>
      </w:r>
      <w:r w:rsidRPr="00FE7D29">
        <w:rPr>
          <w:rFonts w:cs="Arial"/>
          <w:b/>
          <w:szCs w:val="20"/>
        </w:rPr>
        <w:t xml:space="preserve"> Law (Forensic Procedures) Amendment Bill [B25 – 2021] (National Assembly – sec 75), dated </w:t>
      </w:r>
      <w:r w:rsidR="006615E9" w:rsidRPr="00FE7D29">
        <w:rPr>
          <w:rFonts w:cs="Arial"/>
          <w:b/>
          <w:szCs w:val="20"/>
        </w:rPr>
        <w:t>18</w:t>
      </w:r>
      <w:r w:rsidR="00581D59" w:rsidRPr="00FE7D29">
        <w:rPr>
          <w:rFonts w:cs="Arial"/>
          <w:b/>
          <w:szCs w:val="20"/>
        </w:rPr>
        <w:t xml:space="preserve"> May</w:t>
      </w:r>
      <w:r w:rsidRPr="00FE7D29">
        <w:rPr>
          <w:rFonts w:cs="Arial"/>
          <w:b/>
          <w:szCs w:val="20"/>
        </w:rPr>
        <w:t xml:space="preserve"> 2022</w:t>
      </w:r>
    </w:p>
    <w:p w:rsidR="00BE0788" w:rsidRPr="00FE7D29" w:rsidRDefault="00BE0788" w:rsidP="00FE7D29">
      <w:pPr>
        <w:spacing w:line="240" w:lineRule="auto"/>
        <w:jc w:val="left"/>
        <w:rPr>
          <w:rFonts w:cs="Arial"/>
          <w:szCs w:val="20"/>
        </w:rPr>
      </w:pPr>
    </w:p>
    <w:p w:rsidR="00BE0788" w:rsidRPr="00FE7D29" w:rsidRDefault="00BE0788" w:rsidP="00FE7D29">
      <w:pPr>
        <w:autoSpaceDE w:val="0"/>
        <w:autoSpaceDN w:val="0"/>
        <w:adjustRightInd w:val="0"/>
        <w:spacing w:line="240" w:lineRule="auto"/>
        <w:jc w:val="left"/>
        <w:rPr>
          <w:rFonts w:eastAsiaTheme="minorHAnsi" w:cs="Arial"/>
          <w:szCs w:val="20"/>
        </w:rPr>
      </w:pPr>
      <w:r w:rsidRPr="00FE7D29">
        <w:rPr>
          <w:rFonts w:eastAsiaTheme="minorHAnsi" w:cs="Arial"/>
          <w:szCs w:val="20"/>
        </w:rPr>
        <w:t xml:space="preserve">The Portfolio Committee on Police (the Committee), having </w:t>
      </w:r>
      <w:r w:rsidR="00581D59" w:rsidRPr="00FE7D29">
        <w:rPr>
          <w:rFonts w:eastAsiaTheme="minorHAnsi" w:cs="Arial"/>
          <w:szCs w:val="20"/>
        </w:rPr>
        <w:t xml:space="preserve">considered </w:t>
      </w:r>
      <w:r w:rsidRPr="00FE7D29">
        <w:rPr>
          <w:rFonts w:eastAsiaTheme="minorHAnsi" w:cs="Arial"/>
          <w:szCs w:val="20"/>
        </w:rPr>
        <w:t xml:space="preserve">the </w:t>
      </w:r>
      <w:r w:rsidRPr="00FE7D29">
        <w:rPr>
          <w:rFonts w:cs="Arial"/>
          <w:szCs w:val="20"/>
        </w:rPr>
        <w:t xml:space="preserve">Criminal Law (Forensic Procedures) Amendment Bill [B25 – 2021] </w:t>
      </w:r>
      <w:r w:rsidRPr="00FE7D29">
        <w:rPr>
          <w:rFonts w:eastAsiaTheme="minorHAnsi" w:cs="Arial"/>
          <w:szCs w:val="20"/>
        </w:rPr>
        <w:t>referred to it and classified by the Joint Tagging Mechanism (JTM) as a section 75 Bill, reports as follows:</w:t>
      </w:r>
    </w:p>
    <w:p w:rsidR="00581D59" w:rsidRPr="00FE7D29" w:rsidRDefault="00581D59" w:rsidP="00FE7D29">
      <w:pPr>
        <w:autoSpaceDE w:val="0"/>
        <w:autoSpaceDN w:val="0"/>
        <w:adjustRightInd w:val="0"/>
        <w:spacing w:line="240" w:lineRule="auto"/>
        <w:jc w:val="left"/>
        <w:rPr>
          <w:rFonts w:eastAsiaTheme="minorHAnsi" w:cs="Arial"/>
          <w:szCs w:val="20"/>
        </w:rPr>
      </w:pPr>
    </w:p>
    <w:p w:rsidR="00581D59" w:rsidRPr="00FE7D29" w:rsidRDefault="00581D59" w:rsidP="00FE7D29">
      <w:pPr>
        <w:pStyle w:val="ListParagraph"/>
        <w:numPr>
          <w:ilvl w:val="0"/>
          <w:numId w:val="17"/>
        </w:numPr>
        <w:autoSpaceDE w:val="0"/>
        <w:autoSpaceDN w:val="0"/>
        <w:adjustRightInd w:val="0"/>
        <w:spacing w:line="240" w:lineRule="auto"/>
        <w:jc w:val="left"/>
        <w:rPr>
          <w:rFonts w:eastAsiaTheme="minorHAnsi" w:cs="Arial"/>
          <w:b/>
          <w:szCs w:val="20"/>
        </w:rPr>
      </w:pPr>
      <w:r w:rsidRPr="00FE7D29">
        <w:rPr>
          <w:rFonts w:eastAsiaTheme="minorHAnsi" w:cs="Arial"/>
          <w:b/>
          <w:szCs w:val="20"/>
        </w:rPr>
        <w:t>Introduction</w:t>
      </w:r>
    </w:p>
    <w:p w:rsidR="00581D59" w:rsidRPr="00FE7D29" w:rsidRDefault="00581D59" w:rsidP="00FE7D29">
      <w:pPr>
        <w:autoSpaceDE w:val="0"/>
        <w:autoSpaceDN w:val="0"/>
        <w:adjustRightInd w:val="0"/>
        <w:spacing w:line="240" w:lineRule="auto"/>
        <w:jc w:val="left"/>
        <w:rPr>
          <w:rFonts w:eastAsiaTheme="minorHAnsi" w:cs="Arial"/>
          <w:szCs w:val="20"/>
        </w:rPr>
      </w:pPr>
    </w:p>
    <w:p w:rsidR="00581D59" w:rsidRPr="00FE7D29" w:rsidRDefault="00581D59" w:rsidP="00FE7D29">
      <w:pPr>
        <w:autoSpaceDE w:val="0"/>
        <w:autoSpaceDN w:val="0"/>
        <w:adjustRightInd w:val="0"/>
        <w:spacing w:line="240" w:lineRule="auto"/>
        <w:jc w:val="left"/>
        <w:rPr>
          <w:rFonts w:cs="Arial"/>
          <w:szCs w:val="20"/>
        </w:rPr>
      </w:pPr>
      <w:r w:rsidRPr="00FE7D29">
        <w:rPr>
          <w:rFonts w:cs="Arial"/>
          <w:szCs w:val="20"/>
        </w:rPr>
        <w:t>The Criminal Law (Forensic Procedures) Amendment Bill [B25 – 2021] was introduced in Parliament and referred to the Portfolio Committee on Police for processing on 20 December 2021 (ATC No 173-2021). The notice of its introduction was published by the Civilian Secretariat for Police Service in the Government Gazette on 10 December 2021 (No. 45616).</w:t>
      </w:r>
    </w:p>
    <w:p w:rsidR="00581D59" w:rsidRPr="00FE7D29" w:rsidRDefault="00581D59" w:rsidP="00FE7D29">
      <w:pPr>
        <w:autoSpaceDE w:val="0"/>
        <w:autoSpaceDN w:val="0"/>
        <w:adjustRightInd w:val="0"/>
        <w:spacing w:line="240" w:lineRule="auto"/>
        <w:jc w:val="left"/>
        <w:rPr>
          <w:rFonts w:cs="Arial"/>
          <w:b/>
          <w:szCs w:val="20"/>
        </w:rPr>
      </w:pPr>
    </w:p>
    <w:p w:rsidR="00454E7D" w:rsidRPr="00FE7D29" w:rsidRDefault="00454E7D" w:rsidP="00FE7D29">
      <w:pPr>
        <w:pStyle w:val="ListParagraph"/>
        <w:numPr>
          <w:ilvl w:val="0"/>
          <w:numId w:val="17"/>
        </w:numPr>
        <w:autoSpaceDE w:val="0"/>
        <w:autoSpaceDN w:val="0"/>
        <w:adjustRightInd w:val="0"/>
        <w:spacing w:line="240" w:lineRule="auto"/>
        <w:jc w:val="left"/>
        <w:rPr>
          <w:rFonts w:cs="Arial"/>
          <w:b/>
          <w:szCs w:val="20"/>
        </w:rPr>
      </w:pPr>
      <w:r w:rsidRPr="00FE7D29">
        <w:rPr>
          <w:rFonts w:cs="Arial"/>
          <w:b/>
          <w:szCs w:val="20"/>
        </w:rPr>
        <w:t xml:space="preserve">Objective and purpose of the Amendment Bill </w:t>
      </w:r>
    </w:p>
    <w:p w:rsidR="00454E7D" w:rsidRPr="00FE7D29" w:rsidRDefault="00454E7D" w:rsidP="00FE7D29">
      <w:pPr>
        <w:autoSpaceDE w:val="0"/>
        <w:autoSpaceDN w:val="0"/>
        <w:adjustRightInd w:val="0"/>
        <w:spacing w:line="240" w:lineRule="auto"/>
        <w:jc w:val="left"/>
        <w:rPr>
          <w:rFonts w:cs="Arial"/>
          <w:szCs w:val="20"/>
        </w:rPr>
      </w:pPr>
    </w:p>
    <w:p w:rsidR="00581D59" w:rsidRPr="00FE7D29" w:rsidRDefault="00581D59" w:rsidP="00FE7D29">
      <w:pPr>
        <w:autoSpaceDE w:val="0"/>
        <w:autoSpaceDN w:val="0"/>
        <w:adjustRightInd w:val="0"/>
        <w:spacing w:line="240" w:lineRule="auto"/>
        <w:jc w:val="left"/>
        <w:rPr>
          <w:rFonts w:eastAsiaTheme="minorHAnsi" w:cs="Arial"/>
          <w:bCs/>
          <w:szCs w:val="20"/>
        </w:rPr>
      </w:pPr>
      <w:r w:rsidRPr="00FE7D29">
        <w:rPr>
          <w:rFonts w:eastAsiaTheme="minorHAnsi" w:cs="Arial"/>
          <w:bCs/>
          <w:szCs w:val="20"/>
        </w:rPr>
        <w:t xml:space="preserve">The purpose of the </w:t>
      </w:r>
      <w:r w:rsidRPr="00FE7D29">
        <w:rPr>
          <w:rFonts w:cs="Arial"/>
          <w:szCs w:val="20"/>
        </w:rPr>
        <w:t xml:space="preserve">Criminal Law (Forensic Procedures) Amendment Bill [B25-2021] is </w:t>
      </w:r>
      <w:r w:rsidRPr="00FE7D29">
        <w:rPr>
          <w:rFonts w:eastAsiaTheme="minorHAnsi" w:cs="Arial"/>
          <w:bCs/>
          <w:szCs w:val="20"/>
        </w:rPr>
        <w:t>to make provision for the full implementation of certain transitional arrangements contained in the Criminal Law (Forensic Procedures) Amendment Act, 2013; to provide for the enforcement of the obligation to submit to the taking of a buccal sample; and to provide for matters connected therewith.</w:t>
      </w:r>
    </w:p>
    <w:p w:rsidR="00581D59" w:rsidRPr="00FE7D29" w:rsidRDefault="00581D59" w:rsidP="00FE7D29">
      <w:pPr>
        <w:spacing w:line="240" w:lineRule="auto"/>
        <w:jc w:val="left"/>
        <w:rPr>
          <w:rFonts w:cs="Arial"/>
          <w:szCs w:val="20"/>
        </w:rPr>
      </w:pPr>
    </w:p>
    <w:p w:rsidR="00454E7D" w:rsidRPr="00FE7D29" w:rsidRDefault="00454E7D" w:rsidP="00FE7D29">
      <w:pPr>
        <w:pStyle w:val="ListParagraph"/>
        <w:numPr>
          <w:ilvl w:val="0"/>
          <w:numId w:val="17"/>
        </w:numPr>
        <w:spacing w:line="240" w:lineRule="auto"/>
        <w:jc w:val="left"/>
        <w:rPr>
          <w:rFonts w:cs="Arial"/>
          <w:b/>
          <w:szCs w:val="20"/>
        </w:rPr>
      </w:pPr>
      <w:r w:rsidRPr="00FE7D29">
        <w:rPr>
          <w:rFonts w:cs="Arial"/>
          <w:b/>
          <w:szCs w:val="20"/>
        </w:rPr>
        <w:t>Clauses of the Amendment Bill</w:t>
      </w:r>
    </w:p>
    <w:p w:rsidR="00454E7D" w:rsidRPr="00FE7D29" w:rsidRDefault="00454E7D" w:rsidP="00FE7D29">
      <w:pPr>
        <w:spacing w:line="240" w:lineRule="auto"/>
        <w:jc w:val="left"/>
        <w:rPr>
          <w:rFonts w:cs="Arial"/>
          <w:szCs w:val="20"/>
        </w:rPr>
      </w:pPr>
    </w:p>
    <w:p w:rsidR="00581D59" w:rsidRPr="00FE7D29" w:rsidRDefault="00581D59" w:rsidP="00FE7D29">
      <w:pPr>
        <w:spacing w:line="240" w:lineRule="auto"/>
        <w:jc w:val="left"/>
        <w:rPr>
          <w:rFonts w:cs="Arial"/>
          <w:szCs w:val="20"/>
        </w:rPr>
      </w:pPr>
      <w:r w:rsidRPr="00FE7D29">
        <w:rPr>
          <w:rFonts w:cs="Arial"/>
          <w:szCs w:val="20"/>
        </w:rPr>
        <w:t xml:space="preserve">The Criminal Law (Forensic Procedures) Amendment Bill [B25-2021] proposes the following clauses: </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b/>
          <w:szCs w:val="20"/>
        </w:rPr>
      </w:pPr>
      <w:bookmarkStart w:id="0" w:name="_Toc95385148"/>
      <w:r w:rsidRPr="00FE7D29">
        <w:rPr>
          <w:rFonts w:cs="Arial"/>
          <w:b/>
          <w:szCs w:val="20"/>
        </w:rPr>
        <w:t>Clause 1: Definitions</w:t>
      </w:r>
      <w:bookmarkEnd w:id="0"/>
      <w:r w:rsidRPr="00FE7D29">
        <w:rPr>
          <w:rFonts w:cs="Arial"/>
          <w:b/>
          <w:szCs w:val="20"/>
        </w:rPr>
        <w:t xml:space="preserve">: </w:t>
      </w:r>
      <w:r w:rsidRPr="00FE7D29">
        <w:rPr>
          <w:rFonts w:cs="Arial"/>
          <w:szCs w:val="20"/>
        </w:rPr>
        <w:t>The clause provides for any word or expression to which a meaning has been assigned in the Act.</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b/>
          <w:szCs w:val="20"/>
        </w:rPr>
      </w:pPr>
      <w:bookmarkStart w:id="1" w:name="_Toc95385149"/>
      <w:r w:rsidRPr="00FE7D29">
        <w:rPr>
          <w:rFonts w:cs="Arial"/>
          <w:b/>
          <w:szCs w:val="20"/>
        </w:rPr>
        <w:t>Clause 2(a): Removal of time limit and reporting requirements</w:t>
      </w:r>
      <w:bookmarkEnd w:id="1"/>
      <w:r w:rsidRPr="00FE7D29">
        <w:rPr>
          <w:rFonts w:cs="Arial"/>
          <w:b/>
          <w:szCs w:val="20"/>
        </w:rPr>
        <w:t xml:space="preserve">: </w:t>
      </w:r>
      <w:r w:rsidRPr="00FE7D29">
        <w:rPr>
          <w:rFonts w:cs="Arial"/>
          <w:szCs w:val="20"/>
        </w:rPr>
        <w:t xml:space="preserve">Clause 2(a) essentially removes the time limitation on the taking or buccal samples from already convicted (and imprisoned) persons on Schedule 8 offences and further imposes several reporting requirements on the National Commissioners of the SAPS and Correctional Services. </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szCs w:val="20"/>
        </w:rPr>
      </w:pPr>
      <w:r w:rsidRPr="00FE7D29">
        <w:rPr>
          <w:rFonts w:cs="Arial"/>
          <w:szCs w:val="20"/>
          <w:lang w:val="en-US"/>
        </w:rPr>
        <w:t xml:space="preserve">Clause 2(a) substitutes section 7(7) of the Act for a provision identical to the previous subsection (7), but without a limitation to the period allowed to take buccal samples of persons convicted for Schedule 8 offences. </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szCs w:val="20"/>
        </w:rPr>
      </w:pPr>
      <w:r w:rsidRPr="00FE7D29">
        <w:rPr>
          <w:rFonts w:cs="Arial"/>
          <w:szCs w:val="20"/>
          <w:lang w:val="en-US"/>
        </w:rPr>
        <w:t xml:space="preserve">The proposed subsection (7)(a) provides for the taking of buccal samples </w:t>
      </w:r>
      <w:r w:rsidRPr="00FE7D29">
        <w:rPr>
          <w:rFonts w:cs="Arial"/>
          <w:szCs w:val="20"/>
          <w:lang w:val="en-GB"/>
        </w:rPr>
        <w:t xml:space="preserve">from any person serving a sentence of imprisonment in respect of any offence listed in Schedule 8 of the Criminal Procedure Act 51 of 1977 </w:t>
      </w:r>
      <w:r w:rsidRPr="00FE7D29">
        <w:rPr>
          <w:rFonts w:cs="Arial"/>
          <w:i/>
          <w:szCs w:val="20"/>
          <w:lang w:val="en-GB"/>
        </w:rPr>
        <w:t>(see Annexure A for the list of offences)</w:t>
      </w:r>
      <w:r w:rsidRPr="00FE7D29">
        <w:rPr>
          <w:rFonts w:cs="Arial"/>
          <w:szCs w:val="20"/>
          <w:lang w:val="en-GB"/>
        </w:rPr>
        <w:t xml:space="preserve"> – </w:t>
      </w:r>
    </w:p>
    <w:p w:rsidR="00581D59" w:rsidRPr="00FE7D29" w:rsidRDefault="00581D59" w:rsidP="00FE7D29">
      <w:pPr>
        <w:pStyle w:val="ListParagraph"/>
        <w:numPr>
          <w:ilvl w:val="0"/>
          <w:numId w:val="9"/>
        </w:numPr>
        <w:spacing w:line="240" w:lineRule="auto"/>
        <w:jc w:val="left"/>
        <w:rPr>
          <w:rFonts w:cs="Arial"/>
          <w:szCs w:val="20"/>
        </w:rPr>
      </w:pPr>
      <w:r w:rsidRPr="00FE7D29">
        <w:rPr>
          <w:rFonts w:cs="Arial"/>
          <w:szCs w:val="20"/>
          <w:lang w:val="en-GB"/>
        </w:rPr>
        <w:t>before the release of the person, if the buccal sample had not already been taken upon his or her arrest;</w:t>
      </w:r>
    </w:p>
    <w:p w:rsidR="00581D59" w:rsidRPr="00FE7D29" w:rsidRDefault="00581D59" w:rsidP="00FE7D29">
      <w:pPr>
        <w:pStyle w:val="ListParagraph"/>
        <w:numPr>
          <w:ilvl w:val="0"/>
          <w:numId w:val="9"/>
        </w:numPr>
        <w:spacing w:line="240" w:lineRule="auto"/>
        <w:jc w:val="left"/>
        <w:rPr>
          <w:rFonts w:cs="Arial"/>
          <w:szCs w:val="20"/>
        </w:rPr>
      </w:pPr>
      <w:r w:rsidRPr="00FE7D29">
        <w:rPr>
          <w:rFonts w:cs="Arial"/>
          <w:szCs w:val="20"/>
          <w:lang w:val="en-GB"/>
        </w:rPr>
        <w:t xml:space="preserve">before the release of a person either on parole or under correctional supervision by a court. </w:t>
      </w:r>
    </w:p>
    <w:p w:rsidR="00581D59" w:rsidRPr="00FE7D29" w:rsidRDefault="00581D59" w:rsidP="00FE7D29">
      <w:pPr>
        <w:spacing w:line="240" w:lineRule="auto"/>
        <w:jc w:val="left"/>
        <w:rPr>
          <w:rFonts w:cs="Arial"/>
          <w:szCs w:val="20"/>
          <w:lang w:val="en-GB"/>
        </w:rPr>
      </w:pPr>
    </w:p>
    <w:p w:rsidR="00581D59" w:rsidRPr="00FE7D29" w:rsidRDefault="00581D59" w:rsidP="00FE7D29">
      <w:pPr>
        <w:spacing w:line="240" w:lineRule="auto"/>
        <w:jc w:val="left"/>
        <w:rPr>
          <w:rFonts w:cs="Arial"/>
          <w:szCs w:val="20"/>
        </w:rPr>
      </w:pPr>
      <w:r w:rsidRPr="00FE7D29">
        <w:rPr>
          <w:rFonts w:cs="Arial"/>
          <w:szCs w:val="20"/>
          <w:lang w:val="en-GB"/>
        </w:rPr>
        <w:t xml:space="preserve">The proposed subsection (7)(b) provides that the </w:t>
      </w:r>
      <w:r w:rsidRPr="00FE7D29">
        <w:rPr>
          <w:rFonts w:cs="Arial"/>
          <w:szCs w:val="20"/>
        </w:rPr>
        <w:t>National Commissioner of Correctional Services must:</w:t>
      </w:r>
    </w:p>
    <w:p w:rsidR="00581D59" w:rsidRPr="00FE7D29" w:rsidRDefault="00581D59" w:rsidP="00FE7D29">
      <w:pPr>
        <w:pStyle w:val="ListParagraph"/>
        <w:numPr>
          <w:ilvl w:val="0"/>
          <w:numId w:val="11"/>
        </w:numPr>
        <w:spacing w:line="240" w:lineRule="auto"/>
        <w:jc w:val="left"/>
        <w:rPr>
          <w:rFonts w:cs="Arial"/>
          <w:szCs w:val="20"/>
        </w:rPr>
      </w:pPr>
      <w:r w:rsidRPr="00FE7D29">
        <w:rPr>
          <w:rFonts w:cs="Arial"/>
          <w:szCs w:val="20"/>
        </w:rPr>
        <w:t xml:space="preserve">report the prescribed information of Schedule 8 offenders to the National Commissioner of the SAPS at least three months prior to the planned release date of such persons; and </w:t>
      </w:r>
    </w:p>
    <w:p w:rsidR="00581D59" w:rsidRPr="00FE7D29" w:rsidRDefault="00581D59" w:rsidP="00FE7D29">
      <w:pPr>
        <w:pStyle w:val="ListParagraph"/>
        <w:numPr>
          <w:ilvl w:val="0"/>
          <w:numId w:val="10"/>
        </w:numPr>
        <w:spacing w:line="240" w:lineRule="auto"/>
        <w:jc w:val="left"/>
        <w:rPr>
          <w:rFonts w:cs="Arial"/>
          <w:szCs w:val="20"/>
        </w:rPr>
      </w:pPr>
      <w:r w:rsidRPr="00FE7D29">
        <w:rPr>
          <w:rFonts w:cs="Arial"/>
          <w:szCs w:val="20"/>
        </w:rPr>
        <w:t>report on the implementation of the requirement for taking of buccal samples from convicted Schedule 8 offenders</w:t>
      </w:r>
      <w:r w:rsidRPr="00FE7D29">
        <w:rPr>
          <w:rFonts w:cs="Arial"/>
          <w:i/>
          <w:iCs/>
          <w:szCs w:val="20"/>
        </w:rPr>
        <w:t>,</w:t>
      </w:r>
      <w:r w:rsidRPr="00FE7D29">
        <w:rPr>
          <w:rFonts w:cs="Arial"/>
          <w:szCs w:val="20"/>
        </w:rPr>
        <w:t xml:space="preserve"> on a quarterly basis. </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szCs w:val="20"/>
          <w:lang w:val="en-GB"/>
        </w:rPr>
      </w:pPr>
      <w:r w:rsidRPr="00FE7D29">
        <w:rPr>
          <w:rFonts w:cs="Arial"/>
          <w:szCs w:val="20"/>
        </w:rPr>
        <w:t xml:space="preserve">The proposed subsection (7)(c) provides that the National </w:t>
      </w:r>
      <w:r w:rsidRPr="00FE7D29">
        <w:rPr>
          <w:rFonts w:cs="Arial"/>
          <w:szCs w:val="20"/>
          <w:lang w:val="en-GB"/>
        </w:rPr>
        <w:t xml:space="preserve">Commissioner of the SAPS must: </w:t>
      </w:r>
    </w:p>
    <w:p w:rsidR="00581D59" w:rsidRPr="00FE7D29" w:rsidRDefault="00581D59" w:rsidP="00FE7D29">
      <w:pPr>
        <w:pStyle w:val="ListParagraph"/>
        <w:numPr>
          <w:ilvl w:val="0"/>
          <w:numId w:val="10"/>
        </w:numPr>
        <w:spacing w:line="240" w:lineRule="auto"/>
        <w:jc w:val="left"/>
        <w:rPr>
          <w:rFonts w:cs="Arial"/>
          <w:szCs w:val="20"/>
        </w:rPr>
      </w:pPr>
      <w:r w:rsidRPr="00FE7D29">
        <w:rPr>
          <w:rFonts w:cs="Arial"/>
          <w:szCs w:val="20"/>
          <w:lang w:val="en-GB"/>
        </w:rPr>
        <w:t>submit quarterly reports to the Minister of Police on the progress made concerning the taking of buccal samples from convicted Schedule 8 offenders.</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b/>
          <w:szCs w:val="20"/>
        </w:rPr>
      </w:pPr>
      <w:bookmarkStart w:id="2" w:name="_Toc95385150"/>
      <w:r w:rsidRPr="00FE7D29">
        <w:rPr>
          <w:rFonts w:cs="Arial"/>
          <w:b/>
          <w:szCs w:val="20"/>
        </w:rPr>
        <w:t>Clause 2(b): Refusal by convicted offender to submit to a buccal sample</w:t>
      </w:r>
      <w:bookmarkEnd w:id="2"/>
      <w:r w:rsidRPr="00FE7D29">
        <w:rPr>
          <w:rFonts w:cs="Arial"/>
          <w:b/>
          <w:szCs w:val="20"/>
        </w:rPr>
        <w:t xml:space="preserve">: </w:t>
      </w:r>
      <w:r w:rsidRPr="00FE7D29">
        <w:rPr>
          <w:rFonts w:cs="Arial"/>
          <w:szCs w:val="20"/>
        </w:rPr>
        <w:t xml:space="preserve">Clause 2(b) focusses on convicted schedule 8 offenders (inmates) refusing consent for taking a buccal sample. The clause provides that a warrant should be obtained from a judge or magistrate and that, if after such warrant was obtained, the offender continues to refuse a buccal sample to be taken, minimum force may be </w:t>
      </w:r>
      <w:r w:rsidRPr="00FE7D29">
        <w:rPr>
          <w:rFonts w:cs="Arial"/>
          <w:szCs w:val="20"/>
        </w:rPr>
        <w:lastRenderedPageBreak/>
        <w:t xml:space="preserve">used to obtain such sample. It further provides that the inmate concerned must receive medical attention and that the incident must be reported to the Inspecting Judge immediately.    </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szCs w:val="20"/>
        </w:rPr>
      </w:pPr>
      <w:r w:rsidRPr="00FE7D29">
        <w:rPr>
          <w:rFonts w:cs="Arial"/>
          <w:szCs w:val="20"/>
          <w:lang w:val="en-GB"/>
        </w:rPr>
        <w:t xml:space="preserve">Subsection (7A) provides that, if a person does not consent to the taking of a buccal sample, </w:t>
      </w:r>
    </w:p>
    <w:p w:rsidR="00581D59" w:rsidRPr="00FE7D29" w:rsidRDefault="00581D59" w:rsidP="00FE7D29">
      <w:pPr>
        <w:pStyle w:val="ListParagraph"/>
        <w:numPr>
          <w:ilvl w:val="0"/>
          <w:numId w:val="10"/>
        </w:numPr>
        <w:autoSpaceDE w:val="0"/>
        <w:autoSpaceDN w:val="0"/>
        <w:adjustRightInd w:val="0"/>
        <w:spacing w:line="240" w:lineRule="auto"/>
        <w:jc w:val="left"/>
        <w:rPr>
          <w:rFonts w:cs="Arial"/>
          <w:szCs w:val="20"/>
          <w:lang w:eastAsia="en-ZA"/>
        </w:rPr>
      </w:pPr>
      <w:r w:rsidRPr="00FE7D29">
        <w:rPr>
          <w:rFonts w:cs="Arial"/>
          <w:szCs w:val="20"/>
          <w:lang w:val="en-GB"/>
        </w:rPr>
        <w:t>The National Commissioner of the SAPS (or his/her delegate) must apply for individual cases (</w:t>
      </w:r>
      <w:r w:rsidRPr="00FE7D29">
        <w:rPr>
          <w:rFonts w:cs="Arial"/>
          <w:i/>
          <w:szCs w:val="20"/>
          <w:lang w:val="en-GB"/>
        </w:rPr>
        <w:t>ex parte)</w:t>
      </w:r>
      <w:r w:rsidRPr="00FE7D29">
        <w:rPr>
          <w:rFonts w:cs="Arial"/>
          <w:szCs w:val="20"/>
          <w:lang w:val="en-GB"/>
        </w:rPr>
        <w:t xml:space="preserve"> to a judge or magistrate for a warrant authorising the taking of a buccal samples </w:t>
      </w:r>
      <w:r w:rsidRPr="00FE7D29">
        <w:rPr>
          <w:rFonts w:cs="Arial"/>
          <w:szCs w:val="20"/>
          <w:lang w:eastAsia="en-ZA"/>
        </w:rPr>
        <w:t>which application must be supported by information supplied under oath or solemn declaration, establishing the facts on which the application is based; and</w:t>
      </w:r>
    </w:p>
    <w:p w:rsidR="00581D59" w:rsidRPr="00FE7D29" w:rsidRDefault="00581D59" w:rsidP="00FE7D29">
      <w:pPr>
        <w:pStyle w:val="ListParagraph"/>
        <w:numPr>
          <w:ilvl w:val="0"/>
          <w:numId w:val="10"/>
        </w:numPr>
        <w:autoSpaceDE w:val="0"/>
        <w:autoSpaceDN w:val="0"/>
        <w:adjustRightInd w:val="0"/>
        <w:spacing w:line="240" w:lineRule="auto"/>
        <w:jc w:val="left"/>
        <w:rPr>
          <w:rFonts w:cs="Arial"/>
          <w:szCs w:val="20"/>
          <w:lang w:eastAsia="en-ZA"/>
        </w:rPr>
      </w:pPr>
      <w:r w:rsidRPr="00FE7D29">
        <w:rPr>
          <w:rFonts w:cs="Arial"/>
          <w:szCs w:val="20"/>
          <w:lang w:eastAsia="en-ZA"/>
        </w:rPr>
        <w:t>A judge or magistrate may issue such warrant if satisfied that:</w:t>
      </w:r>
    </w:p>
    <w:p w:rsidR="00581D59" w:rsidRPr="00FE7D29" w:rsidRDefault="00581D59" w:rsidP="00FE7D29">
      <w:pPr>
        <w:pStyle w:val="ListParagraph"/>
        <w:numPr>
          <w:ilvl w:val="1"/>
          <w:numId w:val="10"/>
        </w:numPr>
        <w:autoSpaceDE w:val="0"/>
        <w:autoSpaceDN w:val="0"/>
        <w:adjustRightInd w:val="0"/>
        <w:spacing w:line="240" w:lineRule="auto"/>
        <w:jc w:val="left"/>
        <w:rPr>
          <w:rFonts w:cs="Arial"/>
          <w:szCs w:val="20"/>
          <w:lang w:eastAsia="en-ZA"/>
        </w:rPr>
      </w:pPr>
      <w:r w:rsidRPr="00FE7D29">
        <w:rPr>
          <w:rFonts w:cs="Arial"/>
          <w:szCs w:val="20"/>
          <w:lang w:eastAsia="en-ZA"/>
        </w:rPr>
        <w:t xml:space="preserve">the person to whom it relates is a person serving a sentence of imprisonment on conviction of a schedule 8 offence; and </w:t>
      </w:r>
    </w:p>
    <w:p w:rsidR="00581D59" w:rsidRPr="00FE7D29" w:rsidRDefault="00581D59" w:rsidP="00FE7D29">
      <w:pPr>
        <w:pStyle w:val="ListParagraph"/>
        <w:numPr>
          <w:ilvl w:val="1"/>
          <w:numId w:val="10"/>
        </w:numPr>
        <w:autoSpaceDE w:val="0"/>
        <w:autoSpaceDN w:val="0"/>
        <w:adjustRightInd w:val="0"/>
        <w:spacing w:line="240" w:lineRule="auto"/>
        <w:jc w:val="left"/>
        <w:rPr>
          <w:rFonts w:cs="Arial"/>
          <w:szCs w:val="20"/>
          <w:lang w:eastAsia="en-ZA"/>
        </w:rPr>
      </w:pPr>
      <w:r w:rsidRPr="00FE7D29">
        <w:rPr>
          <w:rFonts w:cs="Arial"/>
          <w:szCs w:val="20"/>
          <w:lang w:eastAsia="en-ZA"/>
        </w:rPr>
        <w:t xml:space="preserve">the provisions of section 15J(2), (3), (4) or (5) of the South African Police Service Act 1995 (Act No. 68 of 1995), relating to the removal of a forensic DNA profile, do not apply. </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szCs w:val="20"/>
        </w:rPr>
      </w:pPr>
      <w:r w:rsidRPr="00FE7D29">
        <w:rPr>
          <w:rFonts w:cs="Arial"/>
          <w:szCs w:val="20"/>
          <w:lang w:val="en-GB"/>
        </w:rPr>
        <w:t>Subsection (7B) allows for</w:t>
      </w:r>
      <w:r w:rsidRPr="00FE7D29">
        <w:rPr>
          <w:rFonts w:cs="Arial"/>
          <w:szCs w:val="20"/>
          <w:lang w:val="en-US"/>
        </w:rPr>
        <w:t xml:space="preserve"> </w:t>
      </w:r>
      <w:r w:rsidRPr="00FE7D29">
        <w:rPr>
          <w:rFonts w:cs="Arial"/>
          <w:szCs w:val="20"/>
          <w:lang w:eastAsia="en-ZA"/>
        </w:rPr>
        <w:t xml:space="preserve">an authorised person (police officer), assisted by correctional officials, to </w:t>
      </w:r>
      <w:r w:rsidRPr="00FE7D29">
        <w:rPr>
          <w:rFonts w:cs="Arial"/>
          <w:b/>
          <w:szCs w:val="20"/>
          <w:lang w:eastAsia="en-ZA"/>
        </w:rPr>
        <w:t>use minimum force</w:t>
      </w:r>
      <w:r w:rsidRPr="00FE7D29">
        <w:rPr>
          <w:rFonts w:cs="Arial"/>
          <w:szCs w:val="20"/>
          <w:lang w:eastAsia="en-ZA"/>
        </w:rPr>
        <w:t xml:space="preserve"> against a person who refuses to submit to the taking of a buccal sample under authority of a warrant. This is despite the provisions of section 32(1)</w:t>
      </w:r>
      <w:r w:rsidRPr="00FE7D29">
        <w:rPr>
          <w:rFonts w:cs="Arial"/>
          <w:i/>
          <w:iCs/>
          <w:szCs w:val="20"/>
          <w:lang w:eastAsia="en-ZA"/>
        </w:rPr>
        <w:t xml:space="preserve">(c) </w:t>
      </w:r>
      <w:r w:rsidRPr="00FE7D29">
        <w:rPr>
          <w:rFonts w:cs="Arial"/>
          <w:szCs w:val="20"/>
          <w:lang w:eastAsia="en-ZA"/>
        </w:rPr>
        <w:t>of the Correctional Services Act, 1998 (Act No. 111 of 1998), which provides for the circumstances under which force may be used against an inmate.</w:t>
      </w:r>
    </w:p>
    <w:p w:rsidR="00581D59" w:rsidRPr="00FE7D29" w:rsidRDefault="00581D59" w:rsidP="00FE7D29">
      <w:pPr>
        <w:spacing w:line="240" w:lineRule="auto"/>
        <w:jc w:val="left"/>
        <w:rPr>
          <w:rFonts w:cs="Arial"/>
          <w:szCs w:val="20"/>
          <w:lang w:val="en-GB"/>
        </w:rPr>
      </w:pPr>
    </w:p>
    <w:p w:rsidR="00581D59" w:rsidRPr="00FE7D29" w:rsidRDefault="00581D59" w:rsidP="00FE7D29">
      <w:pPr>
        <w:spacing w:line="240" w:lineRule="auto"/>
        <w:jc w:val="left"/>
        <w:rPr>
          <w:rFonts w:cs="Arial"/>
          <w:szCs w:val="20"/>
        </w:rPr>
      </w:pPr>
      <w:r w:rsidRPr="00FE7D29">
        <w:rPr>
          <w:rFonts w:cs="Arial"/>
          <w:szCs w:val="20"/>
          <w:lang w:val="en-GB"/>
        </w:rPr>
        <w:t>Subsection (7C), requires</w:t>
      </w:r>
      <w:r w:rsidRPr="00FE7D29">
        <w:rPr>
          <w:rFonts w:cs="Arial"/>
          <w:szCs w:val="20"/>
        </w:rPr>
        <w:t xml:space="preserve"> the National Commissioner of the SAPS, in consultation with the National Commissioner of Correctional Services, to issue and publish in the </w:t>
      </w:r>
      <w:r w:rsidRPr="00FE7D29">
        <w:rPr>
          <w:rFonts w:cs="Arial"/>
          <w:i/>
          <w:iCs/>
          <w:szCs w:val="20"/>
        </w:rPr>
        <w:t>Gazette</w:t>
      </w:r>
      <w:r w:rsidRPr="00FE7D29">
        <w:rPr>
          <w:rFonts w:cs="Arial"/>
          <w:szCs w:val="20"/>
        </w:rPr>
        <w:t xml:space="preserve"> </w:t>
      </w:r>
      <w:r w:rsidRPr="00FE7D29">
        <w:rPr>
          <w:rFonts w:cs="Arial"/>
          <w:b/>
          <w:szCs w:val="20"/>
        </w:rPr>
        <w:t>National Instructions regarding the use of minimum force</w:t>
      </w:r>
      <w:r w:rsidRPr="00FE7D29">
        <w:rPr>
          <w:rFonts w:cs="Arial"/>
          <w:szCs w:val="20"/>
        </w:rPr>
        <w:t>.</w:t>
      </w:r>
    </w:p>
    <w:p w:rsidR="00581D59" w:rsidRPr="00FE7D29" w:rsidRDefault="00581D59" w:rsidP="00FE7D29">
      <w:pPr>
        <w:spacing w:line="240" w:lineRule="auto"/>
        <w:jc w:val="left"/>
        <w:rPr>
          <w:rFonts w:cs="Arial"/>
          <w:szCs w:val="20"/>
        </w:rPr>
      </w:pPr>
    </w:p>
    <w:p w:rsidR="00581D59" w:rsidRPr="00FE7D29" w:rsidRDefault="00581D59" w:rsidP="00FE7D29">
      <w:pPr>
        <w:spacing w:line="240" w:lineRule="auto"/>
        <w:jc w:val="left"/>
        <w:rPr>
          <w:rFonts w:cs="Arial"/>
          <w:szCs w:val="20"/>
        </w:rPr>
      </w:pPr>
      <w:r w:rsidRPr="00FE7D29">
        <w:rPr>
          <w:rFonts w:cs="Arial"/>
          <w:szCs w:val="20"/>
        </w:rPr>
        <w:t xml:space="preserve">Subsection (7D) provides that when force was used to obtain a buccal sample from an inmate, the inmate concerned must undergo an immediate </w:t>
      </w:r>
      <w:r w:rsidRPr="00FE7D29">
        <w:rPr>
          <w:rFonts w:cs="Arial"/>
          <w:b/>
          <w:szCs w:val="20"/>
        </w:rPr>
        <w:t>medical examination</w:t>
      </w:r>
      <w:r w:rsidRPr="00FE7D29">
        <w:rPr>
          <w:rFonts w:cs="Arial"/>
          <w:szCs w:val="20"/>
        </w:rPr>
        <w:t xml:space="preserve"> and receive the treatment prescribed by the correctional medical practitioner and must be reported to the Inspecting Judge, immediately, as provided in section 32(5) and (6) of the Correctional Services Act, 1998. </w:t>
      </w:r>
    </w:p>
    <w:p w:rsidR="00581D59" w:rsidRPr="00FE7D29" w:rsidRDefault="00581D59" w:rsidP="00FE7D29">
      <w:pPr>
        <w:autoSpaceDE w:val="0"/>
        <w:autoSpaceDN w:val="0"/>
        <w:adjustRightInd w:val="0"/>
        <w:spacing w:line="240" w:lineRule="auto"/>
        <w:jc w:val="left"/>
        <w:rPr>
          <w:rFonts w:cs="Arial"/>
          <w:b/>
          <w:szCs w:val="20"/>
        </w:rPr>
      </w:pPr>
    </w:p>
    <w:p w:rsidR="00A97629" w:rsidRPr="00FE7D29" w:rsidRDefault="00A97629" w:rsidP="00FE7D29">
      <w:pPr>
        <w:autoSpaceDE w:val="0"/>
        <w:autoSpaceDN w:val="0"/>
        <w:adjustRightInd w:val="0"/>
        <w:spacing w:line="240" w:lineRule="auto"/>
        <w:jc w:val="left"/>
        <w:rPr>
          <w:rFonts w:cs="Arial"/>
          <w:b/>
          <w:szCs w:val="20"/>
        </w:rPr>
      </w:pPr>
    </w:p>
    <w:p w:rsidR="00A97629" w:rsidRPr="00FE7D29" w:rsidRDefault="00A97629" w:rsidP="00FE7D29">
      <w:pPr>
        <w:autoSpaceDE w:val="0"/>
        <w:autoSpaceDN w:val="0"/>
        <w:adjustRightInd w:val="0"/>
        <w:spacing w:line="240" w:lineRule="auto"/>
        <w:jc w:val="left"/>
        <w:rPr>
          <w:rFonts w:cs="Arial"/>
          <w:b/>
          <w:szCs w:val="20"/>
        </w:rPr>
      </w:pPr>
    </w:p>
    <w:p w:rsidR="00A97629" w:rsidRPr="00FE7D29" w:rsidRDefault="00A97629" w:rsidP="00FE7D29">
      <w:pPr>
        <w:autoSpaceDE w:val="0"/>
        <w:autoSpaceDN w:val="0"/>
        <w:adjustRightInd w:val="0"/>
        <w:spacing w:line="240" w:lineRule="auto"/>
        <w:jc w:val="left"/>
        <w:rPr>
          <w:rFonts w:cs="Arial"/>
          <w:b/>
          <w:szCs w:val="20"/>
        </w:rPr>
      </w:pPr>
    </w:p>
    <w:p w:rsidR="00454E7D" w:rsidRPr="00FE7D29" w:rsidRDefault="00454E7D" w:rsidP="00FE7D29">
      <w:pPr>
        <w:pStyle w:val="ListParagraph"/>
        <w:numPr>
          <w:ilvl w:val="0"/>
          <w:numId w:val="17"/>
        </w:numPr>
        <w:autoSpaceDE w:val="0"/>
        <w:autoSpaceDN w:val="0"/>
        <w:adjustRightInd w:val="0"/>
        <w:spacing w:line="240" w:lineRule="auto"/>
        <w:jc w:val="left"/>
        <w:rPr>
          <w:rFonts w:cs="Arial"/>
          <w:b/>
          <w:szCs w:val="20"/>
        </w:rPr>
      </w:pPr>
      <w:r w:rsidRPr="00FE7D29">
        <w:rPr>
          <w:rFonts w:cs="Arial"/>
          <w:b/>
          <w:szCs w:val="20"/>
        </w:rPr>
        <w:t xml:space="preserve">Public participation and meetings held </w:t>
      </w:r>
    </w:p>
    <w:p w:rsidR="00581D59" w:rsidRPr="00FE7D29" w:rsidRDefault="00581D59" w:rsidP="00FE7D29">
      <w:pPr>
        <w:autoSpaceDE w:val="0"/>
        <w:autoSpaceDN w:val="0"/>
        <w:adjustRightInd w:val="0"/>
        <w:spacing w:line="240" w:lineRule="auto"/>
        <w:jc w:val="left"/>
        <w:rPr>
          <w:rFonts w:cs="Arial"/>
          <w:szCs w:val="20"/>
        </w:rPr>
      </w:pPr>
    </w:p>
    <w:p w:rsidR="00454E7D" w:rsidRPr="00FE7D29" w:rsidRDefault="00581D59" w:rsidP="00FE7D29">
      <w:pPr>
        <w:autoSpaceDE w:val="0"/>
        <w:autoSpaceDN w:val="0"/>
        <w:adjustRightInd w:val="0"/>
        <w:spacing w:line="240" w:lineRule="auto"/>
        <w:jc w:val="left"/>
        <w:rPr>
          <w:rFonts w:cs="Arial"/>
          <w:szCs w:val="20"/>
        </w:rPr>
      </w:pPr>
      <w:r w:rsidRPr="00FE7D29">
        <w:rPr>
          <w:rFonts w:cs="Arial"/>
          <w:szCs w:val="20"/>
        </w:rPr>
        <w:t xml:space="preserve">The Committee held public hearings on 16 March 2022 and adopted its Report on Public Participation on 30 March 2022. </w:t>
      </w:r>
      <w:r w:rsidR="00454E7D" w:rsidRPr="00FE7D29">
        <w:rPr>
          <w:rFonts w:cs="Arial"/>
          <w:szCs w:val="20"/>
        </w:rPr>
        <w:t xml:space="preserve">The Committee had six meetings in deliberation of the Amendment Bill dated 16 February 2022, 16 March 2022, 18 March 2022, 23 March 2022, 30 March 2022 and 11 May 2022.  </w:t>
      </w:r>
    </w:p>
    <w:p w:rsidR="00581D59" w:rsidRPr="00FE7D29" w:rsidRDefault="00581D59" w:rsidP="00FE7D29">
      <w:pPr>
        <w:autoSpaceDE w:val="0"/>
        <w:autoSpaceDN w:val="0"/>
        <w:adjustRightInd w:val="0"/>
        <w:spacing w:line="240" w:lineRule="auto"/>
        <w:jc w:val="left"/>
        <w:rPr>
          <w:rFonts w:eastAsiaTheme="minorHAnsi" w:cs="Arial"/>
          <w:szCs w:val="20"/>
        </w:rPr>
      </w:pPr>
    </w:p>
    <w:p w:rsidR="00454E7D" w:rsidRPr="00FE7D29" w:rsidRDefault="00454E7D" w:rsidP="00FE7D29">
      <w:pPr>
        <w:pStyle w:val="ListParagraph"/>
        <w:numPr>
          <w:ilvl w:val="0"/>
          <w:numId w:val="17"/>
        </w:numPr>
        <w:autoSpaceDE w:val="0"/>
        <w:autoSpaceDN w:val="0"/>
        <w:adjustRightInd w:val="0"/>
        <w:spacing w:line="240" w:lineRule="auto"/>
        <w:jc w:val="left"/>
        <w:rPr>
          <w:rFonts w:eastAsiaTheme="minorHAnsi" w:cs="Arial"/>
          <w:b/>
          <w:szCs w:val="20"/>
        </w:rPr>
      </w:pPr>
      <w:r w:rsidRPr="00FE7D29">
        <w:rPr>
          <w:rFonts w:eastAsiaTheme="minorHAnsi" w:cs="Arial"/>
          <w:b/>
          <w:szCs w:val="20"/>
        </w:rPr>
        <w:t xml:space="preserve">Adoption of the </w:t>
      </w:r>
      <w:r w:rsidRPr="00FE7D29">
        <w:rPr>
          <w:rFonts w:cs="Arial"/>
          <w:b/>
          <w:szCs w:val="20"/>
        </w:rPr>
        <w:t>Criminal Law (Forensic Procedures) Amendment Bill [B25 – 2021]</w:t>
      </w:r>
    </w:p>
    <w:p w:rsidR="00454E7D" w:rsidRPr="00FE7D29" w:rsidRDefault="00454E7D" w:rsidP="00FE7D29">
      <w:pPr>
        <w:autoSpaceDE w:val="0"/>
        <w:autoSpaceDN w:val="0"/>
        <w:adjustRightInd w:val="0"/>
        <w:spacing w:line="240" w:lineRule="auto"/>
        <w:jc w:val="left"/>
        <w:rPr>
          <w:rFonts w:eastAsiaTheme="minorHAnsi" w:cs="Arial"/>
          <w:szCs w:val="20"/>
        </w:rPr>
      </w:pPr>
    </w:p>
    <w:p w:rsidR="00581D59" w:rsidRPr="00FE7D29" w:rsidRDefault="00581D59" w:rsidP="00FE7D29">
      <w:pPr>
        <w:autoSpaceDE w:val="0"/>
        <w:autoSpaceDN w:val="0"/>
        <w:adjustRightInd w:val="0"/>
        <w:spacing w:line="240" w:lineRule="auto"/>
        <w:jc w:val="left"/>
        <w:rPr>
          <w:rFonts w:eastAsiaTheme="minorHAnsi" w:cs="Arial"/>
          <w:szCs w:val="20"/>
        </w:rPr>
      </w:pPr>
      <w:r w:rsidRPr="00FE7D29">
        <w:rPr>
          <w:rFonts w:eastAsiaTheme="minorHAnsi" w:cs="Arial"/>
          <w:szCs w:val="20"/>
        </w:rPr>
        <w:t xml:space="preserve">The Portfolio Committee on Police adopts the </w:t>
      </w:r>
      <w:r w:rsidRPr="00FE7D29">
        <w:rPr>
          <w:rFonts w:cs="Arial"/>
          <w:szCs w:val="20"/>
        </w:rPr>
        <w:t xml:space="preserve">Criminal Law (Forensic Procedures) Amendment Bill [B25 – 2021] without any amendments. </w:t>
      </w:r>
      <w:r w:rsidRPr="00FE7D29">
        <w:rPr>
          <w:rFonts w:eastAsiaTheme="minorHAnsi" w:cs="Arial"/>
          <w:szCs w:val="20"/>
        </w:rPr>
        <w:t xml:space="preserve"> </w:t>
      </w:r>
    </w:p>
    <w:p w:rsidR="00BE0788" w:rsidRPr="00FE7D29" w:rsidRDefault="00BE0788" w:rsidP="00FE7D29">
      <w:pPr>
        <w:spacing w:line="240" w:lineRule="auto"/>
        <w:jc w:val="left"/>
        <w:rPr>
          <w:rFonts w:cs="Arial"/>
          <w:b/>
          <w:szCs w:val="20"/>
        </w:rPr>
      </w:pPr>
    </w:p>
    <w:p w:rsidR="002947F2" w:rsidRPr="00FE7D29" w:rsidRDefault="002947F2" w:rsidP="00FE7D29">
      <w:pPr>
        <w:spacing w:line="240" w:lineRule="auto"/>
        <w:jc w:val="left"/>
        <w:rPr>
          <w:rFonts w:cs="Arial"/>
          <w:szCs w:val="20"/>
        </w:rPr>
      </w:pPr>
    </w:p>
    <w:p w:rsidR="002947F2" w:rsidRPr="00FE7D29" w:rsidRDefault="002947F2" w:rsidP="00FE7D29">
      <w:pPr>
        <w:spacing w:line="240" w:lineRule="auto"/>
        <w:jc w:val="left"/>
        <w:rPr>
          <w:rFonts w:cs="Arial"/>
          <w:b/>
          <w:szCs w:val="20"/>
        </w:rPr>
      </w:pPr>
      <w:r w:rsidRPr="00FE7D29">
        <w:rPr>
          <w:rFonts w:cs="Arial"/>
          <w:b/>
          <w:szCs w:val="20"/>
        </w:rPr>
        <w:t xml:space="preserve">Report to be considered. </w:t>
      </w:r>
    </w:p>
    <w:sectPr w:rsidR="002947F2" w:rsidRPr="00FE7D29" w:rsidSect="00ED689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346" w:rsidRDefault="00405346" w:rsidP="002947F2">
      <w:pPr>
        <w:spacing w:line="240" w:lineRule="auto"/>
      </w:pPr>
      <w:r>
        <w:separator/>
      </w:r>
    </w:p>
  </w:endnote>
  <w:endnote w:type="continuationSeparator" w:id="0">
    <w:p w:rsidR="00405346" w:rsidRDefault="00405346" w:rsidP="002947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6580"/>
      <w:docPartObj>
        <w:docPartGallery w:val="Page Numbers (Bottom of Page)"/>
        <w:docPartUnique/>
      </w:docPartObj>
    </w:sdtPr>
    <w:sdtEndPr>
      <w:rPr>
        <w:rFonts w:ascii="Times New Roman" w:hAnsi="Times New Roman"/>
        <w:noProof/>
        <w:sz w:val="18"/>
      </w:rPr>
    </w:sdtEndPr>
    <w:sdtContent>
      <w:p w:rsidR="00B2378D" w:rsidRPr="00C643DD" w:rsidRDefault="00ED6893">
        <w:pPr>
          <w:pStyle w:val="Footer"/>
          <w:jc w:val="center"/>
          <w:rPr>
            <w:rFonts w:ascii="Times New Roman" w:hAnsi="Times New Roman"/>
            <w:sz w:val="18"/>
          </w:rPr>
        </w:pPr>
        <w:r w:rsidRPr="00C643DD">
          <w:rPr>
            <w:rFonts w:ascii="Times New Roman" w:hAnsi="Times New Roman"/>
            <w:sz w:val="18"/>
          </w:rPr>
          <w:fldChar w:fldCharType="begin"/>
        </w:r>
        <w:r w:rsidR="00B2378D" w:rsidRPr="00C643DD">
          <w:rPr>
            <w:rFonts w:ascii="Times New Roman" w:hAnsi="Times New Roman"/>
            <w:sz w:val="18"/>
          </w:rPr>
          <w:instrText xml:space="preserve"> PAGE   \* MERGEFORMAT </w:instrText>
        </w:r>
        <w:r w:rsidRPr="00C643DD">
          <w:rPr>
            <w:rFonts w:ascii="Times New Roman" w:hAnsi="Times New Roman"/>
            <w:sz w:val="18"/>
          </w:rPr>
          <w:fldChar w:fldCharType="separate"/>
        </w:r>
        <w:r w:rsidR="00FE7D29">
          <w:rPr>
            <w:rFonts w:ascii="Times New Roman" w:hAnsi="Times New Roman"/>
            <w:noProof/>
            <w:sz w:val="18"/>
          </w:rPr>
          <w:t>1</w:t>
        </w:r>
        <w:r w:rsidRPr="00C643DD">
          <w:rPr>
            <w:rFonts w:ascii="Times New Roman" w:hAnsi="Times New Roman"/>
            <w:noProof/>
            <w:sz w:val="18"/>
          </w:rPr>
          <w:fldChar w:fldCharType="end"/>
        </w:r>
      </w:p>
    </w:sdtContent>
  </w:sdt>
  <w:p w:rsidR="00B2378D" w:rsidRDefault="00B23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346" w:rsidRDefault="00405346" w:rsidP="002947F2">
      <w:pPr>
        <w:spacing w:line="240" w:lineRule="auto"/>
      </w:pPr>
      <w:r>
        <w:separator/>
      </w:r>
    </w:p>
  </w:footnote>
  <w:footnote w:type="continuationSeparator" w:id="0">
    <w:p w:rsidR="00405346" w:rsidRDefault="00405346" w:rsidP="002947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28F"/>
    <w:multiLevelType w:val="hybridMultilevel"/>
    <w:tmpl w:val="680038E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D5543C"/>
    <w:multiLevelType w:val="multilevel"/>
    <w:tmpl w:val="718226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67C41A3"/>
    <w:multiLevelType w:val="hybridMultilevel"/>
    <w:tmpl w:val="9C66809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370BE1"/>
    <w:multiLevelType w:val="hybridMultilevel"/>
    <w:tmpl w:val="E76486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8F690E"/>
    <w:multiLevelType w:val="hybridMultilevel"/>
    <w:tmpl w:val="755609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D5377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5D09FD"/>
    <w:multiLevelType w:val="multilevel"/>
    <w:tmpl w:val="DFC4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711185"/>
    <w:multiLevelType w:val="hybridMultilevel"/>
    <w:tmpl w:val="7D8A88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4E4DF3"/>
    <w:multiLevelType w:val="hybridMultilevel"/>
    <w:tmpl w:val="89C4A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860828"/>
    <w:multiLevelType w:val="hybridMultilevel"/>
    <w:tmpl w:val="2392DA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5FB7376"/>
    <w:multiLevelType w:val="hybridMultilevel"/>
    <w:tmpl w:val="8892A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9FC5F69"/>
    <w:multiLevelType w:val="hybridMultilevel"/>
    <w:tmpl w:val="0B30A7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047B3B"/>
    <w:multiLevelType w:val="hybridMultilevel"/>
    <w:tmpl w:val="CA92D296"/>
    <w:lvl w:ilvl="0" w:tplc="1C090011">
      <w:start w:val="1"/>
      <w:numFmt w:val="decimal"/>
      <w:lvlText w:val="%1)"/>
      <w:lvlJc w:val="left"/>
      <w:pPr>
        <w:ind w:left="956" w:hanging="360"/>
      </w:pPr>
    </w:lvl>
    <w:lvl w:ilvl="1" w:tplc="1C090019" w:tentative="1">
      <w:start w:val="1"/>
      <w:numFmt w:val="lowerLetter"/>
      <w:lvlText w:val="%2."/>
      <w:lvlJc w:val="left"/>
      <w:pPr>
        <w:ind w:left="1676" w:hanging="360"/>
      </w:pPr>
    </w:lvl>
    <w:lvl w:ilvl="2" w:tplc="1C09001B" w:tentative="1">
      <w:start w:val="1"/>
      <w:numFmt w:val="lowerRoman"/>
      <w:lvlText w:val="%3."/>
      <w:lvlJc w:val="right"/>
      <w:pPr>
        <w:ind w:left="2396" w:hanging="180"/>
      </w:pPr>
    </w:lvl>
    <w:lvl w:ilvl="3" w:tplc="1C09000F" w:tentative="1">
      <w:start w:val="1"/>
      <w:numFmt w:val="decimal"/>
      <w:lvlText w:val="%4."/>
      <w:lvlJc w:val="left"/>
      <w:pPr>
        <w:ind w:left="3116" w:hanging="360"/>
      </w:pPr>
    </w:lvl>
    <w:lvl w:ilvl="4" w:tplc="1C090019" w:tentative="1">
      <w:start w:val="1"/>
      <w:numFmt w:val="lowerLetter"/>
      <w:lvlText w:val="%5."/>
      <w:lvlJc w:val="left"/>
      <w:pPr>
        <w:ind w:left="3836" w:hanging="360"/>
      </w:pPr>
    </w:lvl>
    <w:lvl w:ilvl="5" w:tplc="1C09001B" w:tentative="1">
      <w:start w:val="1"/>
      <w:numFmt w:val="lowerRoman"/>
      <w:lvlText w:val="%6."/>
      <w:lvlJc w:val="right"/>
      <w:pPr>
        <w:ind w:left="4556" w:hanging="180"/>
      </w:pPr>
    </w:lvl>
    <w:lvl w:ilvl="6" w:tplc="1C09000F" w:tentative="1">
      <w:start w:val="1"/>
      <w:numFmt w:val="decimal"/>
      <w:lvlText w:val="%7."/>
      <w:lvlJc w:val="left"/>
      <w:pPr>
        <w:ind w:left="5276" w:hanging="360"/>
      </w:pPr>
    </w:lvl>
    <w:lvl w:ilvl="7" w:tplc="1C090019" w:tentative="1">
      <w:start w:val="1"/>
      <w:numFmt w:val="lowerLetter"/>
      <w:lvlText w:val="%8."/>
      <w:lvlJc w:val="left"/>
      <w:pPr>
        <w:ind w:left="5996" w:hanging="360"/>
      </w:pPr>
    </w:lvl>
    <w:lvl w:ilvl="8" w:tplc="1C09001B" w:tentative="1">
      <w:start w:val="1"/>
      <w:numFmt w:val="lowerRoman"/>
      <w:lvlText w:val="%9."/>
      <w:lvlJc w:val="right"/>
      <w:pPr>
        <w:ind w:left="6716" w:hanging="180"/>
      </w:pPr>
    </w:lvl>
  </w:abstractNum>
  <w:abstractNum w:abstractNumId="13">
    <w:nsid w:val="64B6654E"/>
    <w:multiLevelType w:val="hybridMultilevel"/>
    <w:tmpl w:val="ED58C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8D77BD"/>
    <w:multiLevelType w:val="hybridMultilevel"/>
    <w:tmpl w:val="C36A5F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0750A7"/>
    <w:multiLevelType w:val="hybridMultilevel"/>
    <w:tmpl w:val="B9DE0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5"/>
  </w:num>
  <w:num w:numId="5">
    <w:abstractNumId w:val="0"/>
  </w:num>
  <w:num w:numId="6">
    <w:abstractNumId w:val="6"/>
  </w:num>
  <w:num w:numId="7">
    <w:abstractNumId w:val="8"/>
  </w:num>
  <w:num w:numId="8">
    <w:abstractNumId w:val="3"/>
  </w:num>
  <w:num w:numId="9">
    <w:abstractNumId w:val="4"/>
  </w:num>
  <w:num w:numId="10">
    <w:abstractNumId w:val="9"/>
  </w:num>
  <w:num w:numId="11">
    <w:abstractNumId w:val="16"/>
  </w:num>
  <w:num w:numId="12">
    <w:abstractNumId w:val="2"/>
  </w:num>
  <w:num w:numId="13">
    <w:abstractNumId w:val="15"/>
  </w:num>
  <w:num w:numId="14">
    <w:abstractNumId w:val="1"/>
  </w:num>
  <w:num w:numId="15">
    <w:abstractNumId w:val="7"/>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0788"/>
    <w:rsid w:val="00124FE1"/>
    <w:rsid w:val="00213761"/>
    <w:rsid w:val="002947F2"/>
    <w:rsid w:val="003A1EE2"/>
    <w:rsid w:val="00405346"/>
    <w:rsid w:val="004068BD"/>
    <w:rsid w:val="00454E7D"/>
    <w:rsid w:val="00520D09"/>
    <w:rsid w:val="00571633"/>
    <w:rsid w:val="00581D59"/>
    <w:rsid w:val="006140F2"/>
    <w:rsid w:val="00652412"/>
    <w:rsid w:val="006615E9"/>
    <w:rsid w:val="00792206"/>
    <w:rsid w:val="00820F7F"/>
    <w:rsid w:val="0082538C"/>
    <w:rsid w:val="0096247A"/>
    <w:rsid w:val="009909D8"/>
    <w:rsid w:val="00991FAA"/>
    <w:rsid w:val="009B71E4"/>
    <w:rsid w:val="00A97629"/>
    <w:rsid w:val="00AB4250"/>
    <w:rsid w:val="00B2378D"/>
    <w:rsid w:val="00BA6DA8"/>
    <w:rsid w:val="00BE0788"/>
    <w:rsid w:val="00BE690A"/>
    <w:rsid w:val="00C643DD"/>
    <w:rsid w:val="00D97C1B"/>
    <w:rsid w:val="00E36492"/>
    <w:rsid w:val="00ED6893"/>
    <w:rsid w:val="00FE5EA9"/>
    <w:rsid w:val="00FE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88"/>
    <w:pPr>
      <w:spacing w:after="0" w:line="280" w:lineRule="exact"/>
      <w:jc w:val="both"/>
    </w:pPr>
    <w:rPr>
      <w:rFonts w:ascii="Arial" w:eastAsia="Calibri" w:hAnsi="Arial" w:cs="Times New Roman"/>
      <w:sz w:val="20"/>
    </w:rPr>
  </w:style>
  <w:style w:type="paragraph" w:styleId="Heading1">
    <w:name w:val="heading 1"/>
    <w:basedOn w:val="Normal"/>
    <w:next w:val="Normal"/>
    <w:link w:val="Heading1Char"/>
    <w:uiPriority w:val="9"/>
    <w:qFormat/>
    <w:rsid w:val="00BE0788"/>
    <w:pPr>
      <w:keepNext/>
      <w:keepLines/>
      <w:spacing w:before="240"/>
      <w:outlineLvl w:val="0"/>
    </w:pPr>
    <w:rPr>
      <w:rFonts w:eastAsia="Times New Roman"/>
      <w:b/>
      <w:caps/>
      <w:szCs w:val="32"/>
    </w:rPr>
  </w:style>
  <w:style w:type="paragraph" w:styleId="Heading2">
    <w:name w:val="heading 2"/>
    <w:basedOn w:val="Normal"/>
    <w:next w:val="Normal"/>
    <w:link w:val="Heading2Char"/>
    <w:uiPriority w:val="9"/>
    <w:unhideWhenUsed/>
    <w:qFormat/>
    <w:rsid w:val="00BE0788"/>
    <w:pPr>
      <w:keepNext/>
      <w:keepLines/>
      <w:spacing w:before="40"/>
      <w:jc w:val="left"/>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788"/>
    <w:rPr>
      <w:rFonts w:ascii="Arial" w:eastAsia="Times New Roman" w:hAnsi="Arial" w:cs="Times New Roman"/>
      <w:b/>
      <w:caps/>
      <w:sz w:val="20"/>
      <w:szCs w:val="32"/>
    </w:rPr>
  </w:style>
  <w:style w:type="character" w:customStyle="1" w:styleId="Heading2Char">
    <w:name w:val="Heading 2 Char"/>
    <w:basedOn w:val="DefaultParagraphFont"/>
    <w:link w:val="Heading2"/>
    <w:uiPriority w:val="9"/>
    <w:rsid w:val="00BE0788"/>
    <w:rPr>
      <w:rFonts w:ascii="Arial" w:eastAsia="Times New Roman" w:hAnsi="Arial" w:cs="Times New Roman"/>
      <w:b/>
      <w:sz w:val="20"/>
      <w:szCs w:val="26"/>
    </w:rPr>
  </w:style>
  <w:style w:type="paragraph" w:styleId="ListParagraph">
    <w:name w:val="List Paragraph"/>
    <w:basedOn w:val="Normal"/>
    <w:uiPriority w:val="34"/>
    <w:qFormat/>
    <w:rsid w:val="00BE0788"/>
    <w:pPr>
      <w:ind w:left="720"/>
      <w:contextualSpacing/>
    </w:pPr>
  </w:style>
  <w:style w:type="paragraph" w:styleId="NormalWeb">
    <w:name w:val="Normal (Web)"/>
    <w:basedOn w:val="Normal"/>
    <w:uiPriority w:val="99"/>
    <w:unhideWhenUsed/>
    <w:rsid w:val="00BE0788"/>
    <w:pPr>
      <w:spacing w:before="100" w:beforeAutospacing="1" w:after="100" w:afterAutospacing="1" w:line="240" w:lineRule="auto"/>
      <w:jc w:val="left"/>
    </w:pPr>
    <w:rPr>
      <w:rFonts w:ascii="Times New Roman" w:eastAsia="Times New Roman" w:hAnsi="Times New Roman"/>
      <w:sz w:val="24"/>
      <w:szCs w:val="24"/>
      <w:lang w:eastAsia="en-ZA"/>
    </w:rPr>
  </w:style>
  <w:style w:type="paragraph" w:customStyle="1" w:styleId="Default">
    <w:name w:val="Default"/>
    <w:rsid w:val="00BE0788"/>
    <w:pPr>
      <w:autoSpaceDE w:val="0"/>
      <w:autoSpaceDN w:val="0"/>
      <w:adjustRightInd w:val="0"/>
      <w:spacing w:after="0" w:line="240" w:lineRule="auto"/>
    </w:pPr>
    <w:rPr>
      <w:rFonts w:ascii="Arial" w:eastAsia="Calibri" w:hAnsi="Arial" w:cs="Arial"/>
      <w:color w:val="000000"/>
      <w:sz w:val="24"/>
      <w:szCs w:val="24"/>
      <w:lang w:eastAsia="en-ZA"/>
    </w:rPr>
  </w:style>
  <w:style w:type="paragraph" w:styleId="FootnoteText">
    <w:name w:val="footnote text"/>
    <w:basedOn w:val="Normal"/>
    <w:link w:val="FootnoteTextChar"/>
    <w:uiPriority w:val="99"/>
    <w:semiHidden/>
    <w:unhideWhenUsed/>
    <w:rsid w:val="002947F2"/>
    <w:pPr>
      <w:spacing w:line="240" w:lineRule="auto"/>
    </w:pPr>
    <w:rPr>
      <w:szCs w:val="20"/>
    </w:rPr>
  </w:style>
  <w:style w:type="character" w:customStyle="1" w:styleId="FootnoteTextChar">
    <w:name w:val="Footnote Text Char"/>
    <w:basedOn w:val="DefaultParagraphFont"/>
    <w:link w:val="FootnoteText"/>
    <w:uiPriority w:val="99"/>
    <w:semiHidden/>
    <w:rsid w:val="002947F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2947F2"/>
    <w:rPr>
      <w:vertAlign w:val="superscript"/>
    </w:rPr>
  </w:style>
  <w:style w:type="paragraph" w:styleId="Header">
    <w:name w:val="header"/>
    <w:basedOn w:val="Normal"/>
    <w:link w:val="HeaderChar"/>
    <w:uiPriority w:val="99"/>
    <w:unhideWhenUsed/>
    <w:rsid w:val="00B2378D"/>
    <w:pPr>
      <w:tabs>
        <w:tab w:val="center" w:pos="4513"/>
        <w:tab w:val="right" w:pos="9026"/>
      </w:tabs>
      <w:spacing w:line="240" w:lineRule="auto"/>
    </w:pPr>
  </w:style>
  <w:style w:type="character" w:customStyle="1" w:styleId="HeaderChar">
    <w:name w:val="Header Char"/>
    <w:basedOn w:val="DefaultParagraphFont"/>
    <w:link w:val="Header"/>
    <w:uiPriority w:val="99"/>
    <w:rsid w:val="00B2378D"/>
    <w:rPr>
      <w:rFonts w:ascii="Arial" w:eastAsia="Calibri" w:hAnsi="Arial" w:cs="Times New Roman"/>
      <w:sz w:val="20"/>
    </w:rPr>
  </w:style>
  <w:style w:type="paragraph" w:styleId="Footer">
    <w:name w:val="footer"/>
    <w:basedOn w:val="Normal"/>
    <w:link w:val="FooterChar"/>
    <w:uiPriority w:val="99"/>
    <w:unhideWhenUsed/>
    <w:rsid w:val="00B2378D"/>
    <w:pPr>
      <w:tabs>
        <w:tab w:val="center" w:pos="4513"/>
        <w:tab w:val="right" w:pos="9026"/>
      </w:tabs>
      <w:spacing w:line="240" w:lineRule="auto"/>
    </w:pPr>
  </w:style>
  <w:style w:type="character" w:customStyle="1" w:styleId="FooterChar">
    <w:name w:val="Footer Char"/>
    <w:basedOn w:val="DefaultParagraphFont"/>
    <w:link w:val="Footer"/>
    <w:uiPriority w:val="99"/>
    <w:rsid w:val="00B2378D"/>
    <w:rPr>
      <w:rFonts w:ascii="Arial" w:eastAsia="Calibri" w:hAnsi="Arial" w:cs="Times New Roman"/>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van Zyl-Gous</dc:creator>
  <cp:keywords/>
  <dc:description/>
  <cp:lastModifiedBy>User</cp:lastModifiedBy>
  <cp:revision>3</cp:revision>
  <dcterms:created xsi:type="dcterms:W3CDTF">2022-05-18T13:09:00Z</dcterms:created>
  <dcterms:modified xsi:type="dcterms:W3CDTF">2022-05-19T07:24:00Z</dcterms:modified>
</cp:coreProperties>
</file>