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C0" w:rsidRPr="007858CD" w:rsidRDefault="00254F82" w:rsidP="007858CD">
      <w:pPr>
        <w:rPr>
          <w:rFonts w:cs="Arial"/>
          <w:color w:val="auto"/>
          <w:sz w:val="20"/>
          <w:szCs w:val="20"/>
          <w:lang w:val="en-US"/>
        </w:rPr>
      </w:pPr>
      <w:r w:rsidRPr="007858CD">
        <w:rPr>
          <w:rFonts w:cs="Arial"/>
          <w:color w:val="auto"/>
          <w:sz w:val="20"/>
          <w:szCs w:val="20"/>
          <w:lang w:val="en-US"/>
        </w:rPr>
        <w:t xml:space="preserve"> </w:t>
      </w:r>
      <w:r w:rsidR="00C734C2" w:rsidRPr="007858CD">
        <w:rPr>
          <w:rFonts w:cs="Arial"/>
          <w:color w:val="auto"/>
          <w:sz w:val="20"/>
          <w:szCs w:val="20"/>
          <w:lang w:val="en-US"/>
        </w:rPr>
        <w:t xml:space="preserve"> </w:t>
      </w:r>
    </w:p>
    <w:p w:rsidR="000901C1" w:rsidRPr="007858CD" w:rsidRDefault="00217432" w:rsidP="007858CD">
      <w:pPr>
        <w:rPr>
          <w:rFonts w:cs="Arial"/>
          <w:b/>
          <w:color w:val="auto"/>
          <w:sz w:val="20"/>
          <w:szCs w:val="20"/>
          <w:lang w:val="en-US"/>
        </w:rPr>
      </w:pPr>
      <w:r w:rsidRPr="007858CD">
        <w:rPr>
          <w:rFonts w:cs="Arial"/>
          <w:b/>
          <w:color w:val="auto"/>
          <w:sz w:val="20"/>
          <w:szCs w:val="20"/>
          <w:lang w:val="en-US"/>
        </w:rPr>
        <w:t>R</w:t>
      </w:r>
      <w:r w:rsidR="000901C1" w:rsidRPr="007858CD">
        <w:rPr>
          <w:rFonts w:cs="Arial"/>
          <w:b/>
          <w:color w:val="auto"/>
          <w:sz w:val="20"/>
          <w:szCs w:val="20"/>
          <w:lang w:val="en-US"/>
        </w:rPr>
        <w:t>eport of the Portfolio Committee on Women</w:t>
      </w:r>
      <w:r w:rsidR="00357AB9" w:rsidRPr="007858CD">
        <w:rPr>
          <w:rFonts w:cs="Arial"/>
          <w:b/>
          <w:color w:val="auto"/>
          <w:sz w:val="20"/>
          <w:szCs w:val="20"/>
          <w:lang w:val="en-US"/>
        </w:rPr>
        <w:t>, Youth and Persons with Disabilities</w:t>
      </w:r>
      <w:r w:rsidR="000901C1" w:rsidRPr="007858CD">
        <w:rPr>
          <w:rFonts w:cs="Arial"/>
          <w:b/>
          <w:color w:val="auto"/>
          <w:sz w:val="20"/>
          <w:szCs w:val="20"/>
          <w:lang w:val="en-US"/>
        </w:rPr>
        <w:t xml:space="preserve"> on the Annual Performance Plan </w:t>
      </w:r>
      <w:r w:rsidR="001B0C1D" w:rsidRPr="007858CD">
        <w:rPr>
          <w:rFonts w:cs="Arial"/>
          <w:b/>
          <w:color w:val="auto"/>
          <w:sz w:val="20"/>
          <w:szCs w:val="20"/>
          <w:lang w:val="en-US"/>
        </w:rPr>
        <w:t>(</w:t>
      </w:r>
      <w:r w:rsidR="000901C1" w:rsidRPr="007858CD">
        <w:rPr>
          <w:rFonts w:cs="Arial"/>
          <w:b/>
          <w:color w:val="auto"/>
          <w:sz w:val="20"/>
          <w:szCs w:val="20"/>
          <w:lang w:val="en-US"/>
        </w:rPr>
        <w:t>Budget Vote</w:t>
      </w:r>
      <w:r w:rsidR="00026794" w:rsidRPr="007858CD">
        <w:rPr>
          <w:rFonts w:cs="Arial"/>
          <w:b/>
          <w:color w:val="auto"/>
          <w:sz w:val="20"/>
          <w:szCs w:val="20"/>
          <w:lang w:val="en-US"/>
        </w:rPr>
        <w:t xml:space="preserve"> </w:t>
      </w:r>
      <w:r w:rsidR="0028312A" w:rsidRPr="007858CD">
        <w:rPr>
          <w:rFonts w:cs="Arial"/>
          <w:b/>
          <w:color w:val="auto"/>
          <w:sz w:val="20"/>
          <w:szCs w:val="20"/>
          <w:lang w:val="en-US"/>
        </w:rPr>
        <w:t>20</w:t>
      </w:r>
      <w:r w:rsidR="001B0C1D" w:rsidRPr="007858CD">
        <w:rPr>
          <w:rFonts w:cs="Arial"/>
          <w:b/>
          <w:color w:val="auto"/>
          <w:sz w:val="20"/>
          <w:szCs w:val="20"/>
          <w:lang w:val="en-US"/>
        </w:rPr>
        <w:t>)</w:t>
      </w:r>
      <w:r w:rsidR="000901C1" w:rsidRPr="007858CD">
        <w:rPr>
          <w:rFonts w:cs="Arial"/>
          <w:b/>
          <w:color w:val="auto"/>
          <w:sz w:val="20"/>
          <w:szCs w:val="20"/>
          <w:lang w:val="en-US"/>
        </w:rPr>
        <w:t xml:space="preserve"> of the Department of Women</w:t>
      </w:r>
      <w:r w:rsidR="006E7222" w:rsidRPr="007858CD">
        <w:rPr>
          <w:rFonts w:cs="Arial"/>
          <w:b/>
          <w:color w:val="auto"/>
          <w:sz w:val="20"/>
          <w:szCs w:val="20"/>
          <w:lang w:val="en-US"/>
        </w:rPr>
        <w:t>,</w:t>
      </w:r>
      <w:r w:rsidR="001B0C1D" w:rsidRPr="007858CD">
        <w:rPr>
          <w:rFonts w:cs="Arial"/>
          <w:b/>
          <w:color w:val="auto"/>
          <w:sz w:val="20"/>
          <w:szCs w:val="20"/>
          <w:lang w:val="en-US"/>
        </w:rPr>
        <w:t xml:space="preserve"> </w:t>
      </w:r>
      <w:r w:rsidR="006E7222" w:rsidRPr="007858CD">
        <w:rPr>
          <w:rFonts w:cs="Arial"/>
          <w:b/>
          <w:color w:val="auto"/>
          <w:sz w:val="20"/>
          <w:szCs w:val="20"/>
          <w:lang w:val="en-US"/>
        </w:rPr>
        <w:t>Youth and Persons with Disabilities</w:t>
      </w:r>
      <w:r w:rsidR="00026794" w:rsidRPr="007858CD">
        <w:rPr>
          <w:rFonts w:cs="Arial"/>
          <w:b/>
          <w:color w:val="auto"/>
          <w:sz w:val="20"/>
          <w:szCs w:val="20"/>
          <w:lang w:val="en-US"/>
        </w:rPr>
        <w:t xml:space="preserve"> </w:t>
      </w:r>
      <w:r w:rsidR="000901C1" w:rsidRPr="007858CD">
        <w:rPr>
          <w:rFonts w:cs="Arial"/>
          <w:b/>
          <w:color w:val="auto"/>
          <w:sz w:val="20"/>
          <w:szCs w:val="20"/>
          <w:lang w:val="en-US"/>
        </w:rPr>
        <w:t>for financial year 20</w:t>
      </w:r>
      <w:r w:rsidR="0028312A" w:rsidRPr="007858CD">
        <w:rPr>
          <w:rFonts w:cs="Arial"/>
          <w:b/>
          <w:color w:val="auto"/>
          <w:sz w:val="20"/>
          <w:szCs w:val="20"/>
          <w:lang w:val="en-US"/>
        </w:rPr>
        <w:t>2</w:t>
      </w:r>
      <w:r w:rsidR="009923A3" w:rsidRPr="007858CD">
        <w:rPr>
          <w:rFonts w:cs="Arial"/>
          <w:b/>
          <w:color w:val="auto"/>
          <w:sz w:val="20"/>
          <w:szCs w:val="20"/>
          <w:lang w:val="en-US"/>
        </w:rPr>
        <w:t>2/</w:t>
      </w:r>
      <w:r w:rsidR="0028312A" w:rsidRPr="007858CD">
        <w:rPr>
          <w:rFonts w:cs="Arial"/>
          <w:b/>
          <w:color w:val="auto"/>
          <w:sz w:val="20"/>
          <w:szCs w:val="20"/>
          <w:lang w:val="en-US"/>
        </w:rPr>
        <w:t>2</w:t>
      </w:r>
      <w:r w:rsidR="009923A3" w:rsidRPr="007858CD">
        <w:rPr>
          <w:rFonts w:cs="Arial"/>
          <w:b/>
          <w:color w:val="auto"/>
          <w:sz w:val="20"/>
          <w:szCs w:val="20"/>
          <w:lang w:val="en-US"/>
        </w:rPr>
        <w:t>3</w:t>
      </w:r>
      <w:r w:rsidR="00B21BB5" w:rsidRPr="007858CD">
        <w:rPr>
          <w:rFonts w:cs="Arial"/>
          <w:b/>
          <w:color w:val="auto"/>
          <w:sz w:val="20"/>
          <w:szCs w:val="20"/>
          <w:lang w:val="en-US"/>
        </w:rPr>
        <w:t xml:space="preserve">, dated </w:t>
      </w:r>
      <w:r w:rsidR="0028312A" w:rsidRPr="007858CD">
        <w:rPr>
          <w:rFonts w:cs="Arial"/>
          <w:b/>
          <w:color w:val="auto"/>
          <w:sz w:val="20"/>
          <w:szCs w:val="20"/>
          <w:lang w:val="en-US"/>
        </w:rPr>
        <w:t>1</w:t>
      </w:r>
      <w:r w:rsidR="009923A3" w:rsidRPr="007858CD">
        <w:rPr>
          <w:rFonts w:cs="Arial"/>
          <w:b/>
          <w:color w:val="auto"/>
          <w:sz w:val="20"/>
          <w:szCs w:val="20"/>
          <w:lang w:val="en-US"/>
        </w:rPr>
        <w:t>7</w:t>
      </w:r>
      <w:r w:rsidR="0028312A" w:rsidRPr="007858CD">
        <w:rPr>
          <w:rFonts w:cs="Arial"/>
          <w:b/>
          <w:color w:val="auto"/>
          <w:sz w:val="20"/>
          <w:szCs w:val="20"/>
          <w:lang w:val="en-US"/>
        </w:rPr>
        <w:t xml:space="preserve"> May 2021</w:t>
      </w:r>
    </w:p>
    <w:p w:rsidR="000901C1" w:rsidRPr="007858CD" w:rsidRDefault="000901C1" w:rsidP="007858CD">
      <w:pPr>
        <w:rPr>
          <w:rFonts w:cs="Arial"/>
          <w:b/>
          <w:color w:val="auto"/>
          <w:sz w:val="20"/>
          <w:szCs w:val="20"/>
          <w:lang w:val="en-US"/>
        </w:rPr>
      </w:pPr>
    </w:p>
    <w:p w:rsidR="000901C1" w:rsidRPr="007858CD" w:rsidRDefault="000901C1" w:rsidP="007858CD">
      <w:pPr>
        <w:rPr>
          <w:rFonts w:cs="Arial"/>
          <w:color w:val="auto"/>
          <w:sz w:val="20"/>
          <w:szCs w:val="20"/>
          <w:lang w:val="en-US"/>
        </w:rPr>
      </w:pPr>
      <w:r w:rsidRPr="007858CD">
        <w:rPr>
          <w:rFonts w:cs="Arial"/>
          <w:color w:val="auto"/>
          <w:sz w:val="20"/>
          <w:szCs w:val="20"/>
          <w:lang w:val="en-US"/>
        </w:rPr>
        <w:t xml:space="preserve">The Portfolio Committee on </w:t>
      </w:r>
      <w:bookmarkStart w:id="0" w:name="_GoBack"/>
      <w:r w:rsidRPr="007858CD">
        <w:rPr>
          <w:rFonts w:cs="Arial"/>
          <w:color w:val="auto"/>
          <w:sz w:val="20"/>
          <w:szCs w:val="20"/>
          <w:lang w:val="en-US"/>
        </w:rPr>
        <w:t>Women</w:t>
      </w:r>
      <w:r w:rsidR="003F4FB9" w:rsidRPr="007858CD">
        <w:rPr>
          <w:rFonts w:cs="Arial"/>
          <w:color w:val="auto"/>
          <w:sz w:val="20"/>
          <w:szCs w:val="20"/>
          <w:lang w:val="en-US"/>
        </w:rPr>
        <w:t>, Youth and Persons with Disabilities</w:t>
      </w:r>
      <w:bookmarkEnd w:id="0"/>
      <w:r w:rsidRPr="007858CD">
        <w:rPr>
          <w:rFonts w:cs="Arial"/>
          <w:color w:val="auto"/>
          <w:sz w:val="20"/>
          <w:szCs w:val="20"/>
          <w:lang w:val="en-US"/>
        </w:rPr>
        <w:t>, having considered the</w:t>
      </w:r>
      <w:r w:rsidR="004615AA" w:rsidRPr="007858CD">
        <w:rPr>
          <w:rFonts w:cs="Arial"/>
          <w:color w:val="auto"/>
          <w:sz w:val="20"/>
          <w:szCs w:val="20"/>
          <w:lang w:val="en-US"/>
        </w:rPr>
        <w:t xml:space="preserve"> </w:t>
      </w:r>
      <w:r w:rsidRPr="007858CD">
        <w:rPr>
          <w:rFonts w:cs="Arial"/>
          <w:color w:val="auto"/>
          <w:sz w:val="20"/>
          <w:szCs w:val="20"/>
          <w:lang w:val="en-US"/>
        </w:rPr>
        <w:t xml:space="preserve">Annual Performance Plan and Budget of the Department </w:t>
      </w:r>
      <w:r w:rsidR="005D33DC" w:rsidRPr="007858CD">
        <w:rPr>
          <w:rFonts w:cs="Arial"/>
          <w:color w:val="auto"/>
          <w:sz w:val="20"/>
          <w:szCs w:val="20"/>
          <w:lang w:val="en-US"/>
        </w:rPr>
        <w:t xml:space="preserve">in the Presidency for </w:t>
      </w:r>
      <w:r w:rsidRPr="007858CD">
        <w:rPr>
          <w:rFonts w:cs="Arial"/>
          <w:color w:val="auto"/>
          <w:sz w:val="20"/>
          <w:szCs w:val="20"/>
          <w:lang w:val="en-US"/>
        </w:rPr>
        <w:t>Women</w:t>
      </w:r>
      <w:r w:rsidR="005D33DC" w:rsidRPr="007858CD">
        <w:rPr>
          <w:rFonts w:cs="Arial"/>
          <w:color w:val="auto"/>
          <w:sz w:val="20"/>
          <w:szCs w:val="20"/>
          <w:lang w:val="en-US"/>
        </w:rPr>
        <w:t>, Youth and Persons with Disabilities</w:t>
      </w:r>
      <w:r w:rsidR="00762C14" w:rsidRPr="007858CD">
        <w:rPr>
          <w:rFonts w:cs="Arial"/>
          <w:color w:val="auto"/>
          <w:sz w:val="20"/>
          <w:szCs w:val="20"/>
          <w:lang w:val="en-US"/>
        </w:rPr>
        <w:t xml:space="preserve"> for 2022</w:t>
      </w:r>
      <w:r w:rsidR="0028312A" w:rsidRPr="007858CD">
        <w:rPr>
          <w:rFonts w:cs="Arial"/>
          <w:color w:val="auto"/>
          <w:sz w:val="20"/>
          <w:szCs w:val="20"/>
          <w:lang w:val="en-US"/>
        </w:rPr>
        <w:t>/2</w:t>
      </w:r>
      <w:r w:rsidR="00762C14" w:rsidRPr="007858CD">
        <w:rPr>
          <w:rFonts w:cs="Arial"/>
          <w:color w:val="auto"/>
          <w:sz w:val="20"/>
          <w:szCs w:val="20"/>
          <w:lang w:val="en-US"/>
        </w:rPr>
        <w:t>3</w:t>
      </w:r>
      <w:r w:rsidR="00D621E7" w:rsidRPr="007858CD">
        <w:rPr>
          <w:rFonts w:cs="Arial"/>
          <w:color w:val="auto"/>
          <w:sz w:val="20"/>
          <w:szCs w:val="20"/>
          <w:lang w:val="en-US"/>
        </w:rPr>
        <w:t xml:space="preserve"> </w:t>
      </w:r>
      <w:r w:rsidRPr="007858CD">
        <w:rPr>
          <w:rFonts w:cs="Arial"/>
          <w:color w:val="auto"/>
          <w:sz w:val="20"/>
          <w:szCs w:val="20"/>
          <w:lang w:val="en-US"/>
        </w:rPr>
        <w:t xml:space="preserve">on the </w:t>
      </w:r>
      <w:r w:rsidR="001C64DB" w:rsidRPr="007858CD">
        <w:rPr>
          <w:rFonts w:cs="Arial"/>
          <w:color w:val="auto"/>
          <w:sz w:val="20"/>
          <w:szCs w:val="20"/>
          <w:lang w:val="en-US"/>
        </w:rPr>
        <w:t>3</w:t>
      </w:r>
      <w:r w:rsidR="0028312A" w:rsidRPr="007858CD">
        <w:rPr>
          <w:rFonts w:cs="Arial"/>
          <w:color w:val="auto"/>
          <w:sz w:val="20"/>
          <w:szCs w:val="20"/>
          <w:lang w:val="en-US"/>
        </w:rPr>
        <w:t xml:space="preserve"> May 202</w:t>
      </w:r>
      <w:r w:rsidR="001C64DB" w:rsidRPr="007858CD">
        <w:rPr>
          <w:rFonts w:cs="Arial"/>
          <w:color w:val="auto"/>
          <w:sz w:val="20"/>
          <w:szCs w:val="20"/>
          <w:lang w:val="en-US"/>
        </w:rPr>
        <w:t>2</w:t>
      </w:r>
      <w:r w:rsidR="0028312A" w:rsidRPr="007858CD">
        <w:rPr>
          <w:rFonts w:cs="Arial"/>
          <w:color w:val="auto"/>
          <w:sz w:val="20"/>
          <w:szCs w:val="20"/>
          <w:lang w:val="en-US"/>
        </w:rPr>
        <w:t xml:space="preserve">, the National Youth Development Agency on </w:t>
      </w:r>
      <w:r w:rsidR="001C64DB" w:rsidRPr="007858CD">
        <w:rPr>
          <w:rFonts w:cs="Arial"/>
          <w:color w:val="auto"/>
          <w:sz w:val="20"/>
          <w:szCs w:val="20"/>
          <w:lang w:val="en-US"/>
        </w:rPr>
        <w:t>10</w:t>
      </w:r>
      <w:r w:rsidR="0028312A" w:rsidRPr="007858CD">
        <w:rPr>
          <w:rFonts w:cs="Arial"/>
          <w:color w:val="auto"/>
          <w:sz w:val="20"/>
          <w:szCs w:val="20"/>
          <w:lang w:val="en-US"/>
        </w:rPr>
        <w:t xml:space="preserve"> May 202</w:t>
      </w:r>
      <w:r w:rsidR="001C64DB" w:rsidRPr="007858CD">
        <w:rPr>
          <w:rFonts w:cs="Arial"/>
          <w:color w:val="auto"/>
          <w:sz w:val="20"/>
          <w:szCs w:val="20"/>
          <w:lang w:val="en-US"/>
        </w:rPr>
        <w:t>2</w:t>
      </w:r>
      <w:r w:rsidR="0028312A" w:rsidRPr="007858CD">
        <w:rPr>
          <w:rFonts w:cs="Arial"/>
          <w:color w:val="auto"/>
          <w:sz w:val="20"/>
          <w:szCs w:val="20"/>
          <w:lang w:val="en-US"/>
        </w:rPr>
        <w:t xml:space="preserve"> and the Commission for Gender Equality on </w:t>
      </w:r>
      <w:r w:rsidR="001C64DB" w:rsidRPr="007858CD">
        <w:rPr>
          <w:rFonts w:cs="Arial"/>
          <w:color w:val="auto"/>
          <w:sz w:val="20"/>
          <w:szCs w:val="20"/>
          <w:lang w:val="en-US"/>
        </w:rPr>
        <w:t>6</w:t>
      </w:r>
      <w:r w:rsidR="001C64DB" w:rsidRPr="007858CD">
        <w:rPr>
          <w:rFonts w:cs="Arial"/>
          <w:color w:val="auto"/>
          <w:sz w:val="20"/>
          <w:szCs w:val="20"/>
          <w:vertAlign w:val="superscript"/>
          <w:lang w:val="en-US"/>
        </w:rPr>
        <w:t>th</w:t>
      </w:r>
      <w:r w:rsidR="001C64DB" w:rsidRPr="007858CD">
        <w:rPr>
          <w:rFonts w:cs="Arial"/>
          <w:color w:val="auto"/>
          <w:sz w:val="20"/>
          <w:szCs w:val="20"/>
          <w:lang w:val="en-US"/>
        </w:rPr>
        <w:t xml:space="preserve"> and </w:t>
      </w:r>
      <w:r w:rsidR="0028312A" w:rsidRPr="007858CD">
        <w:rPr>
          <w:rFonts w:cs="Arial"/>
          <w:color w:val="auto"/>
          <w:sz w:val="20"/>
          <w:szCs w:val="20"/>
          <w:lang w:val="en-US"/>
        </w:rPr>
        <w:t>11</w:t>
      </w:r>
      <w:r w:rsidR="001C64DB" w:rsidRPr="007858CD">
        <w:rPr>
          <w:rFonts w:cs="Arial"/>
          <w:color w:val="auto"/>
          <w:sz w:val="20"/>
          <w:szCs w:val="20"/>
          <w:vertAlign w:val="superscript"/>
          <w:lang w:val="en-US"/>
        </w:rPr>
        <w:t>th</w:t>
      </w:r>
      <w:r w:rsidR="001C64DB" w:rsidRPr="007858CD">
        <w:rPr>
          <w:rFonts w:cs="Arial"/>
          <w:color w:val="auto"/>
          <w:sz w:val="20"/>
          <w:szCs w:val="20"/>
          <w:lang w:val="en-US"/>
        </w:rPr>
        <w:t xml:space="preserve"> </w:t>
      </w:r>
      <w:r w:rsidR="0028312A" w:rsidRPr="007858CD">
        <w:rPr>
          <w:rFonts w:cs="Arial"/>
          <w:color w:val="auto"/>
          <w:sz w:val="20"/>
          <w:szCs w:val="20"/>
          <w:lang w:val="en-US"/>
        </w:rPr>
        <w:t>May 202</w:t>
      </w:r>
      <w:r w:rsidR="001C64DB" w:rsidRPr="007858CD">
        <w:rPr>
          <w:rFonts w:cs="Arial"/>
          <w:color w:val="auto"/>
          <w:sz w:val="20"/>
          <w:szCs w:val="20"/>
          <w:lang w:val="en-US"/>
        </w:rPr>
        <w:t>2</w:t>
      </w:r>
      <w:r w:rsidRPr="007858CD">
        <w:rPr>
          <w:rFonts w:cs="Arial"/>
          <w:color w:val="auto"/>
          <w:sz w:val="20"/>
          <w:szCs w:val="20"/>
          <w:lang w:val="en-US"/>
        </w:rPr>
        <w:t>, reports as follows:</w:t>
      </w:r>
    </w:p>
    <w:p w:rsidR="000901C1" w:rsidRPr="007858CD" w:rsidRDefault="000901C1" w:rsidP="007858CD">
      <w:pPr>
        <w:rPr>
          <w:rFonts w:cs="Arial"/>
          <w:color w:val="auto"/>
          <w:sz w:val="20"/>
          <w:szCs w:val="20"/>
          <w:lang w:val="en-US"/>
        </w:rPr>
      </w:pPr>
    </w:p>
    <w:p w:rsidR="000901C1" w:rsidRPr="007858CD" w:rsidRDefault="000901C1" w:rsidP="007858CD">
      <w:pPr>
        <w:numPr>
          <w:ilvl w:val="0"/>
          <w:numId w:val="1"/>
        </w:numPr>
        <w:ind w:left="426"/>
        <w:rPr>
          <w:rFonts w:cs="Arial"/>
          <w:b/>
          <w:color w:val="auto"/>
          <w:sz w:val="20"/>
          <w:szCs w:val="20"/>
          <w:lang w:val="en-US"/>
        </w:rPr>
      </w:pPr>
      <w:r w:rsidRPr="007858CD">
        <w:rPr>
          <w:rFonts w:cs="Arial"/>
          <w:b/>
          <w:color w:val="auto"/>
          <w:sz w:val="20"/>
          <w:szCs w:val="20"/>
          <w:lang w:val="en-US"/>
        </w:rPr>
        <w:t>Introduction</w:t>
      </w:r>
    </w:p>
    <w:p w:rsidR="00892BB2" w:rsidRPr="007858CD" w:rsidRDefault="00892BB2" w:rsidP="007858CD">
      <w:pPr>
        <w:ind w:left="360"/>
        <w:rPr>
          <w:rFonts w:cs="Arial"/>
          <w:color w:val="auto"/>
          <w:sz w:val="20"/>
          <w:szCs w:val="20"/>
          <w:lang w:val="en-US"/>
        </w:rPr>
      </w:pPr>
    </w:p>
    <w:p w:rsidR="00D07093" w:rsidRPr="007858CD" w:rsidRDefault="00487F0A" w:rsidP="007858CD">
      <w:pPr>
        <w:rPr>
          <w:rFonts w:cs="Arial"/>
          <w:color w:val="auto"/>
          <w:sz w:val="20"/>
          <w:szCs w:val="20"/>
          <w:lang w:val="en-ZA"/>
        </w:rPr>
      </w:pPr>
      <w:r w:rsidRPr="007858CD">
        <w:rPr>
          <w:rFonts w:cs="Arial"/>
          <w:color w:val="auto"/>
          <w:sz w:val="20"/>
          <w:szCs w:val="20"/>
          <w:lang w:val="en-US"/>
        </w:rPr>
        <w:t xml:space="preserve">As per the Announcement, Tablings and Committees (ATC) </w:t>
      </w:r>
      <w:r w:rsidR="00D07093" w:rsidRPr="007858CD">
        <w:rPr>
          <w:rFonts w:cs="Arial"/>
          <w:color w:val="auto"/>
          <w:sz w:val="20"/>
          <w:szCs w:val="20"/>
          <w:lang w:val="en-US"/>
        </w:rPr>
        <w:t xml:space="preserve">No. </w:t>
      </w:r>
      <w:r w:rsidR="001C64DB" w:rsidRPr="007858CD">
        <w:rPr>
          <w:rFonts w:cs="Arial"/>
          <w:color w:val="auto"/>
          <w:sz w:val="20"/>
          <w:szCs w:val="20"/>
          <w:lang w:val="en-US"/>
        </w:rPr>
        <w:t>36</w:t>
      </w:r>
      <w:r w:rsidR="00D07093" w:rsidRPr="007858CD">
        <w:rPr>
          <w:rFonts w:cs="Arial"/>
          <w:color w:val="auto"/>
          <w:sz w:val="20"/>
          <w:szCs w:val="20"/>
          <w:lang w:val="en-US"/>
        </w:rPr>
        <w:t xml:space="preserve"> </w:t>
      </w:r>
      <w:r w:rsidRPr="007858CD">
        <w:rPr>
          <w:rFonts w:cs="Arial"/>
          <w:color w:val="auto"/>
          <w:sz w:val="20"/>
          <w:szCs w:val="20"/>
          <w:lang w:val="en-US"/>
        </w:rPr>
        <w:t xml:space="preserve">of </w:t>
      </w:r>
      <w:r w:rsidR="00D07093" w:rsidRPr="007858CD">
        <w:rPr>
          <w:rFonts w:cs="Arial"/>
          <w:color w:val="auto"/>
          <w:sz w:val="20"/>
          <w:szCs w:val="20"/>
          <w:lang w:val="en-US"/>
        </w:rPr>
        <w:t>1</w:t>
      </w:r>
      <w:r w:rsidR="001C64DB" w:rsidRPr="007858CD">
        <w:rPr>
          <w:rFonts w:cs="Arial"/>
          <w:color w:val="auto"/>
          <w:sz w:val="20"/>
          <w:szCs w:val="20"/>
          <w:lang w:val="en-US"/>
        </w:rPr>
        <w:t>1</w:t>
      </w:r>
      <w:r w:rsidR="00D07093" w:rsidRPr="007858CD">
        <w:rPr>
          <w:rFonts w:cs="Arial"/>
          <w:color w:val="auto"/>
          <w:sz w:val="20"/>
          <w:szCs w:val="20"/>
          <w:lang w:val="en-US"/>
        </w:rPr>
        <w:t xml:space="preserve"> </w:t>
      </w:r>
      <w:r w:rsidR="001C64DB" w:rsidRPr="007858CD">
        <w:rPr>
          <w:rFonts w:cs="Arial"/>
          <w:color w:val="auto"/>
          <w:sz w:val="20"/>
          <w:szCs w:val="20"/>
          <w:lang w:val="en-US"/>
        </w:rPr>
        <w:t xml:space="preserve">March </w:t>
      </w:r>
      <w:r w:rsidR="0028312A" w:rsidRPr="007858CD">
        <w:rPr>
          <w:rFonts w:cs="Arial"/>
          <w:color w:val="auto"/>
          <w:sz w:val="20"/>
          <w:szCs w:val="20"/>
          <w:lang w:val="en-US"/>
        </w:rPr>
        <w:t>202</w:t>
      </w:r>
      <w:r w:rsidR="001C64DB" w:rsidRPr="007858CD">
        <w:rPr>
          <w:rFonts w:cs="Arial"/>
          <w:color w:val="auto"/>
          <w:sz w:val="20"/>
          <w:szCs w:val="20"/>
          <w:lang w:val="en-US"/>
        </w:rPr>
        <w:t>2</w:t>
      </w:r>
      <w:r w:rsidR="004615AA" w:rsidRPr="007858CD">
        <w:rPr>
          <w:rFonts w:cs="Arial"/>
          <w:color w:val="auto"/>
          <w:sz w:val="20"/>
          <w:szCs w:val="20"/>
          <w:lang w:val="en-US"/>
        </w:rPr>
        <w:t>,</w:t>
      </w:r>
      <w:r w:rsidRPr="007858CD">
        <w:rPr>
          <w:rFonts w:cs="Arial"/>
          <w:color w:val="auto"/>
          <w:sz w:val="20"/>
          <w:szCs w:val="20"/>
          <w:lang w:val="en-US"/>
        </w:rPr>
        <w:t xml:space="preserve"> the Department of Women, Youth and Persons with Disabilities</w:t>
      </w:r>
      <w:r w:rsidR="007A5C47" w:rsidRPr="007858CD">
        <w:rPr>
          <w:rFonts w:cs="Arial"/>
          <w:color w:val="auto"/>
          <w:sz w:val="20"/>
          <w:szCs w:val="20"/>
          <w:lang w:val="en-US"/>
        </w:rPr>
        <w:t xml:space="preserve"> </w:t>
      </w:r>
      <w:r w:rsidRPr="007858CD">
        <w:rPr>
          <w:rFonts w:cs="Arial"/>
          <w:color w:val="auto"/>
          <w:sz w:val="20"/>
          <w:szCs w:val="20"/>
          <w:lang w:val="en-US"/>
        </w:rPr>
        <w:t>20</w:t>
      </w:r>
      <w:r w:rsidR="0028312A" w:rsidRPr="007858CD">
        <w:rPr>
          <w:rFonts w:cs="Arial"/>
          <w:color w:val="auto"/>
          <w:sz w:val="20"/>
          <w:szCs w:val="20"/>
          <w:lang w:val="en-US"/>
        </w:rPr>
        <w:t>2</w:t>
      </w:r>
      <w:r w:rsidR="001C64DB" w:rsidRPr="007858CD">
        <w:rPr>
          <w:rFonts w:cs="Arial"/>
          <w:color w:val="auto"/>
          <w:sz w:val="20"/>
          <w:szCs w:val="20"/>
          <w:lang w:val="en-US"/>
        </w:rPr>
        <w:t>2/23</w:t>
      </w:r>
      <w:r w:rsidR="001F6895" w:rsidRPr="007858CD">
        <w:rPr>
          <w:rFonts w:cs="Arial"/>
          <w:color w:val="auto"/>
          <w:sz w:val="20"/>
          <w:szCs w:val="20"/>
          <w:lang w:val="en-US"/>
        </w:rPr>
        <w:t xml:space="preserve"> tabled its Annual Performance Plan for 2022/23 for consideration and report. The </w:t>
      </w:r>
      <w:r w:rsidR="00D07093" w:rsidRPr="007858CD">
        <w:rPr>
          <w:rFonts w:cs="Arial"/>
          <w:color w:val="auto"/>
          <w:sz w:val="20"/>
          <w:szCs w:val="20"/>
          <w:lang w:val="en-US"/>
        </w:rPr>
        <w:t>National Youth Development Agency’s</w:t>
      </w:r>
      <w:r w:rsidR="001F6895" w:rsidRPr="007858CD">
        <w:rPr>
          <w:rFonts w:cs="Arial"/>
          <w:color w:val="auto"/>
          <w:sz w:val="20"/>
          <w:szCs w:val="20"/>
          <w:lang w:val="en-US"/>
        </w:rPr>
        <w:t xml:space="preserve"> (NYDA) Revised Strategic Plan and</w:t>
      </w:r>
      <w:r w:rsidR="00D07093" w:rsidRPr="007858CD">
        <w:rPr>
          <w:rFonts w:cs="Arial"/>
          <w:color w:val="auto"/>
          <w:sz w:val="20"/>
          <w:szCs w:val="20"/>
          <w:lang w:val="en-US"/>
        </w:rPr>
        <w:t xml:space="preserve"> </w:t>
      </w:r>
      <w:r w:rsidRPr="007858CD">
        <w:rPr>
          <w:rFonts w:cs="Arial"/>
          <w:color w:val="auto"/>
          <w:sz w:val="20"/>
          <w:szCs w:val="20"/>
          <w:lang w:val="en-US"/>
        </w:rPr>
        <w:t>Annual Performance Plan</w:t>
      </w:r>
      <w:r w:rsidR="007A5C47" w:rsidRPr="007858CD">
        <w:rPr>
          <w:rFonts w:cs="Arial"/>
          <w:color w:val="auto"/>
          <w:sz w:val="20"/>
          <w:szCs w:val="20"/>
          <w:lang w:val="en-US"/>
        </w:rPr>
        <w:t xml:space="preserve"> (APPs)</w:t>
      </w:r>
      <w:r w:rsidR="001F6895" w:rsidRPr="007858CD">
        <w:rPr>
          <w:rFonts w:cs="Arial"/>
          <w:color w:val="auto"/>
          <w:sz w:val="20"/>
          <w:szCs w:val="20"/>
          <w:lang w:val="en-US"/>
        </w:rPr>
        <w:t xml:space="preserve"> 2022/23</w:t>
      </w:r>
      <w:r w:rsidR="00D07093" w:rsidRPr="007858CD">
        <w:rPr>
          <w:rFonts w:cs="Arial"/>
          <w:color w:val="auto"/>
          <w:sz w:val="20"/>
          <w:szCs w:val="20"/>
          <w:lang w:val="en-US"/>
        </w:rPr>
        <w:t xml:space="preserve"> were tabled the for consideration and report</w:t>
      </w:r>
      <w:r w:rsidR="001F6895" w:rsidRPr="007858CD">
        <w:rPr>
          <w:rFonts w:cs="Arial"/>
          <w:color w:val="auto"/>
          <w:sz w:val="20"/>
          <w:szCs w:val="20"/>
          <w:lang w:val="en-US"/>
        </w:rPr>
        <w:t xml:space="preserve"> as per the ATC No. </w:t>
      </w:r>
      <w:r w:rsidR="00533FB8" w:rsidRPr="007858CD">
        <w:rPr>
          <w:rFonts w:cs="Arial"/>
          <w:color w:val="auto"/>
          <w:sz w:val="20"/>
          <w:szCs w:val="20"/>
          <w:lang w:val="en-US"/>
        </w:rPr>
        <w:t>47</w:t>
      </w:r>
      <w:r w:rsidR="001F6895" w:rsidRPr="007858CD">
        <w:rPr>
          <w:rFonts w:cs="Arial"/>
          <w:color w:val="auto"/>
          <w:sz w:val="20"/>
          <w:szCs w:val="20"/>
          <w:lang w:val="en-US"/>
        </w:rPr>
        <w:t xml:space="preserve"> of </w:t>
      </w:r>
      <w:r w:rsidR="00533FB8" w:rsidRPr="007858CD">
        <w:rPr>
          <w:rFonts w:cs="Arial"/>
          <w:color w:val="auto"/>
          <w:sz w:val="20"/>
          <w:szCs w:val="20"/>
          <w:lang w:val="en-US"/>
        </w:rPr>
        <w:t xml:space="preserve">29 March </w:t>
      </w:r>
      <w:r w:rsidR="001F6895" w:rsidRPr="007858CD">
        <w:rPr>
          <w:rFonts w:cs="Arial"/>
          <w:color w:val="auto"/>
          <w:sz w:val="20"/>
          <w:szCs w:val="20"/>
          <w:lang w:val="en-US"/>
        </w:rPr>
        <w:t>2022</w:t>
      </w:r>
      <w:r w:rsidRPr="007858CD">
        <w:rPr>
          <w:rFonts w:cs="Arial"/>
          <w:color w:val="auto"/>
          <w:sz w:val="20"/>
          <w:szCs w:val="20"/>
          <w:lang w:val="en-US"/>
        </w:rPr>
        <w:t>.</w:t>
      </w:r>
      <w:r w:rsidR="00D07093" w:rsidRPr="007858CD">
        <w:rPr>
          <w:rFonts w:cs="Arial"/>
          <w:color w:val="auto"/>
          <w:sz w:val="20"/>
          <w:szCs w:val="20"/>
          <w:lang w:val="en-US"/>
        </w:rPr>
        <w:t xml:space="preserve"> The CGE’s A</w:t>
      </w:r>
      <w:r w:rsidR="00D07093" w:rsidRPr="007858CD">
        <w:rPr>
          <w:rFonts w:cs="Arial"/>
          <w:color w:val="auto"/>
          <w:sz w:val="20"/>
          <w:szCs w:val="20"/>
          <w:lang w:val="en-ZA"/>
        </w:rPr>
        <w:t>mended 5 Year Strategic Plan of the Commission on Gender Equality for 2019 – 2024 and the Annual Performance Plan of the Commission on Gender Equality for 202</w:t>
      </w:r>
      <w:r w:rsidR="001C64DB" w:rsidRPr="007858CD">
        <w:rPr>
          <w:rFonts w:cs="Arial"/>
          <w:color w:val="auto"/>
          <w:sz w:val="20"/>
          <w:szCs w:val="20"/>
          <w:lang w:val="en-ZA"/>
        </w:rPr>
        <w:t>2/23</w:t>
      </w:r>
      <w:r w:rsidR="00D07093" w:rsidRPr="007858CD">
        <w:rPr>
          <w:rFonts w:cs="Arial"/>
          <w:color w:val="auto"/>
          <w:sz w:val="20"/>
          <w:szCs w:val="20"/>
          <w:lang w:val="en-ZA"/>
        </w:rPr>
        <w:t xml:space="preserve"> was tabled as per the ATC No.</w:t>
      </w:r>
      <w:r w:rsidR="00C44E9D" w:rsidRPr="007858CD">
        <w:rPr>
          <w:rFonts w:cs="Arial"/>
          <w:color w:val="auto"/>
          <w:sz w:val="20"/>
          <w:szCs w:val="20"/>
          <w:lang w:val="en-ZA"/>
        </w:rPr>
        <w:t xml:space="preserve"> 71</w:t>
      </w:r>
      <w:r w:rsidR="00D07093" w:rsidRPr="007858CD">
        <w:rPr>
          <w:rFonts w:cs="Arial"/>
          <w:color w:val="auto"/>
          <w:sz w:val="20"/>
          <w:szCs w:val="20"/>
          <w:lang w:val="en-ZA"/>
        </w:rPr>
        <w:t xml:space="preserve"> on </w:t>
      </w:r>
      <w:r w:rsidR="00C44E9D" w:rsidRPr="007858CD">
        <w:rPr>
          <w:rFonts w:cs="Arial"/>
          <w:color w:val="auto"/>
          <w:sz w:val="20"/>
          <w:szCs w:val="20"/>
          <w:lang w:val="en-ZA"/>
        </w:rPr>
        <w:t xml:space="preserve">16 May </w:t>
      </w:r>
      <w:r w:rsidR="001C64DB" w:rsidRPr="007858CD">
        <w:rPr>
          <w:rFonts w:cs="Arial"/>
          <w:color w:val="auto"/>
          <w:sz w:val="20"/>
          <w:szCs w:val="20"/>
          <w:lang w:val="en-ZA"/>
        </w:rPr>
        <w:t>2022</w:t>
      </w:r>
      <w:r w:rsidR="00D07093" w:rsidRPr="007858CD">
        <w:rPr>
          <w:rFonts w:cs="Arial"/>
          <w:color w:val="auto"/>
          <w:sz w:val="20"/>
          <w:szCs w:val="20"/>
          <w:lang w:val="en-ZA"/>
        </w:rPr>
        <w:t>.</w:t>
      </w:r>
    </w:p>
    <w:p w:rsidR="00487F0A" w:rsidRPr="007858CD" w:rsidRDefault="00487F0A" w:rsidP="007858CD">
      <w:pPr>
        <w:rPr>
          <w:rFonts w:cs="Arial"/>
          <w:color w:val="auto"/>
          <w:sz w:val="20"/>
          <w:szCs w:val="20"/>
          <w:lang w:val="en-US"/>
        </w:rPr>
      </w:pPr>
    </w:p>
    <w:p w:rsidR="00857D5D" w:rsidRPr="007858CD" w:rsidRDefault="00857D5D" w:rsidP="007858CD">
      <w:pPr>
        <w:rPr>
          <w:rFonts w:cs="Arial"/>
          <w:color w:val="auto"/>
          <w:sz w:val="20"/>
          <w:szCs w:val="20"/>
          <w:lang w:val="en-US"/>
        </w:rPr>
      </w:pPr>
      <w:r w:rsidRPr="007858CD">
        <w:rPr>
          <w:rFonts w:cs="Arial"/>
          <w:color w:val="auto"/>
          <w:sz w:val="20"/>
          <w:szCs w:val="20"/>
          <w:lang w:val="en-US"/>
        </w:rPr>
        <w:t>The Portfolio Committee on Women, Youth and Persons with Disabilities, in performing its constitutional oversight mandate, engaged with the Department of Women, Youth and Persons with Disabilities (hereafter referred to as the Department), the National Youth Development Agency (NYDA) and the Commission for Gender Equality (CGE) on their respective Annual Performance Plans for 202</w:t>
      </w:r>
      <w:r w:rsidR="001F6895" w:rsidRPr="007858CD">
        <w:rPr>
          <w:rFonts w:cs="Arial"/>
          <w:color w:val="auto"/>
          <w:sz w:val="20"/>
          <w:szCs w:val="20"/>
          <w:lang w:val="en-US"/>
        </w:rPr>
        <w:t>2/23</w:t>
      </w:r>
      <w:r w:rsidRPr="007858CD">
        <w:rPr>
          <w:rFonts w:cs="Arial"/>
          <w:color w:val="auto"/>
          <w:sz w:val="20"/>
          <w:szCs w:val="20"/>
          <w:lang w:val="en-US"/>
        </w:rPr>
        <w:t xml:space="preserve"> and </w:t>
      </w:r>
      <w:r w:rsidR="001F6895" w:rsidRPr="007858CD">
        <w:rPr>
          <w:rFonts w:cs="Arial"/>
          <w:color w:val="auto"/>
          <w:sz w:val="20"/>
          <w:szCs w:val="20"/>
          <w:lang w:val="en-US"/>
        </w:rPr>
        <w:t>revised</w:t>
      </w:r>
      <w:r w:rsidRPr="007858CD">
        <w:rPr>
          <w:rFonts w:cs="Arial"/>
          <w:color w:val="auto"/>
          <w:sz w:val="20"/>
          <w:szCs w:val="20"/>
          <w:lang w:val="en-US"/>
        </w:rPr>
        <w:t xml:space="preserve"> Strategic Plans on </w:t>
      </w:r>
      <w:r w:rsidR="001F6895" w:rsidRPr="007858CD">
        <w:rPr>
          <w:rFonts w:cs="Arial"/>
          <w:color w:val="auto"/>
          <w:sz w:val="20"/>
          <w:szCs w:val="20"/>
          <w:lang w:val="en-US"/>
        </w:rPr>
        <w:t>3</w:t>
      </w:r>
      <w:r w:rsidR="001F6895" w:rsidRPr="007858CD">
        <w:rPr>
          <w:rFonts w:cs="Arial"/>
          <w:color w:val="auto"/>
          <w:sz w:val="20"/>
          <w:szCs w:val="20"/>
          <w:vertAlign w:val="superscript"/>
          <w:lang w:val="en-US"/>
        </w:rPr>
        <w:t xml:space="preserve">rd, </w:t>
      </w:r>
      <w:r w:rsidR="001F6895" w:rsidRPr="007858CD">
        <w:rPr>
          <w:rFonts w:cs="Arial"/>
          <w:color w:val="auto"/>
          <w:sz w:val="20"/>
          <w:szCs w:val="20"/>
          <w:lang w:val="en-US"/>
        </w:rPr>
        <w:t>6</w:t>
      </w:r>
      <w:r w:rsidR="001F6895" w:rsidRPr="007858CD">
        <w:rPr>
          <w:rFonts w:cs="Arial"/>
          <w:color w:val="auto"/>
          <w:sz w:val="20"/>
          <w:szCs w:val="20"/>
          <w:vertAlign w:val="superscript"/>
          <w:lang w:val="en-US"/>
        </w:rPr>
        <w:t>th</w:t>
      </w:r>
      <w:r w:rsidR="001F6895" w:rsidRPr="007858CD">
        <w:rPr>
          <w:rFonts w:cs="Arial"/>
          <w:color w:val="auto"/>
          <w:sz w:val="20"/>
          <w:szCs w:val="20"/>
          <w:lang w:val="en-US"/>
        </w:rPr>
        <w:t>, 10</w:t>
      </w:r>
      <w:r w:rsidR="001F6895" w:rsidRPr="007858CD">
        <w:rPr>
          <w:rFonts w:cs="Arial"/>
          <w:color w:val="auto"/>
          <w:sz w:val="20"/>
          <w:szCs w:val="20"/>
          <w:vertAlign w:val="superscript"/>
          <w:lang w:val="en-US"/>
        </w:rPr>
        <w:t>th</w:t>
      </w:r>
      <w:r w:rsidR="001F6895" w:rsidRPr="007858CD">
        <w:rPr>
          <w:rFonts w:cs="Arial"/>
          <w:color w:val="auto"/>
          <w:sz w:val="20"/>
          <w:szCs w:val="20"/>
          <w:lang w:val="en-US"/>
        </w:rPr>
        <w:t xml:space="preserve"> and 11</w:t>
      </w:r>
      <w:r w:rsidR="001F6895" w:rsidRPr="007858CD">
        <w:rPr>
          <w:rFonts w:cs="Arial"/>
          <w:color w:val="auto"/>
          <w:sz w:val="20"/>
          <w:szCs w:val="20"/>
          <w:vertAlign w:val="superscript"/>
          <w:lang w:val="en-US"/>
        </w:rPr>
        <w:t>th</w:t>
      </w:r>
      <w:r w:rsidR="001F6895" w:rsidRPr="007858CD">
        <w:rPr>
          <w:rFonts w:cs="Arial"/>
          <w:color w:val="auto"/>
          <w:sz w:val="20"/>
          <w:szCs w:val="20"/>
          <w:lang w:val="en-US"/>
        </w:rPr>
        <w:t xml:space="preserve"> </w:t>
      </w:r>
      <w:r w:rsidR="00D07093" w:rsidRPr="007858CD">
        <w:rPr>
          <w:rFonts w:cs="Arial"/>
          <w:color w:val="auto"/>
          <w:sz w:val="20"/>
          <w:szCs w:val="20"/>
          <w:lang w:val="en-US"/>
        </w:rPr>
        <w:t>M</w:t>
      </w:r>
      <w:r w:rsidRPr="007858CD">
        <w:rPr>
          <w:rFonts w:cs="Arial"/>
          <w:color w:val="auto"/>
          <w:sz w:val="20"/>
          <w:szCs w:val="20"/>
          <w:lang w:val="en-US"/>
        </w:rPr>
        <w:t>ay 202</w:t>
      </w:r>
      <w:r w:rsidR="001F6895" w:rsidRPr="007858CD">
        <w:rPr>
          <w:rFonts w:cs="Arial"/>
          <w:color w:val="auto"/>
          <w:sz w:val="20"/>
          <w:szCs w:val="20"/>
          <w:lang w:val="en-US"/>
        </w:rPr>
        <w:t>2</w:t>
      </w:r>
      <w:r w:rsidRPr="007858CD">
        <w:rPr>
          <w:rFonts w:cs="Arial"/>
          <w:color w:val="auto"/>
          <w:sz w:val="20"/>
          <w:szCs w:val="20"/>
          <w:lang w:val="en-US"/>
        </w:rPr>
        <w:t xml:space="preserve"> respectively. </w:t>
      </w:r>
      <w:r w:rsidR="001F6895" w:rsidRPr="007858CD">
        <w:rPr>
          <w:rFonts w:cs="Arial"/>
          <w:color w:val="auto"/>
          <w:sz w:val="20"/>
          <w:szCs w:val="20"/>
          <w:lang w:val="en-US"/>
        </w:rPr>
        <w:t xml:space="preserve">The Auditor General of South Africa also briefed the Committee on its assessment of the Department’ APP and NYDA’s APP for the current financial year (FY) 2022/23. </w:t>
      </w:r>
      <w:r w:rsidRPr="007858CD">
        <w:rPr>
          <w:rFonts w:cs="Arial"/>
          <w:color w:val="auto"/>
          <w:sz w:val="20"/>
          <w:szCs w:val="20"/>
          <w:lang w:val="en-US"/>
        </w:rPr>
        <w:t>This report considers all matters pertaining to the Department, and thereafter the CGE and NYDA insofar as the tabled documents are concerned.</w:t>
      </w:r>
    </w:p>
    <w:p w:rsidR="002E02E3" w:rsidRPr="007858CD" w:rsidRDefault="002E02E3" w:rsidP="007858CD">
      <w:pPr>
        <w:rPr>
          <w:rFonts w:cs="Arial"/>
          <w:color w:val="auto"/>
          <w:sz w:val="20"/>
          <w:szCs w:val="20"/>
          <w:lang w:val="en-US"/>
        </w:rPr>
      </w:pPr>
    </w:p>
    <w:p w:rsidR="00DE4BA7" w:rsidRPr="007858CD" w:rsidRDefault="00DE4BA7" w:rsidP="007858CD">
      <w:pPr>
        <w:rPr>
          <w:rFonts w:cs="Arial"/>
          <w:color w:val="auto"/>
          <w:sz w:val="20"/>
          <w:szCs w:val="20"/>
          <w:lang w:val="en-US"/>
        </w:rPr>
      </w:pPr>
    </w:p>
    <w:p w:rsidR="00283261" w:rsidRPr="007858CD" w:rsidRDefault="00915C92" w:rsidP="007858CD">
      <w:pPr>
        <w:numPr>
          <w:ilvl w:val="0"/>
          <w:numId w:val="1"/>
        </w:numPr>
        <w:ind w:left="426"/>
        <w:rPr>
          <w:rFonts w:cs="Arial"/>
          <w:b/>
          <w:color w:val="auto"/>
          <w:sz w:val="20"/>
          <w:szCs w:val="20"/>
          <w:lang w:val="en-US"/>
        </w:rPr>
      </w:pPr>
      <w:r w:rsidRPr="007858CD">
        <w:rPr>
          <w:rFonts w:cs="Arial"/>
          <w:b/>
          <w:color w:val="auto"/>
          <w:sz w:val="20"/>
          <w:szCs w:val="20"/>
          <w:lang w:val="en-US"/>
        </w:rPr>
        <w:t>Mandate and strategic objective</w:t>
      </w:r>
      <w:r w:rsidR="000021D9" w:rsidRPr="007858CD">
        <w:rPr>
          <w:rFonts w:cs="Arial"/>
          <w:b/>
          <w:color w:val="auto"/>
          <w:sz w:val="20"/>
          <w:szCs w:val="20"/>
          <w:lang w:val="en-US"/>
        </w:rPr>
        <w:t>s</w:t>
      </w:r>
      <w:r w:rsidRPr="007858CD">
        <w:rPr>
          <w:rFonts w:cs="Arial"/>
          <w:b/>
          <w:color w:val="auto"/>
          <w:sz w:val="20"/>
          <w:szCs w:val="20"/>
          <w:lang w:val="en-US"/>
        </w:rPr>
        <w:t xml:space="preserve"> of the Department</w:t>
      </w:r>
    </w:p>
    <w:p w:rsidR="00283261" w:rsidRPr="007858CD" w:rsidRDefault="00283261" w:rsidP="007858CD">
      <w:pPr>
        <w:ind w:left="720"/>
        <w:rPr>
          <w:rFonts w:cs="Arial"/>
          <w:color w:val="auto"/>
          <w:sz w:val="20"/>
          <w:szCs w:val="20"/>
          <w:lang w:val="en-US"/>
        </w:rPr>
      </w:pPr>
    </w:p>
    <w:p w:rsidR="0094259F" w:rsidRPr="007858CD" w:rsidRDefault="0094259F" w:rsidP="007858CD">
      <w:pPr>
        <w:rPr>
          <w:rFonts w:cs="Arial"/>
          <w:b/>
          <w:bCs/>
          <w:color w:val="auto"/>
          <w:sz w:val="20"/>
          <w:szCs w:val="20"/>
          <w:lang w:val="en-US"/>
        </w:rPr>
      </w:pPr>
      <w:r w:rsidRPr="007858CD">
        <w:rPr>
          <w:rFonts w:cs="Arial"/>
          <w:color w:val="auto"/>
          <w:sz w:val="20"/>
          <w:szCs w:val="20"/>
          <w:lang w:val="en-US"/>
        </w:rPr>
        <w:t>The Department of Women, Youth and Persons with Disabilities was Gazetted on 26 June 2019 following the Presidential Announcement of the sixth administration.</w:t>
      </w:r>
      <w:r w:rsidR="008B4285" w:rsidRPr="007858CD">
        <w:rPr>
          <w:rFonts w:cs="Arial"/>
          <w:color w:val="auto"/>
          <w:spacing w:val="0"/>
          <w:sz w:val="20"/>
          <w:szCs w:val="20"/>
          <w:lang w:val="en-ZA" w:eastAsia="en-ZA"/>
        </w:rPr>
        <w:t xml:space="preserve"> </w:t>
      </w:r>
      <w:r w:rsidR="008B4285" w:rsidRPr="007858CD">
        <w:rPr>
          <w:rFonts w:cs="Arial"/>
          <w:color w:val="auto"/>
          <w:sz w:val="20"/>
          <w:szCs w:val="20"/>
          <w:lang w:val="en-ZA"/>
        </w:rPr>
        <w:t xml:space="preserve">At that stage, the Department was once again reconfigured and was charged with </w:t>
      </w:r>
      <w:r w:rsidR="008B4285" w:rsidRPr="007858CD">
        <w:rPr>
          <w:rFonts w:cs="Arial"/>
          <w:b/>
          <w:bCs/>
          <w:color w:val="auto"/>
          <w:sz w:val="20"/>
          <w:szCs w:val="20"/>
          <w:lang w:val="en-ZA"/>
        </w:rPr>
        <w:t>“</w:t>
      </w:r>
      <w:r w:rsidR="008B4285" w:rsidRPr="007858CD">
        <w:rPr>
          <w:rFonts w:cs="Arial"/>
          <w:bCs/>
          <w:color w:val="auto"/>
          <w:sz w:val="20"/>
          <w:szCs w:val="20"/>
          <w:lang w:val="en-ZA"/>
        </w:rPr>
        <w:t>taking the lead on socio-economic transformation and implementation of the empowerment and participation of women, youth and persons with disabilities through mainstreaming, advocacy, monitoring and evaluation.”</w:t>
      </w:r>
      <w:r w:rsidR="008B4285" w:rsidRPr="007858CD">
        <w:rPr>
          <w:rStyle w:val="FootnoteReference"/>
          <w:rFonts w:cs="Arial"/>
          <w:bCs/>
          <w:color w:val="auto"/>
          <w:sz w:val="20"/>
          <w:szCs w:val="20"/>
          <w:lang w:val="en-ZA"/>
        </w:rPr>
        <w:footnoteReference w:id="1"/>
      </w:r>
      <w:r w:rsidR="008B4285" w:rsidRPr="007858CD">
        <w:rPr>
          <w:rFonts w:cs="Arial"/>
          <w:bCs/>
          <w:color w:val="auto"/>
          <w:sz w:val="20"/>
          <w:szCs w:val="20"/>
          <w:lang w:val="en-ZA"/>
        </w:rPr>
        <w:t xml:space="preserve"> </w:t>
      </w:r>
      <w:r w:rsidR="00E02A5B" w:rsidRPr="007858CD">
        <w:rPr>
          <w:rFonts w:cs="Arial"/>
          <w:bCs/>
          <w:color w:val="auto"/>
          <w:sz w:val="20"/>
          <w:szCs w:val="20"/>
        </w:rPr>
        <w:t>Subsequently, the mandate was changed to, “</w:t>
      </w:r>
      <w:r w:rsidR="00E02A5B" w:rsidRPr="007858CD">
        <w:rPr>
          <w:rFonts w:cs="Arial"/>
          <w:bCs/>
          <w:color w:val="auto"/>
          <w:sz w:val="20"/>
          <w:szCs w:val="20"/>
          <w:lang w:val="en-ZA"/>
        </w:rPr>
        <w:t>regulate the socio-economic transformation and implementation of the empowerment and participation of women, youth and persons with disabilities.”</w:t>
      </w:r>
      <w:r w:rsidR="00E02A5B" w:rsidRPr="007858CD">
        <w:rPr>
          <w:rStyle w:val="FootnoteReference"/>
          <w:rFonts w:cs="Arial"/>
          <w:bCs/>
          <w:color w:val="auto"/>
          <w:sz w:val="20"/>
          <w:szCs w:val="20"/>
          <w:lang w:val="en-ZA"/>
        </w:rPr>
        <w:footnoteReference w:id="2"/>
      </w:r>
      <w:r w:rsidR="00E02A5B" w:rsidRPr="007858CD">
        <w:rPr>
          <w:rFonts w:cs="Arial"/>
          <w:bCs/>
          <w:color w:val="auto"/>
          <w:sz w:val="20"/>
          <w:szCs w:val="20"/>
          <w:lang w:val="en-ZA"/>
        </w:rPr>
        <w:br/>
      </w:r>
    </w:p>
    <w:p w:rsidR="0094259F" w:rsidRPr="007858CD" w:rsidRDefault="0094259F" w:rsidP="007858CD">
      <w:pPr>
        <w:rPr>
          <w:rFonts w:cs="Arial"/>
          <w:b/>
          <w:bCs/>
          <w:color w:val="auto"/>
          <w:sz w:val="20"/>
          <w:szCs w:val="20"/>
          <w:lang w:val="en-US"/>
        </w:rPr>
      </w:pPr>
      <w:r w:rsidRPr="007858CD">
        <w:rPr>
          <w:rFonts w:cs="Arial"/>
          <w:b/>
          <w:bCs/>
          <w:color w:val="auto"/>
          <w:sz w:val="20"/>
          <w:szCs w:val="20"/>
          <w:lang w:val="en-US"/>
        </w:rPr>
        <w:t>(a) Vision</w:t>
      </w:r>
    </w:p>
    <w:p w:rsidR="00E96473" w:rsidRPr="007858CD" w:rsidRDefault="00E96473" w:rsidP="007858CD">
      <w:pPr>
        <w:rPr>
          <w:rFonts w:cs="Arial"/>
          <w:color w:val="auto"/>
          <w:sz w:val="20"/>
          <w:szCs w:val="20"/>
          <w:lang w:val="en-US"/>
        </w:rPr>
      </w:pPr>
    </w:p>
    <w:p w:rsidR="0094259F" w:rsidRPr="007858CD" w:rsidRDefault="0094259F" w:rsidP="007858CD">
      <w:pPr>
        <w:rPr>
          <w:rFonts w:cs="Arial"/>
          <w:color w:val="auto"/>
          <w:sz w:val="20"/>
          <w:szCs w:val="20"/>
          <w:lang w:val="en-US"/>
        </w:rPr>
      </w:pPr>
      <w:r w:rsidRPr="007858CD">
        <w:rPr>
          <w:rFonts w:cs="Arial"/>
          <w:color w:val="auto"/>
          <w:sz w:val="20"/>
          <w:szCs w:val="20"/>
          <w:lang w:val="en-US"/>
        </w:rPr>
        <w:t xml:space="preserve">The Department indicated that its </w:t>
      </w:r>
      <w:r w:rsidR="00E96473" w:rsidRPr="007858CD">
        <w:rPr>
          <w:rFonts w:cs="Arial"/>
          <w:color w:val="auto"/>
          <w:sz w:val="20"/>
          <w:szCs w:val="20"/>
          <w:lang w:val="en-US"/>
        </w:rPr>
        <w:t xml:space="preserve">revised </w:t>
      </w:r>
      <w:r w:rsidRPr="007858CD">
        <w:rPr>
          <w:rFonts w:cs="Arial"/>
          <w:color w:val="auto"/>
          <w:sz w:val="20"/>
          <w:szCs w:val="20"/>
          <w:lang w:val="en-US"/>
        </w:rPr>
        <w:t>vision is</w:t>
      </w:r>
      <w:r w:rsidR="00E96473" w:rsidRPr="007858CD">
        <w:rPr>
          <w:rFonts w:cs="Arial"/>
          <w:color w:val="auto"/>
          <w:spacing w:val="0"/>
          <w:sz w:val="20"/>
          <w:szCs w:val="20"/>
          <w:lang w:val="en-ZA" w:eastAsia="en-ZA"/>
        </w:rPr>
        <w:t xml:space="preserve"> “</w:t>
      </w:r>
      <w:r w:rsidR="00E96473" w:rsidRPr="007858CD">
        <w:rPr>
          <w:rFonts w:cs="Arial"/>
          <w:color w:val="auto"/>
          <w:sz w:val="20"/>
          <w:szCs w:val="20"/>
          <w:lang w:val="en-ZA"/>
        </w:rPr>
        <w:t>Rights of Women, Youth and Persons with Disabilities realized</w:t>
      </w:r>
      <w:r w:rsidR="00E96473" w:rsidRPr="007858CD">
        <w:rPr>
          <w:rFonts w:cs="Arial"/>
          <w:color w:val="auto"/>
          <w:sz w:val="20"/>
          <w:szCs w:val="20"/>
          <w:lang w:val="en-US"/>
        </w:rPr>
        <w:t>.”</w:t>
      </w:r>
      <w:r w:rsidR="00E96473" w:rsidRPr="007858CD">
        <w:rPr>
          <w:rStyle w:val="FootnoteReference"/>
          <w:rFonts w:cs="Arial"/>
          <w:color w:val="auto"/>
          <w:sz w:val="20"/>
          <w:szCs w:val="20"/>
          <w:lang w:val="en-US"/>
        </w:rPr>
        <w:footnoteReference w:id="3"/>
      </w:r>
    </w:p>
    <w:p w:rsidR="0094259F" w:rsidRPr="007858CD" w:rsidRDefault="0094259F" w:rsidP="007858CD">
      <w:pPr>
        <w:rPr>
          <w:rFonts w:cs="Arial"/>
          <w:color w:val="auto"/>
          <w:sz w:val="20"/>
          <w:szCs w:val="20"/>
          <w:lang w:val="en-US"/>
        </w:rPr>
      </w:pPr>
    </w:p>
    <w:p w:rsidR="0094259F" w:rsidRPr="007858CD" w:rsidRDefault="0094259F" w:rsidP="007858CD">
      <w:pPr>
        <w:rPr>
          <w:rFonts w:cs="Arial"/>
          <w:b/>
          <w:bCs/>
          <w:color w:val="auto"/>
          <w:sz w:val="20"/>
          <w:szCs w:val="20"/>
          <w:lang w:val="en-US"/>
        </w:rPr>
      </w:pPr>
      <w:r w:rsidRPr="007858CD">
        <w:rPr>
          <w:rFonts w:cs="Arial"/>
          <w:b/>
          <w:bCs/>
          <w:color w:val="auto"/>
          <w:sz w:val="20"/>
          <w:szCs w:val="20"/>
          <w:lang w:val="en-US"/>
        </w:rPr>
        <w:t>(b) Mission</w:t>
      </w:r>
    </w:p>
    <w:p w:rsidR="00E96473" w:rsidRPr="007858CD" w:rsidRDefault="00E96473" w:rsidP="007858CD">
      <w:pPr>
        <w:rPr>
          <w:rFonts w:cs="Arial"/>
          <w:color w:val="auto"/>
          <w:sz w:val="20"/>
          <w:szCs w:val="20"/>
          <w:lang w:val="en-US"/>
        </w:rPr>
      </w:pPr>
    </w:p>
    <w:p w:rsidR="0094259F" w:rsidRPr="007858CD" w:rsidRDefault="0094259F" w:rsidP="007858CD">
      <w:pPr>
        <w:rPr>
          <w:rFonts w:cs="Arial"/>
          <w:color w:val="auto"/>
          <w:sz w:val="20"/>
          <w:szCs w:val="20"/>
          <w:lang w:val="en-US"/>
        </w:rPr>
      </w:pPr>
      <w:r w:rsidRPr="007858CD">
        <w:rPr>
          <w:rFonts w:cs="Arial"/>
          <w:color w:val="auto"/>
          <w:sz w:val="20"/>
          <w:szCs w:val="20"/>
          <w:lang w:val="en-US"/>
        </w:rPr>
        <w:t xml:space="preserve">The </w:t>
      </w:r>
      <w:r w:rsidR="00E96473" w:rsidRPr="007858CD">
        <w:rPr>
          <w:rFonts w:cs="Arial"/>
          <w:color w:val="auto"/>
          <w:sz w:val="20"/>
          <w:szCs w:val="20"/>
          <w:lang w:val="en-US"/>
        </w:rPr>
        <w:t xml:space="preserve">revised </w:t>
      </w:r>
      <w:r w:rsidRPr="007858CD">
        <w:rPr>
          <w:rFonts w:cs="Arial"/>
          <w:color w:val="auto"/>
          <w:sz w:val="20"/>
          <w:szCs w:val="20"/>
          <w:lang w:val="en-US"/>
        </w:rPr>
        <w:t xml:space="preserve">mission </w:t>
      </w:r>
      <w:r w:rsidR="00E96473" w:rsidRPr="007858CD">
        <w:rPr>
          <w:rFonts w:cs="Arial"/>
          <w:color w:val="auto"/>
          <w:sz w:val="20"/>
          <w:szCs w:val="20"/>
          <w:lang w:val="en-US"/>
        </w:rPr>
        <w:t>of the Department will by undertaken “</w:t>
      </w:r>
      <w:r w:rsidR="00E96473" w:rsidRPr="007858CD">
        <w:rPr>
          <w:rFonts w:cs="Arial"/>
          <w:color w:val="auto"/>
          <w:sz w:val="20"/>
          <w:szCs w:val="20"/>
          <w:lang w:val="en-ZA"/>
        </w:rPr>
        <w:t>By regulating the rights of Women, Youth and Persons with Disabilities</w:t>
      </w:r>
      <w:r w:rsidRPr="007858CD">
        <w:rPr>
          <w:rFonts w:cs="Arial"/>
          <w:color w:val="auto"/>
          <w:sz w:val="20"/>
          <w:szCs w:val="20"/>
          <w:lang w:val="en-US"/>
        </w:rPr>
        <w:t>.</w:t>
      </w:r>
      <w:r w:rsidR="00E96473" w:rsidRPr="007858CD">
        <w:rPr>
          <w:rFonts w:cs="Arial"/>
          <w:color w:val="auto"/>
          <w:sz w:val="20"/>
          <w:szCs w:val="20"/>
          <w:lang w:val="en-US"/>
        </w:rPr>
        <w:t>”</w:t>
      </w:r>
      <w:r w:rsidR="00E96473" w:rsidRPr="007858CD">
        <w:rPr>
          <w:rStyle w:val="FootnoteReference"/>
          <w:rFonts w:cs="Arial"/>
          <w:color w:val="auto"/>
          <w:sz w:val="20"/>
          <w:szCs w:val="20"/>
          <w:lang w:val="en-US"/>
        </w:rPr>
        <w:footnoteReference w:id="4"/>
      </w:r>
    </w:p>
    <w:p w:rsidR="0094259F" w:rsidRPr="007858CD" w:rsidRDefault="0094259F" w:rsidP="007858CD">
      <w:pPr>
        <w:rPr>
          <w:rFonts w:cs="Arial"/>
          <w:color w:val="auto"/>
          <w:sz w:val="20"/>
          <w:szCs w:val="20"/>
          <w:lang w:val="en-US"/>
        </w:rPr>
      </w:pPr>
    </w:p>
    <w:p w:rsidR="0094259F" w:rsidRPr="007858CD" w:rsidRDefault="0094259F" w:rsidP="007858CD">
      <w:pPr>
        <w:rPr>
          <w:rFonts w:cs="Arial"/>
          <w:b/>
          <w:bCs/>
          <w:color w:val="auto"/>
          <w:sz w:val="20"/>
          <w:szCs w:val="20"/>
          <w:lang w:val="en-US"/>
        </w:rPr>
      </w:pPr>
      <w:r w:rsidRPr="007858CD">
        <w:rPr>
          <w:rFonts w:cs="Arial"/>
          <w:b/>
          <w:bCs/>
          <w:color w:val="auto"/>
          <w:sz w:val="20"/>
          <w:szCs w:val="20"/>
          <w:lang w:val="en-US"/>
        </w:rPr>
        <w:t>(c) Constitutional mandate</w:t>
      </w:r>
    </w:p>
    <w:p w:rsidR="00E96473" w:rsidRPr="007858CD" w:rsidRDefault="00E96473" w:rsidP="007858CD">
      <w:pPr>
        <w:rPr>
          <w:rFonts w:cs="Arial"/>
          <w:color w:val="auto"/>
          <w:sz w:val="20"/>
          <w:szCs w:val="20"/>
          <w:lang w:val="en-US"/>
        </w:rPr>
      </w:pPr>
    </w:p>
    <w:p w:rsidR="00E96473" w:rsidRPr="007858CD" w:rsidRDefault="00E96473" w:rsidP="007858CD">
      <w:pPr>
        <w:rPr>
          <w:rFonts w:cs="Arial"/>
          <w:color w:val="auto"/>
          <w:sz w:val="20"/>
          <w:szCs w:val="20"/>
          <w:lang w:val="en-ZA"/>
        </w:rPr>
      </w:pPr>
      <w:r w:rsidRPr="007858CD">
        <w:rPr>
          <w:rFonts w:cs="Arial"/>
          <w:color w:val="auto"/>
          <w:sz w:val="20"/>
          <w:szCs w:val="20"/>
          <w:lang w:val="en-ZA"/>
        </w:rPr>
        <w:t>“The department derives its mandate from the Constitution of the Republic of South Africa, in</w:t>
      </w:r>
    </w:p>
    <w:p w:rsidR="00E96473" w:rsidRPr="007858CD" w:rsidRDefault="00E96473" w:rsidP="007858CD">
      <w:pPr>
        <w:rPr>
          <w:rFonts w:cs="Arial"/>
          <w:color w:val="auto"/>
          <w:sz w:val="20"/>
          <w:szCs w:val="20"/>
          <w:lang w:val="en-ZA"/>
        </w:rPr>
      </w:pPr>
      <w:r w:rsidRPr="007858CD">
        <w:rPr>
          <w:rFonts w:cs="Arial"/>
          <w:color w:val="auto"/>
          <w:sz w:val="20"/>
          <w:szCs w:val="20"/>
          <w:lang w:val="en-ZA"/>
        </w:rPr>
        <w:t xml:space="preserve">particular, section 9 (3) which states that “the state may not unfairly discriminate directly or indirectly against anyone on one or more grounds, including race, gender, sex, pregnancy, marital status, ethnic or social origin, colour, sexual orientation, age, disability, religion, conscience, belief, culture, language and birth; and section 10 states that </w:t>
      </w:r>
      <w:r w:rsidR="00C62EC0" w:rsidRPr="007858CD">
        <w:rPr>
          <w:rFonts w:cs="Arial"/>
          <w:color w:val="auto"/>
          <w:sz w:val="20"/>
          <w:szCs w:val="20"/>
          <w:lang w:val="en-ZA"/>
        </w:rPr>
        <w:t>“</w:t>
      </w:r>
      <w:r w:rsidRPr="007858CD">
        <w:rPr>
          <w:rFonts w:cs="Arial"/>
          <w:color w:val="auto"/>
          <w:sz w:val="20"/>
          <w:szCs w:val="20"/>
          <w:lang w:val="en-ZA"/>
        </w:rPr>
        <w:t>Everyone has inherent</w:t>
      </w:r>
    </w:p>
    <w:p w:rsidR="00E96473" w:rsidRPr="007858CD" w:rsidRDefault="00E96473" w:rsidP="007858CD">
      <w:pPr>
        <w:rPr>
          <w:rFonts w:cs="Arial"/>
          <w:color w:val="auto"/>
          <w:sz w:val="20"/>
          <w:szCs w:val="20"/>
          <w:lang w:val="en-ZA"/>
        </w:rPr>
      </w:pPr>
      <w:r w:rsidRPr="007858CD">
        <w:rPr>
          <w:rFonts w:cs="Arial"/>
          <w:color w:val="auto"/>
          <w:sz w:val="20"/>
          <w:szCs w:val="20"/>
          <w:lang w:val="en-ZA"/>
        </w:rPr>
        <w:t>dignity and the right to have their dignity respected and protected.</w:t>
      </w:r>
      <w:r w:rsidR="00C62EC0" w:rsidRPr="007858CD">
        <w:rPr>
          <w:rFonts w:cs="Arial"/>
          <w:color w:val="auto"/>
          <w:sz w:val="20"/>
          <w:szCs w:val="20"/>
          <w:lang w:val="en-ZA"/>
        </w:rPr>
        <w:t>”</w:t>
      </w:r>
      <w:r w:rsidRPr="007858CD">
        <w:rPr>
          <w:rFonts w:cs="Arial"/>
          <w:color w:val="auto"/>
          <w:sz w:val="20"/>
          <w:szCs w:val="20"/>
          <w:lang w:val="en-ZA"/>
        </w:rPr>
        <w:t xml:space="preserve"> </w:t>
      </w:r>
    </w:p>
    <w:p w:rsidR="00E96473" w:rsidRPr="007858CD" w:rsidRDefault="00E96473" w:rsidP="007858CD">
      <w:pPr>
        <w:rPr>
          <w:rFonts w:cs="Arial"/>
          <w:color w:val="auto"/>
          <w:sz w:val="20"/>
          <w:szCs w:val="20"/>
          <w:lang w:val="en-ZA"/>
        </w:rPr>
      </w:pPr>
    </w:p>
    <w:p w:rsidR="00E96473" w:rsidRPr="007858CD" w:rsidRDefault="00E96473" w:rsidP="007858CD">
      <w:pPr>
        <w:rPr>
          <w:rFonts w:cs="Arial"/>
          <w:color w:val="auto"/>
          <w:sz w:val="20"/>
          <w:szCs w:val="20"/>
          <w:lang w:val="en-ZA"/>
        </w:rPr>
      </w:pPr>
      <w:r w:rsidRPr="007858CD">
        <w:rPr>
          <w:rFonts w:cs="Arial"/>
          <w:color w:val="auto"/>
          <w:sz w:val="20"/>
          <w:szCs w:val="20"/>
          <w:lang w:val="en-ZA"/>
        </w:rPr>
        <w:lastRenderedPageBreak/>
        <w:t>Therefore, the mandate of the department is to regulate the socio-economic transformation</w:t>
      </w:r>
    </w:p>
    <w:p w:rsidR="00E96473" w:rsidRPr="007858CD" w:rsidRDefault="00E96473" w:rsidP="007858CD">
      <w:pPr>
        <w:rPr>
          <w:rFonts w:cs="Arial"/>
          <w:color w:val="auto"/>
          <w:sz w:val="20"/>
          <w:szCs w:val="20"/>
          <w:lang w:val="en-ZA"/>
        </w:rPr>
      </w:pPr>
      <w:r w:rsidRPr="007858CD">
        <w:rPr>
          <w:rFonts w:cs="Arial"/>
          <w:color w:val="auto"/>
          <w:sz w:val="20"/>
          <w:szCs w:val="20"/>
          <w:lang w:val="en-ZA"/>
        </w:rPr>
        <w:t>and implementation of the empowerment and participation of women, youth and persons with</w:t>
      </w:r>
    </w:p>
    <w:p w:rsidR="00E74D72" w:rsidRPr="007858CD" w:rsidRDefault="00E96473" w:rsidP="007858CD">
      <w:pPr>
        <w:rPr>
          <w:rFonts w:cs="Arial"/>
          <w:color w:val="auto"/>
          <w:sz w:val="20"/>
          <w:szCs w:val="20"/>
          <w:lang w:val="en-US"/>
        </w:rPr>
      </w:pPr>
      <w:r w:rsidRPr="007858CD">
        <w:rPr>
          <w:rFonts w:cs="Arial"/>
          <w:color w:val="auto"/>
          <w:sz w:val="20"/>
          <w:szCs w:val="20"/>
          <w:lang w:val="en-ZA"/>
        </w:rPr>
        <w:t>disabilities.</w:t>
      </w:r>
      <w:r w:rsidRPr="007858CD">
        <w:rPr>
          <w:rStyle w:val="FootnoteReference"/>
          <w:rFonts w:cs="Arial"/>
          <w:color w:val="auto"/>
          <w:sz w:val="20"/>
          <w:szCs w:val="20"/>
          <w:lang w:val="en-ZA"/>
        </w:rPr>
        <w:footnoteReference w:id="5"/>
      </w:r>
      <w:r w:rsidR="009A3172" w:rsidRPr="007858CD">
        <w:rPr>
          <w:rFonts w:cs="Arial"/>
          <w:color w:val="auto"/>
          <w:sz w:val="20"/>
          <w:szCs w:val="20"/>
          <w:lang w:val="en-ZA"/>
        </w:rPr>
        <w:t xml:space="preserve"> </w:t>
      </w:r>
      <w:r w:rsidR="0094259F" w:rsidRPr="007858CD">
        <w:rPr>
          <w:rFonts w:cs="Arial"/>
          <w:color w:val="auto"/>
          <w:sz w:val="20"/>
          <w:szCs w:val="20"/>
          <w:lang w:val="en-US"/>
        </w:rPr>
        <w:t xml:space="preserve">In order to give effect to its mandate, the Department will implement </w:t>
      </w:r>
      <w:r w:rsidR="00844636" w:rsidRPr="007858CD">
        <w:rPr>
          <w:rFonts w:cs="Arial"/>
          <w:color w:val="auto"/>
          <w:sz w:val="20"/>
          <w:szCs w:val="20"/>
          <w:lang w:val="en-US"/>
        </w:rPr>
        <w:t>the following programmes as outlined in the APP of 2</w:t>
      </w:r>
      <w:r w:rsidR="00857D5D" w:rsidRPr="007858CD">
        <w:rPr>
          <w:rFonts w:cs="Arial"/>
          <w:color w:val="auto"/>
          <w:sz w:val="20"/>
          <w:szCs w:val="20"/>
          <w:lang w:val="en-US"/>
        </w:rPr>
        <w:t>02</w:t>
      </w:r>
      <w:r w:rsidR="00E02A5B" w:rsidRPr="007858CD">
        <w:rPr>
          <w:rFonts w:cs="Arial"/>
          <w:color w:val="auto"/>
          <w:sz w:val="20"/>
          <w:szCs w:val="20"/>
          <w:lang w:val="en-US"/>
        </w:rPr>
        <w:t>2/23</w:t>
      </w:r>
      <w:r w:rsidR="00844636" w:rsidRPr="007858CD">
        <w:rPr>
          <w:rFonts w:cs="Arial"/>
          <w:color w:val="auto"/>
          <w:sz w:val="20"/>
          <w:szCs w:val="20"/>
          <w:lang w:val="en-US"/>
        </w:rPr>
        <w:t>:</w:t>
      </w:r>
    </w:p>
    <w:p w:rsidR="00553EE4" w:rsidRPr="007858CD" w:rsidRDefault="00553EE4" w:rsidP="007858CD">
      <w:pPr>
        <w:rPr>
          <w:rFonts w:cs="Arial"/>
          <w:color w:val="auto"/>
          <w:sz w:val="20"/>
          <w:szCs w:val="20"/>
        </w:rPr>
      </w:pPr>
    </w:p>
    <w:p w:rsidR="008740C1" w:rsidRPr="007858CD" w:rsidRDefault="00553EE4" w:rsidP="007858CD">
      <w:pPr>
        <w:pStyle w:val="ListParagraph"/>
        <w:numPr>
          <w:ilvl w:val="0"/>
          <w:numId w:val="7"/>
        </w:numPr>
        <w:rPr>
          <w:rFonts w:cs="Arial"/>
          <w:color w:val="auto"/>
          <w:sz w:val="20"/>
          <w:szCs w:val="20"/>
        </w:rPr>
      </w:pPr>
      <w:r w:rsidRPr="007858CD">
        <w:rPr>
          <w:rFonts w:cs="Arial"/>
          <w:b/>
          <w:color w:val="auto"/>
          <w:sz w:val="20"/>
          <w:szCs w:val="20"/>
        </w:rPr>
        <w:t>Programme 1</w:t>
      </w:r>
      <w:r w:rsidRPr="007858CD">
        <w:rPr>
          <w:rFonts w:cs="Arial"/>
          <w:color w:val="auto"/>
          <w:sz w:val="20"/>
          <w:szCs w:val="20"/>
        </w:rPr>
        <w:t xml:space="preserve">: Administration, managed by three (3) </w:t>
      </w:r>
      <w:r w:rsidR="008740C1" w:rsidRPr="007858CD">
        <w:rPr>
          <w:rFonts w:cs="Arial"/>
          <w:color w:val="auto"/>
          <w:sz w:val="20"/>
          <w:szCs w:val="20"/>
        </w:rPr>
        <w:t>sub-programmes</w:t>
      </w:r>
      <w:r w:rsidRPr="007858CD">
        <w:rPr>
          <w:rFonts w:cs="Arial"/>
          <w:color w:val="auto"/>
          <w:sz w:val="20"/>
          <w:szCs w:val="20"/>
        </w:rPr>
        <w:t xml:space="preserve"> – </w:t>
      </w:r>
      <w:r w:rsidR="00A8344B" w:rsidRPr="007858CD">
        <w:rPr>
          <w:rFonts w:cs="Arial"/>
          <w:color w:val="auto"/>
          <w:sz w:val="20"/>
          <w:szCs w:val="20"/>
        </w:rPr>
        <w:t>Departmental Management, Financial Man</w:t>
      </w:r>
      <w:r w:rsidR="00F11492" w:rsidRPr="007858CD">
        <w:rPr>
          <w:rFonts w:cs="Arial"/>
          <w:color w:val="auto"/>
          <w:sz w:val="20"/>
          <w:szCs w:val="20"/>
        </w:rPr>
        <w:t>agement</w:t>
      </w:r>
      <w:r w:rsidR="00C62EC0" w:rsidRPr="007858CD">
        <w:rPr>
          <w:rFonts w:cs="Arial"/>
          <w:color w:val="auto"/>
          <w:sz w:val="20"/>
          <w:szCs w:val="20"/>
        </w:rPr>
        <w:t>;</w:t>
      </w:r>
      <w:r w:rsidR="00F11492" w:rsidRPr="007858CD">
        <w:rPr>
          <w:rFonts w:cs="Arial"/>
          <w:color w:val="auto"/>
          <w:sz w:val="20"/>
          <w:szCs w:val="20"/>
        </w:rPr>
        <w:t xml:space="preserve"> Corporate Management</w:t>
      </w:r>
      <w:r w:rsidR="00C62EC0" w:rsidRPr="007858CD">
        <w:rPr>
          <w:rFonts w:cs="Arial"/>
          <w:color w:val="auto"/>
          <w:sz w:val="20"/>
          <w:szCs w:val="20"/>
        </w:rPr>
        <w:t xml:space="preserve"> and Office accommodation</w:t>
      </w:r>
      <w:r w:rsidR="00B123C8" w:rsidRPr="007858CD">
        <w:rPr>
          <w:rFonts w:cs="Arial"/>
          <w:color w:val="auto"/>
          <w:sz w:val="20"/>
          <w:szCs w:val="20"/>
        </w:rPr>
        <w:t>.</w:t>
      </w:r>
    </w:p>
    <w:p w:rsidR="007E6731" w:rsidRPr="007858CD" w:rsidRDefault="00553EE4" w:rsidP="007858CD">
      <w:pPr>
        <w:pStyle w:val="ListParagraph"/>
        <w:numPr>
          <w:ilvl w:val="0"/>
          <w:numId w:val="7"/>
        </w:numPr>
        <w:rPr>
          <w:rFonts w:cs="Arial"/>
          <w:color w:val="auto"/>
          <w:sz w:val="20"/>
          <w:szCs w:val="20"/>
        </w:rPr>
      </w:pPr>
      <w:r w:rsidRPr="007858CD">
        <w:rPr>
          <w:rFonts w:cs="Arial"/>
          <w:b/>
          <w:color w:val="auto"/>
          <w:sz w:val="20"/>
          <w:szCs w:val="20"/>
        </w:rPr>
        <w:t>Programme 2</w:t>
      </w:r>
      <w:r w:rsidRPr="007858CD">
        <w:rPr>
          <w:rFonts w:cs="Arial"/>
          <w:color w:val="auto"/>
          <w:sz w:val="20"/>
          <w:szCs w:val="20"/>
        </w:rPr>
        <w:t xml:space="preserve">: </w:t>
      </w:r>
      <w:r w:rsidR="00E02A5B" w:rsidRPr="007858CD">
        <w:rPr>
          <w:rFonts w:cs="Arial"/>
          <w:color w:val="auto"/>
          <w:sz w:val="20"/>
          <w:szCs w:val="20"/>
        </w:rPr>
        <w:t>Mainstreaming Women’s Rights and Advocacy</w:t>
      </w:r>
      <w:r w:rsidRPr="007858CD">
        <w:rPr>
          <w:rFonts w:cs="Arial"/>
          <w:color w:val="auto"/>
          <w:sz w:val="20"/>
          <w:szCs w:val="20"/>
        </w:rPr>
        <w:t xml:space="preserve">, with </w:t>
      </w:r>
      <w:r w:rsidR="007E6731" w:rsidRPr="007858CD">
        <w:rPr>
          <w:rFonts w:cs="Arial"/>
          <w:color w:val="auto"/>
          <w:sz w:val="20"/>
          <w:szCs w:val="20"/>
        </w:rPr>
        <w:t>four</w:t>
      </w:r>
      <w:r w:rsidRPr="007858CD">
        <w:rPr>
          <w:rFonts w:cs="Arial"/>
          <w:color w:val="auto"/>
          <w:sz w:val="20"/>
          <w:szCs w:val="20"/>
        </w:rPr>
        <w:t xml:space="preserve"> sub-programmes which are </w:t>
      </w:r>
      <w:r w:rsidR="007E6731" w:rsidRPr="007858CD">
        <w:rPr>
          <w:rFonts w:cs="Arial"/>
          <w:color w:val="auto"/>
          <w:sz w:val="20"/>
          <w:szCs w:val="20"/>
        </w:rPr>
        <w:t>Management: Advocacy and Mainstreaming for the Rights of Women; Social Empowerment of Women (SEW); Economic Empowerment of Women (EEW) and the Commission for Gender Equality (CGE)</w:t>
      </w:r>
    </w:p>
    <w:p w:rsidR="00C62EC0" w:rsidRPr="007858CD" w:rsidRDefault="00553EE4" w:rsidP="007858CD">
      <w:pPr>
        <w:pStyle w:val="ListParagraph"/>
        <w:numPr>
          <w:ilvl w:val="0"/>
          <w:numId w:val="7"/>
        </w:numPr>
        <w:rPr>
          <w:rFonts w:cs="Arial"/>
          <w:color w:val="auto"/>
          <w:sz w:val="20"/>
          <w:szCs w:val="20"/>
          <w:lang w:val="en-US"/>
        </w:rPr>
      </w:pPr>
      <w:r w:rsidRPr="007858CD">
        <w:rPr>
          <w:rFonts w:cs="Arial"/>
          <w:b/>
          <w:color w:val="auto"/>
          <w:sz w:val="20"/>
          <w:szCs w:val="20"/>
        </w:rPr>
        <w:t>Programme 3</w:t>
      </w:r>
      <w:r w:rsidRPr="007858CD">
        <w:rPr>
          <w:rFonts w:cs="Arial"/>
          <w:color w:val="auto"/>
          <w:sz w:val="20"/>
          <w:szCs w:val="20"/>
        </w:rPr>
        <w:t>:</w:t>
      </w:r>
      <w:r w:rsidR="00844636" w:rsidRPr="007858CD">
        <w:rPr>
          <w:rFonts w:cs="Arial"/>
          <w:color w:val="auto"/>
          <w:sz w:val="20"/>
          <w:szCs w:val="20"/>
        </w:rPr>
        <w:t xml:space="preserve"> </w:t>
      </w:r>
      <w:r w:rsidR="007E6731" w:rsidRPr="007858CD">
        <w:rPr>
          <w:rFonts w:cs="Arial"/>
          <w:color w:val="auto"/>
          <w:sz w:val="20"/>
          <w:szCs w:val="20"/>
          <w:lang w:val="en-ZA"/>
        </w:rPr>
        <w:t>Monitoring, Evaluation, Research and Coordination</w:t>
      </w:r>
      <w:r w:rsidR="00C62EC0" w:rsidRPr="007858CD">
        <w:rPr>
          <w:rFonts w:cs="Arial"/>
          <w:color w:val="auto"/>
          <w:sz w:val="20"/>
          <w:szCs w:val="20"/>
          <w:lang w:val="en-ZA"/>
        </w:rPr>
        <w:t xml:space="preserve"> with four sub-programmes namely; </w:t>
      </w:r>
      <w:r w:rsidR="007E6731" w:rsidRPr="007858CD">
        <w:rPr>
          <w:rFonts w:cs="Arial"/>
          <w:bCs/>
          <w:color w:val="auto"/>
          <w:sz w:val="20"/>
          <w:szCs w:val="20"/>
          <w:lang w:val="en-ZA"/>
        </w:rPr>
        <w:t xml:space="preserve">Management: </w:t>
      </w:r>
      <w:r w:rsidR="007E6731" w:rsidRPr="007858CD">
        <w:rPr>
          <w:rFonts w:cs="Arial"/>
          <w:color w:val="auto"/>
          <w:sz w:val="20"/>
          <w:szCs w:val="20"/>
          <w:lang w:val="en-ZA"/>
        </w:rPr>
        <w:t>Monitoring, Evaluation, Research and Coordination</w:t>
      </w:r>
      <w:r w:rsidR="00C62EC0" w:rsidRPr="007858CD">
        <w:rPr>
          <w:rFonts w:cs="Arial"/>
          <w:color w:val="auto"/>
          <w:sz w:val="20"/>
          <w:szCs w:val="20"/>
          <w:lang w:val="en-ZA"/>
        </w:rPr>
        <w:t xml:space="preserve">; </w:t>
      </w:r>
      <w:r w:rsidR="007E6731" w:rsidRPr="007858CD">
        <w:rPr>
          <w:rFonts w:cs="Arial"/>
          <w:bCs/>
          <w:color w:val="auto"/>
          <w:sz w:val="20"/>
          <w:szCs w:val="20"/>
          <w:lang w:val="en-ZA"/>
        </w:rPr>
        <w:t>Research and Knowledge Management</w:t>
      </w:r>
      <w:r w:rsidR="00C62EC0" w:rsidRPr="007858CD">
        <w:rPr>
          <w:rFonts w:cs="Arial"/>
          <w:bCs/>
          <w:color w:val="auto"/>
          <w:sz w:val="20"/>
          <w:szCs w:val="20"/>
          <w:lang w:val="en-ZA"/>
        </w:rPr>
        <w:t xml:space="preserve">; </w:t>
      </w:r>
      <w:r w:rsidR="007E6731" w:rsidRPr="007858CD">
        <w:rPr>
          <w:rFonts w:cs="Arial"/>
          <w:bCs/>
          <w:color w:val="auto"/>
          <w:sz w:val="20"/>
          <w:szCs w:val="20"/>
          <w:lang w:val="en-ZA"/>
        </w:rPr>
        <w:t>International Relations, Stakeholder Management and Capacity Building</w:t>
      </w:r>
      <w:r w:rsidR="00C62EC0" w:rsidRPr="007858CD">
        <w:rPr>
          <w:rFonts w:cs="Arial"/>
          <w:bCs/>
          <w:color w:val="auto"/>
          <w:sz w:val="20"/>
          <w:szCs w:val="20"/>
          <w:lang w:val="en-ZA"/>
        </w:rPr>
        <w:t xml:space="preserve"> and Monitoring and Evaluation</w:t>
      </w:r>
    </w:p>
    <w:p w:rsidR="00E02A5B" w:rsidRPr="007858CD" w:rsidRDefault="00390F9E" w:rsidP="007858CD">
      <w:pPr>
        <w:pStyle w:val="ListParagraph"/>
        <w:numPr>
          <w:ilvl w:val="0"/>
          <w:numId w:val="7"/>
        </w:numPr>
        <w:rPr>
          <w:rFonts w:cs="Arial"/>
          <w:color w:val="auto"/>
          <w:sz w:val="20"/>
          <w:szCs w:val="20"/>
        </w:rPr>
      </w:pPr>
      <w:r w:rsidRPr="007858CD">
        <w:rPr>
          <w:rFonts w:cs="Arial"/>
          <w:b/>
          <w:color w:val="auto"/>
          <w:sz w:val="20"/>
          <w:szCs w:val="20"/>
        </w:rPr>
        <w:t>Programme 4</w:t>
      </w:r>
      <w:r w:rsidRPr="007858CD">
        <w:rPr>
          <w:rFonts w:cs="Arial"/>
          <w:color w:val="auto"/>
          <w:sz w:val="20"/>
          <w:szCs w:val="20"/>
        </w:rPr>
        <w:t>:</w:t>
      </w:r>
      <w:r w:rsidR="00C62EC0" w:rsidRPr="007858CD">
        <w:rPr>
          <w:rFonts w:cs="Arial"/>
          <w:color w:val="auto"/>
          <w:sz w:val="20"/>
          <w:szCs w:val="20"/>
        </w:rPr>
        <w:t xml:space="preserve"> </w:t>
      </w:r>
      <w:r w:rsidR="007D4AE4" w:rsidRPr="007858CD">
        <w:rPr>
          <w:rFonts w:cs="Arial"/>
          <w:color w:val="auto"/>
          <w:sz w:val="20"/>
          <w:szCs w:val="20"/>
        </w:rPr>
        <w:t xml:space="preserve">Mainstreaming Youth and Persons with Disabilities Rights and Advocacy </w:t>
      </w:r>
    </w:p>
    <w:p w:rsidR="00857D5D" w:rsidRPr="007858CD" w:rsidRDefault="00857D5D" w:rsidP="007858CD">
      <w:pPr>
        <w:rPr>
          <w:rFonts w:cs="Arial"/>
          <w:color w:val="auto"/>
          <w:sz w:val="20"/>
          <w:szCs w:val="20"/>
          <w:lang w:val="en-US"/>
        </w:rPr>
      </w:pPr>
    </w:p>
    <w:p w:rsidR="005B5DE4" w:rsidRPr="007858CD" w:rsidRDefault="002E02E3" w:rsidP="007858CD">
      <w:pPr>
        <w:rPr>
          <w:rFonts w:cs="Arial"/>
          <w:b/>
          <w:color w:val="auto"/>
          <w:sz w:val="20"/>
          <w:szCs w:val="20"/>
          <w:lang w:val="en-US"/>
        </w:rPr>
      </w:pPr>
      <w:r w:rsidRPr="007858CD">
        <w:rPr>
          <w:rFonts w:cs="Arial"/>
          <w:b/>
          <w:color w:val="auto"/>
          <w:sz w:val="20"/>
          <w:szCs w:val="20"/>
          <w:lang w:val="en-US"/>
        </w:rPr>
        <w:t>3</w:t>
      </w:r>
      <w:r w:rsidR="005B5DE4" w:rsidRPr="007858CD">
        <w:rPr>
          <w:rFonts w:cs="Arial"/>
          <w:b/>
          <w:color w:val="auto"/>
          <w:sz w:val="20"/>
          <w:szCs w:val="20"/>
          <w:lang w:val="en-US"/>
        </w:rPr>
        <w:t xml:space="preserve">. </w:t>
      </w:r>
      <w:r w:rsidR="00857D5D" w:rsidRPr="007858CD">
        <w:rPr>
          <w:rFonts w:cs="Arial"/>
          <w:b/>
          <w:color w:val="auto"/>
          <w:sz w:val="20"/>
          <w:szCs w:val="20"/>
          <w:lang w:val="en-US"/>
        </w:rPr>
        <w:t xml:space="preserve">Analysis of Budget </w:t>
      </w:r>
      <w:r w:rsidR="00E81E50" w:rsidRPr="007858CD">
        <w:rPr>
          <w:rFonts w:cs="Arial"/>
          <w:b/>
          <w:color w:val="auto"/>
          <w:sz w:val="20"/>
          <w:szCs w:val="20"/>
          <w:lang w:val="en-US"/>
        </w:rPr>
        <w:t>for the Depar</w:t>
      </w:r>
      <w:r w:rsidR="00EF72B0" w:rsidRPr="007858CD">
        <w:rPr>
          <w:rFonts w:cs="Arial"/>
          <w:b/>
          <w:color w:val="auto"/>
          <w:sz w:val="20"/>
          <w:szCs w:val="20"/>
          <w:lang w:val="en-US"/>
        </w:rPr>
        <w:t>tment of Women, Youth and Persons with Disabilities</w:t>
      </w:r>
    </w:p>
    <w:p w:rsidR="005B5DE4" w:rsidRPr="007858CD" w:rsidRDefault="005B5DE4" w:rsidP="007858CD">
      <w:pPr>
        <w:rPr>
          <w:rFonts w:cs="Arial"/>
          <w:color w:val="auto"/>
          <w:sz w:val="20"/>
          <w:szCs w:val="20"/>
          <w:lang w:val="en-US"/>
        </w:rPr>
      </w:pPr>
    </w:p>
    <w:p w:rsidR="00AE06BE" w:rsidRPr="007858CD" w:rsidRDefault="00AE06BE" w:rsidP="007858CD">
      <w:pPr>
        <w:rPr>
          <w:rFonts w:cs="Arial"/>
          <w:color w:val="auto"/>
          <w:sz w:val="20"/>
          <w:szCs w:val="20"/>
          <w:lang w:val="en-US"/>
        </w:rPr>
      </w:pPr>
      <w:r w:rsidRPr="007858CD">
        <w:rPr>
          <w:rFonts w:cs="Arial"/>
          <w:color w:val="auto"/>
          <w:sz w:val="20"/>
          <w:szCs w:val="20"/>
          <w:lang w:val="en-US"/>
        </w:rPr>
        <w:t>According to the APP 2022/23, it has been aligned with the policy priorities of the Medium Term Strategic Framework 2019-2024 namely;</w:t>
      </w:r>
    </w:p>
    <w:p w:rsidR="00AE06BE" w:rsidRPr="007858CD" w:rsidRDefault="00AE06BE" w:rsidP="007858CD">
      <w:pPr>
        <w:rPr>
          <w:rFonts w:cs="Arial"/>
          <w:color w:val="auto"/>
          <w:sz w:val="20"/>
          <w:szCs w:val="20"/>
          <w:lang w:val="en-US"/>
        </w:rPr>
      </w:pPr>
    </w:p>
    <w:p w:rsidR="00AE06BE" w:rsidRPr="007858CD" w:rsidRDefault="00AE06BE" w:rsidP="007858CD">
      <w:pPr>
        <w:pStyle w:val="ListParagraph"/>
        <w:numPr>
          <w:ilvl w:val="0"/>
          <w:numId w:val="32"/>
        </w:numPr>
        <w:rPr>
          <w:rFonts w:cs="Arial"/>
          <w:color w:val="auto"/>
          <w:sz w:val="20"/>
          <w:szCs w:val="20"/>
          <w:lang w:val="en-ZA"/>
        </w:rPr>
      </w:pPr>
      <w:r w:rsidRPr="007858CD">
        <w:rPr>
          <w:rFonts w:cs="Arial"/>
          <w:color w:val="auto"/>
          <w:sz w:val="20"/>
          <w:szCs w:val="20"/>
          <w:lang w:val="en-ZA"/>
        </w:rPr>
        <w:t>“A gender, youth and disability responsive public service.</w:t>
      </w:r>
    </w:p>
    <w:p w:rsidR="00AE06BE" w:rsidRPr="007858CD" w:rsidRDefault="00AE06BE" w:rsidP="007858CD">
      <w:pPr>
        <w:pStyle w:val="ListParagraph"/>
        <w:numPr>
          <w:ilvl w:val="0"/>
          <w:numId w:val="32"/>
        </w:numPr>
        <w:rPr>
          <w:rFonts w:cs="Arial"/>
          <w:color w:val="auto"/>
          <w:sz w:val="20"/>
          <w:szCs w:val="20"/>
          <w:lang w:val="en-ZA"/>
        </w:rPr>
      </w:pPr>
      <w:r w:rsidRPr="007858CD">
        <w:rPr>
          <w:rFonts w:cs="Arial"/>
          <w:color w:val="auto"/>
          <w:sz w:val="20"/>
          <w:szCs w:val="20"/>
          <w:lang w:val="en-ZA"/>
        </w:rPr>
        <w:t>Transformed, representative and inclusive economy which prioritises women, youth and persons with disabilities.</w:t>
      </w:r>
    </w:p>
    <w:p w:rsidR="00AE06BE" w:rsidRPr="007858CD" w:rsidRDefault="00AE06BE" w:rsidP="007858CD">
      <w:pPr>
        <w:pStyle w:val="ListParagraph"/>
        <w:numPr>
          <w:ilvl w:val="0"/>
          <w:numId w:val="32"/>
        </w:numPr>
        <w:rPr>
          <w:rFonts w:cs="Arial"/>
          <w:color w:val="auto"/>
          <w:sz w:val="20"/>
          <w:szCs w:val="20"/>
          <w:lang w:val="en-ZA"/>
        </w:rPr>
      </w:pPr>
      <w:r w:rsidRPr="007858CD">
        <w:rPr>
          <w:rFonts w:cs="Arial"/>
          <w:color w:val="auto"/>
          <w:sz w:val="20"/>
          <w:szCs w:val="20"/>
          <w:lang w:val="en-ZA"/>
        </w:rPr>
        <w:t>All women, girls, youth and persons with disabilities enjoy good quality health care and better life opportunities.</w:t>
      </w:r>
    </w:p>
    <w:p w:rsidR="00AE06BE" w:rsidRPr="007858CD" w:rsidRDefault="00AE06BE" w:rsidP="007858CD">
      <w:pPr>
        <w:pStyle w:val="ListParagraph"/>
        <w:numPr>
          <w:ilvl w:val="0"/>
          <w:numId w:val="32"/>
        </w:numPr>
        <w:rPr>
          <w:rFonts w:cs="Arial"/>
          <w:color w:val="auto"/>
          <w:sz w:val="20"/>
          <w:szCs w:val="20"/>
          <w:lang w:val="en-ZA"/>
        </w:rPr>
      </w:pPr>
      <w:r w:rsidRPr="007858CD">
        <w:rPr>
          <w:rFonts w:cs="Arial"/>
          <w:color w:val="auto"/>
          <w:sz w:val="20"/>
          <w:szCs w:val="20"/>
          <w:lang w:val="en-ZA"/>
        </w:rPr>
        <w:t>Human dignity for persons with severe disabilities, women and girls’ achieved through freedom of choice and decent living conditions.</w:t>
      </w:r>
    </w:p>
    <w:p w:rsidR="00AE06BE" w:rsidRPr="007858CD" w:rsidRDefault="00AE06BE" w:rsidP="007858CD">
      <w:pPr>
        <w:pStyle w:val="ListParagraph"/>
        <w:numPr>
          <w:ilvl w:val="0"/>
          <w:numId w:val="32"/>
        </w:numPr>
        <w:rPr>
          <w:rFonts w:cs="Arial"/>
          <w:color w:val="auto"/>
          <w:sz w:val="20"/>
          <w:szCs w:val="20"/>
          <w:lang w:val="en-ZA"/>
        </w:rPr>
      </w:pPr>
      <w:r w:rsidRPr="007858CD">
        <w:rPr>
          <w:rFonts w:cs="Arial"/>
          <w:color w:val="auto"/>
          <w:sz w:val="20"/>
          <w:szCs w:val="20"/>
          <w:lang w:val="en-ZA"/>
        </w:rPr>
        <w:t>Transform ownership and management patterns by supporting women-owned and led enterprises.</w:t>
      </w:r>
    </w:p>
    <w:p w:rsidR="00AE06BE" w:rsidRPr="007858CD" w:rsidRDefault="00AE06BE" w:rsidP="007858CD">
      <w:pPr>
        <w:pStyle w:val="ListParagraph"/>
        <w:numPr>
          <w:ilvl w:val="0"/>
          <w:numId w:val="32"/>
        </w:numPr>
        <w:rPr>
          <w:rFonts w:cs="Arial"/>
          <w:color w:val="auto"/>
          <w:sz w:val="20"/>
          <w:szCs w:val="20"/>
          <w:lang w:val="en-ZA"/>
        </w:rPr>
      </w:pPr>
      <w:r w:rsidRPr="007858CD">
        <w:rPr>
          <w:rFonts w:cs="Arial"/>
          <w:color w:val="auto"/>
          <w:sz w:val="20"/>
          <w:szCs w:val="20"/>
          <w:lang w:val="en-ZA"/>
        </w:rPr>
        <w:t>All women, girls, youth and persons with disabilities are and feel safe and enjoy freedom and a better life.</w:t>
      </w:r>
    </w:p>
    <w:p w:rsidR="00AE06BE" w:rsidRPr="007858CD" w:rsidRDefault="00AE06BE" w:rsidP="007858CD">
      <w:pPr>
        <w:pStyle w:val="ListParagraph"/>
        <w:numPr>
          <w:ilvl w:val="0"/>
          <w:numId w:val="32"/>
        </w:numPr>
        <w:rPr>
          <w:rFonts w:cs="Arial"/>
          <w:color w:val="auto"/>
          <w:sz w:val="20"/>
          <w:szCs w:val="20"/>
          <w:lang w:val="en-US"/>
        </w:rPr>
      </w:pPr>
      <w:r w:rsidRPr="007858CD">
        <w:rPr>
          <w:rFonts w:cs="Arial"/>
          <w:color w:val="auto"/>
          <w:sz w:val="20"/>
          <w:szCs w:val="20"/>
          <w:lang w:val="en-ZA"/>
        </w:rPr>
        <w:t>A better Africa and world for all women, girls, youth and persons with disabilities.”</w:t>
      </w:r>
      <w:r w:rsidRPr="007858CD">
        <w:rPr>
          <w:rStyle w:val="FootnoteReference"/>
          <w:rFonts w:cs="Arial"/>
          <w:color w:val="auto"/>
          <w:sz w:val="20"/>
          <w:szCs w:val="20"/>
          <w:lang w:val="en-ZA"/>
        </w:rPr>
        <w:footnoteReference w:id="6"/>
      </w:r>
    </w:p>
    <w:p w:rsidR="00AE06BE" w:rsidRPr="007858CD" w:rsidRDefault="00AE06BE" w:rsidP="007858CD">
      <w:pPr>
        <w:rPr>
          <w:rFonts w:cs="Arial"/>
          <w:color w:val="auto"/>
          <w:sz w:val="20"/>
          <w:szCs w:val="20"/>
          <w:lang w:val="en-US"/>
        </w:rPr>
      </w:pPr>
    </w:p>
    <w:p w:rsidR="00C35B2F" w:rsidRPr="007858CD" w:rsidRDefault="00C35B2F" w:rsidP="007858CD">
      <w:pPr>
        <w:rPr>
          <w:rFonts w:cs="Arial"/>
          <w:color w:val="auto"/>
          <w:sz w:val="20"/>
          <w:szCs w:val="20"/>
        </w:rPr>
      </w:pPr>
      <w:r w:rsidRPr="007858CD">
        <w:rPr>
          <w:rFonts w:cs="Arial"/>
          <w:color w:val="auto"/>
          <w:sz w:val="20"/>
          <w:szCs w:val="20"/>
          <w:lang w:val="en-US"/>
        </w:rPr>
        <w:t>The ENE (202</w:t>
      </w:r>
      <w:r w:rsidR="00AE06BE" w:rsidRPr="007858CD">
        <w:rPr>
          <w:rFonts w:cs="Arial"/>
          <w:color w:val="auto"/>
          <w:sz w:val="20"/>
          <w:szCs w:val="20"/>
          <w:lang w:val="en-US"/>
        </w:rPr>
        <w:t>2</w:t>
      </w:r>
      <w:r w:rsidRPr="007858CD">
        <w:rPr>
          <w:rFonts w:cs="Arial"/>
          <w:color w:val="auto"/>
          <w:sz w:val="20"/>
          <w:szCs w:val="20"/>
          <w:lang w:val="en-US"/>
        </w:rPr>
        <w:t xml:space="preserve">) indicates that </w:t>
      </w:r>
      <w:r w:rsidR="002C457D" w:rsidRPr="007858CD">
        <w:rPr>
          <w:rFonts w:cs="Arial"/>
          <w:color w:val="auto"/>
          <w:sz w:val="20"/>
          <w:szCs w:val="20"/>
          <w:lang w:val="en-US"/>
        </w:rPr>
        <w:t>“</w:t>
      </w:r>
      <w:r w:rsidR="00C62EC0" w:rsidRPr="007858CD">
        <w:rPr>
          <w:rFonts w:cs="Arial"/>
          <w:color w:val="auto"/>
          <w:sz w:val="20"/>
          <w:szCs w:val="20"/>
          <w:lang w:val="en-ZA"/>
        </w:rPr>
        <w:t>Over the MTEF period, the department will continue to focus on strengthening the coordination of the national</w:t>
      </w:r>
      <w:r w:rsidR="002C457D" w:rsidRPr="007858CD">
        <w:rPr>
          <w:rFonts w:cs="Arial"/>
          <w:color w:val="auto"/>
          <w:sz w:val="20"/>
          <w:szCs w:val="20"/>
          <w:lang w:val="en-ZA"/>
        </w:rPr>
        <w:t xml:space="preserve"> </w:t>
      </w:r>
      <w:r w:rsidR="00C62EC0" w:rsidRPr="007858CD">
        <w:rPr>
          <w:rFonts w:cs="Arial"/>
          <w:color w:val="auto"/>
          <w:sz w:val="20"/>
          <w:szCs w:val="20"/>
          <w:lang w:val="en-ZA"/>
        </w:rPr>
        <w:t>response to gender</w:t>
      </w:r>
      <w:r w:rsidR="00C62EC0" w:rsidRPr="007858CD">
        <w:rPr>
          <w:rFonts w:ascii="Times New Roman" w:hAnsi="Times New Roman" w:cs="Arial"/>
          <w:color w:val="auto"/>
          <w:sz w:val="20"/>
          <w:szCs w:val="20"/>
          <w:lang w:val="en-ZA"/>
        </w:rPr>
        <w:t>‐</w:t>
      </w:r>
      <w:r w:rsidR="00C62EC0" w:rsidRPr="007858CD">
        <w:rPr>
          <w:rFonts w:cs="Arial"/>
          <w:color w:val="auto"/>
          <w:sz w:val="20"/>
          <w:szCs w:val="20"/>
          <w:lang w:val="en-ZA"/>
        </w:rPr>
        <w:t>based violence; promoting more responsive planning, budgeting, monitoring and evaluation</w:t>
      </w:r>
      <w:r w:rsidR="002C457D" w:rsidRPr="007858CD">
        <w:rPr>
          <w:rFonts w:cs="Arial"/>
          <w:color w:val="auto"/>
          <w:sz w:val="20"/>
          <w:szCs w:val="20"/>
          <w:lang w:val="en-ZA"/>
        </w:rPr>
        <w:t xml:space="preserve"> </w:t>
      </w:r>
      <w:r w:rsidR="00C62EC0" w:rsidRPr="007858CD">
        <w:rPr>
          <w:rFonts w:cs="Arial"/>
          <w:color w:val="auto"/>
          <w:sz w:val="20"/>
          <w:szCs w:val="20"/>
          <w:lang w:val="en-ZA"/>
        </w:rPr>
        <w:t>in government; protecting the rights of people with disabilities; and supporting the participation of young people</w:t>
      </w:r>
      <w:r w:rsidR="002C457D" w:rsidRPr="007858CD">
        <w:rPr>
          <w:rFonts w:cs="Arial"/>
          <w:color w:val="auto"/>
          <w:sz w:val="20"/>
          <w:szCs w:val="20"/>
          <w:lang w:val="en-ZA"/>
        </w:rPr>
        <w:t xml:space="preserve"> </w:t>
      </w:r>
      <w:r w:rsidR="00C62EC0" w:rsidRPr="007858CD">
        <w:rPr>
          <w:rFonts w:cs="Arial"/>
          <w:color w:val="auto"/>
          <w:sz w:val="20"/>
          <w:szCs w:val="20"/>
          <w:lang w:val="en-ZA"/>
        </w:rPr>
        <w:t>in the mainstream economy.</w:t>
      </w:r>
      <w:r w:rsidR="002C457D" w:rsidRPr="007858CD">
        <w:rPr>
          <w:rFonts w:cs="Arial"/>
          <w:color w:val="auto"/>
          <w:sz w:val="20"/>
          <w:szCs w:val="20"/>
          <w:lang w:val="en-ZA"/>
        </w:rPr>
        <w:t>”</w:t>
      </w:r>
      <w:r w:rsidR="002C457D" w:rsidRPr="007858CD">
        <w:rPr>
          <w:rStyle w:val="FootnoteReference"/>
          <w:rFonts w:cs="Arial"/>
          <w:color w:val="auto"/>
          <w:sz w:val="20"/>
          <w:szCs w:val="20"/>
          <w:lang w:val="en-ZA"/>
        </w:rPr>
        <w:footnoteReference w:id="7"/>
      </w:r>
      <w:r w:rsidR="002C457D" w:rsidRPr="007858CD">
        <w:rPr>
          <w:rFonts w:cs="Arial"/>
          <w:color w:val="auto"/>
          <w:sz w:val="20"/>
          <w:szCs w:val="20"/>
          <w:lang w:val="en-ZA"/>
        </w:rPr>
        <w:t xml:space="preserve"> As such, the Department’s b</w:t>
      </w:r>
      <w:r w:rsidR="00C62EC0" w:rsidRPr="007858CD">
        <w:rPr>
          <w:rFonts w:cs="Arial"/>
          <w:color w:val="auto"/>
          <w:sz w:val="20"/>
          <w:szCs w:val="20"/>
          <w:lang w:val="en-ZA"/>
        </w:rPr>
        <w:t xml:space="preserve">udget structure </w:t>
      </w:r>
      <w:r w:rsidR="002C457D" w:rsidRPr="007858CD">
        <w:rPr>
          <w:rFonts w:cs="Arial"/>
          <w:color w:val="auto"/>
          <w:sz w:val="20"/>
          <w:szCs w:val="20"/>
          <w:lang w:val="en-ZA"/>
        </w:rPr>
        <w:t>was</w:t>
      </w:r>
      <w:r w:rsidR="00C62EC0" w:rsidRPr="007858CD">
        <w:rPr>
          <w:rFonts w:cs="Arial"/>
          <w:color w:val="auto"/>
          <w:sz w:val="20"/>
          <w:szCs w:val="20"/>
          <w:lang w:val="en-ZA"/>
        </w:rPr>
        <w:t xml:space="preserve"> amended from five to four</w:t>
      </w:r>
      <w:r w:rsidR="002C457D" w:rsidRPr="007858CD">
        <w:rPr>
          <w:rFonts w:cs="Arial"/>
          <w:color w:val="auto"/>
          <w:sz w:val="20"/>
          <w:szCs w:val="20"/>
          <w:lang w:val="en-ZA"/>
        </w:rPr>
        <w:t xml:space="preserve"> </w:t>
      </w:r>
      <w:r w:rsidR="00C62EC0" w:rsidRPr="007858CD">
        <w:rPr>
          <w:rFonts w:cs="Arial"/>
          <w:color w:val="auto"/>
          <w:sz w:val="20"/>
          <w:szCs w:val="20"/>
          <w:lang w:val="en-ZA"/>
        </w:rPr>
        <w:t>programmes, to align better with the department’s mandate.</w:t>
      </w:r>
    </w:p>
    <w:p w:rsidR="00C35B2F" w:rsidRPr="007858CD" w:rsidRDefault="00C35B2F" w:rsidP="007858CD">
      <w:pPr>
        <w:rPr>
          <w:rFonts w:cs="Arial"/>
          <w:color w:val="auto"/>
          <w:sz w:val="20"/>
          <w:szCs w:val="20"/>
          <w:lang w:val="en-US"/>
        </w:rPr>
      </w:pPr>
    </w:p>
    <w:p w:rsidR="00FC28B6" w:rsidRPr="007858CD" w:rsidRDefault="00774B8C" w:rsidP="007858CD">
      <w:pPr>
        <w:rPr>
          <w:rFonts w:cs="Arial"/>
          <w:color w:val="auto"/>
          <w:sz w:val="20"/>
          <w:szCs w:val="20"/>
          <w:lang w:val="en-ZA"/>
        </w:rPr>
      </w:pPr>
      <w:r w:rsidRPr="007858CD">
        <w:rPr>
          <w:rFonts w:cs="Arial"/>
          <w:color w:val="auto"/>
          <w:sz w:val="20"/>
          <w:szCs w:val="20"/>
          <w:lang w:val="en-US"/>
        </w:rPr>
        <w:t>In reflecting on the budget allocation and expenditure for the Department for 20</w:t>
      </w:r>
      <w:r w:rsidR="002C457D" w:rsidRPr="007858CD">
        <w:rPr>
          <w:rFonts w:cs="Arial"/>
          <w:color w:val="auto"/>
          <w:sz w:val="20"/>
          <w:szCs w:val="20"/>
          <w:lang w:val="en-US"/>
        </w:rPr>
        <w:t>2</w:t>
      </w:r>
      <w:r w:rsidR="00AE06BE" w:rsidRPr="007858CD">
        <w:rPr>
          <w:rFonts w:cs="Arial"/>
          <w:color w:val="auto"/>
          <w:sz w:val="20"/>
          <w:szCs w:val="20"/>
          <w:lang w:val="en-US"/>
        </w:rPr>
        <w:t>1/22</w:t>
      </w:r>
      <w:r w:rsidRPr="007858CD">
        <w:rPr>
          <w:rFonts w:cs="Arial"/>
          <w:color w:val="auto"/>
          <w:sz w:val="20"/>
          <w:szCs w:val="20"/>
          <w:lang w:val="en-US"/>
        </w:rPr>
        <w:t xml:space="preserve">, the following Table provides a summary to illustrate the </w:t>
      </w:r>
      <w:r w:rsidRPr="007858CD">
        <w:rPr>
          <w:rFonts w:cs="Arial"/>
          <w:color w:val="auto"/>
          <w:sz w:val="20"/>
          <w:szCs w:val="20"/>
          <w:lang w:val="en-ZA"/>
        </w:rPr>
        <w:t xml:space="preserve">allocations, </w:t>
      </w:r>
      <w:r w:rsidR="00FC28B6" w:rsidRPr="007858CD">
        <w:rPr>
          <w:rFonts w:cs="Arial"/>
          <w:color w:val="auto"/>
          <w:sz w:val="20"/>
          <w:szCs w:val="20"/>
          <w:lang w:val="en-ZA"/>
        </w:rPr>
        <w:t>adjusted appropriation</w:t>
      </w:r>
      <w:r w:rsidRPr="007858CD">
        <w:rPr>
          <w:rFonts w:cs="Arial"/>
          <w:color w:val="auto"/>
          <w:sz w:val="20"/>
          <w:szCs w:val="20"/>
          <w:lang w:val="en-ZA"/>
        </w:rPr>
        <w:t xml:space="preserve"> and expenditure as presented by the Department during it</w:t>
      </w:r>
      <w:r w:rsidR="00A6232B" w:rsidRPr="007858CD">
        <w:rPr>
          <w:rFonts w:cs="Arial"/>
          <w:color w:val="auto"/>
          <w:sz w:val="20"/>
          <w:szCs w:val="20"/>
          <w:lang w:val="en-ZA"/>
        </w:rPr>
        <w:t>s</w:t>
      </w:r>
      <w:r w:rsidRPr="007858CD">
        <w:rPr>
          <w:rFonts w:cs="Arial"/>
          <w:color w:val="auto"/>
          <w:sz w:val="20"/>
          <w:szCs w:val="20"/>
          <w:lang w:val="en-ZA"/>
        </w:rPr>
        <w:t xml:space="preserve"> third quarter </w:t>
      </w:r>
      <w:r w:rsidR="00A6232B" w:rsidRPr="007858CD">
        <w:rPr>
          <w:rFonts w:cs="Arial"/>
          <w:color w:val="auto"/>
          <w:sz w:val="20"/>
          <w:szCs w:val="20"/>
          <w:lang w:val="en-ZA"/>
        </w:rPr>
        <w:t xml:space="preserve">presentation </w:t>
      </w:r>
      <w:r w:rsidRPr="007858CD">
        <w:rPr>
          <w:rFonts w:cs="Arial"/>
          <w:color w:val="auto"/>
          <w:sz w:val="20"/>
          <w:szCs w:val="20"/>
          <w:lang w:val="en-US"/>
        </w:rPr>
        <w:t>of 2021</w:t>
      </w:r>
      <w:r w:rsidR="00AE06BE" w:rsidRPr="007858CD">
        <w:rPr>
          <w:rFonts w:cs="Arial"/>
          <w:color w:val="auto"/>
          <w:sz w:val="20"/>
          <w:szCs w:val="20"/>
          <w:lang w:val="en-US"/>
        </w:rPr>
        <w:t>/22</w:t>
      </w:r>
      <w:r w:rsidRPr="007858CD">
        <w:rPr>
          <w:rFonts w:cs="Arial"/>
          <w:color w:val="auto"/>
          <w:sz w:val="20"/>
          <w:szCs w:val="20"/>
          <w:lang w:val="en-US"/>
        </w:rPr>
        <w:t>.</w:t>
      </w:r>
      <w:r w:rsidR="00FC28B6" w:rsidRPr="007858CD">
        <w:rPr>
          <w:rFonts w:cs="Arial"/>
          <w:color w:val="auto"/>
          <w:sz w:val="20"/>
          <w:szCs w:val="20"/>
          <w:lang w:val="en-US"/>
        </w:rPr>
        <w:t xml:space="preserve"> </w:t>
      </w:r>
      <w:r w:rsidR="00FC28B6" w:rsidRPr="007858CD">
        <w:rPr>
          <w:rFonts w:cs="Arial"/>
          <w:color w:val="auto"/>
          <w:sz w:val="20"/>
          <w:szCs w:val="20"/>
          <w:lang w:val="en-ZA"/>
        </w:rPr>
        <w:t>According to the National Treasury 2021 Estimates of National Expenditure (ENE) released in February 2021, the Department under Vote 20, initially received an annual appropriation of R763.5 million. Transfer payments are then done for two entities, namely the Commission for Gender Equality (CGE) and the National Youth Development Agency (NYDA). During the 2021/22 FY approximately R91.4 million was to be transferred to the CGE and approximately R471 million to the NYDA. This amounts to R562.2 million. However, it must be noted that adjustments were made to the overall budget. Hence Treasury allocated an additional R1.969 million to the Department for higher salary increases that were not provided for in the original budget</w:t>
      </w:r>
      <w:r w:rsidR="00D571F6" w:rsidRPr="007858CD">
        <w:rPr>
          <w:rFonts w:cs="Arial"/>
          <w:color w:val="auto"/>
          <w:sz w:val="20"/>
          <w:szCs w:val="20"/>
          <w:lang w:val="en-ZA"/>
        </w:rPr>
        <w:t xml:space="preserve">. In addition, Treasury also transferred the provisional allocation of R430 million for the Presidential Youth Employment Initiative (PYEI) for disbursement and use by the NYDA into the Department’s budget. This increased the transfers to the NYDA to R900 million for 2021/22, and increased the total available budget of the Department to R1.12 billion. The implementation of the PYEI was to commence in Quarter 3 of 202122. Notwithstanding that, the additional allocation did not significantly impact on </w:t>
      </w:r>
      <w:r w:rsidR="00FC28B6" w:rsidRPr="007858CD">
        <w:rPr>
          <w:rFonts w:cs="Arial"/>
          <w:color w:val="auto"/>
          <w:sz w:val="20"/>
          <w:szCs w:val="20"/>
          <w:lang w:val="en-ZA"/>
        </w:rPr>
        <w:t>the Department</w:t>
      </w:r>
      <w:r w:rsidR="00D571F6" w:rsidRPr="007858CD">
        <w:rPr>
          <w:rFonts w:cs="Arial"/>
          <w:color w:val="auto"/>
          <w:sz w:val="20"/>
          <w:szCs w:val="20"/>
          <w:lang w:val="en-ZA"/>
        </w:rPr>
        <w:t>’s</w:t>
      </w:r>
      <w:r w:rsidR="00FC28B6" w:rsidRPr="007858CD">
        <w:rPr>
          <w:rFonts w:cs="Arial"/>
          <w:color w:val="auto"/>
          <w:sz w:val="20"/>
          <w:szCs w:val="20"/>
          <w:lang w:val="en-ZA"/>
        </w:rPr>
        <w:t xml:space="preserve"> operating budget </w:t>
      </w:r>
      <w:r w:rsidR="00D571F6" w:rsidRPr="007858CD">
        <w:rPr>
          <w:rFonts w:cs="Arial"/>
          <w:color w:val="auto"/>
          <w:sz w:val="20"/>
          <w:szCs w:val="20"/>
          <w:lang w:val="en-ZA"/>
        </w:rPr>
        <w:t>which in essence increased from R201.2 million to</w:t>
      </w:r>
      <w:r w:rsidR="00FC28B6" w:rsidRPr="007858CD">
        <w:rPr>
          <w:rFonts w:cs="Arial"/>
          <w:color w:val="auto"/>
          <w:sz w:val="20"/>
          <w:szCs w:val="20"/>
          <w:lang w:val="en-ZA"/>
        </w:rPr>
        <w:t xml:space="preserve"> R</w:t>
      </w:r>
      <w:r w:rsidR="00D571F6" w:rsidRPr="007858CD">
        <w:rPr>
          <w:rFonts w:cs="Arial"/>
          <w:color w:val="auto"/>
          <w:sz w:val="20"/>
          <w:szCs w:val="20"/>
          <w:lang w:val="en-ZA"/>
        </w:rPr>
        <w:t>203.1</w:t>
      </w:r>
      <w:r w:rsidR="00FC28B6" w:rsidRPr="007858CD">
        <w:rPr>
          <w:rFonts w:cs="Arial"/>
          <w:color w:val="auto"/>
          <w:sz w:val="20"/>
          <w:szCs w:val="20"/>
          <w:lang w:val="en-ZA"/>
        </w:rPr>
        <w:t xml:space="preserve"> million to undertake its programmes and meet its </w:t>
      </w:r>
      <w:r w:rsidR="00FC28B6" w:rsidRPr="007858CD">
        <w:rPr>
          <w:rFonts w:cs="Arial"/>
          <w:color w:val="auto"/>
          <w:sz w:val="20"/>
          <w:szCs w:val="20"/>
          <w:lang w:val="en-ZA"/>
        </w:rPr>
        <w:lastRenderedPageBreak/>
        <w:t>targets for 202</w:t>
      </w:r>
      <w:r w:rsidR="00D571F6" w:rsidRPr="007858CD">
        <w:rPr>
          <w:rFonts w:cs="Arial"/>
          <w:color w:val="auto"/>
          <w:sz w:val="20"/>
          <w:szCs w:val="20"/>
          <w:lang w:val="en-ZA"/>
        </w:rPr>
        <w:t>1/22</w:t>
      </w:r>
      <w:r w:rsidR="00FC28B6" w:rsidRPr="007858CD">
        <w:rPr>
          <w:rFonts w:cs="Arial"/>
          <w:color w:val="auto"/>
          <w:sz w:val="20"/>
          <w:szCs w:val="20"/>
          <w:lang w:val="en-ZA"/>
        </w:rPr>
        <w:t xml:space="preserve">. </w:t>
      </w:r>
      <w:r w:rsidR="00D571F6" w:rsidRPr="007858CD">
        <w:rPr>
          <w:rFonts w:cs="Arial"/>
          <w:color w:val="auto"/>
          <w:sz w:val="20"/>
          <w:szCs w:val="20"/>
          <w:lang w:val="en-ZA"/>
        </w:rPr>
        <w:t>As reflected in Table 1 below, Programme 1 Administration saw an increase from an original appropriation of R98.071 million to R110.247 million. What was evident from the Q3 expenditure review was that the Department had underspent in all its programmes. The Administration programme continued to present the largest expenditure as a percentage of the Department’s programme budget as well as the overall operating budget. Programme 4, the Rights of Persons with Disabilities spent the least amount of its programme budget at 43.5%.</w:t>
      </w:r>
      <w:r w:rsidR="006040D1" w:rsidRPr="007858CD">
        <w:rPr>
          <w:rStyle w:val="FootnoteReference"/>
          <w:rFonts w:cs="Arial"/>
          <w:color w:val="auto"/>
          <w:sz w:val="20"/>
          <w:szCs w:val="20"/>
          <w:lang w:val="en-ZA"/>
        </w:rPr>
        <w:footnoteReference w:id="8"/>
      </w:r>
    </w:p>
    <w:p w:rsidR="00FC28B6" w:rsidRPr="007858CD" w:rsidRDefault="00FC28B6" w:rsidP="007858CD">
      <w:pPr>
        <w:rPr>
          <w:rFonts w:cs="Arial"/>
          <w:color w:val="auto"/>
          <w:sz w:val="20"/>
          <w:szCs w:val="20"/>
          <w:lang w:val="en-US"/>
        </w:rPr>
      </w:pPr>
    </w:p>
    <w:p w:rsidR="00774B8C" w:rsidRPr="007858CD" w:rsidRDefault="00AE06BE" w:rsidP="007858CD">
      <w:pPr>
        <w:rPr>
          <w:rFonts w:cs="Arial"/>
          <w:b/>
          <w:iCs/>
          <w:color w:val="auto"/>
          <w:sz w:val="20"/>
          <w:szCs w:val="20"/>
        </w:rPr>
      </w:pPr>
      <w:r w:rsidRPr="007858CD">
        <w:rPr>
          <w:rFonts w:cs="Arial"/>
          <w:b/>
          <w:iCs/>
          <w:color w:val="auto"/>
          <w:sz w:val="20"/>
          <w:szCs w:val="20"/>
        </w:rPr>
        <w:t>Table 1: Department budget 202</w:t>
      </w:r>
      <w:r w:rsidR="00774B8C" w:rsidRPr="007858CD">
        <w:rPr>
          <w:rFonts w:cs="Arial"/>
          <w:b/>
          <w:iCs/>
          <w:color w:val="auto"/>
          <w:sz w:val="20"/>
          <w:szCs w:val="20"/>
        </w:rPr>
        <w:t>1</w:t>
      </w:r>
      <w:r w:rsidRPr="007858CD">
        <w:rPr>
          <w:rFonts w:cs="Arial"/>
          <w:b/>
          <w:iCs/>
          <w:color w:val="auto"/>
          <w:sz w:val="20"/>
          <w:szCs w:val="20"/>
        </w:rPr>
        <w:t>/22</w:t>
      </w:r>
      <w:r w:rsidR="00774B8C" w:rsidRPr="007858CD">
        <w:rPr>
          <w:rStyle w:val="FootnoteReference"/>
          <w:rFonts w:cs="Arial"/>
          <w:b/>
          <w:iCs/>
          <w:color w:val="auto"/>
          <w:sz w:val="20"/>
          <w:szCs w:val="20"/>
        </w:rPr>
        <w:footnoteReference w:id="9"/>
      </w:r>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5"/>
        <w:gridCol w:w="1316"/>
        <w:gridCol w:w="1316"/>
        <w:gridCol w:w="1247"/>
        <w:gridCol w:w="1316"/>
        <w:gridCol w:w="1615"/>
        <w:gridCol w:w="1097"/>
        <w:gridCol w:w="1415"/>
      </w:tblGrid>
      <w:tr w:rsidR="00DE4BA7" w:rsidRPr="007858CD" w:rsidTr="006040D1">
        <w:trPr>
          <w:trHeight w:val="674"/>
        </w:trPr>
        <w:tc>
          <w:tcPr>
            <w:tcW w:w="737"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PROGRAMME</w:t>
            </w:r>
          </w:p>
        </w:tc>
        <w:tc>
          <w:tcPr>
            <w:tcW w:w="601"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ORI</w:t>
            </w:r>
            <w:r w:rsidR="00FC28B6" w:rsidRPr="007858CD">
              <w:rPr>
                <w:rFonts w:cs="Arial"/>
                <w:b/>
                <w:bCs/>
                <w:color w:val="auto"/>
                <w:sz w:val="20"/>
                <w:szCs w:val="20"/>
                <w:lang w:val="en-ZA"/>
              </w:rPr>
              <w:t>G.</w:t>
            </w:r>
            <w:r w:rsidRPr="007858CD">
              <w:rPr>
                <w:rFonts w:cs="Arial"/>
                <w:b/>
                <w:bCs/>
                <w:color w:val="auto"/>
                <w:sz w:val="20"/>
                <w:szCs w:val="20"/>
                <w:lang w:val="en-ZA"/>
              </w:rPr>
              <w:t xml:space="preserve"> APPROP.</w:t>
            </w:r>
          </w:p>
        </w:tc>
        <w:tc>
          <w:tcPr>
            <w:tcW w:w="601"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ADJ</w:t>
            </w:r>
            <w:r w:rsidR="00FC28B6" w:rsidRPr="007858CD">
              <w:rPr>
                <w:rFonts w:cs="Arial"/>
                <w:b/>
                <w:bCs/>
                <w:color w:val="auto"/>
                <w:sz w:val="20"/>
                <w:szCs w:val="20"/>
                <w:lang w:val="en-ZA"/>
              </w:rPr>
              <w:t>.</w:t>
            </w:r>
            <w:r w:rsidRPr="007858CD">
              <w:rPr>
                <w:rFonts w:cs="Arial"/>
                <w:b/>
                <w:bCs/>
                <w:color w:val="auto"/>
                <w:sz w:val="20"/>
                <w:szCs w:val="20"/>
                <w:lang w:val="en-ZA"/>
              </w:rPr>
              <w:t xml:space="preserve"> APPROP.</w:t>
            </w:r>
          </w:p>
        </w:tc>
        <w:tc>
          <w:tcPr>
            <w:tcW w:w="565"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QUARTER 2 EXP.</w:t>
            </w:r>
          </w:p>
        </w:tc>
        <w:tc>
          <w:tcPr>
            <w:tcW w:w="601"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QUARTER 3 EXP.</w:t>
            </w:r>
          </w:p>
        </w:tc>
        <w:tc>
          <w:tcPr>
            <w:tcW w:w="737"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 OF</w:t>
            </w:r>
          </w:p>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PROGRAMME BUDGET SPENT AS AT DEC 2021</w:t>
            </w:r>
          </w:p>
        </w:tc>
        <w:tc>
          <w:tcPr>
            <w:tcW w:w="494"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 OF OP</w:t>
            </w:r>
            <w:r w:rsidR="00FC28B6" w:rsidRPr="007858CD">
              <w:rPr>
                <w:rFonts w:cs="Arial"/>
                <w:b/>
                <w:bCs/>
                <w:color w:val="auto"/>
                <w:sz w:val="20"/>
                <w:szCs w:val="20"/>
                <w:lang w:val="en-ZA"/>
              </w:rPr>
              <w:t>.</w:t>
            </w:r>
            <w:r w:rsidRPr="007858CD">
              <w:rPr>
                <w:rFonts w:cs="Arial"/>
                <w:b/>
                <w:bCs/>
                <w:color w:val="auto"/>
                <w:sz w:val="20"/>
                <w:szCs w:val="20"/>
                <w:lang w:val="en-ZA"/>
              </w:rPr>
              <w:t xml:space="preserve"> BUDGET SPENT AS AT DEC 2021</w:t>
            </w:r>
          </w:p>
        </w:tc>
        <w:tc>
          <w:tcPr>
            <w:tcW w:w="664" w:type="pct"/>
            <w:shd w:val="clear" w:color="auto" w:fill="BFBFBF" w:themeFill="background1" w:themeFillShade="BF"/>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REMAINING BUDGET FOR Q4</w:t>
            </w:r>
          </w:p>
        </w:tc>
      </w:tr>
      <w:tr w:rsidR="00DE4BA7" w:rsidRPr="007858CD" w:rsidTr="006040D1">
        <w:trPr>
          <w:trHeight w:val="94"/>
        </w:trPr>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 xml:space="preserve">ADMIN </w:t>
            </w:r>
          </w:p>
        </w:tc>
        <w:tc>
          <w:tcPr>
            <w:tcW w:w="601"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R98.017m</w:t>
            </w:r>
          </w:p>
        </w:tc>
        <w:tc>
          <w:tcPr>
            <w:tcW w:w="601" w:type="pct"/>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R110.247m</w:t>
            </w:r>
          </w:p>
        </w:tc>
        <w:tc>
          <w:tcPr>
            <w:tcW w:w="565"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R45.6m</w:t>
            </w:r>
          </w:p>
        </w:tc>
        <w:tc>
          <w:tcPr>
            <w:tcW w:w="601"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R72.724m</w:t>
            </w:r>
          </w:p>
        </w:tc>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65.9%</w:t>
            </w:r>
          </w:p>
        </w:tc>
        <w:tc>
          <w:tcPr>
            <w:tcW w:w="494"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35.7%</w:t>
            </w:r>
          </w:p>
        </w:tc>
        <w:tc>
          <w:tcPr>
            <w:tcW w:w="664" w:type="pct"/>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R37.523m</w:t>
            </w:r>
          </w:p>
        </w:tc>
      </w:tr>
      <w:tr w:rsidR="00DE4BA7" w:rsidRPr="007858CD" w:rsidTr="006040D1">
        <w:trPr>
          <w:trHeight w:val="94"/>
        </w:trPr>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 xml:space="preserve">STEE </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R32.865m</w:t>
            </w:r>
          </w:p>
        </w:tc>
        <w:tc>
          <w:tcPr>
            <w:tcW w:w="601" w:type="pct"/>
          </w:tcPr>
          <w:p w:rsidR="00771EC5" w:rsidRPr="007858CD" w:rsidRDefault="00771EC5" w:rsidP="007858CD">
            <w:pPr>
              <w:rPr>
                <w:rFonts w:cs="Arial"/>
                <w:color w:val="auto"/>
                <w:sz w:val="20"/>
                <w:szCs w:val="20"/>
                <w:lang w:val="en-ZA"/>
              </w:rPr>
            </w:pPr>
            <w:r w:rsidRPr="007858CD">
              <w:rPr>
                <w:rFonts w:cs="Arial"/>
                <w:bCs/>
                <w:color w:val="auto"/>
                <w:sz w:val="20"/>
                <w:szCs w:val="20"/>
                <w:lang w:val="en-ZA"/>
              </w:rPr>
              <w:t>R26.967m</w:t>
            </w:r>
          </w:p>
        </w:tc>
        <w:tc>
          <w:tcPr>
            <w:tcW w:w="565"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RR8.8m</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R14.091m</w:t>
            </w:r>
          </w:p>
        </w:tc>
        <w:tc>
          <w:tcPr>
            <w:tcW w:w="737"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52.2%</w:t>
            </w:r>
          </w:p>
        </w:tc>
        <w:tc>
          <w:tcPr>
            <w:tcW w:w="494"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6.9%</w:t>
            </w:r>
          </w:p>
        </w:tc>
        <w:tc>
          <w:tcPr>
            <w:tcW w:w="664" w:type="pct"/>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R12.876m</w:t>
            </w:r>
          </w:p>
        </w:tc>
      </w:tr>
      <w:tr w:rsidR="00DE4BA7" w:rsidRPr="007858CD" w:rsidTr="006040D1">
        <w:trPr>
          <w:trHeight w:val="94"/>
        </w:trPr>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 xml:space="preserve">PSCKM </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R40.632m</w:t>
            </w:r>
          </w:p>
        </w:tc>
        <w:tc>
          <w:tcPr>
            <w:tcW w:w="601" w:type="pct"/>
          </w:tcPr>
          <w:p w:rsidR="00771EC5" w:rsidRPr="007858CD" w:rsidRDefault="00771EC5" w:rsidP="007858CD">
            <w:pPr>
              <w:rPr>
                <w:rFonts w:cs="Arial"/>
                <w:color w:val="auto"/>
                <w:sz w:val="20"/>
                <w:szCs w:val="20"/>
                <w:lang w:val="en-ZA"/>
              </w:rPr>
            </w:pPr>
            <w:r w:rsidRPr="007858CD">
              <w:rPr>
                <w:rFonts w:cs="Arial"/>
                <w:bCs/>
                <w:color w:val="auto"/>
                <w:sz w:val="20"/>
                <w:szCs w:val="20"/>
                <w:lang w:val="en-ZA"/>
              </w:rPr>
              <w:t>R37.660m</w:t>
            </w:r>
          </w:p>
        </w:tc>
        <w:tc>
          <w:tcPr>
            <w:tcW w:w="565"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R11.5m</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R17.287m</w:t>
            </w:r>
          </w:p>
        </w:tc>
        <w:tc>
          <w:tcPr>
            <w:tcW w:w="737"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45.9%</w:t>
            </w:r>
          </w:p>
        </w:tc>
        <w:tc>
          <w:tcPr>
            <w:tcW w:w="494"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8.5%</w:t>
            </w:r>
          </w:p>
        </w:tc>
        <w:tc>
          <w:tcPr>
            <w:tcW w:w="664" w:type="pct"/>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R20.373m</w:t>
            </w:r>
          </w:p>
        </w:tc>
      </w:tr>
      <w:tr w:rsidR="00DE4BA7" w:rsidRPr="007858CD" w:rsidTr="006040D1">
        <w:trPr>
          <w:trHeight w:val="94"/>
        </w:trPr>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 xml:space="preserve">RPD </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R17.358m</w:t>
            </w:r>
          </w:p>
        </w:tc>
        <w:tc>
          <w:tcPr>
            <w:tcW w:w="601" w:type="pct"/>
          </w:tcPr>
          <w:p w:rsidR="00771EC5" w:rsidRPr="007858CD" w:rsidRDefault="00771EC5" w:rsidP="007858CD">
            <w:pPr>
              <w:rPr>
                <w:rFonts w:cs="Arial"/>
                <w:color w:val="auto"/>
                <w:sz w:val="20"/>
                <w:szCs w:val="20"/>
                <w:lang w:val="en-ZA"/>
              </w:rPr>
            </w:pPr>
            <w:r w:rsidRPr="007858CD">
              <w:rPr>
                <w:rFonts w:cs="Arial"/>
                <w:bCs/>
                <w:color w:val="auto"/>
                <w:sz w:val="20"/>
                <w:szCs w:val="20"/>
                <w:lang w:val="en-ZA"/>
              </w:rPr>
              <w:t>R16.117m</w:t>
            </w:r>
          </w:p>
        </w:tc>
        <w:tc>
          <w:tcPr>
            <w:tcW w:w="565"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R4.5m</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R7.027m</w:t>
            </w:r>
          </w:p>
        </w:tc>
        <w:tc>
          <w:tcPr>
            <w:tcW w:w="737"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43.5%</w:t>
            </w:r>
          </w:p>
        </w:tc>
        <w:tc>
          <w:tcPr>
            <w:tcW w:w="494"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3.4%</w:t>
            </w:r>
          </w:p>
        </w:tc>
        <w:tc>
          <w:tcPr>
            <w:tcW w:w="664" w:type="pct"/>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R9.090m</w:t>
            </w:r>
          </w:p>
        </w:tc>
      </w:tr>
      <w:tr w:rsidR="00DE4BA7" w:rsidRPr="007858CD" w:rsidTr="006040D1">
        <w:trPr>
          <w:trHeight w:val="94"/>
        </w:trPr>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 xml:space="preserve">NYD </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 xml:space="preserve">R12.329m </w:t>
            </w:r>
          </w:p>
        </w:tc>
        <w:tc>
          <w:tcPr>
            <w:tcW w:w="601" w:type="pct"/>
          </w:tcPr>
          <w:p w:rsidR="00771EC5" w:rsidRPr="007858CD" w:rsidRDefault="00771EC5" w:rsidP="007858CD">
            <w:pPr>
              <w:rPr>
                <w:rFonts w:cs="Arial"/>
                <w:color w:val="auto"/>
                <w:sz w:val="20"/>
                <w:szCs w:val="20"/>
                <w:lang w:val="en-ZA"/>
              </w:rPr>
            </w:pPr>
            <w:r w:rsidRPr="007858CD">
              <w:rPr>
                <w:rFonts w:cs="Arial"/>
                <w:bCs/>
                <w:color w:val="auto"/>
                <w:sz w:val="20"/>
                <w:szCs w:val="20"/>
                <w:lang w:val="en-ZA"/>
              </w:rPr>
              <w:t xml:space="preserve">R12.179m </w:t>
            </w:r>
          </w:p>
        </w:tc>
        <w:tc>
          <w:tcPr>
            <w:tcW w:w="565"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 xml:space="preserve">R3.8m </w:t>
            </w:r>
          </w:p>
        </w:tc>
        <w:tc>
          <w:tcPr>
            <w:tcW w:w="601"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 xml:space="preserve">R8.476m </w:t>
            </w:r>
          </w:p>
        </w:tc>
        <w:tc>
          <w:tcPr>
            <w:tcW w:w="737"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 xml:space="preserve">69.5% </w:t>
            </w:r>
          </w:p>
        </w:tc>
        <w:tc>
          <w:tcPr>
            <w:tcW w:w="494" w:type="pct"/>
          </w:tcPr>
          <w:p w:rsidR="00771EC5" w:rsidRPr="007858CD" w:rsidRDefault="00771EC5" w:rsidP="007858CD">
            <w:pPr>
              <w:rPr>
                <w:rFonts w:cs="Arial"/>
                <w:color w:val="auto"/>
                <w:sz w:val="20"/>
                <w:szCs w:val="20"/>
                <w:lang w:val="en-ZA"/>
              </w:rPr>
            </w:pPr>
            <w:r w:rsidRPr="007858CD">
              <w:rPr>
                <w:rFonts w:cs="Arial"/>
                <w:color w:val="auto"/>
                <w:sz w:val="20"/>
                <w:szCs w:val="20"/>
                <w:lang w:val="en-ZA"/>
              </w:rPr>
              <w:t xml:space="preserve">4.1% </w:t>
            </w:r>
          </w:p>
        </w:tc>
        <w:tc>
          <w:tcPr>
            <w:tcW w:w="664" w:type="pct"/>
          </w:tcPr>
          <w:p w:rsidR="00771EC5" w:rsidRPr="007858CD" w:rsidRDefault="00771EC5" w:rsidP="007858CD">
            <w:pPr>
              <w:rPr>
                <w:rFonts w:cs="Arial"/>
                <w:b/>
                <w:color w:val="auto"/>
                <w:sz w:val="20"/>
                <w:szCs w:val="20"/>
                <w:lang w:val="en-ZA"/>
              </w:rPr>
            </w:pPr>
            <w:r w:rsidRPr="007858CD">
              <w:rPr>
                <w:rFonts w:cs="Arial"/>
                <w:b/>
                <w:bCs/>
                <w:color w:val="auto"/>
                <w:sz w:val="20"/>
                <w:szCs w:val="20"/>
                <w:lang w:val="en-ZA"/>
              </w:rPr>
              <w:t xml:space="preserve">R3.703m </w:t>
            </w:r>
          </w:p>
        </w:tc>
      </w:tr>
      <w:tr w:rsidR="00FC28B6" w:rsidRPr="007858CD" w:rsidTr="006040D1">
        <w:trPr>
          <w:trHeight w:val="94"/>
        </w:trPr>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Totals</w:t>
            </w:r>
          </w:p>
        </w:tc>
        <w:tc>
          <w:tcPr>
            <w:tcW w:w="601"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R201.201m</w:t>
            </w:r>
          </w:p>
        </w:tc>
        <w:tc>
          <w:tcPr>
            <w:tcW w:w="601" w:type="pct"/>
          </w:tcPr>
          <w:p w:rsidR="00771EC5" w:rsidRPr="007858CD" w:rsidRDefault="00771EC5" w:rsidP="007858CD">
            <w:pPr>
              <w:rPr>
                <w:rFonts w:cs="Arial"/>
                <w:b/>
                <w:bCs/>
                <w:color w:val="auto"/>
                <w:sz w:val="20"/>
                <w:szCs w:val="20"/>
                <w:lang w:val="en-ZA"/>
              </w:rPr>
            </w:pPr>
            <w:r w:rsidRPr="007858CD">
              <w:rPr>
                <w:rFonts w:cs="Arial"/>
                <w:b/>
                <w:bCs/>
                <w:color w:val="auto"/>
                <w:sz w:val="20"/>
                <w:szCs w:val="20"/>
                <w:lang w:val="en-ZA"/>
              </w:rPr>
              <w:t>R203.170m</w:t>
            </w:r>
          </w:p>
        </w:tc>
        <w:tc>
          <w:tcPr>
            <w:tcW w:w="565"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R74.2m</w:t>
            </w:r>
          </w:p>
        </w:tc>
        <w:tc>
          <w:tcPr>
            <w:tcW w:w="601"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R119 605m</w:t>
            </w:r>
          </w:p>
        </w:tc>
        <w:tc>
          <w:tcPr>
            <w:tcW w:w="737" w:type="pct"/>
          </w:tcPr>
          <w:p w:rsidR="00771EC5" w:rsidRPr="007858CD" w:rsidRDefault="00771EC5" w:rsidP="007858CD">
            <w:pPr>
              <w:rPr>
                <w:rFonts w:cs="Arial"/>
                <w:b/>
                <w:color w:val="auto"/>
                <w:sz w:val="20"/>
                <w:szCs w:val="20"/>
                <w:lang w:val="en-ZA"/>
              </w:rPr>
            </w:pPr>
            <w:r w:rsidRPr="007858CD">
              <w:rPr>
                <w:rFonts w:cs="Arial"/>
                <w:b/>
                <w:color w:val="auto"/>
                <w:sz w:val="20"/>
                <w:szCs w:val="20"/>
                <w:lang w:val="en-ZA"/>
              </w:rPr>
              <w:t>58.8%</w:t>
            </w:r>
          </w:p>
        </w:tc>
        <w:tc>
          <w:tcPr>
            <w:tcW w:w="494" w:type="pct"/>
          </w:tcPr>
          <w:p w:rsidR="00771EC5" w:rsidRPr="007858CD" w:rsidRDefault="00771EC5" w:rsidP="007858CD">
            <w:pPr>
              <w:rPr>
                <w:rFonts w:cs="Arial"/>
                <w:color w:val="auto"/>
                <w:sz w:val="20"/>
                <w:szCs w:val="20"/>
                <w:lang w:val="en-ZA"/>
              </w:rPr>
            </w:pPr>
          </w:p>
        </w:tc>
        <w:tc>
          <w:tcPr>
            <w:tcW w:w="664" w:type="pct"/>
          </w:tcPr>
          <w:p w:rsidR="00771EC5" w:rsidRPr="007858CD" w:rsidRDefault="00771EC5" w:rsidP="007858CD">
            <w:pPr>
              <w:rPr>
                <w:rFonts w:cs="Arial"/>
                <w:b/>
                <w:bCs/>
                <w:color w:val="auto"/>
                <w:sz w:val="20"/>
                <w:szCs w:val="20"/>
                <w:lang w:val="en-ZA"/>
              </w:rPr>
            </w:pPr>
            <w:r w:rsidRPr="007858CD">
              <w:rPr>
                <w:rFonts w:cs="Arial"/>
                <w:b/>
                <w:bCs/>
                <w:color w:val="auto"/>
                <w:sz w:val="20"/>
                <w:szCs w:val="20"/>
                <w:lang w:val="en-ZA"/>
              </w:rPr>
              <w:t>R3.703m</w:t>
            </w:r>
          </w:p>
        </w:tc>
      </w:tr>
    </w:tbl>
    <w:p w:rsidR="00771EC5" w:rsidRPr="007858CD" w:rsidRDefault="00771EC5" w:rsidP="007858CD">
      <w:pPr>
        <w:rPr>
          <w:rFonts w:cs="Arial"/>
          <w:b/>
          <w:color w:val="auto"/>
          <w:sz w:val="20"/>
          <w:szCs w:val="20"/>
          <w:lang w:val="en-US"/>
        </w:rPr>
      </w:pPr>
    </w:p>
    <w:p w:rsidR="00857D5D" w:rsidRPr="007858CD" w:rsidRDefault="00857D5D" w:rsidP="007858CD">
      <w:pPr>
        <w:rPr>
          <w:rFonts w:cs="Arial"/>
          <w:color w:val="auto"/>
          <w:sz w:val="20"/>
          <w:szCs w:val="20"/>
          <w:lang w:val="en-ZA"/>
        </w:rPr>
      </w:pPr>
      <w:r w:rsidRPr="007858CD">
        <w:rPr>
          <w:rFonts w:cs="Arial"/>
          <w:color w:val="auto"/>
          <w:sz w:val="20"/>
          <w:szCs w:val="20"/>
          <w:lang w:val="en-ZA"/>
        </w:rPr>
        <w:t>According to the National Treasury 202</w:t>
      </w:r>
      <w:r w:rsidR="00AE06BE" w:rsidRPr="007858CD">
        <w:rPr>
          <w:rFonts w:cs="Arial"/>
          <w:color w:val="auto"/>
          <w:sz w:val="20"/>
          <w:szCs w:val="20"/>
          <w:lang w:val="en-ZA"/>
        </w:rPr>
        <w:t>2</w:t>
      </w:r>
      <w:r w:rsidRPr="007858CD">
        <w:rPr>
          <w:rFonts w:cs="Arial"/>
          <w:color w:val="auto"/>
          <w:sz w:val="20"/>
          <w:szCs w:val="20"/>
          <w:lang w:val="en-ZA"/>
        </w:rPr>
        <w:t xml:space="preserve"> Estimates of National Expenditure (ENE) released in February 202</w:t>
      </w:r>
      <w:r w:rsidR="00D0650D" w:rsidRPr="007858CD">
        <w:rPr>
          <w:rFonts w:cs="Arial"/>
          <w:color w:val="auto"/>
          <w:sz w:val="20"/>
          <w:szCs w:val="20"/>
          <w:lang w:val="en-ZA"/>
        </w:rPr>
        <w:t>2</w:t>
      </w:r>
      <w:r w:rsidRPr="007858CD">
        <w:rPr>
          <w:rFonts w:cs="Arial"/>
          <w:color w:val="auto"/>
          <w:sz w:val="20"/>
          <w:szCs w:val="20"/>
          <w:lang w:val="en-ZA"/>
        </w:rPr>
        <w:t>, the Department under Vote 20, received an annual appropriation of R</w:t>
      </w:r>
      <w:r w:rsidR="00880A69" w:rsidRPr="007858CD">
        <w:rPr>
          <w:rFonts w:cs="Arial"/>
          <w:color w:val="auto"/>
          <w:sz w:val="20"/>
          <w:szCs w:val="20"/>
          <w:lang w:val="en-ZA"/>
        </w:rPr>
        <w:t>987.3</w:t>
      </w:r>
      <w:r w:rsidRPr="007858CD">
        <w:rPr>
          <w:rFonts w:cs="Arial"/>
          <w:color w:val="auto"/>
          <w:sz w:val="20"/>
          <w:szCs w:val="20"/>
          <w:lang w:val="en-ZA"/>
        </w:rPr>
        <w:t xml:space="preserve"> million. However, it must be noted that the Department facilitates transfer payments to two entities, namely the Commission for Gender Equality (CGE) and the National Youth Development Agency (NYDA). During the 202</w:t>
      </w:r>
      <w:r w:rsidR="00D0650D" w:rsidRPr="007858CD">
        <w:rPr>
          <w:rFonts w:cs="Arial"/>
          <w:color w:val="auto"/>
          <w:sz w:val="20"/>
          <w:szCs w:val="20"/>
          <w:lang w:val="en-ZA"/>
        </w:rPr>
        <w:t>2/23</w:t>
      </w:r>
      <w:r w:rsidRPr="007858CD">
        <w:rPr>
          <w:rFonts w:cs="Arial"/>
          <w:color w:val="auto"/>
          <w:sz w:val="20"/>
          <w:szCs w:val="20"/>
          <w:lang w:val="en-ZA"/>
        </w:rPr>
        <w:t xml:space="preserve"> financial year, the Department was expected to transfer R</w:t>
      </w:r>
      <w:r w:rsidR="00880A69" w:rsidRPr="007858CD">
        <w:rPr>
          <w:rFonts w:cs="Arial"/>
          <w:color w:val="auto"/>
          <w:sz w:val="20"/>
          <w:szCs w:val="20"/>
          <w:lang w:val="en-ZA"/>
        </w:rPr>
        <w:t>100.7</w:t>
      </w:r>
      <w:r w:rsidRPr="007858CD">
        <w:rPr>
          <w:rFonts w:cs="Arial"/>
          <w:color w:val="auto"/>
          <w:sz w:val="20"/>
          <w:szCs w:val="20"/>
          <w:lang w:val="en-ZA"/>
        </w:rPr>
        <w:t xml:space="preserve"> million to the CGE and R</w:t>
      </w:r>
      <w:r w:rsidR="00880A69" w:rsidRPr="007858CD">
        <w:rPr>
          <w:rFonts w:cs="Arial"/>
          <w:color w:val="auto"/>
          <w:sz w:val="20"/>
          <w:szCs w:val="20"/>
          <w:lang w:val="en-ZA"/>
        </w:rPr>
        <w:t>681.5</w:t>
      </w:r>
      <w:r w:rsidRPr="007858CD">
        <w:rPr>
          <w:rFonts w:cs="Arial"/>
          <w:color w:val="auto"/>
          <w:sz w:val="20"/>
          <w:szCs w:val="20"/>
          <w:lang w:val="en-ZA"/>
        </w:rPr>
        <w:t xml:space="preserve"> million to the NYDA. This amounts to R</w:t>
      </w:r>
      <w:r w:rsidR="00880A69" w:rsidRPr="007858CD">
        <w:rPr>
          <w:rFonts w:cs="Arial"/>
          <w:color w:val="auto"/>
          <w:sz w:val="20"/>
          <w:szCs w:val="20"/>
          <w:lang w:val="en-ZA"/>
        </w:rPr>
        <w:t>782.2</w:t>
      </w:r>
      <w:r w:rsidRPr="007858CD">
        <w:rPr>
          <w:rFonts w:cs="Arial"/>
          <w:color w:val="auto"/>
          <w:sz w:val="20"/>
          <w:szCs w:val="20"/>
          <w:lang w:val="en-ZA"/>
        </w:rPr>
        <w:t xml:space="preserve"> million</w:t>
      </w:r>
      <w:r w:rsidR="00593FBE" w:rsidRPr="007858CD">
        <w:rPr>
          <w:rFonts w:cs="Arial"/>
          <w:color w:val="auto"/>
          <w:sz w:val="20"/>
          <w:szCs w:val="20"/>
          <w:lang w:val="en-ZA"/>
        </w:rPr>
        <w:t xml:space="preserve"> as reflected in Table 1 below</w:t>
      </w:r>
      <w:r w:rsidRPr="007858CD">
        <w:rPr>
          <w:rFonts w:cs="Arial"/>
          <w:color w:val="auto"/>
          <w:sz w:val="20"/>
          <w:szCs w:val="20"/>
          <w:lang w:val="en-ZA"/>
        </w:rPr>
        <w:t>. This means that the Department would be left with an actual operating budget of approximately R</w:t>
      </w:r>
      <w:r w:rsidR="00880A69" w:rsidRPr="007858CD">
        <w:rPr>
          <w:rFonts w:cs="Arial"/>
          <w:color w:val="auto"/>
          <w:sz w:val="20"/>
          <w:szCs w:val="20"/>
          <w:lang w:val="en-ZA"/>
        </w:rPr>
        <w:t>205.1</w:t>
      </w:r>
      <w:r w:rsidRPr="007858CD">
        <w:rPr>
          <w:rFonts w:cs="Arial"/>
          <w:color w:val="auto"/>
          <w:sz w:val="20"/>
          <w:szCs w:val="20"/>
          <w:lang w:val="en-ZA"/>
        </w:rPr>
        <w:t xml:space="preserve"> million to undertake its programmes and meet its targets for 202</w:t>
      </w:r>
      <w:r w:rsidR="00D0650D" w:rsidRPr="007858CD">
        <w:rPr>
          <w:rFonts w:cs="Arial"/>
          <w:color w:val="auto"/>
          <w:sz w:val="20"/>
          <w:szCs w:val="20"/>
          <w:lang w:val="en-ZA"/>
        </w:rPr>
        <w:t>2/23</w:t>
      </w:r>
      <w:r w:rsidRPr="007858CD">
        <w:rPr>
          <w:rFonts w:cs="Arial"/>
          <w:color w:val="auto"/>
          <w:sz w:val="20"/>
          <w:szCs w:val="20"/>
          <w:lang w:val="en-ZA"/>
        </w:rPr>
        <w:t>.</w:t>
      </w:r>
    </w:p>
    <w:p w:rsidR="00857D5D" w:rsidRPr="007858CD" w:rsidRDefault="00857D5D" w:rsidP="007858CD">
      <w:pPr>
        <w:rPr>
          <w:rFonts w:cs="Arial"/>
          <w:color w:val="auto"/>
          <w:sz w:val="20"/>
          <w:szCs w:val="20"/>
          <w:lang w:val="en-US"/>
        </w:rPr>
      </w:pPr>
    </w:p>
    <w:p w:rsidR="00883452" w:rsidRPr="007858CD" w:rsidRDefault="00883452" w:rsidP="007858CD">
      <w:pPr>
        <w:rPr>
          <w:rFonts w:cs="Arial"/>
          <w:b/>
          <w:color w:val="auto"/>
          <w:sz w:val="20"/>
          <w:szCs w:val="20"/>
          <w:lang w:val="en-US"/>
        </w:rPr>
      </w:pPr>
      <w:r w:rsidRPr="007858CD">
        <w:rPr>
          <w:rFonts w:cs="Arial"/>
          <w:b/>
          <w:color w:val="auto"/>
          <w:sz w:val="20"/>
          <w:szCs w:val="20"/>
          <w:lang w:val="en-US"/>
        </w:rPr>
        <w:t xml:space="preserve">Table </w:t>
      </w:r>
      <w:r w:rsidR="00C32B0F" w:rsidRPr="007858CD">
        <w:rPr>
          <w:rFonts w:cs="Arial"/>
          <w:b/>
          <w:color w:val="auto"/>
          <w:sz w:val="20"/>
          <w:szCs w:val="20"/>
          <w:lang w:val="en-US"/>
        </w:rPr>
        <w:t>2</w:t>
      </w:r>
      <w:r w:rsidRPr="007858CD">
        <w:rPr>
          <w:rFonts w:cs="Arial"/>
          <w:b/>
          <w:color w:val="auto"/>
          <w:sz w:val="20"/>
          <w:szCs w:val="20"/>
          <w:lang w:val="en-US"/>
        </w:rPr>
        <w:t xml:space="preserve">: </w:t>
      </w:r>
      <w:r w:rsidR="00806A2A" w:rsidRPr="007858CD">
        <w:rPr>
          <w:rFonts w:cs="Arial"/>
          <w:b/>
          <w:color w:val="auto"/>
          <w:sz w:val="20"/>
          <w:szCs w:val="20"/>
          <w:lang w:val="en-US"/>
        </w:rPr>
        <w:t>Department of Women, Youth and Persons with Disabilities Budget Summary</w:t>
      </w:r>
      <w:r w:rsidR="00806A2A" w:rsidRPr="007858CD">
        <w:rPr>
          <w:rFonts w:cs="Arial"/>
          <w:b/>
          <w:color w:val="auto"/>
          <w:sz w:val="20"/>
          <w:szCs w:val="20"/>
          <w:vertAlign w:val="superscript"/>
          <w:lang w:val="en-US"/>
        </w:rPr>
        <w:footnoteReference w:id="10"/>
      </w:r>
    </w:p>
    <w:tbl>
      <w:tblPr>
        <w:tblW w:w="4997" w:type="pct"/>
        <w:jc w:val="center"/>
        <w:tblCellMar>
          <w:left w:w="0" w:type="dxa"/>
          <w:right w:w="0" w:type="dxa"/>
        </w:tblCellMar>
        <w:tblLook w:val="0600"/>
      </w:tblPr>
      <w:tblGrid>
        <w:gridCol w:w="3673"/>
        <w:gridCol w:w="1250"/>
        <w:gridCol w:w="1021"/>
        <w:gridCol w:w="1027"/>
        <w:gridCol w:w="1018"/>
        <w:gridCol w:w="838"/>
        <w:gridCol w:w="822"/>
      </w:tblGrid>
      <w:tr w:rsidR="00DE4BA7" w:rsidRPr="007858CD" w:rsidTr="00880A69">
        <w:trPr>
          <w:trHeight w:val="400"/>
          <w:jc w:val="center"/>
        </w:trPr>
        <w:tc>
          <w:tcPr>
            <w:tcW w:w="1918" w:type="pct"/>
            <w:vMerge w:val="restart"/>
            <w:tcBorders>
              <w:top w:val="single" w:sz="2" w:space="0" w:color="000000"/>
              <w:left w:val="single" w:sz="2" w:space="0" w:color="000000"/>
              <w:right w:val="single" w:sz="2" w:space="0" w:color="000000"/>
            </w:tcBorders>
            <w:shd w:val="clear" w:color="auto" w:fill="D9D9D9" w:themeFill="background1" w:themeFillShade="D9"/>
            <w:tcMar>
              <w:top w:w="14" w:type="dxa"/>
              <w:left w:w="14" w:type="dxa"/>
              <w:bottom w:w="0" w:type="dxa"/>
              <w:right w:w="14" w:type="dxa"/>
            </w:tcMar>
            <w:vAlign w:val="center"/>
          </w:tcPr>
          <w:p w:rsidR="00806A2A" w:rsidRPr="007858CD" w:rsidRDefault="00806A2A" w:rsidP="007858CD">
            <w:pPr>
              <w:rPr>
                <w:rFonts w:cs="Arial"/>
                <w:b/>
                <w:bCs/>
                <w:color w:val="auto"/>
                <w:sz w:val="20"/>
                <w:szCs w:val="20"/>
              </w:rPr>
            </w:pPr>
            <w:r w:rsidRPr="007858CD">
              <w:rPr>
                <w:rFonts w:cs="Arial"/>
                <w:b/>
                <w:bCs/>
                <w:color w:val="auto"/>
                <w:sz w:val="20"/>
                <w:szCs w:val="20"/>
              </w:rPr>
              <w:t>Programmes</w:t>
            </w:r>
          </w:p>
        </w:tc>
        <w:tc>
          <w:tcPr>
            <w:tcW w:w="2194" w:type="pct"/>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vAlign w:val="center"/>
          </w:tcPr>
          <w:p w:rsidR="00806A2A" w:rsidRPr="007858CD" w:rsidRDefault="00806A2A" w:rsidP="007858CD">
            <w:pPr>
              <w:rPr>
                <w:rFonts w:cs="Arial"/>
                <w:b/>
                <w:bCs/>
                <w:color w:val="auto"/>
                <w:sz w:val="20"/>
                <w:szCs w:val="20"/>
              </w:rPr>
            </w:pPr>
            <w:r w:rsidRPr="007858CD">
              <w:rPr>
                <w:rFonts w:cs="Arial"/>
                <w:b/>
                <w:bCs/>
                <w:color w:val="auto"/>
                <w:sz w:val="20"/>
                <w:szCs w:val="20"/>
              </w:rPr>
              <w:t>202</w:t>
            </w:r>
            <w:r w:rsidR="00D0650D" w:rsidRPr="007858CD">
              <w:rPr>
                <w:rFonts w:cs="Arial"/>
                <w:b/>
                <w:bCs/>
                <w:color w:val="auto"/>
                <w:sz w:val="20"/>
                <w:szCs w:val="20"/>
              </w:rPr>
              <w:t>2/23</w:t>
            </w:r>
          </w:p>
        </w:tc>
        <w:tc>
          <w:tcPr>
            <w:tcW w:w="44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06A2A" w:rsidRPr="007858CD" w:rsidRDefault="00806A2A" w:rsidP="007858CD">
            <w:pPr>
              <w:rPr>
                <w:rFonts w:cs="Arial"/>
                <w:b/>
                <w:bCs/>
                <w:color w:val="auto"/>
                <w:sz w:val="20"/>
                <w:szCs w:val="20"/>
              </w:rPr>
            </w:pPr>
            <w:r w:rsidRPr="007858CD">
              <w:rPr>
                <w:rFonts w:cs="Arial"/>
                <w:b/>
                <w:bCs/>
                <w:color w:val="auto"/>
                <w:sz w:val="20"/>
                <w:szCs w:val="20"/>
              </w:rPr>
              <w:t>202</w:t>
            </w:r>
            <w:r w:rsidR="00D0650D" w:rsidRPr="007858CD">
              <w:rPr>
                <w:rFonts w:cs="Arial"/>
                <w:b/>
                <w:bCs/>
                <w:color w:val="auto"/>
                <w:sz w:val="20"/>
                <w:szCs w:val="20"/>
              </w:rPr>
              <w:t>3</w:t>
            </w:r>
            <w:r w:rsidRPr="007858CD">
              <w:rPr>
                <w:rFonts w:cs="Arial"/>
                <w:b/>
                <w:bCs/>
                <w:color w:val="auto"/>
                <w:sz w:val="20"/>
                <w:szCs w:val="20"/>
              </w:rPr>
              <w:t>/2</w:t>
            </w:r>
            <w:r w:rsidR="00D0650D" w:rsidRPr="007858CD">
              <w:rPr>
                <w:rFonts w:cs="Arial"/>
                <w:b/>
                <w:bCs/>
                <w:color w:val="auto"/>
                <w:sz w:val="20"/>
                <w:szCs w:val="20"/>
              </w:rPr>
              <w:t>4</w:t>
            </w:r>
          </w:p>
        </w:tc>
        <w:tc>
          <w:tcPr>
            <w:tcW w:w="44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06A2A" w:rsidRPr="007858CD" w:rsidRDefault="00806A2A" w:rsidP="007858CD">
            <w:pPr>
              <w:rPr>
                <w:rFonts w:cs="Arial"/>
                <w:b/>
                <w:bCs/>
                <w:color w:val="auto"/>
                <w:sz w:val="20"/>
                <w:szCs w:val="20"/>
              </w:rPr>
            </w:pPr>
            <w:r w:rsidRPr="007858CD">
              <w:rPr>
                <w:rFonts w:cs="Arial"/>
                <w:b/>
                <w:bCs/>
                <w:color w:val="auto"/>
                <w:sz w:val="20"/>
                <w:szCs w:val="20"/>
              </w:rPr>
              <w:t>202</w:t>
            </w:r>
            <w:r w:rsidR="00D0650D" w:rsidRPr="007858CD">
              <w:rPr>
                <w:rFonts w:cs="Arial"/>
                <w:b/>
                <w:bCs/>
                <w:color w:val="auto"/>
                <w:sz w:val="20"/>
                <w:szCs w:val="20"/>
              </w:rPr>
              <w:t>4</w:t>
            </w:r>
            <w:r w:rsidRPr="007858CD">
              <w:rPr>
                <w:rFonts w:cs="Arial"/>
                <w:b/>
                <w:bCs/>
                <w:color w:val="auto"/>
                <w:sz w:val="20"/>
                <w:szCs w:val="20"/>
              </w:rPr>
              <w:t>/2</w:t>
            </w:r>
            <w:r w:rsidR="00D0650D" w:rsidRPr="007858CD">
              <w:rPr>
                <w:rFonts w:cs="Arial"/>
                <w:b/>
                <w:bCs/>
                <w:color w:val="auto"/>
                <w:sz w:val="20"/>
                <w:szCs w:val="20"/>
              </w:rPr>
              <w:t>5</w:t>
            </w:r>
          </w:p>
        </w:tc>
      </w:tr>
      <w:tr w:rsidR="00DE4BA7" w:rsidRPr="007858CD" w:rsidTr="00880A69">
        <w:trPr>
          <w:trHeight w:val="400"/>
          <w:jc w:val="center"/>
        </w:trPr>
        <w:tc>
          <w:tcPr>
            <w:tcW w:w="1918" w:type="pct"/>
            <w:vMerge/>
            <w:tcBorders>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vAlign w:val="center"/>
          </w:tcPr>
          <w:p w:rsidR="00806A2A" w:rsidRPr="007858CD" w:rsidRDefault="00806A2A" w:rsidP="007858CD">
            <w:pPr>
              <w:rPr>
                <w:rFonts w:cs="Arial"/>
                <w:b/>
                <w:bCs/>
                <w:color w:val="auto"/>
                <w:sz w:val="20"/>
                <w:szCs w:val="20"/>
              </w:rPr>
            </w:pPr>
          </w:p>
        </w:tc>
        <w:tc>
          <w:tcPr>
            <w:tcW w:w="66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vAlign w:val="center"/>
          </w:tcPr>
          <w:p w:rsidR="00806A2A" w:rsidRPr="007858CD" w:rsidRDefault="00806A2A" w:rsidP="007858CD">
            <w:pPr>
              <w:rPr>
                <w:rFonts w:cs="Arial"/>
                <w:b/>
                <w:color w:val="auto"/>
                <w:sz w:val="20"/>
                <w:szCs w:val="20"/>
              </w:rPr>
            </w:pPr>
            <w:r w:rsidRPr="007858CD">
              <w:rPr>
                <w:rFonts w:cs="Arial"/>
                <w:b/>
                <w:bCs/>
                <w:color w:val="auto"/>
                <w:sz w:val="20"/>
                <w:szCs w:val="20"/>
              </w:rPr>
              <w:t>Total</w:t>
            </w:r>
          </w:p>
        </w:tc>
        <w:tc>
          <w:tcPr>
            <w:tcW w:w="514"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vAlign w:val="center"/>
          </w:tcPr>
          <w:p w:rsidR="00806A2A" w:rsidRPr="007858CD" w:rsidRDefault="00806A2A" w:rsidP="007858CD">
            <w:pPr>
              <w:rPr>
                <w:rFonts w:cs="Arial"/>
                <w:b/>
                <w:color w:val="auto"/>
                <w:sz w:val="20"/>
                <w:szCs w:val="20"/>
              </w:rPr>
            </w:pPr>
            <w:r w:rsidRPr="007858CD">
              <w:rPr>
                <w:rFonts w:cs="Arial"/>
                <w:b/>
                <w:color w:val="auto"/>
                <w:sz w:val="20"/>
                <w:szCs w:val="20"/>
              </w:rPr>
              <w:t>Current Payments</w:t>
            </w:r>
          </w:p>
        </w:tc>
        <w:tc>
          <w:tcPr>
            <w:tcW w:w="47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vAlign w:val="center"/>
          </w:tcPr>
          <w:p w:rsidR="00806A2A" w:rsidRPr="007858CD" w:rsidRDefault="00806A2A" w:rsidP="007858CD">
            <w:pPr>
              <w:rPr>
                <w:rFonts w:cs="Arial"/>
                <w:b/>
                <w:color w:val="auto"/>
                <w:sz w:val="20"/>
                <w:szCs w:val="20"/>
              </w:rPr>
            </w:pPr>
            <w:r w:rsidRPr="007858CD">
              <w:rPr>
                <w:rFonts w:cs="Arial"/>
                <w:b/>
                <w:color w:val="auto"/>
                <w:sz w:val="20"/>
                <w:szCs w:val="20"/>
              </w:rPr>
              <w:t>Transfers Subsidies</w:t>
            </w:r>
          </w:p>
        </w:tc>
        <w:tc>
          <w:tcPr>
            <w:tcW w:w="54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06A2A" w:rsidRPr="007858CD" w:rsidRDefault="00806A2A" w:rsidP="007858CD">
            <w:pPr>
              <w:rPr>
                <w:rFonts w:cs="Arial"/>
                <w:b/>
                <w:bCs/>
                <w:color w:val="auto"/>
                <w:sz w:val="20"/>
                <w:szCs w:val="20"/>
              </w:rPr>
            </w:pPr>
            <w:r w:rsidRPr="007858CD">
              <w:rPr>
                <w:rFonts w:cs="Arial"/>
                <w:b/>
                <w:bCs/>
                <w:color w:val="auto"/>
                <w:sz w:val="20"/>
                <w:szCs w:val="20"/>
              </w:rPr>
              <w:t>Payment for Capital Assets</w:t>
            </w:r>
          </w:p>
        </w:tc>
        <w:tc>
          <w:tcPr>
            <w:tcW w:w="44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06A2A" w:rsidRPr="007858CD" w:rsidRDefault="00806A2A" w:rsidP="007858CD">
            <w:pPr>
              <w:rPr>
                <w:rFonts w:cs="Arial"/>
                <w:b/>
                <w:bCs/>
                <w:color w:val="auto"/>
                <w:sz w:val="20"/>
                <w:szCs w:val="20"/>
              </w:rPr>
            </w:pPr>
            <w:r w:rsidRPr="007858CD">
              <w:rPr>
                <w:rFonts w:cs="Arial"/>
                <w:b/>
                <w:bCs/>
                <w:color w:val="auto"/>
                <w:sz w:val="20"/>
                <w:szCs w:val="20"/>
              </w:rPr>
              <w:t>Total</w:t>
            </w:r>
          </w:p>
        </w:tc>
        <w:tc>
          <w:tcPr>
            <w:tcW w:w="44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06A2A" w:rsidRPr="007858CD" w:rsidRDefault="00806A2A" w:rsidP="007858CD">
            <w:pPr>
              <w:rPr>
                <w:rFonts w:cs="Arial"/>
                <w:b/>
                <w:bCs/>
                <w:color w:val="auto"/>
                <w:sz w:val="20"/>
                <w:szCs w:val="20"/>
              </w:rPr>
            </w:pPr>
            <w:r w:rsidRPr="007858CD">
              <w:rPr>
                <w:rFonts w:cs="Arial"/>
                <w:b/>
                <w:bCs/>
                <w:color w:val="auto"/>
                <w:sz w:val="20"/>
                <w:szCs w:val="20"/>
              </w:rPr>
              <w:t>Total</w:t>
            </w:r>
          </w:p>
        </w:tc>
      </w:tr>
      <w:tr w:rsidR="00DE4BA7" w:rsidRPr="007858CD" w:rsidTr="00880A69">
        <w:trPr>
          <w:trHeight w:val="400"/>
          <w:jc w:val="center"/>
        </w:trPr>
        <w:tc>
          <w:tcPr>
            <w:tcW w:w="1918"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rsidR="00806A2A" w:rsidRPr="007858CD" w:rsidRDefault="00806A2A" w:rsidP="007858CD">
            <w:pPr>
              <w:numPr>
                <w:ilvl w:val="0"/>
                <w:numId w:val="4"/>
              </w:numPr>
              <w:tabs>
                <w:tab w:val="clear" w:pos="720"/>
              </w:tabs>
              <w:ind w:left="414"/>
              <w:rPr>
                <w:rFonts w:cs="Arial"/>
                <w:color w:val="auto"/>
                <w:sz w:val="20"/>
                <w:szCs w:val="20"/>
              </w:rPr>
            </w:pPr>
            <w:r w:rsidRPr="007858CD">
              <w:rPr>
                <w:rFonts w:cs="Arial"/>
                <w:color w:val="auto"/>
                <w:sz w:val="20"/>
                <w:szCs w:val="20"/>
              </w:rPr>
              <w:t>Administration</w:t>
            </w:r>
          </w:p>
        </w:tc>
        <w:tc>
          <w:tcPr>
            <w:tcW w:w="662"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tcPr>
          <w:p w:rsidR="00806A2A" w:rsidRPr="007858CD" w:rsidRDefault="00880A69" w:rsidP="007858CD">
            <w:pPr>
              <w:rPr>
                <w:rFonts w:cs="Arial"/>
                <w:color w:val="auto"/>
                <w:sz w:val="20"/>
                <w:szCs w:val="20"/>
              </w:rPr>
            </w:pPr>
            <w:r w:rsidRPr="007858CD">
              <w:rPr>
                <w:rFonts w:cs="Arial"/>
                <w:color w:val="auto"/>
                <w:sz w:val="20"/>
                <w:szCs w:val="20"/>
              </w:rPr>
              <w:t>98.7</w:t>
            </w:r>
          </w:p>
        </w:tc>
        <w:tc>
          <w:tcPr>
            <w:tcW w:w="514"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tcPr>
          <w:p w:rsidR="00806A2A" w:rsidRPr="007858CD" w:rsidRDefault="00880A69" w:rsidP="007858CD">
            <w:pPr>
              <w:rPr>
                <w:rFonts w:cs="Arial"/>
                <w:color w:val="auto"/>
                <w:sz w:val="20"/>
                <w:szCs w:val="20"/>
              </w:rPr>
            </w:pPr>
            <w:r w:rsidRPr="007858CD">
              <w:rPr>
                <w:rFonts w:cs="Arial"/>
                <w:color w:val="auto"/>
                <w:sz w:val="20"/>
                <w:szCs w:val="20"/>
              </w:rPr>
              <w:t>96.4</w:t>
            </w:r>
          </w:p>
        </w:tc>
        <w:tc>
          <w:tcPr>
            <w:tcW w:w="47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4" w:type="dxa"/>
              <w:left w:w="14" w:type="dxa"/>
              <w:bottom w:w="0" w:type="dxa"/>
              <w:right w:w="14" w:type="dxa"/>
            </w:tcMar>
            <w:vAlign w:val="bottom"/>
          </w:tcPr>
          <w:p w:rsidR="00806A2A" w:rsidRPr="007858CD" w:rsidRDefault="00880A69" w:rsidP="007858CD">
            <w:pPr>
              <w:rPr>
                <w:rFonts w:cs="Arial"/>
                <w:color w:val="auto"/>
                <w:sz w:val="20"/>
                <w:szCs w:val="20"/>
              </w:rPr>
            </w:pPr>
            <w:r w:rsidRPr="007858CD">
              <w:rPr>
                <w:rFonts w:cs="Arial"/>
                <w:color w:val="auto"/>
                <w:sz w:val="20"/>
                <w:szCs w:val="20"/>
              </w:rPr>
              <w:t>0.0</w:t>
            </w:r>
          </w:p>
        </w:tc>
        <w:tc>
          <w:tcPr>
            <w:tcW w:w="542" w:type="pct"/>
            <w:tcBorders>
              <w:top w:val="single" w:sz="2" w:space="0" w:color="000000"/>
              <w:left w:val="single" w:sz="2" w:space="0" w:color="000000"/>
              <w:bottom w:val="single" w:sz="2" w:space="0" w:color="000000"/>
              <w:right w:val="single" w:sz="2" w:space="0" w:color="000000"/>
            </w:tcBorders>
            <w:shd w:val="clear" w:color="auto" w:fill="FFFFFF" w:themeFill="background1"/>
            <w:vAlign w:val="bottom"/>
          </w:tcPr>
          <w:p w:rsidR="00806A2A" w:rsidRPr="007858CD" w:rsidRDefault="00880A69" w:rsidP="007858CD">
            <w:pPr>
              <w:rPr>
                <w:rFonts w:cs="Arial"/>
                <w:color w:val="auto"/>
                <w:sz w:val="20"/>
                <w:szCs w:val="20"/>
              </w:rPr>
            </w:pPr>
            <w:r w:rsidRPr="007858CD">
              <w:rPr>
                <w:rFonts w:cs="Arial"/>
                <w:color w:val="auto"/>
                <w:sz w:val="20"/>
                <w:szCs w:val="20"/>
              </w:rPr>
              <w:t>2.3</w:t>
            </w:r>
          </w:p>
        </w:tc>
        <w:tc>
          <w:tcPr>
            <w:tcW w:w="448"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880A69" w:rsidP="007858CD">
            <w:pPr>
              <w:rPr>
                <w:rFonts w:cs="Arial"/>
                <w:color w:val="auto"/>
                <w:sz w:val="20"/>
                <w:szCs w:val="20"/>
              </w:rPr>
            </w:pPr>
            <w:r w:rsidRPr="007858CD">
              <w:rPr>
                <w:rFonts w:cs="Arial"/>
                <w:color w:val="auto"/>
                <w:sz w:val="20"/>
                <w:szCs w:val="20"/>
              </w:rPr>
              <w:t>97.7</w:t>
            </w:r>
          </w:p>
        </w:tc>
        <w:tc>
          <w:tcPr>
            <w:tcW w:w="441"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880A69" w:rsidP="007858CD">
            <w:pPr>
              <w:rPr>
                <w:rFonts w:cs="Arial"/>
                <w:color w:val="auto"/>
                <w:sz w:val="20"/>
                <w:szCs w:val="20"/>
              </w:rPr>
            </w:pPr>
            <w:r w:rsidRPr="007858CD">
              <w:rPr>
                <w:rFonts w:cs="Arial"/>
                <w:color w:val="auto"/>
                <w:sz w:val="20"/>
                <w:szCs w:val="20"/>
              </w:rPr>
              <w:t>102.0</w:t>
            </w:r>
          </w:p>
        </w:tc>
      </w:tr>
      <w:tr w:rsidR="00DE4BA7" w:rsidRPr="007858CD" w:rsidTr="00880A69">
        <w:trPr>
          <w:trHeight w:val="460"/>
          <w:jc w:val="center"/>
        </w:trPr>
        <w:tc>
          <w:tcPr>
            <w:tcW w:w="1918"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hideMark/>
          </w:tcPr>
          <w:p w:rsidR="00806A2A" w:rsidRPr="007858CD" w:rsidRDefault="00806A2A" w:rsidP="007858CD">
            <w:pPr>
              <w:numPr>
                <w:ilvl w:val="0"/>
                <w:numId w:val="5"/>
              </w:numPr>
              <w:tabs>
                <w:tab w:val="clear" w:pos="720"/>
              </w:tabs>
              <w:ind w:left="414"/>
              <w:rPr>
                <w:rFonts w:cs="Arial"/>
                <w:color w:val="auto"/>
                <w:sz w:val="20"/>
                <w:szCs w:val="20"/>
              </w:rPr>
            </w:pPr>
            <w:r w:rsidRPr="007858CD">
              <w:rPr>
                <w:rFonts w:cs="Arial"/>
                <w:color w:val="auto"/>
                <w:sz w:val="20"/>
                <w:szCs w:val="20"/>
              </w:rPr>
              <w:t>Social Transformation and Economic Empowerment</w:t>
            </w:r>
          </w:p>
        </w:tc>
        <w:tc>
          <w:tcPr>
            <w:tcW w:w="662"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tcPr>
          <w:p w:rsidR="00806A2A" w:rsidRPr="007858CD" w:rsidRDefault="00771EC5" w:rsidP="007858CD">
            <w:pPr>
              <w:rPr>
                <w:rFonts w:cs="Arial"/>
                <w:color w:val="auto"/>
                <w:sz w:val="20"/>
                <w:szCs w:val="20"/>
              </w:rPr>
            </w:pPr>
            <w:r w:rsidRPr="007858CD">
              <w:rPr>
                <w:rFonts w:cs="Arial"/>
                <w:color w:val="auto"/>
                <w:sz w:val="20"/>
                <w:szCs w:val="20"/>
              </w:rPr>
              <w:t>134.3</w:t>
            </w:r>
          </w:p>
        </w:tc>
        <w:tc>
          <w:tcPr>
            <w:tcW w:w="514"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tcPr>
          <w:p w:rsidR="00806A2A" w:rsidRPr="007858CD" w:rsidRDefault="00771EC5" w:rsidP="007858CD">
            <w:pPr>
              <w:rPr>
                <w:rFonts w:cs="Arial"/>
                <w:color w:val="auto"/>
                <w:sz w:val="20"/>
                <w:szCs w:val="20"/>
              </w:rPr>
            </w:pPr>
            <w:r w:rsidRPr="007858CD">
              <w:rPr>
                <w:rFonts w:cs="Arial"/>
                <w:color w:val="auto"/>
                <w:sz w:val="20"/>
                <w:szCs w:val="20"/>
              </w:rPr>
              <w:t>33.1</w:t>
            </w:r>
          </w:p>
        </w:tc>
        <w:tc>
          <w:tcPr>
            <w:tcW w:w="47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4" w:type="dxa"/>
              <w:left w:w="14" w:type="dxa"/>
              <w:bottom w:w="0" w:type="dxa"/>
              <w:right w:w="14" w:type="dxa"/>
            </w:tcMar>
          </w:tcPr>
          <w:p w:rsidR="00806A2A" w:rsidRPr="007858CD" w:rsidRDefault="00771EC5" w:rsidP="007858CD">
            <w:pPr>
              <w:rPr>
                <w:rFonts w:cs="Arial"/>
                <w:color w:val="auto"/>
                <w:sz w:val="20"/>
                <w:szCs w:val="20"/>
              </w:rPr>
            </w:pPr>
            <w:r w:rsidRPr="007858CD">
              <w:rPr>
                <w:rFonts w:cs="Arial"/>
                <w:color w:val="auto"/>
                <w:sz w:val="20"/>
                <w:szCs w:val="20"/>
              </w:rPr>
              <w:t>100.7</w:t>
            </w:r>
          </w:p>
        </w:tc>
        <w:tc>
          <w:tcPr>
            <w:tcW w:w="542"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771EC5" w:rsidP="007858CD">
            <w:pPr>
              <w:rPr>
                <w:rFonts w:cs="Arial"/>
                <w:color w:val="auto"/>
                <w:sz w:val="20"/>
                <w:szCs w:val="20"/>
              </w:rPr>
            </w:pPr>
            <w:r w:rsidRPr="007858CD">
              <w:rPr>
                <w:rFonts w:cs="Arial"/>
                <w:color w:val="auto"/>
                <w:sz w:val="20"/>
                <w:szCs w:val="20"/>
              </w:rPr>
              <w:t>0.5</w:t>
            </w:r>
          </w:p>
        </w:tc>
        <w:tc>
          <w:tcPr>
            <w:tcW w:w="448"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771EC5" w:rsidP="007858CD">
            <w:pPr>
              <w:rPr>
                <w:rFonts w:cs="Arial"/>
                <w:color w:val="auto"/>
                <w:sz w:val="20"/>
                <w:szCs w:val="20"/>
              </w:rPr>
            </w:pPr>
            <w:r w:rsidRPr="007858CD">
              <w:rPr>
                <w:rFonts w:cs="Arial"/>
                <w:color w:val="auto"/>
                <w:sz w:val="20"/>
                <w:szCs w:val="20"/>
              </w:rPr>
              <w:t>127.8</w:t>
            </w:r>
          </w:p>
        </w:tc>
        <w:tc>
          <w:tcPr>
            <w:tcW w:w="441"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880A69" w:rsidP="007858CD">
            <w:pPr>
              <w:rPr>
                <w:rFonts w:cs="Arial"/>
                <w:color w:val="auto"/>
                <w:sz w:val="20"/>
                <w:szCs w:val="20"/>
              </w:rPr>
            </w:pPr>
            <w:r w:rsidRPr="007858CD">
              <w:rPr>
                <w:rFonts w:cs="Arial"/>
                <w:color w:val="auto"/>
                <w:sz w:val="20"/>
                <w:szCs w:val="20"/>
              </w:rPr>
              <w:t>133.5</w:t>
            </w:r>
          </w:p>
        </w:tc>
      </w:tr>
      <w:tr w:rsidR="00DE4BA7" w:rsidRPr="007858CD" w:rsidTr="00880A69">
        <w:trPr>
          <w:trHeight w:val="274"/>
          <w:jc w:val="center"/>
        </w:trPr>
        <w:tc>
          <w:tcPr>
            <w:tcW w:w="1918"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rsidR="00806A2A" w:rsidRPr="007858CD" w:rsidRDefault="00806A2A" w:rsidP="007858CD">
            <w:pPr>
              <w:numPr>
                <w:ilvl w:val="0"/>
                <w:numId w:val="6"/>
              </w:numPr>
              <w:tabs>
                <w:tab w:val="clear" w:pos="720"/>
              </w:tabs>
              <w:ind w:left="414"/>
              <w:rPr>
                <w:rFonts w:cs="Arial"/>
                <w:color w:val="auto"/>
                <w:sz w:val="20"/>
                <w:szCs w:val="20"/>
              </w:rPr>
            </w:pPr>
            <w:r w:rsidRPr="007858CD">
              <w:rPr>
                <w:rFonts w:cs="Arial"/>
                <w:color w:val="auto"/>
                <w:sz w:val="20"/>
                <w:szCs w:val="20"/>
              </w:rPr>
              <w:t>Policy  Stakeholder, Coordination and Knowledge Management</w:t>
            </w:r>
          </w:p>
        </w:tc>
        <w:tc>
          <w:tcPr>
            <w:tcW w:w="662"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tcPr>
          <w:p w:rsidR="00806A2A" w:rsidRPr="007858CD" w:rsidRDefault="00771EC5" w:rsidP="007858CD">
            <w:pPr>
              <w:rPr>
                <w:rFonts w:cs="Arial"/>
                <w:color w:val="auto"/>
                <w:sz w:val="20"/>
                <w:szCs w:val="20"/>
              </w:rPr>
            </w:pPr>
            <w:r w:rsidRPr="007858CD">
              <w:rPr>
                <w:rFonts w:cs="Arial"/>
                <w:color w:val="auto"/>
                <w:sz w:val="20"/>
                <w:szCs w:val="20"/>
              </w:rPr>
              <w:t>42.5</w:t>
            </w:r>
          </w:p>
        </w:tc>
        <w:tc>
          <w:tcPr>
            <w:tcW w:w="514"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tcPr>
          <w:p w:rsidR="00806A2A" w:rsidRPr="007858CD" w:rsidRDefault="00771EC5" w:rsidP="007858CD">
            <w:pPr>
              <w:rPr>
                <w:rFonts w:cs="Arial"/>
                <w:color w:val="auto"/>
                <w:sz w:val="20"/>
                <w:szCs w:val="20"/>
              </w:rPr>
            </w:pPr>
            <w:r w:rsidRPr="007858CD">
              <w:rPr>
                <w:rFonts w:cs="Arial"/>
                <w:color w:val="auto"/>
                <w:sz w:val="20"/>
                <w:szCs w:val="20"/>
              </w:rPr>
              <w:t>41.6</w:t>
            </w:r>
          </w:p>
        </w:tc>
        <w:tc>
          <w:tcPr>
            <w:tcW w:w="47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4" w:type="dxa"/>
              <w:left w:w="14" w:type="dxa"/>
              <w:bottom w:w="0" w:type="dxa"/>
              <w:right w:w="14" w:type="dxa"/>
            </w:tcMar>
          </w:tcPr>
          <w:p w:rsidR="00806A2A" w:rsidRPr="007858CD" w:rsidRDefault="00771EC5" w:rsidP="007858CD">
            <w:pPr>
              <w:rPr>
                <w:rFonts w:cs="Arial"/>
                <w:color w:val="auto"/>
                <w:sz w:val="20"/>
                <w:szCs w:val="20"/>
              </w:rPr>
            </w:pPr>
            <w:r w:rsidRPr="007858CD">
              <w:rPr>
                <w:rFonts w:cs="Arial"/>
                <w:color w:val="auto"/>
                <w:sz w:val="20"/>
                <w:szCs w:val="20"/>
              </w:rPr>
              <w:t>-</w:t>
            </w:r>
          </w:p>
        </w:tc>
        <w:tc>
          <w:tcPr>
            <w:tcW w:w="542"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771EC5" w:rsidP="007858CD">
            <w:pPr>
              <w:rPr>
                <w:rFonts w:cs="Arial"/>
                <w:color w:val="auto"/>
                <w:sz w:val="20"/>
                <w:szCs w:val="20"/>
              </w:rPr>
            </w:pPr>
            <w:r w:rsidRPr="007858CD">
              <w:rPr>
                <w:rFonts w:cs="Arial"/>
                <w:color w:val="auto"/>
                <w:sz w:val="20"/>
                <w:szCs w:val="20"/>
              </w:rPr>
              <w:t>0.9</w:t>
            </w:r>
          </w:p>
        </w:tc>
        <w:tc>
          <w:tcPr>
            <w:tcW w:w="448"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771EC5" w:rsidP="007858CD">
            <w:pPr>
              <w:rPr>
                <w:rFonts w:cs="Arial"/>
                <w:color w:val="auto"/>
                <w:sz w:val="20"/>
                <w:szCs w:val="20"/>
              </w:rPr>
            </w:pPr>
            <w:r w:rsidRPr="007858CD">
              <w:rPr>
                <w:rFonts w:cs="Arial"/>
                <w:color w:val="auto"/>
                <w:sz w:val="20"/>
                <w:szCs w:val="20"/>
              </w:rPr>
              <w:t>42.7</w:t>
            </w:r>
          </w:p>
        </w:tc>
        <w:tc>
          <w:tcPr>
            <w:tcW w:w="441"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806A2A" w:rsidRPr="007858CD" w:rsidRDefault="00880A69" w:rsidP="007858CD">
            <w:pPr>
              <w:rPr>
                <w:rFonts w:cs="Arial"/>
                <w:color w:val="auto"/>
                <w:sz w:val="20"/>
                <w:szCs w:val="20"/>
              </w:rPr>
            </w:pPr>
            <w:r w:rsidRPr="007858CD">
              <w:rPr>
                <w:rFonts w:cs="Arial"/>
                <w:color w:val="auto"/>
                <w:sz w:val="20"/>
                <w:szCs w:val="20"/>
              </w:rPr>
              <w:t>44.6</w:t>
            </w:r>
          </w:p>
        </w:tc>
      </w:tr>
      <w:tr w:rsidR="00DE4BA7" w:rsidRPr="007858CD" w:rsidTr="00880A69">
        <w:trPr>
          <w:trHeight w:val="274"/>
          <w:jc w:val="center"/>
        </w:trPr>
        <w:tc>
          <w:tcPr>
            <w:tcW w:w="1918"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tcPr>
          <w:p w:rsidR="00593FBE" w:rsidRPr="007858CD" w:rsidRDefault="00880A69" w:rsidP="007858CD">
            <w:pPr>
              <w:numPr>
                <w:ilvl w:val="0"/>
                <w:numId w:val="6"/>
              </w:numPr>
              <w:tabs>
                <w:tab w:val="clear" w:pos="720"/>
              </w:tabs>
              <w:ind w:left="414"/>
              <w:rPr>
                <w:rFonts w:cs="Arial"/>
                <w:color w:val="auto"/>
                <w:sz w:val="20"/>
                <w:szCs w:val="20"/>
              </w:rPr>
            </w:pPr>
            <w:r w:rsidRPr="007858CD">
              <w:rPr>
                <w:rFonts w:cs="Arial"/>
                <w:color w:val="auto"/>
                <w:sz w:val="20"/>
                <w:szCs w:val="20"/>
              </w:rPr>
              <w:t xml:space="preserve">Mainstreaming Youth and Persons with Disabilities </w:t>
            </w:r>
            <w:r w:rsidR="00593FBE" w:rsidRPr="007858CD">
              <w:rPr>
                <w:rFonts w:cs="Arial"/>
                <w:color w:val="auto"/>
                <w:sz w:val="20"/>
                <w:szCs w:val="20"/>
              </w:rPr>
              <w:t xml:space="preserve">Rights </w:t>
            </w:r>
            <w:r w:rsidRPr="007858CD">
              <w:rPr>
                <w:rFonts w:cs="Arial"/>
                <w:color w:val="auto"/>
                <w:sz w:val="20"/>
                <w:szCs w:val="20"/>
              </w:rPr>
              <w:t>and Advocacy</w:t>
            </w:r>
          </w:p>
        </w:tc>
        <w:tc>
          <w:tcPr>
            <w:tcW w:w="662"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tcPr>
          <w:p w:rsidR="00593FBE" w:rsidRPr="007858CD" w:rsidRDefault="00771EC5" w:rsidP="007858CD">
            <w:pPr>
              <w:rPr>
                <w:rFonts w:cs="Arial"/>
                <w:color w:val="auto"/>
                <w:sz w:val="20"/>
                <w:szCs w:val="20"/>
              </w:rPr>
            </w:pPr>
            <w:r w:rsidRPr="007858CD">
              <w:rPr>
                <w:rFonts w:cs="Arial"/>
                <w:color w:val="auto"/>
                <w:sz w:val="20"/>
                <w:szCs w:val="20"/>
              </w:rPr>
              <w:t>711.8</w:t>
            </w:r>
          </w:p>
        </w:tc>
        <w:tc>
          <w:tcPr>
            <w:tcW w:w="514" w:type="pct"/>
            <w:tcBorders>
              <w:top w:val="single" w:sz="2"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tcPr>
          <w:p w:rsidR="00593FBE" w:rsidRPr="007858CD" w:rsidRDefault="00771EC5" w:rsidP="007858CD">
            <w:pPr>
              <w:rPr>
                <w:rFonts w:cs="Arial"/>
                <w:color w:val="auto"/>
                <w:sz w:val="20"/>
                <w:szCs w:val="20"/>
              </w:rPr>
            </w:pPr>
            <w:r w:rsidRPr="007858CD">
              <w:rPr>
                <w:rFonts w:cs="Arial"/>
                <w:color w:val="auto"/>
                <w:sz w:val="20"/>
                <w:szCs w:val="20"/>
              </w:rPr>
              <w:t>29.9</w:t>
            </w:r>
          </w:p>
        </w:tc>
        <w:tc>
          <w:tcPr>
            <w:tcW w:w="47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4" w:type="dxa"/>
              <w:left w:w="14" w:type="dxa"/>
              <w:bottom w:w="0" w:type="dxa"/>
              <w:right w:w="14" w:type="dxa"/>
            </w:tcMar>
          </w:tcPr>
          <w:p w:rsidR="00593FBE" w:rsidRPr="007858CD" w:rsidRDefault="00771EC5" w:rsidP="007858CD">
            <w:pPr>
              <w:rPr>
                <w:rFonts w:cs="Arial"/>
                <w:color w:val="auto"/>
                <w:sz w:val="20"/>
                <w:szCs w:val="20"/>
              </w:rPr>
            </w:pPr>
            <w:r w:rsidRPr="007858CD">
              <w:rPr>
                <w:rFonts w:cs="Arial"/>
                <w:color w:val="auto"/>
                <w:sz w:val="20"/>
                <w:szCs w:val="20"/>
              </w:rPr>
              <w:t>681.5</w:t>
            </w:r>
          </w:p>
        </w:tc>
        <w:tc>
          <w:tcPr>
            <w:tcW w:w="542"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593FBE" w:rsidRPr="007858CD" w:rsidRDefault="00771EC5" w:rsidP="007858CD">
            <w:pPr>
              <w:rPr>
                <w:rFonts w:cs="Arial"/>
                <w:color w:val="auto"/>
                <w:sz w:val="20"/>
                <w:szCs w:val="20"/>
              </w:rPr>
            </w:pPr>
            <w:r w:rsidRPr="007858CD">
              <w:rPr>
                <w:rFonts w:cs="Arial"/>
                <w:color w:val="auto"/>
                <w:sz w:val="20"/>
                <w:szCs w:val="20"/>
              </w:rPr>
              <w:t>0.4</w:t>
            </w:r>
          </w:p>
        </w:tc>
        <w:tc>
          <w:tcPr>
            <w:tcW w:w="448"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593FBE" w:rsidRPr="007858CD" w:rsidRDefault="00771EC5" w:rsidP="007858CD">
            <w:pPr>
              <w:rPr>
                <w:rFonts w:cs="Arial"/>
                <w:color w:val="auto"/>
                <w:sz w:val="20"/>
                <w:szCs w:val="20"/>
              </w:rPr>
            </w:pPr>
            <w:r w:rsidRPr="007858CD">
              <w:rPr>
                <w:rFonts w:cs="Arial"/>
                <w:color w:val="auto"/>
                <w:sz w:val="20"/>
                <w:szCs w:val="20"/>
              </w:rPr>
              <w:t>763.7</w:t>
            </w:r>
          </w:p>
        </w:tc>
        <w:tc>
          <w:tcPr>
            <w:tcW w:w="441"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593FBE" w:rsidRPr="007858CD" w:rsidRDefault="00771EC5" w:rsidP="007858CD">
            <w:pPr>
              <w:rPr>
                <w:rFonts w:cs="Arial"/>
                <w:color w:val="auto"/>
                <w:sz w:val="20"/>
                <w:szCs w:val="20"/>
              </w:rPr>
            </w:pPr>
            <w:r w:rsidRPr="007858CD">
              <w:rPr>
                <w:rFonts w:cs="Arial"/>
                <w:color w:val="auto"/>
                <w:sz w:val="20"/>
                <w:szCs w:val="20"/>
              </w:rPr>
              <w:t>536.8</w:t>
            </w:r>
          </w:p>
        </w:tc>
      </w:tr>
      <w:tr w:rsidR="00DE4BA7" w:rsidRPr="007858CD" w:rsidTr="00880A69">
        <w:trPr>
          <w:trHeight w:val="133"/>
          <w:jc w:val="center"/>
        </w:trPr>
        <w:tc>
          <w:tcPr>
            <w:tcW w:w="191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vAlign w:val="bottom"/>
            <w:hideMark/>
          </w:tcPr>
          <w:p w:rsidR="00806A2A" w:rsidRPr="007858CD" w:rsidRDefault="00806A2A" w:rsidP="007858CD">
            <w:pPr>
              <w:rPr>
                <w:rFonts w:cs="Arial"/>
                <w:color w:val="auto"/>
                <w:sz w:val="20"/>
                <w:szCs w:val="20"/>
              </w:rPr>
            </w:pPr>
            <w:r w:rsidRPr="007858CD">
              <w:rPr>
                <w:rFonts w:cs="Arial"/>
                <w:b/>
                <w:bCs/>
                <w:color w:val="auto"/>
                <w:sz w:val="20"/>
                <w:szCs w:val="20"/>
              </w:rPr>
              <w:t>Total Expenditure Estimates</w:t>
            </w:r>
          </w:p>
        </w:tc>
        <w:tc>
          <w:tcPr>
            <w:tcW w:w="66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tcPr>
          <w:p w:rsidR="00806A2A" w:rsidRPr="007858CD" w:rsidRDefault="00771EC5" w:rsidP="007858CD">
            <w:pPr>
              <w:rPr>
                <w:rFonts w:cs="Arial"/>
                <w:b/>
                <w:color w:val="auto"/>
                <w:sz w:val="20"/>
                <w:szCs w:val="20"/>
              </w:rPr>
            </w:pPr>
            <w:r w:rsidRPr="007858CD">
              <w:rPr>
                <w:rFonts w:cs="Arial"/>
                <w:b/>
                <w:color w:val="auto"/>
                <w:sz w:val="20"/>
                <w:szCs w:val="20"/>
              </w:rPr>
              <w:t>987.3</w:t>
            </w:r>
          </w:p>
        </w:tc>
        <w:tc>
          <w:tcPr>
            <w:tcW w:w="514"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tcPr>
          <w:p w:rsidR="00806A2A" w:rsidRPr="007858CD" w:rsidRDefault="00771EC5" w:rsidP="007858CD">
            <w:pPr>
              <w:rPr>
                <w:rFonts w:cs="Arial"/>
                <w:b/>
                <w:color w:val="auto"/>
                <w:sz w:val="20"/>
                <w:szCs w:val="20"/>
              </w:rPr>
            </w:pPr>
            <w:r w:rsidRPr="007858CD">
              <w:rPr>
                <w:rFonts w:cs="Arial"/>
                <w:b/>
                <w:color w:val="auto"/>
                <w:sz w:val="20"/>
                <w:szCs w:val="20"/>
              </w:rPr>
              <w:t>201.0</w:t>
            </w:r>
          </w:p>
        </w:tc>
        <w:tc>
          <w:tcPr>
            <w:tcW w:w="47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 w:type="dxa"/>
              <w:left w:w="14" w:type="dxa"/>
              <w:bottom w:w="0" w:type="dxa"/>
              <w:right w:w="14" w:type="dxa"/>
            </w:tcMar>
          </w:tcPr>
          <w:p w:rsidR="00806A2A" w:rsidRPr="007858CD" w:rsidRDefault="00771EC5" w:rsidP="007858CD">
            <w:pPr>
              <w:rPr>
                <w:rFonts w:cs="Arial"/>
                <w:b/>
                <w:color w:val="auto"/>
                <w:sz w:val="20"/>
                <w:szCs w:val="20"/>
              </w:rPr>
            </w:pPr>
            <w:r w:rsidRPr="007858CD">
              <w:rPr>
                <w:rFonts w:cs="Arial"/>
                <w:b/>
                <w:color w:val="auto"/>
                <w:sz w:val="20"/>
                <w:szCs w:val="20"/>
              </w:rPr>
              <w:t>782.2</w:t>
            </w:r>
          </w:p>
        </w:tc>
        <w:tc>
          <w:tcPr>
            <w:tcW w:w="54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06A2A" w:rsidRPr="007858CD" w:rsidRDefault="00771EC5" w:rsidP="007858CD">
            <w:pPr>
              <w:rPr>
                <w:rFonts w:cs="Arial"/>
                <w:b/>
                <w:color w:val="auto"/>
                <w:sz w:val="20"/>
                <w:szCs w:val="20"/>
              </w:rPr>
            </w:pPr>
            <w:r w:rsidRPr="007858CD">
              <w:rPr>
                <w:rFonts w:cs="Arial"/>
                <w:b/>
                <w:color w:val="auto"/>
                <w:sz w:val="20"/>
                <w:szCs w:val="20"/>
              </w:rPr>
              <w:t>4.1</w:t>
            </w:r>
          </w:p>
        </w:tc>
        <w:tc>
          <w:tcPr>
            <w:tcW w:w="44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06A2A" w:rsidRPr="007858CD" w:rsidRDefault="00771EC5" w:rsidP="007858CD">
            <w:pPr>
              <w:rPr>
                <w:rFonts w:cs="Arial"/>
                <w:b/>
                <w:color w:val="auto"/>
                <w:sz w:val="20"/>
                <w:szCs w:val="20"/>
              </w:rPr>
            </w:pPr>
            <w:r w:rsidRPr="007858CD">
              <w:rPr>
                <w:rFonts w:cs="Arial"/>
                <w:b/>
                <w:color w:val="auto"/>
                <w:sz w:val="20"/>
                <w:szCs w:val="20"/>
              </w:rPr>
              <w:t>1 031.0</w:t>
            </w:r>
          </w:p>
        </w:tc>
        <w:tc>
          <w:tcPr>
            <w:tcW w:w="44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06A2A" w:rsidRPr="007858CD" w:rsidRDefault="00771EC5" w:rsidP="007858CD">
            <w:pPr>
              <w:rPr>
                <w:rFonts w:cs="Arial"/>
                <w:b/>
                <w:color w:val="auto"/>
                <w:sz w:val="20"/>
                <w:szCs w:val="20"/>
              </w:rPr>
            </w:pPr>
            <w:r w:rsidRPr="007858CD">
              <w:rPr>
                <w:rFonts w:cs="Arial"/>
                <w:b/>
                <w:color w:val="auto"/>
                <w:sz w:val="20"/>
                <w:szCs w:val="20"/>
              </w:rPr>
              <w:t>817.0</w:t>
            </w:r>
          </w:p>
        </w:tc>
      </w:tr>
    </w:tbl>
    <w:p w:rsidR="00857D5D" w:rsidRPr="007858CD" w:rsidRDefault="00857D5D" w:rsidP="007858CD">
      <w:pPr>
        <w:rPr>
          <w:rFonts w:cs="Arial"/>
          <w:color w:val="auto"/>
          <w:sz w:val="20"/>
          <w:szCs w:val="20"/>
          <w:lang w:val="en-US"/>
        </w:rPr>
      </w:pPr>
    </w:p>
    <w:p w:rsidR="009C38E7" w:rsidRPr="007858CD" w:rsidRDefault="009C38E7" w:rsidP="007858CD">
      <w:pPr>
        <w:rPr>
          <w:rFonts w:cs="Arial"/>
          <w:color w:val="auto"/>
          <w:sz w:val="20"/>
          <w:szCs w:val="20"/>
          <w:lang w:val="en-US"/>
        </w:rPr>
      </w:pPr>
      <w:r w:rsidRPr="007858CD">
        <w:rPr>
          <w:rFonts w:cs="Arial"/>
          <w:color w:val="auto"/>
          <w:sz w:val="20"/>
          <w:szCs w:val="20"/>
          <w:lang w:val="en-US"/>
        </w:rPr>
        <w:t>Of the R</w:t>
      </w:r>
      <w:r w:rsidR="00401364" w:rsidRPr="007858CD">
        <w:rPr>
          <w:rFonts w:cs="Arial"/>
          <w:color w:val="auto"/>
          <w:sz w:val="20"/>
          <w:szCs w:val="20"/>
          <w:lang w:val="en-US"/>
        </w:rPr>
        <w:t>205.4</w:t>
      </w:r>
      <w:r w:rsidRPr="007858CD">
        <w:rPr>
          <w:rFonts w:cs="Arial"/>
          <w:color w:val="auto"/>
          <w:sz w:val="20"/>
          <w:szCs w:val="20"/>
          <w:lang w:val="en-US"/>
        </w:rPr>
        <w:t xml:space="preserve"> million, R</w:t>
      </w:r>
      <w:r w:rsidR="00843F0B" w:rsidRPr="007858CD">
        <w:rPr>
          <w:rFonts w:cs="Arial"/>
          <w:color w:val="auto"/>
          <w:sz w:val="20"/>
          <w:szCs w:val="20"/>
          <w:lang w:val="en-US"/>
        </w:rPr>
        <w:t>113</w:t>
      </w:r>
      <w:r w:rsidRPr="007858CD">
        <w:rPr>
          <w:rFonts w:cs="Arial"/>
          <w:color w:val="auto"/>
          <w:sz w:val="20"/>
          <w:szCs w:val="20"/>
          <w:lang w:val="en-US"/>
        </w:rPr>
        <w:t xml:space="preserve"> million (</w:t>
      </w:r>
      <w:r w:rsidR="00843F0B" w:rsidRPr="007858CD">
        <w:rPr>
          <w:rFonts w:cs="Arial"/>
          <w:color w:val="auto"/>
          <w:sz w:val="20"/>
          <w:szCs w:val="20"/>
          <w:lang w:val="en-US"/>
        </w:rPr>
        <w:t>56.2</w:t>
      </w:r>
      <w:r w:rsidRPr="007858CD">
        <w:rPr>
          <w:rFonts w:cs="Arial"/>
          <w:color w:val="auto"/>
          <w:sz w:val="20"/>
          <w:szCs w:val="20"/>
          <w:lang w:val="en-US"/>
        </w:rPr>
        <w:t>%) of the Department’s operating budget is allocated to Compensation of Employees and R</w:t>
      </w:r>
      <w:r w:rsidR="00843F0B" w:rsidRPr="007858CD">
        <w:rPr>
          <w:rFonts w:cs="Arial"/>
          <w:color w:val="auto"/>
          <w:sz w:val="20"/>
          <w:szCs w:val="20"/>
          <w:lang w:val="en-US"/>
        </w:rPr>
        <w:t>87.9</w:t>
      </w:r>
      <w:r w:rsidRPr="007858CD">
        <w:rPr>
          <w:rFonts w:cs="Arial"/>
          <w:color w:val="auto"/>
          <w:sz w:val="20"/>
          <w:szCs w:val="20"/>
          <w:lang w:val="en-US"/>
        </w:rPr>
        <w:t xml:space="preserve"> million (</w:t>
      </w:r>
      <w:r w:rsidR="00843F0B" w:rsidRPr="007858CD">
        <w:rPr>
          <w:rFonts w:cs="Arial"/>
          <w:color w:val="auto"/>
          <w:sz w:val="20"/>
          <w:szCs w:val="20"/>
          <w:lang w:val="en-US"/>
        </w:rPr>
        <w:t>43.8</w:t>
      </w:r>
      <w:r w:rsidRPr="007858CD">
        <w:rPr>
          <w:rFonts w:cs="Arial"/>
          <w:color w:val="auto"/>
          <w:sz w:val="20"/>
          <w:szCs w:val="20"/>
          <w:lang w:val="en-US"/>
        </w:rPr>
        <w:t>%) to Goods and Services. The key cost drivers under Goods and Services for the Department is as follows:</w:t>
      </w:r>
    </w:p>
    <w:p w:rsidR="009C38E7" w:rsidRPr="007858CD" w:rsidRDefault="009C38E7" w:rsidP="007858CD">
      <w:pPr>
        <w:rPr>
          <w:rFonts w:cs="Arial"/>
          <w:color w:val="auto"/>
          <w:sz w:val="20"/>
          <w:szCs w:val="20"/>
          <w:lang w:val="en-ZA"/>
        </w:rPr>
      </w:pPr>
    </w:p>
    <w:p w:rsidR="00843F0B" w:rsidRPr="007858CD" w:rsidRDefault="00843F0B" w:rsidP="007858CD">
      <w:pPr>
        <w:pStyle w:val="ListParagraph"/>
        <w:numPr>
          <w:ilvl w:val="0"/>
          <w:numId w:val="16"/>
        </w:numPr>
        <w:rPr>
          <w:rFonts w:cs="Arial"/>
          <w:color w:val="auto"/>
          <w:sz w:val="20"/>
          <w:szCs w:val="20"/>
          <w:lang w:val="en-ZA"/>
        </w:rPr>
      </w:pPr>
      <w:r w:rsidRPr="007858CD">
        <w:rPr>
          <w:rFonts w:cs="Arial"/>
          <w:color w:val="auto"/>
          <w:sz w:val="20"/>
          <w:szCs w:val="20"/>
          <w:lang w:val="en-ZA"/>
        </w:rPr>
        <w:t>Property Payments: R19.1 m</w:t>
      </w:r>
    </w:p>
    <w:p w:rsidR="009C38E7" w:rsidRPr="007858CD" w:rsidRDefault="009C38E7" w:rsidP="007858CD">
      <w:pPr>
        <w:pStyle w:val="ListParagraph"/>
        <w:numPr>
          <w:ilvl w:val="0"/>
          <w:numId w:val="16"/>
        </w:numPr>
        <w:rPr>
          <w:rFonts w:cs="Arial"/>
          <w:color w:val="auto"/>
          <w:sz w:val="20"/>
          <w:szCs w:val="20"/>
          <w:lang w:val="en-ZA"/>
        </w:rPr>
      </w:pPr>
      <w:r w:rsidRPr="007858CD">
        <w:rPr>
          <w:rFonts w:cs="Arial"/>
          <w:color w:val="auto"/>
          <w:sz w:val="20"/>
          <w:szCs w:val="20"/>
          <w:lang w:val="en-ZA"/>
        </w:rPr>
        <w:t>Travel &amp; Subsistence: R</w:t>
      </w:r>
      <w:r w:rsidR="00843F0B" w:rsidRPr="007858CD">
        <w:rPr>
          <w:rFonts w:cs="Arial"/>
          <w:color w:val="auto"/>
          <w:sz w:val="20"/>
          <w:szCs w:val="20"/>
          <w:lang w:val="en-ZA"/>
        </w:rPr>
        <w:t xml:space="preserve">18.4 </w:t>
      </w:r>
      <w:r w:rsidRPr="007858CD">
        <w:rPr>
          <w:rFonts w:cs="Arial"/>
          <w:color w:val="auto"/>
          <w:sz w:val="20"/>
          <w:szCs w:val="20"/>
          <w:lang w:val="en-ZA"/>
        </w:rPr>
        <w:t>m</w:t>
      </w:r>
    </w:p>
    <w:p w:rsidR="009C38E7" w:rsidRPr="007858CD" w:rsidRDefault="009C38E7" w:rsidP="007858CD">
      <w:pPr>
        <w:pStyle w:val="ListParagraph"/>
        <w:numPr>
          <w:ilvl w:val="0"/>
          <w:numId w:val="16"/>
        </w:numPr>
        <w:rPr>
          <w:rFonts w:cs="Arial"/>
          <w:color w:val="auto"/>
          <w:sz w:val="20"/>
          <w:szCs w:val="20"/>
          <w:lang w:val="en-ZA"/>
        </w:rPr>
      </w:pPr>
      <w:r w:rsidRPr="007858CD">
        <w:rPr>
          <w:rFonts w:cs="Arial"/>
          <w:color w:val="auto"/>
          <w:sz w:val="20"/>
          <w:szCs w:val="20"/>
          <w:lang w:val="en-ZA"/>
        </w:rPr>
        <w:t>Consultants: R</w:t>
      </w:r>
      <w:r w:rsidR="00843F0B" w:rsidRPr="007858CD">
        <w:rPr>
          <w:rFonts w:cs="Arial"/>
          <w:color w:val="auto"/>
          <w:sz w:val="20"/>
          <w:szCs w:val="20"/>
          <w:lang w:val="en-ZA"/>
        </w:rPr>
        <w:t xml:space="preserve">15.6 </w:t>
      </w:r>
      <w:r w:rsidRPr="007858CD">
        <w:rPr>
          <w:rFonts w:cs="Arial"/>
          <w:color w:val="auto"/>
          <w:sz w:val="20"/>
          <w:szCs w:val="20"/>
          <w:lang w:val="en-ZA"/>
        </w:rPr>
        <w:t>m</w:t>
      </w:r>
    </w:p>
    <w:p w:rsidR="00843F0B" w:rsidRPr="007858CD" w:rsidRDefault="00843F0B" w:rsidP="007858CD">
      <w:pPr>
        <w:pStyle w:val="ListParagraph"/>
        <w:numPr>
          <w:ilvl w:val="0"/>
          <w:numId w:val="16"/>
        </w:numPr>
        <w:rPr>
          <w:rFonts w:cs="Arial"/>
          <w:color w:val="auto"/>
          <w:sz w:val="20"/>
          <w:szCs w:val="20"/>
          <w:lang w:val="en-ZA"/>
        </w:rPr>
      </w:pPr>
      <w:r w:rsidRPr="007858CD">
        <w:rPr>
          <w:rFonts w:cs="Arial"/>
          <w:color w:val="auto"/>
          <w:sz w:val="20"/>
          <w:szCs w:val="20"/>
          <w:lang w:val="en-ZA"/>
        </w:rPr>
        <w:t>Venues &amp; facilities: R5.7 m</w:t>
      </w:r>
    </w:p>
    <w:p w:rsidR="009C38E7" w:rsidRPr="007858CD" w:rsidRDefault="009C38E7" w:rsidP="007858CD">
      <w:pPr>
        <w:pStyle w:val="ListParagraph"/>
        <w:numPr>
          <w:ilvl w:val="0"/>
          <w:numId w:val="16"/>
        </w:numPr>
        <w:rPr>
          <w:rFonts w:cs="Arial"/>
          <w:color w:val="auto"/>
          <w:sz w:val="20"/>
          <w:szCs w:val="20"/>
          <w:lang w:val="en-ZA"/>
        </w:rPr>
      </w:pPr>
      <w:r w:rsidRPr="007858CD">
        <w:rPr>
          <w:rFonts w:cs="Arial"/>
          <w:color w:val="auto"/>
          <w:sz w:val="20"/>
          <w:szCs w:val="20"/>
          <w:lang w:val="en-ZA"/>
        </w:rPr>
        <w:lastRenderedPageBreak/>
        <w:t>External Audit Costs: R</w:t>
      </w:r>
      <w:r w:rsidR="00843F0B" w:rsidRPr="007858CD">
        <w:rPr>
          <w:rFonts w:cs="Arial"/>
          <w:color w:val="auto"/>
          <w:sz w:val="20"/>
          <w:szCs w:val="20"/>
          <w:lang w:val="en-ZA"/>
        </w:rPr>
        <w:t xml:space="preserve">4.4 </w:t>
      </w:r>
      <w:r w:rsidRPr="007858CD">
        <w:rPr>
          <w:rFonts w:cs="Arial"/>
          <w:color w:val="auto"/>
          <w:sz w:val="20"/>
          <w:szCs w:val="20"/>
          <w:lang w:val="en-ZA"/>
        </w:rPr>
        <w:t>m</w:t>
      </w:r>
    </w:p>
    <w:p w:rsidR="009A3172" w:rsidRPr="007858CD" w:rsidRDefault="009A3172" w:rsidP="007858CD">
      <w:pPr>
        <w:rPr>
          <w:rFonts w:cs="Arial"/>
          <w:color w:val="auto"/>
          <w:sz w:val="20"/>
          <w:szCs w:val="20"/>
          <w:lang w:val="en-ZA"/>
        </w:rPr>
      </w:pPr>
    </w:p>
    <w:p w:rsidR="00D010D1" w:rsidRPr="007858CD" w:rsidRDefault="009C38E7" w:rsidP="007858CD">
      <w:pPr>
        <w:rPr>
          <w:rFonts w:cs="Arial"/>
          <w:color w:val="auto"/>
          <w:sz w:val="20"/>
          <w:szCs w:val="20"/>
          <w:lang w:val="en-US"/>
        </w:rPr>
      </w:pPr>
      <w:r w:rsidRPr="007858CD">
        <w:rPr>
          <w:rFonts w:cs="Arial"/>
          <w:color w:val="auto"/>
          <w:sz w:val="20"/>
          <w:szCs w:val="20"/>
          <w:lang w:val="en-ZA"/>
        </w:rPr>
        <w:t xml:space="preserve">The aforementioned cost </w:t>
      </w:r>
      <w:r w:rsidR="00D0650D" w:rsidRPr="007858CD">
        <w:rPr>
          <w:rFonts w:cs="Arial"/>
          <w:color w:val="auto"/>
          <w:sz w:val="20"/>
          <w:szCs w:val="20"/>
          <w:lang w:val="en-ZA"/>
        </w:rPr>
        <w:t xml:space="preserve">drivers consume approximately </w:t>
      </w:r>
      <w:r w:rsidR="00843F0B" w:rsidRPr="007858CD">
        <w:rPr>
          <w:rFonts w:cs="Arial"/>
          <w:color w:val="auto"/>
          <w:sz w:val="20"/>
          <w:szCs w:val="20"/>
          <w:lang w:val="en-ZA"/>
        </w:rPr>
        <w:t>72</w:t>
      </w:r>
      <w:r w:rsidRPr="007858CD">
        <w:rPr>
          <w:rFonts w:cs="Arial"/>
          <w:color w:val="auto"/>
          <w:sz w:val="20"/>
          <w:szCs w:val="20"/>
          <w:lang w:val="en-ZA"/>
        </w:rPr>
        <w:t xml:space="preserve">% </w:t>
      </w:r>
      <w:r w:rsidR="00843F0B" w:rsidRPr="007858CD">
        <w:rPr>
          <w:rFonts w:cs="Arial"/>
          <w:color w:val="auto"/>
          <w:sz w:val="20"/>
          <w:szCs w:val="20"/>
          <w:lang w:val="en-ZA"/>
        </w:rPr>
        <w:t xml:space="preserve">(R63.2 million) </w:t>
      </w:r>
      <w:r w:rsidRPr="007858CD">
        <w:rPr>
          <w:rFonts w:cs="Arial"/>
          <w:color w:val="auto"/>
          <w:sz w:val="20"/>
          <w:szCs w:val="20"/>
          <w:lang w:val="en-ZA"/>
        </w:rPr>
        <w:t>of the Goods and Services allocation.</w:t>
      </w:r>
      <w:r w:rsidR="004A170D" w:rsidRPr="007858CD">
        <w:rPr>
          <w:rFonts w:cs="Arial"/>
          <w:color w:val="auto"/>
          <w:sz w:val="20"/>
          <w:szCs w:val="20"/>
          <w:lang w:val="en-ZA"/>
        </w:rPr>
        <w:t xml:space="preserve"> </w:t>
      </w:r>
      <w:r w:rsidR="00D010D1" w:rsidRPr="007858CD">
        <w:rPr>
          <w:rFonts w:cs="Arial"/>
          <w:color w:val="auto"/>
          <w:sz w:val="20"/>
          <w:szCs w:val="20"/>
          <w:lang w:val="en-US"/>
        </w:rPr>
        <w:t>The next section provides a more in-depth analysis of the budgetary allocation per programme for the Department and a reflection of the targets.</w:t>
      </w:r>
    </w:p>
    <w:p w:rsidR="009A3172" w:rsidRPr="007858CD" w:rsidRDefault="009A3172" w:rsidP="007858CD">
      <w:pPr>
        <w:rPr>
          <w:rFonts w:cs="Arial"/>
          <w:color w:val="auto"/>
          <w:sz w:val="20"/>
          <w:szCs w:val="20"/>
          <w:lang w:val="en-US"/>
        </w:rPr>
      </w:pPr>
    </w:p>
    <w:p w:rsidR="00E81E50" w:rsidRPr="007858CD" w:rsidRDefault="002E02E3" w:rsidP="007858CD">
      <w:pPr>
        <w:rPr>
          <w:rFonts w:cs="Arial"/>
          <w:b/>
          <w:color w:val="auto"/>
          <w:sz w:val="20"/>
          <w:szCs w:val="20"/>
          <w:lang w:val="en-US"/>
        </w:rPr>
      </w:pPr>
      <w:r w:rsidRPr="007858CD">
        <w:rPr>
          <w:rFonts w:cs="Arial"/>
          <w:b/>
          <w:color w:val="auto"/>
          <w:sz w:val="20"/>
          <w:szCs w:val="20"/>
          <w:lang w:val="en-US"/>
        </w:rPr>
        <w:t>3</w:t>
      </w:r>
      <w:r w:rsidR="00E81E50" w:rsidRPr="007858CD">
        <w:rPr>
          <w:rFonts w:cs="Arial"/>
          <w:b/>
          <w:color w:val="auto"/>
          <w:sz w:val="20"/>
          <w:szCs w:val="20"/>
          <w:lang w:val="en-US"/>
        </w:rPr>
        <w:t>.1 Programme 1: Administration</w:t>
      </w:r>
    </w:p>
    <w:p w:rsidR="006E7222" w:rsidRPr="007858CD" w:rsidRDefault="006E7222" w:rsidP="007858CD">
      <w:pPr>
        <w:rPr>
          <w:rFonts w:cs="Arial"/>
          <w:color w:val="auto"/>
          <w:sz w:val="20"/>
          <w:szCs w:val="20"/>
        </w:rPr>
      </w:pPr>
    </w:p>
    <w:p w:rsidR="00C62EC0" w:rsidRPr="007858CD" w:rsidRDefault="00C62EC0" w:rsidP="007858CD">
      <w:pPr>
        <w:rPr>
          <w:rFonts w:cs="Arial"/>
          <w:color w:val="auto"/>
          <w:sz w:val="20"/>
          <w:szCs w:val="20"/>
          <w:lang w:val="en-ZA"/>
        </w:rPr>
      </w:pPr>
      <w:r w:rsidRPr="007858CD">
        <w:rPr>
          <w:rFonts w:cs="Arial"/>
          <w:color w:val="auto"/>
          <w:sz w:val="20"/>
          <w:szCs w:val="20"/>
          <w:lang w:val="en-ZA"/>
        </w:rPr>
        <w:t>The purpose of this programme is to provide strategic leadership, management and support services to the department. This programme is comprise of five sub-programmes namely;</w:t>
      </w:r>
    </w:p>
    <w:p w:rsidR="00C62EC0" w:rsidRPr="007858CD" w:rsidRDefault="00C62EC0" w:rsidP="007858CD">
      <w:pPr>
        <w:rPr>
          <w:rFonts w:cs="Arial"/>
          <w:b/>
          <w:bCs/>
          <w:color w:val="auto"/>
          <w:sz w:val="20"/>
          <w:szCs w:val="20"/>
          <w:lang w:val="en-ZA"/>
        </w:rPr>
      </w:pPr>
    </w:p>
    <w:p w:rsidR="00C62EC0" w:rsidRPr="007858CD" w:rsidRDefault="00C62EC0" w:rsidP="007858CD">
      <w:pPr>
        <w:pStyle w:val="ListParagraph"/>
        <w:numPr>
          <w:ilvl w:val="1"/>
          <w:numId w:val="38"/>
        </w:numPr>
        <w:ind w:left="567"/>
        <w:rPr>
          <w:rFonts w:cs="Arial"/>
          <w:color w:val="auto"/>
          <w:sz w:val="20"/>
          <w:szCs w:val="20"/>
          <w:lang w:val="en-ZA"/>
        </w:rPr>
      </w:pPr>
      <w:r w:rsidRPr="007858CD">
        <w:rPr>
          <w:rFonts w:cs="Arial"/>
          <w:b/>
          <w:bCs/>
          <w:color w:val="auto"/>
          <w:sz w:val="20"/>
          <w:szCs w:val="20"/>
          <w:lang w:val="en-ZA"/>
        </w:rPr>
        <w:t xml:space="preserve">Ministry: </w:t>
      </w:r>
      <w:r w:rsidRPr="007858CD">
        <w:rPr>
          <w:rFonts w:cs="Arial"/>
          <w:color w:val="auto"/>
          <w:sz w:val="20"/>
          <w:szCs w:val="20"/>
          <w:lang w:val="en-ZA"/>
        </w:rPr>
        <w:t>Provide executive support to political principals.</w:t>
      </w:r>
    </w:p>
    <w:p w:rsidR="00C62EC0" w:rsidRPr="007858CD" w:rsidRDefault="00C62EC0" w:rsidP="007858CD">
      <w:pPr>
        <w:pStyle w:val="ListParagraph"/>
        <w:numPr>
          <w:ilvl w:val="1"/>
          <w:numId w:val="38"/>
        </w:numPr>
        <w:ind w:left="567"/>
        <w:rPr>
          <w:rFonts w:cs="Arial"/>
          <w:color w:val="auto"/>
          <w:sz w:val="20"/>
          <w:szCs w:val="20"/>
          <w:lang w:val="en-ZA"/>
        </w:rPr>
      </w:pPr>
      <w:r w:rsidRPr="007858CD">
        <w:rPr>
          <w:rFonts w:cs="Arial"/>
          <w:b/>
          <w:bCs/>
          <w:color w:val="auto"/>
          <w:sz w:val="20"/>
          <w:szCs w:val="20"/>
          <w:lang w:val="en-ZA"/>
        </w:rPr>
        <w:t xml:space="preserve">Departmental Management: </w:t>
      </w:r>
      <w:r w:rsidRPr="007858CD">
        <w:rPr>
          <w:rFonts w:cs="Arial"/>
          <w:color w:val="auto"/>
          <w:sz w:val="20"/>
          <w:szCs w:val="20"/>
          <w:lang w:val="en-ZA"/>
        </w:rPr>
        <w:t>Provide executive support, strategic leadership and management of the Department.</w:t>
      </w:r>
    </w:p>
    <w:p w:rsidR="00C62EC0" w:rsidRPr="007858CD" w:rsidRDefault="00C62EC0" w:rsidP="007858CD">
      <w:pPr>
        <w:pStyle w:val="ListParagraph"/>
        <w:numPr>
          <w:ilvl w:val="1"/>
          <w:numId w:val="38"/>
        </w:numPr>
        <w:ind w:left="567"/>
        <w:rPr>
          <w:rFonts w:cs="Arial"/>
          <w:color w:val="auto"/>
          <w:sz w:val="20"/>
          <w:szCs w:val="20"/>
          <w:lang w:val="en-ZA"/>
        </w:rPr>
      </w:pPr>
      <w:r w:rsidRPr="007858CD">
        <w:rPr>
          <w:rFonts w:cs="Arial"/>
          <w:b/>
          <w:bCs/>
          <w:color w:val="auto"/>
          <w:sz w:val="20"/>
          <w:szCs w:val="20"/>
          <w:lang w:val="en-ZA"/>
        </w:rPr>
        <w:t xml:space="preserve">Corporate Management: </w:t>
      </w:r>
      <w:r w:rsidRPr="007858CD">
        <w:rPr>
          <w:rFonts w:cs="Arial"/>
          <w:color w:val="auto"/>
          <w:sz w:val="20"/>
          <w:szCs w:val="20"/>
          <w:lang w:val="en-ZA"/>
        </w:rPr>
        <w:t>Provide effective human capital management, facilities and auxiliary management and ICT systems enables for the Department.</w:t>
      </w:r>
    </w:p>
    <w:p w:rsidR="00C62EC0" w:rsidRPr="007858CD" w:rsidRDefault="00C62EC0" w:rsidP="007858CD">
      <w:pPr>
        <w:pStyle w:val="ListParagraph"/>
        <w:numPr>
          <w:ilvl w:val="1"/>
          <w:numId w:val="38"/>
        </w:numPr>
        <w:ind w:left="567"/>
        <w:rPr>
          <w:rFonts w:cs="Arial"/>
          <w:color w:val="auto"/>
          <w:sz w:val="20"/>
          <w:szCs w:val="20"/>
          <w:lang w:val="en-ZA"/>
        </w:rPr>
      </w:pPr>
      <w:r w:rsidRPr="007858CD">
        <w:rPr>
          <w:rFonts w:cs="Arial"/>
          <w:b/>
          <w:bCs/>
          <w:color w:val="auto"/>
          <w:sz w:val="20"/>
          <w:szCs w:val="20"/>
          <w:lang w:val="en-ZA"/>
        </w:rPr>
        <w:t xml:space="preserve">Financial Management: </w:t>
      </w:r>
      <w:r w:rsidRPr="007858CD">
        <w:rPr>
          <w:rFonts w:cs="Arial"/>
          <w:color w:val="auto"/>
          <w:sz w:val="20"/>
          <w:szCs w:val="20"/>
          <w:lang w:val="en-ZA"/>
        </w:rPr>
        <w:t>Provide and ensure effective, efficient financial management and supply chain services. This included budget planning and expenditure monitoring; and the management of procurement, acquisition, logistics, asset, and financial transactions.</w:t>
      </w:r>
    </w:p>
    <w:p w:rsidR="00D010D1" w:rsidRPr="007858CD" w:rsidRDefault="00C62EC0" w:rsidP="007858CD">
      <w:pPr>
        <w:pStyle w:val="ListParagraph"/>
        <w:numPr>
          <w:ilvl w:val="1"/>
          <w:numId w:val="38"/>
        </w:numPr>
        <w:ind w:left="567"/>
        <w:rPr>
          <w:rFonts w:cs="Arial"/>
          <w:color w:val="auto"/>
          <w:sz w:val="20"/>
          <w:szCs w:val="20"/>
        </w:rPr>
      </w:pPr>
      <w:r w:rsidRPr="007858CD">
        <w:rPr>
          <w:rFonts w:cs="Arial"/>
          <w:b/>
          <w:bCs/>
          <w:color w:val="auto"/>
          <w:sz w:val="20"/>
          <w:szCs w:val="20"/>
          <w:lang w:val="en-ZA"/>
        </w:rPr>
        <w:t>Office Accommodation</w:t>
      </w:r>
    </w:p>
    <w:p w:rsidR="00C62EC0" w:rsidRPr="007858CD" w:rsidRDefault="00C62EC0" w:rsidP="007858CD">
      <w:pPr>
        <w:rPr>
          <w:rFonts w:cs="Arial"/>
          <w:color w:val="auto"/>
          <w:sz w:val="20"/>
          <w:szCs w:val="20"/>
        </w:rPr>
      </w:pPr>
    </w:p>
    <w:p w:rsidR="005B5DE4" w:rsidRPr="007858CD" w:rsidRDefault="00E81E50" w:rsidP="007858CD">
      <w:pPr>
        <w:rPr>
          <w:rFonts w:cs="Arial"/>
          <w:color w:val="auto"/>
          <w:sz w:val="20"/>
          <w:szCs w:val="20"/>
          <w:lang w:val="en-US"/>
        </w:rPr>
      </w:pPr>
      <w:r w:rsidRPr="007858CD">
        <w:rPr>
          <w:rFonts w:cs="Arial"/>
          <w:color w:val="auto"/>
          <w:sz w:val="20"/>
          <w:szCs w:val="20"/>
        </w:rPr>
        <w:t>The total allocation for this programme is R</w:t>
      </w:r>
      <w:r w:rsidR="00D85B70" w:rsidRPr="007858CD">
        <w:rPr>
          <w:rFonts w:cs="Arial"/>
          <w:color w:val="auto"/>
          <w:sz w:val="20"/>
          <w:szCs w:val="20"/>
        </w:rPr>
        <w:t>98 708</w:t>
      </w:r>
      <w:r w:rsidRPr="007858CD">
        <w:rPr>
          <w:rFonts w:cs="Arial"/>
          <w:color w:val="auto"/>
          <w:sz w:val="20"/>
          <w:szCs w:val="20"/>
        </w:rPr>
        <w:t xml:space="preserve"> million</w:t>
      </w:r>
      <w:r w:rsidR="003C5877" w:rsidRPr="007858CD">
        <w:rPr>
          <w:rFonts w:cs="Arial"/>
          <w:color w:val="auto"/>
          <w:sz w:val="20"/>
          <w:szCs w:val="20"/>
        </w:rPr>
        <w:t xml:space="preserve"> which constitutes </w:t>
      </w:r>
      <w:r w:rsidR="00401364" w:rsidRPr="007858CD">
        <w:rPr>
          <w:rFonts w:cs="Arial"/>
          <w:color w:val="auto"/>
          <w:sz w:val="20"/>
          <w:szCs w:val="20"/>
        </w:rPr>
        <w:t>48</w:t>
      </w:r>
      <w:r w:rsidR="003C5877" w:rsidRPr="007858CD">
        <w:rPr>
          <w:rFonts w:cs="Arial"/>
          <w:color w:val="auto"/>
          <w:sz w:val="20"/>
          <w:szCs w:val="20"/>
        </w:rPr>
        <w:t>% of the Department’s operational budget</w:t>
      </w:r>
      <w:r w:rsidRPr="007858CD">
        <w:rPr>
          <w:rFonts w:cs="Arial"/>
          <w:color w:val="auto"/>
          <w:sz w:val="20"/>
          <w:szCs w:val="20"/>
        </w:rPr>
        <w:t xml:space="preserve">. This allocation is </w:t>
      </w:r>
      <w:r w:rsidR="005B4424" w:rsidRPr="007858CD">
        <w:rPr>
          <w:rFonts w:cs="Arial"/>
          <w:color w:val="auto"/>
          <w:sz w:val="20"/>
          <w:szCs w:val="20"/>
        </w:rPr>
        <w:t>R</w:t>
      </w:r>
      <w:r w:rsidR="00401364" w:rsidRPr="007858CD">
        <w:rPr>
          <w:rFonts w:cs="Arial"/>
          <w:color w:val="auto"/>
          <w:sz w:val="20"/>
          <w:szCs w:val="20"/>
        </w:rPr>
        <w:t>11.5</w:t>
      </w:r>
      <w:r w:rsidRPr="007858CD">
        <w:rPr>
          <w:rFonts w:cs="Arial"/>
          <w:color w:val="auto"/>
          <w:sz w:val="20"/>
          <w:szCs w:val="20"/>
        </w:rPr>
        <w:t xml:space="preserve"> million </w:t>
      </w:r>
      <w:r w:rsidR="00401364" w:rsidRPr="007858CD">
        <w:rPr>
          <w:rFonts w:cs="Arial"/>
          <w:color w:val="auto"/>
          <w:sz w:val="20"/>
          <w:szCs w:val="20"/>
        </w:rPr>
        <w:t>less</w:t>
      </w:r>
      <w:r w:rsidRPr="007858CD">
        <w:rPr>
          <w:rFonts w:cs="Arial"/>
          <w:color w:val="auto"/>
          <w:sz w:val="20"/>
          <w:szCs w:val="20"/>
        </w:rPr>
        <w:t xml:space="preserve"> than in the 20</w:t>
      </w:r>
      <w:r w:rsidR="00390F9E" w:rsidRPr="007858CD">
        <w:rPr>
          <w:rFonts w:cs="Arial"/>
          <w:color w:val="auto"/>
          <w:sz w:val="20"/>
          <w:szCs w:val="20"/>
        </w:rPr>
        <w:t>2</w:t>
      </w:r>
      <w:r w:rsidR="00D0650D" w:rsidRPr="007858CD">
        <w:rPr>
          <w:rFonts w:cs="Arial"/>
          <w:color w:val="auto"/>
          <w:sz w:val="20"/>
          <w:szCs w:val="20"/>
        </w:rPr>
        <w:t>1/22</w:t>
      </w:r>
      <w:r w:rsidRPr="007858CD">
        <w:rPr>
          <w:rFonts w:cs="Arial"/>
          <w:color w:val="auto"/>
          <w:sz w:val="20"/>
          <w:szCs w:val="20"/>
        </w:rPr>
        <w:t xml:space="preserve"> financial year</w:t>
      </w:r>
      <w:r w:rsidR="00430BE6" w:rsidRPr="007858CD">
        <w:rPr>
          <w:rFonts w:cs="Arial"/>
          <w:color w:val="auto"/>
          <w:sz w:val="20"/>
          <w:szCs w:val="20"/>
        </w:rPr>
        <w:t>.</w:t>
      </w:r>
      <w:r w:rsidR="00D010D1" w:rsidRPr="007858CD">
        <w:rPr>
          <w:rFonts w:cs="Arial"/>
          <w:color w:val="auto"/>
          <w:sz w:val="20"/>
          <w:szCs w:val="20"/>
        </w:rPr>
        <w:t xml:space="preserve"> However, when taking into consideration the Real Rand change, this programme</w:t>
      </w:r>
      <w:r w:rsidR="009C38E7" w:rsidRPr="007858CD">
        <w:rPr>
          <w:rFonts w:cs="Arial"/>
          <w:color w:val="auto"/>
          <w:sz w:val="20"/>
          <w:szCs w:val="20"/>
        </w:rPr>
        <w:t xml:space="preserve"> only sees </w:t>
      </w:r>
      <w:r w:rsidR="00401364" w:rsidRPr="007858CD">
        <w:rPr>
          <w:rFonts w:cs="Arial"/>
          <w:color w:val="auto"/>
          <w:sz w:val="20"/>
          <w:szCs w:val="20"/>
        </w:rPr>
        <w:t>a decrease</w:t>
      </w:r>
      <w:r w:rsidR="009C38E7" w:rsidRPr="007858CD">
        <w:rPr>
          <w:rFonts w:cs="Arial"/>
          <w:color w:val="auto"/>
          <w:sz w:val="20"/>
          <w:szCs w:val="20"/>
        </w:rPr>
        <w:t xml:space="preserve"> of </w:t>
      </w:r>
      <w:r w:rsidR="00401364" w:rsidRPr="007858CD">
        <w:rPr>
          <w:rFonts w:cs="Arial"/>
          <w:color w:val="auto"/>
          <w:sz w:val="20"/>
          <w:szCs w:val="20"/>
        </w:rPr>
        <w:t>14.2</w:t>
      </w:r>
      <w:r w:rsidR="009C38E7" w:rsidRPr="007858CD">
        <w:rPr>
          <w:rFonts w:cs="Arial"/>
          <w:color w:val="auto"/>
          <w:sz w:val="20"/>
          <w:szCs w:val="20"/>
        </w:rPr>
        <w:t>% to its allocation which amounts to R</w:t>
      </w:r>
      <w:r w:rsidR="00401364" w:rsidRPr="007858CD">
        <w:rPr>
          <w:rFonts w:cs="Arial"/>
          <w:color w:val="auto"/>
          <w:sz w:val="20"/>
          <w:szCs w:val="20"/>
        </w:rPr>
        <w:t>15.8</w:t>
      </w:r>
      <w:r w:rsidR="009C38E7" w:rsidRPr="007858CD">
        <w:rPr>
          <w:rFonts w:cs="Arial"/>
          <w:color w:val="auto"/>
          <w:sz w:val="20"/>
          <w:szCs w:val="20"/>
        </w:rPr>
        <w:t xml:space="preserve"> million.</w:t>
      </w:r>
      <w:r w:rsidR="00897619" w:rsidRPr="007858CD">
        <w:rPr>
          <w:rFonts w:cs="Arial"/>
          <w:color w:val="auto"/>
          <w:sz w:val="20"/>
          <w:szCs w:val="20"/>
        </w:rPr>
        <w:t xml:space="preserve"> Table 3 outlines the </w:t>
      </w:r>
      <w:r w:rsidR="00897619" w:rsidRPr="007858CD">
        <w:rPr>
          <w:rFonts w:cs="Arial"/>
          <w:color w:val="auto"/>
          <w:sz w:val="20"/>
          <w:szCs w:val="20"/>
          <w:lang w:val="en-US"/>
        </w:rPr>
        <w:t>expenditure</w:t>
      </w:r>
      <w:r w:rsidR="005B4424" w:rsidRPr="007858CD">
        <w:rPr>
          <w:rFonts w:cs="Arial"/>
          <w:color w:val="auto"/>
          <w:sz w:val="20"/>
          <w:szCs w:val="20"/>
          <w:lang w:val="en-US"/>
        </w:rPr>
        <w:t xml:space="preserve"> under Programme 1 </w:t>
      </w:r>
      <w:r w:rsidR="00897619" w:rsidRPr="007858CD">
        <w:rPr>
          <w:rFonts w:cs="Arial"/>
          <w:color w:val="auto"/>
          <w:sz w:val="20"/>
          <w:szCs w:val="20"/>
          <w:lang w:val="en-US"/>
        </w:rPr>
        <w:t>per sub-pr</w:t>
      </w:r>
      <w:r w:rsidR="005B4424" w:rsidRPr="007858CD">
        <w:rPr>
          <w:rFonts w:cs="Arial"/>
          <w:color w:val="auto"/>
          <w:sz w:val="20"/>
          <w:szCs w:val="20"/>
          <w:lang w:val="en-US"/>
        </w:rPr>
        <w:t>o</w:t>
      </w:r>
      <w:r w:rsidR="00897619" w:rsidRPr="007858CD">
        <w:rPr>
          <w:rFonts w:cs="Arial"/>
          <w:color w:val="auto"/>
          <w:sz w:val="20"/>
          <w:szCs w:val="20"/>
          <w:lang w:val="en-US"/>
        </w:rPr>
        <w:t>gramme.</w:t>
      </w:r>
      <w:r w:rsidR="00612C34" w:rsidRPr="007858CD">
        <w:rPr>
          <w:rStyle w:val="FootnoteReference"/>
          <w:rFonts w:cs="Arial"/>
          <w:color w:val="auto"/>
          <w:sz w:val="20"/>
          <w:szCs w:val="20"/>
          <w:lang w:val="en-US"/>
        </w:rPr>
        <w:footnoteReference w:id="11"/>
      </w:r>
    </w:p>
    <w:p w:rsidR="00150690" w:rsidRPr="007858CD" w:rsidRDefault="00150690" w:rsidP="007858CD">
      <w:pPr>
        <w:rPr>
          <w:rFonts w:cs="Arial"/>
          <w:color w:val="auto"/>
          <w:sz w:val="20"/>
          <w:szCs w:val="20"/>
          <w:lang w:val="en-US"/>
        </w:rPr>
      </w:pPr>
    </w:p>
    <w:p w:rsidR="005B4424" w:rsidRPr="007858CD" w:rsidRDefault="005B4424" w:rsidP="007858CD">
      <w:pPr>
        <w:rPr>
          <w:rFonts w:cs="Arial"/>
          <w:b/>
          <w:color w:val="auto"/>
          <w:sz w:val="20"/>
          <w:szCs w:val="20"/>
          <w:lang w:val="en-US"/>
        </w:rPr>
      </w:pPr>
      <w:r w:rsidRPr="007858CD">
        <w:rPr>
          <w:rFonts w:cs="Arial"/>
          <w:b/>
          <w:color w:val="auto"/>
          <w:sz w:val="20"/>
          <w:szCs w:val="20"/>
          <w:lang w:val="en-US"/>
        </w:rPr>
        <w:t xml:space="preserve">Table </w:t>
      </w:r>
      <w:r w:rsidR="00C32B0F" w:rsidRPr="007858CD">
        <w:rPr>
          <w:rFonts w:cs="Arial"/>
          <w:b/>
          <w:color w:val="auto"/>
          <w:sz w:val="20"/>
          <w:szCs w:val="20"/>
          <w:lang w:val="en-US"/>
        </w:rPr>
        <w:t>3</w:t>
      </w:r>
      <w:r w:rsidRPr="007858CD">
        <w:rPr>
          <w:rFonts w:cs="Arial"/>
          <w:b/>
          <w:color w:val="auto"/>
          <w:sz w:val="20"/>
          <w:szCs w:val="20"/>
          <w:lang w:val="en-US"/>
        </w:rPr>
        <w:t xml:space="preserve">: Sub-programme allocations for </w:t>
      </w:r>
      <w:r w:rsidR="003C5877" w:rsidRPr="007858CD">
        <w:rPr>
          <w:rFonts w:cs="Arial"/>
          <w:b/>
          <w:color w:val="auto"/>
          <w:sz w:val="20"/>
          <w:szCs w:val="20"/>
          <w:lang w:val="en-US"/>
        </w:rPr>
        <w:t>202</w:t>
      </w:r>
      <w:r w:rsidR="00D0650D" w:rsidRPr="007858CD">
        <w:rPr>
          <w:rFonts w:cs="Arial"/>
          <w:b/>
          <w:color w:val="auto"/>
          <w:sz w:val="20"/>
          <w:szCs w:val="20"/>
          <w:lang w:val="en-US"/>
        </w:rPr>
        <w:t>2/23</w:t>
      </w:r>
    </w:p>
    <w:tbl>
      <w:tblPr>
        <w:tblStyle w:val="TableGrid"/>
        <w:tblW w:w="0" w:type="auto"/>
        <w:tblLook w:val="04A0"/>
      </w:tblPr>
      <w:tblGrid>
        <w:gridCol w:w="3791"/>
        <w:gridCol w:w="3047"/>
      </w:tblGrid>
      <w:tr w:rsidR="00DE4BA7" w:rsidRPr="007858CD" w:rsidTr="003C5877">
        <w:trPr>
          <w:trHeight w:val="349"/>
        </w:trPr>
        <w:tc>
          <w:tcPr>
            <w:tcW w:w="3791" w:type="dxa"/>
            <w:shd w:val="clear" w:color="auto" w:fill="BFBFBF" w:themeFill="background1" w:themeFillShade="BF"/>
          </w:tcPr>
          <w:p w:rsidR="003C5877" w:rsidRPr="007858CD" w:rsidRDefault="003C5877" w:rsidP="007858CD">
            <w:pPr>
              <w:pStyle w:val="Default"/>
              <w:rPr>
                <w:color w:val="auto"/>
                <w:sz w:val="20"/>
                <w:szCs w:val="20"/>
              </w:rPr>
            </w:pPr>
            <w:r w:rsidRPr="007858CD">
              <w:rPr>
                <w:b/>
                <w:bCs/>
                <w:color w:val="auto"/>
                <w:sz w:val="20"/>
                <w:szCs w:val="20"/>
              </w:rPr>
              <w:t>Sub-Programme</w:t>
            </w:r>
          </w:p>
        </w:tc>
        <w:tc>
          <w:tcPr>
            <w:tcW w:w="3047" w:type="dxa"/>
            <w:shd w:val="clear" w:color="auto" w:fill="BFBFBF" w:themeFill="background1" w:themeFillShade="BF"/>
          </w:tcPr>
          <w:p w:rsidR="003C5877" w:rsidRPr="007858CD" w:rsidRDefault="003C5877" w:rsidP="007858CD">
            <w:pPr>
              <w:pStyle w:val="Default"/>
              <w:rPr>
                <w:b/>
                <w:bCs/>
                <w:color w:val="auto"/>
                <w:sz w:val="20"/>
                <w:szCs w:val="20"/>
              </w:rPr>
            </w:pPr>
            <w:r w:rsidRPr="007858CD">
              <w:rPr>
                <w:b/>
                <w:bCs/>
                <w:color w:val="auto"/>
                <w:sz w:val="20"/>
                <w:szCs w:val="20"/>
              </w:rPr>
              <w:t>202</w:t>
            </w:r>
            <w:r w:rsidR="00D0650D" w:rsidRPr="007858CD">
              <w:rPr>
                <w:b/>
                <w:bCs/>
                <w:color w:val="auto"/>
                <w:sz w:val="20"/>
                <w:szCs w:val="20"/>
              </w:rPr>
              <w:t>2/23</w:t>
            </w:r>
          </w:p>
        </w:tc>
      </w:tr>
      <w:tr w:rsidR="00DE4BA7" w:rsidRPr="007858CD" w:rsidTr="003C5877">
        <w:trPr>
          <w:trHeight w:val="349"/>
        </w:trPr>
        <w:tc>
          <w:tcPr>
            <w:tcW w:w="3791" w:type="dxa"/>
          </w:tcPr>
          <w:p w:rsidR="003C5877" w:rsidRPr="007858CD" w:rsidRDefault="003C5877" w:rsidP="007858CD">
            <w:pPr>
              <w:pStyle w:val="Default"/>
              <w:rPr>
                <w:color w:val="auto"/>
                <w:sz w:val="20"/>
                <w:szCs w:val="20"/>
              </w:rPr>
            </w:pPr>
            <w:r w:rsidRPr="007858CD">
              <w:rPr>
                <w:color w:val="auto"/>
                <w:sz w:val="20"/>
                <w:szCs w:val="20"/>
              </w:rPr>
              <w:t>Ministry</w:t>
            </w:r>
          </w:p>
        </w:tc>
        <w:tc>
          <w:tcPr>
            <w:tcW w:w="3047" w:type="dxa"/>
          </w:tcPr>
          <w:p w:rsidR="003C5877" w:rsidRPr="007858CD" w:rsidRDefault="00D85B70" w:rsidP="007858CD">
            <w:pPr>
              <w:pStyle w:val="Default"/>
              <w:tabs>
                <w:tab w:val="left" w:pos="555"/>
              </w:tabs>
              <w:rPr>
                <w:color w:val="auto"/>
                <w:sz w:val="20"/>
                <w:szCs w:val="20"/>
              </w:rPr>
            </w:pPr>
            <w:r w:rsidRPr="007858CD">
              <w:rPr>
                <w:color w:val="auto"/>
                <w:sz w:val="20"/>
                <w:szCs w:val="20"/>
              </w:rPr>
              <w:t>R23 945m</w:t>
            </w:r>
          </w:p>
        </w:tc>
      </w:tr>
      <w:tr w:rsidR="00DE4BA7" w:rsidRPr="007858CD" w:rsidTr="003C5877">
        <w:trPr>
          <w:trHeight w:val="349"/>
        </w:trPr>
        <w:tc>
          <w:tcPr>
            <w:tcW w:w="3791" w:type="dxa"/>
          </w:tcPr>
          <w:p w:rsidR="003C5877" w:rsidRPr="007858CD" w:rsidRDefault="003C5877" w:rsidP="007858CD">
            <w:pPr>
              <w:pStyle w:val="Default"/>
              <w:rPr>
                <w:color w:val="auto"/>
                <w:sz w:val="20"/>
                <w:szCs w:val="20"/>
              </w:rPr>
            </w:pPr>
            <w:r w:rsidRPr="007858CD">
              <w:rPr>
                <w:color w:val="auto"/>
                <w:sz w:val="20"/>
                <w:szCs w:val="20"/>
              </w:rPr>
              <w:t>Departmental Management</w:t>
            </w:r>
          </w:p>
        </w:tc>
        <w:tc>
          <w:tcPr>
            <w:tcW w:w="3047" w:type="dxa"/>
          </w:tcPr>
          <w:p w:rsidR="003C5877" w:rsidRPr="007858CD" w:rsidRDefault="00D85B70" w:rsidP="007858CD">
            <w:pPr>
              <w:pStyle w:val="Default"/>
              <w:rPr>
                <w:color w:val="auto"/>
                <w:sz w:val="20"/>
                <w:szCs w:val="20"/>
              </w:rPr>
            </w:pPr>
            <w:r w:rsidRPr="007858CD">
              <w:rPr>
                <w:color w:val="auto"/>
                <w:sz w:val="20"/>
                <w:szCs w:val="20"/>
              </w:rPr>
              <w:t>R16 078m</w:t>
            </w:r>
          </w:p>
        </w:tc>
      </w:tr>
      <w:tr w:rsidR="00DE4BA7" w:rsidRPr="007858CD" w:rsidTr="003C5877">
        <w:trPr>
          <w:trHeight w:val="349"/>
        </w:trPr>
        <w:tc>
          <w:tcPr>
            <w:tcW w:w="3791" w:type="dxa"/>
          </w:tcPr>
          <w:p w:rsidR="003C5877" w:rsidRPr="007858CD" w:rsidRDefault="003C5877" w:rsidP="007858CD">
            <w:pPr>
              <w:pStyle w:val="Default"/>
              <w:rPr>
                <w:color w:val="auto"/>
                <w:sz w:val="20"/>
                <w:szCs w:val="20"/>
              </w:rPr>
            </w:pPr>
            <w:r w:rsidRPr="007858CD">
              <w:rPr>
                <w:color w:val="auto"/>
                <w:sz w:val="20"/>
                <w:szCs w:val="20"/>
              </w:rPr>
              <w:t>Corporate Services</w:t>
            </w:r>
          </w:p>
        </w:tc>
        <w:tc>
          <w:tcPr>
            <w:tcW w:w="3047" w:type="dxa"/>
          </w:tcPr>
          <w:p w:rsidR="003C5877" w:rsidRPr="007858CD" w:rsidRDefault="00D85B70" w:rsidP="007858CD">
            <w:pPr>
              <w:pStyle w:val="Default"/>
              <w:rPr>
                <w:color w:val="auto"/>
                <w:sz w:val="20"/>
                <w:szCs w:val="20"/>
              </w:rPr>
            </w:pPr>
            <w:r w:rsidRPr="007858CD">
              <w:rPr>
                <w:color w:val="auto"/>
                <w:sz w:val="20"/>
                <w:szCs w:val="20"/>
              </w:rPr>
              <w:t>R24 200m</w:t>
            </w:r>
          </w:p>
        </w:tc>
      </w:tr>
      <w:tr w:rsidR="00DE4BA7" w:rsidRPr="007858CD" w:rsidTr="003C5877">
        <w:trPr>
          <w:trHeight w:val="349"/>
        </w:trPr>
        <w:tc>
          <w:tcPr>
            <w:tcW w:w="3791" w:type="dxa"/>
          </w:tcPr>
          <w:p w:rsidR="003C5877" w:rsidRPr="007858CD" w:rsidRDefault="003C5877" w:rsidP="007858CD">
            <w:pPr>
              <w:pStyle w:val="Default"/>
              <w:rPr>
                <w:color w:val="auto"/>
                <w:sz w:val="20"/>
                <w:szCs w:val="20"/>
              </w:rPr>
            </w:pPr>
            <w:r w:rsidRPr="007858CD">
              <w:rPr>
                <w:color w:val="auto"/>
                <w:sz w:val="20"/>
                <w:szCs w:val="20"/>
              </w:rPr>
              <w:t>Financial Management</w:t>
            </w:r>
          </w:p>
        </w:tc>
        <w:tc>
          <w:tcPr>
            <w:tcW w:w="3047" w:type="dxa"/>
          </w:tcPr>
          <w:p w:rsidR="003C5877" w:rsidRPr="007858CD" w:rsidRDefault="00D85B70" w:rsidP="007858CD">
            <w:pPr>
              <w:pStyle w:val="Default"/>
              <w:rPr>
                <w:color w:val="auto"/>
                <w:sz w:val="20"/>
                <w:szCs w:val="20"/>
              </w:rPr>
            </w:pPr>
            <w:r w:rsidRPr="007858CD">
              <w:rPr>
                <w:color w:val="auto"/>
                <w:sz w:val="20"/>
                <w:szCs w:val="20"/>
              </w:rPr>
              <w:t>R15 586m</w:t>
            </w:r>
          </w:p>
        </w:tc>
      </w:tr>
      <w:tr w:rsidR="00DE4BA7" w:rsidRPr="007858CD" w:rsidTr="003C5877">
        <w:trPr>
          <w:trHeight w:val="349"/>
        </w:trPr>
        <w:tc>
          <w:tcPr>
            <w:tcW w:w="3791" w:type="dxa"/>
          </w:tcPr>
          <w:p w:rsidR="003C5877" w:rsidRPr="007858CD" w:rsidRDefault="003C5877" w:rsidP="007858CD">
            <w:pPr>
              <w:pStyle w:val="Default"/>
              <w:rPr>
                <w:color w:val="auto"/>
                <w:sz w:val="20"/>
                <w:szCs w:val="20"/>
              </w:rPr>
            </w:pPr>
            <w:r w:rsidRPr="007858CD">
              <w:rPr>
                <w:color w:val="auto"/>
                <w:sz w:val="20"/>
                <w:szCs w:val="20"/>
              </w:rPr>
              <w:t>Office Accommodation</w:t>
            </w:r>
          </w:p>
        </w:tc>
        <w:tc>
          <w:tcPr>
            <w:tcW w:w="3047" w:type="dxa"/>
          </w:tcPr>
          <w:p w:rsidR="003C5877" w:rsidRPr="007858CD" w:rsidRDefault="00D85B70" w:rsidP="007858CD">
            <w:pPr>
              <w:pStyle w:val="Default"/>
              <w:rPr>
                <w:color w:val="auto"/>
                <w:sz w:val="20"/>
                <w:szCs w:val="20"/>
              </w:rPr>
            </w:pPr>
            <w:r w:rsidRPr="007858CD">
              <w:rPr>
                <w:color w:val="auto"/>
                <w:sz w:val="20"/>
                <w:szCs w:val="20"/>
              </w:rPr>
              <w:t>R18 900m</w:t>
            </w:r>
          </w:p>
        </w:tc>
      </w:tr>
      <w:tr w:rsidR="00DE4BA7" w:rsidRPr="007858CD" w:rsidTr="003C5877">
        <w:trPr>
          <w:trHeight w:val="349"/>
        </w:trPr>
        <w:tc>
          <w:tcPr>
            <w:tcW w:w="3791" w:type="dxa"/>
            <w:shd w:val="clear" w:color="auto" w:fill="BFBFBF" w:themeFill="background1" w:themeFillShade="BF"/>
          </w:tcPr>
          <w:p w:rsidR="003C5877" w:rsidRPr="007858CD" w:rsidRDefault="003C5877" w:rsidP="007858CD">
            <w:pPr>
              <w:pStyle w:val="Default"/>
              <w:rPr>
                <w:color w:val="auto"/>
                <w:sz w:val="20"/>
                <w:szCs w:val="20"/>
              </w:rPr>
            </w:pPr>
            <w:r w:rsidRPr="007858CD">
              <w:rPr>
                <w:b/>
                <w:bCs/>
                <w:color w:val="auto"/>
                <w:sz w:val="20"/>
                <w:szCs w:val="20"/>
              </w:rPr>
              <w:t>TOTAL</w:t>
            </w:r>
          </w:p>
        </w:tc>
        <w:tc>
          <w:tcPr>
            <w:tcW w:w="3047" w:type="dxa"/>
            <w:shd w:val="clear" w:color="auto" w:fill="BFBFBF" w:themeFill="background1" w:themeFillShade="BF"/>
          </w:tcPr>
          <w:p w:rsidR="003C5877" w:rsidRPr="007858CD" w:rsidRDefault="003C5877" w:rsidP="007858CD">
            <w:pPr>
              <w:pStyle w:val="Default"/>
              <w:rPr>
                <w:b/>
                <w:bCs/>
                <w:color w:val="auto"/>
                <w:sz w:val="20"/>
                <w:szCs w:val="20"/>
              </w:rPr>
            </w:pPr>
            <w:r w:rsidRPr="007858CD">
              <w:rPr>
                <w:b/>
                <w:bCs/>
                <w:color w:val="auto"/>
                <w:sz w:val="20"/>
                <w:szCs w:val="20"/>
              </w:rPr>
              <w:t>R</w:t>
            </w:r>
            <w:r w:rsidR="00D85B70" w:rsidRPr="007858CD">
              <w:rPr>
                <w:b/>
                <w:bCs/>
                <w:color w:val="auto"/>
                <w:sz w:val="20"/>
                <w:szCs w:val="20"/>
              </w:rPr>
              <w:t>98 709</w:t>
            </w:r>
            <w:r w:rsidRPr="007858CD">
              <w:rPr>
                <w:b/>
                <w:bCs/>
                <w:color w:val="auto"/>
                <w:sz w:val="20"/>
                <w:szCs w:val="20"/>
              </w:rPr>
              <w:t xml:space="preserve"> million</w:t>
            </w:r>
          </w:p>
        </w:tc>
      </w:tr>
      <w:tr w:rsidR="00DE4BA7" w:rsidRPr="007858CD" w:rsidTr="003C5877">
        <w:trPr>
          <w:trHeight w:val="349"/>
        </w:trPr>
        <w:tc>
          <w:tcPr>
            <w:tcW w:w="3791" w:type="dxa"/>
            <w:shd w:val="clear" w:color="auto" w:fill="BFBFBF" w:themeFill="background1" w:themeFillShade="BF"/>
          </w:tcPr>
          <w:p w:rsidR="003C5877" w:rsidRPr="007858CD" w:rsidRDefault="003C5877" w:rsidP="007858CD">
            <w:pPr>
              <w:pStyle w:val="Default"/>
              <w:rPr>
                <w:b/>
                <w:bCs/>
                <w:color w:val="auto"/>
                <w:sz w:val="20"/>
                <w:szCs w:val="20"/>
              </w:rPr>
            </w:pPr>
            <w:r w:rsidRPr="007858CD">
              <w:rPr>
                <w:b/>
                <w:bCs/>
                <w:color w:val="auto"/>
                <w:sz w:val="20"/>
                <w:szCs w:val="20"/>
              </w:rPr>
              <w:t>Compensation of employees</w:t>
            </w:r>
          </w:p>
        </w:tc>
        <w:tc>
          <w:tcPr>
            <w:tcW w:w="3047" w:type="dxa"/>
            <w:shd w:val="clear" w:color="auto" w:fill="BFBFBF" w:themeFill="background1" w:themeFillShade="BF"/>
          </w:tcPr>
          <w:p w:rsidR="003C5877" w:rsidRPr="007858CD" w:rsidRDefault="00D85B70" w:rsidP="007858CD">
            <w:pPr>
              <w:pStyle w:val="Default"/>
              <w:rPr>
                <w:b/>
                <w:bCs/>
                <w:color w:val="auto"/>
                <w:sz w:val="20"/>
                <w:szCs w:val="20"/>
              </w:rPr>
            </w:pPr>
            <w:r w:rsidRPr="007858CD">
              <w:rPr>
                <w:b/>
                <w:bCs/>
                <w:color w:val="auto"/>
                <w:sz w:val="20"/>
                <w:szCs w:val="20"/>
              </w:rPr>
              <w:t>R57 605m</w:t>
            </w:r>
            <w:r w:rsidR="003C5877" w:rsidRPr="007858CD">
              <w:rPr>
                <w:b/>
                <w:bCs/>
                <w:color w:val="auto"/>
                <w:sz w:val="20"/>
                <w:szCs w:val="20"/>
              </w:rPr>
              <w:t xml:space="preserve"> (</w:t>
            </w:r>
            <w:r w:rsidRPr="007858CD">
              <w:rPr>
                <w:b/>
                <w:bCs/>
                <w:color w:val="auto"/>
                <w:sz w:val="20"/>
                <w:szCs w:val="20"/>
              </w:rPr>
              <w:t>58.3</w:t>
            </w:r>
            <w:r w:rsidR="003C5877" w:rsidRPr="007858CD">
              <w:rPr>
                <w:b/>
                <w:bCs/>
                <w:color w:val="auto"/>
                <w:sz w:val="20"/>
                <w:szCs w:val="20"/>
              </w:rPr>
              <w:t>%)</w:t>
            </w:r>
          </w:p>
        </w:tc>
      </w:tr>
      <w:tr w:rsidR="00DE4BA7" w:rsidRPr="007858CD" w:rsidTr="003C5877">
        <w:trPr>
          <w:trHeight w:val="349"/>
        </w:trPr>
        <w:tc>
          <w:tcPr>
            <w:tcW w:w="3791" w:type="dxa"/>
            <w:shd w:val="clear" w:color="auto" w:fill="BFBFBF" w:themeFill="background1" w:themeFillShade="BF"/>
          </w:tcPr>
          <w:p w:rsidR="003C5877" w:rsidRPr="007858CD" w:rsidRDefault="003C5877" w:rsidP="007858CD">
            <w:pPr>
              <w:pStyle w:val="Default"/>
              <w:rPr>
                <w:b/>
                <w:bCs/>
                <w:color w:val="auto"/>
                <w:sz w:val="20"/>
                <w:szCs w:val="20"/>
              </w:rPr>
            </w:pPr>
            <w:r w:rsidRPr="007858CD">
              <w:rPr>
                <w:b/>
                <w:bCs/>
                <w:color w:val="auto"/>
                <w:sz w:val="20"/>
                <w:szCs w:val="20"/>
              </w:rPr>
              <w:t>Goods and services</w:t>
            </w:r>
          </w:p>
        </w:tc>
        <w:tc>
          <w:tcPr>
            <w:tcW w:w="3047" w:type="dxa"/>
            <w:shd w:val="clear" w:color="auto" w:fill="BFBFBF" w:themeFill="background1" w:themeFillShade="BF"/>
          </w:tcPr>
          <w:p w:rsidR="003C5877" w:rsidRPr="007858CD" w:rsidRDefault="00D85B70" w:rsidP="007858CD">
            <w:pPr>
              <w:pStyle w:val="Default"/>
              <w:rPr>
                <w:b/>
                <w:bCs/>
                <w:color w:val="auto"/>
                <w:sz w:val="20"/>
                <w:szCs w:val="20"/>
              </w:rPr>
            </w:pPr>
            <w:r w:rsidRPr="007858CD">
              <w:rPr>
                <w:b/>
                <w:bCs/>
                <w:color w:val="auto"/>
                <w:sz w:val="20"/>
                <w:szCs w:val="20"/>
              </w:rPr>
              <w:t>R38 796m</w:t>
            </w:r>
            <w:r w:rsidR="003C5877" w:rsidRPr="007858CD">
              <w:rPr>
                <w:b/>
                <w:bCs/>
                <w:color w:val="auto"/>
                <w:sz w:val="20"/>
                <w:szCs w:val="20"/>
              </w:rPr>
              <w:t xml:space="preserve"> (</w:t>
            </w:r>
            <w:r w:rsidRPr="007858CD">
              <w:rPr>
                <w:b/>
                <w:bCs/>
                <w:color w:val="auto"/>
                <w:sz w:val="20"/>
                <w:szCs w:val="20"/>
              </w:rPr>
              <w:t>39.3</w:t>
            </w:r>
            <w:r w:rsidR="003C5877" w:rsidRPr="007858CD">
              <w:rPr>
                <w:b/>
                <w:bCs/>
                <w:color w:val="auto"/>
                <w:sz w:val="20"/>
                <w:szCs w:val="20"/>
              </w:rPr>
              <w:t>%)</w:t>
            </w:r>
          </w:p>
        </w:tc>
      </w:tr>
    </w:tbl>
    <w:p w:rsidR="00696626" w:rsidRPr="007858CD" w:rsidRDefault="00696626" w:rsidP="007858CD">
      <w:pPr>
        <w:rPr>
          <w:rFonts w:cs="Arial"/>
          <w:color w:val="auto"/>
          <w:sz w:val="20"/>
          <w:szCs w:val="20"/>
          <w:lang w:val="en-US"/>
        </w:rPr>
      </w:pPr>
    </w:p>
    <w:p w:rsidR="00430BE6" w:rsidRPr="007858CD" w:rsidRDefault="00430BE6" w:rsidP="007858CD">
      <w:pPr>
        <w:rPr>
          <w:rFonts w:cs="Arial"/>
          <w:color w:val="auto"/>
          <w:sz w:val="20"/>
          <w:szCs w:val="20"/>
          <w:lang w:val="en-US"/>
        </w:rPr>
      </w:pPr>
      <w:r w:rsidRPr="007858CD">
        <w:rPr>
          <w:rFonts w:cs="Arial"/>
          <w:color w:val="auto"/>
          <w:sz w:val="20"/>
          <w:szCs w:val="20"/>
          <w:lang w:val="en-US"/>
        </w:rPr>
        <w:t xml:space="preserve">The key cost drivers as per the APP </w:t>
      </w:r>
      <w:r w:rsidR="00390F9E" w:rsidRPr="007858CD">
        <w:rPr>
          <w:rFonts w:cs="Arial"/>
          <w:color w:val="auto"/>
          <w:sz w:val="20"/>
          <w:szCs w:val="20"/>
          <w:lang w:val="en-US"/>
        </w:rPr>
        <w:t>202</w:t>
      </w:r>
      <w:r w:rsidR="00D0650D" w:rsidRPr="007858CD">
        <w:rPr>
          <w:rFonts w:cs="Arial"/>
          <w:color w:val="auto"/>
          <w:sz w:val="20"/>
          <w:szCs w:val="20"/>
          <w:lang w:val="en-US"/>
        </w:rPr>
        <w:t>2/23</w:t>
      </w:r>
      <w:r w:rsidRPr="007858CD">
        <w:rPr>
          <w:rFonts w:cs="Arial"/>
          <w:color w:val="auto"/>
          <w:sz w:val="20"/>
          <w:szCs w:val="20"/>
          <w:lang w:val="en-US"/>
        </w:rPr>
        <w:t xml:space="preserve"> are as follows:</w:t>
      </w:r>
    </w:p>
    <w:p w:rsidR="00430BE6" w:rsidRPr="007858CD" w:rsidRDefault="00430BE6" w:rsidP="007858CD">
      <w:pPr>
        <w:pStyle w:val="ListParagraph"/>
        <w:numPr>
          <w:ilvl w:val="0"/>
          <w:numId w:val="8"/>
        </w:numPr>
        <w:rPr>
          <w:rFonts w:cs="Arial"/>
          <w:color w:val="auto"/>
          <w:sz w:val="20"/>
          <w:szCs w:val="20"/>
          <w:lang w:val="en-US"/>
        </w:rPr>
      </w:pPr>
      <w:r w:rsidRPr="007858CD">
        <w:rPr>
          <w:rFonts w:cs="Arial"/>
          <w:color w:val="auto"/>
          <w:sz w:val="20"/>
          <w:szCs w:val="20"/>
          <w:lang w:val="en-US"/>
        </w:rPr>
        <w:t>Compensation of Employees (R</w:t>
      </w:r>
      <w:r w:rsidR="00D85B70" w:rsidRPr="007858CD">
        <w:rPr>
          <w:rFonts w:cs="Arial"/>
          <w:color w:val="auto"/>
          <w:sz w:val="20"/>
          <w:szCs w:val="20"/>
          <w:lang w:val="en-US"/>
        </w:rPr>
        <w:t>57 605</w:t>
      </w:r>
      <w:r w:rsidR="004A2BAE" w:rsidRPr="007858CD">
        <w:rPr>
          <w:rFonts w:cs="Arial"/>
          <w:color w:val="auto"/>
          <w:sz w:val="20"/>
          <w:szCs w:val="20"/>
          <w:lang w:val="en-US"/>
        </w:rPr>
        <w:t xml:space="preserve"> </w:t>
      </w:r>
      <w:r w:rsidRPr="007858CD">
        <w:rPr>
          <w:rFonts w:cs="Arial"/>
          <w:color w:val="auto"/>
          <w:sz w:val="20"/>
          <w:szCs w:val="20"/>
          <w:lang w:val="en-US"/>
        </w:rPr>
        <w:t xml:space="preserve">million) which constitutes </w:t>
      </w:r>
      <w:r w:rsidR="00401364" w:rsidRPr="007858CD">
        <w:rPr>
          <w:rFonts w:cs="Arial"/>
          <w:color w:val="auto"/>
          <w:sz w:val="20"/>
          <w:szCs w:val="20"/>
          <w:lang w:val="en-US"/>
        </w:rPr>
        <w:t>58.3</w:t>
      </w:r>
      <w:r w:rsidRPr="007858CD">
        <w:rPr>
          <w:rFonts w:cs="Arial"/>
          <w:color w:val="auto"/>
          <w:sz w:val="20"/>
          <w:szCs w:val="20"/>
          <w:lang w:val="en-US"/>
        </w:rPr>
        <w:t>% of the overall allocation for this programme.</w:t>
      </w:r>
    </w:p>
    <w:p w:rsidR="00430BE6" w:rsidRPr="007858CD" w:rsidRDefault="00430BE6" w:rsidP="007858CD">
      <w:pPr>
        <w:pStyle w:val="ListParagraph"/>
        <w:numPr>
          <w:ilvl w:val="0"/>
          <w:numId w:val="8"/>
        </w:numPr>
        <w:rPr>
          <w:rFonts w:cs="Arial"/>
          <w:color w:val="auto"/>
          <w:sz w:val="20"/>
          <w:szCs w:val="20"/>
          <w:lang w:val="en-US"/>
        </w:rPr>
      </w:pPr>
      <w:r w:rsidRPr="007858CD">
        <w:rPr>
          <w:rFonts w:cs="Arial"/>
          <w:color w:val="auto"/>
          <w:sz w:val="20"/>
          <w:szCs w:val="20"/>
          <w:lang w:val="en-US"/>
        </w:rPr>
        <w:t>Good and services (R</w:t>
      </w:r>
      <w:r w:rsidR="00401364" w:rsidRPr="007858CD">
        <w:rPr>
          <w:rFonts w:cs="Arial"/>
          <w:color w:val="auto"/>
          <w:sz w:val="20"/>
          <w:szCs w:val="20"/>
          <w:lang w:val="en-US"/>
        </w:rPr>
        <w:t>38 796</w:t>
      </w:r>
      <w:r w:rsidR="004A2BAE" w:rsidRPr="007858CD">
        <w:rPr>
          <w:rFonts w:cs="Arial"/>
          <w:color w:val="auto"/>
          <w:sz w:val="20"/>
          <w:szCs w:val="20"/>
          <w:lang w:val="en-US"/>
        </w:rPr>
        <w:t xml:space="preserve"> </w:t>
      </w:r>
      <w:r w:rsidRPr="007858CD">
        <w:rPr>
          <w:rFonts w:cs="Arial"/>
          <w:color w:val="auto"/>
          <w:sz w:val="20"/>
          <w:szCs w:val="20"/>
          <w:lang w:val="en-US"/>
        </w:rPr>
        <w:t xml:space="preserve">million) which constitutes </w:t>
      </w:r>
      <w:r w:rsidR="00401364" w:rsidRPr="007858CD">
        <w:rPr>
          <w:rFonts w:cs="Arial"/>
          <w:color w:val="auto"/>
          <w:sz w:val="20"/>
          <w:szCs w:val="20"/>
          <w:lang w:val="en-US"/>
        </w:rPr>
        <w:t>39.3</w:t>
      </w:r>
      <w:r w:rsidRPr="007858CD">
        <w:rPr>
          <w:rFonts w:cs="Arial"/>
          <w:color w:val="auto"/>
          <w:sz w:val="20"/>
          <w:szCs w:val="20"/>
          <w:lang w:val="en-US"/>
        </w:rPr>
        <w:t>% of the overall allocation for this programme.</w:t>
      </w:r>
    </w:p>
    <w:p w:rsidR="00430BE6" w:rsidRPr="007858CD" w:rsidRDefault="00430BE6" w:rsidP="007858CD">
      <w:pPr>
        <w:rPr>
          <w:rFonts w:cs="Arial"/>
          <w:color w:val="auto"/>
          <w:sz w:val="20"/>
          <w:szCs w:val="20"/>
          <w:lang w:val="en-US"/>
        </w:rPr>
      </w:pPr>
    </w:p>
    <w:p w:rsidR="0022579A" w:rsidRPr="007858CD" w:rsidRDefault="00341767" w:rsidP="007858CD">
      <w:pPr>
        <w:rPr>
          <w:rFonts w:cs="Arial"/>
          <w:color w:val="auto"/>
          <w:sz w:val="20"/>
          <w:szCs w:val="20"/>
          <w:lang w:val="en-US"/>
        </w:rPr>
      </w:pPr>
      <w:r w:rsidRPr="007858CD">
        <w:rPr>
          <w:rFonts w:cs="Arial"/>
          <w:color w:val="auto"/>
          <w:sz w:val="20"/>
          <w:szCs w:val="20"/>
          <w:lang w:val="en-US"/>
        </w:rPr>
        <w:t>As per the ENE 20</w:t>
      </w:r>
      <w:r w:rsidR="00D0650D" w:rsidRPr="007858CD">
        <w:rPr>
          <w:rFonts w:cs="Arial"/>
          <w:color w:val="auto"/>
          <w:sz w:val="20"/>
          <w:szCs w:val="20"/>
          <w:lang w:val="en-US"/>
        </w:rPr>
        <w:t>22</w:t>
      </w:r>
      <w:r w:rsidRPr="007858CD">
        <w:rPr>
          <w:rFonts w:cs="Arial"/>
          <w:color w:val="auto"/>
          <w:sz w:val="20"/>
          <w:szCs w:val="20"/>
          <w:lang w:val="en-US"/>
        </w:rPr>
        <w:t>, t</w:t>
      </w:r>
      <w:r w:rsidR="0022579A" w:rsidRPr="007858CD">
        <w:rPr>
          <w:rFonts w:cs="Arial"/>
          <w:color w:val="auto"/>
          <w:sz w:val="20"/>
          <w:szCs w:val="20"/>
          <w:lang w:val="en-US"/>
        </w:rPr>
        <w:t>he main cost drivers for Good and services are as follows:</w:t>
      </w:r>
    </w:p>
    <w:p w:rsidR="00341767" w:rsidRPr="007858CD" w:rsidRDefault="00341767" w:rsidP="007858CD">
      <w:pPr>
        <w:pStyle w:val="ListParagraph"/>
        <w:numPr>
          <w:ilvl w:val="0"/>
          <w:numId w:val="9"/>
        </w:numPr>
        <w:rPr>
          <w:rFonts w:cs="Arial"/>
          <w:color w:val="auto"/>
          <w:sz w:val="20"/>
          <w:szCs w:val="20"/>
          <w:lang w:val="en-US"/>
        </w:rPr>
      </w:pPr>
      <w:r w:rsidRPr="007858CD">
        <w:rPr>
          <w:rFonts w:cs="Arial"/>
          <w:color w:val="auto"/>
          <w:sz w:val="20"/>
          <w:szCs w:val="20"/>
          <w:lang w:val="en-US"/>
        </w:rPr>
        <w:t>Property payment R</w:t>
      </w:r>
      <w:r w:rsidR="00880A69" w:rsidRPr="007858CD">
        <w:rPr>
          <w:rFonts w:cs="Arial"/>
          <w:color w:val="auto"/>
          <w:sz w:val="20"/>
          <w:szCs w:val="20"/>
          <w:lang w:val="en-US"/>
        </w:rPr>
        <w:t xml:space="preserve">19.1 </w:t>
      </w:r>
      <w:r w:rsidRPr="007858CD">
        <w:rPr>
          <w:rFonts w:cs="Arial"/>
          <w:color w:val="auto"/>
          <w:sz w:val="20"/>
          <w:szCs w:val="20"/>
          <w:lang w:val="en-US"/>
        </w:rPr>
        <w:t>million</w:t>
      </w:r>
    </w:p>
    <w:p w:rsidR="00341767" w:rsidRPr="007858CD" w:rsidRDefault="00341767" w:rsidP="007858CD">
      <w:pPr>
        <w:pStyle w:val="ListParagraph"/>
        <w:numPr>
          <w:ilvl w:val="0"/>
          <w:numId w:val="9"/>
        </w:numPr>
        <w:rPr>
          <w:rFonts w:cs="Arial"/>
          <w:color w:val="auto"/>
          <w:sz w:val="20"/>
          <w:szCs w:val="20"/>
          <w:lang w:val="en-US"/>
        </w:rPr>
      </w:pPr>
      <w:r w:rsidRPr="007858CD">
        <w:rPr>
          <w:rFonts w:cs="Arial"/>
          <w:color w:val="auto"/>
          <w:sz w:val="20"/>
          <w:szCs w:val="20"/>
          <w:lang w:val="en-US"/>
        </w:rPr>
        <w:t>Audit costs: External R</w:t>
      </w:r>
      <w:r w:rsidR="00880A69" w:rsidRPr="007858CD">
        <w:rPr>
          <w:rFonts w:cs="Arial"/>
          <w:color w:val="auto"/>
          <w:sz w:val="20"/>
          <w:szCs w:val="20"/>
          <w:lang w:val="en-US"/>
        </w:rPr>
        <w:t xml:space="preserve">4.4 </w:t>
      </w:r>
      <w:r w:rsidRPr="007858CD">
        <w:rPr>
          <w:rFonts w:cs="Arial"/>
          <w:color w:val="auto"/>
          <w:sz w:val="20"/>
          <w:szCs w:val="20"/>
          <w:lang w:val="en-US"/>
        </w:rPr>
        <w:t>million</w:t>
      </w:r>
    </w:p>
    <w:p w:rsidR="00341767" w:rsidRPr="007858CD" w:rsidRDefault="00341767" w:rsidP="007858CD">
      <w:pPr>
        <w:pStyle w:val="ListParagraph"/>
        <w:numPr>
          <w:ilvl w:val="0"/>
          <w:numId w:val="9"/>
        </w:numPr>
        <w:rPr>
          <w:rFonts w:cs="Arial"/>
          <w:color w:val="auto"/>
          <w:sz w:val="20"/>
          <w:szCs w:val="20"/>
          <w:lang w:val="en-US"/>
        </w:rPr>
      </w:pPr>
      <w:r w:rsidRPr="007858CD">
        <w:rPr>
          <w:rFonts w:cs="Arial"/>
          <w:color w:val="auto"/>
          <w:sz w:val="20"/>
          <w:szCs w:val="20"/>
          <w:lang w:val="en-US"/>
        </w:rPr>
        <w:t>Com</w:t>
      </w:r>
      <w:r w:rsidR="004A2BAE" w:rsidRPr="007858CD">
        <w:rPr>
          <w:rFonts w:cs="Arial"/>
          <w:color w:val="auto"/>
          <w:sz w:val="20"/>
          <w:szCs w:val="20"/>
          <w:lang w:val="en-US"/>
        </w:rPr>
        <w:t>puter services</w:t>
      </w:r>
      <w:r w:rsidRPr="007858CD">
        <w:rPr>
          <w:rFonts w:cs="Arial"/>
          <w:color w:val="auto"/>
          <w:sz w:val="20"/>
          <w:szCs w:val="20"/>
          <w:lang w:val="en-US"/>
        </w:rPr>
        <w:t>: R</w:t>
      </w:r>
      <w:r w:rsidR="00880A69" w:rsidRPr="007858CD">
        <w:rPr>
          <w:rFonts w:cs="Arial"/>
          <w:color w:val="auto"/>
          <w:sz w:val="20"/>
          <w:szCs w:val="20"/>
          <w:lang w:val="en-US"/>
        </w:rPr>
        <w:t>3.1</w:t>
      </w:r>
      <w:r w:rsidRPr="007858CD">
        <w:rPr>
          <w:rFonts w:cs="Arial"/>
          <w:color w:val="auto"/>
          <w:sz w:val="20"/>
          <w:szCs w:val="20"/>
          <w:lang w:val="en-US"/>
        </w:rPr>
        <w:t xml:space="preserve"> million</w:t>
      </w:r>
    </w:p>
    <w:p w:rsidR="00341767" w:rsidRPr="007858CD" w:rsidRDefault="00341767" w:rsidP="007858CD">
      <w:pPr>
        <w:pStyle w:val="ListParagraph"/>
        <w:numPr>
          <w:ilvl w:val="0"/>
          <w:numId w:val="9"/>
        </w:numPr>
        <w:rPr>
          <w:rFonts w:cs="Arial"/>
          <w:color w:val="auto"/>
          <w:sz w:val="20"/>
          <w:szCs w:val="20"/>
          <w:lang w:val="en-US"/>
        </w:rPr>
      </w:pPr>
      <w:r w:rsidRPr="007858CD">
        <w:rPr>
          <w:rFonts w:cs="Arial"/>
          <w:color w:val="auto"/>
          <w:sz w:val="20"/>
          <w:szCs w:val="20"/>
          <w:lang w:val="en-US"/>
        </w:rPr>
        <w:t>Travel and Subsistence</w:t>
      </w:r>
      <w:r w:rsidR="00880A69" w:rsidRPr="007858CD">
        <w:rPr>
          <w:rFonts w:cs="Arial"/>
          <w:color w:val="auto"/>
          <w:sz w:val="20"/>
          <w:szCs w:val="20"/>
          <w:lang w:val="en-US"/>
        </w:rPr>
        <w:t>:</w:t>
      </w:r>
      <w:r w:rsidRPr="007858CD">
        <w:rPr>
          <w:rFonts w:cs="Arial"/>
          <w:color w:val="auto"/>
          <w:sz w:val="20"/>
          <w:szCs w:val="20"/>
          <w:lang w:val="en-US"/>
        </w:rPr>
        <w:t xml:space="preserve"> R</w:t>
      </w:r>
      <w:r w:rsidR="00880A69" w:rsidRPr="007858CD">
        <w:rPr>
          <w:rFonts w:cs="Arial"/>
          <w:color w:val="auto"/>
          <w:sz w:val="20"/>
          <w:szCs w:val="20"/>
          <w:lang w:val="en-US"/>
        </w:rPr>
        <w:t xml:space="preserve">4.5 </w:t>
      </w:r>
      <w:r w:rsidRPr="007858CD">
        <w:rPr>
          <w:rFonts w:cs="Arial"/>
          <w:color w:val="auto"/>
          <w:sz w:val="20"/>
          <w:szCs w:val="20"/>
          <w:lang w:val="en-US"/>
        </w:rPr>
        <w:t>million</w:t>
      </w:r>
    </w:p>
    <w:p w:rsidR="003C5877" w:rsidRPr="007858CD" w:rsidRDefault="003C5877" w:rsidP="007858CD">
      <w:pPr>
        <w:rPr>
          <w:rFonts w:cs="Arial"/>
          <w:color w:val="auto"/>
          <w:sz w:val="20"/>
          <w:szCs w:val="20"/>
          <w:lang w:val="en-US"/>
        </w:rPr>
      </w:pPr>
    </w:p>
    <w:p w:rsidR="0022579A" w:rsidRPr="007858CD" w:rsidRDefault="009C38E7" w:rsidP="007858CD">
      <w:pPr>
        <w:rPr>
          <w:rFonts w:cs="Arial"/>
          <w:color w:val="auto"/>
          <w:sz w:val="20"/>
          <w:szCs w:val="20"/>
          <w:lang w:val="en-US"/>
        </w:rPr>
      </w:pPr>
      <w:r w:rsidRPr="007858CD">
        <w:rPr>
          <w:rFonts w:cs="Arial"/>
          <w:color w:val="auto"/>
          <w:sz w:val="20"/>
          <w:szCs w:val="20"/>
          <w:lang w:val="en-US"/>
        </w:rPr>
        <w:t xml:space="preserve">This programme has </w:t>
      </w:r>
      <w:r w:rsidR="003C5877" w:rsidRPr="007858CD">
        <w:rPr>
          <w:rFonts w:cs="Arial"/>
          <w:color w:val="auto"/>
          <w:sz w:val="20"/>
          <w:szCs w:val="20"/>
          <w:lang w:val="en-US"/>
        </w:rPr>
        <w:t xml:space="preserve">a </w:t>
      </w:r>
      <w:r w:rsidRPr="007858CD">
        <w:rPr>
          <w:rFonts w:cs="Arial"/>
          <w:color w:val="auto"/>
          <w:sz w:val="20"/>
          <w:szCs w:val="20"/>
          <w:lang w:val="en-US"/>
        </w:rPr>
        <w:t xml:space="preserve">staff compliment </w:t>
      </w:r>
      <w:r w:rsidR="003C5877" w:rsidRPr="007858CD">
        <w:rPr>
          <w:rFonts w:cs="Arial"/>
          <w:color w:val="auto"/>
          <w:sz w:val="20"/>
          <w:szCs w:val="20"/>
          <w:lang w:val="en-US"/>
        </w:rPr>
        <w:t xml:space="preserve">comprising </w:t>
      </w:r>
      <w:r w:rsidRPr="007858CD">
        <w:rPr>
          <w:rFonts w:cs="Arial"/>
          <w:color w:val="auto"/>
          <w:sz w:val="20"/>
          <w:szCs w:val="20"/>
          <w:lang w:val="en-US"/>
        </w:rPr>
        <w:t xml:space="preserve">of </w:t>
      </w:r>
      <w:r w:rsidR="00401364" w:rsidRPr="007858CD">
        <w:rPr>
          <w:rFonts w:cs="Arial"/>
          <w:color w:val="auto"/>
          <w:sz w:val="20"/>
          <w:szCs w:val="20"/>
          <w:lang w:val="en-US"/>
        </w:rPr>
        <w:t>75</w:t>
      </w:r>
      <w:r w:rsidRPr="007858CD">
        <w:rPr>
          <w:rFonts w:cs="Arial"/>
          <w:color w:val="auto"/>
          <w:sz w:val="20"/>
          <w:szCs w:val="20"/>
          <w:lang w:val="en-US"/>
        </w:rPr>
        <w:t xml:space="preserve"> posts and is earmarked to achieve </w:t>
      </w:r>
      <w:r w:rsidR="00401364" w:rsidRPr="007858CD">
        <w:rPr>
          <w:rFonts w:cs="Arial"/>
          <w:color w:val="auto"/>
          <w:sz w:val="20"/>
          <w:szCs w:val="20"/>
          <w:lang w:val="en-US"/>
        </w:rPr>
        <w:t>7</w:t>
      </w:r>
      <w:r w:rsidRPr="007858CD">
        <w:rPr>
          <w:rFonts w:cs="Arial"/>
          <w:color w:val="auto"/>
          <w:sz w:val="20"/>
          <w:szCs w:val="20"/>
          <w:lang w:val="en-US"/>
        </w:rPr>
        <w:t xml:space="preserve"> targets.</w:t>
      </w:r>
      <w:r w:rsidR="003C5877" w:rsidRPr="007858CD">
        <w:rPr>
          <w:rFonts w:cs="Arial"/>
          <w:color w:val="auto"/>
          <w:sz w:val="20"/>
          <w:szCs w:val="20"/>
          <w:lang w:val="en-US"/>
        </w:rPr>
        <w:t xml:space="preserve"> Most of the targets are compliance related</w:t>
      </w:r>
      <w:r w:rsidR="004A2BAE" w:rsidRPr="007858CD">
        <w:rPr>
          <w:rFonts w:cs="Arial"/>
          <w:color w:val="auto"/>
          <w:sz w:val="20"/>
          <w:szCs w:val="20"/>
          <w:lang w:val="en-US"/>
        </w:rPr>
        <w:t xml:space="preserve"> as listed below</w:t>
      </w:r>
      <w:r w:rsidR="003C5877" w:rsidRPr="007858CD">
        <w:rPr>
          <w:rFonts w:cs="Arial"/>
          <w:color w:val="auto"/>
          <w:sz w:val="20"/>
          <w:szCs w:val="20"/>
          <w:lang w:val="en-US"/>
        </w:rPr>
        <w:t>.</w:t>
      </w:r>
    </w:p>
    <w:p w:rsidR="009C38E7" w:rsidRPr="007858CD" w:rsidRDefault="009C38E7" w:rsidP="007858CD">
      <w:pPr>
        <w:rPr>
          <w:rFonts w:cs="Arial"/>
          <w:color w:val="auto"/>
          <w:sz w:val="20"/>
          <w:szCs w:val="20"/>
          <w:lang w:val="en-US"/>
        </w:rPr>
      </w:pPr>
    </w:p>
    <w:p w:rsidR="004A2BAE" w:rsidRPr="007858CD" w:rsidRDefault="004A2BAE" w:rsidP="007858CD">
      <w:pPr>
        <w:pStyle w:val="ListParagraph"/>
        <w:numPr>
          <w:ilvl w:val="0"/>
          <w:numId w:val="18"/>
        </w:numPr>
        <w:rPr>
          <w:rFonts w:cs="Arial"/>
          <w:color w:val="auto"/>
          <w:sz w:val="20"/>
          <w:szCs w:val="20"/>
          <w:lang w:val="en-US"/>
        </w:rPr>
      </w:pPr>
      <w:r w:rsidRPr="007858CD">
        <w:rPr>
          <w:rFonts w:cs="Arial"/>
          <w:color w:val="auto"/>
          <w:sz w:val="20"/>
          <w:szCs w:val="20"/>
          <w:lang w:val="en-US"/>
        </w:rPr>
        <w:t>Unqualified Audit opinion on predetermined objectives</w:t>
      </w:r>
    </w:p>
    <w:p w:rsidR="004A2BAE" w:rsidRPr="007858CD" w:rsidRDefault="004A2BAE" w:rsidP="007858CD">
      <w:pPr>
        <w:pStyle w:val="ListParagraph"/>
        <w:numPr>
          <w:ilvl w:val="0"/>
          <w:numId w:val="18"/>
        </w:numPr>
        <w:rPr>
          <w:rFonts w:cs="Arial"/>
          <w:color w:val="auto"/>
          <w:sz w:val="20"/>
          <w:szCs w:val="20"/>
          <w:lang w:val="en-US"/>
        </w:rPr>
      </w:pPr>
      <w:r w:rsidRPr="007858CD">
        <w:rPr>
          <w:rFonts w:cs="Arial"/>
          <w:color w:val="auto"/>
          <w:sz w:val="20"/>
          <w:szCs w:val="20"/>
          <w:lang w:val="en-US"/>
        </w:rPr>
        <w:t>100% payment of all valid invoices within 30 days</w:t>
      </w:r>
    </w:p>
    <w:p w:rsidR="004A2BAE" w:rsidRPr="007858CD" w:rsidRDefault="004A2BAE" w:rsidP="007858CD">
      <w:pPr>
        <w:pStyle w:val="ListParagraph"/>
        <w:numPr>
          <w:ilvl w:val="0"/>
          <w:numId w:val="18"/>
        </w:numPr>
        <w:rPr>
          <w:rFonts w:cs="Arial"/>
          <w:color w:val="auto"/>
          <w:sz w:val="20"/>
          <w:szCs w:val="20"/>
          <w:lang w:val="en-US"/>
        </w:rPr>
      </w:pPr>
      <w:r w:rsidRPr="007858CD">
        <w:rPr>
          <w:rFonts w:cs="Arial"/>
          <w:color w:val="auto"/>
          <w:sz w:val="20"/>
          <w:szCs w:val="20"/>
          <w:lang w:val="en-US"/>
        </w:rPr>
        <w:t>Unqualified Audit opinion on Annual Financial Statements</w:t>
      </w:r>
    </w:p>
    <w:p w:rsidR="004A2BAE" w:rsidRPr="007858CD" w:rsidRDefault="004A2BAE" w:rsidP="007858CD">
      <w:pPr>
        <w:pStyle w:val="ListParagraph"/>
        <w:numPr>
          <w:ilvl w:val="0"/>
          <w:numId w:val="18"/>
        </w:numPr>
        <w:rPr>
          <w:rFonts w:cs="Arial"/>
          <w:color w:val="auto"/>
          <w:sz w:val="20"/>
          <w:szCs w:val="20"/>
          <w:lang w:val="en-US"/>
        </w:rPr>
      </w:pPr>
      <w:r w:rsidRPr="007858CD">
        <w:rPr>
          <w:rFonts w:cs="Arial"/>
          <w:color w:val="auto"/>
          <w:sz w:val="20"/>
          <w:szCs w:val="20"/>
          <w:lang w:val="en-US"/>
        </w:rPr>
        <w:lastRenderedPageBreak/>
        <w:t>Maintain a vacancy rate of less than 10% annually</w:t>
      </w:r>
    </w:p>
    <w:p w:rsidR="004A2BAE" w:rsidRPr="007858CD" w:rsidRDefault="00880A69" w:rsidP="007858CD">
      <w:pPr>
        <w:pStyle w:val="ListParagraph"/>
        <w:numPr>
          <w:ilvl w:val="0"/>
          <w:numId w:val="18"/>
        </w:numPr>
        <w:rPr>
          <w:rFonts w:cs="Arial"/>
          <w:color w:val="auto"/>
          <w:sz w:val="20"/>
          <w:szCs w:val="20"/>
          <w:lang w:val="en-US"/>
        </w:rPr>
      </w:pPr>
      <w:r w:rsidRPr="007858CD">
        <w:rPr>
          <w:rFonts w:cs="Arial"/>
          <w:color w:val="auto"/>
          <w:sz w:val="20"/>
          <w:szCs w:val="20"/>
          <w:lang w:val="en-US"/>
        </w:rPr>
        <w:t xml:space="preserve">4 reports on </w:t>
      </w:r>
      <w:r w:rsidR="004A2BAE" w:rsidRPr="007858CD">
        <w:rPr>
          <w:rFonts w:cs="Arial"/>
          <w:color w:val="auto"/>
          <w:sz w:val="20"/>
          <w:szCs w:val="20"/>
          <w:lang w:val="en-US"/>
        </w:rPr>
        <w:t>Human Resource Plan implemented</w:t>
      </w:r>
    </w:p>
    <w:p w:rsidR="004A2BAE" w:rsidRPr="007858CD" w:rsidRDefault="00880A69" w:rsidP="007858CD">
      <w:pPr>
        <w:pStyle w:val="ListParagraph"/>
        <w:numPr>
          <w:ilvl w:val="0"/>
          <w:numId w:val="18"/>
        </w:numPr>
        <w:rPr>
          <w:rFonts w:cs="Arial"/>
          <w:color w:val="auto"/>
          <w:sz w:val="20"/>
          <w:szCs w:val="20"/>
          <w:lang w:val="en-US"/>
        </w:rPr>
      </w:pPr>
      <w:r w:rsidRPr="007858CD">
        <w:rPr>
          <w:rFonts w:cs="Arial"/>
          <w:color w:val="auto"/>
          <w:sz w:val="20"/>
          <w:szCs w:val="20"/>
          <w:lang w:val="en-US"/>
        </w:rPr>
        <w:t xml:space="preserve">3 reports on </w:t>
      </w:r>
      <w:r w:rsidR="004A2BAE" w:rsidRPr="007858CD">
        <w:rPr>
          <w:rFonts w:cs="Arial"/>
          <w:color w:val="auto"/>
          <w:sz w:val="20"/>
          <w:szCs w:val="20"/>
          <w:lang w:val="en-US"/>
        </w:rPr>
        <w:t>Master Information Technology Strategy and Plan (MITSP)</w:t>
      </w:r>
    </w:p>
    <w:p w:rsidR="00880A69" w:rsidRPr="007858CD" w:rsidRDefault="00880A69" w:rsidP="007858CD">
      <w:pPr>
        <w:pStyle w:val="ListParagraph"/>
        <w:numPr>
          <w:ilvl w:val="0"/>
          <w:numId w:val="18"/>
        </w:numPr>
        <w:rPr>
          <w:rFonts w:cs="Arial"/>
          <w:color w:val="auto"/>
          <w:sz w:val="20"/>
          <w:szCs w:val="20"/>
          <w:lang w:val="en-US"/>
        </w:rPr>
      </w:pPr>
      <w:r w:rsidRPr="007858CD">
        <w:rPr>
          <w:rFonts w:cs="Arial"/>
          <w:color w:val="auto"/>
          <w:sz w:val="20"/>
          <w:szCs w:val="20"/>
          <w:lang w:val="en-US"/>
        </w:rPr>
        <w:t>40% procurement spend on entities owned by women*</w:t>
      </w:r>
    </w:p>
    <w:p w:rsidR="004A2BAE" w:rsidRPr="007858CD" w:rsidRDefault="00880A69" w:rsidP="007858CD">
      <w:pPr>
        <w:rPr>
          <w:rFonts w:cs="Arial"/>
          <w:color w:val="auto"/>
          <w:sz w:val="20"/>
          <w:szCs w:val="20"/>
          <w:lang w:val="en-US"/>
        </w:rPr>
      </w:pPr>
      <w:r w:rsidRPr="007858CD">
        <w:rPr>
          <w:rFonts w:cs="Arial"/>
          <w:color w:val="auto"/>
          <w:sz w:val="20"/>
          <w:szCs w:val="20"/>
          <w:lang w:val="en-US"/>
        </w:rPr>
        <w:t>*new target</w:t>
      </w:r>
    </w:p>
    <w:p w:rsidR="00612C34" w:rsidRPr="007858CD" w:rsidRDefault="00612C34" w:rsidP="007858CD">
      <w:pPr>
        <w:rPr>
          <w:rFonts w:cs="Arial"/>
          <w:color w:val="auto"/>
          <w:sz w:val="20"/>
          <w:szCs w:val="20"/>
          <w:lang w:val="en-US"/>
        </w:rPr>
      </w:pPr>
    </w:p>
    <w:p w:rsidR="004A2BAE" w:rsidRPr="007858CD" w:rsidRDefault="00880A69" w:rsidP="007858CD">
      <w:pPr>
        <w:rPr>
          <w:rFonts w:cs="Arial"/>
          <w:color w:val="auto"/>
          <w:sz w:val="20"/>
          <w:szCs w:val="20"/>
          <w:lang w:val="en-US"/>
        </w:rPr>
      </w:pPr>
      <w:r w:rsidRPr="007858CD">
        <w:rPr>
          <w:rFonts w:cs="Arial"/>
          <w:color w:val="auto"/>
          <w:sz w:val="20"/>
          <w:szCs w:val="20"/>
          <w:lang w:val="en-US"/>
        </w:rPr>
        <w:t>Overall, the targets for Programme 1 have remained fairly similar between 2021/22 and 2022/23 except for one new target that was introduced as noted above.</w:t>
      </w:r>
    </w:p>
    <w:p w:rsidR="00612C34" w:rsidRPr="007858CD" w:rsidRDefault="00612C34" w:rsidP="007858CD">
      <w:pPr>
        <w:rPr>
          <w:rFonts w:cs="Arial"/>
          <w:color w:val="auto"/>
          <w:sz w:val="20"/>
          <w:szCs w:val="20"/>
          <w:lang w:val="en-US"/>
        </w:rPr>
      </w:pPr>
    </w:p>
    <w:p w:rsidR="007E6731" w:rsidRPr="007858CD" w:rsidRDefault="002E02E3" w:rsidP="007858CD">
      <w:pPr>
        <w:rPr>
          <w:rFonts w:cs="Arial"/>
          <w:b/>
          <w:bCs/>
          <w:color w:val="auto"/>
          <w:sz w:val="20"/>
          <w:szCs w:val="20"/>
          <w:lang w:val="en-ZA"/>
        </w:rPr>
      </w:pPr>
      <w:r w:rsidRPr="007858CD">
        <w:rPr>
          <w:rFonts w:cs="Arial"/>
          <w:b/>
          <w:color w:val="auto"/>
          <w:sz w:val="20"/>
          <w:szCs w:val="20"/>
          <w:lang w:val="en-US"/>
        </w:rPr>
        <w:t>3</w:t>
      </w:r>
      <w:r w:rsidR="005B4424" w:rsidRPr="007858CD">
        <w:rPr>
          <w:rFonts w:cs="Arial"/>
          <w:b/>
          <w:color w:val="auto"/>
          <w:sz w:val="20"/>
          <w:szCs w:val="20"/>
          <w:lang w:val="en-US"/>
        </w:rPr>
        <w:t xml:space="preserve">.2 </w:t>
      </w:r>
      <w:r w:rsidR="005B4424" w:rsidRPr="007858CD">
        <w:rPr>
          <w:rFonts w:cs="Arial"/>
          <w:b/>
          <w:bCs/>
          <w:color w:val="auto"/>
          <w:sz w:val="20"/>
          <w:szCs w:val="20"/>
          <w:lang w:val="en-ZA"/>
        </w:rPr>
        <w:t xml:space="preserve">Programme 2: </w:t>
      </w:r>
      <w:r w:rsidR="007E6731" w:rsidRPr="007858CD">
        <w:rPr>
          <w:rFonts w:cs="Arial"/>
          <w:b/>
          <w:bCs/>
          <w:color w:val="auto"/>
          <w:sz w:val="20"/>
          <w:szCs w:val="20"/>
          <w:lang w:val="en-ZA"/>
        </w:rPr>
        <w:t>Mainstreaming Women’s Rights and Advocacy</w:t>
      </w:r>
    </w:p>
    <w:p w:rsidR="007E6731" w:rsidRPr="007858CD" w:rsidRDefault="007E6731" w:rsidP="007858CD">
      <w:pPr>
        <w:rPr>
          <w:rFonts w:cs="Arial"/>
          <w:b/>
          <w:bCs/>
          <w:color w:val="auto"/>
          <w:sz w:val="20"/>
          <w:szCs w:val="20"/>
          <w:lang w:val="en-ZA"/>
        </w:rPr>
      </w:pPr>
    </w:p>
    <w:p w:rsidR="005B4424" w:rsidRPr="007858CD" w:rsidRDefault="007E6731" w:rsidP="007858CD">
      <w:pPr>
        <w:rPr>
          <w:rFonts w:cs="Arial"/>
          <w:color w:val="auto"/>
          <w:sz w:val="20"/>
          <w:szCs w:val="20"/>
          <w:lang w:val="en-ZA"/>
        </w:rPr>
      </w:pPr>
      <w:r w:rsidRPr="007858CD">
        <w:rPr>
          <w:rFonts w:cs="Arial"/>
          <w:bCs/>
          <w:color w:val="auto"/>
          <w:sz w:val="20"/>
          <w:szCs w:val="20"/>
          <w:lang w:val="en-ZA"/>
        </w:rPr>
        <w:t xml:space="preserve">The purpose of this programme is to promote good governance regarding the rights and transformation of the social and economic empowerment of women. This </w:t>
      </w:r>
      <w:r w:rsidR="005B4424" w:rsidRPr="007858CD">
        <w:rPr>
          <w:rFonts w:cs="Arial"/>
          <w:color w:val="auto"/>
          <w:sz w:val="20"/>
          <w:szCs w:val="20"/>
          <w:lang w:val="en-ZA"/>
        </w:rPr>
        <w:t xml:space="preserve">programme consists of </w:t>
      </w:r>
      <w:r w:rsidRPr="007858CD">
        <w:rPr>
          <w:rFonts w:cs="Arial"/>
          <w:color w:val="auto"/>
          <w:sz w:val="20"/>
          <w:szCs w:val="20"/>
          <w:lang w:val="en-ZA"/>
        </w:rPr>
        <w:t>four</w:t>
      </w:r>
      <w:r w:rsidR="005B4424" w:rsidRPr="007858CD">
        <w:rPr>
          <w:rFonts w:cs="Arial"/>
          <w:color w:val="auto"/>
          <w:sz w:val="20"/>
          <w:szCs w:val="20"/>
          <w:lang w:val="en-ZA"/>
        </w:rPr>
        <w:t xml:space="preserve"> sub-programmes</w:t>
      </w:r>
      <w:r w:rsidRPr="007858CD">
        <w:rPr>
          <w:rFonts w:cs="Arial"/>
          <w:color w:val="auto"/>
          <w:sz w:val="20"/>
          <w:szCs w:val="20"/>
          <w:lang w:val="en-ZA"/>
        </w:rPr>
        <w:t xml:space="preserve"> namely;</w:t>
      </w:r>
      <w:r w:rsidR="005B4424" w:rsidRPr="007858CD">
        <w:rPr>
          <w:rFonts w:cs="Arial"/>
          <w:color w:val="auto"/>
          <w:sz w:val="20"/>
          <w:szCs w:val="20"/>
          <w:lang w:val="en-ZA"/>
        </w:rPr>
        <w:t xml:space="preserve"> </w:t>
      </w:r>
    </w:p>
    <w:p w:rsidR="005B4424" w:rsidRPr="007858CD" w:rsidRDefault="005B4424" w:rsidP="007858CD">
      <w:pPr>
        <w:rPr>
          <w:rFonts w:cs="Arial"/>
          <w:color w:val="auto"/>
          <w:sz w:val="20"/>
          <w:szCs w:val="20"/>
          <w:lang w:val="en-ZA"/>
        </w:rPr>
      </w:pPr>
    </w:p>
    <w:p w:rsidR="007E6731" w:rsidRPr="007858CD" w:rsidRDefault="007E6731" w:rsidP="007858CD">
      <w:pPr>
        <w:pStyle w:val="ListParagraph"/>
        <w:numPr>
          <w:ilvl w:val="0"/>
          <w:numId w:val="15"/>
        </w:numPr>
        <w:rPr>
          <w:rFonts w:cs="Arial"/>
          <w:color w:val="auto"/>
          <w:sz w:val="20"/>
          <w:szCs w:val="20"/>
        </w:rPr>
      </w:pPr>
      <w:r w:rsidRPr="007858CD">
        <w:rPr>
          <w:rFonts w:cs="Arial"/>
          <w:b/>
          <w:color w:val="auto"/>
          <w:sz w:val="20"/>
          <w:szCs w:val="20"/>
        </w:rPr>
        <w:t>Management: Advocacy and Mainstreaming for the Rights of Women</w:t>
      </w:r>
      <w:r w:rsidRPr="007858CD">
        <w:rPr>
          <w:rFonts w:cs="Arial"/>
          <w:color w:val="auto"/>
          <w:sz w:val="20"/>
          <w:szCs w:val="20"/>
        </w:rPr>
        <w:t>: Provides strategic leadership and management to the programme.</w:t>
      </w:r>
    </w:p>
    <w:p w:rsidR="007E6731" w:rsidRPr="007858CD" w:rsidRDefault="007E6731" w:rsidP="007858CD">
      <w:pPr>
        <w:pStyle w:val="ListParagraph"/>
        <w:numPr>
          <w:ilvl w:val="0"/>
          <w:numId w:val="15"/>
        </w:numPr>
        <w:rPr>
          <w:rFonts w:cs="Arial"/>
          <w:color w:val="auto"/>
          <w:sz w:val="20"/>
          <w:szCs w:val="20"/>
        </w:rPr>
      </w:pPr>
      <w:r w:rsidRPr="007858CD">
        <w:rPr>
          <w:rFonts w:cs="Arial"/>
          <w:b/>
          <w:color w:val="auto"/>
          <w:sz w:val="20"/>
          <w:szCs w:val="20"/>
        </w:rPr>
        <w:t>Social Empowerment of Women (SEW):</w:t>
      </w:r>
      <w:r w:rsidRPr="007858CD">
        <w:rPr>
          <w:rFonts w:cs="Arial"/>
          <w:color w:val="auto"/>
          <w:sz w:val="20"/>
          <w:szCs w:val="20"/>
        </w:rPr>
        <w:t xml:space="preserve"> Promote good governance to further transformation, social justice and empowerment and rights for women.</w:t>
      </w:r>
    </w:p>
    <w:p w:rsidR="007E6731" w:rsidRPr="007858CD" w:rsidRDefault="007E6731" w:rsidP="007858CD">
      <w:pPr>
        <w:pStyle w:val="ListParagraph"/>
        <w:numPr>
          <w:ilvl w:val="0"/>
          <w:numId w:val="15"/>
        </w:numPr>
        <w:rPr>
          <w:rFonts w:cs="Arial"/>
          <w:color w:val="auto"/>
          <w:sz w:val="20"/>
          <w:szCs w:val="20"/>
        </w:rPr>
      </w:pPr>
      <w:r w:rsidRPr="007858CD">
        <w:rPr>
          <w:rFonts w:cs="Arial"/>
          <w:b/>
          <w:color w:val="auto"/>
          <w:sz w:val="20"/>
          <w:szCs w:val="20"/>
        </w:rPr>
        <w:t>Economic Empowerment of Women (EEW):</w:t>
      </w:r>
      <w:r w:rsidRPr="007858CD">
        <w:rPr>
          <w:rFonts w:cs="Arial"/>
          <w:color w:val="auto"/>
          <w:sz w:val="20"/>
          <w:szCs w:val="20"/>
        </w:rPr>
        <w:t xml:space="preserve"> Mainstreams and promotes good governance to further transformation, economic justice, empowerment and rights of women.</w:t>
      </w:r>
    </w:p>
    <w:p w:rsidR="005E465B" w:rsidRPr="007858CD" w:rsidRDefault="007E6731" w:rsidP="007858CD">
      <w:pPr>
        <w:pStyle w:val="ListParagraph"/>
        <w:numPr>
          <w:ilvl w:val="0"/>
          <w:numId w:val="15"/>
        </w:numPr>
        <w:rPr>
          <w:rFonts w:cs="Arial"/>
          <w:color w:val="auto"/>
          <w:sz w:val="20"/>
          <w:szCs w:val="20"/>
          <w:lang w:val="en-US"/>
        </w:rPr>
      </w:pPr>
      <w:r w:rsidRPr="007858CD">
        <w:rPr>
          <w:rFonts w:cs="Arial"/>
          <w:b/>
          <w:color w:val="auto"/>
          <w:sz w:val="20"/>
          <w:szCs w:val="20"/>
        </w:rPr>
        <w:t>Commission for Gender Equality (CGE):</w:t>
      </w:r>
      <w:r w:rsidRPr="007858CD">
        <w:rPr>
          <w:rFonts w:cs="Arial"/>
          <w:color w:val="auto"/>
          <w:sz w:val="20"/>
          <w:szCs w:val="20"/>
        </w:rPr>
        <w:t xml:space="preserve"> Facilitates transfer payments to the Commission for Gender Equality, which promotes gender equality and respect for women’s rights</w:t>
      </w:r>
    </w:p>
    <w:p w:rsidR="007E6731" w:rsidRPr="007858CD" w:rsidRDefault="007E6731" w:rsidP="007858CD">
      <w:pPr>
        <w:rPr>
          <w:rFonts w:cs="Arial"/>
          <w:color w:val="auto"/>
          <w:sz w:val="20"/>
          <w:szCs w:val="20"/>
          <w:lang w:val="en-US"/>
        </w:rPr>
      </w:pPr>
    </w:p>
    <w:p w:rsidR="003C5275" w:rsidRPr="007858CD" w:rsidRDefault="003C5275" w:rsidP="007858CD">
      <w:pPr>
        <w:rPr>
          <w:rFonts w:cs="Arial"/>
          <w:color w:val="auto"/>
          <w:sz w:val="20"/>
          <w:szCs w:val="20"/>
          <w:lang w:val="en-US"/>
        </w:rPr>
      </w:pPr>
      <w:r w:rsidRPr="007858CD">
        <w:rPr>
          <w:rFonts w:cs="Arial"/>
          <w:color w:val="auto"/>
          <w:sz w:val="20"/>
          <w:szCs w:val="20"/>
          <w:lang w:val="en-US"/>
        </w:rPr>
        <w:t>Expenditure under Programme 2 is allocated as follows:</w:t>
      </w:r>
    </w:p>
    <w:p w:rsidR="005E465B" w:rsidRPr="007858CD" w:rsidRDefault="005E465B" w:rsidP="007858CD">
      <w:pPr>
        <w:rPr>
          <w:rFonts w:cs="Arial"/>
          <w:color w:val="auto"/>
          <w:sz w:val="20"/>
          <w:szCs w:val="20"/>
          <w:lang w:val="en-US"/>
        </w:rPr>
      </w:pPr>
    </w:p>
    <w:p w:rsidR="003C5275" w:rsidRPr="007858CD" w:rsidRDefault="003C5275" w:rsidP="007858CD">
      <w:pPr>
        <w:rPr>
          <w:rFonts w:cs="Arial"/>
          <w:b/>
          <w:color w:val="auto"/>
          <w:sz w:val="20"/>
          <w:szCs w:val="20"/>
          <w:lang w:val="en-US"/>
        </w:rPr>
      </w:pPr>
      <w:r w:rsidRPr="007858CD">
        <w:rPr>
          <w:rFonts w:cs="Arial"/>
          <w:b/>
          <w:color w:val="auto"/>
          <w:sz w:val="20"/>
          <w:szCs w:val="20"/>
          <w:lang w:val="en-US"/>
        </w:rPr>
        <w:t xml:space="preserve">Table </w:t>
      </w:r>
      <w:r w:rsidR="00C32B0F" w:rsidRPr="007858CD">
        <w:rPr>
          <w:rFonts w:cs="Arial"/>
          <w:b/>
          <w:color w:val="auto"/>
          <w:sz w:val="20"/>
          <w:szCs w:val="20"/>
          <w:lang w:val="en-US"/>
        </w:rPr>
        <w:t>4</w:t>
      </w:r>
      <w:r w:rsidRPr="007858CD">
        <w:rPr>
          <w:rFonts w:cs="Arial"/>
          <w:b/>
          <w:color w:val="auto"/>
          <w:sz w:val="20"/>
          <w:szCs w:val="20"/>
          <w:lang w:val="en-US"/>
        </w:rPr>
        <w:t xml:space="preserve">: Sub-programme allocation for </w:t>
      </w:r>
      <w:r w:rsidR="00390F9E" w:rsidRPr="007858CD">
        <w:rPr>
          <w:rFonts w:cs="Arial"/>
          <w:b/>
          <w:color w:val="auto"/>
          <w:sz w:val="20"/>
          <w:szCs w:val="20"/>
          <w:lang w:val="en-US"/>
        </w:rPr>
        <w:t>202</w:t>
      </w:r>
      <w:r w:rsidR="00D0650D" w:rsidRPr="007858CD">
        <w:rPr>
          <w:rFonts w:cs="Arial"/>
          <w:b/>
          <w:color w:val="auto"/>
          <w:sz w:val="20"/>
          <w:szCs w:val="20"/>
          <w:lang w:val="en-US"/>
        </w:rPr>
        <w:t>2/23</w:t>
      </w:r>
      <w:r w:rsidRPr="007858CD">
        <w:rPr>
          <w:rFonts w:cs="Arial"/>
          <w:b/>
          <w:color w:val="auto"/>
          <w:sz w:val="20"/>
          <w:szCs w:val="20"/>
          <w:lang w:val="en-US"/>
        </w:rPr>
        <w:t xml:space="preserve"> in Programme 2</w:t>
      </w:r>
      <w:r w:rsidR="00612C34" w:rsidRPr="007858CD">
        <w:rPr>
          <w:rStyle w:val="FootnoteReference"/>
          <w:rFonts w:cs="Arial"/>
          <w:b/>
          <w:color w:val="auto"/>
          <w:sz w:val="20"/>
          <w:szCs w:val="20"/>
          <w:lang w:val="en-US"/>
        </w:rPr>
        <w:footnoteReference w:id="12"/>
      </w:r>
    </w:p>
    <w:tbl>
      <w:tblPr>
        <w:tblStyle w:val="TableGrid"/>
        <w:tblW w:w="0" w:type="auto"/>
        <w:tblLook w:val="04A0"/>
      </w:tblPr>
      <w:tblGrid>
        <w:gridCol w:w="6933"/>
        <w:gridCol w:w="2192"/>
      </w:tblGrid>
      <w:tr w:rsidR="00DE4BA7" w:rsidRPr="007858CD" w:rsidTr="004600AE">
        <w:trPr>
          <w:trHeight w:val="361"/>
        </w:trPr>
        <w:tc>
          <w:tcPr>
            <w:tcW w:w="6933" w:type="dxa"/>
            <w:shd w:val="clear" w:color="auto" w:fill="BFBFBF" w:themeFill="background1" w:themeFillShade="BF"/>
          </w:tcPr>
          <w:p w:rsidR="003C5877" w:rsidRPr="007858CD" w:rsidRDefault="003C5877" w:rsidP="007858CD">
            <w:pPr>
              <w:pStyle w:val="Default"/>
              <w:rPr>
                <w:color w:val="auto"/>
                <w:sz w:val="20"/>
                <w:szCs w:val="20"/>
              </w:rPr>
            </w:pPr>
            <w:r w:rsidRPr="007858CD">
              <w:rPr>
                <w:b/>
                <w:bCs/>
                <w:color w:val="auto"/>
                <w:sz w:val="20"/>
                <w:szCs w:val="20"/>
              </w:rPr>
              <w:t xml:space="preserve">Sub-Programme </w:t>
            </w:r>
          </w:p>
        </w:tc>
        <w:tc>
          <w:tcPr>
            <w:tcW w:w="2192" w:type="dxa"/>
            <w:shd w:val="clear" w:color="auto" w:fill="BFBFBF" w:themeFill="background1" w:themeFillShade="BF"/>
          </w:tcPr>
          <w:p w:rsidR="003C5877" w:rsidRPr="007858CD" w:rsidRDefault="003C5877" w:rsidP="007858CD">
            <w:pPr>
              <w:pStyle w:val="Default"/>
              <w:rPr>
                <w:color w:val="auto"/>
                <w:sz w:val="20"/>
                <w:szCs w:val="20"/>
              </w:rPr>
            </w:pPr>
            <w:r w:rsidRPr="007858CD">
              <w:rPr>
                <w:b/>
                <w:bCs/>
                <w:color w:val="auto"/>
                <w:sz w:val="20"/>
                <w:szCs w:val="20"/>
              </w:rPr>
              <w:t>202</w:t>
            </w:r>
            <w:r w:rsidR="00D0650D" w:rsidRPr="007858CD">
              <w:rPr>
                <w:b/>
                <w:bCs/>
                <w:color w:val="auto"/>
                <w:sz w:val="20"/>
                <w:szCs w:val="20"/>
              </w:rPr>
              <w:t>2/23</w:t>
            </w:r>
          </w:p>
        </w:tc>
      </w:tr>
      <w:tr w:rsidR="00DE4BA7" w:rsidRPr="007858CD" w:rsidTr="004600AE">
        <w:trPr>
          <w:trHeight w:val="113"/>
        </w:trPr>
        <w:tc>
          <w:tcPr>
            <w:tcW w:w="6933" w:type="dxa"/>
          </w:tcPr>
          <w:p w:rsidR="003C5877" w:rsidRPr="007858CD" w:rsidRDefault="003C5877" w:rsidP="007858CD">
            <w:pPr>
              <w:pStyle w:val="Default"/>
              <w:rPr>
                <w:color w:val="auto"/>
                <w:sz w:val="20"/>
                <w:szCs w:val="20"/>
              </w:rPr>
            </w:pPr>
            <w:r w:rsidRPr="007858CD">
              <w:rPr>
                <w:b/>
                <w:bCs/>
                <w:color w:val="auto"/>
                <w:sz w:val="20"/>
                <w:szCs w:val="20"/>
              </w:rPr>
              <w:t xml:space="preserve">Management: </w:t>
            </w:r>
            <w:r w:rsidR="005B4379" w:rsidRPr="007858CD">
              <w:rPr>
                <w:b/>
                <w:bCs/>
                <w:color w:val="auto"/>
                <w:sz w:val="20"/>
                <w:szCs w:val="20"/>
              </w:rPr>
              <w:t xml:space="preserve">Advocacy and Mainstreaming for the Rights of Women </w:t>
            </w:r>
            <w:r w:rsidRPr="007858CD">
              <w:rPr>
                <w:b/>
                <w:bCs/>
                <w:color w:val="auto"/>
                <w:sz w:val="20"/>
                <w:szCs w:val="20"/>
              </w:rPr>
              <w:t xml:space="preserve"> </w:t>
            </w:r>
          </w:p>
        </w:tc>
        <w:tc>
          <w:tcPr>
            <w:tcW w:w="2192" w:type="dxa"/>
          </w:tcPr>
          <w:p w:rsidR="003C5877" w:rsidRPr="007858CD" w:rsidRDefault="003C5877" w:rsidP="007858CD">
            <w:pPr>
              <w:pStyle w:val="Default"/>
              <w:rPr>
                <w:color w:val="auto"/>
                <w:sz w:val="20"/>
                <w:szCs w:val="20"/>
              </w:rPr>
            </w:pPr>
            <w:r w:rsidRPr="007858CD">
              <w:rPr>
                <w:color w:val="auto"/>
                <w:sz w:val="20"/>
                <w:szCs w:val="20"/>
              </w:rPr>
              <w:t xml:space="preserve">R </w:t>
            </w:r>
            <w:r w:rsidR="005B4379" w:rsidRPr="007858CD">
              <w:rPr>
                <w:color w:val="auto"/>
                <w:sz w:val="20"/>
                <w:szCs w:val="20"/>
              </w:rPr>
              <w:t>5 761m</w:t>
            </w:r>
          </w:p>
        </w:tc>
      </w:tr>
      <w:tr w:rsidR="00DE4BA7" w:rsidRPr="007858CD" w:rsidTr="004600AE">
        <w:trPr>
          <w:trHeight w:val="361"/>
        </w:trPr>
        <w:tc>
          <w:tcPr>
            <w:tcW w:w="6933" w:type="dxa"/>
          </w:tcPr>
          <w:p w:rsidR="003C5877" w:rsidRPr="007858CD" w:rsidRDefault="003C5877" w:rsidP="007858CD">
            <w:pPr>
              <w:pStyle w:val="Default"/>
              <w:rPr>
                <w:color w:val="auto"/>
                <w:sz w:val="20"/>
                <w:szCs w:val="20"/>
              </w:rPr>
            </w:pPr>
            <w:r w:rsidRPr="007858CD">
              <w:rPr>
                <w:b/>
                <w:bCs/>
                <w:color w:val="auto"/>
                <w:sz w:val="20"/>
                <w:szCs w:val="20"/>
              </w:rPr>
              <w:t xml:space="preserve">Social Empowerment </w:t>
            </w:r>
            <w:r w:rsidR="004600AE" w:rsidRPr="007858CD">
              <w:rPr>
                <w:b/>
                <w:bCs/>
                <w:color w:val="auto"/>
                <w:sz w:val="20"/>
                <w:szCs w:val="20"/>
              </w:rPr>
              <w:t xml:space="preserve">of Women </w:t>
            </w:r>
          </w:p>
        </w:tc>
        <w:tc>
          <w:tcPr>
            <w:tcW w:w="2192" w:type="dxa"/>
          </w:tcPr>
          <w:p w:rsidR="003C5877" w:rsidRPr="007858CD" w:rsidRDefault="003C5877" w:rsidP="007858CD">
            <w:pPr>
              <w:pStyle w:val="Default"/>
              <w:rPr>
                <w:color w:val="auto"/>
                <w:sz w:val="20"/>
                <w:szCs w:val="20"/>
              </w:rPr>
            </w:pPr>
            <w:r w:rsidRPr="007858CD">
              <w:rPr>
                <w:color w:val="auto"/>
                <w:sz w:val="20"/>
                <w:szCs w:val="20"/>
              </w:rPr>
              <w:t xml:space="preserve">R </w:t>
            </w:r>
            <w:r w:rsidR="005B4379" w:rsidRPr="007858CD">
              <w:rPr>
                <w:color w:val="auto"/>
                <w:sz w:val="20"/>
                <w:szCs w:val="20"/>
              </w:rPr>
              <w:t>22 993m</w:t>
            </w:r>
          </w:p>
        </w:tc>
      </w:tr>
      <w:tr w:rsidR="00DE4BA7" w:rsidRPr="007858CD" w:rsidTr="004600AE">
        <w:trPr>
          <w:trHeight w:val="361"/>
        </w:trPr>
        <w:tc>
          <w:tcPr>
            <w:tcW w:w="6933" w:type="dxa"/>
          </w:tcPr>
          <w:p w:rsidR="003C5877" w:rsidRPr="007858CD" w:rsidRDefault="003C5877" w:rsidP="007858CD">
            <w:pPr>
              <w:pStyle w:val="Default"/>
              <w:rPr>
                <w:color w:val="auto"/>
                <w:sz w:val="20"/>
                <w:szCs w:val="20"/>
              </w:rPr>
            </w:pPr>
            <w:r w:rsidRPr="007858CD">
              <w:rPr>
                <w:b/>
                <w:bCs/>
                <w:color w:val="auto"/>
                <w:sz w:val="20"/>
                <w:szCs w:val="20"/>
              </w:rPr>
              <w:t xml:space="preserve">Economic Empowerment </w:t>
            </w:r>
            <w:r w:rsidR="004600AE" w:rsidRPr="007858CD">
              <w:rPr>
                <w:b/>
                <w:bCs/>
                <w:color w:val="auto"/>
                <w:sz w:val="20"/>
                <w:szCs w:val="20"/>
              </w:rPr>
              <w:t xml:space="preserve">of Women </w:t>
            </w:r>
          </w:p>
        </w:tc>
        <w:tc>
          <w:tcPr>
            <w:tcW w:w="2192" w:type="dxa"/>
          </w:tcPr>
          <w:p w:rsidR="003C5877" w:rsidRPr="007858CD" w:rsidRDefault="003C5877" w:rsidP="007858CD">
            <w:pPr>
              <w:pStyle w:val="Default"/>
              <w:rPr>
                <w:color w:val="auto"/>
                <w:sz w:val="20"/>
                <w:szCs w:val="20"/>
              </w:rPr>
            </w:pPr>
            <w:r w:rsidRPr="007858CD">
              <w:rPr>
                <w:color w:val="auto"/>
                <w:sz w:val="20"/>
                <w:szCs w:val="20"/>
              </w:rPr>
              <w:t>R</w:t>
            </w:r>
            <w:r w:rsidR="00DF6A98" w:rsidRPr="007858CD">
              <w:rPr>
                <w:color w:val="auto"/>
                <w:sz w:val="20"/>
                <w:szCs w:val="20"/>
              </w:rPr>
              <w:t xml:space="preserve"> </w:t>
            </w:r>
            <w:r w:rsidR="004600AE" w:rsidRPr="007858CD">
              <w:rPr>
                <w:color w:val="auto"/>
                <w:sz w:val="20"/>
                <w:szCs w:val="20"/>
              </w:rPr>
              <w:t>4 797m</w:t>
            </w:r>
          </w:p>
        </w:tc>
      </w:tr>
      <w:tr w:rsidR="00DE4BA7" w:rsidRPr="007858CD" w:rsidTr="004600AE">
        <w:trPr>
          <w:trHeight w:val="361"/>
        </w:trPr>
        <w:tc>
          <w:tcPr>
            <w:tcW w:w="6933" w:type="dxa"/>
            <w:shd w:val="clear" w:color="auto" w:fill="BFBFBF" w:themeFill="background1" w:themeFillShade="BF"/>
          </w:tcPr>
          <w:p w:rsidR="003C5877" w:rsidRPr="007858CD" w:rsidRDefault="003C5877" w:rsidP="007858CD">
            <w:pPr>
              <w:pStyle w:val="Default"/>
              <w:rPr>
                <w:color w:val="auto"/>
                <w:sz w:val="20"/>
                <w:szCs w:val="20"/>
              </w:rPr>
            </w:pPr>
            <w:r w:rsidRPr="007858CD">
              <w:rPr>
                <w:b/>
                <w:bCs/>
                <w:color w:val="auto"/>
                <w:sz w:val="20"/>
                <w:szCs w:val="20"/>
              </w:rPr>
              <w:t xml:space="preserve">TOTAL </w:t>
            </w:r>
          </w:p>
        </w:tc>
        <w:tc>
          <w:tcPr>
            <w:tcW w:w="2192" w:type="dxa"/>
            <w:shd w:val="clear" w:color="auto" w:fill="BFBFBF" w:themeFill="background1" w:themeFillShade="BF"/>
          </w:tcPr>
          <w:p w:rsidR="003C5877" w:rsidRPr="007858CD" w:rsidRDefault="003C5877" w:rsidP="007858CD">
            <w:pPr>
              <w:pStyle w:val="Default"/>
              <w:rPr>
                <w:color w:val="auto"/>
                <w:sz w:val="20"/>
                <w:szCs w:val="20"/>
              </w:rPr>
            </w:pPr>
            <w:r w:rsidRPr="007858CD">
              <w:rPr>
                <w:b/>
                <w:bCs/>
                <w:color w:val="auto"/>
                <w:sz w:val="20"/>
                <w:szCs w:val="20"/>
              </w:rPr>
              <w:t>R</w:t>
            </w:r>
            <w:r w:rsidR="004600AE" w:rsidRPr="007858CD">
              <w:rPr>
                <w:b/>
                <w:bCs/>
                <w:color w:val="auto"/>
                <w:sz w:val="20"/>
                <w:szCs w:val="20"/>
              </w:rPr>
              <w:t>33 551</w:t>
            </w:r>
            <w:r w:rsidRPr="007858CD">
              <w:rPr>
                <w:b/>
                <w:bCs/>
                <w:color w:val="auto"/>
                <w:sz w:val="20"/>
                <w:szCs w:val="20"/>
              </w:rPr>
              <w:t xml:space="preserve"> </w:t>
            </w:r>
            <w:r w:rsidR="00D0650D" w:rsidRPr="007858CD">
              <w:rPr>
                <w:b/>
                <w:bCs/>
                <w:color w:val="auto"/>
                <w:sz w:val="20"/>
                <w:szCs w:val="20"/>
              </w:rPr>
              <w:t>mi</w:t>
            </w:r>
            <w:r w:rsidRPr="007858CD">
              <w:rPr>
                <w:b/>
                <w:bCs/>
                <w:color w:val="auto"/>
                <w:sz w:val="20"/>
                <w:szCs w:val="20"/>
              </w:rPr>
              <w:t>llion</w:t>
            </w:r>
          </w:p>
        </w:tc>
      </w:tr>
      <w:tr w:rsidR="00DE4BA7" w:rsidRPr="007858CD" w:rsidTr="004600AE">
        <w:trPr>
          <w:trHeight w:val="361"/>
        </w:trPr>
        <w:tc>
          <w:tcPr>
            <w:tcW w:w="6933" w:type="dxa"/>
            <w:shd w:val="clear" w:color="auto" w:fill="BFBFBF" w:themeFill="background1" w:themeFillShade="BF"/>
          </w:tcPr>
          <w:p w:rsidR="00DF6A98" w:rsidRPr="007858CD" w:rsidRDefault="00DF6A98" w:rsidP="007858CD">
            <w:pPr>
              <w:pStyle w:val="Default"/>
              <w:rPr>
                <w:b/>
                <w:bCs/>
                <w:color w:val="auto"/>
                <w:sz w:val="20"/>
                <w:szCs w:val="20"/>
              </w:rPr>
            </w:pPr>
            <w:r w:rsidRPr="007858CD">
              <w:rPr>
                <w:b/>
                <w:bCs/>
                <w:color w:val="auto"/>
                <w:sz w:val="20"/>
                <w:szCs w:val="20"/>
              </w:rPr>
              <w:t>Compensation of Employees</w:t>
            </w:r>
          </w:p>
        </w:tc>
        <w:tc>
          <w:tcPr>
            <w:tcW w:w="2192" w:type="dxa"/>
            <w:shd w:val="clear" w:color="auto" w:fill="BFBFBF" w:themeFill="background1" w:themeFillShade="BF"/>
          </w:tcPr>
          <w:p w:rsidR="00DF6A98" w:rsidRPr="007858CD" w:rsidRDefault="00DF6A98" w:rsidP="007858CD">
            <w:pPr>
              <w:pStyle w:val="Default"/>
              <w:rPr>
                <w:b/>
                <w:bCs/>
                <w:color w:val="auto"/>
                <w:sz w:val="20"/>
                <w:szCs w:val="20"/>
              </w:rPr>
            </w:pPr>
            <w:r w:rsidRPr="007858CD">
              <w:rPr>
                <w:b/>
                <w:bCs/>
                <w:color w:val="auto"/>
                <w:sz w:val="20"/>
                <w:szCs w:val="20"/>
              </w:rPr>
              <w:t xml:space="preserve">R </w:t>
            </w:r>
            <w:r w:rsidR="004600AE" w:rsidRPr="007858CD">
              <w:rPr>
                <w:b/>
                <w:bCs/>
                <w:color w:val="auto"/>
                <w:sz w:val="20"/>
                <w:szCs w:val="20"/>
              </w:rPr>
              <w:t xml:space="preserve">15 282m </w:t>
            </w:r>
            <w:r w:rsidRPr="007858CD">
              <w:rPr>
                <w:b/>
                <w:bCs/>
                <w:color w:val="auto"/>
                <w:sz w:val="20"/>
                <w:szCs w:val="20"/>
              </w:rPr>
              <w:t>(</w:t>
            </w:r>
            <w:r w:rsidR="004600AE" w:rsidRPr="007858CD">
              <w:rPr>
                <w:b/>
                <w:bCs/>
                <w:color w:val="auto"/>
                <w:sz w:val="20"/>
                <w:szCs w:val="20"/>
              </w:rPr>
              <w:t>46</w:t>
            </w:r>
            <w:r w:rsidRPr="007858CD">
              <w:rPr>
                <w:b/>
                <w:bCs/>
                <w:color w:val="auto"/>
                <w:sz w:val="20"/>
                <w:szCs w:val="20"/>
              </w:rPr>
              <w:t>%)</w:t>
            </w:r>
          </w:p>
        </w:tc>
      </w:tr>
      <w:tr w:rsidR="00DE4BA7" w:rsidRPr="007858CD" w:rsidTr="004600AE">
        <w:trPr>
          <w:trHeight w:val="361"/>
        </w:trPr>
        <w:tc>
          <w:tcPr>
            <w:tcW w:w="6933" w:type="dxa"/>
            <w:shd w:val="clear" w:color="auto" w:fill="BFBFBF" w:themeFill="background1" w:themeFillShade="BF"/>
          </w:tcPr>
          <w:p w:rsidR="00DF6A98" w:rsidRPr="007858CD" w:rsidRDefault="00DF6A98" w:rsidP="007858CD">
            <w:pPr>
              <w:pStyle w:val="Default"/>
              <w:rPr>
                <w:b/>
                <w:bCs/>
                <w:color w:val="auto"/>
                <w:sz w:val="20"/>
                <w:szCs w:val="20"/>
              </w:rPr>
            </w:pPr>
            <w:r w:rsidRPr="007858CD">
              <w:rPr>
                <w:b/>
                <w:bCs/>
                <w:color w:val="auto"/>
                <w:sz w:val="20"/>
                <w:szCs w:val="20"/>
              </w:rPr>
              <w:t>Goods and services</w:t>
            </w:r>
          </w:p>
        </w:tc>
        <w:tc>
          <w:tcPr>
            <w:tcW w:w="2192" w:type="dxa"/>
            <w:shd w:val="clear" w:color="auto" w:fill="BFBFBF" w:themeFill="background1" w:themeFillShade="BF"/>
          </w:tcPr>
          <w:p w:rsidR="00DF6A98" w:rsidRPr="007858CD" w:rsidRDefault="00DF6A98" w:rsidP="007858CD">
            <w:pPr>
              <w:pStyle w:val="Default"/>
              <w:rPr>
                <w:b/>
                <w:bCs/>
                <w:color w:val="auto"/>
                <w:sz w:val="20"/>
                <w:szCs w:val="20"/>
              </w:rPr>
            </w:pPr>
            <w:r w:rsidRPr="007858CD">
              <w:rPr>
                <w:b/>
                <w:bCs/>
                <w:color w:val="auto"/>
                <w:sz w:val="20"/>
                <w:szCs w:val="20"/>
              </w:rPr>
              <w:t>R</w:t>
            </w:r>
            <w:r w:rsidR="004600AE" w:rsidRPr="007858CD">
              <w:rPr>
                <w:b/>
                <w:bCs/>
                <w:color w:val="auto"/>
                <w:sz w:val="20"/>
                <w:szCs w:val="20"/>
              </w:rPr>
              <w:t>17 787m</w:t>
            </w:r>
            <w:r w:rsidRPr="007858CD">
              <w:rPr>
                <w:b/>
                <w:bCs/>
                <w:color w:val="auto"/>
                <w:sz w:val="20"/>
                <w:szCs w:val="20"/>
              </w:rPr>
              <w:t xml:space="preserve"> (</w:t>
            </w:r>
            <w:r w:rsidR="004600AE" w:rsidRPr="007858CD">
              <w:rPr>
                <w:b/>
                <w:bCs/>
                <w:color w:val="auto"/>
                <w:sz w:val="20"/>
                <w:szCs w:val="20"/>
              </w:rPr>
              <w:t>54.3</w:t>
            </w:r>
            <w:r w:rsidRPr="007858CD">
              <w:rPr>
                <w:b/>
                <w:bCs/>
                <w:color w:val="auto"/>
                <w:sz w:val="20"/>
                <w:szCs w:val="20"/>
              </w:rPr>
              <w:t>%)</w:t>
            </w:r>
          </w:p>
        </w:tc>
      </w:tr>
    </w:tbl>
    <w:p w:rsidR="003C5275" w:rsidRPr="007858CD" w:rsidRDefault="003C5275" w:rsidP="007858CD">
      <w:pPr>
        <w:rPr>
          <w:rFonts w:cs="Arial"/>
          <w:color w:val="auto"/>
          <w:sz w:val="20"/>
          <w:szCs w:val="20"/>
          <w:lang w:val="en-US"/>
        </w:rPr>
      </w:pPr>
    </w:p>
    <w:p w:rsidR="00A23655" w:rsidRPr="007858CD" w:rsidRDefault="005B4379" w:rsidP="007858CD">
      <w:pPr>
        <w:rPr>
          <w:rFonts w:cs="Arial"/>
          <w:color w:val="auto"/>
          <w:sz w:val="20"/>
          <w:szCs w:val="20"/>
          <w:lang w:val="en-US"/>
        </w:rPr>
      </w:pPr>
      <w:r w:rsidRPr="007858CD">
        <w:rPr>
          <w:rFonts w:cs="Arial"/>
          <w:color w:val="auto"/>
          <w:sz w:val="20"/>
          <w:szCs w:val="20"/>
          <w:lang w:val="en-US"/>
        </w:rPr>
        <w:t>The total programme allocation is R134 273 million which is inclusive of the transfer payment of R100 722 million to the Commission for Gender Equality (CGE), leaving the programme with an operating budget of R33 551 million. On closer examination, t</w:t>
      </w:r>
      <w:r w:rsidR="00A23655" w:rsidRPr="007858CD">
        <w:rPr>
          <w:rFonts w:cs="Arial"/>
          <w:color w:val="auto"/>
          <w:sz w:val="20"/>
          <w:szCs w:val="20"/>
          <w:lang w:val="en-US"/>
        </w:rPr>
        <w:t xml:space="preserve">his programme’s </w:t>
      </w:r>
      <w:r w:rsidRPr="007858CD">
        <w:rPr>
          <w:rFonts w:cs="Arial"/>
          <w:color w:val="auto"/>
          <w:sz w:val="20"/>
          <w:szCs w:val="20"/>
          <w:lang w:val="en-US"/>
        </w:rPr>
        <w:t xml:space="preserve">operating </w:t>
      </w:r>
      <w:r w:rsidR="00A23655" w:rsidRPr="007858CD">
        <w:rPr>
          <w:rFonts w:cs="Arial"/>
          <w:color w:val="auto"/>
          <w:sz w:val="20"/>
          <w:szCs w:val="20"/>
          <w:lang w:val="en-US"/>
        </w:rPr>
        <w:t xml:space="preserve">budget </w:t>
      </w:r>
      <w:r w:rsidRPr="007858CD">
        <w:rPr>
          <w:rFonts w:cs="Arial"/>
          <w:color w:val="auto"/>
          <w:sz w:val="20"/>
          <w:szCs w:val="20"/>
          <w:lang w:val="en-US"/>
        </w:rPr>
        <w:t>increased</w:t>
      </w:r>
      <w:r w:rsidR="00A23655" w:rsidRPr="007858CD">
        <w:rPr>
          <w:rFonts w:cs="Arial"/>
          <w:color w:val="auto"/>
          <w:sz w:val="20"/>
          <w:szCs w:val="20"/>
          <w:lang w:val="en-US"/>
        </w:rPr>
        <w:t xml:space="preserve"> </w:t>
      </w:r>
      <w:r w:rsidRPr="007858CD">
        <w:rPr>
          <w:rFonts w:cs="Arial"/>
          <w:color w:val="auto"/>
          <w:sz w:val="20"/>
          <w:szCs w:val="20"/>
          <w:lang w:val="en-US"/>
        </w:rPr>
        <w:t>from R27 million in 2021/22 to R33.6 million in 2022/23. However, the Real Rand change was only R5.2 million (19.09% increase).</w:t>
      </w:r>
      <w:r w:rsidR="00612C34" w:rsidRPr="007858CD">
        <w:rPr>
          <w:rStyle w:val="FootnoteReference"/>
          <w:rFonts w:cs="Arial"/>
          <w:color w:val="auto"/>
          <w:sz w:val="20"/>
          <w:szCs w:val="20"/>
          <w:lang w:val="en-US"/>
        </w:rPr>
        <w:footnoteReference w:id="13"/>
      </w:r>
      <w:r w:rsidR="00A23655" w:rsidRPr="007858CD">
        <w:rPr>
          <w:rFonts w:cs="Arial"/>
          <w:color w:val="auto"/>
          <w:sz w:val="20"/>
          <w:szCs w:val="20"/>
          <w:lang w:val="en-US"/>
        </w:rPr>
        <w:t xml:space="preserve"> </w:t>
      </w:r>
    </w:p>
    <w:p w:rsidR="00A23655" w:rsidRPr="007858CD" w:rsidRDefault="00A23655" w:rsidP="007858CD">
      <w:pPr>
        <w:rPr>
          <w:rFonts w:cs="Arial"/>
          <w:color w:val="auto"/>
          <w:sz w:val="20"/>
          <w:szCs w:val="20"/>
          <w:lang w:val="en-US"/>
        </w:rPr>
      </w:pPr>
    </w:p>
    <w:p w:rsidR="003C5275" w:rsidRPr="007858CD" w:rsidRDefault="004600AE" w:rsidP="007858CD">
      <w:pPr>
        <w:rPr>
          <w:rFonts w:cs="Arial"/>
          <w:color w:val="auto"/>
          <w:sz w:val="20"/>
          <w:szCs w:val="20"/>
        </w:rPr>
      </w:pPr>
      <w:r w:rsidRPr="007858CD">
        <w:rPr>
          <w:rFonts w:cs="Arial"/>
          <w:color w:val="auto"/>
          <w:sz w:val="20"/>
          <w:szCs w:val="20"/>
        </w:rPr>
        <w:t xml:space="preserve">From the operating budget of R33 551 million, </w:t>
      </w:r>
      <w:r w:rsidR="003C5275" w:rsidRPr="007858CD">
        <w:rPr>
          <w:rFonts w:cs="Arial"/>
          <w:color w:val="auto"/>
          <w:sz w:val="20"/>
          <w:szCs w:val="20"/>
        </w:rPr>
        <w:t>R</w:t>
      </w:r>
      <w:r w:rsidRPr="007858CD">
        <w:rPr>
          <w:rFonts w:cs="Arial"/>
          <w:color w:val="auto"/>
          <w:sz w:val="20"/>
          <w:szCs w:val="20"/>
        </w:rPr>
        <w:t>15 282</w:t>
      </w:r>
      <w:r w:rsidR="00883452" w:rsidRPr="007858CD">
        <w:rPr>
          <w:rFonts w:cs="Arial"/>
          <w:color w:val="auto"/>
          <w:sz w:val="20"/>
          <w:szCs w:val="20"/>
        </w:rPr>
        <w:t xml:space="preserve"> </w:t>
      </w:r>
      <w:r w:rsidR="008E4F82" w:rsidRPr="007858CD">
        <w:rPr>
          <w:rFonts w:cs="Arial"/>
          <w:color w:val="auto"/>
          <w:sz w:val="20"/>
          <w:szCs w:val="20"/>
        </w:rPr>
        <w:t>million</w:t>
      </w:r>
      <w:r w:rsidR="003C5275" w:rsidRPr="007858CD">
        <w:rPr>
          <w:rFonts w:cs="Arial"/>
          <w:color w:val="auto"/>
          <w:sz w:val="20"/>
          <w:szCs w:val="20"/>
        </w:rPr>
        <w:t xml:space="preserve"> (</w:t>
      </w:r>
      <w:r w:rsidRPr="007858CD">
        <w:rPr>
          <w:rFonts w:cs="Arial"/>
          <w:color w:val="auto"/>
          <w:sz w:val="20"/>
          <w:szCs w:val="20"/>
        </w:rPr>
        <w:t>46</w:t>
      </w:r>
      <w:r w:rsidR="00DF6A98" w:rsidRPr="007858CD">
        <w:rPr>
          <w:rFonts w:cs="Arial"/>
          <w:color w:val="auto"/>
          <w:sz w:val="20"/>
          <w:szCs w:val="20"/>
        </w:rPr>
        <w:t>%) is for C</w:t>
      </w:r>
      <w:r w:rsidR="003C5275" w:rsidRPr="007858CD">
        <w:rPr>
          <w:rFonts w:cs="Arial"/>
          <w:color w:val="auto"/>
          <w:sz w:val="20"/>
          <w:szCs w:val="20"/>
        </w:rPr>
        <w:t>ompens</w:t>
      </w:r>
      <w:r w:rsidR="00DF6A98" w:rsidRPr="007858CD">
        <w:rPr>
          <w:rFonts w:cs="Arial"/>
          <w:color w:val="auto"/>
          <w:sz w:val="20"/>
          <w:szCs w:val="20"/>
        </w:rPr>
        <w:t>ation of E</w:t>
      </w:r>
      <w:r w:rsidR="003C5275" w:rsidRPr="007858CD">
        <w:rPr>
          <w:rFonts w:cs="Arial"/>
          <w:color w:val="auto"/>
          <w:sz w:val="20"/>
          <w:szCs w:val="20"/>
        </w:rPr>
        <w:t>mployees and R</w:t>
      </w:r>
      <w:r w:rsidRPr="007858CD">
        <w:rPr>
          <w:rFonts w:cs="Arial"/>
          <w:color w:val="auto"/>
          <w:sz w:val="20"/>
          <w:szCs w:val="20"/>
        </w:rPr>
        <w:t>17 787</w:t>
      </w:r>
      <w:r w:rsidR="00883452" w:rsidRPr="007858CD">
        <w:rPr>
          <w:rFonts w:cs="Arial"/>
          <w:color w:val="auto"/>
          <w:sz w:val="20"/>
          <w:szCs w:val="20"/>
        </w:rPr>
        <w:t xml:space="preserve"> </w:t>
      </w:r>
      <w:r w:rsidR="003C5275" w:rsidRPr="007858CD">
        <w:rPr>
          <w:rFonts w:cs="Arial"/>
          <w:color w:val="auto"/>
          <w:sz w:val="20"/>
          <w:szCs w:val="20"/>
        </w:rPr>
        <w:t>million</w:t>
      </w:r>
      <w:r w:rsidR="0022579A" w:rsidRPr="007858CD">
        <w:rPr>
          <w:rFonts w:cs="Arial"/>
          <w:color w:val="auto"/>
          <w:sz w:val="20"/>
          <w:szCs w:val="20"/>
        </w:rPr>
        <w:t xml:space="preserve"> (</w:t>
      </w:r>
      <w:r w:rsidRPr="007858CD">
        <w:rPr>
          <w:rFonts w:cs="Arial"/>
          <w:color w:val="auto"/>
          <w:sz w:val="20"/>
          <w:szCs w:val="20"/>
        </w:rPr>
        <w:t>54.3</w:t>
      </w:r>
      <w:r w:rsidR="0022579A" w:rsidRPr="007858CD">
        <w:rPr>
          <w:rFonts w:cs="Arial"/>
          <w:color w:val="auto"/>
          <w:sz w:val="20"/>
          <w:szCs w:val="20"/>
        </w:rPr>
        <w:t>%)</w:t>
      </w:r>
      <w:r w:rsidR="00DF6A98" w:rsidRPr="007858CD">
        <w:rPr>
          <w:rFonts w:cs="Arial"/>
          <w:color w:val="auto"/>
          <w:sz w:val="20"/>
          <w:szCs w:val="20"/>
        </w:rPr>
        <w:t xml:space="preserve"> will go towards G</w:t>
      </w:r>
      <w:r w:rsidR="003C5275" w:rsidRPr="007858CD">
        <w:rPr>
          <w:rFonts w:cs="Arial"/>
          <w:color w:val="auto"/>
          <w:sz w:val="20"/>
          <w:szCs w:val="20"/>
        </w:rPr>
        <w:t xml:space="preserve">oods and services. </w:t>
      </w:r>
      <w:r w:rsidR="00DF6A98" w:rsidRPr="007858CD">
        <w:rPr>
          <w:rFonts w:cs="Arial"/>
          <w:color w:val="auto"/>
          <w:sz w:val="20"/>
          <w:szCs w:val="20"/>
        </w:rPr>
        <w:t xml:space="preserve">This programme consumes </w:t>
      </w:r>
      <w:r w:rsidRPr="007858CD">
        <w:rPr>
          <w:rFonts w:cs="Arial"/>
          <w:color w:val="auto"/>
          <w:sz w:val="20"/>
          <w:szCs w:val="20"/>
        </w:rPr>
        <w:t>16.3</w:t>
      </w:r>
      <w:r w:rsidR="00DF6A98" w:rsidRPr="007858CD">
        <w:rPr>
          <w:rFonts w:cs="Arial"/>
          <w:color w:val="auto"/>
          <w:sz w:val="20"/>
          <w:szCs w:val="20"/>
        </w:rPr>
        <w:t>% of the Department’s operational budget. The main cost driver under G</w:t>
      </w:r>
      <w:r w:rsidR="003C5275" w:rsidRPr="007858CD">
        <w:rPr>
          <w:rFonts w:cs="Arial"/>
          <w:color w:val="auto"/>
          <w:sz w:val="20"/>
          <w:szCs w:val="20"/>
        </w:rPr>
        <w:t xml:space="preserve">oods and services is </w:t>
      </w:r>
      <w:r w:rsidR="00DF6A98" w:rsidRPr="007858CD">
        <w:rPr>
          <w:rFonts w:cs="Arial"/>
          <w:color w:val="auto"/>
          <w:sz w:val="20"/>
          <w:szCs w:val="20"/>
        </w:rPr>
        <w:t>Consultants: Business and advisory services at R</w:t>
      </w:r>
      <w:r w:rsidRPr="007858CD">
        <w:rPr>
          <w:rFonts w:cs="Arial"/>
          <w:color w:val="auto"/>
          <w:sz w:val="20"/>
          <w:szCs w:val="20"/>
        </w:rPr>
        <w:t>8.7</w:t>
      </w:r>
      <w:r w:rsidR="00DF6A98" w:rsidRPr="007858CD">
        <w:rPr>
          <w:rFonts w:cs="Arial"/>
          <w:color w:val="auto"/>
          <w:sz w:val="20"/>
          <w:szCs w:val="20"/>
        </w:rPr>
        <w:t xml:space="preserve"> million (</w:t>
      </w:r>
      <w:r w:rsidRPr="007858CD">
        <w:rPr>
          <w:rFonts w:cs="Arial"/>
          <w:color w:val="auto"/>
          <w:sz w:val="20"/>
          <w:szCs w:val="20"/>
        </w:rPr>
        <w:t>49</w:t>
      </w:r>
      <w:r w:rsidR="00DF6A98" w:rsidRPr="007858CD">
        <w:rPr>
          <w:rFonts w:cs="Arial"/>
          <w:color w:val="auto"/>
          <w:sz w:val="20"/>
          <w:szCs w:val="20"/>
        </w:rPr>
        <w:t>%</w:t>
      </w:r>
      <w:r w:rsidRPr="007858CD">
        <w:rPr>
          <w:rFonts w:cs="Arial"/>
          <w:color w:val="auto"/>
          <w:sz w:val="20"/>
          <w:szCs w:val="20"/>
        </w:rPr>
        <w:t xml:space="preserve"> of G&amp;S allocation</w:t>
      </w:r>
      <w:r w:rsidR="00DF6A98" w:rsidRPr="007858CD">
        <w:rPr>
          <w:rFonts w:cs="Arial"/>
          <w:color w:val="auto"/>
          <w:sz w:val="20"/>
          <w:szCs w:val="20"/>
        </w:rPr>
        <w:t xml:space="preserve">) </w:t>
      </w:r>
      <w:r w:rsidR="008E4F82" w:rsidRPr="007858CD">
        <w:rPr>
          <w:rFonts w:cs="Arial"/>
          <w:color w:val="auto"/>
          <w:sz w:val="20"/>
          <w:szCs w:val="20"/>
        </w:rPr>
        <w:t>as per the Estimates of National Expenditure 20</w:t>
      </w:r>
      <w:r w:rsidR="00883452" w:rsidRPr="007858CD">
        <w:rPr>
          <w:rFonts w:cs="Arial"/>
          <w:color w:val="auto"/>
          <w:sz w:val="20"/>
          <w:szCs w:val="20"/>
        </w:rPr>
        <w:t>2</w:t>
      </w:r>
      <w:r w:rsidR="00D0650D" w:rsidRPr="007858CD">
        <w:rPr>
          <w:rFonts w:cs="Arial"/>
          <w:color w:val="auto"/>
          <w:sz w:val="20"/>
          <w:szCs w:val="20"/>
        </w:rPr>
        <w:t>2</w:t>
      </w:r>
      <w:r w:rsidR="003C5275" w:rsidRPr="007858CD">
        <w:rPr>
          <w:rFonts w:cs="Arial"/>
          <w:color w:val="auto"/>
          <w:sz w:val="20"/>
          <w:szCs w:val="20"/>
        </w:rPr>
        <w:t>.</w:t>
      </w:r>
      <w:r w:rsidR="007C0E53" w:rsidRPr="007858CD">
        <w:rPr>
          <w:rFonts w:cs="Arial"/>
          <w:color w:val="auto"/>
          <w:sz w:val="20"/>
          <w:szCs w:val="20"/>
        </w:rPr>
        <w:t xml:space="preserve"> </w:t>
      </w:r>
      <w:r w:rsidR="00C35B2F" w:rsidRPr="007858CD">
        <w:rPr>
          <w:rFonts w:cs="Arial"/>
          <w:color w:val="auto"/>
          <w:sz w:val="20"/>
          <w:szCs w:val="20"/>
        </w:rPr>
        <w:t>This is a significant increase from the previous financial year 2020/21 when R</w:t>
      </w:r>
      <w:r w:rsidRPr="007858CD">
        <w:rPr>
          <w:rFonts w:cs="Arial"/>
          <w:color w:val="auto"/>
          <w:sz w:val="20"/>
          <w:szCs w:val="20"/>
        </w:rPr>
        <w:t>4.9</w:t>
      </w:r>
      <w:r w:rsidR="00C35B2F" w:rsidRPr="007858CD">
        <w:rPr>
          <w:rFonts w:cs="Arial"/>
          <w:color w:val="auto"/>
          <w:sz w:val="20"/>
          <w:szCs w:val="20"/>
        </w:rPr>
        <w:t xml:space="preserve"> million was allocated. </w:t>
      </w:r>
      <w:r w:rsidR="007C0E53" w:rsidRPr="007858CD">
        <w:rPr>
          <w:rFonts w:cs="Arial"/>
          <w:color w:val="auto"/>
          <w:sz w:val="20"/>
          <w:szCs w:val="20"/>
        </w:rPr>
        <w:t xml:space="preserve">In addition, the other key cost driver under Goods and services is </w:t>
      </w:r>
      <w:r w:rsidR="00C35B2F" w:rsidRPr="007858CD">
        <w:rPr>
          <w:rFonts w:cs="Arial"/>
          <w:color w:val="auto"/>
          <w:sz w:val="20"/>
          <w:szCs w:val="20"/>
        </w:rPr>
        <w:t>T</w:t>
      </w:r>
      <w:r w:rsidR="00DF6A98" w:rsidRPr="007858CD">
        <w:rPr>
          <w:rFonts w:cs="Arial"/>
          <w:color w:val="auto"/>
          <w:sz w:val="20"/>
          <w:szCs w:val="20"/>
        </w:rPr>
        <w:t>ravel and subsistence, which is allocated R</w:t>
      </w:r>
      <w:r w:rsidRPr="007858CD">
        <w:rPr>
          <w:rFonts w:cs="Arial"/>
          <w:color w:val="auto"/>
          <w:sz w:val="20"/>
          <w:szCs w:val="20"/>
        </w:rPr>
        <w:t>4.6</w:t>
      </w:r>
      <w:r w:rsidR="00DF6A98" w:rsidRPr="007858CD">
        <w:rPr>
          <w:rFonts w:cs="Arial"/>
          <w:color w:val="auto"/>
          <w:sz w:val="20"/>
          <w:szCs w:val="20"/>
        </w:rPr>
        <w:t xml:space="preserve"> million </w:t>
      </w:r>
      <w:r w:rsidR="00D0650D" w:rsidRPr="007858CD">
        <w:rPr>
          <w:rFonts w:cs="Arial"/>
          <w:color w:val="auto"/>
          <w:sz w:val="20"/>
          <w:szCs w:val="20"/>
        </w:rPr>
        <w:t>(</w:t>
      </w:r>
      <w:r w:rsidRPr="007858CD">
        <w:rPr>
          <w:rFonts w:cs="Arial"/>
          <w:color w:val="auto"/>
          <w:sz w:val="20"/>
          <w:szCs w:val="20"/>
        </w:rPr>
        <w:t>26</w:t>
      </w:r>
      <w:r w:rsidR="00C35B2F" w:rsidRPr="007858CD">
        <w:rPr>
          <w:rFonts w:cs="Arial"/>
          <w:color w:val="auto"/>
          <w:sz w:val="20"/>
          <w:szCs w:val="20"/>
        </w:rPr>
        <w:t>%</w:t>
      </w:r>
      <w:r w:rsidRPr="007858CD">
        <w:rPr>
          <w:rFonts w:cs="Arial"/>
          <w:color w:val="auto"/>
          <w:sz w:val="20"/>
          <w:szCs w:val="20"/>
        </w:rPr>
        <w:t xml:space="preserve"> of G&amp;S allocation</w:t>
      </w:r>
      <w:r w:rsidR="007C0E53" w:rsidRPr="007858CD">
        <w:rPr>
          <w:rFonts w:cs="Arial"/>
          <w:color w:val="auto"/>
          <w:sz w:val="20"/>
          <w:szCs w:val="20"/>
        </w:rPr>
        <w:t>).</w:t>
      </w:r>
    </w:p>
    <w:p w:rsidR="00AC4F74" w:rsidRPr="007858CD" w:rsidRDefault="00AC4F74" w:rsidP="007858CD">
      <w:pPr>
        <w:rPr>
          <w:rFonts w:cs="Arial"/>
          <w:color w:val="auto"/>
          <w:sz w:val="20"/>
          <w:szCs w:val="20"/>
          <w:lang w:val="en-US"/>
        </w:rPr>
      </w:pPr>
    </w:p>
    <w:p w:rsidR="00DF6A98" w:rsidRPr="007858CD" w:rsidRDefault="00DF6A98" w:rsidP="007858CD">
      <w:pPr>
        <w:rPr>
          <w:rFonts w:cs="Arial"/>
          <w:color w:val="auto"/>
          <w:sz w:val="20"/>
          <w:szCs w:val="20"/>
          <w:lang w:val="en-US"/>
        </w:rPr>
      </w:pPr>
      <w:r w:rsidRPr="007858CD">
        <w:rPr>
          <w:rFonts w:cs="Arial"/>
          <w:color w:val="auto"/>
          <w:sz w:val="20"/>
          <w:szCs w:val="20"/>
          <w:lang w:val="en-US"/>
        </w:rPr>
        <w:t>Th</w:t>
      </w:r>
      <w:r w:rsidR="00EF0384" w:rsidRPr="007858CD">
        <w:rPr>
          <w:rFonts w:cs="Arial"/>
          <w:color w:val="auto"/>
          <w:sz w:val="20"/>
          <w:szCs w:val="20"/>
          <w:lang w:val="en-US"/>
        </w:rPr>
        <w:t>is</w:t>
      </w:r>
      <w:r w:rsidRPr="007858CD">
        <w:rPr>
          <w:rFonts w:cs="Arial"/>
          <w:color w:val="auto"/>
          <w:sz w:val="20"/>
          <w:szCs w:val="20"/>
          <w:lang w:val="en-US"/>
        </w:rPr>
        <w:t xml:space="preserve"> programme has </w:t>
      </w:r>
      <w:r w:rsidR="004600AE" w:rsidRPr="007858CD">
        <w:rPr>
          <w:rFonts w:cs="Arial"/>
          <w:color w:val="auto"/>
          <w:sz w:val="20"/>
          <w:szCs w:val="20"/>
          <w:lang w:val="en-US"/>
        </w:rPr>
        <w:t>22</w:t>
      </w:r>
      <w:r w:rsidRPr="007858CD">
        <w:rPr>
          <w:rFonts w:cs="Arial"/>
          <w:color w:val="auto"/>
          <w:sz w:val="20"/>
          <w:szCs w:val="20"/>
          <w:lang w:val="en-US"/>
        </w:rPr>
        <w:t xml:space="preserve"> posts and is earmarked to achieve </w:t>
      </w:r>
      <w:r w:rsidR="004600AE" w:rsidRPr="007858CD">
        <w:rPr>
          <w:rFonts w:cs="Arial"/>
          <w:color w:val="auto"/>
          <w:sz w:val="20"/>
          <w:szCs w:val="20"/>
          <w:lang w:val="en-US"/>
        </w:rPr>
        <w:t>11</w:t>
      </w:r>
      <w:r w:rsidRPr="007858CD">
        <w:rPr>
          <w:rFonts w:cs="Arial"/>
          <w:color w:val="auto"/>
          <w:sz w:val="20"/>
          <w:szCs w:val="20"/>
          <w:lang w:val="en-US"/>
        </w:rPr>
        <w:t xml:space="preserve"> an</w:t>
      </w:r>
      <w:r w:rsidR="00C35B2F" w:rsidRPr="007858CD">
        <w:rPr>
          <w:rFonts w:cs="Arial"/>
          <w:color w:val="auto"/>
          <w:sz w:val="20"/>
          <w:szCs w:val="20"/>
          <w:lang w:val="en-US"/>
        </w:rPr>
        <w:t>nual targets for the current FY as listed below:</w:t>
      </w:r>
    </w:p>
    <w:p w:rsidR="00A23655" w:rsidRPr="007858CD" w:rsidRDefault="00A23655" w:rsidP="007858CD">
      <w:pPr>
        <w:rPr>
          <w:rFonts w:cs="Arial"/>
          <w:color w:val="auto"/>
          <w:sz w:val="20"/>
          <w:szCs w:val="20"/>
          <w:lang w:val="en-US"/>
        </w:rPr>
      </w:pPr>
    </w:p>
    <w:p w:rsidR="00C35B2F" w:rsidRPr="007858CD" w:rsidRDefault="004600AE" w:rsidP="007858CD">
      <w:pPr>
        <w:pStyle w:val="ListParagraph"/>
        <w:numPr>
          <w:ilvl w:val="0"/>
          <w:numId w:val="17"/>
        </w:numPr>
        <w:rPr>
          <w:rFonts w:cs="Arial"/>
          <w:color w:val="auto"/>
          <w:sz w:val="20"/>
          <w:szCs w:val="20"/>
          <w:lang w:val="en-US"/>
        </w:rPr>
      </w:pPr>
      <w:r w:rsidRPr="007858CD">
        <w:rPr>
          <w:rFonts w:cs="Arial"/>
          <w:color w:val="auto"/>
          <w:sz w:val="20"/>
          <w:szCs w:val="20"/>
          <w:lang w:val="en-US"/>
        </w:rPr>
        <w:t>1 research report on the development of a socio-economic index developed</w:t>
      </w:r>
    </w:p>
    <w:p w:rsidR="004600AE" w:rsidRPr="007858CD" w:rsidRDefault="004600AE" w:rsidP="007858CD">
      <w:pPr>
        <w:pStyle w:val="ListParagraph"/>
        <w:numPr>
          <w:ilvl w:val="0"/>
          <w:numId w:val="17"/>
        </w:numPr>
        <w:rPr>
          <w:rFonts w:cs="Arial"/>
          <w:color w:val="auto"/>
          <w:sz w:val="20"/>
          <w:szCs w:val="20"/>
          <w:lang w:val="en-US"/>
        </w:rPr>
      </w:pPr>
      <w:r w:rsidRPr="007858CD">
        <w:rPr>
          <w:rFonts w:cs="Arial"/>
          <w:color w:val="auto"/>
          <w:sz w:val="20"/>
          <w:szCs w:val="20"/>
          <w:lang w:val="en-US"/>
        </w:rPr>
        <w:t>4 interventions to support economic empowerment and participation of WYPD implemented</w:t>
      </w:r>
    </w:p>
    <w:p w:rsidR="004600AE" w:rsidRPr="007858CD" w:rsidRDefault="004600AE" w:rsidP="007858CD">
      <w:pPr>
        <w:pStyle w:val="ListParagraph"/>
        <w:numPr>
          <w:ilvl w:val="0"/>
          <w:numId w:val="17"/>
        </w:numPr>
        <w:rPr>
          <w:rFonts w:cs="Arial"/>
          <w:color w:val="auto"/>
          <w:sz w:val="20"/>
          <w:szCs w:val="20"/>
          <w:lang w:val="en-US"/>
        </w:rPr>
      </w:pPr>
      <w:r w:rsidRPr="007858CD">
        <w:rPr>
          <w:rFonts w:cs="Arial"/>
          <w:color w:val="auto"/>
          <w:sz w:val="20"/>
          <w:szCs w:val="20"/>
          <w:lang w:val="en-US"/>
        </w:rPr>
        <w:t>1 report produced on the development of the WYPD Socio-Economic Empowerment Index</w:t>
      </w:r>
    </w:p>
    <w:p w:rsidR="004600AE" w:rsidRPr="007858CD" w:rsidRDefault="004600AE" w:rsidP="007858CD">
      <w:pPr>
        <w:pStyle w:val="ListParagraph"/>
        <w:numPr>
          <w:ilvl w:val="0"/>
          <w:numId w:val="17"/>
        </w:numPr>
        <w:rPr>
          <w:rFonts w:cs="Arial"/>
          <w:color w:val="auto"/>
          <w:sz w:val="20"/>
          <w:szCs w:val="20"/>
          <w:lang w:val="en-US"/>
        </w:rPr>
      </w:pPr>
      <w:r w:rsidRPr="007858CD">
        <w:rPr>
          <w:rFonts w:cs="Arial"/>
          <w:color w:val="auto"/>
          <w:sz w:val="20"/>
          <w:szCs w:val="20"/>
          <w:lang w:val="en-US"/>
        </w:rPr>
        <w:lastRenderedPageBreak/>
        <w:t xml:space="preserve">4 interventions to support empowerment and participation of women, youth and </w:t>
      </w:r>
      <w:r w:rsidR="008A52CC" w:rsidRPr="007858CD">
        <w:rPr>
          <w:rFonts w:cs="Arial"/>
          <w:color w:val="auto"/>
          <w:sz w:val="20"/>
          <w:szCs w:val="20"/>
          <w:lang w:val="en-US"/>
        </w:rPr>
        <w:t>persons</w:t>
      </w:r>
      <w:r w:rsidRPr="007858CD">
        <w:rPr>
          <w:rFonts w:cs="Arial"/>
          <w:color w:val="auto"/>
          <w:sz w:val="20"/>
          <w:szCs w:val="20"/>
          <w:lang w:val="en-US"/>
        </w:rPr>
        <w:t xml:space="preserve"> with disabilities implemented</w:t>
      </w:r>
    </w:p>
    <w:p w:rsidR="004600AE" w:rsidRPr="007858CD" w:rsidRDefault="008A52CC" w:rsidP="007858CD">
      <w:pPr>
        <w:pStyle w:val="ListParagraph"/>
        <w:numPr>
          <w:ilvl w:val="0"/>
          <w:numId w:val="17"/>
        </w:numPr>
        <w:rPr>
          <w:rFonts w:cs="Arial"/>
          <w:color w:val="auto"/>
          <w:sz w:val="20"/>
          <w:szCs w:val="20"/>
          <w:lang w:val="en-US"/>
        </w:rPr>
      </w:pPr>
      <w:r w:rsidRPr="007858CD">
        <w:rPr>
          <w:rFonts w:cs="Arial"/>
          <w:color w:val="auto"/>
          <w:sz w:val="20"/>
          <w:szCs w:val="20"/>
          <w:lang w:val="en-US"/>
        </w:rPr>
        <w:t>4 Quarterly report on implementation of NSP on GBVF Monitoring Framework developed</w:t>
      </w:r>
    </w:p>
    <w:p w:rsidR="008A52CC" w:rsidRPr="007858CD" w:rsidRDefault="008A52CC" w:rsidP="007858CD">
      <w:pPr>
        <w:pStyle w:val="ListParagraph"/>
        <w:numPr>
          <w:ilvl w:val="0"/>
          <w:numId w:val="17"/>
        </w:numPr>
        <w:rPr>
          <w:rFonts w:cs="Arial"/>
          <w:color w:val="auto"/>
          <w:sz w:val="20"/>
          <w:szCs w:val="20"/>
          <w:lang w:val="en-US"/>
        </w:rPr>
      </w:pPr>
      <w:r w:rsidRPr="007858CD">
        <w:rPr>
          <w:rFonts w:cs="Arial"/>
          <w:color w:val="auto"/>
          <w:sz w:val="20"/>
          <w:szCs w:val="20"/>
          <w:lang w:val="en-US"/>
        </w:rPr>
        <w:t>1 National Departments monitored on implementation of NSP GBVF</w:t>
      </w:r>
    </w:p>
    <w:p w:rsidR="008A52CC" w:rsidRPr="007858CD" w:rsidRDefault="008A52CC" w:rsidP="007858CD">
      <w:pPr>
        <w:pStyle w:val="ListParagraph"/>
        <w:numPr>
          <w:ilvl w:val="0"/>
          <w:numId w:val="17"/>
        </w:numPr>
        <w:rPr>
          <w:rFonts w:cs="Arial"/>
          <w:color w:val="auto"/>
          <w:sz w:val="20"/>
          <w:szCs w:val="20"/>
          <w:lang w:val="en-US"/>
        </w:rPr>
      </w:pPr>
      <w:r w:rsidRPr="007858CD">
        <w:rPr>
          <w:rFonts w:cs="Arial"/>
          <w:color w:val="auto"/>
          <w:sz w:val="20"/>
          <w:szCs w:val="20"/>
          <w:lang w:val="en-US"/>
        </w:rPr>
        <w:t>9 provincial departments and 4 municipalities’ plans monitored on the implementation of NSP GBVF</w:t>
      </w:r>
    </w:p>
    <w:p w:rsidR="008A52CC" w:rsidRPr="007858CD" w:rsidRDefault="008A52CC" w:rsidP="007858CD">
      <w:pPr>
        <w:pStyle w:val="ListParagraph"/>
        <w:numPr>
          <w:ilvl w:val="0"/>
          <w:numId w:val="17"/>
        </w:numPr>
        <w:rPr>
          <w:rFonts w:cs="Arial"/>
          <w:color w:val="auto"/>
          <w:sz w:val="20"/>
          <w:szCs w:val="20"/>
          <w:lang w:val="en-US"/>
        </w:rPr>
      </w:pPr>
      <w:r w:rsidRPr="007858CD">
        <w:rPr>
          <w:rFonts w:cs="Arial"/>
          <w:color w:val="auto"/>
          <w:sz w:val="20"/>
          <w:szCs w:val="20"/>
          <w:lang w:val="en-US"/>
        </w:rPr>
        <w:t>18 Rapid Response Teams established</w:t>
      </w:r>
    </w:p>
    <w:p w:rsidR="008A52CC" w:rsidRPr="007858CD" w:rsidRDefault="008A52CC" w:rsidP="007858CD">
      <w:pPr>
        <w:pStyle w:val="ListParagraph"/>
        <w:numPr>
          <w:ilvl w:val="0"/>
          <w:numId w:val="17"/>
        </w:numPr>
        <w:rPr>
          <w:rFonts w:cs="Arial"/>
          <w:color w:val="auto"/>
          <w:sz w:val="20"/>
          <w:szCs w:val="20"/>
          <w:lang w:val="en-US"/>
        </w:rPr>
      </w:pPr>
      <w:r w:rsidRPr="007858CD">
        <w:rPr>
          <w:rFonts w:cs="Arial"/>
          <w:color w:val="auto"/>
          <w:sz w:val="20"/>
          <w:szCs w:val="20"/>
          <w:lang w:val="en-US"/>
        </w:rPr>
        <w:t>2 Reports on implementation of Comprehensive National GBVF Prevention Strategy developed</w:t>
      </w:r>
    </w:p>
    <w:p w:rsidR="008A52CC" w:rsidRPr="007858CD" w:rsidRDefault="008A52CC" w:rsidP="007858CD">
      <w:pPr>
        <w:pStyle w:val="ListParagraph"/>
        <w:numPr>
          <w:ilvl w:val="0"/>
          <w:numId w:val="17"/>
        </w:numPr>
        <w:rPr>
          <w:rFonts w:cs="Arial"/>
          <w:color w:val="auto"/>
          <w:sz w:val="20"/>
          <w:szCs w:val="20"/>
          <w:lang w:val="en-US"/>
        </w:rPr>
      </w:pPr>
      <w:r w:rsidRPr="007858CD">
        <w:rPr>
          <w:rFonts w:cs="Arial"/>
          <w:color w:val="auto"/>
          <w:sz w:val="20"/>
          <w:szCs w:val="20"/>
          <w:lang w:val="en-US"/>
        </w:rPr>
        <w:t>2 GEYODI machineries convened</w:t>
      </w:r>
    </w:p>
    <w:p w:rsidR="00DF6A98" w:rsidRPr="007858CD" w:rsidRDefault="00DF6A98" w:rsidP="007858CD">
      <w:pPr>
        <w:rPr>
          <w:rFonts w:cs="Arial"/>
          <w:color w:val="auto"/>
          <w:sz w:val="20"/>
          <w:szCs w:val="20"/>
          <w:lang w:val="en-US"/>
        </w:rPr>
      </w:pPr>
    </w:p>
    <w:p w:rsidR="004600AE" w:rsidRPr="007858CD" w:rsidRDefault="004600AE" w:rsidP="007858CD">
      <w:pPr>
        <w:rPr>
          <w:rFonts w:cs="Arial"/>
          <w:color w:val="auto"/>
          <w:sz w:val="20"/>
          <w:szCs w:val="20"/>
          <w:lang w:val="en-US"/>
        </w:rPr>
      </w:pPr>
      <w:r w:rsidRPr="007858CD">
        <w:rPr>
          <w:rFonts w:cs="Arial"/>
          <w:color w:val="auto"/>
          <w:sz w:val="20"/>
          <w:szCs w:val="20"/>
          <w:lang w:val="en-US"/>
        </w:rPr>
        <w:t>This programme has undergone name changes and structural changes to its sub-programmes when compared to the 2021/22 APP.</w:t>
      </w:r>
    </w:p>
    <w:p w:rsidR="00DE4BA7" w:rsidRPr="007858CD" w:rsidRDefault="00DE4BA7" w:rsidP="007858CD">
      <w:pPr>
        <w:rPr>
          <w:rFonts w:cs="Arial"/>
          <w:color w:val="auto"/>
          <w:sz w:val="20"/>
          <w:szCs w:val="20"/>
          <w:lang w:val="en-US"/>
        </w:rPr>
      </w:pPr>
    </w:p>
    <w:p w:rsidR="007E6731" w:rsidRPr="007858CD" w:rsidRDefault="008E4F82" w:rsidP="007858CD">
      <w:pPr>
        <w:pStyle w:val="ListParagraph"/>
        <w:numPr>
          <w:ilvl w:val="1"/>
          <w:numId w:val="37"/>
        </w:numPr>
        <w:rPr>
          <w:rFonts w:cs="Arial"/>
          <w:b/>
          <w:color w:val="auto"/>
          <w:sz w:val="20"/>
          <w:szCs w:val="20"/>
        </w:rPr>
      </w:pPr>
      <w:r w:rsidRPr="007858CD">
        <w:rPr>
          <w:rFonts w:cs="Arial"/>
          <w:b/>
          <w:bCs/>
          <w:color w:val="auto"/>
          <w:sz w:val="20"/>
          <w:szCs w:val="20"/>
        </w:rPr>
        <w:t xml:space="preserve">Programme 3:  </w:t>
      </w:r>
      <w:r w:rsidR="007E6731" w:rsidRPr="007858CD">
        <w:rPr>
          <w:rFonts w:cs="Arial"/>
          <w:b/>
          <w:color w:val="auto"/>
          <w:sz w:val="20"/>
          <w:szCs w:val="20"/>
          <w:lang w:val="en-ZA"/>
        </w:rPr>
        <w:t>Monitoring, Evaluation, Research and Coordination</w:t>
      </w:r>
    </w:p>
    <w:p w:rsidR="007E6731" w:rsidRPr="007858CD" w:rsidRDefault="007E6731" w:rsidP="007858CD">
      <w:pPr>
        <w:ind w:left="720"/>
        <w:rPr>
          <w:rFonts w:cs="Arial"/>
          <w:color w:val="auto"/>
          <w:sz w:val="20"/>
          <w:szCs w:val="20"/>
          <w:lang w:val="en-ZA"/>
        </w:rPr>
      </w:pPr>
    </w:p>
    <w:p w:rsidR="007E6731" w:rsidRPr="007858CD" w:rsidRDefault="007E6731" w:rsidP="007858CD">
      <w:pPr>
        <w:rPr>
          <w:rFonts w:cs="Arial"/>
          <w:color w:val="auto"/>
          <w:sz w:val="20"/>
          <w:szCs w:val="20"/>
          <w:lang w:val="en-ZA"/>
        </w:rPr>
      </w:pPr>
      <w:r w:rsidRPr="007858CD">
        <w:rPr>
          <w:rFonts w:cs="Arial"/>
          <w:color w:val="auto"/>
          <w:sz w:val="20"/>
          <w:szCs w:val="20"/>
          <w:lang w:val="en-ZA"/>
        </w:rPr>
        <w:t>The purpose of this programme is to provide research, knowledge management, international relations, stakeholder management and monitoring and evaluation for women, youth and persons with disabilities. It comprises of four Sub-Programmes namely;</w:t>
      </w:r>
    </w:p>
    <w:p w:rsidR="007E6731" w:rsidRPr="007858CD" w:rsidRDefault="007E6731" w:rsidP="007858CD">
      <w:pPr>
        <w:rPr>
          <w:rFonts w:cs="Arial"/>
          <w:color w:val="auto"/>
          <w:sz w:val="20"/>
          <w:szCs w:val="20"/>
          <w:lang w:val="en-ZA"/>
        </w:rPr>
      </w:pPr>
    </w:p>
    <w:p w:rsidR="007E6731" w:rsidRPr="007858CD" w:rsidRDefault="007E6731" w:rsidP="007858CD">
      <w:pPr>
        <w:numPr>
          <w:ilvl w:val="0"/>
          <w:numId w:val="7"/>
        </w:numPr>
        <w:rPr>
          <w:rFonts w:cs="Arial"/>
          <w:color w:val="auto"/>
          <w:sz w:val="20"/>
          <w:szCs w:val="20"/>
          <w:lang w:val="en-ZA"/>
        </w:rPr>
      </w:pPr>
      <w:r w:rsidRPr="007858CD">
        <w:rPr>
          <w:rFonts w:cs="Arial"/>
          <w:b/>
          <w:bCs/>
          <w:color w:val="auto"/>
          <w:sz w:val="20"/>
          <w:szCs w:val="20"/>
          <w:lang w:val="en-ZA"/>
        </w:rPr>
        <w:t xml:space="preserve">Management: </w:t>
      </w:r>
      <w:r w:rsidRPr="007858CD">
        <w:rPr>
          <w:rFonts w:cs="Arial"/>
          <w:color w:val="auto"/>
          <w:sz w:val="20"/>
          <w:szCs w:val="20"/>
          <w:lang w:val="en-ZA"/>
        </w:rPr>
        <w:t>Monitoring, Evaluation, Research and Coordination: Provides strategic leadership and management to the programme.</w:t>
      </w:r>
    </w:p>
    <w:p w:rsidR="007E6731" w:rsidRPr="007858CD" w:rsidRDefault="007E6731" w:rsidP="007858CD">
      <w:pPr>
        <w:numPr>
          <w:ilvl w:val="0"/>
          <w:numId w:val="7"/>
        </w:numPr>
        <w:rPr>
          <w:rFonts w:cs="Arial"/>
          <w:color w:val="auto"/>
          <w:sz w:val="20"/>
          <w:szCs w:val="20"/>
          <w:lang w:val="en-ZA"/>
        </w:rPr>
      </w:pPr>
      <w:r w:rsidRPr="007858CD">
        <w:rPr>
          <w:rFonts w:cs="Arial"/>
          <w:b/>
          <w:bCs/>
          <w:color w:val="auto"/>
          <w:sz w:val="20"/>
          <w:szCs w:val="20"/>
          <w:lang w:val="en-ZA"/>
        </w:rPr>
        <w:t xml:space="preserve">Research and Knowledge Management </w:t>
      </w:r>
      <w:r w:rsidRPr="007858CD">
        <w:rPr>
          <w:rFonts w:cs="Arial"/>
          <w:color w:val="auto"/>
          <w:sz w:val="20"/>
          <w:szCs w:val="20"/>
          <w:lang w:val="en-ZA"/>
        </w:rPr>
        <w:t>Provides research and knowledge management services on the rights of women, young people and people with disabilities to encourage transformation in their interests.</w:t>
      </w:r>
    </w:p>
    <w:p w:rsidR="007E6731" w:rsidRPr="007858CD" w:rsidRDefault="007E6731" w:rsidP="007858CD">
      <w:pPr>
        <w:numPr>
          <w:ilvl w:val="0"/>
          <w:numId w:val="7"/>
        </w:numPr>
        <w:rPr>
          <w:rFonts w:cs="Arial"/>
          <w:color w:val="auto"/>
          <w:sz w:val="20"/>
          <w:szCs w:val="20"/>
          <w:lang w:val="en-ZA"/>
        </w:rPr>
      </w:pPr>
      <w:r w:rsidRPr="007858CD">
        <w:rPr>
          <w:rFonts w:cs="Arial"/>
          <w:b/>
          <w:bCs/>
          <w:color w:val="auto"/>
          <w:sz w:val="20"/>
          <w:szCs w:val="20"/>
          <w:lang w:val="en-ZA"/>
        </w:rPr>
        <w:t xml:space="preserve">International Relations, Stakeholder Management and Capacity Building: </w:t>
      </w:r>
      <w:r w:rsidRPr="007858CD">
        <w:rPr>
          <w:rFonts w:cs="Arial"/>
          <w:color w:val="auto"/>
          <w:sz w:val="20"/>
          <w:szCs w:val="20"/>
          <w:lang w:val="en-ZA"/>
        </w:rPr>
        <w:t>Manage and coordinates the provision of international relations, stakeholder participation and capacity building for women, young people and persons with disabilities.</w:t>
      </w:r>
    </w:p>
    <w:p w:rsidR="007E6731" w:rsidRPr="007858CD" w:rsidRDefault="007E6731" w:rsidP="007858CD">
      <w:pPr>
        <w:numPr>
          <w:ilvl w:val="0"/>
          <w:numId w:val="7"/>
        </w:numPr>
        <w:rPr>
          <w:rFonts w:cs="Arial"/>
          <w:color w:val="auto"/>
          <w:sz w:val="20"/>
          <w:szCs w:val="20"/>
          <w:lang w:val="en-US"/>
        </w:rPr>
      </w:pPr>
      <w:r w:rsidRPr="007858CD">
        <w:rPr>
          <w:rFonts w:cs="Arial"/>
          <w:b/>
          <w:bCs/>
          <w:color w:val="auto"/>
          <w:sz w:val="20"/>
          <w:szCs w:val="20"/>
          <w:lang w:val="en-ZA"/>
        </w:rPr>
        <w:t xml:space="preserve">Monitoring and Evaluation: </w:t>
      </w:r>
      <w:r w:rsidRPr="007858CD">
        <w:rPr>
          <w:rFonts w:cs="Arial"/>
          <w:b/>
          <w:color w:val="auto"/>
          <w:sz w:val="20"/>
          <w:szCs w:val="20"/>
          <w:lang w:val="en-ZA"/>
        </w:rPr>
        <w:t>Women, Youth and Persons with Disabilities</w:t>
      </w:r>
      <w:r w:rsidRPr="007858CD">
        <w:rPr>
          <w:rFonts w:cs="Arial"/>
          <w:color w:val="auto"/>
          <w:sz w:val="20"/>
          <w:szCs w:val="20"/>
          <w:lang w:val="en-ZA"/>
        </w:rPr>
        <w:t>: Ensures the effective monitoring and evaluation of policies priorities that encourage transformation in the interests and the empowerment of women, young people and people with disabilities throughout government.</w:t>
      </w:r>
    </w:p>
    <w:p w:rsidR="006E7222" w:rsidRPr="007858CD" w:rsidRDefault="006E7222" w:rsidP="007858CD">
      <w:pPr>
        <w:rPr>
          <w:rFonts w:cs="Arial"/>
          <w:color w:val="auto"/>
          <w:sz w:val="20"/>
          <w:szCs w:val="20"/>
        </w:rPr>
      </w:pPr>
    </w:p>
    <w:p w:rsidR="008E4F82" w:rsidRPr="007858CD" w:rsidRDefault="00A23655" w:rsidP="007858CD">
      <w:pPr>
        <w:rPr>
          <w:rFonts w:cs="Arial"/>
          <w:color w:val="auto"/>
          <w:sz w:val="20"/>
          <w:szCs w:val="20"/>
          <w:lang w:val="en-US"/>
        </w:rPr>
      </w:pPr>
      <w:r w:rsidRPr="007858CD">
        <w:rPr>
          <w:rFonts w:cs="Arial"/>
          <w:color w:val="auto"/>
          <w:sz w:val="20"/>
          <w:szCs w:val="20"/>
        </w:rPr>
        <w:t>The total allocation for this programme is R</w:t>
      </w:r>
      <w:r w:rsidR="00840EDE" w:rsidRPr="007858CD">
        <w:rPr>
          <w:rFonts w:cs="Arial"/>
          <w:color w:val="auto"/>
          <w:sz w:val="20"/>
          <w:szCs w:val="20"/>
        </w:rPr>
        <w:t>42 516</w:t>
      </w:r>
      <w:r w:rsidRPr="007858CD">
        <w:rPr>
          <w:rFonts w:cs="Arial"/>
          <w:color w:val="auto"/>
          <w:sz w:val="20"/>
          <w:szCs w:val="20"/>
        </w:rPr>
        <w:t xml:space="preserve"> million which constitutes </w:t>
      </w:r>
      <w:r w:rsidR="00840EDE" w:rsidRPr="007858CD">
        <w:rPr>
          <w:rFonts w:cs="Arial"/>
          <w:color w:val="auto"/>
          <w:sz w:val="20"/>
          <w:szCs w:val="20"/>
        </w:rPr>
        <w:t>20.7</w:t>
      </w:r>
      <w:r w:rsidRPr="007858CD">
        <w:rPr>
          <w:rFonts w:cs="Arial"/>
          <w:color w:val="auto"/>
          <w:sz w:val="20"/>
          <w:szCs w:val="20"/>
        </w:rPr>
        <w:t>% of the Department’s operational budget. This allocation is R</w:t>
      </w:r>
      <w:r w:rsidR="000D1160" w:rsidRPr="007858CD">
        <w:rPr>
          <w:rFonts w:cs="Arial"/>
          <w:color w:val="auto"/>
          <w:sz w:val="20"/>
          <w:szCs w:val="20"/>
        </w:rPr>
        <w:t>1 884</w:t>
      </w:r>
      <w:r w:rsidRPr="007858CD">
        <w:rPr>
          <w:rFonts w:cs="Arial"/>
          <w:color w:val="auto"/>
          <w:sz w:val="20"/>
          <w:szCs w:val="20"/>
        </w:rPr>
        <w:t xml:space="preserve"> million more than in the 202</w:t>
      </w:r>
      <w:r w:rsidR="007903CF" w:rsidRPr="007858CD">
        <w:rPr>
          <w:rFonts w:cs="Arial"/>
          <w:color w:val="auto"/>
          <w:sz w:val="20"/>
          <w:szCs w:val="20"/>
        </w:rPr>
        <w:t>1/22</w:t>
      </w:r>
      <w:r w:rsidRPr="007858CD">
        <w:rPr>
          <w:rFonts w:cs="Arial"/>
          <w:color w:val="auto"/>
          <w:sz w:val="20"/>
          <w:szCs w:val="20"/>
        </w:rPr>
        <w:t xml:space="preserve"> financial year. However, when taking into consideration the Real Rand change, this programme only sees increase of </w:t>
      </w:r>
      <w:r w:rsidR="000D1160" w:rsidRPr="007858CD">
        <w:rPr>
          <w:rFonts w:cs="Arial"/>
          <w:color w:val="auto"/>
          <w:sz w:val="20"/>
          <w:szCs w:val="20"/>
        </w:rPr>
        <w:t>7.88</w:t>
      </w:r>
      <w:r w:rsidRPr="007858CD">
        <w:rPr>
          <w:rFonts w:cs="Arial"/>
          <w:color w:val="auto"/>
          <w:sz w:val="20"/>
          <w:szCs w:val="20"/>
        </w:rPr>
        <w:t>% to its allocation which amounts to R</w:t>
      </w:r>
      <w:r w:rsidR="000D1160" w:rsidRPr="007858CD">
        <w:rPr>
          <w:rFonts w:cs="Arial"/>
          <w:color w:val="auto"/>
          <w:sz w:val="20"/>
          <w:szCs w:val="20"/>
        </w:rPr>
        <w:t>3</w:t>
      </w:r>
      <w:r w:rsidRPr="007858CD">
        <w:rPr>
          <w:rFonts w:cs="Arial"/>
          <w:color w:val="auto"/>
          <w:sz w:val="20"/>
          <w:szCs w:val="20"/>
        </w:rPr>
        <w:t xml:space="preserve"> million.</w:t>
      </w:r>
      <w:r w:rsidR="00840EDE" w:rsidRPr="007858CD">
        <w:rPr>
          <w:rFonts w:cs="Arial"/>
          <w:color w:val="auto"/>
          <w:sz w:val="20"/>
          <w:szCs w:val="20"/>
        </w:rPr>
        <w:t xml:space="preserve"> The table below outlines the </w:t>
      </w:r>
      <w:r w:rsidR="00840EDE" w:rsidRPr="007858CD">
        <w:rPr>
          <w:rFonts w:cs="Arial"/>
          <w:color w:val="auto"/>
          <w:sz w:val="20"/>
          <w:szCs w:val="20"/>
          <w:lang w:val="en-US"/>
        </w:rPr>
        <w:t>expenditure</w:t>
      </w:r>
      <w:r w:rsidR="008E4F82" w:rsidRPr="007858CD">
        <w:rPr>
          <w:rFonts w:cs="Arial"/>
          <w:color w:val="auto"/>
          <w:sz w:val="20"/>
          <w:szCs w:val="20"/>
          <w:lang w:val="en-US"/>
        </w:rPr>
        <w:t xml:space="preserve"> under Programme 3 as follows:</w:t>
      </w:r>
    </w:p>
    <w:p w:rsidR="00612C34" w:rsidRPr="007858CD" w:rsidRDefault="00612C34" w:rsidP="007858CD">
      <w:pPr>
        <w:rPr>
          <w:rFonts w:cs="Arial"/>
          <w:color w:val="auto"/>
          <w:sz w:val="20"/>
          <w:szCs w:val="20"/>
          <w:lang w:val="en-US"/>
        </w:rPr>
      </w:pPr>
    </w:p>
    <w:p w:rsidR="008E4F82" w:rsidRPr="007858CD" w:rsidRDefault="008E4F82" w:rsidP="007858CD">
      <w:pPr>
        <w:rPr>
          <w:rFonts w:cs="Arial"/>
          <w:b/>
          <w:color w:val="auto"/>
          <w:sz w:val="20"/>
          <w:szCs w:val="20"/>
          <w:lang w:val="en-US"/>
        </w:rPr>
      </w:pPr>
      <w:r w:rsidRPr="007858CD">
        <w:rPr>
          <w:rFonts w:cs="Arial"/>
          <w:b/>
          <w:color w:val="auto"/>
          <w:sz w:val="20"/>
          <w:szCs w:val="20"/>
          <w:lang w:val="en-US"/>
        </w:rPr>
        <w:t xml:space="preserve">Table </w:t>
      </w:r>
      <w:r w:rsidR="00C32B0F" w:rsidRPr="007858CD">
        <w:rPr>
          <w:rFonts w:cs="Arial"/>
          <w:b/>
          <w:color w:val="auto"/>
          <w:sz w:val="20"/>
          <w:szCs w:val="20"/>
          <w:lang w:val="en-US"/>
        </w:rPr>
        <w:t>5</w:t>
      </w:r>
      <w:r w:rsidRPr="007858CD">
        <w:rPr>
          <w:rFonts w:cs="Arial"/>
          <w:b/>
          <w:color w:val="auto"/>
          <w:sz w:val="20"/>
          <w:szCs w:val="20"/>
          <w:lang w:val="en-US"/>
        </w:rPr>
        <w:t xml:space="preserve">: Sub-programme allocation for </w:t>
      </w:r>
      <w:r w:rsidR="007903CF" w:rsidRPr="007858CD">
        <w:rPr>
          <w:rFonts w:cs="Arial"/>
          <w:b/>
          <w:color w:val="auto"/>
          <w:sz w:val="20"/>
          <w:szCs w:val="20"/>
          <w:lang w:val="en-US"/>
        </w:rPr>
        <w:t>2022</w:t>
      </w:r>
      <w:r w:rsidR="00390F9E" w:rsidRPr="007858CD">
        <w:rPr>
          <w:rFonts w:cs="Arial"/>
          <w:b/>
          <w:color w:val="auto"/>
          <w:sz w:val="20"/>
          <w:szCs w:val="20"/>
          <w:lang w:val="en-US"/>
        </w:rPr>
        <w:t>/2</w:t>
      </w:r>
      <w:r w:rsidR="007903CF" w:rsidRPr="007858CD">
        <w:rPr>
          <w:rFonts w:cs="Arial"/>
          <w:b/>
          <w:color w:val="auto"/>
          <w:sz w:val="20"/>
          <w:szCs w:val="20"/>
          <w:lang w:val="en-US"/>
        </w:rPr>
        <w:t>3</w:t>
      </w:r>
      <w:r w:rsidR="00390F9E" w:rsidRPr="007858CD">
        <w:rPr>
          <w:rFonts w:cs="Arial"/>
          <w:b/>
          <w:color w:val="auto"/>
          <w:sz w:val="20"/>
          <w:szCs w:val="20"/>
          <w:lang w:val="en-US"/>
        </w:rPr>
        <w:t xml:space="preserve"> </w:t>
      </w:r>
      <w:r w:rsidRPr="007858CD">
        <w:rPr>
          <w:rFonts w:cs="Arial"/>
          <w:b/>
          <w:color w:val="auto"/>
          <w:sz w:val="20"/>
          <w:szCs w:val="20"/>
          <w:lang w:val="en-US"/>
        </w:rPr>
        <w:t>in Programme 3</w:t>
      </w:r>
      <w:r w:rsidR="00D22673" w:rsidRPr="007858CD">
        <w:rPr>
          <w:rStyle w:val="FootnoteReference"/>
          <w:rFonts w:cs="Arial"/>
          <w:b/>
          <w:color w:val="auto"/>
          <w:sz w:val="20"/>
          <w:szCs w:val="20"/>
          <w:lang w:val="en-US"/>
        </w:rPr>
        <w:footnoteReference w:id="14"/>
      </w:r>
    </w:p>
    <w:tbl>
      <w:tblPr>
        <w:tblStyle w:val="TableGrid"/>
        <w:tblW w:w="0" w:type="auto"/>
        <w:tblInd w:w="-147" w:type="dxa"/>
        <w:tblLook w:val="04A0"/>
      </w:tblPr>
      <w:tblGrid>
        <w:gridCol w:w="7797"/>
        <w:gridCol w:w="1843"/>
      </w:tblGrid>
      <w:tr w:rsidR="00DE4BA7" w:rsidRPr="007858CD" w:rsidTr="00EF0384">
        <w:tc>
          <w:tcPr>
            <w:tcW w:w="7797" w:type="dxa"/>
            <w:shd w:val="clear" w:color="auto" w:fill="BFBFBF" w:themeFill="background1" w:themeFillShade="BF"/>
          </w:tcPr>
          <w:p w:rsidR="00EF0384" w:rsidRPr="007858CD" w:rsidRDefault="00EF0384" w:rsidP="007858CD">
            <w:pPr>
              <w:pStyle w:val="Default"/>
              <w:rPr>
                <w:color w:val="auto"/>
                <w:sz w:val="20"/>
                <w:szCs w:val="20"/>
              </w:rPr>
            </w:pPr>
            <w:r w:rsidRPr="007858CD">
              <w:rPr>
                <w:b/>
                <w:bCs/>
                <w:color w:val="auto"/>
                <w:sz w:val="20"/>
                <w:szCs w:val="20"/>
              </w:rPr>
              <w:t xml:space="preserve">Sub-Programme </w:t>
            </w:r>
          </w:p>
        </w:tc>
        <w:tc>
          <w:tcPr>
            <w:tcW w:w="1843" w:type="dxa"/>
            <w:shd w:val="clear" w:color="auto" w:fill="BFBFBF" w:themeFill="background1" w:themeFillShade="BF"/>
          </w:tcPr>
          <w:p w:rsidR="00EF0384" w:rsidRPr="007858CD" w:rsidRDefault="00EF0384" w:rsidP="007858CD">
            <w:pPr>
              <w:pStyle w:val="Default"/>
              <w:rPr>
                <w:b/>
                <w:color w:val="auto"/>
                <w:sz w:val="20"/>
                <w:szCs w:val="20"/>
              </w:rPr>
            </w:pPr>
            <w:r w:rsidRPr="007858CD">
              <w:rPr>
                <w:b/>
                <w:color w:val="auto"/>
                <w:sz w:val="20"/>
                <w:szCs w:val="20"/>
              </w:rPr>
              <w:t>202</w:t>
            </w:r>
            <w:r w:rsidR="007903CF" w:rsidRPr="007858CD">
              <w:rPr>
                <w:b/>
                <w:color w:val="auto"/>
                <w:sz w:val="20"/>
                <w:szCs w:val="20"/>
              </w:rPr>
              <w:t>2/23</w:t>
            </w:r>
          </w:p>
        </w:tc>
      </w:tr>
      <w:tr w:rsidR="00DE4BA7" w:rsidRPr="007858CD" w:rsidTr="00EF0384">
        <w:tc>
          <w:tcPr>
            <w:tcW w:w="7797" w:type="dxa"/>
          </w:tcPr>
          <w:tbl>
            <w:tblPr>
              <w:tblW w:w="0" w:type="auto"/>
              <w:tblBorders>
                <w:top w:val="nil"/>
                <w:left w:val="nil"/>
                <w:bottom w:val="nil"/>
                <w:right w:val="nil"/>
              </w:tblBorders>
              <w:tblLook w:val="0000"/>
            </w:tblPr>
            <w:tblGrid>
              <w:gridCol w:w="6228"/>
            </w:tblGrid>
            <w:tr w:rsidR="00DE4BA7" w:rsidRPr="007858CD">
              <w:trPr>
                <w:trHeight w:val="243"/>
              </w:trPr>
              <w:tc>
                <w:tcPr>
                  <w:tcW w:w="0" w:type="auto"/>
                </w:tcPr>
                <w:p w:rsidR="00EF0384" w:rsidRPr="007858CD" w:rsidRDefault="00EF0384" w:rsidP="007858CD">
                  <w:pPr>
                    <w:pStyle w:val="Default"/>
                    <w:rPr>
                      <w:b/>
                      <w:bCs/>
                      <w:color w:val="auto"/>
                      <w:sz w:val="20"/>
                      <w:szCs w:val="20"/>
                    </w:rPr>
                  </w:pPr>
                  <w:r w:rsidRPr="007858CD">
                    <w:rPr>
                      <w:b/>
                      <w:bCs/>
                      <w:color w:val="auto"/>
                      <w:sz w:val="20"/>
                      <w:szCs w:val="20"/>
                    </w:rPr>
                    <w:t xml:space="preserve">Management: </w:t>
                  </w:r>
                  <w:r w:rsidR="000D1160" w:rsidRPr="007858CD">
                    <w:rPr>
                      <w:b/>
                      <w:bCs/>
                      <w:color w:val="auto"/>
                      <w:sz w:val="20"/>
                      <w:szCs w:val="20"/>
                    </w:rPr>
                    <w:t>Monitoring, Evaluation, Research &amp; Coordination</w:t>
                  </w:r>
                  <w:r w:rsidRPr="007858CD">
                    <w:rPr>
                      <w:b/>
                      <w:bCs/>
                      <w:color w:val="auto"/>
                      <w:sz w:val="20"/>
                      <w:szCs w:val="20"/>
                    </w:rPr>
                    <w:t xml:space="preserve"> </w:t>
                  </w:r>
                </w:p>
              </w:tc>
            </w:tr>
          </w:tbl>
          <w:p w:rsidR="00EF0384" w:rsidRPr="007858CD" w:rsidRDefault="00EF0384" w:rsidP="007858CD">
            <w:pPr>
              <w:pStyle w:val="Default"/>
              <w:rPr>
                <w:color w:val="auto"/>
                <w:sz w:val="20"/>
                <w:szCs w:val="20"/>
              </w:rPr>
            </w:pPr>
          </w:p>
        </w:tc>
        <w:tc>
          <w:tcPr>
            <w:tcW w:w="1843" w:type="dxa"/>
          </w:tcPr>
          <w:p w:rsidR="00EF0384" w:rsidRPr="007858CD" w:rsidRDefault="007903CF" w:rsidP="007858CD">
            <w:pPr>
              <w:pStyle w:val="Default"/>
              <w:rPr>
                <w:color w:val="auto"/>
                <w:sz w:val="20"/>
                <w:szCs w:val="20"/>
              </w:rPr>
            </w:pPr>
            <w:r w:rsidRPr="007858CD">
              <w:rPr>
                <w:color w:val="auto"/>
                <w:sz w:val="20"/>
                <w:szCs w:val="20"/>
              </w:rPr>
              <w:t>R</w:t>
            </w:r>
            <w:r w:rsidR="000D1160" w:rsidRPr="007858CD">
              <w:rPr>
                <w:color w:val="auto"/>
                <w:sz w:val="20"/>
                <w:szCs w:val="20"/>
              </w:rPr>
              <w:t>6 180m</w:t>
            </w:r>
          </w:p>
        </w:tc>
      </w:tr>
      <w:tr w:rsidR="00DE4BA7" w:rsidRPr="007858CD" w:rsidTr="00EF0384">
        <w:tc>
          <w:tcPr>
            <w:tcW w:w="7797" w:type="dxa"/>
          </w:tcPr>
          <w:p w:rsidR="00EF0384" w:rsidRPr="007858CD" w:rsidRDefault="000D1160" w:rsidP="007858CD">
            <w:pPr>
              <w:pStyle w:val="Default"/>
              <w:rPr>
                <w:color w:val="auto"/>
                <w:sz w:val="20"/>
                <w:szCs w:val="20"/>
              </w:rPr>
            </w:pPr>
            <w:r w:rsidRPr="007858CD">
              <w:rPr>
                <w:b/>
                <w:bCs/>
                <w:color w:val="auto"/>
                <w:sz w:val="20"/>
                <w:szCs w:val="20"/>
              </w:rPr>
              <w:t>Research &amp; K</w:t>
            </w:r>
            <w:r w:rsidR="00EF0384" w:rsidRPr="007858CD">
              <w:rPr>
                <w:b/>
                <w:bCs/>
                <w:color w:val="auto"/>
                <w:sz w:val="20"/>
                <w:szCs w:val="20"/>
              </w:rPr>
              <w:t xml:space="preserve">nowledge management </w:t>
            </w:r>
          </w:p>
        </w:tc>
        <w:tc>
          <w:tcPr>
            <w:tcW w:w="1843" w:type="dxa"/>
          </w:tcPr>
          <w:p w:rsidR="00EF0384" w:rsidRPr="007858CD" w:rsidRDefault="007903CF" w:rsidP="007858CD">
            <w:pPr>
              <w:pStyle w:val="Default"/>
              <w:rPr>
                <w:color w:val="auto"/>
                <w:sz w:val="20"/>
                <w:szCs w:val="20"/>
              </w:rPr>
            </w:pPr>
            <w:r w:rsidRPr="007858CD">
              <w:rPr>
                <w:color w:val="auto"/>
                <w:sz w:val="20"/>
                <w:szCs w:val="20"/>
              </w:rPr>
              <w:t>R</w:t>
            </w:r>
            <w:r w:rsidR="000D1160" w:rsidRPr="007858CD">
              <w:rPr>
                <w:color w:val="auto"/>
                <w:sz w:val="20"/>
                <w:szCs w:val="20"/>
              </w:rPr>
              <w:t>8 002m</w:t>
            </w:r>
          </w:p>
        </w:tc>
      </w:tr>
      <w:tr w:rsidR="00DE4BA7" w:rsidRPr="007858CD" w:rsidTr="00EF0384">
        <w:tc>
          <w:tcPr>
            <w:tcW w:w="7797" w:type="dxa"/>
          </w:tcPr>
          <w:p w:rsidR="00EF0384" w:rsidRPr="007858CD" w:rsidRDefault="000D1160" w:rsidP="007858CD">
            <w:pPr>
              <w:pStyle w:val="Default"/>
              <w:rPr>
                <w:color w:val="auto"/>
                <w:sz w:val="20"/>
                <w:szCs w:val="20"/>
              </w:rPr>
            </w:pPr>
            <w:r w:rsidRPr="007858CD">
              <w:rPr>
                <w:b/>
                <w:bCs/>
                <w:color w:val="auto"/>
                <w:sz w:val="20"/>
                <w:szCs w:val="20"/>
              </w:rPr>
              <w:t xml:space="preserve">International Relations, </w:t>
            </w:r>
            <w:r w:rsidR="00EF0384" w:rsidRPr="007858CD">
              <w:rPr>
                <w:b/>
                <w:bCs/>
                <w:color w:val="auto"/>
                <w:sz w:val="20"/>
                <w:szCs w:val="20"/>
              </w:rPr>
              <w:t xml:space="preserve">Stakeholder </w:t>
            </w:r>
            <w:r w:rsidRPr="007858CD">
              <w:rPr>
                <w:b/>
                <w:bCs/>
                <w:color w:val="auto"/>
                <w:sz w:val="20"/>
                <w:szCs w:val="20"/>
              </w:rPr>
              <w:t>Management &amp; Capacity Building</w:t>
            </w:r>
            <w:r w:rsidR="00EF0384" w:rsidRPr="007858CD">
              <w:rPr>
                <w:b/>
                <w:bCs/>
                <w:color w:val="auto"/>
                <w:sz w:val="20"/>
                <w:szCs w:val="20"/>
              </w:rPr>
              <w:t xml:space="preserve"> </w:t>
            </w:r>
          </w:p>
        </w:tc>
        <w:tc>
          <w:tcPr>
            <w:tcW w:w="1843" w:type="dxa"/>
          </w:tcPr>
          <w:p w:rsidR="00EF0384" w:rsidRPr="007858CD" w:rsidRDefault="007903CF" w:rsidP="007858CD">
            <w:pPr>
              <w:pStyle w:val="Default"/>
              <w:rPr>
                <w:color w:val="auto"/>
                <w:sz w:val="20"/>
                <w:szCs w:val="20"/>
              </w:rPr>
            </w:pPr>
            <w:r w:rsidRPr="007858CD">
              <w:rPr>
                <w:color w:val="auto"/>
                <w:sz w:val="20"/>
                <w:szCs w:val="20"/>
              </w:rPr>
              <w:t>R</w:t>
            </w:r>
            <w:r w:rsidR="000D1160" w:rsidRPr="007858CD">
              <w:rPr>
                <w:color w:val="auto"/>
                <w:sz w:val="20"/>
                <w:szCs w:val="20"/>
              </w:rPr>
              <w:t>19 416m</w:t>
            </w:r>
          </w:p>
        </w:tc>
      </w:tr>
      <w:tr w:rsidR="00DE4BA7" w:rsidRPr="007858CD" w:rsidTr="00EF0384">
        <w:tc>
          <w:tcPr>
            <w:tcW w:w="7797" w:type="dxa"/>
          </w:tcPr>
          <w:p w:rsidR="00EF0384" w:rsidRPr="007858CD" w:rsidRDefault="00EF0384" w:rsidP="007858CD">
            <w:pPr>
              <w:pStyle w:val="Default"/>
              <w:rPr>
                <w:color w:val="auto"/>
                <w:sz w:val="20"/>
                <w:szCs w:val="20"/>
              </w:rPr>
            </w:pPr>
            <w:r w:rsidRPr="007858CD">
              <w:rPr>
                <w:b/>
                <w:bCs/>
                <w:color w:val="auto"/>
                <w:sz w:val="20"/>
                <w:szCs w:val="20"/>
              </w:rPr>
              <w:t>Monitoring and Evaluation</w:t>
            </w:r>
            <w:r w:rsidR="000D1160" w:rsidRPr="007858CD">
              <w:rPr>
                <w:b/>
                <w:bCs/>
                <w:color w:val="auto"/>
                <w:sz w:val="20"/>
                <w:szCs w:val="20"/>
              </w:rPr>
              <w:t>: WYPD</w:t>
            </w:r>
            <w:r w:rsidRPr="007858CD">
              <w:rPr>
                <w:color w:val="auto"/>
                <w:sz w:val="20"/>
                <w:szCs w:val="20"/>
              </w:rPr>
              <w:t xml:space="preserve"> </w:t>
            </w:r>
          </w:p>
        </w:tc>
        <w:tc>
          <w:tcPr>
            <w:tcW w:w="1843" w:type="dxa"/>
          </w:tcPr>
          <w:p w:rsidR="00EF0384" w:rsidRPr="007858CD" w:rsidRDefault="007903CF" w:rsidP="007858CD">
            <w:pPr>
              <w:pStyle w:val="Default"/>
              <w:rPr>
                <w:color w:val="auto"/>
                <w:sz w:val="20"/>
                <w:szCs w:val="20"/>
              </w:rPr>
            </w:pPr>
            <w:r w:rsidRPr="007858CD">
              <w:rPr>
                <w:color w:val="auto"/>
                <w:sz w:val="20"/>
                <w:szCs w:val="20"/>
              </w:rPr>
              <w:t>R</w:t>
            </w:r>
            <w:r w:rsidR="000D1160" w:rsidRPr="007858CD">
              <w:rPr>
                <w:color w:val="auto"/>
                <w:sz w:val="20"/>
                <w:szCs w:val="20"/>
              </w:rPr>
              <w:t>8 918m</w:t>
            </w:r>
          </w:p>
        </w:tc>
      </w:tr>
      <w:tr w:rsidR="00DE4BA7" w:rsidRPr="007858CD" w:rsidTr="00EF0384">
        <w:tc>
          <w:tcPr>
            <w:tcW w:w="7797" w:type="dxa"/>
            <w:shd w:val="clear" w:color="auto" w:fill="BFBFBF" w:themeFill="background1" w:themeFillShade="BF"/>
          </w:tcPr>
          <w:p w:rsidR="00EF0384" w:rsidRPr="007858CD" w:rsidRDefault="00EF0384" w:rsidP="007858CD">
            <w:pPr>
              <w:pStyle w:val="Default"/>
              <w:rPr>
                <w:color w:val="auto"/>
                <w:sz w:val="20"/>
                <w:szCs w:val="20"/>
              </w:rPr>
            </w:pPr>
            <w:r w:rsidRPr="007858CD">
              <w:rPr>
                <w:b/>
                <w:bCs/>
                <w:color w:val="auto"/>
                <w:sz w:val="20"/>
                <w:szCs w:val="20"/>
              </w:rPr>
              <w:t xml:space="preserve">TOTAL </w:t>
            </w:r>
          </w:p>
        </w:tc>
        <w:tc>
          <w:tcPr>
            <w:tcW w:w="1843" w:type="dxa"/>
            <w:shd w:val="clear" w:color="auto" w:fill="BFBFBF" w:themeFill="background1" w:themeFillShade="BF"/>
          </w:tcPr>
          <w:p w:rsidR="00EF0384" w:rsidRPr="007858CD" w:rsidRDefault="007903CF" w:rsidP="007858CD">
            <w:pPr>
              <w:pStyle w:val="Default"/>
              <w:rPr>
                <w:color w:val="auto"/>
                <w:sz w:val="20"/>
                <w:szCs w:val="20"/>
              </w:rPr>
            </w:pPr>
            <w:r w:rsidRPr="007858CD">
              <w:rPr>
                <w:b/>
                <w:bCs/>
                <w:color w:val="auto"/>
                <w:sz w:val="20"/>
                <w:szCs w:val="20"/>
              </w:rPr>
              <w:t>R</w:t>
            </w:r>
            <w:r w:rsidR="00EF0384" w:rsidRPr="007858CD">
              <w:rPr>
                <w:b/>
                <w:bCs/>
                <w:color w:val="auto"/>
                <w:sz w:val="20"/>
                <w:szCs w:val="20"/>
              </w:rPr>
              <w:t xml:space="preserve"> million</w:t>
            </w:r>
          </w:p>
        </w:tc>
      </w:tr>
      <w:tr w:rsidR="00DE4BA7" w:rsidRPr="007858CD" w:rsidTr="00EF0384">
        <w:tc>
          <w:tcPr>
            <w:tcW w:w="7797" w:type="dxa"/>
            <w:shd w:val="clear" w:color="auto" w:fill="BFBFBF" w:themeFill="background1" w:themeFillShade="BF"/>
          </w:tcPr>
          <w:p w:rsidR="00EF0384" w:rsidRPr="007858CD" w:rsidRDefault="00EF0384" w:rsidP="007858CD">
            <w:pPr>
              <w:pStyle w:val="Default"/>
              <w:rPr>
                <w:b/>
                <w:bCs/>
                <w:color w:val="auto"/>
                <w:sz w:val="20"/>
                <w:szCs w:val="20"/>
              </w:rPr>
            </w:pPr>
            <w:r w:rsidRPr="007858CD">
              <w:rPr>
                <w:b/>
                <w:bCs/>
                <w:color w:val="auto"/>
                <w:sz w:val="20"/>
                <w:szCs w:val="20"/>
              </w:rPr>
              <w:t>Compensation of Employees</w:t>
            </w:r>
          </w:p>
        </w:tc>
        <w:tc>
          <w:tcPr>
            <w:tcW w:w="1843" w:type="dxa"/>
            <w:shd w:val="clear" w:color="auto" w:fill="BFBFBF" w:themeFill="background1" w:themeFillShade="BF"/>
          </w:tcPr>
          <w:p w:rsidR="00EF0384" w:rsidRPr="007858CD" w:rsidRDefault="007903CF" w:rsidP="007858CD">
            <w:pPr>
              <w:pStyle w:val="Default"/>
              <w:rPr>
                <w:b/>
                <w:bCs/>
                <w:color w:val="auto"/>
                <w:sz w:val="20"/>
                <w:szCs w:val="20"/>
              </w:rPr>
            </w:pPr>
            <w:r w:rsidRPr="007858CD">
              <w:rPr>
                <w:b/>
                <w:bCs/>
                <w:color w:val="auto"/>
                <w:sz w:val="20"/>
                <w:szCs w:val="20"/>
              </w:rPr>
              <w:t>R</w:t>
            </w:r>
            <w:r w:rsidR="00840EDE" w:rsidRPr="007858CD">
              <w:rPr>
                <w:b/>
                <w:bCs/>
                <w:color w:val="auto"/>
                <w:sz w:val="20"/>
                <w:szCs w:val="20"/>
              </w:rPr>
              <w:t>24 401m</w:t>
            </w:r>
            <w:r w:rsidRPr="007858CD">
              <w:rPr>
                <w:b/>
                <w:bCs/>
                <w:color w:val="auto"/>
                <w:sz w:val="20"/>
                <w:szCs w:val="20"/>
              </w:rPr>
              <w:t xml:space="preserve"> (</w:t>
            </w:r>
            <w:r w:rsidR="00840EDE" w:rsidRPr="007858CD">
              <w:rPr>
                <w:b/>
                <w:bCs/>
                <w:color w:val="auto"/>
                <w:sz w:val="20"/>
                <w:szCs w:val="20"/>
              </w:rPr>
              <w:t>57.4</w:t>
            </w:r>
            <w:r w:rsidR="00EF0384" w:rsidRPr="007858CD">
              <w:rPr>
                <w:b/>
                <w:bCs/>
                <w:color w:val="auto"/>
                <w:sz w:val="20"/>
                <w:szCs w:val="20"/>
              </w:rPr>
              <w:t>%)</w:t>
            </w:r>
          </w:p>
        </w:tc>
      </w:tr>
      <w:tr w:rsidR="00DE4BA7" w:rsidRPr="007858CD" w:rsidTr="00EF0384">
        <w:tc>
          <w:tcPr>
            <w:tcW w:w="7797" w:type="dxa"/>
            <w:shd w:val="clear" w:color="auto" w:fill="BFBFBF" w:themeFill="background1" w:themeFillShade="BF"/>
          </w:tcPr>
          <w:p w:rsidR="00EF0384" w:rsidRPr="007858CD" w:rsidRDefault="00EF0384" w:rsidP="007858CD">
            <w:pPr>
              <w:pStyle w:val="Default"/>
              <w:rPr>
                <w:b/>
                <w:bCs/>
                <w:color w:val="auto"/>
                <w:sz w:val="20"/>
                <w:szCs w:val="20"/>
              </w:rPr>
            </w:pPr>
            <w:r w:rsidRPr="007858CD">
              <w:rPr>
                <w:b/>
                <w:bCs/>
                <w:color w:val="auto"/>
                <w:sz w:val="20"/>
                <w:szCs w:val="20"/>
              </w:rPr>
              <w:t>Goods and Services</w:t>
            </w:r>
          </w:p>
        </w:tc>
        <w:tc>
          <w:tcPr>
            <w:tcW w:w="1843" w:type="dxa"/>
            <w:shd w:val="clear" w:color="auto" w:fill="BFBFBF" w:themeFill="background1" w:themeFillShade="BF"/>
          </w:tcPr>
          <w:p w:rsidR="00EF0384" w:rsidRPr="007858CD" w:rsidRDefault="007903CF" w:rsidP="007858CD">
            <w:pPr>
              <w:pStyle w:val="Default"/>
              <w:rPr>
                <w:b/>
                <w:bCs/>
                <w:color w:val="auto"/>
                <w:sz w:val="20"/>
                <w:szCs w:val="20"/>
              </w:rPr>
            </w:pPr>
            <w:r w:rsidRPr="007858CD">
              <w:rPr>
                <w:b/>
                <w:bCs/>
                <w:color w:val="auto"/>
                <w:sz w:val="20"/>
                <w:szCs w:val="20"/>
              </w:rPr>
              <w:t>R</w:t>
            </w:r>
            <w:r w:rsidR="00840EDE" w:rsidRPr="007858CD">
              <w:rPr>
                <w:b/>
                <w:bCs/>
                <w:color w:val="auto"/>
                <w:sz w:val="20"/>
                <w:szCs w:val="20"/>
              </w:rPr>
              <w:t>18 187m</w:t>
            </w:r>
            <w:r w:rsidRPr="007858CD">
              <w:rPr>
                <w:b/>
                <w:bCs/>
                <w:color w:val="auto"/>
                <w:sz w:val="20"/>
                <w:szCs w:val="20"/>
              </w:rPr>
              <w:t xml:space="preserve"> (</w:t>
            </w:r>
            <w:r w:rsidR="00840EDE" w:rsidRPr="007858CD">
              <w:rPr>
                <w:b/>
                <w:bCs/>
                <w:color w:val="auto"/>
                <w:sz w:val="20"/>
                <w:szCs w:val="20"/>
              </w:rPr>
              <w:t>40.4</w:t>
            </w:r>
            <w:r w:rsidR="00EF0384" w:rsidRPr="007858CD">
              <w:rPr>
                <w:b/>
                <w:bCs/>
                <w:color w:val="auto"/>
                <w:sz w:val="20"/>
                <w:szCs w:val="20"/>
              </w:rPr>
              <w:t>%)</w:t>
            </w:r>
          </w:p>
        </w:tc>
      </w:tr>
    </w:tbl>
    <w:p w:rsidR="008E4F82" w:rsidRPr="007858CD" w:rsidRDefault="008E4F82" w:rsidP="007858CD">
      <w:pPr>
        <w:rPr>
          <w:rFonts w:cs="Arial"/>
          <w:color w:val="auto"/>
          <w:sz w:val="20"/>
          <w:szCs w:val="20"/>
          <w:lang w:val="en-US"/>
        </w:rPr>
      </w:pPr>
    </w:p>
    <w:p w:rsidR="008E4F82" w:rsidRPr="007858CD" w:rsidRDefault="00DD1EF2" w:rsidP="007858CD">
      <w:pPr>
        <w:rPr>
          <w:rFonts w:cs="Arial"/>
          <w:color w:val="auto"/>
          <w:sz w:val="20"/>
          <w:szCs w:val="20"/>
        </w:rPr>
      </w:pPr>
      <w:r w:rsidRPr="007858CD">
        <w:rPr>
          <w:rFonts w:cs="Arial"/>
          <w:color w:val="auto"/>
          <w:sz w:val="20"/>
          <w:szCs w:val="20"/>
        </w:rPr>
        <w:t>The programme has a total allocation of R</w:t>
      </w:r>
      <w:r w:rsidR="00840EDE" w:rsidRPr="007858CD">
        <w:rPr>
          <w:rFonts w:cs="Arial"/>
          <w:color w:val="auto"/>
          <w:sz w:val="20"/>
          <w:szCs w:val="20"/>
        </w:rPr>
        <w:t>42.5</w:t>
      </w:r>
      <w:r w:rsidR="00883452" w:rsidRPr="007858CD">
        <w:rPr>
          <w:rFonts w:cs="Arial"/>
          <w:color w:val="auto"/>
          <w:sz w:val="20"/>
          <w:szCs w:val="20"/>
        </w:rPr>
        <w:t xml:space="preserve"> </w:t>
      </w:r>
      <w:r w:rsidRPr="007858CD">
        <w:rPr>
          <w:rFonts w:cs="Arial"/>
          <w:color w:val="auto"/>
          <w:sz w:val="20"/>
          <w:szCs w:val="20"/>
        </w:rPr>
        <w:t xml:space="preserve">million, of which </w:t>
      </w:r>
      <w:r w:rsidR="00EF0384" w:rsidRPr="007858CD">
        <w:rPr>
          <w:rFonts w:cs="Arial"/>
          <w:color w:val="auto"/>
          <w:sz w:val="20"/>
          <w:szCs w:val="20"/>
        </w:rPr>
        <w:t>R</w:t>
      </w:r>
      <w:r w:rsidR="00840EDE" w:rsidRPr="007858CD">
        <w:rPr>
          <w:rFonts w:cs="Arial"/>
          <w:color w:val="auto"/>
          <w:sz w:val="20"/>
          <w:szCs w:val="20"/>
        </w:rPr>
        <w:t>24 401</w:t>
      </w:r>
      <w:r w:rsidR="00EF0384" w:rsidRPr="007858CD">
        <w:rPr>
          <w:rFonts w:cs="Arial"/>
          <w:color w:val="auto"/>
          <w:sz w:val="20"/>
          <w:szCs w:val="20"/>
        </w:rPr>
        <w:t xml:space="preserve"> </w:t>
      </w:r>
      <w:r w:rsidRPr="007858CD">
        <w:rPr>
          <w:rFonts w:cs="Arial"/>
          <w:color w:val="auto"/>
          <w:sz w:val="20"/>
          <w:szCs w:val="20"/>
        </w:rPr>
        <w:t>million (</w:t>
      </w:r>
      <w:r w:rsidR="00840EDE" w:rsidRPr="007858CD">
        <w:rPr>
          <w:rFonts w:cs="Arial"/>
          <w:color w:val="auto"/>
          <w:sz w:val="20"/>
          <w:szCs w:val="20"/>
        </w:rPr>
        <w:t>57.4</w:t>
      </w:r>
      <w:r w:rsidR="00FF0067" w:rsidRPr="007858CD">
        <w:rPr>
          <w:rFonts w:cs="Arial"/>
          <w:color w:val="auto"/>
          <w:sz w:val="20"/>
          <w:szCs w:val="20"/>
        </w:rPr>
        <w:t>%) is allocated for C</w:t>
      </w:r>
      <w:r w:rsidRPr="007858CD">
        <w:rPr>
          <w:rFonts w:cs="Arial"/>
          <w:color w:val="auto"/>
          <w:sz w:val="20"/>
          <w:szCs w:val="20"/>
        </w:rPr>
        <w:t xml:space="preserve">ompensation of employees and </w:t>
      </w:r>
      <w:r w:rsidR="00EF0384" w:rsidRPr="007858CD">
        <w:rPr>
          <w:rFonts w:cs="Arial"/>
          <w:color w:val="auto"/>
          <w:sz w:val="20"/>
          <w:szCs w:val="20"/>
        </w:rPr>
        <w:t>R</w:t>
      </w:r>
      <w:r w:rsidR="000D1160" w:rsidRPr="007858CD">
        <w:rPr>
          <w:rFonts w:cs="Arial"/>
          <w:color w:val="auto"/>
          <w:sz w:val="20"/>
          <w:szCs w:val="20"/>
        </w:rPr>
        <w:t>18 187</w:t>
      </w:r>
      <w:r w:rsidR="00EF0384" w:rsidRPr="007858CD">
        <w:rPr>
          <w:rFonts w:cs="Arial"/>
          <w:color w:val="auto"/>
          <w:sz w:val="20"/>
          <w:szCs w:val="20"/>
        </w:rPr>
        <w:t xml:space="preserve"> </w:t>
      </w:r>
      <w:r w:rsidRPr="007858CD">
        <w:rPr>
          <w:rFonts w:cs="Arial"/>
          <w:color w:val="auto"/>
          <w:sz w:val="20"/>
          <w:szCs w:val="20"/>
        </w:rPr>
        <w:t>million (</w:t>
      </w:r>
      <w:r w:rsidR="00EF0384" w:rsidRPr="007858CD">
        <w:rPr>
          <w:rFonts w:cs="Arial"/>
          <w:color w:val="auto"/>
          <w:sz w:val="20"/>
          <w:szCs w:val="20"/>
        </w:rPr>
        <w:t>40.</w:t>
      </w:r>
      <w:r w:rsidR="000D1160" w:rsidRPr="007858CD">
        <w:rPr>
          <w:rFonts w:cs="Arial"/>
          <w:color w:val="auto"/>
          <w:sz w:val="20"/>
          <w:szCs w:val="20"/>
        </w:rPr>
        <w:t>4</w:t>
      </w:r>
      <w:r w:rsidRPr="007858CD">
        <w:rPr>
          <w:rFonts w:cs="Arial"/>
          <w:color w:val="auto"/>
          <w:sz w:val="20"/>
          <w:szCs w:val="20"/>
        </w:rPr>
        <w:t xml:space="preserve">%) is allocated for </w:t>
      </w:r>
      <w:r w:rsidR="00EF0384" w:rsidRPr="007858CD">
        <w:rPr>
          <w:rFonts w:cs="Arial"/>
          <w:color w:val="auto"/>
          <w:sz w:val="20"/>
          <w:szCs w:val="20"/>
        </w:rPr>
        <w:t>G</w:t>
      </w:r>
      <w:r w:rsidRPr="007858CD">
        <w:rPr>
          <w:rFonts w:cs="Arial"/>
          <w:color w:val="auto"/>
          <w:sz w:val="20"/>
          <w:szCs w:val="20"/>
        </w:rPr>
        <w:t xml:space="preserve">oods and services. Of the </w:t>
      </w:r>
      <w:r w:rsidR="00EF0384" w:rsidRPr="007858CD">
        <w:rPr>
          <w:rFonts w:cs="Arial"/>
          <w:color w:val="auto"/>
          <w:sz w:val="20"/>
          <w:szCs w:val="20"/>
        </w:rPr>
        <w:t>G</w:t>
      </w:r>
      <w:r w:rsidRPr="007858CD">
        <w:rPr>
          <w:rFonts w:cs="Arial"/>
          <w:color w:val="auto"/>
          <w:sz w:val="20"/>
          <w:szCs w:val="20"/>
        </w:rPr>
        <w:t>oods and services budget, R</w:t>
      </w:r>
      <w:r w:rsidR="009D203A" w:rsidRPr="007858CD">
        <w:rPr>
          <w:rFonts w:cs="Arial"/>
          <w:color w:val="auto"/>
          <w:sz w:val="20"/>
          <w:szCs w:val="20"/>
        </w:rPr>
        <w:t>4.9</w:t>
      </w:r>
      <w:r w:rsidR="00883452" w:rsidRPr="007858CD">
        <w:rPr>
          <w:rFonts w:cs="Arial"/>
          <w:color w:val="auto"/>
          <w:sz w:val="20"/>
          <w:szCs w:val="20"/>
        </w:rPr>
        <w:t xml:space="preserve"> </w:t>
      </w:r>
      <w:r w:rsidRPr="007858CD">
        <w:rPr>
          <w:rFonts w:cs="Arial"/>
          <w:color w:val="auto"/>
          <w:sz w:val="20"/>
          <w:szCs w:val="20"/>
        </w:rPr>
        <w:t xml:space="preserve">million or nearly % is allocated for </w:t>
      </w:r>
      <w:r w:rsidR="00FF0067" w:rsidRPr="007858CD">
        <w:rPr>
          <w:rFonts w:cs="Arial"/>
          <w:color w:val="auto"/>
          <w:sz w:val="20"/>
          <w:szCs w:val="20"/>
        </w:rPr>
        <w:t>T</w:t>
      </w:r>
      <w:r w:rsidRPr="007858CD">
        <w:rPr>
          <w:rFonts w:cs="Arial"/>
          <w:color w:val="auto"/>
          <w:sz w:val="20"/>
          <w:szCs w:val="20"/>
        </w:rPr>
        <w:t>ravel and subsistence as per the Estimates of National Expenditure for 2</w:t>
      </w:r>
      <w:r w:rsidR="00840EDE" w:rsidRPr="007858CD">
        <w:rPr>
          <w:rFonts w:cs="Arial"/>
          <w:color w:val="auto"/>
          <w:sz w:val="20"/>
          <w:szCs w:val="20"/>
        </w:rPr>
        <w:t>022</w:t>
      </w:r>
      <w:r w:rsidRPr="007858CD">
        <w:rPr>
          <w:rFonts w:cs="Arial"/>
          <w:color w:val="auto"/>
          <w:sz w:val="20"/>
          <w:szCs w:val="20"/>
        </w:rPr>
        <w:t>.</w:t>
      </w:r>
      <w:r w:rsidR="00666874" w:rsidRPr="007858CD">
        <w:rPr>
          <w:rFonts w:cs="Arial"/>
          <w:color w:val="auto"/>
          <w:sz w:val="20"/>
          <w:szCs w:val="20"/>
        </w:rPr>
        <w:t xml:space="preserve"> The other main costs drivers under Goods and services are as follows:</w:t>
      </w:r>
    </w:p>
    <w:p w:rsidR="00B35B1A" w:rsidRPr="007858CD" w:rsidRDefault="00B35B1A" w:rsidP="007858CD">
      <w:pPr>
        <w:rPr>
          <w:rFonts w:cs="Arial"/>
          <w:color w:val="auto"/>
          <w:sz w:val="20"/>
          <w:szCs w:val="20"/>
        </w:rPr>
      </w:pPr>
    </w:p>
    <w:p w:rsidR="00666874" w:rsidRPr="007858CD" w:rsidRDefault="007C0E53" w:rsidP="007858CD">
      <w:pPr>
        <w:pStyle w:val="ListParagraph"/>
        <w:numPr>
          <w:ilvl w:val="0"/>
          <w:numId w:val="10"/>
        </w:numPr>
        <w:rPr>
          <w:rFonts w:cs="Arial"/>
          <w:color w:val="auto"/>
          <w:sz w:val="20"/>
          <w:szCs w:val="20"/>
        </w:rPr>
      </w:pPr>
      <w:r w:rsidRPr="007858CD">
        <w:rPr>
          <w:rFonts w:cs="Arial"/>
          <w:color w:val="auto"/>
          <w:sz w:val="20"/>
          <w:szCs w:val="20"/>
        </w:rPr>
        <w:t>Catering: Departmental activities – R</w:t>
      </w:r>
      <w:r w:rsidR="009D203A" w:rsidRPr="007858CD">
        <w:rPr>
          <w:rFonts w:cs="Arial"/>
          <w:color w:val="auto"/>
          <w:sz w:val="20"/>
          <w:szCs w:val="20"/>
        </w:rPr>
        <w:t>2.2</w:t>
      </w:r>
      <w:r w:rsidRPr="007858CD">
        <w:rPr>
          <w:rFonts w:cs="Arial"/>
          <w:color w:val="auto"/>
          <w:sz w:val="20"/>
          <w:szCs w:val="20"/>
        </w:rPr>
        <w:t xml:space="preserve"> million</w:t>
      </w:r>
    </w:p>
    <w:p w:rsidR="007C0E53" w:rsidRPr="007858CD" w:rsidRDefault="007C0E53" w:rsidP="007858CD">
      <w:pPr>
        <w:pStyle w:val="ListParagraph"/>
        <w:numPr>
          <w:ilvl w:val="0"/>
          <w:numId w:val="10"/>
        </w:numPr>
        <w:rPr>
          <w:rFonts w:cs="Arial"/>
          <w:color w:val="auto"/>
          <w:sz w:val="20"/>
          <w:szCs w:val="20"/>
        </w:rPr>
      </w:pPr>
      <w:r w:rsidRPr="007858CD">
        <w:rPr>
          <w:rFonts w:cs="Arial"/>
          <w:color w:val="auto"/>
          <w:sz w:val="20"/>
          <w:szCs w:val="20"/>
        </w:rPr>
        <w:t>Consultants: Business and advisory services – R</w:t>
      </w:r>
      <w:r w:rsidR="009D203A" w:rsidRPr="007858CD">
        <w:rPr>
          <w:rFonts w:cs="Arial"/>
          <w:color w:val="auto"/>
          <w:sz w:val="20"/>
          <w:szCs w:val="20"/>
        </w:rPr>
        <w:t>2.4</w:t>
      </w:r>
      <w:r w:rsidRPr="007858CD">
        <w:rPr>
          <w:rFonts w:cs="Arial"/>
          <w:color w:val="auto"/>
          <w:sz w:val="20"/>
          <w:szCs w:val="20"/>
        </w:rPr>
        <w:t xml:space="preserve"> million</w:t>
      </w:r>
    </w:p>
    <w:p w:rsidR="009D203A" w:rsidRPr="007858CD" w:rsidRDefault="009D203A" w:rsidP="007858CD">
      <w:pPr>
        <w:pStyle w:val="ListParagraph"/>
        <w:numPr>
          <w:ilvl w:val="0"/>
          <w:numId w:val="10"/>
        </w:numPr>
        <w:rPr>
          <w:rFonts w:cs="Arial"/>
          <w:color w:val="auto"/>
          <w:sz w:val="20"/>
          <w:szCs w:val="20"/>
        </w:rPr>
      </w:pPr>
      <w:r w:rsidRPr="007858CD">
        <w:rPr>
          <w:rFonts w:cs="Arial"/>
          <w:color w:val="auto"/>
          <w:sz w:val="20"/>
          <w:szCs w:val="20"/>
        </w:rPr>
        <w:t>Transport provided: Departmental activity – R2 million</w:t>
      </w:r>
    </w:p>
    <w:p w:rsidR="009D203A" w:rsidRPr="007858CD" w:rsidRDefault="009D203A" w:rsidP="007858CD">
      <w:pPr>
        <w:pStyle w:val="ListParagraph"/>
        <w:numPr>
          <w:ilvl w:val="0"/>
          <w:numId w:val="10"/>
        </w:numPr>
        <w:rPr>
          <w:rFonts w:cs="Arial"/>
          <w:color w:val="auto"/>
          <w:sz w:val="20"/>
          <w:szCs w:val="20"/>
        </w:rPr>
      </w:pPr>
      <w:r w:rsidRPr="007858CD">
        <w:rPr>
          <w:rFonts w:cs="Arial"/>
          <w:color w:val="auto"/>
          <w:sz w:val="20"/>
          <w:szCs w:val="20"/>
        </w:rPr>
        <w:lastRenderedPageBreak/>
        <w:t>Venue and facilities – R2 million</w:t>
      </w:r>
    </w:p>
    <w:p w:rsidR="0097576C" w:rsidRPr="007858CD" w:rsidRDefault="0097576C" w:rsidP="007858CD">
      <w:pPr>
        <w:rPr>
          <w:rFonts w:cs="Arial"/>
          <w:b/>
          <w:color w:val="auto"/>
          <w:sz w:val="20"/>
          <w:szCs w:val="20"/>
        </w:rPr>
      </w:pPr>
    </w:p>
    <w:p w:rsidR="00EF0384" w:rsidRPr="007858CD" w:rsidRDefault="00EF0384" w:rsidP="007858CD">
      <w:pPr>
        <w:rPr>
          <w:rFonts w:cs="Arial"/>
          <w:color w:val="auto"/>
          <w:sz w:val="20"/>
          <w:szCs w:val="20"/>
          <w:lang w:val="en-US"/>
        </w:rPr>
      </w:pPr>
      <w:r w:rsidRPr="007858CD">
        <w:rPr>
          <w:rFonts w:cs="Arial"/>
          <w:color w:val="auto"/>
          <w:sz w:val="20"/>
          <w:szCs w:val="20"/>
          <w:lang w:val="en-US"/>
        </w:rPr>
        <w:t xml:space="preserve">This programme has </w:t>
      </w:r>
      <w:r w:rsidR="00840EDE" w:rsidRPr="007858CD">
        <w:rPr>
          <w:rFonts w:cs="Arial"/>
          <w:color w:val="auto"/>
          <w:sz w:val="20"/>
          <w:szCs w:val="20"/>
          <w:lang w:val="en-US"/>
        </w:rPr>
        <w:t>26</w:t>
      </w:r>
      <w:r w:rsidRPr="007858CD">
        <w:rPr>
          <w:rFonts w:cs="Arial"/>
          <w:color w:val="auto"/>
          <w:sz w:val="20"/>
          <w:szCs w:val="20"/>
          <w:lang w:val="en-US"/>
        </w:rPr>
        <w:t xml:space="preserve"> posts and is earmarked to achieve </w:t>
      </w:r>
      <w:r w:rsidR="00840EDE" w:rsidRPr="007858CD">
        <w:rPr>
          <w:rFonts w:cs="Arial"/>
          <w:color w:val="auto"/>
          <w:sz w:val="20"/>
          <w:szCs w:val="20"/>
          <w:lang w:val="en-US"/>
        </w:rPr>
        <w:t>12</w:t>
      </w:r>
      <w:r w:rsidRPr="007858CD">
        <w:rPr>
          <w:rFonts w:cs="Arial"/>
          <w:color w:val="auto"/>
          <w:sz w:val="20"/>
          <w:szCs w:val="20"/>
          <w:lang w:val="en-US"/>
        </w:rPr>
        <w:t xml:space="preserve"> annual targets for the current FY as listed below:</w:t>
      </w:r>
    </w:p>
    <w:p w:rsidR="00B74960" w:rsidRPr="007858CD" w:rsidRDefault="00B74960" w:rsidP="007858CD">
      <w:pPr>
        <w:rPr>
          <w:rFonts w:cs="Arial"/>
          <w:b/>
          <w:color w:val="auto"/>
          <w:sz w:val="20"/>
          <w:szCs w:val="20"/>
        </w:rPr>
      </w:pP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1 Status Report on the implementation of the National Gender Policy Framework developed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 xml:space="preserve">1 Status Report on the implementation of the Regulatory Framework for </w:t>
      </w:r>
      <w:r w:rsidR="00515FAC" w:rsidRPr="007858CD">
        <w:rPr>
          <w:rFonts w:cs="Arial"/>
          <w:color w:val="auto"/>
          <w:sz w:val="20"/>
          <w:szCs w:val="20"/>
        </w:rPr>
        <w:t>Women, Youth and Persons with Disabilities (</w:t>
      </w:r>
      <w:r w:rsidRPr="007858CD">
        <w:rPr>
          <w:rFonts w:cs="Arial"/>
          <w:color w:val="auto"/>
          <w:sz w:val="20"/>
          <w:szCs w:val="20"/>
        </w:rPr>
        <w:t>WYPD</w:t>
      </w:r>
      <w:r w:rsidR="00515FAC" w:rsidRPr="007858CD">
        <w:rPr>
          <w:rFonts w:cs="Arial"/>
          <w:color w:val="auto"/>
          <w:sz w:val="20"/>
          <w:szCs w:val="20"/>
        </w:rPr>
        <w:t>)</w:t>
      </w:r>
      <w:r w:rsidRPr="007858CD">
        <w:rPr>
          <w:rFonts w:cs="Arial"/>
          <w:color w:val="auto"/>
          <w:sz w:val="20"/>
          <w:szCs w:val="20"/>
        </w:rPr>
        <w:t xml:space="preserve"> mainstreaming developed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2 Progress reports on the piloting of the Integrated Knowledge Hub developed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1 Research report on government priorities produced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2 reports on compliance of government commitments with international and regional commitments of women produced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50% of national departments implementing GRPBMEAF</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1 monitoring report on the empowerment of women, youth and persons with disabilities produced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1 evaluation conducted on empowerment of WYPD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4 status reports on the implementation of the WYPD International Relations Strategy Developed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2 progress reports developed on the implementation of the WYPD Stakeholder Management Framework</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12 Stakeholder engagements conducted</w:t>
      </w:r>
    </w:p>
    <w:p w:rsidR="009D203A" w:rsidRPr="007858CD" w:rsidRDefault="009D203A" w:rsidP="007858CD">
      <w:pPr>
        <w:pStyle w:val="ListParagraph"/>
        <w:numPr>
          <w:ilvl w:val="0"/>
          <w:numId w:val="40"/>
        </w:numPr>
        <w:rPr>
          <w:rFonts w:cs="Arial"/>
          <w:color w:val="auto"/>
          <w:sz w:val="20"/>
          <w:szCs w:val="20"/>
        </w:rPr>
      </w:pPr>
      <w:r w:rsidRPr="007858CD">
        <w:rPr>
          <w:rFonts w:cs="Arial"/>
          <w:color w:val="auto"/>
          <w:sz w:val="20"/>
          <w:szCs w:val="20"/>
        </w:rPr>
        <w:t>4 community mobilisation initiatives conducted</w:t>
      </w:r>
    </w:p>
    <w:p w:rsidR="009D203A" w:rsidRPr="007858CD" w:rsidRDefault="009D203A" w:rsidP="007858CD">
      <w:pPr>
        <w:rPr>
          <w:rFonts w:cs="Arial"/>
          <w:b/>
          <w:color w:val="auto"/>
          <w:sz w:val="20"/>
          <w:szCs w:val="20"/>
        </w:rPr>
      </w:pPr>
    </w:p>
    <w:p w:rsidR="00B74960" w:rsidRPr="007858CD" w:rsidRDefault="00840EDE" w:rsidP="007858CD">
      <w:pPr>
        <w:rPr>
          <w:rFonts w:cs="Arial"/>
          <w:color w:val="auto"/>
          <w:sz w:val="20"/>
          <w:szCs w:val="20"/>
        </w:rPr>
      </w:pPr>
      <w:r w:rsidRPr="007858CD">
        <w:rPr>
          <w:rFonts w:cs="Arial"/>
          <w:color w:val="auto"/>
          <w:sz w:val="20"/>
          <w:szCs w:val="20"/>
        </w:rPr>
        <w:t>This programme had undergone name changes and structural changes to its sub-programmes</w:t>
      </w:r>
      <w:r w:rsidR="0096646C" w:rsidRPr="007858CD">
        <w:rPr>
          <w:rFonts w:cs="Arial"/>
          <w:color w:val="auto"/>
          <w:sz w:val="20"/>
          <w:szCs w:val="20"/>
        </w:rPr>
        <w:t xml:space="preserve"> when compared to the APP of 2021/22</w:t>
      </w:r>
      <w:r w:rsidRPr="007858CD">
        <w:rPr>
          <w:rFonts w:cs="Arial"/>
          <w:color w:val="auto"/>
          <w:sz w:val="20"/>
          <w:szCs w:val="20"/>
        </w:rPr>
        <w:t xml:space="preserve">. </w:t>
      </w:r>
    </w:p>
    <w:p w:rsidR="007903CF" w:rsidRPr="007858CD" w:rsidRDefault="007903CF" w:rsidP="007858CD">
      <w:pPr>
        <w:rPr>
          <w:rFonts w:cs="Arial"/>
          <w:b/>
          <w:color w:val="auto"/>
          <w:sz w:val="20"/>
          <w:szCs w:val="20"/>
        </w:rPr>
      </w:pPr>
    </w:p>
    <w:p w:rsidR="00883452" w:rsidRPr="007858CD" w:rsidRDefault="002E02E3" w:rsidP="007858CD">
      <w:pPr>
        <w:rPr>
          <w:rFonts w:cs="Arial"/>
          <w:b/>
          <w:color w:val="auto"/>
          <w:sz w:val="20"/>
          <w:szCs w:val="20"/>
        </w:rPr>
      </w:pPr>
      <w:r w:rsidRPr="007858CD">
        <w:rPr>
          <w:rFonts w:cs="Arial"/>
          <w:b/>
          <w:color w:val="auto"/>
          <w:sz w:val="20"/>
          <w:szCs w:val="20"/>
        </w:rPr>
        <w:t>3</w:t>
      </w:r>
      <w:r w:rsidR="0097576C" w:rsidRPr="007858CD">
        <w:rPr>
          <w:rFonts w:cs="Arial"/>
          <w:b/>
          <w:color w:val="auto"/>
          <w:sz w:val="20"/>
          <w:szCs w:val="20"/>
        </w:rPr>
        <w:t>.4   Programme 4</w:t>
      </w:r>
      <w:r w:rsidR="0096646C" w:rsidRPr="007858CD">
        <w:rPr>
          <w:rFonts w:cs="Arial"/>
          <w:b/>
          <w:color w:val="auto"/>
          <w:sz w:val="20"/>
          <w:szCs w:val="20"/>
        </w:rPr>
        <w:t>: Mainstreaming Youth and Persons with Disabilities Rights and Advocacy</w:t>
      </w:r>
      <w:r w:rsidR="007903CF" w:rsidRPr="007858CD">
        <w:rPr>
          <w:rFonts w:cs="Arial"/>
          <w:b/>
          <w:color w:val="auto"/>
          <w:sz w:val="20"/>
          <w:szCs w:val="20"/>
        </w:rPr>
        <w:t xml:space="preserve"> </w:t>
      </w:r>
    </w:p>
    <w:p w:rsidR="00883452" w:rsidRPr="007858CD" w:rsidRDefault="00883452" w:rsidP="007858CD">
      <w:pPr>
        <w:rPr>
          <w:rFonts w:cs="Arial"/>
          <w:color w:val="auto"/>
          <w:sz w:val="20"/>
          <w:szCs w:val="20"/>
        </w:rPr>
      </w:pPr>
    </w:p>
    <w:p w:rsidR="0096646C" w:rsidRPr="007858CD" w:rsidRDefault="00883452" w:rsidP="007858CD">
      <w:pPr>
        <w:rPr>
          <w:rFonts w:cs="Arial"/>
          <w:color w:val="auto"/>
          <w:sz w:val="20"/>
          <w:szCs w:val="20"/>
          <w:lang w:val="en-ZA"/>
        </w:rPr>
      </w:pPr>
      <w:r w:rsidRPr="007858CD">
        <w:rPr>
          <w:rFonts w:cs="Arial"/>
          <w:color w:val="auto"/>
          <w:sz w:val="20"/>
          <w:szCs w:val="20"/>
        </w:rPr>
        <w:t>The purpose of Programme 4</w:t>
      </w:r>
      <w:r w:rsidR="004F78D1" w:rsidRPr="007858CD">
        <w:rPr>
          <w:rFonts w:cs="Arial"/>
          <w:color w:val="auto"/>
          <w:sz w:val="20"/>
          <w:szCs w:val="20"/>
        </w:rPr>
        <w:t xml:space="preserve"> is to</w:t>
      </w:r>
      <w:r w:rsidR="004F78D1" w:rsidRPr="007858CD">
        <w:rPr>
          <w:rFonts w:cs="Arial"/>
          <w:color w:val="auto"/>
          <w:sz w:val="20"/>
          <w:szCs w:val="20"/>
          <w:lang w:val="en-ZA"/>
        </w:rPr>
        <w:t xml:space="preserve"> </w:t>
      </w:r>
      <w:r w:rsidR="0096646C" w:rsidRPr="007858CD">
        <w:rPr>
          <w:rFonts w:cs="Arial"/>
          <w:color w:val="auto"/>
          <w:sz w:val="20"/>
          <w:szCs w:val="20"/>
          <w:lang w:val="en-ZA"/>
        </w:rPr>
        <w:t xml:space="preserve">promote good governance regarding the rights and transformation of the social and economic empowerment of youth and persons with disabilities. The objectives of the programme </w:t>
      </w:r>
      <w:r w:rsidR="00D8773F" w:rsidRPr="007858CD">
        <w:rPr>
          <w:rFonts w:cs="Arial"/>
          <w:color w:val="auto"/>
          <w:sz w:val="20"/>
          <w:szCs w:val="20"/>
          <w:lang w:val="en-ZA"/>
        </w:rPr>
        <w:t>are</w:t>
      </w:r>
      <w:r w:rsidR="0096646C" w:rsidRPr="007858CD">
        <w:rPr>
          <w:rFonts w:cs="Arial"/>
          <w:color w:val="auto"/>
          <w:sz w:val="20"/>
          <w:szCs w:val="20"/>
          <w:lang w:val="en-ZA"/>
        </w:rPr>
        <w:t xml:space="preserve"> as follows:</w:t>
      </w:r>
    </w:p>
    <w:p w:rsidR="0096646C" w:rsidRPr="007858CD" w:rsidRDefault="0096646C" w:rsidP="007858CD">
      <w:pPr>
        <w:rPr>
          <w:rFonts w:cs="Arial"/>
          <w:color w:val="auto"/>
          <w:sz w:val="20"/>
          <w:szCs w:val="20"/>
          <w:lang w:val="en-ZA"/>
        </w:rPr>
      </w:pPr>
    </w:p>
    <w:p w:rsidR="0096646C" w:rsidRPr="007858CD" w:rsidRDefault="0096646C" w:rsidP="007858CD">
      <w:pPr>
        <w:pStyle w:val="ListParagraph"/>
        <w:numPr>
          <w:ilvl w:val="0"/>
          <w:numId w:val="41"/>
        </w:numPr>
        <w:rPr>
          <w:rFonts w:cs="Arial"/>
          <w:color w:val="auto"/>
          <w:sz w:val="20"/>
          <w:szCs w:val="20"/>
          <w:lang w:val="en-ZA"/>
        </w:rPr>
      </w:pPr>
      <w:r w:rsidRPr="007858CD">
        <w:rPr>
          <w:rFonts w:cs="Arial"/>
          <w:color w:val="auto"/>
          <w:sz w:val="20"/>
          <w:szCs w:val="20"/>
          <w:lang w:val="en-ZA"/>
        </w:rPr>
        <w:t>Promote the development and empowerment of young people by reviewing legislative frameworks to advance their rights over the medium term.</w:t>
      </w:r>
    </w:p>
    <w:p w:rsidR="0096646C" w:rsidRPr="007858CD" w:rsidRDefault="0096646C" w:rsidP="007858CD">
      <w:pPr>
        <w:pStyle w:val="ListParagraph"/>
        <w:numPr>
          <w:ilvl w:val="0"/>
          <w:numId w:val="41"/>
        </w:numPr>
        <w:rPr>
          <w:rFonts w:cs="Arial"/>
          <w:color w:val="auto"/>
          <w:sz w:val="20"/>
          <w:szCs w:val="20"/>
          <w:lang w:val="en-ZA"/>
        </w:rPr>
      </w:pPr>
      <w:r w:rsidRPr="007858CD">
        <w:rPr>
          <w:rFonts w:cs="Arial"/>
          <w:color w:val="auto"/>
          <w:sz w:val="20"/>
          <w:szCs w:val="20"/>
          <w:lang w:val="en-ZA"/>
        </w:rPr>
        <w:t>Support, monitor and coordinate government’s implementation of the 2015 White Paper on the Rights of Persons with Disabilities.</w:t>
      </w:r>
    </w:p>
    <w:p w:rsidR="0096646C" w:rsidRPr="007858CD" w:rsidRDefault="0096646C" w:rsidP="007858CD">
      <w:pPr>
        <w:rPr>
          <w:rFonts w:cs="Arial"/>
          <w:color w:val="auto"/>
          <w:sz w:val="20"/>
          <w:szCs w:val="20"/>
          <w:lang w:val="en-ZA"/>
        </w:rPr>
      </w:pPr>
    </w:p>
    <w:p w:rsidR="0096646C" w:rsidRPr="007858CD" w:rsidRDefault="0096646C" w:rsidP="007858CD">
      <w:pPr>
        <w:rPr>
          <w:rFonts w:cs="Arial"/>
          <w:color w:val="auto"/>
          <w:sz w:val="20"/>
          <w:szCs w:val="20"/>
          <w:lang w:val="en-ZA"/>
        </w:rPr>
      </w:pPr>
      <w:r w:rsidRPr="007858CD">
        <w:rPr>
          <w:rFonts w:cs="Arial"/>
          <w:color w:val="auto"/>
          <w:sz w:val="20"/>
          <w:szCs w:val="20"/>
          <w:lang w:val="en-ZA"/>
        </w:rPr>
        <w:t>This programme is comprised of 4 sub-programmes namely;</w:t>
      </w:r>
    </w:p>
    <w:p w:rsidR="0096646C" w:rsidRPr="007858CD" w:rsidRDefault="0096646C" w:rsidP="007858CD">
      <w:pPr>
        <w:pStyle w:val="ListParagraph"/>
        <w:numPr>
          <w:ilvl w:val="0"/>
          <w:numId w:val="42"/>
        </w:numPr>
        <w:rPr>
          <w:rFonts w:cs="Arial"/>
          <w:color w:val="auto"/>
          <w:sz w:val="20"/>
          <w:szCs w:val="20"/>
          <w:lang w:val="en-ZA"/>
        </w:rPr>
      </w:pPr>
      <w:r w:rsidRPr="007858CD">
        <w:rPr>
          <w:rFonts w:cs="Arial"/>
          <w:i/>
          <w:iCs/>
          <w:color w:val="auto"/>
          <w:sz w:val="20"/>
          <w:szCs w:val="20"/>
          <w:lang w:val="en-ZA"/>
        </w:rPr>
        <w:t xml:space="preserve">Management: Advocacy and Mainstreaming for the Rights of Youth and Persons with Disabilities </w:t>
      </w:r>
      <w:r w:rsidRPr="007858CD">
        <w:rPr>
          <w:rFonts w:cs="Arial"/>
          <w:color w:val="auto"/>
          <w:sz w:val="20"/>
          <w:szCs w:val="20"/>
          <w:lang w:val="en-ZA"/>
        </w:rPr>
        <w:t>provides strategic leadership and management to the programme.</w:t>
      </w:r>
    </w:p>
    <w:p w:rsidR="0096646C" w:rsidRPr="007858CD" w:rsidRDefault="0096646C" w:rsidP="007858CD">
      <w:pPr>
        <w:pStyle w:val="ListParagraph"/>
        <w:numPr>
          <w:ilvl w:val="0"/>
          <w:numId w:val="42"/>
        </w:numPr>
        <w:rPr>
          <w:rFonts w:cs="Arial"/>
          <w:color w:val="auto"/>
          <w:sz w:val="20"/>
          <w:szCs w:val="20"/>
          <w:lang w:val="en-ZA"/>
        </w:rPr>
      </w:pPr>
      <w:r w:rsidRPr="007858CD">
        <w:rPr>
          <w:rFonts w:cs="Arial"/>
          <w:i/>
          <w:iCs/>
          <w:color w:val="auto"/>
          <w:sz w:val="20"/>
          <w:szCs w:val="20"/>
          <w:lang w:val="en-ZA"/>
        </w:rPr>
        <w:t xml:space="preserve">Advocacy and Mainstreaming for the Rights of Youth </w:t>
      </w:r>
      <w:r w:rsidRPr="007858CD">
        <w:rPr>
          <w:rFonts w:cs="Arial"/>
          <w:color w:val="auto"/>
          <w:sz w:val="20"/>
          <w:szCs w:val="20"/>
          <w:lang w:val="en-ZA"/>
        </w:rPr>
        <w:t>manages advocacy for and the mainstreaming of rights for young people, their social and economic empowerment, and transformation in their interests. This sub-programme also oversees the performance of the National Youth Development Agency.</w:t>
      </w:r>
    </w:p>
    <w:p w:rsidR="0096646C" w:rsidRPr="007858CD" w:rsidRDefault="0096646C" w:rsidP="007858CD">
      <w:pPr>
        <w:pStyle w:val="ListParagraph"/>
        <w:numPr>
          <w:ilvl w:val="0"/>
          <w:numId w:val="42"/>
        </w:numPr>
        <w:rPr>
          <w:rFonts w:cs="Arial"/>
          <w:color w:val="auto"/>
          <w:sz w:val="20"/>
          <w:szCs w:val="20"/>
          <w:lang w:val="en-ZA"/>
        </w:rPr>
      </w:pPr>
      <w:r w:rsidRPr="007858CD">
        <w:rPr>
          <w:rFonts w:cs="Arial"/>
          <w:i/>
          <w:iCs/>
          <w:color w:val="auto"/>
          <w:sz w:val="20"/>
          <w:szCs w:val="20"/>
          <w:lang w:val="en-ZA"/>
        </w:rPr>
        <w:t xml:space="preserve">Advocacy and Mainstreaming for the Rights of Persons with Disabilities </w:t>
      </w:r>
      <w:r w:rsidRPr="007858CD">
        <w:rPr>
          <w:rFonts w:cs="Arial"/>
          <w:color w:val="auto"/>
          <w:sz w:val="20"/>
          <w:szCs w:val="20"/>
          <w:lang w:val="en-ZA"/>
        </w:rPr>
        <w:t>advocates for and the mainstreaming of rights for people with disabilities, their social and economic empowerment, and transformation in their interests.</w:t>
      </w:r>
    </w:p>
    <w:p w:rsidR="0096646C" w:rsidRPr="007858CD" w:rsidRDefault="0096646C" w:rsidP="007858CD">
      <w:pPr>
        <w:pStyle w:val="ListParagraph"/>
        <w:numPr>
          <w:ilvl w:val="0"/>
          <w:numId w:val="42"/>
        </w:numPr>
        <w:rPr>
          <w:rFonts w:cs="Arial"/>
          <w:color w:val="auto"/>
          <w:sz w:val="20"/>
          <w:szCs w:val="20"/>
          <w:lang w:val="en-ZA"/>
        </w:rPr>
      </w:pPr>
      <w:r w:rsidRPr="007858CD">
        <w:rPr>
          <w:rFonts w:cs="Arial"/>
          <w:i/>
          <w:iCs/>
          <w:color w:val="auto"/>
          <w:sz w:val="20"/>
          <w:szCs w:val="20"/>
          <w:lang w:val="en-ZA"/>
        </w:rPr>
        <w:t xml:space="preserve">National Youth Development Agency </w:t>
      </w:r>
      <w:r w:rsidRPr="007858CD">
        <w:rPr>
          <w:rFonts w:cs="Arial"/>
          <w:color w:val="auto"/>
          <w:sz w:val="20"/>
          <w:szCs w:val="20"/>
          <w:lang w:val="en-ZA"/>
        </w:rPr>
        <w:t>makes transfers to the National Youth Development Agency.</w:t>
      </w:r>
    </w:p>
    <w:p w:rsidR="0096646C" w:rsidRPr="007858CD" w:rsidRDefault="0096646C" w:rsidP="007858CD">
      <w:pPr>
        <w:rPr>
          <w:rFonts w:cs="Arial"/>
          <w:color w:val="auto"/>
          <w:sz w:val="20"/>
          <w:szCs w:val="20"/>
          <w:lang w:val="en-ZA"/>
        </w:rPr>
      </w:pPr>
    </w:p>
    <w:p w:rsidR="008F085F" w:rsidRPr="007858CD" w:rsidRDefault="00B74960" w:rsidP="007858CD">
      <w:pPr>
        <w:rPr>
          <w:rFonts w:cs="Arial"/>
          <w:color w:val="auto"/>
          <w:sz w:val="20"/>
          <w:szCs w:val="20"/>
          <w:lang w:val="en-US"/>
        </w:rPr>
      </w:pPr>
      <w:r w:rsidRPr="007858CD">
        <w:rPr>
          <w:rFonts w:cs="Arial"/>
          <w:color w:val="auto"/>
          <w:sz w:val="20"/>
          <w:szCs w:val="20"/>
        </w:rPr>
        <w:t>The total allocation for this programme</w:t>
      </w:r>
      <w:r w:rsidR="0045255B" w:rsidRPr="007858CD">
        <w:rPr>
          <w:rFonts w:cs="Arial"/>
          <w:color w:val="auto"/>
          <w:sz w:val="20"/>
          <w:szCs w:val="20"/>
        </w:rPr>
        <w:t xml:space="preserve"> is R711.8 million which is inclusive of the transfer to the NYDA of</w:t>
      </w:r>
      <w:r w:rsidR="00612C34" w:rsidRPr="007858CD">
        <w:rPr>
          <w:rFonts w:cs="Arial"/>
          <w:color w:val="auto"/>
          <w:sz w:val="20"/>
          <w:szCs w:val="20"/>
        </w:rPr>
        <w:t xml:space="preserve"> R681.3 million. Its</w:t>
      </w:r>
      <w:r w:rsidR="0045255B" w:rsidRPr="007858CD">
        <w:rPr>
          <w:rFonts w:cs="Arial"/>
          <w:color w:val="auto"/>
          <w:sz w:val="20"/>
          <w:szCs w:val="20"/>
        </w:rPr>
        <w:t xml:space="preserve"> operational budget</w:t>
      </w:r>
      <w:r w:rsidRPr="007858CD">
        <w:rPr>
          <w:rFonts w:cs="Arial"/>
          <w:color w:val="auto"/>
          <w:sz w:val="20"/>
          <w:szCs w:val="20"/>
        </w:rPr>
        <w:t xml:space="preserve"> is R</w:t>
      </w:r>
      <w:r w:rsidR="0045255B" w:rsidRPr="007858CD">
        <w:rPr>
          <w:rFonts w:cs="Arial"/>
          <w:color w:val="auto"/>
          <w:sz w:val="20"/>
          <w:szCs w:val="20"/>
        </w:rPr>
        <w:t>30.4</w:t>
      </w:r>
      <w:r w:rsidRPr="007858CD">
        <w:rPr>
          <w:rFonts w:cs="Arial"/>
          <w:color w:val="auto"/>
          <w:sz w:val="20"/>
          <w:szCs w:val="20"/>
        </w:rPr>
        <w:t xml:space="preserve"> million </w:t>
      </w:r>
      <w:r w:rsidR="00612C34" w:rsidRPr="007858CD">
        <w:rPr>
          <w:rFonts w:cs="Arial"/>
          <w:color w:val="auto"/>
          <w:sz w:val="20"/>
          <w:szCs w:val="20"/>
        </w:rPr>
        <w:t xml:space="preserve">(less the NYDA transfer) </w:t>
      </w:r>
      <w:r w:rsidRPr="007858CD">
        <w:rPr>
          <w:rFonts w:cs="Arial"/>
          <w:color w:val="auto"/>
          <w:sz w:val="20"/>
          <w:szCs w:val="20"/>
        </w:rPr>
        <w:t xml:space="preserve">which constitutes </w:t>
      </w:r>
      <w:r w:rsidR="0045255B" w:rsidRPr="007858CD">
        <w:rPr>
          <w:rFonts w:cs="Arial"/>
          <w:color w:val="auto"/>
          <w:sz w:val="20"/>
          <w:szCs w:val="20"/>
        </w:rPr>
        <w:t>14.8</w:t>
      </w:r>
      <w:r w:rsidRPr="007858CD">
        <w:rPr>
          <w:rFonts w:cs="Arial"/>
          <w:color w:val="auto"/>
          <w:sz w:val="20"/>
          <w:szCs w:val="20"/>
        </w:rPr>
        <w:t>% of the Department’s operational budget -</w:t>
      </w:r>
      <w:r w:rsidR="00612C34" w:rsidRPr="007858CD">
        <w:rPr>
          <w:rFonts w:cs="Arial"/>
          <w:color w:val="auto"/>
          <w:sz w:val="20"/>
          <w:szCs w:val="20"/>
        </w:rPr>
        <w:t xml:space="preserve"> also</w:t>
      </w:r>
      <w:r w:rsidRPr="007858CD">
        <w:rPr>
          <w:rFonts w:cs="Arial"/>
          <w:color w:val="auto"/>
          <w:sz w:val="20"/>
          <w:szCs w:val="20"/>
        </w:rPr>
        <w:t xml:space="preserve"> the smallest allocation. This allocation is R</w:t>
      </w:r>
      <w:r w:rsidR="0045255B" w:rsidRPr="007858CD">
        <w:rPr>
          <w:rFonts w:cs="Arial"/>
          <w:color w:val="auto"/>
          <w:sz w:val="20"/>
          <w:szCs w:val="20"/>
        </w:rPr>
        <w:t>2.2</w:t>
      </w:r>
      <w:r w:rsidRPr="007858CD">
        <w:rPr>
          <w:rFonts w:cs="Arial"/>
          <w:color w:val="auto"/>
          <w:sz w:val="20"/>
          <w:szCs w:val="20"/>
        </w:rPr>
        <w:t xml:space="preserve"> million more than in the 202</w:t>
      </w:r>
      <w:r w:rsidR="006A0F2D" w:rsidRPr="007858CD">
        <w:rPr>
          <w:rFonts w:cs="Arial"/>
          <w:color w:val="auto"/>
          <w:sz w:val="20"/>
          <w:szCs w:val="20"/>
        </w:rPr>
        <w:t>21/22</w:t>
      </w:r>
      <w:r w:rsidRPr="007858CD">
        <w:rPr>
          <w:rFonts w:cs="Arial"/>
          <w:color w:val="auto"/>
          <w:sz w:val="20"/>
          <w:szCs w:val="20"/>
        </w:rPr>
        <w:t xml:space="preserve"> financial year.</w:t>
      </w:r>
      <w:r w:rsidR="00612C34" w:rsidRPr="007858CD">
        <w:rPr>
          <w:rStyle w:val="FootnoteReference"/>
          <w:rFonts w:cs="Arial"/>
          <w:color w:val="auto"/>
          <w:sz w:val="20"/>
          <w:szCs w:val="20"/>
        </w:rPr>
        <w:footnoteReference w:id="15"/>
      </w:r>
      <w:r w:rsidRPr="007858CD">
        <w:rPr>
          <w:rFonts w:cs="Arial"/>
          <w:color w:val="auto"/>
          <w:sz w:val="20"/>
          <w:szCs w:val="20"/>
        </w:rPr>
        <w:t xml:space="preserve"> However, when taking into consideration the Real Rand change, this programme only sees</w:t>
      </w:r>
      <w:r w:rsidR="00781924" w:rsidRPr="007858CD">
        <w:rPr>
          <w:rFonts w:cs="Arial"/>
          <w:color w:val="auto"/>
          <w:sz w:val="20"/>
          <w:szCs w:val="20"/>
        </w:rPr>
        <w:t xml:space="preserve"> an</w:t>
      </w:r>
      <w:r w:rsidRPr="007858CD">
        <w:rPr>
          <w:rFonts w:cs="Arial"/>
          <w:color w:val="auto"/>
          <w:sz w:val="20"/>
          <w:szCs w:val="20"/>
        </w:rPr>
        <w:t xml:space="preserve"> increase of </w:t>
      </w:r>
      <w:r w:rsidR="0045255B" w:rsidRPr="007858CD">
        <w:rPr>
          <w:rFonts w:cs="Arial"/>
          <w:color w:val="auto"/>
          <w:sz w:val="20"/>
          <w:szCs w:val="20"/>
        </w:rPr>
        <w:t>3.11</w:t>
      </w:r>
      <w:r w:rsidRPr="007858CD">
        <w:rPr>
          <w:rFonts w:cs="Arial"/>
          <w:color w:val="auto"/>
          <w:sz w:val="20"/>
          <w:szCs w:val="20"/>
        </w:rPr>
        <w:t>% to its allocation which amounts to R</w:t>
      </w:r>
      <w:r w:rsidR="00612C34" w:rsidRPr="007858CD">
        <w:rPr>
          <w:rFonts w:cs="Arial"/>
          <w:color w:val="auto"/>
          <w:sz w:val="20"/>
          <w:szCs w:val="20"/>
        </w:rPr>
        <w:t xml:space="preserve"> </w:t>
      </w:r>
      <w:r w:rsidR="0045255B" w:rsidRPr="007858CD">
        <w:rPr>
          <w:rFonts w:cs="Arial"/>
          <w:color w:val="auto"/>
          <w:sz w:val="20"/>
          <w:szCs w:val="20"/>
        </w:rPr>
        <w:t xml:space="preserve">900 </w:t>
      </w:r>
      <w:r w:rsidR="00612C34" w:rsidRPr="007858CD">
        <w:rPr>
          <w:rFonts w:cs="Arial"/>
          <w:color w:val="auto"/>
          <w:sz w:val="20"/>
          <w:szCs w:val="20"/>
        </w:rPr>
        <w:t>0</w:t>
      </w:r>
      <w:r w:rsidR="0045255B" w:rsidRPr="007858CD">
        <w:rPr>
          <w:rFonts w:cs="Arial"/>
          <w:color w:val="auto"/>
          <w:sz w:val="20"/>
          <w:szCs w:val="20"/>
        </w:rPr>
        <w:t>00</w:t>
      </w:r>
      <w:r w:rsidRPr="007858CD">
        <w:rPr>
          <w:rFonts w:cs="Arial"/>
          <w:color w:val="auto"/>
          <w:sz w:val="20"/>
          <w:szCs w:val="20"/>
        </w:rPr>
        <w:t>.</w:t>
      </w:r>
      <w:r w:rsidR="00612C34" w:rsidRPr="007858CD">
        <w:rPr>
          <w:rStyle w:val="FootnoteReference"/>
          <w:rFonts w:cs="Arial"/>
          <w:color w:val="auto"/>
          <w:sz w:val="20"/>
          <w:szCs w:val="20"/>
        </w:rPr>
        <w:footnoteReference w:id="16"/>
      </w:r>
      <w:r w:rsidR="008F085F" w:rsidRPr="007858CD">
        <w:rPr>
          <w:rFonts w:cs="Arial"/>
          <w:color w:val="auto"/>
          <w:sz w:val="20"/>
          <w:szCs w:val="20"/>
        </w:rPr>
        <w:t xml:space="preserve"> The </w:t>
      </w:r>
      <w:r w:rsidR="008F085F" w:rsidRPr="007858CD">
        <w:rPr>
          <w:rFonts w:cs="Arial"/>
          <w:color w:val="auto"/>
          <w:sz w:val="20"/>
          <w:szCs w:val="20"/>
          <w:lang w:val="en-US"/>
        </w:rPr>
        <w:t>Expenditure under Programme 4 is allocated as follows:</w:t>
      </w:r>
    </w:p>
    <w:p w:rsidR="008F085F" w:rsidRPr="007858CD" w:rsidRDefault="008F085F" w:rsidP="007858CD">
      <w:pPr>
        <w:rPr>
          <w:rFonts w:cs="Arial"/>
          <w:color w:val="auto"/>
          <w:sz w:val="20"/>
          <w:szCs w:val="20"/>
          <w:lang w:val="en-US"/>
        </w:rPr>
      </w:pPr>
    </w:p>
    <w:p w:rsidR="008F085F" w:rsidRPr="007858CD" w:rsidRDefault="008F085F" w:rsidP="007858CD">
      <w:pPr>
        <w:rPr>
          <w:rFonts w:cs="Arial"/>
          <w:b/>
          <w:color w:val="auto"/>
          <w:sz w:val="20"/>
          <w:szCs w:val="20"/>
        </w:rPr>
      </w:pPr>
      <w:r w:rsidRPr="007858CD">
        <w:rPr>
          <w:rFonts w:cs="Arial"/>
          <w:b/>
          <w:color w:val="auto"/>
          <w:sz w:val="20"/>
          <w:szCs w:val="20"/>
        </w:rPr>
        <w:t xml:space="preserve">Table 6: National Youth Development expenditure trends by sub-programme </w:t>
      </w:r>
    </w:p>
    <w:tbl>
      <w:tblPr>
        <w:tblStyle w:val="TableGrid"/>
        <w:tblW w:w="0" w:type="auto"/>
        <w:tblLook w:val="04A0"/>
      </w:tblPr>
      <w:tblGrid>
        <w:gridCol w:w="8075"/>
        <w:gridCol w:w="1553"/>
      </w:tblGrid>
      <w:tr w:rsidR="00DE4BA7" w:rsidRPr="007858CD" w:rsidTr="0091702F">
        <w:trPr>
          <w:trHeight w:val="244"/>
        </w:trPr>
        <w:tc>
          <w:tcPr>
            <w:tcW w:w="8075" w:type="dxa"/>
            <w:shd w:val="clear" w:color="auto" w:fill="BFBFBF" w:themeFill="background1" w:themeFillShade="BF"/>
          </w:tcPr>
          <w:p w:rsidR="008F085F" w:rsidRPr="007858CD" w:rsidRDefault="008F085F" w:rsidP="007858CD">
            <w:pPr>
              <w:rPr>
                <w:rFonts w:cs="Arial"/>
                <w:b/>
                <w:color w:val="auto"/>
                <w:sz w:val="20"/>
                <w:szCs w:val="20"/>
              </w:rPr>
            </w:pPr>
            <w:r w:rsidRPr="007858CD">
              <w:rPr>
                <w:rFonts w:cs="Arial"/>
                <w:b/>
                <w:color w:val="auto"/>
                <w:sz w:val="20"/>
                <w:szCs w:val="20"/>
              </w:rPr>
              <w:t>Sub-programme</w:t>
            </w:r>
          </w:p>
        </w:tc>
        <w:tc>
          <w:tcPr>
            <w:tcW w:w="1553" w:type="dxa"/>
            <w:shd w:val="clear" w:color="auto" w:fill="BFBFBF" w:themeFill="background1" w:themeFillShade="BF"/>
          </w:tcPr>
          <w:p w:rsidR="008F085F" w:rsidRPr="007858CD" w:rsidRDefault="008F085F" w:rsidP="007858CD">
            <w:pPr>
              <w:rPr>
                <w:rFonts w:cs="Arial"/>
                <w:b/>
                <w:color w:val="auto"/>
                <w:sz w:val="20"/>
                <w:szCs w:val="20"/>
              </w:rPr>
            </w:pPr>
            <w:r w:rsidRPr="007858CD">
              <w:rPr>
                <w:rFonts w:cs="Arial"/>
                <w:b/>
                <w:color w:val="auto"/>
                <w:sz w:val="20"/>
                <w:szCs w:val="20"/>
              </w:rPr>
              <w:t>2022/23</w:t>
            </w:r>
          </w:p>
        </w:tc>
      </w:tr>
      <w:tr w:rsidR="00DE4BA7" w:rsidRPr="007858CD" w:rsidTr="0091702F">
        <w:tc>
          <w:tcPr>
            <w:tcW w:w="8075" w:type="dxa"/>
          </w:tcPr>
          <w:p w:rsidR="008F085F" w:rsidRPr="007858CD" w:rsidRDefault="008F085F" w:rsidP="007858CD">
            <w:pPr>
              <w:rPr>
                <w:rFonts w:cs="Arial"/>
                <w:color w:val="auto"/>
                <w:sz w:val="20"/>
                <w:szCs w:val="20"/>
              </w:rPr>
            </w:pPr>
            <w:r w:rsidRPr="007858CD">
              <w:rPr>
                <w:rFonts w:cs="Arial"/>
                <w:color w:val="auto"/>
                <w:sz w:val="20"/>
                <w:szCs w:val="20"/>
              </w:rPr>
              <w:lastRenderedPageBreak/>
              <w:t>Management: Advocacy &amp; Mainstreaming for the Rights of Youth and Persons with Disabilities</w:t>
            </w:r>
          </w:p>
        </w:tc>
        <w:tc>
          <w:tcPr>
            <w:tcW w:w="1553" w:type="dxa"/>
          </w:tcPr>
          <w:p w:rsidR="008F085F" w:rsidRPr="007858CD" w:rsidRDefault="008F085F" w:rsidP="007858CD">
            <w:pPr>
              <w:rPr>
                <w:rFonts w:cs="Arial"/>
                <w:b/>
                <w:color w:val="auto"/>
                <w:sz w:val="20"/>
                <w:szCs w:val="20"/>
              </w:rPr>
            </w:pPr>
            <w:r w:rsidRPr="007858CD">
              <w:rPr>
                <w:rFonts w:cs="Arial"/>
                <w:b/>
                <w:color w:val="auto"/>
                <w:sz w:val="20"/>
                <w:szCs w:val="20"/>
              </w:rPr>
              <w:t>R1.3 m</w:t>
            </w:r>
          </w:p>
        </w:tc>
      </w:tr>
      <w:tr w:rsidR="00DE4BA7" w:rsidRPr="007858CD" w:rsidTr="0091702F">
        <w:tc>
          <w:tcPr>
            <w:tcW w:w="8075" w:type="dxa"/>
          </w:tcPr>
          <w:p w:rsidR="008F085F" w:rsidRPr="007858CD" w:rsidRDefault="008F085F" w:rsidP="007858CD">
            <w:pPr>
              <w:rPr>
                <w:rFonts w:cs="Arial"/>
                <w:color w:val="auto"/>
                <w:sz w:val="20"/>
                <w:szCs w:val="20"/>
              </w:rPr>
            </w:pPr>
            <w:r w:rsidRPr="007858CD">
              <w:rPr>
                <w:rFonts w:cs="Arial"/>
                <w:color w:val="auto"/>
                <w:sz w:val="20"/>
                <w:szCs w:val="20"/>
              </w:rPr>
              <w:t xml:space="preserve">Advocacy &amp; Mainstreaming for the Rights of Youth </w:t>
            </w:r>
          </w:p>
        </w:tc>
        <w:tc>
          <w:tcPr>
            <w:tcW w:w="1553" w:type="dxa"/>
          </w:tcPr>
          <w:p w:rsidR="008F085F" w:rsidRPr="007858CD" w:rsidRDefault="008F085F" w:rsidP="007858CD">
            <w:pPr>
              <w:rPr>
                <w:rFonts w:cs="Arial"/>
                <w:b/>
                <w:color w:val="auto"/>
                <w:sz w:val="20"/>
                <w:szCs w:val="20"/>
              </w:rPr>
            </w:pPr>
            <w:r w:rsidRPr="007858CD">
              <w:rPr>
                <w:rFonts w:cs="Arial"/>
                <w:b/>
                <w:color w:val="auto"/>
                <w:sz w:val="20"/>
                <w:szCs w:val="20"/>
              </w:rPr>
              <w:t>R12.4 m</w:t>
            </w:r>
          </w:p>
        </w:tc>
      </w:tr>
      <w:tr w:rsidR="00DE4BA7" w:rsidRPr="007858CD" w:rsidTr="0091702F">
        <w:tc>
          <w:tcPr>
            <w:tcW w:w="8075" w:type="dxa"/>
          </w:tcPr>
          <w:p w:rsidR="008F085F" w:rsidRPr="007858CD" w:rsidRDefault="008F085F" w:rsidP="007858CD">
            <w:pPr>
              <w:rPr>
                <w:rFonts w:cs="Arial"/>
                <w:color w:val="auto"/>
                <w:sz w:val="20"/>
                <w:szCs w:val="20"/>
              </w:rPr>
            </w:pPr>
            <w:r w:rsidRPr="007858CD">
              <w:rPr>
                <w:rFonts w:cs="Arial"/>
                <w:color w:val="auto"/>
                <w:sz w:val="20"/>
                <w:szCs w:val="20"/>
              </w:rPr>
              <w:t>Advocacy &amp; Mainstreaming for the Rights of Persons with Disabilities</w:t>
            </w:r>
          </w:p>
        </w:tc>
        <w:tc>
          <w:tcPr>
            <w:tcW w:w="1553" w:type="dxa"/>
          </w:tcPr>
          <w:p w:rsidR="008F085F" w:rsidRPr="007858CD" w:rsidRDefault="008F085F" w:rsidP="007858CD">
            <w:pPr>
              <w:rPr>
                <w:rFonts w:cs="Arial"/>
                <w:b/>
                <w:color w:val="auto"/>
                <w:sz w:val="20"/>
                <w:szCs w:val="20"/>
              </w:rPr>
            </w:pPr>
            <w:r w:rsidRPr="007858CD">
              <w:rPr>
                <w:rFonts w:cs="Arial"/>
                <w:b/>
                <w:color w:val="auto"/>
                <w:sz w:val="20"/>
                <w:szCs w:val="20"/>
              </w:rPr>
              <w:t>R16.8m</w:t>
            </w:r>
          </w:p>
        </w:tc>
      </w:tr>
      <w:tr w:rsidR="00DE4BA7" w:rsidRPr="007858CD" w:rsidTr="0091702F">
        <w:tc>
          <w:tcPr>
            <w:tcW w:w="8075" w:type="dxa"/>
            <w:shd w:val="clear" w:color="auto" w:fill="FFFFFF" w:themeFill="background1"/>
          </w:tcPr>
          <w:p w:rsidR="008F085F" w:rsidRPr="007858CD" w:rsidRDefault="008F085F" w:rsidP="007858CD">
            <w:pPr>
              <w:rPr>
                <w:rFonts w:cs="Arial"/>
                <w:color w:val="auto"/>
                <w:sz w:val="20"/>
                <w:szCs w:val="20"/>
              </w:rPr>
            </w:pPr>
            <w:r w:rsidRPr="007858CD">
              <w:rPr>
                <w:rFonts w:cs="Arial"/>
                <w:color w:val="auto"/>
                <w:sz w:val="20"/>
                <w:szCs w:val="20"/>
              </w:rPr>
              <w:t>NYDA</w:t>
            </w:r>
          </w:p>
        </w:tc>
        <w:tc>
          <w:tcPr>
            <w:tcW w:w="1553" w:type="dxa"/>
            <w:shd w:val="clear" w:color="auto" w:fill="FFFFFF" w:themeFill="background1"/>
          </w:tcPr>
          <w:p w:rsidR="008F085F" w:rsidRPr="007858CD" w:rsidRDefault="008F085F" w:rsidP="007858CD">
            <w:pPr>
              <w:rPr>
                <w:rFonts w:cs="Arial"/>
                <w:b/>
                <w:color w:val="auto"/>
                <w:sz w:val="20"/>
                <w:szCs w:val="20"/>
              </w:rPr>
            </w:pPr>
            <w:r w:rsidRPr="007858CD">
              <w:rPr>
                <w:rFonts w:cs="Arial"/>
                <w:b/>
                <w:color w:val="auto"/>
                <w:sz w:val="20"/>
                <w:szCs w:val="20"/>
              </w:rPr>
              <w:t>R681.3m</w:t>
            </w:r>
          </w:p>
        </w:tc>
      </w:tr>
      <w:tr w:rsidR="00DE4BA7" w:rsidRPr="007858CD" w:rsidTr="0091702F">
        <w:tc>
          <w:tcPr>
            <w:tcW w:w="8075" w:type="dxa"/>
            <w:shd w:val="clear" w:color="auto" w:fill="D9D9D9" w:themeFill="background1" w:themeFillShade="D9"/>
          </w:tcPr>
          <w:p w:rsidR="008F085F" w:rsidRPr="007858CD" w:rsidRDefault="008F085F" w:rsidP="007858CD">
            <w:pPr>
              <w:rPr>
                <w:rFonts w:cs="Arial"/>
                <w:b/>
                <w:color w:val="auto"/>
                <w:sz w:val="20"/>
                <w:szCs w:val="20"/>
              </w:rPr>
            </w:pPr>
            <w:r w:rsidRPr="007858CD">
              <w:rPr>
                <w:rFonts w:cs="Arial"/>
                <w:b/>
                <w:color w:val="auto"/>
                <w:sz w:val="20"/>
                <w:szCs w:val="20"/>
              </w:rPr>
              <w:t>Total</w:t>
            </w:r>
          </w:p>
        </w:tc>
        <w:tc>
          <w:tcPr>
            <w:tcW w:w="1553" w:type="dxa"/>
            <w:shd w:val="clear" w:color="auto" w:fill="D9D9D9" w:themeFill="background1" w:themeFillShade="D9"/>
          </w:tcPr>
          <w:p w:rsidR="008F085F" w:rsidRPr="007858CD" w:rsidRDefault="008F085F" w:rsidP="007858CD">
            <w:pPr>
              <w:rPr>
                <w:rFonts w:cs="Arial"/>
                <w:b/>
                <w:color w:val="auto"/>
                <w:sz w:val="20"/>
                <w:szCs w:val="20"/>
              </w:rPr>
            </w:pPr>
            <w:r w:rsidRPr="007858CD">
              <w:rPr>
                <w:rFonts w:cs="Arial"/>
                <w:b/>
                <w:color w:val="auto"/>
                <w:sz w:val="20"/>
                <w:szCs w:val="20"/>
              </w:rPr>
              <w:t>R711.8m</w:t>
            </w:r>
          </w:p>
        </w:tc>
      </w:tr>
      <w:tr w:rsidR="00DE4BA7" w:rsidRPr="007858CD" w:rsidTr="0091702F">
        <w:tc>
          <w:tcPr>
            <w:tcW w:w="8075" w:type="dxa"/>
            <w:shd w:val="clear" w:color="auto" w:fill="D9D9D9" w:themeFill="background1" w:themeFillShade="D9"/>
          </w:tcPr>
          <w:p w:rsidR="008F085F" w:rsidRPr="007858CD" w:rsidRDefault="008F085F" w:rsidP="007858CD">
            <w:pPr>
              <w:rPr>
                <w:rFonts w:cs="Arial"/>
                <w:color w:val="auto"/>
                <w:sz w:val="20"/>
                <w:szCs w:val="20"/>
              </w:rPr>
            </w:pPr>
            <w:r w:rsidRPr="007858CD">
              <w:rPr>
                <w:rFonts w:cs="Arial"/>
                <w:color w:val="auto"/>
                <w:sz w:val="20"/>
                <w:szCs w:val="20"/>
              </w:rPr>
              <w:t>Compensation of Employees</w:t>
            </w:r>
          </w:p>
        </w:tc>
        <w:tc>
          <w:tcPr>
            <w:tcW w:w="1553" w:type="dxa"/>
            <w:shd w:val="clear" w:color="auto" w:fill="D9D9D9" w:themeFill="background1" w:themeFillShade="D9"/>
          </w:tcPr>
          <w:p w:rsidR="008F085F" w:rsidRPr="007858CD" w:rsidRDefault="008F085F" w:rsidP="007858CD">
            <w:pPr>
              <w:rPr>
                <w:rFonts w:cs="Arial"/>
                <w:color w:val="auto"/>
                <w:sz w:val="20"/>
                <w:szCs w:val="20"/>
              </w:rPr>
            </w:pPr>
            <w:r w:rsidRPr="007858CD">
              <w:rPr>
                <w:rFonts w:cs="Arial"/>
                <w:color w:val="auto"/>
                <w:sz w:val="20"/>
                <w:szCs w:val="20"/>
              </w:rPr>
              <w:t>R15.8 m</w:t>
            </w:r>
          </w:p>
        </w:tc>
      </w:tr>
      <w:tr w:rsidR="00DE4BA7" w:rsidRPr="007858CD" w:rsidTr="0091702F">
        <w:tc>
          <w:tcPr>
            <w:tcW w:w="8075" w:type="dxa"/>
            <w:shd w:val="clear" w:color="auto" w:fill="D9D9D9" w:themeFill="background1" w:themeFillShade="D9"/>
          </w:tcPr>
          <w:p w:rsidR="008F085F" w:rsidRPr="007858CD" w:rsidRDefault="008F085F" w:rsidP="007858CD">
            <w:pPr>
              <w:rPr>
                <w:rFonts w:cs="Arial"/>
                <w:color w:val="auto"/>
                <w:sz w:val="20"/>
                <w:szCs w:val="20"/>
              </w:rPr>
            </w:pPr>
            <w:r w:rsidRPr="007858CD">
              <w:rPr>
                <w:rFonts w:cs="Arial"/>
                <w:color w:val="auto"/>
                <w:sz w:val="20"/>
                <w:szCs w:val="20"/>
              </w:rPr>
              <w:t>Goods and Services</w:t>
            </w:r>
          </w:p>
        </w:tc>
        <w:tc>
          <w:tcPr>
            <w:tcW w:w="1553" w:type="dxa"/>
            <w:shd w:val="clear" w:color="auto" w:fill="D9D9D9" w:themeFill="background1" w:themeFillShade="D9"/>
          </w:tcPr>
          <w:p w:rsidR="008F085F" w:rsidRPr="007858CD" w:rsidRDefault="008F085F" w:rsidP="007858CD">
            <w:pPr>
              <w:rPr>
                <w:rFonts w:cs="Arial"/>
                <w:color w:val="auto"/>
                <w:sz w:val="20"/>
                <w:szCs w:val="20"/>
              </w:rPr>
            </w:pPr>
            <w:r w:rsidRPr="007858CD">
              <w:rPr>
                <w:rFonts w:cs="Arial"/>
                <w:color w:val="auto"/>
                <w:sz w:val="20"/>
                <w:szCs w:val="20"/>
              </w:rPr>
              <w:t>R14.1m</w:t>
            </w:r>
          </w:p>
        </w:tc>
      </w:tr>
    </w:tbl>
    <w:p w:rsidR="008F085F" w:rsidRPr="007858CD" w:rsidRDefault="008F085F" w:rsidP="007858CD">
      <w:pPr>
        <w:rPr>
          <w:rFonts w:cs="Arial"/>
          <w:color w:val="auto"/>
          <w:sz w:val="20"/>
          <w:szCs w:val="20"/>
        </w:rPr>
      </w:pPr>
    </w:p>
    <w:p w:rsidR="00883452" w:rsidRPr="007858CD" w:rsidRDefault="0045255B" w:rsidP="007858CD">
      <w:pPr>
        <w:rPr>
          <w:rFonts w:cs="Arial"/>
          <w:color w:val="auto"/>
          <w:sz w:val="20"/>
          <w:szCs w:val="20"/>
        </w:rPr>
      </w:pPr>
      <w:r w:rsidRPr="007858CD">
        <w:rPr>
          <w:rFonts w:cs="Arial"/>
          <w:color w:val="auto"/>
          <w:sz w:val="20"/>
          <w:szCs w:val="20"/>
          <w:lang w:val="en-US"/>
        </w:rPr>
        <w:t>The programme’s budget</w:t>
      </w:r>
      <w:r w:rsidR="00612C34" w:rsidRPr="007858CD">
        <w:rPr>
          <w:rFonts w:cs="Arial"/>
          <w:color w:val="auto"/>
          <w:sz w:val="20"/>
          <w:szCs w:val="20"/>
          <w:lang w:val="en-US"/>
        </w:rPr>
        <w:t>,</w:t>
      </w:r>
      <w:r w:rsidRPr="007858CD">
        <w:rPr>
          <w:rFonts w:cs="Arial"/>
          <w:color w:val="auto"/>
          <w:sz w:val="20"/>
          <w:szCs w:val="20"/>
          <w:lang w:val="en-US"/>
        </w:rPr>
        <w:t xml:space="preserve"> which is now the combination of the two programmes, has not changed the Department’s budgeting allocation for youth and persons with disabilities since 2021/22. Of the R 30.5 million, 50% (R 15.</w:t>
      </w:r>
      <w:r w:rsidR="008F085F" w:rsidRPr="007858CD">
        <w:rPr>
          <w:rFonts w:cs="Arial"/>
          <w:color w:val="auto"/>
          <w:sz w:val="20"/>
          <w:szCs w:val="20"/>
          <w:lang w:val="en-US"/>
        </w:rPr>
        <w:t>8</w:t>
      </w:r>
      <w:r w:rsidRPr="007858CD">
        <w:rPr>
          <w:rFonts w:cs="Arial"/>
          <w:color w:val="auto"/>
          <w:sz w:val="20"/>
          <w:szCs w:val="20"/>
          <w:lang w:val="en-US"/>
        </w:rPr>
        <w:t xml:space="preserve"> million) of the budget is allocated to </w:t>
      </w:r>
      <w:r w:rsidR="00D22673" w:rsidRPr="007858CD">
        <w:rPr>
          <w:rFonts w:cs="Arial"/>
          <w:color w:val="auto"/>
          <w:sz w:val="20"/>
          <w:szCs w:val="20"/>
          <w:lang w:val="en-US"/>
        </w:rPr>
        <w:t>C</w:t>
      </w:r>
      <w:r w:rsidRPr="007858CD">
        <w:rPr>
          <w:rFonts w:cs="Arial"/>
          <w:color w:val="auto"/>
          <w:sz w:val="20"/>
          <w:szCs w:val="20"/>
          <w:lang w:val="en-US"/>
        </w:rPr>
        <w:t xml:space="preserve">ompensation of </w:t>
      </w:r>
      <w:r w:rsidR="00D22673" w:rsidRPr="007858CD">
        <w:rPr>
          <w:rFonts w:cs="Arial"/>
          <w:color w:val="auto"/>
          <w:sz w:val="20"/>
          <w:szCs w:val="20"/>
          <w:lang w:val="en-US"/>
        </w:rPr>
        <w:t>E</w:t>
      </w:r>
      <w:r w:rsidRPr="007858CD">
        <w:rPr>
          <w:rFonts w:cs="Arial"/>
          <w:color w:val="auto"/>
          <w:sz w:val="20"/>
          <w:szCs w:val="20"/>
          <w:lang w:val="en-US"/>
        </w:rPr>
        <w:t>mployees</w:t>
      </w:r>
      <w:r w:rsidR="00D22673" w:rsidRPr="007858CD">
        <w:rPr>
          <w:rFonts w:cs="Arial"/>
          <w:color w:val="auto"/>
          <w:sz w:val="20"/>
          <w:szCs w:val="20"/>
          <w:lang w:val="en-US"/>
        </w:rPr>
        <w:t xml:space="preserve"> and R14.1 million to Goods and Services (46% of total operational budget). </w:t>
      </w:r>
      <w:r w:rsidR="00B74960" w:rsidRPr="007858CD">
        <w:rPr>
          <w:rFonts w:cs="Arial"/>
          <w:color w:val="auto"/>
          <w:sz w:val="20"/>
          <w:szCs w:val="20"/>
        </w:rPr>
        <w:t xml:space="preserve">Of the Goods and services budget, </w:t>
      </w:r>
      <w:r w:rsidR="00781924" w:rsidRPr="007858CD">
        <w:rPr>
          <w:rFonts w:cs="Arial"/>
          <w:color w:val="auto"/>
          <w:sz w:val="20"/>
          <w:szCs w:val="20"/>
        </w:rPr>
        <w:t>R</w:t>
      </w:r>
      <w:r w:rsidR="00D22673" w:rsidRPr="007858CD">
        <w:rPr>
          <w:rFonts w:cs="Arial"/>
          <w:color w:val="auto"/>
          <w:sz w:val="20"/>
          <w:szCs w:val="20"/>
        </w:rPr>
        <w:t>4.5</w:t>
      </w:r>
      <w:r w:rsidR="00781924" w:rsidRPr="007858CD">
        <w:rPr>
          <w:rFonts w:cs="Arial"/>
          <w:color w:val="auto"/>
          <w:sz w:val="20"/>
          <w:szCs w:val="20"/>
        </w:rPr>
        <w:t xml:space="preserve"> million (</w:t>
      </w:r>
      <w:r w:rsidR="00D22673" w:rsidRPr="007858CD">
        <w:rPr>
          <w:rFonts w:cs="Arial"/>
          <w:color w:val="auto"/>
          <w:sz w:val="20"/>
          <w:szCs w:val="20"/>
        </w:rPr>
        <w:t>32</w:t>
      </w:r>
      <w:r w:rsidR="00781924" w:rsidRPr="007858CD">
        <w:rPr>
          <w:rFonts w:cs="Arial"/>
          <w:color w:val="auto"/>
          <w:sz w:val="20"/>
          <w:szCs w:val="20"/>
        </w:rPr>
        <w:t xml:space="preserve">%) </w:t>
      </w:r>
      <w:r w:rsidR="00B74960" w:rsidRPr="007858CD">
        <w:rPr>
          <w:rFonts w:cs="Arial"/>
          <w:color w:val="auto"/>
          <w:sz w:val="20"/>
          <w:szCs w:val="20"/>
        </w:rPr>
        <w:t>is allocated for travel and subsistence as per the Estimates of National Expenditure for 202</w:t>
      </w:r>
      <w:r w:rsidR="006A0F2D" w:rsidRPr="007858CD">
        <w:rPr>
          <w:rFonts w:cs="Arial"/>
          <w:color w:val="auto"/>
          <w:sz w:val="20"/>
          <w:szCs w:val="20"/>
        </w:rPr>
        <w:t>2</w:t>
      </w:r>
      <w:r w:rsidR="00B74960" w:rsidRPr="007858CD">
        <w:rPr>
          <w:rFonts w:cs="Arial"/>
          <w:color w:val="auto"/>
          <w:sz w:val="20"/>
          <w:szCs w:val="20"/>
        </w:rPr>
        <w:t>. The other main costs driver under Goods and services</w:t>
      </w:r>
      <w:r w:rsidR="008F085F" w:rsidRPr="007858CD">
        <w:rPr>
          <w:rFonts w:cs="Arial"/>
          <w:color w:val="auto"/>
          <w:sz w:val="20"/>
          <w:szCs w:val="20"/>
        </w:rPr>
        <w:t xml:space="preserve"> are</w:t>
      </w:r>
      <w:r w:rsidR="00781924" w:rsidRPr="007858CD">
        <w:rPr>
          <w:rFonts w:cs="Arial"/>
          <w:color w:val="auto"/>
          <w:sz w:val="20"/>
          <w:szCs w:val="20"/>
        </w:rPr>
        <w:t xml:space="preserve"> for Consultants: Business and advisory services, R</w:t>
      </w:r>
      <w:r w:rsidR="00D22673" w:rsidRPr="007858CD">
        <w:rPr>
          <w:rFonts w:cs="Arial"/>
          <w:color w:val="auto"/>
          <w:sz w:val="20"/>
          <w:szCs w:val="20"/>
        </w:rPr>
        <w:t>3.9</w:t>
      </w:r>
      <w:r w:rsidR="00781924" w:rsidRPr="007858CD">
        <w:rPr>
          <w:rFonts w:cs="Arial"/>
          <w:color w:val="auto"/>
          <w:sz w:val="20"/>
          <w:szCs w:val="20"/>
        </w:rPr>
        <w:t xml:space="preserve"> million (</w:t>
      </w:r>
      <w:r w:rsidR="00D22673" w:rsidRPr="007858CD">
        <w:rPr>
          <w:rFonts w:cs="Arial"/>
          <w:color w:val="auto"/>
          <w:sz w:val="20"/>
          <w:szCs w:val="20"/>
        </w:rPr>
        <w:t>28</w:t>
      </w:r>
      <w:r w:rsidR="00781924" w:rsidRPr="007858CD">
        <w:rPr>
          <w:rFonts w:cs="Arial"/>
          <w:color w:val="auto"/>
          <w:sz w:val="20"/>
          <w:szCs w:val="20"/>
        </w:rPr>
        <w:t>%)</w:t>
      </w:r>
      <w:r w:rsidR="00D22673" w:rsidRPr="007858CD">
        <w:rPr>
          <w:rFonts w:cs="Arial"/>
          <w:color w:val="auto"/>
          <w:sz w:val="20"/>
          <w:szCs w:val="20"/>
        </w:rPr>
        <w:t xml:space="preserve"> and venue and facilities for R2.2 million (16%)</w:t>
      </w:r>
      <w:r w:rsidR="00781924" w:rsidRPr="007858CD">
        <w:rPr>
          <w:rFonts w:cs="Arial"/>
          <w:color w:val="auto"/>
          <w:sz w:val="20"/>
          <w:szCs w:val="20"/>
        </w:rPr>
        <w:t>.</w:t>
      </w:r>
    </w:p>
    <w:p w:rsidR="006E1457" w:rsidRPr="007858CD" w:rsidRDefault="006E1457" w:rsidP="007858CD">
      <w:pPr>
        <w:rPr>
          <w:rFonts w:cs="Arial"/>
          <w:color w:val="auto"/>
          <w:sz w:val="20"/>
          <w:szCs w:val="20"/>
          <w:lang w:val="en-US"/>
        </w:rPr>
      </w:pPr>
    </w:p>
    <w:p w:rsidR="00B74960" w:rsidRPr="007858CD" w:rsidRDefault="00D22673" w:rsidP="007858CD">
      <w:pPr>
        <w:rPr>
          <w:rFonts w:cs="Arial"/>
          <w:color w:val="auto"/>
          <w:sz w:val="20"/>
          <w:szCs w:val="20"/>
          <w:lang w:val="en-US"/>
        </w:rPr>
      </w:pPr>
      <w:r w:rsidRPr="007858CD">
        <w:rPr>
          <w:rFonts w:cs="Arial"/>
          <w:color w:val="auto"/>
          <w:sz w:val="20"/>
          <w:szCs w:val="20"/>
          <w:lang w:val="en-US"/>
        </w:rPr>
        <w:t xml:space="preserve">This programme has 20 </w:t>
      </w:r>
      <w:r w:rsidR="00B74960" w:rsidRPr="007858CD">
        <w:rPr>
          <w:rFonts w:cs="Arial"/>
          <w:color w:val="auto"/>
          <w:sz w:val="20"/>
          <w:szCs w:val="20"/>
          <w:lang w:val="en-US"/>
        </w:rPr>
        <w:t xml:space="preserve">posts and is earmarked to achieve </w:t>
      </w:r>
      <w:r w:rsidRPr="007858CD">
        <w:rPr>
          <w:rFonts w:cs="Arial"/>
          <w:color w:val="auto"/>
          <w:sz w:val="20"/>
          <w:szCs w:val="20"/>
          <w:lang w:val="en-US"/>
        </w:rPr>
        <w:t>1</w:t>
      </w:r>
      <w:r w:rsidR="002A7035" w:rsidRPr="007858CD">
        <w:rPr>
          <w:rFonts w:cs="Arial"/>
          <w:color w:val="auto"/>
          <w:sz w:val="20"/>
          <w:szCs w:val="20"/>
          <w:lang w:val="en-US"/>
        </w:rPr>
        <w:t>3</w:t>
      </w:r>
      <w:r w:rsidR="00B74960" w:rsidRPr="007858CD">
        <w:rPr>
          <w:rFonts w:cs="Arial"/>
          <w:color w:val="auto"/>
          <w:sz w:val="20"/>
          <w:szCs w:val="20"/>
          <w:lang w:val="en-US"/>
        </w:rPr>
        <w:t xml:space="preserve"> annual targets for the current FY as listed below:</w:t>
      </w:r>
    </w:p>
    <w:p w:rsidR="002A7035" w:rsidRPr="007858CD" w:rsidRDefault="002A7035" w:rsidP="007858CD">
      <w:pPr>
        <w:rPr>
          <w:rFonts w:cs="Arial"/>
          <w:color w:val="auto"/>
          <w:sz w:val="20"/>
          <w:szCs w:val="20"/>
          <w:lang w:val="en-US"/>
        </w:rPr>
      </w:pPr>
    </w:p>
    <w:p w:rsidR="004A170D" w:rsidRPr="007858CD" w:rsidRDefault="004A170D" w:rsidP="007858CD">
      <w:pPr>
        <w:rPr>
          <w:rFonts w:cs="Arial"/>
          <w:color w:val="auto"/>
          <w:sz w:val="20"/>
          <w:szCs w:val="20"/>
          <w:lang w:val="en-US"/>
        </w:rPr>
      </w:pPr>
    </w:p>
    <w:p w:rsidR="002A7035" w:rsidRPr="007858CD" w:rsidRDefault="002A7035" w:rsidP="007858CD">
      <w:pPr>
        <w:rPr>
          <w:rFonts w:cs="Arial"/>
          <w:b/>
          <w:color w:val="auto"/>
          <w:sz w:val="20"/>
          <w:szCs w:val="20"/>
          <w:lang w:val="en-US"/>
        </w:rPr>
      </w:pPr>
      <w:r w:rsidRPr="007858CD">
        <w:rPr>
          <w:rFonts w:cs="Arial"/>
          <w:b/>
          <w:color w:val="auto"/>
          <w:sz w:val="20"/>
          <w:szCs w:val="20"/>
          <w:lang w:val="en-US"/>
        </w:rPr>
        <w:t>Sub-programme: Advocacy and Mainstreaming Rights of Youth</w:t>
      </w:r>
    </w:p>
    <w:p w:rsidR="002A7035" w:rsidRPr="007858CD" w:rsidRDefault="002A7035" w:rsidP="007858CD">
      <w:pPr>
        <w:pStyle w:val="ListParagraph"/>
        <w:numPr>
          <w:ilvl w:val="0"/>
          <w:numId w:val="43"/>
        </w:numPr>
        <w:rPr>
          <w:rFonts w:cs="Arial"/>
          <w:color w:val="auto"/>
          <w:sz w:val="20"/>
          <w:szCs w:val="20"/>
          <w:lang w:val="en-US"/>
        </w:rPr>
      </w:pPr>
      <w:r w:rsidRPr="007858CD">
        <w:rPr>
          <w:rFonts w:cs="Arial"/>
          <w:color w:val="auto"/>
          <w:sz w:val="20"/>
          <w:szCs w:val="20"/>
          <w:lang w:val="en-US"/>
        </w:rPr>
        <w:t>4 NYP Implementation Monitoring Reports produced</w:t>
      </w:r>
    </w:p>
    <w:p w:rsidR="002A7035" w:rsidRPr="007858CD" w:rsidRDefault="002A7035" w:rsidP="007858CD">
      <w:pPr>
        <w:pStyle w:val="ListParagraph"/>
        <w:numPr>
          <w:ilvl w:val="0"/>
          <w:numId w:val="43"/>
        </w:numPr>
        <w:rPr>
          <w:rFonts w:cs="Arial"/>
          <w:color w:val="auto"/>
          <w:sz w:val="20"/>
          <w:szCs w:val="20"/>
          <w:lang w:val="en-US"/>
        </w:rPr>
      </w:pPr>
      <w:r w:rsidRPr="007858CD">
        <w:rPr>
          <w:rFonts w:cs="Arial"/>
          <w:color w:val="auto"/>
          <w:sz w:val="20"/>
          <w:szCs w:val="20"/>
          <w:lang w:val="en-US"/>
        </w:rPr>
        <w:t>South African Youth Development Bill refined</w:t>
      </w:r>
    </w:p>
    <w:p w:rsidR="002A7035" w:rsidRPr="007858CD" w:rsidRDefault="002A7035" w:rsidP="007858CD">
      <w:pPr>
        <w:pStyle w:val="ListParagraph"/>
        <w:numPr>
          <w:ilvl w:val="0"/>
          <w:numId w:val="43"/>
        </w:numPr>
        <w:rPr>
          <w:rFonts w:cs="Arial"/>
          <w:color w:val="auto"/>
          <w:sz w:val="20"/>
          <w:szCs w:val="20"/>
          <w:lang w:val="en-US"/>
        </w:rPr>
      </w:pPr>
      <w:r w:rsidRPr="007858CD">
        <w:rPr>
          <w:rFonts w:cs="Arial"/>
          <w:color w:val="auto"/>
          <w:sz w:val="20"/>
          <w:szCs w:val="20"/>
          <w:lang w:val="en-US"/>
        </w:rPr>
        <w:t>4 NYDA quarterly monitoring reports produced</w:t>
      </w:r>
    </w:p>
    <w:p w:rsidR="002A7035" w:rsidRPr="007858CD" w:rsidRDefault="002A7035" w:rsidP="007858CD">
      <w:pPr>
        <w:pStyle w:val="ListParagraph"/>
        <w:numPr>
          <w:ilvl w:val="0"/>
          <w:numId w:val="43"/>
        </w:numPr>
        <w:rPr>
          <w:rFonts w:cs="Arial"/>
          <w:color w:val="auto"/>
          <w:sz w:val="20"/>
          <w:szCs w:val="20"/>
          <w:lang w:val="en-US"/>
        </w:rPr>
      </w:pPr>
      <w:r w:rsidRPr="007858CD">
        <w:rPr>
          <w:rFonts w:cs="Arial"/>
          <w:color w:val="auto"/>
          <w:sz w:val="20"/>
          <w:szCs w:val="20"/>
          <w:lang w:val="en-US"/>
        </w:rPr>
        <w:t>4 National Youth Machinery Meetings convened</w:t>
      </w:r>
    </w:p>
    <w:p w:rsidR="002A7035" w:rsidRPr="007858CD" w:rsidRDefault="002A7035" w:rsidP="007858CD">
      <w:pPr>
        <w:pStyle w:val="ListParagraph"/>
        <w:numPr>
          <w:ilvl w:val="0"/>
          <w:numId w:val="43"/>
        </w:numPr>
        <w:rPr>
          <w:rFonts w:cs="Arial"/>
          <w:color w:val="auto"/>
          <w:sz w:val="20"/>
          <w:szCs w:val="20"/>
          <w:lang w:val="en-US"/>
        </w:rPr>
      </w:pPr>
      <w:r w:rsidRPr="007858CD">
        <w:rPr>
          <w:rFonts w:cs="Arial"/>
          <w:color w:val="auto"/>
          <w:sz w:val="20"/>
          <w:szCs w:val="20"/>
          <w:lang w:val="en-US"/>
        </w:rPr>
        <w:t>2 International youth engagement reports produced</w:t>
      </w:r>
    </w:p>
    <w:p w:rsidR="00B74960" w:rsidRPr="007858CD" w:rsidRDefault="00B74960" w:rsidP="007858CD">
      <w:pPr>
        <w:rPr>
          <w:rFonts w:cs="Arial"/>
          <w:color w:val="auto"/>
          <w:sz w:val="20"/>
          <w:szCs w:val="20"/>
        </w:rPr>
      </w:pPr>
    </w:p>
    <w:p w:rsidR="002A7035" w:rsidRPr="007858CD" w:rsidRDefault="002A7035" w:rsidP="007858CD">
      <w:pPr>
        <w:rPr>
          <w:rFonts w:cs="Arial"/>
          <w:b/>
          <w:color w:val="auto"/>
          <w:sz w:val="20"/>
          <w:szCs w:val="20"/>
        </w:rPr>
      </w:pPr>
      <w:r w:rsidRPr="007858CD">
        <w:rPr>
          <w:rFonts w:cs="Arial"/>
          <w:b/>
          <w:color w:val="auto"/>
          <w:sz w:val="20"/>
          <w:szCs w:val="20"/>
        </w:rPr>
        <w:t>Sub-programme: Advocacy and Mainstreaming Rights of Persons with Disabilities</w:t>
      </w:r>
    </w:p>
    <w:p w:rsidR="006E1457" w:rsidRPr="007858CD" w:rsidRDefault="002A7035" w:rsidP="007858CD">
      <w:pPr>
        <w:pStyle w:val="ListParagraph"/>
        <w:numPr>
          <w:ilvl w:val="0"/>
          <w:numId w:val="19"/>
        </w:numPr>
        <w:rPr>
          <w:rFonts w:cs="Arial"/>
          <w:color w:val="auto"/>
          <w:sz w:val="20"/>
          <w:szCs w:val="20"/>
        </w:rPr>
      </w:pPr>
      <w:r w:rsidRPr="007858CD">
        <w:rPr>
          <w:rFonts w:cs="Arial"/>
          <w:color w:val="auto"/>
          <w:sz w:val="20"/>
          <w:szCs w:val="20"/>
        </w:rPr>
        <w:t xml:space="preserve">1 Awareness raising report developed on the Awareness Raising </w:t>
      </w:r>
      <w:r w:rsidR="006E1457" w:rsidRPr="007858CD">
        <w:rPr>
          <w:rFonts w:cs="Arial"/>
          <w:color w:val="auto"/>
          <w:sz w:val="20"/>
          <w:szCs w:val="20"/>
        </w:rPr>
        <w:t>Framework</w:t>
      </w:r>
      <w:r w:rsidRPr="007858CD">
        <w:rPr>
          <w:rFonts w:cs="Arial"/>
          <w:color w:val="auto"/>
          <w:sz w:val="20"/>
          <w:szCs w:val="20"/>
        </w:rPr>
        <w:t xml:space="preserve"> </w:t>
      </w:r>
    </w:p>
    <w:p w:rsidR="006E1457" w:rsidRPr="007858CD" w:rsidRDefault="002A7035" w:rsidP="007858CD">
      <w:pPr>
        <w:pStyle w:val="ListParagraph"/>
        <w:numPr>
          <w:ilvl w:val="0"/>
          <w:numId w:val="19"/>
        </w:numPr>
        <w:rPr>
          <w:rFonts w:cs="Arial"/>
          <w:color w:val="auto"/>
          <w:sz w:val="20"/>
          <w:szCs w:val="20"/>
        </w:rPr>
      </w:pPr>
      <w:r w:rsidRPr="007858CD">
        <w:rPr>
          <w:rFonts w:cs="Arial"/>
          <w:color w:val="auto"/>
          <w:sz w:val="20"/>
          <w:szCs w:val="20"/>
        </w:rPr>
        <w:t>1 Awareness raising report developed on</w:t>
      </w:r>
      <w:r w:rsidR="006E1457" w:rsidRPr="007858CD">
        <w:rPr>
          <w:rFonts w:cs="Arial"/>
          <w:color w:val="auto"/>
          <w:sz w:val="20"/>
          <w:szCs w:val="20"/>
        </w:rPr>
        <w:t xml:space="preserve"> Self representation</w:t>
      </w:r>
      <w:r w:rsidRPr="007858CD">
        <w:rPr>
          <w:rFonts w:cs="Arial"/>
          <w:color w:val="auto"/>
          <w:sz w:val="20"/>
          <w:szCs w:val="20"/>
        </w:rPr>
        <w:t xml:space="preserve"> framework</w:t>
      </w:r>
      <w:r w:rsidR="006E1457" w:rsidRPr="007858CD">
        <w:rPr>
          <w:rFonts w:cs="Arial"/>
          <w:color w:val="auto"/>
          <w:sz w:val="20"/>
          <w:szCs w:val="20"/>
        </w:rPr>
        <w:t xml:space="preserve"> </w:t>
      </w:r>
    </w:p>
    <w:p w:rsidR="006E1457" w:rsidRPr="007858CD" w:rsidRDefault="002A7035" w:rsidP="007858CD">
      <w:pPr>
        <w:pStyle w:val="ListParagraph"/>
        <w:numPr>
          <w:ilvl w:val="0"/>
          <w:numId w:val="19"/>
        </w:numPr>
        <w:rPr>
          <w:rFonts w:cs="Arial"/>
          <w:color w:val="auto"/>
          <w:sz w:val="20"/>
          <w:szCs w:val="20"/>
        </w:rPr>
      </w:pPr>
      <w:r w:rsidRPr="007858CD">
        <w:rPr>
          <w:rFonts w:cs="Arial"/>
          <w:color w:val="auto"/>
          <w:sz w:val="20"/>
          <w:szCs w:val="20"/>
        </w:rPr>
        <w:t xml:space="preserve">1 Awareness raising report developed on </w:t>
      </w:r>
      <w:r w:rsidR="006E1457" w:rsidRPr="007858CD">
        <w:rPr>
          <w:rFonts w:cs="Arial"/>
          <w:color w:val="auto"/>
          <w:sz w:val="20"/>
          <w:szCs w:val="20"/>
        </w:rPr>
        <w:t>Reasonable ac</w:t>
      </w:r>
      <w:r w:rsidRPr="007858CD">
        <w:rPr>
          <w:rFonts w:cs="Arial"/>
          <w:color w:val="auto"/>
          <w:sz w:val="20"/>
          <w:szCs w:val="20"/>
        </w:rPr>
        <w:t xml:space="preserve">commodation framework </w:t>
      </w:r>
    </w:p>
    <w:p w:rsidR="006E1457" w:rsidRPr="007858CD" w:rsidRDefault="002A7035" w:rsidP="007858CD">
      <w:pPr>
        <w:pStyle w:val="ListParagraph"/>
        <w:numPr>
          <w:ilvl w:val="0"/>
          <w:numId w:val="19"/>
        </w:numPr>
        <w:rPr>
          <w:rFonts w:cs="Arial"/>
          <w:color w:val="auto"/>
          <w:sz w:val="20"/>
          <w:szCs w:val="20"/>
        </w:rPr>
      </w:pPr>
      <w:r w:rsidRPr="007858CD">
        <w:rPr>
          <w:rFonts w:cs="Arial"/>
          <w:color w:val="auto"/>
          <w:sz w:val="20"/>
          <w:szCs w:val="20"/>
        </w:rPr>
        <w:t xml:space="preserve">1 Report on awareness raising on </w:t>
      </w:r>
      <w:r w:rsidR="006E1457" w:rsidRPr="007858CD">
        <w:rPr>
          <w:rFonts w:cs="Arial"/>
          <w:color w:val="auto"/>
          <w:sz w:val="20"/>
          <w:szCs w:val="20"/>
        </w:rPr>
        <w:t>Universal design and access framework developed</w:t>
      </w:r>
    </w:p>
    <w:p w:rsidR="006E1457" w:rsidRPr="007858CD" w:rsidRDefault="00D8773F" w:rsidP="007858CD">
      <w:pPr>
        <w:pStyle w:val="ListParagraph"/>
        <w:numPr>
          <w:ilvl w:val="0"/>
          <w:numId w:val="19"/>
        </w:numPr>
        <w:rPr>
          <w:rFonts w:cs="Arial"/>
          <w:color w:val="auto"/>
          <w:sz w:val="20"/>
          <w:szCs w:val="20"/>
        </w:rPr>
      </w:pPr>
      <w:r w:rsidRPr="007858CD">
        <w:rPr>
          <w:rFonts w:cs="Arial"/>
          <w:color w:val="auto"/>
          <w:sz w:val="20"/>
          <w:szCs w:val="20"/>
        </w:rPr>
        <w:t>1</w:t>
      </w:r>
      <w:r w:rsidR="006E1457" w:rsidRPr="007858CD">
        <w:rPr>
          <w:rFonts w:cs="Arial"/>
          <w:color w:val="auto"/>
          <w:sz w:val="20"/>
          <w:szCs w:val="20"/>
        </w:rPr>
        <w:t xml:space="preserve"> status report on national</w:t>
      </w:r>
      <w:r w:rsidRPr="007858CD">
        <w:rPr>
          <w:rFonts w:cs="Arial"/>
          <w:color w:val="auto"/>
          <w:sz w:val="20"/>
          <w:szCs w:val="20"/>
        </w:rPr>
        <w:t xml:space="preserve"> and </w:t>
      </w:r>
      <w:r w:rsidR="006E1457" w:rsidRPr="007858CD">
        <w:rPr>
          <w:rFonts w:cs="Arial"/>
          <w:color w:val="auto"/>
          <w:sz w:val="20"/>
          <w:szCs w:val="20"/>
        </w:rPr>
        <w:t>international obligations on the</w:t>
      </w:r>
      <w:r w:rsidRPr="007858CD">
        <w:rPr>
          <w:rFonts w:cs="Arial"/>
          <w:color w:val="auto"/>
          <w:sz w:val="20"/>
          <w:szCs w:val="20"/>
        </w:rPr>
        <w:t xml:space="preserve"> inclusion of </w:t>
      </w:r>
      <w:r w:rsidR="006E1457" w:rsidRPr="007858CD">
        <w:rPr>
          <w:rFonts w:cs="Arial"/>
          <w:color w:val="auto"/>
          <w:sz w:val="20"/>
          <w:szCs w:val="20"/>
        </w:rPr>
        <w:t>persons with disability produced</w:t>
      </w:r>
    </w:p>
    <w:p w:rsidR="00D8773F" w:rsidRPr="007858CD" w:rsidRDefault="00D8773F" w:rsidP="007858CD">
      <w:pPr>
        <w:pStyle w:val="ListParagraph"/>
        <w:numPr>
          <w:ilvl w:val="0"/>
          <w:numId w:val="19"/>
        </w:numPr>
        <w:rPr>
          <w:rFonts w:cs="Arial"/>
          <w:color w:val="auto"/>
          <w:sz w:val="20"/>
          <w:szCs w:val="20"/>
        </w:rPr>
      </w:pPr>
      <w:r w:rsidRPr="007858CD">
        <w:rPr>
          <w:rFonts w:cs="Arial"/>
          <w:color w:val="auto"/>
          <w:sz w:val="20"/>
          <w:szCs w:val="20"/>
        </w:rPr>
        <w:t>1 analysis report on draft Annual Performance Plans for all national government departments produced</w:t>
      </w:r>
    </w:p>
    <w:p w:rsidR="00D8773F" w:rsidRPr="007858CD" w:rsidRDefault="00D8773F" w:rsidP="007858CD">
      <w:pPr>
        <w:pStyle w:val="ListParagraph"/>
        <w:numPr>
          <w:ilvl w:val="0"/>
          <w:numId w:val="19"/>
        </w:numPr>
        <w:rPr>
          <w:rFonts w:cs="Arial"/>
          <w:color w:val="auto"/>
          <w:sz w:val="20"/>
          <w:szCs w:val="20"/>
        </w:rPr>
      </w:pPr>
      <w:r w:rsidRPr="007858CD">
        <w:rPr>
          <w:rFonts w:cs="Arial"/>
          <w:color w:val="auto"/>
          <w:sz w:val="20"/>
          <w:szCs w:val="20"/>
        </w:rPr>
        <w:t>1 draft evaluation report on the implementation of the White Paper in the Rights of Persons with Disabilities developed</w:t>
      </w:r>
    </w:p>
    <w:p w:rsidR="00D8773F" w:rsidRPr="007858CD" w:rsidRDefault="00D8773F" w:rsidP="007858CD">
      <w:pPr>
        <w:pStyle w:val="ListParagraph"/>
        <w:numPr>
          <w:ilvl w:val="0"/>
          <w:numId w:val="19"/>
        </w:numPr>
        <w:rPr>
          <w:rFonts w:cs="Arial"/>
          <w:color w:val="auto"/>
          <w:sz w:val="20"/>
          <w:szCs w:val="20"/>
        </w:rPr>
      </w:pPr>
      <w:r w:rsidRPr="007858CD">
        <w:rPr>
          <w:rFonts w:cs="Arial"/>
          <w:color w:val="auto"/>
          <w:sz w:val="20"/>
          <w:szCs w:val="20"/>
        </w:rPr>
        <w:t>1 status report on the disability rights monitoring tool developed</w:t>
      </w:r>
    </w:p>
    <w:p w:rsidR="00B74960" w:rsidRPr="007858CD" w:rsidRDefault="00B74960" w:rsidP="007858CD">
      <w:pPr>
        <w:rPr>
          <w:rFonts w:cs="Arial"/>
          <w:color w:val="auto"/>
          <w:sz w:val="20"/>
          <w:szCs w:val="20"/>
        </w:rPr>
      </w:pPr>
    </w:p>
    <w:p w:rsidR="002B6972" w:rsidRPr="007858CD" w:rsidRDefault="002E02E3" w:rsidP="007858CD">
      <w:pPr>
        <w:rPr>
          <w:rFonts w:cs="Arial"/>
          <w:b/>
          <w:color w:val="auto"/>
          <w:sz w:val="20"/>
          <w:szCs w:val="20"/>
          <w:lang w:val="en-ZA"/>
        </w:rPr>
      </w:pPr>
      <w:r w:rsidRPr="007858CD">
        <w:rPr>
          <w:rFonts w:cs="Arial"/>
          <w:b/>
          <w:color w:val="auto"/>
          <w:sz w:val="20"/>
          <w:szCs w:val="20"/>
        </w:rPr>
        <w:t>4</w:t>
      </w:r>
      <w:r w:rsidR="00F40595" w:rsidRPr="007858CD">
        <w:rPr>
          <w:rFonts w:cs="Arial"/>
          <w:b/>
          <w:color w:val="auto"/>
          <w:sz w:val="20"/>
          <w:szCs w:val="20"/>
        </w:rPr>
        <w:t xml:space="preserve">. </w:t>
      </w:r>
      <w:r w:rsidR="002B6972" w:rsidRPr="007858CD">
        <w:rPr>
          <w:rFonts w:cs="Arial"/>
          <w:b/>
          <w:color w:val="auto"/>
          <w:sz w:val="20"/>
          <w:szCs w:val="20"/>
          <w:lang w:val="en-ZA"/>
        </w:rPr>
        <w:t>National Youth Development Agency</w:t>
      </w:r>
      <w:r w:rsidR="00515FAC" w:rsidRPr="007858CD">
        <w:rPr>
          <w:rFonts w:cs="Arial"/>
          <w:b/>
          <w:color w:val="auto"/>
          <w:sz w:val="20"/>
          <w:szCs w:val="20"/>
          <w:lang w:val="en-ZA"/>
        </w:rPr>
        <w:t xml:space="preserve"> (NYDA)</w:t>
      </w:r>
    </w:p>
    <w:p w:rsidR="00883452" w:rsidRPr="007858CD" w:rsidRDefault="00883452" w:rsidP="007858CD">
      <w:pPr>
        <w:rPr>
          <w:rFonts w:cs="Arial"/>
          <w:b/>
          <w:color w:val="auto"/>
          <w:sz w:val="20"/>
          <w:szCs w:val="20"/>
        </w:rPr>
      </w:pPr>
    </w:p>
    <w:p w:rsidR="002B6972" w:rsidRPr="007858CD" w:rsidRDefault="002B6972" w:rsidP="007858CD">
      <w:pPr>
        <w:rPr>
          <w:rFonts w:cs="Arial"/>
          <w:b/>
          <w:color w:val="auto"/>
          <w:sz w:val="20"/>
          <w:szCs w:val="20"/>
        </w:rPr>
      </w:pPr>
      <w:r w:rsidRPr="007858CD">
        <w:rPr>
          <w:rFonts w:cs="Arial"/>
          <w:b/>
          <w:color w:val="auto"/>
          <w:sz w:val="20"/>
          <w:szCs w:val="20"/>
        </w:rPr>
        <w:t>4.1</w:t>
      </w:r>
      <w:r w:rsidRPr="007858CD">
        <w:rPr>
          <w:rFonts w:cs="Arial"/>
          <w:color w:val="auto"/>
          <w:sz w:val="20"/>
          <w:szCs w:val="20"/>
        </w:rPr>
        <w:t xml:space="preserve"> </w:t>
      </w:r>
      <w:r w:rsidRPr="007858CD">
        <w:rPr>
          <w:rFonts w:cs="Arial"/>
          <w:b/>
          <w:color w:val="auto"/>
          <w:sz w:val="20"/>
          <w:szCs w:val="20"/>
        </w:rPr>
        <w:t>Mandate of the NYDA</w:t>
      </w:r>
    </w:p>
    <w:p w:rsidR="002B6972" w:rsidRPr="007858CD" w:rsidRDefault="002B6972" w:rsidP="007858CD">
      <w:pPr>
        <w:rPr>
          <w:rFonts w:cs="Arial"/>
          <w:color w:val="auto"/>
          <w:sz w:val="20"/>
          <w:szCs w:val="20"/>
        </w:rPr>
      </w:pPr>
    </w:p>
    <w:p w:rsidR="002B6972" w:rsidRPr="007858CD" w:rsidRDefault="002B6972" w:rsidP="007858CD">
      <w:pPr>
        <w:rPr>
          <w:rFonts w:cs="Arial"/>
          <w:color w:val="auto"/>
          <w:sz w:val="20"/>
          <w:szCs w:val="20"/>
        </w:rPr>
      </w:pPr>
      <w:r w:rsidRPr="007858CD">
        <w:rPr>
          <w:rFonts w:cs="Arial"/>
          <w:color w:val="auto"/>
          <w:sz w:val="20"/>
          <w:szCs w:val="20"/>
        </w:rPr>
        <w:t xml:space="preserve">The </w:t>
      </w:r>
      <w:r w:rsidR="00515FAC" w:rsidRPr="007858CD">
        <w:rPr>
          <w:rFonts w:cs="Arial"/>
          <w:color w:val="auto"/>
          <w:sz w:val="20"/>
          <w:szCs w:val="20"/>
        </w:rPr>
        <w:t xml:space="preserve">NYDA </w:t>
      </w:r>
      <w:r w:rsidRPr="007858CD">
        <w:rPr>
          <w:rFonts w:cs="Arial"/>
          <w:color w:val="auto"/>
          <w:sz w:val="20"/>
          <w:szCs w:val="20"/>
        </w:rPr>
        <w:t>derives its mandate from legislative frameworks such as the NYDA Act (54 of 2008), the National Youth Policy (2009-2014) and the draft Integrated Youth Development Strategy as adopted by the Youth Convention of 2006.</w:t>
      </w:r>
      <w:r w:rsidR="00515FAC" w:rsidRPr="007858CD">
        <w:rPr>
          <w:rFonts w:cs="Arial"/>
          <w:color w:val="auto"/>
          <w:sz w:val="20"/>
          <w:szCs w:val="20"/>
        </w:rPr>
        <w:t xml:space="preserve"> Section 3 of the Act mandates the Agency to develop policy and an “Integrated Youth Development Strategy”. The Act further mandates the NYDA to “initiate, design, coordinate, evaluate and monitor all programmes aimed at integrating the youth into the economy and society, guide efforts and facilitate economic participation and empowerment, and the achievement of education and training”.</w:t>
      </w:r>
    </w:p>
    <w:p w:rsidR="00D4053A" w:rsidRPr="007858CD" w:rsidRDefault="00D4053A" w:rsidP="007858CD">
      <w:pPr>
        <w:rPr>
          <w:rFonts w:cs="Arial"/>
          <w:color w:val="auto"/>
          <w:sz w:val="20"/>
          <w:szCs w:val="20"/>
        </w:rPr>
      </w:pPr>
    </w:p>
    <w:p w:rsidR="00883452" w:rsidRPr="007858CD" w:rsidRDefault="00D4053A" w:rsidP="007858CD">
      <w:pPr>
        <w:rPr>
          <w:rFonts w:cs="Arial"/>
          <w:color w:val="auto"/>
          <w:sz w:val="20"/>
          <w:szCs w:val="20"/>
        </w:rPr>
      </w:pPr>
      <w:r w:rsidRPr="007858CD">
        <w:rPr>
          <w:rFonts w:cs="Arial"/>
          <w:color w:val="auto"/>
          <w:sz w:val="20"/>
          <w:szCs w:val="20"/>
        </w:rPr>
        <w:t xml:space="preserve">The NYDA values </w:t>
      </w:r>
      <w:r w:rsidR="00515FAC" w:rsidRPr="007858CD">
        <w:rPr>
          <w:rFonts w:cs="Arial"/>
          <w:color w:val="auto"/>
          <w:sz w:val="20"/>
          <w:szCs w:val="20"/>
        </w:rPr>
        <w:t xml:space="preserve">are underpinned by </w:t>
      </w:r>
      <w:r w:rsidRPr="007858CD">
        <w:rPr>
          <w:rFonts w:cs="Arial"/>
          <w:color w:val="auto"/>
          <w:sz w:val="20"/>
          <w:szCs w:val="20"/>
        </w:rPr>
        <w:t>Accountability, Respect, Professionalism and Integrity.</w:t>
      </w:r>
    </w:p>
    <w:p w:rsidR="00515FAC" w:rsidRPr="007858CD" w:rsidRDefault="00515FAC" w:rsidP="007858CD">
      <w:pPr>
        <w:rPr>
          <w:rFonts w:cs="Arial"/>
          <w:color w:val="auto"/>
          <w:sz w:val="20"/>
          <w:szCs w:val="20"/>
        </w:rPr>
      </w:pPr>
    </w:p>
    <w:p w:rsidR="00515FAC" w:rsidRPr="007858CD" w:rsidRDefault="00515FAC" w:rsidP="007858CD">
      <w:pPr>
        <w:rPr>
          <w:rFonts w:cs="Arial"/>
          <w:color w:val="auto"/>
          <w:sz w:val="20"/>
          <w:szCs w:val="20"/>
        </w:rPr>
      </w:pPr>
      <w:r w:rsidRPr="007858CD">
        <w:rPr>
          <w:rFonts w:cs="Arial"/>
          <w:color w:val="auto"/>
          <w:sz w:val="20"/>
          <w:szCs w:val="20"/>
        </w:rPr>
        <w:t>The NYDA’s vision is a credible, capable and activist development agency that is responsive to the plight of South Africa’s youth. Its mission is to mainstream youth issues into society and to facilitate youth development with all sectors of society.</w:t>
      </w:r>
    </w:p>
    <w:p w:rsidR="00D4053A" w:rsidRPr="007858CD" w:rsidRDefault="00D4053A" w:rsidP="007858CD">
      <w:pPr>
        <w:rPr>
          <w:rFonts w:cs="Arial"/>
          <w:color w:val="auto"/>
          <w:sz w:val="20"/>
          <w:szCs w:val="20"/>
        </w:rPr>
      </w:pPr>
    </w:p>
    <w:p w:rsidR="00C32B0F" w:rsidRPr="007858CD" w:rsidRDefault="00C32B0F" w:rsidP="007858CD">
      <w:pPr>
        <w:rPr>
          <w:rFonts w:cs="Arial"/>
          <w:color w:val="auto"/>
          <w:sz w:val="20"/>
          <w:szCs w:val="20"/>
        </w:rPr>
      </w:pPr>
      <w:r w:rsidRPr="007858CD">
        <w:rPr>
          <w:rFonts w:cs="Arial"/>
          <w:color w:val="auto"/>
          <w:sz w:val="20"/>
          <w:szCs w:val="20"/>
        </w:rPr>
        <w:t xml:space="preserve">As per the </w:t>
      </w:r>
      <w:r w:rsidR="006A0F2D" w:rsidRPr="007858CD">
        <w:rPr>
          <w:rFonts w:cs="Arial"/>
          <w:color w:val="auto"/>
          <w:sz w:val="20"/>
          <w:szCs w:val="20"/>
        </w:rPr>
        <w:t>Revised</w:t>
      </w:r>
      <w:r w:rsidRPr="007858CD">
        <w:rPr>
          <w:rFonts w:cs="Arial"/>
          <w:color w:val="auto"/>
          <w:sz w:val="20"/>
          <w:szCs w:val="20"/>
        </w:rPr>
        <w:t xml:space="preserve"> Strategic Plan (2020-2025) and APP 202</w:t>
      </w:r>
      <w:r w:rsidR="006A0F2D" w:rsidRPr="007858CD">
        <w:rPr>
          <w:rFonts w:cs="Arial"/>
          <w:color w:val="auto"/>
          <w:sz w:val="20"/>
          <w:szCs w:val="20"/>
        </w:rPr>
        <w:t>2/23</w:t>
      </w:r>
      <w:r w:rsidRPr="007858CD">
        <w:rPr>
          <w:rFonts w:cs="Arial"/>
          <w:color w:val="auto"/>
          <w:sz w:val="20"/>
          <w:szCs w:val="20"/>
        </w:rPr>
        <w:t>, the NYDA has now three programmes namely:</w:t>
      </w:r>
    </w:p>
    <w:p w:rsidR="00C32B0F" w:rsidRPr="007858CD" w:rsidRDefault="00C32B0F" w:rsidP="007858CD">
      <w:pPr>
        <w:rPr>
          <w:rFonts w:cs="Arial"/>
          <w:color w:val="auto"/>
          <w:sz w:val="20"/>
          <w:szCs w:val="20"/>
        </w:rPr>
      </w:pPr>
    </w:p>
    <w:p w:rsidR="00C32B0F" w:rsidRPr="007858CD" w:rsidRDefault="00C32B0F" w:rsidP="007858CD">
      <w:pPr>
        <w:pStyle w:val="ListParagraph"/>
        <w:numPr>
          <w:ilvl w:val="0"/>
          <w:numId w:val="20"/>
        </w:numPr>
        <w:rPr>
          <w:rFonts w:cs="Arial"/>
          <w:color w:val="auto"/>
          <w:sz w:val="20"/>
          <w:szCs w:val="20"/>
        </w:rPr>
      </w:pPr>
      <w:r w:rsidRPr="007858CD">
        <w:rPr>
          <w:rFonts w:cs="Arial"/>
          <w:b/>
          <w:color w:val="auto"/>
          <w:sz w:val="20"/>
          <w:szCs w:val="20"/>
        </w:rPr>
        <w:lastRenderedPageBreak/>
        <w:t>Programme 1: Administration</w:t>
      </w:r>
      <w:r w:rsidRPr="007858CD">
        <w:rPr>
          <w:rFonts w:cs="Arial"/>
          <w:color w:val="auto"/>
          <w:sz w:val="20"/>
          <w:szCs w:val="20"/>
        </w:rPr>
        <w:t xml:space="preserve"> - The purpose of this programme is to enable effective and efficient capabilities for service delivery and supporting functions.</w:t>
      </w:r>
    </w:p>
    <w:p w:rsidR="00C32B0F" w:rsidRPr="007858CD" w:rsidRDefault="00C32B0F" w:rsidP="007858CD">
      <w:pPr>
        <w:pStyle w:val="ListParagraph"/>
        <w:numPr>
          <w:ilvl w:val="0"/>
          <w:numId w:val="20"/>
        </w:numPr>
        <w:rPr>
          <w:rFonts w:cs="Arial"/>
          <w:color w:val="auto"/>
          <w:sz w:val="20"/>
          <w:szCs w:val="20"/>
        </w:rPr>
      </w:pPr>
      <w:r w:rsidRPr="007858CD">
        <w:rPr>
          <w:rFonts w:cs="Arial"/>
          <w:b/>
          <w:color w:val="auto"/>
          <w:sz w:val="20"/>
          <w:szCs w:val="20"/>
        </w:rPr>
        <w:t xml:space="preserve">Programme 2: </w:t>
      </w:r>
      <w:r w:rsidR="006A0F2D" w:rsidRPr="007858CD">
        <w:rPr>
          <w:rFonts w:cs="Arial"/>
          <w:b/>
          <w:color w:val="auto"/>
          <w:sz w:val="20"/>
          <w:szCs w:val="20"/>
        </w:rPr>
        <w:t>Operations</w:t>
      </w:r>
      <w:r w:rsidRPr="007858CD">
        <w:rPr>
          <w:rFonts w:cs="Arial"/>
          <w:color w:val="auto"/>
          <w:sz w:val="20"/>
          <w:szCs w:val="20"/>
        </w:rPr>
        <w:t xml:space="preserve"> (includes: economic development through youth entrepreneurship, Jobs programme, and National Youth Service) The purpose of the programme is to enhance the participation of young people in the economy through targeted and integrated economic programmes, including skills and education programmes, and national youth services. </w:t>
      </w:r>
    </w:p>
    <w:p w:rsidR="00C32B0F" w:rsidRPr="007858CD" w:rsidRDefault="00C32B0F" w:rsidP="007858CD">
      <w:pPr>
        <w:pStyle w:val="ListParagraph"/>
        <w:numPr>
          <w:ilvl w:val="0"/>
          <w:numId w:val="20"/>
        </w:numPr>
        <w:rPr>
          <w:rFonts w:cs="Arial"/>
          <w:color w:val="auto"/>
          <w:sz w:val="20"/>
          <w:szCs w:val="20"/>
        </w:rPr>
      </w:pPr>
      <w:r w:rsidRPr="007858CD">
        <w:rPr>
          <w:rFonts w:cs="Arial"/>
          <w:b/>
          <w:color w:val="auto"/>
          <w:sz w:val="20"/>
          <w:szCs w:val="20"/>
        </w:rPr>
        <w:t>Programme 3: Integrated Youth Development</w:t>
      </w:r>
      <w:r w:rsidRPr="007858CD">
        <w:rPr>
          <w:rFonts w:cs="Arial"/>
          <w:color w:val="auto"/>
          <w:sz w:val="20"/>
          <w:szCs w:val="20"/>
        </w:rPr>
        <w:t xml:space="preserve"> - The purpose focuses on fostering a mainstreamed, evidence based, integrated and result oriented youth development.</w:t>
      </w:r>
    </w:p>
    <w:p w:rsidR="00C32B0F" w:rsidRPr="007858CD" w:rsidRDefault="00C32B0F" w:rsidP="007858CD">
      <w:pPr>
        <w:rPr>
          <w:rFonts w:cs="Arial"/>
          <w:color w:val="auto"/>
          <w:sz w:val="20"/>
          <w:szCs w:val="20"/>
        </w:rPr>
      </w:pPr>
      <w:r w:rsidRPr="007858CD">
        <w:rPr>
          <w:rFonts w:cs="Arial"/>
          <w:color w:val="auto"/>
          <w:sz w:val="20"/>
          <w:szCs w:val="20"/>
        </w:rPr>
        <w:t xml:space="preserve"> </w:t>
      </w:r>
    </w:p>
    <w:p w:rsidR="00883452" w:rsidRPr="007858CD" w:rsidRDefault="002B6972" w:rsidP="007858CD">
      <w:pPr>
        <w:pStyle w:val="ListParagraph"/>
        <w:numPr>
          <w:ilvl w:val="1"/>
          <w:numId w:val="12"/>
        </w:numPr>
        <w:rPr>
          <w:rFonts w:cs="Arial"/>
          <w:color w:val="auto"/>
          <w:sz w:val="20"/>
          <w:szCs w:val="20"/>
        </w:rPr>
      </w:pPr>
      <w:r w:rsidRPr="007858CD">
        <w:rPr>
          <w:rFonts w:cs="Arial"/>
          <w:b/>
          <w:color w:val="auto"/>
          <w:sz w:val="20"/>
          <w:szCs w:val="20"/>
          <w:lang w:val="en-US"/>
        </w:rPr>
        <w:t>Analysis</w:t>
      </w:r>
      <w:r w:rsidRPr="007858CD">
        <w:rPr>
          <w:rFonts w:cs="Arial"/>
          <w:b/>
          <w:color w:val="auto"/>
          <w:sz w:val="20"/>
          <w:szCs w:val="20"/>
          <w:lang w:val="en-ZA"/>
        </w:rPr>
        <w:t xml:space="preserve"> of Budget </w:t>
      </w:r>
      <w:r w:rsidR="00D4053A" w:rsidRPr="007858CD">
        <w:rPr>
          <w:rFonts w:cs="Arial"/>
          <w:b/>
          <w:color w:val="auto"/>
          <w:sz w:val="20"/>
          <w:szCs w:val="20"/>
          <w:lang w:val="en-ZA"/>
        </w:rPr>
        <w:t>o</w:t>
      </w:r>
      <w:r w:rsidRPr="007858CD">
        <w:rPr>
          <w:rFonts w:cs="Arial"/>
          <w:b/>
          <w:color w:val="auto"/>
          <w:sz w:val="20"/>
          <w:szCs w:val="20"/>
          <w:lang w:val="en-ZA"/>
        </w:rPr>
        <w:t>f the NYDA</w:t>
      </w:r>
      <w:r w:rsidR="00D4053A" w:rsidRPr="007858CD">
        <w:rPr>
          <w:rFonts w:cs="Arial"/>
          <w:b/>
          <w:color w:val="auto"/>
          <w:sz w:val="20"/>
          <w:szCs w:val="20"/>
          <w:lang w:val="en-ZA"/>
        </w:rPr>
        <w:t xml:space="preserve"> for 2021/22</w:t>
      </w:r>
    </w:p>
    <w:p w:rsidR="002B6972" w:rsidRPr="007858CD" w:rsidRDefault="002B6972" w:rsidP="007858CD">
      <w:pPr>
        <w:rPr>
          <w:rFonts w:cs="Arial"/>
          <w:b/>
          <w:color w:val="auto"/>
          <w:sz w:val="20"/>
          <w:szCs w:val="20"/>
        </w:rPr>
      </w:pPr>
    </w:p>
    <w:p w:rsidR="00D4053A" w:rsidRPr="007858CD" w:rsidRDefault="00D4053A" w:rsidP="007858CD">
      <w:pPr>
        <w:rPr>
          <w:rFonts w:cs="Arial"/>
          <w:color w:val="auto"/>
          <w:sz w:val="20"/>
          <w:szCs w:val="20"/>
        </w:rPr>
      </w:pPr>
      <w:r w:rsidRPr="007858CD">
        <w:rPr>
          <w:rFonts w:cs="Arial"/>
          <w:color w:val="auto"/>
          <w:sz w:val="20"/>
          <w:szCs w:val="20"/>
          <w:lang w:val="en-ZA"/>
        </w:rPr>
        <w:t>According to the National Treasury 202</w:t>
      </w:r>
      <w:r w:rsidR="006A0F2D" w:rsidRPr="007858CD">
        <w:rPr>
          <w:rFonts w:cs="Arial"/>
          <w:color w:val="auto"/>
          <w:sz w:val="20"/>
          <w:szCs w:val="20"/>
          <w:lang w:val="en-ZA"/>
        </w:rPr>
        <w:t>2</w:t>
      </w:r>
      <w:r w:rsidRPr="007858CD">
        <w:rPr>
          <w:rFonts w:cs="Arial"/>
          <w:color w:val="auto"/>
          <w:sz w:val="20"/>
          <w:szCs w:val="20"/>
          <w:lang w:val="en-ZA"/>
        </w:rPr>
        <w:t xml:space="preserve"> Estimates of National Expenditure (ENE), </w:t>
      </w:r>
      <w:r w:rsidR="003A2BF6" w:rsidRPr="007858CD">
        <w:rPr>
          <w:rFonts w:cs="Arial"/>
          <w:color w:val="auto"/>
          <w:sz w:val="20"/>
          <w:szCs w:val="20"/>
          <w:lang w:val="en-ZA"/>
        </w:rPr>
        <w:t>“Over</w:t>
      </w:r>
      <w:r w:rsidRPr="007858CD">
        <w:rPr>
          <w:rFonts w:cs="Arial"/>
          <w:color w:val="auto"/>
          <w:sz w:val="20"/>
          <w:szCs w:val="20"/>
          <w:lang w:val="en-ZA"/>
        </w:rPr>
        <w:t xml:space="preserve"> the MTEF period, the NYDA will focus on</w:t>
      </w:r>
      <w:r w:rsidR="003A2BF6" w:rsidRPr="007858CD">
        <w:rPr>
          <w:rFonts w:cs="Arial"/>
          <w:color w:val="auto"/>
          <w:spacing w:val="0"/>
          <w:sz w:val="20"/>
          <w:szCs w:val="20"/>
          <w:lang w:val="en-ZA" w:eastAsia="en-ZA"/>
        </w:rPr>
        <w:t xml:space="preserve"> </w:t>
      </w:r>
      <w:r w:rsidR="003A2BF6" w:rsidRPr="007858CD">
        <w:rPr>
          <w:rFonts w:cs="Arial"/>
          <w:color w:val="auto"/>
          <w:sz w:val="20"/>
          <w:szCs w:val="20"/>
          <w:lang w:val="en-ZA"/>
        </w:rPr>
        <w:t>providing interventions to support the creation of decent employment and the development of skills, and encourage entrepreneurship, for all young people. These interventions will take the form of financial and non</w:t>
      </w:r>
      <w:r w:rsidR="003A2BF6" w:rsidRPr="007858CD">
        <w:rPr>
          <w:rFonts w:ascii="Times New Roman" w:hAnsi="Times New Roman" w:cs="Arial"/>
          <w:color w:val="auto"/>
          <w:sz w:val="20"/>
          <w:szCs w:val="20"/>
          <w:lang w:val="en-ZA"/>
        </w:rPr>
        <w:t>‐</w:t>
      </w:r>
      <w:r w:rsidR="003A2BF6" w:rsidRPr="007858CD">
        <w:rPr>
          <w:rFonts w:cs="Arial"/>
          <w:color w:val="auto"/>
          <w:sz w:val="20"/>
          <w:szCs w:val="20"/>
          <w:lang w:val="en-ZA"/>
        </w:rPr>
        <w:t>financial support to enable young people to access skills and jobs, establish and sustain enterprises, and gain access to markets. Financial support is provided through grants to township and rural enterprises run by young people, whereas non</w:t>
      </w:r>
      <w:r w:rsidR="003A2BF6" w:rsidRPr="007858CD">
        <w:rPr>
          <w:rFonts w:ascii="Times New Roman" w:hAnsi="Times New Roman" w:cs="Arial"/>
          <w:color w:val="auto"/>
          <w:sz w:val="20"/>
          <w:szCs w:val="20"/>
          <w:lang w:val="en-ZA"/>
        </w:rPr>
        <w:t>‐</w:t>
      </w:r>
      <w:r w:rsidR="003A2BF6" w:rsidRPr="007858CD">
        <w:rPr>
          <w:rFonts w:cs="Arial"/>
          <w:color w:val="auto"/>
          <w:sz w:val="20"/>
          <w:szCs w:val="20"/>
          <w:lang w:val="en-ZA"/>
        </w:rPr>
        <w:t>financial support includes accounting, website development, business plan writing and marketing.”</w:t>
      </w:r>
      <w:r w:rsidRPr="007858CD">
        <w:rPr>
          <w:rStyle w:val="FootnoteReference"/>
          <w:rFonts w:cs="Arial"/>
          <w:color w:val="auto"/>
          <w:sz w:val="20"/>
          <w:szCs w:val="20"/>
          <w:lang w:val="en-ZA"/>
        </w:rPr>
        <w:footnoteReference w:id="17"/>
      </w:r>
    </w:p>
    <w:p w:rsidR="00D4053A" w:rsidRPr="007858CD" w:rsidRDefault="00D4053A" w:rsidP="007858CD">
      <w:pPr>
        <w:rPr>
          <w:rFonts w:cs="Arial"/>
          <w:b/>
          <w:color w:val="auto"/>
          <w:sz w:val="20"/>
          <w:szCs w:val="20"/>
        </w:rPr>
      </w:pPr>
    </w:p>
    <w:p w:rsidR="003A2BF6" w:rsidRPr="007858CD" w:rsidRDefault="00D4053A" w:rsidP="007858CD">
      <w:pPr>
        <w:rPr>
          <w:rFonts w:cs="Arial"/>
          <w:color w:val="auto"/>
          <w:sz w:val="20"/>
          <w:szCs w:val="20"/>
        </w:rPr>
      </w:pPr>
      <w:r w:rsidRPr="007858CD">
        <w:rPr>
          <w:rFonts w:cs="Arial"/>
          <w:color w:val="auto"/>
          <w:sz w:val="20"/>
          <w:szCs w:val="20"/>
        </w:rPr>
        <w:t xml:space="preserve">Over the medium term, </w:t>
      </w:r>
      <w:r w:rsidR="003A2BF6" w:rsidRPr="007858CD">
        <w:rPr>
          <w:rFonts w:cs="Arial"/>
          <w:color w:val="auto"/>
          <w:sz w:val="20"/>
          <w:szCs w:val="20"/>
        </w:rPr>
        <w:t>the ENE</w:t>
      </w:r>
      <w:r w:rsidR="00082E2C" w:rsidRPr="007858CD">
        <w:rPr>
          <w:rFonts w:cs="Arial"/>
          <w:color w:val="auto"/>
          <w:sz w:val="20"/>
          <w:szCs w:val="20"/>
        </w:rPr>
        <w:t xml:space="preserve"> (2022)</w:t>
      </w:r>
      <w:r w:rsidR="003A2BF6" w:rsidRPr="007858CD">
        <w:rPr>
          <w:rFonts w:cs="Arial"/>
          <w:color w:val="auto"/>
          <w:sz w:val="20"/>
          <w:szCs w:val="20"/>
        </w:rPr>
        <w:t xml:space="preserve"> states the following:</w:t>
      </w:r>
      <w:r w:rsidR="00082E2C" w:rsidRPr="007858CD">
        <w:rPr>
          <w:rStyle w:val="FootnoteReference"/>
          <w:rFonts w:cs="Arial"/>
          <w:color w:val="auto"/>
          <w:sz w:val="20"/>
          <w:szCs w:val="20"/>
        </w:rPr>
        <w:footnoteReference w:id="18"/>
      </w:r>
    </w:p>
    <w:p w:rsidR="003A2BF6" w:rsidRPr="007858CD" w:rsidRDefault="003A2BF6" w:rsidP="007858CD">
      <w:pPr>
        <w:rPr>
          <w:rFonts w:cs="Arial"/>
          <w:color w:val="auto"/>
          <w:sz w:val="20"/>
          <w:szCs w:val="20"/>
        </w:rPr>
      </w:pPr>
    </w:p>
    <w:p w:rsidR="003A2BF6" w:rsidRPr="007858CD" w:rsidRDefault="00D4053A" w:rsidP="007858CD">
      <w:pPr>
        <w:pStyle w:val="ListParagraph"/>
        <w:numPr>
          <w:ilvl w:val="0"/>
          <w:numId w:val="48"/>
        </w:numPr>
        <w:rPr>
          <w:rFonts w:cs="Arial"/>
          <w:color w:val="auto"/>
          <w:sz w:val="20"/>
          <w:szCs w:val="20"/>
        </w:rPr>
      </w:pPr>
      <w:r w:rsidRPr="007858CD">
        <w:rPr>
          <w:rFonts w:cs="Arial"/>
          <w:color w:val="auto"/>
          <w:sz w:val="20"/>
          <w:szCs w:val="20"/>
        </w:rPr>
        <w:t>R</w:t>
      </w:r>
      <w:r w:rsidR="003A2BF6" w:rsidRPr="007858CD">
        <w:rPr>
          <w:rFonts w:cs="Arial"/>
          <w:color w:val="auto"/>
          <w:sz w:val="20"/>
          <w:szCs w:val="20"/>
        </w:rPr>
        <w:t>789.5</w:t>
      </w:r>
      <w:r w:rsidRPr="007858CD">
        <w:rPr>
          <w:rFonts w:cs="Arial"/>
          <w:color w:val="auto"/>
          <w:sz w:val="20"/>
          <w:szCs w:val="20"/>
        </w:rPr>
        <w:t xml:space="preserve"> million is allocated </w:t>
      </w:r>
      <w:r w:rsidR="00082E2C" w:rsidRPr="007858CD">
        <w:rPr>
          <w:rFonts w:cs="Arial"/>
          <w:color w:val="auto"/>
          <w:sz w:val="20"/>
          <w:szCs w:val="20"/>
        </w:rPr>
        <w:t xml:space="preserve">for developing </w:t>
      </w:r>
      <w:r w:rsidR="00082E2C" w:rsidRPr="007858CD">
        <w:rPr>
          <w:rFonts w:cs="Arial"/>
          <w:color w:val="auto"/>
          <w:sz w:val="20"/>
          <w:szCs w:val="20"/>
          <w:lang w:val="en-ZA"/>
        </w:rPr>
        <w:t>entrepreneurial skills among young people through business management training and mentorships</w:t>
      </w:r>
      <w:r w:rsidRPr="007858CD">
        <w:rPr>
          <w:rFonts w:cs="Arial"/>
          <w:color w:val="auto"/>
          <w:sz w:val="20"/>
          <w:szCs w:val="20"/>
        </w:rPr>
        <w:t>;</w:t>
      </w:r>
    </w:p>
    <w:p w:rsidR="003A2BF6" w:rsidRPr="007858CD" w:rsidRDefault="00D4053A" w:rsidP="007858CD">
      <w:pPr>
        <w:pStyle w:val="ListParagraph"/>
        <w:numPr>
          <w:ilvl w:val="0"/>
          <w:numId w:val="48"/>
        </w:numPr>
        <w:rPr>
          <w:rFonts w:cs="Arial"/>
          <w:color w:val="auto"/>
          <w:sz w:val="20"/>
          <w:szCs w:val="20"/>
        </w:rPr>
      </w:pPr>
      <w:r w:rsidRPr="007858CD">
        <w:rPr>
          <w:rFonts w:cs="Arial"/>
          <w:color w:val="auto"/>
          <w:sz w:val="20"/>
          <w:szCs w:val="20"/>
        </w:rPr>
        <w:t>R</w:t>
      </w:r>
      <w:r w:rsidR="00082E2C" w:rsidRPr="007858CD">
        <w:rPr>
          <w:rFonts w:cs="Arial"/>
          <w:color w:val="auto"/>
          <w:sz w:val="20"/>
          <w:szCs w:val="20"/>
        </w:rPr>
        <w:t>286.7</w:t>
      </w:r>
      <w:r w:rsidRPr="007858CD">
        <w:rPr>
          <w:rFonts w:cs="Arial"/>
          <w:color w:val="auto"/>
          <w:sz w:val="20"/>
          <w:szCs w:val="20"/>
        </w:rPr>
        <w:t xml:space="preserve"> million is allocated to </w:t>
      </w:r>
      <w:r w:rsidR="00082E2C" w:rsidRPr="007858CD">
        <w:rPr>
          <w:rFonts w:cs="Arial"/>
          <w:color w:val="auto"/>
          <w:sz w:val="20"/>
          <w:szCs w:val="20"/>
        </w:rPr>
        <w:t>helping youth find employment through the jobs programmes</w:t>
      </w:r>
      <w:r w:rsidRPr="007858CD">
        <w:rPr>
          <w:rFonts w:cs="Arial"/>
          <w:color w:val="auto"/>
          <w:sz w:val="20"/>
          <w:szCs w:val="20"/>
        </w:rPr>
        <w:t xml:space="preserve">; and </w:t>
      </w:r>
    </w:p>
    <w:p w:rsidR="00D4053A" w:rsidRPr="007858CD" w:rsidRDefault="00D4053A" w:rsidP="007858CD">
      <w:pPr>
        <w:pStyle w:val="ListParagraph"/>
        <w:numPr>
          <w:ilvl w:val="0"/>
          <w:numId w:val="48"/>
        </w:numPr>
        <w:rPr>
          <w:rFonts w:cs="Arial"/>
          <w:b/>
          <w:color w:val="auto"/>
          <w:sz w:val="20"/>
          <w:szCs w:val="20"/>
        </w:rPr>
      </w:pPr>
      <w:r w:rsidRPr="007858CD">
        <w:rPr>
          <w:rFonts w:cs="Arial"/>
          <w:color w:val="auto"/>
          <w:sz w:val="20"/>
          <w:szCs w:val="20"/>
        </w:rPr>
        <w:t>R</w:t>
      </w:r>
      <w:r w:rsidR="00082E2C" w:rsidRPr="007858CD">
        <w:rPr>
          <w:rFonts w:cs="Arial"/>
          <w:color w:val="auto"/>
          <w:sz w:val="20"/>
          <w:szCs w:val="20"/>
        </w:rPr>
        <w:t>498.5</w:t>
      </w:r>
      <w:r w:rsidRPr="007858CD">
        <w:rPr>
          <w:rFonts w:cs="Arial"/>
          <w:color w:val="auto"/>
          <w:sz w:val="20"/>
          <w:szCs w:val="20"/>
        </w:rPr>
        <w:t xml:space="preserve"> million is allocated to </w:t>
      </w:r>
      <w:r w:rsidR="00082E2C" w:rsidRPr="007858CD">
        <w:rPr>
          <w:rFonts w:cs="Arial"/>
          <w:color w:val="auto"/>
          <w:sz w:val="20"/>
          <w:szCs w:val="20"/>
          <w:lang w:val="en-ZA"/>
        </w:rPr>
        <w:t>to ensure that young people stay engaged in service to their communities and build the spirit of patriotism, solidarity, social cohesion and unity in diversity. This funding will also provide for stipends for young people participating in the programme, as well as project management costs and some training.</w:t>
      </w:r>
    </w:p>
    <w:p w:rsidR="00082E2C" w:rsidRPr="007858CD" w:rsidRDefault="00082E2C" w:rsidP="007858CD">
      <w:pPr>
        <w:pStyle w:val="ListParagraph"/>
        <w:rPr>
          <w:rFonts w:cs="Arial"/>
          <w:b/>
          <w:color w:val="auto"/>
          <w:sz w:val="20"/>
          <w:szCs w:val="20"/>
        </w:rPr>
      </w:pPr>
    </w:p>
    <w:p w:rsidR="00B26499" w:rsidRPr="007858CD" w:rsidRDefault="00D4053A" w:rsidP="007858CD">
      <w:pPr>
        <w:rPr>
          <w:rFonts w:cs="Arial"/>
          <w:color w:val="auto"/>
          <w:sz w:val="20"/>
          <w:szCs w:val="20"/>
        </w:rPr>
      </w:pPr>
      <w:r w:rsidRPr="007858CD">
        <w:rPr>
          <w:rFonts w:cs="Arial"/>
          <w:color w:val="auto"/>
          <w:sz w:val="20"/>
          <w:szCs w:val="20"/>
        </w:rPr>
        <w:t>Finally, expenditure is expected to increase from R</w:t>
      </w:r>
      <w:r w:rsidR="007A577D" w:rsidRPr="007858CD">
        <w:rPr>
          <w:rFonts w:cs="Arial"/>
          <w:color w:val="auto"/>
          <w:sz w:val="20"/>
          <w:szCs w:val="20"/>
        </w:rPr>
        <w:t>718.3</w:t>
      </w:r>
      <w:r w:rsidRPr="007858CD">
        <w:rPr>
          <w:rFonts w:cs="Arial"/>
          <w:color w:val="auto"/>
          <w:sz w:val="20"/>
          <w:szCs w:val="20"/>
        </w:rPr>
        <w:t xml:space="preserve"> million in 202</w:t>
      </w:r>
      <w:r w:rsidR="007A577D" w:rsidRPr="007858CD">
        <w:rPr>
          <w:rFonts w:cs="Arial"/>
          <w:color w:val="auto"/>
          <w:sz w:val="20"/>
          <w:szCs w:val="20"/>
        </w:rPr>
        <w:t>2/23</w:t>
      </w:r>
      <w:r w:rsidRPr="007858CD">
        <w:rPr>
          <w:rFonts w:cs="Arial"/>
          <w:color w:val="auto"/>
          <w:sz w:val="20"/>
          <w:szCs w:val="20"/>
        </w:rPr>
        <w:t xml:space="preserve"> to R</w:t>
      </w:r>
      <w:r w:rsidR="007A577D" w:rsidRPr="007858CD">
        <w:rPr>
          <w:rFonts w:cs="Arial"/>
          <w:color w:val="auto"/>
          <w:sz w:val="20"/>
          <w:szCs w:val="20"/>
        </w:rPr>
        <w:t>770.9</w:t>
      </w:r>
      <w:r w:rsidRPr="007858CD">
        <w:rPr>
          <w:rFonts w:cs="Arial"/>
          <w:color w:val="auto"/>
          <w:sz w:val="20"/>
          <w:szCs w:val="20"/>
        </w:rPr>
        <w:t xml:space="preserve"> million in 2023/24</w:t>
      </w:r>
      <w:r w:rsidR="007A577D" w:rsidRPr="007858CD">
        <w:rPr>
          <w:rFonts w:cs="Arial"/>
          <w:color w:val="auto"/>
          <w:sz w:val="20"/>
          <w:szCs w:val="20"/>
        </w:rPr>
        <w:t xml:space="preserve">. </w:t>
      </w:r>
      <w:r w:rsidRPr="007858CD">
        <w:rPr>
          <w:rFonts w:cs="Arial"/>
          <w:color w:val="auto"/>
          <w:sz w:val="20"/>
          <w:szCs w:val="20"/>
        </w:rPr>
        <w:t>The N</w:t>
      </w:r>
      <w:r w:rsidR="00082E2C" w:rsidRPr="007858CD">
        <w:rPr>
          <w:rFonts w:cs="Arial"/>
          <w:color w:val="auto"/>
          <w:sz w:val="20"/>
          <w:szCs w:val="20"/>
        </w:rPr>
        <w:t>Y</w:t>
      </w:r>
      <w:r w:rsidRPr="007858CD">
        <w:rPr>
          <w:rFonts w:cs="Arial"/>
          <w:color w:val="auto"/>
          <w:sz w:val="20"/>
          <w:szCs w:val="20"/>
        </w:rPr>
        <w:t>D</w:t>
      </w:r>
      <w:r w:rsidR="00082E2C" w:rsidRPr="007858CD">
        <w:rPr>
          <w:rFonts w:cs="Arial"/>
          <w:color w:val="auto"/>
          <w:sz w:val="20"/>
          <w:szCs w:val="20"/>
        </w:rPr>
        <w:t>A</w:t>
      </w:r>
      <w:r w:rsidRPr="007858CD">
        <w:rPr>
          <w:rFonts w:cs="Arial"/>
          <w:color w:val="auto"/>
          <w:sz w:val="20"/>
          <w:szCs w:val="20"/>
        </w:rPr>
        <w:t xml:space="preserve"> is set to derive </w:t>
      </w:r>
      <w:r w:rsidR="00082E2C" w:rsidRPr="007858CD">
        <w:rPr>
          <w:rFonts w:cs="Arial"/>
          <w:color w:val="auto"/>
          <w:sz w:val="20"/>
          <w:szCs w:val="20"/>
        </w:rPr>
        <w:t>64</w:t>
      </w:r>
      <w:r w:rsidRPr="007858CD">
        <w:rPr>
          <w:rFonts w:cs="Arial"/>
          <w:color w:val="auto"/>
          <w:sz w:val="20"/>
          <w:szCs w:val="20"/>
        </w:rPr>
        <w:t>% (R</w:t>
      </w:r>
      <w:r w:rsidR="00082E2C" w:rsidRPr="007858CD">
        <w:rPr>
          <w:rFonts w:cs="Arial"/>
          <w:color w:val="auto"/>
          <w:sz w:val="20"/>
          <w:szCs w:val="20"/>
        </w:rPr>
        <w:t>481 million</w:t>
      </w:r>
      <w:r w:rsidRPr="007858CD">
        <w:rPr>
          <w:rFonts w:cs="Arial"/>
          <w:color w:val="auto"/>
          <w:sz w:val="20"/>
          <w:szCs w:val="20"/>
        </w:rPr>
        <w:t>) of its revenue over the MTEF period through transfers from the Department. In addition to the transfer payment received, the NYDA’s overall budget also includes interest income of R</w:t>
      </w:r>
      <w:r w:rsidR="00082E2C" w:rsidRPr="007858CD">
        <w:rPr>
          <w:rFonts w:cs="Arial"/>
          <w:color w:val="auto"/>
          <w:sz w:val="20"/>
          <w:szCs w:val="20"/>
        </w:rPr>
        <w:t>5</w:t>
      </w:r>
      <w:r w:rsidRPr="007858CD">
        <w:rPr>
          <w:rFonts w:cs="Arial"/>
          <w:color w:val="auto"/>
          <w:sz w:val="20"/>
          <w:szCs w:val="20"/>
        </w:rPr>
        <w:t xml:space="preserve"> million and donor income of R</w:t>
      </w:r>
      <w:r w:rsidR="00082E2C" w:rsidRPr="007858CD">
        <w:rPr>
          <w:rFonts w:cs="Arial"/>
          <w:color w:val="auto"/>
          <w:sz w:val="20"/>
          <w:szCs w:val="20"/>
        </w:rPr>
        <w:t>71</w:t>
      </w:r>
      <w:r w:rsidRPr="007858CD">
        <w:rPr>
          <w:rFonts w:cs="Arial"/>
          <w:color w:val="auto"/>
          <w:sz w:val="20"/>
          <w:szCs w:val="20"/>
        </w:rPr>
        <w:t xml:space="preserve"> million </w:t>
      </w:r>
      <w:r w:rsidR="00082E2C" w:rsidRPr="007858CD">
        <w:rPr>
          <w:rFonts w:cs="Arial"/>
          <w:color w:val="auto"/>
          <w:sz w:val="20"/>
          <w:szCs w:val="20"/>
        </w:rPr>
        <w:t xml:space="preserve">plus the Presidential Youth Employment Fund Income allocation of R200 million. In so doing, giving the NYDA </w:t>
      </w:r>
      <w:r w:rsidRPr="007858CD">
        <w:rPr>
          <w:rFonts w:cs="Arial"/>
          <w:color w:val="auto"/>
          <w:sz w:val="20"/>
          <w:szCs w:val="20"/>
        </w:rPr>
        <w:t>an accumulative budget of R</w:t>
      </w:r>
      <w:r w:rsidR="00082E2C" w:rsidRPr="007858CD">
        <w:rPr>
          <w:rFonts w:cs="Arial"/>
          <w:color w:val="auto"/>
          <w:sz w:val="20"/>
          <w:szCs w:val="20"/>
        </w:rPr>
        <w:t>757</w:t>
      </w:r>
      <w:r w:rsidRPr="007858CD">
        <w:rPr>
          <w:rFonts w:cs="Arial"/>
          <w:color w:val="auto"/>
          <w:sz w:val="20"/>
          <w:szCs w:val="20"/>
        </w:rPr>
        <w:t xml:space="preserve"> million for</w:t>
      </w:r>
      <w:r w:rsidR="006A0F2D" w:rsidRPr="007858CD">
        <w:rPr>
          <w:rFonts w:cs="Arial"/>
          <w:color w:val="auto"/>
          <w:sz w:val="20"/>
          <w:szCs w:val="20"/>
        </w:rPr>
        <w:t xml:space="preserve"> 202</w:t>
      </w:r>
      <w:r w:rsidR="003A2BF6" w:rsidRPr="007858CD">
        <w:rPr>
          <w:rFonts w:cs="Arial"/>
          <w:color w:val="auto"/>
          <w:sz w:val="20"/>
          <w:szCs w:val="20"/>
        </w:rPr>
        <w:t>2</w:t>
      </w:r>
      <w:r w:rsidRPr="007858CD">
        <w:rPr>
          <w:rFonts w:cs="Arial"/>
          <w:color w:val="auto"/>
          <w:sz w:val="20"/>
          <w:szCs w:val="20"/>
        </w:rPr>
        <w:t>/</w:t>
      </w:r>
      <w:r w:rsidR="006A0F2D" w:rsidRPr="007858CD">
        <w:rPr>
          <w:rFonts w:cs="Arial"/>
          <w:color w:val="auto"/>
          <w:sz w:val="20"/>
          <w:szCs w:val="20"/>
        </w:rPr>
        <w:t>23</w:t>
      </w:r>
      <w:r w:rsidRPr="007858CD">
        <w:rPr>
          <w:rFonts w:cs="Arial"/>
          <w:color w:val="auto"/>
          <w:sz w:val="20"/>
          <w:szCs w:val="20"/>
        </w:rPr>
        <w:t>.</w:t>
      </w:r>
      <w:r w:rsidR="00082E2C" w:rsidRPr="007858CD">
        <w:rPr>
          <w:rFonts w:cs="Arial"/>
          <w:color w:val="auto"/>
          <w:sz w:val="20"/>
          <w:szCs w:val="20"/>
        </w:rPr>
        <w:t xml:space="preserve"> “Furthermore, Revenue is expected to decrease at an annual average of 18.9 percent, from R1 billion in 2021 /22 to R543.5 million in 2024/25, as a result of additional allocations for the presidential employment initiative coming to an end in 2023/24.”</w:t>
      </w:r>
      <w:r w:rsidR="00082E2C" w:rsidRPr="007858CD">
        <w:rPr>
          <w:rStyle w:val="FootnoteReference"/>
          <w:rFonts w:cs="Arial"/>
          <w:color w:val="auto"/>
          <w:sz w:val="20"/>
          <w:szCs w:val="20"/>
        </w:rPr>
        <w:footnoteReference w:id="19"/>
      </w:r>
    </w:p>
    <w:p w:rsidR="00D4053A" w:rsidRPr="007858CD" w:rsidRDefault="00D4053A" w:rsidP="007858CD">
      <w:pPr>
        <w:rPr>
          <w:rFonts w:cs="Arial"/>
          <w:color w:val="auto"/>
          <w:sz w:val="20"/>
          <w:szCs w:val="20"/>
        </w:rPr>
      </w:pPr>
    </w:p>
    <w:p w:rsidR="007A577D" w:rsidRPr="007858CD" w:rsidRDefault="00145E82" w:rsidP="007858CD">
      <w:pPr>
        <w:rPr>
          <w:rFonts w:cs="Arial"/>
          <w:color w:val="auto"/>
          <w:sz w:val="20"/>
          <w:szCs w:val="20"/>
        </w:rPr>
      </w:pPr>
      <w:r w:rsidRPr="007858CD">
        <w:rPr>
          <w:rFonts w:cs="Arial"/>
          <w:color w:val="auto"/>
          <w:sz w:val="20"/>
          <w:szCs w:val="20"/>
        </w:rPr>
        <w:t>As per the ENE 2022, s</w:t>
      </w:r>
      <w:r w:rsidR="007A577D" w:rsidRPr="007858CD">
        <w:rPr>
          <w:rFonts w:cs="Arial"/>
          <w:color w:val="auto"/>
          <w:sz w:val="20"/>
          <w:szCs w:val="20"/>
        </w:rPr>
        <w:t>pending on Compensation of Employees (CoE) is expected to increase from R199.8 million in 2022/23 to 206.6 million in 2023.23. CoE accounts for an estimated 28% (R199.8 million) of the NDYA’s total expenditure for the current FY 2022/23. Goods and services accounts for 45% (R326.5 million) of the NYDA’s total budget.</w:t>
      </w:r>
      <w:r w:rsidRPr="007858CD">
        <w:rPr>
          <w:rFonts w:cs="Arial"/>
          <w:color w:val="auto"/>
          <w:sz w:val="20"/>
          <w:szCs w:val="20"/>
        </w:rPr>
        <w:t xml:space="preserve"> The table below outlines the expenditure per programme as presented by the NYDA to the Committee at its APP briefing.</w:t>
      </w:r>
    </w:p>
    <w:p w:rsidR="004A170D" w:rsidRPr="007858CD" w:rsidRDefault="004A170D" w:rsidP="007858CD">
      <w:pPr>
        <w:rPr>
          <w:rFonts w:cs="Arial"/>
          <w:b/>
          <w:color w:val="auto"/>
          <w:sz w:val="20"/>
          <w:szCs w:val="20"/>
        </w:rPr>
      </w:pPr>
    </w:p>
    <w:p w:rsidR="004A170D" w:rsidRPr="007858CD" w:rsidRDefault="004A170D" w:rsidP="007858CD">
      <w:pPr>
        <w:rPr>
          <w:rFonts w:cs="Arial"/>
          <w:b/>
          <w:color w:val="auto"/>
          <w:sz w:val="20"/>
          <w:szCs w:val="20"/>
        </w:rPr>
      </w:pPr>
    </w:p>
    <w:p w:rsidR="002B6972" w:rsidRPr="007858CD" w:rsidRDefault="00B26499" w:rsidP="007858CD">
      <w:pPr>
        <w:rPr>
          <w:rFonts w:cs="Arial"/>
          <w:b/>
          <w:color w:val="auto"/>
          <w:sz w:val="20"/>
          <w:szCs w:val="20"/>
        </w:rPr>
      </w:pPr>
      <w:r w:rsidRPr="007858CD">
        <w:rPr>
          <w:rFonts w:cs="Arial"/>
          <w:b/>
          <w:color w:val="auto"/>
          <w:sz w:val="20"/>
          <w:szCs w:val="20"/>
        </w:rPr>
        <w:t xml:space="preserve">Table </w:t>
      </w:r>
      <w:r w:rsidR="00C32B0F" w:rsidRPr="007858CD">
        <w:rPr>
          <w:rFonts w:cs="Arial"/>
          <w:b/>
          <w:color w:val="auto"/>
          <w:sz w:val="20"/>
          <w:szCs w:val="20"/>
        </w:rPr>
        <w:t>7</w:t>
      </w:r>
      <w:r w:rsidRPr="007858CD">
        <w:rPr>
          <w:rFonts w:cs="Arial"/>
          <w:b/>
          <w:color w:val="auto"/>
          <w:sz w:val="20"/>
          <w:szCs w:val="20"/>
        </w:rPr>
        <w:t>: NYDA Ex</w:t>
      </w:r>
      <w:r w:rsidR="006A0F2D" w:rsidRPr="007858CD">
        <w:rPr>
          <w:rFonts w:cs="Arial"/>
          <w:b/>
          <w:color w:val="auto"/>
          <w:sz w:val="20"/>
          <w:szCs w:val="20"/>
        </w:rPr>
        <w:t>penditure per Programme for 2022/23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6"/>
        <w:gridCol w:w="2371"/>
      </w:tblGrid>
      <w:tr w:rsidR="00DE4BA7" w:rsidRPr="007858CD" w:rsidTr="0091702F">
        <w:trPr>
          <w:trHeight w:val="110"/>
        </w:trPr>
        <w:tc>
          <w:tcPr>
            <w:tcW w:w="4956" w:type="dxa"/>
            <w:shd w:val="clear" w:color="auto" w:fill="A6A6A6" w:themeFill="background1" w:themeFillShade="A6"/>
          </w:tcPr>
          <w:p w:rsidR="00B26499" w:rsidRPr="007858CD" w:rsidRDefault="00B26499" w:rsidP="007858CD">
            <w:pPr>
              <w:autoSpaceDE w:val="0"/>
              <w:autoSpaceDN w:val="0"/>
              <w:adjustRightInd w:val="0"/>
              <w:rPr>
                <w:rFonts w:cs="Arial"/>
                <w:color w:val="auto"/>
                <w:spacing w:val="0"/>
                <w:sz w:val="20"/>
                <w:szCs w:val="20"/>
                <w:lang w:val="en-ZA" w:eastAsia="en-ZA"/>
              </w:rPr>
            </w:pPr>
            <w:r w:rsidRPr="007858CD">
              <w:rPr>
                <w:rFonts w:cs="Arial"/>
                <w:b/>
                <w:bCs/>
                <w:color w:val="auto"/>
                <w:spacing w:val="0"/>
                <w:sz w:val="20"/>
                <w:szCs w:val="20"/>
                <w:lang w:val="en-ZA" w:eastAsia="en-ZA"/>
              </w:rPr>
              <w:t xml:space="preserve">PROGRAMME </w:t>
            </w:r>
          </w:p>
        </w:tc>
        <w:tc>
          <w:tcPr>
            <w:tcW w:w="2371" w:type="dxa"/>
            <w:shd w:val="clear" w:color="auto" w:fill="A6A6A6" w:themeFill="background1" w:themeFillShade="A6"/>
          </w:tcPr>
          <w:p w:rsidR="00B26499" w:rsidRPr="007858CD" w:rsidRDefault="006A0F2D" w:rsidP="007858CD">
            <w:pPr>
              <w:autoSpaceDE w:val="0"/>
              <w:autoSpaceDN w:val="0"/>
              <w:adjustRightInd w:val="0"/>
              <w:rPr>
                <w:rFonts w:cs="Arial"/>
                <w:color w:val="auto"/>
                <w:spacing w:val="0"/>
                <w:sz w:val="20"/>
                <w:szCs w:val="20"/>
                <w:lang w:val="en-ZA" w:eastAsia="en-ZA"/>
              </w:rPr>
            </w:pPr>
            <w:r w:rsidRPr="007858CD">
              <w:rPr>
                <w:rFonts w:cs="Arial"/>
                <w:b/>
                <w:bCs/>
                <w:color w:val="auto"/>
                <w:spacing w:val="0"/>
                <w:sz w:val="20"/>
                <w:szCs w:val="20"/>
                <w:lang w:val="en-ZA" w:eastAsia="en-ZA"/>
              </w:rPr>
              <w:t>2022/2023</w:t>
            </w:r>
          </w:p>
        </w:tc>
      </w:tr>
      <w:tr w:rsidR="00DE4BA7" w:rsidRPr="007858CD" w:rsidTr="0091702F">
        <w:trPr>
          <w:trHeight w:val="110"/>
        </w:trPr>
        <w:tc>
          <w:tcPr>
            <w:tcW w:w="4956" w:type="dxa"/>
          </w:tcPr>
          <w:p w:rsidR="00B26499" w:rsidRPr="007858CD" w:rsidRDefault="00B26499"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Administration </w:t>
            </w:r>
          </w:p>
        </w:tc>
        <w:tc>
          <w:tcPr>
            <w:tcW w:w="2371" w:type="dxa"/>
          </w:tcPr>
          <w:p w:rsidR="00B26499" w:rsidRPr="007858CD" w:rsidRDefault="0091702F"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R86 232 000</w:t>
            </w:r>
          </w:p>
        </w:tc>
      </w:tr>
      <w:tr w:rsidR="00DE4BA7" w:rsidRPr="007858CD" w:rsidTr="0091702F">
        <w:trPr>
          <w:trHeight w:val="110"/>
        </w:trPr>
        <w:tc>
          <w:tcPr>
            <w:tcW w:w="4956" w:type="dxa"/>
          </w:tcPr>
          <w:p w:rsidR="00B26499" w:rsidRPr="007858CD" w:rsidRDefault="00B26499"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Economic Participation </w:t>
            </w:r>
          </w:p>
        </w:tc>
        <w:tc>
          <w:tcPr>
            <w:tcW w:w="2371" w:type="dxa"/>
          </w:tcPr>
          <w:p w:rsidR="00B26499" w:rsidRPr="007858CD" w:rsidRDefault="0091702F"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R185 870 494</w:t>
            </w:r>
          </w:p>
        </w:tc>
      </w:tr>
      <w:tr w:rsidR="00DE4BA7" w:rsidRPr="007858CD" w:rsidTr="0091702F">
        <w:trPr>
          <w:trHeight w:val="110"/>
        </w:trPr>
        <w:tc>
          <w:tcPr>
            <w:tcW w:w="4956" w:type="dxa"/>
          </w:tcPr>
          <w:p w:rsidR="00B26499" w:rsidRPr="007858CD" w:rsidRDefault="00B26499"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Integrated Youth Development </w:t>
            </w:r>
          </w:p>
        </w:tc>
        <w:tc>
          <w:tcPr>
            <w:tcW w:w="2371" w:type="dxa"/>
          </w:tcPr>
          <w:p w:rsidR="00B26499" w:rsidRPr="007858CD" w:rsidRDefault="0091702F"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R5 183 000</w:t>
            </w:r>
          </w:p>
        </w:tc>
      </w:tr>
      <w:tr w:rsidR="00DE4BA7" w:rsidRPr="007858CD" w:rsidTr="0091702F">
        <w:trPr>
          <w:trHeight w:val="110"/>
        </w:trPr>
        <w:tc>
          <w:tcPr>
            <w:tcW w:w="4956" w:type="dxa"/>
          </w:tcPr>
          <w:p w:rsidR="00B26499" w:rsidRPr="007858CD" w:rsidRDefault="0091702F"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Decent Employment through </w:t>
            </w:r>
            <w:r w:rsidR="00B26499" w:rsidRPr="007858CD">
              <w:rPr>
                <w:rFonts w:cs="Arial"/>
                <w:color w:val="auto"/>
                <w:spacing w:val="0"/>
                <w:sz w:val="20"/>
                <w:szCs w:val="20"/>
                <w:lang w:val="en-ZA" w:eastAsia="en-ZA"/>
              </w:rPr>
              <w:t xml:space="preserve">Jobs Programme </w:t>
            </w:r>
          </w:p>
        </w:tc>
        <w:tc>
          <w:tcPr>
            <w:tcW w:w="2371" w:type="dxa"/>
          </w:tcPr>
          <w:p w:rsidR="00B26499" w:rsidRPr="007858CD" w:rsidRDefault="0091702F"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R68 766 000</w:t>
            </w:r>
          </w:p>
        </w:tc>
      </w:tr>
      <w:tr w:rsidR="00DE4BA7" w:rsidRPr="007858CD" w:rsidTr="0091702F">
        <w:trPr>
          <w:trHeight w:val="110"/>
        </w:trPr>
        <w:tc>
          <w:tcPr>
            <w:tcW w:w="4956" w:type="dxa"/>
          </w:tcPr>
          <w:p w:rsidR="00B26499" w:rsidRPr="007858CD" w:rsidRDefault="00B26499"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National Youth Service </w:t>
            </w:r>
          </w:p>
        </w:tc>
        <w:tc>
          <w:tcPr>
            <w:tcW w:w="2371" w:type="dxa"/>
          </w:tcPr>
          <w:p w:rsidR="00B26499" w:rsidRPr="007858CD" w:rsidRDefault="0091702F"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R205 059 000</w:t>
            </w:r>
          </w:p>
        </w:tc>
      </w:tr>
      <w:tr w:rsidR="00DE4BA7" w:rsidRPr="007858CD" w:rsidTr="0091702F">
        <w:trPr>
          <w:trHeight w:val="110"/>
        </w:trPr>
        <w:tc>
          <w:tcPr>
            <w:tcW w:w="4956" w:type="dxa"/>
          </w:tcPr>
          <w:p w:rsidR="00B26499" w:rsidRPr="007858CD" w:rsidRDefault="00B26499" w:rsidP="007858CD">
            <w:pPr>
              <w:autoSpaceDE w:val="0"/>
              <w:autoSpaceDN w:val="0"/>
              <w:adjustRightInd w:val="0"/>
              <w:rPr>
                <w:rFonts w:cs="Arial"/>
                <w:b/>
                <w:color w:val="auto"/>
                <w:spacing w:val="0"/>
                <w:sz w:val="20"/>
                <w:szCs w:val="20"/>
                <w:lang w:val="en-ZA" w:eastAsia="en-ZA"/>
              </w:rPr>
            </w:pPr>
            <w:r w:rsidRPr="007858CD">
              <w:rPr>
                <w:rFonts w:cs="Arial"/>
                <w:b/>
                <w:color w:val="auto"/>
                <w:spacing w:val="0"/>
                <w:sz w:val="20"/>
                <w:szCs w:val="20"/>
                <w:lang w:val="en-ZA" w:eastAsia="en-ZA"/>
              </w:rPr>
              <w:t xml:space="preserve">Sub-total of programmes </w:t>
            </w:r>
          </w:p>
        </w:tc>
        <w:tc>
          <w:tcPr>
            <w:tcW w:w="2371" w:type="dxa"/>
          </w:tcPr>
          <w:p w:rsidR="00B26499" w:rsidRPr="007858CD" w:rsidRDefault="0091702F" w:rsidP="007858CD">
            <w:pPr>
              <w:autoSpaceDE w:val="0"/>
              <w:autoSpaceDN w:val="0"/>
              <w:adjustRightInd w:val="0"/>
              <w:rPr>
                <w:rFonts w:cs="Arial"/>
                <w:b/>
                <w:color w:val="auto"/>
                <w:spacing w:val="0"/>
                <w:sz w:val="20"/>
                <w:szCs w:val="20"/>
                <w:lang w:val="en-ZA" w:eastAsia="en-ZA"/>
              </w:rPr>
            </w:pPr>
            <w:r w:rsidRPr="007858CD">
              <w:rPr>
                <w:rFonts w:cs="Arial"/>
                <w:b/>
                <w:color w:val="auto"/>
                <w:spacing w:val="0"/>
                <w:sz w:val="20"/>
                <w:szCs w:val="20"/>
                <w:lang w:val="en-ZA" w:eastAsia="en-ZA"/>
              </w:rPr>
              <w:t>R551 110 494</w:t>
            </w:r>
          </w:p>
        </w:tc>
      </w:tr>
      <w:tr w:rsidR="00DE4BA7" w:rsidRPr="007858CD" w:rsidTr="0091702F">
        <w:trPr>
          <w:trHeight w:val="110"/>
        </w:trPr>
        <w:tc>
          <w:tcPr>
            <w:tcW w:w="4956" w:type="dxa"/>
          </w:tcPr>
          <w:p w:rsidR="00B26499" w:rsidRPr="007858CD" w:rsidRDefault="00B26499"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Employee costs </w:t>
            </w:r>
          </w:p>
        </w:tc>
        <w:tc>
          <w:tcPr>
            <w:tcW w:w="2371" w:type="dxa"/>
          </w:tcPr>
          <w:p w:rsidR="00B26499" w:rsidRPr="007858CD" w:rsidRDefault="0091702F"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R206 018 523</w:t>
            </w:r>
          </w:p>
        </w:tc>
      </w:tr>
      <w:tr w:rsidR="00DE4BA7" w:rsidRPr="007858CD" w:rsidTr="0091702F">
        <w:trPr>
          <w:trHeight w:val="110"/>
        </w:trPr>
        <w:tc>
          <w:tcPr>
            <w:tcW w:w="4956" w:type="dxa"/>
            <w:shd w:val="clear" w:color="auto" w:fill="D9D9D9" w:themeFill="background1" w:themeFillShade="D9"/>
          </w:tcPr>
          <w:p w:rsidR="00B26499" w:rsidRPr="007858CD" w:rsidRDefault="00B26499" w:rsidP="007858CD">
            <w:pPr>
              <w:autoSpaceDE w:val="0"/>
              <w:autoSpaceDN w:val="0"/>
              <w:adjustRightInd w:val="0"/>
              <w:rPr>
                <w:rFonts w:cs="Arial"/>
                <w:b/>
                <w:color w:val="auto"/>
                <w:spacing w:val="0"/>
                <w:sz w:val="20"/>
                <w:szCs w:val="20"/>
                <w:lang w:val="en-ZA" w:eastAsia="en-ZA"/>
              </w:rPr>
            </w:pPr>
            <w:r w:rsidRPr="007858CD">
              <w:rPr>
                <w:rFonts w:cs="Arial"/>
                <w:b/>
                <w:bCs/>
                <w:color w:val="auto"/>
                <w:spacing w:val="0"/>
                <w:sz w:val="20"/>
                <w:szCs w:val="20"/>
                <w:lang w:val="en-ZA" w:eastAsia="en-ZA"/>
              </w:rPr>
              <w:t xml:space="preserve">Total </w:t>
            </w:r>
          </w:p>
        </w:tc>
        <w:tc>
          <w:tcPr>
            <w:tcW w:w="2371" w:type="dxa"/>
            <w:shd w:val="clear" w:color="auto" w:fill="D9D9D9" w:themeFill="background1" w:themeFillShade="D9"/>
          </w:tcPr>
          <w:p w:rsidR="00B26499" w:rsidRPr="007858CD" w:rsidRDefault="0091702F" w:rsidP="007858CD">
            <w:pPr>
              <w:autoSpaceDE w:val="0"/>
              <w:autoSpaceDN w:val="0"/>
              <w:adjustRightInd w:val="0"/>
              <w:rPr>
                <w:rFonts w:cs="Arial"/>
                <w:b/>
                <w:color w:val="auto"/>
                <w:spacing w:val="0"/>
                <w:sz w:val="20"/>
                <w:szCs w:val="20"/>
                <w:lang w:val="en-ZA" w:eastAsia="en-ZA"/>
              </w:rPr>
            </w:pPr>
            <w:r w:rsidRPr="007858CD">
              <w:rPr>
                <w:rFonts w:cs="Arial"/>
                <w:b/>
                <w:color w:val="auto"/>
                <w:spacing w:val="0"/>
                <w:sz w:val="20"/>
                <w:szCs w:val="20"/>
                <w:lang w:val="en-ZA" w:eastAsia="en-ZA"/>
              </w:rPr>
              <w:t>R757 129 017</w:t>
            </w:r>
          </w:p>
        </w:tc>
      </w:tr>
    </w:tbl>
    <w:p w:rsidR="00B26499" w:rsidRPr="007858CD" w:rsidRDefault="00B26499" w:rsidP="007858CD">
      <w:pPr>
        <w:rPr>
          <w:rFonts w:cs="Arial"/>
          <w:color w:val="auto"/>
          <w:sz w:val="20"/>
          <w:szCs w:val="20"/>
        </w:rPr>
      </w:pPr>
    </w:p>
    <w:p w:rsidR="00B26499" w:rsidRPr="007858CD" w:rsidRDefault="00B26499" w:rsidP="007858CD">
      <w:pPr>
        <w:rPr>
          <w:rFonts w:cs="Arial"/>
          <w:color w:val="auto"/>
          <w:sz w:val="20"/>
          <w:szCs w:val="20"/>
        </w:rPr>
      </w:pPr>
      <w:r w:rsidRPr="007858CD">
        <w:rPr>
          <w:rFonts w:cs="Arial"/>
          <w:color w:val="auto"/>
          <w:sz w:val="20"/>
          <w:szCs w:val="20"/>
        </w:rPr>
        <w:t xml:space="preserve">Based on the aforementioned table, the </w:t>
      </w:r>
      <w:r w:rsidR="0091702F" w:rsidRPr="007858CD">
        <w:rPr>
          <w:rFonts w:cs="Arial"/>
          <w:color w:val="auto"/>
          <w:sz w:val="20"/>
          <w:szCs w:val="20"/>
        </w:rPr>
        <w:t xml:space="preserve">NYS </w:t>
      </w:r>
      <w:r w:rsidRPr="007858CD">
        <w:rPr>
          <w:rFonts w:cs="Arial"/>
          <w:color w:val="auto"/>
          <w:sz w:val="20"/>
          <w:szCs w:val="20"/>
        </w:rPr>
        <w:t xml:space="preserve">programme constitutes </w:t>
      </w:r>
      <w:r w:rsidR="0091702F" w:rsidRPr="007858CD">
        <w:rPr>
          <w:rFonts w:cs="Arial"/>
          <w:color w:val="auto"/>
          <w:sz w:val="20"/>
          <w:szCs w:val="20"/>
        </w:rPr>
        <w:t>27%</w:t>
      </w:r>
      <w:r w:rsidRPr="007858CD">
        <w:rPr>
          <w:rFonts w:cs="Arial"/>
          <w:color w:val="auto"/>
          <w:sz w:val="20"/>
          <w:szCs w:val="20"/>
        </w:rPr>
        <w:t xml:space="preserve"> of the NYDA’s total allocated budget</w:t>
      </w:r>
      <w:r w:rsidR="0091702F" w:rsidRPr="007858CD">
        <w:rPr>
          <w:rFonts w:cs="Arial"/>
          <w:color w:val="auto"/>
          <w:sz w:val="20"/>
          <w:szCs w:val="20"/>
        </w:rPr>
        <w:t xml:space="preserve"> followed by Economic Participation constituting 25%</w:t>
      </w:r>
      <w:r w:rsidRPr="007858CD">
        <w:rPr>
          <w:rFonts w:cs="Arial"/>
          <w:color w:val="auto"/>
          <w:sz w:val="20"/>
          <w:szCs w:val="20"/>
        </w:rPr>
        <w:t xml:space="preserve">. </w:t>
      </w:r>
      <w:r w:rsidR="00145E82" w:rsidRPr="007858CD">
        <w:rPr>
          <w:rFonts w:cs="Arial"/>
          <w:color w:val="auto"/>
          <w:sz w:val="20"/>
          <w:szCs w:val="20"/>
        </w:rPr>
        <w:t xml:space="preserve">According to the table above, </w:t>
      </w:r>
      <w:r w:rsidRPr="007858CD">
        <w:rPr>
          <w:rFonts w:cs="Arial"/>
          <w:color w:val="auto"/>
          <w:sz w:val="20"/>
          <w:szCs w:val="20"/>
        </w:rPr>
        <w:t xml:space="preserve">Compensation of Employees is a key cost driver accounting for </w:t>
      </w:r>
      <w:r w:rsidR="00145E82" w:rsidRPr="007858CD">
        <w:rPr>
          <w:rFonts w:cs="Arial"/>
          <w:color w:val="auto"/>
          <w:sz w:val="20"/>
          <w:szCs w:val="20"/>
        </w:rPr>
        <w:t>27.2</w:t>
      </w:r>
      <w:r w:rsidRPr="007858CD">
        <w:rPr>
          <w:rFonts w:cs="Arial"/>
          <w:color w:val="auto"/>
          <w:sz w:val="20"/>
          <w:szCs w:val="20"/>
        </w:rPr>
        <w:t>% of the total budget.</w:t>
      </w:r>
    </w:p>
    <w:p w:rsidR="002B6972" w:rsidRPr="007858CD" w:rsidRDefault="002B6972" w:rsidP="007858CD">
      <w:pPr>
        <w:rPr>
          <w:rFonts w:cs="Arial"/>
          <w:b/>
          <w:color w:val="auto"/>
          <w:sz w:val="20"/>
          <w:szCs w:val="20"/>
        </w:rPr>
      </w:pPr>
    </w:p>
    <w:p w:rsidR="00AC534C" w:rsidRPr="007858CD" w:rsidRDefault="00AC534C" w:rsidP="007858CD">
      <w:pPr>
        <w:rPr>
          <w:rFonts w:cs="Arial"/>
          <w:color w:val="auto"/>
          <w:sz w:val="20"/>
          <w:szCs w:val="20"/>
        </w:rPr>
      </w:pPr>
      <w:r w:rsidRPr="007858CD">
        <w:rPr>
          <w:rFonts w:cs="Arial"/>
          <w:color w:val="auto"/>
          <w:sz w:val="20"/>
          <w:szCs w:val="20"/>
        </w:rPr>
        <w:t>In terms of the APP 2022/23, the programme allocation is noted as follows:</w:t>
      </w:r>
      <w:r w:rsidRPr="007858CD">
        <w:rPr>
          <w:rStyle w:val="FootnoteReference"/>
          <w:rFonts w:cs="Arial"/>
          <w:color w:val="auto"/>
          <w:sz w:val="20"/>
          <w:szCs w:val="20"/>
        </w:rPr>
        <w:footnoteReference w:id="20"/>
      </w:r>
    </w:p>
    <w:p w:rsidR="00AC534C" w:rsidRPr="007858CD" w:rsidRDefault="00AC534C" w:rsidP="007858CD">
      <w:pPr>
        <w:pStyle w:val="ListParagraph"/>
        <w:numPr>
          <w:ilvl w:val="0"/>
          <w:numId w:val="49"/>
        </w:numPr>
        <w:rPr>
          <w:rFonts w:cs="Arial"/>
          <w:b/>
          <w:color w:val="auto"/>
          <w:sz w:val="20"/>
          <w:szCs w:val="20"/>
        </w:rPr>
      </w:pPr>
      <w:r w:rsidRPr="007858CD">
        <w:rPr>
          <w:rFonts w:cs="Arial"/>
          <w:b/>
          <w:color w:val="auto"/>
          <w:sz w:val="20"/>
          <w:szCs w:val="20"/>
        </w:rPr>
        <w:t>Programme 1</w:t>
      </w:r>
      <w:r w:rsidRPr="007858CD">
        <w:rPr>
          <w:rFonts w:cs="Arial"/>
          <w:color w:val="auto"/>
          <w:sz w:val="20"/>
          <w:szCs w:val="20"/>
        </w:rPr>
        <w:t xml:space="preserve"> was allocated R140 847 000 (19% of NYDA’s overall budget) with Compensation of Employees (CoE) amounting to R54 255 000 and Goods and Services (G&amp;S) R86 232 000</w:t>
      </w:r>
    </w:p>
    <w:p w:rsidR="00AC534C" w:rsidRPr="007858CD" w:rsidRDefault="00AC534C" w:rsidP="007858CD">
      <w:pPr>
        <w:pStyle w:val="ListParagraph"/>
        <w:numPr>
          <w:ilvl w:val="0"/>
          <w:numId w:val="49"/>
        </w:numPr>
        <w:rPr>
          <w:rFonts w:cs="Arial"/>
          <w:b/>
          <w:color w:val="auto"/>
          <w:sz w:val="20"/>
          <w:szCs w:val="20"/>
        </w:rPr>
      </w:pPr>
      <w:r w:rsidRPr="007858CD">
        <w:rPr>
          <w:rFonts w:cs="Arial"/>
          <w:b/>
          <w:color w:val="auto"/>
          <w:sz w:val="20"/>
          <w:szCs w:val="20"/>
        </w:rPr>
        <w:t>Programme 2</w:t>
      </w:r>
      <w:r w:rsidRPr="007858CD">
        <w:rPr>
          <w:rFonts w:cs="Arial"/>
          <w:color w:val="auto"/>
          <w:sz w:val="20"/>
          <w:szCs w:val="20"/>
        </w:rPr>
        <w:t xml:space="preserve"> was allocated R575 650 000 (76% of NYDA’s overall budget) with CoE amounting to R145 584 000, G&amp;S R235 066 000 and Transfers and subsidies R192m.</w:t>
      </w:r>
    </w:p>
    <w:p w:rsidR="00AC534C" w:rsidRPr="007858CD" w:rsidRDefault="00AC534C" w:rsidP="007858CD">
      <w:pPr>
        <w:pStyle w:val="ListParagraph"/>
        <w:numPr>
          <w:ilvl w:val="0"/>
          <w:numId w:val="49"/>
        </w:numPr>
        <w:rPr>
          <w:rFonts w:cs="Arial"/>
          <w:b/>
          <w:color w:val="auto"/>
          <w:sz w:val="20"/>
          <w:szCs w:val="20"/>
        </w:rPr>
      </w:pPr>
      <w:r w:rsidRPr="007858CD">
        <w:rPr>
          <w:rFonts w:cs="Arial"/>
          <w:b/>
          <w:color w:val="auto"/>
          <w:sz w:val="20"/>
          <w:szCs w:val="20"/>
        </w:rPr>
        <w:t xml:space="preserve">Programme 3 </w:t>
      </w:r>
      <w:r w:rsidRPr="007858CD">
        <w:rPr>
          <w:rFonts w:cs="Arial"/>
          <w:color w:val="auto"/>
          <w:sz w:val="20"/>
          <w:szCs w:val="20"/>
        </w:rPr>
        <w:t>was allocated R 5 183 000 with G&amp;S amounting to R5 183 000</w:t>
      </w:r>
    </w:p>
    <w:p w:rsidR="00AC534C" w:rsidRPr="007858CD" w:rsidRDefault="00AC534C" w:rsidP="007858CD">
      <w:pPr>
        <w:rPr>
          <w:rFonts w:cs="Arial"/>
          <w:b/>
          <w:color w:val="auto"/>
          <w:sz w:val="20"/>
          <w:szCs w:val="20"/>
        </w:rPr>
      </w:pPr>
    </w:p>
    <w:p w:rsidR="00141939" w:rsidRPr="007858CD" w:rsidRDefault="00141939" w:rsidP="007858CD">
      <w:pPr>
        <w:rPr>
          <w:rFonts w:cs="Arial"/>
          <w:b/>
          <w:color w:val="auto"/>
          <w:sz w:val="20"/>
          <w:szCs w:val="20"/>
        </w:rPr>
      </w:pPr>
      <w:r w:rsidRPr="007858CD">
        <w:rPr>
          <w:rFonts w:cs="Arial"/>
          <w:b/>
          <w:color w:val="auto"/>
          <w:sz w:val="20"/>
          <w:szCs w:val="20"/>
        </w:rPr>
        <w:t>4.</w:t>
      </w:r>
      <w:r w:rsidR="00D91278" w:rsidRPr="007858CD">
        <w:rPr>
          <w:rFonts w:cs="Arial"/>
          <w:b/>
          <w:color w:val="auto"/>
          <w:sz w:val="20"/>
          <w:szCs w:val="20"/>
        </w:rPr>
        <w:t>3</w:t>
      </w:r>
      <w:r w:rsidRPr="007858CD">
        <w:rPr>
          <w:rFonts w:cs="Arial"/>
          <w:b/>
          <w:color w:val="auto"/>
          <w:sz w:val="20"/>
          <w:szCs w:val="20"/>
        </w:rPr>
        <w:t xml:space="preserve"> Programme analysis for NYDA for 2022/23</w:t>
      </w:r>
    </w:p>
    <w:p w:rsidR="00141939" w:rsidRPr="007858CD" w:rsidRDefault="00141939" w:rsidP="007858CD">
      <w:pPr>
        <w:rPr>
          <w:rFonts w:cs="Arial"/>
          <w:color w:val="auto"/>
          <w:sz w:val="20"/>
          <w:szCs w:val="20"/>
        </w:rPr>
      </w:pPr>
    </w:p>
    <w:p w:rsidR="00B26499" w:rsidRPr="007858CD" w:rsidRDefault="00B26499" w:rsidP="007858CD">
      <w:pPr>
        <w:rPr>
          <w:rFonts w:cs="Arial"/>
          <w:color w:val="auto"/>
          <w:sz w:val="20"/>
          <w:szCs w:val="20"/>
        </w:rPr>
      </w:pPr>
      <w:r w:rsidRPr="007858CD">
        <w:rPr>
          <w:rFonts w:cs="Arial"/>
          <w:color w:val="auto"/>
          <w:sz w:val="20"/>
          <w:szCs w:val="20"/>
        </w:rPr>
        <w:t xml:space="preserve">For the current FY, the NYDA has earmarked to achieve </w:t>
      </w:r>
      <w:r w:rsidR="00141939" w:rsidRPr="007858CD">
        <w:rPr>
          <w:rFonts w:cs="Arial"/>
          <w:color w:val="auto"/>
          <w:sz w:val="20"/>
          <w:szCs w:val="20"/>
        </w:rPr>
        <w:t>22</w:t>
      </w:r>
      <w:r w:rsidR="00C32B0F" w:rsidRPr="007858CD">
        <w:rPr>
          <w:rFonts w:cs="Arial"/>
          <w:color w:val="auto"/>
          <w:sz w:val="20"/>
          <w:szCs w:val="20"/>
        </w:rPr>
        <w:t xml:space="preserve"> targets across three programmes as outlined below.</w:t>
      </w:r>
    </w:p>
    <w:p w:rsidR="002B6972" w:rsidRPr="007858CD" w:rsidRDefault="002B6972" w:rsidP="007858CD">
      <w:pPr>
        <w:rPr>
          <w:rFonts w:cs="Arial"/>
          <w:b/>
          <w:color w:val="auto"/>
          <w:sz w:val="20"/>
          <w:szCs w:val="20"/>
        </w:rPr>
      </w:pPr>
    </w:p>
    <w:p w:rsidR="00C32B0F" w:rsidRPr="007858CD" w:rsidRDefault="00141939" w:rsidP="007858CD">
      <w:pPr>
        <w:rPr>
          <w:rFonts w:cs="Arial"/>
          <w:b/>
          <w:color w:val="auto"/>
          <w:sz w:val="20"/>
          <w:szCs w:val="20"/>
        </w:rPr>
      </w:pPr>
      <w:r w:rsidRPr="007858CD">
        <w:rPr>
          <w:rFonts w:cs="Arial"/>
          <w:b/>
          <w:color w:val="auto"/>
          <w:sz w:val="20"/>
          <w:szCs w:val="20"/>
        </w:rPr>
        <w:t>4.</w:t>
      </w:r>
      <w:r w:rsidR="00D91278" w:rsidRPr="007858CD">
        <w:rPr>
          <w:rFonts w:cs="Arial"/>
          <w:b/>
          <w:color w:val="auto"/>
          <w:sz w:val="20"/>
          <w:szCs w:val="20"/>
        </w:rPr>
        <w:t>3</w:t>
      </w:r>
      <w:r w:rsidRPr="007858CD">
        <w:rPr>
          <w:rFonts w:cs="Arial"/>
          <w:b/>
          <w:color w:val="auto"/>
          <w:sz w:val="20"/>
          <w:szCs w:val="20"/>
        </w:rPr>
        <w:t xml:space="preserve">.1 </w:t>
      </w:r>
      <w:r w:rsidR="00C32B0F" w:rsidRPr="007858CD">
        <w:rPr>
          <w:rFonts w:cs="Arial"/>
          <w:b/>
          <w:color w:val="auto"/>
          <w:sz w:val="20"/>
          <w:szCs w:val="20"/>
        </w:rPr>
        <w:t>Programme 1: Administration</w:t>
      </w:r>
    </w:p>
    <w:p w:rsidR="00141939" w:rsidRPr="007858CD" w:rsidRDefault="00141939" w:rsidP="007858CD">
      <w:pPr>
        <w:rPr>
          <w:rFonts w:cs="Arial"/>
          <w:color w:val="auto"/>
          <w:sz w:val="20"/>
          <w:szCs w:val="20"/>
        </w:rPr>
      </w:pPr>
    </w:p>
    <w:p w:rsidR="00C32B0F" w:rsidRPr="007858CD" w:rsidRDefault="00141939" w:rsidP="007858CD">
      <w:pPr>
        <w:rPr>
          <w:rFonts w:cs="Arial"/>
          <w:color w:val="auto"/>
          <w:sz w:val="20"/>
          <w:szCs w:val="20"/>
        </w:rPr>
      </w:pPr>
      <w:r w:rsidRPr="007858CD">
        <w:rPr>
          <w:rFonts w:cs="Arial"/>
          <w:color w:val="auto"/>
          <w:sz w:val="20"/>
          <w:szCs w:val="20"/>
        </w:rPr>
        <w:t>The overall outcome for this programme is an efficient and effective Agency characterised by good corporate governance and ethical leadership. This programme has a total of 11 targets of which one is new as listed below.</w:t>
      </w:r>
    </w:p>
    <w:p w:rsidR="00141939" w:rsidRPr="007858CD" w:rsidRDefault="00141939" w:rsidP="007858CD">
      <w:pPr>
        <w:rPr>
          <w:rFonts w:cs="Arial"/>
          <w:color w:val="auto"/>
          <w:sz w:val="20"/>
          <w:szCs w:val="20"/>
          <w:lang w:val="en-ZA"/>
        </w:rPr>
      </w:pP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NYDA Quarterly Management Reports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Reviewed and Implemented Annual Workplace Skills Plan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R 150 million in funds sourced from the public or private sectors to support youth development programmes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6 SETA6 partnerships established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2 partnerships signed with technology companies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Review and implement ICT Strategic Plan indicating 75% achievement of ICT targets in the plan by end of the financial year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Review and implement Integrated Communication and Marketing Strategy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Produce and approve the NYDA Strategic Risk Register by Ops Exco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Reviewed annual SCM Procurement Plan and produced quarterly reports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Annual Report on partnerships established with Disability organisations to promote youth development </w:t>
      </w:r>
    </w:p>
    <w:p w:rsidR="00141939" w:rsidRPr="007858CD" w:rsidRDefault="00141939" w:rsidP="007858CD">
      <w:pPr>
        <w:pStyle w:val="ListParagraph"/>
        <w:numPr>
          <w:ilvl w:val="0"/>
          <w:numId w:val="47"/>
        </w:numPr>
        <w:rPr>
          <w:rFonts w:cs="Arial"/>
          <w:color w:val="auto"/>
          <w:sz w:val="20"/>
          <w:szCs w:val="20"/>
          <w:lang w:val="en-ZA"/>
        </w:rPr>
      </w:pPr>
      <w:r w:rsidRPr="007858CD">
        <w:rPr>
          <w:rFonts w:cs="Arial"/>
          <w:color w:val="auto"/>
          <w:sz w:val="20"/>
          <w:szCs w:val="20"/>
          <w:lang w:val="en-ZA"/>
        </w:rPr>
        <w:t xml:space="preserve">100% implemented and monitored ERP (enterprise resource planning) modules in all NYDA platforms (new) </w:t>
      </w:r>
    </w:p>
    <w:p w:rsidR="00141939" w:rsidRPr="007858CD" w:rsidRDefault="00141939" w:rsidP="007858CD">
      <w:pPr>
        <w:rPr>
          <w:rFonts w:cs="Arial"/>
          <w:color w:val="auto"/>
          <w:sz w:val="20"/>
          <w:szCs w:val="20"/>
        </w:rPr>
      </w:pPr>
    </w:p>
    <w:p w:rsidR="00C32B0F" w:rsidRPr="007858CD" w:rsidRDefault="00D91278" w:rsidP="007858CD">
      <w:pPr>
        <w:rPr>
          <w:rFonts w:cs="Arial"/>
          <w:b/>
          <w:color w:val="auto"/>
          <w:sz w:val="20"/>
          <w:szCs w:val="20"/>
        </w:rPr>
      </w:pPr>
      <w:r w:rsidRPr="007858CD">
        <w:rPr>
          <w:rFonts w:cs="Arial"/>
          <w:b/>
          <w:color w:val="auto"/>
          <w:sz w:val="20"/>
          <w:szCs w:val="20"/>
        </w:rPr>
        <w:t>4.3</w:t>
      </w:r>
      <w:r w:rsidR="003A2BF6" w:rsidRPr="007858CD">
        <w:rPr>
          <w:rFonts w:cs="Arial"/>
          <w:b/>
          <w:color w:val="auto"/>
          <w:sz w:val="20"/>
          <w:szCs w:val="20"/>
        </w:rPr>
        <w:t xml:space="preserve">.2 </w:t>
      </w:r>
      <w:r w:rsidR="00C32B0F" w:rsidRPr="007858CD">
        <w:rPr>
          <w:rFonts w:cs="Arial"/>
          <w:b/>
          <w:color w:val="auto"/>
          <w:sz w:val="20"/>
          <w:szCs w:val="20"/>
        </w:rPr>
        <w:t xml:space="preserve">Programme 2: </w:t>
      </w:r>
      <w:r w:rsidR="006A0F2D" w:rsidRPr="007858CD">
        <w:rPr>
          <w:rFonts w:cs="Arial"/>
          <w:b/>
          <w:color w:val="auto"/>
          <w:sz w:val="20"/>
          <w:szCs w:val="20"/>
        </w:rPr>
        <w:t>Operations</w:t>
      </w:r>
    </w:p>
    <w:p w:rsidR="00C32B0F" w:rsidRPr="007858CD" w:rsidRDefault="00C32B0F" w:rsidP="007858CD">
      <w:pPr>
        <w:rPr>
          <w:rFonts w:cs="Arial"/>
          <w:color w:val="auto"/>
          <w:sz w:val="20"/>
          <w:szCs w:val="20"/>
        </w:rPr>
      </w:pPr>
    </w:p>
    <w:p w:rsidR="00C32B0F" w:rsidRPr="007858CD" w:rsidRDefault="00141939" w:rsidP="007858CD">
      <w:pPr>
        <w:rPr>
          <w:rFonts w:cs="Arial"/>
          <w:color w:val="auto"/>
          <w:sz w:val="20"/>
          <w:szCs w:val="20"/>
        </w:rPr>
      </w:pPr>
      <w:r w:rsidRPr="007858CD">
        <w:rPr>
          <w:rFonts w:cs="Arial"/>
          <w:color w:val="auto"/>
          <w:sz w:val="20"/>
          <w:szCs w:val="20"/>
        </w:rPr>
        <w:t>The overall outcomes for this programme are as follows:</w:t>
      </w:r>
    </w:p>
    <w:p w:rsidR="00141939" w:rsidRPr="007858CD" w:rsidRDefault="00141939" w:rsidP="007858CD">
      <w:pPr>
        <w:pStyle w:val="ListParagraph"/>
        <w:numPr>
          <w:ilvl w:val="0"/>
          <w:numId w:val="45"/>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Increased access to socio-economic opportunities, viable business opportunities and support for young people to participate in the economy. </w:t>
      </w:r>
    </w:p>
    <w:p w:rsidR="00141939" w:rsidRPr="007858CD" w:rsidRDefault="00141939" w:rsidP="007858CD">
      <w:pPr>
        <w:pStyle w:val="ListParagraph"/>
        <w:numPr>
          <w:ilvl w:val="0"/>
          <w:numId w:val="45"/>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Increased number of young people entering the job market trained </w:t>
      </w:r>
    </w:p>
    <w:p w:rsidR="00141939" w:rsidRPr="007858CD" w:rsidRDefault="00141939" w:rsidP="007858CD">
      <w:pPr>
        <w:pStyle w:val="ListParagraph"/>
        <w:numPr>
          <w:ilvl w:val="0"/>
          <w:numId w:val="45"/>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Increased co-ordination and implementation of NYS programmes across all sectors of society </w:t>
      </w:r>
    </w:p>
    <w:p w:rsidR="00141939" w:rsidRPr="007858CD" w:rsidRDefault="00141939" w:rsidP="007858CD">
      <w:pPr>
        <w:autoSpaceDE w:val="0"/>
        <w:autoSpaceDN w:val="0"/>
        <w:adjustRightInd w:val="0"/>
        <w:rPr>
          <w:rFonts w:cs="Arial"/>
          <w:b/>
          <w:bCs/>
          <w:color w:val="auto"/>
          <w:spacing w:val="0"/>
          <w:sz w:val="20"/>
          <w:szCs w:val="20"/>
          <w:lang w:val="en-ZA" w:eastAsia="en-ZA"/>
        </w:rPr>
      </w:pPr>
    </w:p>
    <w:p w:rsidR="00141939" w:rsidRPr="007858CD" w:rsidRDefault="00141939" w:rsidP="007858CD">
      <w:pPr>
        <w:autoSpaceDE w:val="0"/>
        <w:autoSpaceDN w:val="0"/>
        <w:adjustRightInd w:val="0"/>
        <w:rPr>
          <w:rFonts w:cs="Arial"/>
          <w:color w:val="auto"/>
          <w:spacing w:val="0"/>
          <w:sz w:val="20"/>
          <w:szCs w:val="20"/>
          <w:lang w:val="en-ZA" w:eastAsia="en-ZA"/>
        </w:rPr>
      </w:pPr>
      <w:r w:rsidRPr="007858CD">
        <w:rPr>
          <w:rFonts w:cs="Arial"/>
          <w:bCs/>
          <w:color w:val="auto"/>
          <w:spacing w:val="0"/>
          <w:sz w:val="20"/>
          <w:szCs w:val="20"/>
          <w:lang w:val="en-ZA" w:eastAsia="en-ZA"/>
        </w:rPr>
        <w:t xml:space="preserve">This programme has a total of 14 Annual targets of which 7 are new as listed below: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2000 youth owned enterprises supported with financial interventions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25 000 youth supported with non-financial business development interventions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6200 jobs created and sustained through supporting entrepreneurs and enterprises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1000 beneficiaries supported with business development support services offered to young people by NYDA (new)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Participate on the National Pathway Management Network to facilitate youth job placement opportunities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75 000 young people capacitated with skills to enter the job market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10 000 young people placed in jobs (new)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60 organisations and departments lobbied to implement NYS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Produce an annual report on the NYS Programme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11 000 young people participating in NYS Expanded Volunteer Projects (new)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lastRenderedPageBreak/>
        <w:t xml:space="preserve">7 000 young people participating in CWP (Community Work Programme) programmes (new)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35 000 young people securing paid service opportunities (new)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20 000 young people who have completed planned service activities (new) </w:t>
      </w:r>
    </w:p>
    <w:p w:rsidR="00141939" w:rsidRPr="007858CD" w:rsidRDefault="00141939" w:rsidP="007858CD">
      <w:pPr>
        <w:pStyle w:val="ListParagraph"/>
        <w:numPr>
          <w:ilvl w:val="0"/>
          <w:numId w:val="46"/>
        </w:num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7 000 young people transitioning out of the National Youth Service (NYS) into other opportunities (new)</w:t>
      </w:r>
    </w:p>
    <w:p w:rsidR="00141939" w:rsidRPr="007858CD" w:rsidRDefault="00141939" w:rsidP="007858CD">
      <w:pPr>
        <w:rPr>
          <w:rFonts w:cs="Arial"/>
          <w:color w:val="auto"/>
          <w:sz w:val="20"/>
          <w:szCs w:val="20"/>
        </w:rPr>
      </w:pPr>
    </w:p>
    <w:p w:rsidR="00C32B0F" w:rsidRPr="007858CD" w:rsidRDefault="00D91278" w:rsidP="007858CD">
      <w:pPr>
        <w:rPr>
          <w:rFonts w:cs="Arial"/>
          <w:b/>
          <w:color w:val="auto"/>
          <w:sz w:val="20"/>
          <w:szCs w:val="20"/>
        </w:rPr>
      </w:pPr>
      <w:r w:rsidRPr="007858CD">
        <w:rPr>
          <w:rFonts w:cs="Arial"/>
          <w:b/>
          <w:color w:val="auto"/>
          <w:sz w:val="20"/>
          <w:szCs w:val="20"/>
        </w:rPr>
        <w:t>4.3</w:t>
      </w:r>
      <w:r w:rsidR="003A2BF6" w:rsidRPr="007858CD">
        <w:rPr>
          <w:rFonts w:cs="Arial"/>
          <w:b/>
          <w:color w:val="auto"/>
          <w:sz w:val="20"/>
          <w:szCs w:val="20"/>
        </w:rPr>
        <w:t xml:space="preserve">.3 </w:t>
      </w:r>
      <w:r w:rsidR="00C32B0F" w:rsidRPr="007858CD">
        <w:rPr>
          <w:rFonts w:cs="Arial"/>
          <w:b/>
          <w:color w:val="auto"/>
          <w:sz w:val="20"/>
          <w:szCs w:val="20"/>
        </w:rPr>
        <w:t>Programme 3: Integrated Youth Development</w:t>
      </w:r>
    </w:p>
    <w:p w:rsidR="00C32B0F" w:rsidRPr="007858CD" w:rsidRDefault="00C32B0F" w:rsidP="007858CD">
      <w:pPr>
        <w:rPr>
          <w:rFonts w:cs="Arial"/>
          <w:b/>
          <w:color w:val="auto"/>
          <w:sz w:val="20"/>
          <w:szCs w:val="20"/>
        </w:rPr>
      </w:pPr>
    </w:p>
    <w:p w:rsidR="00515FAC" w:rsidRPr="007858CD" w:rsidRDefault="00515FAC" w:rsidP="007858CD">
      <w:pPr>
        <w:rPr>
          <w:rFonts w:cs="Arial"/>
          <w:color w:val="auto"/>
          <w:sz w:val="20"/>
          <w:szCs w:val="20"/>
        </w:rPr>
      </w:pPr>
      <w:r w:rsidRPr="007858CD">
        <w:rPr>
          <w:rFonts w:cs="Arial"/>
          <w:color w:val="auto"/>
          <w:sz w:val="20"/>
          <w:szCs w:val="20"/>
        </w:rPr>
        <w:t>The overall outcome for this programme is to produce research reports which influences change in the youth sector and build sustainable relationships. The annual targets</w:t>
      </w:r>
      <w:r w:rsidR="00141939" w:rsidRPr="007858CD">
        <w:rPr>
          <w:rFonts w:cs="Arial"/>
          <w:color w:val="auto"/>
          <w:sz w:val="20"/>
          <w:szCs w:val="20"/>
        </w:rPr>
        <w:t xml:space="preserve"> (4 in total)</w:t>
      </w:r>
      <w:r w:rsidRPr="007858CD">
        <w:rPr>
          <w:rFonts w:cs="Arial"/>
          <w:color w:val="auto"/>
          <w:sz w:val="20"/>
          <w:szCs w:val="20"/>
        </w:rPr>
        <w:t xml:space="preserve"> are as follows:</w:t>
      </w:r>
    </w:p>
    <w:p w:rsidR="00515FAC" w:rsidRPr="007858CD" w:rsidRDefault="00515FAC" w:rsidP="007858CD">
      <w:pPr>
        <w:rPr>
          <w:rFonts w:cs="Arial"/>
          <w:color w:val="auto"/>
          <w:sz w:val="20"/>
          <w:szCs w:val="20"/>
          <w:lang w:val="en-ZA"/>
        </w:rPr>
      </w:pPr>
    </w:p>
    <w:p w:rsidR="00515FAC" w:rsidRPr="007858CD" w:rsidRDefault="00515FAC" w:rsidP="007858CD">
      <w:pPr>
        <w:pStyle w:val="ListParagraph"/>
        <w:numPr>
          <w:ilvl w:val="0"/>
          <w:numId w:val="44"/>
        </w:numPr>
        <w:rPr>
          <w:rFonts w:cs="Arial"/>
          <w:color w:val="auto"/>
          <w:sz w:val="20"/>
          <w:szCs w:val="20"/>
          <w:lang w:val="en-ZA"/>
        </w:rPr>
      </w:pPr>
      <w:r w:rsidRPr="007858CD">
        <w:rPr>
          <w:rFonts w:cs="Arial"/>
          <w:color w:val="auto"/>
          <w:sz w:val="20"/>
          <w:szCs w:val="20"/>
          <w:lang w:val="en-ZA"/>
        </w:rPr>
        <w:t xml:space="preserve">impact programme evaluations conducted </w:t>
      </w:r>
    </w:p>
    <w:p w:rsidR="00515FAC" w:rsidRPr="007858CD" w:rsidRDefault="00515FAC" w:rsidP="007858CD">
      <w:pPr>
        <w:pStyle w:val="ListParagraph"/>
        <w:numPr>
          <w:ilvl w:val="0"/>
          <w:numId w:val="44"/>
        </w:numPr>
        <w:rPr>
          <w:rFonts w:cs="Arial"/>
          <w:color w:val="auto"/>
          <w:sz w:val="20"/>
          <w:szCs w:val="20"/>
          <w:lang w:val="en-ZA"/>
        </w:rPr>
      </w:pPr>
      <w:r w:rsidRPr="007858CD">
        <w:rPr>
          <w:rFonts w:cs="Arial"/>
          <w:color w:val="auto"/>
          <w:sz w:val="20"/>
          <w:szCs w:val="20"/>
          <w:lang w:val="en-ZA"/>
        </w:rPr>
        <w:t xml:space="preserve">Produce annual report on Integrated Youth Development Strategy </w:t>
      </w:r>
    </w:p>
    <w:p w:rsidR="00515FAC" w:rsidRPr="007858CD" w:rsidRDefault="00515FAC" w:rsidP="007858CD">
      <w:pPr>
        <w:pStyle w:val="ListParagraph"/>
        <w:numPr>
          <w:ilvl w:val="0"/>
          <w:numId w:val="44"/>
        </w:numPr>
        <w:rPr>
          <w:rFonts w:cs="Arial"/>
          <w:color w:val="auto"/>
          <w:sz w:val="20"/>
          <w:szCs w:val="20"/>
          <w:lang w:val="en-ZA"/>
        </w:rPr>
      </w:pPr>
      <w:r w:rsidRPr="007858CD">
        <w:rPr>
          <w:rFonts w:cs="Arial"/>
          <w:color w:val="auto"/>
          <w:sz w:val="20"/>
          <w:szCs w:val="20"/>
          <w:lang w:val="en-ZA"/>
        </w:rPr>
        <w:t xml:space="preserve">3 youth status outlook reports produced </w:t>
      </w:r>
    </w:p>
    <w:p w:rsidR="00515FAC" w:rsidRPr="007858CD" w:rsidRDefault="00515FAC" w:rsidP="007858CD">
      <w:pPr>
        <w:pStyle w:val="ListParagraph"/>
        <w:numPr>
          <w:ilvl w:val="0"/>
          <w:numId w:val="44"/>
        </w:numPr>
        <w:rPr>
          <w:rFonts w:cs="Arial"/>
          <w:color w:val="auto"/>
          <w:sz w:val="20"/>
          <w:szCs w:val="20"/>
          <w:lang w:val="en-ZA"/>
        </w:rPr>
      </w:pPr>
      <w:r w:rsidRPr="007858CD">
        <w:rPr>
          <w:rFonts w:cs="Arial"/>
          <w:color w:val="auto"/>
          <w:sz w:val="20"/>
          <w:szCs w:val="20"/>
          <w:lang w:val="en-ZA"/>
        </w:rPr>
        <w:t xml:space="preserve">Develop a status of the Youth Report in the country </w:t>
      </w:r>
    </w:p>
    <w:p w:rsidR="006A0F2D" w:rsidRPr="007858CD" w:rsidRDefault="006A0F2D" w:rsidP="007858CD">
      <w:pPr>
        <w:rPr>
          <w:rFonts w:cs="Arial"/>
          <w:b/>
          <w:color w:val="auto"/>
          <w:sz w:val="20"/>
          <w:szCs w:val="20"/>
        </w:rPr>
      </w:pPr>
    </w:p>
    <w:p w:rsidR="00883452" w:rsidRPr="007858CD" w:rsidRDefault="002B6972" w:rsidP="007858CD">
      <w:pPr>
        <w:pStyle w:val="ListParagraph"/>
        <w:numPr>
          <w:ilvl w:val="0"/>
          <w:numId w:val="13"/>
        </w:numPr>
        <w:ind w:left="426"/>
        <w:rPr>
          <w:rFonts w:cs="Arial"/>
          <w:b/>
          <w:color w:val="auto"/>
          <w:sz w:val="20"/>
          <w:szCs w:val="20"/>
        </w:rPr>
      </w:pPr>
      <w:r w:rsidRPr="007858CD">
        <w:rPr>
          <w:rFonts w:cs="Arial"/>
          <w:b/>
          <w:color w:val="auto"/>
          <w:sz w:val="20"/>
          <w:szCs w:val="20"/>
        </w:rPr>
        <w:t>Commission for Gender Equality</w:t>
      </w:r>
    </w:p>
    <w:p w:rsidR="002B6972" w:rsidRPr="007858CD" w:rsidRDefault="002B6972" w:rsidP="007858CD">
      <w:pPr>
        <w:ind w:left="66"/>
        <w:rPr>
          <w:rFonts w:cs="Arial"/>
          <w:color w:val="auto"/>
          <w:sz w:val="20"/>
          <w:szCs w:val="20"/>
        </w:rPr>
      </w:pPr>
    </w:p>
    <w:p w:rsidR="002B6972" w:rsidRPr="007858CD" w:rsidRDefault="002B6972" w:rsidP="007858CD">
      <w:pPr>
        <w:pStyle w:val="ListParagraph"/>
        <w:numPr>
          <w:ilvl w:val="1"/>
          <w:numId w:val="13"/>
        </w:numPr>
        <w:ind w:left="426"/>
        <w:rPr>
          <w:rFonts w:cs="Arial"/>
          <w:b/>
          <w:color w:val="auto"/>
          <w:sz w:val="20"/>
          <w:szCs w:val="20"/>
        </w:rPr>
      </w:pPr>
      <w:r w:rsidRPr="007858CD">
        <w:rPr>
          <w:rFonts w:cs="Arial"/>
          <w:b/>
          <w:color w:val="auto"/>
          <w:sz w:val="20"/>
          <w:szCs w:val="20"/>
        </w:rPr>
        <w:t>Mandate of the CGE</w:t>
      </w:r>
    </w:p>
    <w:p w:rsidR="002B6972" w:rsidRPr="007858CD" w:rsidRDefault="002B6972" w:rsidP="007858CD">
      <w:pPr>
        <w:rPr>
          <w:rFonts w:cs="Arial"/>
          <w:color w:val="auto"/>
          <w:sz w:val="20"/>
          <w:szCs w:val="20"/>
        </w:rPr>
      </w:pPr>
    </w:p>
    <w:p w:rsidR="002B6972" w:rsidRPr="007858CD" w:rsidRDefault="002B6972" w:rsidP="007858CD">
      <w:pPr>
        <w:rPr>
          <w:rFonts w:cs="Arial"/>
          <w:color w:val="auto"/>
          <w:sz w:val="20"/>
          <w:szCs w:val="20"/>
        </w:rPr>
      </w:pPr>
      <w:r w:rsidRPr="007858CD">
        <w:rPr>
          <w:rFonts w:cs="Arial"/>
          <w:color w:val="auto"/>
          <w:spacing w:val="0"/>
          <w:sz w:val="20"/>
          <w:szCs w:val="20"/>
          <w:lang w:eastAsia="en-ZA"/>
        </w:rPr>
        <w:t>The background and context of CGE’s work emanates from Section 181 of the Constitution (1996) and it is one of the Chapter 9 institutions which are independent entities for strengthening democracy. The CGE is therefore required to report to the National Assembly at least once a year regarding the progress of carrying out its strategic objectives. Section 187 of the Constitution stipulates that the Commission should promote respect for gender equality, and protect and develop its attainment, as well as monitor, educate, lobby, advise and report on issues related to gender equality.</w:t>
      </w:r>
    </w:p>
    <w:p w:rsidR="002B6972" w:rsidRPr="007858CD" w:rsidRDefault="002B6972" w:rsidP="007858CD">
      <w:pPr>
        <w:autoSpaceDE w:val="0"/>
        <w:autoSpaceDN w:val="0"/>
        <w:adjustRightInd w:val="0"/>
        <w:rPr>
          <w:rFonts w:cs="Arial"/>
          <w:color w:val="auto"/>
          <w:spacing w:val="0"/>
          <w:sz w:val="20"/>
          <w:szCs w:val="20"/>
          <w:lang w:eastAsia="en-ZA"/>
        </w:rPr>
      </w:pPr>
      <w:r w:rsidRPr="007858CD">
        <w:rPr>
          <w:rFonts w:cs="Arial"/>
          <w:color w:val="auto"/>
          <w:spacing w:val="0"/>
          <w:sz w:val="20"/>
          <w:szCs w:val="20"/>
          <w:lang w:eastAsia="en-ZA"/>
        </w:rPr>
        <w:t xml:space="preserve"> </w:t>
      </w:r>
    </w:p>
    <w:p w:rsidR="002B6972" w:rsidRPr="007858CD" w:rsidRDefault="002B6972" w:rsidP="007858CD">
      <w:pPr>
        <w:autoSpaceDE w:val="0"/>
        <w:autoSpaceDN w:val="0"/>
        <w:adjustRightInd w:val="0"/>
        <w:rPr>
          <w:rFonts w:cs="Arial"/>
          <w:color w:val="auto"/>
          <w:spacing w:val="0"/>
          <w:sz w:val="20"/>
          <w:szCs w:val="20"/>
          <w:lang w:eastAsia="en-ZA"/>
        </w:rPr>
      </w:pPr>
      <w:r w:rsidRPr="007858CD">
        <w:rPr>
          <w:rFonts w:cs="Arial"/>
          <w:color w:val="auto"/>
          <w:spacing w:val="0"/>
          <w:sz w:val="20"/>
          <w:szCs w:val="20"/>
          <w:lang w:eastAsia="en-ZA"/>
        </w:rPr>
        <w:t xml:space="preserve">In line with the CGE’s obligation to strengthen constitutional democracy with a focus on the attainment of gender equality, the CGE has a legislative mandate and functions which include the following: </w:t>
      </w:r>
    </w:p>
    <w:p w:rsidR="002B6972" w:rsidRPr="007858CD" w:rsidRDefault="002B6972" w:rsidP="007858CD">
      <w:pPr>
        <w:autoSpaceDE w:val="0"/>
        <w:autoSpaceDN w:val="0"/>
        <w:adjustRightInd w:val="0"/>
        <w:rPr>
          <w:rFonts w:cs="Arial"/>
          <w:color w:val="auto"/>
          <w:spacing w:val="0"/>
          <w:sz w:val="20"/>
          <w:szCs w:val="20"/>
          <w:lang w:eastAsia="en-ZA"/>
        </w:rPr>
      </w:pPr>
    </w:p>
    <w:p w:rsidR="002B6972" w:rsidRPr="007858CD" w:rsidRDefault="002B6972" w:rsidP="007858CD">
      <w:pPr>
        <w:widowControl w:val="0"/>
        <w:numPr>
          <w:ilvl w:val="0"/>
          <w:numId w:val="2"/>
        </w:numPr>
        <w:autoSpaceDE w:val="0"/>
        <w:autoSpaceDN w:val="0"/>
        <w:adjustRightInd w:val="0"/>
        <w:ind w:left="426"/>
        <w:contextualSpacing/>
        <w:rPr>
          <w:rFonts w:cs="Arial"/>
          <w:b/>
          <w:color w:val="auto"/>
          <w:spacing w:val="0"/>
          <w:sz w:val="20"/>
          <w:szCs w:val="20"/>
          <w:lang w:eastAsia="en-ZA"/>
        </w:rPr>
      </w:pPr>
      <w:r w:rsidRPr="007858CD">
        <w:rPr>
          <w:rFonts w:cs="Arial"/>
          <w:b/>
          <w:color w:val="auto"/>
          <w:spacing w:val="0"/>
          <w:sz w:val="20"/>
          <w:szCs w:val="20"/>
          <w:lang w:eastAsia="en-ZA"/>
        </w:rPr>
        <w:t>Monitor, evaluate and make recommendations on:</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Policies and practices of organs of state, statutory bodies and functionaries, public bodies or private businesses, to promote gender equality.</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Any existing law including indigenous law and practices.</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Government’s compliance with international conventions with respect to gender equality.</w:t>
      </w:r>
    </w:p>
    <w:p w:rsidR="002B6972" w:rsidRPr="007858CD" w:rsidRDefault="002B6972" w:rsidP="007858CD">
      <w:pPr>
        <w:autoSpaceDE w:val="0"/>
        <w:autoSpaceDN w:val="0"/>
        <w:adjustRightInd w:val="0"/>
        <w:ind w:left="1080"/>
        <w:contextualSpacing/>
        <w:rPr>
          <w:rFonts w:cs="Arial"/>
          <w:color w:val="auto"/>
          <w:spacing w:val="0"/>
          <w:sz w:val="20"/>
          <w:szCs w:val="20"/>
          <w:lang w:eastAsia="en-ZA"/>
        </w:rPr>
      </w:pPr>
    </w:p>
    <w:p w:rsidR="002B6972" w:rsidRPr="007858CD" w:rsidRDefault="002B6972" w:rsidP="007858CD">
      <w:pPr>
        <w:widowControl w:val="0"/>
        <w:numPr>
          <w:ilvl w:val="0"/>
          <w:numId w:val="2"/>
        </w:numPr>
        <w:autoSpaceDE w:val="0"/>
        <w:autoSpaceDN w:val="0"/>
        <w:adjustRightInd w:val="0"/>
        <w:ind w:left="426"/>
        <w:contextualSpacing/>
        <w:rPr>
          <w:rFonts w:cs="Arial"/>
          <w:b/>
          <w:color w:val="auto"/>
          <w:spacing w:val="0"/>
          <w:sz w:val="20"/>
          <w:szCs w:val="20"/>
          <w:lang w:eastAsia="en-ZA"/>
        </w:rPr>
      </w:pPr>
      <w:r w:rsidRPr="007858CD">
        <w:rPr>
          <w:rFonts w:cs="Arial"/>
          <w:b/>
          <w:color w:val="auto"/>
          <w:spacing w:val="0"/>
          <w:sz w:val="20"/>
          <w:szCs w:val="20"/>
          <w:lang w:eastAsia="en-ZA"/>
        </w:rPr>
        <w:t>Propose/recommend on:</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New law that may impact on gender equality or the status of women.</w:t>
      </w:r>
    </w:p>
    <w:p w:rsidR="002B6972" w:rsidRPr="007858CD" w:rsidRDefault="002B6972" w:rsidP="007858CD">
      <w:pPr>
        <w:autoSpaceDE w:val="0"/>
        <w:autoSpaceDN w:val="0"/>
        <w:adjustRightInd w:val="0"/>
        <w:ind w:left="426"/>
        <w:contextualSpacing/>
        <w:rPr>
          <w:rFonts w:cs="Arial"/>
          <w:b/>
          <w:color w:val="auto"/>
          <w:spacing w:val="0"/>
          <w:sz w:val="20"/>
          <w:szCs w:val="20"/>
          <w:lang w:eastAsia="en-ZA"/>
        </w:rPr>
      </w:pPr>
    </w:p>
    <w:p w:rsidR="002B6972" w:rsidRPr="007858CD" w:rsidRDefault="002B6972" w:rsidP="007858CD">
      <w:pPr>
        <w:widowControl w:val="0"/>
        <w:numPr>
          <w:ilvl w:val="0"/>
          <w:numId w:val="2"/>
        </w:numPr>
        <w:autoSpaceDE w:val="0"/>
        <w:autoSpaceDN w:val="0"/>
        <w:adjustRightInd w:val="0"/>
        <w:ind w:left="426"/>
        <w:contextualSpacing/>
        <w:rPr>
          <w:rFonts w:cs="Arial"/>
          <w:b/>
          <w:color w:val="auto"/>
          <w:spacing w:val="0"/>
          <w:sz w:val="20"/>
          <w:szCs w:val="20"/>
          <w:lang w:eastAsia="en-ZA"/>
        </w:rPr>
      </w:pPr>
      <w:r w:rsidRPr="007858CD">
        <w:rPr>
          <w:rFonts w:cs="Arial"/>
          <w:b/>
          <w:color w:val="auto"/>
          <w:spacing w:val="0"/>
          <w:sz w:val="20"/>
          <w:szCs w:val="20"/>
          <w:lang w:eastAsia="en-ZA"/>
        </w:rPr>
        <w:t>Develop, conduct or manage</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Educational strategies and programmes that foster understanding about gender equality and the role of the CGE.</w:t>
      </w:r>
    </w:p>
    <w:p w:rsidR="002B6972" w:rsidRPr="007858CD" w:rsidRDefault="002B6972" w:rsidP="007858CD">
      <w:pPr>
        <w:autoSpaceDE w:val="0"/>
        <w:autoSpaceDN w:val="0"/>
        <w:adjustRightInd w:val="0"/>
        <w:ind w:left="426"/>
        <w:contextualSpacing/>
        <w:rPr>
          <w:rFonts w:cs="Arial"/>
          <w:color w:val="auto"/>
          <w:spacing w:val="0"/>
          <w:sz w:val="20"/>
          <w:szCs w:val="20"/>
          <w:lang w:eastAsia="en-ZA"/>
        </w:rPr>
      </w:pPr>
    </w:p>
    <w:p w:rsidR="002B6972" w:rsidRPr="007858CD" w:rsidRDefault="002B6972" w:rsidP="007858CD">
      <w:pPr>
        <w:widowControl w:val="0"/>
        <w:numPr>
          <w:ilvl w:val="0"/>
          <w:numId w:val="2"/>
        </w:numPr>
        <w:autoSpaceDE w:val="0"/>
        <w:autoSpaceDN w:val="0"/>
        <w:adjustRightInd w:val="0"/>
        <w:ind w:left="426"/>
        <w:contextualSpacing/>
        <w:rPr>
          <w:rFonts w:cs="Arial"/>
          <w:b/>
          <w:color w:val="auto"/>
          <w:spacing w:val="0"/>
          <w:sz w:val="20"/>
          <w:szCs w:val="20"/>
          <w:lang w:eastAsia="en-ZA"/>
        </w:rPr>
      </w:pPr>
      <w:r w:rsidRPr="007858CD">
        <w:rPr>
          <w:rFonts w:cs="Arial"/>
          <w:b/>
          <w:color w:val="auto"/>
          <w:spacing w:val="0"/>
          <w:sz w:val="20"/>
          <w:szCs w:val="20"/>
          <w:lang w:eastAsia="en-ZA"/>
        </w:rPr>
        <w:t>Investigate and resolve conflicts</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On gender matters and complaints through mediation, conciliation and negotiation or referral to other institutions.</w:t>
      </w:r>
    </w:p>
    <w:p w:rsidR="002B6972" w:rsidRPr="007858CD" w:rsidRDefault="002B6972" w:rsidP="007858CD">
      <w:pPr>
        <w:autoSpaceDE w:val="0"/>
        <w:autoSpaceDN w:val="0"/>
        <w:adjustRightInd w:val="0"/>
        <w:ind w:left="426"/>
        <w:contextualSpacing/>
        <w:rPr>
          <w:rFonts w:cs="Arial"/>
          <w:color w:val="auto"/>
          <w:spacing w:val="0"/>
          <w:sz w:val="20"/>
          <w:szCs w:val="20"/>
          <w:lang w:eastAsia="en-ZA"/>
        </w:rPr>
      </w:pPr>
    </w:p>
    <w:p w:rsidR="002B6972" w:rsidRPr="007858CD" w:rsidRDefault="002B6972" w:rsidP="007858CD">
      <w:pPr>
        <w:widowControl w:val="0"/>
        <w:numPr>
          <w:ilvl w:val="0"/>
          <w:numId w:val="2"/>
        </w:numPr>
        <w:autoSpaceDE w:val="0"/>
        <w:autoSpaceDN w:val="0"/>
        <w:adjustRightInd w:val="0"/>
        <w:ind w:left="426"/>
        <w:contextualSpacing/>
        <w:rPr>
          <w:rFonts w:cs="Arial"/>
          <w:b/>
          <w:color w:val="auto"/>
          <w:spacing w:val="0"/>
          <w:sz w:val="20"/>
          <w:szCs w:val="20"/>
          <w:lang w:eastAsia="en-ZA"/>
        </w:rPr>
      </w:pPr>
      <w:r w:rsidRPr="007858CD">
        <w:rPr>
          <w:rFonts w:cs="Arial"/>
          <w:b/>
          <w:color w:val="auto"/>
          <w:spacing w:val="0"/>
          <w:sz w:val="20"/>
          <w:szCs w:val="20"/>
          <w:lang w:eastAsia="en-ZA"/>
        </w:rPr>
        <w:t>Liaise and interact</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With institutions, bodies or authorities with similar objectives to the Commission.</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With any organisation which actively promotes gender equality and other sectors of civil society to further the objectives of the Commission.</w:t>
      </w:r>
    </w:p>
    <w:p w:rsidR="002B6972" w:rsidRPr="007858CD" w:rsidRDefault="002B6972" w:rsidP="007858CD">
      <w:pPr>
        <w:autoSpaceDE w:val="0"/>
        <w:autoSpaceDN w:val="0"/>
        <w:adjustRightInd w:val="0"/>
        <w:ind w:left="426"/>
        <w:contextualSpacing/>
        <w:rPr>
          <w:rFonts w:cs="Arial"/>
          <w:color w:val="auto"/>
          <w:spacing w:val="0"/>
          <w:sz w:val="20"/>
          <w:szCs w:val="20"/>
          <w:lang w:eastAsia="en-ZA"/>
        </w:rPr>
      </w:pPr>
    </w:p>
    <w:p w:rsidR="002B6972" w:rsidRPr="007858CD" w:rsidRDefault="002B6972" w:rsidP="007858CD">
      <w:pPr>
        <w:widowControl w:val="0"/>
        <w:numPr>
          <w:ilvl w:val="0"/>
          <w:numId w:val="2"/>
        </w:numPr>
        <w:autoSpaceDE w:val="0"/>
        <w:autoSpaceDN w:val="0"/>
        <w:adjustRightInd w:val="0"/>
        <w:ind w:left="426"/>
        <w:contextualSpacing/>
        <w:rPr>
          <w:rFonts w:cs="Arial"/>
          <w:b/>
          <w:color w:val="auto"/>
          <w:spacing w:val="0"/>
          <w:sz w:val="20"/>
          <w:szCs w:val="20"/>
          <w:lang w:eastAsia="en-ZA"/>
        </w:rPr>
      </w:pPr>
      <w:r w:rsidRPr="007858CD">
        <w:rPr>
          <w:rFonts w:cs="Arial"/>
          <w:b/>
          <w:color w:val="auto"/>
          <w:spacing w:val="0"/>
          <w:sz w:val="20"/>
          <w:szCs w:val="20"/>
          <w:lang w:eastAsia="en-ZA"/>
        </w:rPr>
        <w:t>Prepare and submit reports</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To Parliament on aspects relating to gender equality.</w:t>
      </w:r>
    </w:p>
    <w:p w:rsidR="002B6972" w:rsidRPr="007858CD" w:rsidRDefault="002B6972" w:rsidP="007858CD">
      <w:pPr>
        <w:autoSpaceDE w:val="0"/>
        <w:autoSpaceDN w:val="0"/>
        <w:adjustRightInd w:val="0"/>
        <w:rPr>
          <w:rFonts w:cs="Arial"/>
          <w:b/>
          <w:color w:val="auto"/>
          <w:spacing w:val="0"/>
          <w:sz w:val="20"/>
          <w:szCs w:val="20"/>
          <w:lang w:eastAsia="en-ZA"/>
        </w:rPr>
      </w:pPr>
    </w:p>
    <w:p w:rsidR="002B6972" w:rsidRPr="007858CD" w:rsidRDefault="002B6972" w:rsidP="007858CD">
      <w:pPr>
        <w:autoSpaceDE w:val="0"/>
        <w:autoSpaceDN w:val="0"/>
        <w:adjustRightInd w:val="0"/>
        <w:rPr>
          <w:rFonts w:cs="Arial"/>
          <w:color w:val="auto"/>
          <w:spacing w:val="0"/>
          <w:sz w:val="20"/>
          <w:szCs w:val="20"/>
          <w:lang w:eastAsia="en-ZA"/>
        </w:rPr>
      </w:pPr>
      <w:r w:rsidRPr="007858CD">
        <w:rPr>
          <w:rFonts w:cs="Arial"/>
          <w:color w:val="auto"/>
          <w:spacing w:val="0"/>
          <w:sz w:val="20"/>
          <w:szCs w:val="20"/>
          <w:lang w:eastAsia="en-ZA"/>
        </w:rPr>
        <w:t>In addition, the Commission for Gender Equality may:</w:t>
      </w:r>
    </w:p>
    <w:p w:rsidR="002B6972" w:rsidRPr="007858CD" w:rsidRDefault="002B6972" w:rsidP="007858CD">
      <w:pPr>
        <w:autoSpaceDE w:val="0"/>
        <w:autoSpaceDN w:val="0"/>
        <w:adjustRightInd w:val="0"/>
        <w:ind w:left="720"/>
        <w:rPr>
          <w:rFonts w:cs="Arial"/>
          <w:b/>
          <w:color w:val="auto"/>
          <w:spacing w:val="0"/>
          <w:sz w:val="20"/>
          <w:szCs w:val="20"/>
          <w:lang w:eastAsia="en-ZA"/>
        </w:rPr>
      </w:pP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Conduct or order research to be conducted;</w:t>
      </w:r>
    </w:p>
    <w:p w:rsidR="002B6972" w:rsidRPr="007858CD" w:rsidRDefault="002B6972" w:rsidP="007858CD">
      <w:pPr>
        <w:widowControl w:val="0"/>
        <w:numPr>
          <w:ilvl w:val="0"/>
          <w:numId w:val="3"/>
        </w:numPr>
        <w:autoSpaceDE w:val="0"/>
        <w:autoSpaceDN w:val="0"/>
        <w:adjustRightInd w:val="0"/>
        <w:ind w:left="426"/>
        <w:contextualSpacing/>
        <w:rPr>
          <w:rFonts w:cs="Arial"/>
          <w:color w:val="auto"/>
          <w:spacing w:val="0"/>
          <w:sz w:val="20"/>
          <w:szCs w:val="20"/>
          <w:lang w:eastAsia="en-ZA"/>
        </w:rPr>
      </w:pPr>
      <w:r w:rsidRPr="007858CD">
        <w:rPr>
          <w:rFonts w:cs="Arial"/>
          <w:color w:val="auto"/>
          <w:spacing w:val="0"/>
          <w:sz w:val="20"/>
          <w:szCs w:val="20"/>
          <w:lang w:eastAsia="en-ZA"/>
        </w:rPr>
        <w:t>Consider recommendations, suggestions and request from any source.</w:t>
      </w:r>
    </w:p>
    <w:p w:rsidR="002B6972" w:rsidRPr="007858CD" w:rsidRDefault="002B6972" w:rsidP="007858CD">
      <w:pPr>
        <w:autoSpaceDE w:val="0"/>
        <w:autoSpaceDN w:val="0"/>
        <w:adjustRightInd w:val="0"/>
        <w:ind w:left="1080"/>
        <w:contextualSpacing/>
        <w:rPr>
          <w:rFonts w:cs="Arial"/>
          <w:color w:val="auto"/>
          <w:spacing w:val="0"/>
          <w:sz w:val="20"/>
          <w:szCs w:val="20"/>
          <w:lang w:eastAsia="en-ZA"/>
        </w:rPr>
      </w:pPr>
    </w:p>
    <w:p w:rsidR="002B6972" w:rsidRPr="007858CD" w:rsidRDefault="002B6972" w:rsidP="007858CD">
      <w:pPr>
        <w:rPr>
          <w:rFonts w:cs="Arial"/>
          <w:b/>
          <w:color w:val="auto"/>
          <w:sz w:val="20"/>
          <w:szCs w:val="20"/>
        </w:rPr>
      </w:pPr>
      <w:r w:rsidRPr="007858CD">
        <w:rPr>
          <w:rFonts w:cs="Arial"/>
          <w:color w:val="auto"/>
          <w:sz w:val="20"/>
          <w:szCs w:val="20"/>
        </w:rPr>
        <w:t xml:space="preserve">The Commission is publicly funded and is thus subject to the reporting requirements of the Public Finance Management Act (Act No 1, 1999). The obligations of the PFMA include an audit by the Auditor General. In line with its Constitutional mandate, the vision of the Commission for Gender </w:t>
      </w:r>
      <w:r w:rsidRPr="007858CD">
        <w:rPr>
          <w:rFonts w:cs="Arial"/>
          <w:color w:val="auto"/>
          <w:sz w:val="20"/>
          <w:szCs w:val="20"/>
        </w:rPr>
        <w:lastRenderedPageBreak/>
        <w:t>Equality remains to strive for “a society free from all forms of gender oppression and inequality”, while its mission includes to “advance, promote, protect, monitor and evaluate gender equality through undertaking research, public education, policy development, legislative initiatives, effective monitoring and litigation”.</w:t>
      </w:r>
    </w:p>
    <w:p w:rsidR="002B6972" w:rsidRPr="007858CD" w:rsidRDefault="002B6972" w:rsidP="007858CD">
      <w:pPr>
        <w:rPr>
          <w:rFonts w:cs="Arial"/>
          <w:color w:val="auto"/>
          <w:sz w:val="20"/>
          <w:szCs w:val="20"/>
        </w:rPr>
      </w:pPr>
    </w:p>
    <w:p w:rsidR="002B6972" w:rsidRPr="007858CD" w:rsidRDefault="002B6972" w:rsidP="007858CD">
      <w:pPr>
        <w:rPr>
          <w:rFonts w:cs="Arial"/>
          <w:color w:val="auto"/>
          <w:sz w:val="20"/>
          <w:szCs w:val="20"/>
        </w:rPr>
      </w:pPr>
      <w:r w:rsidRPr="007858CD">
        <w:rPr>
          <w:rFonts w:cs="Arial"/>
          <w:b/>
          <w:color w:val="auto"/>
          <w:sz w:val="20"/>
          <w:szCs w:val="20"/>
        </w:rPr>
        <w:t>5.2</w:t>
      </w:r>
      <w:r w:rsidRPr="007858CD">
        <w:rPr>
          <w:rFonts w:cs="Arial"/>
          <w:color w:val="auto"/>
          <w:sz w:val="20"/>
          <w:szCs w:val="20"/>
        </w:rPr>
        <w:t xml:space="preserve"> </w:t>
      </w:r>
      <w:r w:rsidRPr="007858CD">
        <w:rPr>
          <w:rFonts w:cs="Arial"/>
          <w:b/>
          <w:color w:val="auto"/>
          <w:sz w:val="20"/>
          <w:szCs w:val="20"/>
          <w:lang w:val="en-US"/>
        </w:rPr>
        <w:t>Analysis</w:t>
      </w:r>
      <w:r w:rsidRPr="007858CD">
        <w:rPr>
          <w:rFonts w:cs="Arial"/>
          <w:b/>
          <w:color w:val="auto"/>
          <w:sz w:val="20"/>
          <w:szCs w:val="20"/>
          <w:lang w:val="en-ZA"/>
        </w:rPr>
        <w:t xml:space="preserve"> of the </w:t>
      </w:r>
      <w:r w:rsidR="00C32B0F" w:rsidRPr="007858CD">
        <w:rPr>
          <w:rFonts w:cs="Arial"/>
          <w:b/>
          <w:color w:val="auto"/>
          <w:sz w:val="20"/>
          <w:szCs w:val="20"/>
          <w:lang w:val="en-ZA"/>
        </w:rPr>
        <w:t xml:space="preserve">Commission for Gender Equality’s </w:t>
      </w:r>
      <w:r w:rsidRPr="007858CD">
        <w:rPr>
          <w:rFonts w:cs="Arial"/>
          <w:b/>
          <w:color w:val="auto"/>
          <w:sz w:val="20"/>
          <w:szCs w:val="20"/>
          <w:lang w:val="en-ZA"/>
        </w:rPr>
        <w:t xml:space="preserve">Budget </w:t>
      </w:r>
      <w:r w:rsidR="00C32B0F" w:rsidRPr="007858CD">
        <w:rPr>
          <w:rFonts w:cs="Arial"/>
          <w:b/>
          <w:color w:val="auto"/>
          <w:sz w:val="20"/>
          <w:szCs w:val="20"/>
          <w:lang w:val="en-ZA"/>
        </w:rPr>
        <w:t>202</w:t>
      </w:r>
      <w:r w:rsidR="00621626" w:rsidRPr="007858CD">
        <w:rPr>
          <w:rFonts w:cs="Arial"/>
          <w:b/>
          <w:color w:val="auto"/>
          <w:sz w:val="20"/>
          <w:szCs w:val="20"/>
          <w:lang w:val="en-ZA"/>
        </w:rPr>
        <w:t>2/23</w:t>
      </w:r>
    </w:p>
    <w:p w:rsidR="00883452" w:rsidRPr="007858CD" w:rsidRDefault="00883452" w:rsidP="007858CD">
      <w:pPr>
        <w:rPr>
          <w:rFonts w:cs="Arial"/>
          <w:color w:val="auto"/>
          <w:sz w:val="20"/>
          <w:szCs w:val="20"/>
        </w:rPr>
      </w:pPr>
    </w:p>
    <w:p w:rsidR="00193CD2" w:rsidRPr="007858CD" w:rsidRDefault="00621626" w:rsidP="007858CD">
      <w:pPr>
        <w:rPr>
          <w:rFonts w:cs="Arial"/>
          <w:color w:val="auto"/>
          <w:sz w:val="20"/>
          <w:szCs w:val="20"/>
        </w:rPr>
      </w:pPr>
      <w:r w:rsidRPr="007858CD">
        <w:rPr>
          <w:rFonts w:cs="Arial"/>
          <w:color w:val="auto"/>
          <w:sz w:val="20"/>
          <w:szCs w:val="20"/>
        </w:rPr>
        <w:t>For the 2022/23</w:t>
      </w:r>
      <w:r w:rsidR="00C64D4F" w:rsidRPr="007858CD">
        <w:rPr>
          <w:rFonts w:cs="Arial"/>
          <w:color w:val="auto"/>
          <w:sz w:val="20"/>
          <w:szCs w:val="20"/>
        </w:rPr>
        <w:t xml:space="preserve"> financial year, the Commission for Gender Equality (CGE) received an allocation of R</w:t>
      </w:r>
      <w:r w:rsidR="005727D6" w:rsidRPr="007858CD">
        <w:rPr>
          <w:rFonts w:cs="Arial"/>
          <w:color w:val="auto"/>
          <w:sz w:val="20"/>
          <w:szCs w:val="20"/>
        </w:rPr>
        <w:t>100 722</w:t>
      </w:r>
      <w:r w:rsidR="00C64D4F" w:rsidRPr="007858CD">
        <w:rPr>
          <w:rFonts w:cs="Arial"/>
          <w:color w:val="auto"/>
          <w:sz w:val="20"/>
          <w:szCs w:val="20"/>
        </w:rPr>
        <w:t xml:space="preserve"> million through a transfer payment from the Department of Women, Youth and Persons with Disabilities.</w:t>
      </w:r>
      <w:r w:rsidR="001620BC" w:rsidRPr="007858CD">
        <w:rPr>
          <w:rFonts w:cs="Arial"/>
          <w:color w:val="auto"/>
          <w:sz w:val="20"/>
          <w:szCs w:val="20"/>
        </w:rPr>
        <w:t xml:space="preserve"> Of the total allocation, </w:t>
      </w:r>
      <w:r w:rsidR="001620BC" w:rsidRPr="007858CD">
        <w:rPr>
          <w:rFonts w:cs="Arial"/>
          <w:color w:val="auto"/>
          <w:sz w:val="20"/>
          <w:szCs w:val="20"/>
          <w:lang w:val="en-ZA"/>
        </w:rPr>
        <w:t>R</w:t>
      </w:r>
      <w:r w:rsidR="005727D6" w:rsidRPr="007858CD">
        <w:rPr>
          <w:rFonts w:cs="Arial"/>
          <w:color w:val="auto"/>
          <w:sz w:val="20"/>
          <w:szCs w:val="20"/>
          <w:lang w:val="en-ZA"/>
        </w:rPr>
        <w:t>65.1</w:t>
      </w:r>
      <w:r w:rsidR="001620BC" w:rsidRPr="007858CD">
        <w:rPr>
          <w:rFonts w:cs="Arial"/>
          <w:color w:val="auto"/>
          <w:sz w:val="20"/>
          <w:szCs w:val="20"/>
          <w:lang w:val="en-ZA"/>
        </w:rPr>
        <w:t xml:space="preserve"> (</w:t>
      </w:r>
      <w:r w:rsidR="005727D6" w:rsidRPr="007858CD">
        <w:rPr>
          <w:rFonts w:cs="Arial"/>
          <w:color w:val="auto"/>
          <w:sz w:val="20"/>
          <w:szCs w:val="20"/>
          <w:lang w:val="en-ZA"/>
        </w:rPr>
        <w:t>65</w:t>
      </w:r>
      <w:r w:rsidR="00C0708D" w:rsidRPr="007858CD">
        <w:rPr>
          <w:rFonts w:cs="Arial"/>
          <w:color w:val="auto"/>
          <w:sz w:val="20"/>
          <w:szCs w:val="20"/>
          <w:lang w:val="en-ZA"/>
        </w:rPr>
        <w:t>%</w:t>
      </w:r>
      <w:r w:rsidR="001620BC" w:rsidRPr="007858CD">
        <w:rPr>
          <w:rFonts w:cs="Arial"/>
          <w:color w:val="auto"/>
          <w:sz w:val="20"/>
          <w:szCs w:val="20"/>
          <w:lang w:val="en-ZA"/>
        </w:rPr>
        <w:t>)</w:t>
      </w:r>
      <w:r w:rsidR="00C32B0F" w:rsidRPr="007858CD">
        <w:rPr>
          <w:rFonts w:cs="Arial"/>
          <w:color w:val="auto"/>
          <w:sz w:val="20"/>
          <w:szCs w:val="20"/>
          <w:lang w:val="en-ZA"/>
        </w:rPr>
        <w:t xml:space="preserve"> of the</w:t>
      </w:r>
      <w:r w:rsidR="001620BC" w:rsidRPr="007858CD">
        <w:rPr>
          <w:rFonts w:cs="Arial"/>
          <w:color w:val="auto"/>
          <w:sz w:val="20"/>
          <w:szCs w:val="20"/>
          <w:lang w:val="en-ZA"/>
        </w:rPr>
        <w:t xml:space="preserve"> CGE’s budget is allocated for C</w:t>
      </w:r>
      <w:r w:rsidR="00C32B0F" w:rsidRPr="007858CD">
        <w:rPr>
          <w:rFonts w:cs="Arial"/>
          <w:color w:val="auto"/>
          <w:sz w:val="20"/>
          <w:szCs w:val="20"/>
          <w:lang w:val="en-ZA"/>
        </w:rPr>
        <w:t>ompensation of employees, while</w:t>
      </w:r>
      <w:r w:rsidR="00C0708D" w:rsidRPr="007858CD">
        <w:rPr>
          <w:rFonts w:cs="Arial"/>
          <w:color w:val="auto"/>
          <w:sz w:val="20"/>
          <w:szCs w:val="20"/>
          <w:lang w:val="en-ZA"/>
        </w:rPr>
        <w:t xml:space="preserve"> R</w:t>
      </w:r>
      <w:r w:rsidR="005727D6" w:rsidRPr="007858CD">
        <w:rPr>
          <w:rFonts w:cs="Arial"/>
          <w:color w:val="auto"/>
          <w:sz w:val="20"/>
          <w:szCs w:val="20"/>
          <w:lang w:val="en-ZA"/>
        </w:rPr>
        <w:t>35.6</w:t>
      </w:r>
      <w:r w:rsidR="00C0708D" w:rsidRPr="007858CD">
        <w:rPr>
          <w:rFonts w:cs="Arial"/>
          <w:color w:val="auto"/>
          <w:sz w:val="20"/>
          <w:szCs w:val="20"/>
          <w:lang w:val="en-ZA"/>
        </w:rPr>
        <w:t xml:space="preserve"> (</w:t>
      </w:r>
      <w:r w:rsidR="005727D6" w:rsidRPr="007858CD">
        <w:rPr>
          <w:rFonts w:cs="Arial"/>
          <w:color w:val="auto"/>
          <w:sz w:val="20"/>
          <w:szCs w:val="20"/>
          <w:lang w:val="en-ZA"/>
        </w:rPr>
        <w:t>35</w:t>
      </w:r>
      <w:r w:rsidR="001620BC" w:rsidRPr="007858CD">
        <w:rPr>
          <w:rFonts w:cs="Arial"/>
          <w:color w:val="auto"/>
          <w:sz w:val="20"/>
          <w:szCs w:val="20"/>
          <w:lang w:val="en-ZA"/>
        </w:rPr>
        <w:t>%</w:t>
      </w:r>
      <w:r w:rsidR="00C0708D" w:rsidRPr="007858CD">
        <w:rPr>
          <w:rFonts w:cs="Arial"/>
          <w:color w:val="auto"/>
          <w:sz w:val="20"/>
          <w:szCs w:val="20"/>
          <w:lang w:val="en-ZA"/>
        </w:rPr>
        <w:t>)</w:t>
      </w:r>
      <w:r w:rsidR="00C32B0F" w:rsidRPr="007858CD">
        <w:rPr>
          <w:rFonts w:cs="Arial"/>
          <w:color w:val="auto"/>
          <w:sz w:val="20"/>
          <w:szCs w:val="20"/>
          <w:lang w:val="en-ZA"/>
        </w:rPr>
        <w:t xml:space="preserve"> is allocated towards </w:t>
      </w:r>
      <w:r w:rsidR="001620BC" w:rsidRPr="007858CD">
        <w:rPr>
          <w:rFonts w:cs="Arial"/>
          <w:color w:val="auto"/>
          <w:sz w:val="20"/>
          <w:szCs w:val="20"/>
          <w:lang w:val="en-ZA"/>
        </w:rPr>
        <w:t>G</w:t>
      </w:r>
      <w:r w:rsidR="00C32B0F" w:rsidRPr="007858CD">
        <w:rPr>
          <w:rFonts w:cs="Arial"/>
          <w:color w:val="auto"/>
          <w:sz w:val="20"/>
          <w:szCs w:val="20"/>
          <w:lang w:val="en-ZA"/>
        </w:rPr>
        <w:t>oods and services. The Commission has repeatedly reiterated that it is a “human capital driven” institution, with its employees carrying out the bulk of its services, and as such the bulk of its funding is allocated for compensation of employees</w:t>
      </w:r>
      <w:r w:rsidR="001620BC" w:rsidRPr="007858CD">
        <w:rPr>
          <w:rFonts w:cs="Arial"/>
          <w:color w:val="auto"/>
          <w:sz w:val="20"/>
          <w:szCs w:val="20"/>
          <w:lang w:val="en-ZA"/>
        </w:rPr>
        <w:t xml:space="preserve">. </w:t>
      </w:r>
      <w:r w:rsidR="00193CD2" w:rsidRPr="007858CD">
        <w:rPr>
          <w:rFonts w:cs="Arial"/>
          <w:color w:val="auto"/>
          <w:sz w:val="20"/>
          <w:szCs w:val="20"/>
        </w:rPr>
        <w:t>Hence for 2022/23 the CGE has a total establishment of 110 personnel including 12 Commissioners.</w:t>
      </w:r>
    </w:p>
    <w:p w:rsidR="00193CD2" w:rsidRPr="007858CD" w:rsidRDefault="00193CD2" w:rsidP="007858CD">
      <w:pPr>
        <w:rPr>
          <w:rFonts w:cs="Arial"/>
          <w:color w:val="auto"/>
          <w:sz w:val="20"/>
          <w:szCs w:val="20"/>
        </w:rPr>
      </w:pPr>
    </w:p>
    <w:p w:rsidR="00C64D4F" w:rsidRPr="007858CD" w:rsidRDefault="00C32B0F" w:rsidP="007858CD">
      <w:pPr>
        <w:rPr>
          <w:rFonts w:cs="Arial"/>
          <w:color w:val="auto"/>
          <w:sz w:val="20"/>
          <w:szCs w:val="20"/>
          <w:lang w:val="en-ZA"/>
        </w:rPr>
      </w:pPr>
      <w:r w:rsidRPr="007858CD">
        <w:rPr>
          <w:rFonts w:cs="Arial"/>
          <w:color w:val="auto"/>
          <w:sz w:val="20"/>
          <w:szCs w:val="20"/>
          <w:lang w:val="en-ZA"/>
        </w:rPr>
        <w:t xml:space="preserve">Outcome 4, which is the outcome focusing on the operations and systems of the Commission, </w:t>
      </w:r>
      <w:r w:rsidR="005727D6" w:rsidRPr="007858CD">
        <w:rPr>
          <w:rFonts w:cs="Arial"/>
          <w:color w:val="auto"/>
          <w:sz w:val="20"/>
          <w:szCs w:val="20"/>
          <w:lang w:val="en-ZA"/>
        </w:rPr>
        <w:t xml:space="preserve">continues to </w:t>
      </w:r>
      <w:r w:rsidRPr="007858CD">
        <w:rPr>
          <w:rFonts w:cs="Arial"/>
          <w:color w:val="auto"/>
          <w:sz w:val="20"/>
          <w:szCs w:val="20"/>
          <w:lang w:val="en-ZA"/>
        </w:rPr>
        <w:t>receive the largest proportion of the budget.</w:t>
      </w:r>
      <w:r w:rsidR="001620BC" w:rsidRPr="007858CD">
        <w:rPr>
          <w:rFonts w:cs="Arial"/>
          <w:color w:val="auto"/>
          <w:sz w:val="20"/>
          <w:szCs w:val="20"/>
          <w:lang w:val="en-ZA"/>
        </w:rPr>
        <w:t xml:space="preserve"> </w:t>
      </w:r>
      <w:r w:rsidR="00C64D4F" w:rsidRPr="007858CD">
        <w:rPr>
          <w:rFonts w:cs="Arial"/>
          <w:color w:val="auto"/>
          <w:sz w:val="20"/>
          <w:szCs w:val="20"/>
          <w:lang w:val="en-ZA"/>
        </w:rPr>
        <w:t>While the nominal rand change between 202</w:t>
      </w:r>
      <w:r w:rsidR="00621626" w:rsidRPr="007858CD">
        <w:rPr>
          <w:rFonts w:cs="Arial"/>
          <w:color w:val="auto"/>
          <w:sz w:val="20"/>
          <w:szCs w:val="20"/>
          <w:lang w:val="en-ZA"/>
        </w:rPr>
        <w:t>1/22</w:t>
      </w:r>
      <w:r w:rsidR="00C64D4F" w:rsidRPr="007858CD">
        <w:rPr>
          <w:rFonts w:cs="Arial"/>
          <w:color w:val="auto"/>
          <w:sz w:val="20"/>
          <w:szCs w:val="20"/>
          <w:lang w:val="en-ZA"/>
        </w:rPr>
        <w:t xml:space="preserve"> and 202</w:t>
      </w:r>
      <w:r w:rsidR="00621626" w:rsidRPr="007858CD">
        <w:rPr>
          <w:rFonts w:cs="Arial"/>
          <w:color w:val="auto"/>
          <w:sz w:val="20"/>
          <w:szCs w:val="20"/>
          <w:lang w:val="en-ZA"/>
        </w:rPr>
        <w:t>2/23</w:t>
      </w:r>
      <w:r w:rsidR="00C64D4F" w:rsidRPr="007858CD">
        <w:rPr>
          <w:rFonts w:cs="Arial"/>
          <w:color w:val="auto"/>
          <w:sz w:val="20"/>
          <w:szCs w:val="20"/>
          <w:lang w:val="en-ZA"/>
        </w:rPr>
        <w:t xml:space="preserve"> is approximately R</w:t>
      </w:r>
      <w:r w:rsidR="005727D6" w:rsidRPr="007858CD">
        <w:rPr>
          <w:rFonts w:cs="Arial"/>
          <w:color w:val="auto"/>
          <w:sz w:val="20"/>
          <w:szCs w:val="20"/>
          <w:lang w:val="en-ZA"/>
        </w:rPr>
        <w:t>9.346</w:t>
      </w:r>
      <w:r w:rsidR="00C64D4F" w:rsidRPr="007858CD">
        <w:rPr>
          <w:rFonts w:cs="Arial"/>
          <w:color w:val="auto"/>
          <w:sz w:val="20"/>
          <w:szCs w:val="20"/>
          <w:lang w:val="en-ZA"/>
        </w:rPr>
        <w:t xml:space="preserve"> million, when taking into account inflation, the real rand change in allocation is R</w:t>
      </w:r>
      <w:r w:rsidR="005727D6" w:rsidRPr="007858CD">
        <w:rPr>
          <w:rFonts w:cs="Arial"/>
          <w:color w:val="auto"/>
          <w:sz w:val="20"/>
          <w:szCs w:val="20"/>
          <w:lang w:val="en-ZA"/>
        </w:rPr>
        <w:t>5</w:t>
      </w:r>
      <w:r w:rsidR="00C64D4F" w:rsidRPr="007858CD">
        <w:rPr>
          <w:rFonts w:cs="Arial"/>
          <w:color w:val="auto"/>
          <w:sz w:val="20"/>
          <w:szCs w:val="20"/>
          <w:lang w:val="en-ZA"/>
        </w:rPr>
        <w:t xml:space="preserve"> millio</w:t>
      </w:r>
      <w:r w:rsidR="001620BC" w:rsidRPr="007858CD">
        <w:rPr>
          <w:rFonts w:cs="Arial"/>
          <w:color w:val="auto"/>
          <w:sz w:val="20"/>
          <w:szCs w:val="20"/>
          <w:lang w:val="en-ZA"/>
        </w:rPr>
        <w:t>n</w:t>
      </w:r>
      <w:r w:rsidR="005727D6" w:rsidRPr="007858CD">
        <w:rPr>
          <w:rFonts w:cs="Arial"/>
          <w:color w:val="auto"/>
          <w:sz w:val="20"/>
          <w:szCs w:val="20"/>
          <w:lang w:val="en-ZA"/>
        </w:rPr>
        <w:t xml:space="preserve"> (5.48%)</w:t>
      </w:r>
      <w:r w:rsidR="002F5754" w:rsidRPr="007858CD">
        <w:rPr>
          <w:rFonts w:cs="Arial"/>
          <w:color w:val="auto"/>
          <w:sz w:val="20"/>
          <w:szCs w:val="20"/>
          <w:lang w:val="en-ZA"/>
        </w:rPr>
        <w:t xml:space="preserve"> as reflected in the table below</w:t>
      </w:r>
      <w:r w:rsidR="001620BC" w:rsidRPr="007858CD">
        <w:rPr>
          <w:rFonts w:cs="Arial"/>
          <w:color w:val="auto"/>
          <w:sz w:val="20"/>
          <w:szCs w:val="20"/>
          <w:lang w:val="en-ZA"/>
        </w:rPr>
        <w:t>.</w:t>
      </w:r>
      <w:r w:rsidR="001620BC" w:rsidRPr="007858CD">
        <w:rPr>
          <w:rStyle w:val="FootnoteReference"/>
          <w:rFonts w:cs="Arial"/>
          <w:color w:val="auto"/>
          <w:sz w:val="20"/>
          <w:szCs w:val="20"/>
          <w:lang w:val="en-ZA"/>
        </w:rPr>
        <w:footnoteReference w:id="21"/>
      </w:r>
    </w:p>
    <w:p w:rsidR="00C64D4F" w:rsidRPr="007858CD" w:rsidRDefault="00C64D4F" w:rsidP="007858CD">
      <w:pPr>
        <w:rPr>
          <w:rFonts w:cs="Arial"/>
          <w:color w:val="auto"/>
          <w:sz w:val="20"/>
          <w:szCs w:val="20"/>
        </w:rPr>
      </w:pPr>
    </w:p>
    <w:p w:rsidR="002F5754" w:rsidRPr="007858CD" w:rsidRDefault="002F5754" w:rsidP="007858CD">
      <w:pPr>
        <w:rPr>
          <w:rFonts w:cs="Arial"/>
          <w:b/>
          <w:color w:val="auto"/>
          <w:sz w:val="20"/>
          <w:szCs w:val="20"/>
        </w:rPr>
      </w:pPr>
      <w:r w:rsidRPr="007858CD">
        <w:rPr>
          <w:rFonts w:cs="Arial"/>
          <w:b/>
          <w:color w:val="auto"/>
          <w:sz w:val="20"/>
          <w:szCs w:val="20"/>
        </w:rPr>
        <w:t>Table 8: CGE comparative analysis of Strategic Outcomes for 2021/22 – 2022/23</w:t>
      </w:r>
      <w:r w:rsidR="00486BA3" w:rsidRPr="007858CD">
        <w:rPr>
          <w:rStyle w:val="FootnoteReference"/>
          <w:rFonts w:cs="Arial"/>
          <w:b/>
          <w:color w:val="auto"/>
          <w:sz w:val="20"/>
          <w:szCs w:val="20"/>
        </w:rPr>
        <w:footnoteReference w:id="22"/>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8"/>
        <w:gridCol w:w="1468"/>
        <w:gridCol w:w="1562"/>
        <w:gridCol w:w="1374"/>
        <w:gridCol w:w="1468"/>
        <w:gridCol w:w="1468"/>
        <w:gridCol w:w="1473"/>
      </w:tblGrid>
      <w:tr w:rsidR="00DE4BA7" w:rsidRPr="007858CD" w:rsidTr="002F5754">
        <w:trPr>
          <w:trHeight w:val="214"/>
        </w:trPr>
        <w:tc>
          <w:tcPr>
            <w:tcW w:w="1468" w:type="dxa"/>
            <w:tcBorders>
              <w:top w:val="single" w:sz="4" w:space="0" w:color="auto"/>
            </w:tcBorders>
            <w:shd w:val="clear" w:color="auto" w:fill="BFBFBF" w:themeFill="background1" w:themeFillShade="BF"/>
          </w:tcPr>
          <w:p w:rsidR="002F5754" w:rsidRPr="007858CD" w:rsidRDefault="002F5754" w:rsidP="007858CD">
            <w:pPr>
              <w:pStyle w:val="Default"/>
              <w:rPr>
                <w:b/>
                <w:color w:val="auto"/>
                <w:sz w:val="20"/>
                <w:szCs w:val="20"/>
              </w:rPr>
            </w:pPr>
            <w:r w:rsidRPr="007858CD">
              <w:rPr>
                <w:b/>
                <w:color w:val="auto"/>
                <w:sz w:val="20"/>
                <w:szCs w:val="20"/>
              </w:rPr>
              <w:t>Programme</w:t>
            </w:r>
          </w:p>
        </w:tc>
        <w:tc>
          <w:tcPr>
            <w:tcW w:w="3030" w:type="dxa"/>
            <w:gridSpan w:val="2"/>
            <w:tcBorders>
              <w:top w:val="single" w:sz="4" w:space="0" w:color="auto"/>
            </w:tcBorders>
            <w:shd w:val="clear" w:color="auto" w:fill="BFBFBF" w:themeFill="background1" w:themeFillShade="BF"/>
          </w:tcPr>
          <w:p w:rsidR="002F5754" w:rsidRPr="007858CD" w:rsidRDefault="002F5754" w:rsidP="007858CD">
            <w:pPr>
              <w:pStyle w:val="Default"/>
              <w:rPr>
                <w:b/>
                <w:bCs/>
                <w:color w:val="auto"/>
                <w:sz w:val="20"/>
                <w:szCs w:val="20"/>
              </w:rPr>
            </w:pPr>
            <w:r w:rsidRPr="007858CD">
              <w:rPr>
                <w:b/>
                <w:color w:val="auto"/>
                <w:sz w:val="20"/>
                <w:szCs w:val="20"/>
              </w:rPr>
              <w:t>Budget</w:t>
            </w:r>
          </w:p>
        </w:tc>
        <w:tc>
          <w:tcPr>
            <w:tcW w:w="1374" w:type="dxa"/>
            <w:tcBorders>
              <w:top w:val="single" w:sz="4" w:space="0" w:color="auto"/>
            </w:tcBorders>
            <w:shd w:val="clear" w:color="auto" w:fill="BFBFBF" w:themeFill="background1" w:themeFillShade="BF"/>
          </w:tcPr>
          <w:p w:rsidR="002F5754" w:rsidRPr="007858CD" w:rsidRDefault="002F5754" w:rsidP="007858CD">
            <w:pPr>
              <w:pStyle w:val="Default"/>
              <w:rPr>
                <w:color w:val="auto"/>
                <w:sz w:val="20"/>
                <w:szCs w:val="20"/>
              </w:rPr>
            </w:pPr>
            <w:r w:rsidRPr="007858CD">
              <w:rPr>
                <w:b/>
                <w:bCs/>
                <w:color w:val="auto"/>
                <w:sz w:val="20"/>
                <w:szCs w:val="20"/>
              </w:rPr>
              <w:t>Nominal Increase / Decrease in 2022/23</w:t>
            </w:r>
          </w:p>
        </w:tc>
        <w:tc>
          <w:tcPr>
            <w:tcW w:w="1468" w:type="dxa"/>
            <w:tcBorders>
              <w:top w:val="single" w:sz="4" w:space="0" w:color="auto"/>
            </w:tcBorders>
            <w:shd w:val="clear" w:color="auto" w:fill="BFBFBF" w:themeFill="background1" w:themeFillShade="BF"/>
          </w:tcPr>
          <w:p w:rsidR="002F5754" w:rsidRPr="007858CD" w:rsidRDefault="002F5754" w:rsidP="007858CD">
            <w:pPr>
              <w:pStyle w:val="Default"/>
              <w:rPr>
                <w:color w:val="auto"/>
                <w:sz w:val="20"/>
                <w:szCs w:val="20"/>
              </w:rPr>
            </w:pPr>
            <w:r w:rsidRPr="007858CD">
              <w:rPr>
                <w:b/>
                <w:bCs/>
                <w:color w:val="auto"/>
                <w:sz w:val="20"/>
                <w:szCs w:val="20"/>
              </w:rPr>
              <w:t>Real Increase / Decrease in 2022/23</w:t>
            </w:r>
          </w:p>
        </w:tc>
        <w:tc>
          <w:tcPr>
            <w:tcW w:w="1468" w:type="dxa"/>
            <w:tcBorders>
              <w:top w:val="single" w:sz="4" w:space="0" w:color="auto"/>
            </w:tcBorders>
            <w:shd w:val="clear" w:color="auto" w:fill="BFBFBF" w:themeFill="background1" w:themeFillShade="BF"/>
          </w:tcPr>
          <w:p w:rsidR="002F5754" w:rsidRPr="007858CD" w:rsidRDefault="002F5754" w:rsidP="007858CD">
            <w:pPr>
              <w:pStyle w:val="Default"/>
              <w:rPr>
                <w:color w:val="auto"/>
                <w:sz w:val="20"/>
                <w:szCs w:val="20"/>
              </w:rPr>
            </w:pPr>
            <w:r w:rsidRPr="007858CD">
              <w:rPr>
                <w:b/>
                <w:bCs/>
                <w:color w:val="auto"/>
                <w:sz w:val="20"/>
                <w:szCs w:val="20"/>
              </w:rPr>
              <w:t>Nominal Percent change in 2022/23</w:t>
            </w:r>
          </w:p>
        </w:tc>
        <w:tc>
          <w:tcPr>
            <w:tcW w:w="1473" w:type="dxa"/>
            <w:tcBorders>
              <w:top w:val="single" w:sz="4" w:space="0" w:color="auto"/>
            </w:tcBorders>
            <w:shd w:val="clear" w:color="auto" w:fill="BFBFBF" w:themeFill="background1" w:themeFillShade="BF"/>
          </w:tcPr>
          <w:p w:rsidR="002F5754" w:rsidRPr="007858CD" w:rsidRDefault="002F5754" w:rsidP="007858CD">
            <w:pPr>
              <w:pStyle w:val="Default"/>
              <w:rPr>
                <w:color w:val="auto"/>
                <w:sz w:val="20"/>
                <w:szCs w:val="20"/>
              </w:rPr>
            </w:pPr>
            <w:r w:rsidRPr="007858CD">
              <w:rPr>
                <w:b/>
                <w:bCs/>
                <w:color w:val="auto"/>
                <w:sz w:val="20"/>
                <w:szCs w:val="20"/>
              </w:rPr>
              <w:t>Real Percent change in 2022/23</w:t>
            </w:r>
          </w:p>
        </w:tc>
      </w:tr>
      <w:tr w:rsidR="00DE4BA7" w:rsidRPr="007858CD" w:rsidTr="002F5754">
        <w:trPr>
          <w:trHeight w:val="214"/>
        </w:trPr>
        <w:tc>
          <w:tcPr>
            <w:tcW w:w="1468" w:type="dxa"/>
            <w:tcBorders>
              <w:top w:val="single" w:sz="4" w:space="0" w:color="auto"/>
            </w:tcBorders>
          </w:tcPr>
          <w:p w:rsidR="002F5754" w:rsidRPr="007858CD" w:rsidRDefault="002F5754" w:rsidP="007858CD">
            <w:pPr>
              <w:pStyle w:val="Default"/>
              <w:rPr>
                <w:b/>
                <w:color w:val="auto"/>
                <w:sz w:val="20"/>
                <w:szCs w:val="20"/>
              </w:rPr>
            </w:pPr>
            <w:r w:rsidRPr="007858CD">
              <w:rPr>
                <w:b/>
                <w:color w:val="auto"/>
                <w:sz w:val="20"/>
                <w:szCs w:val="20"/>
              </w:rPr>
              <w:t>R million</w:t>
            </w:r>
          </w:p>
        </w:tc>
        <w:tc>
          <w:tcPr>
            <w:tcW w:w="1468" w:type="dxa"/>
            <w:tcBorders>
              <w:top w:val="single" w:sz="4" w:space="0" w:color="auto"/>
            </w:tcBorders>
          </w:tcPr>
          <w:p w:rsidR="002F5754" w:rsidRPr="007858CD" w:rsidRDefault="002F5754" w:rsidP="007858CD">
            <w:pPr>
              <w:pStyle w:val="Default"/>
              <w:rPr>
                <w:b/>
                <w:color w:val="auto"/>
                <w:sz w:val="20"/>
                <w:szCs w:val="20"/>
              </w:rPr>
            </w:pPr>
            <w:r w:rsidRPr="007858CD">
              <w:rPr>
                <w:b/>
                <w:color w:val="auto"/>
                <w:sz w:val="20"/>
                <w:szCs w:val="20"/>
              </w:rPr>
              <w:t>2021/22</w:t>
            </w:r>
          </w:p>
        </w:tc>
        <w:tc>
          <w:tcPr>
            <w:tcW w:w="1562" w:type="dxa"/>
            <w:tcBorders>
              <w:top w:val="single" w:sz="4" w:space="0" w:color="auto"/>
            </w:tcBorders>
          </w:tcPr>
          <w:p w:rsidR="002F5754" w:rsidRPr="007858CD" w:rsidRDefault="002F5754" w:rsidP="007858CD">
            <w:pPr>
              <w:pStyle w:val="Default"/>
              <w:rPr>
                <w:b/>
                <w:bCs/>
                <w:color w:val="auto"/>
                <w:sz w:val="20"/>
                <w:szCs w:val="20"/>
              </w:rPr>
            </w:pPr>
            <w:r w:rsidRPr="007858CD">
              <w:rPr>
                <w:b/>
                <w:bCs/>
                <w:color w:val="auto"/>
                <w:sz w:val="20"/>
                <w:szCs w:val="20"/>
              </w:rPr>
              <w:t>2022/23</w:t>
            </w:r>
          </w:p>
        </w:tc>
        <w:tc>
          <w:tcPr>
            <w:tcW w:w="1374" w:type="dxa"/>
            <w:tcBorders>
              <w:top w:val="single" w:sz="4" w:space="0" w:color="auto"/>
            </w:tcBorders>
          </w:tcPr>
          <w:p w:rsidR="002F5754" w:rsidRPr="007858CD" w:rsidRDefault="002F5754" w:rsidP="007858CD">
            <w:pPr>
              <w:pStyle w:val="Default"/>
              <w:rPr>
                <w:b/>
                <w:color w:val="auto"/>
                <w:sz w:val="20"/>
                <w:szCs w:val="20"/>
              </w:rPr>
            </w:pPr>
          </w:p>
        </w:tc>
        <w:tc>
          <w:tcPr>
            <w:tcW w:w="1468" w:type="dxa"/>
            <w:tcBorders>
              <w:top w:val="single" w:sz="4" w:space="0" w:color="auto"/>
            </w:tcBorders>
          </w:tcPr>
          <w:p w:rsidR="002F5754" w:rsidRPr="007858CD" w:rsidRDefault="002F5754" w:rsidP="007858CD">
            <w:pPr>
              <w:pStyle w:val="Default"/>
              <w:rPr>
                <w:b/>
                <w:color w:val="auto"/>
                <w:sz w:val="20"/>
                <w:szCs w:val="20"/>
              </w:rPr>
            </w:pPr>
          </w:p>
        </w:tc>
        <w:tc>
          <w:tcPr>
            <w:tcW w:w="1468" w:type="dxa"/>
            <w:tcBorders>
              <w:top w:val="single" w:sz="4" w:space="0" w:color="auto"/>
            </w:tcBorders>
          </w:tcPr>
          <w:p w:rsidR="002F5754" w:rsidRPr="007858CD" w:rsidRDefault="002F5754" w:rsidP="007858CD">
            <w:pPr>
              <w:pStyle w:val="Default"/>
              <w:rPr>
                <w:b/>
                <w:color w:val="auto"/>
                <w:sz w:val="20"/>
                <w:szCs w:val="20"/>
              </w:rPr>
            </w:pPr>
          </w:p>
        </w:tc>
        <w:tc>
          <w:tcPr>
            <w:tcW w:w="1473" w:type="dxa"/>
            <w:tcBorders>
              <w:top w:val="single" w:sz="4" w:space="0" w:color="auto"/>
            </w:tcBorders>
          </w:tcPr>
          <w:p w:rsidR="002F5754" w:rsidRPr="007858CD" w:rsidRDefault="002F5754" w:rsidP="007858CD">
            <w:pPr>
              <w:pStyle w:val="Default"/>
              <w:rPr>
                <w:b/>
                <w:color w:val="auto"/>
                <w:sz w:val="20"/>
                <w:szCs w:val="20"/>
              </w:rPr>
            </w:pPr>
          </w:p>
        </w:tc>
      </w:tr>
      <w:tr w:rsidR="00DE4BA7" w:rsidRPr="007858CD" w:rsidTr="002F5754">
        <w:trPr>
          <w:trHeight w:val="214"/>
        </w:trPr>
        <w:tc>
          <w:tcPr>
            <w:tcW w:w="1468" w:type="dxa"/>
          </w:tcPr>
          <w:p w:rsidR="002F5754" w:rsidRPr="007858CD" w:rsidRDefault="002F5754" w:rsidP="007858CD">
            <w:pPr>
              <w:pStyle w:val="Default"/>
              <w:rPr>
                <w:color w:val="auto"/>
                <w:sz w:val="20"/>
                <w:szCs w:val="20"/>
              </w:rPr>
            </w:pPr>
            <w:r w:rsidRPr="007858CD">
              <w:rPr>
                <w:color w:val="auto"/>
                <w:sz w:val="20"/>
                <w:szCs w:val="20"/>
              </w:rPr>
              <w:t xml:space="preserve">Strategic Outcome 1: An enabling legislative environment </w:t>
            </w:r>
          </w:p>
        </w:tc>
        <w:tc>
          <w:tcPr>
            <w:tcW w:w="1468" w:type="dxa"/>
          </w:tcPr>
          <w:p w:rsidR="002F5754" w:rsidRPr="007858CD" w:rsidRDefault="002F5754" w:rsidP="007858CD">
            <w:pPr>
              <w:pStyle w:val="Default"/>
              <w:rPr>
                <w:color w:val="auto"/>
                <w:sz w:val="20"/>
                <w:szCs w:val="20"/>
              </w:rPr>
            </w:pPr>
            <w:r w:rsidRPr="007858CD">
              <w:rPr>
                <w:color w:val="auto"/>
                <w:sz w:val="20"/>
                <w:szCs w:val="20"/>
              </w:rPr>
              <w:t>11 526 564,0</w:t>
            </w:r>
          </w:p>
        </w:tc>
        <w:tc>
          <w:tcPr>
            <w:tcW w:w="1562" w:type="dxa"/>
          </w:tcPr>
          <w:p w:rsidR="002F5754" w:rsidRPr="007858CD" w:rsidRDefault="002F5754" w:rsidP="007858CD">
            <w:pPr>
              <w:pStyle w:val="Default"/>
              <w:rPr>
                <w:color w:val="auto"/>
                <w:sz w:val="20"/>
                <w:szCs w:val="20"/>
              </w:rPr>
            </w:pPr>
            <w:r w:rsidRPr="007858CD">
              <w:rPr>
                <w:b/>
                <w:bCs/>
                <w:color w:val="auto"/>
                <w:sz w:val="20"/>
                <w:szCs w:val="20"/>
              </w:rPr>
              <w:t>12 705 509,0</w:t>
            </w:r>
          </w:p>
        </w:tc>
        <w:tc>
          <w:tcPr>
            <w:tcW w:w="1374" w:type="dxa"/>
          </w:tcPr>
          <w:p w:rsidR="002F5754" w:rsidRPr="007858CD" w:rsidRDefault="002F5754" w:rsidP="007858CD">
            <w:pPr>
              <w:pStyle w:val="Default"/>
              <w:rPr>
                <w:color w:val="auto"/>
                <w:sz w:val="20"/>
                <w:szCs w:val="20"/>
              </w:rPr>
            </w:pPr>
            <w:r w:rsidRPr="007858CD">
              <w:rPr>
                <w:color w:val="auto"/>
                <w:sz w:val="20"/>
                <w:szCs w:val="20"/>
              </w:rPr>
              <w:t>1 178 945,0</w:t>
            </w:r>
          </w:p>
        </w:tc>
        <w:tc>
          <w:tcPr>
            <w:tcW w:w="1468" w:type="dxa"/>
          </w:tcPr>
          <w:p w:rsidR="002F5754" w:rsidRPr="007858CD" w:rsidRDefault="002F5754" w:rsidP="007858CD">
            <w:pPr>
              <w:pStyle w:val="Default"/>
              <w:rPr>
                <w:color w:val="auto"/>
                <w:sz w:val="20"/>
                <w:szCs w:val="20"/>
              </w:rPr>
            </w:pPr>
            <w:r w:rsidRPr="007858CD">
              <w:rPr>
                <w:color w:val="auto"/>
                <w:sz w:val="20"/>
                <w:szCs w:val="20"/>
              </w:rPr>
              <w:t>631 817,8</w:t>
            </w:r>
          </w:p>
        </w:tc>
        <w:tc>
          <w:tcPr>
            <w:tcW w:w="1468" w:type="dxa"/>
          </w:tcPr>
          <w:p w:rsidR="002F5754" w:rsidRPr="007858CD" w:rsidRDefault="002F5754" w:rsidP="007858CD">
            <w:pPr>
              <w:pStyle w:val="Default"/>
              <w:rPr>
                <w:color w:val="auto"/>
                <w:sz w:val="20"/>
                <w:szCs w:val="20"/>
              </w:rPr>
            </w:pPr>
            <w:r w:rsidRPr="007858CD">
              <w:rPr>
                <w:color w:val="auto"/>
                <w:sz w:val="20"/>
                <w:szCs w:val="20"/>
              </w:rPr>
              <w:t>10,23 %</w:t>
            </w:r>
          </w:p>
        </w:tc>
        <w:tc>
          <w:tcPr>
            <w:tcW w:w="1473" w:type="dxa"/>
          </w:tcPr>
          <w:p w:rsidR="002F5754" w:rsidRPr="007858CD" w:rsidRDefault="002F5754" w:rsidP="007858CD">
            <w:pPr>
              <w:pStyle w:val="Default"/>
              <w:rPr>
                <w:color w:val="auto"/>
                <w:sz w:val="20"/>
                <w:szCs w:val="20"/>
              </w:rPr>
            </w:pPr>
            <w:r w:rsidRPr="007858CD">
              <w:rPr>
                <w:color w:val="auto"/>
                <w:sz w:val="20"/>
                <w:szCs w:val="20"/>
              </w:rPr>
              <w:t>5,48 %</w:t>
            </w:r>
          </w:p>
        </w:tc>
      </w:tr>
      <w:tr w:rsidR="00DE4BA7" w:rsidRPr="007858CD" w:rsidTr="002F5754">
        <w:trPr>
          <w:trHeight w:val="328"/>
        </w:trPr>
        <w:tc>
          <w:tcPr>
            <w:tcW w:w="1468" w:type="dxa"/>
          </w:tcPr>
          <w:p w:rsidR="002F5754" w:rsidRPr="007858CD" w:rsidRDefault="002F5754" w:rsidP="007858CD">
            <w:pPr>
              <w:pStyle w:val="Default"/>
              <w:rPr>
                <w:color w:val="auto"/>
                <w:sz w:val="20"/>
                <w:szCs w:val="20"/>
              </w:rPr>
            </w:pPr>
            <w:r w:rsidRPr="007858CD">
              <w:rPr>
                <w:color w:val="auto"/>
                <w:sz w:val="20"/>
                <w:szCs w:val="20"/>
              </w:rPr>
              <w:t xml:space="preserve">Strategic Outcome 2: Gender equality promoted through information &amp; education </w:t>
            </w:r>
          </w:p>
        </w:tc>
        <w:tc>
          <w:tcPr>
            <w:tcW w:w="1468" w:type="dxa"/>
          </w:tcPr>
          <w:p w:rsidR="002F5754" w:rsidRPr="007858CD" w:rsidRDefault="002F5754" w:rsidP="007858CD">
            <w:pPr>
              <w:pStyle w:val="Default"/>
              <w:rPr>
                <w:color w:val="auto"/>
                <w:sz w:val="20"/>
                <w:szCs w:val="20"/>
              </w:rPr>
            </w:pPr>
            <w:r w:rsidRPr="007858CD">
              <w:rPr>
                <w:color w:val="auto"/>
                <w:sz w:val="20"/>
                <w:szCs w:val="20"/>
              </w:rPr>
              <w:t>33 388 471,0</w:t>
            </w:r>
          </w:p>
        </w:tc>
        <w:tc>
          <w:tcPr>
            <w:tcW w:w="1562" w:type="dxa"/>
          </w:tcPr>
          <w:p w:rsidR="002F5754" w:rsidRPr="007858CD" w:rsidRDefault="002F5754" w:rsidP="007858CD">
            <w:pPr>
              <w:pStyle w:val="Default"/>
              <w:rPr>
                <w:color w:val="auto"/>
                <w:sz w:val="20"/>
                <w:szCs w:val="20"/>
              </w:rPr>
            </w:pPr>
            <w:r w:rsidRPr="007858CD">
              <w:rPr>
                <w:b/>
                <w:bCs/>
                <w:color w:val="auto"/>
                <w:sz w:val="20"/>
                <w:szCs w:val="20"/>
              </w:rPr>
              <w:t>36 803 467,0</w:t>
            </w:r>
          </w:p>
        </w:tc>
        <w:tc>
          <w:tcPr>
            <w:tcW w:w="1374" w:type="dxa"/>
          </w:tcPr>
          <w:p w:rsidR="002F5754" w:rsidRPr="007858CD" w:rsidRDefault="002F5754" w:rsidP="007858CD">
            <w:pPr>
              <w:pStyle w:val="Default"/>
              <w:rPr>
                <w:color w:val="auto"/>
                <w:sz w:val="20"/>
                <w:szCs w:val="20"/>
              </w:rPr>
            </w:pPr>
            <w:r w:rsidRPr="007858CD">
              <w:rPr>
                <w:color w:val="auto"/>
                <w:sz w:val="20"/>
                <w:szCs w:val="20"/>
              </w:rPr>
              <w:t>3 414 996,0</w:t>
            </w:r>
          </w:p>
        </w:tc>
        <w:tc>
          <w:tcPr>
            <w:tcW w:w="1468" w:type="dxa"/>
          </w:tcPr>
          <w:p w:rsidR="002F5754" w:rsidRPr="007858CD" w:rsidRDefault="002F5754" w:rsidP="007858CD">
            <w:pPr>
              <w:pStyle w:val="Default"/>
              <w:rPr>
                <w:color w:val="auto"/>
                <w:sz w:val="20"/>
                <w:szCs w:val="20"/>
              </w:rPr>
            </w:pPr>
            <w:r w:rsidRPr="007858CD">
              <w:rPr>
                <w:color w:val="auto"/>
                <w:sz w:val="20"/>
                <w:szCs w:val="20"/>
              </w:rPr>
              <w:t>1 830 157,7</w:t>
            </w:r>
          </w:p>
        </w:tc>
        <w:tc>
          <w:tcPr>
            <w:tcW w:w="1468" w:type="dxa"/>
          </w:tcPr>
          <w:p w:rsidR="002F5754" w:rsidRPr="007858CD" w:rsidRDefault="002F5754" w:rsidP="007858CD">
            <w:pPr>
              <w:pStyle w:val="Default"/>
              <w:rPr>
                <w:color w:val="auto"/>
                <w:sz w:val="20"/>
                <w:szCs w:val="20"/>
              </w:rPr>
            </w:pPr>
            <w:r w:rsidRPr="007858CD">
              <w:rPr>
                <w:color w:val="auto"/>
                <w:sz w:val="20"/>
                <w:szCs w:val="20"/>
              </w:rPr>
              <w:t>10,23 %</w:t>
            </w:r>
          </w:p>
        </w:tc>
        <w:tc>
          <w:tcPr>
            <w:tcW w:w="1473" w:type="dxa"/>
          </w:tcPr>
          <w:p w:rsidR="002F5754" w:rsidRPr="007858CD" w:rsidRDefault="002F5754" w:rsidP="007858CD">
            <w:pPr>
              <w:pStyle w:val="Default"/>
              <w:rPr>
                <w:color w:val="auto"/>
                <w:sz w:val="20"/>
                <w:szCs w:val="20"/>
              </w:rPr>
            </w:pPr>
            <w:r w:rsidRPr="007858CD">
              <w:rPr>
                <w:color w:val="auto"/>
                <w:sz w:val="20"/>
                <w:szCs w:val="20"/>
              </w:rPr>
              <w:t>5,48 %</w:t>
            </w:r>
          </w:p>
        </w:tc>
      </w:tr>
      <w:tr w:rsidR="00DE4BA7" w:rsidRPr="007858CD" w:rsidTr="002F5754">
        <w:trPr>
          <w:trHeight w:val="213"/>
        </w:trPr>
        <w:tc>
          <w:tcPr>
            <w:tcW w:w="1468" w:type="dxa"/>
          </w:tcPr>
          <w:p w:rsidR="002F5754" w:rsidRPr="007858CD" w:rsidRDefault="002F5754" w:rsidP="007858CD">
            <w:pPr>
              <w:pStyle w:val="Default"/>
              <w:rPr>
                <w:color w:val="auto"/>
                <w:sz w:val="20"/>
                <w:szCs w:val="20"/>
              </w:rPr>
            </w:pPr>
            <w:r w:rsidRPr="007858CD">
              <w:rPr>
                <w:color w:val="auto"/>
                <w:sz w:val="20"/>
                <w:szCs w:val="20"/>
              </w:rPr>
              <w:t xml:space="preserve">Strategic Outcome 3: Monitoring &amp; Research Investigations </w:t>
            </w:r>
          </w:p>
        </w:tc>
        <w:tc>
          <w:tcPr>
            <w:tcW w:w="1468" w:type="dxa"/>
          </w:tcPr>
          <w:p w:rsidR="002F5754" w:rsidRPr="007858CD" w:rsidRDefault="002F5754" w:rsidP="007858CD">
            <w:pPr>
              <w:pStyle w:val="Default"/>
              <w:rPr>
                <w:color w:val="auto"/>
                <w:sz w:val="20"/>
                <w:szCs w:val="20"/>
              </w:rPr>
            </w:pPr>
            <w:r w:rsidRPr="007858CD">
              <w:rPr>
                <w:color w:val="auto"/>
                <w:sz w:val="20"/>
                <w:szCs w:val="20"/>
              </w:rPr>
              <w:t>7 674 624,0</w:t>
            </w:r>
          </w:p>
        </w:tc>
        <w:tc>
          <w:tcPr>
            <w:tcW w:w="1562" w:type="dxa"/>
          </w:tcPr>
          <w:p w:rsidR="002F5754" w:rsidRPr="007858CD" w:rsidRDefault="002F5754" w:rsidP="007858CD">
            <w:pPr>
              <w:pStyle w:val="Default"/>
              <w:rPr>
                <w:color w:val="auto"/>
                <w:sz w:val="20"/>
                <w:szCs w:val="20"/>
              </w:rPr>
            </w:pPr>
            <w:r w:rsidRPr="007858CD">
              <w:rPr>
                <w:b/>
                <w:bCs/>
                <w:color w:val="auto"/>
                <w:sz w:val="20"/>
                <w:szCs w:val="20"/>
              </w:rPr>
              <w:t>8 459 590,0</w:t>
            </w:r>
          </w:p>
        </w:tc>
        <w:tc>
          <w:tcPr>
            <w:tcW w:w="1374" w:type="dxa"/>
          </w:tcPr>
          <w:p w:rsidR="002F5754" w:rsidRPr="007858CD" w:rsidRDefault="002F5754" w:rsidP="007858CD">
            <w:pPr>
              <w:pStyle w:val="Default"/>
              <w:rPr>
                <w:color w:val="auto"/>
                <w:sz w:val="20"/>
                <w:szCs w:val="20"/>
              </w:rPr>
            </w:pPr>
            <w:r w:rsidRPr="007858CD">
              <w:rPr>
                <w:color w:val="auto"/>
                <w:sz w:val="20"/>
                <w:szCs w:val="20"/>
              </w:rPr>
              <w:t>784 966,0</w:t>
            </w:r>
          </w:p>
        </w:tc>
        <w:tc>
          <w:tcPr>
            <w:tcW w:w="1468" w:type="dxa"/>
          </w:tcPr>
          <w:p w:rsidR="002F5754" w:rsidRPr="007858CD" w:rsidRDefault="002F5754" w:rsidP="007858CD">
            <w:pPr>
              <w:pStyle w:val="Default"/>
              <w:rPr>
                <w:color w:val="auto"/>
                <w:sz w:val="20"/>
                <w:szCs w:val="20"/>
              </w:rPr>
            </w:pPr>
            <w:r w:rsidRPr="007858CD">
              <w:rPr>
                <w:color w:val="auto"/>
                <w:sz w:val="20"/>
                <w:szCs w:val="20"/>
              </w:rPr>
              <w:t>420 677,4</w:t>
            </w:r>
          </w:p>
        </w:tc>
        <w:tc>
          <w:tcPr>
            <w:tcW w:w="1468" w:type="dxa"/>
          </w:tcPr>
          <w:p w:rsidR="002F5754" w:rsidRPr="007858CD" w:rsidRDefault="002F5754" w:rsidP="007858CD">
            <w:pPr>
              <w:pStyle w:val="Default"/>
              <w:rPr>
                <w:color w:val="auto"/>
                <w:sz w:val="20"/>
                <w:szCs w:val="20"/>
              </w:rPr>
            </w:pPr>
            <w:r w:rsidRPr="007858CD">
              <w:rPr>
                <w:color w:val="auto"/>
                <w:sz w:val="20"/>
                <w:szCs w:val="20"/>
              </w:rPr>
              <w:t>10,23 %</w:t>
            </w:r>
          </w:p>
        </w:tc>
        <w:tc>
          <w:tcPr>
            <w:tcW w:w="1473" w:type="dxa"/>
          </w:tcPr>
          <w:p w:rsidR="002F5754" w:rsidRPr="007858CD" w:rsidRDefault="002F5754" w:rsidP="007858CD">
            <w:pPr>
              <w:pStyle w:val="Default"/>
              <w:rPr>
                <w:color w:val="auto"/>
                <w:sz w:val="20"/>
                <w:szCs w:val="20"/>
              </w:rPr>
            </w:pPr>
            <w:r w:rsidRPr="007858CD">
              <w:rPr>
                <w:color w:val="auto"/>
                <w:sz w:val="20"/>
                <w:szCs w:val="20"/>
              </w:rPr>
              <w:t>5,48 %</w:t>
            </w:r>
          </w:p>
        </w:tc>
      </w:tr>
      <w:tr w:rsidR="00DE4BA7" w:rsidRPr="007858CD" w:rsidTr="002F5754">
        <w:trPr>
          <w:trHeight w:val="213"/>
        </w:trPr>
        <w:tc>
          <w:tcPr>
            <w:tcW w:w="1468" w:type="dxa"/>
          </w:tcPr>
          <w:p w:rsidR="002F5754" w:rsidRPr="007858CD" w:rsidRDefault="002F5754" w:rsidP="007858CD">
            <w:pPr>
              <w:pStyle w:val="Default"/>
              <w:rPr>
                <w:color w:val="auto"/>
                <w:sz w:val="20"/>
                <w:szCs w:val="20"/>
              </w:rPr>
            </w:pPr>
            <w:r w:rsidRPr="007858CD">
              <w:rPr>
                <w:color w:val="auto"/>
                <w:sz w:val="20"/>
                <w:szCs w:val="20"/>
              </w:rPr>
              <w:t xml:space="preserve">Strategic Outcome 4: Renewed &amp; effective organisation </w:t>
            </w:r>
          </w:p>
        </w:tc>
        <w:tc>
          <w:tcPr>
            <w:tcW w:w="1468" w:type="dxa"/>
          </w:tcPr>
          <w:p w:rsidR="002F5754" w:rsidRPr="007858CD" w:rsidRDefault="002F5754" w:rsidP="007858CD">
            <w:pPr>
              <w:pStyle w:val="Default"/>
              <w:rPr>
                <w:color w:val="auto"/>
                <w:sz w:val="20"/>
                <w:szCs w:val="20"/>
              </w:rPr>
            </w:pPr>
            <w:r w:rsidRPr="007858CD">
              <w:rPr>
                <w:color w:val="auto"/>
                <w:sz w:val="20"/>
                <w:szCs w:val="20"/>
              </w:rPr>
              <w:t>38 786 341,0</w:t>
            </w:r>
          </w:p>
        </w:tc>
        <w:tc>
          <w:tcPr>
            <w:tcW w:w="1562" w:type="dxa"/>
          </w:tcPr>
          <w:p w:rsidR="002F5754" w:rsidRPr="007858CD" w:rsidRDefault="002F5754" w:rsidP="007858CD">
            <w:pPr>
              <w:pStyle w:val="Default"/>
              <w:rPr>
                <w:color w:val="auto"/>
                <w:sz w:val="20"/>
                <w:szCs w:val="20"/>
              </w:rPr>
            </w:pPr>
            <w:r w:rsidRPr="007858CD">
              <w:rPr>
                <w:b/>
                <w:bCs/>
                <w:color w:val="auto"/>
                <w:sz w:val="20"/>
                <w:szCs w:val="20"/>
              </w:rPr>
              <w:t>42 753 434,0</w:t>
            </w:r>
          </w:p>
        </w:tc>
        <w:tc>
          <w:tcPr>
            <w:tcW w:w="1374" w:type="dxa"/>
          </w:tcPr>
          <w:p w:rsidR="002F5754" w:rsidRPr="007858CD" w:rsidRDefault="002F5754" w:rsidP="007858CD">
            <w:pPr>
              <w:pStyle w:val="Default"/>
              <w:rPr>
                <w:color w:val="auto"/>
                <w:sz w:val="20"/>
                <w:szCs w:val="20"/>
              </w:rPr>
            </w:pPr>
            <w:r w:rsidRPr="007858CD">
              <w:rPr>
                <w:color w:val="auto"/>
                <w:sz w:val="20"/>
                <w:szCs w:val="20"/>
              </w:rPr>
              <w:t>3 967 093,0</w:t>
            </w:r>
          </w:p>
        </w:tc>
        <w:tc>
          <w:tcPr>
            <w:tcW w:w="1468" w:type="dxa"/>
          </w:tcPr>
          <w:p w:rsidR="002F5754" w:rsidRPr="007858CD" w:rsidRDefault="002F5754" w:rsidP="007858CD">
            <w:pPr>
              <w:pStyle w:val="Default"/>
              <w:rPr>
                <w:color w:val="auto"/>
                <w:sz w:val="20"/>
                <w:szCs w:val="20"/>
              </w:rPr>
            </w:pPr>
            <w:r w:rsidRPr="007858CD">
              <w:rPr>
                <w:color w:val="auto"/>
                <w:sz w:val="20"/>
                <w:szCs w:val="20"/>
              </w:rPr>
              <w:t>2 126 036,0</w:t>
            </w:r>
          </w:p>
        </w:tc>
        <w:tc>
          <w:tcPr>
            <w:tcW w:w="1468" w:type="dxa"/>
          </w:tcPr>
          <w:p w:rsidR="002F5754" w:rsidRPr="007858CD" w:rsidRDefault="002F5754" w:rsidP="007858CD">
            <w:pPr>
              <w:pStyle w:val="Default"/>
              <w:rPr>
                <w:color w:val="auto"/>
                <w:sz w:val="20"/>
                <w:szCs w:val="20"/>
              </w:rPr>
            </w:pPr>
            <w:r w:rsidRPr="007858CD">
              <w:rPr>
                <w:color w:val="auto"/>
                <w:sz w:val="20"/>
                <w:szCs w:val="20"/>
              </w:rPr>
              <w:t>10,23 %</w:t>
            </w:r>
          </w:p>
        </w:tc>
        <w:tc>
          <w:tcPr>
            <w:tcW w:w="1473" w:type="dxa"/>
          </w:tcPr>
          <w:p w:rsidR="002F5754" w:rsidRPr="007858CD" w:rsidRDefault="002F5754" w:rsidP="007858CD">
            <w:pPr>
              <w:pStyle w:val="Default"/>
              <w:rPr>
                <w:color w:val="auto"/>
                <w:sz w:val="20"/>
                <w:szCs w:val="20"/>
              </w:rPr>
            </w:pPr>
            <w:r w:rsidRPr="007858CD">
              <w:rPr>
                <w:color w:val="auto"/>
                <w:sz w:val="20"/>
                <w:szCs w:val="20"/>
              </w:rPr>
              <w:t>5,48 %</w:t>
            </w:r>
          </w:p>
        </w:tc>
      </w:tr>
      <w:tr w:rsidR="00DE4BA7" w:rsidRPr="007858CD" w:rsidTr="002F5754">
        <w:trPr>
          <w:trHeight w:val="93"/>
        </w:trPr>
        <w:tc>
          <w:tcPr>
            <w:tcW w:w="1468" w:type="dxa"/>
            <w:shd w:val="clear" w:color="auto" w:fill="F2F2F2" w:themeFill="background1" w:themeFillShade="F2"/>
          </w:tcPr>
          <w:p w:rsidR="002F5754" w:rsidRPr="007858CD" w:rsidRDefault="002F5754" w:rsidP="007858CD">
            <w:pPr>
              <w:pStyle w:val="Default"/>
              <w:rPr>
                <w:b/>
                <w:color w:val="auto"/>
                <w:sz w:val="20"/>
                <w:szCs w:val="20"/>
              </w:rPr>
            </w:pPr>
            <w:r w:rsidRPr="007858CD">
              <w:rPr>
                <w:b/>
                <w:color w:val="auto"/>
                <w:sz w:val="20"/>
                <w:szCs w:val="20"/>
              </w:rPr>
              <w:t xml:space="preserve">TOTAL </w:t>
            </w:r>
          </w:p>
        </w:tc>
        <w:tc>
          <w:tcPr>
            <w:tcW w:w="1468" w:type="dxa"/>
            <w:shd w:val="clear" w:color="auto" w:fill="F2F2F2" w:themeFill="background1" w:themeFillShade="F2"/>
          </w:tcPr>
          <w:p w:rsidR="002F5754" w:rsidRPr="007858CD" w:rsidRDefault="002F5754" w:rsidP="007858CD">
            <w:pPr>
              <w:pStyle w:val="Default"/>
              <w:rPr>
                <w:color w:val="auto"/>
                <w:sz w:val="20"/>
                <w:szCs w:val="20"/>
              </w:rPr>
            </w:pPr>
            <w:r w:rsidRPr="007858CD">
              <w:rPr>
                <w:color w:val="auto"/>
                <w:sz w:val="20"/>
                <w:szCs w:val="20"/>
              </w:rPr>
              <w:t>91 376 000,0</w:t>
            </w:r>
          </w:p>
        </w:tc>
        <w:tc>
          <w:tcPr>
            <w:tcW w:w="1562" w:type="dxa"/>
            <w:shd w:val="clear" w:color="auto" w:fill="F2F2F2" w:themeFill="background1" w:themeFillShade="F2"/>
          </w:tcPr>
          <w:p w:rsidR="002F5754" w:rsidRPr="007858CD" w:rsidRDefault="002F5754" w:rsidP="007858CD">
            <w:pPr>
              <w:pStyle w:val="Default"/>
              <w:rPr>
                <w:color w:val="auto"/>
                <w:sz w:val="20"/>
                <w:szCs w:val="20"/>
              </w:rPr>
            </w:pPr>
            <w:r w:rsidRPr="007858CD">
              <w:rPr>
                <w:b/>
                <w:bCs/>
                <w:color w:val="auto"/>
                <w:sz w:val="20"/>
                <w:szCs w:val="20"/>
              </w:rPr>
              <w:t>100 722 000,0</w:t>
            </w:r>
          </w:p>
        </w:tc>
        <w:tc>
          <w:tcPr>
            <w:tcW w:w="1374" w:type="dxa"/>
            <w:shd w:val="clear" w:color="auto" w:fill="F2F2F2" w:themeFill="background1" w:themeFillShade="F2"/>
          </w:tcPr>
          <w:p w:rsidR="002F5754" w:rsidRPr="007858CD" w:rsidRDefault="002F5754" w:rsidP="007858CD">
            <w:pPr>
              <w:pStyle w:val="Default"/>
              <w:rPr>
                <w:color w:val="auto"/>
                <w:sz w:val="20"/>
                <w:szCs w:val="20"/>
              </w:rPr>
            </w:pPr>
            <w:r w:rsidRPr="007858CD">
              <w:rPr>
                <w:color w:val="auto"/>
                <w:sz w:val="20"/>
                <w:szCs w:val="20"/>
              </w:rPr>
              <w:t>9 346 000,0</w:t>
            </w:r>
          </w:p>
        </w:tc>
        <w:tc>
          <w:tcPr>
            <w:tcW w:w="1468" w:type="dxa"/>
            <w:shd w:val="clear" w:color="auto" w:fill="F2F2F2" w:themeFill="background1" w:themeFillShade="F2"/>
          </w:tcPr>
          <w:p w:rsidR="002F5754" w:rsidRPr="007858CD" w:rsidRDefault="002F5754" w:rsidP="007858CD">
            <w:pPr>
              <w:pStyle w:val="Default"/>
              <w:rPr>
                <w:color w:val="auto"/>
                <w:sz w:val="20"/>
                <w:szCs w:val="20"/>
              </w:rPr>
            </w:pPr>
            <w:r w:rsidRPr="007858CD">
              <w:rPr>
                <w:color w:val="auto"/>
                <w:sz w:val="20"/>
                <w:szCs w:val="20"/>
              </w:rPr>
              <w:t>5 008 689,0</w:t>
            </w:r>
          </w:p>
        </w:tc>
        <w:tc>
          <w:tcPr>
            <w:tcW w:w="1468" w:type="dxa"/>
            <w:shd w:val="clear" w:color="auto" w:fill="F2F2F2" w:themeFill="background1" w:themeFillShade="F2"/>
          </w:tcPr>
          <w:p w:rsidR="002F5754" w:rsidRPr="007858CD" w:rsidRDefault="002F5754" w:rsidP="007858CD">
            <w:pPr>
              <w:pStyle w:val="Default"/>
              <w:rPr>
                <w:color w:val="auto"/>
                <w:sz w:val="20"/>
                <w:szCs w:val="20"/>
              </w:rPr>
            </w:pPr>
            <w:r w:rsidRPr="007858CD">
              <w:rPr>
                <w:color w:val="auto"/>
                <w:sz w:val="20"/>
                <w:szCs w:val="20"/>
              </w:rPr>
              <w:t>10,2 %</w:t>
            </w:r>
          </w:p>
        </w:tc>
        <w:tc>
          <w:tcPr>
            <w:tcW w:w="1473" w:type="dxa"/>
            <w:shd w:val="clear" w:color="auto" w:fill="F2F2F2" w:themeFill="background1" w:themeFillShade="F2"/>
          </w:tcPr>
          <w:p w:rsidR="002F5754" w:rsidRPr="007858CD" w:rsidRDefault="002F5754" w:rsidP="007858CD">
            <w:pPr>
              <w:pStyle w:val="Default"/>
              <w:rPr>
                <w:color w:val="auto"/>
                <w:sz w:val="20"/>
                <w:szCs w:val="20"/>
              </w:rPr>
            </w:pPr>
            <w:r w:rsidRPr="007858CD">
              <w:rPr>
                <w:color w:val="auto"/>
                <w:sz w:val="20"/>
                <w:szCs w:val="20"/>
              </w:rPr>
              <w:t>5,48 %</w:t>
            </w:r>
          </w:p>
        </w:tc>
      </w:tr>
    </w:tbl>
    <w:p w:rsidR="002F5754" w:rsidRPr="007858CD" w:rsidRDefault="002F5754" w:rsidP="007858CD">
      <w:pPr>
        <w:rPr>
          <w:rFonts w:cs="Arial"/>
          <w:color w:val="auto"/>
          <w:sz w:val="20"/>
          <w:szCs w:val="20"/>
        </w:rPr>
      </w:pPr>
    </w:p>
    <w:p w:rsidR="002F5754" w:rsidRPr="007858CD" w:rsidRDefault="00486BA3" w:rsidP="007858CD">
      <w:pPr>
        <w:rPr>
          <w:rFonts w:cs="Arial"/>
          <w:color w:val="auto"/>
          <w:sz w:val="20"/>
          <w:szCs w:val="20"/>
        </w:rPr>
      </w:pPr>
      <w:r w:rsidRPr="007858CD">
        <w:rPr>
          <w:rFonts w:cs="Arial"/>
          <w:color w:val="auto"/>
          <w:sz w:val="20"/>
          <w:szCs w:val="20"/>
        </w:rPr>
        <w:t>From the table it can be deduced that SO1 consumes 12.6% of the CGE’s overall budget, SO2 36.5%, SO3 8.3% and SO 4 47.4%. Hence SO3 receives the smallest allocation and SO4 receives the largest proportion of the budget.</w:t>
      </w:r>
    </w:p>
    <w:p w:rsidR="002F5754" w:rsidRPr="007858CD" w:rsidRDefault="002F5754" w:rsidP="007858CD">
      <w:pPr>
        <w:rPr>
          <w:rFonts w:cs="Arial"/>
          <w:color w:val="auto"/>
          <w:sz w:val="20"/>
          <w:szCs w:val="20"/>
        </w:rPr>
      </w:pPr>
    </w:p>
    <w:p w:rsidR="00C64D4F" w:rsidRPr="007858CD" w:rsidRDefault="00E42656" w:rsidP="007858CD">
      <w:pPr>
        <w:rPr>
          <w:rFonts w:cs="Arial"/>
          <w:color w:val="auto"/>
          <w:sz w:val="20"/>
          <w:szCs w:val="20"/>
        </w:rPr>
      </w:pPr>
      <w:r w:rsidRPr="007858CD">
        <w:rPr>
          <w:rFonts w:cs="Arial"/>
          <w:bCs/>
          <w:color w:val="auto"/>
          <w:sz w:val="20"/>
          <w:szCs w:val="20"/>
        </w:rPr>
        <w:t xml:space="preserve">With respect to the CGE’s </w:t>
      </w:r>
      <w:r w:rsidR="00C64D4F" w:rsidRPr="007858CD">
        <w:rPr>
          <w:rFonts w:cs="Arial"/>
          <w:bCs/>
          <w:color w:val="auto"/>
          <w:sz w:val="20"/>
          <w:szCs w:val="20"/>
        </w:rPr>
        <w:t xml:space="preserve">Key Cost drivers </w:t>
      </w:r>
      <w:r w:rsidRPr="007858CD">
        <w:rPr>
          <w:rFonts w:cs="Arial"/>
          <w:bCs/>
          <w:color w:val="auto"/>
          <w:sz w:val="20"/>
          <w:szCs w:val="20"/>
        </w:rPr>
        <w:t>for 2022/3 these were as follows</w:t>
      </w:r>
      <w:r w:rsidR="001620BC" w:rsidRPr="007858CD">
        <w:rPr>
          <w:rStyle w:val="FootnoteReference"/>
          <w:rFonts w:cs="Arial"/>
          <w:bCs/>
          <w:color w:val="auto"/>
          <w:sz w:val="20"/>
          <w:szCs w:val="20"/>
        </w:rPr>
        <w:footnoteReference w:id="23"/>
      </w:r>
      <w:r w:rsidR="00C64D4F" w:rsidRPr="007858CD">
        <w:rPr>
          <w:rFonts w:cs="Arial"/>
          <w:bCs/>
          <w:color w:val="auto"/>
          <w:sz w:val="20"/>
          <w:szCs w:val="20"/>
        </w:rPr>
        <w:t xml:space="preserve"> </w:t>
      </w:r>
    </w:p>
    <w:p w:rsidR="00D31C43" w:rsidRPr="007858CD" w:rsidRDefault="00D31C43" w:rsidP="007858CD">
      <w:pPr>
        <w:rPr>
          <w:rFonts w:cs="Arial"/>
          <w:color w:val="auto"/>
          <w:sz w:val="20"/>
          <w:szCs w:val="20"/>
        </w:rPr>
      </w:pPr>
    </w:p>
    <w:p w:rsidR="00D31C43" w:rsidRPr="007858CD" w:rsidRDefault="00D31C43" w:rsidP="007858CD">
      <w:pPr>
        <w:pStyle w:val="ListParagraph"/>
        <w:numPr>
          <w:ilvl w:val="0"/>
          <w:numId w:val="14"/>
        </w:numPr>
        <w:rPr>
          <w:rFonts w:cs="Arial"/>
          <w:color w:val="auto"/>
          <w:sz w:val="20"/>
          <w:szCs w:val="20"/>
        </w:rPr>
      </w:pPr>
      <w:r w:rsidRPr="007858CD">
        <w:rPr>
          <w:rFonts w:cs="Arial"/>
          <w:color w:val="auto"/>
          <w:sz w:val="20"/>
          <w:szCs w:val="20"/>
        </w:rPr>
        <w:t xml:space="preserve">ICT (computer servicing, IT and website) </w:t>
      </w:r>
      <w:r w:rsidR="00E42656" w:rsidRPr="007858CD">
        <w:rPr>
          <w:rFonts w:cs="Arial"/>
          <w:color w:val="auto"/>
          <w:sz w:val="20"/>
          <w:szCs w:val="20"/>
        </w:rPr>
        <w:t>–</w:t>
      </w:r>
      <w:r w:rsidRPr="007858CD">
        <w:rPr>
          <w:rFonts w:cs="Arial"/>
          <w:color w:val="auto"/>
          <w:sz w:val="20"/>
          <w:szCs w:val="20"/>
        </w:rPr>
        <w:t xml:space="preserve"> R</w:t>
      </w:r>
      <w:r w:rsidR="00E42656" w:rsidRPr="007858CD">
        <w:rPr>
          <w:rFonts w:cs="Arial"/>
          <w:color w:val="auto"/>
          <w:sz w:val="20"/>
          <w:szCs w:val="20"/>
        </w:rPr>
        <w:t xml:space="preserve"> 3 706 986</w:t>
      </w:r>
    </w:p>
    <w:p w:rsidR="00E42656" w:rsidRPr="007858CD" w:rsidRDefault="00E42656" w:rsidP="007858CD">
      <w:pPr>
        <w:pStyle w:val="ListParagraph"/>
        <w:numPr>
          <w:ilvl w:val="0"/>
          <w:numId w:val="14"/>
        </w:numPr>
        <w:rPr>
          <w:rFonts w:cs="Arial"/>
          <w:color w:val="auto"/>
          <w:sz w:val="20"/>
          <w:szCs w:val="20"/>
        </w:rPr>
      </w:pPr>
      <w:r w:rsidRPr="007858CD">
        <w:rPr>
          <w:rFonts w:cs="Arial"/>
          <w:color w:val="auto"/>
          <w:sz w:val="20"/>
          <w:szCs w:val="20"/>
        </w:rPr>
        <w:t>Office cleaning &amp; maintenance – R3 501 003</w:t>
      </w:r>
    </w:p>
    <w:p w:rsidR="00E42656" w:rsidRPr="007858CD" w:rsidRDefault="00E42656" w:rsidP="007858CD">
      <w:pPr>
        <w:pStyle w:val="ListParagraph"/>
        <w:numPr>
          <w:ilvl w:val="0"/>
          <w:numId w:val="14"/>
        </w:numPr>
        <w:rPr>
          <w:rFonts w:cs="Arial"/>
          <w:color w:val="auto"/>
          <w:sz w:val="20"/>
          <w:szCs w:val="20"/>
        </w:rPr>
      </w:pPr>
      <w:r w:rsidRPr="007858CD">
        <w:rPr>
          <w:rFonts w:cs="Arial"/>
          <w:color w:val="auto"/>
          <w:sz w:val="20"/>
          <w:szCs w:val="20"/>
        </w:rPr>
        <w:lastRenderedPageBreak/>
        <w:t>Report writing, printing and publishing – R3 336 458</w:t>
      </w:r>
    </w:p>
    <w:p w:rsidR="00D31C43" w:rsidRPr="007858CD" w:rsidRDefault="00D31C43" w:rsidP="007858CD">
      <w:pPr>
        <w:pStyle w:val="ListParagraph"/>
        <w:numPr>
          <w:ilvl w:val="0"/>
          <w:numId w:val="14"/>
        </w:numPr>
        <w:rPr>
          <w:rFonts w:cs="Arial"/>
          <w:color w:val="auto"/>
          <w:sz w:val="20"/>
          <w:szCs w:val="20"/>
        </w:rPr>
      </w:pPr>
      <w:r w:rsidRPr="007858CD">
        <w:rPr>
          <w:rFonts w:cs="Arial"/>
          <w:color w:val="auto"/>
          <w:sz w:val="20"/>
          <w:szCs w:val="20"/>
        </w:rPr>
        <w:t xml:space="preserve">External Auditing fees - R </w:t>
      </w:r>
      <w:r w:rsidR="00E42656" w:rsidRPr="007858CD">
        <w:rPr>
          <w:rFonts w:cs="Arial"/>
          <w:color w:val="auto"/>
          <w:sz w:val="20"/>
          <w:szCs w:val="20"/>
        </w:rPr>
        <w:t>2 895 496</w:t>
      </w:r>
    </w:p>
    <w:p w:rsidR="00D31C43" w:rsidRPr="007858CD" w:rsidRDefault="00D31C43" w:rsidP="007858CD">
      <w:pPr>
        <w:pStyle w:val="ListParagraph"/>
        <w:numPr>
          <w:ilvl w:val="0"/>
          <w:numId w:val="14"/>
        </w:numPr>
        <w:rPr>
          <w:rFonts w:cs="Arial"/>
          <w:color w:val="auto"/>
          <w:sz w:val="20"/>
          <w:szCs w:val="20"/>
        </w:rPr>
      </w:pPr>
      <w:r w:rsidRPr="007858CD">
        <w:rPr>
          <w:rFonts w:cs="Arial"/>
          <w:color w:val="auto"/>
          <w:sz w:val="20"/>
          <w:szCs w:val="20"/>
        </w:rPr>
        <w:t xml:space="preserve"> </w:t>
      </w:r>
      <w:r w:rsidR="00E42656" w:rsidRPr="007858CD">
        <w:rPr>
          <w:rFonts w:cs="Arial"/>
          <w:color w:val="auto"/>
          <w:sz w:val="20"/>
          <w:szCs w:val="20"/>
        </w:rPr>
        <w:t>Conferences and seminars – R2 354 087</w:t>
      </w:r>
    </w:p>
    <w:p w:rsidR="00D31C43" w:rsidRPr="007858CD" w:rsidRDefault="00D31C43" w:rsidP="007858CD">
      <w:pPr>
        <w:rPr>
          <w:rFonts w:cs="Arial"/>
          <w:color w:val="auto"/>
          <w:sz w:val="20"/>
          <w:szCs w:val="20"/>
        </w:rPr>
      </w:pPr>
    </w:p>
    <w:p w:rsidR="00D31C43" w:rsidRPr="007858CD" w:rsidRDefault="00D31C43" w:rsidP="007858CD">
      <w:pPr>
        <w:rPr>
          <w:rFonts w:cs="Arial"/>
          <w:color w:val="auto"/>
          <w:sz w:val="20"/>
          <w:szCs w:val="20"/>
        </w:rPr>
      </w:pPr>
      <w:r w:rsidRPr="007858CD">
        <w:rPr>
          <w:rFonts w:cs="Arial"/>
          <w:color w:val="auto"/>
          <w:sz w:val="20"/>
          <w:szCs w:val="20"/>
        </w:rPr>
        <w:t>The</w:t>
      </w:r>
      <w:r w:rsidR="00E42656" w:rsidRPr="007858CD">
        <w:rPr>
          <w:rFonts w:cs="Arial"/>
          <w:color w:val="auto"/>
          <w:sz w:val="20"/>
          <w:szCs w:val="20"/>
        </w:rPr>
        <w:t>se 5 allocations listed above constitute 53% of the G&amp;S budget.</w:t>
      </w:r>
    </w:p>
    <w:p w:rsidR="00D31C43" w:rsidRPr="007858CD" w:rsidRDefault="00D31C43" w:rsidP="007858CD">
      <w:pPr>
        <w:rPr>
          <w:rFonts w:cs="Arial"/>
          <w:color w:val="auto"/>
          <w:sz w:val="20"/>
          <w:szCs w:val="20"/>
        </w:rPr>
      </w:pPr>
    </w:p>
    <w:p w:rsidR="00C0708D" w:rsidRPr="007858CD" w:rsidRDefault="00C0708D" w:rsidP="007858CD">
      <w:pPr>
        <w:rPr>
          <w:rFonts w:cs="Arial"/>
          <w:color w:val="auto"/>
          <w:sz w:val="20"/>
          <w:szCs w:val="20"/>
        </w:rPr>
      </w:pPr>
      <w:r w:rsidRPr="007858CD">
        <w:rPr>
          <w:rFonts w:cs="Arial"/>
          <w:color w:val="auto"/>
          <w:sz w:val="20"/>
          <w:szCs w:val="20"/>
        </w:rPr>
        <w:t>In terms of budgetary allocation per Strategic Outcome:</w:t>
      </w:r>
    </w:p>
    <w:p w:rsidR="00C0708D" w:rsidRPr="007858CD" w:rsidRDefault="00C0708D" w:rsidP="007858CD">
      <w:pPr>
        <w:pStyle w:val="ListParagraph"/>
        <w:numPr>
          <w:ilvl w:val="0"/>
          <w:numId w:val="21"/>
        </w:numPr>
        <w:rPr>
          <w:rFonts w:cs="Arial"/>
          <w:color w:val="auto"/>
          <w:sz w:val="20"/>
          <w:szCs w:val="20"/>
        </w:rPr>
      </w:pPr>
      <w:r w:rsidRPr="007858CD">
        <w:rPr>
          <w:rFonts w:cs="Arial"/>
          <w:color w:val="auto"/>
          <w:sz w:val="20"/>
          <w:szCs w:val="20"/>
        </w:rPr>
        <w:t>SO 1: R</w:t>
      </w:r>
      <w:r w:rsidR="00193CD2" w:rsidRPr="007858CD">
        <w:rPr>
          <w:rFonts w:cs="Arial"/>
          <w:color w:val="auto"/>
          <w:sz w:val="20"/>
          <w:szCs w:val="20"/>
        </w:rPr>
        <w:t>12 705509</w:t>
      </w:r>
      <w:r w:rsidRPr="007858CD">
        <w:rPr>
          <w:rFonts w:cs="Arial"/>
          <w:color w:val="auto"/>
          <w:sz w:val="20"/>
          <w:szCs w:val="20"/>
        </w:rPr>
        <w:t xml:space="preserve"> has been allocated of which R</w:t>
      </w:r>
      <w:r w:rsidR="00193CD2" w:rsidRPr="007858CD">
        <w:rPr>
          <w:rFonts w:cs="Arial"/>
          <w:color w:val="auto"/>
          <w:sz w:val="20"/>
          <w:szCs w:val="20"/>
        </w:rPr>
        <w:t>4 748 695.15</w:t>
      </w:r>
      <w:r w:rsidRPr="007858CD">
        <w:rPr>
          <w:rFonts w:cs="Arial"/>
          <w:color w:val="auto"/>
          <w:sz w:val="20"/>
          <w:szCs w:val="20"/>
        </w:rPr>
        <w:t xml:space="preserve"> is for Compensation of Employees, Direct expenses R</w:t>
      </w:r>
      <w:r w:rsidR="00193CD2" w:rsidRPr="007858CD">
        <w:rPr>
          <w:rFonts w:cs="Arial"/>
          <w:color w:val="auto"/>
          <w:sz w:val="20"/>
          <w:szCs w:val="20"/>
        </w:rPr>
        <w:t>2 609 001.40</w:t>
      </w:r>
      <w:r w:rsidRPr="007858CD">
        <w:rPr>
          <w:rFonts w:cs="Arial"/>
          <w:color w:val="auto"/>
          <w:sz w:val="20"/>
          <w:szCs w:val="20"/>
        </w:rPr>
        <w:t xml:space="preserve"> and Office overheads R</w:t>
      </w:r>
      <w:r w:rsidR="00193CD2" w:rsidRPr="007858CD">
        <w:rPr>
          <w:rFonts w:cs="Arial"/>
          <w:color w:val="auto"/>
          <w:sz w:val="20"/>
          <w:szCs w:val="20"/>
        </w:rPr>
        <w:t>5 347 812.37</w:t>
      </w:r>
    </w:p>
    <w:p w:rsidR="00C0708D" w:rsidRPr="007858CD" w:rsidRDefault="00C0708D" w:rsidP="007858CD">
      <w:pPr>
        <w:pStyle w:val="ListParagraph"/>
        <w:numPr>
          <w:ilvl w:val="0"/>
          <w:numId w:val="21"/>
        </w:numPr>
        <w:rPr>
          <w:rFonts w:cs="Arial"/>
          <w:color w:val="auto"/>
          <w:sz w:val="20"/>
          <w:szCs w:val="20"/>
        </w:rPr>
      </w:pPr>
      <w:r w:rsidRPr="007858CD">
        <w:rPr>
          <w:rFonts w:cs="Arial"/>
          <w:color w:val="auto"/>
          <w:sz w:val="20"/>
          <w:szCs w:val="20"/>
        </w:rPr>
        <w:t>SO 2: R</w:t>
      </w:r>
      <w:r w:rsidR="00193CD2" w:rsidRPr="007858CD">
        <w:rPr>
          <w:rFonts w:cs="Arial"/>
          <w:color w:val="auto"/>
          <w:sz w:val="20"/>
          <w:szCs w:val="20"/>
        </w:rPr>
        <w:t>36 803 467</w:t>
      </w:r>
      <w:r w:rsidRPr="007858CD">
        <w:rPr>
          <w:rFonts w:cs="Arial"/>
          <w:color w:val="auto"/>
          <w:sz w:val="20"/>
          <w:szCs w:val="20"/>
        </w:rPr>
        <w:t xml:space="preserve"> has been allocated of which R</w:t>
      </w:r>
      <w:r w:rsidR="00193CD2" w:rsidRPr="007858CD">
        <w:rPr>
          <w:rFonts w:cs="Arial"/>
          <w:color w:val="auto"/>
          <w:sz w:val="20"/>
          <w:szCs w:val="20"/>
        </w:rPr>
        <w:t>29 629 484.25</w:t>
      </w:r>
      <w:r w:rsidRPr="007858CD">
        <w:rPr>
          <w:rFonts w:cs="Arial"/>
          <w:color w:val="auto"/>
          <w:sz w:val="20"/>
          <w:szCs w:val="20"/>
        </w:rPr>
        <w:t xml:space="preserve"> is for Compensation of Employees, Direct expenses R</w:t>
      </w:r>
      <w:r w:rsidR="005B0630" w:rsidRPr="007858CD">
        <w:rPr>
          <w:rFonts w:cs="Arial"/>
          <w:color w:val="auto"/>
          <w:sz w:val="20"/>
          <w:szCs w:val="20"/>
        </w:rPr>
        <w:t>2 352 314.51</w:t>
      </w:r>
      <w:r w:rsidRPr="007858CD">
        <w:rPr>
          <w:rFonts w:cs="Arial"/>
          <w:color w:val="auto"/>
          <w:sz w:val="20"/>
          <w:szCs w:val="20"/>
        </w:rPr>
        <w:t xml:space="preserve"> and Office overheads R</w:t>
      </w:r>
      <w:r w:rsidR="005B0630" w:rsidRPr="007858CD">
        <w:rPr>
          <w:rFonts w:cs="Arial"/>
          <w:color w:val="auto"/>
          <w:sz w:val="20"/>
          <w:szCs w:val="20"/>
        </w:rPr>
        <w:t>4 821 668.49</w:t>
      </w:r>
    </w:p>
    <w:p w:rsidR="00C0708D" w:rsidRPr="007858CD" w:rsidRDefault="00C0708D" w:rsidP="007858CD">
      <w:pPr>
        <w:pStyle w:val="ListParagraph"/>
        <w:numPr>
          <w:ilvl w:val="0"/>
          <w:numId w:val="21"/>
        </w:numPr>
        <w:rPr>
          <w:rFonts w:cs="Arial"/>
          <w:color w:val="auto"/>
          <w:sz w:val="20"/>
          <w:szCs w:val="20"/>
        </w:rPr>
      </w:pPr>
      <w:r w:rsidRPr="007858CD">
        <w:rPr>
          <w:rFonts w:cs="Arial"/>
          <w:color w:val="auto"/>
          <w:sz w:val="20"/>
          <w:szCs w:val="20"/>
        </w:rPr>
        <w:t>SO 3: R</w:t>
      </w:r>
      <w:r w:rsidR="00193CD2" w:rsidRPr="007858CD">
        <w:rPr>
          <w:rFonts w:cs="Arial"/>
          <w:color w:val="auto"/>
          <w:sz w:val="20"/>
          <w:szCs w:val="20"/>
        </w:rPr>
        <w:t>8 459 590</w:t>
      </w:r>
      <w:r w:rsidRPr="007858CD">
        <w:rPr>
          <w:rFonts w:cs="Arial"/>
          <w:color w:val="auto"/>
          <w:sz w:val="20"/>
          <w:szCs w:val="20"/>
        </w:rPr>
        <w:t xml:space="preserve"> has been allocated of which R</w:t>
      </w:r>
      <w:r w:rsidR="005B0630" w:rsidRPr="007858CD">
        <w:rPr>
          <w:rFonts w:cs="Arial"/>
          <w:color w:val="auto"/>
          <w:sz w:val="20"/>
          <w:szCs w:val="20"/>
        </w:rPr>
        <w:t>6 974 474.77</w:t>
      </w:r>
      <w:r w:rsidRPr="007858CD">
        <w:rPr>
          <w:rFonts w:cs="Arial"/>
          <w:color w:val="auto"/>
          <w:sz w:val="20"/>
          <w:szCs w:val="20"/>
        </w:rPr>
        <w:t xml:space="preserve"> is for Compensation of Employees, Direct expenses R</w:t>
      </w:r>
      <w:r w:rsidR="005B0630" w:rsidRPr="007858CD">
        <w:rPr>
          <w:rFonts w:cs="Arial"/>
          <w:color w:val="auto"/>
          <w:sz w:val="20"/>
          <w:szCs w:val="20"/>
        </w:rPr>
        <w:t>486 962.10</w:t>
      </w:r>
      <w:r w:rsidRPr="007858CD">
        <w:rPr>
          <w:rFonts w:cs="Arial"/>
          <w:color w:val="auto"/>
          <w:sz w:val="20"/>
          <w:szCs w:val="20"/>
        </w:rPr>
        <w:t xml:space="preserve"> and Office overheads R</w:t>
      </w:r>
      <w:r w:rsidR="005B0630" w:rsidRPr="007858CD">
        <w:rPr>
          <w:rFonts w:cs="Arial"/>
          <w:color w:val="auto"/>
          <w:sz w:val="20"/>
          <w:szCs w:val="20"/>
        </w:rPr>
        <w:t>998 152.75</w:t>
      </w:r>
      <w:r w:rsidRPr="007858CD">
        <w:rPr>
          <w:rFonts w:cs="Arial"/>
          <w:color w:val="auto"/>
          <w:sz w:val="20"/>
          <w:szCs w:val="20"/>
        </w:rPr>
        <w:t xml:space="preserve"> </w:t>
      </w:r>
    </w:p>
    <w:p w:rsidR="00C0708D" w:rsidRPr="007858CD" w:rsidRDefault="00C0708D" w:rsidP="007858CD">
      <w:pPr>
        <w:pStyle w:val="ListParagraph"/>
        <w:numPr>
          <w:ilvl w:val="0"/>
          <w:numId w:val="21"/>
        </w:numPr>
        <w:rPr>
          <w:rFonts w:cs="Arial"/>
          <w:color w:val="auto"/>
          <w:sz w:val="20"/>
          <w:szCs w:val="20"/>
        </w:rPr>
      </w:pPr>
      <w:r w:rsidRPr="007858CD">
        <w:rPr>
          <w:rFonts w:cs="Arial"/>
          <w:color w:val="auto"/>
          <w:sz w:val="20"/>
          <w:szCs w:val="20"/>
        </w:rPr>
        <w:t>SO 4: R</w:t>
      </w:r>
      <w:r w:rsidR="00193CD2" w:rsidRPr="007858CD">
        <w:rPr>
          <w:rFonts w:cs="Arial"/>
          <w:color w:val="auto"/>
          <w:sz w:val="20"/>
          <w:szCs w:val="20"/>
        </w:rPr>
        <w:t>42 753 434</w:t>
      </w:r>
      <w:r w:rsidRPr="007858CD">
        <w:rPr>
          <w:rFonts w:cs="Arial"/>
          <w:color w:val="auto"/>
          <w:sz w:val="20"/>
          <w:szCs w:val="20"/>
        </w:rPr>
        <w:t xml:space="preserve"> has been allocated of which R</w:t>
      </w:r>
      <w:r w:rsidR="005B0630" w:rsidRPr="007858CD">
        <w:rPr>
          <w:rFonts w:cs="Arial"/>
          <w:color w:val="auto"/>
          <w:sz w:val="20"/>
          <w:szCs w:val="20"/>
        </w:rPr>
        <w:t>28 613 620.34</w:t>
      </w:r>
      <w:r w:rsidRPr="007858CD">
        <w:rPr>
          <w:rFonts w:cs="Arial"/>
          <w:color w:val="auto"/>
          <w:sz w:val="20"/>
          <w:szCs w:val="20"/>
        </w:rPr>
        <w:t xml:space="preserve"> is for Compensation of Employees, Direct expenses R</w:t>
      </w:r>
      <w:r w:rsidR="005B0630" w:rsidRPr="007858CD">
        <w:rPr>
          <w:rFonts w:cs="Arial"/>
          <w:color w:val="auto"/>
          <w:sz w:val="20"/>
          <w:szCs w:val="20"/>
        </w:rPr>
        <w:t>4 636 377.76</w:t>
      </w:r>
      <w:r w:rsidRPr="007858CD">
        <w:rPr>
          <w:rFonts w:cs="Arial"/>
          <w:color w:val="auto"/>
          <w:sz w:val="20"/>
          <w:szCs w:val="20"/>
        </w:rPr>
        <w:t xml:space="preserve"> and Office overheads R</w:t>
      </w:r>
      <w:r w:rsidR="005B0630" w:rsidRPr="007858CD">
        <w:rPr>
          <w:rFonts w:cs="Arial"/>
          <w:color w:val="auto"/>
          <w:sz w:val="20"/>
          <w:szCs w:val="20"/>
        </w:rPr>
        <w:t>9 503 436.10</w:t>
      </w:r>
      <w:r w:rsidRPr="007858CD">
        <w:rPr>
          <w:rFonts w:cs="Arial"/>
          <w:color w:val="auto"/>
          <w:sz w:val="20"/>
          <w:szCs w:val="20"/>
        </w:rPr>
        <w:t>.</w:t>
      </w:r>
    </w:p>
    <w:p w:rsidR="00C0708D" w:rsidRPr="007858CD" w:rsidRDefault="00C0708D" w:rsidP="007858CD">
      <w:pPr>
        <w:rPr>
          <w:rFonts w:cs="Arial"/>
          <w:color w:val="auto"/>
          <w:sz w:val="20"/>
          <w:szCs w:val="20"/>
        </w:rPr>
      </w:pPr>
    </w:p>
    <w:p w:rsidR="005B0630" w:rsidRPr="007858CD" w:rsidRDefault="005B0630" w:rsidP="007858CD">
      <w:pPr>
        <w:rPr>
          <w:rFonts w:cs="Arial"/>
          <w:b/>
          <w:color w:val="auto"/>
          <w:sz w:val="20"/>
          <w:szCs w:val="20"/>
        </w:rPr>
      </w:pPr>
      <w:r w:rsidRPr="007858CD">
        <w:rPr>
          <w:rFonts w:cs="Arial"/>
          <w:b/>
          <w:color w:val="auto"/>
          <w:sz w:val="20"/>
          <w:szCs w:val="20"/>
        </w:rPr>
        <w:t xml:space="preserve">5.3 CGE Programme analysis </w:t>
      </w:r>
    </w:p>
    <w:p w:rsidR="005B0630" w:rsidRPr="007858CD" w:rsidRDefault="005B0630" w:rsidP="007858CD">
      <w:pPr>
        <w:rPr>
          <w:rFonts w:cs="Arial"/>
          <w:color w:val="auto"/>
          <w:sz w:val="20"/>
          <w:szCs w:val="20"/>
          <w:lang w:val="en-ZA"/>
        </w:rPr>
      </w:pPr>
    </w:p>
    <w:p w:rsidR="00D31C43" w:rsidRPr="007858CD" w:rsidRDefault="00D31C43" w:rsidP="007858CD">
      <w:pPr>
        <w:rPr>
          <w:rFonts w:cs="Arial"/>
          <w:color w:val="auto"/>
          <w:sz w:val="20"/>
          <w:szCs w:val="20"/>
          <w:lang w:val="en-ZA"/>
        </w:rPr>
      </w:pPr>
      <w:r w:rsidRPr="007858CD">
        <w:rPr>
          <w:rFonts w:cs="Arial"/>
          <w:color w:val="auto"/>
          <w:sz w:val="20"/>
          <w:szCs w:val="20"/>
          <w:lang w:val="en-ZA"/>
        </w:rPr>
        <w:t xml:space="preserve">The following section provides an overview of annual targets related to the 4 outcomes. </w:t>
      </w:r>
    </w:p>
    <w:p w:rsidR="00D31C43" w:rsidRPr="007858CD" w:rsidRDefault="00D31C43" w:rsidP="007858CD">
      <w:pPr>
        <w:pStyle w:val="ListParagraph"/>
        <w:numPr>
          <w:ilvl w:val="0"/>
          <w:numId w:val="14"/>
        </w:numPr>
        <w:rPr>
          <w:rFonts w:cs="Arial"/>
          <w:color w:val="auto"/>
          <w:sz w:val="20"/>
          <w:szCs w:val="20"/>
          <w:lang w:val="en-ZA"/>
        </w:rPr>
      </w:pPr>
      <w:r w:rsidRPr="007858CD">
        <w:rPr>
          <w:rFonts w:cs="Arial"/>
          <w:color w:val="auto"/>
          <w:sz w:val="20"/>
          <w:szCs w:val="20"/>
          <w:lang w:val="en-ZA"/>
        </w:rPr>
        <w:t xml:space="preserve">The CGE has </w:t>
      </w:r>
      <w:r w:rsidR="00621626" w:rsidRPr="007858CD">
        <w:rPr>
          <w:rFonts w:cs="Arial"/>
          <w:color w:val="auto"/>
          <w:sz w:val="20"/>
          <w:szCs w:val="20"/>
          <w:lang w:val="en-ZA"/>
        </w:rPr>
        <w:t>decreased</w:t>
      </w:r>
      <w:r w:rsidRPr="007858CD">
        <w:rPr>
          <w:rFonts w:cs="Arial"/>
          <w:color w:val="auto"/>
          <w:sz w:val="20"/>
          <w:szCs w:val="20"/>
          <w:lang w:val="en-ZA"/>
        </w:rPr>
        <w:t xml:space="preserve"> its targets from the previous financial year</w:t>
      </w:r>
      <w:r w:rsidR="00503AA7" w:rsidRPr="007858CD">
        <w:rPr>
          <w:rFonts w:cs="Arial"/>
          <w:color w:val="auto"/>
          <w:sz w:val="20"/>
          <w:szCs w:val="20"/>
          <w:lang w:val="en-ZA"/>
        </w:rPr>
        <w:t xml:space="preserve"> 202</w:t>
      </w:r>
      <w:r w:rsidR="00621626" w:rsidRPr="007858CD">
        <w:rPr>
          <w:rFonts w:cs="Arial"/>
          <w:color w:val="auto"/>
          <w:sz w:val="20"/>
          <w:szCs w:val="20"/>
          <w:lang w:val="en-ZA"/>
        </w:rPr>
        <w:t>21/22</w:t>
      </w:r>
      <w:r w:rsidR="00503AA7" w:rsidRPr="007858CD">
        <w:rPr>
          <w:rFonts w:cs="Arial"/>
          <w:color w:val="auto"/>
          <w:sz w:val="20"/>
          <w:szCs w:val="20"/>
          <w:lang w:val="en-ZA"/>
        </w:rPr>
        <w:t xml:space="preserve"> of </w:t>
      </w:r>
      <w:r w:rsidR="005B0630" w:rsidRPr="007858CD">
        <w:rPr>
          <w:rFonts w:cs="Arial"/>
          <w:color w:val="auto"/>
          <w:sz w:val="20"/>
          <w:szCs w:val="20"/>
          <w:lang w:val="en-ZA"/>
        </w:rPr>
        <w:t>38</w:t>
      </w:r>
      <w:r w:rsidR="00503AA7" w:rsidRPr="007858CD">
        <w:rPr>
          <w:rFonts w:cs="Arial"/>
          <w:color w:val="auto"/>
          <w:sz w:val="20"/>
          <w:szCs w:val="20"/>
          <w:lang w:val="en-ZA"/>
        </w:rPr>
        <w:t xml:space="preserve"> to</w:t>
      </w:r>
      <w:r w:rsidR="005B0630" w:rsidRPr="007858CD">
        <w:rPr>
          <w:rFonts w:cs="Arial"/>
          <w:color w:val="auto"/>
          <w:sz w:val="20"/>
          <w:szCs w:val="20"/>
          <w:lang w:val="en-ZA"/>
        </w:rPr>
        <w:t xml:space="preserve"> 26</w:t>
      </w:r>
      <w:r w:rsidR="00503AA7" w:rsidRPr="007858CD">
        <w:rPr>
          <w:rFonts w:cs="Arial"/>
          <w:color w:val="auto"/>
          <w:sz w:val="20"/>
          <w:szCs w:val="20"/>
          <w:lang w:val="en-ZA"/>
        </w:rPr>
        <w:t xml:space="preserve"> in 202</w:t>
      </w:r>
      <w:r w:rsidR="00621626" w:rsidRPr="007858CD">
        <w:rPr>
          <w:rFonts w:cs="Arial"/>
          <w:color w:val="auto"/>
          <w:sz w:val="20"/>
          <w:szCs w:val="20"/>
          <w:lang w:val="en-ZA"/>
        </w:rPr>
        <w:t>2/23</w:t>
      </w:r>
      <w:r w:rsidRPr="007858CD">
        <w:rPr>
          <w:rFonts w:cs="Arial"/>
          <w:color w:val="auto"/>
          <w:sz w:val="20"/>
          <w:szCs w:val="20"/>
          <w:lang w:val="en-ZA"/>
        </w:rPr>
        <w:t xml:space="preserve">. </w:t>
      </w:r>
      <w:r w:rsidR="005B0630" w:rsidRPr="007858CD">
        <w:rPr>
          <w:rFonts w:cs="Arial"/>
          <w:color w:val="auto"/>
          <w:sz w:val="20"/>
          <w:szCs w:val="20"/>
          <w:lang w:val="en-ZA"/>
        </w:rPr>
        <w:t>As noted in the table below, targets in the three service delivery programmes or outcomes have seen the greatest reduction year-on-year.</w:t>
      </w:r>
    </w:p>
    <w:p w:rsidR="005B0630" w:rsidRPr="007858CD" w:rsidRDefault="005B0630" w:rsidP="007858CD">
      <w:pPr>
        <w:rPr>
          <w:rFonts w:cs="Arial"/>
          <w:color w:val="auto"/>
          <w:sz w:val="20"/>
          <w:szCs w:val="20"/>
        </w:rPr>
      </w:pPr>
    </w:p>
    <w:p w:rsidR="005B0630" w:rsidRPr="007858CD" w:rsidRDefault="005B0630" w:rsidP="007858CD">
      <w:pPr>
        <w:rPr>
          <w:rFonts w:cs="Arial"/>
          <w:b/>
          <w:color w:val="auto"/>
          <w:sz w:val="20"/>
          <w:szCs w:val="20"/>
        </w:rPr>
      </w:pPr>
      <w:r w:rsidRPr="007858CD">
        <w:rPr>
          <w:rFonts w:cs="Arial"/>
          <w:b/>
          <w:color w:val="auto"/>
          <w:sz w:val="20"/>
          <w:szCs w:val="20"/>
        </w:rPr>
        <w:t>Table 9: Reduction of CGE targets between 2021/22 and 2022/23</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43"/>
        <w:gridCol w:w="1242"/>
        <w:gridCol w:w="1244"/>
        <w:gridCol w:w="1242"/>
        <w:gridCol w:w="1243"/>
        <w:gridCol w:w="1242"/>
        <w:gridCol w:w="1244"/>
      </w:tblGrid>
      <w:tr w:rsidR="00DE4BA7" w:rsidRPr="007858CD" w:rsidTr="005B0630">
        <w:trPr>
          <w:trHeight w:val="135"/>
          <w:jc w:val="center"/>
        </w:trPr>
        <w:tc>
          <w:tcPr>
            <w:tcW w:w="2485" w:type="dxa"/>
            <w:gridSpan w:val="2"/>
            <w:shd w:val="clear" w:color="auto" w:fill="BFBFBF" w:themeFill="background1" w:themeFillShade="BF"/>
          </w:tcPr>
          <w:p w:rsidR="005B0630" w:rsidRPr="007858CD" w:rsidRDefault="005B0630" w:rsidP="007858CD">
            <w:pPr>
              <w:autoSpaceDE w:val="0"/>
              <w:autoSpaceDN w:val="0"/>
              <w:adjustRightInd w:val="0"/>
              <w:rPr>
                <w:rFonts w:cs="Arial"/>
                <w:b/>
                <w:color w:val="auto"/>
                <w:spacing w:val="0"/>
                <w:sz w:val="20"/>
                <w:szCs w:val="20"/>
                <w:lang w:val="en-ZA" w:eastAsia="en-ZA"/>
              </w:rPr>
            </w:pPr>
            <w:r w:rsidRPr="007858CD">
              <w:rPr>
                <w:rFonts w:cs="Arial"/>
                <w:b/>
                <w:bCs/>
                <w:color w:val="auto"/>
                <w:spacing w:val="0"/>
                <w:sz w:val="20"/>
                <w:szCs w:val="20"/>
                <w:lang w:val="en-ZA" w:eastAsia="en-ZA"/>
              </w:rPr>
              <w:t>SO1 targets</w:t>
            </w:r>
          </w:p>
        </w:tc>
        <w:tc>
          <w:tcPr>
            <w:tcW w:w="2486" w:type="dxa"/>
            <w:gridSpan w:val="2"/>
            <w:shd w:val="clear" w:color="auto" w:fill="BFBFBF" w:themeFill="background1" w:themeFillShade="BF"/>
          </w:tcPr>
          <w:p w:rsidR="005B0630" w:rsidRPr="007858CD" w:rsidRDefault="005B0630" w:rsidP="007858CD">
            <w:pPr>
              <w:autoSpaceDE w:val="0"/>
              <w:autoSpaceDN w:val="0"/>
              <w:adjustRightInd w:val="0"/>
              <w:rPr>
                <w:rFonts w:cs="Arial"/>
                <w:b/>
                <w:color w:val="auto"/>
                <w:spacing w:val="0"/>
                <w:sz w:val="20"/>
                <w:szCs w:val="20"/>
                <w:lang w:val="en-ZA" w:eastAsia="en-ZA"/>
              </w:rPr>
            </w:pPr>
            <w:r w:rsidRPr="007858CD">
              <w:rPr>
                <w:rFonts w:cs="Arial"/>
                <w:b/>
                <w:bCs/>
                <w:color w:val="auto"/>
                <w:spacing w:val="0"/>
                <w:sz w:val="20"/>
                <w:szCs w:val="20"/>
                <w:lang w:val="en-ZA" w:eastAsia="en-ZA"/>
              </w:rPr>
              <w:t>SO2 targets</w:t>
            </w:r>
          </w:p>
        </w:tc>
        <w:tc>
          <w:tcPr>
            <w:tcW w:w="2485" w:type="dxa"/>
            <w:gridSpan w:val="2"/>
            <w:shd w:val="clear" w:color="auto" w:fill="BFBFBF" w:themeFill="background1" w:themeFillShade="BF"/>
          </w:tcPr>
          <w:p w:rsidR="005B0630" w:rsidRPr="007858CD" w:rsidRDefault="005B0630" w:rsidP="007858CD">
            <w:pPr>
              <w:autoSpaceDE w:val="0"/>
              <w:autoSpaceDN w:val="0"/>
              <w:adjustRightInd w:val="0"/>
              <w:rPr>
                <w:rFonts w:cs="Arial"/>
                <w:b/>
                <w:color w:val="auto"/>
                <w:spacing w:val="0"/>
                <w:sz w:val="20"/>
                <w:szCs w:val="20"/>
                <w:lang w:val="en-ZA" w:eastAsia="en-ZA"/>
              </w:rPr>
            </w:pPr>
            <w:r w:rsidRPr="007858CD">
              <w:rPr>
                <w:rFonts w:cs="Arial"/>
                <w:b/>
                <w:bCs/>
                <w:color w:val="auto"/>
                <w:spacing w:val="0"/>
                <w:sz w:val="20"/>
                <w:szCs w:val="20"/>
                <w:lang w:val="en-ZA" w:eastAsia="en-ZA"/>
              </w:rPr>
              <w:t>SO3 targets</w:t>
            </w:r>
          </w:p>
        </w:tc>
        <w:tc>
          <w:tcPr>
            <w:tcW w:w="2486" w:type="dxa"/>
            <w:gridSpan w:val="2"/>
            <w:shd w:val="clear" w:color="auto" w:fill="BFBFBF" w:themeFill="background1" w:themeFillShade="BF"/>
          </w:tcPr>
          <w:p w:rsidR="005B0630" w:rsidRPr="007858CD" w:rsidRDefault="005B0630" w:rsidP="007858CD">
            <w:pPr>
              <w:autoSpaceDE w:val="0"/>
              <w:autoSpaceDN w:val="0"/>
              <w:adjustRightInd w:val="0"/>
              <w:rPr>
                <w:rFonts w:cs="Arial"/>
                <w:b/>
                <w:color w:val="auto"/>
                <w:spacing w:val="0"/>
                <w:sz w:val="20"/>
                <w:szCs w:val="20"/>
                <w:lang w:val="en-ZA" w:eastAsia="en-ZA"/>
              </w:rPr>
            </w:pPr>
            <w:r w:rsidRPr="007858CD">
              <w:rPr>
                <w:rFonts w:cs="Arial"/>
                <w:b/>
                <w:bCs/>
                <w:color w:val="auto"/>
                <w:spacing w:val="0"/>
                <w:sz w:val="20"/>
                <w:szCs w:val="20"/>
                <w:lang w:val="en-ZA" w:eastAsia="en-ZA"/>
              </w:rPr>
              <w:t>SO4 targets</w:t>
            </w:r>
          </w:p>
        </w:tc>
      </w:tr>
      <w:tr w:rsidR="00DE4BA7" w:rsidRPr="007858CD" w:rsidTr="005B0630">
        <w:trPr>
          <w:trHeight w:val="135"/>
          <w:jc w:val="center"/>
        </w:trPr>
        <w:tc>
          <w:tcPr>
            <w:tcW w:w="1242"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2021/22 </w:t>
            </w:r>
          </w:p>
        </w:tc>
        <w:tc>
          <w:tcPr>
            <w:tcW w:w="1243"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2022/23 </w:t>
            </w:r>
          </w:p>
        </w:tc>
        <w:tc>
          <w:tcPr>
            <w:tcW w:w="1242"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2021/22 </w:t>
            </w:r>
          </w:p>
        </w:tc>
        <w:tc>
          <w:tcPr>
            <w:tcW w:w="1244"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2022/23 </w:t>
            </w:r>
          </w:p>
        </w:tc>
        <w:tc>
          <w:tcPr>
            <w:tcW w:w="1242"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2021/22 </w:t>
            </w:r>
          </w:p>
        </w:tc>
        <w:tc>
          <w:tcPr>
            <w:tcW w:w="1243"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2022/23 </w:t>
            </w:r>
          </w:p>
        </w:tc>
        <w:tc>
          <w:tcPr>
            <w:tcW w:w="1242"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2021/22 </w:t>
            </w:r>
          </w:p>
        </w:tc>
        <w:tc>
          <w:tcPr>
            <w:tcW w:w="1244" w:type="dxa"/>
            <w:shd w:val="clear" w:color="auto" w:fill="D9D9D9" w:themeFill="background1" w:themeFillShade="D9"/>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 xml:space="preserve">2022/23 </w:t>
            </w:r>
          </w:p>
        </w:tc>
      </w:tr>
      <w:tr w:rsidR="00DE4BA7" w:rsidRPr="007858CD" w:rsidTr="005B0630">
        <w:trPr>
          <w:trHeight w:val="135"/>
          <w:jc w:val="center"/>
        </w:trPr>
        <w:tc>
          <w:tcPr>
            <w:tcW w:w="1242"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7</w:t>
            </w:r>
          </w:p>
        </w:tc>
        <w:tc>
          <w:tcPr>
            <w:tcW w:w="1243"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bCs/>
                <w:color w:val="auto"/>
                <w:spacing w:val="0"/>
                <w:sz w:val="20"/>
                <w:szCs w:val="20"/>
                <w:lang w:val="en-ZA" w:eastAsia="en-ZA"/>
              </w:rPr>
              <w:t>6</w:t>
            </w:r>
          </w:p>
        </w:tc>
        <w:tc>
          <w:tcPr>
            <w:tcW w:w="1242"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11</w:t>
            </w:r>
          </w:p>
        </w:tc>
        <w:tc>
          <w:tcPr>
            <w:tcW w:w="1244"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bCs/>
                <w:color w:val="auto"/>
                <w:spacing w:val="0"/>
                <w:sz w:val="20"/>
                <w:szCs w:val="20"/>
                <w:lang w:val="en-ZA" w:eastAsia="en-ZA"/>
              </w:rPr>
              <w:t>5</w:t>
            </w:r>
          </w:p>
        </w:tc>
        <w:tc>
          <w:tcPr>
            <w:tcW w:w="1242"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7</w:t>
            </w:r>
          </w:p>
        </w:tc>
        <w:tc>
          <w:tcPr>
            <w:tcW w:w="1243"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bCs/>
                <w:color w:val="auto"/>
                <w:spacing w:val="0"/>
                <w:sz w:val="20"/>
                <w:szCs w:val="20"/>
                <w:lang w:val="en-ZA" w:eastAsia="en-ZA"/>
              </w:rPr>
              <w:t>4</w:t>
            </w:r>
          </w:p>
        </w:tc>
        <w:tc>
          <w:tcPr>
            <w:tcW w:w="1242"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color w:val="auto"/>
                <w:spacing w:val="0"/>
                <w:sz w:val="20"/>
                <w:szCs w:val="20"/>
                <w:lang w:val="en-ZA" w:eastAsia="en-ZA"/>
              </w:rPr>
              <w:t>13</w:t>
            </w:r>
          </w:p>
        </w:tc>
        <w:tc>
          <w:tcPr>
            <w:tcW w:w="1244" w:type="dxa"/>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bCs/>
                <w:color w:val="auto"/>
                <w:spacing w:val="0"/>
                <w:sz w:val="20"/>
                <w:szCs w:val="20"/>
                <w:lang w:val="en-ZA" w:eastAsia="en-ZA"/>
              </w:rPr>
              <w:t>11</w:t>
            </w:r>
          </w:p>
        </w:tc>
      </w:tr>
      <w:tr w:rsidR="005B0630" w:rsidRPr="007858CD" w:rsidTr="005B0630">
        <w:trPr>
          <w:trHeight w:val="135"/>
          <w:jc w:val="center"/>
        </w:trPr>
        <w:tc>
          <w:tcPr>
            <w:tcW w:w="4971" w:type="dxa"/>
            <w:gridSpan w:val="4"/>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bCs/>
                <w:color w:val="auto"/>
                <w:spacing w:val="0"/>
                <w:sz w:val="20"/>
                <w:szCs w:val="20"/>
                <w:lang w:val="en-ZA" w:eastAsia="en-ZA"/>
              </w:rPr>
              <w:t>2021/22 = 38 annual targets</w:t>
            </w:r>
          </w:p>
        </w:tc>
        <w:tc>
          <w:tcPr>
            <w:tcW w:w="4971" w:type="dxa"/>
            <w:gridSpan w:val="4"/>
          </w:tcPr>
          <w:p w:rsidR="005B0630" w:rsidRPr="007858CD" w:rsidRDefault="005B0630" w:rsidP="007858CD">
            <w:pPr>
              <w:autoSpaceDE w:val="0"/>
              <w:autoSpaceDN w:val="0"/>
              <w:adjustRightInd w:val="0"/>
              <w:rPr>
                <w:rFonts w:cs="Arial"/>
                <w:color w:val="auto"/>
                <w:spacing w:val="0"/>
                <w:sz w:val="20"/>
                <w:szCs w:val="20"/>
                <w:lang w:val="en-ZA" w:eastAsia="en-ZA"/>
              </w:rPr>
            </w:pPr>
            <w:r w:rsidRPr="007858CD">
              <w:rPr>
                <w:rFonts w:cs="Arial"/>
                <w:bCs/>
                <w:color w:val="auto"/>
                <w:spacing w:val="0"/>
                <w:sz w:val="20"/>
                <w:szCs w:val="20"/>
                <w:lang w:val="en-ZA" w:eastAsia="en-ZA"/>
              </w:rPr>
              <w:t>2022/23 = 26 annual targets</w:t>
            </w:r>
          </w:p>
        </w:tc>
      </w:tr>
    </w:tbl>
    <w:p w:rsidR="005B0630" w:rsidRPr="007858CD" w:rsidRDefault="005B0630" w:rsidP="007858CD">
      <w:pPr>
        <w:rPr>
          <w:rFonts w:cs="Arial"/>
          <w:color w:val="auto"/>
          <w:sz w:val="20"/>
          <w:szCs w:val="20"/>
          <w:lang w:val="en-ZA"/>
        </w:rPr>
      </w:pPr>
    </w:p>
    <w:p w:rsidR="005B0630" w:rsidRPr="007858CD" w:rsidRDefault="005B0630" w:rsidP="007858CD">
      <w:pPr>
        <w:rPr>
          <w:rFonts w:cs="Arial"/>
          <w:color w:val="auto"/>
          <w:sz w:val="20"/>
          <w:szCs w:val="20"/>
          <w:lang w:val="en-ZA"/>
        </w:rPr>
      </w:pPr>
      <w:r w:rsidRPr="007858CD">
        <w:rPr>
          <w:rFonts w:cs="Arial"/>
          <w:color w:val="auto"/>
          <w:sz w:val="20"/>
          <w:szCs w:val="20"/>
          <w:lang w:val="en-ZA"/>
        </w:rPr>
        <w:t>In some instances, targets appear to have been removed/discarded or moved to other Strategic Objectives/outcomes. Notwithstanding that, the CGE noted the following 4 Strategic Outcomes</w:t>
      </w:r>
      <w:r w:rsidR="007F5EE6" w:rsidRPr="007858CD">
        <w:rPr>
          <w:rFonts w:cs="Arial"/>
          <w:color w:val="auto"/>
          <w:sz w:val="20"/>
          <w:szCs w:val="20"/>
          <w:lang w:val="en-ZA"/>
        </w:rPr>
        <w:t xml:space="preserve"> which are outlined hereafter.</w:t>
      </w:r>
    </w:p>
    <w:p w:rsidR="005B0630" w:rsidRPr="007858CD" w:rsidRDefault="005B0630" w:rsidP="007858CD">
      <w:pPr>
        <w:rPr>
          <w:rFonts w:cs="Arial"/>
          <w:color w:val="auto"/>
          <w:sz w:val="20"/>
          <w:szCs w:val="20"/>
          <w:lang w:val="en-ZA"/>
        </w:rPr>
      </w:pPr>
    </w:p>
    <w:p w:rsidR="004A170D" w:rsidRPr="007858CD" w:rsidRDefault="004A170D" w:rsidP="007858CD">
      <w:pPr>
        <w:rPr>
          <w:rFonts w:cs="Arial"/>
          <w:color w:val="auto"/>
          <w:sz w:val="20"/>
          <w:szCs w:val="20"/>
          <w:lang w:val="en-ZA"/>
        </w:rPr>
      </w:pPr>
    </w:p>
    <w:p w:rsidR="00193CD2" w:rsidRPr="007858CD" w:rsidRDefault="00193CD2" w:rsidP="007858CD">
      <w:pPr>
        <w:pStyle w:val="ListParagraph"/>
        <w:numPr>
          <w:ilvl w:val="2"/>
          <w:numId w:val="50"/>
        </w:numPr>
        <w:rPr>
          <w:rFonts w:cs="Arial"/>
          <w:b/>
          <w:color w:val="auto"/>
          <w:sz w:val="20"/>
          <w:szCs w:val="20"/>
        </w:rPr>
      </w:pPr>
      <w:r w:rsidRPr="007858CD">
        <w:rPr>
          <w:rFonts w:cs="Arial"/>
          <w:b/>
          <w:color w:val="auto"/>
          <w:sz w:val="20"/>
          <w:szCs w:val="20"/>
        </w:rPr>
        <w:t>Strategic Outcome 1 (SO1): An enabling legislative environment for gender equality</w:t>
      </w:r>
    </w:p>
    <w:p w:rsidR="007F5EE6" w:rsidRPr="007858CD" w:rsidRDefault="007F5EE6" w:rsidP="007858CD">
      <w:pPr>
        <w:rPr>
          <w:rFonts w:cs="Arial"/>
          <w:b/>
          <w:color w:val="auto"/>
          <w:sz w:val="20"/>
          <w:szCs w:val="20"/>
        </w:rPr>
      </w:pPr>
    </w:p>
    <w:p w:rsidR="007F5EE6" w:rsidRPr="007858CD" w:rsidRDefault="007F5EE6" w:rsidP="007858CD">
      <w:pPr>
        <w:rPr>
          <w:rFonts w:cs="Arial"/>
          <w:color w:val="auto"/>
          <w:sz w:val="20"/>
          <w:szCs w:val="20"/>
        </w:rPr>
      </w:pPr>
      <w:r w:rsidRPr="007858CD">
        <w:rPr>
          <w:rFonts w:cs="Arial"/>
          <w:color w:val="auto"/>
          <w:sz w:val="20"/>
          <w:szCs w:val="20"/>
        </w:rPr>
        <w:t xml:space="preserve">The purpose of this SO is to evaluate legislation policies, practices and mechanisms within public and private institutions and make recommendations to advance the gender transformation agenda. The </w:t>
      </w:r>
      <w:r w:rsidR="00866BC7" w:rsidRPr="007858CD">
        <w:rPr>
          <w:rFonts w:cs="Arial"/>
          <w:color w:val="auto"/>
          <w:sz w:val="20"/>
          <w:szCs w:val="20"/>
        </w:rPr>
        <w:t xml:space="preserve">6 </w:t>
      </w:r>
      <w:r w:rsidRPr="007858CD">
        <w:rPr>
          <w:rFonts w:cs="Arial"/>
          <w:color w:val="auto"/>
          <w:sz w:val="20"/>
          <w:szCs w:val="20"/>
        </w:rPr>
        <w:t>annual targets listed were as follows:</w:t>
      </w:r>
    </w:p>
    <w:p w:rsidR="007F5EE6" w:rsidRPr="007858CD" w:rsidRDefault="007F5EE6" w:rsidP="007858CD">
      <w:pPr>
        <w:rPr>
          <w:rFonts w:cs="Arial"/>
          <w:color w:val="auto"/>
          <w:sz w:val="20"/>
          <w:szCs w:val="20"/>
        </w:rPr>
      </w:pPr>
    </w:p>
    <w:p w:rsidR="007F5EE6" w:rsidRPr="007858CD" w:rsidRDefault="007F5EE6" w:rsidP="007858CD">
      <w:pPr>
        <w:pStyle w:val="ListParagraph"/>
        <w:numPr>
          <w:ilvl w:val="0"/>
          <w:numId w:val="14"/>
        </w:numPr>
        <w:rPr>
          <w:rFonts w:cs="Arial"/>
          <w:color w:val="auto"/>
          <w:sz w:val="20"/>
          <w:szCs w:val="20"/>
        </w:rPr>
      </w:pPr>
      <w:r w:rsidRPr="007858CD">
        <w:rPr>
          <w:rFonts w:cs="Arial"/>
          <w:color w:val="auto"/>
          <w:sz w:val="20"/>
          <w:szCs w:val="20"/>
        </w:rPr>
        <w:t>16 legislative submissions and a report thereof</w:t>
      </w:r>
    </w:p>
    <w:p w:rsidR="007F5EE6" w:rsidRPr="007858CD" w:rsidRDefault="007F5EE6" w:rsidP="007858CD">
      <w:pPr>
        <w:pStyle w:val="ListParagraph"/>
        <w:numPr>
          <w:ilvl w:val="0"/>
          <w:numId w:val="14"/>
        </w:numPr>
        <w:rPr>
          <w:rFonts w:cs="Arial"/>
          <w:color w:val="auto"/>
          <w:sz w:val="20"/>
          <w:szCs w:val="20"/>
        </w:rPr>
      </w:pPr>
      <w:r w:rsidRPr="007858CD">
        <w:rPr>
          <w:rFonts w:cs="Arial"/>
          <w:color w:val="auto"/>
          <w:sz w:val="20"/>
          <w:szCs w:val="20"/>
        </w:rPr>
        <w:t>2 systemic investigations conducted and a report thereof</w:t>
      </w:r>
    </w:p>
    <w:p w:rsidR="007F5EE6" w:rsidRPr="007858CD" w:rsidRDefault="007F5EE6" w:rsidP="007858CD">
      <w:pPr>
        <w:pStyle w:val="ListParagraph"/>
        <w:numPr>
          <w:ilvl w:val="0"/>
          <w:numId w:val="14"/>
        </w:numPr>
        <w:rPr>
          <w:rFonts w:cs="Arial"/>
          <w:color w:val="auto"/>
          <w:sz w:val="20"/>
          <w:szCs w:val="20"/>
        </w:rPr>
      </w:pPr>
      <w:r w:rsidRPr="007858CD">
        <w:rPr>
          <w:rFonts w:cs="Arial"/>
          <w:color w:val="auto"/>
          <w:sz w:val="20"/>
          <w:szCs w:val="20"/>
        </w:rPr>
        <w:t>40 courts monitored and a report thereof</w:t>
      </w:r>
    </w:p>
    <w:p w:rsidR="007F5EE6" w:rsidRPr="007858CD" w:rsidRDefault="007F5EE6" w:rsidP="007858CD">
      <w:pPr>
        <w:pStyle w:val="ListParagraph"/>
        <w:numPr>
          <w:ilvl w:val="0"/>
          <w:numId w:val="14"/>
        </w:numPr>
        <w:rPr>
          <w:rFonts w:cs="Arial"/>
          <w:color w:val="auto"/>
          <w:sz w:val="20"/>
          <w:szCs w:val="20"/>
        </w:rPr>
      </w:pPr>
      <w:r w:rsidRPr="007858CD">
        <w:rPr>
          <w:rFonts w:cs="Arial"/>
          <w:color w:val="auto"/>
          <w:sz w:val="20"/>
          <w:szCs w:val="20"/>
        </w:rPr>
        <w:t>144 SAPS &amp; TCCs monitored</w:t>
      </w:r>
    </w:p>
    <w:p w:rsidR="007F5EE6" w:rsidRPr="007858CD" w:rsidRDefault="007F5EE6" w:rsidP="007858CD">
      <w:pPr>
        <w:pStyle w:val="ListParagraph"/>
        <w:numPr>
          <w:ilvl w:val="0"/>
          <w:numId w:val="14"/>
        </w:numPr>
        <w:rPr>
          <w:rFonts w:cs="Arial"/>
          <w:color w:val="auto"/>
          <w:sz w:val="20"/>
          <w:szCs w:val="20"/>
        </w:rPr>
      </w:pPr>
      <w:r w:rsidRPr="007858CD">
        <w:rPr>
          <w:rFonts w:cs="Arial"/>
          <w:color w:val="auto"/>
          <w:sz w:val="20"/>
          <w:szCs w:val="20"/>
        </w:rPr>
        <w:t>1 CGE Act amendment Bill submitted to relevant authority</w:t>
      </w:r>
      <w:r w:rsidR="00866BC7" w:rsidRPr="007858CD">
        <w:rPr>
          <w:rFonts w:cs="Arial"/>
          <w:color w:val="auto"/>
          <w:sz w:val="20"/>
          <w:szCs w:val="20"/>
        </w:rPr>
        <w:t xml:space="preserve">, </w:t>
      </w:r>
      <w:r w:rsidRPr="007858CD">
        <w:rPr>
          <w:rFonts w:cs="Arial"/>
          <w:color w:val="auto"/>
          <w:sz w:val="20"/>
          <w:szCs w:val="20"/>
        </w:rPr>
        <w:t xml:space="preserve">Progress report on the situational analysis and consultation processes for reviewing the Act </w:t>
      </w:r>
    </w:p>
    <w:p w:rsidR="007F5EE6" w:rsidRPr="007858CD" w:rsidRDefault="007F5EE6" w:rsidP="007858CD">
      <w:pPr>
        <w:pStyle w:val="ListParagraph"/>
        <w:numPr>
          <w:ilvl w:val="0"/>
          <w:numId w:val="14"/>
        </w:numPr>
        <w:rPr>
          <w:rFonts w:cs="Arial"/>
          <w:color w:val="auto"/>
          <w:sz w:val="20"/>
          <w:szCs w:val="20"/>
        </w:rPr>
      </w:pPr>
      <w:r w:rsidRPr="007858CD">
        <w:rPr>
          <w:rFonts w:cs="Arial"/>
          <w:color w:val="auto"/>
          <w:sz w:val="20"/>
          <w:szCs w:val="20"/>
        </w:rPr>
        <w:t>1 CGE initiated Bill submitted to relevant authority</w:t>
      </w:r>
      <w:r w:rsidR="00866BC7" w:rsidRPr="007858CD">
        <w:rPr>
          <w:rFonts w:cs="Arial"/>
          <w:color w:val="auto"/>
          <w:sz w:val="20"/>
          <w:szCs w:val="20"/>
        </w:rPr>
        <w:t xml:space="preserve">, </w:t>
      </w:r>
      <w:r w:rsidRPr="007858CD">
        <w:rPr>
          <w:rFonts w:cs="Arial"/>
          <w:color w:val="auto"/>
          <w:sz w:val="20"/>
          <w:szCs w:val="20"/>
        </w:rPr>
        <w:t>Progress report on research on consultation processes for initiating the Bill</w:t>
      </w:r>
    </w:p>
    <w:p w:rsidR="00B1340B" w:rsidRPr="007858CD" w:rsidRDefault="00B1340B" w:rsidP="007858CD">
      <w:pPr>
        <w:rPr>
          <w:rFonts w:cs="Arial"/>
          <w:color w:val="auto"/>
          <w:sz w:val="20"/>
          <w:szCs w:val="20"/>
        </w:rPr>
      </w:pPr>
    </w:p>
    <w:p w:rsidR="00193CD2" w:rsidRPr="007858CD" w:rsidRDefault="00193CD2" w:rsidP="007858CD">
      <w:pPr>
        <w:pStyle w:val="ListParagraph"/>
        <w:numPr>
          <w:ilvl w:val="2"/>
          <w:numId w:val="50"/>
        </w:numPr>
        <w:rPr>
          <w:rFonts w:cs="Arial"/>
          <w:b/>
          <w:color w:val="auto"/>
          <w:sz w:val="20"/>
          <w:szCs w:val="20"/>
        </w:rPr>
      </w:pPr>
      <w:r w:rsidRPr="007858CD">
        <w:rPr>
          <w:rFonts w:cs="Arial"/>
          <w:b/>
          <w:color w:val="auto"/>
          <w:sz w:val="20"/>
          <w:szCs w:val="20"/>
        </w:rPr>
        <w:t>Strategic Outcome 2 (SO2): Gender Equality Promoted and Protected through information, education, investigations and litigations</w:t>
      </w:r>
    </w:p>
    <w:p w:rsidR="007F5EE6" w:rsidRPr="007858CD" w:rsidRDefault="007F5EE6" w:rsidP="007858CD">
      <w:pPr>
        <w:rPr>
          <w:rFonts w:cs="Arial"/>
          <w:b/>
          <w:color w:val="auto"/>
          <w:sz w:val="20"/>
          <w:szCs w:val="20"/>
        </w:rPr>
      </w:pPr>
    </w:p>
    <w:p w:rsidR="007F5EE6" w:rsidRPr="007858CD" w:rsidRDefault="007F5EE6" w:rsidP="007858CD">
      <w:pPr>
        <w:rPr>
          <w:rFonts w:cs="Arial"/>
          <w:color w:val="auto"/>
          <w:sz w:val="20"/>
          <w:szCs w:val="20"/>
        </w:rPr>
      </w:pPr>
      <w:r w:rsidRPr="007858CD">
        <w:rPr>
          <w:rFonts w:cs="Arial"/>
          <w:color w:val="auto"/>
          <w:sz w:val="20"/>
          <w:szCs w:val="20"/>
        </w:rPr>
        <w:t>The purpose of this SO is to conduct advocacy initiatives and public education interventions</w:t>
      </w:r>
      <w:r w:rsidR="00B1340B" w:rsidRPr="007858CD">
        <w:rPr>
          <w:rFonts w:cs="Arial"/>
          <w:color w:val="auto"/>
          <w:sz w:val="20"/>
          <w:szCs w:val="20"/>
        </w:rPr>
        <w:t xml:space="preserve"> in the promotion of public understanding of gender equality and access to gender justice. The </w:t>
      </w:r>
      <w:r w:rsidR="00866BC7" w:rsidRPr="007858CD">
        <w:rPr>
          <w:rFonts w:cs="Arial"/>
          <w:color w:val="auto"/>
          <w:sz w:val="20"/>
          <w:szCs w:val="20"/>
        </w:rPr>
        <w:t xml:space="preserve">5 </w:t>
      </w:r>
      <w:r w:rsidR="00B1340B" w:rsidRPr="007858CD">
        <w:rPr>
          <w:rFonts w:cs="Arial"/>
          <w:color w:val="auto"/>
          <w:sz w:val="20"/>
          <w:szCs w:val="20"/>
        </w:rPr>
        <w:t>annual targets noted were as follows:</w:t>
      </w:r>
    </w:p>
    <w:p w:rsidR="00B1340B" w:rsidRPr="007858CD" w:rsidRDefault="00B1340B" w:rsidP="007858CD">
      <w:pPr>
        <w:rPr>
          <w:rFonts w:cs="Arial"/>
          <w:color w:val="auto"/>
          <w:sz w:val="20"/>
          <w:szCs w:val="20"/>
        </w:rPr>
      </w:pPr>
    </w:p>
    <w:p w:rsidR="00B1340B" w:rsidRPr="007858CD" w:rsidRDefault="00B1340B" w:rsidP="007858CD">
      <w:pPr>
        <w:pStyle w:val="ListParagraph"/>
        <w:numPr>
          <w:ilvl w:val="0"/>
          <w:numId w:val="51"/>
        </w:numPr>
        <w:rPr>
          <w:rFonts w:cs="Arial"/>
          <w:color w:val="auto"/>
          <w:sz w:val="20"/>
          <w:szCs w:val="20"/>
        </w:rPr>
      </w:pPr>
      <w:r w:rsidRPr="007858CD">
        <w:rPr>
          <w:rFonts w:cs="Arial"/>
          <w:color w:val="auto"/>
          <w:sz w:val="20"/>
          <w:szCs w:val="20"/>
        </w:rPr>
        <w:t>48 000 000 people reached through Information &amp; Communication Initiatives and a report thereof</w:t>
      </w:r>
    </w:p>
    <w:p w:rsidR="00B1340B" w:rsidRPr="007858CD" w:rsidRDefault="00B1340B" w:rsidP="007858CD">
      <w:pPr>
        <w:pStyle w:val="ListParagraph"/>
        <w:numPr>
          <w:ilvl w:val="0"/>
          <w:numId w:val="51"/>
        </w:numPr>
        <w:rPr>
          <w:rFonts w:cs="Arial"/>
          <w:color w:val="auto"/>
          <w:sz w:val="20"/>
          <w:szCs w:val="20"/>
        </w:rPr>
      </w:pPr>
      <w:r w:rsidRPr="007858CD">
        <w:rPr>
          <w:rFonts w:cs="Arial"/>
          <w:color w:val="auto"/>
          <w:sz w:val="20"/>
          <w:szCs w:val="20"/>
        </w:rPr>
        <w:t>720 stakeholders reached through Gender and Development (GAD) Workshops and a report thereof.</w:t>
      </w:r>
    </w:p>
    <w:p w:rsidR="00B1340B" w:rsidRPr="007858CD" w:rsidRDefault="00B1340B" w:rsidP="007858CD">
      <w:pPr>
        <w:pStyle w:val="ListParagraph"/>
        <w:numPr>
          <w:ilvl w:val="0"/>
          <w:numId w:val="51"/>
        </w:numPr>
        <w:rPr>
          <w:rFonts w:cs="Arial"/>
          <w:color w:val="auto"/>
          <w:sz w:val="20"/>
          <w:szCs w:val="20"/>
        </w:rPr>
      </w:pPr>
      <w:r w:rsidRPr="007858CD">
        <w:rPr>
          <w:rFonts w:cs="Arial"/>
          <w:color w:val="auto"/>
          <w:sz w:val="20"/>
          <w:szCs w:val="20"/>
        </w:rPr>
        <w:t>18 Municipalities in which SDGs were localised through GM sessions and a report thereof.</w:t>
      </w:r>
    </w:p>
    <w:p w:rsidR="00B1340B" w:rsidRPr="007858CD" w:rsidRDefault="00B1340B" w:rsidP="007858CD">
      <w:pPr>
        <w:pStyle w:val="ListParagraph"/>
        <w:numPr>
          <w:ilvl w:val="0"/>
          <w:numId w:val="51"/>
        </w:numPr>
        <w:rPr>
          <w:rFonts w:cs="Arial"/>
          <w:color w:val="auto"/>
          <w:sz w:val="20"/>
          <w:szCs w:val="20"/>
        </w:rPr>
      </w:pPr>
      <w:r w:rsidRPr="007858CD">
        <w:rPr>
          <w:rFonts w:cs="Arial"/>
          <w:color w:val="auto"/>
          <w:sz w:val="20"/>
          <w:szCs w:val="20"/>
        </w:rPr>
        <w:t>540,000 people reached. through community radio education outreach and a report thereof</w:t>
      </w:r>
    </w:p>
    <w:p w:rsidR="00B1340B" w:rsidRPr="007858CD" w:rsidRDefault="00B1340B" w:rsidP="007858CD">
      <w:pPr>
        <w:pStyle w:val="ListParagraph"/>
        <w:numPr>
          <w:ilvl w:val="0"/>
          <w:numId w:val="51"/>
        </w:numPr>
        <w:rPr>
          <w:rFonts w:cs="Arial"/>
          <w:color w:val="auto"/>
          <w:sz w:val="20"/>
          <w:szCs w:val="20"/>
        </w:rPr>
      </w:pPr>
      <w:r w:rsidRPr="007858CD">
        <w:rPr>
          <w:rFonts w:cs="Arial"/>
          <w:color w:val="auto"/>
          <w:sz w:val="20"/>
          <w:szCs w:val="20"/>
        </w:rPr>
        <w:t>4,320 people reached. through public education Outreach and a report thereof</w:t>
      </w:r>
    </w:p>
    <w:p w:rsidR="00B1340B" w:rsidRPr="007858CD" w:rsidRDefault="00B1340B" w:rsidP="007858CD">
      <w:pPr>
        <w:rPr>
          <w:rFonts w:cs="Arial"/>
          <w:color w:val="auto"/>
          <w:sz w:val="20"/>
          <w:szCs w:val="20"/>
        </w:rPr>
      </w:pPr>
    </w:p>
    <w:p w:rsidR="00193CD2" w:rsidRPr="007858CD" w:rsidRDefault="00193CD2" w:rsidP="007858CD">
      <w:pPr>
        <w:pStyle w:val="ListParagraph"/>
        <w:numPr>
          <w:ilvl w:val="2"/>
          <w:numId w:val="50"/>
        </w:numPr>
        <w:rPr>
          <w:rFonts w:cs="Arial"/>
          <w:b/>
          <w:color w:val="auto"/>
          <w:sz w:val="20"/>
          <w:szCs w:val="20"/>
        </w:rPr>
      </w:pPr>
      <w:r w:rsidRPr="007858CD">
        <w:rPr>
          <w:rFonts w:cs="Arial"/>
          <w:b/>
          <w:color w:val="auto"/>
          <w:sz w:val="20"/>
          <w:szCs w:val="20"/>
        </w:rPr>
        <w:t>Strategic Outcome 3 (SO3): Monitoring and research investigations on issues that undermine the attainment of gender equality and women’s empowerment conducted</w:t>
      </w:r>
    </w:p>
    <w:p w:rsidR="007F5EE6" w:rsidRPr="007858CD" w:rsidRDefault="007F5EE6" w:rsidP="007858CD">
      <w:pPr>
        <w:rPr>
          <w:rFonts w:cs="Arial"/>
          <w:b/>
          <w:color w:val="auto"/>
          <w:sz w:val="20"/>
          <w:szCs w:val="20"/>
        </w:rPr>
      </w:pPr>
    </w:p>
    <w:p w:rsidR="00B1340B" w:rsidRPr="007858CD" w:rsidRDefault="00B1340B" w:rsidP="007858CD">
      <w:pPr>
        <w:rPr>
          <w:rFonts w:cs="Arial"/>
          <w:color w:val="auto"/>
          <w:sz w:val="20"/>
          <w:szCs w:val="20"/>
        </w:rPr>
      </w:pPr>
      <w:r w:rsidRPr="007858CD">
        <w:rPr>
          <w:rFonts w:cs="Arial"/>
          <w:color w:val="auto"/>
          <w:sz w:val="20"/>
          <w:szCs w:val="20"/>
        </w:rPr>
        <w:t xml:space="preserve">The purpose of this SO is identify and monitor key issues that impact on gender equality, evaluate contributions by role-players to gender equality and make recommendations to promote and attain gender equality. The </w:t>
      </w:r>
      <w:r w:rsidR="00866BC7" w:rsidRPr="007858CD">
        <w:rPr>
          <w:rFonts w:cs="Arial"/>
          <w:color w:val="auto"/>
          <w:sz w:val="20"/>
          <w:szCs w:val="20"/>
        </w:rPr>
        <w:t xml:space="preserve">4 </w:t>
      </w:r>
      <w:r w:rsidRPr="007858CD">
        <w:rPr>
          <w:rFonts w:cs="Arial"/>
          <w:color w:val="auto"/>
          <w:sz w:val="20"/>
          <w:szCs w:val="20"/>
        </w:rPr>
        <w:t>annual targets noted were as follows:</w:t>
      </w:r>
    </w:p>
    <w:p w:rsidR="00B1340B" w:rsidRPr="007858CD" w:rsidRDefault="00B1340B" w:rsidP="007858CD">
      <w:pPr>
        <w:rPr>
          <w:rFonts w:cs="Arial"/>
          <w:color w:val="auto"/>
          <w:sz w:val="20"/>
          <w:szCs w:val="20"/>
        </w:rPr>
      </w:pPr>
    </w:p>
    <w:p w:rsidR="00B1340B" w:rsidRPr="007858CD" w:rsidRDefault="00B1340B" w:rsidP="007858CD">
      <w:pPr>
        <w:pStyle w:val="ListParagraph"/>
        <w:numPr>
          <w:ilvl w:val="0"/>
          <w:numId w:val="52"/>
        </w:numPr>
        <w:rPr>
          <w:rFonts w:cs="Arial"/>
          <w:color w:val="auto"/>
          <w:sz w:val="20"/>
          <w:szCs w:val="20"/>
        </w:rPr>
      </w:pPr>
      <w:r w:rsidRPr="007858CD">
        <w:rPr>
          <w:rFonts w:cs="Arial"/>
          <w:color w:val="auto"/>
          <w:sz w:val="20"/>
          <w:szCs w:val="20"/>
        </w:rPr>
        <w:t>1 report on the country’s compliance or CGE’s influence on compliance with regional/international instruments</w:t>
      </w:r>
    </w:p>
    <w:p w:rsidR="00B1340B" w:rsidRPr="007858CD" w:rsidRDefault="00B1340B" w:rsidP="007858CD">
      <w:pPr>
        <w:pStyle w:val="ListParagraph"/>
        <w:numPr>
          <w:ilvl w:val="0"/>
          <w:numId w:val="52"/>
        </w:numPr>
        <w:rPr>
          <w:rFonts w:cs="Arial"/>
          <w:color w:val="auto"/>
          <w:sz w:val="20"/>
          <w:szCs w:val="20"/>
        </w:rPr>
      </w:pPr>
      <w:r w:rsidRPr="007858CD">
        <w:rPr>
          <w:rFonts w:cs="Arial"/>
          <w:color w:val="auto"/>
          <w:sz w:val="20"/>
          <w:szCs w:val="20"/>
        </w:rPr>
        <w:t>100% Annual Research Agenda initiatives implemented</w:t>
      </w:r>
    </w:p>
    <w:p w:rsidR="00B1340B" w:rsidRPr="007858CD" w:rsidRDefault="00B1340B" w:rsidP="007858CD">
      <w:pPr>
        <w:pStyle w:val="ListParagraph"/>
        <w:numPr>
          <w:ilvl w:val="0"/>
          <w:numId w:val="52"/>
        </w:numPr>
        <w:rPr>
          <w:rFonts w:cs="Arial"/>
          <w:color w:val="auto"/>
          <w:sz w:val="20"/>
          <w:szCs w:val="20"/>
        </w:rPr>
      </w:pPr>
      <w:r w:rsidRPr="007858CD">
        <w:rPr>
          <w:rFonts w:cs="Arial"/>
          <w:color w:val="auto"/>
          <w:sz w:val="20"/>
          <w:szCs w:val="20"/>
        </w:rPr>
        <w:t>100% research recommendations from previous financial years followed up and a report thereof</w:t>
      </w:r>
    </w:p>
    <w:p w:rsidR="00B1340B" w:rsidRPr="007858CD" w:rsidRDefault="00B1340B" w:rsidP="007858CD">
      <w:pPr>
        <w:pStyle w:val="ListParagraph"/>
        <w:numPr>
          <w:ilvl w:val="0"/>
          <w:numId w:val="52"/>
        </w:numPr>
        <w:rPr>
          <w:rFonts w:cs="Arial"/>
          <w:color w:val="auto"/>
          <w:sz w:val="20"/>
          <w:szCs w:val="20"/>
        </w:rPr>
      </w:pPr>
      <w:r w:rsidRPr="007858CD">
        <w:rPr>
          <w:rFonts w:cs="Arial"/>
          <w:color w:val="auto"/>
          <w:sz w:val="20"/>
          <w:szCs w:val="20"/>
        </w:rPr>
        <w:t>2 Policy dialogues</w:t>
      </w:r>
    </w:p>
    <w:p w:rsidR="00B1340B" w:rsidRPr="007858CD" w:rsidRDefault="00B1340B" w:rsidP="007858CD">
      <w:pPr>
        <w:rPr>
          <w:rFonts w:cs="Arial"/>
          <w:b/>
          <w:color w:val="auto"/>
          <w:sz w:val="20"/>
          <w:szCs w:val="20"/>
        </w:rPr>
      </w:pPr>
    </w:p>
    <w:p w:rsidR="00193CD2" w:rsidRPr="007858CD" w:rsidRDefault="00193CD2" w:rsidP="007858CD">
      <w:pPr>
        <w:pStyle w:val="ListParagraph"/>
        <w:numPr>
          <w:ilvl w:val="2"/>
          <w:numId w:val="50"/>
        </w:numPr>
        <w:rPr>
          <w:rFonts w:cs="Arial"/>
          <w:b/>
          <w:color w:val="auto"/>
          <w:sz w:val="20"/>
          <w:szCs w:val="20"/>
        </w:rPr>
      </w:pPr>
      <w:r w:rsidRPr="007858CD">
        <w:rPr>
          <w:rFonts w:cs="Arial"/>
          <w:b/>
          <w:color w:val="auto"/>
          <w:sz w:val="20"/>
          <w:szCs w:val="20"/>
        </w:rPr>
        <w:t>Strategic Outcome 4 (SO4): An efficient, effective &amp; sustainable organisation that promotes good corporate governance</w:t>
      </w:r>
    </w:p>
    <w:p w:rsidR="00193CD2" w:rsidRPr="007858CD" w:rsidRDefault="00193CD2" w:rsidP="007858CD">
      <w:pPr>
        <w:rPr>
          <w:rFonts w:cs="Arial"/>
          <w:color w:val="auto"/>
          <w:sz w:val="20"/>
          <w:szCs w:val="20"/>
        </w:rPr>
      </w:pPr>
    </w:p>
    <w:p w:rsidR="00D31C43" w:rsidRPr="007858CD" w:rsidRDefault="00B1340B" w:rsidP="007858CD">
      <w:pPr>
        <w:rPr>
          <w:rFonts w:cs="Arial"/>
          <w:color w:val="auto"/>
          <w:sz w:val="20"/>
          <w:szCs w:val="20"/>
        </w:rPr>
      </w:pPr>
      <w:r w:rsidRPr="007858CD">
        <w:rPr>
          <w:rFonts w:cs="Arial"/>
          <w:color w:val="auto"/>
          <w:sz w:val="20"/>
          <w:szCs w:val="20"/>
        </w:rPr>
        <w:t>The purpose of this SO is to build and sustain efficient and effective organisational systems, operations and governance processes, for the optimal performance of the institution in executing its mandate. The 11 annual targets noted were as follows:</w:t>
      </w:r>
    </w:p>
    <w:p w:rsidR="00B1340B" w:rsidRPr="007858CD" w:rsidRDefault="00B1340B" w:rsidP="007858CD">
      <w:pPr>
        <w:rPr>
          <w:rFonts w:cs="Arial"/>
          <w:color w:val="auto"/>
          <w:sz w:val="20"/>
          <w:szCs w:val="20"/>
        </w:rPr>
      </w:pP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75% Implementation of defined organisational effectiveness systems</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100% Audit action plan of the previous financial year implemented</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1 costed business plan submitted to Treasury for funding</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100% risk mitigation plan implemented</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75% Implementation of the business model as per defined criteria</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4 update reports on the implementation of the Tracking Tool 10 Strategic partners engaged and a report thereof</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100% expenditure on planned improvement initiatives</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5% Vacancy rate</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4 training and development initiatives conducted</w:t>
      </w:r>
    </w:p>
    <w:p w:rsidR="00B1340B" w:rsidRPr="007858CD" w:rsidRDefault="00B1340B" w:rsidP="007858CD">
      <w:pPr>
        <w:pStyle w:val="ListParagraph"/>
        <w:numPr>
          <w:ilvl w:val="0"/>
          <w:numId w:val="53"/>
        </w:numPr>
        <w:rPr>
          <w:rFonts w:cs="Arial"/>
          <w:color w:val="auto"/>
          <w:sz w:val="20"/>
          <w:szCs w:val="20"/>
        </w:rPr>
      </w:pPr>
      <w:r w:rsidRPr="007858CD">
        <w:rPr>
          <w:rFonts w:cs="Arial"/>
          <w:color w:val="auto"/>
          <w:sz w:val="20"/>
          <w:szCs w:val="20"/>
        </w:rPr>
        <w:t>100 compliance with legislative requirements in the compliance universe</w:t>
      </w:r>
    </w:p>
    <w:p w:rsidR="00193CD2" w:rsidRPr="007858CD" w:rsidRDefault="00193CD2" w:rsidP="007858CD">
      <w:pPr>
        <w:rPr>
          <w:rFonts w:cs="Arial"/>
          <w:color w:val="auto"/>
          <w:sz w:val="20"/>
          <w:szCs w:val="20"/>
        </w:rPr>
      </w:pPr>
    </w:p>
    <w:p w:rsidR="00F40595" w:rsidRPr="007858CD" w:rsidRDefault="00800EB6" w:rsidP="007858CD">
      <w:pPr>
        <w:pStyle w:val="ListParagraph"/>
        <w:numPr>
          <w:ilvl w:val="0"/>
          <w:numId w:val="50"/>
        </w:numPr>
        <w:ind w:left="426"/>
        <w:rPr>
          <w:rFonts w:cs="Arial"/>
          <w:b/>
          <w:color w:val="auto"/>
          <w:sz w:val="20"/>
          <w:szCs w:val="20"/>
        </w:rPr>
      </w:pPr>
      <w:r w:rsidRPr="007858CD">
        <w:rPr>
          <w:rFonts w:cs="Arial"/>
          <w:b/>
          <w:color w:val="auto"/>
          <w:sz w:val="20"/>
          <w:szCs w:val="20"/>
        </w:rPr>
        <w:t>Observations</w:t>
      </w:r>
    </w:p>
    <w:p w:rsidR="00800EB6" w:rsidRPr="007858CD" w:rsidRDefault="00800EB6" w:rsidP="007858CD">
      <w:pPr>
        <w:rPr>
          <w:rFonts w:cs="Arial"/>
          <w:color w:val="auto"/>
          <w:sz w:val="20"/>
          <w:szCs w:val="20"/>
        </w:rPr>
      </w:pPr>
    </w:p>
    <w:p w:rsidR="00F40595" w:rsidRPr="007858CD" w:rsidRDefault="00800EB6" w:rsidP="007858CD">
      <w:pPr>
        <w:rPr>
          <w:rFonts w:cs="Arial"/>
          <w:color w:val="auto"/>
          <w:sz w:val="20"/>
          <w:szCs w:val="20"/>
        </w:rPr>
      </w:pPr>
      <w:r w:rsidRPr="007858CD">
        <w:rPr>
          <w:rFonts w:cs="Arial"/>
          <w:color w:val="auto"/>
          <w:sz w:val="20"/>
          <w:szCs w:val="20"/>
        </w:rPr>
        <w:t xml:space="preserve">Having met with the Department </w:t>
      </w:r>
      <w:r w:rsidR="002A6B64" w:rsidRPr="007858CD">
        <w:rPr>
          <w:rFonts w:cs="Arial"/>
          <w:color w:val="auto"/>
          <w:sz w:val="20"/>
          <w:szCs w:val="20"/>
        </w:rPr>
        <w:t>of Women, Youth and Persons with Disabilities</w:t>
      </w:r>
      <w:r w:rsidR="009B4D1E" w:rsidRPr="007858CD">
        <w:rPr>
          <w:rFonts w:cs="Arial"/>
          <w:color w:val="auto"/>
          <w:sz w:val="20"/>
          <w:szCs w:val="20"/>
        </w:rPr>
        <w:t>, the NYDA and the CGE</w:t>
      </w:r>
      <w:r w:rsidR="002A6B64" w:rsidRPr="007858CD">
        <w:rPr>
          <w:rFonts w:cs="Arial"/>
          <w:color w:val="auto"/>
          <w:sz w:val="20"/>
          <w:szCs w:val="20"/>
        </w:rPr>
        <w:t xml:space="preserve"> </w:t>
      </w:r>
      <w:r w:rsidRPr="007858CD">
        <w:rPr>
          <w:rFonts w:cs="Arial"/>
          <w:color w:val="auto"/>
          <w:sz w:val="20"/>
          <w:szCs w:val="20"/>
        </w:rPr>
        <w:t>to scrutinise the</w:t>
      </w:r>
      <w:r w:rsidR="009B4D1E" w:rsidRPr="007858CD">
        <w:rPr>
          <w:rFonts w:cs="Arial"/>
          <w:color w:val="auto"/>
          <w:sz w:val="20"/>
          <w:szCs w:val="20"/>
        </w:rPr>
        <w:t xml:space="preserve"> respective amended Strategic Plans and </w:t>
      </w:r>
      <w:r w:rsidRPr="007858CD">
        <w:rPr>
          <w:rFonts w:cs="Arial"/>
          <w:color w:val="auto"/>
          <w:sz w:val="20"/>
          <w:szCs w:val="20"/>
        </w:rPr>
        <w:t>Annual Performance</w:t>
      </w:r>
      <w:r w:rsidR="0026659B" w:rsidRPr="007858CD">
        <w:rPr>
          <w:rFonts w:cs="Arial"/>
          <w:color w:val="auto"/>
          <w:sz w:val="20"/>
          <w:szCs w:val="20"/>
        </w:rPr>
        <w:t xml:space="preserve"> Plan</w:t>
      </w:r>
      <w:r w:rsidRPr="007858CD">
        <w:rPr>
          <w:rFonts w:cs="Arial"/>
          <w:color w:val="auto"/>
          <w:sz w:val="20"/>
          <w:szCs w:val="20"/>
        </w:rPr>
        <w:t xml:space="preserve"> </w:t>
      </w:r>
      <w:r w:rsidR="009B4D1E" w:rsidRPr="007858CD">
        <w:rPr>
          <w:rFonts w:cs="Arial"/>
          <w:color w:val="auto"/>
          <w:sz w:val="20"/>
          <w:szCs w:val="20"/>
        </w:rPr>
        <w:t xml:space="preserve">including the </w:t>
      </w:r>
      <w:r w:rsidRPr="007858CD">
        <w:rPr>
          <w:rFonts w:cs="Arial"/>
          <w:color w:val="auto"/>
          <w:sz w:val="20"/>
          <w:szCs w:val="20"/>
        </w:rPr>
        <w:t xml:space="preserve">budget </w:t>
      </w:r>
      <w:r w:rsidR="009B4D1E" w:rsidRPr="007858CD">
        <w:rPr>
          <w:rFonts w:cs="Arial"/>
          <w:color w:val="auto"/>
          <w:sz w:val="20"/>
          <w:szCs w:val="20"/>
        </w:rPr>
        <w:t>for 202</w:t>
      </w:r>
      <w:r w:rsidR="001F6895" w:rsidRPr="007858CD">
        <w:rPr>
          <w:rFonts w:cs="Arial"/>
          <w:color w:val="auto"/>
          <w:sz w:val="20"/>
          <w:szCs w:val="20"/>
        </w:rPr>
        <w:t>2/23</w:t>
      </w:r>
      <w:r w:rsidRPr="007858CD">
        <w:rPr>
          <w:rFonts w:cs="Arial"/>
          <w:color w:val="auto"/>
          <w:sz w:val="20"/>
          <w:szCs w:val="20"/>
        </w:rPr>
        <w:t>, the Committee made the following observations:</w:t>
      </w:r>
    </w:p>
    <w:p w:rsidR="00306764" w:rsidRPr="007858CD" w:rsidRDefault="00306764" w:rsidP="007858CD">
      <w:pPr>
        <w:rPr>
          <w:rFonts w:cs="Arial"/>
          <w:color w:val="auto"/>
          <w:sz w:val="20"/>
          <w:szCs w:val="20"/>
        </w:rPr>
      </w:pPr>
    </w:p>
    <w:p w:rsidR="00883452" w:rsidRPr="007858CD" w:rsidRDefault="00056544" w:rsidP="007858CD">
      <w:pPr>
        <w:rPr>
          <w:rFonts w:cs="Arial"/>
          <w:b/>
          <w:color w:val="auto"/>
          <w:sz w:val="20"/>
          <w:szCs w:val="20"/>
        </w:rPr>
      </w:pPr>
      <w:r w:rsidRPr="007858CD">
        <w:rPr>
          <w:rFonts w:cs="Arial"/>
          <w:b/>
          <w:color w:val="auto"/>
          <w:sz w:val="20"/>
          <w:szCs w:val="20"/>
        </w:rPr>
        <w:t>6</w:t>
      </w:r>
      <w:r w:rsidR="00883452" w:rsidRPr="007858CD">
        <w:rPr>
          <w:rFonts w:cs="Arial"/>
          <w:b/>
          <w:color w:val="auto"/>
          <w:sz w:val="20"/>
          <w:szCs w:val="20"/>
        </w:rPr>
        <w:t>.1 Department of Women, Youth and Persons with Disabilities</w:t>
      </w:r>
    </w:p>
    <w:p w:rsidR="009B4D1E" w:rsidRPr="007858CD" w:rsidRDefault="009B4D1E" w:rsidP="007858CD">
      <w:pPr>
        <w:rPr>
          <w:rFonts w:cs="Arial"/>
          <w:color w:val="auto"/>
          <w:sz w:val="20"/>
          <w:szCs w:val="20"/>
        </w:rPr>
      </w:pPr>
      <w:r w:rsidRPr="007858CD">
        <w:rPr>
          <w:rFonts w:cs="Arial"/>
          <w:color w:val="auto"/>
          <w:sz w:val="20"/>
          <w:szCs w:val="20"/>
        </w:rPr>
        <w:t>In terms of the Department of Women, Youth and Persons with Disabilities</w:t>
      </w:r>
    </w:p>
    <w:p w:rsidR="00056544" w:rsidRPr="007858CD" w:rsidRDefault="00056544" w:rsidP="007858CD">
      <w:pPr>
        <w:rPr>
          <w:rFonts w:cs="Arial"/>
          <w:b/>
          <w:color w:val="auto"/>
          <w:sz w:val="20"/>
          <w:szCs w:val="20"/>
        </w:rPr>
      </w:pPr>
    </w:p>
    <w:p w:rsidR="00056544" w:rsidRPr="007858CD" w:rsidRDefault="00056544" w:rsidP="007858CD">
      <w:pPr>
        <w:rPr>
          <w:rFonts w:cs="Arial"/>
          <w:b/>
          <w:color w:val="auto"/>
          <w:sz w:val="20"/>
          <w:szCs w:val="20"/>
        </w:rPr>
      </w:pPr>
      <w:r w:rsidRPr="007858CD">
        <w:rPr>
          <w:rFonts w:cs="Arial"/>
          <w:b/>
          <w:color w:val="auto"/>
          <w:sz w:val="20"/>
          <w:szCs w:val="20"/>
        </w:rPr>
        <w:t>General matters</w:t>
      </w:r>
    </w:p>
    <w:p w:rsidR="00056544" w:rsidRPr="007858CD" w:rsidRDefault="00056544" w:rsidP="007858CD">
      <w:pPr>
        <w:rPr>
          <w:rFonts w:cs="Arial"/>
          <w:b/>
          <w:color w:val="auto"/>
          <w:sz w:val="20"/>
          <w:szCs w:val="20"/>
        </w:rPr>
      </w:pPr>
      <w:r w:rsidRPr="007858CD">
        <w:rPr>
          <w:rFonts w:cs="Arial"/>
          <w:b/>
          <w:color w:val="auto"/>
          <w:sz w:val="20"/>
          <w:szCs w:val="20"/>
        </w:rPr>
        <w:t>6.1.1 Mandate</w:t>
      </w:r>
      <w:r w:rsidR="00E84AE6" w:rsidRPr="007858CD">
        <w:rPr>
          <w:rFonts w:cs="Arial"/>
          <w:b/>
          <w:color w:val="auto"/>
          <w:sz w:val="20"/>
          <w:szCs w:val="20"/>
        </w:rPr>
        <w:t xml:space="preserve"> – Role of Regulator</w:t>
      </w:r>
    </w:p>
    <w:p w:rsidR="00056544" w:rsidRPr="007858CD" w:rsidRDefault="00711A41" w:rsidP="007858CD">
      <w:pPr>
        <w:numPr>
          <w:ilvl w:val="0"/>
          <w:numId w:val="22"/>
        </w:numPr>
        <w:rPr>
          <w:rFonts w:cs="Arial"/>
          <w:color w:val="auto"/>
          <w:sz w:val="20"/>
          <w:szCs w:val="20"/>
          <w:lang w:val="en-ZA"/>
        </w:rPr>
      </w:pPr>
      <w:r w:rsidRPr="007858CD">
        <w:rPr>
          <w:rFonts w:cs="Arial"/>
          <w:color w:val="auto"/>
          <w:sz w:val="20"/>
          <w:szCs w:val="20"/>
          <w:lang w:val="en-ZA"/>
        </w:rPr>
        <w:t>The Committee was not convinced that all of the proposed targets related to the Department’s mandate as a regulator</w:t>
      </w:r>
      <w:r w:rsidR="00056544" w:rsidRPr="007858CD">
        <w:rPr>
          <w:rFonts w:cs="Arial"/>
          <w:color w:val="auto"/>
          <w:sz w:val="20"/>
          <w:szCs w:val="20"/>
          <w:lang w:val="en-ZA"/>
        </w:rPr>
        <w:t xml:space="preserve">. </w:t>
      </w:r>
      <w:r w:rsidRPr="007858CD">
        <w:rPr>
          <w:rFonts w:cs="Arial"/>
          <w:color w:val="auto"/>
          <w:sz w:val="20"/>
          <w:szCs w:val="20"/>
          <w:lang w:val="en-ZA"/>
        </w:rPr>
        <w:t>These sentiments were concurred by the Auditor General of South Africa on its assessment of the Department’s APP for 2022/23.</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noted that AGSA indicated that the targets of the Department are not well structured, not well verified, not well defined and do not reflect the mandate of the Department and questioned how then the Committee will hold the Department to account on targets planned. The Committee also requested clarity on the matter.</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 xml:space="preserve">The Committee asked how has the regulatory mandate been translated into the current APP and what regulations has the Department prioritised.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questioned how the Department holds other government departments to account for slow or non-delivery in the absence</w:t>
      </w:r>
      <w:r w:rsidR="008E305E" w:rsidRPr="007858CD">
        <w:rPr>
          <w:rFonts w:cs="Arial"/>
          <w:color w:val="auto"/>
          <w:sz w:val="20"/>
          <w:szCs w:val="20"/>
        </w:rPr>
        <w:t xml:space="preserve"> of</w:t>
      </w:r>
      <w:r w:rsidRPr="007858CD">
        <w:rPr>
          <w:rFonts w:cs="Arial"/>
          <w:color w:val="auto"/>
          <w:sz w:val="20"/>
          <w:szCs w:val="20"/>
        </w:rPr>
        <w:t xml:space="preserve"> finalised frameworks and an updated policy.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 xml:space="preserve">The Committee queried what directives and regulations have been prioritised for 2022/23 in relation to women, youth and persons with disabilities.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 xml:space="preserve">The Committee </w:t>
      </w:r>
      <w:r w:rsidR="00E90336" w:rsidRPr="007858CD">
        <w:rPr>
          <w:rFonts w:cs="Arial"/>
          <w:color w:val="auto"/>
          <w:sz w:val="20"/>
          <w:szCs w:val="20"/>
        </w:rPr>
        <w:t xml:space="preserve">questioned </w:t>
      </w:r>
      <w:r w:rsidRPr="007858CD">
        <w:rPr>
          <w:rFonts w:cs="Arial"/>
          <w:color w:val="auto"/>
          <w:sz w:val="20"/>
          <w:szCs w:val="20"/>
        </w:rPr>
        <w:t>what</w:t>
      </w:r>
      <w:r w:rsidR="00E90336" w:rsidRPr="007858CD">
        <w:rPr>
          <w:rFonts w:cs="Arial"/>
          <w:color w:val="auto"/>
          <w:sz w:val="20"/>
          <w:szCs w:val="20"/>
        </w:rPr>
        <w:t xml:space="preserve"> the Department’s</w:t>
      </w:r>
      <w:r w:rsidRPr="007858CD">
        <w:rPr>
          <w:rFonts w:cs="Arial"/>
          <w:color w:val="auto"/>
          <w:sz w:val="20"/>
          <w:szCs w:val="20"/>
        </w:rPr>
        <w:t xml:space="preserve"> main monitoring and evaluation mechanisms </w:t>
      </w:r>
      <w:r w:rsidR="00E90336" w:rsidRPr="007858CD">
        <w:rPr>
          <w:rFonts w:cs="Arial"/>
          <w:color w:val="auto"/>
          <w:sz w:val="20"/>
          <w:szCs w:val="20"/>
        </w:rPr>
        <w:t xml:space="preserve">were </w:t>
      </w:r>
      <w:r w:rsidRPr="007858CD">
        <w:rPr>
          <w:rFonts w:cs="Arial"/>
          <w:color w:val="auto"/>
          <w:sz w:val="20"/>
          <w:szCs w:val="20"/>
        </w:rPr>
        <w:t>that</w:t>
      </w:r>
      <w:r w:rsidR="00E90336" w:rsidRPr="007858CD">
        <w:rPr>
          <w:rFonts w:cs="Arial"/>
          <w:color w:val="auto"/>
          <w:sz w:val="20"/>
          <w:szCs w:val="20"/>
        </w:rPr>
        <w:t xml:space="preserve"> i</w:t>
      </w:r>
      <w:r w:rsidRPr="007858CD">
        <w:rPr>
          <w:rFonts w:cs="Arial"/>
          <w:color w:val="auto"/>
          <w:sz w:val="20"/>
          <w:szCs w:val="20"/>
        </w:rPr>
        <w:t>t would be implementing in 2022/23 and how this would be conducted</w:t>
      </w:r>
      <w:r w:rsidR="00E90336" w:rsidRPr="007858CD">
        <w:rPr>
          <w:rFonts w:cs="Arial"/>
          <w:color w:val="auto"/>
          <w:sz w:val="20"/>
          <w:szCs w:val="20"/>
        </w:rPr>
        <w:t xml:space="preserve"> as this was not made explicit in the APP</w:t>
      </w:r>
      <w:r w:rsidRPr="007858CD">
        <w:rPr>
          <w:rFonts w:cs="Arial"/>
          <w:color w:val="auto"/>
          <w:sz w:val="20"/>
          <w:szCs w:val="20"/>
        </w:rPr>
        <w:t xml:space="preserve">.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questioned whether the Department has the requisite capacity to undertake monitoring and evaluation and if not</w:t>
      </w:r>
      <w:r w:rsidR="00E90336" w:rsidRPr="007858CD">
        <w:rPr>
          <w:rFonts w:cs="Arial"/>
          <w:color w:val="auto"/>
          <w:sz w:val="20"/>
          <w:szCs w:val="20"/>
        </w:rPr>
        <w:t>,</w:t>
      </w:r>
      <w:r w:rsidRPr="007858CD">
        <w:rPr>
          <w:rFonts w:cs="Arial"/>
          <w:color w:val="auto"/>
          <w:sz w:val="20"/>
          <w:szCs w:val="20"/>
        </w:rPr>
        <w:t xml:space="preserve"> what are the contingency measures.</w:t>
      </w:r>
    </w:p>
    <w:p w:rsidR="00056544" w:rsidRPr="007858CD" w:rsidRDefault="00056544" w:rsidP="007858CD">
      <w:pPr>
        <w:numPr>
          <w:ilvl w:val="0"/>
          <w:numId w:val="22"/>
        </w:numPr>
        <w:rPr>
          <w:rFonts w:cs="Arial"/>
          <w:color w:val="auto"/>
          <w:sz w:val="20"/>
          <w:szCs w:val="20"/>
        </w:rPr>
      </w:pPr>
      <w:r w:rsidRPr="007858CD">
        <w:rPr>
          <w:rFonts w:cs="Arial"/>
          <w:color w:val="auto"/>
          <w:sz w:val="20"/>
          <w:szCs w:val="20"/>
        </w:rPr>
        <w:lastRenderedPageBreak/>
        <w:t>The Committee was concern</w:t>
      </w:r>
      <w:r w:rsidR="005F7895" w:rsidRPr="007858CD">
        <w:rPr>
          <w:rFonts w:cs="Arial"/>
          <w:color w:val="auto"/>
          <w:sz w:val="20"/>
          <w:szCs w:val="20"/>
        </w:rPr>
        <w:t>ed</w:t>
      </w:r>
      <w:r w:rsidRPr="007858CD">
        <w:rPr>
          <w:rFonts w:cs="Arial"/>
          <w:color w:val="auto"/>
          <w:sz w:val="20"/>
          <w:szCs w:val="20"/>
        </w:rPr>
        <w:t xml:space="preserve"> that targets planned by the Department are not SMART and therefore oversight is impaired. </w:t>
      </w:r>
    </w:p>
    <w:p w:rsidR="00056544" w:rsidRPr="007858CD" w:rsidRDefault="00056544" w:rsidP="007858CD">
      <w:pPr>
        <w:rPr>
          <w:rFonts w:cs="Arial"/>
          <w:color w:val="auto"/>
          <w:sz w:val="20"/>
          <w:szCs w:val="20"/>
        </w:rPr>
      </w:pPr>
    </w:p>
    <w:p w:rsidR="00056544" w:rsidRPr="007858CD" w:rsidRDefault="00056544" w:rsidP="007858CD">
      <w:pPr>
        <w:rPr>
          <w:rFonts w:cs="Arial"/>
          <w:b/>
          <w:color w:val="auto"/>
          <w:sz w:val="20"/>
          <w:szCs w:val="20"/>
          <w:lang w:val="en-ZA"/>
        </w:rPr>
      </w:pPr>
      <w:r w:rsidRPr="007858CD">
        <w:rPr>
          <w:rFonts w:cs="Arial"/>
          <w:b/>
          <w:color w:val="auto"/>
          <w:sz w:val="20"/>
          <w:szCs w:val="20"/>
          <w:lang w:val="en-ZA"/>
        </w:rPr>
        <w:t xml:space="preserve">6.1.2 </w:t>
      </w:r>
      <w:r w:rsidR="0048474B" w:rsidRPr="007858CD">
        <w:rPr>
          <w:rFonts w:cs="Arial"/>
          <w:b/>
          <w:color w:val="auto"/>
          <w:sz w:val="20"/>
          <w:szCs w:val="20"/>
          <w:lang w:val="en-ZA"/>
        </w:rPr>
        <w:t xml:space="preserve">Organisational redesign, </w:t>
      </w:r>
      <w:r w:rsidR="00711A41" w:rsidRPr="007858CD">
        <w:rPr>
          <w:rFonts w:cs="Arial"/>
          <w:b/>
          <w:color w:val="auto"/>
          <w:sz w:val="20"/>
          <w:szCs w:val="20"/>
          <w:lang w:val="en-ZA"/>
        </w:rPr>
        <w:t>Structural changes</w:t>
      </w:r>
      <w:r w:rsidR="00EE2355" w:rsidRPr="007858CD">
        <w:rPr>
          <w:rFonts w:cs="Arial"/>
          <w:b/>
          <w:color w:val="auto"/>
          <w:sz w:val="20"/>
          <w:szCs w:val="20"/>
          <w:lang w:val="en-ZA"/>
        </w:rPr>
        <w:t xml:space="preserve"> &amp; merger implications</w:t>
      </w:r>
    </w:p>
    <w:p w:rsidR="00056544" w:rsidRPr="007858CD" w:rsidRDefault="00711A41" w:rsidP="007858CD">
      <w:pPr>
        <w:numPr>
          <w:ilvl w:val="0"/>
          <w:numId w:val="22"/>
        </w:numPr>
        <w:rPr>
          <w:rFonts w:cs="Arial"/>
          <w:color w:val="auto"/>
          <w:sz w:val="20"/>
          <w:szCs w:val="20"/>
          <w:lang w:val="en-ZA"/>
        </w:rPr>
      </w:pPr>
      <w:r w:rsidRPr="007858CD">
        <w:rPr>
          <w:rFonts w:cs="Arial"/>
          <w:color w:val="auto"/>
          <w:sz w:val="20"/>
          <w:szCs w:val="20"/>
          <w:lang w:val="en-ZA"/>
        </w:rPr>
        <w:t xml:space="preserve">The Committee noted with concern the merger </w:t>
      </w:r>
      <w:r w:rsidR="005F7895" w:rsidRPr="007858CD">
        <w:rPr>
          <w:rFonts w:cs="Arial"/>
          <w:color w:val="auto"/>
          <w:sz w:val="20"/>
          <w:szCs w:val="20"/>
          <w:lang w:val="en-ZA"/>
        </w:rPr>
        <w:t>of</w:t>
      </w:r>
      <w:r w:rsidRPr="007858CD">
        <w:rPr>
          <w:rFonts w:cs="Arial"/>
          <w:color w:val="auto"/>
          <w:sz w:val="20"/>
          <w:szCs w:val="20"/>
          <w:lang w:val="en-ZA"/>
        </w:rPr>
        <w:t xml:space="preserve"> the programmes focusing on the rights of persons with disabilities and youth development with no justification provided</w:t>
      </w:r>
      <w:r w:rsidR="00056544" w:rsidRPr="007858CD">
        <w:rPr>
          <w:rFonts w:cs="Arial"/>
          <w:color w:val="auto"/>
          <w:sz w:val="20"/>
          <w:szCs w:val="20"/>
          <w:lang w:val="en-ZA"/>
        </w:rPr>
        <w:t xml:space="preserve">. </w:t>
      </w:r>
      <w:r w:rsidRPr="007858CD">
        <w:rPr>
          <w:rFonts w:cs="Arial"/>
          <w:color w:val="auto"/>
          <w:sz w:val="20"/>
          <w:szCs w:val="20"/>
          <w:lang w:val="en-ZA"/>
        </w:rPr>
        <w:t>Furthermore, the Committed was concerned that the merger was undertaken without the consent from National Treasury and the Department of Public Services and Administration. This as the Department continues to undertake organisational reform in a bid to request for more resources.</w:t>
      </w:r>
    </w:p>
    <w:p w:rsidR="00BA5278" w:rsidRPr="007858CD" w:rsidRDefault="00BA5278"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was concerned about the changes in the organisational structure without approval from the National Treasury and enquired whether the Department received approval from the National Treasur</w:t>
      </w:r>
      <w:r w:rsidR="008E305E" w:rsidRPr="007858CD">
        <w:rPr>
          <w:rFonts w:cs="Arial"/>
          <w:color w:val="auto"/>
          <w:sz w:val="20"/>
          <w:szCs w:val="20"/>
        </w:rPr>
        <w:t>y</w:t>
      </w:r>
      <w:r w:rsidRPr="007858CD">
        <w:rPr>
          <w:rFonts w:cs="Arial"/>
          <w:color w:val="auto"/>
          <w:sz w:val="20"/>
          <w:szCs w:val="20"/>
        </w:rPr>
        <w:t xml:space="preserve"> to merge Programme 4 and Programme 5. </w:t>
      </w:r>
      <w:r w:rsidR="0048474B" w:rsidRPr="007858CD">
        <w:rPr>
          <w:rFonts w:cs="Arial"/>
          <w:color w:val="auto"/>
          <w:sz w:val="20"/>
          <w:szCs w:val="20"/>
        </w:rPr>
        <w:t xml:space="preserve">Hence the Committee </w:t>
      </w:r>
      <w:r w:rsidRPr="007858CD">
        <w:rPr>
          <w:rFonts w:cs="Arial"/>
          <w:color w:val="auto"/>
          <w:sz w:val="20"/>
          <w:szCs w:val="20"/>
        </w:rPr>
        <w:t>also enquired when the Department received the a</w:t>
      </w:r>
      <w:r w:rsidR="0048474B" w:rsidRPr="007858CD">
        <w:rPr>
          <w:rFonts w:cs="Arial"/>
          <w:color w:val="auto"/>
          <w:sz w:val="20"/>
          <w:szCs w:val="20"/>
        </w:rPr>
        <w:t xml:space="preserve">pproval from National Treasury and </w:t>
      </w:r>
      <w:r w:rsidRPr="007858CD">
        <w:rPr>
          <w:rFonts w:cs="Arial"/>
          <w:color w:val="auto"/>
          <w:sz w:val="20"/>
          <w:szCs w:val="20"/>
        </w:rPr>
        <w:t>what informed the Department</w:t>
      </w:r>
      <w:r w:rsidR="005F7895" w:rsidRPr="007858CD">
        <w:rPr>
          <w:rFonts w:cs="Arial"/>
          <w:color w:val="auto"/>
          <w:sz w:val="20"/>
          <w:szCs w:val="20"/>
        </w:rPr>
        <w:t>’s decision</w:t>
      </w:r>
      <w:r w:rsidRPr="007858CD">
        <w:rPr>
          <w:rFonts w:cs="Arial"/>
          <w:color w:val="auto"/>
          <w:sz w:val="20"/>
          <w:szCs w:val="20"/>
        </w:rPr>
        <w:t xml:space="preserve"> to bring about the changes to certain Programmes and why it was important to merge the Programmes. </w:t>
      </w:r>
    </w:p>
    <w:p w:rsidR="00BA5278" w:rsidRPr="007858CD" w:rsidRDefault="00BA5278"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was unclear about the staff component of the merged Programmes and how this impacted operations</w:t>
      </w:r>
      <w:r w:rsidR="005F7895" w:rsidRPr="007858CD">
        <w:rPr>
          <w:rFonts w:cs="Arial"/>
          <w:color w:val="auto"/>
          <w:sz w:val="20"/>
          <w:szCs w:val="20"/>
        </w:rPr>
        <w:t>,</w:t>
      </w:r>
      <w:r w:rsidRPr="007858CD">
        <w:rPr>
          <w:rFonts w:cs="Arial"/>
          <w:color w:val="auto"/>
          <w:sz w:val="20"/>
          <w:szCs w:val="20"/>
        </w:rPr>
        <w:t xml:space="preserve"> if at all. </w:t>
      </w:r>
      <w:r w:rsidR="00E84AE6" w:rsidRPr="007858CD">
        <w:rPr>
          <w:rFonts w:cs="Arial"/>
          <w:color w:val="auto"/>
          <w:sz w:val="20"/>
          <w:szCs w:val="20"/>
        </w:rPr>
        <w:t>To this end, the Committee requested clarity on how the support staff in the Programme 4 will operate independently within the newly merged programme as this was not clearly articulated in the current APP.</w:t>
      </w:r>
    </w:p>
    <w:p w:rsidR="00BA5278" w:rsidRPr="007858CD" w:rsidRDefault="00BA5278"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questioned whether the decision to merge Programme 4 &amp; 5 was not done prematurely since the DPSA has not agree</w:t>
      </w:r>
      <w:r w:rsidR="0048474B" w:rsidRPr="007858CD">
        <w:rPr>
          <w:rFonts w:cs="Arial"/>
          <w:color w:val="auto"/>
          <w:sz w:val="20"/>
          <w:szCs w:val="20"/>
        </w:rPr>
        <w:t>d</w:t>
      </w:r>
      <w:r w:rsidRPr="007858CD">
        <w:rPr>
          <w:rFonts w:cs="Arial"/>
          <w:color w:val="auto"/>
          <w:sz w:val="20"/>
          <w:szCs w:val="20"/>
        </w:rPr>
        <w:t xml:space="preserve"> to the new structure.</w:t>
      </w:r>
    </w:p>
    <w:p w:rsidR="00BA5278" w:rsidRPr="007858CD" w:rsidRDefault="00BA5278"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question</w:t>
      </w:r>
      <w:r w:rsidR="0048474B" w:rsidRPr="007858CD">
        <w:rPr>
          <w:rFonts w:cs="Arial"/>
          <w:color w:val="auto"/>
          <w:sz w:val="20"/>
          <w:szCs w:val="20"/>
        </w:rPr>
        <w:t>ed</w:t>
      </w:r>
      <w:r w:rsidRPr="007858CD">
        <w:rPr>
          <w:rFonts w:cs="Arial"/>
          <w:color w:val="auto"/>
          <w:sz w:val="20"/>
          <w:szCs w:val="20"/>
        </w:rPr>
        <w:t xml:space="preserve"> why National Treasury ha</w:t>
      </w:r>
      <w:r w:rsidR="0048474B" w:rsidRPr="007858CD">
        <w:rPr>
          <w:rFonts w:cs="Arial"/>
          <w:color w:val="auto"/>
          <w:sz w:val="20"/>
          <w:szCs w:val="20"/>
        </w:rPr>
        <w:t>s</w:t>
      </w:r>
      <w:r w:rsidRPr="007858CD">
        <w:rPr>
          <w:rFonts w:cs="Arial"/>
          <w:color w:val="auto"/>
          <w:sz w:val="20"/>
          <w:szCs w:val="20"/>
        </w:rPr>
        <w:t xml:space="preserve"> not allowed the Department to have 4 Programmes while they have more than 4 Programmes.</w:t>
      </w:r>
    </w:p>
    <w:p w:rsidR="00BA5278" w:rsidRPr="007858CD" w:rsidRDefault="0048474B" w:rsidP="007858CD">
      <w:pPr>
        <w:numPr>
          <w:ilvl w:val="0"/>
          <w:numId w:val="22"/>
        </w:numPr>
        <w:autoSpaceDE w:val="0"/>
        <w:autoSpaceDN w:val="0"/>
        <w:adjustRightInd w:val="0"/>
        <w:rPr>
          <w:rFonts w:cs="Arial"/>
          <w:color w:val="auto"/>
          <w:spacing w:val="0"/>
          <w:sz w:val="20"/>
          <w:szCs w:val="20"/>
          <w:lang w:val="en-ZA" w:eastAsia="en-ZA"/>
        </w:rPr>
      </w:pPr>
      <w:r w:rsidRPr="007858CD">
        <w:rPr>
          <w:rFonts w:cs="Arial"/>
          <w:b/>
          <w:color w:val="auto"/>
          <w:spacing w:val="0"/>
          <w:sz w:val="20"/>
          <w:szCs w:val="20"/>
          <w:lang w:val="en-ZA" w:eastAsia="en-ZA"/>
        </w:rPr>
        <w:t>Name changes</w:t>
      </w:r>
      <w:r w:rsidRPr="007858CD">
        <w:rPr>
          <w:rFonts w:cs="Arial"/>
          <w:color w:val="auto"/>
          <w:spacing w:val="0"/>
          <w:sz w:val="20"/>
          <w:szCs w:val="20"/>
          <w:lang w:val="en-ZA" w:eastAsia="en-ZA"/>
        </w:rPr>
        <w:t xml:space="preserve">: </w:t>
      </w:r>
      <w:r w:rsidR="00BA5278" w:rsidRPr="007858CD">
        <w:rPr>
          <w:rFonts w:cs="Arial"/>
          <w:color w:val="auto"/>
          <w:spacing w:val="0"/>
          <w:sz w:val="20"/>
          <w:szCs w:val="20"/>
          <w:lang w:val="en-ZA" w:eastAsia="en-ZA"/>
        </w:rPr>
        <w:t xml:space="preserve">The Committee requested clarity on the sub-programme names that have been changed in the current APP but still refers to old sub-programme for example, on page 61 reference is still made to the STEE Programme (Social Transformation and Economic Empowerment), while the revised programmes were introduced on page 25 of the Annual Performance Plan.  The Committee requested clarity on the matter. </w:t>
      </w:r>
    </w:p>
    <w:p w:rsidR="00BA5278" w:rsidRPr="007858CD" w:rsidRDefault="0048474B" w:rsidP="007858CD">
      <w:pPr>
        <w:numPr>
          <w:ilvl w:val="0"/>
          <w:numId w:val="22"/>
        </w:numPr>
        <w:suppressAutoHyphens/>
        <w:autoSpaceDN w:val="0"/>
        <w:textAlignment w:val="baseline"/>
        <w:rPr>
          <w:rFonts w:cs="Arial"/>
          <w:color w:val="auto"/>
          <w:sz w:val="20"/>
          <w:szCs w:val="20"/>
        </w:rPr>
      </w:pPr>
      <w:r w:rsidRPr="007858CD">
        <w:rPr>
          <w:rFonts w:cs="Arial"/>
          <w:b/>
          <w:color w:val="auto"/>
          <w:sz w:val="20"/>
          <w:szCs w:val="20"/>
        </w:rPr>
        <w:t>Redesign of organisational structure</w:t>
      </w:r>
      <w:r w:rsidRPr="007858CD">
        <w:rPr>
          <w:rFonts w:cs="Arial"/>
          <w:color w:val="auto"/>
          <w:sz w:val="20"/>
          <w:szCs w:val="20"/>
        </w:rPr>
        <w:t xml:space="preserve">: </w:t>
      </w:r>
      <w:r w:rsidR="00BA5278" w:rsidRPr="007858CD">
        <w:rPr>
          <w:rFonts w:cs="Arial"/>
          <w:color w:val="auto"/>
          <w:sz w:val="20"/>
          <w:szCs w:val="20"/>
        </w:rPr>
        <w:t xml:space="preserve">The Committee noted that the Department has been redesigning the organisational structure since 2019. As such, the Committee questioned what the impact of the delays of redesigning of the organisational structure was vis-a-vis the implementation of the mandate of the Department. To this end, the Committee questioned whether the Department is able to implement </w:t>
      </w:r>
      <w:r w:rsidR="005F7895" w:rsidRPr="007858CD">
        <w:rPr>
          <w:rFonts w:cs="Arial"/>
          <w:color w:val="auto"/>
          <w:sz w:val="20"/>
          <w:szCs w:val="20"/>
        </w:rPr>
        <w:t>its</w:t>
      </w:r>
      <w:r w:rsidR="00BA5278" w:rsidRPr="007858CD">
        <w:rPr>
          <w:rFonts w:cs="Arial"/>
          <w:color w:val="auto"/>
          <w:sz w:val="20"/>
          <w:szCs w:val="20"/>
        </w:rPr>
        <w:t xml:space="preserve"> mandate </w:t>
      </w:r>
      <w:r w:rsidR="005F7895" w:rsidRPr="007858CD">
        <w:rPr>
          <w:rFonts w:cs="Arial"/>
          <w:color w:val="auto"/>
          <w:sz w:val="20"/>
          <w:szCs w:val="20"/>
        </w:rPr>
        <w:t>given</w:t>
      </w:r>
      <w:r w:rsidR="00BA5278" w:rsidRPr="007858CD">
        <w:rPr>
          <w:rFonts w:cs="Arial"/>
          <w:color w:val="auto"/>
          <w:sz w:val="20"/>
          <w:szCs w:val="20"/>
        </w:rPr>
        <w:t xml:space="preserve"> the delays. </w:t>
      </w:r>
    </w:p>
    <w:p w:rsidR="00BA5278" w:rsidRPr="007858CD" w:rsidRDefault="00BA5278"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also questioned the transfer of Programme 4 from the Department of Social Development</w:t>
      </w:r>
      <w:r w:rsidR="0048474B" w:rsidRPr="007858CD">
        <w:rPr>
          <w:rFonts w:cs="Arial"/>
          <w:color w:val="auto"/>
          <w:sz w:val="20"/>
          <w:szCs w:val="20"/>
        </w:rPr>
        <w:t xml:space="preserve"> when it</w:t>
      </w:r>
      <w:r w:rsidRPr="007858CD">
        <w:rPr>
          <w:rFonts w:cs="Arial"/>
          <w:color w:val="auto"/>
          <w:sz w:val="20"/>
          <w:szCs w:val="20"/>
        </w:rPr>
        <w:t xml:space="preserve"> was completed and how </w:t>
      </w:r>
      <w:r w:rsidR="0048474B" w:rsidRPr="007858CD">
        <w:rPr>
          <w:rFonts w:cs="Arial"/>
          <w:color w:val="auto"/>
          <w:sz w:val="20"/>
          <w:szCs w:val="20"/>
        </w:rPr>
        <w:t>the programme</w:t>
      </w:r>
      <w:r w:rsidRPr="007858CD">
        <w:rPr>
          <w:rFonts w:cs="Arial"/>
          <w:color w:val="auto"/>
          <w:sz w:val="20"/>
          <w:szCs w:val="20"/>
        </w:rPr>
        <w:t xml:space="preserve"> operated. </w:t>
      </w:r>
    </w:p>
    <w:p w:rsidR="00BA5278" w:rsidRPr="007858CD" w:rsidRDefault="00BA5278"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also questioned what were the strengths and weakness</w:t>
      </w:r>
      <w:r w:rsidR="008E305E" w:rsidRPr="007858CD">
        <w:rPr>
          <w:rFonts w:cs="Arial"/>
          <w:color w:val="auto"/>
          <w:sz w:val="20"/>
          <w:szCs w:val="20"/>
        </w:rPr>
        <w:t>es</w:t>
      </w:r>
      <w:r w:rsidRPr="007858CD">
        <w:rPr>
          <w:rFonts w:cs="Arial"/>
          <w:color w:val="auto"/>
          <w:sz w:val="20"/>
          <w:szCs w:val="20"/>
        </w:rPr>
        <w:t xml:space="preserve"> of the persons with disability programme in terms of its functionality when it was moved from Department of Social Development. </w:t>
      </w:r>
    </w:p>
    <w:p w:rsidR="00BA5278" w:rsidRPr="007858CD" w:rsidRDefault="00BA5278" w:rsidP="007858CD">
      <w:pPr>
        <w:rPr>
          <w:rFonts w:cs="Arial"/>
          <w:color w:val="auto"/>
          <w:sz w:val="20"/>
          <w:szCs w:val="20"/>
        </w:rPr>
      </w:pPr>
    </w:p>
    <w:p w:rsidR="00056544" w:rsidRPr="007858CD" w:rsidRDefault="00056544" w:rsidP="007858CD">
      <w:pPr>
        <w:rPr>
          <w:rFonts w:cs="Arial"/>
          <w:b/>
          <w:color w:val="auto"/>
          <w:sz w:val="20"/>
          <w:szCs w:val="20"/>
        </w:rPr>
      </w:pPr>
      <w:r w:rsidRPr="007858CD">
        <w:rPr>
          <w:rFonts w:cs="Arial"/>
          <w:b/>
          <w:color w:val="auto"/>
          <w:sz w:val="20"/>
          <w:szCs w:val="20"/>
        </w:rPr>
        <w:t>6.1</w:t>
      </w:r>
      <w:r w:rsidR="00E84AE6" w:rsidRPr="007858CD">
        <w:rPr>
          <w:rFonts w:cs="Arial"/>
          <w:b/>
          <w:color w:val="auto"/>
          <w:sz w:val="20"/>
          <w:szCs w:val="20"/>
        </w:rPr>
        <w:t>.3</w:t>
      </w:r>
      <w:r w:rsidRPr="007858CD">
        <w:rPr>
          <w:rFonts w:cs="Arial"/>
          <w:b/>
          <w:color w:val="auto"/>
          <w:sz w:val="20"/>
          <w:szCs w:val="20"/>
        </w:rPr>
        <w:t xml:space="preserve"> </w:t>
      </w:r>
      <w:r w:rsidR="00711A41" w:rsidRPr="007858CD">
        <w:rPr>
          <w:rFonts w:cs="Arial"/>
          <w:b/>
          <w:color w:val="auto"/>
          <w:sz w:val="20"/>
          <w:szCs w:val="20"/>
        </w:rPr>
        <w:t>Poor visibility</w:t>
      </w:r>
    </w:p>
    <w:p w:rsidR="00056544" w:rsidRPr="007858CD" w:rsidRDefault="00056544" w:rsidP="007858CD">
      <w:pPr>
        <w:numPr>
          <w:ilvl w:val="0"/>
          <w:numId w:val="23"/>
        </w:numPr>
        <w:rPr>
          <w:rFonts w:cs="Arial"/>
          <w:color w:val="auto"/>
          <w:sz w:val="20"/>
          <w:szCs w:val="20"/>
        </w:rPr>
      </w:pPr>
      <w:r w:rsidRPr="007858CD">
        <w:rPr>
          <w:rFonts w:cs="Arial"/>
          <w:color w:val="auto"/>
          <w:sz w:val="20"/>
          <w:szCs w:val="20"/>
          <w:lang w:val="en-ZA"/>
        </w:rPr>
        <w:t xml:space="preserve">The Committee was concerned that </w:t>
      </w:r>
      <w:r w:rsidR="00711A41" w:rsidRPr="007858CD">
        <w:rPr>
          <w:rFonts w:cs="Arial"/>
          <w:color w:val="auto"/>
          <w:sz w:val="20"/>
          <w:szCs w:val="20"/>
          <w:lang w:val="en-ZA"/>
        </w:rPr>
        <w:t xml:space="preserve">understanding of </w:t>
      </w:r>
      <w:r w:rsidR="005F7895" w:rsidRPr="007858CD">
        <w:rPr>
          <w:rFonts w:cs="Arial"/>
          <w:color w:val="auto"/>
          <w:sz w:val="20"/>
          <w:szCs w:val="20"/>
          <w:lang w:val="en-ZA"/>
        </w:rPr>
        <w:t>t</w:t>
      </w:r>
      <w:r w:rsidR="00711A41" w:rsidRPr="007858CD">
        <w:rPr>
          <w:rFonts w:cs="Arial"/>
          <w:color w:val="auto"/>
          <w:sz w:val="20"/>
          <w:szCs w:val="20"/>
          <w:lang w:val="en-ZA"/>
        </w:rPr>
        <w:t>he Department’s mandate was poor within government and society at large.</w:t>
      </w:r>
    </w:p>
    <w:p w:rsidR="00056544" w:rsidRPr="007858CD" w:rsidRDefault="00056544" w:rsidP="007858CD">
      <w:pPr>
        <w:rPr>
          <w:rFonts w:cs="Arial"/>
          <w:color w:val="auto"/>
          <w:sz w:val="20"/>
          <w:szCs w:val="20"/>
        </w:rPr>
      </w:pPr>
    </w:p>
    <w:p w:rsidR="00056544" w:rsidRPr="007858CD" w:rsidRDefault="00056544" w:rsidP="007858CD">
      <w:pPr>
        <w:rPr>
          <w:rFonts w:cs="Arial"/>
          <w:b/>
          <w:color w:val="auto"/>
          <w:sz w:val="20"/>
          <w:szCs w:val="20"/>
        </w:rPr>
      </w:pPr>
      <w:r w:rsidRPr="007858CD">
        <w:rPr>
          <w:rFonts w:cs="Arial"/>
          <w:b/>
          <w:color w:val="auto"/>
          <w:sz w:val="20"/>
          <w:szCs w:val="20"/>
        </w:rPr>
        <w:t>Programme 1: Administration</w:t>
      </w:r>
    </w:p>
    <w:p w:rsidR="00056544" w:rsidRPr="007858CD" w:rsidRDefault="00056544" w:rsidP="007858CD">
      <w:pPr>
        <w:rPr>
          <w:rFonts w:cs="Arial"/>
          <w:b/>
          <w:color w:val="auto"/>
          <w:sz w:val="20"/>
          <w:szCs w:val="20"/>
          <w:lang w:val="en-ZA"/>
        </w:rPr>
      </w:pPr>
      <w:r w:rsidRPr="007858CD">
        <w:rPr>
          <w:rFonts w:cs="Arial"/>
          <w:b/>
          <w:color w:val="auto"/>
          <w:sz w:val="20"/>
          <w:szCs w:val="20"/>
          <w:lang w:val="en-ZA"/>
        </w:rPr>
        <w:t>6.1.4 Human Resources</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requested more clarity on the unfunded posts of the Deputy Director</w:t>
      </w:r>
      <w:r w:rsidR="00D846AE" w:rsidRPr="007858CD">
        <w:rPr>
          <w:rFonts w:cs="Arial"/>
          <w:color w:val="auto"/>
          <w:sz w:val="20"/>
          <w:szCs w:val="20"/>
        </w:rPr>
        <w:t xml:space="preserve"> for </w:t>
      </w:r>
      <w:r w:rsidRPr="007858CD">
        <w:rPr>
          <w:rFonts w:cs="Arial"/>
          <w:color w:val="auto"/>
          <w:sz w:val="20"/>
          <w:szCs w:val="20"/>
        </w:rPr>
        <w:t xml:space="preserve">Gender </w:t>
      </w:r>
      <w:r w:rsidR="00D846AE" w:rsidRPr="007858CD">
        <w:rPr>
          <w:rFonts w:cs="Arial"/>
          <w:color w:val="auto"/>
          <w:sz w:val="20"/>
          <w:szCs w:val="20"/>
        </w:rPr>
        <w:t xml:space="preserve">and </w:t>
      </w:r>
      <w:r w:rsidRPr="007858CD">
        <w:rPr>
          <w:rFonts w:cs="Arial"/>
          <w:color w:val="auto"/>
          <w:sz w:val="20"/>
          <w:szCs w:val="20"/>
        </w:rPr>
        <w:t xml:space="preserve">for the Rights of Persons with Disabilities Programme.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also questioned why DDG: R</w:t>
      </w:r>
      <w:r w:rsidR="00D846AE" w:rsidRPr="007858CD">
        <w:rPr>
          <w:rFonts w:cs="Arial"/>
          <w:color w:val="auto"/>
          <w:sz w:val="20"/>
          <w:szCs w:val="20"/>
        </w:rPr>
        <w:t>eddy</w:t>
      </w:r>
      <w:r w:rsidRPr="007858CD">
        <w:rPr>
          <w:rFonts w:cs="Arial"/>
          <w:color w:val="auto"/>
          <w:sz w:val="20"/>
          <w:szCs w:val="20"/>
        </w:rPr>
        <w:t xml:space="preserve"> is still Acting DDG and asked by when the post would be filled.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 xml:space="preserve">The Committee also wanted to know when the post of the Labour Relations Officer </w:t>
      </w:r>
      <w:r w:rsidR="00D846AE" w:rsidRPr="007858CD">
        <w:rPr>
          <w:rFonts w:cs="Arial"/>
          <w:color w:val="auto"/>
          <w:sz w:val="20"/>
          <w:szCs w:val="20"/>
        </w:rPr>
        <w:t xml:space="preserve">would </w:t>
      </w:r>
      <w:r w:rsidRPr="007858CD">
        <w:rPr>
          <w:rFonts w:cs="Arial"/>
          <w:color w:val="auto"/>
          <w:sz w:val="20"/>
          <w:szCs w:val="20"/>
        </w:rPr>
        <w:t xml:space="preserve">be filled. </w:t>
      </w:r>
    </w:p>
    <w:p w:rsidR="00056544" w:rsidRPr="007858CD" w:rsidRDefault="00056544" w:rsidP="007858CD">
      <w:pPr>
        <w:numPr>
          <w:ilvl w:val="0"/>
          <w:numId w:val="22"/>
        </w:numPr>
        <w:rPr>
          <w:rFonts w:cs="Arial"/>
          <w:color w:val="auto"/>
          <w:sz w:val="20"/>
          <w:szCs w:val="20"/>
          <w:lang w:val="en-ZA"/>
        </w:rPr>
      </w:pPr>
      <w:r w:rsidRPr="007858CD">
        <w:rPr>
          <w:rFonts w:cs="Arial"/>
          <w:color w:val="auto"/>
          <w:sz w:val="20"/>
          <w:szCs w:val="20"/>
          <w:lang w:val="en-ZA"/>
        </w:rPr>
        <w:t xml:space="preserve">The Committee noted with concern that the majority of staff were employed within the Administration programme as opposed to the core programmes and </w:t>
      </w:r>
      <w:r w:rsidR="00711A41" w:rsidRPr="007858CD">
        <w:rPr>
          <w:rFonts w:cs="Arial"/>
          <w:color w:val="auto"/>
          <w:sz w:val="20"/>
          <w:szCs w:val="20"/>
          <w:lang w:val="en-ZA"/>
        </w:rPr>
        <w:t>despite this there were still key critical vacancies in Programme 1</w:t>
      </w:r>
      <w:r w:rsidRPr="007858CD">
        <w:rPr>
          <w:rFonts w:cs="Arial"/>
          <w:color w:val="auto"/>
          <w:sz w:val="20"/>
          <w:szCs w:val="20"/>
          <w:lang w:val="en-ZA"/>
        </w:rPr>
        <w:t>.</w:t>
      </w:r>
    </w:p>
    <w:p w:rsidR="00E84AE6" w:rsidRPr="007858CD" w:rsidRDefault="00E84AE6" w:rsidP="007858CD">
      <w:pPr>
        <w:rPr>
          <w:rFonts w:cs="Arial"/>
          <w:color w:val="auto"/>
          <w:sz w:val="20"/>
          <w:szCs w:val="20"/>
        </w:rPr>
      </w:pPr>
    </w:p>
    <w:p w:rsidR="00E84AE6" w:rsidRPr="007858CD" w:rsidRDefault="00E84AE6" w:rsidP="007858CD">
      <w:pPr>
        <w:rPr>
          <w:rFonts w:cs="Arial"/>
          <w:b/>
          <w:color w:val="auto"/>
          <w:sz w:val="20"/>
          <w:szCs w:val="20"/>
        </w:rPr>
      </w:pPr>
      <w:r w:rsidRPr="007858CD">
        <w:rPr>
          <w:rFonts w:cs="Arial"/>
          <w:b/>
          <w:color w:val="auto"/>
          <w:sz w:val="20"/>
          <w:szCs w:val="20"/>
        </w:rPr>
        <w:t>6.1.5 Use of consultants</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 xml:space="preserve">The Committee was also concerned about the use of consultants to do work on behalf of the Department.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was concerned about the appointment of consultants for the National Council on Gender Based Violence when there is a Secretariat employed to perform duties for the establishment of the Council. The Committee also queried why the GBVF Secretariat was categorised as consultants when they are employed by the Department.</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lastRenderedPageBreak/>
        <w:t xml:space="preserve">The Committee questioned why there is no skills transfer between the consultants and the support staff of the Department to avoid future use of consultants. The Committee questioned whether there were any skills transferred by consultants to the staff since 2018. </w:t>
      </w:r>
    </w:p>
    <w:p w:rsidR="00E84AE6" w:rsidRPr="007858CD" w:rsidRDefault="00E84AE6"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 xml:space="preserve">The Committee was concerned that R2,3 million is budgeted for use of consultants to do work of the Department i.e. report writing, collecting data etc. and questioned what the current staff was doing at the Department. </w:t>
      </w:r>
    </w:p>
    <w:p w:rsidR="00E84AE6" w:rsidRPr="007858CD" w:rsidRDefault="00E84AE6" w:rsidP="007858CD">
      <w:pPr>
        <w:numPr>
          <w:ilvl w:val="0"/>
          <w:numId w:val="22"/>
        </w:numPr>
        <w:rPr>
          <w:rFonts w:cs="Arial"/>
          <w:color w:val="auto"/>
          <w:sz w:val="20"/>
          <w:szCs w:val="20"/>
          <w:lang w:val="en-ZA"/>
        </w:rPr>
      </w:pPr>
      <w:r w:rsidRPr="007858CD">
        <w:rPr>
          <w:rFonts w:cs="Arial"/>
          <w:color w:val="auto"/>
          <w:sz w:val="20"/>
          <w:szCs w:val="20"/>
          <w:lang w:val="en-ZA"/>
        </w:rPr>
        <w:t>The Committee noted that the Department continued budgeting for consultants and raised this as concern given that it has been</w:t>
      </w:r>
      <w:r w:rsidR="008E305E" w:rsidRPr="007858CD">
        <w:rPr>
          <w:rFonts w:cs="Arial"/>
          <w:color w:val="auto"/>
          <w:sz w:val="20"/>
          <w:szCs w:val="20"/>
          <w:lang w:val="en-ZA"/>
        </w:rPr>
        <w:t xml:space="preserve"> a</w:t>
      </w:r>
      <w:r w:rsidRPr="007858CD">
        <w:rPr>
          <w:rFonts w:cs="Arial"/>
          <w:color w:val="auto"/>
          <w:sz w:val="20"/>
          <w:szCs w:val="20"/>
          <w:lang w:val="en-ZA"/>
        </w:rPr>
        <w:t xml:space="preserve"> matter that the Committee did not support. The Committee had on numerous occasions outlined to the Department why it should desist from using consultants given its limited budget and provided recommendations on how to address the matter. To this end, the Committee also enquired as to when the Department would stop procuring the use of consultants given the fiscal constraints.</w:t>
      </w:r>
    </w:p>
    <w:p w:rsidR="00E84AE6" w:rsidRPr="007858CD" w:rsidRDefault="00E84AE6" w:rsidP="007858CD">
      <w:pPr>
        <w:numPr>
          <w:ilvl w:val="0"/>
          <w:numId w:val="22"/>
        </w:numPr>
        <w:rPr>
          <w:rFonts w:cs="Arial"/>
          <w:color w:val="auto"/>
          <w:sz w:val="20"/>
          <w:szCs w:val="20"/>
          <w:lang w:val="en-ZA"/>
        </w:rPr>
      </w:pPr>
      <w:r w:rsidRPr="007858CD">
        <w:rPr>
          <w:rFonts w:cs="Arial"/>
          <w:color w:val="auto"/>
          <w:sz w:val="20"/>
          <w:szCs w:val="20"/>
          <w:lang w:val="en-ZA"/>
        </w:rPr>
        <w:t xml:space="preserve">Moreover, the Committee noted that the Department has </w:t>
      </w:r>
      <w:r w:rsidR="00D846AE" w:rsidRPr="007858CD">
        <w:rPr>
          <w:rFonts w:cs="Arial"/>
          <w:color w:val="auto"/>
          <w:sz w:val="20"/>
          <w:szCs w:val="20"/>
          <w:lang w:val="en-ZA"/>
        </w:rPr>
        <w:t xml:space="preserve">19 </w:t>
      </w:r>
      <w:r w:rsidRPr="007858CD">
        <w:rPr>
          <w:rFonts w:cs="Arial"/>
          <w:color w:val="auto"/>
          <w:sz w:val="20"/>
          <w:szCs w:val="20"/>
          <w:lang w:val="en-ZA"/>
        </w:rPr>
        <w:t>s</w:t>
      </w:r>
      <w:r w:rsidR="00D846AE" w:rsidRPr="007858CD">
        <w:rPr>
          <w:rFonts w:cs="Arial"/>
          <w:color w:val="auto"/>
          <w:sz w:val="20"/>
          <w:szCs w:val="20"/>
          <w:lang w:val="en-ZA"/>
        </w:rPr>
        <w:t xml:space="preserve">taff who are paid more than R1,2 </w:t>
      </w:r>
      <w:r w:rsidRPr="007858CD">
        <w:rPr>
          <w:rFonts w:cs="Arial"/>
          <w:color w:val="auto"/>
          <w:sz w:val="20"/>
          <w:szCs w:val="20"/>
          <w:lang w:val="en-ZA"/>
        </w:rPr>
        <w:t xml:space="preserve">million per annum </w:t>
      </w:r>
      <w:r w:rsidR="00D846AE" w:rsidRPr="007858CD">
        <w:rPr>
          <w:rFonts w:cs="Arial"/>
          <w:color w:val="auto"/>
          <w:sz w:val="20"/>
          <w:szCs w:val="20"/>
          <w:lang w:val="en-ZA"/>
        </w:rPr>
        <w:t xml:space="preserve">(salary level 13-16) </w:t>
      </w:r>
      <w:r w:rsidRPr="007858CD">
        <w:rPr>
          <w:rFonts w:cs="Arial"/>
          <w:color w:val="auto"/>
          <w:sz w:val="20"/>
          <w:szCs w:val="20"/>
          <w:lang w:val="en-ZA"/>
        </w:rPr>
        <w:t>and thus questioned why the budget was still allocated for consultants to implement programmes of the Department.</w:t>
      </w:r>
    </w:p>
    <w:p w:rsidR="00056544" w:rsidRPr="007858CD" w:rsidRDefault="00056544" w:rsidP="007858CD">
      <w:pPr>
        <w:rPr>
          <w:rFonts w:cs="Arial"/>
          <w:color w:val="auto"/>
          <w:sz w:val="20"/>
          <w:szCs w:val="20"/>
        </w:rPr>
      </w:pPr>
    </w:p>
    <w:p w:rsidR="00056544" w:rsidRPr="007858CD" w:rsidRDefault="00056544" w:rsidP="007858CD">
      <w:pPr>
        <w:rPr>
          <w:rFonts w:cs="Arial"/>
          <w:b/>
          <w:color w:val="auto"/>
          <w:sz w:val="20"/>
          <w:szCs w:val="20"/>
        </w:rPr>
      </w:pPr>
      <w:r w:rsidRPr="007858CD">
        <w:rPr>
          <w:rFonts w:cs="Arial"/>
          <w:b/>
          <w:color w:val="auto"/>
          <w:sz w:val="20"/>
          <w:szCs w:val="20"/>
        </w:rPr>
        <w:t>6.1.</w:t>
      </w:r>
      <w:r w:rsidR="00E84AE6" w:rsidRPr="007858CD">
        <w:rPr>
          <w:rFonts w:cs="Arial"/>
          <w:b/>
          <w:color w:val="auto"/>
          <w:sz w:val="20"/>
          <w:szCs w:val="20"/>
        </w:rPr>
        <w:t>6</w:t>
      </w:r>
      <w:r w:rsidRPr="007858CD">
        <w:rPr>
          <w:rFonts w:cs="Arial"/>
          <w:b/>
          <w:color w:val="auto"/>
          <w:sz w:val="20"/>
          <w:szCs w:val="20"/>
        </w:rPr>
        <w:t xml:space="preserve"> </w:t>
      </w:r>
      <w:r w:rsidR="00711A41" w:rsidRPr="007858CD">
        <w:rPr>
          <w:rFonts w:cs="Arial"/>
          <w:b/>
          <w:color w:val="auto"/>
          <w:sz w:val="20"/>
          <w:szCs w:val="20"/>
        </w:rPr>
        <w:t>Policy and Law Reform</w:t>
      </w:r>
    </w:p>
    <w:p w:rsidR="00056544" w:rsidRPr="007858CD" w:rsidRDefault="00D85B70" w:rsidP="007858CD">
      <w:pPr>
        <w:numPr>
          <w:ilvl w:val="0"/>
          <w:numId w:val="24"/>
        </w:numPr>
        <w:rPr>
          <w:rFonts w:cs="Arial"/>
          <w:color w:val="auto"/>
          <w:sz w:val="20"/>
          <w:szCs w:val="20"/>
          <w:lang w:val="en-ZA"/>
        </w:rPr>
      </w:pPr>
      <w:r w:rsidRPr="007858CD">
        <w:rPr>
          <w:rFonts w:cs="Arial"/>
          <w:color w:val="auto"/>
          <w:sz w:val="20"/>
          <w:szCs w:val="20"/>
          <w:lang w:val="en-ZA"/>
        </w:rPr>
        <w:t>The Committee notes that under programme 1, the Department states that it has developed three pieces of legislation, namely the National Council on Gender Based Violence and Femicide Bill, National Youth Development Agency Amendment Bill and the Promotion of Women’s Rights, Empowerment and Gender Equality Bill that will be introduced in Parliament, however there are no targets related to the above</w:t>
      </w:r>
      <w:r w:rsidR="00DB09DE" w:rsidRPr="007858CD">
        <w:rPr>
          <w:rFonts w:cs="Arial"/>
          <w:color w:val="auto"/>
          <w:sz w:val="20"/>
          <w:szCs w:val="20"/>
          <w:lang w:val="en-ZA"/>
        </w:rPr>
        <w:t xml:space="preserve"> in the current APP</w:t>
      </w:r>
      <w:r w:rsidRPr="007858CD">
        <w:rPr>
          <w:rFonts w:cs="Arial"/>
          <w:color w:val="auto"/>
          <w:sz w:val="20"/>
          <w:szCs w:val="20"/>
          <w:lang w:val="en-ZA"/>
        </w:rPr>
        <w:t>.</w:t>
      </w:r>
      <w:r w:rsidR="00056544" w:rsidRPr="007858CD">
        <w:rPr>
          <w:rFonts w:cs="Arial"/>
          <w:color w:val="auto"/>
          <w:sz w:val="20"/>
          <w:szCs w:val="20"/>
          <w:lang w:val="en-ZA"/>
        </w:rPr>
        <w:t xml:space="preserve"> </w:t>
      </w:r>
    </w:p>
    <w:p w:rsidR="00056544" w:rsidRPr="007858CD" w:rsidRDefault="00056544" w:rsidP="007858CD">
      <w:pPr>
        <w:rPr>
          <w:rFonts w:cs="Arial"/>
          <w:color w:val="auto"/>
          <w:sz w:val="20"/>
          <w:szCs w:val="20"/>
        </w:rPr>
      </w:pPr>
    </w:p>
    <w:p w:rsidR="00056544" w:rsidRPr="007858CD" w:rsidRDefault="00056544" w:rsidP="007858CD">
      <w:pPr>
        <w:rPr>
          <w:rFonts w:cs="Arial"/>
          <w:b/>
          <w:color w:val="auto"/>
          <w:sz w:val="20"/>
          <w:szCs w:val="20"/>
        </w:rPr>
      </w:pPr>
      <w:r w:rsidRPr="007858CD">
        <w:rPr>
          <w:rFonts w:cs="Arial"/>
          <w:b/>
          <w:color w:val="auto"/>
          <w:sz w:val="20"/>
          <w:szCs w:val="20"/>
        </w:rPr>
        <w:t xml:space="preserve">Programme 2: </w:t>
      </w:r>
      <w:r w:rsidR="00E84AE6" w:rsidRPr="007858CD">
        <w:rPr>
          <w:rFonts w:cs="Arial"/>
          <w:b/>
          <w:color w:val="auto"/>
          <w:sz w:val="20"/>
          <w:szCs w:val="20"/>
        </w:rPr>
        <w:t>Mainstreaming Women’s Rights and Advocacy</w:t>
      </w:r>
    </w:p>
    <w:p w:rsidR="00056544" w:rsidRPr="007858CD" w:rsidRDefault="00056544" w:rsidP="007858CD">
      <w:pPr>
        <w:rPr>
          <w:rFonts w:cs="Arial"/>
          <w:b/>
          <w:color w:val="auto"/>
          <w:sz w:val="20"/>
          <w:szCs w:val="20"/>
          <w:lang w:val="en-ZA"/>
        </w:rPr>
      </w:pPr>
      <w:r w:rsidRPr="007858CD">
        <w:rPr>
          <w:rFonts w:cs="Arial"/>
          <w:b/>
          <w:color w:val="auto"/>
          <w:sz w:val="20"/>
          <w:szCs w:val="20"/>
          <w:lang w:val="en-ZA"/>
        </w:rPr>
        <w:t>6.1.</w:t>
      </w:r>
      <w:r w:rsidR="00E84AE6" w:rsidRPr="007858CD">
        <w:rPr>
          <w:rFonts w:cs="Arial"/>
          <w:b/>
          <w:color w:val="auto"/>
          <w:sz w:val="20"/>
          <w:szCs w:val="20"/>
          <w:lang w:val="en-ZA"/>
        </w:rPr>
        <w:t>7</w:t>
      </w:r>
      <w:r w:rsidRPr="007858CD">
        <w:rPr>
          <w:rFonts w:cs="Arial"/>
          <w:b/>
          <w:color w:val="auto"/>
          <w:sz w:val="20"/>
          <w:szCs w:val="20"/>
          <w:lang w:val="en-ZA"/>
        </w:rPr>
        <w:t xml:space="preserve"> Sanitary Dignity</w:t>
      </w:r>
    </w:p>
    <w:p w:rsidR="009D1729" w:rsidRPr="007858CD" w:rsidRDefault="00056544" w:rsidP="007858CD">
      <w:pPr>
        <w:numPr>
          <w:ilvl w:val="0"/>
          <w:numId w:val="22"/>
        </w:numPr>
        <w:rPr>
          <w:rFonts w:cs="Arial"/>
          <w:color w:val="auto"/>
          <w:sz w:val="20"/>
          <w:szCs w:val="20"/>
          <w:lang w:val="en-ZA"/>
        </w:rPr>
      </w:pPr>
      <w:r w:rsidRPr="007858CD">
        <w:rPr>
          <w:rFonts w:cs="Arial"/>
          <w:color w:val="auto"/>
          <w:sz w:val="20"/>
          <w:szCs w:val="20"/>
          <w:lang w:val="en-ZA"/>
        </w:rPr>
        <w:t>The Committee</w:t>
      </w:r>
      <w:r w:rsidR="009D1729" w:rsidRPr="007858CD">
        <w:rPr>
          <w:rFonts w:cs="Arial"/>
          <w:color w:val="auto"/>
          <w:sz w:val="20"/>
          <w:szCs w:val="20"/>
          <w:lang w:val="en-ZA"/>
        </w:rPr>
        <w:t xml:space="preserve"> noted that the mere submission of quarterly reports and 1 progress report on the implementation of Sanitary Dignity Implementation Framework by provinces means nothing when the monitoring and evaluation is brought into question having received reports from just 2 provinces during the Committee’s most recent oversight visit to North West and Gauteng Provinces</w:t>
      </w:r>
      <w:r w:rsidRPr="007858CD">
        <w:rPr>
          <w:rFonts w:cs="Arial"/>
          <w:color w:val="auto"/>
          <w:sz w:val="20"/>
          <w:szCs w:val="20"/>
          <w:lang w:val="en-ZA"/>
        </w:rPr>
        <w:t>.</w:t>
      </w:r>
      <w:r w:rsidR="00353BC9" w:rsidRPr="007858CD">
        <w:rPr>
          <w:rFonts w:cs="Arial"/>
          <w:color w:val="auto"/>
          <w:sz w:val="20"/>
          <w:szCs w:val="20"/>
          <w:lang w:val="en-ZA"/>
        </w:rPr>
        <w:t xml:space="preserve"> </w:t>
      </w:r>
      <w:r w:rsidR="009D1729" w:rsidRPr="007858CD">
        <w:rPr>
          <w:rFonts w:cs="Arial"/>
          <w:color w:val="auto"/>
          <w:sz w:val="20"/>
          <w:szCs w:val="20"/>
          <w:lang w:val="en-ZA"/>
        </w:rPr>
        <w:t xml:space="preserve">Based on the information received from </w:t>
      </w:r>
      <w:r w:rsidR="00353BC9" w:rsidRPr="007858CD">
        <w:rPr>
          <w:rFonts w:cs="Arial"/>
          <w:color w:val="auto"/>
          <w:sz w:val="20"/>
          <w:szCs w:val="20"/>
          <w:lang w:val="en-ZA"/>
        </w:rPr>
        <w:t>these</w:t>
      </w:r>
      <w:r w:rsidR="009D1729" w:rsidRPr="007858CD">
        <w:rPr>
          <w:rFonts w:cs="Arial"/>
          <w:color w:val="auto"/>
          <w:sz w:val="20"/>
          <w:szCs w:val="20"/>
          <w:lang w:val="en-ZA"/>
        </w:rPr>
        <w:t xml:space="preserve"> provinces it would appear</w:t>
      </w:r>
      <w:r w:rsidR="00353BC9" w:rsidRPr="007858CD">
        <w:rPr>
          <w:rFonts w:cs="Arial"/>
          <w:color w:val="auto"/>
          <w:sz w:val="20"/>
          <w:szCs w:val="20"/>
          <w:lang w:val="en-ZA"/>
        </w:rPr>
        <w:t xml:space="preserve"> that</w:t>
      </w:r>
      <w:r w:rsidR="009D1729" w:rsidRPr="007858CD">
        <w:rPr>
          <w:rFonts w:cs="Arial"/>
          <w:color w:val="auto"/>
          <w:sz w:val="20"/>
          <w:szCs w:val="20"/>
          <w:lang w:val="en-ZA"/>
        </w:rPr>
        <w:t xml:space="preserve"> the sanitary dignity programme is not rolled out as per the envisaged framework developed by the Department. </w:t>
      </w:r>
      <w:r w:rsidR="00353BC9" w:rsidRPr="007858CD">
        <w:rPr>
          <w:rFonts w:cs="Arial"/>
          <w:color w:val="auto"/>
          <w:sz w:val="20"/>
          <w:szCs w:val="20"/>
          <w:lang w:val="en-ZA"/>
        </w:rPr>
        <w:t xml:space="preserve">The Committee notes that </w:t>
      </w:r>
      <w:r w:rsidR="009D1729" w:rsidRPr="007858CD">
        <w:rPr>
          <w:rFonts w:cs="Arial"/>
          <w:color w:val="auto"/>
          <w:sz w:val="20"/>
          <w:szCs w:val="20"/>
          <w:lang w:val="en-ZA"/>
        </w:rPr>
        <w:t>like the presentation</w:t>
      </w:r>
      <w:r w:rsidR="00353BC9" w:rsidRPr="007858CD">
        <w:rPr>
          <w:rFonts w:cs="Arial"/>
          <w:color w:val="auto"/>
          <w:sz w:val="20"/>
          <w:szCs w:val="20"/>
          <w:lang w:val="en-ZA"/>
        </w:rPr>
        <w:t xml:space="preserve"> received</w:t>
      </w:r>
      <w:r w:rsidR="009D1729" w:rsidRPr="007858CD">
        <w:rPr>
          <w:rFonts w:cs="Arial"/>
          <w:color w:val="auto"/>
          <w:sz w:val="20"/>
          <w:szCs w:val="20"/>
          <w:lang w:val="en-ZA"/>
        </w:rPr>
        <w:t xml:space="preserve"> almost two years ago, it can be deduced that the status quo remained and that there is no uniformity in the rollout of the SDP.</w:t>
      </w:r>
    </w:p>
    <w:p w:rsidR="00056544" w:rsidRPr="007858CD" w:rsidRDefault="00056544" w:rsidP="007858CD">
      <w:pPr>
        <w:rPr>
          <w:rFonts w:cs="Arial"/>
          <w:color w:val="auto"/>
          <w:sz w:val="20"/>
          <w:szCs w:val="20"/>
          <w:lang w:val="en-ZA"/>
        </w:rPr>
      </w:pPr>
    </w:p>
    <w:p w:rsidR="00056544" w:rsidRPr="007858CD" w:rsidRDefault="00056544" w:rsidP="007858CD">
      <w:pPr>
        <w:rPr>
          <w:rFonts w:cs="Arial"/>
          <w:b/>
          <w:color w:val="auto"/>
          <w:sz w:val="20"/>
          <w:szCs w:val="20"/>
          <w:lang w:val="en-ZA"/>
        </w:rPr>
      </w:pPr>
      <w:r w:rsidRPr="007858CD">
        <w:rPr>
          <w:rFonts w:cs="Arial"/>
          <w:b/>
          <w:color w:val="auto"/>
          <w:sz w:val="20"/>
          <w:szCs w:val="20"/>
          <w:lang w:val="en-ZA"/>
        </w:rPr>
        <w:t>6.1.</w:t>
      </w:r>
      <w:r w:rsidR="00E84AE6" w:rsidRPr="007858CD">
        <w:rPr>
          <w:rFonts w:cs="Arial"/>
          <w:b/>
          <w:color w:val="auto"/>
          <w:sz w:val="20"/>
          <w:szCs w:val="20"/>
          <w:lang w:val="en-ZA"/>
        </w:rPr>
        <w:t>8</w:t>
      </w:r>
      <w:r w:rsidRPr="007858CD">
        <w:rPr>
          <w:rFonts w:cs="Arial"/>
          <w:b/>
          <w:color w:val="auto"/>
          <w:sz w:val="20"/>
          <w:szCs w:val="20"/>
          <w:lang w:val="en-ZA"/>
        </w:rPr>
        <w:t xml:space="preserve"> Gender-Based Violence and Femicide (GBVF)</w:t>
      </w:r>
    </w:p>
    <w:p w:rsidR="008A070D" w:rsidRPr="007858CD" w:rsidRDefault="00056544" w:rsidP="007858CD">
      <w:pPr>
        <w:numPr>
          <w:ilvl w:val="0"/>
          <w:numId w:val="22"/>
        </w:numPr>
        <w:suppressAutoHyphens/>
        <w:autoSpaceDN w:val="0"/>
        <w:textAlignment w:val="baseline"/>
        <w:rPr>
          <w:rFonts w:cs="Arial"/>
          <w:color w:val="auto"/>
          <w:sz w:val="20"/>
          <w:szCs w:val="20"/>
        </w:rPr>
      </w:pPr>
      <w:r w:rsidRPr="007858CD">
        <w:rPr>
          <w:rFonts w:cs="Arial"/>
          <w:b/>
          <w:color w:val="auto"/>
          <w:sz w:val="20"/>
          <w:szCs w:val="20"/>
          <w:lang w:val="en-ZA"/>
        </w:rPr>
        <w:t>National Council on GBVF</w:t>
      </w:r>
      <w:r w:rsidRPr="007858CD">
        <w:rPr>
          <w:rFonts w:cs="Arial"/>
          <w:color w:val="auto"/>
          <w:sz w:val="20"/>
          <w:szCs w:val="20"/>
          <w:lang w:val="en-ZA"/>
        </w:rPr>
        <w:t xml:space="preserve">: </w:t>
      </w:r>
      <w:r w:rsidR="008A070D" w:rsidRPr="007858CD">
        <w:rPr>
          <w:rFonts w:cs="Arial"/>
          <w:color w:val="auto"/>
          <w:sz w:val="20"/>
          <w:szCs w:val="20"/>
        </w:rPr>
        <w:t>The Committee asked what the status of National Council on Gender Based Violence is, what the allocation of R5 million includes and how much was budgeted to establish the NCGBVF.</w:t>
      </w:r>
    </w:p>
    <w:p w:rsidR="00EF7E4B" w:rsidRPr="007858CD" w:rsidRDefault="00056544" w:rsidP="007858CD">
      <w:pPr>
        <w:numPr>
          <w:ilvl w:val="0"/>
          <w:numId w:val="25"/>
        </w:numPr>
        <w:rPr>
          <w:rFonts w:cs="Arial"/>
          <w:color w:val="auto"/>
          <w:sz w:val="20"/>
          <w:szCs w:val="20"/>
          <w:lang w:val="en-ZA"/>
        </w:rPr>
      </w:pPr>
      <w:r w:rsidRPr="007858CD">
        <w:rPr>
          <w:rFonts w:cs="Arial"/>
          <w:b/>
          <w:color w:val="auto"/>
          <w:sz w:val="20"/>
          <w:szCs w:val="20"/>
          <w:lang w:val="en-ZA"/>
        </w:rPr>
        <w:t xml:space="preserve">National Strategic Plan on GBVF: </w:t>
      </w:r>
      <w:r w:rsidRPr="007858CD">
        <w:rPr>
          <w:rFonts w:cs="Arial"/>
          <w:color w:val="auto"/>
          <w:sz w:val="20"/>
          <w:szCs w:val="20"/>
          <w:lang w:val="en-ZA"/>
        </w:rPr>
        <w:t>The Committee</w:t>
      </w:r>
      <w:r w:rsidR="00EF7E4B" w:rsidRPr="007858CD">
        <w:rPr>
          <w:rFonts w:cs="Arial"/>
          <w:color w:val="auto"/>
          <w:sz w:val="20"/>
          <w:szCs w:val="20"/>
          <w:lang w:val="en-ZA"/>
        </w:rPr>
        <w:t xml:space="preserve"> notes that in terms of the target on monitoring the implementation of the NSP GBVF at national, provincial and municipal level, the Department indicates that it will be done through the analysis of strategic plans. The Strategic Plan (pg42.), states that in monitoring priorities related to WYPD, a choice was made to focus on national departments as provincial departments are primarily coordinated by Offices of the Premier. The Committee questions whether the Department has the capacity to do this, especially given the fact that thus far it has managed to review 22 departments, and that it is halfway through its 2020-2025 strategic plan. </w:t>
      </w:r>
    </w:p>
    <w:p w:rsidR="008A070D" w:rsidRPr="007858CD" w:rsidRDefault="008A070D" w:rsidP="007858CD">
      <w:pPr>
        <w:numPr>
          <w:ilvl w:val="0"/>
          <w:numId w:val="22"/>
        </w:numPr>
        <w:suppressAutoHyphens/>
        <w:autoSpaceDN w:val="0"/>
        <w:textAlignment w:val="baseline"/>
        <w:rPr>
          <w:rFonts w:cs="Arial"/>
          <w:color w:val="auto"/>
          <w:sz w:val="20"/>
          <w:szCs w:val="20"/>
        </w:rPr>
      </w:pPr>
      <w:r w:rsidRPr="007858CD">
        <w:rPr>
          <w:rFonts w:cs="Arial"/>
          <w:b/>
          <w:color w:val="auto"/>
          <w:sz w:val="20"/>
          <w:szCs w:val="20"/>
        </w:rPr>
        <w:t>Rapid Response Teams</w:t>
      </w:r>
      <w:r w:rsidRPr="007858CD">
        <w:rPr>
          <w:rFonts w:cs="Arial"/>
          <w:color w:val="auto"/>
          <w:sz w:val="20"/>
          <w:szCs w:val="20"/>
        </w:rPr>
        <w:t>: The Committee was concerned that there was no link between the APP with regards to Rapid Response Team and what the Department is actually doing and thus requested more information on the issue.</w:t>
      </w:r>
    </w:p>
    <w:p w:rsidR="008A070D" w:rsidRPr="007858CD" w:rsidRDefault="008A070D"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The Committee was concerned that the Department was not doing enough in terms of the prevention aspect of gender-based violence.</w:t>
      </w:r>
    </w:p>
    <w:p w:rsidR="00056544" w:rsidRPr="007858CD" w:rsidRDefault="00056544" w:rsidP="007858CD">
      <w:pPr>
        <w:rPr>
          <w:rFonts w:cs="Arial"/>
          <w:color w:val="auto"/>
          <w:sz w:val="20"/>
          <w:szCs w:val="20"/>
          <w:lang w:val="en-ZA"/>
        </w:rPr>
      </w:pPr>
    </w:p>
    <w:p w:rsidR="004A170D" w:rsidRPr="007858CD" w:rsidRDefault="004A170D" w:rsidP="007858CD">
      <w:pPr>
        <w:rPr>
          <w:rFonts w:cs="Arial"/>
          <w:color w:val="auto"/>
          <w:sz w:val="20"/>
          <w:szCs w:val="20"/>
          <w:lang w:val="en-ZA"/>
        </w:rPr>
      </w:pPr>
    </w:p>
    <w:p w:rsidR="00E84AE6" w:rsidRPr="007858CD" w:rsidRDefault="00E84AE6" w:rsidP="007858CD">
      <w:pPr>
        <w:rPr>
          <w:rFonts w:cs="Arial"/>
          <w:b/>
          <w:color w:val="auto"/>
          <w:sz w:val="20"/>
          <w:szCs w:val="20"/>
          <w:lang w:val="en-ZA"/>
        </w:rPr>
      </w:pPr>
      <w:r w:rsidRPr="007858CD">
        <w:rPr>
          <w:rFonts w:cs="Arial"/>
          <w:b/>
          <w:color w:val="auto"/>
          <w:sz w:val="20"/>
          <w:szCs w:val="20"/>
          <w:lang w:val="en-ZA"/>
        </w:rPr>
        <w:t>6.1.9</w:t>
      </w:r>
      <w:r w:rsidR="00002C2D" w:rsidRPr="007858CD">
        <w:rPr>
          <w:rFonts w:cs="Arial"/>
          <w:b/>
          <w:color w:val="auto"/>
          <w:sz w:val="20"/>
          <w:szCs w:val="20"/>
          <w:lang w:val="en-ZA"/>
        </w:rPr>
        <w:t xml:space="preserve"> Economic Empowerment</w:t>
      </w:r>
    </w:p>
    <w:p w:rsidR="00E84AE6" w:rsidRPr="007858CD" w:rsidRDefault="00002C2D" w:rsidP="007858CD">
      <w:pPr>
        <w:pStyle w:val="ListParagraph"/>
        <w:numPr>
          <w:ilvl w:val="0"/>
          <w:numId w:val="23"/>
        </w:numPr>
        <w:rPr>
          <w:rFonts w:cs="Arial"/>
          <w:color w:val="auto"/>
          <w:sz w:val="20"/>
          <w:szCs w:val="20"/>
          <w:lang w:val="en-ZA"/>
        </w:rPr>
      </w:pPr>
      <w:r w:rsidRPr="007858CD">
        <w:rPr>
          <w:rFonts w:cs="Arial"/>
          <w:b/>
          <w:color w:val="auto"/>
          <w:sz w:val="20"/>
          <w:szCs w:val="20"/>
          <w:lang w:val="en-ZA"/>
        </w:rPr>
        <w:t>Interventions to support economic empowerment</w:t>
      </w:r>
      <w:r w:rsidRPr="007858CD">
        <w:rPr>
          <w:rFonts w:cs="Arial"/>
          <w:color w:val="auto"/>
          <w:sz w:val="20"/>
          <w:szCs w:val="20"/>
          <w:lang w:val="en-ZA"/>
        </w:rPr>
        <w:t xml:space="preserve">: The Committee noted that the Department listed 4 interventions to support economic empowerment and participation for women, youth and persons with disabilities which related to agriculture, </w:t>
      </w:r>
      <w:r w:rsidR="00DB09DE" w:rsidRPr="007858CD">
        <w:rPr>
          <w:rFonts w:cs="Arial"/>
          <w:color w:val="auto"/>
          <w:sz w:val="20"/>
          <w:szCs w:val="20"/>
          <w:lang w:val="en-ZA"/>
        </w:rPr>
        <w:t xml:space="preserve">the </w:t>
      </w:r>
      <w:r w:rsidRPr="007858CD">
        <w:rPr>
          <w:rFonts w:cs="Arial"/>
          <w:color w:val="auto"/>
          <w:sz w:val="20"/>
          <w:szCs w:val="20"/>
          <w:lang w:val="en-ZA"/>
        </w:rPr>
        <w:t xml:space="preserve">sanitary dignity programme economic value chain, </w:t>
      </w:r>
      <w:r w:rsidR="00DB09DE" w:rsidRPr="007858CD">
        <w:rPr>
          <w:rFonts w:cs="Arial"/>
          <w:color w:val="auto"/>
          <w:sz w:val="20"/>
          <w:szCs w:val="20"/>
          <w:lang w:val="en-ZA"/>
        </w:rPr>
        <w:t xml:space="preserve">the </w:t>
      </w:r>
      <w:r w:rsidRPr="007858CD">
        <w:rPr>
          <w:rFonts w:cs="Arial"/>
          <w:color w:val="auto"/>
          <w:sz w:val="20"/>
          <w:szCs w:val="20"/>
          <w:lang w:val="en-ZA"/>
        </w:rPr>
        <w:t xml:space="preserve">green economy and women in trade. Whilst this is commendable, the focus for each area varies from expanding access and ownership to job creation and accessing funds to government spend. All of these variables measure completely different outcomes which is oversimplified in a composite indicator listed by the Department. This brings into question what exactly the Department will be doing given its capacity and resource constraints but more importantly how this relates to its role as a regulator. Given that </w:t>
      </w:r>
      <w:r w:rsidRPr="007858CD">
        <w:rPr>
          <w:rFonts w:cs="Arial"/>
          <w:color w:val="auto"/>
          <w:sz w:val="20"/>
          <w:szCs w:val="20"/>
          <w:lang w:val="en-ZA"/>
        </w:rPr>
        <w:lastRenderedPageBreak/>
        <w:t>the Department defines forms of interventions as hosting a symposium, conferences, radio campaign shows, workshops and consultations with stakeholders for the economic empowerment and participation of women, youth and persons with disabilities in the various economic value chains. What is more apparent is the lack of collaboration with the NYDA</w:t>
      </w:r>
      <w:r w:rsidR="000271D8" w:rsidRPr="007858CD">
        <w:rPr>
          <w:rFonts w:cs="Arial"/>
          <w:color w:val="auto"/>
          <w:sz w:val="20"/>
          <w:szCs w:val="20"/>
          <w:lang w:val="en-ZA"/>
        </w:rPr>
        <w:t>,</w:t>
      </w:r>
      <w:r w:rsidRPr="007858CD">
        <w:rPr>
          <w:rFonts w:cs="Arial"/>
          <w:color w:val="auto"/>
          <w:sz w:val="20"/>
          <w:szCs w:val="20"/>
          <w:lang w:val="en-ZA"/>
        </w:rPr>
        <w:t xml:space="preserve"> a key stakeholder within the Department as this does not find expression in the current APP.</w:t>
      </w:r>
    </w:p>
    <w:p w:rsidR="00002C2D" w:rsidRPr="007858CD" w:rsidRDefault="00002C2D" w:rsidP="007858CD">
      <w:pPr>
        <w:rPr>
          <w:rFonts w:cs="Arial"/>
          <w:color w:val="auto"/>
          <w:sz w:val="20"/>
          <w:szCs w:val="20"/>
          <w:lang w:val="en-ZA"/>
        </w:rPr>
      </w:pPr>
    </w:p>
    <w:p w:rsidR="00056544" w:rsidRPr="007858CD" w:rsidRDefault="00056544" w:rsidP="007858CD">
      <w:pPr>
        <w:rPr>
          <w:rFonts w:cs="Arial"/>
          <w:b/>
          <w:color w:val="auto"/>
          <w:sz w:val="20"/>
          <w:szCs w:val="20"/>
          <w:lang w:val="en-ZA"/>
        </w:rPr>
      </w:pPr>
      <w:r w:rsidRPr="007858CD">
        <w:rPr>
          <w:rFonts w:cs="Arial"/>
          <w:b/>
          <w:color w:val="auto"/>
          <w:sz w:val="20"/>
          <w:szCs w:val="20"/>
          <w:lang w:val="en-ZA"/>
        </w:rPr>
        <w:t xml:space="preserve">Programme 3: </w:t>
      </w:r>
      <w:r w:rsidR="00E84AE6" w:rsidRPr="007858CD">
        <w:rPr>
          <w:rFonts w:cs="Arial"/>
          <w:b/>
          <w:color w:val="auto"/>
          <w:sz w:val="20"/>
          <w:szCs w:val="20"/>
          <w:lang w:val="en-ZA"/>
        </w:rPr>
        <w:t>Monitoring, Evaluation, Research and Coordination</w:t>
      </w:r>
    </w:p>
    <w:p w:rsidR="00056544" w:rsidRPr="007858CD" w:rsidRDefault="00056544" w:rsidP="007858CD">
      <w:pPr>
        <w:rPr>
          <w:rFonts w:cs="Arial"/>
          <w:b/>
          <w:color w:val="auto"/>
          <w:sz w:val="20"/>
          <w:szCs w:val="20"/>
          <w:lang w:val="en-ZA"/>
        </w:rPr>
      </w:pPr>
      <w:r w:rsidRPr="007858CD">
        <w:rPr>
          <w:rFonts w:cs="Arial"/>
          <w:b/>
          <w:color w:val="auto"/>
          <w:sz w:val="20"/>
          <w:szCs w:val="20"/>
          <w:lang w:val="en-ZA"/>
        </w:rPr>
        <w:t>6.1.10 Monitoring and Evaluation</w:t>
      </w:r>
    </w:p>
    <w:p w:rsidR="0048474B" w:rsidRPr="007858CD" w:rsidRDefault="0048474B" w:rsidP="007858CD">
      <w:pPr>
        <w:numPr>
          <w:ilvl w:val="0"/>
          <w:numId w:val="22"/>
        </w:numPr>
        <w:suppressAutoHyphens/>
        <w:autoSpaceDN w:val="0"/>
        <w:textAlignment w:val="baseline"/>
        <w:rPr>
          <w:rFonts w:cs="Arial"/>
          <w:color w:val="auto"/>
          <w:sz w:val="20"/>
          <w:szCs w:val="20"/>
        </w:rPr>
      </w:pPr>
      <w:r w:rsidRPr="007858CD">
        <w:rPr>
          <w:rFonts w:cs="Arial"/>
          <w:color w:val="auto"/>
          <w:sz w:val="20"/>
          <w:szCs w:val="20"/>
        </w:rPr>
        <w:t xml:space="preserve">The Committee queried what the Department was doing on monitoring &amp; evaluation, research and coordination. </w:t>
      </w:r>
    </w:p>
    <w:p w:rsidR="00E05EAF" w:rsidRPr="007858CD" w:rsidRDefault="00E05EAF" w:rsidP="007858CD">
      <w:pPr>
        <w:rPr>
          <w:rFonts w:cs="Arial"/>
          <w:color w:val="auto"/>
          <w:sz w:val="20"/>
          <w:szCs w:val="20"/>
          <w:lang w:val="en-ZA"/>
        </w:rPr>
      </w:pPr>
    </w:p>
    <w:p w:rsidR="00056544" w:rsidRPr="007858CD" w:rsidRDefault="00E05EAF" w:rsidP="007858CD">
      <w:pPr>
        <w:rPr>
          <w:rFonts w:cs="Arial"/>
          <w:b/>
          <w:color w:val="auto"/>
          <w:sz w:val="20"/>
          <w:szCs w:val="20"/>
          <w:lang w:val="en-ZA"/>
        </w:rPr>
      </w:pPr>
      <w:r w:rsidRPr="007858CD">
        <w:rPr>
          <w:rFonts w:cs="Arial"/>
          <w:b/>
          <w:color w:val="auto"/>
          <w:sz w:val="20"/>
          <w:szCs w:val="20"/>
          <w:lang w:val="en-ZA"/>
        </w:rPr>
        <w:t>6.1.11 Stakeholder Coordination and Outreach</w:t>
      </w:r>
    </w:p>
    <w:p w:rsidR="00E05EAF" w:rsidRPr="007858CD" w:rsidRDefault="00E05EAF" w:rsidP="007858CD">
      <w:pPr>
        <w:pStyle w:val="ListParagraph"/>
        <w:numPr>
          <w:ilvl w:val="0"/>
          <w:numId w:val="23"/>
        </w:numPr>
        <w:rPr>
          <w:rFonts w:cs="Arial"/>
          <w:color w:val="auto"/>
          <w:sz w:val="20"/>
          <w:szCs w:val="20"/>
          <w:lang w:val="en-ZA"/>
        </w:rPr>
      </w:pPr>
      <w:r w:rsidRPr="007858CD">
        <w:rPr>
          <w:rFonts w:cs="Arial"/>
          <w:color w:val="auto"/>
          <w:sz w:val="20"/>
          <w:szCs w:val="20"/>
          <w:lang w:val="en-ZA"/>
        </w:rPr>
        <w:t>The Committee noted with concern that nearly three years since the Department was established, the Department lacked a stakeholder database hence this affected the performance of the stakeholder coordination and outreach programme. Whilst</w:t>
      </w:r>
      <w:r w:rsidRPr="007858CD">
        <w:rPr>
          <w:rFonts w:cs="Arial"/>
          <w:color w:val="auto"/>
          <w:sz w:val="20"/>
          <w:szCs w:val="20"/>
        </w:rPr>
        <w:t xml:space="preserve"> the development of a stakeholder directory (database) is warranted, it is concerning that the Department since its inception does not have one in place which is being updated on an ongoing basis. This brings into question how stakeholder coordination is being managed by the Department.</w:t>
      </w:r>
    </w:p>
    <w:p w:rsidR="00E05EAF" w:rsidRPr="007858CD" w:rsidRDefault="00E05EAF" w:rsidP="007858CD">
      <w:pPr>
        <w:rPr>
          <w:rFonts w:cs="Arial"/>
          <w:color w:val="auto"/>
          <w:sz w:val="20"/>
          <w:szCs w:val="20"/>
          <w:lang w:val="en-ZA"/>
        </w:rPr>
      </w:pPr>
    </w:p>
    <w:p w:rsidR="004A170D" w:rsidRPr="007858CD" w:rsidRDefault="004A170D" w:rsidP="007858CD">
      <w:pPr>
        <w:rPr>
          <w:rFonts w:cs="Arial"/>
          <w:color w:val="auto"/>
          <w:sz w:val="20"/>
          <w:szCs w:val="20"/>
          <w:lang w:val="en-ZA"/>
        </w:rPr>
      </w:pPr>
    </w:p>
    <w:p w:rsidR="00056544" w:rsidRPr="007858CD" w:rsidRDefault="008A070D" w:rsidP="007858CD">
      <w:pPr>
        <w:rPr>
          <w:rFonts w:cs="Arial"/>
          <w:b/>
          <w:color w:val="auto"/>
          <w:sz w:val="20"/>
          <w:szCs w:val="20"/>
          <w:lang w:val="en-ZA"/>
        </w:rPr>
      </w:pPr>
      <w:r w:rsidRPr="007858CD">
        <w:rPr>
          <w:rFonts w:cs="Arial"/>
          <w:b/>
          <w:color w:val="auto"/>
          <w:sz w:val="20"/>
          <w:szCs w:val="20"/>
          <w:lang w:val="en-ZA"/>
        </w:rPr>
        <w:t>Programme 4: Mainstreaming Youth and Persons with Disabilities Rights and Advocacy</w:t>
      </w:r>
    </w:p>
    <w:p w:rsidR="00056544" w:rsidRPr="007858CD" w:rsidRDefault="00056544" w:rsidP="007858CD">
      <w:pPr>
        <w:rPr>
          <w:rFonts w:cs="Arial"/>
          <w:b/>
          <w:color w:val="auto"/>
          <w:sz w:val="20"/>
          <w:szCs w:val="20"/>
          <w:lang w:val="en-ZA"/>
        </w:rPr>
      </w:pPr>
      <w:r w:rsidRPr="007858CD">
        <w:rPr>
          <w:rFonts w:cs="Arial"/>
          <w:b/>
          <w:color w:val="auto"/>
          <w:sz w:val="20"/>
          <w:szCs w:val="20"/>
          <w:lang w:val="en-ZA"/>
        </w:rPr>
        <w:t>6.1.1</w:t>
      </w:r>
      <w:r w:rsidR="00E05EAF" w:rsidRPr="007858CD">
        <w:rPr>
          <w:rFonts w:cs="Arial"/>
          <w:b/>
          <w:color w:val="auto"/>
          <w:sz w:val="20"/>
          <w:szCs w:val="20"/>
          <w:lang w:val="en-ZA"/>
        </w:rPr>
        <w:t>2</w:t>
      </w:r>
      <w:r w:rsidR="008A070D" w:rsidRPr="007858CD">
        <w:rPr>
          <w:rFonts w:cs="Arial"/>
          <w:b/>
          <w:color w:val="auto"/>
          <w:sz w:val="20"/>
          <w:szCs w:val="20"/>
          <w:lang w:val="en-ZA"/>
        </w:rPr>
        <w:t xml:space="preserve"> Sub-programme</w:t>
      </w:r>
      <w:r w:rsidRPr="007858CD">
        <w:rPr>
          <w:rFonts w:cs="Arial"/>
          <w:b/>
          <w:color w:val="auto"/>
          <w:sz w:val="20"/>
          <w:szCs w:val="20"/>
          <w:lang w:val="en-ZA"/>
        </w:rPr>
        <w:t xml:space="preserve">: </w:t>
      </w:r>
      <w:r w:rsidR="008A070D" w:rsidRPr="007858CD">
        <w:rPr>
          <w:rFonts w:cs="Arial"/>
          <w:b/>
          <w:color w:val="auto"/>
          <w:sz w:val="20"/>
          <w:szCs w:val="20"/>
          <w:lang w:val="en-ZA"/>
        </w:rPr>
        <w:t xml:space="preserve">Advocacy and Mainstreaming </w:t>
      </w:r>
      <w:r w:rsidRPr="007858CD">
        <w:rPr>
          <w:rFonts w:cs="Arial"/>
          <w:b/>
          <w:color w:val="auto"/>
          <w:sz w:val="20"/>
          <w:szCs w:val="20"/>
          <w:lang w:val="en-ZA"/>
        </w:rPr>
        <w:t>Rights of Persons with Disabilities</w:t>
      </w:r>
    </w:p>
    <w:p w:rsidR="00056544" w:rsidRPr="007858CD" w:rsidRDefault="00056544" w:rsidP="007858CD">
      <w:pPr>
        <w:numPr>
          <w:ilvl w:val="0"/>
          <w:numId w:val="22"/>
        </w:numPr>
        <w:rPr>
          <w:rFonts w:cs="Arial"/>
          <w:color w:val="auto"/>
          <w:sz w:val="20"/>
          <w:szCs w:val="20"/>
          <w:lang w:val="en-ZA"/>
        </w:rPr>
      </w:pPr>
      <w:r w:rsidRPr="007858CD">
        <w:rPr>
          <w:rFonts w:cs="Arial"/>
          <w:b/>
          <w:color w:val="auto"/>
          <w:sz w:val="20"/>
          <w:szCs w:val="20"/>
          <w:lang w:val="en-ZA"/>
        </w:rPr>
        <w:t>Absent Role of Regulator</w:t>
      </w:r>
      <w:r w:rsidRPr="007858CD">
        <w:rPr>
          <w:rFonts w:cs="Arial"/>
          <w:color w:val="auto"/>
          <w:sz w:val="20"/>
          <w:szCs w:val="20"/>
          <w:lang w:val="en-ZA"/>
        </w:rPr>
        <w:t xml:space="preserve">: The Committee was concerned that the regulatory role of the Department </w:t>
      </w:r>
      <w:r w:rsidR="00E05EAF" w:rsidRPr="007858CD">
        <w:rPr>
          <w:rFonts w:cs="Arial"/>
          <w:color w:val="auto"/>
          <w:sz w:val="20"/>
          <w:szCs w:val="20"/>
          <w:lang w:val="en-ZA"/>
        </w:rPr>
        <w:t>does not emerge clearly</w:t>
      </w:r>
      <w:r w:rsidRPr="007858CD">
        <w:rPr>
          <w:rFonts w:cs="Arial"/>
          <w:color w:val="auto"/>
          <w:sz w:val="20"/>
          <w:szCs w:val="20"/>
          <w:lang w:val="en-ZA"/>
        </w:rPr>
        <w:t xml:space="preserve"> in</w:t>
      </w:r>
      <w:r w:rsidR="00E05EAF" w:rsidRPr="007858CD">
        <w:rPr>
          <w:rFonts w:cs="Arial"/>
          <w:color w:val="auto"/>
          <w:sz w:val="20"/>
          <w:szCs w:val="20"/>
          <w:lang w:val="en-ZA"/>
        </w:rPr>
        <w:t xml:space="preserve"> the sub-programme focussed on disability</w:t>
      </w:r>
      <w:r w:rsidRPr="007858CD">
        <w:rPr>
          <w:rFonts w:cs="Arial"/>
          <w:color w:val="auto"/>
          <w:sz w:val="20"/>
          <w:szCs w:val="20"/>
          <w:lang w:val="en-ZA"/>
        </w:rPr>
        <w:t xml:space="preserve">. </w:t>
      </w:r>
    </w:p>
    <w:p w:rsidR="00E05EAF" w:rsidRPr="007858CD" w:rsidRDefault="00E05EAF" w:rsidP="007858CD">
      <w:pPr>
        <w:numPr>
          <w:ilvl w:val="0"/>
          <w:numId w:val="22"/>
        </w:numPr>
        <w:rPr>
          <w:rFonts w:cs="Arial"/>
          <w:color w:val="auto"/>
          <w:sz w:val="20"/>
          <w:szCs w:val="20"/>
          <w:lang w:val="en-ZA"/>
        </w:rPr>
      </w:pPr>
      <w:r w:rsidRPr="007858CD">
        <w:rPr>
          <w:rFonts w:cs="Arial"/>
          <w:b/>
          <w:color w:val="auto"/>
          <w:sz w:val="20"/>
          <w:szCs w:val="20"/>
          <w:lang w:val="en-ZA"/>
        </w:rPr>
        <w:t>Outcomes of reports</w:t>
      </w:r>
      <w:r w:rsidRPr="007858CD">
        <w:rPr>
          <w:rFonts w:cs="Arial"/>
          <w:color w:val="auto"/>
          <w:sz w:val="20"/>
          <w:szCs w:val="20"/>
          <w:lang w:val="en-ZA"/>
        </w:rPr>
        <w:t xml:space="preserve">: The Committee noted the Department’s intent </w:t>
      </w:r>
      <w:r w:rsidR="00DB09DE" w:rsidRPr="007858CD">
        <w:rPr>
          <w:rFonts w:cs="Arial"/>
          <w:color w:val="auto"/>
          <w:sz w:val="20"/>
          <w:szCs w:val="20"/>
          <w:lang w:val="en-ZA"/>
        </w:rPr>
        <w:t xml:space="preserve">to </w:t>
      </w:r>
      <w:r w:rsidR="00B05ED1" w:rsidRPr="007858CD">
        <w:rPr>
          <w:rFonts w:cs="Arial"/>
          <w:color w:val="auto"/>
          <w:sz w:val="20"/>
          <w:szCs w:val="20"/>
          <w:lang w:val="en-ZA"/>
        </w:rPr>
        <w:t>analyse APPs of government departments and develop a status report on national and international obligations. However, the outcomes of these reports, the findings and recommendations and what is done about it is more important. This is particularly important for government departments and entities that are non-compliant.</w:t>
      </w:r>
    </w:p>
    <w:p w:rsidR="0048474B" w:rsidRPr="007858CD" w:rsidRDefault="00056544" w:rsidP="007858CD">
      <w:pPr>
        <w:numPr>
          <w:ilvl w:val="0"/>
          <w:numId w:val="22"/>
        </w:numPr>
        <w:rPr>
          <w:rFonts w:cs="Arial"/>
          <w:color w:val="auto"/>
          <w:sz w:val="20"/>
          <w:szCs w:val="20"/>
        </w:rPr>
      </w:pPr>
      <w:r w:rsidRPr="007858CD">
        <w:rPr>
          <w:rFonts w:cs="Arial"/>
          <w:b/>
          <w:color w:val="auto"/>
          <w:sz w:val="20"/>
          <w:szCs w:val="20"/>
          <w:lang w:val="en-ZA"/>
        </w:rPr>
        <w:t>Disability Rights Bill</w:t>
      </w:r>
      <w:r w:rsidRPr="007858CD">
        <w:rPr>
          <w:rFonts w:cs="Arial"/>
          <w:color w:val="auto"/>
          <w:sz w:val="20"/>
          <w:szCs w:val="20"/>
          <w:lang w:val="en-ZA"/>
        </w:rPr>
        <w:t xml:space="preserve">: </w:t>
      </w:r>
      <w:r w:rsidR="0048474B" w:rsidRPr="007858CD">
        <w:rPr>
          <w:rFonts w:cs="Arial"/>
          <w:color w:val="auto"/>
          <w:sz w:val="20"/>
          <w:szCs w:val="20"/>
        </w:rPr>
        <w:t xml:space="preserve">The Committee noted that there was no mention of the Disability Rights Bill in the APP 2022/23 </w:t>
      </w:r>
      <w:r w:rsidR="00B05ED1" w:rsidRPr="007858CD">
        <w:rPr>
          <w:rFonts w:cs="Arial"/>
          <w:color w:val="auto"/>
          <w:sz w:val="20"/>
          <w:szCs w:val="20"/>
        </w:rPr>
        <w:t xml:space="preserve">as a separate target </w:t>
      </w:r>
      <w:r w:rsidR="0048474B" w:rsidRPr="007858CD">
        <w:rPr>
          <w:rFonts w:cs="Arial"/>
          <w:color w:val="auto"/>
          <w:sz w:val="20"/>
          <w:szCs w:val="20"/>
        </w:rPr>
        <w:t xml:space="preserve">and questioned how the Department </w:t>
      </w:r>
      <w:r w:rsidR="00B05ED1" w:rsidRPr="007858CD">
        <w:rPr>
          <w:rFonts w:cs="Arial"/>
          <w:color w:val="auto"/>
          <w:sz w:val="20"/>
          <w:szCs w:val="20"/>
        </w:rPr>
        <w:t xml:space="preserve">would then </w:t>
      </w:r>
      <w:r w:rsidR="0048474B" w:rsidRPr="007858CD">
        <w:rPr>
          <w:rFonts w:cs="Arial"/>
          <w:color w:val="auto"/>
          <w:sz w:val="20"/>
          <w:szCs w:val="20"/>
        </w:rPr>
        <w:t>ensure the development of the bill.</w:t>
      </w:r>
      <w:r w:rsidR="00B05ED1" w:rsidRPr="007858CD">
        <w:rPr>
          <w:rFonts w:cs="Arial"/>
          <w:color w:val="auto"/>
          <w:sz w:val="20"/>
          <w:szCs w:val="20"/>
        </w:rPr>
        <w:t xml:space="preserve"> More importantly, the Committee was concerned that in the absence of a target it impedes the Committee’s ability to conduct oversight of the Department in this regard.</w:t>
      </w:r>
    </w:p>
    <w:p w:rsidR="00056544" w:rsidRPr="007858CD" w:rsidRDefault="00056544" w:rsidP="007858CD">
      <w:pPr>
        <w:rPr>
          <w:rFonts w:cs="Arial"/>
          <w:color w:val="auto"/>
          <w:sz w:val="20"/>
          <w:szCs w:val="20"/>
          <w:lang w:val="en-ZA"/>
        </w:rPr>
      </w:pPr>
    </w:p>
    <w:p w:rsidR="008A070D" w:rsidRPr="007858CD" w:rsidRDefault="00056544" w:rsidP="007858CD">
      <w:pPr>
        <w:rPr>
          <w:rFonts w:cs="Arial"/>
          <w:b/>
          <w:color w:val="auto"/>
          <w:sz w:val="20"/>
          <w:szCs w:val="20"/>
        </w:rPr>
      </w:pPr>
      <w:r w:rsidRPr="007858CD">
        <w:rPr>
          <w:rFonts w:cs="Arial"/>
          <w:b/>
          <w:color w:val="auto"/>
          <w:sz w:val="20"/>
          <w:szCs w:val="20"/>
          <w:lang w:val="en-ZA"/>
        </w:rPr>
        <w:t>6.1.1</w:t>
      </w:r>
      <w:r w:rsidR="00E05EAF" w:rsidRPr="007858CD">
        <w:rPr>
          <w:rFonts w:cs="Arial"/>
          <w:b/>
          <w:color w:val="auto"/>
          <w:sz w:val="20"/>
          <w:szCs w:val="20"/>
          <w:lang w:val="en-ZA"/>
        </w:rPr>
        <w:t>3</w:t>
      </w:r>
      <w:r w:rsidRPr="007858CD">
        <w:rPr>
          <w:rFonts w:cs="Arial"/>
          <w:b/>
          <w:color w:val="auto"/>
          <w:sz w:val="20"/>
          <w:szCs w:val="20"/>
          <w:lang w:val="en-ZA"/>
        </w:rPr>
        <w:t xml:space="preserve"> </w:t>
      </w:r>
      <w:r w:rsidR="008A070D" w:rsidRPr="007858CD">
        <w:rPr>
          <w:rFonts w:cs="Arial"/>
          <w:b/>
          <w:color w:val="auto"/>
          <w:sz w:val="20"/>
          <w:szCs w:val="20"/>
        </w:rPr>
        <w:t>Sub-programme: Advocacy and Mainstreaming the Rights of Youth</w:t>
      </w:r>
    </w:p>
    <w:p w:rsidR="008A070D" w:rsidRPr="007858CD" w:rsidRDefault="008A070D" w:rsidP="007858CD">
      <w:pPr>
        <w:numPr>
          <w:ilvl w:val="0"/>
          <w:numId w:val="22"/>
        </w:numPr>
        <w:rPr>
          <w:rFonts w:cs="Arial"/>
          <w:color w:val="auto"/>
          <w:sz w:val="20"/>
          <w:szCs w:val="20"/>
        </w:rPr>
      </w:pPr>
      <w:r w:rsidRPr="007858CD">
        <w:rPr>
          <w:rFonts w:cs="Arial"/>
          <w:color w:val="auto"/>
          <w:sz w:val="20"/>
          <w:szCs w:val="20"/>
        </w:rPr>
        <w:t xml:space="preserve">The Committee was concerned that the Department will only produce 4 youth reports for the financial year 2022/23 and requested the Department to provide targets that are workable with regards to youth. </w:t>
      </w:r>
    </w:p>
    <w:p w:rsidR="00E94F81" w:rsidRPr="007858CD" w:rsidRDefault="00E94F81" w:rsidP="007858CD">
      <w:pPr>
        <w:numPr>
          <w:ilvl w:val="0"/>
          <w:numId w:val="22"/>
        </w:numPr>
        <w:rPr>
          <w:rFonts w:cs="Arial"/>
          <w:color w:val="auto"/>
          <w:sz w:val="20"/>
          <w:szCs w:val="20"/>
        </w:rPr>
      </w:pPr>
      <w:r w:rsidRPr="007858CD">
        <w:rPr>
          <w:rFonts w:cs="Arial"/>
          <w:color w:val="auto"/>
          <w:sz w:val="20"/>
          <w:szCs w:val="20"/>
        </w:rPr>
        <w:t>The Committee was not convinced that the targets focussed on youth in Programme 4 addressed youth development in the country. The Committee was unclear how the Department would be driving youth development in the country when its targets were focussed on what it termed ‘oversight’ and production of reports in the main.</w:t>
      </w:r>
    </w:p>
    <w:p w:rsidR="00E94F81" w:rsidRPr="007858CD" w:rsidRDefault="00E94F81" w:rsidP="007858CD">
      <w:pPr>
        <w:numPr>
          <w:ilvl w:val="0"/>
          <w:numId w:val="22"/>
        </w:numPr>
        <w:rPr>
          <w:rFonts w:cs="Arial"/>
          <w:color w:val="auto"/>
          <w:sz w:val="20"/>
          <w:szCs w:val="20"/>
        </w:rPr>
      </w:pPr>
      <w:r w:rsidRPr="007858CD">
        <w:rPr>
          <w:rFonts w:cs="Arial"/>
          <w:color w:val="auto"/>
          <w:sz w:val="20"/>
          <w:szCs w:val="20"/>
        </w:rPr>
        <w:t>The Committee was also unclear about the Chief Director positions for the disability and youth component and how these positions would function practically.</w:t>
      </w:r>
    </w:p>
    <w:p w:rsidR="008A070D" w:rsidRPr="007858CD" w:rsidRDefault="008A070D" w:rsidP="007858CD">
      <w:pPr>
        <w:numPr>
          <w:ilvl w:val="0"/>
          <w:numId w:val="22"/>
        </w:numPr>
        <w:rPr>
          <w:rFonts w:cs="Arial"/>
          <w:color w:val="auto"/>
          <w:sz w:val="20"/>
          <w:szCs w:val="20"/>
        </w:rPr>
      </w:pPr>
      <w:r w:rsidRPr="007858CD">
        <w:rPr>
          <w:rFonts w:cs="Arial"/>
          <w:color w:val="auto"/>
          <w:sz w:val="20"/>
          <w:szCs w:val="20"/>
        </w:rPr>
        <w:t>The Committee was concerned that Programme 1 received more budget with less staff whilst Programme 4 received a smaller operational budget and fewer staff members.</w:t>
      </w:r>
    </w:p>
    <w:p w:rsidR="008A070D" w:rsidRPr="007858CD" w:rsidRDefault="008A070D" w:rsidP="007858CD">
      <w:pPr>
        <w:numPr>
          <w:ilvl w:val="0"/>
          <w:numId w:val="22"/>
        </w:numPr>
        <w:rPr>
          <w:rFonts w:cs="Arial"/>
          <w:color w:val="auto"/>
          <w:sz w:val="20"/>
          <w:szCs w:val="20"/>
        </w:rPr>
      </w:pPr>
      <w:r w:rsidRPr="007858CD">
        <w:rPr>
          <w:rFonts w:cs="Arial"/>
          <w:color w:val="auto"/>
          <w:sz w:val="20"/>
          <w:szCs w:val="20"/>
        </w:rPr>
        <w:t xml:space="preserve">The Committee was concerned that the Department was going to conduct oversight over the National Youth Development Agency and questioned how this does not usurp the powers of the Portfolio Committee. </w:t>
      </w:r>
    </w:p>
    <w:p w:rsidR="008A070D" w:rsidRPr="007858CD" w:rsidRDefault="008A070D" w:rsidP="007858CD">
      <w:pPr>
        <w:numPr>
          <w:ilvl w:val="0"/>
          <w:numId w:val="22"/>
        </w:numPr>
        <w:rPr>
          <w:rFonts w:cs="Arial"/>
          <w:color w:val="auto"/>
          <w:sz w:val="20"/>
          <w:szCs w:val="20"/>
        </w:rPr>
      </w:pPr>
      <w:r w:rsidRPr="007858CD">
        <w:rPr>
          <w:rFonts w:cs="Arial"/>
          <w:color w:val="auto"/>
          <w:sz w:val="20"/>
          <w:szCs w:val="20"/>
        </w:rPr>
        <w:t>The Committee was also concerned about how the Department assist</w:t>
      </w:r>
      <w:r w:rsidR="00DB09DE" w:rsidRPr="007858CD">
        <w:rPr>
          <w:rFonts w:cs="Arial"/>
          <w:color w:val="auto"/>
          <w:sz w:val="20"/>
          <w:szCs w:val="20"/>
        </w:rPr>
        <w:t>s</w:t>
      </w:r>
      <w:r w:rsidRPr="007858CD">
        <w:rPr>
          <w:rFonts w:cs="Arial"/>
          <w:color w:val="auto"/>
          <w:sz w:val="20"/>
          <w:szCs w:val="20"/>
        </w:rPr>
        <w:t xml:space="preserve"> the NYDA to achieve its objectives. </w:t>
      </w:r>
    </w:p>
    <w:p w:rsidR="008A070D" w:rsidRPr="007858CD" w:rsidRDefault="008A070D" w:rsidP="007858CD">
      <w:pPr>
        <w:numPr>
          <w:ilvl w:val="0"/>
          <w:numId w:val="22"/>
        </w:numPr>
        <w:rPr>
          <w:rFonts w:cs="Arial"/>
          <w:color w:val="auto"/>
          <w:sz w:val="20"/>
          <w:szCs w:val="20"/>
        </w:rPr>
      </w:pPr>
      <w:r w:rsidRPr="007858CD">
        <w:rPr>
          <w:rFonts w:cs="Arial"/>
          <w:color w:val="auto"/>
          <w:sz w:val="20"/>
          <w:szCs w:val="20"/>
        </w:rPr>
        <w:t xml:space="preserve">The Committee was also concerned about how the Department would ensure that other government departments mainstreams issues related to youth and issues related to persons with disabilities. </w:t>
      </w:r>
    </w:p>
    <w:p w:rsidR="008A070D" w:rsidRPr="007858CD" w:rsidRDefault="008A070D" w:rsidP="007858CD">
      <w:pPr>
        <w:numPr>
          <w:ilvl w:val="0"/>
          <w:numId w:val="22"/>
        </w:numPr>
        <w:rPr>
          <w:rFonts w:cs="Arial"/>
          <w:color w:val="auto"/>
          <w:sz w:val="20"/>
          <w:szCs w:val="20"/>
        </w:rPr>
      </w:pPr>
      <w:r w:rsidRPr="007858CD">
        <w:rPr>
          <w:rFonts w:cs="Arial"/>
          <w:color w:val="auto"/>
          <w:sz w:val="20"/>
          <w:szCs w:val="20"/>
        </w:rPr>
        <w:t>The Committee noted that the Department has stopped the role of policy making and research &amp; development from the NYDA and requested clarity on the matter.</w:t>
      </w:r>
    </w:p>
    <w:p w:rsidR="00056544" w:rsidRPr="007858CD" w:rsidRDefault="00056544" w:rsidP="007858CD">
      <w:pPr>
        <w:numPr>
          <w:ilvl w:val="0"/>
          <w:numId w:val="24"/>
        </w:numPr>
        <w:rPr>
          <w:rFonts w:cs="Arial"/>
          <w:color w:val="auto"/>
          <w:sz w:val="20"/>
          <w:szCs w:val="20"/>
          <w:lang w:val="en-ZA"/>
        </w:rPr>
      </w:pPr>
      <w:r w:rsidRPr="007858CD">
        <w:rPr>
          <w:rFonts w:cs="Arial"/>
          <w:b/>
          <w:color w:val="auto"/>
          <w:sz w:val="20"/>
          <w:szCs w:val="20"/>
          <w:lang w:val="en-ZA"/>
        </w:rPr>
        <w:t>National Youth Policy (NYP)</w:t>
      </w:r>
      <w:r w:rsidRPr="007858CD">
        <w:rPr>
          <w:rFonts w:cs="Arial"/>
          <w:color w:val="auto"/>
          <w:sz w:val="20"/>
          <w:szCs w:val="20"/>
          <w:lang w:val="en-ZA"/>
        </w:rPr>
        <w:t xml:space="preserve">: The Committee also enquired as to whether the National Youth Policy Implementation Monitoring reports were any different to that of the NYDA’s quarterly reports submitted to the Committee. </w:t>
      </w:r>
    </w:p>
    <w:p w:rsidR="00056544" w:rsidRPr="007858CD" w:rsidRDefault="00056544" w:rsidP="007858CD">
      <w:pPr>
        <w:numPr>
          <w:ilvl w:val="0"/>
          <w:numId w:val="24"/>
        </w:numPr>
        <w:rPr>
          <w:rFonts w:cs="Arial"/>
          <w:color w:val="auto"/>
          <w:sz w:val="20"/>
          <w:szCs w:val="20"/>
          <w:lang w:val="en-ZA"/>
        </w:rPr>
      </w:pPr>
      <w:r w:rsidRPr="007858CD">
        <w:rPr>
          <w:rFonts w:cs="Arial"/>
          <w:b/>
          <w:color w:val="auto"/>
          <w:sz w:val="20"/>
          <w:szCs w:val="20"/>
          <w:lang w:val="en-ZA"/>
        </w:rPr>
        <w:t>NYDA Amendment Bill</w:t>
      </w:r>
      <w:r w:rsidRPr="007858CD">
        <w:rPr>
          <w:rFonts w:cs="Arial"/>
          <w:color w:val="auto"/>
          <w:sz w:val="20"/>
          <w:szCs w:val="20"/>
          <w:lang w:val="en-ZA"/>
        </w:rPr>
        <w:t xml:space="preserve">: The Committee </w:t>
      </w:r>
      <w:r w:rsidR="005F39A0" w:rsidRPr="007858CD">
        <w:rPr>
          <w:rFonts w:cs="Arial"/>
          <w:color w:val="auto"/>
          <w:sz w:val="20"/>
          <w:szCs w:val="20"/>
          <w:lang w:val="en-ZA"/>
        </w:rPr>
        <w:t>noted that the Bill appeared in a recent ATC and welcome</w:t>
      </w:r>
      <w:r w:rsidR="005471B8" w:rsidRPr="007858CD">
        <w:rPr>
          <w:rFonts w:cs="Arial"/>
          <w:color w:val="auto"/>
          <w:sz w:val="20"/>
          <w:szCs w:val="20"/>
          <w:lang w:val="en-ZA"/>
        </w:rPr>
        <w:t>d</w:t>
      </w:r>
      <w:r w:rsidR="005F39A0" w:rsidRPr="007858CD">
        <w:rPr>
          <w:rFonts w:cs="Arial"/>
          <w:color w:val="auto"/>
          <w:sz w:val="20"/>
          <w:szCs w:val="20"/>
          <w:lang w:val="en-ZA"/>
        </w:rPr>
        <w:t xml:space="preserve"> the initiative by the Department.</w:t>
      </w:r>
    </w:p>
    <w:p w:rsidR="00FD3EBB" w:rsidRPr="007858CD" w:rsidRDefault="00FD3EBB" w:rsidP="007858CD">
      <w:pPr>
        <w:numPr>
          <w:ilvl w:val="0"/>
          <w:numId w:val="24"/>
        </w:numPr>
        <w:rPr>
          <w:rFonts w:cs="Arial"/>
          <w:color w:val="auto"/>
          <w:sz w:val="20"/>
          <w:szCs w:val="20"/>
          <w:lang w:val="en-ZA"/>
        </w:rPr>
      </w:pPr>
      <w:r w:rsidRPr="007858CD">
        <w:rPr>
          <w:rFonts w:cs="Arial"/>
          <w:b/>
          <w:color w:val="auto"/>
          <w:sz w:val="20"/>
          <w:szCs w:val="20"/>
          <w:lang w:val="en-ZA"/>
        </w:rPr>
        <w:lastRenderedPageBreak/>
        <w:t>South African Youth Development Bill</w:t>
      </w:r>
      <w:r w:rsidRPr="007858CD">
        <w:rPr>
          <w:rFonts w:cs="Arial"/>
          <w:color w:val="auto"/>
          <w:sz w:val="20"/>
          <w:szCs w:val="20"/>
          <w:lang w:val="en-ZA"/>
        </w:rPr>
        <w:t xml:space="preserve">: </w:t>
      </w:r>
      <w:r w:rsidR="00B05ED1" w:rsidRPr="007858CD">
        <w:rPr>
          <w:rFonts w:cs="Arial"/>
          <w:color w:val="auto"/>
          <w:sz w:val="20"/>
          <w:szCs w:val="20"/>
          <w:lang w:val="en-ZA"/>
        </w:rPr>
        <w:t>The Committee was initially concerned that the proposed Bill would be a duplication of the NYDA Act. Having received further clarity from the Department’s Youth Branch the Committee was able to gain more insight. Notwithstanding that, a full briefing on the purpose of the Bill and its contents will be prioritised in the Committee’s programme for the current FY.</w:t>
      </w:r>
    </w:p>
    <w:p w:rsidR="00056544" w:rsidRPr="007858CD" w:rsidRDefault="00056544" w:rsidP="007858CD">
      <w:pPr>
        <w:numPr>
          <w:ilvl w:val="0"/>
          <w:numId w:val="24"/>
        </w:numPr>
        <w:rPr>
          <w:rFonts w:cs="Arial"/>
          <w:color w:val="auto"/>
          <w:sz w:val="20"/>
          <w:szCs w:val="20"/>
          <w:lang w:val="en-ZA"/>
        </w:rPr>
      </w:pPr>
      <w:r w:rsidRPr="007858CD">
        <w:rPr>
          <w:rFonts w:cs="Arial"/>
          <w:b/>
          <w:color w:val="auto"/>
          <w:sz w:val="20"/>
          <w:szCs w:val="20"/>
          <w:lang w:val="en-ZA"/>
        </w:rPr>
        <w:t xml:space="preserve">Relationship with </w:t>
      </w:r>
      <w:r w:rsidR="00550404" w:rsidRPr="007858CD">
        <w:rPr>
          <w:rFonts w:cs="Arial"/>
          <w:b/>
          <w:color w:val="auto"/>
          <w:sz w:val="20"/>
          <w:szCs w:val="20"/>
          <w:lang w:val="en-ZA"/>
        </w:rPr>
        <w:t>NYDA</w:t>
      </w:r>
      <w:r w:rsidRPr="007858CD">
        <w:rPr>
          <w:rFonts w:cs="Arial"/>
          <w:color w:val="auto"/>
          <w:sz w:val="20"/>
          <w:szCs w:val="20"/>
          <w:lang w:val="en-ZA"/>
        </w:rPr>
        <w:t xml:space="preserve">: The Committee was concerned about the lack of a working relationship between the National Youth Development Agency and the Department especially Programme </w:t>
      </w:r>
      <w:r w:rsidR="005471B8" w:rsidRPr="007858CD">
        <w:rPr>
          <w:rFonts w:cs="Arial"/>
          <w:color w:val="auto"/>
          <w:sz w:val="20"/>
          <w:szCs w:val="20"/>
          <w:lang w:val="en-ZA"/>
        </w:rPr>
        <w:t>4</w:t>
      </w:r>
      <w:r w:rsidRPr="007858CD">
        <w:rPr>
          <w:rFonts w:cs="Arial"/>
          <w:color w:val="auto"/>
          <w:sz w:val="20"/>
          <w:szCs w:val="20"/>
          <w:lang w:val="en-ZA"/>
        </w:rPr>
        <w:t xml:space="preserve">. </w:t>
      </w:r>
    </w:p>
    <w:p w:rsidR="00563C08" w:rsidRPr="007858CD" w:rsidRDefault="00056544" w:rsidP="007858CD">
      <w:pPr>
        <w:rPr>
          <w:rFonts w:cs="Arial"/>
          <w:color w:val="auto"/>
          <w:sz w:val="20"/>
          <w:szCs w:val="20"/>
        </w:rPr>
      </w:pPr>
      <w:r w:rsidRPr="007858CD">
        <w:rPr>
          <w:rFonts w:cs="Arial"/>
          <w:color w:val="auto"/>
          <w:sz w:val="20"/>
          <w:szCs w:val="20"/>
        </w:rPr>
        <w:t xml:space="preserve"> </w:t>
      </w:r>
    </w:p>
    <w:p w:rsidR="00883452" w:rsidRPr="007858CD" w:rsidRDefault="00056544" w:rsidP="007858CD">
      <w:pPr>
        <w:rPr>
          <w:rFonts w:cs="Arial"/>
          <w:b/>
          <w:color w:val="auto"/>
          <w:sz w:val="20"/>
          <w:szCs w:val="20"/>
        </w:rPr>
      </w:pPr>
      <w:r w:rsidRPr="007858CD">
        <w:rPr>
          <w:rFonts w:cs="Arial"/>
          <w:b/>
          <w:color w:val="auto"/>
          <w:sz w:val="20"/>
          <w:szCs w:val="20"/>
        </w:rPr>
        <w:t>6</w:t>
      </w:r>
      <w:r w:rsidR="00883452" w:rsidRPr="007858CD">
        <w:rPr>
          <w:rFonts w:cs="Arial"/>
          <w:b/>
          <w:color w:val="auto"/>
          <w:sz w:val="20"/>
          <w:szCs w:val="20"/>
        </w:rPr>
        <w:t>.2 National Youth Development Agency</w:t>
      </w:r>
    </w:p>
    <w:p w:rsidR="009B4D1E" w:rsidRPr="007858CD" w:rsidRDefault="009B4D1E" w:rsidP="007858CD">
      <w:pPr>
        <w:rPr>
          <w:rFonts w:cs="Arial"/>
          <w:color w:val="auto"/>
          <w:sz w:val="20"/>
          <w:szCs w:val="20"/>
        </w:rPr>
      </w:pPr>
      <w:r w:rsidRPr="007858CD">
        <w:rPr>
          <w:rFonts w:cs="Arial"/>
          <w:color w:val="auto"/>
          <w:sz w:val="20"/>
          <w:szCs w:val="20"/>
        </w:rPr>
        <w:t xml:space="preserve">In terms of the National Youth Development Agency, </w:t>
      </w:r>
      <w:r w:rsidR="00CB2881" w:rsidRPr="007858CD">
        <w:rPr>
          <w:rFonts w:cs="Arial"/>
          <w:color w:val="auto"/>
          <w:sz w:val="20"/>
          <w:szCs w:val="20"/>
        </w:rPr>
        <w:t>the Committee made the following observations:</w:t>
      </w:r>
    </w:p>
    <w:p w:rsidR="009B4D1E" w:rsidRPr="007858CD" w:rsidRDefault="009B4D1E" w:rsidP="007858CD">
      <w:pPr>
        <w:rPr>
          <w:rFonts w:cs="Arial"/>
          <w:color w:val="auto"/>
          <w:sz w:val="20"/>
          <w:szCs w:val="20"/>
        </w:rPr>
      </w:pPr>
    </w:p>
    <w:p w:rsidR="00CB2881" w:rsidRPr="007858CD" w:rsidRDefault="00CB2881" w:rsidP="007858CD">
      <w:pPr>
        <w:rPr>
          <w:rFonts w:cs="Arial"/>
          <w:color w:val="auto"/>
          <w:sz w:val="20"/>
          <w:szCs w:val="20"/>
        </w:rPr>
      </w:pPr>
      <w:r w:rsidRPr="007858CD">
        <w:rPr>
          <w:rFonts w:cs="Arial"/>
          <w:b/>
          <w:color w:val="auto"/>
          <w:sz w:val="20"/>
          <w:szCs w:val="20"/>
        </w:rPr>
        <w:t>6.2.1 General matters</w:t>
      </w:r>
    </w:p>
    <w:p w:rsidR="00CB2881" w:rsidRPr="007858CD" w:rsidRDefault="00CB2881" w:rsidP="007858CD">
      <w:pPr>
        <w:numPr>
          <w:ilvl w:val="0"/>
          <w:numId w:val="26"/>
        </w:numPr>
        <w:rPr>
          <w:rFonts w:cs="Arial"/>
          <w:color w:val="auto"/>
          <w:sz w:val="20"/>
          <w:szCs w:val="20"/>
        </w:rPr>
      </w:pPr>
      <w:r w:rsidRPr="007858CD">
        <w:rPr>
          <w:rFonts w:cs="Arial"/>
          <w:b/>
          <w:color w:val="auto"/>
          <w:sz w:val="20"/>
          <w:szCs w:val="20"/>
          <w:lang w:val="en-ZA"/>
        </w:rPr>
        <w:t>Standardise</w:t>
      </w:r>
      <w:r w:rsidR="00DB09DE" w:rsidRPr="007858CD">
        <w:rPr>
          <w:rFonts w:cs="Arial"/>
          <w:b/>
          <w:color w:val="auto"/>
          <w:sz w:val="20"/>
          <w:szCs w:val="20"/>
          <w:lang w:val="en-ZA"/>
        </w:rPr>
        <w:t>d</w:t>
      </w:r>
      <w:r w:rsidRPr="007858CD">
        <w:rPr>
          <w:rFonts w:cs="Arial"/>
          <w:b/>
          <w:color w:val="auto"/>
          <w:sz w:val="20"/>
          <w:szCs w:val="20"/>
          <w:lang w:val="en-ZA"/>
        </w:rPr>
        <w:t xml:space="preserve"> reporting</w:t>
      </w:r>
      <w:r w:rsidRPr="007858CD">
        <w:rPr>
          <w:rFonts w:cs="Arial"/>
          <w:color w:val="auto"/>
          <w:sz w:val="20"/>
          <w:szCs w:val="20"/>
          <w:lang w:val="en-ZA"/>
        </w:rPr>
        <w:t xml:space="preserve">: The NYDA was </w:t>
      </w:r>
      <w:r w:rsidR="00FD3EBB" w:rsidRPr="007858CD">
        <w:rPr>
          <w:rFonts w:cs="Arial"/>
          <w:color w:val="auto"/>
          <w:sz w:val="20"/>
          <w:szCs w:val="20"/>
          <w:lang w:val="en-ZA"/>
        </w:rPr>
        <w:t>commended for improving its reporting and aligning of programmes and budgetary allocations</w:t>
      </w:r>
      <w:r w:rsidRPr="007858CD">
        <w:rPr>
          <w:rFonts w:cs="Arial"/>
          <w:color w:val="auto"/>
          <w:sz w:val="20"/>
          <w:szCs w:val="20"/>
          <w:lang w:val="en-ZA"/>
        </w:rPr>
        <w:t xml:space="preserve">. </w:t>
      </w:r>
    </w:p>
    <w:p w:rsidR="00CB2881" w:rsidRPr="007858CD" w:rsidRDefault="00CB2881" w:rsidP="007858CD">
      <w:pPr>
        <w:numPr>
          <w:ilvl w:val="0"/>
          <w:numId w:val="26"/>
        </w:numPr>
        <w:rPr>
          <w:rFonts w:cs="Arial"/>
          <w:color w:val="auto"/>
          <w:sz w:val="20"/>
          <w:szCs w:val="20"/>
        </w:rPr>
      </w:pPr>
      <w:r w:rsidRPr="007858CD">
        <w:rPr>
          <w:rFonts w:cs="Arial"/>
          <w:b/>
          <w:color w:val="auto"/>
          <w:sz w:val="20"/>
          <w:szCs w:val="20"/>
        </w:rPr>
        <w:t xml:space="preserve">Inclusion of Youth with Disabilities: </w:t>
      </w:r>
      <w:r w:rsidRPr="007858CD">
        <w:rPr>
          <w:rFonts w:cs="Arial"/>
          <w:color w:val="auto"/>
          <w:sz w:val="20"/>
          <w:szCs w:val="20"/>
        </w:rPr>
        <w:t xml:space="preserve">The Committee welcomed the inclusion of a target for youth with disabilities in the APP of the NYDA. </w:t>
      </w:r>
    </w:p>
    <w:p w:rsidR="006D328A" w:rsidRPr="007858CD" w:rsidRDefault="006D328A" w:rsidP="007858CD">
      <w:pPr>
        <w:numPr>
          <w:ilvl w:val="0"/>
          <w:numId w:val="26"/>
        </w:numPr>
        <w:suppressAutoHyphens/>
        <w:autoSpaceDN w:val="0"/>
        <w:textAlignment w:val="baseline"/>
        <w:rPr>
          <w:rFonts w:cs="Arial"/>
          <w:color w:val="auto"/>
          <w:sz w:val="20"/>
          <w:szCs w:val="20"/>
        </w:rPr>
      </w:pPr>
      <w:r w:rsidRPr="007858CD">
        <w:rPr>
          <w:rFonts w:cs="Arial"/>
          <w:color w:val="auto"/>
          <w:sz w:val="20"/>
          <w:szCs w:val="20"/>
        </w:rPr>
        <w:t>The Committee commended the NYDA for the improvement of its APP for the current financial year</w:t>
      </w:r>
      <w:r w:rsidR="00DB09DE" w:rsidRPr="007858CD">
        <w:rPr>
          <w:rFonts w:cs="Arial"/>
          <w:color w:val="auto"/>
          <w:sz w:val="20"/>
          <w:szCs w:val="20"/>
        </w:rPr>
        <w:t>,</w:t>
      </w:r>
      <w:r w:rsidRPr="007858CD">
        <w:rPr>
          <w:rFonts w:cs="Arial"/>
          <w:color w:val="auto"/>
          <w:sz w:val="20"/>
          <w:szCs w:val="20"/>
        </w:rPr>
        <w:t xml:space="preserve"> 2022/23.</w:t>
      </w:r>
    </w:p>
    <w:p w:rsidR="006D328A" w:rsidRPr="007858CD" w:rsidRDefault="006D328A" w:rsidP="007858CD">
      <w:pPr>
        <w:numPr>
          <w:ilvl w:val="0"/>
          <w:numId w:val="26"/>
        </w:numPr>
        <w:suppressAutoHyphens/>
        <w:autoSpaceDN w:val="0"/>
        <w:textAlignment w:val="baseline"/>
        <w:rPr>
          <w:rFonts w:cs="Arial"/>
          <w:color w:val="auto"/>
          <w:sz w:val="20"/>
          <w:szCs w:val="20"/>
        </w:rPr>
      </w:pPr>
      <w:r w:rsidRPr="007858CD">
        <w:rPr>
          <w:rFonts w:cs="Arial"/>
          <w:color w:val="auto"/>
          <w:sz w:val="20"/>
          <w:szCs w:val="20"/>
        </w:rPr>
        <w:t xml:space="preserve">The Committee commended the NYDA for reflecting the Committee Budgetary Review Recommendation’s Report into the APP for 2022/23 and thanked them for submitting their report on time. </w:t>
      </w:r>
    </w:p>
    <w:p w:rsidR="006D328A" w:rsidRPr="007858CD" w:rsidRDefault="00DB09DE" w:rsidP="007858CD">
      <w:pPr>
        <w:numPr>
          <w:ilvl w:val="0"/>
          <w:numId w:val="26"/>
        </w:numPr>
        <w:suppressAutoHyphens/>
        <w:autoSpaceDN w:val="0"/>
        <w:textAlignment w:val="baseline"/>
        <w:rPr>
          <w:rFonts w:cs="Arial"/>
          <w:color w:val="auto"/>
          <w:sz w:val="20"/>
          <w:szCs w:val="20"/>
        </w:rPr>
      </w:pPr>
      <w:r w:rsidRPr="007858CD">
        <w:rPr>
          <w:rFonts w:cs="Arial"/>
          <w:color w:val="auto"/>
          <w:sz w:val="20"/>
          <w:szCs w:val="20"/>
        </w:rPr>
        <w:t>The Committee sough</w:t>
      </w:r>
      <w:r w:rsidR="006D328A" w:rsidRPr="007858CD">
        <w:rPr>
          <w:rFonts w:cs="Arial"/>
          <w:color w:val="auto"/>
          <w:sz w:val="20"/>
          <w:szCs w:val="20"/>
        </w:rPr>
        <w:t xml:space="preserve">t more clarity on how the NYDA ensured that its target on Performance Information and financial reporting was integrated into the APP for 2022/23. </w:t>
      </w:r>
    </w:p>
    <w:p w:rsidR="006D328A" w:rsidRPr="007858CD" w:rsidRDefault="006D328A" w:rsidP="007858CD">
      <w:pPr>
        <w:numPr>
          <w:ilvl w:val="0"/>
          <w:numId w:val="26"/>
        </w:numPr>
        <w:suppressAutoHyphens/>
        <w:autoSpaceDN w:val="0"/>
        <w:textAlignment w:val="baseline"/>
        <w:rPr>
          <w:rFonts w:cs="Arial"/>
          <w:color w:val="auto"/>
          <w:sz w:val="20"/>
          <w:szCs w:val="20"/>
        </w:rPr>
      </w:pPr>
      <w:r w:rsidRPr="007858CD">
        <w:rPr>
          <w:rFonts w:cs="Arial"/>
          <w:b/>
          <w:color w:val="auto"/>
          <w:sz w:val="20"/>
          <w:szCs w:val="20"/>
        </w:rPr>
        <w:t>AGSA</w:t>
      </w:r>
      <w:r w:rsidRPr="007858CD">
        <w:rPr>
          <w:rFonts w:cs="Arial"/>
          <w:color w:val="auto"/>
          <w:sz w:val="20"/>
          <w:szCs w:val="20"/>
        </w:rPr>
        <w:t xml:space="preserve">: The Committee reiterated the importance of the AGSA findings and recommendations based on the last annual report and as such asked how that was taken into consideration in the development of the APP for 2022/23. </w:t>
      </w:r>
    </w:p>
    <w:p w:rsidR="006D328A" w:rsidRPr="007858CD" w:rsidRDefault="006D328A" w:rsidP="007858CD">
      <w:pPr>
        <w:numPr>
          <w:ilvl w:val="0"/>
          <w:numId w:val="26"/>
        </w:numPr>
        <w:suppressAutoHyphens/>
        <w:autoSpaceDN w:val="0"/>
        <w:textAlignment w:val="baseline"/>
        <w:rPr>
          <w:rFonts w:cs="Arial"/>
          <w:color w:val="auto"/>
          <w:sz w:val="20"/>
          <w:szCs w:val="20"/>
        </w:rPr>
      </w:pPr>
      <w:r w:rsidRPr="007858CD">
        <w:rPr>
          <w:rFonts w:cs="Arial"/>
          <w:b/>
          <w:color w:val="auto"/>
          <w:sz w:val="20"/>
          <w:szCs w:val="20"/>
        </w:rPr>
        <w:t>NYDA Board</w:t>
      </w:r>
      <w:r w:rsidRPr="007858CD">
        <w:rPr>
          <w:rFonts w:cs="Arial"/>
          <w:color w:val="auto"/>
          <w:sz w:val="20"/>
          <w:szCs w:val="20"/>
        </w:rPr>
        <w:t>: The Committee noted that matters pertaining to the NYDA Board’s performance and management was not apparent and therefore the Committee asked if it did find expression in the revised Strategic Plan and APP for 2022/23. To this end, the Committee noted the importance of tracking the performance in the NYDA Board in an open and transparent manner.</w:t>
      </w:r>
    </w:p>
    <w:p w:rsidR="006D328A" w:rsidRPr="007858CD" w:rsidRDefault="006D328A" w:rsidP="007858CD">
      <w:pPr>
        <w:numPr>
          <w:ilvl w:val="0"/>
          <w:numId w:val="26"/>
        </w:numPr>
        <w:contextualSpacing/>
        <w:rPr>
          <w:rFonts w:cs="Arial"/>
          <w:color w:val="auto"/>
          <w:sz w:val="20"/>
          <w:szCs w:val="20"/>
        </w:rPr>
      </w:pPr>
      <w:r w:rsidRPr="007858CD">
        <w:rPr>
          <w:rFonts w:cs="Arial"/>
          <w:color w:val="auto"/>
          <w:sz w:val="20"/>
          <w:szCs w:val="20"/>
        </w:rPr>
        <w:t>The Committee was concerned that Government support provided to young people was not enough given the high rate of youth unemployment in the country.</w:t>
      </w:r>
    </w:p>
    <w:p w:rsidR="006D328A" w:rsidRPr="007858CD" w:rsidRDefault="006D328A" w:rsidP="007858CD">
      <w:pPr>
        <w:numPr>
          <w:ilvl w:val="0"/>
          <w:numId w:val="26"/>
        </w:numPr>
        <w:contextualSpacing/>
        <w:rPr>
          <w:rFonts w:cs="Arial"/>
          <w:color w:val="auto"/>
          <w:sz w:val="20"/>
          <w:szCs w:val="20"/>
        </w:rPr>
      </w:pPr>
      <w:r w:rsidRPr="007858CD">
        <w:rPr>
          <w:rFonts w:cs="Arial"/>
          <w:b/>
          <w:color w:val="auto"/>
          <w:sz w:val="20"/>
          <w:szCs w:val="20"/>
        </w:rPr>
        <w:t>MOUs, M&amp;E</w:t>
      </w:r>
      <w:r w:rsidRPr="007858CD">
        <w:rPr>
          <w:rFonts w:cs="Arial"/>
          <w:color w:val="auto"/>
          <w:sz w:val="20"/>
          <w:szCs w:val="20"/>
        </w:rPr>
        <w:t>: Given the recent challenges that emerged with the Sedibeng Municipality, the Committee reiterated the importance of establishing MOUs with strategic partners and in addition to conduct regular monitoring and evaluate whether what was agreed to has been given effect to. This was important to verify whether services have been rendered, beneficiaries have been reach</w:t>
      </w:r>
      <w:r w:rsidR="00DB09DE" w:rsidRPr="007858CD">
        <w:rPr>
          <w:rFonts w:cs="Arial"/>
          <w:color w:val="auto"/>
          <w:sz w:val="20"/>
          <w:szCs w:val="20"/>
        </w:rPr>
        <w:t>ed</w:t>
      </w:r>
      <w:r w:rsidRPr="007858CD">
        <w:rPr>
          <w:rFonts w:cs="Arial"/>
          <w:color w:val="auto"/>
          <w:sz w:val="20"/>
          <w:szCs w:val="20"/>
        </w:rPr>
        <w:t xml:space="preserve"> and that money is not misappropriated but accounted for. The issue of monitoring was also extended to the support provided to grant beneficiaries to ensure that mentors rendering the necessary support and to identify additional needs or assistance that beneficiaries require.</w:t>
      </w:r>
    </w:p>
    <w:p w:rsidR="00CB2881" w:rsidRPr="007858CD" w:rsidRDefault="00CB2881" w:rsidP="007858CD">
      <w:pPr>
        <w:rPr>
          <w:rFonts w:cs="Arial"/>
          <w:color w:val="auto"/>
          <w:sz w:val="20"/>
          <w:szCs w:val="20"/>
        </w:rPr>
      </w:pPr>
    </w:p>
    <w:p w:rsidR="009905AA" w:rsidRPr="007858CD" w:rsidRDefault="00CB2881" w:rsidP="007858CD">
      <w:pPr>
        <w:rPr>
          <w:rFonts w:cs="Arial"/>
          <w:b/>
          <w:color w:val="auto"/>
          <w:sz w:val="20"/>
          <w:szCs w:val="20"/>
        </w:rPr>
      </w:pPr>
      <w:r w:rsidRPr="007858CD">
        <w:rPr>
          <w:rFonts w:cs="Arial"/>
          <w:b/>
          <w:color w:val="auto"/>
          <w:sz w:val="20"/>
          <w:szCs w:val="20"/>
        </w:rPr>
        <w:t>6.2.</w:t>
      </w:r>
      <w:r w:rsidR="009905AA" w:rsidRPr="007858CD">
        <w:rPr>
          <w:rFonts w:cs="Arial"/>
          <w:b/>
          <w:color w:val="auto"/>
          <w:sz w:val="20"/>
          <w:szCs w:val="20"/>
        </w:rPr>
        <w:t>3 Collaboration with Department of Women, Youth and Persons with Disabilities</w:t>
      </w:r>
    </w:p>
    <w:p w:rsidR="009905AA" w:rsidRPr="007858CD" w:rsidRDefault="009905AA" w:rsidP="007858CD">
      <w:pPr>
        <w:numPr>
          <w:ilvl w:val="0"/>
          <w:numId w:val="33"/>
        </w:numPr>
        <w:suppressAutoHyphens/>
        <w:autoSpaceDN w:val="0"/>
        <w:textAlignment w:val="baseline"/>
        <w:rPr>
          <w:rFonts w:cs="Arial"/>
          <w:color w:val="auto"/>
          <w:sz w:val="20"/>
          <w:szCs w:val="20"/>
        </w:rPr>
      </w:pPr>
      <w:r w:rsidRPr="007858CD">
        <w:rPr>
          <w:rFonts w:cs="Arial"/>
          <w:color w:val="auto"/>
          <w:sz w:val="20"/>
          <w:szCs w:val="20"/>
        </w:rPr>
        <w:t xml:space="preserve">The Committee reiterated the importance of collaboration between the NYDA and the Department of Women, Youth and Persons with Disabilities and therefore asked what programmes will be worked on together as this was not made evident in the APP. </w:t>
      </w:r>
    </w:p>
    <w:p w:rsidR="009905AA" w:rsidRPr="007858CD" w:rsidRDefault="009905AA" w:rsidP="007858CD">
      <w:pPr>
        <w:numPr>
          <w:ilvl w:val="0"/>
          <w:numId w:val="33"/>
        </w:numPr>
        <w:suppressAutoHyphens/>
        <w:autoSpaceDN w:val="0"/>
        <w:textAlignment w:val="baseline"/>
        <w:rPr>
          <w:rFonts w:cs="Arial"/>
          <w:color w:val="auto"/>
          <w:sz w:val="20"/>
          <w:szCs w:val="20"/>
        </w:rPr>
      </w:pPr>
      <w:r w:rsidRPr="007858CD">
        <w:rPr>
          <w:rFonts w:cs="Arial"/>
          <w:color w:val="auto"/>
          <w:sz w:val="20"/>
          <w:szCs w:val="20"/>
        </w:rPr>
        <w:t>The Committee noted with concern that the targets which appeared in the Department of Women, Youth and Person with Disabilities’ APP for 2022/23 appeared to encroach on the mandate of the NYDA and the roles and responsibilities of its CEO. To this end, the Committee so</w:t>
      </w:r>
      <w:r w:rsidR="00DB09DE" w:rsidRPr="007858CD">
        <w:rPr>
          <w:rFonts w:cs="Arial"/>
          <w:color w:val="auto"/>
          <w:sz w:val="20"/>
          <w:szCs w:val="20"/>
        </w:rPr>
        <w:t>ugh</w:t>
      </w:r>
      <w:r w:rsidRPr="007858CD">
        <w:rPr>
          <w:rFonts w:cs="Arial"/>
          <w:color w:val="auto"/>
          <w:sz w:val="20"/>
          <w:szCs w:val="20"/>
        </w:rPr>
        <w:t>t more clarity from the NYDA in this regard.</w:t>
      </w:r>
    </w:p>
    <w:p w:rsidR="009905AA" w:rsidRPr="007858CD" w:rsidRDefault="009905AA" w:rsidP="007858CD">
      <w:pPr>
        <w:numPr>
          <w:ilvl w:val="0"/>
          <w:numId w:val="33"/>
        </w:numPr>
        <w:suppressAutoHyphens/>
        <w:autoSpaceDN w:val="0"/>
        <w:textAlignment w:val="baseline"/>
        <w:rPr>
          <w:rFonts w:cs="Arial"/>
          <w:color w:val="auto"/>
          <w:sz w:val="20"/>
          <w:szCs w:val="20"/>
        </w:rPr>
      </w:pPr>
      <w:r w:rsidRPr="007858CD">
        <w:rPr>
          <w:rFonts w:cs="Arial"/>
          <w:color w:val="auto"/>
          <w:sz w:val="20"/>
          <w:szCs w:val="20"/>
        </w:rPr>
        <w:t xml:space="preserve">The Committee queried whether the NYDA had a working relationship with the Department of Women, Youth and Persons with Disabilities in particular the Programme dealing with Disability in the Department. </w:t>
      </w:r>
    </w:p>
    <w:p w:rsidR="009905AA" w:rsidRPr="007858CD" w:rsidRDefault="009905AA" w:rsidP="007858CD">
      <w:pPr>
        <w:numPr>
          <w:ilvl w:val="0"/>
          <w:numId w:val="33"/>
        </w:numPr>
        <w:suppressAutoHyphens/>
        <w:autoSpaceDN w:val="0"/>
        <w:textAlignment w:val="baseline"/>
        <w:rPr>
          <w:rFonts w:cs="Arial"/>
          <w:color w:val="auto"/>
          <w:sz w:val="20"/>
          <w:szCs w:val="20"/>
        </w:rPr>
      </w:pPr>
      <w:r w:rsidRPr="007858CD">
        <w:rPr>
          <w:rFonts w:cs="Arial"/>
          <w:color w:val="auto"/>
          <w:sz w:val="20"/>
          <w:szCs w:val="20"/>
        </w:rPr>
        <w:t>The Committee questioned how the NYDA deals with policy formulation and research &amp; development function given its mandate and if it collaborated with the Department of Women, Youth and Persons with Disabilities in this regard.</w:t>
      </w:r>
    </w:p>
    <w:p w:rsidR="009905AA" w:rsidRPr="007858CD" w:rsidRDefault="009905AA" w:rsidP="007858CD">
      <w:pPr>
        <w:rPr>
          <w:rFonts w:cs="Arial"/>
          <w:b/>
          <w:color w:val="auto"/>
          <w:sz w:val="20"/>
          <w:szCs w:val="20"/>
        </w:rPr>
      </w:pPr>
    </w:p>
    <w:p w:rsidR="00CB2881" w:rsidRPr="007858CD" w:rsidRDefault="009905AA" w:rsidP="007858CD">
      <w:pPr>
        <w:rPr>
          <w:rFonts w:cs="Arial"/>
          <w:b/>
          <w:color w:val="auto"/>
          <w:sz w:val="20"/>
          <w:szCs w:val="20"/>
          <w:lang w:val="en-ZA"/>
        </w:rPr>
      </w:pPr>
      <w:r w:rsidRPr="007858CD">
        <w:rPr>
          <w:rFonts w:cs="Arial"/>
          <w:b/>
          <w:color w:val="auto"/>
          <w:sz w:val="20"/>
          <w:szCs w:val="20"/>
        </w:rPr>
        <w:t>6.2.4</w:t>
      </w:r>
      <w:r w:rsidR="00CB2881" w:rsidRPr="007858CD">
        <w:rPr>
          <w:rFonts w:cs="Arial"/>
          <w:color w:val="auto"/>
          <w:sz w:val="20"/>
          <w:szCs w:val="20"/>
        </w:rPr>
        <w:t xml:space="preserve"> </w:t>
      </w:r>
      <w:r w:rsidR="000271D8" w:rsidRPr="007858CD">
        <w:rPr>
          <w:rFonts w:cs="Arial"/>
          <w:b/>
          <w:color w:val="auto"/>
          <w:sz w:val="20"/>
          <w:szCs w:val="20"/>
        </w:rPr>
        <w:t>Law Reform</w:t>
      </w:r>
    </w:p>
    <w:p w:rsidR="00FD3EBB" w:rsidRPr="007858CD" w:rsidRDefault="000271D8" w:rsidP="007858CD">
      <w:pPr>
        <w:numPr>
          <w:ilvl w:val="0"/>
          <w:numId w:val="26"/>
        </w:numPr>
        <w:rPr>
          <w:rFonts w:cs="Arial"/>
          <w:color w:val="auto"/>
          <w:sz w:val="20"/>
          <w:szCs w:val="20"/>
          <w:lang w:val="en-ZA"/>
        </w:rPr>
      </w:pPr>
      <w:r w:rsidRPr="007858CD">
        <w:rPr>
          <w:rFonts w:cs="Arial"/>
          <w:b/>
          <w:color w:val="auto"/>
          <w:sz w:val="20"/>
          <w:szCs w:val="20"/>
          <w:lang w:val="en-ZA"/>
        </w:rPr>
        <w:t>NYDA Amendment Bill:</w:t>
      </w:r>
      <w:r w:rsidRPr="007858CD">
        <w:rPr>
          <w:rFonts w:cs="Arial"/>
          <w:color w:val="auto"/>
          <w:sz w:val="20"/>
          <w:szCs w:val="20"/>
          <w:lang w:val="en-ZA"/>
        </w:rPr>
        <w:t xml:space="preserve"> </w:t>
      </w:r>
      <w:r w:rsidR="008772D5" w:rsidRPr="007858CD">
        <w:rPr>
          <w:rFonts w:cs="Arial"/>
          <w:color w:val="auto"/>
          <w:sz w:val="20"/>
          <w:szCs w:val="20"/>
          <w:lang w:val="en-ZA"/>
        </w:rPr>
        <w:t>The Committee</w:t>
      </w:r>
      <w:r w:rsidR="00E07965" w:rsidRPr="007858CD">
        <w:rPr>
          <w:rFonts w:cs="Arial"/>
          <w:color w:val="auto"/>
          <w:sz w:val="20"/>
          <w:szCs w:val="20"/>
          <w:lang w:val="en-ZA"/>
        </w:rPr>
        <w:t xml:space="preserve"> noted that the NYDA stated that it provided input to the amendment Bill to the Department and was satisfied in that regard.</w:t>
      </w:r>
    </w:p>
    <w:p w:rsidR="000271D8" w:rsidRPr="007858CD" w:rsidRDefault="000271D8" w:rsidP="007858CD">
      <w:pPr>
        <w:numPr>
          <w:ilvl w:val="0"/>
          <w:numId w:val="26"/>
        </w:numPr>
        <w:rPr>
          <w:rFonts w:cs="Arial"/>
          <w:color w:val="auto"/>
          <w:sz w:val="20"/>
          <w:szCs w:val="20"/>
          <w:lang w:val="en-ZA"/>
        </w:rPr>
      </w:pPr>
      <w:r w:rsidRPr="007858CD">
        <w:rPr>
          <w:rFonts w:cs="Arial"/>
          <w:b/>
          <w:color w:val="auto"/>
          <w:sz w:val="20"/>
          <w:szCs w:val="20"/>
          <w:lang w:val="en-ZA"/>
        </w:rPr>
        <w:t>SA Youth Development Bill:</w:t>
      </w:r>
      <w:r w:rsidR="001F5C23" w:rsidRPr="007858CD">
        <w:rPr>
          <w:rFonts w:cs="Arial"/>
          <w:b/>
          <w:color w:val="auto"/>
          <w:sz w:val="20"/>
          <w:szCs w:val="20"/>
          <w:lang w:val="en-ZA"/>
        </w:rPr>
        <w:t xml:space="preserve"> </w:t>
      </w:r>
      <w:r w:rsidR="001F5C23" w:rsidRPr="007858CD">
        <w:rPr>
          <w:rFonts w:cs="Arial"/>
          <w:color w:val="auto"/>
          <w:sz w:val="20"/>
          <w:szCs w:val="20"/>
          <w:lang w:val="en-ZA"/>
        </w:rPr>
        <w:t xml:space="preserve">The Committee was concerned with </w:t>
      </w:r>
      <w:r w:rsidR="003338BE" w:rsidRPr="007858CD">
        <w:rPr>
          <w:rFonts w:cs="Arial"/>
          <w:color w:val="auto"/>
          <w:sz w:val="20"/>
          <w:szCs w:val="20"/>
          <w:lang w:val="en-ZA"/>
        </w:rPr>
        <w:t xml:space="preserve">the </w:t>
      </w:r>
      <w:r w:rsidR="001F5C23" w:rsidRPr="007858CD">
        <w:rPr>
          <w:rFonts w:cs="Arial"/>
          <w:color w:val="auto"/>
          <w:sz w:val="20"/>
          <w:szCs w:val="20"/>
          <w:lang w:val="en-ZA"/>
        </w:rPr>
        <w:t xml:space="preserve">potential overlap and duplication insofar as the NYDA Act was concerned but having received a brief explanation </w:t>
      </w:r>
      <w:r w:rsidR="001F5C23" w:rsidRPr="007858CD">
        <w:rPr>
          <w:rFonts w:cs="Arial"/>
          <w:color w:val="auto"/>
          <w:sz w:val="20"/>
          <w:szCs w:val="20"/>
          <w:lang w:val="en-ZA"/>
        </w:rPr>
        <w:lastRenderedPageBreak/>
        <w:t>from the head of the Youth Branch of the Department, the Committee was able to obtain more insight into the proposed Bill.</w:t>
      </w:r>
    </w:p>
    <w:p w:rsidR="008772D5" w:rsidRPr="007858CD" w:rsidRDefault="008772D5" w:rsidP="007858CD">
      <w:pPr>
        <w:rPr>
          <w:rFonts w:cs="Arial"/>
          <w:color w:val="auto"/>
          <w:sz w:val="20"/>
          <w:szCs w:val="20"/>
        </w:rPr>
      </w:pPr>
    </w:p>
    <w:p w:rsidR="000D54DC" w:rsidRPr="007858CD" w:rsidRDefault="000D54DC" w:rsidP="007858CD">
      <w:pPr>
        <w:rPr>
          <w:rFonts w:cs="Arial"/>
          <w:b/>
          <w:color w:val="auto"/>
          <w:sz w:val="20"/>
          <w:szCs w:val="20"/>
        </w:rPr>
      </w:pPr>
      <w:r w:rsidRPr="007858CD">
        <w:rPr>
          <w:rFonts w:cs="Arial"/>
          <w:b/>
          <w:color w:val="auto"/>
          <w:sz w:val="20"/>
          <w:szCs w:val="20"/>
        </w:rPr>
        <w:t>6.2.5 Vacancies</w:t>
      </w:r>
    </w:p>
    <w:p w:rsidR="000D54DC" w:rsidRPr="007858CD" w:rsidRDefault="000D54DC" w:rsidP="007858CD">
      <w:pPr>
        <w:numPr>
          <w:ilvl w:val="0"/>
          <w:numId w:val="36"/>
        </w:numPr>
        <w:suppressAutoHyphens/>
        <w:autoSpaceDN w:val="0"/>
        <w:ind w:left="394"/>
        <w:contextualSpacing/>
        <w:textAlignment w:val="baseline"/>
        <w:rPr>
          <w:rFonts w:cs="Arial"/>
          <w:color w:val="auto"/>
          <w:sz w:val="20"/>
          <w:szCs w:val="20"/>
        </w:rPr>
      </w:pPr>
      <w:r w:rsidRPr="007858CD">
        <w:rPr>
          <w:rFonts w:cs="Arial"/>
          <w:color w:val="auto"/>
          <w:sz w:val="20"/>
          <w:szCs w:val="20"/>
        </w:rPr>
        <w:t xml:space="preserve">The Committee noted with concern the number of vacancies and queried which </w:t>
      </w:r>
      <w:r w:rsidR="009D1729" w:rsidRPr="007858CD">
        <w:rPr>
          <w:rFonts w:cs="Arial"/>
          <w:color w:val="auto"/>
          <w:sz w:val="20"/>
          <w:szCs w:val="20"/>
        </w:rPr>
        <w:t xml:space="preserve">of these </w:t>
      </w:r>
      <w:r w:rsidRPr="007858CD">
        <w:rPr>
          <w:rFonts w:cs="Arial"/>
          <w:color w:val="auto"/>
          <w:sz w:val="20"/>
          <w:szCs w:val="20"/>
        </w:rPr>
        <w:t xml:space="preserve">were considered to be critical. </w:t>
      </w:r>
    </w:p>
    <w:p w:rsidR="000D54DC" w:rsidRPr="007858CD" w:rsidRDefault="000D54DC" w:rsidP="007858CD">
      <w:pPr>
        <w:numPr>
          <w:ilvl w:val="0"/>
          <w:numId w:val="36"/>
        </w:numPr>
        <w:suppressAutoHyphens/>
        <w:autoSpaceDN w:val="0"/>
        <w:ind w:left="394"/>
        <w:contextualSpacing/>
        <w:textAlignment w:val="baseline"/>
        <w:rPr>
          <w:rFonts w:cs="Arial"/>
          <w:color w:val="auto"/>
          <w:sz w:val="20"/>
          <w:szCs w:val="20"/>
        </w:rPr>
      </w:pPr>
      <w:r w:rsidRPr="007858CD">
        <w:rPr>
          <w:rFonts w:cs="Arial"/>
          <w:color w:val="auto"/>
          <w:sz w:val="20"/>
          <w:szCs w:val="20"/>
        </w:rPr>
        <w:t>The Committee sought more information about the 15 specialist</w:t>
      </w:r>
      <w:r w:rsidR="00DB09DE" w:rsidRPr="007858CD">
        <w:rPr>
          <w:rFonts w:cs="Arial"/>
          <w:color w:val="auto"/>
          <w:sz w:val="20"/>
          <w:szCs w:val="20"/>
        </w:rPr>
        <w:t>s</w:t>
      </w:r>
      <w:r w:rsidRPr="007858CD">
        <w:rPr>
          <w:rFonts w:cs="Arial"/>
          <w:color w:val="auto"/>
          <w:sz w:val="20"/>
          <w:szCs w:val="20"/>
        </w:rPr>
        <w:t xml:space="preserve"> that were required as it was unclear what these positions entailed. </w:t>
      </w:r>
    </w:p>
    <w:p w:rsidR="000D54DC" w:rsidRPr="007858CD" w:rsidRDefault="000D54DC" w:rsidP="007858CD">
      <w:pPr>
        <w:numPr>
          <w:ilvl w:val="0"/>
          <w:numId w:val="36"/>
        </w:numPr>
        <w:suppressAutoHyphens/>
        <w:autoSpaceDN w:val="0"/>
        <w:ind w:left="394"/>
        <w:contextualSpacing/>
        <w:textAlignment w:val="baseline"/>
        <w:rPr>
          <w:rFonts w:cs="Arial"/>
          <w:color w:val="auto"/>
          <w:sz w:val="20"/>
          <w:szCs w:val="20"/>
        </w:rPr>
      </w:pPr>
      <w:r w:rsidRPr="007858CD">
        <w:rPr>
          <w:rFonts w:cs="Arial"/>
          <w:color w:val="auto"/>
          <w:sz w:val="20"/>
          <w:szCs w:val="20"/>
        </w:rPr>
        <w:t xml:space="preserve">The Committee noted with concern the vacancies for regional manager positions for the Western Cape, Eastern Cape and Northern Cape Provinces and queried by when these will be filled. </w:t>
      </w:r>
    </w:p>
    <w:p w:rsidR="000D54DC" w:rsidRPr="007858CD" w:rsidRDefault="000D54DC" w:rsidP="007858CD">
      <w:pPr>
        <w:numPr>
          <w:ilvl w:val="0"/>
          <w:numId w:val="36"/>
        </w:numPr>
        <w:suppressAutoHyphens/>
        <w:autoSpaceDN w:val="0"/>
        <w:ind w:left="394"/>
        <w:contextualSpacing/>
        <w:textAlignment w:val="baseline"/>
        <w:rPr>
          <w:rFonts w:cs="Arial"/>
          <w:color w:val="auto"/>
          <w:sz w:val="20"/>
          <w:szCs w:val="20"/>
        </w:rPr>
      </w:pPr>
      <w:r w:rsidRPr="007858CD">
        <w:rPr>
          <w:rFonts w:cs="Arial"/>
          <w:color w:val="auto"/>
          <w:sz w:val="20"/>
          <w:szCs w:val="20"/>
        </w:rPr>
        <w:t xml:space="preserve">The Committee requested an update on the 2 Executive Management positions that could not be filled due to the absence of </w:t>
      </w:r>
      <w:r w:rsidR="003338BE" w:rsidRPr="007858CD">
        <w:rPr>
          <w:rFonts w:cs="Arial"/>
          <w:color w:val="auto"/>
          <w:sz w:val="20"/>
          <w:szCs w:val="20"/>
        </w:rPr>
        <w:t xml:space="preserve">the </w:t>
      </w:r>
      <w:r w:rsidRPr="007858CD">
        <w:rPr>
          <w:rFonts w:cs="Arial"/>
          <w:color w:val="auto"/>
          <w:sz w:val="20"/>
          <w:szCs w:val="20"/>
        </w:rPr>
        <w:t xml:space="preserve">NYDA Board in 2021. </w:t>
      </w:r>
    </w:p>
    <w:p w:rsidR="000D54DC" w:rsidRPr="007858CD" w:rsidRDefault="000D54DC" w:rsidP="007858CD">
      <w:pPr>
        <w:numPr>
          <w:ilvl w:val="0"/>
          <w:numId w:val="36"/>
        </w:numPr>
        <w:suppressAutoHyphens/>
        <w:autoSpaceDN w:val="0"/>
        <w:ind w:left="394"/>
        <w:contextualSpacing/>
        <w:textAlignment w:val="baseline"/>
        <w:rPr>
          <w:rFonts w:cs="Arial"/>
          <w:color w:val="auto"/>
          <w:sz w:val="20"/>
          <w:szCs w:val="20"/>
        </w:rPr>
      </w:pPr>
      <w:r w:rsidRPr="007858CD">
        <w:rPr>
          <w:rFonts w:cs="Arial"/>
          <w:color w:val="auto"/>
          <w:sz w:val="20"/>
          <w:szCs w:val="20"/>
        </w:rPr>
        <w:t>The Committee questioned whether he NYDA had revised the organisational structure and if yes, what informed the revised structure.</w:t>
      </w:r>
    </w:p>
    <w:p w:rsidR="000D54DC" w:rsidRPr="007858CD" w:rsidRDefault="000D54DC" w:rsidP="007858CD">
      <w:pPr>
        <w:rPr>
          <w:rFonts w:cs="Arial"/>
          <w:color w:val="auto"/>
          <w:sz w:val="20"/>
          <w:szCs w:val="20"/>
        </w:rPr>
      </w:pPr>
    </w:p>
    <w:p w:rsidR="009839DB" w:rsidRPr="007858CD" w:rsidRDefault="009839DB" w:rsidP="007858CD">
      <w:pPr>
        <w:rPr>
          <w:rFonts w:cs="Arial"/>
          <w:color w:val="auto"/>
          <w:sz w:val="20"/>
          <w:szCs w:val="20"/>
        </w:rPr>
      </w:pPr>
    </w:p>
    <w:p w:rsidR="009839DB" w:rsidRPr="007858CD" w:rsidRDefault="009839DB" w:rsidP="007858CD">
      <w:pPr>
        <w:rPr>
          <w:rFonts w:cs="Arial"/>
          <w:color w:val="auto"/>
          <w:sz w:val="20"/>
          <w:szCs w:val="20"/>
        </w:rPr>
      </w:pPr>
    </w:p>
    <w:p w:rsidR="00CB2881" w:rsidRPr="007858CD" w:rsidRDefault="00CB2881" w:rsidP="007858CD">
      <w:pPr>
        <w:rPr>
          <w:rFonts w:cs="Arial"/>
          <w:b/>
          <w:color w:val="auto"/>
          <w:sz w:val="20"/>
          <w:szCs w:val="20"/>
        </w:rPr>
      </w:pPr>
      <w:r w:rsidRPr="007858CD">
        <w:rPr>
          <w:rFonts w:cs="Arial"/>
          <w:b/>
          <w:color w:val="auto"/>
          <w:sz w:val="20"/>
          <w:szCs w:val="20"/>
        </w:rPr>
        <w:t>Programme 1</w:t>
      </w:r>
    </w:p>
    <w:p w:rsidR="00CB2881" w:rsidRPr="007858CD" w:rsidRDefault="00CB2881" w:rsidP="007858CD">
      <w:pPr>
        <w:rPr>
          <w:rFonts w:cs="Arial"/>
          <w:b/>
          <w:color w:val="auto"/>
          <w:sz w:val="20"/>
          <w:szCs w:val="20"/>
        </w:rPr>
      </w:pPr>
      <w:r w:rsidRPr="007858CD">
        <w:rPr>
          <w:rFonts w:cs="Arial"/>
          <w:b/>
          <w:color w:val="auto"/>
          <w:sz w:val="20"/>
          <w:szCs w:val="20"/>
        </w:rPr>
        <w:t>6.2</w:t>
      </w:r>
      <w:r w:rsidR="009905AA" w:rsidRPr="007858CD">
        <w:rPr>
          <w:rFonts w:cs="Arial"/>
          <w:b/>
          <w:color w:val="auto"/>
          <w:sz w:val="20"/>
          <w:szCs w:val="20"/>
        </w:rPr>
        <w:t>.</w:t>
      </w:r>
      <w:r w:rsidR="000D54DC" w:rsidRPr="007858CD">
        <w:rPr>
          <w:rFonts w:cs="Arial"/>
          <w:b/>
          <w:color w:val="auto"/>
          <w:sz w:val="20"/>
          <w:szCs w:val="20"/>
        </w:rPr>
        <w:t>6</w:t>
      </w:r>
      <w:r w:rsidRPr="007858CD">
        <w:rPr>
          <w:rFonts w:cs="Arial"/>
          <w:b/>
          <w:color w:val="auto"/>
          <w:sz w:val="20"/>
          <w:szCs w:val="20"/>
        </w:rPr>
        <w:t xml:space="preserve"> </w:t>
      </w:r>
      <w:r w:rsidR="006D328A" w:rsidRPr="007858CD">
        <w:rPr>
          <w:rFonts w:cs="Arial"/>
          <w:b/>
          <w:color w:val="auto"/>
          <w:sz w:val="20"/>
          <w:szCs w:val="20"/>
        </w:rPr>
        <w:t>Programme specific matters</w:t>
      </w:r>
    </w:p>
    <w:p w:rsidR="006D328A" w:rsidRPr="007858CD" w:rsidRDefault="006D328A" w:rsidP="007858CD">
      <w:pPr>
        <w:numPr>
          <w:ilvl w:val="0"/>
          <w:numId w:val="35"/>
        </w:numPr>
        <w:contextualSpacing/>
        <w:rPr>
          <w:rFonts w:cs="Arial"/>
          <w:color w:val="auto"/>
          <w:sz w:val="20"/>
          <w:szCs w:val="20"/>
        </w:rPr>
      </w:pPr>
      <w:r w:rsidRPr="007858CD">
        <w:rPr>
          <w:rFonts w:cs="Arial"/>
          <w:b/>
          <w:color w:val="auto"/>
          <w:sz w:val="20"/>
          <w:szCs w:val="20"/>
        </w:rPr>
        <w:t>Value of funds</w:t>
      </w:r>
      <w:r w:rsidRPr="007858CD">
        <w:rPr>
          <w:rFonts w:cs="Arial"/>
          <w:color w:val="auto"/>
          <w:sz w:val="20"/>
          <w:szCs w:val="20"/>
        </w:rPr>
        <w:t xml:space="preserve">: The Committee noted that the NYDA intends doubling the value of funds sourced from the public and private sector to support youth development programmes in Programme 1. </w:t>
      </w:r>
    </w:p>
    <w:p w:rsidR="006D328A" w:rsidRPr="007858CD" w:rsidRDefault="006D328A" w:rsidP="007858CD">
      <w:pPr>
        <w:numPr>
          <w:ilvl w:val="0"/>
          <w:numId w:val="35"/>
        </w:numPr>
        <w:suppressAutoHyphens/>
        <w:autoSpaceDN w:val="0"/>
        <w:textAlignment w:val="baseline"/>
        <w:rPr>
          <w:rFonts w:cs="Arial"/>
          <w:color w:val="auto"/>
          <w:sz w:val="20"/>
          <w:szCs w:val="20"/>
        </w:rPr>
      </w:pPr>
      <w:r w:rsidRPr="007858CD">
        <w:rPr>
          <w:rFonts w:cs="Arial"/>
          <w:b/>
          <w:color w:val="auto"/>
          <w:sz w:val="20"/>
          <w:szCs w:val="20"/>
        </w:rPr>
        <w:t>Missing targets</w:t>
      </w:r>
      <w:r w:rsidRPr="007858CD">
        <w:rPr>
          <w:rFonts w:cs="Arial"/>
          <w:color w:val="auto"/>
          <w:sz w:val="20"/>
          <w:szCs w:val="20"/>
        </w:rPr>
        <w:t xml:space="preserve">: The Committee noted that the targets which previously appeared in the APP 2021/22 on customer survey and the annual report on government wide priorities, were not reflected in the APP for 2022/23 and questioned whether these have been subsumed in other targets. </w:t>
      </w:r>
    </w:p>
    <w:p w:rsidR="00CB2881" w:rsidRPr="007858CD" w:rsidRDefault="006D328A" w:rsidP="007858CD">
      <w:pPr>
        <w:numPr>
          <w:ilvl w:val="0"/>
          <w:numId w:val="34"/>
        </w:numPr>
        <w:suppressAutoHyphens/>
        <w:autoSpaceDN w:val="0"/>
        <w:textAlignment w:val="baseline"/>
        <w:rPr>
          <w:rFonts w:cs="Arial"/>
          <w:color w:val="auto"/>
          <w:sz w:val="20"/>
          <w:szCs w:val="20"/>
        </w:rPr>
      </w:pPr>
      <w:r w:rsidRPr="007858CD">
        <w:rPr>
          <w:rFonts w:cs="Arial"/>
          <w:b/>
          <w:color w:val="auto"/>
          <w:sz w:val="20"/>
          <w:szCs w:val="20"/>
        </w:rPr>
        <w:t>DPO partnerships</w:t>
      </w:r>
      <w:r w:rsidRPr="007858CD">
        <w:rPr>
          <w:rFonts w:cs="Arial"/>
          <w:color w:val="auto"/>
          <w:sz w:val="20"/>
          <w:szCs w:val="20"/>
        </w:rPr>
        <w:t>: The Committee commended the NYDA for including targets for people with disabilities and for identifying a disability champion to be trained to deal with issues of persons with disabilities. Furthermore, whilst the Committee welcomed the partnerships to be established with disability organisations, the Committee was unclear what the intended purpose was and whether the NYDA would be linking with the National Disability Machinery.</w:t>
      </w:r>
    </w:p>
    <w:p w:rsidR="00CB2881" w:rsidRPr="007858CD" w:rsidRDefault="00CB2881" w:rsidP="007858CD">
      <w:pPr>
        <w:rPr>
          <w:rFonts w:cs="Arial"/>
          <w:color w:val="auto"/>
          <w:sz w:val="20"/>
          <w:szCs w:val="20"/>
        </w:rPr>
      </w:pPr>
    </w:p>
    <w:p w:rsidR="00CB2881" w:rsidRPr="007858CD" w:rsidRDefault="00CB2881" w:rsidP="007858CD">
      <w:pPr>
        <w:rPr>
          <w:rFonts w:cs="Arial"/>
          <w:b/>
          <w:color w:val="auto"/>
          <w:sz w:val="20"/>
          <w:szCs w:val="20"/>
        </w:rPr>
      </w:pPr>
      <w:r w:rsidRPr="007858CD">
        <w:rPr>
          <w:rFonts w:cs="Arial"/>
          <w:b/>
          <w:color w:val="auto"/>
          <w:sz w:val="20"/>
          <w:szCs w:val="20"/>
        </w:rPr>
        <w:t>Programme 2</w:t>
      </w:r>
      <w:r w:rsidR="000D54DC" w:rsidRPr="007858CD">
        <w:rPr>
          <w:rFonts w:cs="Arial"/>
          <w:b/>
          <w:color w:val="auto"/>
          <w:sz w:val="20"/>
          <w:szCs w:val="20"/>
        </w:rPr>
        <w:t>: Operations</w:t>
      </w:r>
    </w:p>
    <w:p w:rsidR="000D54DC" w:rsidRPr="007858CD" w:rsidRDefault="000D54DC" w:rsidP="007858CD">
      <w:pPr>
        <w:rPr>
          <w:rFonts w:cs="Arial"/>
          <w:b/>
          <w:color w:val="auto"/>
          <w:sz w:val="20"/>
          <w:szCs w:val="20"/>
        </w:rPr>
      </w:pPr>
      <w:r w:rsidRPr="007858CD">
        <w:rPr>
          <w:rFonts w:cs="Arial"/>
          <w:b/>
          <w:color w:val="auto"/>
          <w:sz w:val="20"/>
          <w:szCs w:val="20"/>
        </w:rPr>
        <w:t>6.2.7 Sub-programme 1: Economic Development through Youth Entrepreneurship</w:t>
      </w:r>
    </w:p>
    <w:p w:rsidR="009905AA" w:rsidRPr="007858CD" w:rsidRDefault="009905AA" w:rsidP="007858CD">
      <w:pPr>
        <w:numPr>
          <w:ilvl w:val="0"/>
          <w:numId w:val="36"/>
        </w:numPr>
        <w:ind w:left="394"/>
        <w:contextualSpacing/>
        <w:rPr>
          <w:rFonts w:cs="Arial"/>
          <w:color w:val="auto"/>
          <w:sz w:val="20"/>
          <w:szCs w:val="20"/>
        </w:rPr>
      </w:pPr>
      <w:r w:rsidRPr="007858CD">
        <w:rPr>
          <w:rFonts w:cs="Arial"/>
          <w:b/>
          <w:color w:val="auto"/>
          <w:sz w:val="20"/>
          <w:szCs w:val="20"/>
        </w:rPr>
        <w:t>Seta Partnerships</w:t>
      </w:r>
      <w:r w:rsidRPr="007858CD">
        <w:rPr>
          <w:rFonts w:cs="Arial"/>
          <w:color w:val="auto"/>
          <w:sz w:val="20"/>
          <w:szCs w:val="20"/>
        </w:rPr>
        <w:t xml:space="preserve">: The Committee noted that the number of SETA partnerships remained the same as indicated in the APP for 2021/22 and questioned why that is given the increase in funding receiving and the intended number of beneficiaries to be targeted.  </w:t>
      </w:r>
    </w:p>
    <w:p w:rsidR="009905AA" w:rsidRPr="007858CD" w:rsidRDefault="009905AA" w:rsidP="007858CD">
      <w:pPr>
        <w:numPr>
          <w:ilvl w:val="0"/>
          <w:numId w:val="36"/>
        </w:numPr>
        <w:ind w:left="394"/>
        <w:contextualSpacing/>
        <w:rPr>
          <w:rFonts w:cs="Arial"/>
          <w:color w:val="auto"/>
          <w:sz w:val="20"/>
          <w:szCs w:val="20"/>
        </w:rPr>
      </w:pPr>
      <w:r w:rsidRPr="007858CD">
        <w:rPr>
          <w:rFonts w:cs="Arial"/>
          <w:b/>
          <w:color w:val="auto"/>
          <w:sz w:val="20"/>
          <w:szCs w:val="20"/>
        </w:rPr>
        <w:t>Tech companies</w:t>
      </w:r>
      <w:r w:rsidRPr="007858CD">
        <w:rPr>
          <w:rFonts w:cs="Arial"/>
          <w:color w:val="auto"/>
          <w:sz w:val="20"/>
          <w:szCs w:val="20"/>
        </w:rPr>
        <w:t xml:space="preserve">: The Committee enquired as to which tech companies the NYDA intends targeting and what would the NYDA hope to gain out of these partnerships as this was not made clear in the APP. </w:t>
      </w:r>
    </w:p>
    <w:p w:rsidR="009905AA" w:rsidRPr="007858CD" w:rsidRDefault="009905AA" w:rsidP="007858CD">
      <w:pPr>
        <w:numPr>
          <w:ilvl w:val="0"/>
          <w:numId w:val="36"/>
        </w:numPr>
        <w:ind w:left="394"/>
        <w:contextualSpacing/>
        <w:rPr>
          <w:rFonts w:cs="Arial"/>
          <w:color w:val="auto"/>
          <w:sz w:val="20"/>
          <w:szCs w:val="20"/>
        </w:rPr>
      </w:pPr>
      <w:r w:rsidRPr="007858CD">
        <w:rPr>
          <w:rFonts w:cs="Arial"/>
          <w:b/>
          <w:color w:val="auto"/>
          <w:sz w:val="20"/>
          <w:szCs w:val="20"/>
        </w:rPr>
        <w:t>Business development</w:t>
      </w:r>
      <w:r w:rsidRPr="007858CD">
        <w:rPr>
          <w:rFonts w:cs="Arial"/>
          <w:color w:val="auto"/>
          <w:sz w:val="20"/>
          <w:szCs w:val="20"/>
        </w:rPr>
        <w:t>: The Committee noted that beneficiaries supported in terms of business development support services had decreased from 2 500 in the previous FY 2021/22 to 1 000 in 2022/23 as reflected in the current APP. As such the Committee queried, why the target had decreased when the NYDA received more funds and intended to reach more youth.</w:t>
      </w:r>
    </w:p>
    <w:p w:rsidR="009839DB" w:rsidRPr="007858CD" w:rsidRDefault="009839DB" w:rsidP="007858CD">
      <w:pPr>
        <w:contextualSpacing/>
        <w:rPr>
          <w:rFonts w:cs="Arial"/>
          <w:color w:val="auto"/>
          <w:sz w:val="20"/>
          <w:szCs w:val="20"/>
        </w:rPr>
      </w:pPr>
    </w:p>
    <w:p w:rsidR="000D54DC" w:rsidRPr="007858CD" w:rsidRDefault="000D54DC" w:rsidP="007858CD">
      <w:pPr>
        <w:contextualSpacing/>
        <w:rPr>
          <w:rFonts w:cs="Arial"/>
          <w:b/>
          <w:color w:val="auto"/>
          <w:sz w:val="20"/>
          <w:szCs w:val="20"/>
        </w:rPr>
      </w:pPr>
      <w:r w:rsidRPr="007858CD">
        <w:rPr>
          <w:rFonts w:cs="Arial"/>
          <w:b/>
          <w:color w:val="auto"/>
          <w:sz w:val="20"/>
          <w:szCs w:val="20"/>
        </w:rPr>
        <w:t>6.2.8</w:t>
      </w:r>
      <w:r w:rsidR="003338BE" w:rsidRPr="007858CD">
        <w:rPr>
          <w:rFonts w:cs="Arial"/>
          <w:b/>
          <w:color w:val="auto"/>
          <w:sz w:val="20"/>
          <w:szCs w:val="20"/>
        </w:rPr>
        <w:t xml:space="preserve"> Sub-programme 2</w:t>
      </w:r>
      <w:r w:rsidRPr="007858CD">
        <w:rPr>
          <w:rFonts w:cs="Arial"/>
          <w:b/>
          <w:color w:val="auto"/>
          <w:sz w:val="20"/>
          <w:szCs w:val="20"/>
        </w:rPr>
        <w:t>: Decent and Sustainable Employment through Jobs Programme</w:t>
      </w:r>
    </w:p>
    <w:p w:rsidR="009905AA" w:rsidRPr="007858CD" w:rsidRDefault="009905AA" w:rsidP="007858CD">
      <w:pPr>
        <w:numPr>
          <w:ilvl w:val="0"/>
          <w:numId w:val="36"/>
        </w:numPr>
        <w:ind w:left="394"/>
        <w:contextualSpacing/>
        <w:rPr>
          <w:rFonts w:cs="Arial"/>
          <w:color w:val="auto"/>
          <w:sz w:val="20"/>
          <w:szCs w:val="20"/>
        </w:rPr>
      </w:pPr>
      <w:r w:rsidRPr="007858CD">
        <w:rPr>
          <w:rFonts w:cs="Arial"/>
          <w:b/>
          <w:color w:val="auto"/>
          <w:sz w:val="20"/>
          <w:szCs w:val="20"/>
        </w:rPr>
        <w:t>Jobs placement</w:t>
      </w:r>
      <w:r w:rsidRPr="007858CD">
        <w:rPr>
          <w:rFonts w:cs="Arial"/>
          <w:color w:val="auto"/>
          <w:sz w:val="20"/>
          <w:szCs w:val="20"/>
        </w:rPr>
        <w:t>: The Committee noted that the target on 10 000 youth to be placed within the jobs programme lacked detail and therefor</w:t>
      </w:r>
      <w:r w:rsidR="00DB09DE" w:rsidRPr="007858CD">
        <w:rPr>
          <w:rFonts w:cs="Arial"/>
          <w:color w:val="auto"/>
          <w:sz w:val="20"/>
          <w:szCs w:val="20"/>
        </w:rPr>
        <w:t>e</w:t>
      </w:r>
      <w:r w:rsidRPr="007858CD">
        <w:rPr>
          <w:rFonts w:cs="Arial"/>
          <w:color w:val="auto"/>
          <w:sz w:val="20"/>
          <w:szCs w:val="20"/>
        </w:rPr>
        <w:t xml:space="preserve"> the Committee requested more information in that regard.  Without the requisite details, oversight is impeded.</w:t>
      </w:r>
    </w:p>
    <w:p w:rsidR="009905AA" w:rsidRPr="007858CD" w:rsidRDefault="009905AA" w:rsidP="007858CD">
      <w:pPr>
        <w:numPr>
          <w:ilvl w:val="0"/>
          <w:numId w:val="36"/>
        </w:numPr>
        <w:ind w:left="394"/>
        <w:contextualSpacing/>
        <w:rPr>
          <w:rFonts w:cs="Arial"/>
          <w:color w:val="auto"/>
          <w:sz w:val="20"/>
          <w:szCs w:val="20"/>
        </w:rPr>
      </w:pPr>
      <w:r w:rsidRPr="007858CD">
        <w:rPr>
          <w:rFonts w:cs="Arial"/>
          <w:b/>
          <w:color w:val="auto"/>
          <w:sz w:val="20"/>
          <w:szCs w:val="20"/>
        </w:rPr>
        <w:t>Paid services opportunities</w:t>
      </w:r>
      <w:r w:rsidRPr="007858CD">
        <w:rPr>
          <w:rFonts w:cs="Arial"/>
          <w:color w:val="auto"/>
          <w:sz w:val="20"/>
          <w:szCs w:val="20"/>
        </w:rPr>
        <w:t xml:space="preserve">: The Committee noted that the process for identifying the 35 000 young people for securing paid services opportunities was not apparent in the APP nor was there any indication of how the NYDA will ensure equal distribution between Provinces. </w:t>
      </w:r>
    </w:p>
    <w:p w:rsidR="009905AA" w:rsidRPr="007858CD" w:rsidRDefault="009905AA" w:rsidP="007858CD">
      <w:pPr>
        <w:numPr>
          <w:ilvl w:val="0"/>
          <w:numId w:val="36"/>
        </w:numPr>
        <w:ind w:left="394"/>
        <w:contextualSpacing/>
        <w:rPr>
          <w:rFonts w:cs="Arial"/>
          <w:color w:val="auto"/>
          <w:sz w:val="20"/>
          <w:szCs w:val="20"/>
        </w:rPr>
      </w:pPr>
      <w:r w:rsidRPr="007858CD">
        <w:rPr>
          <w:rFonts w:cs="Arial"/>
          <w:b/>
          <w:color w:val="auto"/>
          <w:sz w:val="20"/>
          <w:szCs w:val="20"/>
        </w:rPr>
        <w:t>Planned service activities</w:t>
      </w:r>
      <w:r w:rsidRPr="007858CD">
        <w:rPr>
          <w:rFonts w:cs="Arial"/>
          <w:color w:val="auto"/>
          <w:sz w:val="20"/>
          <w:szCs w:val="20"/>
        </w:rPr>
        <w:t xml:space="preserve">: The Committee queried what determines a service activity in terms of young people who have </w:t>
      </w:r>
      <w:r w:rsidR="00DB09DE" w:rsidRPr="007858CD">
        <w:rPr>
          <w:rFonts w:cs="Arial"/>
          <w:color w:val="auto"/>
          <w:sz w:val="20"/>
          <w:szCs w:val="20"/>
        </w:rPr>
        <w:t>‘</w:t>
      </w:r>
      <w:r w:rsidRPr="007858CD">
        <w:rPr>
          <w:rFonts w:cs="Arial"/>
          <w:color w:val="auto"/>
          <w:sz w:val="20"/>
          <w:szCs w:val="20"/>
        </w:rPr>
        <w:t>completed planned service activity</w:t>
      </w:r>
      <w:r w:rsidR="00DB09DE" w:rsidRPr="007858CD">
        <w:rPr>
          <w:rFonts w:cs="Arial"/>
          <w:color w:val="auto"/>
          <w:sz w:val="20"/>
          <w:szCs w:val="20"/>
        </w:rPr>
        <w:t>’</w:t>
      </w:r>
      <w:r w:rsidRPr="007858CD">
        <w:rPr>
          <w:rFonts w:cs="Arial"/>
          <w:color w:val="auto"/>
          <w:sz w:val="20"/>
          <w:szCs w:val="20"/>
        </w:rPr>
        <w:t xml:space="preserve"> as this was not clear from the APP. The Committee questioned whether these service activities are linked to SETA accreditation. The Committee asked what are the targets for each service areas and what are the provincial allocation for each service. The Committee also questioned how these targets will be monitored.</w:t>
      </w:r>
    </w:p>
    <w:p w:rsidR="009905AA" w:rsidRPr="007858CD" w:rsidRDefault="009905AA" w:rsidP="007858CD">
      <w:pPr>
        <w:numPr>
          <w:ilvl w:val="0"/>
          <w:numId w:val="33"/>
        </w:numPr>
        <w:suppressAutoHyphens/>
        <w:autoSpaceDN w:val="0"/>
        <w:ind w:left="426"/>
        <w:textAlignment w:val="baseline"/>
        <w:rPr>
          <w:rFonts w:cs="Arial"/>
          <w:color w:val="auto"/>
          <w:sz w:val="20"/>
          <w:szCs w:val="20"/>
        </w:rPr>
      </w:pPr>
      <w:r w:rsidRPr="007858CD">
        <w:rPr>
          <w:rFonts w:cs="Arial"/>
          <w:b/>
          <w:color w:val="auto"/>
          <w:sz w:val="20"/>
          <w:szCs w:val="20"/>
        </w:rPr>
        <w:t>Pathway management</w:t>
      </w:r>
      <w:r w:rsidRPr="007858CD">
        <w:rPr>
          <w:rFonts w:cs="Arial"/>
          <w:color w:val="auto"/>
          <w:sz w:val="20"/>
          <w:szCs w:val="20"/>
        </w:rPr>
        <w:t>: The Committee</w:t>
      </w:r>
      <w:r w:rsidR="00DB09DE" w:rsidRPr="007858CD">
        <w:rPr>
          <w:rFonts w:cs="Arial"/>
          <w:color w:val="auto"/>
          <w:sz w:val="20"/>
          <w:szCs w:val="20"/>
        </w:rPr>
        <w:t>,</w:t>
      </w:r>
      <w:r w:rsidRPr="007858CD">
        <w:rPr>
          <w:rFonts w:cs="Arial"/>
          <w:color w:val="auto"/>
          <w:sz w:val="20"/>
          <w:szCs w:val="20"/>
        </w:rPr>
        <w:t xml:space="preserve"> whilst acknowledging </w:t>
      </w:r>
      <w:r w:rsidR="00DB09DE" w:rsidRPr="007858CD">
        <w:rPr>
          <w:rFonts w:cs="Arial"/>
          <w:color w:val="auto"/>
          <w:sz w:val="20"/>
          <w:szCs w:val="20"/>
        </w:rPr>
        <w:t xml:space="preserve">the pathway management target, </w:t>
      </w:r>
      <w:r w:rsidRPr="007858CD">
        <w:rPr>
          <w:rFonts w:cs="Arial"/>
          <w:color w:val="auto"/>
          <w:sz w:val="20"/>
          <w:szCs w:val="20"/>
        </w:rPr>
        <w:t>was unclear how the NYDA defined its key markers for success in this regard. This in turn will enable the Committee to hold the NYDA to account in that regard by measuring and evaluating progress.</w:t>
      </w:r>
    </w:p>
    <w:p w:rsidR="000D54DC" w:rsidRPr="007858CD" w:rsidRDefault="000D54DC" w:rsidP="007858CD">
      <w:pPr>
        <w:suppressAutoHyphens/>
        <w:autoSpaceDN w:val="0"/>
        <w:textAlignment w:val="baseline"/>
        <w:rPr>
          <w:rFonts w:cs="Arial"/>
          <w:color w:val="auto"/>
          <w:sz w:val="20"/>
          <w:szCs w:val="20"/>
        </w:rPr>
      </w:pPr>
    </w:p>
    <w:p w:rsidR="000D54DC" w:rsidRPr="007858CD" w:rsidRDefault="000D54DC" w:rsidP="007858CD">
      <w:pPr>
        <w:suppressAutoHyphens/>
        <w:autoSpaceDN w:val="0"/>
        <w:textAlignment w:val="baseline"/>
        <w:rPr>
          <w:rFonts w:cs="Arial"/>
          <w:b/>
          <w:color w:val="auto"/>
          <w:sz w:val="20"/>
          <w:szCs w:val="20"/>
        </w:rPr>
      </w:pPr>
      <w:r w:rsidRPr="007858CD">
        <w:rPr>
          <w:rFonts w:cs="Arial"/>
          <w:b/>
          <w:color w:val="auto"/>
          <w:sz w:val="20"/>
          <w:szCs w:val="20"/>
        </w:rPr>
        <w:t>6.2.9 National Youth Service (NYS)</w:t>
      </w:r>
    </w:p>
    <w:p w:rsidR="009905AA" w:rsidRPr="007858CD" w:rsidRDefault="009905AA" w:rsidP="007858CD">
      <w:pPr>
        <w:numPr>
          <w:ilvl w:val="0"/>
          <w:numId w:val="33"/>
        </w:numPr>
        <w:suppressAutoHyphens/>
        <w:autoSpaceDN w:val="0"/>
        <w:ind w:left="426"/>
        <w:textAlignment w:val="baseline"/>
        <w:rPr>
          <w:rFonts w:cs="Arial"/>
          <w:color w:val="auto"/>
          <w:sz w:val="20"/>
          <w:szCs w:val="20"/>
        </w:rPr>
      </w:pPr>
      <w:r w:rsidRPr="007858CD">
        <w:rPr>
          <w:rFonts w:cs="Arial"/>
          <w:b/>
          <w:color w:val="auto"/>
          <w:sz w:val="20"/>
          <w:szCs w:val="20"/>
        </w:rPr>
        <w:lastRenderedPageBreak/>
        <w:t>NYS</w:t>
      </w:r>
      <w:r w:rsidRPr="007858CD">
        <w:rPr>
          <w:rFonts w:cs="Arial"/>
          <w:color w:val="auto"/>
          <w:sz w:val="20"/>
          <w:szCs w:val="20"/>
        </w:rPr>
        <w:t>: The Committee noted that the National Youth Services (NYS) branding strategy and what it entailed was not outlined in the APP and therefore more information was sought in the regard. The Committee noted that the revised Strategic Plan referred to 20 national youth service projects that wo</w:t>
      </w:r>
      <w:r w:rsidR="00DB09DE" w:rsidRPr="007858CD">
        <w:rPr>
          <w:rFonts w:cs="Arial"/>
          <w:color w:val="auto"/>
          <w:sz w:val="20"/>
          <w:szCs w:val="20"/>
        </w:rPr>
        <w:t>u</w:t>
      </w:r>
      <w:r w:rsidRPr="007858CD">
        <w:rPr>
          <w:rFonts w:cs="Arial"/>
          <w:color w:val="auto"/>
          <w:sz w:val="20"/>
          <w:szCs w:val="20"/>
        </w:rPr>
        <w:t xml:space="preserve">ld be registered but it was unclear if this had already been achieved or how many were outstanding and by when will these be registered. The Committee also requested the list of all the youth service projects. </w:t>
      </w:r>
    </w:p>
    <w:p w:rsidR="00CB2881" w:rsidRPr="007858CD" w:rsidRDefault="00CB2881" w:rsidP="007858CD">
      <w:pPr>
        <w:rPr>
          <w:rFonts w:cs="Arial"/>
          <w:color w:val="auto"/>
          <w:sz w:val="20"/>
          <w:szCs w:val="20"/>
          <w:lang w:val="en-ZA"/>
        </w:rPr>
      </w:pPr>
    </w:p>
    <w:p w:rsidR="00CB2881" w:rsidRPr="007858CD" w:rsidRDefault="00CB2881" w:rsidP="007858CD">
      <w:pPr>
        <w:rPr>
          <w:rFonts w:cs="Arial"/>
          <w:b/>
          <w:color w:val="auto"/>
          <w:sz w:val="20"/>
          <w:szCs w:val="20"/>
        </w:rPr>
      </w:pPr>
      <w:r w:rsidRPr="007858CD">
        <w:rPr>
          <w:rFonts w:cs="Arial"/>
          <w:b/>
          <w:color w:val="auto"/>
          <w:sz w:val="20"/>
          <w:szCs w:val="20"/>
        </w:rPr>
        <w:t>Programme 3</w:t>
      </w:r>
      <w:r w:rsidR="000D54DC" w:rsidRPr="007858CD">
        <w:rPr>
          <w:rFonts w:cs="Arial"/>
          <w:b/>
          <w:color w:val="auto"/>
          <w:sz w:val="20"/>
          <w:szCs w:val="20"/>
        </w:rPr>
        <w:t>: Integrated Youth Development</w:t>
      </w:r>
    </w:p>
    <w:p w:rsidR="00CB2881" w:rsidRPr="007858CD" w:rsidRDefault="00CB2881" w:rsidP="007858CD">
      <w:pPr>
        <w:rPr>
          <w:rFonts w:cs="Arial"/>
          <w:b/>
          <w:color w:val="auto"/>
          <w:sz w:val="20"/>
          <w:szCs w:val="20"/>
        </w:rPr>
      </w:pPr>
      <w:r w:rsidRPr="007858CD">
        <w:rPr>
          <w:rFonts w:cs="Arial"/>
          <w:b/>
          <w:color w:val="auto"/>
          <w:sz w:val="20"/>
          <w:szCs w:val="20"/>
        </w:rPr>
        <w:t>6.2.</w:t>
      </w:r>
      <w:r w:rsidR="000D54DC" w:rsidRPr="007858CD">
        <w:rPr>
          <w:rFonts w:cs="Arial"/>
          <w:b/>
          <w:color w:val="auto"/>
          <w:sz w:val="20"/>
          <w:szCs w:val="20"/>
        </w:rPr>
        <w:t>10</w:t>
      </w:r>
      <w:r w:rsidRPr="007858CD">
        <w:rPr>
          <w:rFonts w:cs="Arial"/>
          <w:b/>
          <w:color w:val="auto"/>
          <w:sz w:val="20"/>
          <w:szCs w:val="20"/>
        </w:rPr>
        <w:t xml:space="preserve"> Youth Status Outlook Reports</w:t>
      </w:r>
    </w:p>
    <w:p w:rsidR="000D54DC" w:rsidRPr="007858CD" w:rsidRDefault="000D54DC" w:rsidP="007858CD">
      <w:pPr>
        <w:numPr>
          <w:ilvl w:val="0"/>
          <w:numId w:val="26"/>
        </w:numPr>
        <w:rPr>
          <w:rFonts w:cs="Arial"/>
          <w:color w:val="auto"/>
          <w:sz w:val="20"/>
          <w:szCs w:val="20"/>
        </w:rPr>
      </w:pPr>
      <w:r w:rsidRPr="007858CD">
        <w:rPr>
          <w:rFonts w:cs="Arial"/>
          <w:color w:val="auto"/>
          <w:sz w:val="20"/>
          <w:szCs w:val="20"/>
        </w:rPr>
        <w:t xml:space="preserve">The Committee noted that the purpose of the 3 Youth Status Outlook reports was unclear and </w:t>
      </w:r>
      <w:r w:rsidR="00DB09DE" w:rsidRPr="007858CD">
        <w:rPr>
          <w:rFonts w:cs="Arial"/>
          <w:color w:val="auto"/>
          <w:sz w:val="20"/>
          <w:szCs w:val="20"/>
        </w:rPr>
        <w:t xml:space="preserve">asked </w:t>
      </w:r>
      <w:r w:rsidRPr="007858CD">
        <w:rPr>
          <w:rFonts w:cs="Arial"/>
          <w:color w:val="auto"/>
          <w:sz w:val="20"/>
          <w:szCs w:val="20"/>
        </w:rPr>
        <w:t>how that differed from the Status of Youth report. The concern was whether there was duplication.</w:t>
      </w:r>
    </w:p>
    <w:p w:rsidR="000D54DC" w:rsidRPr="007858CD" w:rsidRDefault="000D54DC" w:rsidP="007858CD">
      <w:pPr>
        <w:numPr>
          <w:ilvl w:val="0"/>
          <w:numId w:val="26"/>
        </w:numPr>
        <w:rPr>
          <w:rFonts w:cs="Arial"/>
          <w:color w:val="auto"/>
          <w:sz w:val="20"/>
          <w:szCs w:val="20"/>
        </w:rPr>
      </w:pPr>
      <w:r w:rsidRPr="007858CD">
        <w:rPr>
          <w:rFonts w:cs="Arial"/>
          <w:color w:val="auto"/>
          <w:sz w:val="20"/>
          <w:szCs w:val="20"/>
        </w:rPr>
        <w:t xml:space="preserve">The Committee also enquired whether NYDA has considered conducting research on young people who are in prison and those dealing with substance abuse and how can </w:t>
      </w:r>
      <w:r w:rsidR="003338BE" w:rsidRPr="007858CD">
        <w:rPr>
          <w:rFonts w:cs="Arial"/>
          <w:color w:val="auto"/>
          <w:sz w:val="20"/>
          <w:szCs w:val="20"/>
        </w:rPr>
        <w:t xml:space="preserve">the </w:t>
      </w:r>
      <w:r w:rsidRPr="007858CD">
        <w:rPr>
          <w:rFonts w:cs="Arial"/>
          <w:color w:val="auto"/>
          <w:sz w:val="20"/>
          <w:szCs w:val="20"/>
        </w:rPr>
        <w:t>NYDA assist these young people.</w:t>
      </w:r>
    </w:p>
    <w:p w:rsidR="00CB2881" w:rsidRPr="007858CD" w:rsidRDefault="00CB2881" w:rsidP="007858CD">
      <w:pPr>
        <w:rPr>
          <w:rFonts w:cs="Arial"/>
          <w:color w:val="auto"/>
          <w:sz w:val="20"/>
          <w:szCs w:val="20"/>
        </w:rPr>
      </w:pPr>
    </w:p>
    <w:p w:rsidR="00883452" w:rsidRPr="007858CD" w:rsidRDefault="00056544" w:rsidP="007858CD">
      <w:pPr>
        <w:rPr>
          <w:rFonts w:cs="Arial"/>
          <w:b/>
          <w:color w:val="auto"/>
          <w:sz w:val="20"/>
          <w:szCs w:val="20"/>
        </w:rPr>
      </w:pPr>
      <w:r w:rsidRPr="007858CD">
        <w:rPr>
          <w:rFonts w:cs="Arial"/>
          <w:b/>
          <w:color w:val="auto"/>
          <w:sz w:val="20"/>
          <w:szCs w:val="20"/>
        </w:rPr>
        <w:t>6</w:t>
      </w:r>
      <w:r w:rsidR="00883452" w:rsidRPr="007858CD">
        <w:rPr>
          <w:rFonts w:cs="Arial"/>
          <w:b/>
          <w:color w:val="auto"/>
          <w:sz w:val="20"/>
          <w:szCs w:val="20"/>
        </w:rPr>
        <w:t>.3 Commission for Gender Equality</w:t>
      </w:r>
    </w:p>
    <w:p w:rsidR="009B4D1E" w:rsidRPr="007858CD" w:rsidRDefault="009B4D1E" w:rsidP="007858CD">
      <w:pPr>
        <w:rPr>
          <w:rFonts w:cs="Arial"/>
          <w:color w:val="auto"/>
          <w:sz w:val="20"/>
          <w:szCs w:val="20"/>
        </w:rPr>
      </w:pPr>
      <w:r w:rsidRPr="007858CD">
        <w:rPr>
          <w:rFonts w:cs="Arial"/>
          <w:color w:val="auto"/>
          <w:sz w:val="20"/>
          <w:szCs w:val="20"/>
        </w:rPr>
        <w:t>In terms of the Commission for Gender Equality</w:t>
      </w:r>
      <w:r w:rsidR="00484E68" w:rsidRPr="007858CD">
        <w:rPr>
          <w:rFonts w:cs="Arial"/>
          <w:color w:val="auto"/>
          <w:sz w:val="20"/>
          <w:szCs w:val="20"/>
        </w:rPr>
        <w:t>, the Committee’s observations were as follows:</w:t>
      </w:r>
    </w:p>
    <w:p w:rsidR="004A170D" w:rsidRPr="007858CD" w:rsidRDefault="004A170D" w:rsidP="007858CD">
      <w:pPr>
        <w:rPr>
          <w:rFonts w:cs="Arial"/>
          <w:color w:val="auto"/>
          <w:sz w:val="20"/>
          <w:szCs w:val="20"/>
        </w:rPr>
      </w:pPr>
    </w:p>
    <w:p w:rsidR="00A45D94" w:rsidRPr="007858CD" w:rsidRDefault="00A45D94" w:rsidP="007858CD">
      <w:pPr>
        <w:rPr>
          <w:rFonts w:cs="Arial"/>
          <w:b/>
          <w:color w:val="auto"/>
          <w:sz w:val="20"/>
          <w:szCs w:val="20"/>
        </w:rPr>
      </w:pPr>
      <w:r w:rsidRPr="007858CD">
        <w:rPr>
          <w:rFonts w:cs="Arial"/>
          <w:b/>
          <w:color w:val="auto"/>
          <w:sz w:val="20"/>
          <w:szCs w:val="20"/>
        </w:rPr>
        <w:t>6.3.1 General</w:t>
      </w:r>
    </w:p>
    <w:p w:rsidR="007D386E" w:rsidRPr="007858CD" w:rsidRDefault="00A45D94" w:rsidP="007858CD">
      <w:pPr>
        <w:numPr>
          <w:ilvl w:val="0"/>
          <w:numId w:val="26"/>
        </w:numPr>
        <w:rPr>
          <w:rFonts w:cs="Arial"/>
          <w:color w:val="auto"/>
          <w:sz w:val="20"/>
          <w:szCs w:val="20"/>
          <w:lang w:val="en-ZA"/>
        </w:rPr>
      </w:pPr>
      <w:r w:rsidRPr="007858CD">
        <w:rPr>
          <w:rFonts w:cs="Arial"/>
          <w:color w:val="auto"/>
          <w:sz w:val="20"/>
          <w:szCs w:val="20"/>
          <w:lang w:val="en-ZA"/>
        </w:rPr>
        <w:t>The Committee noted the importance of implementing the Committee’s Budgetary Review Recommendations Report 202</w:t>
      </w:r>
      <w:r w:rsidR="00FD3EBB" w:rsidRPr="007858CD">
        <w:rPr>
          <w:rFonts w:cs="Arial"/>
          <w:color w:val="auto"/>
          <w:sz w:val="20"/>
          <w:szCs w:val="20"/>
          <w:lang w:val="en-ZA"/>
        </w:rPr>
        <w:t>1</w:t>
      </w:r>
      <w:r w:rsidRPr="007858CD">
        <w:rPr>
          <w:rFonts w:cs="Arial"/>
          <w:color w:val="auto"/>
          <w:sz w:val="20"/>
          <w:szCs w:val="20"/>
          <w:lang w:val="en-ZA"/>
        </w:rPr>
        <w:t xml:space="preserve"> and issues raised by AGSA in relation the Annual Report of 20</w:t>
      </w:r>
      <w:r w:rsidR="00FD3EBB" w:rsidRPr="007858CD">
        <w:rPr>
          <w:rFonts w:cs="Arial"/>
          <w:color w:val="auto"/>
          <w:sz w:val="20"/>
          <w:szCs w:val="20"/>
          <w:lang w:val="en-ZA"/>
        </w:rPr>
        <w:t>20/21</w:t>
      </w:r>
      <w:r w:rsidRPr="007858CD">
        <w:rPr>
          <w:rFonts w:cs="Arial"/>
          <w:color w:val="auto"/>
          <w:sz w:val="20"/>
          <w:szCs w:val="20"/>
          <w:lang w:val="en-ZA"/>
        </w:rPr>
        <w:t xml:space="preserve"> and enquired whether these have been addressed within the 202</w:t>
      </w:r>
      <w:r w:rsidR="00FD3EBB" w:rsidRPr="007858CD">
        <w:rPr>
          <w:rFonts w:cs="Arial"/>
          <w:color w:val="auto"/>
          <w:sz w:val="20"/>
          <w:szCs w:val="20"/>
          <w:lang w:val="en-ZA"/>
        </w:rPr>
        <w:t>2/23</w:t>
      </w:r>
      <w:r w:rsidRPr="007858CD">
        <w:rPr>
          <w:rFonts w:cs="Arial"/>
          <w:color w:val="auto"/>
          <w:sz w:val="20"/>
          <w:szCs w:val="20"/>
          <w:lang w:val="en-ZA"/>
        </w:rPr>
        <w:t xml:space="preserve"> APP.</w:t>
      </w:r>
      <w:r w:rsidR="007D386E" w:rsidRPr="007858CD">
        <w:rPr>
          <w:rFonts w:cs="Arial"/>
          <w:color w:val="auto"/>
          <w:sz w:val="20"/>
          <w:szCs w:val="20"/>
          <w:lang w:val="en-ZA"/>
        </w:rPr>
        <w:t xml:space="preserve"> As such, the Committee questioned how the CGE ensured that the recommendations of the BRRR have been taken up and addressed in the APP for 2022/23 when the example cited regarding SMART targets was not implemented.</w:t>
      </w:r>
    </w:p>
    <w:p w:rsidR="007D386E" w:rsidRPr="007858CD" w:rsidRDefault="007D386E" w:rsidP="007858CD">
      <w:pPr>
        <w:numPr>
          <w:ilvl w:val="0"/>
          <w:numId w:val="26"/>
        </w:numPr>
        <w:rPr>
          <w:rFonts w:cs="Arial"/>
          <w:color w:val="auto"/>
          <w:sz w:val="20"/>
          <w:szCs w:val="20"/>
          <w:lang w:val="en-ZA"/>
        </w:rPr>
      </w:pPr>
      <w:r w:rsidRPr="007858CD">
        <w:rPr>
          <w:rFonts w:cs="Arial"/>
          <w:color w:val="auto"/>
          <w:sz w:val="20"/>
          <w:szCs w:val="20"/>
          <w:lang w:val="en-ZA"/>
        </w:rPr>
        <w:t>The Committee questioned how the CGE translated the promotion and protection of gender equality within the revised Strategic Plan and the current APP as this was not clear.</w:t>
      </w:r>
    </w:p>
    <w:p w:rsidR="00A45D94" w:rsidRPr="007858CD" w:rsidRDefault="007D386E" w:rsidP="007858CD">
      <w:pPr>
        <w:numPr>
          <w:ilvl w:val="0"/>
          <w:numId w:val="26"/>
        </w:numPr>
        <w:rPr>
          <w:rFonts w:cs="Arial"/>
          <w:color w:val="auto"/>
          <w:sz w:val="20"/>
          <w:szCs w:val="20"/>
        </w:rPr>
      </w:pPr>
      <w:r w:rsidRPr="007858CD">
        <w:rPr>
          <w:rFonts w:cs="Arial"/>
          <w:color w:val="auto"/>
          <w:sz w:val="20"/>
          <w:szCs w:val="20"/>
          <w:lang w:val="en-ZA"/>
        </w:rPr>
        <w:t>The Committee questioned how the CGE has ensured synergy between the amended Strategic Plan and the current APP when aspects such as litigation and complaints handling were not expressly stated as annual quarterly targets for the current financial year. The Committee was not convinced that synergy was ensured.</w:t>
      </w:r>
    </w:p>
    <w:p w:rsidR="007D386E" w:rsidRPr="007858CD" w:rsidRDefault="007D386E" w:rsidP="007858CD">
      <w:pPr>
        <w:pStyle w:val="ListParagraph"/>
        <w:numPr>
          <w:ilvl w:val="0"/>
          <w:numId w:val="26"/>
        </w:numPr>
        <w:rPr>
          <w:rFonts w:cs="Arial"/>
          <w:color w:val="auto"/>
          <w:sz w:val="20"/>
          <w:szCs w:val="20"/>
        </w:rPr>
      </w:pPr>
      <w:r w:rsidRPr="007858CD">
        <w:rPr>
          <w:rFonts w:cs="Arial"/>
          <w:color w:val="auto"/>
          <w:sz w:val="20"/>
          <w:szCs w:val="20"/>
        </w:rPr>
        <w:t xml:space="preserve">The Committee questioned how Plenary approved the APP for 2022/23 when many targets were not SMART and there was no continuity between the APP 2021/22 and the current APP for 2022/23. This also brought into question what then informed the budget. </w:t>
      </w:r>
    </w:p>
    <w:p w:rsidR="00A45D94" w:rsidRPr="007858CD" w:rsidRDefault="00A45D94" w:rsidP="007858CD">
      <w:pPr>
        <w:numPr>
          <w:ilvl w:val="0"/>
          <w:numId w:val="26"/>
        </w:numPr>
        <w:rPr>
          <w:rFonts w:cs="Arial"/>
          <w:color w:val="auto"/>
          <w:sz w:val="20"/>
          <w:szCs w:val="20"/>
        </w:rPr>
      </w:pPr>
      <w:r w:rsidRPr="007858CD">
        <w:rPr>
          <w:rFonts w:cs="Arial"/>
          <w:color w:val="auto"/>
          <w:sz w:val="20"/>
          <w:szCs w:val="20"/>
        </w:rPr>
        <w:t xml:space="preserve">The Committee was concerned that targets planned by </w:t>
      </w:r>
      <w:r w:rsidR="003338BE" w:rsidRPr="007858CD">
        <w:rPr>
          <w:rFonts w:cs="Arial"/>
          <w:color w:val="auto"/>
          <w:sz w:val="20"/>
          <w:szCs w:val="20"/>
        </w:rPr>
        <w:t xml:space="preserve">the </w:t>
      </w:r>
      <w:r w:rsidRPr="007858CD">
        <w:rPr>
          <w:rFonts w:cs="Arial"/>
          <w:color w:val="auto"/>
          <w:sz w:val="20"/>
          <w:szCs w:val="20"/>
        </w:rPr>
        <w:t>CGE la</w:t>
      </w:r>
      <w:r w:rsidR="00FD3EBB" w:rsidRPr="007858CD">
        <w:rPr>
          <w:rFonts w:cs="Arial"/>
          <w:color w:val="auto"/>
          <w:sz w:val="20"/>
          <w:szCs w:val="20"/>
        </w:rPr>
        <w:t>cked the requisite</w:t>
      </w:r>
      <w:r w:rsidR="007D386E" w:rsidRPr="007858CD">
        <w:rPr>
          <w:rFonts w:cs="Arial"/>
          <w:color w:val="auto"/>
          <w:sz w:val="20"/>
          <w:szCs w:val="20"/>
        </w:rPr>
        <w:t xml:space="preserve"> details and were not SMART impeding oversight. As such the Committee, </w:t>
      </w:r>
      <w:r w:rsidR="00FD3EBB" w:rsidRPr="007858CD">
        <w:rPr>
          <w:rFonts w:cs="Arial"/>
          <w:color w:val="auto"/>
          <w:sz w:val="20"/>
          <w:szCs w:val="20"/>
        </w:rPr>
        <w:t>requested an addendum to the APP for more details. Having received a second briefing by the CGE on it</w:t>
      </w:r>
      <w:r w:rsidR="00E70798" w:rsidRPr="007858CD">
        <w:rPr>
          <w:rFonts w:cs="Arial"/>
          <w:color w:val="auto"/>
          <w:sz w:val="20"/>
          <w:szCs w:val="20"/>
        </w:rPr>
        <w:t>s</w:t>
      </w:r>
      <w:r w:rsidR="00FD3EBB" w:rsidRPr="007858CD">
        <w:rPr>
          <w:rFonts w:cs="Arial"/>
          <w:color w:val="auto"/>
          <w:sz w:val="20"/>
          <w:szCs w:val="20"/>
        </w:rPr>
        <w:t xml:space="preserve"> APP the Committee was provided with more clarity. Notwithstanding that, the Committee noted certain targets </w:t>
      </w:r>
      <w:r w:rsidR="00E07965" w:rsidRPr="007858CD">
        <w:rPr>
          <w:rFonts w:cs="Arial"/>
          <w:color w:val="auto"/>
          <w:sz w:val="20"/>
          <w:szCs w:val="20"/>
        </w:rPr>
        <w:t xml:space="preserve">still </w:t>
      </w:r>
      <w:r w:rsidR="00FD3EBB" w:rsidRPr="007858CD">
        <w:rPr>
          <w:rFonts w:cs="Arial"/>
          <w:color w:val="auto"/>
          <w:sz w:val="20"/>
          <w:szCs w:val="20"/>
        </w:rPr>
        <w:t>lacked specificity and</w:t>
      </w:r>
      <w:r w:rsidR="00E07965" w:rsidRPr="007858CD">
        <w:rPr>
          <w:rFonts w:cs="Arial"/>
          <w:color w:val="auto"/>
          <w:sz w:val="20"/>
          <w:szCs w:val="20"/>
        </w:rPr>
        <w:t xml:space="preserve"> therefore</w:t>
      </w:r>
      <w:r w:rsidR="00FD3EBB" w:rsidRPr="007858CD">
        <w:rPr>
          <w:rFonts w:cs="Arial"/>
          <w:color w:val="auto"/>
          <w:sz w:val="20"/>
          <w:szCs w:val="20"/>
        </w:rPr>
        <w:t xml:space="preserve"> requi</w:t>
      </w:r>
      <w:r w:rsidR="00E07965" w:rsidRPr="007858CD">
        <w:rPr>
          <w:rFonts w:cs="Arial"/>
          <w:color w:val="auto"/>
          <w:sz w:val="20"/>
          <w:szCs w:val="20"/>
        </w:rPr>
        <w:t>red</w:t>
      </w:r>
      <w:r w:rsidR="00FD3EBB" w:rsidRPr="007858CD">
        <w:rPr>
          <w:rFonts w:cs="Arial"/>
          <w:color w:val="auto"/>
          <w:sz w:val="20"/>
          <w:szCs w:val="20"/>
        </w:rPr>
        <w:t xml:space="preserve"> more details for e.g. list of courts, police stations and Thuthuzel</w:t>
      </w:r>
      <w:r w:rsidR="00E07965" w:rsidRPr="007858CD">
        <w:rPr>
          <w:rFonts w:cs="Arial"/>
          <w:color w:val="auto"/>
          <w:sz w:val="20"/>
          <w:szCs w:val="20"/>
        </w:rPr>
        <w:t>a Care Centres to be monitored</w:t>
      </w:r>
      <w:r w:rsidR="00FD3EBB" w:rsidRPr="007858CD">
        <w:rPr>
          <w:rFonts w:cs="Arial"/>
          <w:color w:val="auto"/>
          <w:sz w:val="20"/>
          <w:szCs w:val="20"/>
        </w:rPr>
        <w:t>.</w:t>
      </w:r>
    </w:p>
    <w:p w:rsidR="00A45D94" w:rsidRPr="007858CD" w:rsidRDefault="00A45D94" w:rsidP="007858CD">
      <w:pPr>
        <w:numPr>
          <w:ilvl w:val="0"/>
          <w:numId w:val="26"/>
        </w:numPr>
        <w:rPr>
          <w:rFonts w:cs="Arial"/>
          <w:color w:val="auto"/>
          <w:sz w:val="20"/>
          <w:szCs w:val="20"/>
        </w:rPr>
      </w:pPr>
      <w:r w:rsidRPr="007858CD">
        <w:rPr>
          <w:rFonts w:cs="Arial"/>
          <w:color w:val="auto"/>
          <w:sz w:val="20"/>
          <w:szCs w:val="20"/>
        </w:rPr>
        <w:t>The Committee also was concerned that the technical indicators descriptions lack detailed information and will not assist the Committee in conducting astute oversight.</w:t>
      </w:r>
      <w:r w:rsidR="00FD3EBB" w:rsidRPr="007858CD">
        <w:rPr>
          <w:rFonts w:cs="Arial"/>
          <w:color w:val="auto"/>
          <w:sz w:val="20"/>
          <w:szCs w:val="20"/>
        </w:rPr>
        <w:t xml:space="preserve"> The Committee was not satisfied with the explanation that the operational plans would still be discussed in order to determine the activity based costing. T</w:t>
      </w:r>
      <w:r w:rsidR="00F54A2A" w:rsidRPr="007858CD">
        <w:rPr>
          <w:rFonts w:cs="Arial"/>
          <w:color w:val="auto"/>
          <w:sz w:val="20"/>
          <w:szCs w:val="20"/>
        </w:rPr>
        <w:t>o</w:t>
      </w:r>
      <w:r w:rsidR="00FD3EBB" w:rsidRPr="007858CD">
        <w:rPr>
          <w:rFonts w:cs="Arial"/>
          <w:color w:val="auto"/>
          <w:sz w:val="20"/>
          <w:szCs w:val="20"/>
        </w:rPr>
        <w:t xml:space="preserve"> this end, the Committee questioned what informed the budgeting of the APP if the activities were not detailed and costed accordingly. This brought into question how the CGE then conducted its strategic planning session.</w:t>
      </w:r>
    </w:p>
    <w:p w:rsidR="007D386E" w:rsidRPr="007858CD" w:rsidRDefault="007D386E" w:rsidP="007858CD">
      <w:pPr>
        <w:pStyle w:val="ListParagraph"/>
        <w:numPr>
          <w:ilvl w:val="0"/>
          <w:numId w:val="26"/>
        </w:numPr>
        <w:rPr>
          <w:rFonts w:cs="Arial"/>
          <w:color w:val="auto"/>
          <w:sz w:val="20"/>
          <w:szCs w:val="20"/>
          <w:lang w:val="en-ZA"/>
        </w:rPr>
      </w:pPr>
      <w:r w:rsidRPr="007858CD">
        <w:rPr>
          <w:rFonts w:cs="Arial"/>
          <w:color w:val="auto"/>
          <w:sz w:val="20"/>
          <w:szCs w:val="20"/>
          <w:lang w:val="en-ZA"/>
        </w:rPr>
        <w:t>The Committee noted with concern that that the target on complaints handling that appeared in the previous APP 2021/22 no longer appeared in the current APP and therefore questioned what would happen to targets like that which have been omitted. Despite the explanation provided by the CGE for the omission of certain targets from the APP, the Committee was concerned that the activities listed in the APP formed part of the operational activities of the CGE but if they did not appear in the APP</w:t>
      </w:r>
      <w:r w:rsidR="00E70798" w:rsidRPr="007858CD">
        <w:rPr>
          <w:rFonts w:cs="Arial"/>
          <w:color w:val="auto"/>
          <w:sz w:val="20"/>
          <w:szCs w:val="20"/>
          <w:lang w:val="en-ZA"/>
        </w:rPr>
        <w:t>,</w:t>
      </w:r>
      <w:r w:rsidRPr="007858CD">
        <w:rPr>
          <w:rFonts w:cs="Arial"/>
          <w:color w:val="auto"/>
          <w:sz w:val="20"/>
          <w:szCs w:val="20"/>
          <w:lang w:val="en-ZA"/>
        </w:rPr>
        <w:t xml:space="preserve"> the Committee could not track progress. The Committee noted the additions in the CGE’s second briefing on its APP.</w:t>
      </w:r>
    </w:p>
    <w:p w:rsidR="00A45D94" w:rsidRPr="007858CD" w:rsidRDefault="00FD3EBB" w:rsidP="007858CD">
      <w:pPr>
        <w:numPr>
          <w:ilvl w:val="0"/>
          <w:numId w:val="26"/>
        </w:numPr>
        <w:rPr>
          <w:rFonts w:cs="Arial"/>
          <w:color w:val="auto"/>
          <w:sz w:val="20"/>
          <w:szCs w:val="20"/>
          <w:lang w:val="en-ZA"/>
        </w:rPr>
      </w:pPr>
      <w:r w:rsidRPr="007858CD">
        <w:rPr>
          <w:rFonts w:cs="Arial"/>
          <w:color w:val="auto"/>
          <w:sz w:val="20"/>
          <w:szCs w:val="20"/>
          <w:lang w:val="en-ZA"/>
        </w:rPr>
        <w:t>The Committee noted that the litigation</w:t>
      </w:r>
      <w:r w:rsidR="00A45D94" w:rsidRPr="007858CD">
        <w:rPr>
          <w:rFonts w:cs="Arial"/>
          <w:color w:val="auto"/>
          <w:sz w:val="20"/>
          <w:szCs w:val="20"/>
          <w:lang w:val="en-ZA"/>
        </w:rPr>
        <w:t xml:space="preserve"> aspect of the CGE’s work </w:t>
      </w:r>
      <w:r w:rsidR="000348F1" w:rsidRPr="007858CD">
        <w:rPr>
          <w:rFonts w:cs="Arial"/>
          <w:color w:val="auto"/>
          <w:sz w:val="20"/>
          <w:szCs w:val="20"/>
          <w:lang w:val="en-ZA"/>
        </w:rPr>
        <w:t xml:space="preserve">has </w:t>
      </w:r>
      <w:r w:rsidR="00A45D94" w:rsidRPr="007858CD">
        <w:rPr>
          <w:rFonts w:cs="Arial"/>
          <w:color w:val="auto"/>
          <w:sz w:val="20"/>
          <w:szCs w:val="20"/>
          <w:lang w:val="en-ZA"/>
        </w:rPr>
        <w:t xml:space="preserve">been omitted in the </w:t>
      </w:r>
      <w:r w:rsidRPr="007858CD">
        <w:rPr>
          <w:rFonts w:cs="Arial"/>
          <w:color w:val="auto"/>
          <w:sz w:val="20"/>
          <w:szCs w:val="20"/>
          <w:lang w:val="en-ZA"/>
        </w:rPr>
        <w:t>Revised Strategic</w:t>
      </w:r>
      <w:r w:rsidR="00A45D94" w:rsidRPr="007858CD">
        <w:rPr>
          <w:rFonts w:cs="Arial"/>
          <w:color w:val="auto"/>
          <w:sz w:val="20"/>
          <w:szCs w:val="20"/>
          <w:lang w:val="en-ZA"/>
        </w:rPr>
        <w:t xml:space="preserve"> Plan</w:t>
      </w:r>
      <w:r w:rsidRPr="007858CD">
        <w:rPr>
          <w:rFonts w:cs="Arial"/>
          <w:color w:val="auto"/>
          <w:sz w:val="20"/>
          <w:szCs w:val="20"/>
          <w:lang w:val="en-ZA"/>
        </w:rPr>
        <w:t xml:space="preserve"> and current APP with</w:t>
      </w:r>
      <w:r w:rsidR="00A45D94" w:rsidRPr="007858CD">
        <w:rPr>
          <w:rFonts w:cs="Arial"/>
          <w:color w:val="auto"/>
          <w:sz w:val="20"/>
          <w:szCs w:val="20"/>
          <w:lang w:val="en-ZA"/>
        </w:rPr>
        <w:t xml:space="preserve"> no explanation provided in this regard.</w:t>
      </w:r>
      <w:r w:rsidR="00F54A2A" w:rsidRPr="007858CD">
        <w:rPr>
          <w:rFonts w:cs="Arial"/>
          <w:color w:val="auto"/>
          <w:sz w:val="20"/>
          <w:szCs w:val="20"/>
          <w:lang w:val="en-ZA"/>
        </w:rPr>
        <w:t xml:space="preserve"> The Committee was alarmed to hear that the CGE had still not resolved the issue of its legal standing with the Legal Practice </w:t>
      </w:r>
      <w:r w:rsidR="009D1729" w:rsidRPr="007858CD">
        <w:rPr>
          <w:rFonts w:cs="Arial"/>
          <w:color w:val="auto"/>
          <w:sz w:val="20"/>
          <w:szCs w:val="20"/>
          <w:lang w:val="en-ZA"/>
        </w:rPr>
        <w:t xml:space="preserve">Council </w:t>
      </w:r>
      <w:r w:rsidR="00F54A2A" w:rsidRPr="007858CD">
        <w:rPr>
          <w:rFonts w:cs="Arial"/>
          <w:color w:val="auto"/>
          <w:sz w:val="20"/>
          <w:szCs w:val="20"/>
          <w:lang w:val="en-ZA"/>
        </w:rPr>
        <w:t>and as such it was not allowed to offer legal advice to clients</w:t>
      </w:r>
      <w:r w:rsidR="00E70798" w:rsidRPr="007858CD">
        <w:rPr>
          <w:rFonts w:cs="Arial"/>
          <w:color w:val="auto"/>
          <w:sz w:val="20"/>
          <w:szCs w:val="20"/>
          <w:lang w:val="en-ZA"/>
        </w:rPr>
        <w:t xml:space="preserve"> -</w:t>
      </w:r>
      <w:r w:rsidR="00F54A2A" w:rsidRPr="007858CD">
        <w:rPr>
          <w:rFonts w:cs="Arial"/>
          <w:color w:val="auto"/>
          <w:sz w:val="20"/>
          <w:szCs w:val="20"/>
          <w:lang w:val="en-ZA"/>
        </w:rPr>
        <w:t xml:space="preserve"> in so doing no legal clinics and no litigation could be undertaken. This matter had been unresolved since 2020 despite the Committee being informed in December 2020 that processes were underway with the Minister of Justice to resolve the matter.</w:t>
      </w:r>
    </w:p>
    <w:p w:rsidR="00DD6FF2" w:rsidRPr="007858CD" w:rsidRDefault="00DD6FF2" w:rsidP="007858CD">
      <w:pPr>
        <w:numPr>
          <w:ilvl w:val="0"/>
          <w:numId w:val="26"/>
        </w:numPr>
        <w:rPr>
          <w:rFonts w:cs="Arial"/>
          <w:color w:val="auto"/>
          <w:sz w:val="20"/>
          <w:szCs w:val="20"/>
          <w:lang w:val="en-ZA"/>
        </w:rPr>
      </w:pPr>
      <w:r w:rsidRPr="007858CD">
        <w:rPr>
          <w:rFonts w:cs="Arial"/>
          <w:color w:val="auto"/>
          <w:sz w:val="20"/>
          <w:szCs w:val="20"/>
          <w:lang w:val="en-ZA"/>
        </w:rPr>
        <w:t xml:space="preserve">The Committee welcomed the CGE’s addendum to </w:t>
      </w:r>
      <w:r w:rsidR="00E07965" w:rsidRPr="007858CD">
        <w:rPr>
          <w:rFonts w:cs="Arial"/>
          <w:color w:val="auto"/>
          <w:sz w:val="20"/>
          <w:szCs w:val="20"/>
          <w:lang w:val="en-ZA"/>
        </w:rPr>
        <w:t>t</w:t>
      </w:r>
      <w:r w:rsidRPr="007858CD">
        <w:rPr>
          <w:rFonts w:cs="Arial"/>
          <w:color w:val="auto"/>
          <w:sz w:val="20"/>
          <w:szCs w:val="20"/>
          <w:lang w:val="en-ZA"/>
        </w:rPr>
        <w:t xml:space="preserve">he APP for 2022/23 and </w:t>
      </w:r>
      <w:r w:rsidR="00E70798" w:rsidRPr="007858CD">
        <w:rPr>
          <w:rFonts w:cs="Arial"/>
          <w:color w:val="auto"/>
          <w:sz w:val="20"/>
          <w:szCs w:val="20"/>
          <w:lang w:val="en-ZA"/>
        </w:rPr>
        <w:t xml:space="preserve">noted </w:t>
      </w:r>
      <w:r w:rsidRPr="007858CD">
        <w:rPr>
          <w:rFonts w:cs="Arial"/>
          <w:color w:val="auto"/>
          <w:sz w:val="20"/>
          <w:szCs w:val="20"/>
          <w:lang w:val="en-ZA"/>
        </w:rPr>
        <w:t xml:space="preserve">that this would enable the Committee to hold the CGE to account for their performance. </w:t>
      </w:r>
    </w:p>
    <w:p w:rsidR="00DD6FF2" w:rsidRPr="007858CD" w:rsidRDefault="00DD6FF2" w:rsidP="007858CD">
      <w:pPr>
        <w:numPr>
          <w:ilvl w:val="0"/>
          <w:numId w:val="26"/>
        </w:numPr>
        <w:rPr>
          <w:rFonts w:cs="Arial"/>
          <w:color w:val="auto"/>
          <w:sz w:val="20"/>
          <w:szCs w:val="20"/>
          <w:lang w:val="en-ZA"/>
        </w:rPr>
      </w:pPr>
      <w:r w:rsidRPr="007858CD">
        <w:rPr>
          <w:rFonts w:cs="Arial"/>
          <w:color w:val="auto"/>
          <w:sz w:val="20"/>
          <w:szCs w:val="20"/>
          <w:lang w:val="en-ZA"/>
        </w:rPr>
        <w:lastRenderedPageBreak/>
        <w:t>The Committee noted that the CGE made reference to targets either being changed or omitted due to the limitations imposed by the CGE Act insofar as the enforcement of their recommendations are concerned and so</w:t>
      </w:r>
      <w:r w:rsidR="00E70798" w:rsidRPr="007858CD">
        <w:rPr>
          <w:rFonts w:cs="Arial"/>
          <w:color w:val="auto"/>
          <w:sz w:val="20"/>
          <w:szCs w:val="20"/>
          <w:lang w:val="en-ZA"/>
        </w:rPr>
        <w:t>ugh</w:t>
      </w:r>
      <w:r w:rsidRPr="007858CD">
        <w:rPr>
          <w:rFonts w:cs="Arial"/>
          <w:color w:val="auto"/>
          <w:sz w:val="20"/>
          <w:szCs w:val="20"/>
          <w:lang w:val="en-ZA"/>
        </w:rPr>
        <w:t>t clarity in that regard.</w:t>
      </w:r>
    </w:p>
    <w:p w:rsidR="00E07965" w:rsidRPr="007858CD" w:rsidRDefault="00E07965" w:rsidP="007858CD">
      <w:pPr>
        <w:numPr>
          <w:ilvl w:val="0"/>
          <w:numId w:val="33"/>
        </w:numPr>
        <w:suppressAutoHyphens/>
        <w:autoSpaceDN w:val="0"/>
        <w:textAlignment w:val="baseline"/>
        <w:rPr>
          <w:rFonts w:cs="Arial"/>
          <w:color w:val="auto"/>
          <w:sz w:val="20"/>
          <w:szCs w:val="20"/>
        </w:rPr>
      </w:pPr>
      <w:r w:rsidRPr="007858CD">
        <w:rPr>
          <w:rFonts w:cs="Arial"/>
          <w:color w:val="auto"/>
          <w:sz w:val="20"/>
          <w:szCs w:val="20"/>
        </w:rPr>
        <w:t xml:space="preserve">The Committee noted with concern teachers having relationships with learners which at times resulted in learner pregnancy as such the Committee enquired what the CGE was doing in this regard. </w:t>
      </w:r>
    </w:p>
    <w:p w:rsidR="00E07965" w:rsidRPr="007858CD" w:rsidRDefault="00E07965" w:rsidP="007858CD">
      <w:pPr>
        <w:numPr>
          <w:ilvl w:val="0"/>
          <w:numId w:val="33"/>
        </w:numPr>
        <w:suppressAutoHyphens/>
        <w:autoSpaceDN w:val="0"/>
        <w:textAlignment w:val="baseline"/>
        <w:rPr>
          <w:rFonts w:cs="Arial"/>
          <w:color w:val="auto"/>
          <w:sz w:val="20"/>
          <w:szCs w:val="20"/>
        </w:rPr>
      </w:pPr>
      <w:r w:rsidRPr="007858CD">
        <w:rPr>
          <w:rFonts w:cs="Arial"/>
          <w:color w:val="auto"/>
          <w:sz w:val="20"/>
          <w:szCs w:val="20"/>
        </w:rPr>
        <w:t>The Committee also enquired whether the CGE had programmes to deal with learners and substance abuse as well as drug peddling.</w:t>
      </w:r>
    </w:p>
    <w:p w:rsidR="007514A9" w:rsidRPr="007858CD" w:rsidRDefault="007514A9" w:rsidP="007858CD">
      <w:pPr>
        <w:ind w:left="720"/>
        <w:rPr>
          <w:rFonts w:cs="Arial"/>
          <w:b/>
          <w:color w:val="auto"/>
          <w:sz w:val="20"/>
          <w:szCs w:val="20"/>
          <w:lang w:val="en-ZA"/>
        </w:rPr>
      </w:pPr>
    </w:p>
    <w:p w:rsidR="007D386E" w:rsidRPr="007858CD" w:rsidRDefault="00A45D94" w:rsidP="007858CD">
      <w:pPr>
        <w:rPr>
          <w:rFonts w:cs="Arial"/>
          <w:b/>
          <w:color w:val="auto"/>
          <w:sz w:val="20"/>
          <w:szCs w:val="20"/>
        </w:rPr>
      </w:pPr>
      <w:r w:rsidRPr="007858CD">
        <w:rPr>
          <w:rFonts w:cs="Arial"/>
          <w:b/>
          <w:color w:val="auto"/>
          <w:sz w:val="20"/>
          <w:szCs w:val="20"/>
          <w:lang w:val="en-ZA"/>
        </w:rPr>
        <w:t xml:space="preserve">6.3.2 </w:t>
      </w:r>
      <w:r w:rsidR="007D386E" w:rsidRPr="007858CD">
        <w:rPr>
          <w:rFonts w:cs="Arial"/>
          <w:b/>
          <w:color w:val="auto"/>
          <w:sz w:val="20"/>
          <w:szCs w:val="20"/>
        </w:rPr>
        <w:t>Finance</w:t>
      </w:r>
    </w:p>
    <w:p w:rsidR="007D386E" w:rsidRPr="007858CD" w:rsidRDefault="007D386E" w:rsidP="007858CD">
      <w:pPr>
        <w:numPr>
          <w:ilvl w:val="0"/>
          <w:numId w:val="31"/>
        </w:numPr>
        <w:rPr>
          <w:rFonts w:cs="Arial"/>
          <w:color w:val="auto"/>
          <w:sz w:val="20"/>
          <w:szCs w:val="20"/>
        </w:rPr>
      </w:pPr>
      <w:r w:rsidRPr="007858CD">
        <w:rPr>
          <w:rFonts w:cs="Arial"/>
          <w:color w:val="auto"/>
          <w:sz w:val="20"/>
          <w:szCs w:val="20"/>
        </w:rPr>
        <w:t>The Committee was unclear what informed the budgetary allocation per Strategic Outcome as the CGE noted that it intended to still undertake activity costing for its operational plan. The concern noted by the Committee was that the costing should have been done from the onset and that in the event that activities are planned retrospectively the potential for not having adequate funds to fulfil a target remained high.</w:t>
      </w:r>
    </w:p>
    <w:p w:rsidR="007D386E" w:rsidRPr="007858CD" w:rsidRDefault="007D386E" w:rsidP="007858CD">
      <w:pPr>
        <w:numPr>
          <w:ilvl w:val="0"/>
          <w:numId w:val="31"/>
        </w:numPr>
        <w:rPr>
          <w:rFonts w:cs="Arial"/>
          <w:color w:val="auto"/>
          <w:sz w:val="20"/>
          <w:szCs w:val="20"/>
        </w:rPr>
      </w:pPr>
      <w:r w:rsidRPr="007858CD">
        <w:rPr>
          <w:rFonts w:cs="Arial"/>
          <w:color w:val="auto"/>
          <w:sz w:val="20"/>
          <w:szCs w:val="20"/>
        </w:rPr>
        <w:t>The Committee noted that the CGE returned R19 million to National Treasury in the financial year 2021/22 but indicated that it required additional funding in order to implement its mandate for the 2022/23. Th</w:t>
      </w:r>
      <w:r w:rsidR="00E67FC8" w:rsidRPr="007858CD">
        <w:rPr>
          <w:rFonts w:cs="Arial"/>
          <w:color w:val="auto"/>
          <w:sz w:val="20"/>
          <w:szCs w:val="20"/>
        </w:rPr>
        <w:t>e</w:t>
      </w:r>
      <w:r w:rsidRPr="007858CD">
        <w:rPr>
          <w:rFonts w:cs="Arial"/>
          <w:color w:val="auto"/>
          <w:sz w:val="20"/>
          <w:szCs w:val="20"/>
        </w:rPr>
        <w:t xml:space="preserve"> Committee requested clarity on the matter</w:t>
      </w:r>
      <w:r w:rsidR="00E67FC8" w:rsidRPr="007858CD">
        <w:rPr>
          <w:rFonts w:cs="Arial"/>
          <w:color w:val="auto"/>
          <w:sz w:val="20"/>
          <w:szCs w:val="20"/>
        </w:rPr>
        <w:t xml:space="preserve"> and the CGE provided an explanation in this regard by the CFO</w:t>
      </w:r>
      <w:r w:rsidRPr="007858CD">
        <w:rPr>
          <w:rFonts w:cs="Arial"/>
          <w:color w:val="auto"/>
          <w:sz w:val="20"/>
          <w:szCs w:val="20"/>
        </w:rPr>
        <w:t>.</w:t>
      </w:r>
      <w:r w:rsidR="00E67FC8" w:rsidRPr="007858CD">
        <w:rPr>
          <w:rFonts w:cs="Arial"/>
          <w:color w:val="auto"/>
          <w:sz w:val="20"/>
          <w:szCs w:val="20"/>
        </w:rPr>
        <w:t xml:space="preserve"> However, the Committee was not satisfied with the explanation and indicated that there was still a level of poor planning that resulted in the situation at hand.</w:t>
      </w:r>
    </w:p>
    <w:p w:rsidR="007D386E" w:rsidRPr="007858CD" w:rsidRDefault="007D386E" w:rsidP="007858CD">
      <w:pPr>
        <w:rPr>
          <w:rFonts w:cs="Arial"/>
          <w:b/>
          <w:color w:val="auto"/>
          <w:sz w:val="20"/>
          <w:szCs w:val="20"/>
          <w:lang w:val="en-ZA"/>
        </w:rPr>
      </w:pPr>
    </w:p>
    <w:p w:rsidR="00A45D94" w:rsidRPr="007858CD" w:rsidRDefault="007D386E" w:rsidP="007858CD">
      <w:pPr>
        <w:rPr>
          <w:rFonts w:cs="Arial"/>
          <w:b/>
          <w:color w:val="auto"/>
          <w:sz w:val="20"/>
          <w:szCs w:val="20"/>
          <w:lang w:val="en-ZA"/>
        </w:rPr>
      </w:pPr>
      <w:r w:rsidRPr="007858CD">
        <w:rPr>
          <w:rFonts w:cs="Arial"/>
          <w:b/>
          <w:color w:val="auto"/>
          <w:sz w:val="20"/>
          <w:szCs w:val="20"/>
          <w:lang w:val="en-ZA"/>
        </w:rPr>
        <w:t xml:space="preserve">6.3.3 </w:t>
      </w:r>
      <w:r w:rsidR="00A45D94" w:rsidRPr="007858CD">
        <w:rPr>
          <w:rFonts w:cs="Arial"/>
          <w:b/>
          <w:color w:val="auto"/>
          <w:sz w:val="20"/>
          <w:szCs w:val="20"/>
          <w:lang w:val="en-ZA"/>
        </w:rPr>
        <w:t>Strategic Outcome 1</w:t>
      </w:r>
    </w:p>
    <w:p w:rsidR="00F54A2A" w:rsidRPr="007858CD" w:rsidRDefault="00E70798" w:rsidP="007858CD">
      <w:pPr>
        <w:numPr>
          <w:ilvl w:val="0"/>
          <w:numId w:val="26"/>
        </w:numPr>
        <w:rPr>
          <w:rFonts w:cs="Arial"/>
          <w:color w:val="auto"/>
          <w:sz w:val="20"/>
          <w:szCs w:val="20"/>
          <w:lang w:val="en-ZA"/>
        </w:rPr>
      </w:pPr>
      <w:r w:rsidRPr="007858CD">
        <w:rPr>
          <w:rFonts w:cs="Arial"/>
          <w:b/>
          <w:color w:val="auto"/>
          <w:sz w:val="20"/>
          <w:szCs w:val="20"/>
          <w:lang w:val="en-ZA"/>
        </w:rPr>
        <w:t>Legislative submissions, Systemic Investigations</w:t>
      </w:r>
      <w:r w:rsidRPr="007858CD">
        <w:rPr>
          <w:rFonts w:cs="Arial"/>
          <w:color w:val="auto"/>
          <w:sz w:val="20"/>
          <w:szCs w:val="20"/>
          <w:lang w:val="en-ZA"/>
        </w:rPr>
        <w:t xml:space="preserve">: </w:t>
      </w:r>
      <w:r w:rsidR="001671D4" w:rsidRPr="007858CD">
        <w:rPr>
          <w:rFonts w:cs="Arial"/>
          <w:color w:val="auto"/>
          <w:sz w:val="20"/>
          <w:szCs w:val="20"/>
          <w:lang w:val="en-ZA"/>
        </w:rPr>
        <w:t xml:space="preserve">The Committee noted </w:t>
      </w:r>
      <w:r w:rsidRPr="007858CD">
        <w:rPr>
          <w:rFonts w:cs="Arial"/>
          <w:color w:val="auto"/>
          <w:sz w:val="20"/>
          <w:szCs w:val="20"/>
          <w:lang w:val="en-ZA"/>
        </w:rPr>
        <w:t>the lack of specificity for targets related to legislative submissions and systemic investigations the details of which were only presented with the addendum to the APP.</w:t>
      </w:r>
    </w:p>
    <w:p w:rsidR="00E70798" w:rsidRPr="007858CD" w:rsidRDefault="00E70798" w:rsidP="007858CD">
      <w:pPr>
        <w:numPr>
          <w:ilvl w:val="0"/>
          <w:numId w:val="26"/>
        </w:numPr>
        <w:rPr>
          <w:rFonts w:cs="Arial"/>
          <w:bCs/>
          <w:color w:val="auto"/>
          <w:sz w:val="20"/>
          <w:szCs w:val="20"/>
        </w:rPr>
      </w:pPr>
      <w:r w:rsidRPr="007858CD">
        <w:rPr>
          <w:rFonts w:cs="Arial"/>
          <w:b/>
          <w:bCs/>
          <w:color w:val="auto"/>
          <w:sz w:val="20"/>
          <w:szCs w:val="20"/>
          <w:lang w:val="en-ZA"/>
        </w:rPr>
        <w:t>Court, SAPS, TCC monitoring</w:t>
      </w:r>
      <w:r w:rsidRPr="007858CD">
        <w:rPr>
          <w:rFonts w:cs="Arial"/>
          <w:bCs/>
          <w:color w:val="auto"/>
          <w:sz w:val="20"/>
          <w:szCs w:val="20"/>
          <w:lang w:val="en-ZA"/>
        </w:rPr>
        <w:t xml:space="preserve">: The lack of details was also noted by the Committee regarding which 40 courts will be monitored in addition to police stations and Thuthuzela Care Centres. </w:t>
      </w:r>
      <w:r w:rsidRPr="007858CD">
        <w:rPr>
          <w:rFonts w:cs="Arial"/>
          <w:bCs/>
          <w:color w:val="auto"/>
          <w:sz w:val="20"/>
          <w:szCs w:val="20"/>
        </w:rPr>
        <w:t>The Committee was concerned about police stations that do not have Thuthuzela Care Centre’s especially those in remote rural areas.</w:t>
      </w:r>
    </w:p>
    <w:p w:rsidR="00A45D94" w:rsidRPr="007858CD" w:rsidRDefault="00E70798" w:rsidP="007858CD">
      <w:pPr>
        <w:numPr>
          <w:ilvl w:val="0"/>
          <w:numId w:val="26"/>
        </w:numPr>
        <w:rPr>
          <w:rFonts w:cs="Arial"/>
          <w:bCs/>
          <w:color w:val="auto"/>
          <w:sz w:val="20"/>
          <w:szCs w:val="20"/>
        </w:rPr>
      </w:pPr>
      <w:r w:rsidRPr="007858CD">
        <w:rPr>
          <w:rFonts w:cs="Arial"/>
          <w:b/>
          <w:bCs/>
          <w:color w:val="auto"/>
          <w:sz w:val="20"/>
          <w:szCs w:val="20"/>
        </w:rPr>
        <w:t>Boy-child programme</w:t>
      </w:r>
      <w:r w:rsidRPr="007858CD">
        <w:rPr>
          <w:rFonts w:cs="Arial"/>
          <w:bCs/>
          <w:color w:val="auto"/>
          <w:sz w:val="20"/>
          <w:szCs w:val="20"/>
        </w:rPr>
        <w:t xml:space="preserve">: </w:t>
      </w:r>
      <w:r w:rsidR="00681332" w:rsidRPr="007858CD">
        <w:rPr>
          <w:rFonts w:cs="Arial"/>
          <w:bCs/>
          <w:color w:val="auto"/>
          <w:sz w:val="20"/>
          <w:szCs w:val="20"/>
        </w:rPr>
        <w:t>The Committee asked whether the CGE will continue the roll out of the boy child programme in</w:t>
      </w:r>
      <w:r w:rsidR="00395F6C" w:rsidRPr="007858CD">
        <w:rPr>
          <w:rFonts w:cs="Arial"/>
          <w:bCs/>
          <w:color w:val="auto"/>
          <w:sz w:val="20"/>
          <w:szCs w:val="20"/>
        </w:rPr>
        <w:t xml:space="preserve"> the</w:t>
      </w:r>
      <w:r w:rsidR="00681332" w:rsidRPr="007858CD">
        <w:rPr>
          <w:rFonts w:cs="Arial"/>
          <w:bCs/>
          <w:color w:val="auto"/>
          <w:sz w:val="20"/>
          <w:szCs w:val="20"/>
        </w:rPr>
        <w:t xml:space="preserve"> financial year 2022/23.</w:t>
      </w:r>
    </w:p>
    <w:p w:rsidR="00E70798" w:rsidRPr="007858CD" w:rsidRDefault="00E70798" w:rsidP="007858CD">
      <w:pPr>
        <w:numPr>
          <w:ilvl w:val="0"/>
          <w:numId w:val="26"/>
        </w:numPr>
        <w:rPr>
          <w:rFonts w:cs="Arial"/>
          <w:bCs/>
          <w:color w:val="auto"/>
          <w:sz w:val="20"/>
          <w:szCs w:val="20"/>
        </w:rPr>
      </w:pPr>
      <w:r w:rsidRPr="007858CD">
        <w:rPr>
          <w:rFonts w:cs="Arial"/>
          <w:b/>
          <w:bCs/>
          <w:color w:val="auto"/>
          <w:sz w:val="20"/>
          <w:szCs w:val="20"/>
        </w:rPr>
        <w:t>CGE Initiated Bill</w:t>
      </w:r>
      <w:r w:rsidRPr="007858CD">
        <w:rPr>
          <w:rFonts w:cs="Arial"/>
          <w:bCs/>
          <w:color w:val="auto"/>
          <w:sz w:val="20"/>
          <w:szCs w:val="20"/>
        </w:rPr>
        <w:t>: The Committee noted the CGE’s intention of introducing a bill to address gender mainstreaming but it was unclear how this would differ from the Department’s WEGE Bill.</w:t>
      </w:r>
    </w:p>
    <w:p w:rsidR="00A45D94" w:rsidRPr="007858CD" w:rsidRDefault="00A45D94" w:rsidP="007858CD">
      <w:pPr>
        <w:rPr>
          <w:rFonts w:cs="Arial"/>
          <w:color w:val="auto"/>
          <w:sz w:val="20"/>
          <w:szCs w:val="20"/>
          <w:lang w:val="en-ZA"/>
        </w:rPr>
      </w:pPr>
    </w:p>
    <w:p w:rsidR="009839DB" w:rsidRPr="007858CD" w:rsidRDefault="009839DB" w:rsidP="007858CD">
      <w:pPr>
        <w:rPr>
          <w:rFonts w:cs="Arial"/>
          <w:color w:val="auto"/>
          <w:sz w:val="20"/>
          <w:szCs w:val="20"/>
          <w:lang w:val="en-ZA"/>
        </w:rPr>
      </w:pPr>
    </w:p>
    <w:p w:rsidR="00A45D94" w:rsidRPr="007858CD" w:rsidRDefault="00A45D94" w:rsidP="007858CD">
      <w:pPr>
        <w:rPr>
          <w:rFonts w:cs="Arial"/>
          <w:b/>
          <w:color w:val="auto"/>
          <w:sz w:val="20"/>
          <w:szCs w:val="20"/>
        </w:rPr>
      </w:pPr>
      <w:r w:rsidRPr="007858CD">
        <w:rPr>
          <w:rFonts w:cs="Arial"/>
          <w:b/>
          <w:color w:val="auto"/>
          <w:sz w:val="20"/>
          <w:szCs w:val="20"/>
          <w:lang w:val="en-ZA"/>
        </w:rPr>
        <w:t>6.3.</w:t>
      </w:r>
      <w:r w:rsidR="007D386E" w:rsidRPr="007858CD">
        <w:rPr>
          <w:rFonts w:cs="Arial"/>
          <w:b/>
          <w:color w:val="auto"/>
          <w:sz w:val="20"/>
          <w:szCs w:val="20"/>
          <w:lang w:val="en-ZA"/>
        </w:rPr>
        <w:t>4</w:t>
      </w:r>
      <w:r w:rsidRPr="007858CD">
        <w:rPr>
          <w:rFonts w:cs="Arial"/>
          <w:b/>
          <w:color w:val="auto"/>
          <w:sz w:val="20"/>
          <w:szCs w:val="20"/>
          <w:lang w:val="en-ZA"/>
        </w:rPr>
        <w:t xml:space="preserve"> Strategic Outcome 2</w:t>
      </w:r>
    </w:p>
    <w:p w:rsidR="00A45D94" w:rsidRPr="007858CD" w:rsidRDefault="00A45D94" w:rsidP="007858CD">
      <w:pPr>
        <w:numPr>
          <w:ilvl w:val="0"/>
          <w:numId w:val="26"/>
        </w:numPr>
        <w:rPr>
          <w:rFonts w:cs="Arial"/>
          <w:color w:val="auto"/>
          <w:sz w:val="20"/>
          <w:szCs w:val="20"/>
        </w:rPr>
      </w:pPr>
      <w:r w:rsidRPr="007858CD">
        <w:rPr>
          <w:rFonts w:cs="Arial"/>
          <w:b/>
          <w:color w:val="auto"/>
          <w:sz w:val="20"/>
          <w:szCs w:val="20"/>
          <w:lang w:val="en-ZA"/>
        </w:rPr>
        <w:t>Complaints handling</w:t>
      </w:r>
      <w:r w:rsidR="007514A9" w:rsidRPr="007858CD">
        <w:rPr>
          <w:rFonts w:cs="Arial"/>
          <w:b/>
          <w:color w:val="auto"/>
          <w:sz w:val="20"/>
          <w:szCs w:val="20"/>
          <w:lang w:val="en-ZA"/>
        </w:rPr>
        <w:t xml:space="preserve"> &amp; Legal Clinics</w:t>
      </w:r>
      <w:r w:rsidRPr="007858CD">
        <w:rPr>
          <w:rFonts w:cs="Arial"/>
          <w:color w:val="auto"/>
          <w:sz w:val="20"/>
          <w:szCs w:val="20"/>
          <w:lang w:val="en-ZA"/>
        </w:rPr>
        <w:t xml:space="preserve">: The Committee noted with concern that </w:t>
      </w:r>
      <w:r w:rsidR="00F54A2A" w:rsidRPr="007858CD">
        <w:rPr>
          <w:rFonts w:cs="Arial"/>
          <w:color w:val="auto"/>
          <w:sz w:val="20"/>
          <w:szCs w:val="20"/>
          <w:lang w:val="en-ZA"/>
        </w:rPr>
        <w:t>the</w:t>
      </w:r>
      <w:r w:rsidR="007514A9" w:rsidRPr="007858CD">
        <w:rPr>
          <w:rFonts w:cs="Arial"/>
          <w:color w:val="auto"/>
          <w:sz w:val="20"/>
          <w:szCs w:val="20"/>
          <w:lang w:val="en-ZA"/>
        </w:rPr>
        <w:t>se</w:t>
      </w:r>
      <w:r w:rsidR="00F54A2A" w:rsidRPr="007858CD">
        <w:rPr>
          <w:rFonts w:cs="Arial"/>
          <w:color w:val="auto"/>
          <w:sz w:val="20"/>
          <w:szCs w:val="20"/>
          <w:lang w:val="en-ZA"/>
        </w:rPr>
        <w:t xml:space="preserve"> target</w:t>
      </w:r>
      <w:r w:rsidR="007514A9" w:rsidRPr="007858CD">
        <w:rPr>
          <w:rFonts w:cs="Arial"/>
          <w:color w:val="auto"/>
          <w:sz w:val="20"/>
          <w:szCs w:val="20"/>
          <w:lang w:val="en-ZA"/>
        </w:rPr>
        <w:t>s</w:t>
      </w:r>
      <w:r w:rsidR="00F54A2A" w:rsidRPr="007858CD">
        <w:rPr>
          <w:rFonts w:cs="Arial"/>
          <w:color w:val="auto"/>
          <w:sz w:val="20"/>
          <w:szCs w:val="20"/>
          <w:lang w:val="en-ZA"/>
        </w:rPr>
        <w:t xml:space="preserve"> did not appear in the current APP</w:t>
      </w:r>
      <w:r w:rsidRPr="007858CD">
        <w:rPr>
          <w:rFonts w:cs="Arial"/>
          <w:color w:val="auto"/>
          <w:sz w:val="20"/>
          <w:szCs w:val="20"/>
          <w:lang w:val="en-ZA"/>
        </w:rPr>
        <w:t>.</w:t>
      </w:r>
      <w:r w:rsidR="007514A9" w:rsidRPr="007858CD">
        <w:rPr>
          <w:rFonts w:cs="Arial"/>
          <w:color w:val="auto"/>
          <w:sz w:val="20"/>
          <w:szCs w:val="20"/>
          <w:lang w:val="en-ZA"/>
        </w:rPr>
        <w:t xml:space="preserve"> The Committee was alarmed that the CGE was not registered as a Legal Counsel Practice and therefor was not allowed to provide legal advice to any clients. This was disconcerting as the issue was raised in December 2020 with the Committee at a quarterly report briefing where the CGE informed the Committee the matter would be resolved. However, the Committee noted with concern that the CGE had subsequently not addressed the matter.</w:t>
      </w:r>
    </w:p>
    <w:p w:rsidR="00DD6FF2" w:rsidRPr="007858CD" w:rsidRDefault="00A45D94" w:rsidP="007858CD">
      <w:pPr>
        <w:numPr>
          <w:ilvl w:val="0"/>
          <w:numId w:val="26"/>
        </w:numPr>
        <w:rPr>
          <w:rFonts w:cs="Arial"/>
          <w:color w:val="auto"/>
          <w:sz w:val="20"/>
          <w:szCs w:val="20"/>
        </w:rPr>
      </w:pPr>
      <w:r w:rsidRPr="007858CD">
        <w:rPr>
          <w:rFonts w:cs="Arial"/>
          <w:b/>
          <w:color w:val="auto"/>
          <w:sz w:val="20"/>
          <w:szCs w:val="20"/>
        </w:rPr>
        <w:t>Stakeholder engagements</w:t>
      </w:r>
      <w:r w:rsidRPr="007858CD">
        <w:rPr>
          <w:rFonts w:cs="Arial"/>
          <w:color w:val="auto"/>
          <w:sz w:val="20"/>
          <w:szCs w:val="20"/>
        </w:rPr>
        <w:t xml:space="preserve">: </w:t>
      </w:r>
      <w:r w:rsidR="001671D4" w:rsidRPr="007858CD">
        <w:rPr>
          <w:rFonts w:cs="Arial"/>
          <w:color w:val="auto"/>
          <w:sz w:val="20"/>
          <w:szCs w:val="20"/>
        </w:rPr>
        <w:t xml:space="preserve">The Committee noted with concern the lack of detail regarding the </w:t>
      </w:r>
      <w:r w:rsidR="00F54A2A" w:rsidRPr="007858CD">
        <w:rPr>
          <w:rFonts w:cs="Arial"/>
          <w:color w:val="auto"/>
          <w:sz w:val="20"/>
          <w:szCs w:val="20"/>
        </w:rPr>
        <w:t>720</w:t>
      </w:r>
      <w:r w:rsidR="001671D4" w:rsidRPr="007858CD">
        <w:rPr>
          <w:rFonts w:cs="Arial"/>
          <w:color w:val="auto"/>
          <w:sz w:val="20"/>
          <w:szCs w:val="20"/>
        </w:rPr>
        <w:t xml:space="preserve"> stakeholders referred to with regard</w:t>
      </w:r>
      <w:r w:rsidR="00F54A2A" w:rsidRPr="007858CD">
        <w:rPr>
          <w:rFonts w:cs="Arial"/>
          <w:color w:val="auto"/>
          <w:sz w:val="20"/>
          <w:szCs w:val="20"/>
        </w:rPr>
        <w:t>s</w:t>
      </w:r>
      <w:r w:rsidR="001671D4" w:rsidRPr="007858CD">
        <w:rPr>
          <w:rFonts w:cs="Arial"/>
          <w:color w:val="auto"/>
          <w:sz w:val="20"/>
          <w:szCs w:val="20"/>
        </w:rPr>
        <w:t xml:space="preserve"> to</w:t>
      </w:r>
      <w:r w:rsidR="00F54A2A" w:rsidRPr="007858CD">
        <w:rPr>
          <w:rFonts w:cs="Arial"/>
          <w:color w:val="auto"/>
          <w:sz w:val="20"/>
          <w:szCs w:val="20"/>
        </w:rPr>
        <w:t xml:space="preserve"> </w:t>
      </w:r>
      <w:r w:rsidR="007514A9" w:rsidRPr="007858CD">
        <w:rPr>
          <w:rFonts w:cs="Arial"/>
          <w:color w:val="auto"/>
          <w:sz w:val="20"/>
          <w:szCs w:val="20"/>
        </w:rPr>
        <w:t>GAD workshops</w:t>
      </w:r>
      <w:r w:rsidR="001671D4" w:rsidRPr="007858CD">
        <w:rPr>
          <w:rFonts w:cs="Arial"/>
          <w:color w:val="auto"/>
          <w:sz w:val="20"/>
          <w:szCs w:val="20"/>
        </w:rPr>
        <w:t xml:space="preserve">. </w:t>
      </w:r>
      <w:r w:rsidR="00DD6FF2" w:rsidRPr="007858CD">
        <w:rPr>
          <w:rFonts w:cs="Arial"/>
          <w:color w:val="auto"/>
          <w:sz w:val="20"/>
          <w:szCs w:val="20"/>
        </w:rPr>
        <w:t xml:space="preserve">The CGE did not indicate which 720 stakeholders have been identified for the gender and development workshops and how many stakeholders will be targeted per province. </w:t>
      </w:r>
      <w:r w:rsidR="001671D4" w:rsidRPr="007858CD">
        <w:rPr>
          <w:rFonts w:cs="Arial"/>
          <w:color w:val="auto"/>
          <w:sz w:val="20"/>
          <w:szCs w:val="20"/>
        </w:rPr>
        <w:t>Without the detail, the Committee’s oversight is impeded.</w:t>
      </w:r>
      <w:r w:rsidR="00DD6FF2" w:rsidRPr="007858CD">
        <w:rPr>
          <w:rFonts w:cs="Arial"/>
          <w:color w:val="auto"/>
          <w:sz w:val="20"/>
          <w:szCs w:val="20"/>
        </w:rPr>
        <w:t xml:space="preserve"> </w:t>
      </w:r>
    </w:p>
    <w:p w:rsidR="00DD6FF2" w:rsidRPr="007858CD" w:rsidRDefault="00DD6FF2" w:rsidP="007858CD">
      <w:pPr>
        <w:numPr>
          <w:ilvl w:val="0"/>
          <w:numId w:val="26"/>
        </w:numPr>
        <w:rPr>
          <w:rFonts w:cs="Arial"/>
          <w:color w:val="auto"/>
          <w:sz w:val="20"/>
          <w:szCs w:val="20"/>
        </w:rPr>
      </w:pPr>
      <w:r w:rsidRPr="007858CD">
        <w:rPr>
          <w:rFonts w:cs="Arial"/>
          <w:color w:val="auto"/>
          <w:sz w:val="20"/>
          <w:szCs w:val="20"/>
        </w:rPr>
        <w:t>The Committee queried whether the community practitioners would be paid by the CGE and if yes, what was the role of the CGE in that regard as this was not stipulated in the APP for 2022/23.</w:t>
      </w:r>
    </w:p>
    <w:p w:rsidR="00A45D94" w:rsidRPr="007858CD" w:rsidRDefault="00A45D94" w:rsidP="007858CD">
      <w:pPr>
        <w:rPr>
          <w:rFonts w:cs="Arial"/>
          <w:color w:val="auto"/>
          <w:sz w:val="20"/>
          <w:szCs w:val="20"/>
          <w:lang w:val="en-ZA"/>
        </w:rPr>
      </w:pPr>
    </w:p>
    <w:p w:rsidR="00A45D94" w:rsidRPr="007858CD" w:rsidRDefault="00A45D94" w:rsidP="007858CD">
      <w:pPr>
        <w:rPr>
          <w:rFonts w:cs="Arial"/>
          <w:b/>
          <w:color w:val="auto"/>
          <w:sz w:val="20"/>
          <w:szCs w:val="20"/>
          <w:lang w:val="en-ZA"/>
        </w:rPr>
      </w:pPr>
      <w:r w:rsidRPr="007858CD">
        <w:rPr>
          <w:rFonts w:cs="Arial"/>
          <w:b/>
          <w:color w:val="auto"/>
          <w:sz w:val="20"/>
          <w:szCs w:val="20"/>
          <w:lang w:val="en-ZA"/>
        </w:rPr>
        <w:t>6.3.4 Strategic Outcome 3</w:t>
      </w:r>
    </w:p>
    <w:p w:rsidR="00A45D94" w:rsidRPr="007858CD" w:rsidRDefault="00A45D94" w:rsidP="007858CD">
      <w:pPr>
        <w:numPr>
          <w:ilvl w:val="0"/>
          <w:numId w:val="26"/>
        </w:numPr>
        <w:rPr>
          <w:rFonts w:cs="Arial"/>
          <w:color w:val="auto"/>
          <w:sz w:val="20"/>
          <w:szCs w:val="20"/>
          <w:lang w:val="en-ZA"/>
        </w:rPr>
      </w:pPr>
      <w:r w:rsidRPr="007858CD">
        <w:rPr>
          <w:rFonts w:cs="Arial"/>
          <w:b/>
          <w:color w:val="auto"/>
          <w:sz w:val="20"/>
          <w:szCs w:val="20"/>
          <w:lang w:val="en-ZA"/>
        </w:rPr>
        <w:t>NSP on GBVF</w:t>
      </w:r>
      <w:r w:rsidR="00F54A2A" w:rsidRPr="007858CD">
        <w:rPr>
          <w:rFonts w:cs="Arial"/>
          <w:b/>
          <w:color w:val="auto"/>
          <w:sz w:val="20"/>
          <w:szCs w:val="20"/>
          <w:lang w:val="en-ZA"/>
        </w:rPr>
        <w:t xml:space="preserve"> and NCGBVF</w:t>
      </w:r>
      <w:r w:rsidRPr="007858CD">
        <w:rPr>
          <w:rFonts w:cs="Arial"/>
          <w:color w:val="auto"/>
          <w:sz w:val="20"/>
          <w:szCs w:val="20"/>
          <w:lang w:val="en-ZA"/>
        </w:rPr>
        <w:t xml:space="preserve">: The Committee noted the lack </w:t>
      </w:r>
      <w:r w:rsidR="00F54A2A" w:rsidRPr="007858CD">
        <w:rPr>
          <w:rFonts w:cs="Arial"/>
          <w:color w:val="auto"/>
          <w:sz w:val="20"/>
          <w:szCs w:val="20"/>
          <w:lang w:val="en-ZA"/>
        </w:rPr>
        <w:t xml:space="preserve">specific targets as follow-on from work undertaken in </w:t>
      </w:r>
      <w:r w:rsidR="00395F6C" w:rsidRPr="007858CD">
        <w:rPr>
          <w:rFonts w:cs="Arial"/>
          <w:color w:val="auto"/>
          <w:sz w:val="20"/>
          <w:szCs w:val="20"/>
          <w:lang w:val="en-ZA"/>
        </w:rPr>
        <w:t xml:space="preserve">the </w:t>
      </w:r>
      <w:r w:rsidR="00F54A2A" w:rsidRPr="007858CD">
        <w:rPr>
          <w:rFonts w:cs="Arial"/>
          <w:color w:val="auto"/>
          <w:sz w:val="20"/>
          <w:szCs w:val="20"/>
          <w:lang w:val="en-ZA"/>
        </w:rPr>
        <w:t>previous FY</w:t>
      </w:r>
      <w:r w:rsidRPr="007858CD">
        <w:rPr>
          <w:rFonts w:cs="Arial"/>
          <w:color w:val="auto"/>
          <w:sz w:val="20"/>
          <w:szCs w:val="20"/>
          <w:lang w:val="en-ZA"/>
        </w:rPr>
        <w:t>.</w:t>
      </w:r>
    </w:p>
    <w:p w:rsidR="00681332" w:rsidRPr="007858CD" w:rsidRDefault="00A45D94" w:rsidP="007858CD">
      <w:pPr>
        <w:numPr>
          <w:ilvl w:val="0"/>
          <w:numId w:val="26"/>
        </w:numPr>
        <w:rPr>
          <w:rFonts w:cs="Arial"/>
          <w:bCs/>
          <w:color w:val="auto"/>
          <w:sz w:val="20"/>
          <w:szCs w:val="20"/>
        </w:rPr>
      </w:pPr>
      <w:r w:rsidRPr="007858CD">
        <w:rPr>
          <w:rFonts w:cs="Arial"/>
          <w:b/>
          <w:bCs/>
          <w:color w:val="auto"/>
          <w:sz w:val="20"/>
          <w:szCs w:val="20"/>
        </w:rPr>
        <w:t>Monitoring</w:t>
      </w:r>
      <w:r w:rsidRPr="007858CD">
        <w:rPr>
          <w:rFonts w:cs="Arial"/>
          <w:bCs/>
          <w:color w:val="auto"/>
          <w:sz w:val="20"/>
          <w:szCs w:val="20"/>
        </w:rPr>
        <w:t>:</w:t>
      </w:r>
      <w:r w:rsidR="00681332" w:rsidRPr="007858CD">
        <w:rPr>
          <w:rFonts w:cs="Arial"/>
          <w:color w:val="auto"/>
          <w:sz w:val="20"/>
          <w:szCs w:val="20"/>
        </w:rPr>
        <w:t xml:space="preserve"> </w:t>
      </w:r>
      <w:r w:rsidR="00681332" w:rsidRPr="007858CD">
        <w:rPr>
          <w:rFonts w:cs="Arial"/>
          <w:bCs/>
          <w:color w:val="auto"/>
          <w:sz w:val="20"/>
          <w:szCs w:val="20"/>
        </w:rPr>
        <w:t>The Committee enquired which research reports will be monitored, when, where and how will these be monitored. The Committee noted that the target lacked the specific details thus impeding oversight.</w:t>
      </w:r>
    </w:p>
    <w:p w:rsidR="00A45D94" w:rsidRPr="007858CD" w:rsidRDefault="00DD6FF2" w:rsidP="007858CD">
      <w:pPr>
        <w:pStyle w:val="ListParagraph"/>
        <w:numPr>
          <w:ilvl w:val="0"/>
          <w:numId w:val="26"/>
        </w:numPr>
        <w:rPr>
          <w:rFonts w:cs="Arial"/>
          <w:color w:val="auto"/>
          <w:sz w:val="20"/>
          <w:szCs w:val="20"/>
        </w:rPr>
      </w:pPr>
      <w:r w:rsidRPr="007858CD">
        <w:rPr>
          <w:rFonts w:cs="Arial"/>
          <w:b/>
          <w:color w:val="auto"/>
          <w:sz w:val="20"/>
          <w:szCs w:val="20"/>
        </w:rPr>
        <w:t>Treaty compliance &amp; Policy briefs</w:t>
      </w:r>
      <w:r w:rsidRPr="007858CD">
        <w:rPr>
          <w:rFonts w:cs="Arial"/>
          <w:color w:val="auto"/>
          <w:sz w:val="20"/>
          <w:szCs w:val="20"/>
        </w:rPr>
        <w:t>: The Committee noted that the CGE did not specify which international/regional instruments and policy briefs will be focussed on in the 2022/23 FY.</w:t>
      </w:r>
    </w:p>
    <w:p w:rsidR="00405316" w:rsidRPr="007858CD" w:rsidRDefault="00405316" w:rsidP="007858CD">
      <w:pPr>
        <w:rPr>
          <w:rFonts w:cs="Arial"/>
          <w:b/>
          <w:color w:val="auto"/>
          <w:sz w:val="20"/>
          <w:szCs w:val="20"/>
          <w:lang w:val="en-ZA"/>
        </w:rPr>
      </w:pPr>
    </w:p>
    <w:p w:rsidR="00A45D94" w:rsidRPr="007858CD" w:rsidRDefault="00A45D94" w:rsidP="007858CD">
      <w:pPr>
        <w:rPr>
          <w:rFonts w:cs="Arial"/>
          <w:color w:val="auto"/>
          <w:sz w:val="20"/>
          <w:szCs w:val="20"/>
        </w:rPr>
      </w:pPr>
      <w:r w:rsidRPr="007858CD">
        <w:rPr>
          <w:rFonts w:cs="Arial"/>
          <w:b/>
          <w:color w:val="auto"/>
          <w:sz w:val="20"/>
          <w:szCs w:val="20"/>
          <w:lang w:val="en-ZA"/>
        </w:rPr>
        <w:t>6.3.5 Strategic Outcome 4</w:t>
      </w:r>
      <w:r w:rsidRPr="007858CD">
        <w:rPr>
          <w:rFonts w:cs="Arial"/>
          <w:color w:val="auto"/>
          <w:sz w:val="20"/>
          <w:szCs w:val="20"/>
          <w:lang w:val="en-ZA"/>
        </w:rPr>
        <w:t>:</w:t>
      </w:r>
    </w:p>
    <w:p w:rsidR="00A45D94" w:rsidRPr="007858CD" w:rsidRDefault="00A45D94" w:rsidP="007858CD">
      <w:pPr>
        <w:numPr>
          <w:ilvl w:val="0"/>
          <w:numId w:val="26"/>
        </w:numPr>
        <w:rPr>
          <w:rFonts w:cs="Arial"/>
          <w:color w:val="auto"/>
          <w:sz w:val="20"/>
          <w:szCs w:val="20"/>
        </w:rPr>
      </w:pPr>
      <w:r w:rsidRPr="007858CD">
        <w:rPr>
          <w:rFonts w:cs="Arial"/>
          <w:b/>
          <w:color w:val="auto"/>
          <w:sz w:val="20"/>
          <w:szCs w:val="20"/>
          <w:lang w:val="en-ZA"/>
        </w:rPr>
        <w:lastRenderedPageBreak/>
        <w:t>ICT</w:t>
      </w:r>
      <w:r w:rsidRPr="007858CD">
        <w:rPr>
          <w:rFonts w:cs="Arial"/>
          <w:color w:val="auto"/>
          <w:sz w:val="20"/>
          <w:szCs w:val="20"/>
          <w:lang w:val="en-ZA"/>
        </w:rPr>
        <w:t>:</w:t>
      </w:r>
      <w:r w:rsidR="000F1E52" w:rsidRPr="007858CD">
        <w:rPr>
          <w:rFonts w:cs="Arial"/>
          <w:color w:val="auto"/>
          <w:sz w:val="20"/>
          <w:szCs w:val="20"/>
          <w:lang w:val="en-ZA"/>
        </w:rPr>
        <w:t xml:space="preserve"> The Committee wanted to know what is the status of the ICT and Knowledge Management. The Committee also wanted to know what are the submissions on legislation before Parliament. </w:t>
      </w:r>
      <w:r w:rsidRPr="007858CD">
        <w:rPr>
          <w:rFonts w:cs="Arial"/>
          <w:color w:val="auto"/>
          <w:sz w:val="20"/>
          <w:szCs w:val="20"/>
          <w:lang w:val="en-ZA"/>
        </w:rPr>
        <w:t xml:space="preserve"> </w:t>
      </w:r>
    </w:p>
    <w:p w:rsidR="00A45D94" w:rsidRPr="007858CD" w:rsidRDefault="00A45D94" w:rsidP="007858CD">
      <w:pPr>
        <w:numPr>
          <w:ilvl w:val="0"/>
          <w:numId w:val="26"/>
        </w:numPr>
        <w:rPr>
          <w:rFonts w:cs="Arial"/>
          <w:color w:val="auto"/>
          <w:sz w:val="20"/>
          <w:szCs w:val="20"/>
        </w:rPr>
      </w:pPr>
      <w:r w:rsidRPr="007858CD">
        <w:rPr>
          <w:rFonts w:cs="Arial"/>
          <w:b/>
          <w:bCs/>
          <w:color w:val="auto"/>
          <w:sz w:val="20"/>
          <w:szCs w:val="20"/>
        </w:rPr>
        <w:t>M&amp;E Framework</w:t>
      </w:r>
      <w:r w:rsidRPr="007858CD">
        <w:rPr>
          <w:rFonts w:cs="Arial"/>
          <w:bCs/>
          <w:color w:val="auto"/>
          <w:sz w:val="20"/>
          <w:szCs w:val="20"/>
        </w:rPr>
        <w:t>: The Committee requested an update on the monitoring and evaluating frameworks.</w:t>
      </w:r>
    </w:p>
    <w:p w:rsidR="00681332" w:rsidRPr="007858CD" w:rsidRDefault="00681332" w:rsidP="007858CD">
      <w:pPr>
        <w:numPr>
          <w:ilvl w:val="0"/>
          <w:numId w:val="26"/>
        </w:numPr>
        <w:rPr>
          <w:rFonts w:cs="Arial"/>
          <w:color w:val="auto"/>
          <w:sz w:val="20"/>
          <w:szCs w:val="20"/>
        </w:rPr>
      </w:pPr>
      <w:r w:rsidRPr="007858CD">
        <w:rPr>
          <w:rFonts w:cs="Arial"/>
          <w:b/>
          <w:bCs/>
          <w:color w:val="auto"/>
          <w:sz w:val="20"/>
          <w:szCs w:val="20"/>
        </w:rPr>
        <w:t>Code of Conduct</w:t>
      </w:r>
      <w:r w:rsidRPr="007858CD">
        <w:rPr>
          <w:rFonts w:cs="Arial"/>
          <w:color w:val="auto"/>
          <w:sz w:val="20"/>
          <w:szCs w:val="20"/>
        </w:rPr>
        <w:t>: The Committee questioned how the CGE’s Code of Conduct</w:t>
      </w:r>
      <w:r w:rsidR="00D13F21" w:rsidRPr="007858CD">
        <w:rPr>
          <w:rFonts w:cs="Arial"/>
          <w:color w:val="auto"/>
          <w:sz w:val="20"/>
          <w:szCs w:val="20"/>
        </w:rPr>
        <w:t xml:space="preserve"> could</w:t>
      </w:r>
      <w:r w:rsidRPr="007858CD">
        <w:rPr>
          <w:rFonts w:cs="Arial"/>
          <w:color w:val="auto"/>
          <w:sz w:val="20"/>
          <w:szCs w:val="20"/>
        </w:rPr>
        <w:t xml:space="preserve"> be reinforced given what had transpired in the last financial year. To this end, the Committee queried what the status of the Commissioner’s handbook and the policy between Commissioners and staff was as these were important policies that governed relations within the CGE.  The Committed noted that these have been longstanding matters within the CGE.</w:t>
      </w:r>
    </w:p>
    <w:p w:rsidR="00A45D94" w:rsidRPr="007858CD" w:rsidRDefault="00A45D94" w:rsidP="007858CD">
      <w:pPr>
        <w:rPr>
          <w:rFonts w:cs="Arial"/>
          <w:color w:val="auto"/>
          <w:sz w:val="20"/>
          <w:szCs w:val="20"/>
        </w:rPr>
      </w:pPr>
    </w:p>
    <w:p w:rsidR="00DD6FF2" w:rsidRPr="007858CD" w:rsidRDefault="00A45D94" w:rsidP="007858CD">
      <w:pPr>
        <w:rPr>
          <w:rFonts w:cs="Arial"/>
          <w:b/>
          <w:color w:val="auto"/>
          <w:sz w:val="20"/>
          <w:szCs w:val="20"/>
        </w:rPr>
      </w:pPr>
      <w:r w:rsidRPr="007858CD">
        <w:rPr>
          <w:rFonts w:cs="Arial"/>
          <w:b/>
          <w:color w:val="auto"/>
          <w:sz w:val="20"/>
          <w:szCs w:val="20"/>
        </w:rPr>
        <w:t xml:space="preserve">6.3.6 </w:t>
      </w:r>
      <w:r w:rsidR="00DD6FF2" w:rsidRPr="007858CD">
        <w:rPr>
          <w:rFonts w:cs="Arial"/>
          <w:b/>
          <w:color w:val="auto"/>
          <w:sz w:val="20"/>
          <w:szCs w:val="20"/>
        </w:rPr>
        <w:t>Human Resource</w:t>
      </w:r>
    </w:p>
    <w:p w:rsidR="00DD6FF2" w:rsidRPr="007858CD" w:rsidRDefault="00DD6FF2" w:rsidP="007858CD">
      <w:pPr>
        <w:numPr>
          <w:ilvl w:val="0"/>
          <w:numId w:val="39"/>
        </w:numPr>
        <w:rPr>
          <w:rFonts w:cs="Arial"/>
          <w:color w:val="auto"/>
          <w:sz w:val="20"/>
          <w:szCs w:val="20"/>
        </w:rPr>
      </w:pPr>
      <w:r w:rsidRPr="007858CD">
        <w:rPr>
          <w:rFonts w:cs="Arial"/>
          <w:b/>
          <w:color w:val="auto"/>
          <w:sz w:val="20"/>
          <w:szCs w:val="20"/>
        </w:rPr>
        <w:t>Vacancies</w:t>
      </w:r>
      <w:r w:rsidRPr="007858CD">
        <w:rPr>
          <w:rFonts w:cs="Arial"/>
          <w:color w:val="auto"/>
          <w:sz w:val="20"/>
          <w:szCs w:val="20"/>
        </w:rPr>
        <w:t xml:space="preserve">: The Committee noted with concern the longstanding critical vacancies to be filled. </w:t>
      </w:r>
    </w:p>
    <w:p w:rsidR="00DD6FF2" w:rsidRPr="007858CD" w:rsidRDefault="00DD6FF2" w:rsidP="007858CD">
      <w:pPr>
        <w:numPr>
          <w:ilvl w:val="0"/>
          <w:numId w:val="39"/>
        </w:numPr>
        <w:rPr>
          <w:rFonts w:cs="Arial"/>
          <w:color w:val="auto"/>
          <w:sz w:val="20"/>
          <w:szCs w:val="20"/>
        </w:rPr>
      </w:pPr>
      <w:r w:rsidRPr="007858CD">
        <w:rPr>
          <w:rFonts w:cs="Arial"/>
          <w:color w:val="auto"/>
          <w:sz w:val="20"/>
          <w:szCs w:val="20"/>
        </w:rPr>
        <w:t xml:space="preserve">The Committee requested </w:t>
      </w:r>
      <w:r w:rsidR="00D13F21" w:rsidRPr="007858CD">
        <w:rPr>
          <w:rFonts w:cs="Arial"/>
          <w:color w:val="auto"/>
          <w:sz w:val="20"/>
          <w:szCs w:val="20"/>
        </w:rPr>
        <w:t xml:space="preserve">an </w:t>
      </w:r>
      <w:r w:rsidRPr="007858CD">
        <w:rPr>
          <w:rFonts w:cs="Arial"/>
          <w:color w:val="auto"/>
          <w:sz w:val="20"/>
          <w:szCs w:val="20"/>
        </w:rPr>
        <w:t>update on the revision of salary scales it had to so</w:t>
      </w:r>
      <w:r w:rsidR="00D13F21" w:rsidRPr="007858CD">
        <w:rPr>
          <w:rFonts w:cs="Arial"/>
          <w:color w:val="auto"/>
          <w:sz w:val="20"/>
          <w:szCs w:val="20"/>
        </w:rPr>
        <w:t>ugh</w:t>
      </w:r>
      <w:r w:rsidRPr="007858CD">
        <w:rPr>
          <w:rFonts w:cs="Arial"/>
          <w:color w:val="auto"/>
          <w:sz w:val="20"/>
          <w:szCs w:val="20"/>
        </w:rPr>
        <w:t xml:space="preserve">t from National Treasury and the Department of Public Service and Administration given that the CGE cannot retain staff and attract people with </w:t>
      </w:r>
      <w:r w:rsidR="00395F6C" w:rsidRPr="007858CD">
        <w:rPr>
          <w:rFonts w:cs="Arial"/>
          <w:color w:val="auto"/>
          <w:sz w:val="20"/>
          <w:szCs w:val="20"/>
        </w:rPr>
        <w:t xml:space="preserve">the </w:t>
      </w:r>
      <w:r w:rsidRPr="007858CD">
        <w:rPr>
          <w:rFonts w:cs="Arial"/>
          <w:color w:val="auto"/>
          <w:sz w:val="20"/>
          <w:szCs w:val="20"/>
        </w:rPr>
        <w:t>requisite skills to join the institution due to lower salary scales.</w:t>
      </w:r>
    </w:p>
    <w:p w:rsidR="00DD6FF2" w:rsidRPr="007858CD" w:rsidRDefault="00DD6FF2" w:rsidP="007858CD">
      <w:pPr>
        <w:numPr>
          <w:ilvl w:val="0"/>
          <w:numId w:val="39"/>
        </w:numPr>
        <w:rPr>
          <w:rFonts w:cs="Arial"/>
          <w:color w:val="auto"/>
          <w:sz w:val="20"/>
          <w:szCs w:val="20"/>
        </w:rPr>
      </w:pPr>
      <w:r w:rsidRPr="007858CD">
        <w:rPr>
          <w:rFonts w:cs="Arial"/>
          <w:color w:val="auto"/>
          <w:sz w:val="20"/>
          <w:szCs w:val="20"/>
        </w:rPr>
        <w:t>The Committee noted the number of critical vacancies</w:t>
      </w:r>
      <w:r w:rsidR="00D13F21" w:rsidRPr="007858CD">
        <w:rPr>
          <w:rFonts w:cs="Arial"/>
          <w:color w:val="auto"/>
          <w:sz w:val="20"/>
          <w:szCs w:val="20"/>
        </w:rPr>
        <w:t xml:space="preserve"> and</w:t>
      </w:r>
      <w:r w:rsidRPr="007858CD">
        <w:rPr>
          <w:rFonts w:cs="Arial"/>
          <w:color w:val="auto"/>
          <w:sz w:val="20"/>
          <w:szCs w:val="20"/>
        </w:rPr>
        <w:t xml:space="preserve"> questioned why these were not filled and by when these would be filled.</w:t>
      </w:r>
    </w:p>
    <w:p w:rsidR="009D1729" w:rsidRPr="007858CD" w:rsidRDefault="00DD6FF2" w:rsidP="007858CD">
      <w:pPr>
        <w:numPr>
          <w:ilvl w:val="0"/>
          <w:numId w:val="26"/>
        </w:numPr>
        <w:rPr>
          <w:rFonts w:cs="Arial"/>
          <w:color w:val="auto"/>
          <w:sz w:val="20"/>
          <w:szCs w:val="20"/>
        </w:rPr>
      </w:pPr>
      <w:r w:rsidRPr="007858CD">
        <w:rPr>
          <w:rFonts w:cs="Arial"/>
          <w:color w:val="auto"/>
          <w:sz w:val="20"/>
          <w:szCs w:val="20"/>
        </w:rPr>
        <w:t>The Committee noted with concern the longstanding unresolved matters that hindered the recruitment of senior managers in the CGE and that despite having discussed the issues at length the stale-mate remained despite reassurances from the CGE that issues would be addressed.</w:t>
      </w:r>
      <w:r w:rsidR="009D1729" w:rsidRPr="007858CD">
        <w:rPr>
          <w:rFonts w:cs="Arial"/>
          <w:color w:val="auto"/>
          <w:sz w:val="20"/>
          <w:szCs w:val="20"/>
        </w:rPr>
        <w:t xml:space="preserve"> To this end, the Committee noted that in the Budget Vote report of 2021, the Committee stated, “The Committee also questioned whether the Chief Executive Officer violated the policy of the Commission on establishing an interview panel with external stakeholders for interviews and if so, what has the Commissioners done in that regard.” And that in terms of </w:t>
      </w:r>
      <w:r w:rsidR="009D1729" w:rsidRPr="007858CD">
        <w:rPr>
          <w:rFonts w:cs="Arial"/>
          <w:i/>
          <w:color w:val="auto"/>
          <w:sz w:val="20"/>
          <w:szCs w:val="20"/>
        </w:rPr>
        <w:t>Internal Operational Concerns</w:t>
      </w:r>
      <w:r w:rsidR="009D1729" w:rsidRPr="007858CD">
        <w:rPr>
          <w:rFonts w:cs="Arial"/>
          <w:b/>
          <w:color w:val="auto"/>
          <w:sz w:val="20"/>
          <w:szCs w:val="20"/>
        </w:rPr>
        <w:t>, “</w:t>
      </w:r>
      <w:r w:rsidR="009D1729" w:rsidRPr="007858CD">
        <w:rPr>
          <w:rFonts w:cs="Arial"/>
          <w:color w:val="auto"/>
          <w:sz w:val="20"/>
          <w:szCs w:val="20"/>
        </w:rPr>
        <w:t>The Committee was concerned about reports that the Chief Executive Officer violated the policy of the Commission on establishing an interview panel with external stakeholders for interviews and if so, what has the Commission done in that regard.”</w:t>
      </w:r>
    </w:p>
    <w:p w:rsidR="00DD6FF2" w:rsidRPr="007858CD" w:rsidRDefault="00DD6FF2" w:rsidP="007858CD">
      <w:pPr>
        <w:numPr>
          <w:ilvl w:val="0"/>
          <w:numId w:val="39"/>
        </w:numPr>
        <w:rPr>
          <w:rFonts w:cs="Arial"/>
          <w:color w:val="auto"/>
          <w:sz w:val="20"/>
          <w:szCs w:val="20"/>
        </w:rPr>
      </w:pPr>
      <w:r w:rsidRPr="007858CD">
        <w:rPr>
          <w:rFonts w:cs="Arial"/>
          <w:color w:val="auto"/>
          <w:sz w:val="20"/>
          <w:szCs w:val="20"/>
        </w:rPr>
        <w:t>The Committee questioned who was to be held to account for ensuring that the key management posts were filled. To this end, the Committee enquired whether consequence management was effected against officials who were not performing their duties.</w:t>
      </w:r>
    </w:p>
    <w:p w:rsidR="00DD6FF2" w:rsidRPr="007858CD" w:rsidRDefault="00DD6FF2" w:rsidP="007858CD">
      <w:pPr>
        <w:numPr>
          <w:ilvl w:val="0"/>
          <w:numId w:val="39"/>
        </w:numPr>
        <w:rPr>
          <w:rFonts w:cs="Arial"/>
          <w:color w:val="auto"/>
          <w:sz w:val="20"/>
          <w:szCs w:val="20"/>
        </w:rPr>
      </w:pPr>
      <w:r w:rsidRPr="007858CD">
        <w:rPr>
          <w:rFonts w:cs="Arial"/>
          <w:color w:val="auto"/>
          <w:sz w:val="20"/>
          <w:szCs w:val="20"/>
        </w:rPr>
        <w:t>The Committee noted that the draft Handbook for Commissioners and the draft policy that was meant to govern relations between Commissioners and the secretariat was key to ensuring that internal challenges could be addressed and managed accordingly. The Committee noted with concern that both the Handbook and policy was long overdue and as such the Committee asked for a progress update in that regard.</w:t>
      </w:r>
    </w:p>
    <w:p w:rsidR="00DD6FF2" w:rsidRPr="007858CD" w:rsidRDefault="00DD6FF2" w:rsidP="007858CD">
      <w:pPr>
        <w:pStyle w:val="ListParagraph"/>
        <w:numPr>
          <w:ilvl w:val="0"/>
          <w:numId w:val="39"/>
        </w:numPr>
        <w:rPr>
          <w:rFonts w:cs="Arial"/>
          <w:color w:val="auto"/>
          <w:sz w:val="20"/>
          <w:szCs w:val="20"/>
        </w:rPr>
      </w:pPr>
      <w:r w:rsidRPr="007858CD">
        <w:rPr>
          <w:rFonts w:cs="Arial"/>
          <w:color w:val="auto"/>
          <w:sz w:val="20"/>
          <w:szCs w:val="20"/>
        </w:rPr>
        <w:t>The Committee noted their dissatisfaction with the Commissioners for failing in their duties by not ensuring that critical positions were filled timeously; for not giving effect to recommendations proposed by the Committee and for poor internal monitoring and evaluation. To this end, the Committee questioned how the Commissioners monitored whether the CGE’s mandate was given effect to via the administration</w:t>
      </w:r>
      <w:r w:rsidR="00D13F21" w:rsidRPr="007858CD">
        <w:rPr>
          <w:rFonts w:cs="Arial"/>
          <w:color w:val="auto"/>
          <w:sz w:val="20"/>
          <w:szCs w:val="20"/>
        </w:rPr>
        <w:t>.</w:t>
      </w:r>
    </w:p>
    <w:p w:rsidR="00DD6FF2" w:rsidRPr="007858CD" w:rsidRDefault="00DD6FF2" w:rsidP="007858CD">
      <w:pPr>
        <w:rPr>
          <w:rFonts w:cs="Arial"/>
          <w:b/>
          <w:color w:val="auto"/>
          <w:sz w:val="20"/>
          <w:szCs w:val="20"/>
        </w:rPr>
      </w:pPr>
    </w:p>
    <w:p w:rsidR="00DD6FF2" w:rsidRPr="007858CD" w:rsidRDefault="00DD6FF2" w:rsidP="007858CD">
      <w:pPr>
        <w:rPr>
          <w:rFonts w:cs="Arial"/>
          <w:b/>
          <w:color w:val="auto"/>
          <w:sz w:val="20"/>
          <w:szCs w:val="20"/>
        </w:rPr>
      </w:pPr>
      <w:r w:rsidRPr="007858CD">
        <w:rPr>
          <w:rFonts w:cs="Arial"/>
          <w:b/>
          <w:color w:val="auto"/>
          <w:sz w:val="20"/>
          <w:szCs w:val="20"/>
        </w:rPr>
        <w:t>6.3.7 Legal Practice</w:t>
      </w:r>
    </w:p>
    <w:p w:rsidR="00DD6FF2" w:rsidRPr="007858CD" w:rsidRDefault="00DD6FF2" w:rsidP="007858CD">
      <w:pPr>
        <w:numPr>
          <w:ilvl w:val="0"/>
          <w:numId w:val="39"/>
        </w:numPr>
        <w:rPr>
          <w:rFonts w:cs="Arial"/>
          <w:color w:val="auto"/>
          <w:sz w:val="20"/>
          <w:szCs w:val="20"/>
        </w:rPr>
      </w:pPr>
      <w:r w:rsidRPr="007858CD">
        <w:rPr>
          <w:rFonts w:cs="Arial"/>
          <w:color w:val="auto"/>
          <w:sz w:val="20"/>
          <w:szCs w:val="20"/>
        </w:rPr>
        <w:t>The Committee also requested a progress update progress on the matter raised in 2020 with regards to legal powers that have been revoked by the Legal Practice Council and the Department of Justice &amp; Constitutional Development which prevented the CGE from rendering a legal service.</w:t>
      </w:r>
    </w:p>
    <w:p w:rsidR="00D13F21" w:rsidRPr="007858CD" w:rsidRDefault="00DD6FF2" w:rsidP="007858CD">
      <w:pPr>
        <w:numPr>
          <w:ilvl w:val="0"/>
          <w:numId w:val="39"/>
        </w:numPr>
        <w:rPr>
          <w:rFonts w:cs="Arial"/>
          <w:color w:val="auto"/>
          <w:sz w:val="20"/>
          <w:szCs w:val="20"/>
        </w:rPr>
      </w:pPr>
      <w:r w:rsidRPr="007858CD">
        <w:rPr>
          <w:rFonts w:cs="Arial"/>
          <w:color w:val="auto"/>
          <w:sz w:val="20"/>
          <w:szCs w:val="20"/>
        </w:rPr>
        <w:t>The Committee noted with concern that the CGE was not allowed to provide legal support a matter that has been left unattended to an</w:t>
      </w:r>
      <w:r w:rsidR="00D13F21" w:rsidRPr="007858CD">
        <w:rPr>
          <w:rFonts w:cs="Arial"/>
          <w:color w:val="auto"/>
          <w:sz w:val="20"/>
          <w:szCs w:val="20"/>
        </w:rPr>
        <w:t>d</w:t>
      </w:r>
      <w:r w:rsidRPr="007858CD">
        <w:rPr>
          <w:rFonts w:cs="Arial"/>
          <w:color w:val="auto"/>
          <w:sz w:val="20"/>
          <w:szCs w:val="20"/>
        </w:rPr>
        <w:t xml:space="preserve"> unresolved for nearly two years without having informed the Committee. To this end, the Committee indicated it was disconcerting that legal clinics, complaints handling and litigation did not find expression in the APP because the CGE is not allowed to offer any legal advice to clients because it is not registered as per the Legal Practice Act. </w:t>
      </w:r>
      <w:r w:rsidR="00D13F21" w:rsidRPr="007858CD">
        <w:rPr>
          <w:rFonts w:cs="Arial"/>
          <w:color w:val="auto"/>
          <w:sz w:val="20"/>
          <w:szCs w:val="20"/>
        </w:rPr>
        <w:t>The Committee was especially concerned about the impact of this on communities who cannot afford legal assistance and approach the CGE in this regard.</w:t>
      </w:r>
    </w:p>
    <w:p w:rsidR="00DD6FF2" w:rsidRPr="007858CD" w:rsidRDefault="00D13F21" w:rsidP="007858CD">
      <w:pPr>
        <w:numPr>
          <w:ilvl w:val="0"/>
          <w:numId w:val="39"/>
        </w:numPr>
        <w:rPr>
          <w:rFonts w:cs="Arial"/>
          <w:color w:val="auto"/>
          <w:sz w:val="20"/>
          <w:szCs w:val="20"/>
        </w:rPr>
      </w:pPr>
      <w:r w:rsidRPr="007858CD">
        <w:rPr>
          <w:rFonts w:cs="Arial"/>
          <w:color w:val="auto"/>
          <w:sz w:val="20"/>
          <w:szCs w:val="20"/>
        </w:rPr>
        <w:t>T</w:t>
      </w:r>
      <w:r w:rsidR="00DD6FF2" w:rsidRPr="007858CD">
        <w:rPr>
          <w:rFonts w:cs="Arial"/>
          <w:color w:val="auto"/>
          <w:sz w:val="20"/>
          <w:szCs w:val="20"/>
        </w:rPr>
        <w:t xml:space="preserve">he Committee questioned why the HOD Legal position was not filled. </w:t>
      </w:r>
    </w:p>
    <w:p w:rsidR="00DD6FF2" w:rsidRPr="007858CD" w:rsidRDefault="00DD6FF2" w:rsidP="007858CD">
      <w:pPr>
        <w:numPr>
          <w:ilvl w:val="0"/>
          <w:numId w:val="39"/>
        </w:numPr>
        <w:rPr>
          <w:rFonts w:cs="Arial"/>
          <w:color w:val="auto"/>
          <w:sz w:val="20"/>
          <w:szCs w:val="20"/>
        </w:rPr>
      </w:pPr>
      <w:r w:rsidRPr="007858CD">
        <w:rPr>
          <w:rFonts w:cs="Arial"/>
          <w:color w:val="auto"/>
          <w:sz w:val="20"/>
          <w:szCs w:val="20"/>
        </w:rPr>
        <w:t xml:space="preserve">The Committee questioned the role of </w:t>
      </w:r>
      <w:r w:rsidR="00AF374D" w:rsidRPr="007858CD">
        <w:rPr>
          <w:rFonts w:cs="Arial"/>
          <w:color w:val="auto"/>
          <w:sz w:val="20"/>
          <w:szCs w:val="20"/>
        </w:rPr>
        <w:t xml:space="preserve">the </w:t>
      </w:r>
      <w:r w:rsidRPr="007858CD">
        <w:rPr>
          <w:rFonts w:cs="Arial"/>
          <w:color w:val="auto"/>
          <w:sz w:val="20"/>
          <w:szCs w:val="20"/>
        </w:rPr>
        <w:t xml:space="preserve">Legal Unit within the institution given that legal powers have been removed from the CGE. The Committee queried whether the Legal Unit does not contribute to fruitless and wasteful expenditure given the CGE’s non-legal stature. </w:t>
      </w:r>
    </w:p>
    <w:p w:rsidR="00DD6FF2" w:rsidRPr="007858CD" w:rsidRDefault="00DD6FF2" w:rsidP="007858CD">
      <w:pPr>
        <w:rPr>
          <w:rFonts w:cs="Arial"/>
          <w:b/>
          <w:color w:val="auto"/>
          <w:sz w:val="20"/>
          <w:szCs w:val="20"/>
        </w:rPr>
      </w:pPr>
    </w:p>
    <w:p w:rsidR="00A45D94" w:rsidRPr="007858CD" w:rsidRDefault="00DD6FF2" w:rsidP="007858CD">
      <w:pPr>
        <w:rPr>
          <w:rFonts w:cs="Arial"/>
          <w:color w:val="auto"/>
          <w:sz w:val="20"/>
          <w:szCs w:val="20"/>
        </w:rPr>
      </w:pPr>
      <w:r w:rsidRPr="007858CD">
        <w:rPr>
          <w:rFonts w:cs="Arial"/>
          <w:b/>
          <w:color w:val="auto"/>
          <w:sz w:val="20"/>
          <w:szCs w:val="20"/>
        </w:rPr>
        <w:t xml:space="preserve">6.3.8 </w:t>
      </w:r>
      <w:r w:rsidR="00A45D94" w:rsidRPr="007858CD">
        <w:rPr>
          <w:rFonts w:cs="Arial"/>
          <w:b/>
          <w:color w:val="auto"/>
          <w:sz w:val="20"/>
          <w:szCs w:val="20"/>
        </w:rPr>
        <w:t>Role of Commissioners</w:t>
      </w:r>
    </w:p>
    <w:p w:rsidR="000F1E52" w:rsidRPr="007858CD" w:rsidRDefault="000F1E52" w:rsidP="007858CD">
      <w:pPr>
        <w:numPr>
          <w:ilvl w:val="0"/>
          <w:numId w:val="26"/>
        </w:numPr>
        <w:rPr>
          <w:rFonts w:cs="Arial"/>
          <w:color w:val="auto"/>
          <w:sz w:val="20"/>
          <w:szCs w:val="20"/>
        </w:rPr>
      </w:pPr>
      <w:r w:rsidRPr="007858CD">
        <w:rPr>
          <w:rFonts w:cs="Arial"/>
          <w:color w:val="auto"/>
          <w:sz w:val="20"/>
          <w:szCs w:val="20"/>
        </w:rPr>
        <w:lastRenderedPageBreak/>
        <w:t xml:space="preserve">The Committee questioned the role of the Commissioners in giving effect to the APP and how they </w:t>
      </w:r>
      <w:r w:rsidR="00D13F21" w:rsidRPr="007858CD">
        <w:rPr>
          <w:rFonts w:cs="Arial"/>
          <w:color w:val="auto"/>
          <w:sz w:val="20"/>
          <w:szCs w:val="20"/>
        </w:rPr>
        <w:t>are</w:t>
      </w:r>
      <w:r w:rsidRPr="007858CD">
        <w:rPr>
          <w:rFonts w:cs="Arial"/>
          <w:color w:val="auto"/>
          <w:sz w:val="20"/>
          <w:szCs w:val="20"/>
        </w:rPr>
        <w:t xml:space="preserve"> held accountable in this regard</w:t>
      </w:r>
      <w:r w:rsidR="00681332" w:rsidRPr="007858CD">
        <w:rPr>
          <w:rFonts w:cs="Arial"/>
          <w:color w:val="auto"/>
          <w:sz w:val="20"/>
          <w:szCs w:val="20"/>
        </w:rPr>
        <w:t xml:space="preserve"> as the only reference made to Commissioners was in the Technical Indicator Descriptor on monitoring police stations</w:t>
      </w:r>
      <w:r w:rsidRPr="007858CD">
        <w:rPr>
          <w:rFonts w:cs="Arial"/>
          <w:color w:val="auto"/>
          <w:sz w:val="20"/>
          <w:szCs w:val="20"/>
        </w:rPr>
        <w:t xml:space="preserve">. </w:t>
      </w:r>
    </w:p>
    <w:p w:rsidR="00A45D94" w:rsidRPr="007858CD" w:rsidRDefault="00A45D94" w:rsidP="007858CD">
      <w:pPr>
        <w:numPr>
          <w:ilvl w:val="0"/>
          <w:numId w:val="26"/>
        </w:numPr>
        <w:rPr>
          <w:rFonts w:cs="Arial"/>
          <w:color w:val="auto"/>
          <w:sz w:val="20"/>
          <w:szCs w:val="20"/>
        </w:rPr>
      </w:pPr>
      <w:r w:rsidRPr="007858CD">
        <w:rPr>
          <w:rFonts w:cs="Arial"/>
          <w:color w:val="auto"/>
          <w:sz w:val="20"/>
          <w:szCs w:val="20"/>
        </w:rPr>
        <w:t xml:space="preserve">The Committee was concerned that the role of the Commissioners was not clear in the Strategic Plan of the Commission. </w:t>
      </w:r>
    </w:p>
    <w:p w:rsidR="00A45D94" w:rsidRPr="007858CD" w:rsidRDefault="00A45D94" w:rsidP="007858CD">
      <w:pPr>
        <w:numPr>
          <w:ilvl w:val="0"/>
          <w:numId w:val="26"/>
        </w:numPr>
        <w:rPr>
          <w:rFonts w:cs="Arial"/>
          <w:color w:val="auto"/>
          <w:sz w:val="20"/>
          <w:szCs w:val="20"/>
        </w:rPr>
      </w:pPr>
      <w:r w:rsidRPr="007858CD">
        <w:rPr>
          <w:rFonts w:cs="Arial"/>
          <w:color w:val="auto"/>
          <w:sz w:val="20"/>
          <w:szCs w:val="20"/>
        </w:rPr>
        <w:t>The Committee was concerned that the APP and the Strategic Plan was not aligned and questioned how Commissioners adopted these documents that are misaligned.</w:t>
      </w:r>
    </w:p>
    <w:p w:rsidR="00A45D94" w:rsidRPr="007858CD" w:rsidRDefault="00A45D94" w:rsidP="007858CD">
      <w:pPr>
        <w:rPr>
          <w:rFonts w:cs="Arial"/>
          <w:color w:val="auto"/>
          <w:sz w:val="20"/>
          <w:szCs w:val="20"/>
        </w:rPr>
      </w:pPr>
    </w:p>
    <w:p w:rsidR="007668DC" w:rsidRPr="007858CD" w:rsidRDefault="00A45D94" w:rsidP="007858CD">
      <w:pPr>
        <w:rPr>
          <w:rFonts w:cs="Arial"/>
          <w:b/>
          <w:color w:val="auto"/>
          <w:sz w:val="20"/>
          <w:szCs w:val="20"/>
        </w:rPr>
      </w:pPr>
      <w:r w:rsidRPr="007858CD">
        <w:rPr>
          <w:rFonts w:cs="Arial"/>
          <w:b/>
          <w:color w:val="auto"/>
          <w:sz w:val="20"/>
          <w:szCs w:val="20"/>
        </w:rPr>
        <w:t>7</w:t>
      </w:r>
      <w:r w:rsidR="007668DC" w:rsidRPr="007858CD">
        <w:rPr>
          <w:rFonts w:cs="Arial"/>
          <w:b/>
          <w:color w:val="auto"/>
          <w:sz w:val="20"/>
          <w:szCs w:val="20"/>
        </w:rPr>
        <w:t>. Recommendations</w:t>
      </w:r>
    </w:p>
    <w:p w:rsidR="00800EB6" w:rsidRPr="007858CD" w:rsidRDefault="00800EB6" w:rsidP="007858CD">
      <w:pPr>
        <w:rPr>
          <w:rFonts w:cs="Arial"/>
          <w:b/>
          <w:color w:val="auto"/>
          <w:sz w:val="20"/>
          <w:szCs w:val="20"/>
        </w:rPr>
      </w:pPr>
    </w:p>
    <w:p w:rsidR="00800EB6" w:rsidRPr="007858CD" w:rsidRDefault="00800EB6" w:rsidP="007858CD">
      <w:pPr>
        <w:rPr>
          <w:rFonts w:cs="Arial"/>
          <w:color w:val="auto"/>
          <w:sz w:val="20"/>
          <w:szCs w:val="20"/>
        </w:rPr>
      </w:pPr>
      <w:r w:rsidRPr="007858CD">
        <w:rPr>
          <w:rFonts w:cs="Arial"/>
          <w:color w:val="auto"/>
          <w:sz w:val="20"/>
          <w:szCs w:val="20"/>
        </w:rPr>
        <w:t xml:space="preserve">Having considered the Annual Performance Plan and budget for the Department, the Committee recommends </w:t>
      </w:r>
      <w:r w:rsidR="005F5FEB" w:rsidRPr="007858CD">
        <w:rPr>
          <w:rFonts w:cs="Arial"/>
          <w:color w:val="auto"/>
          <w:sz w:val="20"/>
          <w:szCs w:val="20"/>
        </w:rPr>
        <w:t xml:space="preserve">to the </w:t>
      </w:r>
      <w:r w:rsidR="003070E7" w:rsidRPr="007858CD">
        <w:rPr>
          <w:rFonts w:cs="Arial"/>
          <w:color w:val="auto"/>
          <w:sz w:val="20"/>
          <w:szCs w:val="20"/>
        </w:rPr>
        <w:t>Department of</w:t>
      </w:r>
      <w:r w:rsidR="005F5FEB" w:rsidRPr="007858CD">
        <w:rPr>
          <w:rFonts w:cs="Arial"/>
          <w:color w:val="auto"/>
          <w:sz w:val="20"/>
          <w:szCs w:val="20"/>
        </w:rPr>
        <w:t xml:space="preserve"> Women</w:t>
      </w:r>
      <w:r w:rsidR="00E64FCC" w:rsidRPr="007858CD">
        <w:rPr>
          <w:rFonts w:cs="Arial"/>
          <w:color w:val="auto"/>
          <w:sz w:val="20"/>
          <w:szCs w:val="20"/>
        </w:rPr>
        <w:t>, Youth and Persons with Disabilities</w:t>
      </w:r>
      <w:r w:rsidR="005F5FEB" w:rsidRPr="007858CD">
        <w:rPr>
          <w:rFonts w:cs="Arial"/>
          <w:color w:val="auto"/>
          <w:sz w:val="20"/>
          <w:szCs w:val="20"/>
        </w:rPr>
        <w:t xml:space="preserve"> </w:t>
      </w:r>
      <w:r w:rsidRPr="007858CD">
        <w:rPr>
          <w:rFonts w:cs="Arial"/>
          <w:color w:val="auto"/>
          <w:sz w:val="20"/>
          <w:szCs w:val="20"/>
        </w:rPr>
        <w:t>as follows:</w:t>
      </w:r>
    </w:p>
    <w:p w:rsidR="007668DC" w:rsidRPr="007858CD" w:rsidRDefault="007668DC" w:rsidP="007858CD">
      <w:pPr>
        <w:rPr>
          <w:rFonts w:cs="Arial"/>
          <w:color w:val="auto"/>
          <w:sz w:val="20"/>
          <w:szCs w:val="20"/>
        </w:rPr>
      </w:pPr>
    </w:p>
    <w:p w:rsidR="009B4D1E" w:rsidRPr="007858CD" w:rsidRDefault="00830FD0" w:rsidP="007858CD">
      <w:pPr>
        <w:rPr>
          <w:rFonts w:cs="Arial"/>
          <w:b/>
          <w:color w:val="auto"/>
          <w:sz w:val="20"/>
          <w:szCs w:val="20"/>
        </w:rPr>
      </w:pPr>
      <w:r w:rsidRPr="007858CD">
        <w:rPr>
          <w:rFonts w:cs="Arial"/>
          <w:b/>
          <w:color w:val="auto"/>
          <w:sz w:val="20"/>
          <w:szCs w:val="20"/>
        </w:rPr>
        <w:t xml:space="preserve">7.1 </w:t>
      </w:r>
      <w:r w:rsidR="000C445F" w:rsidRPr="007858CD">
        <w:rPr>
          <w:rFonts w:cs="Arial"/>
          <w:b/>
          <w:color w:val="auto"/>
          <w:sz w:val="20"/>
          <w:szCs w:val="20"/>
        </w:rPr>
        <w:t>The</w:t>
      </w:r>
      <w:r w:rsidR="009B4D1E" w:rsidRPr="007858CD">
        <w:rPr>
          <w:rFonts w:cs="Arial"/>
          <w:b/>
          <w:color w:val="auto"/>
          <w:sz w:val="20"/>
          <w:szCs w:val="20"/>
        </w:rPr>
        <w:t xml:space="preserve"> Department</w:t>
      </w:r>
      <w:r w:rsidR="000C445F" w:rsidRPr="007858CD">
        <w:rPr>
          <w:rFonts w:cs="Arial"/>
          <w:b/>
          <w:color w:val="auto"/>
          <w:sz w:val="20"/>
          <w:szCs w:val="20"/>
        </w:rPr>
        <w:t xml:space="preserve"> of Women, Youth and Persons with Disabilities</w:t>
      </w:r>
      <w:r w:rsidR="00EC0380" w:rsidRPr="007858CD">
        <w:rPr>
          <w:rFonts w:cs="Arial"/>
          <w:b/>
          <w:color w:val="auto"/>
          <w:sz w:val="20"/>
          <w:szCs w:val="20"/>
        </w:rPr>
        <w:t xml:space="preserve"> should:</w:t>
      </w:r>
    </w:p>
    <w:p w:rsidR="00BA5278" w:rsidRPr="007858CD" w:rsidRDefault="00BA5278" w:rsidP="007858CD">
      <w:pPr>
        <w:numPr>
          <w:ilvl w:val="0"/>
          <w:numId w:val="54"/>
        </w:numPr>
        <w:suppressAutoHyphens/>
        <w:autoSpaceDN w:val="0"/>
        <w:textAlignment w:val="baseline"/>
        <w:rPr>
          <w:rFonts w:cs="Arial"/>
          <w:color w:val="auto"/>
          <w:sz w:val="20"/>
          <w:szCs w:val="20"/>
        </w:rPr>
      </w:pPr>
      <w:r w:rsidRPr="007858CD">
        <w:rPr>
          <w:rFonts w:cs="Arial"/>
          <w:color w:val="auto"/>
          <w:sz w:val="20"/>
          <w:szCs w:val="20"/>
        </w:rPr>
        <w:t>The CFO should submit the documents received from National Treasury regarding the approval of the organisational structure.</w:t>
      </w:r>
    </w:p>
    <w:p w:rsidR="00830FD0" w:rsidRPr="007858CD" w:rsidRDefault="00830FD0" w:rsidP="007858CD">
      <w:pPr>
        <w:numPr>
          <w:ilvl w:val="0"/>
          <w:numId w:val="54"/>
        </w:numPr>
        <w:rPr>
          <w:rFonts w:cs="Arial"/>
          <w:color w:val="auto"/>
          <w:sz w:val="20"/>
          <w:szCs w:val="20"/>
        </w:rPr>
      </w:pPr>
      <w:r w:rsidRPr="007858CD">
        <w:rPr>
          <w:rFonts w:cs="Arial"/>
          <w:color w:val="auto"/>
          <w:sz w:val="20"/>
          <w:szCs w:val="20"/>
        </w:rPr>
        <w:t>The Department should ensure that its key performance indicators and targets are SMART.</w:t>
      </w:r>
    </w:p>
    <w:p w:rsidR="00830FD0" w:rsidRPr="007858CD" w:rsidRDefault="00830FD0" w:rsidP="007858CD">
      <w:pPr>
        <w:numPr>
          <w:ilvl w:val="0"/>
          <w:numId w:val="54"/>
        </w:numPr>
        <w:rPr>
          <w:rFonts w:cs="Arial"/>
          <w:color w:val="auto"/>
          <w:sz w:val="20"/>
          <w:szCs w:val="20"/>
        </w:rPr>
      </w:pPr>
      <w:r w:rsidRPr="007858CD">
        <w:rPr>
          <w:rFonts w:cs="Arial"/>
          <w:color w:val="auto"/>
          <w:sz w:val="20"/>
          <w:szCs w:val="20"/>
        </w:rPr>
        <w:t xml:space="preserve">The Department must ensure that the Annual Performance Plan and the Strategic Plan </w:t>
      </w:r>
      <w:r w:rsidR="00D13F21" w:rsidRPr="007858CD">
        <w:rPr>
          <w:rFonts w:cs="Arial"/>
          <w:color w:val="auto"/>
          <w:sz w:val="20"/>
          <w:szCs w:val="20"/>
        </w:rPr>
        <w:t>are</w:t>
      </w:r>
      <w:r w:rsidRPr="007858CD">
        <w:rPr>
          <w:rFonts w:cs="Arial"/>
          <w:color w:val="auto"/>
          <w:sz w:val="20"/>
          <w:szCs w:val="20"/>
        </w:rPr>
        <w:t xml:space="preserve"> aligned and that the regulatory part of the mandate should be incorporated in Programmes of the Department. A detailed report should be submitted to the Committee in this regard within 2 weeks after the adoption of this report.</w:t>
      </w:r>
      <w:r w:rsidR="00005DC9" w:rsidRPr="007858CD">
        <w:rPr>
          <w:rFonts w:cs="Arial"/>
          <w:color w:val="auto"/>
          <w:sz w:val="20"/>
          <w:szCs w:val="20"/>
        </w:rPr>
        <w:t xml:space="preserve"> This report should clearly articulate what monitoring and evaluation activities will be undertaken by the Department in the current FY using existing frameworks.</w:t>
      </w:r>
    </w:p>
    <w:p w:rsidR="00BA5278" w:rsidRPr="007858CD" w:rsidRDefault="00BA5278" w:rsidP="007858CD">
      <w:pPr>
        <w:numPr>
          <w:ilvl w:val="0"/>
          <w:numId w:val="54"/>
        </w:numPr>
        <w:suppressAutoHyphens/>
        <w:autoSpaceDN w:val="0"/>
        <w:textAlignment w:val="baseline"/>
        <w:rPr>
          <w:rFonts w:cs="Arial"/>
          <w:color w:val="auto"/>
          <w:sz w:val="20"/>
          <w:szCs w:val="20"/>
        </w:rPr>
      </w:pPr>
      <w:r w:rsidRPr="007858CD">
        <w:rPr>
          <w:rFonts w:cs="Arial"/>
          <w:color w:val="auto"/>
          <w:sz w:val="20"/>
          <w:szCs w:val="20"/>
        </w:rPr>
        <w:t>The Department should re</w:t>
      </w:r>
      <w:r w:rsidR="00830FD0" w:rsidRPr="007858CD">
        <w:rPr>
          <w:rFonts w:cs="Arial"/>
          <w:color w:val="auto"/>
          <w:sz w:val="20"/>
          <w:szCs w:val="20"/>
        </w:rPr>
        <w:t>work</w:t>
      </w:r>
      <w:r w:rsidRPr="007858CD">
        <w:rPr>
          <w:rFonts w:cs="Arial"/>
          <w:color w:val="auto"/>
          <w:sz w:val="20"/>
          <w:szCs w:val="20"/>
        </w:rPr>
        <w:t xml:space="preserve"> the targets related to youth in the APP and allow the CEO and the NYDA to perform their duties. The Department should also look at how </w:t>
      </w:r>
      <w:r w:rsidR="00830FD0" w:rsidRPr="007858CD">
        <w:rPr>
          <w:rFonts w:cs="Arial"/>
          <w:color w:val="auto"/>
          <w:sz w:val="20"/>
          <w:szCs w:val="20"/>
        </w:rPr>
        <w:t>it</w:t>
      </w:r>
      <w:r w:rsidRPr="007858CD">
        <w:rPr>
          <w:rFonts w:cs="Arial"/>
          <w:color w:val="auto"/>
          <w:sz w:val="20"/>
          <w:szCs w:val="20"/>
        </w:rPr>
        <w:t xml:space="preserve"> will support the NYDA to implement its mandate.</w:t>
      </w:r>
      <w:r w:rsidR="00262DE2" w:rsidRPr="007858CD">
        <w:rPr>
          <w:rFonts w:cs="Arial"/>
          <w:color w:val="auto"/>
          <w:sz w:val="20"/>
          <w:szCs w:val="20"/>
        </w:rPr>
        <w:t xml:space="preserve"> The Department should clearly state how they intend advancing youth development in the country in the current FY.</w:t>
      </w:r>
    </w:p>
    <w:p w:rsidR="00BA5278" w:rsidRPr="007858CD" w:rsidRDefault="00BA5278" w:rsidP="007858CD">
      <w:pPr>
        <w:numPr>
          <w:ilvl w:val="0"/>
          <w:numId w:val="54"/>
        </w:numPr>
        <w:suppressAutoHyphens/>
        <w:autoSpaceDN w:val="0"/>
        <w:textAlignment w:val="baseline"/>
        <w:rPr>
          <w:rFonts w:cs="Arial"/>
          <w:color w:val="auto"/>
          <w:sz w:val="20"/>
          <w:szCs w:val="20"/>
        </w:rPr>
      </w:pPr>
      <w:r w:rsidRPr="007858CD">
        <w:rPr>
          <w:rFonts w:cs="Arial"/>
          <w:color w:val="auto"/>
          <w:sz w:val="20"/>
          <w:szCs w:val="20"/>
        </w:rPr>
        <w:t>The Department should ensure that consultants transfer skills to support staff of the Department to avoid use of consultants all the time and the Department should have its own team of researchers to conduct research on behalf of the Department.</w:t>
      </w:r>
    </w:p>
    <w:p w:rsidR="00BA5278" w:rsidRPr="007858CD" w:rsidRDefault="00BA5278" w:rsidP="007858CD">
      <w:pPr>
        <w:numPr>
          <w:ilvl w:val="0"/>
          <w:numId w:val="54"/>
        </w:numPr>
        <w:suppressAutoHyphens/>
        <w:autoSpaceDN w:val="0"/>
        <w:textAlignment w:val="baseline"/>
        <w:rPr>
          <w:rFonts w:cs="Arial"/>
          <w:color w:val="auto"/>
          <w:sz w:val="20"/>
          <w:szCs w:val="20"/>
        </w:rPr>
      </w:pPr>
      <w:r w:rsidRPr="007858CD">
        <w:rPr>
          <w:rFonts w:cs="Arial"/>
          <w:color w:val="auto"/>
          <w:sz w:val="20"/>
          <w:szCs w:val="20"/>
        </w:rPr>
        <w:t>The Department should inform the Committee on which reports are written by the officials of the Department.</w:t>
      </w:r>
    </w:p>
    <w:p w:rsidR="00BA5278" w:rsidRPr="007858CD" w:rsidRDefault="00BA5278" w:rsidP="007858CD">
      <w:pPr>
        <w:numPr>
          <w:ilvl w:val="0"/>
          <w:numId w:val="54"/>
        </w:numPr>
        <w:suppressAutoHyphens/>
        <w:autoSpaceDN w:val="0"/>
        <w:textAlignment w:val="baseline"/>
        <w:rPr>
          <w:rFonts w:cs="Arial"/>
          <w:color w:val="auto"/>
          <w:sz w:val="20"/>
          <w:szCs w:val="20"/>
        </w:rPr>
      </w:pPr>
      <w:r w:rsidRPr="007858CD">
        <w:rPr>
          <w:rFonts w:cs="Arial"/>
          <w:color w:val="auto"/>
          <w:sz w:val="20"/>
          <w:szCs w:val="20"/>
        </w:rPr>
        <w:t xml:space="preserve">The Committee should engage with National Treasury on the merger of </w:t>
      </w:r>
      <w:r w:rsidR="00830FD0" w:rsidRPr="007858CD">
        <w:rPr>
          <w:rFonts w:cs="Arial"/>
          <w:color w:val="auto"/>
          <w:sz w:val="20"/>
          <w:szCs w:val="20"/>
        </w:rPr>
        <w:t>former rights of persons with disabilities (</w:t>
      </w:r>
      <w:r w:rsidRPr="007858CD">
        <w:rPr>
          <w:rFonts w:cs="Arial"/>
          <w:color w:val="auto"/>
          <w:sz w:val="20"/>
          <w:szCs w:val="20"/>
        </w:rPr>
        <w:t>Programme 4</w:t>
      </w:r>
      <w:r w:rsidR="00830FD0" w:rsidRPr="007858CD">
        <w:rPr>
          <w:rFonts w:cs="Arial"/>
          <w:color w:val="auto"/>
          <w:sz w:val="20"/>
          <w:szCs w:val="20"/>
        </w:rPr>
        <w:t>) and youth development (Programme</w:t>
      </w:r>
      <w:r w:rsidRPr="007858CD">
        <w:rPr>
          <w:rFonts w:cs="Arial"/>
          <w:color w:val="auto"/>
          <w:sz w:val="20"/>
          <w:szCs w:val="20"/>
        </w:rPr>
        <w:t xml:space="preserve"> 5</w:t>
      </w:r>
      <w:r w:rsidR="00830FD0" w:rsidRPr="007858CD">
        <w:rPr>
          <w:rFonts w:cs="Arial"/>
          <w:color w:val="auto"/>
          <w:sz w:val="20"/>
          <w:szCs w:val="20"/>
        </w:rPr>
        <w:t>)</w:t>
      </w:r>
      <w:r w:rsidRPr="007858CD">
        <w:rPr>
          <w:rFonts w:cs="Arial"/>
          <w:color w:val="auto"/>
          <w:sz w:val="20"/>
          <w:szCs w:val="20"/>
        </w:rPr>
        <w:t xml:space="preserve"> of the Department and establish on why the Department was allowed to have only 4 Programmes.</w:t>
      </w:r>
      <w:r w:rsidR="00125784" w:rsidRPr="007858CD">
        <w:rPr>
          <w:rFonts w:cs="Arial"/>
          <w:color w:val="auto"/>
          <w:sz w:val="20"/>
          <w:szCs w:val="20"/>
        </w:rPr>
        <w:t xml:space="preserve"> The Committee maintains that each of these programmes should operate independently hence these two core functions must be separated.</w:t>
      </w:r>
    </w:p>
    <w:p w:rsidR="00A454C6" w:rsidRPr="007858CD" w:rsidRDefault="00A454C6" w:rsidP="007858CD">
      <w:pPr>
        <w:numPr>
          <w:ilvl w:val="0"/>
          <w:numId w:val="54"/>
        </w:numPr>
        <w:suppressAutoHyphens/>
        <w:autoSpaceDN w:val="0"/>
        <w:textAlignment w:val="baseline"/>
        <w:rPr>
          <w:rFonts w:cs="Arial"/>
          <w:color w:val="auto"/>
          <w:sz w:val="20"/>
          <w:szCs w:val="20"/>
        </w:rPr>
      </w:pPr>
      <w:r w:rsidRPr="007858CD">
        <w:rPr>
          <w:rFonts w:cs="Arial"/>
          <w:color w:val="auto"/>
          <w:sz w:val="20"/>
          <w:szCs w:val="20"/>
        </w:rPr>
        <w:t>The Department should include a specific target related to the development of the NCGBVF Bill</w:t>
      </w:r>
      <w:r w:rsidR="000E0CAE" w:rsidRPr="007858CD">
        <w:rPr>
          <w:rFonts w:cs="Arial"/>
          <w:color w:val="auto"/>
          <w:sz w:val="20"/>
          <w:szCs w:val="20"/>
        </w:rPr>
        <w:t>, WEGE Bill</w:t>
      </w:r>
      <w:r w:rsidRPr="007858CD">
        <w:rPr>
          <w:rFonts w:cs="Arial"/>
          <w:color w:val="auto"/>
          <w:sz w:val="20"/>
          <w:szCs w:val="20"/>
        </w:rPr>
        <w:t xml:space="preserve"> and the Disability Rights Bill for the 2022/23 APP. The target on the NCGBVF Bill must be prioritised as a matter of urgency.</w:t>
      </w:r>
      <w:r w:rsidR="000E0CAE" w:rsidRPr="007858CD">
        <w:rPr>
          <w:rFonts w:cs="Arial"/>
          <w:color w:val="auto"/>
          <w:sz w:val="20"/>
          <w:szCs w:val="20"/>
        </w:rPr>
        <w:t xml:space="preserve"> The Committee requests specific timelines for the development of each of these proposed Bills.</w:t>
      </w:r>
    </w:p>
    <w:p w:rsidR="00C11F4C" w:rsidRPr="007858CD" w:rsidRDefault="00C11F4C" w:rsidP="007858CD">
      <w:pPr>
        <w:ind w:left="66"/>
        <w:rPr>
          <w:rFonts w:cs="Arial"/>
          <w:color w:val="auto"/>
          <w:sz w:val="20"/>
          <w:szCs w:val="20"/>
        </w:rPr>
      </w:pPr>
    </w:p>
    <w:p w:rsidR="003070E7" w:rsidRPr="007858CD" w:rsidRDefault="003070E7" w:rsidP="007858CD">
      <w:pPr>
        <w:ind w:left="66"/>
        <w:rPr>
          <w:rFonts w:cs="Arial"/>
          <w:color w:val="auto"/>
          <w:sz w:val="20"/>
          <w:szCs w:val="20"/>
        </w:rPr>
      </w:pPr>
      <w:r w:rsidRPr="007858CD">
        <w:rPr>
          <w:rFonts w:cs="Arial"/>
          <w:color w:val="auto"/>
          <w:sz w:val="20"/>
          <w:szCs w:val="20"/>
        </w:rPr>
        <w:t>Having considered the Annual Performance Plan and budget for the NYDA, the Committee recommends as follows:</w:t>
      </w:r>
    </w:p>
    <w:p w:rsidR="00C11F4C" w:rsidRPr="007858CD" w:rsidRDefault="00C11F4C" w:rsidP="007858CD">
      <w:pPr>
        <w:ind w:left="66"/>
        <w:rPr>
          <w:rFonts w:cs="Arial"/>
          <w:b/>
          <w:color w:val="auto"/>
          <w:sz w:val="20"/>
          <w:szCs w:val="20"/>
        </w:rPr>
      </w:pPr>
    </w:p>
    <w:p w:rsidR="009B4D1E" w:rsidRPr="007858CD" w:rsidRDefault="000271D8" w:rsidP="007858CD">
      <w:pPr>
        <w:ind w:left="66"/>
        <w:rPr>
          <w:rFonts w:cs="Arial"/>
          <w:b/>
          <w:color w:val="auto"/>
          <w:sz w:val="20"/>
          <w:szCs w:val="20"/>
        </w:rPr>
      </w:pPr>
      <w:r w:rsidRPr="007858CD">
        <w:rPr>
          <w:rFonts w:cs="Arial"/>
          <w:b/>
          <w:color w:val="auto"/>
          <w:sz w:val="20"/>
          <w:szCs w:val="20"/>
        </w:rPr>
        <w:t xml:space="preserve">7.2 </w:t>
      </w:r>
      <w:r w:rsidR="00EC0380" w:rsidRPr="007858CD">
        <w:rPr>
          <w:rFonts w:cs="Arial"/>
          <w:b/>
          <w:color w:val="auto"/>
          <w:sz w:val="20"/>
          <w:szCs w:val="20"/>
        </w:rPr>
        <w:t xml:space="preserve">The </w:t>
      </w:r>
      <w:r w:rsidR="009B4D1E" w:rsidRPr="007858CD">
        <w:rPr>
          <w:rFonts w:cs="Arial"/>
          <w:b/>
          <w:color w:val="auto"/>
          <w:sz w:val="20"/>
          <w:szCs w:val="20"/>
        </w:rPr>
        <w:t>N</w:t>
      </w:r>
      <w:r w:rsidR="00EC0380" w:rsidRPr="007858CD">
        <w:rPr>
          <w:rFonts w:cs="Arial"/>
          <w:b/>
          <w:color w:val="auto"/>
          <w:sz w:val="20"/>
          <w:szCs w:val="20"/>
        </w:rPr>
        <w:t xml:space="preserve">ational </w:t>
      </w:r>
      <w:r w:rsidR="009B4D1E" w:rsidRPr="007858CD">
        <w:rPr>
          <w:rFonts w:cs="Arial"/>
          <w:b/>
          <w:color w:val="auto"/>
          <w:sz w:val="20"/>
          <w:szCs w:val="20"/>
        </w:rPr>
        <w:t>Y</w:t>
      </w:r>
      <w:r w:rsidR="00EC0380" w:rsidRPr="007858CD">
        <w:rPr>
          <w:rFonts w:cs="Arial"/>
          <w:b/>
          <w:color w:val="auto"/>
          <w:sz w:val="20"/>
          <w:szCs w:val="20"/>
        </w:rPr>
        <w:t xml:space="preserve">outh </w:t>
      </w:r>
      <w:r w:rsidR="009B4D1E" w:rsidRPr="007858CD">
        <w:rPr>
          <w:rFonts w:cs="Arial"/>
          <w:b/>
          <w:color w:val="auto"/>
          <w:sz w:val="20"/>
          <w:szCs w:val="20"/>
        </w:rPr>
        <w:t>D</w:t>
      </w:r>
      <w:r w:rsidR="00EC0380" w:rsidRPr="007858CD">
        <w:rPr>
          <w:rFonts w:cs="Arial"/>
          <w:b/>
          <w:color w:val="auto"/>
          <w:sz w:val="20"/>
          <w:szCs w:val="20"/>
        </w:rPr>
        <w:t xml:space="preserve">evelopment </w:t>
      </w:r>
      <w:r w:rsidR="009B4D1E" w:rsidRPr="007858CD">
        <w:rPr>
          <w:rFonts w:cs="Arial"/>
          <w:b/>
          <w:color w:val="auto"/>
          <w:sz w:val="20"/>
          <w:szCs w:val="20"/>
        </w:rPr>
        <w:t>A</w:t>
      </w:r>
      <w:r w:rsidR="00EC0380" w:rsidRPr="007858CD">
        <w:rPr>
          <w:rFonts w:cs="Arial"/>
          <w:b/>
          <w:color w:val="auto"/>
          <w:sz w:val="20"/>
          <w:szCs w:val="20"/>
        </w:rPr>
        <w:t>gency</w:t>
      </w:r>
      <w:r w:rsidR="0041442E" w:rsidRPr="007858CD">
        <w:rPr>
          <w:rFonts w:cs="Arial"/>
          <w:b/>
          <w:color w:val="auto"/>
          <w:sz w:val="20"/>
          <w:szCs w:val="20"/>
        </w:rPr>
        <w:t xml:space="preserve"> should:</w:t>
      </w:r>
    </w:p>
    <w:p w:rsidR="00CB2881" w:rsidRPr="007858CD" w:rsidRDefault="002C0171" w:rsidP="007858CD">
      <w:pPr>
        <w:numPr>
          <w:ilvl w:val="0"/>
          <w:numId w:val="27"/>
        </w:numPr>
        <w:ind w:left="714" w:hanging="357"/>
        <w:rPr>
          <w:rFonts w:cs="Arial"/>
          <w:color w:val="auto"/>
          <w:sz w:val="20"/>
          <w:szCs w:val="20"/>
        </w:rPr>
      </w:pPr>
      <w:r w:rsidRPr="007858CD">
        <w:rPr>
          <w:rFonts w:cs="Arial"/>
          <w:color w:val="auto"/>
          <w:sz w:val="20"/>
          <w:szCs w:val="20"/>
        </w:rPr>
        <w:t>E</w:t>
      </w:r>
      <w:r w:rsidR="00476D3F" w:rsidRPr="007858CD">
        <w:rPr>
          <w:rFonts w:cs="Arial"/>
          <w:color w:val="auto"/>
          <w:sz w:val="20"/>
          <w:szCs w:val="20"/>
        </w:rPr>
        <w:t>xpedite the filling of critical vacant posts</w:t>
      </w:r>
      <w:r w:rsidR="00CB2881" w:rsidRPr="007858CD">
        <w:rPr>
          <w:rFonts w:cs="Arial"/>
          <w:color w:val="auto"/>
          <w:sz w:val="20"/>
          <w:szCs w:val="20"/>
        </w:rPr>
        <w:t>.</w:t>
      </w:r>
    </w:p>
    <w:p w:rsidR="00C11F4C" w:rsidRPr="007858CD" w:rsidRDefault="00C11F4C" w:rsidP="007858CD">
      <w:pPr>
        <w:numPr>
          <w:ilvl w:val="0"/>
          <w:numId w:val="27"/>
        </w:numPr>
        <w:ind w:left="714" w:hanging="357"/>
        <w:rPr>
          <w:rFonts w:cs="Arial"/>
          <w:color w:val="auto"/>
          <w:sz w:val="20"/>
          <w:szCs w:val="20"/>
        </w:rPr>
      </w:pPr>
      <w:r w:rsidRPr="007858CD">
        <w:rPr>
          <w:rFonts w:cs="Arial"/>
          <w:color w:val="auto"/>
          <w:sz w:val="20"/>
          <w:szCs w:val="20"/>
        </w:rPr>
        <w:t xml:space="preserve">Ensure improved coordination between the Department and itself with regards to consultations on the NYDA Amendment Bill. </w:t>
      </w:r>
    </w:p>
    <w:p w:rsidR="00476D3F" w:rsidRPr="007858CD" w:rsidRDefault="00476D3F" w:rsidP="007858CD">
      <w:pPr>
        <w:numPr>
          <w:ilvl w:val="0"/>
          <w:numId w:val="27"/>
        </w:numPr>
        <w:suppressAutoHyphens/>
        <w:autoSpaceDN w:val="0"/>
        <w:ind w:left="714" w:hanging="357"/>
        <w:textAlignment w:val="baseline"/>
        <w:rPr>
          <w:rFonts w:cs="Arial"/>
          <w:color w:val="auto"/>
          <w:sz w:val="20"/>
          <w:szCs w:val="20"/>
        </w:rPr>
      </w:pPr>
      <w:r w:rsidRPr="007858CD">
        <w:rPr>
          <w:rFonts w:cs="Arial"/>
          <w:color w:val="auto"/>
          <w:sz w:val="20"/>
          <w:szCs w:val="20"/>
        </w:rPr>
        <w:t>The NYDA should develop a monitoring tool to assess its partnership with municipalities and ensure the proper implementation of Memorandum of Understanding signed with the municipalities. This monitoring mechanism should exten</w:t>
      </w:r>
      <w:r w:rsidR="00D13F21" w:rsidRPr="007858CD">
        <w:rPr>
          <w:rFonts w:cs="Arial"/>
          <w:color w:val="auto"/>
          <w:sz w:val="20"/>
          <w:szCs w:val="20"/>
        </w:rPr>
        <w:t>d</w:t>
      </w:r>
      <w:r w:rsidRPr="007858CD">
        <w:rPr>
          <w:rFonts w:cs="Arial"/>
          <w:color w:val="auto"/>
          <w:sz w:val="20"/>
          <w:szCs w:val="20"/>
        </w:rPr>
        <w:t xml:space="preserve"> to include all other partner</w:t>
      </w:r>
      <w:r w:rsidR="00D13F21" w:rsidRPr="007858CD">
        <w:rPr>
          <w:rFonts w:cs="Arial"/>
          <w:color w:val="auto"/>
          <w:sz w:val="20"/>
          <w:szCs w:val="20"/>
        </w:rPr>
        <w:t>s</w:t>
      </w:r>
      <w:r w:rsidRPr="007858CD">
        <w:rPr>
          <w:rFonts w:cs="Arial"/>
          <w:color w:val="auto"/>
          <w:sz w:val="20"/>
          <w:szCs w:val="20"/>
        </w:rPr>
        <w:t>.</w:t>
      </w:r>
    </w:p>
    <w:p w:rsidR="00476D3F" w:rsidRPr="007858CD" w:rsidRDefault="00476D3F" w:rsidP="007858CD">
      <w:pPr>
        <w:numPr>
          <w:ilvl w:val="0"/>
          <w:numId w:val="27"/>
        </w:numPr>
        <w:suppressAutoHyphens/>
        <w:autoSpaceDN w:val="0"/>
        <w:ind w:left="714" w:hanging="357"/>
        <w:textAlignment w:val="baseline"/>
        <w:rPr>
          <w:rFonts w:cs="Arial"/>
          <w:color w:val="auto"/>
          <w:sz w:val="20"/>
          <w:szCs w:val="20"/>
        </w:rPr>
      </w:pPr>
      <w:r w:rsidRPr="007858CD">
        <w:rPr>
          <w:rFonts w:cs="Arial"/>
          <w:color w:val="auto"/>
          <w:sz w:val="20"/>
          <w:szCs w:val="20"/>
        </w:rPr>
        <w:t>The NYDA should ensure that young people are supported by NYDA through grants and other forms of support. The NYDA should develop a WhatsApp form of communication that will reach young people</w:t>
      </w:r>
      <w:r w:rsidR="00D13F21" w:rsidRPr="007858CD">
        <w:rPr>
          <w:rFonts w:cs="Arial"/>
          <w:color w:val="auto"/>
          <w:sz w:val="20"/>
          <w:szCs w:val="20"/>
        </w:rPr>
        <w:t>,</w:t>
      </w:r>
      <w:r w:rsidRPr="007858CD">
        <w:rPr>
          <w:rFonts w:cs="Arial"/>
          <w:color w:val="auto"/>
          <w:sz w:val="20"/>
          <w:szCs w:val="20"/>
        </w:rPr>
        <w:t xml:space="preserve"> including young people in rural areas regarding the services and products offered by </w:t>
      </w:r>
      <w:r w:rsidR="00AF374D" w:rsidRPr="007858CD">
        <w:rPr>
          <w:rFonts w:cs="Arial"/>
          <w:color w:val="auto"/>
          <w:sz w:val="20"/>
          <w:szCs w:val="20"/>
        </w:rPr>
        <w:t xml:space="preserve">the </w:t>
      </w:r>
      <w:r w:rsidRPr="007858CD">
        <w:rPr>
          <w:rFonts w:cs="Arial"/>
          <w:color w:val="auto"/>
          <w:sz w:val="20"/>
          <w:szCs w:val="20"/>
        </w:rPr>
        <w:t xml:space="preserve">NYDA. The NYDA should also consider issue of language per Province when communicating with young people </w:t>
      </w:r>
      <w:r w:rsidR="00D13F21" w:rsidRPr="007858CD">
        <w:rPr>
          <w:rFonts w:cs="Arial"/>
          <w:color w:val="auto"/>
          <w:sz w:val="20"/>
          <w:szCs w:val="20"/>
        </w:rPr>
        <w:t xml:space="preserve">- </w:t>
      </w:r>
      <w:r w:rsidRPr="007858CD">
        <w:rPr>
          <w:rFonts w:cs="Arial"/>
          <w:color w:val="auto"/>
          <w:sz w:val="20"/>
          <w:szCs w:val="20"/>
        </w:rPr>
        <w:t>this includes braille for persons with disabilities and sign language for deaf persons.</w:t>
      </w:r>
    </w:p>
    <w:p w:rsidR="00476D3F" w:rsidRPr="007858CD" w:rsidRDefault="00476D3F" w:rsidP="007858CD">
      <w:pPr>
        <w:numPr>
          <w:ilvl w:val="0"/>
          <w:numId w:val="27"/>
        </w:numPr>
        <w:suppressAutoHyphens/>
        <w:autoSpaceDN w:val="0"/>
        <w:ind w:left="714" w:hanging="357"/>
        <w:textAlignment w:val="baseline"/>
        <w:rPr>
          <w:rFonts w:cs="Arial"/>
          <w:color w:val="auto"/>
          <w:sz w:val="20"/>
          <w:szCs w:val="20"/>
        </w:rPr>
      </w:pPr>
      <w:r w:rsidRPr="007858CD">
        <w:rPr>
          <w:rFonts w:cs="Arial"/>
          <w:color w:val="auto"/>
          <w:sz w:val="20"/>
          <w:szCs w:val="20"/>
        </w:rPr>
        <w:t>The NYDA should monitor the projects/programmes funded by them in terms of checking progress made and challenge</w:t>
      </w:r>
      <w:r w:rsidR="00AF374D" w:rsidRPr="007858CD">
        <w:rPr>
          <w:rFonts w:cs="Arial"/>
          <w:color w:val="auto"/>
          <w:sz w:val="20"/>
          <w:szCs w:val="20"/>
        </w:rPr>
        <w:t>s</w:t>
      </w:r>
      <w:r w:rsidRPr="007858CD">
        <w:rPr>
          <w:rFonts w:cs="Arial"/>
          <w:color w:val="auto"/>
          <w:sz w:val="20"/>
          <w:szCs w:val="20"/>
        </w:rPr>
        <w:t xml:space="preserve"> faced by the projects. The NYDA</w:t>
      </w:r>
      <w:r w:rsidR="00D13F21" w:rsidRPr="007858CD">
        <w:rPr>
          <w:rFonts w:cs="Arial"/>
          <w:color w:val="auto"/>
          <w:sz w:val="20"/>
          <w:szCs w:val="20"/>
        </w:rPr>
        <w:t xml:space="preserve"> to</w:t>
      </w:r>
      <w:r w:rsidR="00125784" w:rsidRPr="007858CD">
        <w:rPr>
          <w:rFonts w:cs="Arial"/>
          <w:color w:val="auto"/>
          <w:sz w:val="20"/>
          <w:szCs w:val="20"/>
        </w:rPr>
        <w:t xml:space="preserve"> follow-up on the two projects that were </w:t>
      </w:r>
      <w:r w:rsidRPr="007858CD">
        <w:rPr>
          <w:rFonts w:cs="Arial"/>
          <w:color w:val="auto"/>
          <w:sz w:val="20"/>
          <w:szCs w:val="20"/>
        </w:rPr>
        <w:t xml:space="preserve">visited by the Committee during its oversight visit to North West and Gauteng Province from 18 -23 April 2022 </w:t>
      </w:r>
      <w:r w:rsidR="00125784" w:rsidRPr="007858CD">
        <w:rPr>
          <w:rFonts w:cs="Arial"/>
          <w:color w:val="auto"/>
          <w:sz w:val="20"/>
          <w:szCs w:val="20"/>
        </w:rPr>
        <w:t xml:space="preserve">which were found to be struggling </w:t>
      </w:r>
      <w:r w:rsidRPr="007858CD">
        <w:rPr>
          <w:rFonts w:cs="Arial"/>
          <w:color w:val="auto"/>
          <w:sz w:val="20"/>
          <w:szCs w:val="20"/>
        </w:rPr>
        <w:t>and report back to the Committee on progress made in this regard based on the challenges and need</w:t>
      </w:r>
      <w:r w:rsidR="00AF374D" w:rsidRPr="007858CD">
        <w:rPr>
          <w:rFonts w:cs="Arial"/>
          <w:color w:val="auto"/>
          <w:sz w:val="20"/>
          <w:szCs w:val="20"/>
        </w:rPr>
        <w:t>s</w:t>
      </w:r>
      <w:r w:rsidR="000E0CAE" w:rsidRPr="007858CD">
        <w:rPr>
          <w:rFonts w:cs="Arial"/>
          <w:color w:val="auto"/>
          <w:sz w:val="20"/>
          <w:szCs w:val="20"/>
        </w:rPr>
        <w:t xml:space="preserve"> identified. </w:t>
      </w:r>
      <w:r w:rsidR="000E0CAE" w:rsidRPr="007858CD">
        <w:rPr>
          <w:rFonts w:cs="Arial"/>
          <w:color w:val="auto"/>
          <w:sz w:val="20"/>
          <w:szCs w:val="20"/>
        </w:rPr>
        <w:lastRenderedPageBreak/>
        <w:t>Furthermore, the Committee requests that the NYDA extend its monitoring and evaluation to all projects funded across the 9 provinces and report to the Committee accordingly.</w:t>
      </w:r>
    </w:p>
    <w:p w:rsidR="000E0CAE" w:rsidRPr="007858CD" w:rsidRDefault="000E0CAE" w:rsidP="007858CD">
      <w:pPr>
        <w:numPr>
          <w:ilvl w:val="0"/>
          <w:numId w:val="27"/>
        </w:numPr>
        <w:suppressAutoHyphens/>
        <w:autoSpaceDN w:val="0"/>
        <w:ind w:left="714" w:hanging="357"/>
        <w:textAlignment w:val="baseline"/>
        <w:rPr>
          <w:rFonts w:cs="Arial"/>
          <w:color w:val="auto"/>
          <w:sz w:val="20"/>
          <w:szCs w:val="20"/>
        </w:rPr>
      </w:pPr>
      <w:r w:rsidRPr="007858CD">
        <w:rPr>
          <w:rFonts w:cs="Arial"/>
          <w:color w:val="auto"/>
          <w:sz w:val="20"/>
          <w:szCs w:val="20"/>
        </w:rPr>
        <w:t>The NYDA should reassess the mentorship offered to beneficiaries to determine whether the mentor is doing what is expected.</w:t>
      </w:r>
    </w:p>
    <w:p w:rsidR="00476D3F" w:rsidRPr="007858CD" w:rsidRDefault="00476D3F" w:rsidP="007858CD">
      <w:pPr>
        <w:numPr>
          <w:ilvl w:val="0"/>
          <w:numId w:val="27"/>
        </w:numPr>
        <w:suppressAutoHyphens/>
        <w:autoSpaceDN w:val="0"/>
        <w:ind w:left="714" w:hanging="357"/>
        <w:textAlignment w:val="baseline"/>
        <w:rPr>
          <w:rFonts w:cs="Arial"/>
          <w:color w:val="auto"/>
          <w:sz w:val="20"/>
          <w:szCs w:val="20"/>
        </w:rPr>
      </w:pPr>
      <w:r w:rsidRPr="007858CD">
        <w:rPr>
          <w:rFonts w:cs="Arial"/>
          <w:color w:val="auto"/>
          <w:sz w:val="20"/>
          <w:szCs w:val="20"/>
        </w:rPr>
        <w:t>The NYDA to forward the relevant information to the Committee regarding SAyouth mobi app via WhatsApp and any other NYDA related services and products.</w:t>
      </w:r>
    </w:p>
    <w:p w:rsidR="00C11F4C" w:rsidRPr="007858CD" w:rsidRDefault="00C11F4C" w:rsidP="007858CD">
      <w:pPr>
        <w:ind w:left="66"/>
        <w:rPr>
          <w:rFonts w:cs="Arial"/>
          <w:color w:val="auto"/>
          <w:sz w:val="20"/>
          <w:szCs w:val="20"/>
        </w:rPr>
      </w:pPr>
    </w:p>
    <w:p w:rsidR="00063333" w:rsidRPr="007858CD" w:rsidRDefault="00063333" w:rsidP="007858CD">
      <w:pPr>
        <w:ind w:left="66"/>
        <w:rPr>
          <w:rFonts w:cs="Arial"/>
          <w:color w:val="auto"/>
          <w:sz w:val="20"/>
          <w:szCs w:val="20"/>
        </w:rPr>
      </w:pPr>
      <w:r w:rsidRPr="007858CD">
        <w:rPr>
          <w:rFonts w:cs="Arial"/>
          <w:color w:val="auto"/>
          <w:sz w:val="20"/>
          <w:szCs w:val="20"/>
        </w:rPr>
        <w:t>Having considered the Annual Performance Plan and budget of the Commission for Gender Equality, the Committee recommends as follows:</w:t>
      </w:r>
    </w:p>
    <w:p w:rsidR="00394064" w:rsidRPr="007858CD" w:rsidRDefault="00394064" w:rsidP="007858CD">
      <w:pPr>
        <w:ind w:left="66"/>
        <w:rPr>
          <w:rFonts w:cs="Arial"/>
          <w:b/>
          <w:color w:val="auto"/>
          <w:sz w:val="20"/>
          <w:szCs w:val="20"/>
        </w:rPr>
      </w:pPr>
    </w:p>
    <w:p w:rsidR="00306764" w:rsidRPr="007858CD" w:rsidRDefault="000271D8" w:rsidP="007858CD">
      <w:pPr>
        <w:ind w:left="66"/>
        <w:rPr>
          <w:rFonts w:cs="Arial"/>
          <w:b/>
          <w:color w:val="auto"/>
          <w:sz w:val="20"/>
          <w:szCs w:val="20"/>
        </w:rPr>
      </w:pPr>
      <w:r w:rsidRPr="007858CD">
        <w:rPr>
          <w:rFonts w:cs="Arial"/>
          <w:b/>
          <w:color w:val="auto"/>
          <w:sz w:val="20"/>
          <w:szCs w:val="20"/>
        </w:rPr>
        <w:t xml:space="preserve">7.3 </w:t>
      </w:r>
      <w:r w:rsidR="00EC0380" w:rsidRPr="007858CD">
        <w:rPr>
          <w:rFonts w:cs="Arial"/>
          <w:b/>
          <w:color w:val="auto"/>
          <w:sz w:val="20"/>
          <w:szCs w:val="20"/>
        </w:rPr>
        <w:t>The</w:t>
      </w:r>
      <w:r w:rsidR="009B4D1E" w:rsidRPr="007858CD">
        <w:rPr>
          <w:rFonts w:cs="Arial"/>
          <w:b/>
          <w:color w:val="auto"/>
          <w:sz w:val="20"/>
          <w:szCs w:val="20"/>
        </w:rPr>
        <w:t xml:space="preserve"> C</w:t>
      </w:r>
      <w:r w:rsidR="00EC0380" w:rsidRPr="007858CD">
        <w:rPr>
          <w:rFonts w:cs="Arial"/>
          <w:b/>
          <w:color w:val="auto"/>
          <w:sz w:val="20"/>
          <w:szCs w:val="20"/>
        </w:rPr>
        <w:t xml:space="preserve">ommission for </w:t>
      </w:r>
      <w:r w:rsidR="009B4D1E" w:rsidRPr="007858CD">
        <w:rPr>
          <w:rFonts w:cs="Arial"/>
          <w:b/>
          <w:color w:val="auto"/>
          <w:sz w:val="20"/>
          <w:szCs w:val="20"/>
        </w:rPr>
        <w:t>G</w:t>
      </w:r>
      <w:r w:rsidR="00EC0380" w:rsidRPr="007858CD">
        <w:rPr>
          <w:rFonts w:cs="Arial"/>
          <w:b/>
          <w:color w:val="auto"/>
          <w:sz w:val="20"/>
          <w:szCs w:val="20"/>
        </w:rPr>
        <w:t xml:space="preserve">ender </w:t>
      </w:r>
      <w:r w:rsidR="009B4D1E" w:rsidRPr="007858CD">
        <w:rPr>
          <w:rFonts w:cs="Arial"/>
          <w:b/>
          <w:color w:val="auto"/>
          <w:sz w:val="20"/>
          <w:szCs w:val="20"/>
        </w:rPr>
        <w:t>E</w:t>
      </w:r>
      <w:r w:rsidR="00EC0380" w:rsidRPr="007858CD">
        <w:rPr>
          <w:rFonts w:cs="Arial"/>
          <w:b/>
          <w:color w:val="auto"/>
          <w:sz w:val="20"/>
          <w:szCs w:val="20"/>
        </w:rPr>
        <w:t>quality</w:t>
      </w:r>
      <w:r w:rsidR="0041442E" w:rsidRPr="007858CD">
        <w:rPr>
          <w:rFonts w:cs="Arial"/>
          <w:b/>
          <w:color w:val="auto"/>
          <w:sz w:val="20"/>
          <w:szCs w:val="20"/>
        </w:rPr>
        <w:t xml:space="preserve"> should</w:t>
      </w:r>
      <w:r w:rsidR="00C11F4C" w:rsidRPr="007858CD">
        <w:rPr>
          <w:rFonts w:cs="Arial"/>
          <w:b/>
          <w:color w:val="auto"/>
          <w:sz w:val="20"/>
          <w:szCs w:val="20"/>
        </w:rPr>
        <w:t>:</w:t>
      </w:r>
    </w:p>
    <w:p w:rsidR="00C11F4C" w:rsidRPr="007858CD" w:rsidRDefault="00C11F4C" w:rsidP="007858CD">
      <w:pPr>
        <w:numPr>
          <w:ilvl w:val="0"/>
          <w:numId w:val="28"/>
        </w:numPr>
        <w:rPr>
          <w:rFonts w:cs="Arial"/>
          <w:color w:val="auto"/>
          <w:sz w:val="20"/>
          <w:szCs w:val="20"/>
        </w:rPr>
      </w:pPr>
      <w:r w:rsidRPr="007858CD">
        <w:rPr>
          <w:rFonts w:cs="Arial"/>
          <w:color w:val="auto"/>
          <w:sz w:val="20"/>
          <w:szCs w:val="20"/>
        </w:rPr>
        <w:t>Submit a report to the Committee on the role of Commissioners in Provinces insofar as giving effect to the APP and amended Strategic Plan is concerned, within two weeks after the adoption of this report</w:t>
      </w:r>
      <w:r w:rsidR="00D13F21" w:rsidRPr="007858CD">
        <w:rPr>
          <w:rFonts w:cs="Arial"/>
          <w:color w:val="auto"/>
          <w:sz w:val="20"/>
          <w:szCs w:val="20"/>
        </w:rPr>
        <w:t>.</w:t>
      </w:r>
    </w:p>
    <w:p w:rsidR="00830FD0" w:rsidRPr="007858CD" w:rsidRDefault="009A1A0D" w:rsidP="007858CD">
      <w:pPr>
        <w:numPr>
          <w:ilvl w:val="0"/>
          <w:numId w:val="28"/>
        </w:numPr>
        <w:rPr>
          <w:rFonts w:cs="Arial"/>
          <w:color w:val="auto"/>
          <w:sz w:val="20"/>
          <w:szCs w:val="20"/>
        </w:rPr>
      </w:pPr>
      <w:r w:rsidRPr="007858CD">
        <w:rPr>
          <w:rFonts w:cs="Arial"/>
          <w:color w:val="auto"/>
          <w:sz w:val="20"/>
          <w:szCs w:val="20"/>
        </w:rPr>
        <w:t>G</w:t>
      </w:r>
      <w:r w:rsidR="00830FD0" w:rsidRPr="007858CD">
        <w:rPr>
          <w:rFonts w:cs="Arial"/>
          <w:color w:val="auto"/>
          <w:sz w:val="20"/>
          <w:szCs w:val="20"/>
        </w:rPr>
        <w:t>ive effect to the recommendations made by the AGSA as per the past Annual Report as well as improve on its internal finance management.</w:t>
      </w:r>
    </w:p>
    <w:p w:rsidR="00A45D94" w:rsidRPr="007858CD" w:rsidRDefault="009A1A0D" w:rsidP="007858CD">
      <w:pPr>
        <w:numPr>
          <w:ilvl w:val="0"/>
          <w:numId w:val="28"/>
        </w:numPr>
        <w:rPr>
          <w:rFonts w:cs="Arial"/>
          <w:color w:val="auto"/>
          <w:sz w:val="20"/>
          <w:szCs w:val="20"/>
        </w:rPr>
      </w:pPr>
      <w:r w:rsidRPr="007858CD">
        <w:rPr>
          <w:rFonts w:cs="Arial"/>
          <w:color w:val="auto"/>
          <w:sz w:val="20"/>
          <w:szCs w:val="20"/>
        </w:rPr>
        <w:t>Ensure that t</w:t>
      </w:r>
      <w:r w:rsidR="00A45D94" w:rsidRPr="007858CD">
        <w:rPr>
          <w:rFonts w:cs="Arial"/>
          <w:color w:val="auto"/>
          <w:sz w:val="20"/>
          <w:szCs w:val="20"/>
        </w:rPr>
        <w:t xml:space="preserve">he role of Commissioners be </w:t>
      </w:r>
      <w:r w:rsidR="00956929" w:rsidRPr="007858CD">
        <w:rPr>
          <w:rFonts w:cs="Arial"/>
          <w:color w:val="auto"/>
          <w:sz w:val="20"/>
          <w:szCs w:val="20"/>
        </w:rPr>
        <w:t xml:space="preserve">outlined clearly in a plan vis-à-vis </w:t>
      </w:r>
      <w:r w:rsidR="00A45D94" w:rsidRPr="007858CD">
        <w:rPr>
          <w:rFonts w:cs="Arial"/>
          <w:color w:val="auto"/>
          <w:sz w:val="20"/>
          <w:szCs w:val="20"/>
        </w:rPr>
        <w:t xml:space="preserve">the </w:t>
      </w:r>
      <w:r w:rsidR="00956929" w:rsidRPr="007858CD">
        <w:rPr>
          <w:rFonts w:cs="Arial"/>
          <w:color w:val="auto"/>
          <w:sz w:val="20"/>
          <w:szCs w:val="20"/>
        </w:rPr>
        <w:t>Annual Performance Plan for 2022</w:t>
      </w:r>
      <w:r w:rsidR="00A45D94" w:rsidRPr="007858CD">
        <w:rPr>
          <w:rFonts w:cs="Arial"/>
          <w:color w:val="auto"/>
          <w:sz w:val="20"/>
          <w:szCs w:val="20"/>
        </w:rPr>
        <w:t>/2</w:t>
      </w:r>
      <w:r w:rsidR="00956929" w:rsidRPr="007858CD">
        <w:rPr>
          <w:rFonts w:cs="Arial"/>
          <w:color w:val="auto"/>
          <w:sz w:val="20"/>
          <w:szCs w:val="20"/>
        </w:rPr>
        <w:t>3 to the Committee</w:t>
      </w:r>
      <w:r w:rsidRPr="007858CD">
        <w:rPr>
          <w:rFonts w:cs="Arial"/>
          <w:color w:val="auto"/>
          <w:sz w:val="20"/>
          <w:szCs w:val="20"/>
        </w:rPr>
        <w:t xml:space="preserve"> and submitted to the Committee within two weeks of the adoption of this report</w:t>
      </w:r>
      <w:r w:rsidR="00A45D94" w:rsidRPr="007858CD">
        <w:rPr>
          <w:rFonts w:cs="Arial"/>
          <w:color w:val="auto"/>
          <w:sz w:val="20"/>
          <w:szCs w:val="20"/>
        </w:rPr>
        <w:t>.</w:t>
      </w:r>
    </w:p>
    <w:p w:rsidR="00DD6FF2" w:rsidRPr="007858CD" w:rsidRDefault="00DD6FF2" w:rsidP="007858CD">
      <w:pPr>
        <w:numPr>
          <w:ilvl w:val="0"/>
          <w:numId w:val="28"/>
        </w:numPr>
        <w:rPr>
          <w:rFonts w:cs="Arial"/>
          <w:color w:val="auto"/>
          <w:sz w:val="20"/>
          <w:szCs w:val="20"/>
        </w:rPr>
      </w:pPr>
      <w:r w:rsidRPr="007858CD">
        <w:rPr>
          <w:rFonts w:cs="Arial"/>
          <w:color w:val="auto"/>
          <w:sz w:val="20"/>
          <w:szCs w:val="20"/>
        </w:rPr>
        <w:t>Attend to the revoking of its legal powers with the Legal Practice Council and the Department of Justice &amp; Constitutional Development within 6 months from meeting of 11 May 2022 and report back to the Committee on how they have dealt with the matter.</w:t>
      </w:r>
    </w:p>
    <w:p w:rsidR="00DD6FF2" w:rsidRPr="007858CD" w:rsidRDefault="00DD6FF2" w:rsidP="007858CD">
      <w:pPr>
        <w:numPr>
          <w:ilvl w:val="0"/>
          <w:numId w:val="28"/>
        </w:numPr>
        <w:rPr>
          <w:rFonts w:cs="Arial"/>
          <w:color w:val="auto"/>
          <w:sz w:val="20"/>
          <w:szCs w:val="20"/>
        </w:rPr>
      </w:pPr>
      <w:r w:rsidRPr="007858CD">
        <w:rPr>
          <w:rFonts w:cs="Arial"/>
          <w:color w:val="auto"/>
          <w:sz w:val="20"/>
          <w:szCs w:val="20"/>
        </w:rPr>
        <w:t>The CGE should finalise the filling of critical vacancies in the CGE within 3 months after the meeting of 11 May 2022 and to report back to the Committee.</w:t>
      </w:r>
    </w:p>
    <w:p w:rsidR="00DD6FF2" w:rsidRPr="007858CD" w:rsidRDefault="00DD6FF2" w:rsidP="007858CD">
      <w:pPr>
        <w:numPr>
          <w:ilvl w:val="0"/>
          <w:numId w:val="28"/>
        </w:numPr>
        <w:rPr>
          <w:rFonts w:cs="Arial"/>
          <w:color w:val="auto"/>
          <w:sz w:val="20"/>
          <w:szCs w:val="20"/>
        </w:rPr>
      </w:pPr>
      <w:r w:rsidRPr="007858CD">
        <w:rPr>
          <w:rFonts w:cs="Arial"/>
          <w:color w:val="auto"/>
          <w:sz w:val="20"/>
          <w:szCs w:val="20"/>
        </w:rPr>
        <w:t>The C</w:t>
      </w:r>
      <w:r w:rsidR="00AF374D" w:rsidRPr="007858CD">
        <w:rPr>
          <w:rFonts w:cs="Arial"/>
          <w:color w:val="auto"/>
          <w:sz w:val="20"/>
          <w:szCs w:val="20"/>
        </w:rPr>
        <w:t>GE</w:t>
      </w:r>
      <w:r w:rsidRPr="007858CD">
        <w:rPr>
          <w:rFonts w:cs="Arial"/>
          <w:color w:val="auto"/>
          <w:sz w:val="20"/>
          <w:szCs w:val="20"/>
        </w:rPr>
        <w:t xml:space="preserve"> should have a reflective meeting after the meeting with the Committee and develop a tracking tool to track resolutions emanating from meetings.</w:t>
      </w:r>
    </w:p>
    <w:p w:rsidR="00DD6FF2" w:rsidRPr="007858CD" w:rsidRDefault="00DD6FF2" w:rsidP="007858CD">
      <w:pPr>
        <w:numPr>
          <w:ilvl w:val="0"/>
          <w:numId w:val="28"/>
        </w:numPr>
        <w:rPr>
          <w:rFonts w:cs="Arial"/>
          <w:color w:val="auto"/>
          <w:sz w:val="20"/>
          <w:szCs w:val="20"/>
        </w:rPr>
      </w:pPr>
      <w:r w:rsidRPr="007858CD">
        <w:rPr>
          <w:rFonts w:cs="Arial"/>
          <w:color w:val="auto"/>
          <w:sz w:val="20"/>
          <w:szCs w:val="20"/>
        </w:rPr>
        <w:t xml:space="preserve">The CGE should provide the list of courts, police stations and Thuthuzela Care Centres that will be monitored to the Committee. </w:t>
      </w:r>
    </w:p>
    <w:p w:rsidR="00DD6FF2" w:rsidRPr="007858CD" w:rsidRDefault="00DD6FF2" w:rsidP="007858CD">
      <w:pPr>
        <w:numPr>
          <w:ilvl w:val="0"/>
          <w:numId w:val="28"/>
        </w:numPr>
        <w:rPr>
          <w:rFonts w:cs="Arial"/>
          <w:color w:val="auto"/>
          <w:sz w:val="20"/>
          <w:szCs w:val="20"/>
        </w:rPr>
      </w:pPr>
      <w:r w:rsidRPr="007858CD">
        <w:rPr>
          <w:rFonts w:cs="Arial"/>
          <w:color w:val="auto"/>
          <w:sz w:val="20"/>
          <w:szCs w:val="20"/>
        </w:rPr>
        <w:t>The CGE should also encourage police stations that are in remote areas to establish the Thuthuzela Care Cent</w:t>
      </w:r>
      <w:r w:rsidR="00D13F21" w:rsidRPr="007858CD">
        <w:rPr>
          <w:rFonts w:cs="Arial"/>
          <w:color w:val="auto"/>
          <w:sz w:val="20"/>
          <w:szCs w:val="20"/>
        </w:rPr>
        <w:t>re</w:t>
      </w:r>
      <w:r w:rsidR="00AF374D" w:rsidRPr="007858CD">
        <w:rPr>
          <w:rFonts w:cs="Arial"/>
          <w:color w:val="auto"/>
          <w:sz w:val="20"/>
          <w:szCs w:val="20"/>
        </w:rPr>
        <w:t>s</w:t>
      </w:r>
      <w:r w:rsidR="00D13F21" w:rsidRPr="007858CD">
        <w:rPr>
          <w:rFonts w:cs="Arial"/>
          <w:color w:val="auto"/>
          <w:sz w:val="20"/>
          <w:szCs w:val="20"/>
        </w:rPr>
        <w:t xml:space="preserve"> to assist victims of gender-</w:t>
      </w:r>
      <w:r w:rsidRPr="007858CD">
        <w:rPr>
          <w:rFonts w:cs="Arial"/>
          <w:color w:val="auto"/>
          <w:sz w:val="20"/>
          <w:szCs w:val="20"/>
        </w:rPr>
        <w:t>based violence.</w:t>
      </w:r>
    </w:p>
    <w:p w:rsidR="00A45D94" w:rsidRPr="007858CD" w:rsidRDefault="00394064" w:rsidP="007858CD">
      <w:pPr>
        <w:numPr>
          <w:ilvl w:val="0"/>
          <w:numId w:val="28"/>
        </w:numPr>
        <w:rPr>
          <w:rFonts w:cs="Arial"/>
          <w:color w:val="auto"/>
          <w:sz w:val="20"/>
          <w:szCs w:val="20"/>
        </w:rPr>
      </w:pPr>
      <w:r w:rsidRPr="007858CD">
        <w:rPr>
          <w:rFonts w:cs="Arial"/>
          <w:color w:val="auto"/>
          <w:sz w:val="20"/>
          <w:szCs w:val="20"/>
        </w:rPr>
        <w:t>Present their reports in a timeous manner to the Committee to allow it to effectively engage with its contents</w:t>
      </w:r>
      <w:r w:rsidR="00D13F21" w:rsidRPr="007858CD">
        <w:rPr>
          <w:rFonts w:cs="Arial"/>
          <w:color w:val="auto"/>
          <w:sz w:val="20"/>
          <w:szCs w:val="20"/>
        </w:rPr>
        <w:t>.</w:t>
      </w:r>
    </w:p>
    <w:p w:rsidR="00394064" w:rsidRPr="007858CD" w:rsidRDefault="00394064" w:rsidP="007858CD">
      <w:pPr>
        <w:numPr>
          <w:ilvl w:val="0"/>
          <w:numId w:val="28"/>
        </w:numPr>
        <w:rPr>
          <w:rFonts w:cs="Arial"/>
          <w:color w:val="auto"/>
          <w:sz w:val="20"/>
          <w:szCs w:val="20"/>
        </w:rPr>
      </w:pPr>
      <w:r w:rsidRPr="007858CD">
        <w:rPr>
          <w:rFonts w:cs="Arial"/>
          <w:color w:val="auto"/>
          <w:sz w:val="20"/>
          <w:szCs w:val="20"/>
        </w:rPr>
        <w:t>As needed, request to present relevant and pertinent reports to the Committee to ensure that recommendations and concerns are addressed</w:t>
      </w:r>
      <w:r w:rsidR="000225FB" w:rsidRPr="007858CD">
        <w:rPr>
          <w:rFonts w:cs="Arial"/>
          <w:color w:val="auto"/>
          <w:sz w:val="20"/>
          <w:szCs w:val="20"/>
        </w:rPr>
        <w:t>.</w:t>
      </w:r>
    </w:p>
    <w:p w:rsidR="007A1F26" w:rsidRPr="007858CD" w:rsidRDefault="007A1F26" w:rsidP="007858CD">
      <w:pPr>
        <w:rPr>
          <w:rFonts w:cs="Arial"/>
          <w:color w:val="auto"/>
          <w:sz w:val="20"/>
          <w:szCs w:val="20"/>
          <w:lang w:val="en-US"/>
        </w:rPr>
      </w:pPr>
    </w:p>
    <w:p w:rsidR="000271D8" w:rsidRPr="007858CD" w:rsidRDefault="000271D8" w:rsidP="007858CD">
      <w:pPr>
        <w:rPr>
          <w:rFonts w:cs="Arial"/>
          <w:b/>
          <w:color w:val="auto"/>
          <w:sz w:val="20"/>
          <w:szCs w:val="20"/>
          <w:lang w:val="en-US"/>
        </w:rPr>
      </w:pPr>
      <w:r w:rsidRPr="007858CD">
        <w:rPr>
          <w:rFonts w:cs="Arial"/>
          <w:b/>
          <w:color w:val="auto"/>
          <w:sz w:val="20"/>
          <w:szCs w:val="20"/>
          <w:lang w:val="en-US"/>
        </w:rPr>
        <w:t>7.4 National Treasury</w:t>
      </w:r>
    </w:p>
    <w:p w:rsidR="000271D8" w:rsidRPr="007858CD" w:rsidRDefault="00DD6FF2" w:rsidP="007858CD">
      <w:pPr>
        <w:rPr>
          <w:rFonts w:cs="Arial"/>
          <w:color w:val="auto"/>
          <w:sz w:val="20"/>
          <w:szCs w:val="20"/>
          <w:lang w:val="en-US"/>
        </w:rPr>
      </w:pPr>
      <w:r w:rsidRPr="007858CD">
        <w:rPr>
          <w:rFonts w:cs="Arial"/>
          <w:color w:val="auto"/>
          <w:sz w:val="20"/>
          <w:szCs w:val="20"/>
          <w:lang w:val="en-US"/>
        </w:rPr>
        <w:t xml:space="preserve">a) Should furnish the Committee with a report on </w:t>
      </w:r>
      <w:r w:rsidR="00D13F21" w:rsidRPr="007858CD">
        <w:rPr>
          <w:rFonts w:cs="Arial"/>
          <w:color w:val="auto"/>
          <w:sz w:val="20"/>
          <w:szCs w:val="20"/>
          <w:lang w:val="en-US"/>
        </w:rPr>
        <w:t xml:space="preserve">the </w:t>
      </w:r>
      <w:r w:rsidRPr="007858CD">
        <w:rPr>
          <w:rFonts w:cs="Arial"/>
          <w:color w:val="auto"/>
          <w:sz w:val="20"/>
          <w:szCs w:val="20"/>
          <w:lang w:val="en-US"/>
        </w:rPr>
        <w:t>merger of programmes within the Department</w:t>
      </w:r>
      <w:r w:rsidR="009839DB" w:rsidRPr="007858CD">
        <w:rPr>
          <w:rFonts w:cs="Arial"/>
          <w:color w:val="auto"/>
          <w:sz w:val="20"/>
          <w:szCs w:val="20"/>
          <w:lang w:val="en-US"/>
        </w:rPr>
        <w:t xml:space="preserve"> of Women, Youth and Persons with Disabilities</w:t>
      </w:r>
      <w:r w:rsidRPr="007858CD">
        <w:rPr>
          <w:rFonts w:cs="Arial"/>
          <w:color w:val="auto"/>
          <w:sz w:val="20"/>
          <w:szCs w:val="20"/>
          <w:lang w:val="en-US"/>
        </w:rPr>
        <w:t>.</w:t>
      </w:r>
    </w:p>
    <w:p w:rsidR="000271D8" w:rsidRPr="007858CD" w:rsidRDefault="000271D8" w:rsidP="007858CD">
      <w:pPr>
        <w:rPr>
          <w:rFonts w:cs="Arial"/>
          <w:color w:val="auto"/>
          <w:sz w:val="20"/>
          <w:szCs w:val="20"/>
          <w:lang w:val="en-US"/>
        </w:rPr>
      </w:pPr>
    </w:p>
    <w:p w:rsidR="00D951E8" w:rsidRPr="007858CD" w:rsidRDefault="002B6972" w:rsidP="007858CD">
      <w:pPr>
        <w:pStyle w:val="ListParagraph"/>
        <w:numPr>
          <w:ilvl w:val="0"/>
          <w:numId w:val="29"/>
        </w:numPr>
        <w:ind w:left="426"/>
        <w:rPr>
          <w:rFonts w:cs="Arial"/>
          <w:b/>
          <w:color w:val="auto"/>
          <w:sz w:val="20"/>
          <w:szCs w:val="20"/>
          <w:lang w:val="en-US"/>
        </w:rPr>
      </w:pPr>
      <w:r w:rsidRPr="007858CD">
        <w:rPr>
          <w:rFonts w:cs="Arial"/>
          <w:b/>
          <w:color w:val="auto"/>
          <w:sz w:val="20"/>
          <w:szCs w:val="20"/>
          <w:lang w:val="en-US"/>
        </w:rPr>
        <w:t>Conclusion</w:t>
      </w:r>
    </w:p>
    <w:p w:rsidR="002B6972" w:rsidRPr="007858CD" w:rsidRDefault="002B6972" w:rsidP="007858CD">
      <w:pPr>
        <w:rPr>
          <w:rFonts w:cs="Arial"/>
          <w:color w:val="auto"/>
          <w:sz w:val="20"/>
          <w:szCs w:val="20"/>
          <w:lang w:val="en-US"/>
        </w:rPr>
      </w:pPr>
    </w:p>
    <w:p w:rsidR="002B6972" w:rsidRPr="007858CD" w:rsidRDefault="002B6972" w:rsidP="007858CD">
      <w:pPr>
        <w:rPr>
          <w:rFonts w:cs="Arial"/>
          <w:color w:val="auto"/>
          <w:sz w:val="20"/>
          <w:szCs w:val="20"/>
          <w:lang w:val="en-US"/>
        </w:rPr>
      </w:pPr>
      <w:r w:rsidRPr="007858CD">
        <w:rPr>
          <w:rFonts w:cs="Arial"/>
          <w:color w:val="auto"/>
          <w:sz w:val="20"/>
          <w:szCs w:val="20"/>
          <w:lang w:val="en-US"/>
        </w:rPr>
        <w:t xml:space="preserve">The </w:t>
      </w:r>
      <w:r w:rsidR="004F25A0" w:rsidRPr="007858CD">
        <w:rPr>
          <w:rFonts w:cs="Arial"/>
          <w:color w:val="auto"/>
          <w:sz w:val="20"/>
          <w:szCs w:val="20"/>
          <w:lang w:val="en-US"/>
        </w:rPr>
        <w:t>Committee welcomes</w:t>
      </w:r>
      <w:r w:rsidR="00D91278" w:rsidRPr="007858CD">
        <w:rPr>
          <w:rFonts w:cs="Arial"/>
          <w:color w:val="auto"/>
          <w:sz w:val="20"/>
          <w:szCs w:val="20"/>
          <w:lang w:val="en-US"/>
        </w:rPr>
        <w:t xml:space="preserve"> all the annual performance plans</w:t>
      </w:r>
      <w:r w:rsidR="004A170D" w:rsidRPr="007858CD">
        <w:rPr>
          <w:rFonts w:cs="Arial"/>
          <w:color w:val="auto"/>
          <w:sz w:val="20"/>
          <w:szCs w:val="20"/>
          <w:lang w:val="en-US"/>
        </w:rPr>
        <w:t xml:space="preserve"> that have been submitted to it for consideration and report and</w:t>
      </w:r>
      <w:r w:rsidR="00D91278" w:rsidRPr="007858CD">
        <w:rPr>
          <w:rFonts w:cs="Arial"/>
          <w:color w:val="auto"/>
          <w:sz w:val="20"/>
          <w:szCs w:val="20"/>
          <w:lang w:val="en-US"/>
        </w:rPr>
        <w:t xml:space="preserve"> </w:t>
      </w:r>
      <w:r w:rsidR="004A170D" w:rsidRPr="007858CD">
        <w:rPr>
          <w:rFonts w:cs="Arial"/>
          <w:color w:val="auto"/>
          <w:sz w:val="20"/>
          <w:szCs w:val="20"/>
          <w:lang w:val="en-US"/>
        </w:rPr>
        <w:t>will continue</w:t>
      </w:r>
      <w:r w:rsidRPr="007858CD">
        <w:rPr>
          <w:rFonts w:cs="Arial"/>
          <w:color w:val="auto"/>
          <w:sz w:val="20"/>
          <w:szCs w:val="20"/>
          <w:lang w:val="en-US"/>
        </w:rPr>
        <w:t xml:space="preserve"> to ensur</w:t>
      </w:r>
      <w:r w:rsidR="004A170D" w:rsidRPr="007858CD">
        <w:rPr>
          <w:rFonts w:cs="Arial"/>
          <w:color w:val="auto"/>
          <w:sz w:val="20"/>
          <w:szCs w:val="20"/>
          <w:lang w:val="en-US"/>
        </w:rPr>
        <w:t>e</w:t>
      </w:r>
      <w:r w:rsidRPr="007858CD">
        <w:rPr>
          <w:rFonts w:cs="Arial"/>
          <w:color w:val="auto"/>
          <w:sz w:val="20"/>
          <w:szCs w:val="20"/>
          <w:lang w:val="en-US"/>
        </w:rPr>
        <w:t xml:space="preserve"> that astute oversight is conducted </w:t>
      </w:r>
      <w:r w:rsidR="00D91278" w:rsidRPr="007858CD">
        <w:rPr>
          <w:rFonts w:cs="Arial"/>
          <w:color w:val="auto"/>
          <w:sz w:val="20"/>
          <w:szCs w:val="20"/>
          <w:lang w:val="en-US"/>
        </w:rPr>
        <w:t>over</w:t>
      </w:r>
      <w:r w:rsidRPr="007858CD">
        <w:rPr>
          <w:rFonts w:cs="Arial"/>
          <w:color w:val="auto"/>
          <w:sz w:val="20"/>
          <w:szCs w:val="20"/>
          <w:lang w:val="en-US"/>
        </w:rPr>
        <w:t xml:space="preserve"> the Department, the Commission for Gender Equality and the Na</w:t>
      </w:r>
      <w:r w:rsidR="00D91278" w:rsidRPr="007858CD">
        <w:rPr>
          <w:rFonts w:cs="Arial"/>
          <w:color w:val="auto"/>
          <w:sz w:val="20"/>
          <w:szCs w:val="20"/>
          <w:lang w:val="en-US"/>
        </w:rPr>
        <w:t>tional Youth Development Agency</w:t>
      </w:r>
      <w:r w:rsidRPr="007858CD">
        <w:rPr>
          <w:rFonts w:cs="Arial"/>
          <w:color w:val="auto"/>
          <w:sz w:val="20"/>
          <w:szCs w:val="20"/>
          <w:lang w:val="en-US"/>
        </w:rPr>
        <w:t>.</w:t>
      </w:r>
    </w:p>
    <w:p w:rsidR="002B6972" w:rsidRPr="007858CD" w:rsidRDefault="002B6972" w:rsidP="007858CD">
      <w:pPr>
        <w:ind w:left="720"/>
        <w:contextualSpacing/>
        <w:rPr>
          <w:rFonts w:cs="Arial"/>
          <w:color w:val="auto"/>
          <w:sz w:val="20"/>
          <w:szCs w:val="20"/>
          <w:lang w:val="en-US"/>
        </w:rPr>
      </w:pPr>
    </w:p>
    <w:p w:rsidR="007668DC" w:rsidRPr="007858CD" w:rsidRDefault="002B6972" w:rsidP="007858CD">
      <w:pPr>
        <w:rPr>
          <w:rFonts w:cs="Arial"/>
          <w:color w:val="auto"/>
          <w:sz w:val="20"/>
          <w:szCs w:val="20"/>
          <w:lang w:val="en-US"/>
        </w:rPr>
      </w:pPr>
      <w:r w:rsidRPr="007858CD">
        <w:rPr>
          <w:rFonts w:cs="Arial"/>
          <w:color w:val="auto"/>
          <w:sz w:val="20"/>
          <w:szCs w:val="20"/>
          <w:lang w:val="en-US"/>
        </w:rPr>
        <w:t>Report to be considered.</w:t>
      </w:r>
    </w:p>
    <w:sectPr w:rsidR="007668DC" w:rsidRPr="007858CD" w:rsidSect="00DE4BA7">
      <w:footerReference w:type="even" r:id="rId8"/>
      <w:footerReference w:type="default" r:id="rId9"/>
      <w:footerReference w:type="first" r:id="rId10"/>
      <w:pgSz w:w="11906" w:h="16838" w:code="9"/>
      <w:pgMar w:top="72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5D" w:rsidRDefault="00F16E5D">
      <w:r>
        <w:separator/>
      </w:r>
    </w:p>
  </w:endnote>
  <w:endnote w:type="continuationSeparator" w:id="0">
    <w:p w:rsidR="00F16E5D" w:rsidRDefault="00F16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5E" w:rsidRDefault="00CA5AB9" w:rsidP="00A30DD4">
    <w:pPr>
      <w:pStyle w:val="Footer"/>
      <w:framePr w:wrap="around" w:vAnchor="text" w:hAnchor="margin" w:xAlign="right" w:y="1"/>
      <w:rPr>
        <w:rStyle w:val="PageNumber"/>
      </w:rPr>
    </w:pPr>
    <w:r>
      <w:rPr>
        <w:rStyle w:val="PageNumber"/>
      </w:rPr>
      <w:fldChar w:fldCharType="begin"/>
    </w:r>
    <w:r w:rsidR="008E305E">
      <w:rPr>
        <w:rStyle w:val="PageNumber"/>
      </w:rPr>
      <w:instrText xml:space="preserve">PAGE  </w:instrText>
    </w:r>
    <w:r>
      <w:rPr>
        <w:rStyle w:val="PageNumber"/>
      </w:rPr>
      <w:fldChar w:fldCharType="end"/>
    </w:r>
  </w:p>
  <w:p w:rsidR="008E305E" w:rsidRDefault="008E305E"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5E" w:rsidRPr="00B21BB5" w:rsidRDefault="00CA5AB9">
    <w:pPr>
      <w:pStyle w:val="Footer"/>
      <w:jc w:val="right"/>
      <w:rPr>
        <w:rFonts w:ascii="Times New Roman" w:hAnsi="Times New Roman"/>
        <w:sz w:val="20"/>
        <w:szCs w:val="20"/>
      </w:rPr>
    </w:pPr>
    <w:r w:rsidRPr="00B21BB5">
      <w:rPr>
        <w:rFonts w:ascii="Times New Roman" w:hAnsi="Times New Roman"/>
        <w:sz w:val="20"/>
        <w:szCs w:val="20"/>
      </w:rPr>
      <w:fldChar w:fldCharType="begin"/>
    </w:r>
    <w:r w:rsidR="008E305E" w:rsidRPr="00B21BB5">
      <w:rPr>
        <w:rFonts w:ascii="Times New Roman" w:hAnsi="Times New Roman"/>
        <w:sz w:val="20"/>
        <w:szCs w:val="20"/>
      </w:rPr>
      <w:instrText xml:space="preserve"> PAGE   \* MERGEFORMAT </w:instrText>
    </w:r>
    <w:r w:rsidRPr="00B21BB5">
      <w:rPr>
        <w:rFonts w:ascii="Times New Roman" w:hAnsi="Times New Roman"/>
        <w:sz w:val="20"/>
        <w:szCs w:val="20"/>
      </w:rPr>
      <w:fldChar w:fldCharType="separate"/>
    </w:r>
    <w:r w:rsidR="007858CD">
      <w:rPr>
        <w:rFonts w:ascii="Times New Roman" w:hAnsi="Times New Roman"/>
        <w:noProof/>
        <w:sz w:val="20"/>
        <w:szCs w:val="20"/>
      </w:rPr>
      <w:t>2</w:t>
    </w:r>
    <w:r w:rsidRPr="00B21BB5">
      <w:rPr>
        <w:rFonts w:ascii="Times New Roman" w:hAnsi="Times New Roman"/>
        <w:sz w:val="20"/>
        <w:szCs w:val="20"/>
      </w:rPr>
      <w:fldChar w:fldCharType="end"/>
    </w:r>
  </w:p>
  <w:p w:rsidR="008E305E" w:rsidRDefault="008E305E" w:rsidP="00220C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5E" w:rsidRPr="00D37C04" w:rsidRDefault="008E305E" w:rsidP="00D37C04">
    <w:pPr>
      <w:rPr>
        <w:sz w:val="16"/>
        <w:szCs w:val="16"/>
      </w:rPr>
    </w:pPr>
  </w:p>
  <w:p w:rsidR="008E305E" w:rsidRDefault="008E3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5D" w:rsidRDefault="00F16E5D">
      <w:r>
        <w:separator/>
      </w:r>
    </w:p>
  </w:footnote>
  <w:footnote w:type="continuationSeparator" w:id="0">
    <w:p w:rsidR="00F16E5D" w:rsidRDefault="00F16E5D">
      <w:r>
        <w:continuationSeparator/>
      </w:r>
    </w:p>
  </w:footnote>
  <w:footnote w:id="1">
    <w:p w:rsidR="008E305E" w:rsidRPr="008B4285" w:rsidRDefault="008E305E">
      <w:pPr>
        <w:pStyle w:val="FootnoteText"/>
        <w:rPr>
          <w:lang w:val="en-ZA"/>
        </w:rPr>
      </w:pPr>
      <w:r>
        <w:rPr>
          <w:rStyle w:val="FootnoteReference"/>
        </w:rPr>
        <w:footnoteRef/>
      </w:r>
      <w:r>
        <w:t xml:space="preserve"> </w:t>
      </w:r>
      <w:r w:rsidRPr="008B4285">
        <w:rPr>
          <w:lang w:val="en-ZA"/>
        </w:rPr>
        <w:t xml:space="preserve">Department of Women, Youth and Persons with Disabilities Strategic Plan 2020-2025, pg.10  </w:t>
      </w:r>
    </w:p>
  </w:footnote>
  <w:footnote w:id="2">
    <w:p w:rsidR="008E305E" w:rsidRPr="00E02A5B" w:rsidRDefault="008E305E">
      <w:pPr>
        <w:pStyle w:val="FootnoteText"/>
        <w:rPr>
          <w:lang w:val="en-ZA"/>
        </w:rPr>
      </w:pPr>
      <w:r>
        <w:rPr>
          <w:rStyle w:val="FootnoteReference"/>
        </w:rPr>
        <w:footnoteRef/>
      </w:r>
      <w:r>
        <w:t xml:space="preserve"> </w:t>
      </w:r>
      <w:r>
        <w:rPr>
          <w:lang w:val="en-ZA"/>
        </w:rPr>
        <w:t>Department of Women, Youth and Persons with Disabilities (2022) Annual Performance Plan 2022/23, p.10</w:t>
      </w:r>
    </w:p>
  </w:footnote>
  <w:footnote w:id="3">
    <w:p w:rsidR="008E305E" w:rsidRPr="00E96473" w:rsidRDefault="008E305E" w:rsidP="00E96473">
      <w:pPr>
        <w:pStyle w:val="FootnoteText"/>
        <w:rPr>
          <w:lang w:val="en-ZA"/>
        </w:rPr>
      </w:pPr>
      <w:r>
        <w:rPr>
          <w:rStyle w:val="FootnoteReference"/>
        </w:rPr>
        <w:footnoteRef/>
      </w:r>
      <w:r>
        <w:t xml:space="preserve"> </w:t>
      </w:r>
      <w:r w:rsidRPr="00E96473">
        <w:rPr>
          <w:lang w:val="en-ZA"/>
        </w:rPr>
        <w:t>Department of Women, Youth and Persons with Disabilities</w:t>
      </w:r>
      <w:r>
        <w:rPr>
          <w:lang w:val="en-ZA"/>
        </w:rPr>
        <w:t xml:space="preserve"> Annual (2022) Performance Plan 2022/23, pg. 110</w:t>
      </w:r>
    </w:p>
  </w:footnote>
  <w:footnote w:id="4">
    <w:p w:rsidR="008E305E" w:rsidRPr="00E96473" w:rsidRDefault="008E305E">
      <w:pPr>
        <w:pStyle w:val="FootnoteText"/>
        <w:rPr>
          <w:lang w:val="en-ZA"/>
        </w:rPr>
      </w:pPr>
      <w:r>
        <w:rPr>
          <w:rStyle w:val="FootnoteReference"/>
        </w:rPr>
        <w:footnoteRef/>
      </w:r>
      <w:r>
        <w:t xml:space="preserve"> </w:t>
      </w:r>
      <w:r>
        <w:rPr>
          <w:lang w:val="en-ZA"/>
        </w:rPr>
        <w:t>Ibid</w:t>
      </w:r>
    </w:p>
  </w:footnote>
  <w:footnote w:id="5">
    <w:p w:rsidR="008E305E" w:rsidRPr="00E96473" w:rsidRDefault="008E305E" w:rsidP="00E96473">
      <w:pPr>
        <w:pStyle w:val="FootnoteText"/>
        <w:rPr>
          <w:lang w:val="en-ZA"/>
        </w:rPr>
      </w:pPr>
      <w:r>
        <w:t xml:space="preserve"> </w:t>
      </w:r>
      <w:r>
        <w:rPr>
          <w:rStyle w:val="FootnoteReference"/>
        </w:rPr>
        <w:footnoteRef/>
      </w:r>
      <w:r>
        <w:t xml:space="preserve"> </w:t>
      </w:r>
      <w:r>
        <w:rPr>
          <w:lang w:val="en-ZA"/>
        </w:rPr>
        <w:t xml:space="preserve">Department </w:t>
      </w:r>
      <w:r w:rsidRPr="00E96473">
        <w:rPr>
          <w:lang w:val="en-ZA"/>
        </w:rPr>
        <w:t xml:space="preserve">of Women, Youth and Persons with Disabilities </w:t>
      </w:r>
      <w:r w:rsidR="00897078">
        <w:rPr>
          <w:lang w:val="en-ZA"/>
        </w:rPr>
        <w:t>(2022) Annual Performance Plan 2022</w:t>
      </w:r>
      <w:r>
        <w:rPr>
          <w:lang w:val="en-ZA"/>
        </w:rPr>
        <w:t>/</w:t>
      </w:r>
      <w:r w:rsidR="00897078">
        <w:rPr>
          <w:lang w:val="en-ZA"/>
        </w:rPr>
        <w:t>3</w:t>
      </w:r>
    </w:p>
  </w:footnote>
  <w:footnote w:id="6">
    <w:p w:rsidR="008E305E" w:rsidRPr="00AE06BE" w:rsidRDefault="008E305E">
      <w:pPr>
        <w:pStyle w:val="FootnoteText"/>
        <w:rPr>
          <w:lang w:val="en-ZA"/>
        </w:rPr>
      </w:pPr>
      <w:r>
        <w:rPr>
          <w:rStyle w:val="FootnoteReference"/>
        </w:rPr>
        <w:footnoteRef/>
      </w:r>
      <w:r>
        <w:t xml:space="preserve"> </w:t>
      </w:r>
      <w:r>
        <w:rPr>
          <w:lang w:val="en-ZA"/>
        </w:rPr>
        <w:t>Department of Women, Youth and Persons with Disabilities (2022) Annual Performance Plan 2022/23, p.3</w:t>
      </w:r>
    </w:p>
  </w:footnote>
  <w:footnote w:id="7">
    <w:p w:rsidR="008E305E" w:rsidRPr="002C457D" w:rsidRDefault="008E305E">
      <w:pPr>
        <w:pStyle w:val="FootnoteText"/>
        <w:rPr>
          <w:lang w:val="en-ZA"/>
        </w:rPr>
      </w:pPr>
      <w:r>
        <w:rPr>
          <w:rStyle w:val="FootnoteReference"/>
        </w:rPr>
        <w:footnoteRef/>
      </w:r>
      <w:r>
        <w:t xml:space="preserve"> </w:t>
      </w:r>
      <w:r>
        <w:rPr>
          <w:lang w:val="en-ZA"/>
        </w:rPr>
        <w:t>National Treasury (2022) Estimates of National Expenditure, Vote 20 Department of Women, Youth and Persons with Disabilities, p. 362</w:t>
      </w:r>
    </w:p>
  </w:footnote>
  <w:footnote w:id="8">
    <w:p w:rsidR="008E305E" w:rsidRPr="006040D1" w:rsidRDefault="008E305E">
      <w:pPr>
        <w:pStyle w:val="FootnoteText"/>
        <w:rPr>
          <w:lang w:val="en-ZA"/>
        </w:rPr>
      </w:pPr>
      <w:r>
        <w:rPr>
          <w:rStyle w:val="FootnoteReference"/>
        </w:rPr>
        <w:footnoteRef/>
      </w:r>
      <w:r>
        <w:t xml:space="preserve"> </w:t>
      </w:r>
      <w:r>
        <w:rPr>
          <w:lang w:val="en-ZA"/>
        </w:rPr>
        <w:t xml:space="preserve">Levendale, C (2022) </w:t>
      </w:r>
      <w:r w:rsidRPr="00774B8C">
        <w:rPr>
          <w:lang w:val="en-ZA"/>
        </w:rPr>
        <w:t xml:space="preserve">Overview: Department </w:t>
      </w:r>
      <w:r>
        <w:rPr>
          <w:lang w:val="en-ZA"/>
        </w:rPr>
        <w:t>of Women, Youth and Persons w</w:t>
      </w:r>
      <w:r w:rsidRPr="00774B8C">
        <w:rPr>
          <w:lang w:val="en-ZA"/>
        </w:rPr>
        <w:t>ith Disabilities - A</w:t>
      </w:r>
      <w:r>
        <w:rPr>
          <w:lang w:val="en-ZA"/>
        </w:rPr>
        <w:t>nnual Performance Plan 2022/23 a</w:t>
      </w:r>
      <w:r w:rsidRPr="00774B8C">
        <w:rPr>
          <w:lang w:val="en-ZA"/>
        </w:rPr>
        <w:t>nd Budget 202</w:t>
      </w:r>
      <w:r>
        <w:rPr>
          <w:lang w:val="en-ZA"/>
        </w:rPr>
        <w:t>2/23: Programmes 1, 2 and 3</w:t>
      </w:r>
    </w:p>
  </w:footnote>
  <w:footnote w:id="9">
    <w:p w:rsidR="008E305E" w:rsidRPr="00774B8C" w:rsidRDefault="008E305E">
      <w:pPr>
        <w:pStyle w:val="FootnoteText"/>
        <w:rPr>
          <w:lang w:val="en-ZA"/>
        </w:rPr>
      </w:pPr>
      <w:r>
        <w:rPr>
          <w:rStyle w:val="FootnoteReference"/>
        </w:rPr>
        <w:footnoteRef/>
      </w:r>
      <w:r>
        <w:t xml:space="preserve"> </w:t>
      </w:r>
      <w:r>
        <w:rPr>
          <w:lang w:val="en-ZA"/>
        </w:rPr>
        <w:t xml:space="preserve">Levendale, C (2022) </w:t>
      </w:r>
      <w:r w:rsidRPr="00774B8C">
        <w:rPr>
          <w:lang w:val="en-ZA"/>
        </w:rPr>
        <w:t xml:space="preserve">Overview: Department </w:t>
      </w:r>
      <w:r>
        <w:rPr>
          <w:lang w:val="en-ZA"/>
        </w:rPr>
        <w:t>of Women, Youth and Persons w</w:t>
      </w:r>
      <w:r w:rsidRPr="00774B8C">
        <w:rPr>
          <w:lang w:val="en-ZA"/>
        </w:rPr>
        <w:t>ith Disabilities - A</w:t>
      </w:r>
      <w:r>
        <w:rPr>
          <w:lang w:val="en-ZA"/>
        </w:rPr>
        <w:t>nnual Performance Plan 2022/23 a</w:t>
      </w:r>
      <w:r w:rsidRPr="00774B8C">
        <w:rPr>
          <w:lang w:val="en-ZA"/>
        </w:rPr>
        <w:t>nd Budget 202</w:t>
      </w:r>
      <w:r>
        <w:rPr>
          <w:lang w:val="en-ZA"/>
        </w:rPr>
        <w:t>2/23</w:t>
      </w:r>
      <w:r w:rsidRPr="00774B8C">
        <w:rPr>
          <w:lang w:val="en-ZA"/>
        </w:rPr>
        <w:t>: Programmes 1, 2 and 3</w:t>
      </w:r>
    </w:p>
  </w:footnote>
  <w:footnote w:id="10">
    <w:p w:rsidR="008E305E" w:rsidRPr="00DA57B6" w:rsidRDefault="008E305E" w:rsidP="00806A2A">
      <w:pPr>
        <w:pStyle w:val="FootnoteText"/>
      </w:pPr>
      <w:r>
        <w:rPr>
          <w:rStyle w:val="FootnoteReference"/>
        </w:rPr>
        <w:footnoteRef/>
      </w:r>
      <w:r>
        <w:t xml:space="preserve"> </w:t>
      </w:r>
      <w:r w:rsidRPr="00DA57B6">
        <w:t>Adapted from Estimates of National Expenditure</w:t>
      </w:r>
      <w:r>
        <w:t xml:space="preserve"> (2022)</w:t>
      </w:r>
      <w:r w:rsidRPr="00DA57B6">
        <w:t xml:space="preserve">, Vote </w:t>
      </w:r>
      <w:r>
        <w:t>20 Department of Women, Youth and Persons with Disabilities, p.361</w:t>
      </w:r>
    </w:p>
  </w:footnote>
  <w:footnote w:id="11">
    <w:p w:rsidR="008E305E" w:rsidRPr="00612C34" w:rsidRDefault="008E305E">
      <w:pPr>
        <w:pStyle w:val="FootnoteText"/>
        <w:rPr>
          <w:lang w:val="en-ZA"/>
        </w:rPr>
      </w:pPr>
      <w:r>
        <w:rPr>
          <w:rStyle w:val="FootnoteReference"/>
        </w:rPr>
        <w:footnoteRef/>
      </w:r>
      <w:r>
        <w:t xml:space="preserve"> </w:t>
      </w:r>
      <w:r w:rsidRPr="00612C34">
        <w:rPr>
          <w:lang w:val="en-ZA"/>
        </w:rPr>
        <w:t>Levendale, C (2022) Overview: Department of Women, Youth and Persons with Disabilities - Annual Performance Plan 2022/23 and Budget 2022/23: Programmes 1, 2 and 3</w:t>
      </w:r>
    </w:p>
  </w:footnote>
  <w:footnote w:id="12">
    <w:p w:rsidR="008E305E" w:rsidRPr="00612C34" w:rsidRDefault="008E305E">
      <w:pPr>
        <w:pStyle w:val="FootnoteText"/>
        <w:rPr>
          <w:lang w:val="en-ZA"/>
        </w:rPr>
      </w:pPr>
      <w:r>
        <w:rPr>
          <w:rStyle w:val="FootnoteReference"/>
        </w:rPr>
        <w:footnoteRef/>
      </w:r>
      <w:r>
        <w:t xml:space="preserve"> </w:t>
      </w:r>
      <w:r w:rsidRPr="00612C34">
        <w:rPr>
          <w:lang w:val="en-ZA"/>
        </w:rPr>
        <w:t>Levendale, C (2022) Overview: Department of Women, Youth and Persons with Disabilities - Annual Performance Plan 2022/23 and Budget 2022/23: Programmes 1, 2 and 3</w:t>
      </w:r>
    </w:p>
  </w:footnote>
  <w:footnote w:id="13">
    <w:p w:rsidR="008E305E" w:rsidRPr="00612C34" w:rsidRDefault="008E305E">
      <w:pPr>
        <w:pStyle w:val="FootnoteText"/>
        <w:rPr>
          <w:lang w:val="en-ZA"/>
        </w:rPr>
      </w:pPr>
      <w:r>
        <w:rPr>
          <w:rStyle w:val="FootnoteReference"/>
        </w:rPr>
        <w:footnoteRef/>
      </w:r>
      <w:r>
        <w:t xml:space="preserve"> </w:t>
      </w:r>
      <w:r>
        <w:rPr>
          <w:lang w:val="en-ZA"/>
        </w:rPr>
        <w:t>Ibid</w:t>
      </w:r>
    </w:p>
  </w:footnote>
  <w:footnote w:id="14">
    <w:p w:rsidR="008E305E" w:rsidRPr="00D22673" w:rsidRDefault="008E305E">
      <w:pPr>
        <w:pStyle w:val="FootnoteText"/>
        <w:rPr>
          <w:lang w:val="en-ZA"/>
        </w:rPr>
      </w:pPr>
      <w:r>
        <w:rPr>
          <w:rStyle w:val="FootnoteReference"/>
        </w:rPr>
        <w:footnoteRef/>
      </w:r>
      <w:r>
        <w:t xml:space="preserve"> </w:t>
      </w:r>
      <w:r>
        <w:rPr>
          <w:lang w:val="en-ZA"/>
        </w:rPr>
        <w:t xml:space="preserve">Levendale, C (2022) </w:t>
      </w:r>
      <w:r w:rsidRPr="00774B8C">
        <w:rPr>
          <w:lang w:val="en-ZA"/>
        </w:rPr>
        <w:t xml:space="preserve">Overview: Department </w:t>
      </w:r>
      <w:r>
        <w:rPr>
          <w:lang w:val="en-ZA"/>
        </w:rPr>
        <w:t>of Women, Youth and Persons w</w:t>
      </w:r>
      <w:r w:rsidRPr="00774B8C">
        <w:rPr>
          <w:lang w:val="en-ZA"/>
        </w:rPr>
        <w:t>ith Disabilities - A</w:t>
      </w:r>
      <w:r>
        <w:rPr>
          <w:lang w:val="en-ZA"/>
        </w:rPr>
        <w:t>nnual Performance Plan 2022/23 a</w:t>
      </w:r>
      <w:r w:rsidRPr="00774B8C">
        <w:rPr>
          <w:lang w:val="en-ZA"/>
        </w:rPr>
        <w:t>nd Budget 202</w:t>
      </w:r>
      <w:r>
        <w:rPr>
          <w:lang w:val="en-ZA"/>
        </w:rPr>
        <w:t>2/23</w:t>
      </w:r>
      <w:r w:rsidRPr="00774B8C">
        <w:rPr>
          <w:lang w:val="en-ZA"/>
        </w:rPr>
        <w:t>: Programmes 1, 2 and 3</w:t>
      </w:r>
    </w:p>
  </w:footnote>
  <w:footnote w:id="15">
    <w:p w:rsidR="008E305E" w:rsidRPr="00612C34" w:rsidRDefault="008E305E">
      <w:pPr>
        <w:pStyle w:val="FootnoteText"/>
        <w:rPr>
          <w:lang w:val="en-ZA"/>
        </w:rPr>
      </w:pPr>
      <w:r>
        <w:rPr>
          <w:rStyle w:val="FootnoteReference"/>
        </w:rPr>
        <w:footnoteRef/>
      </w:r>
      <w:r>
        <w:t xml:space="preserve"> </w:t>
      </w:r>
      <w:r>
        <w:rPr>
          <w:lang w:val="en-ZA"/>
        </w:rPr>
        <w:t>Matthews, T (2022) Department of Women, Youth and Persons with Disabilities: Analysis of Programme 4: 2022/23</w:t>
      </w:r>
    </w:p>
  </w:footnote>
  <w:footnote w:id="16">
    <w:p w:rsidR="008E305E" w:rsidRPr="00612C34" w:rsidRDefault="008E305E">
      <w:pPr>
        <w:pStyle w:val="FootnoteText"/>
        <w:rPr>
          <w:lang w:val="en-ZA"/>
        </w:rPr>
      </w:pPr>
      <w:r>
        <w:rPr>
          <w:rStyle w:val="FootnoteReference"/>
        </w:rPr>
        <w:footnoteRef/>
      </w:r>
      <w:r>
        <w:t xml:space="preserve"> </w:t>
      </w:r>
      <w:r w:rsidRPr="00D22673">
        <w:rPr>
          <w:lang w:val="en-ZA"/>
        </w:rPr>
        <w:t>Levendale, C (2022) Overview: Department of Women, Youth and Persons with Disabilities - Annual Performance Plan 2022/23 and Budget 2022/23: Programmes 1, 2 and 3</w:t>
      </w:r>
    </w:p>
  </w:footnote>
  <w:footnote w:id="17">
    <w:p w:rsidR="008E305E" w:rsidRPr="00D4053A" w:rsidRDefault="008E305E" w:rsidP="00D4053A">
      <w:pPr>
        <w:pStyle w:val="FootnoteText"/>
        <w:rPr>
          <w:lang w:val="en-ZA"/>
        </w:rPr>
      </w:pPr>
      <w:r>
        <w:rPr>
          <w:rStyle w:val="FootnoteReference"/>
        </w:rPr>
        <w:footnoteRef/>
      </w:r>
      <w:r>
        <w:t xml:space="preserve"> National Treasury (2022) Estimates of National Expenditure 2022. Vote 20, Department of Women, Youth and Persons with Disabilities, p.375</w:t>
      </w:r>
    </w:p>
  </w:footnote>
  <w:footnote w:id="18">
    <w:p w:rsidR="008E305E" w:rsidRPr="00082E2C" w:rsidRDefault="008E305E">
      <w:pPr>
        <w:pStyle w:val="FootnoteText"/>
        <w:rPr>
          <w:lang w:val="en-ZA"/>
        </w:rPr>
      </w:pPr>
      <w:r>
        <w:rPr>
          <w:rStyle w:val="FootnoteReference"/>
        </w:rPr>
        <w:footnoteRef/>
      </w:r>
      <w:r>
        <w:t xml:space="preserve"> </w:t>
      </w:r>
      <w:r>
        <w:rPr>
          <w:lang w:val="en-ZA"/>
        </w:rPr>
        <w:t>Ibid</w:t>
      </w:r>
    </w:p>
  </w:footnote>
  <w:footnote w:id="19">
    <w:p w:rsidR="008E305E" w:rsidRPr="00082E2C" w:rsidRDefault="008E305E">
      <w:pPr>
        <w:pStyle w:val="FootnoteText"/>
        <w:rPr>
          <w:lang w:val="en-ZA"/>
        </w:rPr>
      </w:pPr>
      <w:r>
        <w:rPr>
          <w:rStyle w:val="FootnoteReference"/>
        </w:rPr>
        <w:footnoteRef/>
      </w:r>
      <w:r>
        <w:t xml:space="preserve"> </w:t>
      </w:r>
      <w:r w:rsidRPr="00082E2C">
        <w:rPr>
          <w:lang w:val="en-ZA"/>
        </w:rPr>
        <w:t>Matthews, T (2022) Department of Women, Youth and Persons with Disabilities: Analysis of Programme 4: 2022/23</w:t>
      </w:r>
      <w:r>
        <w:rPr>
          <w:lang w:val="en-ZA"/>
        </w:rPr>
        <w:t>, p.5</w:t>
      </w:r>
    </w:p>
  </w:footnote>
  <w:footnote w:id="20">
    <w:p w:rsidR="008E305E" w:rsidRPr="00AC534C" w:rsidRDefault="008E305E">
      <w:pPr>
        <w:pStyle w:val="FootnoteText"/>
        <w:rPr>
          <w:lang w:val="en-ZA"/>
        </w:rPr>
      </w:pPr>
      <w:r>
        <w:rPr>
          <w:rStyle w:val="FootnoteReference"/>
        </w:rPr>
        <w:footnoteRef/>
      </w:r>
      <w:r>
        <w:t xml:space="preserve"> </w:t>
      </w:r>
      <w:r>
        <w:rPr>
          <w:lang w:val="en-ZA"/>
        </w:rPr>
        <w:t>Ibid</w:t>
      </w:r>
    </w:p>
  </w:footnote>
  <w:footnote w:id="21">
    <w:p w:rsidR="008E305E" w:rsidRPr="001620BC" w:rsidRDefault="008E305E">
      <w:pPr>
        <w:pStyle w:val="FootnoteText"/>
        <w:rPr>
          <w:lang w:val="en-ZA"/>
        </w:rPr>
      </w:pPr>
      <w:r>
        <w:rPr>
          <w:rStyle w:val="FootnoteReference"/>
        </w:rPr>
        <w:footnoteRef/>
      </w:r>
      <w:r>
        <w:t xml:space="preserve"> </w:t>
      </w:r>
      <w:r>
        <w:rPr>
          <w:lang w:val="en-ZA"/>
        </w:rPr>
        <w:t>Levendale, C (2022) Commission f</w:t>
      </w:r>
      <w:r w:rsidRPr="001620BC">
        <w:rPr>
          <w:lang w:val="en-ZA"/>
        </w:rPr>
        <w:t>or G</w:t>
      </w:r>
      <w:r>
        <w:rPr>
          <w:lang w:val="en-ZA"/>
        </w:rPr>
        <w:t>ender Equality: 2022/23 Budget a</w:t>
      </w:r>
      <w:r w:rsidRPr="001620BC">
        <w:rPr>
          <w:lang w:val="en-ZA"/>
        </w:rPr>
        <w:t>nd Annual Performance Plan</w:t>
      </w:r>
      <w:r>
        <w:rPr>
          <w:lang w:val="en-ZA"/>
        </w:rPr>
        <w:t>, Parliament of RSA, Research Unit</w:t>
      </w:r>
    </w:p>
  </w:footnote>
  <w:footnote w:id="22">
    <w:p w:rsidR="008E305E" w:rsidRPr="00486BA3" w:rsidRDefault="008E305E">
      <w:pPr>
        <w:pStyle w:val="FootnoteText"/>
        <w:rPr>
          <w:lang w:val="en-ZA"/>
        </w:rPr>
      </w:pPr>
      <w:r>
        <w:rPr>
          <w:rStyle w:val="FootnoteReference"/>
        </w:rPr>
        <w:footnoteRef/>
      </w:r>
      <w:r>
        <w:t xml:space="preserve"> </w:t>
      </w:r>
      <w:r>
        <w:rPr>
          <w:lang w:val="en-ZA"/>
        </w:rPr>
        <w:t>Ibid</w:t>
      </w:r>
    </w:p>
  </w:footnote>
  <w:footnote w:id="23">
    <w:p w:rsidR="008E305E" w:rsidRPr="001620BC" w:rsidRDefault="008E305E">
      <w:pPr>
        <w:pStyle w:val="FootnoteText"/>
        <w:rPr>
          <w:lang w:val="en-ZA"/>
        </w:rPr>
      </w:pPr>
      <w:r>
        <w:rPr>
          <w:rStyle w:val="FootnoteReference"/>
        </w:rPr>
        <w:footnoteRef/>
      </w:r>
      <w:r>
        <w:t xml:space="preserve"> </w:t>
      </w:r>
      <w:r>
        <w:rPr>
          <w:lang w:val="en-ZA"/>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406"/>
    <w:multiLevelType w:val="hybridMultilevel"/>
    <w:tmpl w:val="CF5A4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092EEE"/>
    <w:multiLevelType w:val="hybridMultilevel"/>
    <w:tmpl w:val="20F81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1F4DBA"/>
    <w:multiLevelType w:val="hybridMultilevel"/>
    <w:tmpl w:val="3AAE709E"/>
    <w:lvl w:ilvl="0" w:tplc="CD4ECAB2">
      <w:start w:val="1"/>
      <w:numFmt w:val="decimal"/>
      <w:lvlText w:val="%1."/>
      <w:lvlJc w:val="left"/>
      <w:pPr>
        <w:tabs>
          <w:tab w:val="num" w:pos="720"/>
        </w:tabs>
        <w:ind w:left="720" w:hanging="360"/>
      </w:pPr>
    </w:lvl>
    <w:lvl w:ilvl="1" w:tplc="BC7C7F18" w:tentative="1">
      <w:start w:val="1"/>
      <w:numFmt w:val="decimal"/>
      <w:lvlText w:val="%2."/>
      <w:lvlJc w:val="left"/>
      <w:pPr>
        <w:tabs>
          <w:tab w:val="num" w:pos="1440"/>
        </w:tabs>
        <w:ind w:left="1440" w:hanging="360"/>
      </w:pPr>
    </w:lvl>
    <w:lvl w:ilvl="2" w:tplc="34BC9BEC" w:tentative="1">
      <w:start w:val="1"/>
      <w:numFmt w:val="decimal"/>
      <w:lvlText w:val="%3."/>
      <w:lvlJc w:val="left"/>
      <w:pPr>
        <w:tabs>
          <w:tab w:val="num" w:pos="2160"/>
        </w:tabs>
        <w:ind w:left="2160" w:hanging="360"/>
      </w:pPr>
    </w:lvl>
    <w:lvl w:ilvl="3" w:tplc="328C7F52" w:tentative="1">
      <w:start w:val="1"/>
      <w:numFmt w:val="decimal"/>
      <w:lvlText w:val="%4."/>
      <w:lvlJc w:val="left"/>
      <w:pPr>
        <w:tabs>
          <w:tab w:val="num" w:pos="2880"/>
        </w:tabs>
        <w:ind w:left="2880" w:hanging="360"/>
      </w:pPr>
    </w:lvl>
    <w:lvl w:ilvl="4" w:tplc="D9B6C22C" w:tentative="1">
      <w:start w:val="1"/>
      <w:numFmt w:val="decimal"/>
      <w:lvlText w:val="%5."/>
      <w:lvlJc w:val="left"/>
      <w:pPr>
        <w:tabs>
          <w:tab w:val="num" w:pos="3600"/>
        </w:tabs>
        <w:ind w:left="3600" w:hanging="360"/>
      </w:pPr>
    </w:lvl>
    <w:lvl w:ilvl="5" w:tplc="8298A900" w:tentative="1">
      <w:start w:val="1"/>
      <w:numFmt w:val="decimal"/>
      <w:lvlText w:val="%6."/>
      <w:lvlJc w:val="left"/>
      <w:pPr>
        <w:tabs>
          <w:tab w:val="num" w:pos="4320"/>
        </w:tabs>
        <w:ind w:left="4320" w:hanging="360"/>
      </w:pPr>
    </w:lvl>
    <w:lvl w:ilvl="6" w:tplc="140C97B8" w:tentative="1">
      <w:start w:val="1"/>
      <w:numFmt w:val="decimal"/>
      <w:lvlText w:val="%7."/>
      <w:lvlJc w:val="left"/>
      <w:pPr>
        <w:tabs>
          <w:tab w:val="num" w:pos="5040"/>
        </w:tabs>
        <w:ind w:left="5040" w:hanging="360"/>
      </w:pPr>
    </w:lvl>
    <w:lvl w:ilvl="7" w:tplc="E916B568" w:tentative="1">
      <w:start w:val="1"/>
      <w:numFmt w:val="decimal"/>
      <w:lvlText w:val="%8."/>
      <w:lvlJc w:val="left"/>
      <w:pPr>
        <w:tabs>
          <w:tab w:val="num" w:pos="5760"/>
        </w:tabs>
        <w:ind w:left="5760" w:hanging="360"/>
      </w:pPr>
    </w:lvl>
    <w:lvl w:ilvl="8" w:tplc="F4AAADDA" w:tentative="1">
      <w:start w:val="1"/>
      <w:numFmt w:val="decimal"/>
      <w:lvlText w:val="%9."/>
      <w:lvlJc w:val="left"/>
      <w:pPr>
        <w:tabs>
          <w:tab w:val="num" w:pos="6480"/>
        </w:tabs>
        <w:ind w:left="6480" w:hanging="360"/>
      </w:pPr>
    </w:lvl>
  </w:abstractNum>
  <w:abstractNum w:abstractNumId="3">
    <w:nsid w:val="09E71F4D"/>
    <w:multiLevelType w:val="multilevel"/>
    <w:tmpl w:val="283AAF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2611D8"/>
    <w:multiLevelType w:val="hybridMultilevel"/>
    <w:tmpl w:val="35A68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147B38"/>
    <w:multiLevelType w:val="hybridMultilevel"/>
    <w:tmpl w:val="C534F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367B03"/>
    <w:multiLevelType w:val="hybridMultilevel"/>
    <w:tmpl w:val="E52EDD14"/>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B57B13"/>
    <w:multiLevelType w:val="hybridMultilevel"/>
    <w:tmpl w:val="B9A20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7C701F"/>
    <w:multiLevelType w:val="hybridMultilevel"/>
    <w:tmpl w:val="43FA2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BF4472"/>
    <w:multiLevelType w:val="hybridMultilevel"/>
    <w:tmpl w:val="17FEA9C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9C24E6"/>
    <w:multiLevelType w:val="hybridMultilevel"/>
    <w:tmpl w:val="4D6A5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A172BA"/>
    <w:multiLevelType w:val="hybridMultilevel"/>
    <w:tmpl w:val="100C10DE"/>
    <w:lvl w:ilvl="0" w:tplc="983831EC">
      <w:start w:val="8"/>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F73CEE"/>
    <w:multiLevelType w:val="hybridMultilevel"/>
    <w:tmpl w:val="7AB4C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543BA7"/>
    <w:multiLevelType w:val="hybridMultilevel"/>
    <w:tmpl w:val="85687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7619B6"/>
    <w:multiLevelType w:val="hybridMultilevel"/>
    <w:tmpl w:val="2E7CA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C7D0397"/>
    <w:multiLevelType w:val="hybridMultilevel"/>
    <w:tmpl w:val="CD606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5B3010"/>
    <w:multiLevelType w:val="hybridMultilevel"/>
    <w:tmpl w:val="337EF4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023584D"/>
    <w:multiLevelType w:val="hybridMultilevel"/>
    <w:tmpl w:val="BA0CD01E"/>
    <w:lvl w:ilvl="0" w:tplc="9B92CCF2">
      <w:start w:val="1"/>
      <w:numFmt w:val="lowerLetter"/>
      <w:lvlText w:val="%1)"/>
      <w:lvlJc w:val="left"/>
      <w:pPr>
        <w:ind w:left="360" w:hanging="360"/>
      </w:pPr>
      <w:rPr>
        <w:rFonts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8">
    <w:nsid w:val="32442749"/>
    <w:multiLevelType w:val="hybridMultilevel"/>
    <w:tmpl w:val="AF4C79BA"/>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nsid w:val="340D1BC6"/>
    <w:multiLevelType w:val="hybridMultilevel"/>
    <w:tmpl w:val="AC6664CE"/>
    <w:lvl w:ilvl="0" w:tplc="74DCA57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293A65"/>
    <w:multiLevelType w:val="hybridMultilevel"/>
    <w:tmpl w:val="EB861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4AF645F"/>
    <w:multiLevelType w:val="hybridMultilevel"/>
    <w:tmpl w:val="AAB68604"/>
    <w:lvl w:ilvl="0" w:tplc="E31A1D22">
      <w:start w:val="3"/>
      <w:numFmt w:val="decimal"/>
      <w:lvlText w:val="%1."/>
      <w:lvlJc w:val="left"/>
      <w:pPr>
        <w:tabs>
          <w:tab w:val="num" w:pos="720"/>
        </w:tabs>
        <w:ind w:left="720" w:hanging="360"/>
      </w:pPr>
    </w:lvl>
    <w:lvl w:ilvl="1" w:tplc="FE6E65D0" w:tentative="1">
      <w:start w:val="1"/>
      <w:numFmt w:val="decimal"/>
      <w:lvlText w:val="%2."/>
      <w:lvlJc w:val="left"/>
      <w:pPr>
        <w:tabs>
          <w:tab w:val="num" w:pos="1440"/>
        </w:tabs>
        <w:ind w:left="1440" w:hanging="360"/>
      </w:pPr>
    </w:lvl>
    <w:lvl w:ilvl="2" w:tplc="6B249DEA" w:tentative="1">
      <w:start w:val="1"/>
      <w:numFmt w:val="decimal"/>
      <w:lvlText w:val="%3."/>
      <w:lvlJc w:val="left"/>
      <w:pPr>
        <w:tabs>
          <w:tab w:val="num" w:pos="2160"/>
        </w:tabs>
        <w:ind w:left="2160" w:hanging="360"/>
      </w:pPr>
    </w:lvl>
    <w:lvl w:ilvl="3" w:tplc="BC6C2BFA" w:tentative="1">
      <w:start w:val="1"/>
      <w:numFmt w:val="decimal"/>
      <w:lvlText w:val="%4."/>
      <w:lvlJc w:val="left"/>
      <w:pPr>
        <w:tabs>
          <w:tab w:val="num" w:pos="2880"/>
        </w:tabs>
        <w:ind w:left="2880" w:hanging="360"/>
      </w:pPr>
    </w:lvl>
    <w:lvl w:ilvl="4" w:tplc="91562660" w:tentative="1">
      <w:start w:val="1"/>
      <w:numFmt w:val="decimal"/>
      <w:lvlText w:val="%5."/>
      <w:lvlJc w:val="left"/>
      <w:pPr>
        <w:tabs>
          <w:tab w:val="num" w:pos="3600"/>
        </w:tabs>
        <w:ind w:left="3600" w:hanging="360"/>
      </w:pPr>
    </w:lvl>
    <w:lvl w:ilvl="5" w:tplc="B27856D4" w:tentative="1">
      <w:start w:val="1"/>
      <w:numFmt w:val="decimal"/>
      <w:lvlText w:val="%6."/>
      <w:lvlJc w:val="left"/>
      <w:pPr>
        <w:tabs>
          <w:tab w:val="num" w:pos="4320"/>
        </w:tabs>
        <w:ind w:left="4320" w:hanging="360"/>
      </w:pPr>
    </w:lvl>
    <w:lvl w:ilvl="6" w:tplc="9CDAF37A" w:tentative="1">
      <w:start w:val="1"/>
      <w:numFmt w:val="decimal"/>
      <w:lvlText w:val="%7."/>
      <w:lvlJc w:val="left"/>
      <w:pPr>
        <w:tabs>
          <w:tab w:val="num" w:pos="5040"/>
        </w:tabs>
        <w:ind w:left="5040" w:hanging="360"/>
      </w:pPr>
    </w:lvl>
    <w:lvl w:ilvl="7" w:tplc="4C4A0888" w:tentative="1">
      <w:start w:val="1"/>
      <w:numFmt w:val="decimal"/>
      <w:lvlText w:val="%8."/>
      <w:lvlJc w:val="left"/>
      <w:pPr>
        <w:tabs>
          <w:tab w:val="num" w:pos="5760"/>
        </w:tabs>
        <w:ind w:left="5760" w:hanging="360"/>
      </w:pPr>
    </w:lvl>
    <w:lvl w:ilvl="8" w:tplc="963C1448" w:tentative="1">
      <w:start w:val="1"/>
      <w:numFmt w:val="decimal"/>
      <w:lvlText w:val="%9."/>
      <w:lvlJc w:val="left"/>
      <w:pPr>
        <w:tabs>
          <w:tab w:val="num" w:pos="6480"/>
        </w:tabs>
        <w:ind w:left="6480" w:hanging="360"/>
      </w:pPr>
    </w:lvl>
  </w:abstractNum>
  <w:abstractNum w:abstractNumId="22">
    <w:nsid w:val="35651CCF"/>
    <w:multiLevelType w:val="multilevel"/>
    <w:tmpl w:val="C230465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0DB5926"/>
    <w:multiLevelType w:val="hybridMultilevel"/>
    <w:tmpl w:val="A208A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51C12B7"/>
    <w:multiLevelType w:val="hybridMultilevel"/>
    <w:tmpl w:val="ADF624D8"/>
    <w:lvl w:ilvl="0" w:tplc="FD484366">
      <w:start w:val="3"/>
      <w:numFmt w:val="bullet"/>
      <w:lvlText w:val=""/>
      <w:lvlJc w:val="left"/>
      <w:pPr>
        <w:ind w:left="720" w:hanging="360"/>
      </w:pPr>
      <w:rPr>
        <w:rFonts w:ascii="Symbol" w:eastAsia="Times New Roman" w:hAnsi="Symbo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B41286"/>
    <w:multiLevelType w:val="hybridMultilevel"/>
    <w:tmpl w:val="B1F81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ADA634A"/>
    <w:multiLevelType w:val="hybridMultilevel"/>
    <w:tmpl w:val="E988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233D69"/>
    <w:multiLevelType w:val="hybridMultilevel"/>
    <w:tmpl w:val="37320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9155C"/>
    <w:multiLevelType w:val="hybridMultilevel"/>
    <w:tmpl w:val="4EDA5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681BCD"/>
    <w:multiLevelType w:val="hybridMultilevel"/>
    <w:tmpl w:val="6408E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FC44F7E"/>
    <w:multiLevelType w:val="hybridMultilevel"/>
    <w:tmpl w:val="98683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1306255"/>
    <w:multiLevelType w:val="hybridMultilevel"/>
    <w:tmpl w:val="66A68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2861776"/>
    <w:multiLevelType w:val="hybridMultilevel"/>
    <w:tmpl w:val="9528B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2E023AC"/>
    <w:multiLevelType w:val="hybridMultilevel"/>
    <w:tmpl w:val="508690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3A06D5A"/>
    <w:multiLevelType w:val="hybridMultilevel"/>
    <w:tmpl w:val="DEB21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88B10DC"/>
    <w:multiLevelType w:val="hybridMultilevel"/>
    <w:tmpl w:val="F2D0B3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8D47AA4"/>
    <w:multiLevelType w:val="hybridMultilevel"/>
    <w:tmpl w:val="5F247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90B4EA0"/>
    <w:multiLevelType w:val="hybridMultilevel"/>
    <w:tmpl w:val="8166925A"/>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96A7762"/>
    <w:multiLevelType w:val="hybridMultilevel"/>
    <w:tmpl w:val="8BD86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EC745C3"/>
    <w:multiLevelType w:val="hybridMultilevel"/>
    <w:tmpl w:val="1486C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FE069D6"/>
    <w:multiLevelType w:val="multilevel"/>
    <w:tmpl w:val="FE06D6E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FE92A84"/>
    <w:multiLevelType w:val="hybridMultilevel"/>
    <w:tmpl w:val="184EA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16948FD"/>
    <w:multiLevelType w:val="hybridMultilevel"/>
    <w:tmpl w:val="BA0CD01E"/>
    <w:lvl w:ilvl="0" w:tplc="9B92CCF2">
      <w:start w:val="1"/>
      <w:numFmt w:val="lowerLetter"/>
      <w:lvlText w:val="%1)"/>
      <w:lvlJc w:val="left"/>
      <w:pPr>
        <w:ind w:left="360" w:hanging="360"/>
      </w:pPr>
      <w:rPr>
        <w:rFonts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3">
    <w:nsid w:val="61AE2DFC"/>
    <w:multiLevelType w:val="hybridMultilevel"/>
    <w:tmpl w:val="B6845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3A15595"/>
    <w:multiLevelType w:val="hybridMultilevel"/>
    <w:tmpl w:val="1FCC3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9BC2835"/>
    <w:multiLevelType w:val="hybridMultilevel"/>
    <w:tmpl w:val="7DF6B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B126E89"/>
    <w:multiLevelType w:val="hybridMultilevel"/>
    <w:tmpl w:val="ABD6A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BD7705B"/>
    <w:multiLevelType w:val="hybridMultilevel"/>
    <w:tmpl w:val="62F01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05D6C53"/>
    <w:multiLevelType w:val="hybridMultilevel"/>
    <w:tmpl w:val="E730BA8E"/>
    <w:lvl w:ilvl="0" w:tplc="74DCA57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1563D70"/>
    <w:multiLevelType w:val="hybridMultilevel"/>
    <w:tmpl w:val="65526BBA"/>
    <w:lvl w:ilvl="0" w:tplc="C33EC852">
      <w:start w:val="2"/>
      <w:numFmt w:val="decimal"/>
      <w:lvlText w:val="%1."/>
      <w:lvlJc w:val="left"/>
      <w:pPr>
        <w:tabs>
          <w:tab w:val="num" w:pos="720"/>
        </w:tabs>
        <w:ind w:left="720" w:hanging="360"/>
      </w:pPr>
    </w:lvl>
    <w:lvl w:ilvl="1" w:tplc="1CC4D3BA">
      <w:numFmt w:val="bullet"/>
      <w:lvlText w:val="•"/>
      <w:lvlJc w:val="left"/>
      <w:pPr>
        <w:ind w:left="1440" w:hanging="360"/>
      </w:pPr>
      <w:rPr>
        <w:rFonts w:ascii="Times New Roman" w:eastAsia="Times New Roman" w:hAnsi="Times New Roman" w:cs="Times New Roman" w:hint="default"/>
        <w:b/>
      </w:rPr>
    </w:lvl>
    <w:lvl w:ilvl="2" w:tplc="9F2CDA44" w:tentative="1">
      <w:start w:val="1"/>
      <w:numFmt w:val="decimal"/>
      <w:lvlText w:val="%3."/>
      <w:lvlJc w:val="left"/>
      <w:pPr>
        <w:tabs>
          <w:tab w:val="num" w:pos="2160"/>
        </w:tabs>
        <w:ind w:left="2160" w:hanging="360"/>
      </w:pPr>
    </w:lvl>
    <w:lvl w:ilvl="3" w:tplc="F7122786" w:tentative="1">
      <w:start w:val="1"/>
      <w:numFmt w:val="decimal"/>
      <w:lvlText w:val="%4."/>
      <w:lvlJc w:val="left"/>
      <w:pPr>
        <w:tabs>
          <w:tab w:val="num" w:pos="2880"/>
        </w:tabs>
        <w:ind w:left="2880" w:hanging="360"/>
      </w:pPr>
    </w:lvl>
    <w:lvl w:ilvl="4" w:tplc="9EF6E59E" w:tentative="1">
      <w:start w:val="1"/>
      <w:numFmt w:val="decimal"/>
      <w:lvlText w:val="%5."/>
      <w:lvlJc w:val="left"/>
      <w:pPr>
        <w:tabs>
          <w:tab w:val="num" w:pos="3600"/>
        </w:tabs>
        <w:ind w:left="3600" w:hanging="360"/>
      </w:pPr>
    </w:lvl>
    <w:lvl w:ilvl="5" w:tplc="7138F03C" w:tentative="1">
      <w:start w:val="1"/>
      <w:numFmt w:val="decimal"/>
      <w:lvlText w:val="%6."/>
      <w:lvlJc w:val="left"/>
      <w:pPr>
        <w:tabs>
          <w:tab w:val="num" w:pos="4320"/>
        </w:tabs>
        <w:ind w:left="4320" w:hanging="360"/>
      </w:pPr>
    </w:lvl>
    <w:lvl w:ilvl="6" w:tplc="CC7AF38E" w:tentative="1">
      <w:start w:val="1"/>
      <w:numFmt w:val="decimal"/>
      <w:lvlText w:val="%7."/>
      <w:lvlJc w:val="left"/>
      <w:pPr>
        <w:tabs>
          <w:tab w:val="num" w:pos="5040"/>
        </w:tabs>
        <w:ind w:left="5040" w:hanging="360"/>
      </w:pPr>
    </w:lvl>
    <w:lvl w:ilvl="7" w:tplc="16029FBC" w:tentative="1">
      <w:start w:val="1"/>
      <w:numFmt w:val="decimal"/>
      <w:lvlText w:val="%8."/>
      <w:lvlJc w:val="left"/>
      <w:pPr>
        <w:tabs>
          <w:tab w:val="num" w:pos="5760"/>
        </w:tabs>
        <w:ind w:left="5760" w:hanging="360"/>
      </w:pPr>
    </w:lvl>
    <w:lvl w:ilvl="8" w:tplc="7E3AD970" w:tentative="1">
      <w:start w:val="1"/>
      <w:numFmt w:val="decimal"/>
      <w:lvlText w:val="%9."/>
      <w:lvlJc w:val="left"/>
      <w:pPr>
        <w:tabs>
          <w:tab w:val="num" w:pos="6480"/>
        </w:tabs>
        <w:ind w:left="6480" w:hanging="360"/>
      </w:pPr>
    </w:lvl>
  </w:abstractNum>
  <w:abstractNum w:abstractNumId="50">
    <w:nsid w:val="76E32F70"/>
    <w:multiLevelType w:val="hybridMultilevel"/>
    <w:tmpl w:val="43DE10FC"/>
    <w:lvl w:ilvl="0" w:tplc="74DCA57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8872F41"/>
    <w:multiLevelType w:val="hybridMultilevel"/>
    <w:tmpl w:val="3B102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9504B63"/>
    <w:multiLevelType w:val="multilevel"/>
    <w:tmpl w:val="828491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A711EFA"/>
    <w:multiLevelType w:val="hybridMultilevel"/>
    <w:tmpl w:val="0874C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6"/>
  </w:num>
  <w:num w:numId="4">
    <w:abstractNumId w:val="2"/>
  </w:num>
  <w:num w:numId="5">
    <w:abstractNumId w:val="49"/>
  </w:num>
  <w:num w:numId="6">
    <w:abstractNumId w:val="21"/>
  </w:num>
  <w:num w:numId="7">
    <w:abstractNumId w:val="8"/>
  </w:num>
  <w:num w:numId="8">
    <w:abstractNumId w:val="20"/>
  </w:num>
  <w:num w:numId="9">
    <w:abstractNumId w:val="51"/>
  </w:num>
  <w:num w:numId="10">
    <w:abstractNumId w:val="44"/>
  </w:num>
  <w:num w:numId="11">
    <w:abstractNumId w:val="42"/>
  </w:num>
  <w:num w:numId="12">
    <w:abstractNumId w:val="22"/>
  </w:num>
  <w:num w:numId="13">
    <w:abstractNumId w:val="52"/>
  </w:num>
  <w:num w:numId="14">
    <w:abstractNumId w:val="41"/>
  </w:num>
  <w:num w:numId="15">
    <w:abstractNumId w:val="38"/>
  </w:num>
  <w:num w:numId="16">
    <w:abstractNumId w:val="25"/>
  </w:num>
  <w:num w:numId="17">
    <w:abstractNumId w:val="0"/>
  </w:num>
  <w:num w:numId="18">
    <w:abstractNumId w:val="36"/>
  </w:num>
  <w:num w:numId="19">
    <w:abstractNumId w:val="1"/>
  </w:num>
  <w:num w:numId="20">
    <w:abstractNumId w:val="31"/>
  </w:num>
  <w:num w:numId="21">
    <w:abstractNumId w:val="15"/>
  </w:num>
  <w:num w:numId="22">
    <w:abstractNumId w:val="19"/>
  </w:num>
  <w:num w:numId="23">
    <w:abstractNumId w:val="4"/>
  </w:num>
  <w:num w:numId="24">
    <w:abstractNumId w:val="48"/>
  </w:num>
  <w:num w:numId="25">
    <w:abstractNumId w:val="50"/>
  </w:num>
  <w:num w:numId="26">
    <w:abstractNumId w:val="24"/>
  </w:num>
  <w:num w:numId="27">
    <w:abstractNumId w:val="35"/>
  </w:num>
  <w:num w:numId="28">
    <w:abstractNumId w:val="6"/>
  </w:num>
  <w:num w:numId="29">
    <w:abstractNumId w:val="11"/>
  </w:num>
  <w:num w:numId="30">
    <w:abstractNumId w:val="17"/>
  </w:num>
  <w:num w:numId="31">
    <w:abstractNumId w:val="39"/>
  </w:num>
  <w:num w:numId="32">
    <w:abstractNumId w:val="28"/>
  </w:num>
  <w:num w:numId="33">
    <w:abstractNumId w:val="5"/>
  </w:num>
  <w:num w:numId="34">
    <w:abstractNumId w:val="47"/>
  </w:num>
  <w:num w:numId="35">
    <w:abstractNumId w:val="46"/>
  </w:num>
  <w:num w:numId="36">
    <w:abstractNumId w:val="10"/>
  </w:num>
  <w:num w:numId="37">
    <w:abstractNumId w:val="3"/>
  </w:num>
  <w:num w:numId="38">
    <w:abstractNumId w:val="9"/>
  </w:num>
  <w:num w:numId="39">
    <w:abstractNumId w:val="26"/>
  </w:num>
  <w:num w:numId="40">
    <w:abstractNumId w:val="27"/>
  </w:num>
  <w:num w:numId="41">
    <w:abstractNumId w:val="30"/>
  </w:num>
  <w:num w:numId="42">
    <w:abstractNumId w:val="32"/>
  </w:num>
  <w:num w:numId="43">
    <w:abstractNumId w:val="53"/>
  </w:num>
  <w:num w:numId="44">
    <w:abstractNumId w:val="13"/>
  </w:num>
  <w:num w:numId="45">
    <w:abstractNumId w:val="29"/>
  </w:num>
  <w:num w:numId="46">
    <w:abstractNumId w:val="7"/>
  </w:num>
  <w:num w:numId="47">
    <w:abstractNumId w:val="43"/>
  </w:num>
  <w:num w:numId="48">
    <w:abstractNumId w:val="12"/>
  </w:num>
  <w:num w:numId="49">
    <w:abstractNumId w:val="23"/>
  </w:num>
  <w:num w:numId="50">
    <w:abstractNumId w:val="40"/>
  </w:num>
  <w:num w:numId="51">
    <w:abstractNumId w:val="34"/>
  </w:num>
  <w:num w:numId="52">
    <w:abstractNumId w:val="14"/>
  </w:num>
  <w:num w:numId="53">
    <w:abstractNumId w:val="45"/>
  </w:num>
  <w:num w:numId="54">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D5AB0"/>
    <w:rsid w:val="000021D9"/>
    <w:rsid w:val="0000297C"/>
    <w:rsid w:val="00002C2D"/>
    <w:rsid w:val="00003261"/>
    <w:rsid w:val="0000403F"/>
    <w:rsid w:val="00005DC9"/>
    <w:rsid w:val="00010557"/>
    <w:rsid w:val="000114A7"/>
    <w:rsid w:val="00011980"/>
    <w:rsid w:val="00012AE3"/>
    <w:rsid w:val="000168DC"/>
    <w:rsid w:val="00017FCE"/>
    <w:rsid w:val="0002068C"/>
    <w:rsid w:val="000211EB"/>
    <w:rsid w:val="000225FB"/>
    <w:rsid w:val="00026794"/>
    <w:rsid w:val="00026EDB"/>
    <w:rsid w:val="000271D8"/>
    <w:rsid w:val="000348F1"/>
    <w:rsid w:val="00035406"/>
    <w:rsid w:val="00037339"/>
    <w:rsid w:val="00043F35"/>
    <w:rsid w:val="000510AC"/>
    <w:rsid w:val="00054448"/>
    <w:rsid w:val="00056544"/>
    <w:rsid w:val="00057510"/>
    <w:rsid w:val="00057CC1"/>
    <w:rsid w:val="00063333"/>
    <w:rsid w:val="00064348"/>
    <w:rsid w:val="00064429"/>
    <w:rsid w:val="000648EB"/>
    <w:rsid w:val="000709DC"/>
    <w:rsid w:val="00073083"/>
    <w:rsid w:val="000754FD"/>
    <w:rsid w:val="000806E8"/>
    <w:rsid w:val="00081190"/>
    <w:rsid w:val="00082079"/>
    <w:rsid w:val="00082E2C"/>
    <w:rsid w:val="000834DE"/>
    <w:rsid w:val="0008396D"/>
    <w:rsid w:val="00083ACD"/>
    <w:rsid w:val="00084CBB"/>
    <w:rsid w:val="00087173"/>
    <w:rsid w:val="000901C1"/>
    <w:rsid w:val="000A0626"/>
    <w:rsid w:val="000A1DFA"/>
    <w:rsid w:val="000A2015"/>
    <w:rsid w:val="000A7559"/>
    <w:rsid w:val="000A7B72"/>
    <w:rsid w:val="000A7B8D"/>
    <w:rsid w:val="000B3906"/>
    <w:rsid w:val="000B4E1A"/>
    <w:rsid w:val="000C118A"/>
    <w:rsid w:val="000C1FF6"/>
    <w:rsid w:val="000C445F"/>
    <w:rsid w:val="000C4600"/>
    <w:rsid w:val="000D1160"/>
    <w:rsid w:val="000D4C75"/>
    <w:rsid w:val="000D54DC"/>
    <w:rsid w:val="000D7D1C"/>
    <w:rsid w:val="000E0CAE"/>
    <w:rsid w:val="000E1F7A"/>
    <w:rsid w:val="000E2646"/>
    <w:rsid w:val="000E2E61"/>
    <w:rsid w:val="000E4AA0"/>
    <w:rsid w:val="000E4C1E"/>
    <w:rsid w:val="000E5746"/>
    <w:rsid w:val="000E6C22"/>
    <w:rsid w:val="000F1E52"/>
    <w:rsid w:val="000F50A9"/>
    <w:rsid w:val="000F53BF"/>
    <w:rsid w:val="001014C3"/>
    <w:rsid w:val="00102A41"/>
    <w:rsid w:val="0010437F"/>
    <w:rsid w:val="00110241"/>
    <w:rsid w:val="0011164F"/>
    <w:rsid w:val="001144E8"/>
    <w:rsid w:val="00116E97"/>
    <w:rsid w:val="00117C42"/>
    <w:rsid w:val="0012140E"/>
    <w:rsid w:val="00125784"/>
    <w:rsid w:val="00126738"/>
    <w:rsid w:val="001319AA"/>
    <w:rsid w:val="00133401"/>
    <w:rsid w:val="00136DD2"/>
    <w:rsid w:val="0013761F"/>
    <w:rsid w:val="00141939"/>
    <w:rsid w:val="00142620"/>
    <w:rsid w:val="00142E54"/>
    <w:rsid w:val="00143671"/>
    <w:rsid w:val="00145C87"/>
    <w:rsid w:val="00145E82"/>
    <w:rsid w:val="00147166"/>
    <w:rsid w:val="00150690"/>
    <w:rsid w:val="00150C97"/>
    <w:rsid w:val="00153911"/>
    <w:rsid w:val="00153A77"/>
    <w:rsid w:val="00154B80"/>
    <w:rsid w:val="0015670A"/>
    <w:rsid w:val="001572AC"/>
    <w:rsid w:val="0015752E"/>
    <w:rsid w:val="00160F41"/>
    <w:rsid w:val="00161A63"/>
    <w:rsid w:val="001620BC"/>
    <w:rsid w:val="00162500"/>
    <w:rsid w:val="001626E1"/>
    <w:rsid w:val="00163C1C"/>
    <w:rsid w:val="001671D4"/>
    <w:rsid w:val="00167D94"/>
    <w:rsid w:val="00170810"/>
    <w:rsid w:val="00172157"/>
    <w:rsid w:val="001739DD"/>
    <w:rsid w:val="001752E6"/>
    <w:rsid w:val="00175DA3"/>
    <w:rsid w:val="001769D6"/>
    <w:rsid w:val="00180E11"/>
    <w:rsid w:val="00181A6B"/>
    <w:rsid w:val="001860DB"/>
    <w:rsid w:val="00186EB9"/>
    <w:rsid w:val="00187931"/>
    <w:rsid w:val="001902E4"/>
    <w:rsid w:val="00193CD2"/>
    <w:rsid w:val="001A2572"/>
    <w:rsid w:val="001A7DB4"/>
    <w:rsid w:val="001B0085"/>
    <w:rsid w:val="001B0522"/>
    <w:rsid w:val="001B0C1D"/>
    <w:rsid w:val="001B1A33"/>
    <w:rsid w:val="001B512B"/>
    <w:rsid w:val="001B5C06"/>
    <w:rsid w:val="001B6936"/>
    <w:rsid w:val="001B7EAA"/>
    <w:rsid w:val="001C2C3A"/>
    <w:rsid w:val="001C3362"/>
    <w:rsid w:val="001C37F2"/>
    <w:rsid w:val="001C64DB"/>
    <w:rsid w:val="001C65FD"/>
    <w:rsid w:val="001E017F"/>
    <w:rsid w:val="001E0469"/>
    <w:rsid w:val="001E36A4"/>
    <w:rsid w:val="001E47B6"/>
    <w:rsid w:val="001E6D7D"/>
    <w:rsid w:val="001E6F8D"/>
    <w:rsid w:val="001E712D"/>
    <w:rsid w:val="001E7346"/>
    <w:rsid w:val="001F2450"/>
    <w:rsid w:val="001F2A8E"/>
    <w:rsid w:val="001F2E01"/>
    <w:rsid w:val="001F4D4B"/>
    <w:rsid w:val="001F5C23"/>
    <w:rsid w:val="001F6895"/>
    <w:rsid w:val="001F7262"/>
    <w:rsid w:val="002037AD"/>
    <w:rsid w:val="0020634C"/>
    <w:rsid w:val="00206C65"/>
    <w:rsid w:val="00206D35"/>
    <w:rsid w:val="00207446"/>
    <w:rsid w:val="00212103"/>
    <w:rsid w:val="00216A76"/>
    <w:rsid w:val="00217432"/>
    <w:rsid w:val="00220CC3"/>
    <w:rsid w:val="0022284A"/>
    <w:rsid w:val="00223786"/>
    <w:rsid w:val="00224178"/>
    <w:rsid w:val="00225543"/>
    <w:rsid w:val="0022579A"/>
    <w:rsid w:val="00227066"/>
    <w:rsid w:val="002369B9"/>
    <w:rsid w:val="00250272"/>
    <w:rsid w:val="002502ED"/>
    <w:rsid w:val="00250768"/>
    <w:rsid w:val="00254F82"/>
    <w:rsid w:val="00255A29"/>
    <w:rsid w:val="002568A2"/>
    <w:rsid w:val="00261F59"/>
    <w:rsid w:val="00262DE2"/>
    <w:rsid w:val="0026631A"/>
    <w:rsid w:val="0026659B"/>
    <w:rsid w:val="002672B6"/>
    <w:rsid w:val="00267DFD"/>
    <w:rsid w:val="00277E7B"/>
    <w:rsid w:val="002802C8"/>
    <w:rsid w:val="0028131D"/>
    <w:rsid w:val="002820EE"/>
    <w:rsid w:val="0028312A"/>
    <w:rsid w:val="00283261"/>
    <w:rsid w:val="00283598"/>
    <w:rsid w:val="00284E50"/>
    <w:rsid w:val="002864AD"/>
    <w:rsid w:val="00296E2F"/>
    <w:rsid w:val="00297AD4"/>
    <w:rsid w:val="002A1D18"/>
    <w:rsid w:val="002A2223"/>
    <w:rsid w:val="002A2E1B"/>
    <w:rsid w:val="002A4243"/>
    <w:rsid w:val="002A42BB"/>
    <w:rsid w:val="002A45ED"/>
    <w:rsid w:val="002A5007"/>
    <w:rsid w:val="002A5E53"/>
    <w:rsid w:val="002A6B64"/>
    <w:rsid w:val="002A7035"/>
    <w:rsid w:val="002B1453"/>
    <w:rsid w:val="002B5948"/>
    <w:rsid w:val="002B6972"/>
    <w:rsid w:val="002B7824"/>
    <w:rsid w:val="002C0171"/>
    <w:rsid w:val="002C276D"/>
    <w:rsid w:val="002C280F"/>
    <w:rsid w:val="002C457D"/>
    <w:rsid w:val="002D05FD"/>
    <w:rsid w:val="002D1A4E"/>
    <w:rsid w:val="002D1F2E"/>
    <w:rsid w:val="002D59FC"/>
    <w:rsid w:val="002D5A03"/>
    <w:rsid w:val="002D6549"/>
    <w:rsid w:val="002D682F"/>
    <w:rsid w:val="002D7DBC"/>
    <w:rsid w:val="002E02E3"/>
    <w:rsid w:val="002E3236"/>
    <w:rsid w:val="002E4A8E"/>
    <w:rsid w:val="002E50E5"/>
    <w:rsid w:val="002E5C42"/>
    <w:rsid w:val="002E70FC"/>
    <w:rsid w:val="002E738F"/>
    <w:rsid w:val="002E755F"/>
    <w:rsid w:val="002E76A8"/>
    <w:rsid w:val="002F35FE"/>
    <w:rsid w:val="002F4F35"/>
    <w:rsid w:val="002F5754"/>
    <w:rsid w:val="002F7181"/>
    <w:rsid w:val="00300B57"/>
    <w:rsid w:val="00300DE2"/>
    <w:rsid w:val="00300F40"/>
    <w:rsid w:val="003033BF"/>
    <w:rsid w:val="00306764"/>
    <w:rsid w:val="003068B3"/>
    <w:rsid w:val="003070E7"/>
    <w:rsid w:val="00312310"/>
    <w:rsid w:val="00323D40"/>
    <w:rsid w:val="00330579"/>
    <w:rsid w:val="00331208"/>
    <w:rsid w:val="00332D4B"/>
    <w:rsid w:val="0033300F"/>
    <w:rsid w:val="003338BE"/>
    <w:rsid w:val="00335136"/>
    <w:rsid w:val="003352CF"/>
    <w:rsid w:val="00336A6D"/>
    <w:rsid w:val="00337D69"/>
    <w:rsid w:val="00341767"/>
    <w:rsid w:val="00353BC9"/>
    <w:rsid w:val="00354740"/>
    <w:rsid w:val="003557C9"/>
    <w:rsid w:val="003567AE"/>
    <w:rsid w:val="00357AB9"/>
    <w:rsid w:val="00361018"/>
    <w:rsid w:val="00367315"/>
    <w:rsid w:val="00371C89"/>
    <w:rsid w:val="0037479F"/>
    <w:rsid w:val="00380AE8"/>
    <w:rsid w:val="0038304E"/>
    <w:rsid w:val="00385507"/>
    <w:rsid w:val="00385DDE"/>
    <w:rsid w:val="003869A6"/>
    <w:rsid w:val="00390F9E"/>
    <w:rsid w:val="00394064"/>
    <w:rsid w:val="0039409B"/>
    <w:rsid w:val="003951FA"/>
    <w:rsid w:val="00395E44"/>
    <w:rsid w:val="00395F6C"/>
    <w:rsid w:val="00397A23"/>
    <w:rsid w:val="003A04AF"/>
    <w:rsid w:val="003A24DB"/>
    <w:rsid w:val="003A2BF6"/>
    <w:rsid w:val="003B1CB8"/>
    <w:rsid w:val="003B3571"/>
    <w:rsid w:val="003B3ECD"/>
    <w:rsid w:val="003B7F46"/>
    <w:rsid w:val="003C1990"/>
    <w:rsid w:val="003C383A"/>
    <w:rsid w:val="003C5275"/>
    <w:rsid w:val="003C5877"/>
    <w:rsid w:val="003D1E04"/>
    <w:rsid w:val="003D2A58"/>
    <w:rsid w:val="003D512B"/>
    <w:rsid w:val="003D60FE"/>
    <w:rsid w:val="003D715D"/>
    <w:rsid w:val="003E35B1"/>
    <w:rsid w:val="003E481D"/>
    <w:rsid w:val="003E5720"/>
    <w:rsid w:val="003E75CA"/>
    <w:rsid w:val="003E7760"/>
    <w:rsid w:val="003F32AC"/>
    <w:rsid w:val="003F35B5"/>
    <w:rsid w:val="003F3B4B"/>
    <w:rsid w:val="003F3F80"/>
    <w:rsid w:val="003F4A93"/>
    <w:rsid w:val="003F4FB9"/>
    <w:rsid w:val="00401364"/>
    <w:rsid w:val="00403312"/>
    <w:rsid w:val="0040509D"/>
    <w:rsid w:val="00405316"/>
    <w:rsid w:val="0040535C"/>
    <w:rsid w:val="0040712E"/>
    <w:rsid w:val="004071C5"/>
    <w:rsid w:val="004128FD"/>
    <w:rsid w:val="0041442E"/>
    <w:rsid w:val="00416B50"/>
    <w:rsid w:val="004228B3"/>
    <w:rsid w:val="004239AB"/>
    <w:rsid w:val="0042400D"/>
    <w:rsid w:val="00427A17"/>
    <w:rsid w:val="00430BE6"/>
    <w:rsid w:val="004314B0"/>
    <w:rsid w:val="00431D8A"/>
    <w:rsid w:val="00443DCD"/>
    <w:rsid w:val="00444CBA"/>
    <w:rsid w:val="0044594C"/>
    <w:rsid w:val="0045255B"/>
    <w:rsid w:val="00453522"/>
    <w:rsid w:val="00454D61"/>
    <w:rsid w:val="004570E4"/>
    <w:rsid w:val="004600AE"/>
    <w:rsid w:val="004615AA"/>
    <w:rsid w:val="00463849"/>
    <w:rsid w:val="00464FB9"/>
    <w:rsid w:val="00465E0B"/>
    <w:rsid w:val="00465E5D"/>
    <w:rsid w:val="00470A9B"/>
    <w:rsid w:val="00470CF3"/>
    <w:rsid w:val="00476D3F"/>
    <w:rsid w:val="00481EF2"/>
    <w:rsid w:val="0048474B"/>
    <w:rsid w:val="00484E68"/>
    <w:rsid w:val="00484FE3"/>
    <w:rsid w:val="00486731"/>
    <w:rsid w:val="00486BA3"/>
    <w:rsid w:val="004876D8"/>
    <w:rsid w:val="00487F0A"/>
    <w:rsid w:val="00494E1C"/>
    <w:rsid w:val="00497CD6"/>
    <w:rsid w:val="004A05B5"/>
    <w:rsid w:val="004A0867"/>
    <w:rsid w:val="004A170D"/>
    <w:rsid w:val="004A2BAE"/>
    <w:rsid w:val="004A38F0"/>
    <w:rsid w:val="004A5A14"/>
    <w:rsid w:val="004A7188"/>
    <w:rsid w:val="004B251E"/>
    <w:rsid w:val="004B2771"/>
    <w:rsid w:val="004C25CF"/>
    <w:rsid w:val="004C272D"/>
    <w:rsid w:val="004C75BF"/>
    <w:rsid w:val="004D179D"/>
    <w:rsid w:val="004D194A"/>
    <w:rsid w:val="004D5554"/>
    <w:rsid w:val="004E64F3"/>
    <w:rsid w:val="004E65BA"/>
    <w:rsid w:val="004E75D2"/>
    <w:rsid w:val="004F0E45"/>
    <w:rsid w:val="004F25A0"/>
    <w:rsid w:val="004F2E88"/>
    <w:rsid w:val="004F78D1"/>
    <w:rsid w:val="00500711"/>
    <w:rsid w:val="00502145"/>
    <w:rsid w:val="00502CFD"/>
    <w:rsid w:val="00503AA7"/>
    <w:rsid w:val="005047F1"/>
    <w:rsid w:val="005121E4"/>
    <w:rsid w:val="0051377E"/>
    <w:rsid w:val="00513B82"/>
    <w:rsid w:val="00515FAC"/>
    <w:rsid w:val="00517082"/>
    <w:rsid w:val="00520BD1"/>
    <w:rsid w:val="00522149"/>
    <w:rsid w:val="00524707"/>
    <w:rsid w:val="00530EEE"/>
    <w:rsid w:val="00533FB8"/>
    <w:rsid w:val="005406BE"/>
    <w:rsid w:val="0054121E"/>
    <w:rsid w:val="00541AE0"/>
    <w:rsid w:val="00543DFE"/>
    <w:rsid w:val="00544B8B"/>
    <w:rsid w:val="005463A1"/>
    <w:rsid w:val="005471B8"/>
    <w:rsid w:val="00550404"/>
    <w:rsid w:val="00553EE4"/>
    <w:rsid w:val="00555D7F"/>
    <w:rsid w:val="00556F4E"/>
    <w:rsid w:val="005574AD"/>
    <w:rsid w:val="005625B1"/>
    <w:rsid w:val="00563C08"/>
    <w:rsid w:val="00566683"/>
    <w:rsid w:val="00566C5F"/>
    <w:rsid w:val="0056775B"/>
    <w:rsid w:val="005700DE"/>
    <w:rsid w:val="00570D39"/>
    <w:rsid w:val="005727D6"/>
    <w:rsid w:val="005741A6"/>
    <w:rsid w:val="005755D1"/>
    <w:rsid w:val="00580D80"/>
    <w:rsid w:val="0058465B"/>
    <w:rsid w:val="00593E3F"/>
    <w:rsid w:val="00593FBE"/>
    <w:rsid w:val="00594E1D"/>
    <w:rsid w:val="00595578"/>
    <w:rsid w:val="0059583E"/>
    <w:rsid w:val="005A1315"/>
    <w:rsid w:val="005A1D74"/>
    <w:rsid w:val="005A2837"/>
    <w:rsid w:val="005A2C71"/>
    <w:rsid w:val="005A34AB"/>
    <w:rsid w:val="005A3EAF"/>
    <w:rsid w:val="005B0630"/>
    <w:rsid w:val="005B4379"/>
    <w:rsid w:val="005B4424"/>
    <w:rsid w:val="005B5DE4"/>
    <w:rsid w:val="005B792D"/>
    <w:rsid w:val="005C2640"/>
    <w:rsid w:val="005C49F4"/>
    <w:rsid w:val="005C7400"/>
    <w:rsid w:val="005D23B1"/>
    <w:rsid w:val="005D33DC"/>
    <w:rsid w:val="005D5775"/>
    <w:rsid w:val="005E0877"/>
    <w:rsid w:val="005E465B"/>
    <w:rsid w:val="005F0A05"/>
    <w:rsid w:val="005F39A0"/>
    <w:rsid w:val="005F52A3"/>
    <w:rsid w:val="005F5FEB"/>
    <w:rsid w:val="005F7895"/>
    <w:rsid w:val="006015CC"/>
    <w:rsid w:val="006040D1"/>
    <w:rsid w:val="00605301"/>
    <w:rsid w:val="0060578E"/>
    <w:rsid w:val="00607B37"/>
    <w:rsid w:val="006101C0"/>
    <w:rsid w:val="00612C34"/>
    <w:rsid w:val="00612C45"/>
    <w:rsid w:val="0061490F"/>
    <w:rsid w:val="00617232"/>
    <w:rsid w:val="00620C0F"/>
    <w:rsid w:val="00621626"/>
    <w:rsid w:val="00622E0F"/>
    <w:rsid w:val="00623831"/>
    <w:rsid w:val="00624039"/>
    <w:rsid w:val="00624F11"/>
    <w:rsid w:val="006303BD"/>
    <w:rsid w:val="00631000"/>
    <w:rsid w:val="006331C0"/>
    <w:rsid w:val="00634B52"/>
    <w:rsid w:val="00635839"/>
    <w:rsid w:val="00636E40"/>
    <w:rsid w:val="006371A8"/>
    <w:rsid w:val="00640253"/>
    <w:rsid w:val="006402C7"/>
    <w:rsid w:val="00642BCE"/>
    <w:rsid w:val="00645E6A"/>
    <w:rsid w:val="00647C91"/>
    <w:rsid w:val="00651C28"/>
    <w:rsid w:val="00656D05"/>
    <w:rsid w:val="00657BA3"/>
    <w:rsid w:val="00660646"/>
    <w:rsid w:val="00666874"/>
    <w:rsid w:val="00670B91"/>
    <w:rsid w:val="006741A6"/>
    <w:rsid w:val="00676739"/>
    <w:rsid w:val="006808E1"/>
    <w:rsid w:val="00681195"/>
    <w:rsid w:val="00681332"/>
    <w:rsid w:val="006858AD"/>
    <w:rsid w:val="00686B61"/>
    <w:rsid w:val="00687054"/>
    <w:rsid w:val="006905EF"/>
    <w:rsid w:val="00690C95"/>
    <w:rsid w:val="00696626"/>
    <w:rsid w:val="006968FB"/>
    <w:rsid w:val="006971B4"/>
    <w:rsid w:val="006A01D0"/>
    <w:rsid w:val="006A0F2D"/>
    <w:rsid w:val="006A19DE"/>
    <w:rsid w:val="006A26A6"/>
    <w:rsid w:val="006A2DE6"/>
    <w:rsid w:val="006B047E"/>
    <w:rsid w:val="006B1CDD"/>
    <w:rsid w:val="006B28AF"/>
    <w:rsid w:val="006B3D84"/>
    <w:rsid w:val="006B6F70"/>
    <w:rsid w:val="006C0A95"/>
    <w:rsid w:val="006C435D"/>
    <w:rsid w:val="006C4B82"/>
    <w:rsid w:val="006C58CB"/>
    <w:rsid w:val="006D309F"/>
    <w:rsid w:val="006D328A"/>
    <w:rsid w:val="006D4A96"/>
    <w:rsid w:val="006D6E7D"/>
    <w:rsid w:val="006D7C2A"/>
    <w:rsid w:val="006E0D05"/>
    <w:rsid w:val="006E1457"/>
    <w:rsid w:val="006E1805"/>
    <w:rsid w:val="006E1F38"/>
    <w:rsid w:val="006E4517"/>
    <w:rsid w:val="006E7222"/>
    <w:rsid w:val="006F0801"/>
    <w:rsid w:val="006F61D3"/>
    <w:rsid w:val="006F661F"/>
    <w:rsid w:val="0070063C"/>
    <w:rsid w:val="0070413C"/>
    <w:rsid w:val="00704589"/>
    <w:rsid w:val="007078D7"/>
    <w:rsid w:val="00711A41"/>
    <w:rsid w:val="007122F5"/>
    <w:rsid w:val="00713C3C"/>
    <w:rsid w:val="00715424"/>
    <w:rsid w:val="00717168"/>
    <w:rsid w:val="00717BF6"/>
    <w:rsid w:val="00727132"/>
    <w:rsid w:val="00735046"/>
    <w:rsid w:val="0074053B"/>
    <w:rsid w:val="0074067A"/>
    <w:rsid w:val="00745F43"/>
    <w:rsid w:val="007514A9"/>
    <w:rsid w:val="00752AE4"/>
    <w:rsid w:val="00756648"/>
    <w:rsid w:val="00756AC5"/>
    <w:rsid w:val="00757956"/>
    <w:rsid w:val="00757A5C"/>
    <w:rsid w:val="00757B88"/>
    <w:rsid w:val="00762C14"/>
    <w:rsid w:val="00763B27"/>
    <w:rsid w:val="00763D9A"/>
    <w:rsid w:val="007653BA"/>
    <w:rsid w:val="00765B6F"/>
    <w:rsid w:val="0076634B"/>
    <w:rsid w:val="007668DC"/>
    <w:rsid w:val="00767C91"/>
    <w:rsid w:val="0077171F"/>
    <w:rsid w:val="00771EC5"/>
    <w:rsid w:val="00772630"/>
    <w:rsid w:val="00773297"/>
    <w:rsid w:val="00774B8C"/>
    <w:rsid w:val="00781816"/>
    <w:rsid w:val="00781924"/>
    <w:rsid w:val="00783159"/>
    <w:rsid w:val="0078544E"/>
    <w:rsid w:val="007858CD"/>
    <w:rsid w:val="007903CF"/>
    <w:rsid w:val="0079128E"/>
    <w:rsid w:val="00792EE4"/>
    <w:rsid w:val="007933B1"/>
    <w:rsid w:val="00796E81"/>
    <w:rsid w:val="0079741B"/>
    <w:rsid w:val="00797DB7"/>
    <w:rsid w:val="007A0A82"/>
    <w:rsid w:val="007A1B9A"/>
    <w:rsid w:val="007A1F26"/>
    <w:rsid w:val="007A4982"/>
    <w:rsid w:val="007A52BE"/>
    <w:rsid w:val="007A577D"/>
    <w:rsid w:val="007A5C47"/>
    <w:rsid w:val="007A6BBB"/>
    <w:rsid w:val="007B1003"/>
    <w:rsid w:val="007B1458"/>
    <w:rsid w:val="007B40CF"/>
    <w:rsid w:val="007B4E67"/>
    <w:rsid w:val="007B6508"/>
    <w:rsid w:val="007B6CF6"/>
    <w:rsid w:val="007C0E53"/>
    <w:rsid w:val="007C101A"/>
    <w:rsid w:val="007C2DE1"/>
    <w:rsid w:val="007C553F"/>
    <w:rsid w:val="007D347B"/>
    <w:rsid w:val="007D386E"/>
    <w:rsid w:val="007D4AE4"/>
    <w:rsid w:val="007D5E51"/>
    <w:rsid w:val="007E2963"/>
    <w:rsid w:val="007E37E5"/>
    <w:rsid w:val="007E625D"/>
    <w:rsid w:val="007E6731"/>
    <w:rsid w:val="007F0CAF"/>
    <w:rsid w:val="007F3022"/>
    <w:rsid w:val="007F5EE6"/>
    <w:rsid w:val="007F6500"/>
    <w:rsid w:val="00800EB6"/>
    <w:rsid w:val="008023ED"/>
    <w:rsid w:val="00806703"/>
    <w:rsid w:val="00806A2A"/>
    <w:rsid w:val="00806BCF"/>
    <w:rsid w:val="00810666"/>
    <w:rsid w:val="00810934"/>
    <w:rsid w:val="00815CD7"/>
    <w:rsid w:val="00815E95"/>
    <w:rsid w:val="00816467"/>
    <w:rsid w:val="00816722"/>
    <w:rsid w:val="00817CD6"/>
    <w:rsid w:val="00820186"/>
    <w:rsid w:val="00821152"/>
    <w:rsid w:val="00824547"/>
    <w:rsid w:val="00826AC4"/>
    <w:rsid w:val="00830FD0"/>
    <w:rsid w:val="00832D08"/>
    <w:rsid w:val="00835C3C"/>
    <w:rsid w:val="0083735A"/>
    <w:rsid w:val="00837CF2"/>
    <w:rsid w:val="00840EDE"/>
    <w:rsid w:val="00841F35"/>
    <w:rsid w:val="0084236F"/>
    <w:rsid w:val="00843F0B"/>
    <w:rsid w:val="00844636"/>
    <w:rsid w:val="00845A76"/>
    <w:rsid w:val="00846FBB"/>
    <w:rsid w:val="0085127A"/>
    <w:rsid w:val="00853939"/>
    <w:rsid w:val="00854FCC"/>
    <w:rsid w:val="0085684D"/>
    <w:rsid w:val="00857D5D"/>
    <w:rsid w:val="00861446"/>
    <w:rsid w:val="00861D98"/>
    <w:rsid w:val="00862EF8"/>
    <w:rsid w:val="00865417"/>
    <w:rsid w:val="00866BC7"/>
    <w:rsid w:val="00870883"/>
    <w:rsid w:val="008740C1"/>
    <w:rsid w:val="00874D19"/>
    <w:rsid w:val="00875310"/>
    <w:rsid w:val="008772D5"/>
    <w:rsid w:val="00880A69"/>
    <w:rsid w:val="00883452"/>
    <w:rsid w:val="0088430E"/>
    <w:rsid w:val="00891D3C"/>
    <w:rsid w:val="00892BB2"/>
    <w:rsid w:val="00893AEE"/>
    <w:rsid w:val="008949B6"/>
    <w:rsid w:val="00894E94"/>
    <w:rsid w:val="00896ACC"/>
    <w:rsid w:val="00897078"/>
    <w:rsid w:val="008970C0"/>
    <w:rsid w:val="00897619"/>
    <w:rsid w:val="008A070D"/>
    <w:rsid w:val="008A1DEC"/>
    <w:rsid w:val="008A2AA6"/>
    <w:rsid w:val="008A52CC"/>
    <w:rsid w:val="008A5EB3"/>
    <w:rsid w:val="008B090F"/>
    <w:rsid w:val="008B329B"/>
    <w:rsid w:val="008B4285"/>
    <w:rsid w:val="008B61FD"/>
    <w:rsid w:val="008B6454"/>
    <w:rsid w:val="008C0C5D"/>
    <w:rsid w:val="008C2D24"/>
    <w:rsid w:val="008D25F0"/>
    <w:rsid w:val="008D3D31"/>
    <w:rsid w:val="008D42BE"/>
    <w:rsid w:val="008E06EA"/>
    <w:rsid w:val="008E305E"/>
    <w:rsid w:val="008E38D4"/>
    <w:rsid w:val="008E4E07"/>
    <w:rsid w:val="008E4EE5"/>
    <w:rsid w:val="008E4F82"/>
    <w:rsid w:val="008E6DB6"/>
    <w:rsid w:val="008F085F"/>
    <w:rsid w:val="008F4325"/>
    <w:rsid w:val="008F4476"/>
    <w:rsid w:val="009022F1"/>
    <w:rsid w:val="009068B2"/>
    <w:rsid w:val="00910F6E"/>
    <w:rsid w:val="00912946"/>
    <w:rsid w:val="00912C45"/>
    <w:rsid w:val="00915C92"/>
    <w:rsid w:val="0091702F"/>
    <w:rsid w:val="00920806"/>
    <w:rsid w:val="0092403B"/>
    <w:rsid w:val="00926EEE"/>
    <w:rsid w:val="009344EF"/>
    <w:rsid w:val="00934C56"/>
    <w:rsid w:val="00936101"/>
    <w:rsid w:val="00937CBA"/>
    <w:rsid w:val="00937E6B"/>
    <w:rsid w:val="0094099F"/>
    <w:rsid w:val="0094259F"/>
    <w:rsid w:val="00944056"/>
    <w:rsid w:val="00944166"/>
    <w:rsid w:val="00945D32"/>
    <w:rsid w:val="00953789"/>
    <w:rsid w:val="00956929"/>
    <w:rsid w:val="00956F96"/>
    <w:rsid w:val="00962B0F"/>
    <w:rsid w:val="0096307F"/>
    <w:rsid w:val="0096646C"/>
    <w:rsid w:val="0096686E"/>
    <w:rsid w:val="00970CC6"/>
    <w:rsid w:val="00971462"/>
    <w:rsid w:val="0097276B"/>
    <w:rsid w:val="00973B7B"/>
    <w:rsid w:val="00974243"/>
    <w:rsid w:val="0097576C"/>
    <w:rsid w:val="00980AF6"/>
    <w:rsid w:val="009831C8"/>
    <w:rsid w:val="009839DB"/>
    <w:rsid w:val="009849E2"/>
    <w:rsid w:val="009905AA"/>
    <w:rsid w:val="00990C2E"/>
    <w:rsid w:val="009923A3"/>
    <w:rsid w:val="0099411A"/>
    <w:rsid w:val="009A1A0D"/>
    <w:rsid w:val="009A3172"/>
    <w:rsid w:val="009A3F47"/>
    <w:rsid w:val="009A487C"/>
    <w:rsid w:val="009A62E0"/>
    <w:rsid w:val="009B0A71"/>
    <w:rsid w:val="009B15DD"/>
    <w:rsid w:val="009B3468"/>
    <w:rsid w:val="009B34F4"/>
    <w:rsid w:val="009B4D1E"/>
    <w:rsid w:val="009B5563"/>
    <w:rsid w:val="009B611A"/>
    <w:rsid w:val="009B7A7E"/>
    <w:rsid w:val="009C30DF"/>
    <w:rsid w:val="009C38E7"/>
    <w:rsid w:val="009C7DD4"/>
    <w:rsid w:val="009D0C68"/>
    <w:rsid w:val="009D1729"/>
    <w:rsid w:val="009D203A"/>
    <w:rsid w:val="009D4B55"/>
    <w:rsid w:val="009D7C35"/>
    <w:rsid w:val="009E0A08"/>
    <w:rsid w:val="009F4471"/>
    <w:rsid w:val="009F68AB"/>
    <w:rsid w:val="00A0076E"/>
    <w:rsid w:val="00A03436"/>
    <w:rsid w:val="00A05755"/>
    <w:rsid w:val="00A1220F"/>
    <w:rsid w:val="00A168E8"/>
    <w:rsid w:val="00A17176"/>
    <w:rsid w:val="00A23655"/>
    <w:rsid w:val="00A25F4E"/>
    <w:rsid w:val="00A2665A"/>
    <w:rsid w:val="00A273C9"/>
    <w:rsid w:val="00A30B5F"/>
    <w:rsid w:val="00A30DD4"/>
    <w:rsid w:val="00A31A5C"/>
    <w:rsid w:val="00A35C4F"/>
    <w:rsid w:val="00A3656F"/>
    <w:rsid w:val="00A41398"/>
    <w:rsid w:val="00A42DF4"/>
    <w:rsid w:val="00A44A1B"/>
    <w:rsid w:val="00A454C6"/>
    <w:rsid w:val="00A45D94"/>
    <w:rsid w:val="00A47D82"/>
    <w:rsid w:val="00A508CB"/>
    <w:rsid w:val="00A51CAF"/>
    <w:rsid w:val="00A52FE7"/>
    <w:rsid w:val="00A53440"/>
    <w:rsid w:val="00A55369"/>
    <w:rsid w:val="00A57301"/>
    <w:rsid w:val="00A578C3"/>
    <w:rsid w:val="00A6232B"/>
    <w:rsid w:val="00A62513"/>
    <w:rsid w:val="00A63948"/>
    <w:rsid w:val="00A66831"/>
    <w:rsid w:val="00A712F9"/>
    <w:rsid w:val="00A74DFF"/>
    <w:rsid w:val="00A80B2F"/>
    <w:rsid w:val="00A82582"/>
    <w:rsid w:val="00A8258A"/>
    <w:rsid w:val="00A826C5"/>
    <w:rsid w:val="00A8344B"/>
    <w:rsid w:val="00A8739C"/>
    <w:rsid w:val="00A87E07"/>
    <w:rsid w:val="00A91BC3"/>
    <w:rsid w:val="00A9317C"/>
    <w:rsid w:val="00A93B8C"/>
    <w:rsid w:val="00A96E75"/>
    <w:rsid w:val="00AA3525"/>
    <w:rsid w:val="00AA7553"/>
    <w:rsid w:val="00AB28EC"/>
    <w:rsid w:val="00AC0210"/>
    <w:rsid w:val="00AC3498"/>
    <w:rsid w:val="00AC3C28"/>
    <w:rsid w:val="00AC464F"/>
    <w:rsid w:val="00AC4670"/>
    <w:rsid w:val="00AC4F74"/>
    <w:rsid w:val="00AC534C"/>
    <w:rsid w:val="00AC7157"/>
    <w:rsid w:val="00AD3346"/>
    <w:rsid w:val="00AD5137"/>
    <w:rsid w:val="00AD7285"/>
    <w:rsid w:val="00AE06BE"/>
    <w:rsid w:val="00AE2638"/>
    <w:rsid w:val="00AE41A2"/>
    <w:rsid w:val="00AE544E"/>
    <w:rsid w:val="00AE5E10"/>
    <w:rsid w:val="00AE6D7D"/>
    <w:rsid w:val="00AE7A33"/>
    <w:rsid w:val="00AF374D"/>
    <w:rsid w:val="00AF6208"/>
    <w:rsid w:val="00AF6FDB"/>
    <w:rsid w:val="00B00C78"/>
    <w:rsid w:val="00B01BDB"/>
    <w:rsid w:val="00B02470"/>
    <w:rsid w:val="00B02803"/>
    <w:rsid w:val="00B043C8"/>
    <w:rsid w:val="00B05ED1"/>
    <w:rsid w:val="00B123C8"/>
    <w:rsid w:val="00B1340B"/>
    <w:rsid w:val="00B134DB"/>
    <w:rsid w:val="00B157F0"/>
    <w:rsid w:val="00B15EEF"/>
    <w:rsid w:val="00B17834"/>
    <w:rsid w:val="00B21417"/>
    <w:rsid w:val="00B21BB5"/>
    <w:rsid w:val="00B22803"/>
    <w:rsid w:val="00B22866"/>
    <w:rsid w:val="00B24586"/>
    <w:rsid w:val="00B2458C"/>
    <w:rsid w:val="00B25346"/>
    <w:rsid w:val="00B253E8"/>
    <w:rsid w:val="00B26499"/>
    <w:rsid w:val="00B27FAD"/>
    <w:rsid w:val="00B30B4F"/>
    <w:rsid w:val="00B34F7F"/>
    <w:rsid w:val="00B35B0A"/>
    <w:rsid w:val="00B35B1A"/>
    <w:rsid w:val="00B40F53"/>
    <w:rsid w:val="00B412BF"/>
    <w:rsid w:val="00B41505"/>
    <w:rsid w:val="00B500C9"/>
    <w:rsid w:val="00B5148A"/>
    <w:rsid w:val="00B521BC"/>
    <w:rsid w:val="00B52FEE"/>
    <w:rsid w:val="00B626C1"/>
    <w:rsid w:val="00B63D50"/>
    <w:rsid w:val="00B65A61"/>
    <w:rsid w:val="00B65E80"/>
    <w:rsid w:val="00B70A45"/>
    <w:rsid w:val="00B70C2C"/>
    <w:rsid w:val="00B7188E"/>
    <w:rsid w:val="00B72A9B"/>
    <w:rsid w:val="00B733F0"/>
    <w:rsid w:val="00B74960"/>
    <w:rsid w:val="00B80F3A"/>
    <w:rsid w:val="00B81384"/>
    <w:rsid w:val="00B879D7"/>
    <w:rsid w:val="00B922ED"/>
    <w:rsid w:val="00B940CD"/>
    <w:rsid w:val="00B94421"/>
    <w:rsid w:val="00B9779B"/>
    <w:rsid w:val="00BA4034"/>
    <w:rsid w:val="00BA501E"/>
    <w:rsid w:val="00BA5278"/>
    <w:rsid w:val="00BA5B5A"/>
    <w:rsid w:val="00BA6D0E"/>
    <w:rsid w:val="00BA70E4"/>
    <w:rsid w:val="00BA7FED"/>
    <w:rsid w:val="00BB7825"/>
    <w:rsid w:val="00BC039F"/>
    <w:rsid w:val="00BC0553"/>
    <w:rsid w:val="00BC37AB"/>
    <w:rsid w:val="00BC3DE9"/>
    <w:rsid w:val="00BC4724"/>
    <w:rsid w:val="00BC6AB9"/>
    <w:rsid w:val="00BD000A"/>
    <w:rsid w:val="00BD2659"/>
    <w:rsid w:val="00BD32CD"/>
    <w:rsid w:val="00BD5AB0"/>
    <w:rsid w:val="00BD62D0"/>
    <w:rsid w:val="00BE05F3"/>
    <w:rsid w:val="00BE0FB7"/>
    <w:rsid w:val="00BE1A19"/>
    <w:rsid w:val="00BE2141"/>
    <w:rsid w:val="00BE2856"/>
    <w:rsid w:val="00BF1CEC"/>
    <w:rsid w:val="00BF1F7D"/>
    <w:rsid w:val="00BF470B"/>
    <w:rsid w:val="00BF4E50"/>
    <w:rsid w:val="00BF73C4"/>
    <w:rsid w:val="00BF7858"/>
    <w:rsid w:val="00C01204"/>
    <w:rsid w:val="00C0708D"/>
    <w:rsid w:val="00C077F8"/>
    <w:rsid w:val="00C07DED"/>
    <w:rsid w:val="00C11F4C"/>
    <w:rsid w:val="00C202ED"/>
    <w:rsid w:val="00C22ADD"/>
    <w:rsid w:val="00C22CC8"/>
    <w:rsid w:val="00C27C0D"/>
    <w:rsid w:val="00C32B0F"/>
    <w:rsid w:val="00C33ADD"/>
    <w:rsid w:val="00C34A91"/>
    <w:rsid w:val="00C35B2F"/>
    <w:rsid w:val="00C37CC4"/>
    <w:rsid w:val="00C44C8E"/>
    <w:rsid w:val="00C44E9D"/>
    <w:rsid w:val="00C4706B"/>
    <w:rsid w:val="00C477C6"/>
    <w:rsid w:val="00C47E54"/>
    <w:rsid w:val="00C50F10"/>
    <w:rsid w:val="00C5169F"/>
    <w:rsid w:val="00C53A4B"/>
    <w:rsid w:val="00C53E94"/>
    <w:rsid w:val="00C54EBA"/>
    <w:rsid w:val="00C561EA"/>
    <w:rsid w:val="00C574E1"/>
    <w:rsid w:val="00C62EC0"/>
    <w:rsid w:val="00C64D4F"/>
    <w:rsid w:val="00C6621B"/>
    <w:rsid w:val="00C66D7B"/>
    <w:rsid w:val="00C7015E"/>
    <w:rsid w:val="00C72D2E"/>
    <w:rsid w:val="00C734C2"/>
    <w:rsid w:val="00C749CA"/>
    <w:rsid w:val="00C74D12"/>
    <w:rsid w:val="00C82CF2"/>
    <w:rsid w:val="00C87FB8"/>
    <w:rsid w:val="00C91359"/>
    <w:rsid w:val="00C919E3"/>
    <w:rsid w:val="00CA4F61"/>
    <w:rsid w:val="00CA5AB9"/>
    <w:rsid w:val="00CB2881"/>
    <w:rsid w:val="00CB59D4"/>
    <w:rsid w:val="00CB6D96"/>
    <w:rsid w:val="00CB751B"/>
    <w:rsid w:val="00CC0C70"/>
    <w:rsid w:val="00CC1F0E"/>
    <w:rsid w:val="00CC2212"/>
    <w:rsid w:val="00CC4826"/>
    <w:rsid w:val="00CD239D"/>
    <w:rsid w:val="00CD265C"/>
    <w:rsid w:val="00CD3CD1"/>
    <w:rsid w:val="00CD61D7"/>
    <w:rsid w:val="00CD65CE"/>
    <w:rsid w:val="00CD7844"/>
    <w:rsid w:val="00CE039D"/>
    <w:rsid w:val="00CE0AF8"/>
    <w:rsid w:val="00CE1BBD"/>
    <w:rsid w:val="00CE39AC"/>
    <w:rsid w:val="00CE3D5F"/>
    <w:rsid w:val="00CE703B"/>
    <w:rsid w:val="00CF4720"/>
    <w:rsid w:val="00CF6FAD"/>
    <w:rsid w:val="00D010D1"/>
    <w:rsid w:val="00D03340"/>
    <w:rsid w:val="00D041D0"/>
    <w:rsid w:val="00D0650D"/>
    <w:rsid w:val="00D06A4D"/>
    <w:rsid w:val="00D07093"/>
    <w:rsid w:val="00D104E9"/>
    <w:rsid w:val="00D10711"/>
    <w:rsid w:val="00D13C10"/>
    <w:rsid w:val="00D13F21"/>
    <w:rsid w:val="00D1447D"/>
    <w:rsid w:val="00D172B6"/>
    <w:rsid w:val="00D20D48"/>
    <w:rsid w:val="00D22673"/>
    <w:rsid w:val="00D23E83"/>
    <w:rsid w:val="00D262A4"/>
    <w:rsid w:val="00D26653"/>
    <w:rsid w:val="00D31C43"/>
    <w:rsid w:val="00D3344D"/>
    <w:rsid w:val="00D37C04"/>
    <w:rsid w:val="00D4053A"/>
    <w:rsid w:val="00D405BA"/>
    <w:rsid w:val="00D42BC9"/>
    <w:rsid w:val="00D43CE0"/>
    <w:rsid w:val="00D47A7D"/>
    <w:rsid w:val="00D50A88"/>
    <w:rsid w:val="00D52075"/>
    <w:rsid w:val="00D53C82"/>
    <w:rsid w:val="00D53DE8"/>
    <w:rsid w:val="00D54DB4"/>
    <w:rsid w:val="00D5505A"/>
    <w:rsid w:val="00D56884"/>
    <w:rsid w:val="00D56D91"/>
    <w:rsid w:val="00D5715A"/>
    <w:rsid w:val="00D571F6"/>
    <w:rsid w:val="00D621E7"/>
    <w:rsid w:val="00D62348"/>
    <w:rsid w:val="00D63E77"/>
    <w:rsid w:val="00D64AB5"/>
    <w:rsid w:val="00D64AC3"/>
    <w:rsid w:val="00D67BA7"/>
    <w:rsid w:val="00D7389B"/>
    <w:rsid w:val="00D81976"/>
    <w:rsid w:val="00D82770"/>
    <w:rsid w:val="00D846AE"/>
    <w:rsid w:val="00D8494B"/>
    <w:rsid w:val="00D854AA"/>
    <w:rsid w:val="00D85B70"/>
    <w:rsid w:val="00D85E5A"/>
    <w:rsid w:val="00D8773F"/>
    <w:rsid w:val="00D91278"/>
    <w:rsid w:val="00D9183A"/>
    <w:rsid w:val="00D91EE0"/>
    <w:rsid w:val="00D951E8"/>
    <w:rsid w:val="00D96EA3"/>
    <w:rsid w:val="00DA26F1"/>
    <w:rsid w:val="00DA671B"/>
    <w:rsid w:val="00DA7A16"/>
    <w:rsid w:val="00DB09DE"/>
    <w:rsid w:val="00DB2052"/>
    <w:rsid w:val="00DB3E7D"/>
    <w:rsid w:val="00DB712C"/>
    <w:rsid w:val="00DC0235"/>
    <w:rsid w:val="00DC5EB1"/>
    <w:rsid w:val="00DD1EF2"/>
    <w:rsid w:val="00DD4135"/>
    <w:rsid w:val="00DD6FF2"/>
    <w:rsid w:val="00DE08BD"/>
    <w:rsid w:val="00DE11F6"/>
    <w:rsid w:val="00DE2290"/>
    <w:rsid w:val="00DE37EB"/>
    <w:rsid w:val="00DE44DA"/>
    <w:rsid w:val="00DE4BA7"/>
    <w:rsid w:val="00DF20A8"/>
    <w:rsid w:val="00DF2D6A"/>
    <w:rsid w:val="00DF5C26"/>
    <w:rsid w:val="00DF6A98"/>
    <w:rsid w:val="00DF77B7"/>
    <w:rsid w:val="00E01E73"/>
    <w:rsid w:val="00E02A5B"/>
    <w:rsid w:val="00E0456E"/>
    <w:rsid w:val="00E05EAF"/>
    <w:rsid w:val="00E07840"/>
    <w:rsid w:val="00E07965"/>
    <w:rsid w:val="00E1177D"/>
    <w:rsid w:val="00E12E86"/>
    <w:rsid w:val="00E15B37"/>
    <w:rsid w:val="00E1793E"/>
    <w:rsid w:val="00E17FD1"/>
    <w:rsid w:val="00E2148F"/>
    <w:rsid w:val="00E22025"/>
    <w:rsid w:val="00E335FA"/>
    <w:rsid w:val="00E33C22"/>
    <w:rsid w:val="00E35123"/>
    <w:rsid w:val="00E35AD2"/>
    <w:rsid w:val="00E40BB1"/>
    <w:rsid w:val="00E42656"/>
    <w:rsid w:val="00E52F9A"/>
    <w:rsid w:val="00E54741"/>
    <w:rsid w:val="00E5651D"/>
    <w:rsid w:val="00E6206B"/>
    <w:rsid w:val="00E64ACB"/>
    <w:rsid w:val="00E64FCC"/>
    <w:rsid w:val="00E6528C"/>
    <w:rsid w:val="00E661E0"/>
    <w:rsid w:val="00E6643C"/>
    <w:rsid w:val="00E67FC8"/>
    <w:rsid w:val="00E70509"/>
    <w:rsid w:val="00E70798"/>
    <w:rsid w:val="00E7080C"/>
    <w:rsid w:val="00E715C3"/>
    <w:rsid w:val="00E7226D"/>
    <w:rsid w:val="00E7238D"/>
    <w:rsid w:val="00E7334D"/>
    <w:rsid w:val="00E74D72"/>
    <w:rsid w:val="00E75A6F"/>
    <w:rsid w:val="00E75AE5"/>
    <w:rsid w:val="00E80784"/>
    <w:rsid w:val="00E81E50"/>
    <w:rsid w:val="00E84AE6"/>
    <w:rsid w:val="00E90336"/>
    <w:rsid w:val="00E91D0C"/>
    <w:rsid w:val="00E92C7F"/>
    <w:rsid w:val="00E93225"/>
    <w:rsid w:val="00E94F81"/>
    <w:rsid w:val="00E96473"/>
    <w:rsid w:val="00EA03C3"/>
    <w:rsid w:val="00EA0EBD"/>
    <w:rsid w:val="00EA1E82"/>
    <w:rsid w:val="00EA2F3A"/>
    <w:rsid w:val="00EA3A27"/>
    <w:rsid w:val="00EB5697"/>
    <w:rsid w:val="00EB5A70"/>
    <w:rsid w:val="00EC0380"/>
    <w:rsid w:val="00EC160B"/>
    <w:rsid w:val="00EC18C6"/>
    <w:rsid w:val="00EC5D56"/>
    <w:rsid w:val="00EC62AC"/>
    <w:rsid w:val="00ED0324"/>
    <w:rsid w:val="00ED04EF"/>
    <w:rsid w:val="00ED156C"/>
    <w:rsid w:val="00ED1B75"/>
    <w:rsid w:val="00ED2B92"/>
    <w:rsid w:val="00EE0417"/>
    <w:rsid w:val="00EE2355"/>
    <w:rsid w:val="00EE7A86"/>
    <w:rsid w:val="00EE7B0A"/>
    <w:rsid w:val="00EF0384"/>
    <w:rsid w:val="00EF522C"/>
    <w:rsid w:val="00EF72B0"/>
    <w:rsid w:val="00EF751B"/>
    <w:rsid w:val="00EF76FD"/>
    <w:rsid w:val="00EF785D"/>
    <w:rsid w:val="00EF7E4B"/>
    <w:rsid w:val="00F00343"/>
    <w:rsid w:val="00F052C0"/>
    <w:rsid w:val="00F104E5"/>
    <w:rsid w:val="00F107C2"/>
    <w:rsid w:val="00F11492"/>
    <w:rsid w:val="00F13227"/>
    <w:rsid w:val="00F16E5D"/>
    <w:rsid w:val="00F221E9"/>
    <w:rsid w:val="00F25BDD"/>
    <w:rsid w:val="00F26524"/>
    <w:rsid w:val="00F26EF9"/>
    <w:rsid w:val="00F2753D"/>
    <w:rsid w:val="00F338DD"/>
    <w:rsid w:val="00F33B6E"/>
    <w:rsid w:val="00F33D93"/>
    <w:rsid w:val="00F347B9"/>
    <w:rsid w:val="00F36F02"/>
    <w:rsid w:val="00F37187"/>
    <w:rsid w:val="00F40595"/>
    <w:rsid w:val="00F408C0"/>
    <w:rsid w:val="00F40A29"/>
    <w:rsid w:val="00F52BB8"/>
    <w:rsid w:val="00F54A2A"/>
    <w:rsid w:val="00F550D8"/>
    <w:rsid w:val="00F571A9"/>
    <w:rsid w:val="00F57A79"/>
    <w:rsid w:val="00F60C08"/>
    <w:rsid w:val="00F6483F"/>
    <w:rsid w:val="00F6793C"/>
    <w:rsid w:val="00F7095C"/>
    <w:rsid w:val="00F770C3"/>
    <w:rsid w:val="00F7742C"/>
    <w:rsid w:val="00F776A7"/>
    <w:rsid w:val="00F815E3"/>
    <w:rsid w:val="00F82355"/>
    <w:rsid w:val="00F87884"/>
    <w:rsid w:val="00F932CC"/>
    <w:rsid w:val="00F941FC"/>
    <w:rsid w:val="00F94944"/>
    <w:rsid w:val="00F9568E"/>
    <w:rsid w:val="00FA2B69"/>
    <w:rsid w:val="00FA4238"/>
    <w:rsid w:val="00FA4707"/>
    <w:rsid w:val="00FA491D"/>
    <w:rsid w:val="00FB0A7D"/>
    <w:rsid w:val="00FB3CFE"/>
    <w:rsid w:val="00FB5D9A"/>
    <w:rsid w:val="00FB62DB"/>
    <w:rsid w:val="00FC09EF"/>
    <w:rsid w:val="00FC1E4A"/>
    <w:rsid w:val="00FC28B6"/>
    <w:rsid w:val="00FD1380"/>
    <w:rsid w:val="00FD3EBB"/>
    <w:rsid w:val="00FD6853"/>
    <w:rsid w:val="00FE5BC6"/>
    <w:rsid w:val="00FE75B6"/>
    <w:rsid w:val="00FF0067"/>
    <w:rsid w:val="00FF2EBB"/>
    <w:rsid w:val="00FF5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3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Bullets,Recommendation,List Paragraph1,Table of contents numbered"/>
    <w:basedOn w:val="Normal"/>
    <w:link w:val="ListParagraphChar"/>
    <w:uiPriority w:val="34"/>
    <w:qFormat/>
    <w:rsid w:val="0085127A"/>
    <w:pPr>
      <w:ind w:left="720"/>
      <w:contextualSpacing/>
    </w:pPr>
  </w:style>
  <w:style w:type="character" w:styleId="CommentReference">
    <w:name w:val="annotation reference"/>
    <w:rsid w:val="007B1003"/>
    <w:rPr>
      <w:rFonts w:cs="Times New Roman"/>
      <w:sz w:val="16"/>
      <w:szCs w:val="16"/>
    </w:rPr>
  </w:style>
  <w:style w:type="paragraph" w:styleId="CommentText">
    <w:name w:val="annotation text"/>
    <w:basedOn w:val="Normal"/>
    <w:link w:val="CommentTextChar"/>
    <w:rsid w:val="007B1003"/>
    <w:rPr>
      <w:sz w:val="20"/>
      <w:szCs w:val="20"/>
    </w:rPr>
  </w:style>
  <w:style w:type="character" w:customStyle="1" w:styleId="CommentTextChar">
    <w:name w:val="Comment Text Char"/>
    <w:link w:val="CommentText"/>
    <w:locked/>
    <w:rsid w:val="007B1003"/>
    <w:rPr>
      <w:rFonts w:ascii="Arial" w:hAnsi="Arial"/>
      <w:color w:val="001F00"/>
      <w:spacing w:val="6"/>
      <w:lang w:val="en-GB" w:eastAsia="en-GB" w:bidi="ar-SA"/>
    </w:rPr>
  </w:style>
  <w:style w:type="paragraph" w:customStyle="1" w:styleId="Char">
    <w:name w:val="Char"/>
    <w:basedOn w:val="Normal"/>
    <w:rsid w:val="00AE41A2"/>
    <w:pPr>
      <w:spacing w:after="160" w:line="240" w:lineRule="exact"/>
    </w:pPr>
    <w:rPr>
      <w:bCs/>
      <w:color w:val="auto"/>
      <w:spacing w:val="0"/>
      <w:sz w:val="22"/>
      <w:szCs w:val="24"/>
      <w:lang w:val="en-US" w:eastAsia="en-US"/>
    </w:rPr>
  </w:style>
  <w:style w:type="paragraph" w:styleId="NoSpacing">
    <w:name w:val="No Spacing"/>
    <w:qFormat/>
    <w:rsid w:val="00EC62AC"/>
    <w:rPr>
      <w:rFonts w:ascii="Calibri" w:hAnsi="Calibri"/>
      <w:sz w:val="22"/>
      <w:szCs w:val="22"/>
      <w:lang w:eastAsia="en-US"/>
    </w:rPr>
  </w:style>
  <w:style w:type="paragraph" w:customStyle="1" w:styleId="char0">
    <w:name w:val="char"/>
    <w:basedOn w:val="Normal"/>
    <w:rsid w:val="00CE703B"/>
    <w:pPr>
      <w:widowControl w:val="0"/>
      <w:suppressAutoHyphens/>
      <w:autoSpaceDE w:val="0"/>
      <w:autoSpaceDN w:val="0"/>
      <w:textAlignment w:val="baseline"/>
    </w:pPr>
    <w:rPr>
      <w:rFonts w:cs="Arial"/>
      <w:color w:val="auto"/>
      <w:spacing w:val="0"/>
      <w:sz w:val="24"/>
      <w:szCs w:val="24"/>
    </w:rPr>
  </w:style>
  <w:style w:type="paragraph" w:styleId="FootnoteText">
    <w:name w:val="footnote text"/>
    <w:aliases w:val="Footnote Text Char1,Footnote Text Char Char"/>
    <w:basedOn w:val="Normal"/>
    <w:link w:val="FootnoteTextChar"/>
    <w:rsid w:val="00283261"/>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
    <w:link w:val="FootnoteText"/>
    <w:rsid w:val="00283261"/>
    <w:rPr>
      <w:lang w:val="en-US" w:eastAsia="en-US"/>
    </w:rPr>
  </w:style>
  <w:style w:type="character" w:styleId="FootnoteReference">
    <w:name w:val="footnote reference"/>
    <w:rsid w:val="00283261"/>
    <w:rPr>
      <w:vertAlign w:val="superscript"/>
    </w:rPr>
  </w:style>
  <w:style w:type="paragraph" w:customStyle="1" w:styleId="Default">
    <w:name w:val="Default"/>
    <w:rsid w:val="00555D7F"/>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 1 Char,Bullets Char,Recommendation Char,List Paragraph1 Char,Table of contents numbered Char"/>
    <w:link w:val="ListParagraph"/>
    <w:uiPriority w:val="34"/>
    <w:locked/>
    <w:rsid w:val="00857D5D"/>
    <w:rPr>
      <w:rFonts w:ascii="Arial" w:hAnsi="Arial"/>
      <w:color w:val="001F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200023219">
      <w:bodyDiv w:val="1"/>
      <w:marLeft w:val="0"/>
      <w:marRight w:val="0"/>
      <w:marTop w:val="0"/>
      <w:marBottom w:val="0"/>
      <w:divBdr>
        <w:top w:val="none" w:sz="0" w:space="0" w:color="auto"/>
        <w:left w:val="none" w:sz="0" w:space="0" w:color="auto"/>
        <w:bottom w:val="none" w:sz="0" w:space="0" w:color="auto"/>
        <w:right w:val="none" w:sz="0" w:space="0" w:color="auto"/>
      </w:divBdr>
      <w:divsChild>
        <w:div w:id="1743671610">
          <w:marLeft w:val="504"/>
          <w:marRight w:val="0"/>
          <w:marTop w:val="106"/>
          <w:marBottom w:val="0"/>
          <w:divBdr>
            <w:top w:val="none" w:sz="0" w:space="0" w:color="auto"/>
            <w:left w:val="none" w:sz="0" w:space="0" w:color="auto"/>
            <w:bottom w:val="none" w:sz="0" w:space="0" w:color="auto"/>
            <w:right w:val="none" w:sz="0" w:space="0" w:color="auto"/>
          </w:divBdr>
        </w:div>
        <w:div w:id="309409762">
          <w:marLeft w:val="504"/>
          <w:marRight w:val="0"/>
          <w:marTop w:val="106"/>
          <w:marBottom w:val="0"/>
          <w:divBdr>
            <w:top w:val="none" w:sz="0" w:space="0" w:color="auto"/>
            <w:left w:val="none" w:sz="0" w:space="0" w:color="auto"/>
            <w:bottom w:val="none" w:sz="0" w:space="0" w:color="auto"/>
            <w:right w:val="none" w:sz="0" w:space="0" w:color="auto"/>
          </w:divBdr>
        </w:div>
        <w:div w:id="1342202872">
          <w:marLeft w:val="504"/>
          <w:marRight w:val="0"/>
          <w:marTop w:val="106"/>
          <w:marBottom w:val="0"/>
          <w:divBdr>
            <w:top w:val="none" w:sz="0" w:space="0" w:color="auto"/>
            <w:left w:val="none" w:sz="0" w:space="0" w:color="auto"/>
            <w:bottom w:val="none" w:sz="0" w:space="0" w:color="auto"/>
            <w:right w:val="none" w:sz="0" w:space="0" w:color="auto"/>
          </w:divBdr>
        </w:div>
        <w:div w:id="2052268552">
          <w:marLeft w:val="504"/>
          <w:marRight w:val="0"/>
          <w:marTop w:val="106"/>
          <w:marBottom w:val="0"/>
          <w:divBdr>
            <w:top w:val="none" w:sz="0" w:space="0" w:color="auto"/>
            <w:left w:val="none" w:sz="0" w:space="0" w:color="auto"/>
            <w:bottom w:val="none" w:sz="0" w:space="0" w:color="auto"/>
            <w:right w:val="none" w:sz="0" w:space="0" w:color="auto"/>
          </w:divBdr>
        </w:div>
      </w:divsChild>
    </w:div>
    <w:div w:id="218055614">
      <w:bodyDiv w:val="1"/>
      <w:marLeft w:val="60"/>
      <w:marRight w:val="60"/>
      <w:marTop w:val="60"/>
      <w:marBottom w:val="15"/>
      <w:divBdr>
        <w:top w:val="none" w:sz="0" w:space="0" w:color="auto"/>
        <w:left w:val="none" w:sz="0" w:space="0" w:color="auto"/>
        <w:bottom w:val="none" w:sz="0" w:space="0" w:color="auto"/>
        <w:right w:val="none" w:sz="0" w:space="0" w:color="auto"/>
      </w:divBdr>
      <w:divsChild>
        <w:div w:id="1738891094">
          <w:marLeft w:val="0"/>
          <w:marRight w:val="0"/>
          <w:marTop w:val="0"/>
          <w:marBottom w:val="0"/>
          <w:divBdr>
            <w:top w:val="none" w:sz="0" w:space="0" w:color="auto"/>
            <w:left w:val="none" w:sz="0" w:space="0" w:color="auto"/>
            <w:bottom w:val="none" w:sz="0" w:space="0" w:color="auto"/>
            <w:right w:val="none" w:sz="0" w:space="0" w:color="auto"/>
          </w:divBdr>
        </w:div>
      </w:divsChild>
    </w:div>
    <w:div w:id="276524908">
      <w:bodyDiv w:val="1"/>
      <w:marLeft w:val="0"/>
      <w:marRight w:val="0"/>
      <w:marTop w:val="0"/>
      <w:marBottom w:val="0"/>
      <w:divBdr>
        <w:top w:val="none" w:sz="0" w:space="0" w:color="auto"/>
        <w:left w:val="none" w:sz="0" w:space="0" w:color="auto"/>
        <w:bottom w:val="none" w:sz="0" w:space="0" w:color="auto"/>
        <w:right w:val="none" w:sz="0" w:space="0" w:color="auto"/>
      </w:divBdr>
    </w:div>
    <w:div w:id="784662953">
      <w:bodyDiv w:val="1"/>
      <w:marLeft w:val="0"/>
      <w:marRight w:val="0"/>
      <w:marTop w:val="0"/>
      <w:marBottom w:val="0"/>
      <w:divBdr>
        <w:top w:val="none" w:sz="0" w:space="0" w:color="auto"/>
        <w:left w:val="none" w:sz="0" w:space="0" w:color="auto"/>
        <w:bottom w:val="none" w:sz="0" w:space="0" w:color="auto"/>
        <w:right w:val="none" w:sz="0" w:space="0" w:color="auto"/>
      </w:divBdr>
      <w:divsChild>
        <w:div w:id="18095330">
          <w:marLeft w:val="504"/>
          <w:marRight w:val="0"/>
          <w:marTop w:val="106"/>
          <w:marBottom w:val="0"/>
          <w:divBdr>
            <w:top w:val="none" w:sz="0" w:space="0" w:color="auto"/>
            <w:left w:val="none" w:sz="0" w:space="0" w:color="auto"/>
            <w:bottom w:val="none" w:sz="0" w:space="0" w:color="auto"/>
            <w:right w:val="none" w:sz="0" w:space="0" w:color="auto"/>
          </w:divBdr>
        </w:div>
        <w:div w:id="733309421">
          <w:marLeft w:val="504"/>
          <w:marRight w:val="0"/>
          <w:marTop w:val="106"/>
          <w:marBottom w:val="0"/>
          <w:divBdr>
            <w:top w:val="none" w:sz="0" w:space="0" w:color="auto"/>
            <w:left w:val="none" w:sz="0" w:space="0" w:color="auto"/>
            <w:bottom w:val="none" w:sz="0" w:space="0" w:color="auto"/>
            <w:right w:val="none" w:sz="0" w:space="0" w:color="auto"/>
          </w:divBdr>
        </w:div>
        <w:div w:id="507722307">
          <w:marLeft w:val="504"/>
          <w:marRight w:val="0"/>
          <w:marTop w:val="106"/>
          <w:marBottom w:val="0"/>
          <w:divBdr>
            <w:top w:val="none" w:sz="0" w:space="0" w:color="auto"/>
            <w:left w:val="none" w:sz="0" w:space="0" w:color="auto"/>
            <w:bottom w:val="none" w:sz="0" w:space="0" w:color="auto"/>
            <w:right w:val="none" w:sz="0" w:space="0" w:color="auto"/>
          </w:divBdr>
        </w:div>
        <w:div w:id="21133578">
          <w:marLeft w:val="504"/>
          <w:marRight w:val="0"/>
          <w:marTop w:val="106"/>
          <w:marBottom w:val="0"/>
          <w:divBdr>
            <w:top w:val="none" w:sz="0" w:space="0" w:color="auto"/>
            <w:left w:val="none" w:sz="0" w:space="0" w:color="auto"/>
            <w:bottom w:val="none" w:sz="0" w:space="0" w:color="auto"/>
            <w:right w:val="none" w:sz="0" w:space="0" w:color="auto"/>
          </w:divBdr>
        </w:div>
      </w:divsChild>
    </w:div>
    <w:div w:id="1018045613">
      <w:bodyDiv w:val="1"/>
      <w:marLeft w:val="0"/>
      <w:marRight w:val="0"/>
      <w:marTop w:val="0"/>
      <w:marBottom w:val="0"/>
      <w:divBdr>
        <w:top w:val="none" w:sz="0" w:space="0" w:color="auto"/>
        <w:left w:val="none" w:sz="0" w:space="0" w:color="auto"/>
        <w:bottom w:val="none" w:sz="0" w:space="0" w:color="auto"/>
        <w:right w:val="none" w:sz="0" w:space="0" w:color="auto"/>
      </w:divBdr>
    </w:div>
    <w:div w:id="1382172311">
      <w:bodyDiv w:val="1"/>
      <w:marLeft w:val="0"/>
      <w:marRight w:val="0"/>
      <w:marTop w:val="0"/>
      <w:marBottom w:val="0"/>
      <w:divBdr>
        <w:top w:val="none" w:sz="0" w:space="0" w:color="auto"/>
        <w:left w:val="none" w:sz="0" w:space="0" w:color="auto"/>
        <w:bottom w:val="none" w:sz="0" w:space="0" w:color="auto"/>
        <w:right w:val="none" w:sz="0" w:space="0" w:color="auto"/>
      </w:divBdr>
      <w:divsChild>
        <w:div w:id="1491169801">
          <w:marLeft w:val="360"/>
          <w:marRight w:val="0"/>
          <w:marTop w:val="0"/>
          <w:marBottom w:val="0"/>
          <w:divBdr>
            <w:top w:val="none" w:sz="0" w:space="0" w:color="auto"/>
            <w:left w:val="none" w:sz="0" w:space="0" w:color="auto"/>
            <w:bottom w:val="none" w:sz="0" w:space="0" w:color="auto"/>
            <w:right w:val="none" w:sz="0" w:space="0" w:color="auto"/>
          </w:divBdr>
        </w:div>
        <w:div w:id="2122917248">
          <w:marLeft w:val="360"/>
          <w:marRight w:val="0"/>
          <w:marTop w:val="0"/>
          <w:marBottom w:val="0"/>
          <w:divBdr>
            <w:top w:val="none" w:sz="0" w:space="0" w:color="auto"/>
            <w:left w:val="none" w:sz="0" w:space="0" w:color="auto"/>
            <w:bottom w:val="none" w:sz="0" w:space="0" w:color="auto"/>
            <w:right w:val="none" w:sz="0" w:space="0" w:color="auto"/>
          </w:divBdr>
        </w:div>
        <w:div w:id="821435354">
          <w:marLeft w:val="360"/>
          <w:marRight w:val="0"/>
          <w:marTop w:val="0"/>
          <w:marBottom w:val="0"/>
          <w:divBdr>
            <w:top w:val="none" w:sz="0" w:space="0" w:color="auto"/>
            <w:left w:val="none" w:sz="0" w:space="0" w:color="auto"/>
            <w:bottom w:val="none" w:sz="0" w:space="0" w:color="auto"/>
            <w:right w:val="none" w:sz="0" w:space="0" w:color="auto"/>
          </w:divBdr>
        </w:div>
      </w:divsChild>
    </w:div>
    <w:div w:id="1441484699">
      <w:bodyDiv w:val="1"/>
      <w:marLeft w:val="0"/>
      <w:marRight w:val="0"/>
      <w:marTop w:val="0"/>
      <w:marBottom w:val="0"/>
      <w:divBdr>
        <w:top w:val="none" w:sz="0" w:space="0" w:color="auto"/>
        <w:left w:val="none" w:sz="0" w:space="0" w:color="auto"/>
        <w:bottom w:val="none" w:sz="0" w:space="0" w:color="auto"/>
        <w:right w:val="none" w:sz="0" w:space="0" w:color="auto"/>
      </w:divBdr>
      <w:divsChild>
        <w:div w:id="632634407">
          <w:marLeft w:val="418"/>
          <w:marRight w:val="0"/>
          <w:marTop w:val="106"/>
          <w:marBottom w:val="0"/>
          <w:divBdr>
            <w:top w:val="none" w:sz="0" w:space="0" w:color="auto"/>
            <w:left w:val="none" w:sz="0" w:space="0" w:color="auto"/>
            <w:bottom w:val="none" w:sz="0" w:space="0" w:color="auto"/>
            <w:right w:val="none" w:sz="0" w:space="0" w:color="auto"/>
          </w:divBdr>
        </w:div>
        <w:div w:id="1540505597">
          <w:marLeft w:val="418"/>
          <w:marRight w:val="0"/>
          <w:marTop w:val="106"/>
          <w:marBottom w:val="0"/>
          <w:divBdr>
            <w:top w:val="none" w:sz="0" w:space="0" w:color="auto"/>
            <w:left w:val="none" w:sz="0" w:space="0" w:color="auto"/>
            <w:bottom w:val="none" w:sz="0" w:space="0" w:color="auto"/>
            <w:right w:val="none" w:sz="0" w:space="0" w:color="auto"/>
          </w:divBdr>
        </w:div>
        <w:div w:id="1910921591">
          <w:marLeft w:val="418"/>
          <w:marRight w:val="0"/>
          <w:marTop w:val="106"/>
          <w:marBottom w:val="0"/>
          <w:divBdr>
            <w:top w:val="none" w:sz="0" w:space="0" w:color="auto"/>
            <w:left w:val="none" w:sz="0" w:space="0" w:color="auto"/>
            <w:bottom w:val="none" w:sz="0" w:space="0" w:color="auto"/>
            <w:right w:val="none" w:sz="0" w:space="0" w:color="auto"/>
          </w:divBdr>
        </w:div>
        <w:div w:id="1105611580">
          <w:marLeft w:val="50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A366-F750-45DC-B8F4-A6913BF9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13102</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87615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3</cp:revision>
  <cp:lastPrinted>2014-06-26T08:38:00Z</cp:lastPrinted>
  <dcterms:created xsi:type="dcterms:W3CDTF">2022-05-17T15:11:00Z</dcterms:created>
  <dcterms:modified xsi:type="dcterms:W3CDTF">2022-05-18T10:01:00Z</dcterms:modified>
</cp:coreProperties>
</file>