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A0" w:rsidRPr="00AE5B3B" w:rsidRDefault="00B352A0" w:rsidP="00AE5B3B">
      <w:pPr>
        <w:autoSpaceDE w:val="0"/>
        <w:autoSpaceDN w:val="0"/>
        <w:adjustRightInd w:val="0"/>
        <w:spacing w:line="240" w:lineRule="auto"/>
        <w:jc w:val="left"/>
        <w:rPr>
          <w:rFonts w:ascii="Arial" w:hAnsi="Arial" w:cs="Arial"/>
          <w:b/>
          <w:bCs/>
          <w:sz w:val="20"/>
          <w:szCs w:val="20"/>
        </w:rPr>
      </w:pPr>
      <w:r w:rsidRPr="00AE5B3B">
        <w:rPr>
          <w:rFonts w:ascii="Arial" w:hAnsi="Arial" w:cs="Arial"/>
          <w:b/>
          <w:bCs/>
          <w:sz w:val="20"/>
          <w:szCs w:val="20"/>
        </w:rPr>
        <w:t xml:space="preserve">REPORT OF THE PORTFOLIO COMMITTEE ON POLICE ON THE 2022/23 BUDGET FOR VOTE 21 AND ANNUAL PERFORMANCE PLAN (APP) OF THE </w:t>
      </w:r>
      <w:r w:rsidR="00F22A35" w:rsidRPr="00AE5B3B">
        <w:rPr>
          <w:rFonts w:ascii="Arial" w:hAnsi="Arial" w:cs="Arial"/>
          <w:b/>
          <w:bCs/>
          <w:sz w:val="20"/>
          <w:szCs w:val="20"/>
        </w:rPr>
        <w:t>CIVILIAN SECRETARIAT FOR POLICE SERVICE (CSPS)</w:t>
      </w:r>
      <w:r w:rsidRPr="00AE5B3B">
        <w:rPr>
          <w:rFonts w:ascii="Arial" w:hAnsi="Arial" w:cs="Arial"/>
          <w:b/>
          <w:bCs/>
          <w:sz w:val="20"/>
          <w:szCs w:val="20"/>
        </w:rPr>
        <w:t>, DATED 04 MAY 2022.</w:t>
      </w:r>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spacing w:line="240" w:lineRule="auto"/>
        <w:jc w:val="left"/>
        <w:rPr>
          <w:rFonts w:ascii="Arial" w:hAnsi="Arial" w:cs="Arial"/>
          <w:sz w:val="20"/>
          <w:szCs w:val="20"/>
        </w:rPr>
      </w:pPr>
      <w:r w:rsidRPr="00AE5B3B">
        <w:rPr>
          <w:rFonts w:ascii="Arial" w:hAnsi="Arial" w:cs="Arial"/>
          <w:sz w:val="20"/>
          <w:szCs w:val="20"/>
        </w:rPr>
        <w:t>The Portfolio Committee on Police examined the Budget Vote of the Civilian Secretariat for Police Serv</w:t>
      </w:r>
      <w:bookmarkStart w:id="0" w:name="_GoBack"/>
      <w:bookmarkEnd w:id="0"/>
      <w:r w:rsidRPr="00AE5B3B">
        <w:rPr>
          <w:rFonts w:ascii="Arial" w:hAnsi="Arial" w:cs="Arial"/>
          <w:sz w:val="20"/>
          <w:szCs w:val="20"/>
        </w:rPr>
        <w:t>ice (Vote 21) for the 2022/23 financial year, as well as the projections of the Medium-Term Expenditure Framework (MTEF) for 2020-2024, which were included in the Estimates of National Expenditure (ENE) 2022. The budget was examined in conjunction with the Annual Performance Plan (APP) for 2022/23 and the Strategic Plan (2020-2025). The Committee reports as follows:</w:t>
      </w:r>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pStyle w:val="Heading1"/>
        <w:numPr>
          <w:ilvl w:val="0"/>
          <w:numId w:val="19"/>
        </w:numPr>
        <w:spacing w:before="0" w:line="240" w:lineRule="auto"/>
        <w:jc w:val="left"/>
        <w:rPr>
          <w:rFonts w:ascii="Arial" w:hAnsi="Arial" w:cs="Arial"/>
          <w:sz w:val="20"/>
          <w:szCs w:val="20"/>
        </w:rPr>
      </w:pPr>
      <w:bookmarkStart w:id="1" w:name="_Toc100665190"/>
      <w:r w:rsidRPr="00AE5B3B">
        <w:rPr>
          <w:rFonts w:ascii="Arial" w:hAnsi="Arial" w:cs="Arial"/>
          <w:sz w:val="20"/>
          <w:szCs w:val="20"/>
        </w:rPr>
        <w:t>Introduction</w:t>
      </w:r>
      <w:bookmarkEnd w:id="1"/>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 xml:space="preserve">Structure </w:t>
      </w:r>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The Report provides an overview of the 2022/23 Budget Hearings of the CSPS. The Report is structured as follows:</w:t>
      </w:r>
    </w:p>
    <w:p w:rsidR="00B352A0"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Section 1: Introduction. This section provides an introduction to this Report as well as a summary of meetings held during the hearings.</w:t>
      </w:r>
    </w:p>
    <w:p w:rsidR="00B352A0"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 xml:space="preserve">Section 2: </w:t>
      </w:r>
      <w:r w:rsidR="009B3C87" w:rsidRPr="00AE5B3B">
        <w:rPr>
          <w:rFonts w:ascii="Arial" w:eastAsia="TimesNewRomanPSMT" w:hAnsi="Arial" w:cs="Arial"/>
          <w:sz w:val="20"/>
          <w:szCs w:val="20"/>
          <w:lang w:eastAsia="en-ZA"/>
        </w:rPr>
        <w:t>Strategic overview</w:t>
      </w:r>
      <w:r w:rsidRPr="00AE5B3B">
        <w:rPr>
          <w:rFonts w:ascii="Arial" w:eastAsia="TimesNewRomanPSMT" w:hAnsi="Arial" w:cs="Arial"/>
          <w:sz w:val="20"/>
          <w:szCs w:val="20"/>
          <w:lang w:eastAsia="en-ZA"/>
        </w:rPr>
        <w:t xml:space="preserve">. This section provides </w:t>
      </w:r>
      <w:r w:rsidR="009B3C87" w:rsidRPr="00AE5B3B">
        <w:rPr>
          <w:rFonts w:ascii="Arial" w:eastAsia="TimesNewRomanPSMT" w:hAnsi="Arial" w:cs="Arial"/>
          <w:sz w:val="20"/>
          <w:szCs w:val="20"/>
          <w:lang w:eastAsia="en-ZA"/>
        </w:rPr>
        <w:t>an overview of the strategic priorities of the Department during the 2022/23 financial year, as well as the medium-term.</w:t>
      </w:r>
    </w:p>
    <w:p w:rsidR="009B3C87"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 xml:space="preserve">Section 3: </w:t>
      </w:r>
      <w:r w:rsidR="009B3C87" w:rsidRPr="00AE5B3B">
        <w:rPr>
          <w:rFonts w:ascii="Arial" w:eastAsia="TimesNewRomanPSMT" w:hAnsi="Arial" w:cs="Arial"/>
          <w:sz w:val="20"/>
          <w:szCs w:val="20"/>
          <w:lang w:eastAsia="en-ZA"/>
        </w:rPr>
        <w:t xml:space="preserve">Progress on drafting legislation. This section provides an overview of the progress made on the drafting of legislation by the Department during 2021.  </w:t>
      </w:r>
    </w:p>
    <w:p w:rsidR="00B352A0" w:rsidRPr="00AE5B3B" w:rsidRDefault="009B3C87"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 xml:space="preserve">Section 4: </w:t>
      </w:r>
      <w:r w:rsidR="00B352A0" w:rsidRPr="00AE5B3B">
        <w:rPr>
          <w:rFonts w:ascii="Arial" w:eastAsia="TimesNewRomanPSMT" w:hAnsi="Arial" w:cs="Arial"/>
          <w:sz w:val="20"/>
          <w:szCs w:val="20"/>
          <w:lang w:eastAsia="en-ZA"/>
        </w:rPr>
        <w:t xml:space="preserve">Budget allocation for 2022/23. This section provides an analysis of the budget allocations per programme of the </w:t>
      </w:r>
      <w:r w:rsidRPr="00AE5B3B">
        <w:rPr>
          <w:rFonts w:ascii="Arial" w:eastAsia="TimesNewRomanPSMT" w:hAnsi="Arial" w:cs="Arial"/>
          <w:sz w:val="20"/>
          <w:szCs w:val="20"/>
          <w:lang w:eastAsia="en-ZA"/>
        </w:rPr>
        <w:t>CSPS</w:t>
      </w:r>
      <w:r w:rsidR="00B352A0" w:rsidRPr="00AE5B3B">
        <w:rPr>
          <w:rFonts w:ascii="Arial" w:eastAsia="TimesNewRomanPSMT" w:hAnsi="Arial" w:cs="Arial"/>
          <w:sz w:val="20"/>
          <w:szCs w:val="20"/>
          <w:lang w:eastAsia="en-ZA"/>
        </w:rPr>
        <w:t xml:space="preserve"> for the 2022/23 financial year. </w:t>
      </w:r>
    </w:p>
    <w:p w:rsidR="00B352A0" w:rsidRPr="00AE5B3B" w:rsidRDefault="009B3C87"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Section 5</w:t>
      </w:r>
      <w:r w:rsidR="00B352A0" w:rsidRPr="00AE5B3B">
        <w:rPr>
          <w:rFonts w:ascii="Arial" w:eastAsia="TimesNewRomanPSMT" w:hAnsi="Arial" w:cs="Arial"/>
          <w:sz w:val="20"/>
          <w:szCs w:val="20"/>
          <w:lang w:eastAsia="en-ZA"/>
        </w:rPr>
        <w:t xml:space="preserve">: Programme performance indicators for 2022/23. This section provides a summary of the </w:t>
      </w:r>
      <w:r w:rsidRPr="00AE5B3B">
        <w:rPr>
          <w:rFonts w:ascii="Arial" w:eastAsia="TimesNewRomanPSMT" w:hAnsi="Arial" w:cs="Arial"/>
          <w:sz w:val="20"/>
          <w:szCs w:val="20"/>
          <w:lang w:eastAsia="en-ZA"/>
        </w:rPr>
        <w:t xml:space="preserve">Department’s </w:t>
      </w:r>
      <w:r w:rsidR="00B352A0" w:rsidRPr="00AE5B3B">
        <w:rPr>
          <w:rFonts w:ascii="Arial" w:eastAsia="TimesNewRomanPSMT" w:hAnsi="Arial" w:cs="Arial"/>
          <w:sz w:val="20"/>
          <w:szCs w:val="20"/>
          <w:lang w:eastAsia="en-ZA"/>
        </w:rPr>
        <w:t xml:space="preserve">performance indicators per programme for the 2022/23 financial year. </w:t>
      </w:r>
    </w:p>
    <w:p w:rsidR="00B352A0"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Section</w:t>
      </w:r>
      <w:r w:rsidR="009B3C87" w:rsidRPr="00AE5B3B">
        <w:rPr>
          <w:rFonts w:ascii="Arial" w:eastAsia="TimesNewRomanPSMT" w:hAnsi="Arial" w:cs="Arial"/>
          <w:sz w:val="20"/>
          <w:szCs w:val="20"/>
          <w:lang w:eastAsia="en-ZA"/>
        </w:rPr>
        <w:t xml:space="preserve"> 6: Committee observations</w:t>
      </w:r>
      <w:r w:rsidRPr="00AE5B3B">
        <w:rPr>
          <w:rFonts w:ascii="Arial" w:eastAsia="TimesNewRomanPSMT" w:hAnsi="Arial" w:cs="Arial"/>
          <w:sz w:val="20"/>
          <w:szCs w:val="20"/>
          <w:lang w:eastAsia="en-ZA"/>
        </w:rPr>
        <w:t xml:space="preserve">. This section provides </w:t>
      </w:r>
      <w:r w:rsidR="00F22A35" w:rsidRPr="00AE5B3B">
        <w:rPr>
          <w:rFonts w:ascii="Arial" w:eastAsia="TimesNewRomanPSMT" w:hAnsi="Arial" w:cs="Arial"/>
          <w:sz w:val="20"/>
          <w:szCs w:val="20"/>
          <w:lang w:eastAsia="en-ZA"/>
        </w:rPr>
        <w:t xml:space="preserve">a summary of </w:t>
      </w:r>
      <w:r w:rsidRPr="00AE5B3B">
        <w:rPr>
          <w:rFonts w:ascii="Arial" w:eastAsia="TimesNewRomanPSMT" w:hAnsi="Arial" w:cs="Arial"/>
          <w:sz w:val="20"/>
          <w:szCs w:val="20"/>
          <w:lang w:eastAsia="en-ZA"/>
        </w:rPr>
        <w:t>observations made by the Portfolio Committee on Police during the 2022/23 budget hearings and subsequent responses by the Department.</w:t>
      </w:r>
    </w:p>
    <w:p w:rsidR="00B352A0"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 xml:space="preserve">Section 7: Recommendations and additional information. This section summarises the recommendations made by the Portfolio Committee on Police, as well as the additional information requested from the </w:t>
      </w:r>
      <w:r w:rsidR="009B3C87" w:rsidRPr="00AE5B3B">
        <w:rPr>
          <w:rFonts w:ascii="Arial" w:eastAsia="TimesNewRomanPSMT" w:hAnsi="Arial" w:cs="Arial"/>
          <w:sz w:val="20"/>
          <w:szCs w:val="20"/>
          <w:lang w:eastAsia="en-ZA"/>
        </w:rPr>
        <w:t>Department</w:t>
      </w:r>
      <w:r w:rsidRPr="00AE5B3B">
        <w:rPr>
          <w:rFonts w:ascii="Arial" w:eastAsia="TimesNewRomanPSMT" w:hAnsi="Arial" w:cs="Arial"/>
          <w:sz w:val="20"/>
          <w:szCs w:val="20"/>
          <w:lang w:eastAsia="en-ZA"/>
        </w:rPr>
        <w:t>.</w:t>
      </w:r>
    </w:p>
    <w:p w:rsidR="00B352A0" w:rsidRPr="00AE5B3B" w:rsidRDefault="00B352A0" w:rsidP="00AE5B3B">
      <w:pPr>
        <w:pStyle w:val="ListParagraph"/>
        <w:numPr>
          <w:ilvl w:val="0"/>
          <w:numId w:val="20"/>
        </w:num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 xml:space="preserve">Section 8: Conclusion. This section provides concluding remarks. </w:t>
      </w:r>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 xml:space="preserve">Meetings held </w:t>
      </w:r>
    </w:p>
    <w:p w:rsidR="00B352A0" w:rsidRPr="00AE5B3B" w:rsidRDefault="00B352A0" w:rsidP="00AE5B3B">
      <w:pPr>
        <w:spacing w:line="240" w:lineRule="auto"/>
        <w:jc w:val="left"/>
        <w:rPr>
          <w:rFonts w:ascii="Arial" w:hAnsi="Arial" w:cs="Arial"/>
          <w:sz w:val="20"/>
          <w:szCs w:val="20"/>
        </w:rPr>
      </w:pPr>
    </w:p>
    <w:p w:rsidR="00B352A0" w:rsidRPr="00AE5B3B" w:rsidRDefault="00B352A0" w:rsidP="00AE5B3B">
      <w:pPr>
        <w:autoSpaceDE w:val="0"/>
        <w:autoSpaceDN w:val="0"/>
        <w:adjustRightInd w:val="0"/>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The Committee met on 22 April 2022 to consider the 2022/23 budget and APP of the CSPS. The meeting was held on a virtual platform.</w:t>
      </w:r>
    </w:p>
    <w:p w:rsidR="0041291E" w:rsidRPr="00AE5B3B" w:rsidRDefault="0041291E" w:rsidP="00AE5B3B">
      <w:pPr>
        <w:autoSpaceDE w:val="0"/>
        <w:autoSpaceDN w:val="0"/>
        <w:adjustRightInd w:val="0"/>
        <w:spacing w:line="240" w:lineRule="auto"/>
        <w:jc w:val="left"/>
        <w:rPr>
          <w:rFonts w:ascii="Arial" w:eastAsia="TimesNewRomanPSMT" w:hAnsi="Arial" w:cs="Arial"/>
          <w:sz w:val="20"/>
          <w:szCs w:val="20"/>
          <w:lang w:eastAsia="en-ZA"/>
        </w:rPr>
      </w:pPr>
    </w:p>
    <w:p w:rsidR="00CE1CC6" w:rsidRPr="00AE5B3B" w:rsidRDefault="00CE1CC6" w:rsidP="00AE5B3B">
      <w:pPr>
        <w:pStyle w:val="Heading1"/>
        <w:numPr>
          <w:ilvl w:val="0"/>
          <w:numId w:val="19"/>
        </w:numPr>
        <w:spacing w:before="0" w:line="240" w:lineRule="auto"/>
        <w:jc w:val="left"/>
        <w:rPr>
          <w:rFonts w:ascii="Arial" w:hAnsi="Arial" w:cs="Arial"/>
          <w:sz w:val="20"/>
          <w:szCs w:val="20"/>
        </w:rPr>
      </w:pPr>
      <w:bookmarkStart w:id="2" w:name="_Toc100572307"/>
      <w:r w:rsidRPr="00AE5B3B">
        <w:rPr>
          <w:rFonts w:ascii="Arial" w:hAnsi="Arial" w:cs="Arial"/>
          <w:sz w:val="20"/>
          <w:szCs w:val="20"/>
        </w:rPr>
        <w:t>Strategic Focus</w:t>
      </w:r>
      <w:r w:rsidR="004E3206" w:rsidRPr="00AE5B3B">
        <w:rPr>
          <w:rFonts w:ascii="Arial" w:hAnsi="Arial" w:cs="Arial"/>
          <w:sz w:val="20"/>
          <w:szCs w:val="20"/>
        </w:rPr>
        <w:t xml:space="preserve"> </w:t>
      </w:r>
      <w:r w:rsidR="00BC289D" w:rsidRPr="00AE5B3B">
        <w:rPr>
          <w:rFonts w:ascii="Arial" w:hAnsi="Arial" w:cs="Arial"/>
          <w:sz w:val="20"/>
          <w:szCs w:val="20"/>
        </w:rPr>
        <w:t xml:space="preserve">for 2022/23 and </w:t>
      </w:r>
      <w:r w:rsidR="004E3206" w:rsidRPr="00AE5B3B">
        <w:rPr>
          <w:rFonts w:ascii="Arial" w:hAnsi="Arial" w:cs="Arial"/>
          <w:sz w:val="20"/>
          <w:szCs w:val="20"/>
        </w:rPr>
        <w:t>medium-term</w:t>
      </w:r>
      <w:bookmarkEnd w:id="2"/>
    </w:p>
    <w:p w:rsidR="00CE1CC6" w:rsidRPr="00AE5B3B" w:rsidRDefault="00CE1CC6" w:rsidP="00AE5B3B">
      <w:pPr>
        <w:spacing w:line="240" w:lineRule="auto"/>
        <w:jc w:val="left"/>
        <w:rPr>
          <w:rFonts w:ascii="Arial" w:hAnsi="Arial" w:cs="Arial"/>
          <w:sz w:val="20"/>
          <w:szCs w:val="20"/>
        </w:rPr>
      </w:pPr>
    </w:p>
    <w:p w:rsidR="001033A4" w:rsidRPr="00AE5B3B" w:rsidRDefault="001033A4" w:rsidP="00AE5B3B">
      <w:pPr>
        <w:autoSpaceDE w:val="0"/>
        <w:autoSpaceDN w:val="0"/>
        <w:adjustRightInd w:val="0"/>
        <w:spacing w:line="240" w:lineRule="auto"/>
        <w:jc w:val="left"/>
        <w:rPr>
          <w:rFonts w:ascii="Arial" w:hAnsi="Arial" w:cs="Arial"/>
          <w:color w:val="000000"/>
          <w:sz w:val="20"/>
          <w:szCs w:val="20"/>
          <w:lang w:eastAsia="en-ZA"/>
        </w:rPr>
      </w:pPr>
      <w:r w:rsidRPr="00AE5B3B">
        <w:rPr>
          <w:rFonts w:ascii="Arial" w:hAnsi="Arial" w:cs="Arial"/>
          <w:color w:val="000000"/>
          <w:sz w:val="20"/>
          <w:szCs w:val="20"/>
          <w:lang w:eastAsia="en-ZA"/>
        </w:rPr>
        <w:t>The Department’s strategic focus for 202</w:t>
      </w:r>
      <w:r w:rsidR="00AA0CDA" w:rsidRPr="00AE5B3B">
        <w:rPr>
          <w:rFonts w:ascii="Arial" w:hAnsi="Arial" w:cs="Arial"/>
          <w:color w:val="000000"/>
          <w:sz w:val="20"/>
          <w:szCs w:val="20"/>
          <w:lang w:eastAsia="en-ZA"/>
        </w:rPr>
        <w:t>2</w:t>
      </w:r>
      <w:r w:rsidRPr="00AE5B3B">
        <w:rPr>
          <w:rFonts w:ascii="Arial" w:hAnsi="Arial" w:cs="Arial"/>
          <w:color w:val="000000"/>
          <w:sz w:val="20"/>
          <w:szCs w:val="20"/>
          <w:lang w:eastAsia="en-ZA"/>
        </w:rPr>
        <w:t>/2</w:t>
      </w:r>
      <w:r w:rsidR="00AA0CDA" w:rsidRPr="00AE5B3B">
        <w:rPr>
          <w:rFonts w:ascii="Arial" w:hAnsi="Arial" w:cs="Arial"/>
          <w:color w:val="000000"/>
          <w:sz w:val="20"/>
          <w:szCs w:val="20"/>
          <w:lang w:eastAsia="en-ZA"/>
        </w:rPr>
        <w:t>3</w:t>
      </w:r>
      <w:r w:rsidRPr="00AE5B3B">
        <w:rPr>
          <w:rFonts w:ascii="Arial" w:hAnsi="Arial" w:cs="Arial"/>
          <w:color w:val="000000"/>
          <w:sz w:val="20"/>
          <w:szCs w:val="20"/>
          <w:lang w:eastAsia="en-ZA"/>
        </w:rPr>
        <w:t xml:space="preserve"> and over the medium term includes the following:</w:t>
      </w:r>
    </w:p>
    <w:p w:rsidR="00AA0CDA" w:rsidRPr="00AE5B3B" w:rsidRDefault="00AA0CDA" w:rsidP="00AE5B3B">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encouraging community participation in the fight against crime through facilitating events such as imbizos and public participation programmes; </w:t>
      </w:r>
    </w:p>
    <w:p w:rsidR="00AA0CDA" w:rsidRPr="00AE5B3B" w:rsidRDefault="00AA0CDA" w:rsidP="00AE5B3B">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developing policies and legislation for the police sector; and </w:t>
      </w:r>
    </w:p>
    <w:p w:rsidR="00AA0CDA" w:rsidRPr="00AE5B3B" w:rsidRDefault="00AA0CDA" w:rsidP="00AE5B3B">
      <w:pPr>
        <w:pStyle w:val="ListParagraph"/>
        <w:numPr>
          <w:ilvl w:val="0"/>
          <w:numId w:val="16"/>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assessing and monitoring the performance of the police service, for example, its implementation of recommendations from the Independent Police Investigative Directorate and monitoring its compliance with the legal prescripts affecting its work.</w:t>
      </w:r>
    </w:p>
    <w:p w:rsidR="0033165F" w:rsidRPr="00AE5B3B" w:rsidRDefault="0033165F" w:rsidP="00AE5B3B">
      <w:pPr>
        <w:autoSpaceDE w:val="0"/>
        <w:autoSpaceDN w:val="0"/>
        <w:adjustRightInd w:val="0"/>
        <w:spacing w:line="240" w:lineRule="auto"/>
        <w:jc w:val="left"/>
        <w:rPr>
          <w:rFonts w:ascii="Arial" w:hAnsi="Arial" w:cs="Arial"/>
          <w:sz w:val="20"/>
          <w:szCs w:val="20"/>
          <w:lang w:eastAsia="en-ZA"/>
        </w:rPr>
      </w:pPr>
    </w:p>
    <w:p w:rsidR="00BC289D" w:rsidRPr="00AE5B3B" w:rsidRDefault="00BC289D" w:rsidP="00AE5B3B">
      <w:pPr>
        <w:pStyle w:val="Default"/>
        <w:rPr>
          <w:sz w:val="20"/>
          <w:szCs w:val="20"/>
        </w:rPr>
      </w:pPr>
      <w:r w:rsidRPr="00AE5B3B">
        <w:rPr>
          <w:sz w:val="20"/>
          <w:szCs w:val="20"/>
        </w:rPr>
        <w:t xml:space="preserve">As part of the 2020 – 2025 planning cycle, the CSPS adopted a five-year strategy centred around </w:t>
      </w:r>
      <w:r w:rsidRPr="00AE5B3B">
        <w:rPr>
          <w:i/>
          <w:iCs/>
          <w:sz w:val="20"/>
          <w:szCs w:val="20"/>
        </w:rPr>
        <w:t xml:space="preserve">improving levels of trust in the police through effective civilian oversight </w:t>
      </w:r>
      <w:r w:rsidRPr="00AE5B3B">
        <w:rPr>
          <w:sz w:val="20"/>
          <w:szCs w:val="20"/>
        </w:rPr>
        <w:t xml:space="preserve">as the desired impact. The Department identified four institutional outcomes towards the achievement of its envisaged impact, including: </w:t>
      </w:r>
    </w:p>
    <w:p w:rsidR="00BC289D" w:rsidRPr="00AE5B3B" w:rsidRDefault="00BC289D" w:rsidP="00AE5B3B">
      <w:pPr>
        <w:pStyle w:val="Default"/>
        <w:numPr>
          <w:ilvl w:val="0"/>
          <w:numId w:val="17"/>
        </w:numPr>
        <w:rPr>
          <w:sz w:val="20"/>
          <w:szCs w:val="20"/>
        </w:rPr>
      </w:pPr>
      <w:r w:rsidRPr="00AE5B3B">
        <w:rPr>
          <w:sz w:val="20"/>
          <w:szCs w:val="20"/>
        </w:rPr>
        <w:t xml:space="preserve">improving community participation in the fight against crime; </w:t>
      </w:r>
    </w:p>
    <w:p w:rsidR="00BC289D" w:rsidRPr="00AE5B3B" w:rsidRDefault="00BC289D" w:rsidP="00AE5B3B">
      <w:pPr>
        <w:pStyle w:val="Default"/>
        <w:numPr>
          <w:ilvl w:val="0"/>
          <w:numId w:val="17"/>
        </w:numPr>
        <w:rPr>
          <w:sz w:val="20"/>
          <w:szCs w:val="20"/>
        </w:rPr>
      </w:pPr>
      <w:r w:rsidRPr="00AE5B3B">
        <w:rPr>
          <w:sz w:val="20"/>
          <w:szCs w:val="20"/>
        </w:rPr>
        <w:t xml:space="preserve">improving community-police relations;  </w:t>
      </w:r>
    </w:p>
    <w:p w:rsidR="00BC289D" w:rsidRPr="00AE5B3B" w:rsidRDefault="00BC289D" w:rsidP="00AE5B3B">
      <w:pPr>
        <w:pStyle w:val="Default"/>
        <w:numPr>
          <w:ilvl w:val="0"/>
          <w:numId w:val="17"/>
        </w:numPr>
        <w:rPr>
          <w:sz w:val="20"/>
          <w:szCs w:val="20"/>
        </w:rPr>
      </w:pPr>
      <w:r w:rsidRPr="00AE5B3B">
        <w:rPr>
          <w:sz w:val="20"/>
          <w:szCs w:val="20"/>
        </w:rPr>
        <w:t xml:space="preserve">facilitating collaboration, coordination and integration on safety, crime and violence prevention within the three spheres of government; and </w:t>
      </w:r>
    </w:p>
    <w:p w:rsidR="00BC289D" w:rsidRPr="00AE5B3B" w:rsidRDefault="00BC289D" w:rsidP="00AE5B3B">
      <w:pPr>
        <w:pStyle w:val="Default"/>
        <w:numPr>
          <w:ilvl w:val="0"/>
          <w:numId w:val="17"/>
        </w:numPr>
        <w:rPr>
          <w:sz w:val="20"/>
          <w:szCs w:val="20"/>
        </w:rPr>
      </w:pPr>
      <w:r w:rsidRPr="00AE5B3B">
        <w:rPr>
          <w:sz w:val="20"/>
          <w:szCs w:val="20"/>
        </w:rPr>
        <w:lastRenderedPageBreak/>
        <w:t xml:space="preserve">ensuring a transformed and accountable police service. </w:t>
      </w:r>
    </w:p>
    <w:p w:rsidR="00BC289D" w:rsidRPr="00AE5B3B" w:rsidRDefault="00BC289D" w:rsidP="00AE5B3B">
      <w:pPr>
        <w:autoSpaceDE w:val="0"/>
        <w:autoSpaceDN w:val="0"/>
        <w:adjustRightInd w:val="0"/>
        <w:spacing w:line="240" w:lineRule="auto"/>
        <w:jc w:val="left"/>
        <w:rPr>
          <w:rFonts w:ascii="Arial" w:hAnsi="Arial" w:cs="Arial"/>
          <w:sz w:val="20"/>
          <w:szCs w:val="20"/>
          <w:lang w:eastAsia="en-ZA"/>
        </w:rPr>
      </w:pPr>
    </w:p>
    <w:p w:rsidR="00BC289D" w:rsidRPr="00AE5B3B" w:rsidRDefault="00A947AA" w:rsidP="00AE5B3B">
      <w:pPr>
        <w:pStyle w:val="Default"/>
        <w:rPr>
          <w:sz w:val="20"/>
          <w:szCs w:val="20"/>
        </w:rPr>
      </w:pPr>
      <w:r w:rsidRPr="00AE5B3B">
        <w:rPr>
          <w:sz w:val="20"/>
          <w:szCs w:val="20"/>
        </w:rPr>
        <w:t xml:space="preserve">However, according to the Department the achievement of these outcomes have been challenged by </w:t>
      </w:r>
      <w:r w:rsidR="00BC289D" w:rsidRPr="00AE5B3B">
        <w:rPr>
          <w:sz w:val="20"/>
          <w:szCs w:val="20"/>
        </w:rPr>
        <w:t>persistent questions concerning the impact made by the CSPS on the ground</w:t>
      </w:r>
      <w:r w:rsidRPr="00AE5B3B">
        <w:rPr>
          <w:sz w:val="20"/>
          <w:szCs w:val="20"/>
        </w:rPr>
        <w:t xml:space="preserve">, </w:t>
      </w:r>
      <w:r w:rsidR="00BC289D" w:rsidRPr="00AE5B3B">
        <w:rPr>
          <w:sz w:val="20"/>
          <w:szCs w:val="20"/>
        </w:rPr>
        <w:t xml:space="preserve">gaps in the process of ensuring alignment with provinces in terms of appropriate sectoral performance measures and the inability to adequately measure progress made with respect to the institutional outcomes in the past two years. In previous assessments of the Department’s plans, </w:t>
      </w:r>
      <w:r w:rsidR="005E2A99" w:rsidRPr="00AE5B3B">
        <w:rPr>
          <w:sz w:val="20"/>
          <w:szCs w:val="20"/>
        </w:rPr>
        <w:t xml:space="preserve">the </w:t>
      </w:r>
      <w:r w:rsidR="00BC289D" w:rsidRPr="00AE5B3B">
        <w:rPr>
          <w:sz w:val="20"/>
          <w:szCs w:val="20"/>
        </w:rPr>
        <w:t>D</w:t>
      </w:r>
      <w:r w:rsidR="005E2A99" w:rsidRPr="00AE5B3B">
        <w:rPr>
          <w:sz w:val="20"/>
          <w:szCs w:val="20"/>
        </w:rPr>
        <w:t>epartment of Monitoring and Evaluation (D</w:t>
      </w:r>
      <w:r w:rsidR="00BC289D" w:rsidRPr="00AE5B3B">
        <w:rPr>
          <w:sz w:val="20"/>
          <w:szCs w:val="20"/>
        </w:rPr>
        <w:t>PME</w:t>
      </w:r>
      <w:r w:rsidR="005E2A99" w:rsidRPr="00AE5B3B">
        <w:rPr>
          <w:sz w:val="20"/>
          <w:szCs w:val="20"/>
        </w:rPr>
        <w:t>)</w:t>
      </w:r>
      <w:r w:rsidR="00BC289D" w:rsidRPr="00AE5B3B">
        <w:rPr>
          <w:sz w:val="20"/>
          <w:szCs w:val="20"/>
        </w:rPr>
        <w:t xml:space="preserve"> also identified as a weakness the fact that the CSPS’ five-year strategy was not backed by a clear T</w:t>
      </w:r>
      <w:r w:rsidRPr="00AE5B3B">
        <w:rPr>
          <w:sz w:val="20"/>
          <w:szCs w:val="20"/>
        </w:rPr>
        <w:t>heory of Change (T</w:t>
      </w:r>
      <w:r w:rsidR="00BC289D" w:rsidRPr="00AE5B3B">
        <w:rPr>
          <w:sz w:val="20"/>
          <w:szCs w:val="20"/>
        </w:rPr>
        <w:t>oC</w:t>
      </w:r>
      <w:r w:rsidRPr="00AE5B3B">
        <w:rPr>
          <w:sz w:val="20"/>
          <w:szCs w:val="20"/>
        </w:rPr>
        <w:t>)</w:t>
      </w:r>
      <w:r w:rsidR="00BC289D" w:rsidRPr="00AE5B3B">
        <w:rPr>
          <w:sz w:val="20"/>
          <w:szCs w:val="20"/>
        </w:rPr>
        <w:t>.</w:t>
      </w:r>
    </w:p>
    <w:p w:rsidR="00BC289D" w:rsidRPr="00AE5B3B" w:rsidRDefault="00BC289D" w:rsidP="00AE5B3B">
      <w:pPr>
        <w:autoSpaceDE w:val="0"/>
        <w:autoSpaceDN w:val="0"/>
        <w:adjustRightInd w:val="0"/>
        <w:spacing w:line="240" w:lineRule="auto"/>
        <w:jc w:val="left"/>
        <w:rPr>
          <w:rFonts w:ascii="Arial" w:hAnsi="Arial" w:cs="Arial"/>
          <w:sz w:val="20"/>
          <w:szCs w:val="20"/>
        </w:rPr>
      </w:pPr>
    </w:p>
    <w:p w:rsidR="00BC289D" w:rsidRPr="00AE5B3B" w:rsidRDefault="00A947AA" w:rsidP="00AE5B3B">
      <w:p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rPr>
        <w:t>The</w:t>
      </w:r>
      <w:r w:rsidR="00BC289D" w:rsidRPr="00AE5B3B">
        <w:rPr>
          <w:rFonts w:ascii="Arial" w:hAnsi="Arial" w:cs="Arial"/>
          <w:sz w:val="20"/>
          <w:szCs w:val="20"/>
        </w:rPr>
        <w:t xml:space="preserve"> ToC </w:t>
      </w:r>
      <w:r w:rsidRPr="00AE5B3B">
        <w:rPr>
          <w:rFonts w:ascii="Arial" w:hAnsi="Arial" w:cs="Arial"/>
          <w:sz w:val="20"/>
          <w:szCs w:val="20"/>
        </w:rPr>
        <w:t>is</w:t>
      </w:r>
      <w:r w:rsidR="00BC289D" w:rsidRPr="00AE5B3B">
        <w:rPr>
          <w:rFonts w:ascii="Arial" w:hAnsi="Arial" w:cs="Arial"/>
          <w:sz w:val="20"/>
          <w:szCs w:val="20"/>
        </w:rPr>
        <w:t xml:space="preserve"> a system of ideas intended to explain how </w:t>
      </w:r>
      <w:r w:rsidRPr="00AE5B3B">
        <w:rPr>
          <w:rFonts w:ascii="Arial" w:hAnsi="Arial" w:cs="Arial"/>
          <w:sz w:val="20"/>
          <w:szCs w:val="20"/>
        </w:rPr>
        <w:t>the Department</w:t>
      </w:r>
      <w:r w:rsidR="00BC289D" w:rsidRPr="00AE5B3B">
        <w:rPr>
          <w:rFonts w:ascii="Arial" w:hAnsi="Arial" w:cs="Arial"/>
          <w:sz w:val="20"/>
          <w:szCs w:val="20"/>
        </w:rPr>
        <w:t xml:space="preserve"> think</w:t>
      </w:r>
      <w:r w:rsidR="005E2A99" w:rsidRPr="00AE5B3B">
        <w:rPr>
          <w:rFonts w:ascii="Arial" w:hAnsi="Arial" w:cs="Arial"/>
          <w:sz w:val="20"/>
          <w:szCs w:val="20"/>
        </w:rPr>
        <w:t>s that</w:t>
      </w:r>
      <w:r w:rsidR="00BC289D" w:rsidRPr="00AE5B3B">
        <w:rPr>
          <w:rFonts w:ascii="Arial" w:hAnsi="Arial" w:cs="Arial"/>
          <w:sz w:val="20"/>
          <w:szCs w:val="20"/>
        </w:rPr>
        <w:t xml:space="preserve"> change happens or will happen in the area(s) </w:t>
      </w:r>
      <w:r w:rsidRPr="00AE5B3B">
        <w:rPr>
          <w:rFonts w:ascii="Arial" w:hAnsi="Arial" w:cs="Arial"/>
          <w:sz w:val="20"/>
          <w:szCs w:val="20"/>
        </w:rPr>
        <w:t>that the Department</w:t>
      </w:r>
      <w:r w:rsidR="00BC289D" w:rsidRPr="00AE5B3B">
        <w:rPr>
          <w:rFonts w:ascii="Arial" w:hAnsi="Arial" w:cs="Arial"/>
          <w:sz w:val="20"/>
          <w:szCs w:val="20"/>
        </w:rPr>
        <w:t xml:space="preserve"> want</w:t>
      </w:r>
      <w:r w:rsidR="005E2A99" w:rsidRPr="00AE5B3B">
        <w:rPr>
          <w:rFonts w:ascii="Arial" w:hAnsi="Arial" w:cs="Arial"/>
          <w:sz w:val="20"/>
          <w:szCs w:val="20"/>
        </w:rPr>
        <w:t>s</w:t>
      </w:r>
      <w:r w:rsidR="00BC289D" w:rsidRPr="00AE5B3B">
        <w:rPr>
          <w:rFonts w:ascii="Arial" w:hAnsi="Arial" w:cs="Arial"/>
          <w:sz w:val="20"/>
          <w:szCs w:val="20"/>
        </w:rPr>
        <w:t xml:space="preserve"> to address, and how </w:t>
      </w:r>
      <w:r w:rsidRPr="00AE5B3B">
        <w:rPr>
          <w:rFonts w:ascii="Arial" w:hAnsi="Arial" w:cs="Arial"/>
          <w:sz w:val="20"/>
          <w:szCs w:val="20"/>
        </w:rPr>
        <w:t>they</w:t>
      </w:r>
      <w:r w:rsidR="00BC289D" w:rsidRPr="00AE5B3B">
        <w:rPr>
          <w:rFonts w:ascii="Arial" w:hAnsi="Arial" w:cs="Arial"/>
          <w:sz w:val="20"/>
          <w:szCs w:val="20"/>
        </w:rPr>
        <w:t xml:space="preserve"> intend to work in order to influence this change / these changes. </w:t>
      </w:r>
      <w:r w:rsidRPr="00AE5B3B">
        <w:rPr>
          <w:rFonts w:ascii="Arial" w:hAnsi="Arial" w:cs="Arial"/>
          <w:sz w:val="20"/>
          <w:szCs w:val="20"/>
        </w:rPr>
        <w:t xml:space="preserve">The ToC further </w:t>
      </w:r>
      <w:r w:rsidR="00BC289D" w:rsidRPr="00AE5B3B">
        <w:rPr>
          <w:rFonts w:ascii="Arial" w:hAnsi="Arial" w:cs="Arial"/>
          <w:sz w:val="20"/>
          <w:szCs w:val="20"/>
        </w:rPr>
        <w:t>seeks to explain how the various elements of an organisation’s strategy (activities, outputs and outcomes) contribute to the achievement of the final intended impact. T</w:t>
      </w:r>
      <w:r w:rsidRPr="00AE5B3B">
        <w:rPr>
          <w:rFonts w:ascii="Arial" w:hAnsi="Arial" w:cs="Arial"/>
          <w:sz w:val="20"/>
          <w:szCs w:val="20"/>
        </w:rPr>
        <w:t xml:space="preserve">he Department’s ToC is described in the 2022/23 APP on pages 31 to 33. </w:t>
      </w:r>
    </w:p>
    <w:p w:rsidR="00BC289D" w:rsidRPr="00AE5B3B" w:rsidRDefault="00BC289D" w:rsidP="00AE5B3B">
      <w:pPr>
        <w:autoSpaceDE w:val="0"/>
        <w:autoSpaceDN w:val="0"/>
        <w:adjustRightInd w:val="0"/>
        <w:spacing w:line="240" w:lineRule="auto"/>
        <w:jc w:val="left"/>
        <w:rPr>
          <w:rFonts w:ascii="Arial" w:hAnsi="Arial" w:cs="Arial"/>
          <w:sz w:val="20"/>
          <w:szCs w:val="20"/>
          <w:lang w:eastAsia="en-ZA"/>
        </w:rPr>
      </w:pPr>
    </w:p>
    <w:p w:rsidR="00AB6277" w:rsidRPr="00AE5B3B" w:rsidRDefault="006229AA" w:rsidP="00AE5B3B">
      <w:pPr>
        <w:pStyle w:val="Heading1"/>
        <w:numPr>
          <w:ilvl w:val="0"/>
          <w:numId w:val="19"/>
        </w:numPr>
        <w:spacing w:before="0" w:line="240" w:lineRule="auto"/>
        <w:jc w:val="left"/>
        <w:rPr>
          <w:rFonts w:ascii="Arial" w:hAnsi="Arial" w:cs="Arial"/>
          <w:sz w:val="20"/>
          <w:szCs w:val="20"/>
        </w:rPr>
      </w:pPr>
      <w:bookmarkStart w:id="3" w:name="_Toc100572308"/>
      <w:r w:rsidRPr="00AE5B3B">
        <w:rPr>
          <w:rFonts w:ascii="Arial" w:hAnsi="Arial" w:cs="Arial"/>
          <w:sz w:val="20"/>
          <w:szCs w:val="20"/>
        </w:rPr>
        <w:t xml:space="preserve">Progress on drafting of </w:t>
      </w:r>
      <w:r w:rsidR="00AB6277" w:rsidRPr="00AE5B3B">
        <w:rPr>
          <w:rFonts w:ascii="Arial" w:hAnsi="Arial" w:cs="Arial"/>
          <w:sz w:val="20"/>
          <w:szCs w:val="20"/>
        </w:rPr>
        <w:t>Legislation</w:t>
      </w:r>
      <w:bookmarkEnd w:id="3"/>
      <w:r w:rsidR="00AB6277" w:rsidRPr="00AE5B3B">
        <w:rPr>
          <w:rFonts w:ascii="Arial" w:hAnsi="Arial" w:cs="Arial"/>
          <w:sz w:val="20"/>
          <w:szCs w:val="20"/>
        </w:rPr>
        <w:t xml:space="preserve"> </w:t>
      </w:r>
    </w:p>
    <w:p w:rsidR="006229AA" w:rsidRPr="00AE5B3B" w:rsidRDefault="006229AA" w:rsidP="00AE5B3B">
      <w:pPr>
        <w:spacing w:line="240" w:lineRule="auto"/>
        <w:jc w:val="left"/>
        <w:rPr>
          <w:rFonts w:ascii="Arial" w:hAnsi="Arial" w:cs="Arial"/>
          <w:sz w:val="20"/>
          <w:szCs w:val="20"/>
        </w:rPr>
      </w:pPr>
    </w:p>
    <w:p w:rsidR="006229AA" w:rsidRPr="00AE5B3B" w:rsidRDefault="006229AA" w:rsidP="00AE5B3B">
      <w:pPr>
        <w:spacing w:line="240" w:lineRule="auto"/>
        <w:jc w:val="left"/>
        <w:rPr>
          <w:rFonts w:ascii="Arial" w:hAnsi="Arial" w:cs="Arial"/>
          <w:sz w:val="20"/>
          <w:szCs w:val="20"/>
        </w:rPr>
      </w:pPr>
      <w:r w:rsidRPr="00AE5B3B">
        <w:rPr>
          <w:rFonts w:ascii="Arial" w:hAnsi="Arial" w:cs="Arial"/>
          <w:sz w:val="20"/>
          <w:szCs w:val="20"/>
        </w:rPr>
        <w:t xml:space="preserve">During 2021, the following progress was made in terms of </w:t>
      </w:r>
      <w:r w:rsidR="00F6654B" w:rsidRPr="00AE5B3B">
        <w:rPr>
          <w:rFonts w:ascii="Arial" w:hAnsi="Arial" w:cs="Arial"/>
          <w:sz w:val="20"/>
          <w:szCs w:val="20"/>
        </w:rPr>
        <w:t xml:space="preserve">key </w:t>
      </w:r>
      <w:r w:rsidRPr="00AE5B3B">
        <w:rPr>
          <w:rFonts w:ascii="Arial" w:hAnsi="Arial" w:cs="Arial"/>
          <w:sz w:val="20"/>
          <w:szCs w:val="20"/>
        </w:rPr>
        <w:t>legislation</w:t>
      </w:r>
      <w:r w:rsidR="00F6654B" w:rsidRPr="00AE5B3B">
        <w:rPr>
          <w:rFonts w:ascii="Arial" w:hAnsi="Arial" w:cs="Arial"/>
          <w:sz w:val="20"/>
          <w:szCs w:val="20"/>
        </w:rPr>
        <w:t xml:space="preserve"> affecting the policing portfolio</w:t>
      </w:r>
      <w:r w:rsidRPr="00AE5B3B">
        <w:rPr>
          <w:rFonts w:ascii="Arial" w:hAnsi="Arial" w:cs="Arial"/>
          <w:sz w:val="20"/>
          <w:szCs w:val="20"/>
        </w:rPr>
        <w:t xml:space="preserve">: </w:t>
      </w:r>
    </w:p>
    <w:p w:rsidR="006229AA" w:rsidRPr="00AE5B3B" w:rsidRDefault="006229AA" w:rsidP="00AE5B3B">
      <w:pPr>
        <w:spacing w:line="240" w:lineRule="auto"/>
        <w:jc w:val="left"/>
        <w:rPr>
          <w:rFonts w:ascii="Arial" w:hAnsi="Arial" w:cs="Arial"/>
          <w:sz w:val="20"/>
          <w:szCs w:val="20"/>
        </w:rPr>
      </w:pPr>
    </w:p>
    <w:p w:rsidR="00AB6277" w:rsidRPr="00AE5B3B" w:rsidRDefault="00AB6277" w:rsidP="00AE5B3B">
      <w:pPr>
        <w:autoSpaceDE w:val="0"/>
        <w:autoSpaceDN w:val="0"/>
        <w:adjustRightInd w:val="0"/>
        <w:spacing w:line="240" w:lineRule="auto"/>
        <w:jc w:val="left"/>
        <w:rPr>
          <w:rFonts w:ascii="Arial" w:hAnsi="Arial" w:cs="Arial"/>
          <w:b/>
          <w:sz w:val="20"/>
          <w:szCs w:val="20"/>
          <w:lang w:eastAsia="en-ZA"/>
        </w:rPr>
      </w:pPr>
      <w:r w:rsidRPr="00AE5B3B">
        <w:rPr>
          <w:rFonts w:ascii="Arial" w:hAnsi="Arial" w:cs="Arial"/>
          <w:b/>
          <w:sz w:val="20"/>
          <w:szCs w:val="20"/>
          <w:lang w:eastAsia="en-ZA"/>
        </w:rPr>
        <w:t xml:space="preserve">South African Police Service Amendment Bill </w:t>
      </w:r>
    </w:p>
    <w:p w:rsidR="00AB6277" w:rsidRPr="00AE5B3B" w:rsidRDefault="00AB6277" w:rsidP="00AE5B3B">
      <w:pPr>
        <w:pStyle w:val="ListParagraph"/>
        <w:numPr>
          <w:ilvl w:val="0"/>
          <w:numId w:val="11"/>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Public comments received </w:t>
      </w:r>
      <w:r w:rsidR="006229AA" w:rsidRPr="00AE5B3B">
        <w:rPr>
          <w:rFonts w:ascii="Arial" w:hAnsi="Arial" w:cs="Arial"/>
          <w:sz w:val="20"/>
          <w:szCs w:val="20"/>
          <w:lang w:eastAsia="en-ZA"/>
        </w:rPr>
        <w:t xml:space="preserve">in 2021 </w:t>
      </w:r>
      <w:r w:rsidRPr="00AE5B3B">
        <w:rPr>
          <w:rFonts w:ascii="Arial" w:hAnsi="Arial" w:cs="Arial"/>
          <w:sz w:val="20"/>
          <w:szCs w:val="20"/>
          <w:lang w:eastAsia="en-ZA"/>
        </w:rPr>
        <w:t xml:space="preserve">were considered and incorporated into the Bill. </w:t>
      </w:r>
    </w:p>
    <w:p w:rsidR="00AB6277" w:rsidRPr="00AE5B3B" w:rsidRDefault="00AB6277" w:rsidP="00AE5B3B">
      <w:pPr>
        <w:pStyle w:val="ListParagraph"/>
        <w:numPr>
          <w:ilvl w:val="0"/>
          <w:numId w:val="11"/>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introduction of the Bill in Parliament for consideration is envisaged in the new financial year (2022/23). </w:t>
      </w: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p>
    <w:p w:rsidR="00AB6277" w:rsidRPr="00AE5B3B" w:rsidRDefault="00AB6277" w:rsidP="00AE5B3B">
      <w:pPr>
        <w:autoSpaceDE w:val="0"/>
        <w:autoSpaceDN w:val="0"/>
        <w:adjustRightInd w:val="0"/>
        <w:spacing w:line="240" w:lineRule="auto"/>
        <w:jc w:val="left"/>
        <w:rPr>
          <w:rFonts w:ascii="Arial" w:hAnsi="Arial" w:cs="Arial"/>
          <w:b/>
          <w:sz w:val="20"/>
          <w:szCs w:val="20"/>
          <w:lang w:eastAsia="en-ZA"/>
        </w:rPr>
      </w:pPr>
      <w:r w:rsidRPr="00AE5B3B">
        <w:rPr>
          <w:rFonts w:ascii="Arial" w:hAnsi="Arial" w:cs="Arial"/>
          <w:b/>
          <w:sz w:val="20"/>
          <w:szCs w:val="20"/>
          <w:lang w:eastAsia="en-ZA"/>
        </w:rPr>
        <w:t xml:space="preserve">Criminal Law (Forensic Procedures) Amendment Bill </w:t>
      </w:r>
    </w:p>
    <w:p w:rsidR="00AB6277" w:rsidRPr="00AE5B3B" w:rsidRDefault="00AB6277" w:rsidP="00AE5B3B">
      <w:pPr>
        <w:pStyle w:val="ListParagraph"/>
        <w:numPr>
          <w:ilvl w:val="0"/>
          <w:numId w:val="12"/>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Bill was introduced in Parliament in December 2021. </w:t>
      </w:r>
    </w:p>
    <w:p w:rsidR="00AB6277" w:rsidRPr="00AE5B3B" w:rsidRDefault="00AB6277" w:rsidP="00AE5B3B">
      <w:pPr>
        <w:pStyle w:val="ListParagraph"/>
        <w:numPr>
          <w:ilvl w:val="0"/>
          <w:numId w:val="12"/>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Portfolio Committee on Police has already commenced with conducting Parliamentary deliberations on the Bill. </w:t>
      </w:r>
    </w:p>
    <w:p w:rsidR="00AB6277" w:rsidRPr="00AE5B3B" w:rsidRDefault="00AB6277" w:rsidP="00AE5B3B">
      <w:pPr>
        <w:pStyle w:val="ListParagraph"/>
        <w:numPr>
          <w:ilvl w:val="0"/>
          <w:numId w:val="12"/>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Public hearings on the Bill </w:t>
      </w:r>
      <w:r w:rsidR="005E2A99" w:rsidRPr="00AE5B3B">
        <w:rPr>
          <w:rFonts w:ascii="Arial" w:hAnsi="Arial" w:cs="Arial"/>
          <w:sz w:val="20"/>
          <w:szCs w:val="20"/>
          <w:lang w:eastAsia="en-ZA"/>
        </w:rPr>
        <w:t xml:space="preserve">were </w:t>
      </w:r>
      <w:r w:rsidRPr="00AE5B3B">
        <w:rPr>
          <w:rFonts w:ascii="Arial" w:hAnsi="Arial" w:cs="Arial"/>
          <w:sz w:val="20"/>
          <w:szCs w:val="20"/>
          <w:lang w:eastAsia="en-ZA"/>
        </w:rPr>
        <w:t xml:space="preserve">scheduled to take place in March 2022. </w:t>
      </w: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r w:rsidRPr="00AE5B3B">
        <w:rPr>
          <w:rFonts w:ascii="Arial" w:hAnsi="Arial" w:cs="Arial"/>
          <w:b/>
          <w:bCs/>
          <w:sz w:val="20"/>
          <w:szCs w:val="20"/>
          <w:lang w:eastAsia="en-ZA"/>
        </w:rPr>
        <w:t xml:space="preserve">Firearms Control Amendment Bill </w:t>
      </w:r>
    </w:p>
    <w:p w:rsidR="00AB6277" w:rsidRPr="00AE5B3B" w:rsidRDefault="00AB6277" w:rsidP="00AE5B3B">
      <w:pPr>
        <w:pStyle w:val="ListParagraph"/>
        <w:numPr>
          <w:ilvl w:val="0"/>
          <w:numId w:val="13"/>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Bill was published for public comments in May 2021. </w:t>
      </w:r>
    </w:p>
    <w:p w:rsidR="00AB6277" w:rsidRPr="00AE5B3B" w:rsidRDefault="00AB6277" w:rsidP="00AE5B3B">
      <w:pPr>
        <w:pStyle w:val="ListParagraph"/>
        <w:numPr>
          <w:ilvl w:val="0"/>
          <w:numId w:val="13"/>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Bill will undergo a series of further consultation with stakeholders in February 2022. </w:t>
      </w: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r w:rsidRPr="00AE5B3B">
        <w:rPr>
          <w:rFonts w:ascii="Arial" w:hAnsi="Arial" w:cs="Arial"/>
          <w:b/>
          <w:bCs/>
          <w:sz w:val="20"/>
          <w:szCs w:val="20"/>
          <w:lang w:eastAsia="en-ZA"/>
        </w:rPr>
        <w:t xml:space="preserve">Protection of Constitutional Democracy Against Terrorist and Related Activities Amendment Bill </w:t>
      </w:r>
    </w:p>
    <w:p w:rsidR="00AB6277" w:rsidRPr="00AE5B3B" w:rsidRDefault="00AB6277" w:rsidP="00AE5B3B">
      <w:pPr>
        <w:pStyle w:val="ListParagraph"/>
        <w:numPr>
          <w:ilvl w:val="0"/>
          <w:numId w:val="14"/>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Bill was published for public comments in May 2021. </w:t>
      </w:r>
    </w:p>
    <w:p w:rsidR="00AB6277" w:rsidRPr="00AE5B3B" w:rsidRDefault="00AB6277" w:rsidP="00AE5B3B">
      <w:pPr>
        <w:pStyle w:val="ListParagraph"/>
        <w:numPr>
          <w:ilvl w:val="0"/>
          <w:numId w:val="14"/>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introduction of the Bill in Parliament for consideration is envisaged in the </w:t>
      </w:r>
      <w:r w:rsidR="00E37BB2" w:rsidRPr="00AE5B3B">
        <w:rPr>
          <w:rFonts w:ascii="Arial" w:hAnsi="Arial" w:cs="Arial"/>
          <w:sz w:val="20"/>
          <w:szCs w:val="20"/>
          <w:lang w:eastAsia="en-ZA"/>
        </w:rPr>
        <w:t xml:space="preserve">2022/23 </w:t>
      </w:r>
      <w:r w:rsidRPr="00AE5B3B">
        <w:rPr>
          <w:rFonts w:ascii="Arial" w:hAnsi="Arial" w:cs="Arial"/>
          <w:sz w:val="20"/>
          <w:szCs w:val="20"/>
          <w:lang w:eastAsia="en-ZA"/>
        </w:rPr>
        <w:t xml:space="preserve">financial year. </w:t>
      </w:r>
    </w:p>
    <w:p w:rsidR="00AB6277" w:rsidRPr="00AE5B3B" w:rsidRDefault="00AB6277" w:rsidP="00AE5B3B">
      <w:pPr>
        <w:autoSpaceDE w:val="0"/>
        <w:autoSpaceDN w:val="0"/>
        <w:adjustRightInd w:val="0"/>
        <w:spacing w:line="240" w:lineRule="auto"/>
        <w:jc w:val="left"/>
        <w:rPr>
          <w:rFonts w:ascii="Arial" w:hAnsi="Arial" w:cs="Arial"/>
          <w:sz w:val="20"/>
          <w:szCs w:val="20"/>
        </w:rPr>
      </w:pPr>
    </w:p>
    <w:p w:rsidR="00AB6277" w:rsidRPr="00AE5B3B" w:rsidRDefault="00AB6277" w:rsidP="00AE5B3B">
      <w:pPr>
        <w:autoSpaceDE w:val="0"/>
        <w:autoSpaceDN w:val="0"/>
        <w:adjustRightInd w:val="0"/>
        <w:spacing w:line="240" w:lineRule="auto"/>
        <w:jc w:val="left"/>
        <w:rPr>
          <w:rFonts w:ascii="Arial" w:hAnsi="Arial" w:cs="Arial"/>
          <w:sz w:val="20"/>
          <w:szCs w:val="20"/>
          <w:lang w:eastAsia="en-ZA"/>
        </w:rPr>
      </w:pPr>
      <w:r w:rsidRPr="00AE5B3B">
        <w:rPr>
          <w:rFonts w:ascii="Arial" w:hAnsi="Arial" w:cs="Arial"/>
          <w:b/>
          <w:bCs/>
          <w:sz w:val="20"/>
          <w:szCs w:val="20"/>
          <w:lang w:eastAsia="en-ZA"/>
        </w:rPr>
        <w:t xml:space="preserve">Independent Police Investigative Directorate Amendment Bill </w:t>
      </w:r>
    </w:p>
    <w:p w:rsidR="00AB6277" w:rsidRPr="00AE5B3B" w:rsidRDefault="00AB6277" w:rsidP="00AE5B3B">
      <w:pPr>
        <w:pStyle w:val="ListParagraph"/>
        <w:numPr>
          <w:ilvl w:val="0"/>
          <w:numId w:val="15"/>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Bill has been drafted and is being prepared for consultations through the JCPS Cluster for Cabinet approval for publication in the Gazette for public comments. </w:t>
      </w:r>
    </w:p>
    <w:p w:rsidR="00AB6277" w:rsidRPr="00AE5B3B" w:rsidRDefault="00AB6277" w:rsidP="00AE5B3B">
      <w:pPr>
        <w:spacing w:line="240" w:lineRule="auto"/>
        <w:jc w:val="left"/>
        <w:rPr>
          <w:rFonts w:ascii="Arial" w:hAnsi="Arial" w:cs="Arial"/>
          <w:sz w:val="20"/>
          <w:szCs w:val="20"/>
        </w:rPr>
      </w:pPr>
    </w:p>
    <w:p w:rsidR="006229AA" w:rsidRPr="00AE5B3B" w:rsidRDefault="00A947AA" w:rsidP="00AE5B3B">
      <w:pPr>
        <w:spacing w:line="240" w:lineRule="auto"/>
        <w:jc w:val="left"/>
        <w:rPr>
          <w:rFonts w:ascii="Arial" w:hAnsi="Arial" w:cs="Arial"/>
          <w:sz w:val="20"/>
          <w:szCs w:val="20"/>
          <w:lang w:eastAsia="en-ZA"/>
        </w:rPr>
      </w:pPr>
      <w:r w:rsidRPr="00AE5B3B">
        <w:rPr>
          <w:rFonts w:ascii="Arial" w:hAnsi="Arial" w:cs="Arial"/>
          <w:sz w:val="20"/>
          <w:szCs w:val="20"/>
        </w:rPr>
        <w:t xml:space="preserve">According to the performance indicators of the Legislation subprogramme, </w:t>
      </w:r>
      <w:r w:rsidR="009F3A65" w:rsidRPr="00AE5B3B">
        <w:rPr>
          <w:rFonts w:ascii="Arial" w:hAnsi="Arial" w:cs="Arial"/>
          <w:sz w:val="20"/>
          <w:szCs w:val="20"/>
        </w:rPr>
        <w:t xml:space="preserve">two </w:t>
      </w:r>
      <w:r w:rsidR="005E2A99" w:rsidRPr="00AE5B3B">
        <w:rPr>
          <w:rFonts w:ascii="Arial" w:hAnsi="Arial" w:cs="Arial"/>
          <w:sz w:val="20"/>
          <w:szCs w:val="20"/>
        </w:rPr>
        <w:t>B</w:t>
      </w:r>
      <w:r w:rsidR="009F3A65" w:rsidRPr="00AE5B3B">
        <w:rPr>
          <w:rFonts w:ascii="Arial" w:hAnsi="Arial" w:cs="Arial"/>
          <w:sz w:val="20"/>
          <w:szCs w:val="20"/>
        </w:rPr>
        <w:t xml:space="preserve">ills will be submitted to the Minister of Police for Cabinet approval. </w:t>
      </w:r>
      <w:r w:rsidR="009F3A65" w:rsidRPr="00AE5B3B">
        <w:rPr>
          <w:rFonts w:ascii="Arial" w:hAnsi="Arial" w:cs="Arial"/>
          <w:sz w:val="20"/>
          <w:szCs w:val="20"/>
          <w:lang w:eastAsia="en-ZA"/>
        </w:rPr>
        <w:t xml:space="preserve">The </w:t>
      </w:r>
      <w:r w:rsidR="006229AA" w:rsidRPr="00AE5B3B">
        <w:rPr>
          <w:rFonts w:ascii="Arial" w:hAnsi="Arial" w:cs="Arial"/>
          <w:sz w:val="20"/>
          <w:szCs w:val="20"/>
          <w:lang w:eastAsia="en-ZA"/>
        </w:rPr>
        <w:t xml:space="preserve">development, progress and prioritisation of Bills is guided by the Legislative Programme for the financial year, and may also be influenced by directives from the Portfolio Committee on Police and the Office of the Leader of Government Business. </w:t>
      </w:r>
    </w:p>
    <w:p w:rsidR="00FD7CD1" w:rsidRPr="00AE5B3B" w:rsidRDefault="00FD7CD1" w:rsidP="00AE5B3B">
      <w:pPr>
        <w:autoSpaceDE w:val="0"/>
        <w:autoSpaceDN w:val="0"/>
        <w:adjustRightInd w:val="0"/>
        <w:spacing w:line="240" w:lineRule="auto"/>
        <w:jc w:val="left"/>
        <w:rPr>
          <w:rFonts w:ascii="Arial" w:hAnsi="Arial" w:cs="Arial"/>
          <w:b/>
          <w:sz w:val="20"/>
          <w:szCs w:val="20"/>
          <w:lang w:eastAsia="en-ZA"/>
        </w:rPr>
      </w:pPr>
    </w:p>
    <w:p w:rsidR="006229AA" w:rsidRPr="00AE5B3B" w:rsidRDefault="006229AA" w:rsidP="00AE5B3B">
      <w:p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The Department identified delays in finalisation of the legislation process as a strategic risk and noted that </w:t>
      </w:r>
      <w:r w:rsidR="00FD7CD1" w:rsidRPr="00AE5B3B">
        <w:rPr>
          <w:rFonts w:ascii="Arial" w:hAnsi="Arial" w:cs="Arial"/>
          <w:sz w:val="20"/>
          <w:szCs w:val="20"/>
          <w:lang w:eastAsia="en-ZA"/>
        </w:rPr>
        <w:t xml:space="preserve">it </w:t>
      </w:r>
      <w:r w:rsidRPr="00AE5B3B">
        <w:rPr>
          <w:rFonts w:ascii="Arial" w:hAnsi="Arial" w:cs="Arial"/>
          <w:sz w:val="20"/>
          <w:szCs w:val="20"/>
          <w:lang w:eastAsia="en-ZA"/>
        </w:rPr>
        <w:t>emanates from dependency on other stakeholders and diversion from the core mandate and inadequate capacity and expertise. To mitigate the risk, the Department will conduct early and continuous engagement with stakeholders and will expand the Legislation Chief Directorate to cover other legal mat</w:t>
      </w:r>
      <w:r w:rsidR="00FB33B9" w:rsidRPr="00AE5B3B">
        <w:rPr>
          <w:rFonts w:ascii="Arial" w:hAnsi="Arial" w:cs="Arial"/>
          <w:sz w:val="20"/>
          <w:szCs w:val="20"/>
          <w:lang w:eastAsia="en-ZA"/>
        </w:rPr>
        <w:t>ters required by the Department.</w:t>
      </w:r>
    </w:p>
    <w:p w:rsidR="006229AA" w:rsidRPr="00AE5B3B" w:rsidRDefault="006229AA" w:rsidP="00AE5B3B">
      <w:pPr>
        <w:spacing w:line="240" w:lineRule="auto"/>
        <w:jc w:val="left"/>
        <w:rPr>
          <w:rFonts w:ascii="Arial" w:hAnsi="Arial" w:cs="Arial"/>
          <w:sz w:val="20"/>
          <w:szCs w:val="20"/>
        </w:rPr>
      </w:pPr>
    </w:p>
    <w:p w:rsidR="006229AA" w:rsidRPr="00AE5B3B" w:rsidRDefault="006229AA" w:rsidP="00AE5B3B">
      <w:pPr>
        <w:spacing w:line="240" w:lineRule="auto"/>
        <w:jc w:val="left"/>
        <w:rPr>
          <w:rFonts w:ascii="Arial" w:hAnsi="Arial" w:cs="Arial"/>
          <w:b/>
          <w:sz w:val="20"/>
          <w:szCs w:val="20"/>
        </w:rPr>
      </w:pPr>
      <w:r w:rsidRPr="00AE5B3B">
        <w:rPr>
          <w:rFonts w:ascii="Arial" w:hAnsi="Arial" w:cs="Arial"/>
          <w:b/>
          <w:sz w:val="20"/>
          <w:szCs w:val="20"/>
        </w:rPr>
        <w:lastRenderedPageBreak/>
        <w:t>Review of CSPS Act</w:t>
      </w:r>
    </w:p>
    <w:p w:rsidR="00A51D7E" w:rsidRPr="00AE5B3B" w:rsidRDefault="00A51D7E" w:rsidP="00AE5B3B">
      <w:pPr>
        <w:spacing w:line="240" w:lineRule="auto"/>
        <w:jc w:val="left"/>
        <w:rPr>
          <w:rFonts w:ascii="Arial" w:hAnsi="Arial" w:cs="Arial"/>
          <w:sz w:val="20"/>
          <w:szCs w:val="20"/>
        </w:rPr>
      </w:pPr>
    </w:p>
    <w:p w:rsidR="00AB6277" w:rsidRPr="00AE5B3B" w:rsidRDefault="006229AA" w:rsidP="00AE5B3B">
      <w:pPr>
        <w:spacing w:line="240" w:lineRule="auto"/>
        <w:jc w:val="left"/>
        <w:rPr>
          <w:rFonts w:ascii="Arial" w:hAnsi="Arial" w:cs="Arial"/>
          <w:i/>
          <w:sz w:val="20"/>
          <w:szCs w:val="20"/>
        </w:rPr>
      </w:pPr>
      <w:r w:rsidRPr="00AE5B3B">
        <w:rPr>
          <w:rFonts w:ascii="Arial" w:hAnsi="Arial" w:cs="Arial"/>
          <w:sz w:val="20"/>
          <w:szCs w:val="20"/>
        </w:rPr>
        <w:t xml:space="preserve">In its 2022/23 APP, the Department stated the need for an urgent review of the CSPS Act, 2011. It stated that although the </w:t>
      </w:r>
      <w:r w:rsidRPr="00AE5B3B">
        <w:rPr>
          <w:rFonts w:ascii="Arial" w:hAnsi="Arial" w:cs="Arial"/>
          <w:i/>
          <w:sz w:val="20"/>
          <w:szCs w:val="20"/>
        </w:rPr>
        <w:t>“</w:t>
      </w:r>
      <w:r w:rsidR="005D2917" w:rsidRPr="00AE5B3B">
        <w:rPr>
          <w:rFonts w:ascii="Arial" w:hAnsi="Arial" w:cs="Arial"/>
          <w:i/>
          <w:sz w:val="20"/>
          <w:szCs w:val="20"/>
        </w:rPr>
        <w:t>CSPS legislation</w:t>
      </w:r>
      <w:r w:rsidRPr="00AE5B3B">
        <w:rPr>
          <w:rFonts w:ascii="Arial" w:hAnsi="Arial" w:cs="Arial"/>
          <w:i/>
          <w:sz w:val="20"/>
          <w:szCs w:val="20"/>
        </w:rPr>
        <w:t xml:space="preserve"> is good, </w:t>
      </w:r>
      <w:r w:rsidR="005D2917" w:rsidRPr="00AE5B3B">
        <w:rPr>
          <w:rFonts w:ascii="Arial" w:hAnsi="Arial" w:cs="Arial"/>
          <w:i/>
          <w:sz w:val="20"/>
          <w:szCs w:val="20"/>
        </w:rPr>
        <w:t>clear and succinct in terms of our oversight role,</w:t>
      </w:r>
      <w:r w:rsidR="005E2A99" w:rsidRPr="00AE5B3B">
        <w:rPr>
          <w:rFonts w:ascii="Arial" w:hAnsi="Arial" w:cs="Arial"/>
          <w:i/>
          <w:sz w:val="20"/>
          <w:szCs w:val="20"/>
        </w:rPr>
        <w:t xml:space="preserve"> (it)</w:t>
      </w:r>
      <w:r w:rsidR="005D2917" w:rsidRPr="00AE5B3B">
        <w:rPr>
          <w:rFonts w:ascii="Arial" w:hAnsi="Arial" w:cs="Arial"/>
          <w:i/>
          <w:sz w:val="20"/>
          <w:szCs w:val="20"/>
        </w:rPr>
        <w:t xml:space="preserve"> is also somewhat vague in terms of empowering the Department to actively pursue some of the bold choices in its organisational strategy by making allowances for enforcement in instances of non-adherence to its provisions by SAPS. The need for a review of the Act has thus become pertinent, particularly taking into account the fact that both the SAPS and IPID Acts have also been reviewed.</w:t>
      </w:r>
      <w:r w:rsidRPr="00AE5B3B">
        <w:rPr>
          <w:rFonts w:ascii="Arial" w:hAnsi="Arial" w:cs="Arial"/>
          <w:i/>
          <w:sz w:val="20"/>
          <w:szCs w:val="20"/>
        </w:rPr>
        <w:t>”</w:t>
      </w:r>
    </w:p>
    <w:p w:rsidR="00FB33B9" w:rsidRPr="00AE5B3B" w:rsidRDefault="00FB33B9" w:rsidP="00AE5B3B">
      <w:pPr>
        <w:spacing w:line="240" w:lineRule="auto"/>
        <w:jc w:val="left"/>
        <w:rPr>
          <w:rFonts w:ascii="Arial" w:hAnsi="Arial" w:cs="Arial"/>
          <w:sz w:val="20"/>
          <w:szCs w:val="20"/>
          <w:u w:val="single"/>
        </w:rPr>
      </w:pPr>
    </w:p>
    <w:p w:rsidR="00F463A2" w:rsidRPr="00AE5B3B" w:rsidRDefault="00052B47" w:rsidP="00AE5B3B">
      <w:pPr>
        <w:pStyle w:val="Heading1"/>
        <w:numPr>
          <w:ilvl w:val="0"/>
          <w:numId w:val="19"/>
        </w:numPr>
        <w:spacing w:before="0" w:line="240" w:lineRule="auto"/>
        <w:jc w:val="left"/>
        <w:rPr>
          <w:rFonts w:ascii="Arial" w:hAnsi="Arial" w:cs="Arial"/>
          <w:sz w:val="20"/>
          <w:szCs w:val="20"/>
        </w:rPr>
      </w:pPr>
      <w:bookmarkStart w:id="4" w:name="_Toc100572309"/>
      <w:r w:rsidRPr="00AE5B3B">
        <w:rPr>
          <w:rFonts w:ascii="Arial" w:hAnsi="Arial" w:cs="Arial"/>
          <w:sz w:val="20"/>
          <w:szCs w:val="20"/>
        </w:rPr>
        <w:t xml:space="preserve">Budget </w:t>
      </w:r>
      <w:r w:rsidR="00971F0A" w:rsidRPr="00AE5B3B">
        <w:rPr>
          <w:rFonts w:ascii="Arial" w:hAnsi="Arial" w:cs="Arial"/>
          <w:sz w:val="20"/>
          <w:szCs w:val="20"/>
        </w:rPr>
        <w:t>allocati</w:t>
      </w:r>
      <w:r w:rsidR="00253639" w:rsidRPr="00AE5B3B">
        <w:rPr>
          <w:rFonts w:ascii="Arial" w:hAnsi="Arial" w:cs="Arial"/>
          <w:sz w:val="20"/>
          <w:szCs w:val="20"/>
        </w:rPr>
        <w:t xml:space="preserve">on </w:t>
      </w:r>
      <w:r w:rsidR="005A6379" w:rsidRPr="00AE5B3B">
        <w:rPr>
          <w:rFonts w:ascii="Arial" w:hAnsi="Arial" w:cs="Arial"/>
          <w:sz w:val="20"/>
          <w:szCs w:val="20"/>
        </w:rPr>
        <w:t>2022/23</w:t>
      </w:r>
      <w:bookmarkEnd w:id="4"/>
    </w:p>
    <w:p w:rsidR="00C858AF" w:rsidRPr="00AE5B3B" w:rsidRDefault="00C858AF" w:rsidP="00AE5B3B">
      <w:pPr>
        <w:spacing w:line="240" w:lineRule="auto"/>
        <w:jc w:val="left"/>
        <w:rPr>
          <w:rFonts w:ascii="Arial" w:hAnsi="Arial" w:cs="Arial"/>
          <w:sz w:val="20"/>
          <w:szCs w:val="20"/>
        </w:rPr>
      </w:pPr>
    </w:p>
    <w:p w:rsidR="00971F0A" w:rsidRPr="00AE5B3B" w:rsidRDefault="00971F0A" w:rsidP="00AE5B3B">
      <w:pPr>
        <w:pStyle w:val="Heading2"/>
        <w:numPr>
          <w:ilvl w:val="1"/>
          <w:numId w:val="19"/>
        </w:numPr>
        <w:spacing w:before="0" w:line="240" w:lineRule="auto"/>
        <w:rPr>
          <w:rFonts w:ascii="Arial" w:hAnsi="Arial" w:cs="Arial"/>
          <w:sz w:val="20"/>
          <w:szCs w:val="20"/>
        </w:rPr>
      </w:pPr>
      <w:bookmarkStart w:id="5" w:name="_Toc100572310"/>
      <w:r w:rsidRPr="00AE5B3B">
        <w:rPr>
          <w:rFonts w:ascii="Arial" w:hAnsi="Arial" w:cs="Arial"/>
          <w:sz w:val="20"/>
          <w:szCs w:val="20"/>
        </w:rPr>
        <w:t>Overall budget allocation</w:t>
      </w:r>
      <w:bookmarkEnd w:id="5"/>
    </w:p>
    <w:p w:rsidR="000129BF" w:rsidRPr="00AE5B3B" w:rsidRDefault="000129BF" w:rsidP="00AE5B3B">
      <w:pPr>
        <w:autoSpaceDE w:val="0"/>
        <w:autoSpaceDN w:val="0"/>
        <w:adjustRightInd w:val="0"/>
        <w:spacing w:line="240" w:lineRule="auto"/>
        <w:jc w:val="left"/>
        <w:rPr>
          <w:rFonts w:ascii="Arial" w:hAnsi="Arial" w:cs="Arial"/>
          <w:sz w:val="20"/>
          <w:szCs w:val="20"/>
        </w:rPr>
      </w:pPr>
    </w:p>
    <w:p w:rsidR="0017580E" w:rsidRPr="00AE5B3B" w:rsidRDefault="0017580E"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 xml:space="preserve">The CSPS </w:t>
      </w:r>
      <w:r w:rsidR="00D0113B" w:rsidRPr="00AE5B3B">
        <w:rPr>
          <w:rFonts w:ascii="Arial" w:hAnsi="Arial" w:cs="Arial"/>
          <w:sz w:val="20"/>
          <w:szCs w:val="20"/>
        </w:rPr>
        <w:t>received</w:t>
      </w:r>
      <w:r w:rsidRPr="00AE5B3B">
        <w:rPr>
          <w:rFonts w:ascii="Arial" w:hAnsi="Arial" w:cs="Arial"/>
          <w:sz w:val="20"/>
          <w:szCs w:val="20"/>
        </w:rPr>
        <w:t xml:space="preserve"> a </w:t>
      </w:r>
      <w:r w:rsidR="00876C7D" w:rsidRPr="00AE5B3B">
        <w:rPr>
          <w:rFonts w:ascii="Arial" w:hAnsi="Arial" w:cs="Arial"/>
          <w:sz w:val="20"/>
          <w:szCs w:val="20"/>
        </w:rPr>
        <w:t>M</w:t>
      </w:r>
      <w:r w:rsidRPr="00AE5B3B">
        <w:rPr>
          <w:rFonts w:ascii="Arial" w:hAnsi="Arial" w:cs="Arial"/>
          <w:sz w:val="20"/>
          <w:szCs w:val="20"/>
        </w:rPr>
        <w:t xml:space="preserve">ain </w:t>
      </w:r>
      <w:r w:rsidR="00876C7D" w:rsidRPr="00AE5B3B">
        <w:rPr>
          <w:rFonts w:ascii="Arial" w:hAnsi="Arial" w:cs="Arial"/>
          <w:sz w:val="20"/>
          <w:szCs w:val="20"/>
        </w:rPr>
        <w:t>A</w:t>
      </w:r>
      <w:r w:rsidRPr="00AE5B3B">
        <w:rPr>
          <w:rFonts w:ascii="Arial" w:hAnsi="Arial" w:cs="Arial"/>
          <w:sz w:val="20"/>
          <w:szCs w:val="20"/>
        </w:rPr>
        <w:t>ppropriation of R</w:t>
      </w:r>
      <w:r w:rsidR="0033165F" w:rsidRPr="00AE5B3B">
        <w:rPr>
          <w:rFonts w:ascii="Arial" w:hAnsi="Arial" w:cs="Arial"/>
          <w:sz w:val="20"/>
          <w:szCs w:val="20"/>
        </w:rPr>
        <w:t>152.3</w:t>
      </w:r>
      <w:r w:rsidRPr="00AE5B3B">
        <w:rPr>
          <w:rFonts w:ascii="Arial" w:hAnsi="Arial" w:cs="Arial"/>
          <w:sz w:val="20"/>
          <w:szCs w:val="20"/>
        </w:rPr>
        <w:t xml:space="preserve"> million in 202</w:t>
      </w:r>
      <w:r w:rsidR="0033165F" w:rsidRPr="00AE5B3B">
        <w:rPr>
          <w:rFonts w:ascii="Arial" w:hAnsi="Arial" w:cs="Arial"/>
          <w:sz w:val="20"/>
          <w:szCs w:val="20"/>
        </w:rPr>
        <w:t>2</w:t>
      </w:r>
      <w:r w:rsidR="00876C7D" w:rsidRPr="00AE5B3B">
        <w:rPr>
          <w:rFonts w:ascii="Arial" w:hAnsi="Arial" w:cs="Arial"/>
          <w:sz w:val="20"/>
          <w:szCs w:val="20"/>
        </w:rPr>
        <w:t>/2</w:t>
      </w:r>
      <w:r w:rsidR="0033165F" w:rsidRPr="00AE5B3B">
        <w:rPr>
          <w:rFonts w:ascii="Arial" w:hAnsi="Arial" w:cs="Arial"/>
          <w:sz w:val="20"/>
          <w:szCs w:val="20"/>
        </w:rPr>
        <w:t>3</w:t>
      </w:r>
      <w:r w:rsidRPr="00AE5B3B">
        <w:rPr>
          <w:rFonts w:ascii="Arial" w:hAnsi="Arial" w:cs="Arial"/>
          <w:sz w:val="20"/>
          <w:szCs w:val="20"/>
        </w:rPr>
        <w:t xml:space="preserve">, which is a </w:t>
      </w:r>
      <w:r w:rsidR="0033165F" w:rsidRPr="00AE5B3B">
        <w:rPr>
          <w:rFonts w:ascii="Arial" w:hAnsi="Arial" w:cs="Arial"/>
          <w:sz w:val="20"/>
          <w:szCs w:val="20"/>
        </w:rPr>
        <w:t xml:space="preserve">slight </w:t>
      </w:r>
      <w:r w:rsidRPr="00AE5B3B">
        <w:rPr>
          <w:rFonts w:ascii="Arial" w:hAnsi="Arial" w:cs="Arial"/>
          <w:sz w:val="20"/>
          <w:szCs w:val="20"/>
        </w:rPr>
        <w:t xml:space="preserve">nominal increase of </w:t>
      </w:r>
      <w:r w:rsidR="0033165F" w:rsidRPr="00AE5B3B">
        <w:rPr>
          <w:rFonts w:ascii="Arial" w:hAnsi="Arial" w:cs="Arial"/>
          <w:sz w:val="20"/>
          <w:szCs w:val="20"/>
        </w:rPr>
        <w:t>R1.3 million or 0.8</w:t>
      </w:r>
      <w:r w:rsidR="00813DA8" w:rsidRPr="00AE5B3B">
        <w:rPr>
          <w:rFonts w:ascii="Arial" w:hAnsi="Arial" w:cs="Arial"/>
          <w:sz w:val="20"/>
          <w:szCs w:val="20"/>
        </w:rPr>
        <w:t xml:space="preserve"> per cent compared to the previous financial year. In real terms (inflation considered), the Department’s allocation </w:t>
      </w:r>
      <w:r w:rsidR="0033165F" w:rsidRPr="00AE5B3B">
        <w:rPr>
          <w:rFonts w:ascii="Arial" w:hAnsi="Arial" w:cs="Arial"/>
          <w:sz w:val="20"/>
          <w:szCs w:val="20"/>
        </w:rPr>
        <w:t>de</w:t>
      </w:r>
      <w:r w:rsidR="00813DA8" w:rsidRPr="00AE5B3B">
        <w:rPr>
          <w:rFonts w:ascii="Arial" w:hAnsi="Arial" w:cs="Arial"/>
          <w:sz w:val="20"/>
          <w:szCs w:val="20"/>
        </w:rPr>
        <w:t>creased with R5.</w:t>
      </w:r>
      <w:r w:rsidR="0033165F" w:rsidRPr="00AE5B3B">
        <w:rPr>
          <w:rFonts w:ascii="Arial" w:hAnsi="Arial" w:cs="Arial"/>
          <w:sz w:val="20"/>
          <w:szCs w:val="20"/>
        </w:rPr>
        <w:t>3</w:t>
      </w:r>
      <w:r w:rsidR="00813DA8" w:rsidRPr="00AE5B3B">
        <w:rPr>
          <w:rFonts w:ascii="Arial" w:hAnsi="Arial" w:cs="Arial"/>
          <w:sz w:val="20"/>
          <w:szCs w:val="20"/>
        </w:rPr>
        <w:t xml:space="preserve"> million, or </w:t>
      </w:r>
      <w:r w:rsidR="006023BF" w:rsidRPr="00AE5B3B">
        <w:rPr>
          <w:rFonts w:ascii="Arial" w:hAnsi="Arial" w:cs="Arial"/>
          <w:sz w:val="20"/>
          <w:szCs w:val="20"/>
        </w:rPr>
        <w:t>-</w:t>
      </w:r>
      <w:r w:rsidR="0033165F" w:rsidRPr="00AE5B3B">
        <w:rPr>
          <w:rFonts w:ascii="Arial" w:hAnsi="Arial" w:cs="Arial"/>
          <w:sz w:val="20"/>
          <w:szCs w:val="20"/>
        </w:rPr>
        <w:t>3.5</w:t>
      </w:r>
      <w:r w:rsidR="00813DA8" w:rsidRPr="00AE5B3B">
        <w:rPr>
          <w:rFonts w:ascii="Arial" w:hAnsi="Arial" w:cs="Arial"/>
          <w:sz w:val="20"/>
          <w:szCs w:val="20"/>
        </w:rPr>
        <w:t xml:space="preserve"> per cent.</w:t>
      </w:r>
      <w:r w:rsidR="0033165F" w:rsidRPr="00AE5B3B">
        <w:rPr>
          <w:rFonts w:ascii="Arial" w:hAnsi="Arial" w:cs="Arial"/>
          <w:sz w:val="20"/>
          <w:szCs w:val="20"/>
        </w:rPr>
        <w:t xml:space="preserve"> Despite the overall increase, two of the Departmental programmes’ allocations decreased nominally. </w:t>
      </w:r>
    </w:p>
    <w:p w:rsidR="005F69D7" w:rsidRPr="00AE5B3B" w:rsidRDefault="005F69D7" w:rsidP="00AE5B3B">
      <w:pPr>
        <w:autoSpaceDE w:val="0"/>
        <w:autoSpaceDN w:val="0"/>
        <w:adjustRightInd w:val="0"/>
        <w:spacing w:line="240" w:lineRule="auto"/>
        <w:jc w:val="left"/>
        <w:rPr>
          <w:rFonts w:ascii="Arial" w:hAnsi="Arial" w:cs="Arial"/>
          <w:sz w:val="20"/>
          <w:szCs w:val="20"/>
        </w:rPr>
      </w:pPr>
    </w:p>
    <w:p w:rsidR="00813DA8" w:rsidRPr="00AE5B3B" w:rsidRDefault="00813DA8" w:rsidP="00AE5B3B">
      <w:pPr>
        <w:autoSpaceDE w:val="0"/>
        <w:autoSpaceDN w:val="0"/>
        <w:adjustRightInd w:val="0"/>
        <w:spacing w:line="240" w:lineRule="auto"/>
        <w:jc w:val="left"/>
        <w:rPr>
          <w:rFonts w:ascii="Arial" w:hAnsi="Arial" w:cs="Arial"/>
          <w:b/>
          <w:bCs/>
          <w:i/>
          <w:sz w:val="20"/>
          <w:szCs w:val="20"/>
        </w:rPr>
      </w:pPr>
      <w:r w:rsidRPr="00AE5B3B">
        <w:rPr>
          <w:rFonts w:ascii="Arial" w:hAnsi="Arial" w:cs="Arial"/>
          <w:b/>
          <w:i/>
          <w:sz w:val="20"/>
          <w:szCs w:val="20"/>
        </w:rPr>
        <w:t xml:space="preserve">Table </w:t>
      </w:r>
      <w:r w:rsidR="0035556C" w:rsidRPr="00AE5B3B">
        <w:rPr>
          <w:rFonts w:ascii="Arial" w:hAnsi="Arial" w:cs="Arial"/>
          <w:b/>
          <w:i/>
          <w:sz w:val="20"/>
          <w:szCs w:val="20"/>
        </w:rPr>
        <w:t>1</w:t>
      </w:r>
      <w:r w:rsidRPr="00AE5B3B">
        <w:rPr>
          <w:rFonts w:ascii="Arial" w:hAnsi="Arial" w:cs="Arial"/>
          <w:b/>
          <w:i/>
          <w:sz w:val="20"/>
          <w:szCs w:val="20"/>
        </w:rPr>
        <w:t xml:space="preserve">: </w:t>
      </w:r>
      <w:r w:rsidRPr="00AE5B3B">
        <w:rPr>
          <w:rFonts w:ascii="Arial" w:hAnsi="Arial" w:cs="Arial"/>
          <w:b/>
          <w:bCs/>
          <w:i/>
          <w:sz w:val="20"/>
          <w:szCs w:val="20"/>
        </w:rPr>
        <w:t>Comparative changes in expenditure estimates by programme: 202</w:t>
      </w:r>
      <w:r w:rsidR="00F91775" w:rsidRPr="00AE5B3B">
        <w:rPr>
          <w:rFonts w:ascii="Arial" w:hAnsi="Arial" w:cs="Arial"/>
          <w:b/>
          <w:bCs/>
          <w:i/>
          <w:sz w:val="20"/>
          <w:szCs w:val="20"/>
        </w:rPr>
        <w:t>1</w:t>
      </w:r>
      <w:r w:rsidRPr="00AE5B3B">
        <w:rPr>
          <w:rFonts w:ascii="Arial" w:hAnsi="Arial" w:cs="Arial"/>
          <w:b/>
          <w:bCs/>
          <w:i/>
          <w:sz w:val="20"/>
          <w:szCs w:val="20"/>
        </w:rPr>
        <w:t>/2</w:t>
      </w:r>
      <w:r w:rsidR="00F91775" w:rsidRPr="00AE5B3B">
        <w:rPr>
          <w:rFonts w:ascii="Arial" w:hAnsi="Arial" w:cs="Arial"/>
          <w:b/>
          <w:bCs/>
          <w:i/>
          <w:sz w:val="20"/>
          <w:szCs w:val="20"/>
        </w:rPr>
        <w:t>2</w:t>
      </w:r>
      <w:r w:rsidRPr="00AE5B3B">
        <w:rPr>
          <w:rFonts w:ascii="Arial" w:hAnsi="Arial" w:cs="Arial"/>
          <w:b/>
          <w:bCs/>
          <w:i/>
          <w:sz w:val="20"/>
          <w:szCs w:val="20"/>
        </w:rPr>
        <w:t xml:space="preserve"> to 202</w:t>
      </w:r>
      <w:r w:rsidR="00F91775" w:rsidRPr="00AE5B3B">
        <w:rPr>
          <w:rFonts w:ascii="Arial" w:hAnsi="Arial" w:cs="Arial"/>
          <w:b/>
          <w:bCs/>
          <w:i/>
          <w:sz w:val="20"/>
          <w:szCs w:val="20"/>
        </w:rPr>
        <w:t>2</w:t>
      </w:r>
      <w:r w:rsidRPr="00AE5B3B">
        <w:rPr>
          <w:rFonts w:ascii="Arial" w:hAnsi="Arial" w:cs="Arial"/>
          <w:b/>
          <w:bCs/>
          <w:i/>
          <w:sz w:val="20"/>
          <w:szCs w:val="20"/>
        </w:rPr>
        <w:t>/2</w:t>
      </w:r>
      <w:r w:rsidR="00F91775" w:rsidRPr="00AE5B3B">
        <w:rPr>
          <w:rFonts w:ascii="Arial" w:hAnsi="Arial" w:cs="Arial"/>
          <w:b/>
          <w:bCs/>
          <w:i/>
          <w:sz w:val="20"/>
          <w:szCs w:val="20"/>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93"/>
        <w:gridCol w:w="939"/>
        <w:gridCol w:w="1117"/>
        <w:gridCol w:w="1134"/>
        <w:gridCol w:w="1418"/>
        <w:gridCol w:w="1417"/>
      </w:tblGrid>
      <w:tr w:rsidR="00F91775" w:rsidRPr="00AE5B3B" w:rsidTr="00FB33B9">
        <w:trPr>
          <w:trHeight w:val="765"/>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Programme</w:t>
            </w:r>
          </w:p>
        </w:tc>
        <w:tc>
          <w:tcPr>
            <w:tcW w:w="1860" w:type="dxa"/>
            <w:gridSpan w:val="2"/>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Budget</w:t>
            </w:r>
          </w:p>
        </w:tc>
        <w:tc>
          <w:tcPr>
            <w:tcW w:w="1117"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Increase / Decrease in 2022/23</w:t>
            </w:r>
          </w:p>
        </w:tc>
        <w:tc>
          <w:tcPr>
            <w:tcW w:w="1134"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Increase / Decrease in 2022/23</w:t>
            </w:r>
          </w:p>
        </w:tc>
        <w:tc>
          <w:tcPr>
            <w:tcW w:w="1418"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Percent change in 2022/23</w:t>
            </w:r>
          </w:p>
        </w:tc>
        <w:tc>
          <w:tcPr>
            <w:tcW w:w="1417"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Percent change in 2022/23</w:t>
            </w: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 million</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2021/22</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2022/23</w:t>
            </w:r>
          </w:p>
        </w:tc>
        <w:tc>
          <w:tcPr>
            <w:tcW w:w="1117"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134"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418"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417"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 Administration</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67,5</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68,8</w:t>
            </w:r>
          </w:p>
        </w:tc>
        <w:tc>
          <w:tcPr>
            <w:tcW w:w="11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1,2</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1,7</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1,83 per cent</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-2,55 per cent</w:t>
            </w: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2. Intersectoral Coordination and Strategic Partnerships</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26,0</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27,0</w:t>
            </w:r>
          </w:p>
        </w:tc>
        <w:tc>
          <w:tcPr>
            <w:tcW w:w="11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1,0</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0,2</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3,87 per cent</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-0,61 per cent</w:t>
            </w: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 Legislation and Policy Development</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23,4</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23,4</w:t>
            </w:r>
          </w:p>
        </w:tc>
        <w:tc>
          <w:tcPr>
            <w:tcW w:w="11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0,1</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1,1</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-0,26 per cent</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-4,56 per cent</w:t>
            </w: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 Civilian Oversight, Monitoring and Evaluations</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34,1</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33,2</w:t>
            </w:r>
          </w:p>
        </w:tc>
        <w:tc>
          <w:tcPr>
            <w:tcW w:w="11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0,9</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2,3</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-2,68 per cent</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-6,87 per cent</w:t>
            </w:r>
          </w:p>
        </w:tc>
      </w:tr>
      <w:tr w:rsidR="00F91775" w:rsidRPr="00AE5B3B" w:rsidTr="00FB33B9">
        <w:trPr>
          <w:trHeight w:val="264"/>
        </w:trPr>
        <w:tc>
          <w:tcPr>
            <w:tcW w:w="2830"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TOTAL</w:t>
            </w:r>
          </w:p>
        </w:tc>
        <w:tc>
          <w:tcPr>
            <w:tcW w:w="993"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151,0</w:t>
            </w:r>
          </w:p>
        </w:tc>
        <w:tc>
          <w:tcPr>
            <w:tcW w:w="86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152,3</w:t>
            </w:r>
          </w:p>
        </w:tc>
        <w:tc>
          <w:tcPr>
            <w:tcW w:w="11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1,3</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5,3</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0,8 per cent</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-3,50 per cent</w:t>
            </w:r>
          </w:p>
        </w:tc>
      </w:tr>
    </w:tbl>
    <w:p w:rsidR="00813DA8" w:rsidRPr="00AE5B3B" w:rsidRDefault="00F91775" w:rsidP="00AE5B3B">
      <w:pPr>
        <w:autoSpaceDE w:val="0"/>
        <w:autoSpaceDN w:val="0"/>
        <w:adjustRightInd w:val="0"/>
        <w:spacing w:line="240" w:lineRule="auto"/>
        <w:jc w:val="left"/>
        <w:rPr>
          <w:rFonts w:ascii="Arial" w:hAnsi="Arial" w:cs="Arial"/>
          <w:i/>
          <w:sz w:val="20"/>
          <w:szCs w:val="20"/>
        </w:rPr>
      </w:pPr>
      <w:r w:rsidRPr="00AE5B3B">
        <w:rPr>
          <w:rFonts w:ascii="Arial" w:hAnsi="Arial" w:cs="Arial"/>
          <w:i/>
          <w:sz w:val="20"/>
          <w:szCs w:val="20"/>
        </w:rPr>
        <w:t>Source: National Treasury (2022</w:t>
      </w:r>
      <w:r w:rsidR="00813DA8" w:rsidRPr="00AE5B3B">
        <w:rPr>
          <w:rFonts w:ascii="Arial" w:hAnsi="Arial" w:cs="Arial"/>
          <w:i/>
          <w:sz w:val="20"/>
          <w:szCs w:val="20"/>
        </w:rPr>
        <w:t>)</w:t>
      </w:r>
    </w:p>
    <w:p w:rsidR="00876C7D" w:rsidRPr="00AE5B3B" w:rsidRDefault="00876C7D" w:rsidP="00AE5B3B">
      <w:pPr>
        <w:autoSpaceDE w:val="0"/>
        <w:autoSpaceDN w:val="0"/>
        <w:adjustRightInd w:val="0"/>
        <w:spacing w:line="240" w:lineRule="auto"/>
        <w:jc w:val="left"/>
        <w:rPr>
          <w:rFonts w:ascii="Arial" w:hAnsi="Arial" w:cs="Arial"/>
          <w:i/>
          <w:sz w:val="20"/>
          <w:szCs w:val="20"/>
        </w:rPr>
      </w:pPr>
    </w:p>
    <w:p w:rsidR="00813DA8" w:rsidRPr="00AE5B3B" w:rsidRDefault="00813DA8"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The Administration Programme received a Main Appropriati</w:t>
      </w:r>
      <w:r w:rsidR="00D0113B" w:rsidRPr="00AE5B3B">
        <w:rPr>
          <w:rFonts w:ascii="Arial" w:hAnsi="Arial" w:cs="Arial"/>
          <w:sz w:val="20"/>
          <w:szCs w:val="20"/>
        </w:rPr>
        <w:t>on of R</w:t>
      </w:r>
      <w:r w:rsidR="0033165F" w:rsidRPr="00AE5B3B">
        <w:rPr>
          <w:rFonts w:ascii="Arial" w:hAnsi="Arial" w:cs="Arial"/>
          <w:sz w:val="20"/>
          <w:szCs w:val="20"/>
        </w:rPr>
        <w:t>8.8</w:t>
      </w:r>
      <w:r w:rsidRPr="00AE5B3B">
        <w:rPr>
          <w:rFonts w:ascii="Arial" w:hAnsi="Arial" w:cs="Arial"/>
          <w:sz w:val="20"/>
          <w:szCs w:val="20"/>
        </w:rPr>
        <w:t xml:space="preserve"> million in 202</w:t>
      </w:r>
      <w:r w:rsidR="0033165F" w:rsidRPr="00AE5B3B">
        <w:rPr>
          <w:rFonts w:ascii="Arial" w:hAnsi="Arial" w:cs="Arial"/>
          <w:sz w:val="20"/>
          <w:szCs w:val="20"/>
        </w:rPr>
        <w:t>2</w:t>
      </w:r>
      <w:r w:rsidRPr="00AE5B3B">
        <w:rPr>
          <w:rFonts w:ascii="Arial" w:hAnsi="Arial" w:cs="Arial"/>
          <w:sz w:val="20"/>
          <w:szCs w:val="20"/>
        </w:rPr>
        <w:t>/2</w:t>
      </w:r>
      <w:r w:rsidR="0033165F" w:rsidRPr="00AE5B3B">
        <w:rPr>
          <w:rFonts w:ascii="Arial" w:hAnsi="Arial" w:cs="Arial"/>
          <w:sz w:val="20"/>
          <w:szCs w:val="20"/>
        </w:rPr>
        <w:t>3</w:t>
      </w:r>
      <w:r w:rsidRPr="00AE5B3B">
        <w:rPr>
          <w:rFonts w:ascii="Arial" w:hAnsi="Arial" w:cs="Arial"/>
          <w:sz w:val="20"/>
          <w:szCs w:val="20"/>
        </w:rPr>
        <w:t xml:space="preserve">, which is a nominal increase of </w:t>
      </w:r>
      <w:r w:rsidR="0033165F" w:rsidRPr="00AE5B3B">
        <w:rPr>
          <w:rFonts w:ascii="Arial" w:hAnsi="Arial" w:cs="Arial"/>
          <w:sz w:val="20"/>
          <w:szCs w:val="20"/>
        </w:rPr>
        <w:t>1.8</w:t>
      </w:r>
      <w:r w:rsidR="00D0113B" w:rsidRPr="00AE5B3B">
        <w:rPr>
          <w:rFonts w:ascii="Arial" w:hAnsi="Arial" w:cs="Arial"/>
          <w:sz w:val="20"/>
          <w:szCs w:val="20"/>
        </w:rPr>
        <w:t xml:space="preserve"> per cent</w:t>
      </w:r>
      <w:r w:rsidRPr="00AE5B3B">
        <w:rPr>
          <w:rFonts w:ascii="Arial" w:hAnsi="Arial" w:cs="Arial"/>
          <w:sz w:val="20"/>
          <w:szCs w:val="20"/>
        </w:rPr>
        <w:t xml:space="preserve"> (considering inflation, it is a real </w:t>
      </w:r>
      <w:r w:rsidR="0033165F" w:rsidRPr="00AE5B3B">
        <w:rPr>
          <w:rFonts w:ascii="Arial" w:hAnsi="Arial" w:cs="Arial"/>
          <w:sz w:val="20"/>
          <w:szCs w:val="20"/>
        </w:rPr>
        <w:t>de</w:t>
      </w:r>
      <w:r w:rsidRPr="00AE5B3B">
        <w:rPr>
          <w:rFonts w:ascii="Arial" w:hAnsi="Arial" w:cs="Arial"/>
          <w:sz w:val="20"/>
          <w:szCs w:val="20"/>
        </w:rPr>
        <w:t xml:space="preserve">crease of </w:t>
      </w:r>
      <w:r w:rsidR="0033165F" w:rsidRPr="00AE5B3B">
        <w:rPr>
          <w:rFonts w:ascii="Arial" w:hAnsi="Arial" w:cs="Arial"/>
          <w:sz w:val="20"/>
          <w:szCs w:val="20"/>
        </w:rPr>
        <w:t>2.55</w:t>
      </w:r>
      <w:r w:rsidR="00D0113B" w:rsidRPr="00AE5B3B">
        <w:rPr>
          <w:rFonts w:ascii="Arial" w:hAnsi="Arial" w:cs="Arial"/>
          <w:sz w:val="20"/>
          <w:szCs w:val="20"/>
        </w:rPr>
        <w:t xml:space="preserve"> per cent</w:t>
      </w:r>
      <w:r w:rsidRPr="00AE5B3B">
        <w:rPr>
          <w:rFonts w:ascii="Arial" w:hAnsi="Arial" w:cs="Arial"/>
          <w:sz w:val="20"/>
          <w:szCs w:val="20"/>
        </w:rPr>
        <w:t>) compared to the previous financial year. The Intersectoral Coordination and Strategic Partnerships Programme received a Main Appropriation of R2</w:t>
      </w:r>
      <w:r w:rsidR="0033165F" w:rsidRPr="00AE5B3B">
        <w:rPr>
          <w:rFonts w:ascii="Arial" w:hAnsi="Arial" w:cs="Arial"/>
          <w:sz w:val="20"/>
          <w:szCs w:val="20"/>
        </w:rPr>
        <w:t>7.0</w:t>
      </w:r>
      <w:r w:rsidRPr="00AE5B3B">
        <w:rPr>
          <w:rFonts w:ascii="Arial" w:hAnsi="Arial" w:cs="Arial"/>
          <w:sz w:val="20"/>
          <w:szCs w:val="20"/>
        </w:rPr>
        <w:t xml:space="preserve"> million in 202</w:t>
      </w:r>
      <w:r w:rsidR="0033165F" w:rsidRPr="00AE5B3B">
        <w:rPr>
          <w:rFonts w:ascii="Arial" w:hAnsi="Arial" w:cs="Arial"/>
          <w:sz w:val="20"/>
          <w:szCs w:val="20"/>
        </w:rPr>
        <w:t>2</w:t>
      </w:r>
      <w:r w:rsidRPr="00AE5B3B">
        <w:rPr>
          <w:rFonts w:ascii="Arial" w:hAnsi="Arial" w:cs="Arial"/>
          <w:sz w:val="20"/>
          <w:szCs w:val="20"/>
        </w:rPr>
        <w:t>/2</w:t>
      </w:r>
      <w:r w:rsidR="0033165F" w:rsidRPr="00AE5B3B">
        <w:rPr>
          <w:rFonts w:ascii="Arial" w:hAnsi="Arial" w:cs="Arial"/>
          <w:sz w:val="20"/>
          <w:szCs w:val="20"/>
        </w:rPr>
        <w:t>3</w:t>
      </w:r>
      <w:r w:rsidRPr="00AE5B3B">
        <w:rPr>
          <w:rFonts w:ascii="Arial" w:hAnsi="Arial" w:cs="Arial"/>
          <w:sz w:val="20"/>
          <w:szCs w:val="20"/>
        </w:rPr>
        <w:t xml:space="preserve">, which is a nominal increase of </w:t>
      </w:r>
      <w:r w:rsidR="0033165F" w:rsidRPr="00AE5B3B">
        <w:rPr>
          <w:rFonts w:ascii="Arial" w:hAnsi="Arial" w:cs="Arial"/>
          <w:sz w:val="20"/>
          <w:szCs w:val="20"/>
        </w:rPr>
        <w:t xml:space="preserve">R1.0 million or </w:t>
      </w:r>
      <w:r w:rsidR="00D0113B" w:rsidRPr="00AE5B3B">
        <w:rPr>
          <w:rFonts w:ascii="Arial" w:hAnsi="Arial" w:cs="Arial"/>
          <w:sz w:val="20"/>
          <w:szCs w:val="20"/>
        </w:rPr>
        <w:t>10.3 per cent</w:t>
      </w:r>
      <w:r w:rsidRPr="00AE5B3B">
        <w:rPr>
          <w:rFonts w:ascii="Arial" w:hAnsi="Arial" w:cs="Arial"/>
          <w:sz w:val="20"/>
          <w:szCs w:val="20"/>
        </w:rPr>
        <w:t xml:space="preserve"> compared</w:t>
      </w:r>
      <w:r w:rsidR="00D0113B" w:rsidRPr="00AE5B3B">
        <w:rPr>
          <w:rFonts w:ascii="Arial" w:hAnsi="Arial" w:cs="Arial"/>
          <w:sz w:val="20"/>
          <w:szCs w:val="20"/>
        </w:rPr>
        <w:t xml:space="preserve"> to</w:t>
      </w:r>
      <w:r w:rsidR="0033165F" w:rsidRPr="00AE5B3B">
        <w:rPr>
          <w:rFonts w:ascii="Arial" w:hAnsi="Arial" w:cs="Arial"/>
          <w:sz w:val="20"/>
          <w:szCs w:val="20"/>
        </w:rPr>
        <w:t xml:space="preserve"> the previous financial year. However, c</w:t>
      </w:r>
      <w:r w:rsidR="00D0113B" w:rsidRPr="00AE5B3B">
        <w:rPr>
          <w:rFonts w:ascii="Arial" w:hAnsi="Arial" w:cs="Arial"/>
          <w:sz w:val="20"/>
          <w:szCs w:val="20"/>
        </w:rPr>
        <w:t xml:space="preserve">onsidering inflation, the Programme received a real </w:t>
      </w:r>
      <w:r w:rsidR="0033165F" w:rsidRPr="00AE5B3B">
        <w:rPr>
          <w:rFonts w:ascii="Arial" w:hAnsi="Arial" w:cs="Arial"/>
          <w:sz w:val="20"/>
          <w:szCs w:val="20"/>
        </w:rPr>
        <w:t>de</w:t>
      </w:r>
      <w:r w:rsidR="00D0113B" w:rsidRPr="00AE5B3B">
        <w:rPr>
          <w:rFonts w:ascii="Arial" w:hAnsi="Arial" w:cs="Arial"/>
          <w:sz w:val="20"/>
          <w:szCs w:val="20"/>
        </w:rPr>
        <w:t xml:space="preserve">crease of </w:t>
      </w:r>
      <w:r w:rsidR="0033165F" w:rsidRPr="00AE5B3B">
        <w:rPr>
          <w:rFonts w:ascii="Arial" w:hAnsi="Arial" w:cs="Arial"/>
          <w:sz w:val="20"/>
          <w:szCs w:val="20"/>
        </w:rPr>
        <w:t>0.61</w:t>
      </w:r>
      <w:r w:rsidR="00D0113B" w:rsidRPr="00AE5B3B">
        <w:rPr>
          <w:rFonts w:ascii="Arial" w:hAnsi="Arial" w:cs="Arial"/>
          <w:sz w:val="20"/>
          <w:szCs w:val="20"/>
        </w:rPr>
        <w:t xml:space="preserve"> per cent.</w:t>
      </w:r>
      <w:r w:rsidR="0033165F" w:rsidRPr="00AE5B3B">
        <w:rPr>
          <w:rFonts w:ascii="Arial" w:hAnsi="Arial" w:cs="Arial"/>
          <w:sz w:val="20"/>
          <w:szCs w:val="20"/>
        </w:rPr>
        <w:t xml:space="preserve"> The Legislation and Policy Development Programme received a Main Appropriation of R23.4 million which is a slight nominal decrease of R100 000.00 or </w:t>
      </w:r>
      <w:r w:rsidR="006023BF" w:rsidRPr="00AE5B3B">
        <w:rPr>
          <w:rFonts w:ascii="Arial" w:hAnsi="Arial" w:cs="Arial"/>
          <w:sz w:val="20"/>
          <w:szCs w:val="20"/>
        </w:rPr>
        <w:t>-</w:t>
      </w:r>
      <w:r w:rsidR="0033165F" w:rsidRPr="00AE5B3B">
        <w:rPr>
          <w:rFonts w:ascii="Arial" w:hAnsi="Arial" w:cs="Arial"/>
          <w:sz w:val="20"/>
          <w:szCs w:val="20"/>
        </w:rPr>
        <w:t xml:space="preserve">0.26 per cent. In real terms, the </w:t>
      </w:r>
      <w:r w:rsidR="005E2A99" w:rsidRPr="00AE5B3B">
        <w:rPr>
          <w:rFonts w:ascii="Arial" w:hAnsi="Arial" w:cs="Arial"/>
          <w:sz w:val="20"/>
          <w:szCs w:val="20"/>
        </w:rPr>
        <w:t>P</w:t>
      </w:r>
      <w:r w:rsidR="0033165F" w:rsidRPr="00AE5B3B">
        <w:rPr>
          <w:rFonts w:ascii="Arial" w:hAnsi="Arial" w:cs="Arial"/>
          <w:sz w:val="20"/>
          <w:szCs w:val="20"/>
        </w:rPr>
        <w:t>rogramme’s allocation decreased by 4.56 per cent. The Civilian Oversight, Monitoring and Evaluation Programme received a Main Appropriation of R33.2</w:t>
      </w:r>
      <w:r w:rsidR="006023BF" w:rsidRPr="00AE5B3B">
        <w:rPr>
          <w:rFonts w:ascii="Arial" w:hAnsi="Arial" w:cs="Arial"/>
          <w:sz w:val="20"/>
          <w:szCs w:val="20"/>
        </w:rPr>
        <w:t xml:space="preserve"> million, which is a nominal decrease of almost R1 million or 2.68 per cent. In real terms, the allocation decreased with R2.3 million or 6.87 per cent. </w:t>
      </w:r>
      <w:r w:rsidR="00D0113B" w:rsidRPr="00AE5B3B">
        <w:rPr>
          <w:rFonts w:ascii="Arial" w:hAnsi="Arial" w:cs="Arial"/>
          <w:sz w:val="20"/>
          <w:szCs w:val="20"/>
        </w:rPr>
        <w:t xml:space="preserve">  </w:t>
      </w:r>
      <w:r w:rsidRPr="00AE5B3B">
        <w:rPr>
          <w:rFonts w:ascii="Arial" w:hAnsi="Arial" w:cs="Arial"/>
          <w:sz w:val="20"/>
          <w:szCs w:val="20"/>
        </w:rPr>
        <w:t xml:space="preserve">   </w:t>
      </w:r>
    </w:p>
    <w:p w:rsidR="00FD7ACC" w:rsidRPr="00AE5B3B" w:rsidRDefault="00FD7ACC" w:rsidP="00AE5B3B">
      <w:pPr>
        <w:autoSpaceDE w:val="0"/>
        <w:autoSpaceDN w:val="0"/>
        <w:adjustRightInd w:val="0"/>
        <w:spacing w:line="240" w:lineRule="auto"/>
        <w:jc w:val="left"/>
        <w:rPr>
          <w:rFonts w:ascii="Arial" w:hAnsi="Arial" w:cs="Arial"/>
          <w:sz w:val="20"/>
          <w:szCs w:val="20"/>
        </w:rPr>
      </w:pPr>
    </w:p>
    <w:p w:rsidR="00FD7ACC" w:rsidRPr="00AE5B3B" w:rsidRDefault="006023BF"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In 2022</w:t>
      </w:r>
      <w:r w:rsidR="00FD7ACC" w:rsidRPr="00AE5B3B">
        <w:rPr>
          <w:rFonts w:ascii="Arial" w:hAnsi="Arial" w:cs="Arial"/>
          <w:sz w:val="20"/>
          <w:szCs w:val="20"/>
        </w:rPr>
        <w:t>/2</w:t>
      </w:r>
      <w:r w:rsidRPr="00AE5B3B">
        <w:rPr>
          <w:rFonts w:ascii="Arial" w:hAnsi="Arial" w:cs="Arial"/>
          <w:sz w:val="20"/>
          <w:szCs w:val="20"/>
        </w:rPr>
        <w:t>3</w:t>
      </w:r>
      <w:r w:rsidR="00FD7ACC" w:rsidRPr="00AE5B3B">
        <w:rPr>
          <w:rFonts w:ascii="Arial" w:hAnsi="Arial" w:cs="Arial"/>
          <w:sz w:val="20"/>
          <w:szCs w:val="20"/>
        </w:rPr>
        <w:t>, the percentages of the total Departmental budget remained relatively similar compared to the previous financial year. The Administration Programme continues to receive the bulk of the Department’s total budget allocation at 4</w:t>
      </w:r>
      <w:r w:rsidRPr="00AE5B3B">
        <w:rPr>
          <w:rFonts w:ascii="Arial" w:hAnsi="Arial" w:cs="Arial"/>
          <w:sz w:val="20"/>
          <w:szCs w:val="20"/>
        </w:rPr>
        <w:t>5</w:t>
      </w:r>
      <w:r w:rsidR="00FD7ACC" w:rsidRPr="00AE5B3B">
        <w:rPr>
          <w:rFonts w:ascii="Arial" w:hAnsi="Arial" w:cs="Arial"/>
          <w:sz w:val="20"/>
          <w:szCs w:val="20"/>
        </w:rPr>
        <w:t>.</w:t>
      </w:r>
      <w:r w:rsidRPr="00AE5B3B">
        <w:rPr>
          <w:rFonts w:ascii="Arial" w:hAnsi="Arial" w:cs="Arial"/>
          <w:sz w:val="20"/>
          <w:szCs w:val="20"/>
        </w:rPr>
        <w:t>14</w:t>
      </w:r>
      <w:r w:rsidR="00FD7ACC" w:rsidRPr="00AE5B3B">
        <w:rPr>
          <w:rFonts w:ascii="Arial" w:hAnsi="Arial" w:cs="Arial"/>
          <w:sz w:val="20"/>
          <w:szCs w:val="20"/>
        </w:rPr>
        <w:t xml:space="preserve"> per cent, which is an increase of 0.</w:t>
      </w:r>
      <w:r w:rsidRPr="00AE5B3B">
        <w:rPr>
          <w:rFonts w:ascii="Arial" w:hAnsi="Arial" w:cs="Arial"/>
          <w:sz w:val="20"/>
          <w:szCs w:val="20"/>
        </w:rPr>
        <w:t>4</w:t>
      </w:r>
      <w:r w:rsidR="00FD7ACC" w:rsidRPr="00AE5B3B">
        <w:rPr>
          <w:rFonts w:ascii="Arial" w:hAnsi="Arial" w:cs="Arial"/>
          <w:sz w:val="20"/>
          <w:szCs w:val="20"/>
        </w:rPr>
        <w:t>4 per cent compared to the previous financial year. The Civilian Oversight, Monitoring and Evaluations Programme continues to receive the second largest proportional allocation from the total Departmental budget at 2</w:t>
      </w:r>
      <w:r w:rsidRPr="00AE5B3B">
        <w:rPr>
          <w:rFonts w:ascii="Arial" w:hAnsi="Arial" w:cs="Arial"/>
          <w:sz w:val="20"/>
          <w:szCs w:val="20"/>
        </w:rPr>
        <w:t>1</w:t>
      </w:r>
      <w:r w:rsidR="00FD7ACC" w:rsidRPr="00AE5B3B">
        <w:rPr>
          <w:rFonts w:ascii="Arial" w:hAnsi="Arial" w:cs="Arial"/>
          <w:sz w:val="20"/>
          <w:szCs w:val="20"/>
        </w:rPr>
        <w:t>.</w:t>
      </w:r>
      <w:r w:rsidRPr="00AE5B3B">
        <w:rPr>
          <w:rFonts w:ascii="Arial" w:hAnsi="Arial" w:cs="Arial"/>
          <w:sz w:val="20"/>
          <w:szCs w:val="20"/>
        </w:rPr>
        <w:t>78</w:t>
      </w:r>
      <w:r w:rsidR="00FD7ACC" w:rsidRPr="00AE5B3B">
        <w:rPr>
          <w:rFonts w:ascii="Arial" w:hAnsi="Arial" w:cs="Arial"/>
          <w:sz w:val="20"/>
          <w:szCs w:val="20"/>
        </w:rPr>
        <w:t xml:space="preserve"> per cent. Compared to the previous financial year, the Programme’s proportional allocation </w:t>
      </w:r>
      <w:r w:rsidRPr="00AE5B3B">
        <w:rPr>
          <w:rFonts w:ascii="Arial" w:hAnsi="Arial" w:cs="Arial"/>
          <w:sz w:val="20"/>
          <w:szCs w:val="20"/>
        </w:rPr>
        <w:t>de</w:t>
      </w:r>
      <w:r w:rsidR="00FD7ACC" w:rsidRPr="00AE5B3B">
        <w:rPr>
          <w:rFonts w:ascii="Arial" w:hAnsi="Arial" w:cs="Arial"/>
          <w:sz w:val="20"/>
          <w:szCs w:val="20"/>
        </w:rPr>
        <w:t xml:space="preserve">creased with </w:t>
      </w:r>
      <w:r w:rsidRPr="00AE5B3B">
        <w:rPr>
          <w:rFonts w:ascii="Arial" w:hAnsi="Arial" w:cs="Arial"/>
          <w:sz w:val="20"/>
          <w:szCs w:val="20"/>
        </w:rPr>
        <w:t>-</w:t>
      </w:r>
      <w:r w:rsidR="00FD7ACC" w:rsidRPr="00AE5B3B">
        <w:rPr>
          <w:rFonts w:ascii="Arial" w:hAnsi="Arial" w:cs="Arial"/>
          <w:sz w:val="20"/>
          <w:szCs w:val="20"/>
        </w:rPr>
        <w:t>0.</w:t>
      </w:r>
      <w:r w:rsidRPr="00AE5B3B">
        <w:rPr>
          <w:rFonts w:ascii="Arial" w:hAnsi="Arial" w:cs="Arial"/>
          <w:sz w:val="20"/>
          <w:szCs w:val="20"/>
        </w:rPr>
        <w:t>79</w:t>
      </w:r>
      <w:r w:rsidR="00FD7ACC" w:rsidRPr="00AE5B3B">
        <w:rPr>
          <w:rFonts w:ascii="Arial" w:hAnsi="Arial" w:cs="Arial"/>
          <w:sz w:val="20"/>
          <w:szCs w:val="20"/>
        </w:rPr>
        <w:t xml:space="preserve"> per cent.    </w:t>
      </w:r>
    </w:p>
    <w:p w:rsidR="00FD7ACC" w:rsidRPr="00AE5B3B" w:rsidRDefault="00FD7ACC" w:rsidP="00AE5B3B">
      <w:pPr>
        <w:autoSpaceDE w:val="0"/>
        <w:autoSpaceDN w:val="0"/>
        <w:adjustRightInd w:val="0"/>
        <w:spacing w:line="240" w:lineRule="auto"/>
        <w:jc w:val="left"/>
        <w:rPr>
          <w:rFonts w:ascii="Arial" w:hAnsi="Arial" w:cs="Arial"/>
          <w:sz w:val="20"/>
          <w:szCs w:val="20"/>
        </w:rPr>
      </w:pPr>
    </w:p>
    <w:p w:rsidR="00AB41FA" w:rsidRPr="00AE5B3B" w:rsidRDefault="00AB41FA"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The Intersectoral Coordination and Strategic Partnerships Programme continues to receive the third largest proportional allocation of the total Departmental budget at 17.</w:t>
      </w:r>
      <w:r w:rsidR="006023BF" w:rsidRPr="00AE5B3B">
        <w:rPr>
          <w:rFonts w:ascii="Arial" w:hAnsi="Arial" w:cs="Arial"/>
          <w:sz w:val="20"/>
          <w:szCs w:val="20"/>
        </w:rPr>
        <w:t>73</w:t>
      </w:r>
      <w:r w:rsidRPr="00AE5B3B">
        <w:rPr>
          <w:rFonts w:ascii="Arial" w:hAnsi="Arial" w:cs="Arial"/>
          <w:sz w:val="20"/>
          <w:szCs w:val="20"/>
        </w:rPr>
        <w:t xml:space="preserve"> per cent. This is a</w:t>
      </w:r>
      <w:r w:rsidR="006023BF" w:rsidRPr="00AE5B3B">
        <w:rPr>
          <w:rFonts w:ascii="Arial" w:hAnsi="Arial" w:cs="Arial"/>
          <w:sz w:val="20"/>
          <w:szCs w:val="20"/>
        </w:rPr>
        <w:t>n</w:t>
      </w:r>
      <w:r w:rsidRPr="00AE5B3B">
        <w:rPr>
          <w:rFonts w:ascii="Arial" w:hAnsi="Arial" w:cs="Arial"/>
          <w:sz w:val="20"/>
          <w:szCs w:val="20"/>
        </w:rPr>
        <w:t xml:space="preserve"> increase of 0.</w:t>
      </w:r>
      <w:r w:rsidR="006023BF" w:rsidRPr="00AE5B3B">
        <w:rPr>
          <w:rFonts w:ascii="Arial" w:hAnsi="Arial" w:cs="Arial"/>
          <w:sz w:val="20"/>
          <w:szCs w:val="20"/>
        </w:rPr>
        <w:t>52</w:t>
      </w:r>
      <w:r w:rsidRPr="00AE5B3B">
        <w:rPr>
          <w:rFonts w:ascii="Arial" w:hAnsi="Arial" w:cs="Arial"/>
          <w:sz w:val="20"/>
          <w:szCs w:val="20"/>
        </w:rPr>
        <w:t xml:space="preserve"> per cent compared to the previous financial year. The Legislation and Policy Development Programme continues to receive the smallest proportional allocation at 1</w:t>
      </w:r>
      <w:r w:rsidR="00FF0EC1" w:rsidRPr="00AE5B3B">
        <w:rPr>
          <w:rFonts w:ascii="Arial" w:hAnsi="Arial" w:cs="Arial"/>
          <w:sz w:val="20"/>
          <w:szCs w:val="20"/>
        </w:rPr>
        <w:t>5</w:t>
      </w:r>
      <w:r w:rsidRPr="00AE5B3B">
        <w:rPr>
          <w:rFonts w:ascii="Arial" w:hAnsi="Arial" w:cs="Arial"/>
          <w:sz w:val="20"/>
          <w:szCs w:val="20"/>
        </w:rPr>
        <w:t>.</w:t>
      </w:r>
      <w:r w:rsidR="006023BF" w:rsidRPr="00AE5B3B">
        <w:rPr>
          <w:rFonts w:ascii="Arial" w:hAnsi="Arial" w:cs="Arial"/>
          <w:sz w:val="20"/>
          <w:szCs w:val="20"/>
        </w:rPr>
        <w:t>35</w:t>
      </w:r>
      <w:r w:rsidRPr="00AE5B3B">
        <w:rPr>
          <w:rFonts w:ascii="Arial" w:hAnsi="Arial" w:cs="Arial"/>
          <w:sz w:val="20"/>
          <w:szCs w:val="20"/>
        </w:rPr>
        <w:t xml:space="preserve"> per cent. The Programme’s proportional allocation decreased with 0.</w:t>
      </w:r>
      <w:r w:rsidR="006023BF" w:rsidRPr="00AE5B3B">
        <w:rPr>
          <w:rFonts w:ascii="Arial" w:hAnsi="Arial" w:cs="Arial"/>
          <w:sz w:val="20"/>
          <w:szCs w:val="20"/>
        </w:rPr>
        <w:t>17</w:t>
      </w:r>
      <w:r w:rsidRPr="00AE5B3B">
        <w:rPr>
          <w:rFonts w:ascii="Arial" w:hAnsi="Arial" w:cs="Arial"/>
          <w:sz w:val="20"/>
          <w:szCs w:val="20"/>
        </w:rPr>
        <w:t xml:space="preserve"> per cent in 202</w:t>
      </w:r>
      <w:r w:rsidR="006023BF" w:rsidRPr="00AE5B3B">
        <w:rPr>
          <w:rFonts w:ascii="Arial" w:hAnsi="Arial" w:cs="Arial"/>
          <w:sz w:val="20"/>
          <w:szCs w:val="20"/>
        </w:rPr>
        <w:t>2</w:t>
      </w:r>
      <w:r w:rsidRPr="00AE5B3B">
        <w:rPr>
          <w:rFonts w:ascii="Arial" w:hAnsi="Arial" w:cs="Arial"/>
          <w:sz w:val="20"/>
          <w:szCs w:val="20"/>
        </w:rPr>
        <w:t>/2</w:t>
      </w:r>
      <w:r w:rsidR="006023BF" w:rsidRPr="00AE5B3B">
        <w:rPr>
          <w:rFonts w:ascii="Arial" w:hAnsi="Arial" w:cs="Arial"/>
          <w:sz w:val="20"/>
          <w:szCs w:val="20"/>
        </w:rPr>
        <w:t>3</w:t>
      </w:r>
      <w:r w:rsidRPr="00AE5B3B">
        <w:rPr>
          <w:rFonts w:ascii="Arial" w:hAnsi="Arial" w:cs="Arial"/>
          <w:sz w:val="20"/>
          <w:szCs w:val="20"/>
        </w:rPr>
        <w:t xml:space="preserve"> compared to the previous financial year. </w:t>
      </w:r>
    </w:p>
    <w:p w:rsidR="00AB41FA" w:rsidRPr="00AE5B3B" w:rsidRDefault="00AB41FA" w:rsidP="00AE5B3B">
      <w:pPr>
        <w:autoSpaceDE w:val="0"/>
        <w:autoSpaceDN w:val="0"/>
        <w:adjustRightInd w:val="0"/>
        <w:spacing w:line="240" w:lineRule="auto"/>
        <w:jc w:val="left"/>
        <w:rPr>
          <w:rFonts w:ascii="Arial" w:hAnsi="Arial" w:cs="Arial"/>
          <w:sz w:val="20"/>
          <w:szCs w:val="20"/>
        </w:rPr>
      </w:pPr>
    </w:p>
    <w:p w:rsidR="00EF77CD" w:rsidRPr="00AE5B3B" w:rsidRDefault="00EF77CD" w:rsidP="00AE5B3B">
      <w:pPr>
        <w:pStyle w:val="Heading2"/>
        <w:numPr>
          <w:ilvl w:val="1"/>
          <w:numId w:val="19"/>
        </w:numPr>
        <w:spacing w:before="0" w:line="240" w:lineRule="auto"/>
        <w:rPr>
          <w:rFonts w:ascii="Arial" w:hAnsi="Arial" w:cs="Arial"/>
          <w:sz w:val="20"/>
          <w:szCs w:val="20"/>
        </w:rPr>
      </w:pPr>
      <w:bookmarkStart w:id="6" w:name="_Toc100572311"/>
      <w:r w:rsidRPr="00AE5B3B">
        <w:rPr>
          <w:rFonts w:ascii="Arial" w:hAnsi="Arial" w:cs="Arial"/>
          <w:sz w:val="20"/>
          <w:szCs w:val="20"/>
        </w:rPr>
        <w:t>Budget allocation per economic classification</w:t>
      </w:r>
      <w:bookmarkEnd w:id="6"/>
      <w:r w:rsidRPr="00AE5B3B">
        <w:rPr>
          <w:rFonts w:ascii="Arial" w:hAnsi="Arial" w:cs="Arial"/>
          <w:sz w:val="20"/>
          <w:szCs w:val="20"/>
        </w:rPr>
        <w:t xml:space="preserve"> </w:t>
      </w:r>
    </w:p>
    <w:p w:rsidR="00EF77CD" w:rsidRPr="00AE5B3B" w:rsidRDefault="00EF77CD" w:rsidP="00AE5B3B">
      <w:pPr>
        <w:autoSpaceDE w:val="0"/>
        <w:autoSpaceDN w:val="0"/>
        <w:adjustRightInd w:val="0"/>
        <w:spacing w:line="240" w:lineRule="auto"/>
        <w:jc w:val="left"/>
        <w:rPr>
          <w:rFonts w:ascii="Arial" w:hAnsi="Arial" w:cs="Arial"/>
          <w:sz w:val="20"/>
          <w:szCs w:val="20"/>
        </w:rPr>
      </w:pPr>
    </w:p>
    <w:p w:rsidR="005412D0" w:rsidRPr="00AE5B3B" w:rsidRDefault="00AB41FA"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In terms of economic classification,</w:t>
      </w:r>
      <w:r w:rsidR="005F69D7" w:rsidRPr="00AE5B3B">
        <w:rPr>
          <w:rFonts w:ascii="Arial" w:hAnsi="Arial" w:cs="Arial"/>
          <w:sz w:val="20"/>
          <w:szCs w:val="20"/>
        </w:rPr>
        <w:t xml:space="preserve"> </w:t>
      </w:r>
      <w:r w:rsidR="00B4440D" w:rsidRPr="00AE5B3B">
        <w:rPr>
          <w:rFonts w:ascii="Arial" w:hAnsi="Arial" w:cs="Arial"/>
          <w:sz w:val="20"/>
          <w:szCs w:val="20"/>
        </w:rPr>
        <w:t xml:space="preserve">the bulk of the Department’s budget is located in </w:t>
      </w:r>
      <w:r w:rsidR="00B4440D" w:rsidRPr="00AE5B3B">
        <w:rPr>
          <w:rFonts w:ascii="Arial" w:hAnsi="Arial" w:cs="Arial"/>
          <w:i/>
          <w:sz w:val="20"/>
          <w:szCs w:val="20"/>
        </w:rPr>
        <w:t>Current payments</w:t>
      </w:r>
      <w:r w:rsidR="00B4440D" w:rsidRPr="00AE5B3B">
        <w:rPr>
          <w:rFonts w:ascii="Arial" w:hAnsi="Arial" w:cs="Arial"/>
          <w:sz w:val="20"/>
          <w:szCs w:val="20"/>
        </w:rPr>
        <w:t xml:space="preserve">, of which </w:t>
      </w:r>
      <w:r w:rsidR="00FD7CD1" w:rsidRPr="00AE5B3B">
        <w:rPr>
          <w:rFonts w:ascii="Arial" w:hAnsi="Arial" w:cs="Arial"/>
          <w:sz w:val="20"/>
          <w:szCs w:val="20"/>
        </w:rPr>
        <w:t>70.38</w:t>
      </w:r>
      <w:r w:rsidR="00B4440D" w:rsidRPr="00AE5B3B">
        <w:rPr>
          <w:rFonts w:ascii="Arial" w:hAnsi="Arial" w:cs="Arial"/>
          <w:sz w:val="20"/>
          <w:szCs w:val="20"/>
        </w:rPr>
        <w:t xml:space="preserve"> per cent (R10</w:t>
      </w:r>
      <w:r w:rsidR="00FD7CD1" w:rsidRPr="00AE5B3B">
        <w:rPr>
          <w:rFonts w:ascii="Arial" w:hAnsi="Arial" w:cs="Arial"/>
          <w:sz w:val="20"/>
          <w:szCs w:val="20"/>
        </w:rPr>
        <w:t>7</w:t>
      </w:r>
      <w:r w:rsidR="00B4440D" w:rsidRPr="00AE5B3B">
        <w:rPr>
          <w:rFonts w:ascii="Arial" w:hAnsi="Arial" w:cs="Arial"/>
          <w:sz w:val="20"/>
          <w:szCs w:val="20"/>
        </w:rPr>
        <w:t>.</w:t>
      </w:r>
      <w:r w:rsidR="00FD7CD1" w:rsidRPr="00AE5B3B">
        <w:rPr>
          <w:rFonts w:ascii="Arial" w:hAnsi="Arial" w:cs="Arial"/>
          <w:sz w:val="20"/>
          <w:szCs w:val="20"/>
        </w:rPr>
        <w:t>2</w:t>
      </w:r>
      <w:r w:rsidR="00B4440D" w:rsidRPr="00AE5B3B">
        <w:rPr>
          <w:rFonts w:ascii="Arial" w:hAnsi="Arial" w:cs="Arial"/>
          <w:sz w:val="20"/>
          <w:szCs w:val="20"/>
        </w:rPr>
        <w:t xml:space="preserve"> million) goes towards compensation of employees</w:t>
      </w:r>
      <w:r w:rsidR="00FD7CD1" w:rsidRPr="00AE5B3B">
        <w:rPr>
          <w:rFonts w:ascii="Arial" w:hAnsi="Arial" w:cs="Arial"/>
          <w:sz w:val="20"/>
          <w:szCs w:val="20"/>
        </w:rPr>
        <w:t>. The allocation towards compensation of employees increased nominally by 1.36 per cent compared to the previous financial year. In 2022/23, R39.9 million is allocated to Goods and services, which is a nominal decrease of 7.48 per cent compared to the previous financial year.</w:t>
      </w:r>
      <w:r w:rsidR="00B4440D" w:rsidRPr="00AE5B3B">
        <w:rPr>
          <w:rFonts w:ascii="Arial" w:hAnsi="Arial" w:cs="Arial"/>
          <w:sz w:val="20"/>
          <w:szCs w:val="20"/>
        </w:rPr>
        <w:t xml:space="preserve"> </w:t>
      </w:r>
      <w:r w:rsidR="00FD7CD1" w:rsidRPr="00AE5B3B">
        <w:rPr>
          <w:rFonts w:ascii="Arial" w:hAnsi="Arial" w:cs="Arial"/>
          <w:sz w:val="20"/>
          <w:szCs w:val="20"/>
        </w:rPr>
        <w:t xml:space="preserve">The decrease in Goods and service is due to </w:t>
      </w:r>
      <w:r w:rsidR="005412D0" w:rsidRPr="00AE5B3B">
        <w:rPr>
          <w:rFonts w:ascii="Arial" w:hAnsi="Arial" w:cs="Arial"/>
          <w:sz w:val="20"/>
          <w:szCs w:val="20"/>
        </w:rPr>
        <w:t xml:space="preserve">significant decreases on the following items: </w:t>
      </w:r>
    </w:p>
    <w:p w:rsidR="005F69D7" w:rsidRPr="00AE5B3B" w:rsidRDefault="005412D0" w:rsidP="00AE5B3B">
      <w:pPr>
        <w:pStyle w:val="ListParagraph"/>
        <w:numPr>
          <w:ilvl w:val="0"/>
          <w:numId w:val="15"/>
        </w:num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Advertising: -18.0 per cent</w:t>
      </w:r>
    </w:p>
    <w:p w:rsidR="005412D0" w:rsidRPr="00AE5B3B" w:rsidRDefault="005412D0" w:rsidP="00AE5B3B">
      <w:pPr>
        <w:pStyle w:val="ListParagraph"/>
        <w:numPr>
          <w:ilvl w:val="0"/>
          <w:numId w:val="15"/>
        </w:num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Computer services: - 14.7 per cent</w:t>
      </w:r>
    </w:p>
    <w:p w:rsidR="005412D0" w:rsidRPr="00AE5B3B" w:rsidRDefault="005412D0" w:rsidP="00AE5B3B">
      <w:pPr>
        <w:pStyle w:val="ListParagraph"/>
        <w:numPr>
          <w:ilvl w:val="0"/>
          <w:numId w:val="15"/>
        </w:num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Travel and subsistence: - 14.26 per cent</w:t>
      </w:r>
    </w:p>
    <w:p w:rsidR="005412D0" w:rsidRPr="00AE5B3B" w:rsidRDefault="005412D0" w:rsidP="00AE5B3B">
      <w:pPr>
        <w:pStyle w:val="ListParagraph"/>
        <w:numPr>
          <w:ilvl w:val="0"/>
          <w:numId w:val="15"/>
        </w:num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Departmental agencies and accounts: - 49.1 per cent</w:t>
      </w:r>
    </w:p>
    <w:p w:rsidR="005412D0" w:rsidRPr="00AE5B3B" w:rsidRDefault="005412D0" w:rsidP="00AE5B3B">
      <w:pPr>
        <w:pStyle w:val="ListParagraph"/>
        <w:numPr>
          <w:ilvl w:val="0"/>
          <w:numId w:val="15"/>
        </w:num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Software and other intangible assets: - 78.51 per cent</w:t>
      </w:r>
    </w:p>
    <w:p w:rsidR="0017580E" w:rsidRPr="00AE5B3B" w:rsidRDefault="0017580E" w:rsidP="00AE5B3B">
      <w:pPr>
        <w:autoSpaceDE w:val="0"/>
        <w:autoSpaceDN w:val="0"/>
        <w:adjustRightInd w:val="0"/>
        <w:spacing w:line="240" w:lineRule="auto"/>
        <w:jc w:val="left"/>
        <w:rPr>
          <w:rFonts w:ascii="Arial" w:hAnsi="Arial" w:cs="Arial"/>
          <w:sz w:val="20"/>
          <w:szCs w:val="20"/>
        </w:rPr>
      </w:pPr>
    </w:p>
    <w:p w:rsidR="005412D0" w:rsidRPr="00AE5B3B" w:rsidRDefault="005412D0"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 xml:space="preserve">In 2022/23, </w:t>
      </w:r>
      <w:r w:rsidRPr="00AE5B3B">
        <w:rPr>
          <w:rFonts w:ascii="Arial" w:hAnsi="Arial" w:cs="Arial"/>
          <w:i/>
          <w:sz w:val="20"/>
          <w:szCs w:val="20"/>
        </w:rPr>
        <w:t>Machinery and equipment</w:t>
      </w:r>
      <w:r w:rsidRPr="00AE5B3B">
        <w:rPr>
          <w:rFonts w:ascii="Arial" w:hAnsi="Arial" w:cs="Arial"/>
          <w:sz w:val="20"/>
          <w:szCs w:val="20"/>
        </w:rPr>
        <w:t xml:space="preserve"> received a Main Appropriation of R5 million, which is a nominal increase </w:t>
      </w:r>
      <w:r w:rsidR="009833D8" w:rsidRPr="00AE5B3B">
        <w:rPr>
          <w:rFonts w:ascii="Arial" w:hAnsi="Arial" w:cs="Arial"/>
          <w:sz w:val="20"/>
          <w:szCs w:val="20"/>
        </w:rPr>
        <w:t xml:space="preserve">of </w:t>
      </w:r>
      <w:r w:rsidRPr="00AE5B3B">
        <w:rPr>
          <w:rFonts w:ascii="Arial" w:hAnsi="Arial" w:cs="Arial"/>
          <w:sz w:val="20"/>
          <w:szCs w:val="20"/>
        </w:rPr>
        <w:t>216.65 per cent compared to the R1.6 million</w:t>
      </w:r>
      <w:r w:rsidR="00FA4BDA" w:rsidRPr="00AE5B3B">
        <w:rPr>
          <w:rFonts w:ascii="Arial" w:hAnsi="Arial" w:cs="Arial"/>
          <w:sz w:val="20"/>
          <w:szCs w:val="20"/>
        </w:rPr>
        <w:t xml:space="preserve"> allocation received</w:t>
      </w:r>
      <w:r w:rsidRPr="00AE5B3B">
        <w:rPr>
          <w:rFonts w:ascii="Arial" w:hAnsi="Arial" w:cs="Arial"/>
          <w:sz w:val="20"/>
          <w:szCs w:val="20"/>
        </w:rPr>
        <w:t xml:space="preserve"> in the 2021/22 financial year.</w:t>
      </w:r>
    </w:p>
    <w:p w:rsidR="00971F0A" w:rsidRPr="00AE5B3B" w:rsidRDefault="00971F0A" w:rsidP="00AE5B3B">
      <w:pPr>
        <w:spacing w:line="240" w:lineRule="auto"/>
        <w:jc w:val="left"/>
        <w:rPr>
          <w:rFonts w:ascii="Arial" w:hAnsi="Arial" w:cs="Arial"/>
          <w:bCs/>
          <w:sz w:val="20"/>
          <w:szCs w:val="20"/>
        </w:rPr>
      </w:pPr>
    </w:p>
    <w:p w:rsidR="00971F0A" w:rsidRPr="00AE5B3B" w:rsidRDefault="00971F0A" w:rsidP="00AE5B3B">
      <w:pPr>
        <w:pStyle w:val="Heading2"/>
        <w:numPr>
          <w:ilvl w:val="1"/>
          <w:numId w:val="19"/>
        </w:numPr>
        <w:spacing w:before="0" w:line="240" w:lineRule="auto"/>
        <w:rPr>
          <w:rFonts w:ascii="Arial" w:hAnsi="Arial" w:cs="Arial"/>
          <w:sz w:val="20"/>
          <w:szCs w:val="20"/>
        </w:rPr>
      </w:pPr>
      <w:bookmarkStart w:id="7" w:name="_Toc100572312"/>
      <w:r w:rsidRPr="00AE5B3B">
        <w:rPr>
          <w:rFonts w:ascii="Arial" w:hAnsi="Arial" w:cs="Arial"/>
          <w:sz w:val="20"/>
          <w:szCs w:val="20"/>
        </w:rPr>
        <w:t>Programme 1: Administration</w:t>
      </w:r>
      <w:bookmarkEnd w:id="7"/>
      <w:r w:rsidRPr="00AE5B3B">
        <w:rPr>
          <w:rFonts w:ascii="Arial" w:hAnsi="Arial" w:cs="Arial"/>
          <w:sz w:val="20"/>
          <w:szCs w:val="20"/>
        </w:rPr>
        <w:t xml:space="preserve"> </w:t>
      </w:r>
    </w:p>
    <w:p w:rsidR="002B48C8" w:rsidRPr="00AE5B3B" w:rsidRDefault="002B48C8" w:rsidP="00AE5B3B">
      <w:pPr>
        <w:spacing w:line="240" w:lineRule="auto"/>
        <w:jc w:val="left"/>
        <w:rPr>
          <w:rFonts w:ascii="Arial" w:hAnsi="Arial" w:cs="Arial"/>
          <w:bCs/>
          <w:sz w:val="20"/>
          <w:szCs w:val="20"/>
        </w:rPr>
      </w:pPr>
    </w:p>
    <w:p w:rsidR="00971F0A" w:rsidRPr="00AE5B3B" w:rsidRDefault="002B48C8" w:rsidP="00AE5B3B">
      <w:pPr>
        <w:spacing w:line="240" w:lineRule="auto"/>
        <w:jc w:val="left"/>
        <w:rPr>
          <w:rFonts w:ascii="Arial" w:hAnsi="Arial" w:cs="Arial"/>
          <w:bCs/>
          <w:sz w:val="20"/>
          <w:szCs w:val="20"/>
        </w:rPr>
      </w:pPr>
      <w:r w:rsidRPr="00AE5B3B">
        <w:rPr>
          <w:rFonts w:ascii="Arial" w:hAnsi="Arial" w:cs="Arial"/>
          <w:bCs/>
          <w:sz w:val="20"/>
          <w:szCs w:val="20"/>
        </w:rPr>
        <w:t>The Administration Programme’s budget allocation increased from R6</w:t>
      </w:r>
      <w:r w:rsidR="00DA5C54" w:rsidRPr="00AE5B3B">
        <w:rPr>
          <w:rFonts w:ascii="Arial" w:hAnsi="Arial" w:cs="Arial"/>
          <w:bCs/>
          <w:sz w:val="20"/>
          <w:szCs w:val="20"/>
        </w:rPr>
        <w:t>7.5</w:t>
      </w:r>
      <w:r w:rsidRPr="00AE5B3B">
        <w:rPr>
          <w:rFonts w:ascii="Arial" w:hAnsi="Arial" w:cs="Arial"/>
          <w:bCs/>
          <w:sz w:val="20"/>
          <w:szCs w:val="20"/>
        </w:rPr>
        <w:t xml:space="preserve"> million in 20</w:t>
      </w:r>
      <w:r w:rsidR="00D76694" w:rsidRPr="00AE5B3B">
        <w:rPr>
          <w:rFonts w:ascii="Arial" w:hAnsi="Arial" w:cs="Arial"/>
          <w:bCs/>
          <w:sz w:val="20"/>
          <w:szCs w:val="20"/>
        </w:rPr>
        <w:t>2</w:t>
      </w:r>
      <w:r w:rsidR="00DA5C54" w:rsidRPr="00AE5B3B">
        <w:rPr>
          <w:rFonts w:ascii="Arial" w:hAnsi="Arial" w:cs="Arial"/>
          <w:bCs/>
          <w:sz w:val="20"/>
          <w:szCs w:val="20"/>
        </w:rPr>
        <w:t>1</w:t>
      </w:r>
      <w:r w:rsidRPr="00AE5B3B">
        <w:rPr>
          <w:rFonts w:ascii="Arial" w:hAnsi="Arial" w:cs="Arial"/>
          <w:bCs/>
          <w:sz w:val="20"/>
          <w:szCs w:val="20"/>
        </w:rPr>
        <w:t>/2</w:t>
      </w:r>
      <w:r w:rsidR="00DA5C54" w:rsidRPr="00AE5B3B">
        <w:rPr>
          <w:rFonts w:ascii="Arial" w:hAnsi="Arial" w:cs="Arial"/>
          <w:bCs/>
          <w:sz w:val="20"/>
          <w:szCs w:val="20"/>
        </w:rPr>
        <w:t>2</w:t>
      </w:r>
      <w:r w:rsidRPr="00AE5B3B">
        <w:rPr>
          <w:rFonts w:ascii="Arial" w:hAnsi="Arial" w:cs="Arial"/>
          <w:bCs/>
          <w:sz w:val="20"/>
          <w:szCs w:val="20"/>
        </w:rPr>
        <w:t xml:space="preserve"> to R</w:t>
      </w:r>
      <w:r w:rsidR="00DA5C54" w:rsidRPr="00AE5B3B">
        <w:rPr>
          <w:rFonts w:ascii="Arial" w:hAnsi="Arial" w:cs="Arial"/>
          <w:bCs/>
          <w:sz w:val="20"/>
          <w:szCs w:val="20"/>
        </w:rPr>
        <w:t>68</w:t>
      </w:r>
      <w:r w:rsidR="00D76694" w:rsidRPr="00AE5B3B">
        <w:rPr>
          <w:rFonts w:ascii="Arial" w:hAnsi="Arial" w:cs="Arial"/>
          <w:bCs/>
          <w:sz w:val="20"/>
          <w:szCs w:val="20"/>
        </w:rPr>
        <w:t>.</w:t>
      </w:r>
      <w:r w:rsidR="00DA5C54" w:rsidRPr="00AE5B3B">
        <w:rPr>
          <w:rFonts w:ascii="Arial" w:hAnsi="Arial" w:cs="Arial"/>
          <w:bCs/>
          <w:sz w:val="20"/>
          <w:szCs w:val="20"/>
        </w:rPr>
        <w:t>8 million in 2022</w:t>
      </w:r>
      <w:r w:rsidRPr="00AE5B3B">
        <w:rPr>
          <w:rFonts w:ascii="Arial" w:hAnsi="Arial" w:cs="Arial"/>
          <w:bCs/>
          <w:sz w:val="20"/>
          <w:szCs w:val="20"/>
        </w:rPr>
        <w:t>/2</w:t>
      </w:r>
      <w:r w:rsidR="00DA5C54" w:rsidRPr="00AE5B3B">
        <w:rPr>
          <w:rFonts w:ascii="Arial" w:hAnsi="Arial" w:cs="Arial"/>
          <w:bCs/>
          <w:sz w:val="20"/>
          <w:szCs w:val="20"/>
        </w:rPr>
        <w:t>3</w:t>
      </w:r>
      <w:r w:rsidRPr="00AE5B3B">
        <w:rPr>
          <w:rFonts w:ascii="Arial" w:hAnsi="Arial" w:cs="Arial"/>
          <w:bCs/>
          <w:sz w:val="20"/>
          <w:szCs w:val="20"/>
        </w:rPr>
        <w:t xml:space="preserve">, which is a nominal increase of </w:t>
      </w:r>
      <w:r w:rsidR="00D76694" w:rsidRPr="00AE5B3B">
        <w:rPr>
          <w:rFonts w:ascii="Arial" w:hAnsi="Arial" w:cs="Arial"/>
          <w:bCs/>
          <w:sz w:val="20"/>
          <w:szCs w:val="20"/>
        </w:rPr>
        <w:t>1.8 per cent</w:t>
      </w:r>
      <w:r w:rsidR="00DA5C54" w:rsidRPr="00AE5B3B">
        <w:rPr>
          <w:rFonts w:ascii="Arial" w:hAnsi="Arial" w:cs="Arial"/>
          <w:bCs/>
          <w:sz w:val="20"/>
          <w:szCs w:val="20"/>
        </w:rPr>
        <w:t xml:space="preserve"> (R1.2 million nominal increase)</w:t>
      </w:r>
      <w:r w:rsidRPr="00AE5B3B">
        <w:rPr>
          <w:rFonts w:ascii="Arial" w:hAnsi="Arial" w:cs="Arial"/>
          <w:bCs/>
          <w:sz w:val="20"/>
          <w:szCs w:val="20"/>
        </w:rPr>
        <w:t xml:space="preserve">. </w:t>
      </w:r>
      <w:r w:rsidR="006A2F04" w:rsidRPr="00AE5B3B">
        <w:rPr>
          <w:rFonts w:ascii="Arial" w:hAnsi="Arial" w:cs="Arial"/>
          <w:bCs/>
          <w:sz w:val="20"/>
          <w:szCs w:val="20"/>
        </w:rPr>
        <w:t>Considering inflation</w:t>
      </w:r>
      <w:r w:rsidRPr="00AE5B3B">
        <w:rPr>
          <w:rFonts w:ascii="Arial" w:hAnsi="Arial" w:cs="Arial"/>
          <w:bCs/>
          <w:sz w:val="20"/>
          <w:szCs w:val="20"/>
        </w:rPr>
        <w:t xml:space="preserve">, the Programme’s allocation </w:t>
      </w:r>
      <w:r w:rsidR="00DA5C54" w:rsidRPr="00AE5B3B">
        <w:rPr>
          <w:rFonts w:ascii="Arial" w:hAnsi="Arial" w:cs="Arial"/>
          <w:bCs/>
          <w:sz w:val="20"/>
          <w:szCs w:val="20"/>
        </w:rPr>
        <w:t>de</w:t>
      </w:r>
      <w:r w:rsidRPr="00AE5B3B">
        <w:rPr>
          <w:rFonts w:ascii="Arial" w:hAnsi="Arial" w:cs="Arial"/>
          <w:bCs/>
          <w:sz w:val="20"/>
          <w:szCs w:val="20"/>
        </w:rPr>
        <w:t xml:space="preserve">creased </w:t>
      </w:r>
      <w:r w:rsidR="00D76694" w:rsidRPr="00AE5B3B">
        <w:rPr>
          <w:rFonts w:ascii="Arial" w:hAnsi="Arial" w:cs="Arial"/>
          <w:bCs/>
          <w:sz w:val="20"/>
          <w:szCs w:val="20"/>
        </w:rPr>
        <w:t>with</w:t>
      </w:r>
      <w:r w:rsidRPr="00AE5B3B">
        <w:rPr>
          <w:rFonts w:ascii="Arial" w:hAnsi="Arial" w:cs="Arial"/>
          <w:bCs/>
          <w:sz w:val="20"/>
          <w:szCs w:val="20"/>
        </w:rPr>
        <w:t xml:space="preserve"> </w:t>
      </w:r>
      <w:r w:rsidR="00DA5C54" w:rsidRPr="00AE5B3B">
        <w:rPr>
          <w:rFonts w:ascii="Arial" w:hAnsi="Arial" w:cs="Arial"/>
          <w:bCs/>
          <w:sz w:val="20"/>
          <w:szCs w:val="20"/>
        </w:rPr>
        <w:t>2.55</w:t>
      </w:r>
      <w:r w:rsidR="00D76694" w:rsidRPr="00AE5B3B">
        <w:rPr>
          <w:rFonts w:ascii="Arial" w:hAnsi="Arial" w:cs="Arial"/>
          <w:bCs/>
          <w:sz w:val="20"/>
          <w:szCs w:val="20"/>
        </w:rPr>
        <w:t xml:space="preserve"> per cent</w:t>
      </w:r>
      <w:r w:rsidRPr="00AE5B3B">
        <w:rPr>
          <w:rFonts w:ascii="Arial" w:hAnsi="Arial" w:cs="Arial"/>
          <w:bCs/>
          <w:sz w:val="20"/>
          <w:szCs w:val="20"/>
        </w:rPr>
        <w:t xml:space="preserve"> compared to the previous financial year. </w:t>
      </w:r>
    </w:p>
    <w:p w:rsidR="00017ECD" w:rsidRPr="00AE5B3B" w:rsidRDefault="00017ECD" w:rsidP="00AE5B3B">
      <w:pPr>
        <w:spacing w:line="240" w:lineRule="auto"/>
        <w:jc w:val="left"/>
        <w:rPr>
          <w:rFonts w:ascii="Arial" w:hAnsi="Arial" w:cs="Arial"/>
          <w:bCs/>
          <w:sz w:val="20"/>
          <w:szCs w:val="20"/>
        </w:rPr>
      </w:pPr>
    </w:p>
    <w:p w:rsidR="00017ECD" w:rsidRPr="00AE5B3B" w:rsidRDefault="00017ECD" w:rsidP="00AE5B3B">
      <w:pPr>
        <w:spacing w:line="240" w:lineRule="auto"/>
        <w:jc w:val="left"/>
        <w:rPr>
          <w:rFonts w:ascii="Arial" w:hAnsi="Arial" w:cs="Arial"/>
          <w:bCs/>
          <w:sz w:val="20"/>
          <w:szCs w:val="20"/>
        </w:rPr>
      </w:pPr>
      <w:r w:rsidRPr="00AE5B3B">
        <w:rPr>
          <w:rFonts w:ascii="Arial" w:hAnsi="Arial" w:cs="Arial"/>
          <w:bCs/>
          <w:sz w:val="20"/>
          <w:szCs w:val="20"/>
        </w:rPr>
        <w:t>The Department Management subprogramme received a Main Allocation of R1</w:t>
      </w:r>
      <w:r w:rsidR="00DA5C54" w:rsidRPr="00AE5B3B">
        <w:rPr>
          <w:rFonts w:ascii="Arial" w:hAnsi="Arial" w:cs="Arial"/>
          <w:bCs/>
          <w:sz w:val="20"/>
          <w:szCs w:val="20"/>
        </w:rPr>
        <w:t>3</w:t>
      </w:r>
      <w:r w:rsidRPr="00AE5B3B">
        <w:rPr>
          <w:rFonts w:ascii="Arial" w:hAnsi="Arial" w:cs="Arial"/>
          <w:bCs/>
          <w:sz w:val="20"/>
          <w:szCs w:val="20"/>
        </w:rPr>
        <w:t>.</w:t>
      </w:r>
      <w:r w:rsidR="00DA5C54" w:rsidRPr="00AE5B3B">
        <w:rPr>
          <w:rFonts w:ascii="Arial" w:hAnsi="Arial" w:cs="Arial"/>
          <w:bCs/>
          <w:sz w:val="20"/>
          <w:szCs w:val="20"/>
        </w:rPr>
        <w:t>1</w:t>
      </w:r>
      <w:r w:rsidRPr="00AE5B3B">
        <w:rPr>
          <w:rFonts w:ascii="Arial" w:hAnsi="Arial" w:cs="Arial"/>
          <w:bCs/>
          <w:sz w:val="20"/>
          <w:szCs w:val="20"/>
        </w:rPr>
        <w:t xml:space="preserve"> million in 202</w:t>
      </w:r>
      <w:r w:rsidR="00DA5C54" w:rsidRPr="00AE5B3B">
        <w:rPr>
          <w:rFonts w:ascii="Arial" w:hAnsi="Arial" w:cs="Arial"/>
          <w:bCs/>
          <w:sz w:val="20"/>
          <w:szCs w:val="20"/>
        </w:rPr>
        <w:t>2</w:t>
      </w:r>
      <w:r w:rsidRPr="00AE5B3B">
        <w:rPr>
          <w:rFonts w:ascii="Arial" w:hAnsi="Arial" w:cs="Arial"/>
          <w:bCs/>
          <w:sz w:val="20"/>
          <w:szCs w:val="20"/>
        </w:rPr>
        <w:t>/2</w:t>
      </w:r>
      <w:r w:rsidR="00DA5C54" w:rsidRPr="00AE5B3B">
        <w:rPr>
          <w:rFonts w:ascii="Arial" w:hAnsi="Arial" w:cs="Arial"/>
          <w:bCs/>
          <w:sz w:val="20"/>
          <w:szCs w:val="20"/>
        </w:rPr>
        <w:t>3</w:t>
      </w:r>
      <w:r w:rsidRPr="00AE5B3B">
        <w:rPr>
          <w:rFonts w:ascii="Arial" w:hAnsi="Arial" w:cs="Arial"/>
          <w:bCs/>
          <w:sz w:val="20"/>
          <w:szCs w:val="20"/>
        </w:rPr>
        <w:t xml:space="preserve">, which is a nominal increase of </w:t>
      </w:r>
      <w:r w:rsidR="00DA5C54" w:rsidRPr="00AE5B3B">
        <w:rPr>
          <w:rFonts w:ascii="Arial" w:hAnsi="Arial" w:cs="Arial"/>
          <w:bCs/>
          <w:sz w:val="20"/>
          <w:szCs w:val="20"/>
        </w:rPr>
        <w:t>5.24</w:t>
      </w:r>
      <w:r w:rsidRPr="00AE5B3B">
        <w:rPr>
          <w:rFonts w:ascii="Arial" w:hAnsi="Arial" w:cs="Arial"/>
          <w:bCs/>
          <w:sz w:val="20"/>
          <w:szCs w:val="20"/>
        </w:rPr>
        <w:t xml:space="preserve"> per cent and real increase of 0.</w:t>
      </w:r>
      <w:r w:rsidR="00DA5C54" w:rsidRPr="00AE5B3B">
        <w:rPr>
          <w:rFonts w:ascii="Arial" w:hAnsi="Arial" w:cs="Arial"/>
          <w:bCs/>
          <w:sz w:val="20"/>
          <w:szCs w:val="20"/>
        </w:rPr>
        <w:t>71</w:t>
      </w:r>
      <w:r w:rsidRPr="00AE5B3B">
        <w:rPr>
          <w:rFonts w:ascii="Arial" w:hAnsi="Arial" w:cs="Arial"/>
          <w:bCs/>
          <w:sz w:val="20"/>
          <w:szCs w:val="20"/>
        </w:rPr>
        <w:t xml:space="preserve"> per cent compared to the previous financial year. The Corporate Services subprogramme’s allocation increased </w:t>
      </w:r>
      <w:r w:rsidR="00DA5C54" w:rsidRPr="00AE5B3B">
        <w:rPr>
          <w:rFonts w:ascii="Arial" w:hAnsi="Arial" w:cs="Arial"/>
          <w:bCs/>
          <w:sz w:val="20"/>
          <w:szCs w:val="20"/>
        </w:rPr>
        <w:t xml:space="preserve">slightly </w:t>
      </w:r>
      <w:r w:rsidRPr="00AE5B3B">
        <w:rPr>
          <w:rFonts w:ascii="Arial" w:hAnsi="Arial" w:cs="Arial"/>
          <w:bCs/>
          <w:sz w:val="20"/>
          <w:szCs w:val="20"/>
        </w:rPr>
        <w:t>from R</w:t>
      </w:r>
      <w:r w:rsidR="00DA5C54" w:rsidRPr="00AE5B3B">
        <w:rPr>
          <w:rFonts w:ascii="Arial" w:hAnsi="Arial" w:cs="Arial"/>
          <w:bCs/>
          <w:sz w:val="20"/>
          <w:szCs w:val="20"/>
        </w:rPr>
        <w:t>24.4</w:t>
      </w:r>
      <w:r w:rsidRPr="00AE5B3B">
        <w:rPr>
          <w:rFonts w:ascii="Arial" w:hAnsi="Arial" w:cs="Arial"/>
          <w:bCs/>
          <w:sz w:val="20"/>
          <w:szCs w:val="20"/>
        </w:rPr>
        <w:t xml:space="preserve"> million in 2021/2</w:t>
      </w:r>
      <w:r w:rsidR="00DA5C54" w:rsidRPr="00AE5B3B">
        <w:rPr>
          <w:rFonts w:ascii="Arial" w:hAnsi="Arial" w:cs="Arial"/>
          <w:bCs/>
          <w:sz w:val="20"/>
          <w:szCs w:val="20"/>
        </w:rPr>
        <w:t>2</w:t>
      </w:r>
      <w:r w:rsidRPr="00AE5B3B">
        <w:rPr>
          <w:rFonts w:ascii="Arial" w:hAnsi="Arial" w:cs="Arial"/>
          <w:bCs/>
          <w:sz w:val="20"/>
          <w:szCs w:val="20"/>
        </w:rPr>
        <w:t xml:space="preserve"> to R24</w:t>
      </w:r>
      <w:r w:rsidR="002367D5" w:rsidRPr="00AE5B3B">
        <w:rPr>
          <w:rFonts w:ascii="Arial" w:hAnsi="Arial" w:cs="Arial"/>
          <w:bCs/>
          <w:sz w:val="20"/>
          <w:szCs w:val="20"/>
        </w:rPr>
        <w:t>.6</w:t>
      </w:r>
      <w:r w:rsidRPr="00AE5B3B">
        <w:rPr>
          <w:rFonts w:ascii="Arial" w:hAnsi="Arial" w:cs="Arial"/>
          <w:bCs/>
          <w:sz w:val="20"/>
          <w:szCs w:val="20"/>
        </w:rPr>
        <w:t xml:space="preserve"> million in 202</w:t>
      </w:r>
      <w:r w:rsidR="002367D5" w:rsidRPr="00AE5B3B">
        <w:rPr>
          <w:rFonts w:ascii="Arial" w:hAnsi="Arial" w:cs="Arial"/>
          <w:bCs/>
          <w:sz w:val="20"/>
          <w:szCs w:val="20"/>
        </w:rPr>
        <w:t>2</w:t>
      </w:r>
      <w:r w:rsidRPr="00AE5B3B">
        <w:rPr>
          <w:rFonts w:ascii="Arial" w:hAnsi="Arial" w:cs="Arial"/>
          <w:bCs/>
          <w:sz w:val="20"/>
          <w:szCs w:val="20"/>
        </w:rPr>
        <w:t>/2</w:t>
      </w:r>
      <w:r w:rsidR="002367D5" w:rsidRPr="00AE5B3B">
        <w:rPr>
          <w:rFonts w:ascii="Arial" w:hAnsi="Arial" w:cs="Arial"/>
          <w:bCs/>
          <w:sz w:val="20"/>
          <w:szCs w:val="20"/>
        </w:rPr>
        <w:t>3</w:t>
      </w:r>
      <w:r w:rsidRPr="00AE5B3B">
        <w:rPr>
          <w:rFonts w:ascii="Arial" w:hAnsi="Arial" w:cs="Arial"/>
          <w:bCs/>
          <w:sz w:val="20"/>
          <w:szCs w:val="20"/>
        </w:rPr>
        <w:t xml:space="preserve">, which is a nominal increase of </w:t>
      </w:r>
      <w:r w:rsidR="002367D5" w:rsidRPr="00AE5B3B">
        <w:rPr>
          <w:rFonts w:ascii="Arial" w:hAnsi="Arial" w:cs="Arial"/>
          <w:bCs/>
          <w:sz w:val="20"/>
          <w:szCs w:val="20"/>
        </w:rPr>
        <w:t>0.53</w:t>
      </w:r>
      <w:r w:rsidRPr="00AE5B3B">
        <w:rPr>
          <w:rFonts w:ascii="Arial" w:hAnsi="Arial" w:cs="Arial"/>
          <w:bCs/>
          <w:sz w:val="20"/>
          <w:szCs w:val="20"/>
        </w:rPr>
        <w:t xml:space="preserve"> per cent. However, considering inflation, the allocation showed a real decrease of </w:t>
      </w:r>
      <w:r w:rsidR="002367D5" w:rsidRPr="00AE5B3B">
        <w:rPr>
          <w:rFonts w:ascii="Arial" w:hAnsi="Arial" w:cs="Arial"/>
          <w:bCs/>
          <w:sz w:val="20"/>
          <w:szCs w:val="20"/>
        </w:rPr>
        <w:t>3.8</w:t>
      </w:r>
      <w:r w:rsidRPr="00AE5B3B">
        <w:rPr>
          <w:rFonts w:ascii="Arial" w:hAnsi="Arial" w:cs="Arial"/>
          <w:bCs/>
          <w:sz w:val="20"/>
          <w:szCs w:val="20"/>
        </w:rPr>
        <w:t xml:space="preserve"> per cent. </w:t>
      </w:r>
      <w:r w:rsidR="002367D5" w:rsidRPr="00AE5B3B">
        <w:rPr>
          <w:rFonts w:ascii="Arial" w:hAnsi="Arial" w:cs="Arial"/>
          <w:bCs/>
          <w:sz w:val="20"/>
          <w:szCs w:val="20"/>
        </w:rPr>
        <w:t>T</w:t>
      </w:r>
      <w:r w:rsidRPr="00AE5B3B">
        <w:rPr>
          <w:rFonts w:ascii="Arial" w:hAnsi="Arial" w:cs="Arial"/>
          <w:bCs/>
          <w:sz w:val="20"/>
          <w:szCs w:val="20"/>
        </w:rPr>
        <w:t xml:space="preserve">he Finance Administration subprogramme received a </w:t>
      </w:r>
      <w:r w:rsidR="002367D5" w:rsidRPr="00AE5B3B">
        <w:rPr>
          <w:rFonts w:ascii="Arial" w:hAnsi="Arial" w:cs="Arial"/>
          <w:bCs/>
          <w:sz w:val="20"/>
          <w:szCs w:val="20"/>
        </w:rPr>
        <w:t xml:space="preserve">slight </w:t>
      </w:r>
      <w:r w:rsidRPr="00AE5B3B">
        <w:rPr>
          <w:rFonts w:ascii="Arial" w:hAnsi="Arial" w:cs="Arial"/>
          <w:bCs/>
          <w:sz w:val="20"/>
          <w:szCs w:val="20"/>
        </w:rPr>
        <w:t xml:space="preserve">nominal </w:t>
      </w:r>
      <w:r w:rsidR="002367D5" w:rsidRPr="00AE5B3B">
        <w:rPr>
          <w:rFonts w:ascii="Arial" w:hAnsi="Arial" w:cs="Arial"/>
          <w:bCs/>
          <w:sz w:val="20"/>
          <w:szCs w:val="20"/>
        </w:rPr>
        <w:t>de</w:t>
      </w:r>
      <w:r w:rsidRPr="00AE5B3B">
        <w:rPr>
          <w:rFonts w:ascii="Arial" w:hAnsi="Arial" w:cs="Arial"/>
          <w:bCs/>
          <w:sz w:val="20"/>
          <w:szCs w:val="20"/>
        </w:rPr>
        <w:t xml:space="preserve">crease of </w:t>
      </w:r>
      <w:r w:rsidR="002367D5" w:rsidRPr="00AE5B3B">
        <w:rPr>
          <w:rFonts w:ascii="Arial" w:hAnsi="Arial" w:cs="Arial"/>
          <w:bCs/>
          <w:sz w:val="20"/>
          <w:szCs w:val="20"/>
        </w:rPr>
        <w:t>0.03</w:t>
      </w:r>
      <w:r w:rsidRPr="00AE5B3B">
        <w:rPr>
          <w:rFonts w:ascii="Arial" w:hAnsi="Arial" w:cs="Arial"/>
          <w:bCs/>
          <w:sz w:val="20"/>
          <w:szCs w:val="20"/>
        </w:rPr>
        <w:t xml:space="preserve"> per cent</w:t>
      </w:r>
      <w:r w:rsidR="002367D5" w:rsidRPr="00AE5B3B">
        <w:rPr>
          <w:rFonts w:ascii="Arial" w:hAnsi="Arial" w:cs="Arial"/>
          <w:bCs/>
          <w:sz w:val="20"/>
          <w:szCs w:val="20"/>
        </w:rPr>
        <w:t xml:space="preserve">, which is a real decrease of 4.34 per cent (the change is too small to show in R’million, thus the allocation displays the same for both years). </w:t>
      </w:r>
    </w:p>
    <w:p w:rsidR="002367D5" w:rsidRPr="00AE5B3B" w:rsidRDefault="002367D5" w:rsidP="00AE5B3B">
      <w:pPr>
        <w:spacing w:line="240" w:lineRule="auto"/>
        <w:jc w:val="left"/>
        <w:rPr>
          <w:rFonts w:ascii="Arial" w:hAnsi="Arial" w:cs="Arial"/>
          <w:bCs/>
          <w:sz w:val="20"/>
          <w:szCs w:val="20"/>
        </w:rPr>
      </w:pPr>
    </w:p>
    <w:p w:rsidR="002367D5" w:rsidRPr="00AE5B3B" w:rsidRDefault="002367D5" w:rsidP="00AE5B3B">
      <w:pPr>
        <w:spacing w:line="240" w:lineRule="auto"/>
        <w:jc w:val="left"/>
        <w:rPr>
          <w:rFonts w:ascii="Arial" w:hAnsi="Arial" w:cs="Arial"/>
          <w:bCs/>
          <w:sz w:val="20"/>
          <w:szCs w:val="20"/>
        </w:rPr>
      </w:pPr>
      <w:r w:rsidRPr="00AE5B3B">
        <w:rPr>
          <w:rFonts w:ascii="Arial" w:hAnsi="Arial" w:cs="Arial"/>
          <w:bCs/>
          <w:sz w:val="20"/>
          <w:szCs w:val="20"/>
        </w:rPr>
        <w:t>The Department is in the process of relocating to new offices, as the current office space cannot accommodate the Department’s personnel. This accounts for an increase in the budget allocation of the Office Accommodation subprogramme from R7.5 million in 2021/22 to R7.9 million in 2022/23, which is a nominal increase of 5.31 per cent. This is the second increase in two years</w:t>
      </w:r>
      <w:r w:rsidR="009833D8" w:rsidRPr="00AE5B3B">
        <w:rPr>
          <w:rFonts w:ascii="Arial" w:hAnsi="Arial" w:cs="Arial"/>
          <w:bCs/>
          <w:sz w:val="20"/>
          <w:szCs w:val="20"/>
        </w:rPr>
        <w:t xml:space="preserve"> -</w:t>
      </w:r>
      <w:r w:rsidRPr="00AE5B3B">
        <w:rPr>
          <w:rFonts w:ascii="Arial" w:hAnsi="Arial" w:cs="Arial"/>
          <w:bCs/>
          <w:sz w:val="20"/>
          <w:szCs w:val="20"/>
        </w:rPr>
        <w:t xml:space="preserve"> in 2021/22 </w:t>
      </w:r>
      <w:r w:rsidR="009833D8" w:rsidRPr="00AE5B3B">
        <w:rPr>
          <w:rFonts w:ascii="Arial" w:hAnsi="Arial" w:cs="Arial"/>
          <w:bCs/>
          <w:sz w:val="20"/>
          <w:szCs w:val="20"/>
        </w:rPr>
        <w:t xml:space="preserve">it </w:t>
      </w:r>
      <w:r w:rsidRPr="00AE5B3B">
        <w:rPr>
          <w:rFonts w:ascii="Arial" w:hAnsi="Arial" w:cs="Arial"/>
          <w:bCs/>
          <w:sz w:val="20"/>
          <w:szCs w:val="20"/>
        </w:rPr>
        <w:t xml:space="preserve">increased nominally with 82.93 percent (R3.4 million) compared to the previous financial year. </w:t>
      </w:r>
    </w:p>
    <w:p w:rsidR="002B48C8" w:rsidRPr="00AE5B3B" w:rsidRDefault="002B48C8" w:rsidP="00AE5B3B">
      <w:pPr>
        <w:spacing w:line="240" w:lineRule="auto"/>
        <w:jc w:val="left"/>
        <w:rPr>
          <w:rFonts w:ascii="Arial" w:hAnsi="Arial" w:cs="Arial"/>
          <w:bCs/>
          <w:sz w:val="20"/>
          <w:szCs w:val="20"/>
        </w:rPr>
      </w:pPr>
    </w:p>
    <w:p w:rsidR="007C5829" w:rsidRPr="00AE5B3B" w:rsidRDefault="00F05A92" w:rsidP="00AE5B3B">
      <w:pPr>
        <w:spacing w:line="240" w:lineRule="auto"/>
        <w:jc w:val="left"/>
        <w:rPr>
          <w:rFonts w:ascii="Arial" w:hAnsi="Arial" w:cs="Arial"/>
          <w:b/>
          <w:bCs/>
          <w:i/>
          <w:sz w:val="20"/>
          <w:szCs w:val="20"/>
        </w:rPr>
      </w:pPr>
      <w:r w:rsidRPr="00AE5B3B">
        <w:rPr>
          <w:rFonts w:ascii="Arial" w:hAnsi="Arial" w:cs="Arial"/>
          <w:b/>
          <w:bCs/>
          <w:i/>
          <w:sz w:val="20"/>
          <w:szCs w:val="20"/>
        </w:rPr>
        <w:t xml:space="preserve">Table </w:t>
      </w:r>
      <w:r w:rsidR="00E37BB2" w:rsidRPr="00AE5B3B">
        <w:rPr>
          <w:rFonts w:ascii="Arial" w:hAnsi="Arial" w:cs="Arial"/>
          <w:b/>
          <w:bCs/>
          <w:i/>
          <w:sz w:val="20"/>
          <w:szCs w:val="20"/>
        </w:rPr>
        <w:t>2</w:t>
      </w:r>
      <w:r w:rsidRPr="00AE5B3B">
        <w:rPr>
          <w:rFonts w:ascii="Arial" w:hAnsi="Arial" w:cs="Arial"/>
          <w:b/>
          <w:bCs/>
          <w:i/>
          <w:sz w:val="20"/>
          <w:szCs w:val="20"/>
        </w:rPr>
        <w:t xml:space="preserve">: </w:t>
      </w:r>
      <w:r w:rsidR="001C6F80" w:rsidRPr="00AE5B3B">
        <w:rPr>
          <w:rFonts w:ascii="Arial" w:hAnsi="Arial" w:cs="Arial"/>
          <w:b/>
          <w:bCs/>
          <w:i/>
          <w:sz w:val="20"/>
          <w:szCs w:val="20"/>
        </w:rPr>
        <w:t xml:space="preserve">Budget allocation: Administration Programme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134"/>
        <w:gridCol w:w="939"/>
        <w:gridCol w:w="1114"/>
        <w:gridCol w:w="1134"/>
        <w:gridCol w:w="1417"/>
        <w:gridCol w:w="1418"/>
      </w:tblGrid>
      <w:tr w:rsidR="00F91775" w:rsidRPr="00AE5B3B" w:rsidTr="00FB33B9">
        <w:trPr>
          <w:trHeight w:val="765"/>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Programme</w:t>
            </w:r>
          </w:p>
        </w:tc>
        <w:tc>
          <w:tcPr>
            <w:tcW w:w="2005" w:type="dxa"/>
            <w:gridSpan w:val="2"/>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Budget</w:t>
            </w:r>
          </w:p>
        </w:tc>
        <w:tc>
          <w:tcPr>
            <w:tcW w:w="1114"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Increase / Decrease in 2022/23</w:t>
            </w:r>
          </w:p>
        </w:tc>
        <w:tc>
          <w:tcPr>
            <w:tcW w:w="1134"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Increase / Decrease in 2022/23</w:t>
            </w:r>
          </w:p>
        </w:tc>
        <w:tc>
          <w:tcPr>
            <w:tcW w:w="1417"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Percent change in 2022/23</w:t>
            </w:r>
          </w:p>
        </w:tc>
        <w:tc>
          <w:tcPr>
            <w:tcW w:w="1418" w:type="dxa"/>
            <w:shd w:val="clear" w:color="auto" w:fill="auto"/>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Percent change in 2022/23</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 million</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2021/22</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2022/23</w:t>
            </w:r>
          </w:p>
        </w:tc>
        <w:tc>
          <w:tcPr>
            <w:tcW w:w="1114"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134"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417"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c>
          <w:tcPr>
            <w:tcW w:w="1418" w:type="dxa"/>
            <w:vAlign w:val="center"/>
            <w:hideMark/>
          </w:tcPr>
          <w:p w:rsidR="00F91775" w:rsidRPr="00AE5B3B" w:rsidRDefault="00F91775" w:rsidP="00AE5B3B">
            <w:pPr>
              <w:spacing w:line="240" w:lineRule="auto"/>
              <w:jc w:val="left"/>
              <w:rPr>
                <w:rFonts w:ascii="Arial" w:eastAsia="Times New Roman" w:hAnsi="Arial" w:cs="Arial"/>
                <w:b/>
                <w:bCs/>
                <w:sz w:val="20"/>
                <w:szCs w:val="20"/>
                <w:lang w:eastAsia="en-ZA"/>
              </w:rPr>
            </w:pP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Department </w:t>
            </w:r>
            <w:r w:rsidRPr="00AE5B3B">
              <w:rPr>
                <w:rFonts w:ascii="Arial" w:eastAsia="Times New Roman" w:hAnsi="Arial" w:cs="Arial"/>
                <w:sz w:val="20"/>
                <w:szCs w:val="20"/>
                <w:lang w:eastAsia="en-ZA"/>
              </w:rPr>
              <w:lastRenderedPageBreak/>
              <w:t>Management</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lastRenderedPageBreak/>
              <w:t xml:space="preserve">  12,4</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13,1</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0,7</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0,1</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5,24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0,71 per cent</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lastRenderedPageBreak/>
              <w:t>Corporate Services</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24,4</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24,6</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0,1</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0,9</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0,53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-3,80 per cent</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Finance Administration</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18,4</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18,4</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0,0</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0,8</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-0,03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-4,34 per cent</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Office Accommodation</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7,5</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7,9</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0,4</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0,1</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5,31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0,78 per cent</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Internal Audit</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4,7</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4,8</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0,1</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0,1</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1,31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-3,05 per cent</w:t>
            </w:r>
          </w:p>
        </w:tc>
      </w:tr>
      <w:tr w:rsidR="00F91775" w:rsidRPr="00AE5B3B" w:rsidTr="00FB33B9">
        <w:trPr>
          <w:trHeight w:val="264"/>
        </w:trPr>
        <w:tc>
          <w:tcPr>
            <w:tcW w:w="2405"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TOTAL</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67,5</w:t>
            </w:r>
          </w:p>
        </w:tc>
        <w:tc>
          <w:tcPr>
            <w:tcW w:w="871"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68,8</w:t>
            </w:r>
          </w:p>
        </w:tc>
        <w:tc>
          <w:tcPr>
            <w:tcW w:w="111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1,2</w:t>
            </w:r>
          </w:p>
        </w:tc>
        <w:tc>
          <w:tcPr>
            <w:tcW w:w="1134"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1,7</w:t>
            </w:r>
          </w:p>
        </w:tc>
        <w:tc>
          <w:tcPr>
            <w:tcW w:w="1417"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1,8 per cent</w:t>
            </w:r>
          </w:p>
        </w:tc>
        <w:tc>
          <w:tcPr>
            <w:tcW w:w="1418" w:type="dxa"/>
            <w:shd w:val="clear" w:color="auto" w:fill="auto"/>
            <w:noWrap/>
            <w:vAlign w:val="bottom"/>
            <w:hideMark/>
          </w:tcPr>
          <w:p w:rsidR="00F91775" w:rsidRPr="00AE5B3B" w:rsidRDefault="00F91775"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-2,55 per cent</w:t>
            </w:r>
          </w:p>
        </w:tc>
      </w:tr>
    </w:tbl>
    <w:p w:rsidR="00D9702D" w:rsidRPr="00AE5B3B" w:rsidRDefault="00F91775" w:rsidP="00AE5B3B">
      <w:pPr>
        <w:autoSpaceDE w:val="0"/>
        <w:autoSpaceDN w:val="0"/>
        <w:adjustRightInd w:val="0"/>
        <w:spacing w:line="240" w:lineRule="auto"/>
        <w:jc w:val="left"/>
        <w:rPr>
          <w:rFonts w:ascii="Arial" w:hAnsi="Arial" w:cs="Arial"/>
          <w:i/>
          <w:sz w:val="20"/>
          <w:szCs w:val="20"/>
        </w:rPr>
      </w:pPr>
      <w:r w:rsidRPr="00AE5B3B">
        <w:rPr>
          <w:rFonts w:ascii="Arial" w:hAnsi="Arial" w:cs="Arial"/>
          <w:i/>
          <w:sz w:val="20"/>
          <w:szCs w:val="20"/>
        </w:rPr>
        <w:t>Source: National Treasury (2022</w:t>
      </w:r>
      <w:r w:rsidR="00D9702D" w:rsidRPr="00AE5B3B">
        <w:rPr>
          <w:rFonts w:ascii="Arial" w:hAnsi="Arial" w:cs="Arial"/>
          <w:i/>
          <w:sz w:val="20"/>
          <w:szCs w:val="20"/>
        </w:rPr>
        <w:t>)</w:t>
      </w:r>
    </w:p>
    <w:p w:rsidR="007C5829" w:rsidRPr="00AE5B3B" w:rsidRDefault="007C5829" w:rsidP="00AE5B3B">
      <w:pPr>
        <w:spacing w:line="240" w:lineRule="auto"/>
        <w:jc w:val="left"/>
        <w:rPr>
          <w:rFonts w:ascii="Arial" w:hAnsi="Arial" w:cs="Arial"/>
          <w:bCs/>
          <w:sz w:val="20"/>
          <w:szCs w:val="20"/>
        </w:rPr>
      </w:pPr>
    </w:p>
    <w:p w:rsidR="006A2F04" w:rsidRPr="00AE5B3B" w:rsidRDefault="006A2F04" w:rsidP="00AE5B3B">
      <w:pPr>
        <w:spacing w:line="240" w:lineRule="auto"/>
        <w:jc w:val="left"/>
        <w:rPr>
          <w:rFonts w:ascii="Arial" w:hAnsi="Arial" w:cs="Arial"/>
          <w:bCs/>
          <w:sz w:val="20"/>
          <w:szCs w:val="20"/>
        </w:rPr>
      </w:pPr>
      <w:r w:rsidRPr="00AE5B3B">
        <w:rPr>
          <w:rFonts w:ascii="Arial" w:hAnsi="Arial" w:cs="Arial"/>
          <w:bCs/>
          <w:sz w:val="20"/>
          <w:szCs w:val="20"/>
        </w:rPr>
        <w:t>The Internal Audit subprogramme received a Main Appropriation of R4.</w:t>
      </w:r>
      <w:r w:rsidR="002367D5" w:rsidRPr="00AE5B3B">
        <w:rPr>
          <w:rFonts w:ascii="Arial" w:hAnsi="Arial" w:cs="Arial"/>
          <w:bCs/>
          <w:sz w:val="20"/>
          <w:szCs w:val="20"/>
        </w:rPr>
        <w:t>8</w:t>
      </w:r>
      <w:r w:rsidRPr="00AE5B3B">
        <w:rPr>
          <w:rFonts w:ascii="Arial" w:hAnsi="Arial" w:cs="Arial"/>
          <w:bCs/>
          <w:sz w:val="20"/>
          <w:szCs w:val="20"/>
        </w:rPr>
        <w:t xml:space="preserve"> million in 202</w:t>
      </w:r>
      <w:r w:rsidR="002367D5" w:rsidRPr="00AE5B3B">
        <w:rPr>
          <w:rFonts w:ascii="Arial" w:hAnsi="Arial" w:cs="Arial"/>
          <w:bCs/>
          <w:sz w:val="20"/>
          <w:szCs w:val="20"/>
        </w:rPr>
        <w:t>2</w:t>
      </w:r>
      <w:r w:rsidRPr="00AE5B3B">
        <w:rPr>
          <w:rFonts w:ascii="Arial" w:hAnsi="Arial" w:cs="Arial"/>
          <w:bCs/>
          <w:sz w:val="20"/>
          <w:szCs w:val="20"/>
        </w:rPr>
        <w:t>/2</w:t>
      </w:r>
      <w:r w:rsidR="002367D5" w:rsidRPr="00AE5B3B">
        <w:rPr>
          <w:rFonts w:ascii="Arial" w:hAnsi="Arial" w:cs="Arial"/>
          <w:bCs/>
          <w:sz w:val="20"/>
          <w:szCs w:val="20"/>
        </w:rPr>
        <w:t>3</w:t>
      </w:r>
      <w:r w:rsidRPr="00AE5B3B">
        <w:rPr>
          <w:rFonts w:ascii="Arial" w:hAnsi="Arial" w:cs="Arial"/>
          <w:bCs/>
          <w:sz w:val="20"/>
          <w:szCs w:val="20"/>
        </w:rPr>
        <w:t xml:space="preserve">, which </w:t>
      </w:r>
      <w:r w:rsidR="002367D5" w:rsidRPr="00AE5B3B">
        <w:rPr>
          <w:rFonts w:ascii="Arial" w:hAnsi="Arial" w:cs="Arial"/>
          <w:bCs/>
          <w:sz w:val="20"/>
          <w:szCs w:val="20"/>
        </w:rPr>
        <w:t xml:space="preserve">is a slight increase of R100 000.00 </w:t>
      </w:r>
      <w:r w:rsidRPr="00AE5B3B">
        <w:rPr>
          <w:rFonts w:ascii="Arial" w:hAnsi="Arial" w:cs="Arial"/>
          <w:bCs/>
          <w:sz w:val="20"/>
          <w:szCs w:val="20"/>
        </w:rPr>
        <w:t xml:space="preserve">compared to the previous financial year. </w:t>
      </w:r>
      <w:r w:rsidR="002367D5" w:rsidRPr="00AE5B3B">
        <w:rPr>
          <w:rFonts w:ascii="Arial" w:hAnsi="Arial" w:cs="Arial"/>
          <w:bCs/>
          <w:sz w:val="20"/>
          <w:szCs w:val="20"/>
        </w:rPr>
        <w:t xml:space="preserve">This is a nominal increase of 1.31 per cent and a real decrease of 3.05 per cent. </w:t>
      </w:r>
    </w:p>
    <w:p w:rsidR="00D84899" w:rsidRPr="00AE5B3B" w:rsidRDefault="00D84899" w:rsidP="00AE5B3B">
      <w:pPr>
        <w:spacing w:line="240" w:lineRule="auto"/>
        <w:jc w:val="left"/>
        <w:rPr>
          <w:rFonts w:ascii="Arial" w:hAnsi="Arial" w:cs="Arial"/>
          <w:bCs/>
          <w:sz w:val="20"/>
          <w:szCs w:val="20"/>
        </w:rPr>
      </w:pPr>
    </w:p>
    <w:p w:rsidR="00D84899" w:rsidRPr="00AE5B3B" w:rsidRDefault="00D84899" w:rsidP="00AE5B3B">
      <w:pPr>
        <w:spacing w:line="240" w:lineRule="auto"/>
        <w:jc w:val="left"/>
        <w:rPr>
          <w:rFonts w:ascii="Arial" w:hAnsi="Arial" w:cs="Arial"/>
          <w:bCs/>
          <w:sz w:val="20"/>
          <w:szCs w:val="20"/>
        </w:rPr>
      </w:pPr>
      <w:r w:rsidRPr="00AE5B3B">
        <w:rPr>
          <w:rFonts w:ascii="Arial" w:hAnsi="Arial" w:cs="Arial"/>
          <w:bCs/>
          <w:sz w:val="20"/>
          <w:szCs w:val="20"/>
        </w:rPr>
        <w:t xml:space="preserve">The significant increase in the Office Accommodation subprogramme’s budget allocation affected the proportional allocations of the subprogrammes of the Administration Programme. The Corporate services subprogramme continues to receive the bulk of the Programme’s budget allocation at </w:t>
      </w:r>
      <w:r w:rsidR="002367D5" w:rsidRPr="00AE5B3B">
        <w:rPr>
          <w:rFonts w:ascii="Arial" w:hAnsi="Arial" w:cs="Arial"/>
          <w:bCs/>
          <w:sz w:val="20"/>
          <w:szCs w:val="20"/>
        </w:rPr>
        <w:t>35.75</w:t>
      </w:r>
      <w:r w:rsidRPr="00AE5B3B">
        <w:rPr>
          <w:rFonts w:ascii="Arial" w:hAnsi="Arial" w:cs="Arial"/>
          <w:bCs/>
          <w:sz w:val="20"/>
          <w:szCs w:val="20"/>
        </w:rPr>
        <w:t xml:space="preserve"> per cent. The proportional allocations of the Departmental Management, the Financial Management and the Internal Audit subprogrammes decreased with </w:t>
      </w:r>
      <w:r w:rsidR="002367D5" w:rsidRPr="00AE5B3B">
        <w:rPr>
          <w:rFonts w:ascii="Arial" w:hAnsi="Arial" w:cs="Arial"/>
          <w:bCs/>
          <w:sz w:val="20"/>
          <w:szCs w:val="20"/>
        </w:rPr>
        <w:t>0.46</w:t>
      </w:r>
      <w:r w:rsidRPr="00AE5B3B">
        <w:rPr>
          <w:rFonts w:ascii="Arial" w:hAnsi="Arial" w:cs="Arial"/>
          <w:bCs/>
          <w:sz w:val="20"/>
          <w:szCs w:val="20"/>
        </w:rPr>
        <w:t xml:space="preserve"> per cent, </w:t>
      </w:r>
      <w:r w:rsidR="002367D5" w:rsidRPr="00AE5B3B">
        <w:rPr>
          <w:rFonts w:ascii="Arial" w:hAnsi="Arial" w:cs="Arial"/>
          <w:bCs/>
          <w:sz w:val="20"/>
          <w:szCs w:val="20"/>
        </w:rPr>
        <w:t>0.50</w:t>
      </w:r>
      <w:r w:rsidRPr="00AE5B3B">
        <w:rPr>
          <w:rFonts w:ascii="Arial" w:hAnsi="Arial" w:cs="Arial"/>
          <w:bCs/>
          <w:sz w:val="20"/>
          <w:szCs w:val="20"/>
        </w:rPr>
        <w:t xml:space="preserve"> per cent and 0.</w:t>
      </w:r>
      <w:r w:rsidR="002367D5" w:rsidRPr="00AE5B3B">
        <w:rPr>
          <w:rFonts w:ascii="Arial" w:hAnsi="Arial" w:cs="Arial"/>
          <w:bCs/>
          <w:sz w:val="20"/>
          <w:szCs w:val="20"/>
        </w:rPr>
        <w:t>04</w:t>
      </w:r>
      <w:r w:rsidRPr="00AE5B3B">
        <w:rPr>
          <w:rFonts w:ascii="Arial" w:hAnsi="Arial" w:cs="Arial"/>
          <w:bCs/>
          <w:sz w:val="20"/>
          <w:szCs w:val="20"/>
        </w:rPr>
        <w:t xml:space="preserve"> per cent, respectively. The Office Accommodation subprogramme receives </w:t>
      </w:r>
      <w:r w:rsidR="002367D5" w:rsidRPr="00AE5B3B">
        <w:rPr>
          <w:rFonts w:ascii="Arial" w:hAnsi="Arial" w:cs="Arial"/>
          <w:bCs/>
          <w:sz w:val="20"/>
          <w:szCs w:val="20"/>
        </w:rPr>
        <w:t xml:space="preserve">11.56 </w:t>
      </w:r>
      <w:r w:rsidRPr="00AE5B3B">
        <w:rPr>
          <w:rFonts w:ascii="Arial" w:hAnsi="Arial" w:cs="Arial"/>
          <w:bCs/>
          <w:sz w:val="20"/>
          <w:szCs w:val="20"/>
        </w:rPr>
        <w:t>per cent</w:t>
      </w:r>
      <w:r w:rsidR="002367D5" w:rsidRPr="00AE5B3B">
        <w:rPr>
          <w:rFonts w:ascii="Arial" w:hAnsi="Arial" w:cs="Arial"/>
          <w:bCs/>
          <w:sz w:val="20"/>
          <w:szCs w:val="20"/>
        </w:rPr>
        <w:t xml:space="preserve"> of the Programme’s total budget allocation</w:t>
      </w:r>
      <w:r w:rsidRPr="00AE5B3B">
        <w:rPr>
          <w:rFonts w:ascii="Arial" w:hAnsi="Arial" w:cs="Arial"/>
          <w:bCs/>
          <w:sz w:val="20"/>
          <w:szCs w:val="20"/>
        </w:rPr>
        <w:t>.</w:t>
      </w:r>
    </w:p>
    <w:p w:rsidR="00D84899" w:rsidRPr="00AE5B3B" w:rsidRDefault="00D84899" w:rsidP="00AE5B3B">
      <w:pPr>
        <w:spacing w:line="240" w:lineRule="auto"/>
        <w:jc w:val="left"/>
        <w:rPr>
          <w:rFonts w:ascii="Arial" w:hAnsi="Arial" w:cs="Arial"/>
          <w:sz w:val="20"/>
          <w:szCs w:val="20"/>
        </w:rPr>
      </w:pPr>
    </w:p>
    <w:p w:rsidR="00BC289D" w:rsidRPr="00AE5B3B" w:rsidRDefault="002367D5" w:rsidP="00AE5B3B">
      <w:pPr>
        <w:spacing w:line="240" w:lineRule="auto"/>
        <w:jc w:val="left"/>
        <w:rPr>
          <w:rFonts w:ascii="Arial" w:hAnsi="Arial" w:cs="Arial"/>
          <w:sz w:val="20"/>
          <w:szCs w:val="20"/>
        </w:rPr>
      </w:pPr>
      <w:r w:rsidRPr="00AE5B3B">
        <w:rPr>
          <w:rFonts w:ascii="Arial" w:hAnsi="Arial" w:cs="Arial"/>
          <w:sz w:val="20"/>
          <w:szCs w:val="20"/>
        </w:rPr>
        <w:t xml:space="preserve">The Department is experiencing significant challenges with the State Information Technology Agency (SITA) and the Department of Public Works and Infrastructure. </w:t>
      </w:r>
      <w:r w:rsidR="00D839A8" w:rsidRPr="00AE5B3B">
        <w:rPr>
          <w:rFonts w:ascii="Arial" w:hAnsi="Arial" w:cs="Arial"/>
          <w:sz w:val="20"/>
          <w:szCs w:val="20"/>
        </w:rPr>
        <w:t>According to the Department, “i</w:t>
      </w:r>
      <w:r w:rsidR="00BC289D" w:rsidRPr="00AE5B3B">
        <w:rPr>
          <w:rFonts w:ascii="Arial" w:hAnsi="Arial" w:cs="Arial"/>
          <w:sz w:val="20"/>
          <w:szCs w:val="20"/>
        </w:rPr>
        <w:t>n spite of the strides made in improving operational efficiencies, there are elements that continue to serve as stumbling blocks to the organisation strategy. The delays that have been experienced in processing new office accommodation as a result of dependencies on external role-players (DPWI, SITA, Municipality) for instance, has affected the ability to implement certain projects and programmes, and has also contributed to low staff morale.</w:t>
      </w:r>
      <w:r w:rsidR="00D839A8" w:rsidRPr="00AE5B3B">
        <w:rPr>
          <w:rFonts w:ascii="Arial" w:hAnsi="Arial" w:cs="Arial"/>
          <w:sz w:val="20"/>
          <w:szCs w:val="20"/>
        </w:rPr>
        <w:t>”</w:t>
      </w:r>
    </w:p>
    <w:p w:rsidR="00FB33B9" w:rsidRPr="00AE5B3B" w:rsidRDefault="00FB33B9" w:rsidP="00AE5B3B">
      <w:pPr>
        <w:pStyle w:val="Heading2"/>
        <w:spacing w:before="0" w:line="240" w:lineRule="auto"/>
        <w:rPr>
          <w:rFonts w:ascii="Arial" w:eastAsia="Calibri" w:hAnsi="Arial" w:cs="Arial"/>
          <w:b w:val="0"/>
          <w:sz w:val="20"/>
          <w:szCs w:val="20"/>
        </w:rPr>
      </w:pPr>
      <w:bookmarkStart w:id="8" w:name="_Toc100572313"/>
    </w:p>
    <w:p w:rsidR="00971F0A" w:rsidRPr="00AE5B3B" w:rsidRDefault="00971F0A"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Programme 2: Intersectoral Coordination and Strategic Partnerships</w:t>
      </w:r>
      <w:bookmarkEnd w:id="8"/>
      <w:r w:rsidRPr="00AE5B3B">
        <w:rPr>
          <w:rFonts w:ascii="Arial" w:hAnsi="Arial" w:cs="Arial"/>
          <w:sz w:val="20"/>
          <w:szCs w:val="20"/>
        </w:rPr>
        <w:t xml:space="preserve"> </w:t>
      </w:r>
    </w:p>
    <w:p w:rsidR="00F05A92" w:rsidRPr="00AE5B3B" w:rsidRDefault="00F05A92" w:rsidP="00AE5B3B">
      <w:pPr>
        <w:spacing w:line="240" w:lineRule="auto"/>
        <w:jc w:val="left"/>
        <w:rPr>
          <w:rFonts w:ascii="Arial" w:hAnsi="Arial" w:cs="Arial"/>
          <w:bCs/>
          <w:sz w:val="20"/>
          <w:szCs w:val="20"/>
        </w:rPr>
      </w:pPr>
    </w:p>
    <w:p w:rsidR="00656864" w:rsidRPr="00AE5B3B" w:rsidRDefault="00095471" w:rsidP="00AE5B3B">
      <w:pPr>
        <w:spacing w:line="240" w:lineRule="auto"/>
        <w:jc w:val="left"/>
        <w:rPr>
          <w:rFonts w:ascii="Arial" w:hAnsi="Arial" w:cs="Arial"/>
          <w:bCs/>
          <w:sz w:val="20"/>
          <w:szCs w:val="20"/>
        </w:rPr>
      </w:pPr>
      <w:r w:rsidRPr="00AE5B3B">
        <w:rPr>
          <w:rFonts w:ascii="Arial" w:hAnsi="Arial" w:cs="Arial"/>
          <w:bCs/>
          <w:sz w:val="20"/>
          <w:szCs w:val="20"/>
        </w:rPr>
        <w:t>The Intersectoral Coordination and Strategic Partnerships Programme received a Main Appropriation of R</w:t>
      </w:r>
      <w:r w:rsidR="004C3DFA" w:rsidRPr="00AE5B3B">
        <w:rPr>
          <w:rFonts w:ascii="Arial" w:hAnsi="Arial" w:cs="Arial"/>
          <w:bCs/>
          <w:sz w:val="20"/>
          <w:szCs w:val="20"/>
        </w:rPr>
        <w:t>22.9</w:t>
      </w:r>
      <w:r w:rsidRPr="00AE5B3B">
        <w:rPr>
          <w:rFonts w:ascii="Arial" w:hAnsi="Arial" w:cs="Arial"/>
          <w:bCs/>
          <w:sz w:val="20"/>
          <w:szCs w:val="20"/>
        </w:rPr>
        <w:t xml:space="preserve"> million in 202</w:t>
      </w:r>
      <w:r w:rsidR="004C3DFA" w:rsidRPr="00AE5B3B">
        <w:rPr>
          <w:rFonts w:ascii="Arial" w:hAnsi="Arial" w:cs="Arial"/>
          <w:bCs/>
          <w:sz w:val="20"/>
          <w:szCs w:val="20"/>
        </w:rPr>
        <w:t>2</w:t>
      </w:r>
      <w:r w:rsidRPr="00AE5B3B">
        <w:rPr>
          <w:rFonts w:ascii="Arial" w:hAnsi="Arial" w:cs="Arial"/>
          <w:bCs/>
          <w:sz w:val="20"/>
          <w:szCs w:val="20"/>
        </w:rPr>
        <w:t>/2</w:t>
      </w:r>
      <w:r w:rsidR="004C3DFA" w:rsidRPr="00AE5B3B">
        <w:rPr>
          <w:rFonts w:ascii="Arial" w:hAnsi="Arial" w:cs="Arial"/>
          <w:bCs/>
          <w:sz w:val="20"/>
          <w:szCs w:val="20"/>
        </w:rPr>
        <w:t>3</w:t>
      </w:r>
      <w:r w:rsidRPr="00AE5B3B">
        <w:rPr>
          <w:rFonts w:ascii="Arial" w:hAnsi="Arial" w:cs="Arial"/>
          <w:bCs/>
          <w:sz w:val="20"/>
          <w:szCs w:val="20"/>
        </w:rPr>
        <w:t xml:space="preserve">, which is a nominal increase of </w:t>
      </w:r>
      <w:r w:rsidR="004C3DFA" w:rsidRPr="00AE5B3B">
        <w:rPr>
          <w:rFonts w:ascii="Arial" w:hAnsi="Arial" w:cs="Arial"/>
          <w:bCs/>
          <w:sz w:val="20"/>
          <w:szCs w:val="20"/>
        </w:rPr>
        <w:t>3.9</w:t>
      </w:r>
      <w:r w:rsidR="00D84899" w:rsidRPr="00AE5B3B">
        <w:rPr>
          <w:rFonts w:ascii="Arial" w:hAnsi="Arial" w:cs="Arial"/>
          <w:bCs/>
          <w:sz w:val="20"/>
          <w:szCs w:val="20"/>
        </w:rPr>
        <w:t xml:space="preserve"> per cent</w:t>
      </w:r>
      <w:r w:rsidR="00E1244C" w:rsidRPr="00AE5B3B">
        <w:rPr>
          <w:rFonts w:ascii="Arial" w:hAnsi="Arial" w:cs="Arial"/>
          <w:bCs/>
          <w:sz w:val="20"/>
          <w:szCs w:val="20"/>
        </w:rPr>
        <w:t>.</w:t>
      </w:r>
      <w:r w:rsidR="009218D7" w:rsidRPr="00AE5B3B">
        <w:rPr>
          <w:rFonts w:ascii="Arial" w:hAnsi="Arial" w:cs="Arial"/>
          <w:bCs/>
          <w:sz w:val="20"/>
          <w:szCs w:val="20"/>
        </w:rPr>
        <w:t xml:space="preserve"> Considering inflation, </w:t>
      </w:r>
      <w:r w:rsidR="009D124D" w:rsidRPr="00AE5B3B">
        <w:rPr>
          <w:rFonts w:ascii="Arial" w:hAnsi="Arial" w:cs="Arial"/>
          <w:bCs/>
          <w:sz w:val="20"/>
          <w:szCs w:val="20"/>
        </w:rPr>
        <w:t xml:space="preserve">the </w:t>
      </w:r>
      <w:r w:rsidR="009218D7" w:rsidRPr="00AE5B3B">
        <w:rPr>
          <w:rFonts w:ascii="Arial" w:hAnsi="Arial" w:cs="Arial"/>
          <w:bCs/>
          <w:sz w:val="20"/>
          <w:szCs w:val="20"/>
        </w:rPr>
        <w:t xml:space="preserve">Programme received a real </w:t>
      </w:r>
      <w:r w:rsidR="004C3DFA" w:rsidRPr="00AE5B3B">
        <w:rPr>
          <w:rFonts w:ascii="Arial" w:hAnsi="Arial" w:cs="Arial"/>
          <w:bCs/>
          <w:sz w:val="20"/>
          <w:szCs w:val="20"/>
        </w:rPr>
        <w:t>de</w:t>
      </w:r>
      <w:r w:rsidR="009218D7" w:rsidRPr="00AE5B3B">
        <w:rPr>
          <w:rFonts w:ascii="Arial" w:hAnsi="Arial" w:cs="Arial"/>
          <w:bCs/>
          <w:sz w:val="20"/>
          <w:szCs w:val="20"/>
        </w:rPr>
        <w:t xml:space="preserve">crease of </w:t>
      </w:r>
      <w:r w:rsidR="004C3DFA" w:rsidRPr="00AE5B3B">
        <w:rPr>
          <w:rFonts w:ascii="Arial" w:hAnsi="Arial" w:cs="Arial"/>
          <w:bCs/>
          <w:sz w:val="20"/>
          <w:szCs w:val="20"/>
        </w:rPr>
        <w:t>0.61</w:t>
      </w:r>
      <w:r w:rsidR="00D84899" w:rsidRPr="00AE5B3B">
        <w:rPr>
          <w:rFonts w:ascii="Arial" w:hAnsi="Arial" w:cs="Arial"/>
          <w:bCs/>
          <w:sz w:val="20"/>
          <w:szCs w:val="20"/>
        </w:rPr>
        <w:t xml:space="preserve"> per cent</w:t>
      </w:r>
      <w:r w:rsidR="009218D7" w:rsidRPr="00AE5B3B">
        <w:rPr>
          <w:rFonts w:ascii="Arial" w:hAnsi="Arial" w:cs="Arial"/>
          <w:bCs/>
          <w:sz w:val="20"/>
          <w:szCs w:val="20"/>
        </w:rPr>
        <w:t>.</w:t>
      </w:r>
      <w:r w:rsidRPr="00AE5B3B">
        <w:rPr>
          <w:rFonts w:ascii="Arial" w:hAnsi="Arial" w:cs="Arial"/>
          <w:bCs/>
          <w:sz w:val="20"/>
          <w:szCs w:val="20"/>
        </w:rPr>
        <w:t xml:space="preserve"> </w:t>
      </w:r>
      <w:r w:rsidR="00656864" w:rsidRPr="00AE5B3B">
        <w:rPr>
          <w:rFonts w:ascii="Arial" w:hAnsi="Arial" w:cs="Arial"/>
          <w:bCs/>
          <w:sz w:val="20"/>
          <w:szCs w:val="20"/>
        </w:rPr>
        <w:t>The Intergovernmental, Civil Society and Public-Private Partnerships subprogramme received a Main Appropriation of R2</w:t>
      </w:r>
      <w:r w:rsidR="004C3DFA" w:rsidRPr="00AE5B3B">
        <w:rPr>
          <w:rFonts w:ascii="Arial" w:hAnsi="Arial" w:cs="Arial"/>
          <w:bCs/>
          <w:sz w:val="20"/>
          <w:szCs w:val="20"/>
        </w:rPr>
        <w:t>2</w:t>
      </w:r>
      <w:r w:rsidR="00656864" w:rsidRPr="00AE5B3B">
        <w:rPr>
          <w:rFonts w:ascii="Arial" w:hAnsi="Arial" w:cs="Arial"/>
          <w:bCs/>
          <w:sz w:val="20"/>
          <w:szCs w:val="20"/>
        </w:rPr>
        <w:t>.</w:t>
      </w:r>
      <w:r w:rsidR="004C3DFA" w:rsidRPr="00AE5B3B">
        <w:rPr>
          <w:rFonts w:ascii="Arial" w:hAnsi="Arial" w:cs="Arial"/>
          <w:bCs/>
          <w:sz w:val="20"/>
          <w:szCs w:val="20"/>
        </w:rPr>
        <w:t>9</w:t>
      </w:r>
      <w:r w:rsidR="00656864" w:rsidRPr="00AE5B3B">
        <w:rPr>
          <w:rFonts w:ascii="Arial" w:hAnsi="Arial" w:cs="Arial"/>
          <w:bCs/>
          <w:sz w:val="20"/>
          <w:szCs w:val="20"/>
        </w:rPr>
        <w:t xml:space="preserve"> million in 202</w:t>
      </w:r>
      <w:r w:rsidR="004C3DFA" w:rsidRPr="00AE5B3B">
        <w:rPr>
          <w:rFonts w:ascii="Arial" w:hAnsi="Arial" w:cs="Arial"/>
          <w:bCs/>
          <w:sz w:val="20"/>
          <w:szCs w:val="20"/>
        </w:rPr>
        <w:t>2</w:t>
      </w:r>
      <w:r w:rsidR="00656864" w:rsidRPr="00AE5B3B">
        <w:rPr>
          <w:rFonts w:ascii="Arial" w:hAnsi="Arial" w:cs="Arial"/>
          <w:bCs/>
          <w:sz w:val="20"/>
          <w:szCs w:val="20"/>
        </w:rPr>
        <w:t>/2</w:t>
      </w:r>
      <w:r w:rsidR="004C3DFA" w:rsidRPr="00AE5B3B">
        <w:rPr>
          <w:rFonts w:ascii="Arial" w:hAnsi="Arial" w:cs="Arial"/>
          <w:bCs/>
          <w:sz w:val="20"/>
          <w:szCs w:val="20"/>
        </w:rPr>
        <w:t xml:space="preserve">3, which is a </w:t>
      </w:r>
      <w:r w:rsidR="00656864" w:rsidRPr="00AE5B3B">
        <w:rPr>
          <w:rFonts w:ascii="Arial" w:hAnsi="Arial" w:cs="Arial"/>
          <w:bCs/>
          <w:sz w:val="20"/>
          <w:szCs w:val="20"/>
        </w:rPr>
        <w:t xml:space="preserve">nominal increase of </w:t>
      </w:r>
      <w:r w:rsidR="004C3DFA" w:rsidRPr="00AE5B3B">
        <w:rPr>
          <w:rFonts w:ascii="Arial" w:hAnsi="Arial" w:cs="Arial"/>
          <w:bCs/>
          <w:sz w:val="20"/>
          <w:szCs w:val="20"/>
        </w:rPr>
        <w:t>4.56</w:t>
      </w:r>
      <w:r w:rsidR="00656864" w:rsidRPr="00AE5B3B">
        <w:rPr>
          <w:rFonts w:ascii="Arial" w:hAnsi="Arial" w:cs="Arial"/>
          <w:bCs/>
          <w:sz w:val="20"/>
          <w:szCs w:val="20"/>
        </w:rPr>
        <w:t xml:space="preserve"> per cent compared to the previous financial year. Considering inflation, the subprogramme’s allocation </w:t>
      </w:r>
      <w:r w:rsidR="004C3DFA" w:rsidRPr="00AE5B3B">
        <w:rPr>
          <w:rFonts w:ascii="Arial" w:hAnsi="Arial" w:cs="Arial"/>
          <w:bCs/>
          <w:sz w:val="20"/>
          <w:szCs w:val="20"/>
        </w:rPr>
        <w:t>in</w:t>
      </w:r>
      <w:r w:rsidR="00656864" w:rsidRPr="00AE5B3B">
        <w:rPr>
          <w:rFonts w:ascii="Arial" w:hAnsi="Arial" w:cs="Arial"/>
          <w:bCs/>
          <w:sz w:val="20"/>
          <w:szCs w:val="20"/>
        </w:rPr>
        <w:t xml:space="preserve">creased with </w:t>
      </w:r>
      <w:r w:rsidR="004C3DFA" w:rsidRPr="00AE5B3B">
        <w:rPr>
          <w:rFonts w:ascii="Arial" w:hAnsi="Arial" w:cs="Arial"/>
          <w:bCs/>
          <w:sz w:val="20"/>
          <w:szCs w:val="20"/>
        </w:rPr>
        <w:t>0.05</w:t>
      </w:r>
      <w:r w:rsidR="00656864" w:rsidRPr="00AE5B3B">
        <w:rPr>
          <w:rFonts w:ascii="Arial" w:hAnsi="Arial" w:cs="Arial"/>
          <w:bCs/>
          <w:sz w:val="20"/>
          <w:szCs w:val="20"/>
        </w:rPr>
        <w:t xml:space="preserve"> per cent compared to the previous financial year.  </w:t>
      </w:r>
    </w:p>
    <w:p w:rsidR="00095471" w:rsidRPr="00AE5B3B" w:rsidRDefault="00095471" w:rsidP="00AE5B3B">
      <w:pPr>
        <w:spacing w:line="240" w:lineRule="auto"/>
        <w:jc w:val="left"/>
        <w:rPr>
          <w:rFonts w:ascii="Arial" w:hAnsi="Arial" w:cs="Arial"/>
          <w:bCs/>
          <w:sz w:val="20"/>
          <w:szCs w:val="20"/>
        </w:rPr>
      </w:pPr>
    </w:p>
    <w:p w:rsidR="001C6F80" w:rsidRPr="00AE5B3B" w:rsidRDefault="001C6F80" w:rsidP="00AE5B3B">
      <w:pPr>
        <w:spacing w:line="240" w:lineRule="auto"/>
        <w:jc w:val="left"/>
        <w:rPr>
          <w:rFonts w:ascii="Arial" w:hAnsi="Arial" w:cs="Arial"/>
          <w:b/>
          <w:bCs/>
          <w:i/>
          <w:sz w:val="20"/>
          <w:szCs w:val="20"/>
        </w:rPr>
      </w:pPr>
      <w:r w:rsidRPr="00AE5B3B">
        <w:rPr>
          <w:rFonts w:ascii="Arial" w:hAnsi="Arial" w:cs="Arial"/>
          <w:b/>
          <w:bCs/>
          <w:i/>
          <w:sz w:val="20"/>
          <w:szCs w:val="20"/>
        </w:rPr>
        <w:t xml:space="preserve">Table </w:t>
      </w:r>
      <w:r w:rsidR="00E37BB2" w:rsidRPr="00AE5B3B">
        <w:rPr>
          <w:rFonts w:ascii="Arial" w:hAnsi="Arial" w:cs="Arial"/>
          <w:b/>
          <w:bCs/>
          <w:i/>
          <w:sz w:val="20"/>
          <w:szCs w:val="20"/>
        </w:rPr>
        <w:t>3</w:t>
      </w:r>
      <w:r w:rsidRPr="00AE5B3B">
        <w:rPr>
          <w:rFonts w:ascii="Arial" w:hAnsi="Arial" w:cs="Arial"/>
          <w:b/>
          <w:bCs/>
          <w:i/>
          <w:sz w:val="20"/>
          <w:szCs w:val="20"/>
        </w:rPr>
        <w:t xml:space="preserve">: Budget allocation: </w:t>
      </w:r>
      <w:r w:rsidRPr="00AE5B3B">
        <w:rPr>
          <w:rFonts w:ascii="Arial" w:hAnsi="Arial" w:cs="Arial"/>
          <w:b/>
          <w:i/>
          <w:sz w:val="20"/>
          <w:szCs w:val="20"/>
        </w:rPr>
        <w:t xml:space="preserve">Intersectoral Coordination and Strategic Partnerships Programme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939"/>
        <w:gridCol w:w="939"/>
        <w:gridCol w:w="1106"/>
        <w:gridCol w:w="1134"/>
        <w:gridCol w:w="1417"/>
        <w:gridCol w:w="1418"/>
      </w:tblGrid>
      <w:tr w:rsidR="007377CC" w:rsidRPr="00AE5B3B" w:rsidTr="00FB33B9">
        <w:trPr>
          <w:trHeight w:val="765"/>
        </w:trPr>
        <w:tc>
          <w:tcPr>
            <w:tcW w:w="254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Budget</w:t>
            </w:r>
          </w:p>
        </w:tc>
        <w:tc>
          <w:tcPr>
            <w:tcW w:w="1101"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Increase / Decrease in 2022/23</w:t>
            </w:r>
          </w:p>
        </w:tc>
        <w:tc>
          <w:tcPr>
            <w:tcW w:w="1134"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Increase / Decrease in 2022/23</w:t>
            </w:r>
          </w:p>
        </w:tc>
        <w:tc>
          <w:tcPr>
            <w:tcW w:w="1417"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Percent change in 2022/23</w:t>
            </w:r>
          </w:p>
        </w:tc>
        <w:tc>
          <w:tcPr>
            <w:tcW w:w="1418"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Percent change in 2022/23</w:t>
            </w:r>
          </w:p>
        </w:tc>
      </w:tr>
      <w:tr w:rsidR="007377CC" w:rsidRPr="00AE5B3B" w:rsidTr="00FB33B9">
        <w:trPr>
          <w:trHeight w:val="264"/>
        </w:trPr>
        <w:tc>
          <w:tcPr>
            <w:tcW w:w="254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 million</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2021/22</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2022/23</w:t>
            </w:r>
          </w:p>
        </w:tc>
        <w:tc>
          <w:tcPr>
            <w:tcW w:w="1101"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134"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417"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418"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r>
      <w:tr w:rsidR="007377CC" w:rsidRPr="00AE5B3B" w:rsidTr="00FB33B9">
        <w:trPr>
          <w:trHeight w:val="264"/>
        </w:trPr>
        <w:tc>
          <w:tcPr>
            <w:tcW w:w="254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Intergovernmental, Civil Society and Public-Private Partnerships</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21,9</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22,9</w:t>
            </w:r>
          </w:p>
        </w:tc>
        <w:tc>
          <w:tcPr>
            <w:tcW w:w="1101"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1,0</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0,0</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4,56 per cent</w:t>
            </w:r>
          </w:p>
        </w:tc>
        <w:tc>
          <w:tcPr>
            <w:tcW w:w="141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0,05 per cent</w:t>
            </w:r>
          </w:p>
        </w:tc>
      </w:tr>
      <w:tr w:rsidR="007377CC" w:rsidRPr="00AE5B3B" w:rsidTr="00FB33B9">
        <w:trPr>
          <w:trHeight w:val="264"/>
        </w:trPr>
        <w:tc>
          <w:tcPr>
            <w:tcW w:w="254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Community Outreach</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4,1</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4,1</w:t>
            </w:r>
          </w:p>
        </w:tc>
        <w:tc>
          <w:tcPr>
            <w:tcW w:w="1101"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0,0</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0,2</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w:t>
            </w:r>
            <w:r w:rsidR="004C3DFA" w:rsidRPr="00AE5B3B">
              <w:rPr>
                <w:rFonts w:ascii="Arial" w:eastAsia="Times New Roman" w:hAnsi="Arial" w:cs="Arial"/>
                <w:sz w:val="20"/>
                <w:szCs w:val="20"/>
                <w:lang w:eastAsia="en-ZA"/>
              </w:rPr>
              <w:t>0</w:t>
            </w:r>
            <w:r w:rsidRPr="00AE5B3B">
              <w:rPr>
                <w:rFonts w:ascii="Arial" w:eastAsia="Times New Roman" w:hAnsi="Arial" w:cs="Arial"/>
                <w:sz w:val="20"/>
                <w:szCs w:val="20"/>
                <w:lang w:eastAsia="en-ZA"/>
              </w:rPr>
              <w:t xml:space="preserve"> per cent</w:t>
            </w:r>
          </w:p>
        </w:tc>
        <w:tc>
          <w:tcPr>
            <w:tcW w:w="141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-4,19 per cent</w:t>
            </w:r>
          </w:p>
        </w:tc>
      </w:tr>
      <w:tr w:rsidR="007377CC" w:rsidRPr="00AE5B3B" w:rsidTr="00FB33B9">
        <w:trPr>
          <w:trHeight w:val="264"/>
        </w:trPr>
        <w:tc>
          <w:tcPr>
            <w:tcW w:w="254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TOTAL</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26,0</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27,0</w:t>
            </w:r>
          </w:p>
        </w:tc>
        <w:tc>
          <w:tcPr>
            <w:tcW w:w="1101"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1,0</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0,2</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3,9 per cent</w:t>
            </w:r>
          </w:p>
        </w:tc>
        <w:tc>
          <w:tcPr>
            <w:tcW w:w="141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-0,61 per cent</w:t>
            </w:r>
          </w:p>
        </w:tc>
      </w:tr>
    </w:tbl>
    <w:p w:rsidR="00D9702D" w:rsidRPr="00AE5B3B" w:rsidRDefault="00D9702D" w:rsidP="00AE5B3B">
      <w:pPr>
        <w:autoSpaceDE w:val="0"/>
        <w:autoSpaceDN w:val="0"/>
        <w:adjustRightInd w:val="0"/>
        <w:spacing w:line="240" w:lineRule="auto"/>
        <w:jc w:val="left"/>
        <w:rPr>
          <w:rFonts w:ascii="Arial" w:hAnsi="Arial" w:cs="Arial"/>
          <w:i/>
          <w:sz w:val="20"/>
          <w:szCs w:val="20"/>
        </w:rPr>
      </w:pPr>
      <w:r w:rsidRPr="00AE5B3B">
        <w:rPr>
          <w:rFonts w:ascii="Arial" w:hAnsi="Arial" w:cs="Arial"/>
          <w:i/>
          <w:sz w:val="20"/>
          <w:szCs w:val="20"/>
        </w:rPr>
        <w:lastRenderedPageBreak/>
        <w:t>Source: National Treasury (202</w:t>
      </w:r>
      <w:r w:rsidR="007377CC" w:rsidRPr="00AE5B3B">
        <w:rPr>
          <w:rFonts w:ascii="Arial" w:hAnsi="Arial" w:cs="Arial"/>
          <w:i/>
          <w:sz w:val="20"/>
          <w:szCs w:val="20"/>
        </w:rPr>
        <w:t>2</w:t>
      </w:r>
      <w:r w:rsidRPr="00AE5B3B">
        <w:rPr>
          <w:rFonts w:ascii="Arial" w:hAnsi="Arial" w:cs="Arial"/>
          <w:i/>
          <w:sz w:val="20"/>
          <w:szCs w:val="20"/>
        </w:rPr>
        <w:t>)</w:t>
      </w:r>
    </w:p>
    <w:p w:rsidR="00F05A92" w:rsidRPr="00AE5B3B" w:rsidRDefault="00F05A92" w:rsidP="00AE5B3B">
      <w:pPr>
        <w:spacing w:line="240" w:lineRule="auto"/>
        <w:jc w:val="left"/>
        <w:rPr>
          <w:rFonts w:ascii="Arial" w:hAnsi="Arial" w:cs="Arial"/>
          <w:bCs/>
          <w:sz w:val="20"/>
          <w:szCs w:val="20"/>
        </w:rPr>
      </w:pPr>
    </w:p>
    <w:p w:rsidR="009825E7" w:rsidRPr="00AE5B3B" w:rsidRDefault="00E1244C" w:rsidP="00AE5B3B">
      <w:pPr>
        <w:spacing w:line="240" w:lineRule="auto"/>
        <w:jc w:val="left"/>
        <w:rPr>
          <w:rFonts w:ascii="Arial" w:hAnsi="Arial" w:cs="Arial"/>
          <w:bCs/>
          <w:sz w:val="20"/>
          <w:szCs w:val="20"/>
        </w:rPr>
      </w:pPr>
      <w:r w:rsidRPr="00AE5B3B">
        <w:rPr>
          <w:rFonts w:ascii="Arial" w:hAnsi="Arial" w:cs="Arial"/>
          <w:bCs/>
          <w:sz w:val="20"/>
          <w:szCs w:val="20"/>
        </w:rPr>
        <w:t xml:space="preserve">The Community Outreach subprogramme received </w:t>
      </w:r>
      <w:r w:rsidR="00656864" w:rsidRPr="00AE5B3B">
        <w:rPr>
          <w:rFonts w:ascii="Arial" w:hAnsi="Arial" w:cs="Arial"/>
          <w:bCs/>
          <w:sz w:val="20"/>
          <w:szCs w:val="20"/>
        </w:rPr>
        <w:t xml:space="preserve">a </w:t>
      </w:r>
      <w:r w:rsidR="004C3DFA" w:rsidRPr="00AE5B3B">
        <w:rPr>
          <w:rFonts w:ascii="Arial" w:hAnsi="Arial" w:cs="Arial"/>
          <w:bCs/>
          <w:sz w:val="20"/>
          <w:szCs w:val="20"/>
        </w:rPr>
        <w:t xml:space="preserve">Main Appropriation of R4.1 million in 2022/23, which is the same as the previous financial year. Considering inflation, the subprogramme’s allocation decreased with 4.19 per cent compared to the previous financial year.   </w:t>
      </w:r>
    </w:p>
    <w:p w:rsidR="00F05A92" w:rsidRPr="00AE5B3B" w:rsidRDefault="00F05A92" w:rsidP="00AE5B3B">
      <w:pPr>
        <w:spacing w:line="240" w:lineRule="auto"/>
        <w:jc w:val="left"/>
        <w:rPr>
          <w:rFonts w:ascii="Arial" w:hAnsi="Arial" w:cs="Arial"/>
          <w:bCs/>
          <w:sz w:val="20"/>
          <w:szCs w:val="20"/>
        </w:rPr>
      </w:pPr>
    </w:p>
    <w:p w:rsidR="00FB33B9" w:rsidRPr="00AE5B3B" w:rsidRDefault="006A1FB1" w:rsidP="00AE5B3B">
      <w:pPr>
        <w:spacing w:line="240" w:lineRule="auto"/>
        <w:jc w:val="left"/>
        <w:rPr>
          <w:rFonts w:ascii="Arial" w:hAnsi="Arial" w:cs="Arial"/>
          <w:bCs/>
          <w:sz w:val="20"/>
          <w:szCs w:val="20"/>
        </w:rPr>
      </w:pPr>
      <w:r w:rsidRPr="00AE5B3B">
        <w:rPr>
          <w:rFonts w:ascii="Arial" w:hAnsi="Arial" w:cs="Arial"/>
          <w:bCs/>
          <w:sz w:val="20"/>
          <w:szCs w:val="20"/>
        </w:rPr>
        <w:t>Proportionally, the Intergovernmental, Civil Society and Public-Private Partnerships subprogramme receives 84.</w:t>
      </w:r>
      <w:r w:rsidR="004C3DFA" w:rsidRPr="00AE5B3B">
        <w:rPr>
          <w:rFonts w:ascii="Arial" w:hAnsi="Arial" w:cs="Arial"/>
          <w:bCs/>
          <w:sz w:val="20"/>
          <w:szCs w:val="20"/>
        </w:rPr>
        <w:t>98</w:t>
      </w:r>
      <w:r w:rsidRPr="00AE5B3B">
        <w:rPr>
          <w:rFonts w:ascii="Arial" w:hAnsi="Arial" w:cs="Arial"/>
          <w:bCs/>
          <w:sz w:val="20"/>
          <w:szCs w:val="20"/>
        </w:rPr>
        <w:t xml:space="preserve"> per cent of the Programme’s total budget allocation, </w:t>
      </w:r>
      <w:r w:rsidR="004C3DFA" w:rsidRPr="00AE5B3B">
        <w:rPr>
          <w:rFonts w:ascii="Arial" w:hAnsi="Arial" w:cs="Arial"/>
          <w:bCs/>
          <w:sz w:val="20"/>
          <w:szCs w:val="20"/>
        </w:rPr>
        <w:t>while t</w:t>
      </w:r>
      <w:r w:rsidRPr="00AE5B3B">
        <w:rPr>
          <w:rFonts w:ascii="Arial" w:hAnsi="Arial" w:cs="Arial"/>
          <w:bCs/>
          <w:sz w:val="20"/>
          <w:szCs w:val="20"/>
        </w:rPr>
        <w:t>he Community Outreach subprogramme receives 15.</w:t>
      </w:r>
      <w:r w:rsidR="004C3DFA" w:rsidRPr="00AE5B3B">
        <w:rPr>
          <w:rFonts w:ascii="Arial" w:hAnsi="Arial" w:cs="Arial"/>
          <w:bCs/>
          <w:sz w:val="20"/>
          <w:szCs w:val="20"/>
        </w:rPr>
        <w:t>02</w:t>
      </w:r>
      <w:r w:rsidRPr="00AE5B3B">
        <w:rPr>
          <w:rFonts w:ascii="Arial" w:hAnsi="Arial" w:cs="Arial"/>
          <w:bCs/>
          <w:sz w:val="20"/>
          <w:szCs w:val="20"/>
        </w:rPr>
        <w:t xml:space="preserve"> per cent of the total</w:t>
      </w:r>
      <w:r w:rsidR="00AB0264" w:rsidRPr="00AE5B3B">
        <w:rPr>
          <w:rFonts w:ascii="Arial" w:hAnsi="Arial" w:cs="Arial"/>
          <w:bCs/>
          <w:sz w:val="20"/>
          <w:szCs w:val="20"/>
        </w:rPr>
        <w:t xml:space="preserve">. </w:t>
      </w:r>
      <w:r w:rsidRPr="00AE5B3B">
        <w:rPr>
          <w:rFonts w:ascii="Arial" w:hAnsi="Arial" w:cs="Arial"/>
          <w:bCs/>
          <w:sz w:val="20"/>
          <w:szCs w:val="20"/>
        </w:rPr>
        <w:t xml:space="preserve"> </w:t>
      </w:r>
      <w:bookmarkStart w:id="9" w:name="_Toc100572314"/>
    </w:p>
    <w:p w:rsidR="00E37BB2" w:rsidRPr="00AE5B3B" w:rsidRDefault="00E37BB2" w:rsidP="00AE5B3B">
      <w:pPr>
        <w:spacing w:line="240" w:lineRule="auto"/>
        <w:jc w:val="left"/>
        <w:rPr>
          <w:rFonts w:ascii="Arial" w:hAnsi="Arial" w:cs="Arial"/>
          <w:bCs/>
          <w:sz w:val="20"/>
          <w:szCs w:val="20"/>
        </w:rPr>
      </w:pPr>
    </w:p>
    <w:p w:rsidR="00971F0A" w:rsidRPr="00AE5B3B" w:rsidRDefault="00971F0A"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Programme 3: Legislation and Policy Development</w:t>
      </w:r>
      <w:bookmarkEnd w:id="9"/>
      <w:r w:rsidRPr="00AE5B3B">
        <w:rPr>
          <w:rFonts w:ascii="Arial" w:hAnsi="Arial" w:cs="Arial"/>
          <w:sz w:val="20"/>
          <w:szCs w:val="20"/>
        </w:rPr>
        <w:t xml:space="preserve"> </w:t>
      </w:r>
    </w:p>
    <w:p w:rsidR="00971F0A" w:rsidRPr="00AE5B3B" w:rsidRDefault="00971F0A" w:rsidP="00AE5B3B">
      <w:pPr>
        <w:spacing w:line="240" w:lineRule="auto"/>
        <w:jc w:val="left"/>
        <w:rPr>
          <w:rFonts w:ascii="Arial" w:hAnsi="Arial" w:cs="Arial"/>
          <w:bCs/>
          <w:sz w:val="20"/>
          <w:szCs w:val="20"/>
        </w:rPr>
      </w:pPr>
    </w:p>
    <w:p w:rsidR="001C6F80" w:rsidRPr="00AE5B3B" w:rsidRDefault="00F40C53" w:rsidP="00AE5B3B">
      <w:pPr>
        <w:spacing w:line="240" w:lineRule="auto"/>
        <w:jc w:val="left"/>
        <w:rPr>
          <w:rFonts w:ascii="Arial" w:hAnsi="Arial" w:cs="Arial"/>
          <w:bCs/>
          <w:sz w:val="20"/>
          <w:szCs w:val="20"/>
        </w:rPr>
      </w:pPr>
      <w:r w:rsidRPr="00AE5B3B">
        <w:rPr>
          <w:rFonts w:ascii="Arial" w:hAnsi="Arial" w:cs="Arial"/>
          <w:bCs/>
          <w:sz w:val="20"/>
          <w:szCs w:val="20"/>
        </w:rPr>
        <w:t>The Legislation and Policy Development Programme received a Main Appropriation of R2</w:t>
      </w:r>
      <w:r w:rsidR="00C35448" w:rsidRPr="00AE5B3B">
        <w:rPr>
          <w:rFonts w:ascii="Arial" w:hAnsi="Arial" w:cs="Arial"/>
          <w:bCs/>
          <w:sz w:val="20"/>
          <w:szCs w:val="20"/>
        </w:rPr>
        <w:t>3.4</w:t>
      </w:r>
      <w:r w:rsidRPr="00AE5B3B">
        <w:rPr>
          <w:rFonts w:ascii="Arial" w:hAnsi="Arial" w:cs="Arial"/>
          <w:bCs/>
          <w:sz w:val="20"/>
          <w:szCs w:val="20"/>
        </w:rPr>
        <w:t xml:space="preserve"> million in 202</w:t>
      </w:r>
      <w:r w:rsidR="00C35448" w:rsidRPr="00AE5B3B">
        <w:rPr>
          <w:rFonts w:ascii="Arial" w:hAnsi="Arial" w:cs="Arial"/>
          <w:bCs/>
          <w:sz w:val="20"/>
          <w:szCs w:val="20"/>
        </w:rPr>
        <w:t>2</w:t>
      </w:r>
      <w:r w:rsidRPr="00AE5B3B">
        <w:rPr>
          <w:rFonts w:ascii="Arial" w:hAnsi="Arial" w:cs="Arial"/>
          <w:bCs/>
          <w:sz w:val="20"/>
          <w:szCs w:val="20"/>
        </w:rPr>
        <w:t>/2</w:t>
      </w:r>
      <w:r w:rsidR="00C35448" w:rsidRPr="00AE5B3B">
        <w:rPr>
          <w:rFonts w:ascii="Arial" w:hAnsi="Arial" w:cs="Arial"/>
          <w:bCs/>
          <w:sz w:val="20"/>
          <w:szCs w:val="20"/>
        </w:rPr>
        <w:t>3</w:t>
      </w:r>
      <w:r w:rsidRPr="00AE5B3B">
        <w:rPr>
          <w:rFonts w:ascii="Arial" w:hAnsi="Arial" w:cs="Arial"/>
          <w:bCs/>
          <w:sz w:val="20"/>
          <w:szCs w:val="20"/>
        </w:rPr>
        <w:t xml:space="preserve">, which is a </w:t>
      </w:r>
      <w:r w:rsidR="00C35448" w:rsidRPr="00AE5B3B">
        <w:rPr>
          <w:rFonts w:ascii="Arial" w:hAnsi="Arial" w:cs="Arial"/>
          <w:bCs/>
          <w:sz w:val="20"/>
          <w:szCs w:val="20"/>
        </w:rPr>
        <w:t xml:space="preserve">slight </w:t>
      </w:r>
      <w:r w:rsidRPr="00AE5B3B">
        <w:rPr>
          <w:rFonts w:ascii="Arial" w:hAnsi="Arial" w:cs="Arial"/>
          <w:bCs/>
          <w:sz w:val="20"/>
          <w:szCs w:val="20"/>
        </w:rPr>
        <w:t xml:space="preserve">nominal </w:t>
      </w:r>
      <w:r w:rsidR="00C35448" w:rsidRPr="00AE5B3B">
        <w:rPr>
          <w:rFonts w:ascii="Arial" w:hAnsi="Arial" w:cs="Arial"/>
          <w:bCs/>
          <w:sz w:val="20"/>
          <w:szCs w:val="20"/>
        </w:rPr>
        <w:t>de</w:t>
      </w:r>
      <w:r w:rsidRPr="00AE5B3B">
        <w:rPr>
          <w:rFonts w:ascii="Arial" w:hAnsi="Arial" w:cs="Arial"/>
          <w:bCs/>
          <w:sz w:val="20"/>
          <w:szCs w:val="20"/>
        </w:rPr>
        <w:t xml:space="preserve">crease of </w:t>
      </w:r>
      <w:r w:rsidR="00C35448" w:rsidRPr="00AE5B3B">
        <w:rPr>
          <w:rFonts w:ascii="Arial" w:hAnsi="Arial" w:cs="Arial"/>
          <w:bCs/>
          <w:sz w:val="20"/>
          <w:szCs w:val="20"/>
        </w:rPr>
        <w:t>0.1</w:t>
      </w:r>
      <w:r w:rsidR="00C22485" w:rsidRPr="00AE5B3B">
        <w:rPr>
          <w:rFonts w:ascii="Arial" w:hAnsi="Arial" w:cs="Arial"/>
          <w:bCs/>
          <w:sz w:val="20"/>
          <w:szCs w:val="20"/>
        </w:rPr>
        <w:t xml:space="preserve"> per cent</w:t>
      </w:r>
      <w:r w:rsidRPr="00AE5B3B">
        <w:rPr>
          <w:rFonts w:ascii="Arial" w:hAnsi="Arial" w:cs="Arial"/>
          <w:bCs/>
          <w:sz w:val="20"/>
          <w:szCs w:val="20"/>
        </w:rPr>
        <w:t xml:space="preserve"> compared to the previous financial year. Considering inflation, the Programme’s allocation shows a real </w:t>
      </w:r>
      <w:r w:rsidR="00C35448" w:rsidRPr="00AE5B3B">
        <w:rPr>
          <w:rFonts w:ascii="Arial" w:hAnsi="Arial" w:cs="Arial"/>
          <w:bCs/>
          <w:sz w:val="20"/>
          <w:szCs w:val="20"/>
        </w:rPr>
        <w:t>de</w:t>
      </w:r>
      <w:r w:rsidRPr="00AE5B3B">
        <w:rPr>
          <w:rFonts w:ascii="Arial" w:hAnsi="Arial" w:cs="Arial"/>
          <w:bCs/>
          <w:sz w:val="20"/>
          <w:szCs w:val="20"/>
        </w:rPr>
        <w:t xml:space="preserve">crease of </w:t>
      </w:r>
      <w:r w:rsidR="00C35448" w:rsidRPr="00AE5B3B">
        <w:rPr>
          <w:rFonts w:ascii="Arial" w:hAnsi="Arial" w:cs="Arial"/>
          <w:bCs/>
          <w:sz w:val="20"/>
          <w:szCs w:val="20"/>
        </w:rPr>
        <w:t>4.56</w:t>
      </w:r>
      <w:r w:rsidR="00C22485" w:rsidRPr="00AE5B3B">
        <w:rPr>
          <w:rFonts w:ascii="Arial" w:hAnsi="Arial" w:cs="Arial"/>
          <w:bCs/>
          <w:sz w:val="20"/>
          <w:szCs w:val="20"/>
        </w:rPr>
        <w:t xml:space="preserve"> per cent</w:t>
      </w:r>
      <w:r w:rsidRPr="00AE5B3B">
        <w:rPr>
          <w:rFonts w:ascii="Arial" w:hAnsi="Arial" w:cs="Arial"/>
          <w:bCs/>
          <w:sz w:val="20"/>
          <w:szCs w:val="20"/>
        </w:rPr>
        <w:t xml:space="preserve">. </w:t>
      </w:r>
    </w:p>
    <w:p w:rsidR="009F1975" w:rsidRPr="00AE5B3B" w:rsidRDefault="009F1975" w:rsidP="00AE5B3B">
      <w:pPr>
        <w:spacing w:line="240" w:lineRule="auto"/>
        <w:jc w:val="left"/>
        <w:rPr>
          <w:rFonts w:ascii="Arial" w:hAnsi="Arial" w:cs="Arial"/>
          <w:bCs/>
          <w:sz w:val="20"/>
          <w:szCs w:val="20"/>
        </w:rPr>
      </w:pPr>
    </w:p>
    <w:p w:rsidR="001C6F80" w:rsidRPr="00AE5B3B" w:rsidRDefault="001C6F80" w:rsidP="00AE5B3B">
      <w:pPr>
        <w:spacing w:line="240" w:lineRule="auto"/>
        <w:jc w:val="left"/>
        <w:rPr>
          <w:rFonts w:ascii="Arial" w:hAnsi="Arial" w:cs="Arial"/>
          <w:b/>
          <w:bCs/>
          <w:i/>
          <w:sz w:val="20"/>
          <w:szCs w:val="20"/>
        </w:rPr>
      </w:pPr>
      <w:r w:rsidRPr="00AE5B3B">
        <w:rPr>
          <w:rFonts w:ascii="Arial" w:hAnsi="Arial" w:cs="Arial"/>
          <w:b/>
          <w:bCs/>
          <w:i/>
          <w:sz w:val="20"/>
          <w:szCs w:val="20"/>
        </w:rPr>
        <w:t xml:space="preserve">Table </w:t>
      </w:r>
      <w:r w:rsidR="00E37BB2" w:rsidRPr="00AE5B3B">
        <w:rPr>
          <w:rFonts w:ascii="Arial" w:hAnsi="Arial" w:cs="Arial"/>
          <w:b/>
          <w:bCs/>
          <w:i/>
          <w:sz w:val="20"/>
          <w:szCs w:val="20"/>
        </w:rPr>
        <w:t>4</w:t>
      </w:r>
      <w:r w:rsidRPr="00AE5B3B">
        <w:rPr>
          <w:rFonts w:ascii="Arial" w:hAnsi="Arial" w:cs="Arial"/>
          <w:b/>
          <w:bCs/>
          <w:i/>
          <w:sz w:val="20"/>
          <w:szCs w:val="20"/>
        </w:rPr>
        <w:t xml:space="preserve">: Budget allocation: </w:t>
      </w:r>
      <w:r w:rsidRPr="00AE5B3B">
        <w:rPr>
          <w:rFonts w:ascii="Arial" w:hAnsi="Arial" w:cs="Arial"/>
          <w:b/>
          <w:i/>
          <w:sz w:val="20"/>
          <w:szCs w:val="20"/>
        </w:rPr>
        <w:t xml:space="preserve">Legislation and Police Development Programme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34"/>
        <w:gridCol w:w="939"/>
        <w:gridCol w:w="10"/>
        <w:gridCol w:w="1108"/>
        <w:gridCol w:w="1134"/>
        <w:gridCol w:w="1417"/>
        <w:gridCol w:w="1559"/>
      </w:tblGrid>
      <w:tr w:rsidR="007377CC" w:rsidRPr="00AE5B3B" w:rsidTr="00FB33B9">
        <w:trPr>
          <w:trHeight w:val="765"/>
        </w:trPr>
        <w:tc>
          <w:tcPr>
            <w:tcW w:w="183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Programme</w:t>
            </w:r>
          </w:p>
        </w:tc>
        <w:tc>
          <w:tcPr>
            <w:tcW w:w="2011" w:type="dxa"/>
            <w:gridSpan w:val="3"/>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Budget</w:t>
            </w:r>
          </w:p>
        </w:tc>
        <w:tc>
          <w:tcPr>
            <w:tcW w:w="1108"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Increase / Decrease in 2022/23</w:t>
            </w:r>
          </w:p>
        </w:tc>
        <w:tc>
          <w:tcPr>
            <w:tcW w:w="1134"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Increase / Decrease in 2022/23</w:t>
            </w:r>
          </w:p>
        </w:tc>
        <w:tc>
          <w:tcPr>
            <w:tcW w:w="1417"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Percent change in 2022/23</w:t>
            </w:r>
          </w:p>
        </w:tc>
        <w:tc>
          <w:tcPr>
            <w:tcW w:w="1559" w:type="dxa"/>
            <w:shd w:val="clear" w:color="auto" w:fill="auto"/>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Percent change in 2022/23</w:t>
            </w:r>
          </w:p>
        </w:tc>
      </w:tr>
      <w:tr w:rsidR="007377CC" w:rsidRPr="00AE5B3B" w:rsidTr="00FB33B9">
        <w:trPr>
          <w:trHeight w:val="264"/>
        </w:trPr>
        <w:tc>
          <w:tcPr>
            <w:tcW w:w="183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 million</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2021/22</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2022/23</w:t>
            </w:r>
          </w:p>
        </w:tc>
        <w:tc>
          <w:tcPr>
            <w:tcW w:w="1118" w:type="dxa"/>
            <w:gridSpan w:val="2"/>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134"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417"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c>
          <w:tcPr>
            <w:tcW w:w="1559" w:type="dxa"/>
            <w:vAlign w:val="center"/>
            <w:hideMark/>
          </w:tcPr>
          <w:p w:rsidR="007377CC" w:rsidRPr="00AE5B3B" w:rsidRDefault="007377CC" w:rsidP="00AE5B3B">
            <w:pPr>
              <w:spacing w:line="240" w:lineRule="auto"/>
              <w:jc w:val="left"/>
              <w:rPr>
                <w:rFonts w:ascii="Arial" w:eastAsia="Times New Roman" w:hAnsi="Arial" w:cs="Arial"/>
                <w:b/>
                <w:bCs/>
                <w:sz w:val="20"/>
                <w:szCs w:val="20"/>
                <w:lang w:eastAsia="en-ZA"/>
              </w:rPr>
            </w:pPr>
          </w:p>
        </w:tc>
      </w:tr>
      <w:tr w:rsidR="007377CC" w:rsidRPr="00AE5B3B" w:rsidTr="00FB33B9">
        <w:trPr>
          <w:trHeight w:val="264"/>
        </w:trPr>
        <w:tc>
          <w:tcPr>
            <w:tcW w:w="183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Policy Development and Research</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16,0</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15,8</w:t>
            </w:r>
          </w:p>
        </w:tc>
        <w:tc>
          <w:tcPr>
            <w:tcW w:w="1118" w:type="dxa"/>
            <w:gridSpan w:val="2"/>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0,2</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0,9</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-1,20 per cent</w:t>
            </w:r>
          </w:p>
        </w:tc>
        <w:tc>
          <w:tcPr>
            <w:tcW w:w="1559"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-5,46 per cent</w:t>
            </w:r>
          </w:p>
        </w:tc>
      </w:tr>
      <w:tr w:rsidR="007377CC" w:rsidRPr="00AE5B3B" w:rsidTr="00FB33B9">
        <w:trPr>
          <w:trHeight w:val="264"/>
        </w:trPr>
        <w:tc>
          <w:tcPr>
            <w:tcW w:w="183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Legislation</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7,5</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7,6</w:t>
            </w:r>
          </w:p>
        </w:tc>
        <w:tc>
          <w:tcPr>
            <w:tcW w:w="1118" w:type="dxa"/>
            <w:gridSpan w:val="2"/>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0,1</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0,2</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1,75 per cent</w:t>
            </w:r>
          </w:p>
        </w:tc>
        <w:tc>
          <w:tcPr>
            <w:tcW w:w="1559"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-2,63 per cent</w:t>
            </w:r>
          </w:p>
        </w:tc>
      </w:tr>
      <w:tr w:rsidR="007377CC" w:rsidRPr="00AE5B3B" w:rsidTr="00FB33B9">
        <w:trPr>
          <w:trHeight w:val="264"/>
        </w:trPr>
        <w:tc>
          <w:tcPr>
            <w:tcW w:w="1838"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TOTAL</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23,4</w:t>
            </w:r>
          </w:p>
        </w:tc>
        <w:tc>
          <w:tcPr>
            <w:tcW w:w="86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23,4</w:t>
            </w:r>
          </w:p>
        </w:tc>
        <w:tc>
          <w:tcPr>
            <w:tcW w:w="1118" w:type="dxa"/>
            <w:gridSpan w:val="2"/>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0,1</w:t>
            </w:r>
          </w:p>
        </w:tc>
        <w:tc>
          <w:tcPr>
            <w:tcW w:w="1134"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1,1</w:t>
            </w:r>
          </w:p>
        </w:tc>
        <w:tc>
          <w:tcPr>
            <w:tcW w:w="1417"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-0,3 per cent</w:t>
            </w:r>
          </w:p>
        </w:tc>
        <w:tc>
          <w:tcPr>
            <w:tcW w:w="1559" w:type="dxa"/>
            <w:shd w:val="clear" w:color="auto" w:fill="auto"/>
            <w:noWrap/>
            <w:vAlign w:val="bottom"/>
            <w:hideMark/>
          </w:tcPr>
          <w:p w:rsidR="007377CC" w:rsidRPr="00AE5B3B" w:rsidRDefault="007377CC"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-4,56 per cent</w:t>
            </w:r>
          </w:p>
        </w:tc>
      </w:tr>
    </w:tbl>
    <w:p w:rsidR="00D9702D" w:rsidRPr="00AE5B3B" w:rsidRDefault="00D9702D" w:rsidP="00AE5B3B">
      <w:pPr>
        <w:autoSpaceDE w:val="0"/>
        <w:autoSpaceDN w:val="0"/>
        <w:adjustRightInd w:val="0"/>
        <w:spacing w:line="240" w:lineRule="auto"/>
        <w:jc w:val="left"/>
        <w:rPr>
          <w:rFonts w:ascii="Arial" w:hAnsi="Arial" w:cs="Arial"/>
          <w:i/>
          <w:sz w:val="20"/>
          <w:szCs w:val="20"/>
        </w:rPr>
      </w:pPr>
      <w:r w:rsidRPr="00AE5B3B">
        <w:rPr>
          <w:rFonts w:ascii="Arial" w:hAnsi="Arial" w:cs="Arial"/>
          <w:i/>
          <w:sz w:val="20"/>
          <w:szCs w:val="20"/>
        </w:rPr>
        <w:t>Source: National Treasury (202</w:t>
      </w:r>
      <w:r w:rsidR="00792620" w:rsidRPr="00AE5B3B">
        <w:rPr>
          <w:rFonts w:ascii="Arial" w:hAnsi="Arial" w:cs="Arial"/>
          <w:i/>
          <w:sz w:val="20"/>
          <w:szCs w:val="20"/>
        </w:rPr>
        <w:t>2</w:t>
      </w:r>
      <w:r w:rsidRPr="00AE5B3B">
        <w:rPr>
          <w:rFonts w:ascii="Arial" w:hAnsi="Arial" w:cs="Arial"/>
          <w:i/>
          <w:sz w:val="20"/>
          <w:szCs w:val="20"/>
        </w:rPr>
        <w:t>)</w:t>
      </w:r>
    </w:p>
    <w:p w:rsidR="00F05A92" w:rsidRPr="00AE5B3B" w:rsidRDefault="00F05A92" w:rsidP="00AE5B3B">
      <w:pPr>
        <w:spacing w:line="240" w:lineRule="auto"/>
        <w:jc w:val="left"/>
        <w:rPr>
          <w:rFonts w:ascii="Arial" w:hAnsi="Arial" w:cs="Arial"/>
          <w:bCs/>
          <w:sz w:val="20"/>
          <w:szCs w:val="20"/>
        </w:rPr>
      </w:pPr>
    </w:p>
    <w:p w:rsidR="00C22485" w:rsidRPr="00AE5B3B" w:rsidRDefault="00C22485" w:rsidP="00AE5B3B">
      <w:pPr>
        <w:spacing w:line="240" w:lineRule="auto"/>
        <w:jc w:val="left"/>
        <w:rPr>
          <w:rFonts w:ascii="Arial" w:hAnsi="Arial" w:cs="Arial"/>
          <w:bCs/>
          <w:sz w:val="20"/>
          <w:szCs w:val="20"/>
        </w:rPr>
      </w:pPr>
      <w:r w:rsidRPr="00AE5B3B">
        <w:rPr>
          <w:rFonts w:ascii="Arial" w:hAnsi="Arial" w:cs="Arial"/>
          <w:bCs/>
          <w:sz w:val="20"/>
          <w:szCs w:val="20"/>
        </w:rPr>
        <w:t xml:space="preserve">The Policy Development and Research subprogramme received a Main Appropriation of R15.8 million, which is a nominal </w:t>
      </w:r>
      <w:r w:rsidR="00C35448" w:rsidRPr="00AE5B3B">
        <w:rPr>
          <w:rFonts w:ascii="Arial" w:hAnsi="Arial" w:cs="Arial"/>
          <w:bCs/>
          <w:sz w:val="20"/>
          <w:szCs w:val="20"/>
        </w:rPr>
        <w:t>de</w:t>
      </w:r>
      <w:r w:rsidRPr="00AE5B3B">
        <w:rPr>
          <w:rFonts w:ascii="Arial" w:hAnsi="Arial" w:cs="Arial"/>
          <w:bCs/>
          <w:sz w:val="20"/>
          <w:szCs w:val="20"/>
        </w:rPr>
        <w:t xml:space="preserve">crease of </w:t>
      </w:r>
      <w:r w:rsidR="00C35448" w:rsidRPr="00AE5B3B">
        <w:rPr>
          <w:rFonts w:ascii="Arial" w:hAnsi="Arial" w:cs="Arial"/>
          <w:bCs/>
          <w:sz w:val="20"/>
          <w:szCs w:val="20"/>
        </w:rPr>
        <w:t>R200 000.00 or 1.2</w:t>
      </w:r>
      <w:r w:rsidRPr="00AE5B3B">
        <w:rPr>
          <w:rFonts w:ascii="Arial" w:hAnsi="Arial" w:cs="Arial"/>
          <w:bCs/>
          <w:sz w:val="20"/>
          <w:szCs w:val="20"/>
        </w:rPr>
        <w:t xml:space="preserve"> per cent in 202</w:t>
      </w:r>
      <w:r w:rsidR="00C35448" w:rsidRPr="00AE5B3B">
        <w:rPr>
          <w:rFonts w:ascii="Arial" w:hAnsi="Arial" w:cs="Arial"/>
          <w:bCs/>
          <w:sz w:val="20"/>
          <w:szCs w:val="20"/>
        </w:rPr>
        <w:t>2</w:t>
      </w:r>
      <w:r w:rsidRPr="00AE5B3B">
        <w:rPr>
          <w:rFonts w:ascii="Arial" w:hAnsi="Arial" w:cs="Arial"/>
          <w:bCs/>
          <w:sz w:val="20"/>
          <w:szCs w:val="20"/>
        </w:rPr>
        <w:t>/2</w:t>
      </w:r>
      <w:r w:rsidR="00C35448" w:rsidRPr="00AE5B3B">
        <w:rPr>
          <w:rFonts w:ascii="Arial" w:hAnsi="Arial" w:cs="Arial"/>
          <w:bCs/>
          <w:sz w:val="20"/>
          <w:szCs w:val="20"/>
        </w:rPr>
        <w:t>3</w:t>
      </w:r>
      <w:r w:rsidRPr="00AE5B3B">
        <w:rPr>
          <w:rFonts w:ascii="Arial" w:hAnsi="Arial" w:cs="Arial"/>
          <w:bCs/>
          <w:sz w:val="20"/>
          <w:szCs w:val="20"/>
        </w:rPr>
        <w:t xml:space="preserve">. Considering inflation, the subprogramme’s allocation </w:t>
      </w:r>
      <w:r w:rsidR="00C35448" w:rsidRPr="00AE5B3B">
        <w:rPr>
          <w:rFonts w:ascii="Arial" w:hAnsi="Arial" w:cs="Arial"/>
          <w:bCs/>
          <w:sz w:val="20"/>
          <w:szCs w:val="20"/>
        </w:rPr>
        <w:t>de</w:t>
      </w:r>
      <w:r w:rsidRPr="00AE5B3B">
        <w:rPr>
          <w:rFonts w:ascii="Arial" w:hAnsi="Arial" w:cs="Arial"/>
          <w:bCs/>
          <w:sz w:val="20"/>
          <w:szCs w:val="20"/>
        </w:rPr>
        <w:t xml:space="preserve">creased with </w:t>
      </w:r>
      <w:r w:rsidR="00C35448" w:rsidRPr="00AE5B3B">
        <w:rPr>
          <w:rFonts w:ascii="Arial" w:hAnsi="Arial" w:cs="Arial"/>
          <w:bCs/>
          <w:sz w:val="20"/>
          <w:szCs w:val="20"/>
        </w:rPr>
        <w:t>5.46</w:t>
      </w:r>
      <w:r w:rsidRPr="00AE5B3B">
        <w:rPr>
          <w:rFonts w:ascii="Arial" w:hAnsi="Arial" w:cs="Arial"/>
          <w:bCs/>
          <w:sz w:val="20"/>
          <w:szCs w:val="20"/>
        </w:rPr>
        <w:t xml:space="preserve"> per cent. </w:t>
      </w:r>
    </w:p>
    <w:p w:rsidR="00C22485" w:rsidRPr="00AE5B3B" w:rsidRDefault="00C22485" w:rsidP="00AE5B3B">
      <w:pPr>
        <w:spacing w:line="240" w:lineRule="auto"/>
        <w:jc w:val="left"/>
        <w:rPr>
          <w:rFonts w:ascii="Arial" w:hAnsi="Arial" w:cs="Arial"/>
          <w:bCs/>
          <w:sz w:val="20"/>
          <w:szCs w:val="20"/>
        </w:rPr>
      </w:pPr>
    </w:p>
    <w:p w:rsidR="00C22485" w:rsidRPr="00AE5B3B" w:rsidRDefault="00C22485" w:rsidP="00AE5B3B">
      <w:pPr>
        <w:spacing w:line="240" w:lineRule="auto"/>
        <w:jc w:val="left"/>
        <w:rPr>
          <w:rFonts w:ascii="Arial" w:hAnsi="Arial" w:cs="Arial"/>
          <w:bCs/>
          <w:sz w:val="20"/>
          <w:szCs w:val="20"/>
        </w:rPr>
      </w:pPr>
      <w:r w:rsidRPr="00AE5B3B">
        <w:rPr>
          <w:rFonts w:ascii="Arial" w:hAnsi="Arial" w:cs="Arial"/>
          <w:bCs/>
          <w:sz w:val="20"/>
          <w:szCs w:val="20"/>
        </w:rPr>
        <w:t>The Legislation subprogramme received a Main Appropriation of R7.</w:t>
      </w:r>
      <w:r w:rsidR="00C35448" w:rsidRPr="00AE5B3B">
        <w:rPr>
          <w:rFonts w:ascii="Arial" w:hAnsi="Arial" w:cs="Arial"/>
          <w:bCs/>
          <w:sz w:val="20"/>
          <w:szCs w:val="20"/>
        </w:rPr>
        <w:t>6</w:t>
      </w:r>
      <w:r w:rsidRPr="00AE5B3B">
        <w:rPr>
          <w:rFonts w:ascii="Arial" w:hAnsi="Arial" w:cs="Arial"/>
          <w:bCs/>
          <w:sz w:val="20"/>
          <w:szCs w:val="20"/>
        </w:rPr>
        <w:t xml:space="preserve"> million in 202</w:t>
      </w:r>
      <w:r w:rsidR="00C35448" w:rsidRPr="00AE5B3B">
        <w:rPr>
          <w:rFonts w:ascii="Arial" w:hAnsi="Arial" w:cs="Arial"/>
          <w:bCs/>
          <w:sz w:val="20"/>
          <w:szCs w:val="20"/>
        </w:rPr>
        <w:t>2</w:t>
      </w:r>
      <w:r w:rsidRPr="00AE5B3B">
        <w:rPr>
          <w:rFonts w:ascii="Arial" w:hAnsi="Arial" w:cs="Arial"/>
          <w:bCs/>
          <w:sz w:val="20"/>
          <w:szCs w:val="20"/>
        </w:rPr>
        <w:t>/2</w:t>
      </w:r>
      <w:r w:rsidR="00C35448" w:rsidRPr="00AE5B3B">
        <w:rPr>
          <w:rFonts w:ascii="Arial" w:hAnsi="Arial" w:cs="Arial"/>
          <w:bCs/>
          <w:sz w:val="20"/>
          <w:szCs w:val="20"/>
        </w:rPr>
        <w:t>3</w:t>
      </w:r>
      <w:r w:rsidRPr="00AE5B3B">
        <w:rPr>
          <w:rFonts w:ascii="Arial" w:hAnsi="Arial" w:cs="Arial"/>
          <w:bCs/>
          <w:sz w:val="20"/>
          <w:szCs w:val="20"/>
        </w:rPr>
        <w:t xml:space="preserve">, which is a nominal </w:t>
      </w:r>
      <w:r w:rsidR="00C35448" w:rsidRPr="00AE5B3B">
        <w:rPr>
          <w:rFonts w:ascii="Arial" w:hAnsi="Arial" w:cs="Arial"/>
          <w:bCs/>
          <w:sz w:val="20"/>
          <w:szCs w:val="20"/>
        </w:rPr>
        <w:t>de</w:t>
      </w:r>
      <w:r w:rsidRPr="00AE5B3B">
        <w:rPr>
          <w:rFonts w:ascii="Arial" w:hAnsi="Arial" w:cs="Arial"/>
          <w:bCs/>
          <w:sz w:val="20"/>
          <w:szCs w:val="20"/>
        </w:rPr>
        <w:t xml:space="preserve">crease of </w:t>
      </w:r>
      <w:r w:rsidR="00C35448" w:rsidRPr="00AE5B3B">
        <w:rPr>
          <w:rFonts w:ascii="Arial" w:hAnsi="Arial" w:cs="Arial"/>
          <w:bCs/>
          <w:sz w:val="20"/>
          <w:szCs w:val="20"/>
        </w:rPr>
        <w:t>0.2</w:t>
      </w:r>
      <w:r w:rsidRPr="00AE5B3B">
        <w:rPr>
          <w:rFonts w:ascii="Arial" w:hAnsi="Arial" w:cs="Arial"/>
          <w:bCs/>
          <w:sz w:val="20"/>
          <w:szCs w:val="20"/>
        </w:rPr>
        <w:t xml:space="preserve"> per cent. However, considering inflation, the allocation decreased with </w:t>
      </w:r>
      <w:r w:rsidR="00C35448" w:rsidRPr="00AE5B3B">
        <w:rPr>
          <w:rFonts w:ascii="Arial" w:hAnsi="Arial" w:cs="Arial"/>
          <w:bCs/>
          <w:sz w:val="20"/>
          <w:szCs w:val="20"/>
        </w:rPr>
        <w:t>2.63</w:t>
      </w:r>
      <w:r w:rsidRPr="00AE5B3B">
        <w:rPr>
          <w:rFonts w:ascii="Arial" w:hAnsi="Arial" w:cs="Arial"/>
          <w:bCs/>
          <w:sz w:val="20"/>
          <w:szCs w:val="20"/>
        </w:rPr>
        <w:t xml:space="preserve"> per cent compared to the previous financial year.</w:t>
      </w:r>
    </w:p>
    <w:p w:rsidR="00BD49FC" w:rsidRPr="00AE5B3B" w:rsidRDefault="00BD49FC" w:rsidP="00AE5B3B">
      <w:pPr>
        <w:spacing w:line="240" w:lineRule="auto"/>
        <w:jc w:val="left"/>
        <w:rPr>
          <w:rFonts w:ascii="Arial" w:hAnsi="Arial" w:cs="Arial"/>
          <w:bCs/>
          <w:sz w:val="20"/>
          <w:szCs w:val="20"/>
        </w:rPr>
      </w:pPr>
    </w:p>
    <w:p w:rsidR="00BD49FC" w:rsidRPr="00AE5B3B" w:rsidRDefault="00BD49FC" w:rsidP="00AE5B3B">
      <w:pPr>
        <w:spacing w:line="240" w:lineRule="auto"/>
        <w:jc w:val="left"/>
        <w:rPr>
          <w:rFonts w:ascii="Arial" w:hAnsi="Arial" w:cs="Arial"/>
          <w:bCs/>
          <w:sz w:val="20"/>
          <w:szCs w:val="20"/>
        </w:rPr>
      </w:pPr>
      <w:r w:rsidRPr="00AE5B3B">
        <w:rPr>
          <w:rFonts w:ascii="Arial" w:hAnsi="Arial" w:cs="Arial"/>
          <w:bCs/>
          <w:sz w:val="20"/>
          <w:szCs w:val="20"/>
        </w:rPr>
        <w:t xml:space="preserve">The proportional allocations towards subprogrammes did </w:t>
      </w:r>
      <w:r w:rsidR="00E82888" w:rsidRPr="00AE5B3B">
        <w:rPr>
          <w:rFonts w:ascii="Arial" w:hAnsi="Arial" w:cs="Arial"/>
          <w:bCs/>
          <w:sz w:val="20"/>
          <w:szCs w:val="20"/>
        </w:rPr>
        <w:t>not change substantially in 2022</w:t>
      </w:r>
      <w:r w:rsidRPr="00AE5B3B">
        <w:rPr>
          <w:rFonts w:ascii="Arial" w:hAnsi="Arial" w:cs="Arial"/>
          <w:bCs/>
          <w:sz w:val="20"/>
          <w:szCs w:val="20"/>
        </w:rPr>
        <w:t>/2</w:t>
      </w:r>
      <w:r w:rsidR="00E82888" w:rsidRPr="00AE5B3B">
        <w:rPr>
          <w:rFonts w:ascii="Arial" w:hAnsi="Arial" w:cs="Arial"/>
          <w:bCs/>
          <w:sz w:val="20"/>
          <w:szCs w:val="20"/>
        </w:rPr>
        <w:t>3</w:t>
      </w:r>
      <w:r w:rsidRPr="00AE5B3B">
        <w:rPr>
          <w:rFonts w:ascii="Arial" w:hAnsi="Arial" w:cs="Arial"/>
          <w:bCs/>
          <w:sz w:val="20"/>
          <w:szCs w:val="20"/>
        </w:rPr>
        <w:t xml:space="preserve"> compared to the previous financial year. The Policy Development and Research subprogramme continues to receive the bulk of the Programme’s allocation at </w:t>
      </w:r>
      <w:r w:rsidR="00E82888" w:rsidRPr="00AE5B3B">
        <w:rPr>
          <w:rFonts w:ascii="Arial" w:hAnsi="Arial" w:cs="Arial"/>
          <w:bCs/>
          <w:sz w:val="20"/>
          <w:szCs w:val="20"/>
        </w:rPr>
        <w:t>67.42</w:t>
      </w:r>
      <w:r w:rsidRPr="00AE5B3B">
        <w:rPr>
          <w:rFonts w:ascii="Arial" w:hAnsi="Arial" w:cs="Arial"/>
          <w:bCs/>
          <w:sz w:val="20"/>
          <w:szCs w:val="20"/>
        </w:rPr>
        <w:t xml:space="preserve"> per cent, which </w:t>
      </w:r>
      <w:r w:rsidR="00E82888" w:rsidRPr="00AE5B3B">
        <w:rPr>
          <w:rFonts w:ascii="Arial" w:hAnsi="Arial" w:cs="Arial"/>
          <w:bCs/>
          <w:sz w:val="20"/>
          <w:szCs w:val="20"/>
        </w:rPr>
        <w:t>de</w:t>
      </w:r>
      <w:r w:rsidRPr="00AE5B3B">
        <w:rPr>
          <w:rFonts w:ascii="Arial" w:hAnsi="Arial" w:cs="Arial"/>
          <w:bCs/>
          <w:sz w:val="20"/>
          <w:szCs w:val="20"/>
        </w:rPr>
        <w:t>creased slightly with 0.</w:t>
      </w:r>
      <w:r w:rsidR="00E82888" w:rsidRPr="00AE5B3B">
        <w:rPr>
          <w:rFonts w:ascii="Arial" w:hAnsi="Arial" w:cs="Arial"/>
          <w:bCs/>
          <w:sz w:val="20"/>
          <w:szCs w:val="20"/>
        </w:rPr>
        <w:t>64</w:t>
      </w:r>
      <w:r w:rsidRPr="00AE5B3B">
        <w:rPr>
          <w:rFonts w:ascii="Arial" w:hAnsi="Arial" w:cs="Arial"/>
          <w:bCs/>
          <w:sz w:val="20"/>
          <w:szCs w:val="20"/>
        </w:rPr>
        <w:t xml:space="preserve"> per cent. The L</w:t>
      </w:r>
      <w:r w:rsidR="00E82888" w:rsidRPr="00AE5B3B">
        <w:rPr>
          <w:rFonts w:ascii="Arial" w:hAnsi="Arial" w:cs="Arial"/>
          <w:bCs/>
          <w:sz w:val="20"/>
          <w:szCs w:val="20"/>
        </w:rPr>
        <w:t>egislation subprogramme receives</w:t>
      </w:r>
      <w:r w:rsidRPr="00AE5B3B">
        <w:rPr>
          <w:rFonts w:ascii="Arial" w:hAnsi="Arial" w:cs="Arial"/>
          <w:bCs/>
          <w:sz w:val="20"/>
          <w:szCs w:val="20"/>
        </w:rPr>
        <w:t xml:space="preserve"> </w:t>
      </w:r>
      <w:r w:rsidR="00E82888" w:rsidRPr="00AE5B3B">
        <w:rPr>
          <w:rFonts w:ascii="Arial" w:hAnsi="Arial" w:cs="Arial"/>
          <w:bCs/>
          <w:sz w:val="20"/>
          <w:szCs w:val="20"/>
        </w:rPr>
        <w:t xml:space="preserve">32.58 per cent of the Programme’s total appropriation for 2022/23. </w:t>
      </w:r>
      <w:r w:rsidRPr="00AE5B3B">
        <w:rPr>
          <w:rFonts w:ascii="Arial" w:hAnsi="Arial" w:cs="Arial"/>
          <w:bCs/>
          <w:sz w:val="20"/>
          <w:szCs w:val="20"/>
        </w:rPr>
        <w:t xml:space="preserve">The subprogramme’s proportional allocation </w:t>
      </w:r>
      <w:r w:rsidR="00E82888" w:rsidRPr="00AE5B3B">
        <w:rPr>
          <w:rFonts w:ascii="Arial" w:hAnsi="Arial" w:cs="Arial"/>
          <w:bCs/>
          <w:sz w:val="20"/>
          <w:szCs w:val="20"/>
        </w:rPr>
        <w:t>in</w:t>
      </w:r>
      <w:r w:rsidRPr="00AE5B3B">
        <w:rPr>
          <w:rFonts w:ascii="Arial" w:hAnsi="Arial" w:cs="Arial"/>
          <w:bCs/>
          <w:sz w:val="20"/>
          <w:szCs w:val="20"/>
        </w:rPr>
        <w:t>creased slightly with 0.</w:t>
      </w:r>
      <w:r w:rsidR="00E82888" w:rsidRPr="00AE5B3B">
        <w:rPr>
          <w:rFonts w:ascii="Arial" w:hAnsi="Arial" w:cs="Arial"/>
          <w:bCs/>
          <w:sz w:val="20"/>
          <w:szCs w:val="20"/>
        </w:rPr>
        <w:t>64</w:t>
      </w:r>
      <w:r w:rsidRPr="00AE5B3B">
        <w:rPr>
          <w:rFonts w:ascii="Arial" w:hAnsi="Arial" w:cs="Arial"/>
          <w:bCs/>
          <w:sz w:val="20"/>
          <w:szCs w:val="20"/>
        </w:rPr>
        <w:t xml:space="preserve"> per cent in 202</w:t>
      </w:r>
      <w:r w:rsidR="00E82888" w:rsidRPr="00AE5B3B">
        <w:rPr>
          <w:rFonts w:ascii="Arial" w:hAnsi="Arial" w:cs="Arial"/>
          <w:bCs/>
          <w:sz w:val="20"/>
          <w:szCs w:val="20"/>
        </w:rPr>
        <w:t>2</w:t>
      </w:r>
      <w:r w:rsidRPr="00AE5B3B">
        <w:rPr>
          <w:rFonts w:ascii="Arial" w:hAnsi="Arial" w:cs="Arial"/>
          <w:bCs/>
          <w:sz w:val="20"/>
          <w:szCs w:val="20"/>
        </w:rPr>
        <w:t>/2</w:t>
      </w:r>
      <w:r w:rsidR="00E82888" w:rsidRPr="00AE5B3B">
        <w:rPr>
          <w:rFonts w:ascii="Arial" w:hAnsi="Arial" w:cs="Arial"/>
          <w:bCs/>
          <w:sz w:val="20"/>
          <w:szCs w:val="20"/>
        </w:rPr>
        <w:t>3</w:t>
      </w:r>
      <w:r w:rsidRPr="00AE5B3B">
        <w:rPr>
          <w:rFonts w:ascii="Arial" w:hAnsi="Arial" w:cs="Arial"/>
          <w:bCs/>
          <w:sz w:val="20"/>
          <w:szCs w:val="20"/>
        </w:rPr>
        <w:t xml:space="preserve"> compared to the previous financial year. </w:t>
      </w:r>
    </w:p>
    <w:p w:rsidR="003C63C8" w:rsidRPr="00AE5B3B" w:rsidRDefault="003C63C8" w:rsidP="00AE5B3B">
      <w:pPr>
        <w:spacing w:line="240" w:lineRule="auto"/>
        <w:jc w:val="left"/>
        <w:rPr>
          <w:rFonts w:ascii="Arial" w:hAnsi="Arial" w:cs="Arial"/>
          <w:bCs/>
          <w:sz w:val="20"/>
          <w:szCs w:val="20"/>
        </w:rPr>
      </w:pPr>
    </w:p>
    <w:p w:rsidR="00971F0A" w:rsidRPr="00AE5B3B" w:rsidRDefault="00971F0A" w:rsidP="00AE5B3B">
      <w:pPr>
        <w:pStyle w:val="Heading2"/>
        <w:numPr>
          <w:ilvl w:val="1"/>
          <w:numId w:val="19"/>
        </w:numPr>
        <w:spacing w:before="0" w:line="240" w:lineRule="auto"/>
        <w:rPr>
          <w:rFonts w:ascii="Arial" w:hAnsi="Arial" w:cs="Arial"/>
          <w:sz w:val="20"/>
          <w:szCs w:val="20"/>
        </w:rPr>
      </w:pPr>
      <w:bookmarkStart w:id="10" w:name="_Toc100572315"/>
      <w:r w:rsidRPr="00AE5B3B">
        <w:rPr>
          <w:rFonts w:ascii="Arial" w:hAnsi="Arial" w:cs="Arial"/>
          <w:sz w:val="20"/>
          <w:szCs w:val="20"/>
        </w:rPr>
        <w:t>Programme 4: Civilian Oversight, Monitoring and Evaluation</w:t>
      </w:r>
      <w:bookmarkEnd w:id="10"/>
      <w:r w:rsidRPr="00AE5B3B">
        <w:rPr>
          <w:rFonts w:ascii="Arial" w:hAnsi="Arial" w:cs="Arial"/>
          <w:sz w:val="20"/>
          <w:szCs w:val="20"/>
        </w:rPr>
        <w:t xml:space="preserve"> </w:t>
      </w:r>
    </w:p>
    <w:p w:rsidR="00971F0A" w:rsidRPr="00AE5B3B" w:rsidRDefault="00971F0A" w:rsidP="00AE5B3B">
      <w:pPr>
        <w:spacing w:line="240" w:lineRule="auto"/>
        <w:jc w:val="left"/>
        <w:rPr>
          <w:rFonts w:ascii="Arial" w:hAnsi="Arial" w:cs="Arial"/>
          <w:bCs/>
          <w:sz w:val="20"/>
          <w:szCs w:val="20"/>
        </w:rPr>
      </w:pPr>
    </w:p>
    <w:p w:rsidR="006A0D7B" w:rsidRPr="00AE5B3B" w:rsidRDefault="002979BA" w:rsidP="00AE5B3B">
      <w:pPr>
        <w:spacing w:line="240" w:lineRule="auto"/>
        <w:jc w:val="left"/>
        <w:rPr>
          <w:rFonts w:ascii="Arial" w:hAnsi="Arial" w:cs="Arial"/>
          <w:bCs/>
          <w:sz w:val="20"/>
          <w:szCs w:val="20"/>
        </w:rPr>
      </w:pPr>
      <w:r w:rsidRPr="00AE5B3B">
        <w:rPr>
          <w:rFonts w:ascii="Arial" w:hAnsi="Arial" w:cs="Arial"/>
          <w:bCs/>
          <w:sz w:val="20"/>
          <w:szCs w:val="20"/>
        </w:rPr>
        <w:t>The Civilian Oversight, Monitoring and Evaluation Programme received a Main</w:t>
      </w:r>
      <w:r w:rsidR="006B785D" w:rsidRPr="00AE5B3B">
        <w:rPr>
          <w:rFonts w:ascii="Arial" w:hAnsi="Arial" w:cs="Arial"/>
          <w:bCs/>
          <w:sz w:val="20"/>
          <w:szCs w:val="20"/>
        </w:rPr>
        <w:t xml:space="preserve"> Appropriation of R</w:t>
      </w:r>
      <w:r w:rsidR="005B6A1F" w:rsidRPr="00AE5B3B">
        <w:rPr>
          <w:rFonts w:ascii="Arial" w:hAnsi="Arial" w:cs="Arial"/>
          <w:bCs/>
          <w:sz w:val="20"/>
          <w:szCs w:val="20"/>
        </w:rPr>
        <w:t>33.2</w:t>
      </w:r>
      <w:r w:rsidR="006B785D" w:rsidRPr="00AE5B3B">
        <w:rPr>
          <w:rFonts w:ascii="Arial" w:hAnsi="Arial" w:cs="Arial"/>
          <w:bCs/>
          <w:sz w:val="20"/>
          <w:szCs w:val="20"/>
        </w:rPr>
        <w:t xml:space="preserve"> million</w:t>
      </w:r>
      <w:r w:rsidRPr="00AE5B3B">
        <w:rPr>
          <w:rFonts w:ascii="Arial" w:hAnsi="Arial" w:cs="Arial"/>
          <w:bCs/>
          <w:sz w:val="20"/>
          <w:szCs w:val="20"/>
        </w:rPr>
        <w:t xml:space="preserve"> in 202</w:t>
      </w:r>
      <w:r w:rsidR="005B6A1F" w:rsidRPr="00AE5B3B">
        <w:rPr>
          <w:rFonts w:ascii="Arial" w:hAnsi="Arial" w:cs="Arial"/>
          <w:bCs/>
          <w:sz w:val="20"/>
          <w:szCs w:val="20"/>
        </w:rPr>
        <w:t>2</w:t>
      </w:r>
      <w:r w:rsidRPr="00AE5B3B">
        <w:rPr>
          <w:rFonts w:ascii="Arial" w:hAnsi="Arial" w:cs="Arial"/>
          <w:bCs/>
          <w:sz w:val="20"/>
          <w:szCs w:val="20"/>
        </w:rPr>
        <w:t>/2</w:t>
      </w:r>
      <w:r w:rsidR="005B6A1F" w:rsidRPr="00AE5B3B">
        <w:rPr>
          <w:rFonts w:ascii="Arial" w:hAnsi="Arial" w:cs="Arial"/>
          <w:bCs/>
          <w:sz w:val="20"/>
          <w:szCs w:val="20"/>
        </w:rPr>
        <w:t>3</w:t>
      </w:r>
      <w:r w:rsidRPr="00AE5B3B">
        <w:rPr>
          <w:rFonts w:ascii="Arial" w:hAnsi="Arial" w:cs="Arial"/>
          <w:bCs/>
          <w:sz w:val="20"/>
          <w:szCs w:val="20"/>
        </w:rPr>
        <w:t xml:space="preserve">, which is a nominal </w:t>
      </w:r>
      <w:r w:rsidR="005B6A1F" w:rsidRPr="00AE5B3B">
        <w:rPr>
          <w:rFonts w:ascii="Arial" w:hAnsi="Arial" w:cs="Arial"/>
          <w:bCs/>
          <w:sz w:val="20"/>
          <w:szCs w:val="20"/>
        </w:rPr>
        <w:t>de</w:t>
      </w:r>
      <w:r w:rsidRPr="00AE5B3B">
        <w:rPr>
          <w:rFonts w:ascii="Arial" w:hAnsi="Arial" w:cs="Arial"/>
          <w:bCs/>
          <w:sz w:val="20"/>
          <w:szCs w:val="20"/>
        </w:rPr>
        <w:t xml:space="preserve">crease of </w:t>
      </w:r>
      <w:r w:rsidR="005B6A1F" w:rsidRPr="00AE5B3B">
        <w:rPr>
          <w:rFonts w:ascii="Arial" w:hAnsi="Arial" w:cs="Arial"/>
          <w:bCs/>
          <w:sz w:val="20"/>
          <w:szCs w:val="20"/>
        </w:rPr>
        <w:t>2.7</w:t>
      </w:r>
      <w:r w:rsidR="005D3900" w:rsidRPr="00AE5B3B">
        <w:rPr>
          <w:rFonts w:ascii="Arial" w:hAnsi="Arial" w:cs="Arial"/>
          <w:bCs/>
          <w:sz w:val="20"/>
          <w:szCs w:val="20"/>
        </w:rPr>
        <w:t xml:space="preserve"> per cent</w:t>
      </w:r>
      <w:r w:rsidRPr="00AE5B3B">
        <w:rPr>
          <w:rFonts w:ascii="Arial" w:hAnsi="Arial" w:cs="Arial"/>
          <w:bCs/>
          <w:sz w:val="20"/>
          <w:szCs w:val="20"/>
        </w:rPr>
        <w:t>.</w:t>
      </w:r>
      <w:r w:rsidR="005D3900" w:rsidRPr="00AE5B3B">
        <w:rPr>
          <w:rFonts w:ascii="Arial" w:hAnsi="Arial" w:cs="Arial"/>
          <w:bCs/>
          <w:sz w:val="20"/>
          <w:szCs w:val="20"/>
        </w:rPr>
        <w:t xml:space="preserve"> The </w:t>
      </w:r>
      <w:r w:rsidR="005D3900" w:rsidRPr="00AE5B3B">
        <w:rPr>
          <w:rFonts w:ascii="Arial" w:hAnsi="Arial" w:cs="Arial"/>
          <w:sz w:val="20"/>
          <w:szCs w:val="20"/>
        </w:rPr>
        <w:t>Police Performance, Conduct and Compliance subprogramme</w:t>
      </w:r>
      <w:r w:rsidR="005D3900" w:rsidRPr="00AE5B3B">
        <w:rPr>
          <w:rFonts w:ascii="Arial" w:hAnsi="Arial" w:cs="Arial"/>
          <w:bCs/>
          <w:sz w:val="20"/>
          <w:szCs w:val="20"/>
        </w:rPr>
        <w:t xml:space="preserve"> received a Main Appropriation of R1</w:t>
      </w:r>
      <w:r w:rsidR="005B6A1F" w:rsidRPr="00AE5B3B">
        <w:rPr>
          <w:rFonts w:ascii="Arial" w:hAnsi="Arial" w:cs="Arial"/>
          <w:bCs/>
          <w:sz w:val="20"/>
          <w:szCs w:val="20"/>
        </w:rPr>
        <w:t>5.3</w:t>
      </w:r>
      <w:r w:rsidR="005D3900" w:rsidRPr="00AE5B3B">
        <w:rPr>
          <w:rFonts w:ascii="Arial" w:hAnsi="Arial" w:cs="Arial"/>
          <w:bCs/>
          <w:sz w:val="20"/>
          <w:szCs w:val="20"/>
        </w:rPr>
        <w:t xml:space="preserve"> million in 202</w:t>
      </w:r>
      <w:r w:rsidR="005B6A1F" w:rsidRPr="00AE5B3B">
        <w:rPr>
          <w:rFonts w:ascii="Arial" w:hAnsi="Arial" w:cs="Arial"/>
          <w:bCs/>
          <w:sz w:val="20"/>
          <w:szCs w:val="20"/>
        </w:rPr>
        <w:t>2</w:t>
      </w:r>
      <w:r w:rsidR="005D3900" w:rsidRPr="00AE5B3B">
        <w:rPr>
          <w:rFonts w:ascii="Arial" w:hAnsi="Arial" w:cs="Arial"/>
          <w:bCs/>
          <w:sz w:val="20"/>
          <w:szCs w:val="20"/>
        </w:rPr>
        <w:t>/2</w:t>
      </w:r>
      <w:r w:rsidR="005B6A1F" w:rsidRPr="00AE5B3B">
        <w:rPr>
          <w:rFonts w:ascii="Arial" w:hAnsi="Arial" w:cs="Arial"/>
          <w:bCs/>
          <w:sz w:val="20"/>
          <w:szCs w:val="20"/>
        </w:rPr>
        <w:t>3</w:t>
      </w:r>
      <w:r w:rsidR="005D3900" w:rsidRPr="00AE5B3B">
        <w:rPr>
          <w:rFonts w:ascii="Arial" w:hAnsi="Arial" w:cs="Arial"/>
          <w:bCs/>
          <w:sz w:val="20"/>
          <w:szCs w:val="20"/>
        </w:rPr>
        <w:t xml:space="preserve">, which is a nominal increase of </w:t>
      </w:r>
      <w:r w:rsidR="005B6A1F" w:rsidRPr="00AE5B3B">
        <w:rPr>
          <w:rFonts w:ascii="Arial" w:hAnsi="Arial" w:cs="Arial"/>
          <w:bCs/>
          <w:sz w:val="20"/>
          <w:szCs w:val="20"/>
        </w:rPr>
        <w:t xml:space="preserve">6.7 </w:t>
      </w:r>
      <w:r w:rsidR="005D3900" w:rsidRPr="00AE5B3B">
        <w:rPr>
          <w:rFonts w:ascii="Arial" w:hAnsi="Arial" w:cs="Arial"/>
          <w:bCs/>
          <w:sz w:val="20"/>
          <w:szCs w:val="20"/>
        </w:rPr>
        <w:t>per cent or real increase of 1</w:t>
      </w:r>
      <w:r w:rsidR="005B6A1F" w:rsidRPr="00AE5B3B">
        <w:rPr>
          <w:rFonts w:ascii="Arial" w:hAnsi="Arial" w:cs="Arial"/>
          <w:bCs/>
          <w:sz w:val="20"/>
          <w:szCs w:val="20"/>
        </w:rPr>
        <w:t>0</w:t>
      </w:r>
      <w:r w:rsidR="005D3900" w:rsidRPr="00AE5B3B">
        <w:rPr>
          <w:rFonts w:ascii="Arial" w:hAnsi="Arial" w:cs="Arial"/>
          <w:bCs/>
          <w:sz w:val="20"/>
          <w:szCs w:val="20"/>
        </w:rPr>
        <w:t>.</w:t>
      </w:r>
      <w:r w:rsidR="005B6A1F" w:rsidRPr="00AE5B3B">
        <w:rPr>
          <w:rFonts w:ascii="Arial" w:hAnsi="Arial" w:cs="Arial"/>
          <w:bCs/>
          <w:sz w:val="20"/>
          <w:szCs w:val="20"/>
        </w:rPr>
        <w:t>21</w:t>
      </w:r>
      <w:r w:rsidR="005D3900" w:rsidRPr="00AE5B3B">
        <w:rPr>
          <w:rFonts w:ascii="Arial" w:hAnsi="Arial" w:cs="Arial"/>
          <w:bCs/>
          <w:sz w:val="20"/>
          <w:szCs w:val="20"/>
        </w:rPr>
        <w:t xml:space="preserve"> per cent compared to the previous financial year</w:t>
      </w:r>
      <w:r w:rsidR="005B6A1F" w:rsidRPr="00AE5B3B">
        <w:rPr>
          <w:rFonts w:ascii="Arial" w:hAnsi="Arial" w:cs="Arial"/>
          <w:bCs/>
          <w:sz w:val="20"/>
          <w:szCs w:val="20"/>
        </w:rPr>
        <w:t>’s allocation of R16.3 million</w:t>
      </w:r>
      <w:r w:rsidR="005D3900" w:rsidRPr="00AE5B3B">
        <w:rPr>
          <w:rFonts w:ascii="Arial" w:hAnsi="Arial" w:cs="Arial"/>
          <w:bCs/>
          <w:sz w:val="20"/>
          <w:szCs w:val="20"/>
        </w:rPr>
        <w:t xml:space="preserve">. </w:t>
      </w:r>
      <w:r w:rsidR="00B52566" w:rsidRPr="00AE5B3B">
        <w:rPr>
          <w:rFonts w:ascii="Arial" w:hAnsi="Arial" w:cs="Arial"/>
          <w:bCs/>
          <w:sz w:val="20"/>
          <w:szCs w:val="20"/>
        </w:rPr>
        <w:t xml:space="preserve"> </w:t>
      </w:r>
      <w:r w:rsidR="00F40C53" w:rsidRPr="00AE5B3B">
        <w:rPr>
          <w:rFonts w:ascii="Arial" w:hAnsi="Arial" w:cs="Arial"/>
          <w:bCs/>
          <w:sz w:val="20"/>
          <w:szCs w:val="20"/>
        </w:rPr>
        <w:t xml:space="preserve"> </w:t>
      </w:r>
    </w:p>
    <w:p w:rsidR="005B6A1F" w:rsidRPr="00AE5B3B" w:rsidRDefault="005B6A1F" w:rsidP="00AE5B3B">
      <w:pPr>
        <w:spacing w:line="240" w:lineRule="auto"/>
        <w:jc w:val="left"/>
        <w:rPr>
          <w:rFonts w:ascii="Arial" w:hAnsi="Arial" w:cs="Arial"/>
          <w:bCs/>
          <w:sz w:val="20"/>
          <w:szCs w:val="20"/>
        </w:rPr>
      </w:pPr>
    </w:p>
    <w:p w:rsidR="005B6A1F" w:rsidRPr="00AE5B3B" w:rsidRDefault="005B6A1F" w:rsidP="00AE5B3B">
      <w:pPr>
        <w:spacing w:line="240" w:lineRule="auto"/>
        <w:jc w:val="left"/>
        <w:rPr>
          <w:rFonts w:ascii="Arial" w:hAnsi="Arial" w:cs="Arial"/>
          <w:bCs/>
          <w:sz w:val="20"/>
          <w:szCs w:val="20"/>
        </w:rPr>
      </w:pPr>
      <w:r w:rsidRPr="00AE5B3B">
        <w:rPr>
          <w:rFonts w:ascii="Arial" w:hAnsi="Arial" w:cs="Arial"/>
          <w:sz w:val="20"/>
          <w:szCs w:val="20"/>
        </w:rPr>
        <w:t xml:space="preserve">The Police and Programme Evaluations subprogramme received a Main Appropriation of R6.9 million in 2022/23, which is a nominal decrease of 3.75 per cent compared to the previous financial year. Considering inflation, the subprogramme’s allocation decreased with 7.9 per cent.    </w:t>
      </w:r>
    </w:p>
    <w:p w:rsidR="006A0D7B" w:rsidRPr="00AE5B3B" w:rsidRDefault="006A0D7B" w:rsidP="00AE5B3B">
      <w:pPr>
        <w:spacing w:line="240" w:lineRule="auto"/>
        <w:jc w:val="left"/>
        <w:rPr>
          <w:rFonts w:ascii="Arial" w:hAnsi="Arial" w:cs="Arial"/>
          <w:bCs/>
          <w:sz w:val="20"/>
          <w:szCs w:val="20"/>
        </w:rPr>
      </w:pPr>
    </w:p>
    <w:p w:rsidR="001C6F80" w:rsidRPr="00AE5B3B" w:rsidRDefault="001C6F80" w:rsidP="00AE5B3B">
      <w:pPr>
        <w:autoSpaceDE w:val="0"/>
        <w:autoSpaceDN w:val="0"/>
        <w:adjustRightInd w:val="0"/>
        <w:spacing w:line="240" w:lineRule="auto"/>
        <w:jc w:val="left"/>
        <w:rPr>
          <w:rFonts w:ascii="Arial" w:hAnsi="Arial" w:cs="Arial"/>
          <w:b/>
          <w:bCs/>
          <w:i/>
          <w:sz w:val="20"/>
          <w:szCs w:val="20"/>
        </w:rPr>
      </w:pPr>
      <w:r w:rsidRPr="00AE5B3B">
        <w:rPr>
          <w:rFonts w:ascii="Arial" w:hAnsi="Arial" w:cs="Arial"/>
          <w:b/>
          <w:bCs/>
          <w:i/>
          <w:sz w:val="20"/>
          <w:szCs w:val="20"/>
        </w:rPr>
        <w:t xml:space="preserve">Table </w:t>
      </w:r>
      <w:r w:rsidR="00E37BB2" w:rsidRPr="00AE5B3B">
        <w:rPr>
          <w:rFonts w:ascii="Arial" w:hAnsi="Arial" w:cs="Arial"/>
          <w:b/>
          <w:bCs/>
          <w:i/>
          <w:sz w:val="20"/>
          <w:szCs w:val="20"/>
        </w:rPr>
        <w:t>5</w:t>
      </w:r>
      <w:r w:rsidRPr="00AE5B3B">
        <w:rPr>
          <w:rFonts w:ascii="Arial" w:hAnsi="Arial" w:cs="Arial"/>
          <w:b/>
          <w:bCs/>
          <w:i/>
          <w:sz w:val="20"/>
          <w:szCs w:val="20"/>
        </w:rPr>
        <w:t xml:space="preserve">: Budget allocation: Civilian Oversight, Monitoring and Evaluation </w:t>
      </w:r>
      <w:r w:rsidRPr="00AE5B3B">
        <w:rPr>
          <w:rFonts w:ascii="Arial" w:hAnsi="Arial" w:cs="Arial"/>
          <w:b/>
          <w:i/>
          <w:sz w:val="20"/>
          <w:szCs w:val="20"/>
        </w:rPr>
        <w:t xml:space="preserve">Programme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39"/>
        <w:gridCol w:w="939"/>
        <w:gridCol w:w="1243"/>
        <w:gridCol w:w="1134"/>
        <w:gridCol w:w="1418"/>
        <w:gridCol w:w="1559"/>
      </w:tblGrid>
      <w:tr w:rsidR="00A47A29" w:rsidRPr="00AE5B3B" w:rsidTr="00952CEB">
        <w:trPr>
          <w:trHeight w:val="765"/>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Budget</w:t>
            </w:r>
          </w:p>
        </w:tc>
        <w:tc>
          <w:tcPr>
            <w:tcW w:w="1243" w:type="dxa"/>
            <w:vMerge w:val="restart"/>
            <w:shd w:val="clear" w:color="auto" w:fill="auto"/>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Increase / Decrease in 2022/23</w:t>
            </w:r>
          </w:p>
        </w:tc>
        <w:tc>
          <w:tcPr>
            <w:tcW w:w="1134" w:type="dxa"/>
            <w:vMerge w:val="restart"/>
            <w:shd w:val="clear" w:color="auto" w:fill="auto"/>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Increase / Decrease in 2022/23</w:t>
            </w:r>
          </w:p>
        </w:tc>
        <w:tc>
          <w:tcPr>
            <w:tcW w:w="1418" w:type="dxa"/>
            <w:vMerge w:val="restart"/>
            <w:shd w:val="clear" w:color="auto" w:fill="auto"/>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Nominal Percent change in 2022/23</w:t>
            </w:r>
          </w:p>
        </w:tc>
        <w:tc>
          <w:tcPr>
            <w:tcW w:w="1559" w:type="dxa"/>
            <w:vMerge w:val="restart"/>
            <w:shd w:val="clear" w:color="auto" w:fill="auto"/>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Real Percent change in 2022/23</w:t>
            </w: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R million</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2021/22</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bCs/>
                <w:sz w:val="20"/>
                <w:szCs w:val="20"/>
                <w:lang w:eastAsia="en-ZA"/>
              </w:rPr>
            </w:pPr>
            <w:r w:rsidRPr="00AE5B3B">
              <w:rPr>
                <w:rFonts w:ascii="Arial" w:eastAsia="Times New Roman" w:hAnsi="Arial" w:cs="Arial"/>
                <w:b/>
                <w:bCs/>
                <w:sz w:val="20"/>
                <w:szCs w:val="20"/>
                <w:lang w:eastAsia="en-ZA"/>
              </w:rPr>
              <w:t>2022/23</w:t>
            </w:r>
          </w:p>
        </w:tc>
        <w:tc>
          <w:tcPr>
            <w:tcW w:w="1243" w:type="dxa"/>
            <w:vMerge/>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p>
        </w:tc>
        <w:tc>
          <w:tcPr>
            <w:tcW w:w="1134" w:type="dxa"/>
            <w:vMerge/>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p>
        </w:tc>
        <w:tc>
          <w:tcPr>
            <w:tcW w:w="1418" w:type="dxa"/>
            <w:vMerge/>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p>
        </w:tc>
        <w:tc>
          <w:tcPr>
            <w:tcW w:w="1559" w:type="dxa"/>
            <w:vMerge/>
            <w:vAlign w:val="center"/>
            <w:hideMark/>
          </w:tcPr>
          <w:p w:rsidR="00A47A29" w:rsidRPr="00AE5B3B" w:rsidRDefault="00A47A29" w:rsidP="00AE5B3B">
            <w:pPr>
              <w:spacing w:line="240" w:lineRule="auto"/>
              <w:jc w:val="left"/>
              <w:rPr>
                <w:rFonts w:ascii="Arial" w:eastAsia="Times New Roman" w:hAnsi="Arial" w:cs="Arial"/>
                <w:b/>
                <w:bCs/>
                <w:sz w:val="20"/>
                <w:szCs w:val="20"/>
                <w:lang w:eastAsia="en-ZA"/>
              </w:rPr>
            </w:pP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Police Performance, Conduct and Compliance</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16,3</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15,3</w:t>
            </w:r>
          </w:p>
        </w:tc>
        <w:tc>
          <w:tcPr>
            <w:tcW w:w="1243"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1,0</w:t>
            </w:r>
          </w:p>
        </w:tc>
        <w:tc>
          <w:tcPr>
            <w:tcW w:w="1134"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1,7</w:t>
            </w:r>
          </w:p>
        </w:tc>
        <w:tc>
          <w:tcPr>
            <w:tcW w:w="1418"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-6,17 per cent</w:t>
            </w:r>
          </w:p>
        </w:tc>
        <w:tc>
          <w:tcPr>
            <w:tcW w:w="1559"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-10,21 per cent</w:t>
            </w: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Policy and Programme Evaluations</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7,2</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6,9</w:t>
            </w:r>
          </w:p>
        </w:tc>
        <w:tc>
          <w:tcPr>
            <w:tcW w:w="1243"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0,3</w:t>
            </w:r>
          </w:p>
        </w:tc>
        <w:tc>
          <w:tcPr>
            <w:tcW w:w="1134"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0,6</w:t>
            </w:r>
          </w:p>
        </w:tc>
        <w:tc>
          <w:tcPr>
            <w:tcW w:w="1418"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-3,75 per cent</w:t>
            </w:r>
          </w:p>
        </w:tc>
        <w:tc>
          <w:tcPr>
            <w:tcW w:w="1559"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-7,90 per cent</w:t>
            </w: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Office of the Directorate for Priority Crime Investigation Judge</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6,9</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7,2</w:t>
            </w:r>
          </w:p>
        </w:tc>
        <w:tc>
          <w:tcPr>
            <w:tcW w:w="1243"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0,3</w:t>
            </w:r>
          </w:p>
        </w:tc>
        <w:tc>
          <w:tcPr>
            <w:tcW w:w="1134"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0,0</w:t>
            </w:r>
          </w:p>
        </w:tc>
        <w:tc>
          <w:tcPr>
            <w:tcW w:w="1418"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4,55 per cent</w:t>
            </w:r>
          </w:p>
        </w:tc>
        <w:tc>
          <w:tcPr>
            <w:tcW w:w="1559"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0,05 per cent</w:t>
            </w: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National Forensic Oversight and Ethics Board</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3,7</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3,8</w:t>
            </w:r>
          </w:p>
        </w:tc>
        <w:tc>
          <w:tcPr>
            <w:tcW w:w="1243"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xml:space="preserve">  0,0</w:t>
            </w:r>
          </w:p>
        </w:tc>
        <w:tc>
          <w:tcPr>
            <w:tcW w:w="1134"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  0,1</w:t>
            </w:r>
          </w:p>
        </w:tc>
        <w:tc>
          <w:tcPr>
            <w:tcW w:w="1418"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1,24 per cent</w:t>
            </w:r>
          </w:p>
        </w:tc>
        <w:tc>
          <w:tcPr>
            <w:tcW w:w="1559"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sz w:val="20"/>
                <w:szCs w:val="20"/>
                <w:lang w:eastAsia="en-ZA"/>
              </w:rPr>
            </w:pPr>
            <w:r w:rsidRPr="00AE5B3B">
              <w:rPr>
                <w:rFonts w:ascii="Arial" w:eastAsia="Times New Roman" w:hAnsi="Arial" w:cs="Arial"/>
                <w:sz w:val="20"/>
                <w:szCs w:val="20"/>
                <w:lang w:eastAsia="en-ZA"/>
              </w:rPr>
              <w:t>-3,12 per cent</w:t>
            </w:r>
          </w:p>
        </w:tc>
      </w:tr>
      <w:tr w:rsidR="00A47A29" w:rsidRPr="00AE5B3B" w:rsidTr="00952CEB">
        <w:trPr>
          <w:trHeight w:val="264"/>
        </w:trPr>
        <w:tc>
          <w:tcPr>
            <w:tcW w:w="2830"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TOTAL</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34,1</w:t>
            </w:r>
          </w:p>
        </w:tc>
        <w:tc>
          <w:tcPr>
            <w:tcW w:w="867"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xml:space="preserve">  33,2</w:t>
            </w:r>
          </w:p>
        </w:tc>
        <w:tc>
          <w:tcPr>
            <w:tcW w:w="1243"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0,9</w:t>
            </w:r>
          </w:p>
        </w:tc>
        <w:tc>
          <w:tcPr>
            <w:tcW w:w="1134"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  2,3</w:t>
            </w:r>
          </w:p>
        </w:tc>
        <w:tc>
          <w:tcPr>
            <w:tcW w:w="1418"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-2,7 per cent</w:t>
            </w:r>
          </w:p>
        </w:tc>
        <w:tc>
          <w:tcPr>
            <w:tcW w:w="1559" w:type="dxa"/>
            <w:shd w:val="clear" w:color="auto" w:fill="auto"/>
            <w:noWrap/>
            <w:vAlign w:val="bottom"/>
            <w:hideMark/>
          </w:tcPr>
          <w:p w:rsidR="00A47A29" w:rsidRPr="00AE5B3B" w:rsidRDefault="00A47A29" w:rsidP="00AE5B3B">
            <w:pPr>
              <w:spacing w:line="240" w:lineRule="auto"/>
              <w:jc w:val="left"/>
              <w:rPr>
                <w:rFonts w:ascii="Arial" w:eastAsia="Times New Roman" w:hAnsi="Arial" w:cs="Arial"/>
                <w:b/>
                <w:sz w:val="20"/>
                <w:szCs w:val="20"/>
                <w:lang w:eastAsia="en-ZA"/>
              </w:rPr>
            </w:pPr>
            <w:r w:rsidRPr="00AE5B3B">
              <w:rPr>
                <w:rFonts w:ascii="Arial" w:eastAsia="Times New Roman" w:hAnsi="Arial" w:cs="Arial"/>
                <w:b/>
                <w:sz w:val="20"/>
                <w:szCs w:val="20"/>
                <w:lang w:eastAsia="en-ZA"/>
              </w:rPr>
              <w:t>-6,87 per cent</w:t>
            </w:r>
          </w:p>
        </w:tc>
      </w:tr>
    </w:tbl>
    <w:p w:rsidR="00D9702D" w:rsidRPr="00AE5B3B" w:rsidRDefault="00BF1866" w:rsidP="00AE5B3B">
      <w:pPr>
        <w:autoSpaceDE w:val="0"/>
        <w:autoSpaceDN w:val="0"/>
        <w:adjustRightInd w:val="0"/>
        <w:spacing w:line="240" w:lineRule="auto"/>
        <w:jc w:val="left"/>
        <w:rPr>
          <w:rFonts w:ascii="Arial" w:hAnsi="Arial" w:cs="Arial"/>
          <w:i/>
          <w:sz w:val="20"/>
          <w:szCs w:val="20"/>
        </w:rPr>
      </w:pPr>
      <w:r w:rsidRPr="00AE5B3B">
        <w:rPr>
          <w:rFonts w:ascii="Arial" w:hAnsi="Arial" w:cs="Arial"/>
          <w:i/>
          <w:sz w:val="20"/>
          <w:szCs w:val="20"/>
        </w:rPr>
        <w:t>Source: National Treasury (202</w:t>
      </w:r>
      <w:r w:rsidR="00A47A29" w:rsidRPr="00AE5B3B">
        <w:rPr>
          <w:rFonts w:ascii="Arial" w:hAnsi="Arial" w:cs="Arial"/>
          <w:i/>
          <w:sz w:val="20"/>
          <w:szCs w:val="20"/>
        </w:rPr>
        <w:t>2</w:t>
      </w:r>
      <w:r w:rsidRPr="00AE5B3B">
        <w:rPr>
          <w:rFonts w:ascii="Arial" w:hAnsi="Arial" w:cs="Arial"/>
          <w:i/>
          <w:sz w:val="20"/>
          <w:szCs w:val="20"/>
        </w:rPr>
        <w:t>)</w:t>
      </w:r>
    </w:p>
    <w:p w:rsidR="005D3900" w:rsidRPr="00AE5B3B" w:rsidRDefault="005D3900" w:rsidP="00AE5B3B">
      <w:pPr>
        <w:autoSpaceDE w:val="0"/>
        <w:autoSpaceDN w:val="0"/>
        <w:adjustRightInd w:val="0"/>
        <w:spacing w:line="240" w:lineRule="auto"/>
        <w:jc w:val="left"/>
        <w:rPr>
          <w:rFonts w:ascii="Arial" w:hAnsi="Arial" w:cs="Arial"/>
          <w:sz w:val="20"/>
          <w:szCs w:val="20"/>
        </w:rPr>
      </w:pPr>
    </w:p>
    <w:p w:rsidR="0017107A" w:rsidRPr="00AE5B3B" w:rsidRDefault="0017107A"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 xml:space="preserve">The </w:t>
      </w:r>
      <w:r w:rsidRPr="00AE5B3B">
        <w:rPr>
          <w:rFonts w:ascii="Arial" w:eastAsia="Times New Roman" w:hAnsi="Arial" w:cs="Arial"/>
          <w:sz w:val="20"/>
          <w:szCs w:val="20"/>
          <w:lang w:eastAsia="en-ZA"/>
        </w:rPr>
        <w:t>Office of the Directorate for Priority Crime Investigation Judge</w:t>
      </w:r>
      <w:r w:rsidRPr="00AE5B3B">
        <w:rPr>
          <w:rFonts w:ascii="Arial" w:hAnsi="Arial" w:cs="Arial"/>
          <w:sz w:val="20"/>
          <w:szCs w:val="20"/>
        </w:rPr>
        <w:t xml:space="preserve"> </w:t>
      </w:r>
      <w:r w:rsidR="008021E3" w:rsidRPr="00AE5B3B">
        <w:rPr>
          <w:rFonts w:ascii="Arial" w:hAnsi="Arial" w:cs="Arial"/>
          <w:sz w:val="20"/>
          <w:szCs w:val="20"/>
        </w:rPr>
        <w:t>sub</w:t>
      </w:r>
      <w:r w:rsidRPr="00AE5B3B">
        <w:rPr>
          <w:rFonts w:ascii="Arial" w:hAnsi="Arial" w:cs="Arial"/>
          <w:sz w:val="20"/>
          <w:szCs w:val="20"/>
        </w:rPr>
        <w:t>programme</w:t>
      </w:r>
      <w:r w:rsidR="008021E3" w:rsidRPr="00AE5B3B">
        <w:rPr>
          <w:rFonts w:ascii="Arial" w:hAnsi="Arial" w:cs="Arial"/>
          <w:sz w:val="20"/>
          <w:szCs w:val="20"/>
        </w:rPr>
        <w:t xml:space="preserve"> received a Main Appropriation of R</w:t>
      </w:r>
      <w:r w:rsidR="005B6A1F" w:rsidRPr="00AE5B3B">
        <w:rPr>
          <w:rFonts w:ascii="Arial" w:hAnsi="Arial" w:cs="Arial"/>
          <w:sz w:val="20"/>
          <w:szCs w:val="20"/>
        </w:rPr>
        <w:t>7.2</w:t>
      </w:r>
      <w:r w:rsidR="008021E3" w:rsidRPr="00AE5B3B">
        <w:rPr>
          <w:rFonts w:ascii="Arial" w:hAnsi="Arial" w:cs="Arial"/>
          <w:sz w:val="20"/>
          <w:szCs w:val="20"/>
        </w:rPr>
        <w:t xml:space="preserve"> million in 202</w:t>
      </w:r>
      <w:r w:rsidR="005B6A1F" w:rsidRPr="00AE5B3B">
        <w:rPr>
          <w:rFonts w:ascii="Arial" w:hAnsi="Arial" w:cs="Arial"/>
          <w:sz w:val="20"/>
          <w:szCs w:val="20"/>
        </w:rPr>
        <w:t>2</w:t>
      </w:r>
      <w:r w:rsidR="008021E3" w:rsidRPr="00AE5B3B">
        <w:rPr>
          <w:rFonts w:ascii="Arial" w:hAnsi="Arial" w:cs="Arial"/>
          <w:sz w:val="20"/>
          <w:szCs w:val="20"/>
        </w:rPr>
        <w:t>/2</w:t>
      </w:r>
      <w:r w:rsidR="005B6A1F" w:rsidRPr="00AE5B3B">
        <w:rPr>
          <w:rFonts w:ascii="Arial" w:hAnsi="Arial" w:cs="Arial"/>
          <w:sz w:val="20"/>
          <w:szCs w:val="20"/>
        </w:rPr>
        <w:t>3</w:t>
      </w:r>
      <w:r w:rsidR="008021E3" w:rsidRPr="00AE5B3B">
        <w:rPr>
          <w:rFonts w:ascii="Arial" w:hAnsi="Arial" w:cs="Arial"/>
          <w:sz w:val="20"/>
          <w:szCs w:val="20"/>
        </w:rPr>
        <w:t xml:space="preserve">, which is a nominal increase of </w:t>
      </w:r>
      <w:r w:rsidR="005B6A1F" w:rsidRPr="00AE5B3B">
        <w:rPr>
          <w:rFonts w:ascii="Arial" w:hAnsi="Arial" w:cs="Arial"/>
          <w:sz w:val="20"/>
          <w:szCs w:val="20"/>
        </w:rPr>
        <w:t>4.55</w:t>
      </w:r>
      <w:r w:rsidR="008021E3" w:rsidRPr="00AE5B3B">
        <w:rPr>
          <w:rFonts w:ascii="Arial" w:hAnsi="Arial" w:cs="Arial"/>
          <w:sz w:val="20"/>
          <w:szCs w:val="20"/>
        </w:rPr>
        <w:t xml:space="preserve"> per cent</w:t>
      </w:r>
      <w:r w:rsidR="005B6A1F" w:rsidRPr="00AE5B3B">
        <w:rPr>
          <w:rFonts w:ascii="Arial" w:hAnsi="Arial" w:cs="Arial"/>
          <w:sz w:val="20"/>
          <w:szCs w:val="20"/>
        </w:rPr>
        <w:t xml:space="preserve">. </w:t>
      </w:r>
      <w:r w:rsidRPr="00AE5B3B">
        <w:rPr>
          <w:rFonts w:ascii="Arial" w:hAnsi="Arial" w:cs="Arial"/>
          <w:sz w:val="20"/>
          <w:szCs w:val="20"/>
        </w:rPr>
        <w:t xml:space="preserve">The </w:t>
      </w:r>
      <w:r w:rsidRPr="00AE5B3B">
        <w:rPr>
          <w:rFonts w:ascii="Arial" w:eastAsia="Times New Roman" w:hAnsi="Arial" w:cs="Arial"/>
          <w:sz w:val="20"/>
          <w:szCs w:val="20"/>
          <w:lang w:eastAsia="en-ZA"/>
        </w:rPr>
        <w:t>National Forensic Oversight and Ethics Board</w:t>
      </w:r>
      <w:r w:rsidRPr="00AE5B3B">
        <w:rPr>
          <w:rFonts w:ascii="Arial" w:hAnsi="Arial" w:cs="Arial"/>
          <w:sz w:val="20"/>
          <w:szCs w:val="20"/>
        </w:rPr>
        <w:t xml:space="preserve"> subprogramme received a </w:t>
      </w:r>
      <w:r w:rsidR="008021E3" w:rsidRPr="00AE5B3B">
        <w:rPr>
          <w:rFonts w:ascii="Arial" w:hAnsi="Arial" w:cs="Arial"/>
          <w:sz w:val="20"/>
          <w:szCs w:val="20"/>
        </w:rPr>
        <w:t>Main Appropriation of R3.</w:t>
      </w:r>
      <w:r w:rsidR="005B6A1F" w:rsidRPr="00AE5B3B">
        <w:rPr>
          <w:rFonts w:ascii="Arial" w:hAnsi="Arial" w:cs="Arial"/>
          <w:sz w:val="20"/>
          <w:szCs w:val="20"/>
        </w:rPr>
        <w:t>8</w:t>
      </w:r>
      <w:r w:rsidR="008021E3" w:rsidRPr="00AE5B3B">
        <w:rPr>
          <w:rFonts w:ascii="Arial" w:hAnsi="Arial" w:cs="Arial"/>
          <w:sz w:val="20"/>
          <w:szCs w:val="20"/>
        </w:rPr>
        <w:t xml:space="preserve"> million in 202</w:t>
      </w:r>
      <w:r w:rsidR="005B6A1F" w:rsidRPr="00AE5B3B">
        <w:rPr>
          <w:rFonts w:ascii="Arial" w:hAnsi="Arial" w:cs="Arial"/>
          <w:sz w:val="20"/>
          <w:szCs w:val="20"/>
        </w:rPr>
        <w:t>2</w:t>
      </w:r>
      <w:r w:rsidR="008021E3" w:rsidRPr="00AE5B3B">
        <w:rPr>
          <w:rFonts w:ascii="Arial" w:hAnsi="Arial" w:cs="Arial"/>
          <w:sz w:val="20"/>
          <w:szCs w:val="20"/>
        </w:rPr>
        <w:t>/2</w:t>
      </w:r>
      <w:r w:rsidR="005B6A1F" w:rsidRPr="00AE5B3B">
        <w:rPr>
          <w:rFonts w:ascii="Arial" w:hAnsi="Arial" w:cs="Arial"/>
          <w:sz w:val="20"/>
          <w:szCs w:val="20"/>
        </w:rPr>
        <w:t>3</w:t>
      </w:r>
      <w:r w:rsidR="008021E3" w:rsidRPr="00AE5B3B">
        <w:rPr>
          <w:rFonts w:ascii="Arial" w:hAnsi="Arial" w:cs="Arial"/>
          <w:sz w:val="20"/>
          <w:szCs w:val="20"/>
        </w:rPr>
        <w:t xml:space="preserve">, which </w:t>
      </w:r>
      <w:r w:rsidRPr="00AE5B3B">
        <w:rPr>
          <w:rFonts w:ascii="Arial" w:hAnsi="Arial" w:cs="Arial"/>
          <w:sz w:val="20"/>
          <w:szCs w:val="20"/>
        </w:rPr>
        <w:t xml:space="preserve">is a nominal increase of </w:t>
      </w:r>
      <w:r w:rsidR="005B6A1F" w:rsidRPr="00AE5B3B">
        <w:rPr>
          <w:rFonts w:ascii="Arial" w:hAnsi="Arial" w:cs="Arial"/>
          <w:sz w:val="20"/>
          <w:szCs w:val="20"/>
        </w:rPr>
        <w:t>1.24</w:t>
      </w:r>
      <w:r w:rsidR="008021E3" w:rsidRPr="00AE5B3B">
        <w:rPr>
          <w:rFonts w:ascii="Arial" w:hAnsi="Arial" w:cs="Arial"/>
          <w:sz w:val="20"/>
          <w:szCs w:val="20"/>
        </w:rPr>
        <w:t xml:space="preserve"> per cent</w:t>
      </w:r>
      <w:r w:rsidRPr="00AE5B3B">
        <w:rPr>
          <w:rFonts w:ascii="Arial" w:hAnsi="Arial" w:cs="Arial"/>
          <w:sz w:val="20"/>
          <w:szCs w:val="20"/>
        </w:rPr>
        <w:t xml:space="preserve"> </w:t>
      </w:r>
      <w:r w:rsidR="008021E3" w:rsidRPr="00AE5B3B">
        <w:rPr>
          <w:rFonts w:ascii="Arial" w:hAnsi="Arial" w:cs="Arial"/>
          <w:sz w:val="20"/>
          <w:szCs w:val="20"/>
        </w:rPr>
        <w:t xml:space="preserve">and real </w:t>
      </w:r>
      <w:r w:rsidR="005B6A1F" w:rsidRPr="00AE5B3B">
        <w:rPr>
          <w:rFonts w:ascii="Arial" w:hAnsi="Arial" w:cs="Arial"/>
          <w:sz w:val="20"/>
          <w:szCs w:val="20"/>
        </w:rPr>
        <w:t>de</w:t>
      </w:r>
      <w:r w:rsidR="008021E3" w:rsidRPr="00AE5B3B">
        <w:rPr>
          <w:rFonts w:ascii="Arial" w:hAnsi="Arial" w:cs="Arial"/>
          <w:sz w:val="20"/>
          <w:szCs w:val="20"/>
        </w:rPr>
        <w:t xml:space="preserve">crease of </w:t>
      </w:r>
      <w:r w:rsidR="005B6A1F" w:rsidRPr="00AE5B3B">
        <w:rPr>
          <w:rFonts w:ascii="Arial" w:hAnsi="Arial" w:cs="Arial"/>
          <w:sz w:val="20"/>
          <w:szCs w:val="20"/>
        </w:rPr>
        <w:t>3.12</w:t>
      </w:r>
      <w:r w:rsidR="008021E3" w:rsidRPr="00AE5B3B">
        <w:rPr>
          <w:rFonts w:ascii="Arial" w:hAnsi="Arial" w:cs="Arial"/>
          <w:sz w:val="20"/>
          <w:szCs w:val="20"/>
        </w:rPr>
        <w:t xml:space="preserve"> per cent </w:t>
      </w:r>
      <w:r w:rsidRPr="00AE5B3B">
        <w:rPr>
          <w:rFonts w:ascii="Arial" w:hAnsi="Arial" w:cs="Arial"/>
          <w:sz w:val="20"/>
          <w:szCs w:val="20"/>
        </w:rPr>
        <w:t xml:space="preserve">compared to the previous financial year. </w:t>
      </w:r>
    </w:p>
    <w:p w:rsidR="0017107A" w:rsidRPr="00AE5B3B" w:rsidRDefault="0017107A" w:rsidP="00AE5B3B">
      <w:pPr>
        <w:autoSpaceDE w:val="0"/>
        <w:autoSpaceDN w:val="0"/>
        <w:adjustRightInd w:val="0"/>
        <w:spacing w:line="240" w:lineRule="auto"/>
        <w:jc w:val="left"/>
        <w:rPr>
          <w:rFonts w:ascii="Arial" w:hAnsi="Arial" w:cs="Arial"/>
          <w:sz w:val="20"/>
          <w:szCs w:val="20"/>
        </w:rPr>
      </w:pPr>
    </w:p>
    <w:p w:rsidR="00CF6118" w:rsidRPr="00AE5B3B" w:rsidRDefault="00CF6118"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t>The proportional allocations towards the subprogra</w:t>
      </w:r>
      <w:r w:rsidR="005B6A1F" w:rsidRPr="00AE5B3B">
        <w:rPr>
          <w:rFonts w:ascii="Arial" w:hAnsi="Arial" w:cs="Arial"/>
          <w:sz w:val="20"/>
          <w:szCs w:val="20"/>
        </w:rPr>
        <w:t>mmes shifted slightly in 2022</w:t>
      </w:r>
      <w:r w:rsidRPr="00AE5B3B">
        <w:rPr>
          <w:rFonts w:ascii="Arial" w:hAnsi="Arial" w:cs="Arial"/>
          <w:sz w:val="20"/>
          <w:szCs w:val="20"/>
        </w:rPr>
        <w:t>/2</w:t>
      </w:r>
      <w:r w:rsidR="005B6A1F" w:rsidRPr="00AE5B3B">
        <w:rPr>
          <w:rFonts w:ascii="Arial" w:hAnsi="Arial" w:cs="Arial"/>
          <w:sz w:val="20"/>
          <w:szCs w:val="20"/>
        </w:rPr>
        <w:t>3</w:t>
      </w:r>
      <w:r w:rsidRPr="00AE5B3B">
        <w:rPr>
          <w:rFonts w:ascii="Arial" w:hAnsi="Arial" w:cs="Arial"/>
          <w:sz w:val="20"/>
          <w:szCs w:val="20"/>
        </w:rPr>
        <w:t xml:space="preserve"> compared to the previous fina</w:t>
      </w:r>
      <w:r w:rsidR="005B6A1F" w:rsidRPr="00AE5B3B">
        <w:rPr>
          <w:rFonts w:ascii="Arial" w:hAnsi="Arial" w:cs="Arial"/>
          <w:sz w:val="20"/>
          <w:szCs w:val="20"/>
        </w:rPr>
        <w:t>ncial year. The substantially de</w:t>
      </w:r>
      <w:r w:rsidRPr="00AE5B3B">
        <w:rPr>
          <w:rFonts w:ascii="Arial" w:hAnsi="Arial" w:cs="Arial"/>
          <w:sz w:val="20"/>
          <w:szCs w:val="20"/>
        </w:rPr>
        <w:t xml:space="preserve">creased allocation of the </w:t>
      </w:r>
      <w:r w:rsidR="00E759CC" w:rsidRPr="00AE5B3B">
        <w:rPr>
          <w:rFonts w:ascii="Arial" w:hAnsi="Arial" w:cs="Arial"/>
          <w:sz w:val="20"/>
          <w:szCs w:val="20"/>
        </w:rPr>
        <w:t xml:space="preserve">Police Performance, Conduct and Compliance </w:t>
      </w:r>
      <w:r w:rsidRPr="00AE5B3B">
        <w:rPr>
          <w:rFonts w:ascii="Arial" w:hAnsi="Arial" w:cs="Arial"/>
          <w:sz w:val="20"/>
          <w:szCs w:val="20"/>
        </w:rPr>
        <w:t xml:space="preserve">subprogramme resulted in a </w:t>
      </w:r>
      <w:r w:rsidR="005B6A1F" w:rsidRPr="00AE5B3B">
        <w:rPr>
          <w:rFonts w:ascii="Arial" w:hAnsi="Arial" w:cs="Arial"/>
          <w:sz w:val="20"/>
          <w:szCs w:val="20"/>
        </w:rPr>
        <w:t>1.71</w:t>
      </w:r>
      <w:r w:rsidRPr="00AE5B3B">
        <w:rPr>
          <w:rFonts w:ascii="Arial" w:hAnsi="Arial" w:cs="Arial"/>
          <w:sz w:val="20"/>
          <w:szCs w:val="20"/>
        </w:rPr>
        <w:t xml:space="preserve"> per cent </w:t>
      </w:r>
      <w:r w:rsidR="005B6A1F" w:rsidRPr="00AE5B3B">
        <w:rPr>
          <w:rFonts w:ascii="Arial" w:hAnsi="Arial" w:cs="Arial"/>
          <w:sz w:val="20"/>
          <w:szCs w:val="20"/>
        </w:rPr>
        <w:t>de</w:t>
      </w:r>
      <w:r w:rsidRPr="00AE5B3B">
        <w:rPr>
          <w:rFonts w:ascii="Arial" w:hAnsi="Arial" w:cs="Arial"/>
          <w:sz w:val="20"/>
          <w:szCs w:val="20"/>
        </w:rPr>
        <w:t xml:space="preserve">crease of its proportional allocation from </w:t>
      </w:r>
      <w:r w:rsidR="00E759CC" w:rsidRPr="00AE5B3B">
        <w:rPr>
          <w:rFonts w:ascii="Arial" w:hAnsi="Arial" w:cs="Arial"/>
          <w:sz w:val="20"/>
          <w:szCs w:val="20"/>
        </w:rPr>
        <w:t>47.73</w:t>
      </w:r>
      <w:r w:rsidRPr="00AE5B3B">
        <w:rPr>
          <w:rFonts w:ascii="Arial" w:hAnsi="Arial" w:cs="Arial"/>
          <w:sz w:val="20"/>
          <w:szCs w:val="20"/>
        </w:rPr>
        <w:t xml:space="preserve"> per cent in 202</w:t>
      </w:r>
      <w:r w:rsidR="00E759CC" w:rsidRPr="00AE5B3B">
        <w:rPr>
          <w:rFonts w:ascii="Arial" w:hAnsi="Arial" w:cs="Arial"/>
          <w:sz w:val="20"/>
          <w:szCs w:val="20"/>
        </w:rPr>
        <w:t>1</w:t>
      </w:r>
      <w:r w:rsidRPr="00AE5B3B">
        <w:rPr>
          <w:rFonts w:ascii="Arial" w:hAnsi="Arial" w:cs="Arial"/>
          <w:sz w:val="20"/>
          <w:szCs w:val="20"/>
        </w:rPr>
        <w:t>/2</w:t>
      </w:r>
      <w:r w:rsidR="00E759CC" w:rsidRPr="00AE5B3B">
        <w:rPr>
          <w:rFonts w:ascii="Arial" w:hAnsi="Arial" w:cs="Arial"/>
          <w:sz w:val="20"/>
          <w:szCs w:val="20"/>
        </w:rPr>
        <w:t>2</w:t>
      </w:r>
      <w:r w:rsidRPr="00AE5B3B">
        <w:rPr>
          <w:rFonts w:ascii="Arial" w:hAnsi="Arial" w:cs="Arial"/>
          <w:sz w:val="20"/>
          <w:szCs w:val="20"/>
        </w:rPr>
        <w:t xml:space="preserve"> to </w:t>
      </w:r>
      <w:r w:rsidR="00E759CC" w:rsidRPr="00AE5B3B">
        <w:rPr>
          <w:rFonts w:ascii="Arial" w:hAnsi="Arial" w:cs="Arial"/>
          <w:sz w:val="20"/>
          <w:szCs w:val="20"/>
        </w:rPr>
        <w:t>46.01</w:t>
      </w:r>
      <w:r w:rsidRPr="00AE5B3B">
        <w:rPr>
          <w:rFonts w:ascii="Arial" w:hAnsi="Arial" w:cs="Arial"/>
          <w:sz w:val="20"/>
          <w:szCs w:val="20"/>
        </w:rPr>
        <w:t xml:space="preserve"> per cent in 202</w:t>
      </w:r>
      <w:r w:rsidR="00E759CC" w:rsidRPr="00AE5B3B">
        <w:rPr>
          <w:rFonts w:ascii="Arial" w:hAnsi="Arial" w:cs="Arial"/>
          <w:sz w:val="20"/>
          <w:szCs w:val="20"/>
        </w:rPr>
        <w:t>2</w:t>
      </w:r>
      <w:r w:rsidRPr="00AE5B3B">
        <w:rPr>
          <w:rFonts w:ascii="Arial" w:hAnsi="Arial" w:cs="Arial"/>
          <w:sz w:val="20"/>
          <w:szCs w:val="20"/>
        </w:rPr>
        <w:t>/2</w:t>
      </w:r>
      <w:r w:rsidR="00E759CC" w:rsidRPr="00AE5B3B">
        <w:rPr>
          <w:rFonts w:ascii="Arial" w:hAnsi="Arial" w:cs="Arial"/>
          <w:sz w:val="20"/>
          <w:szCs w:val="20"/>
        </w:rPr>
        <w:t>3</w:t>
      </w:r>
      <w:r w:rsidRPr="00AE5B3B">
        <w:rPr>
          <w:rFonts w:ascii="Arial" w:hAnsi="Arial" w:cs="Arial"/>
          <w:sz w:val="20"/>
          <w:szCs w:val="20"/>
        </w:rPr>
        <w:t xml:space="preserve">. </w:t>
      </w:r>
      <w:r w:rsidR="00E759CC" w:rsidRPr="00AE5B3B">
        <w:rPr>
          <w:rFonts w:ascii="Arial" w:hAnsi="Arial" w:cs="Arial"/>
          <w:sz w:val="20"/>
          <w:szCs w:val="20"/>
        </w:rPr>
        <w:t xml:space="preserve">This led to an increase in the proportional allocation of the Office of the Directorate for Priority Crime Investigation Judge subprogramme from 10.87 per cent in 2021/22 to 11.3 per cent in 2022/23. </w:t>
      </w:r>
    </w:p>
    <w:p w:rsidR="00CF34DE" w:rsidRPr="00AE5B3B" w:rsidRDefault="00CF34DE" w:rsidP="00AE5B3B">
      <w:pPr>
        <w:autoSpaceDE w:val="0"/>
        <w:autoSpaceDN w:val="0"/>
        <w:adjustRightInd w:val="0"/>
        <w:spacing w:line="240" w:lineRule="auto"/>
        <w:jc w:val="left"/>
        <w:rPr>
          <w:rFonts w:ascii="Arial" w:hAnsi="Arial" w:cs="Arial"/>
          <w:sz w:val="20"/>
          <w:szCs w:val="20"/>
        </w:rPr>
      </w:pPr>
    </w:p>
    <w:p w:rsidR="00886D21" w:rsidRPr="00AE5B3B" w:rsidRDefault="0016050A" w:rsidP="00AE5B3B">
      <w:pPr>
        <w:pStyle w:val="Heading2"/>
        <w:numPr>
          <w:ilvl w:val="1"/>
          <w:numId w:val="19"/>
        </w:numPr>
        <w:spacing w:before="0" w:line="240" w:lineRule="auto"/>
        <w:rPr>
          <w:rFonts w:ascii="Arial" w:hAnsi="Arial" w:cs="Arial"/>
          <w:sz w:val="20"/>
          <w:szCs w:val="20"/>
        </w:rPr>
      </w:pPr>
      <w:bookmarkStart w:id="11" w:name="_Toc100572316"/>
      <w:r w:rsidRPr="00AE5B3B">
        <w:rPr>
          <w:rFonts w:ascii="Arial" w:hAnsi="Arial" w:cs="Arial"/>
          <w:sz w:val="20"/>
          <w:szCs w:val="20"/>
        </w:rPr>
        <w:t>Expenditure on p</w:t>
      </w:r>
      <w:r w:rsidR="00886D21" w:rsidRPr="00AE5B3B">
        <w:rPr>
          <w:rFonts w:ascii="Arial" w:hAnsi="Arial" w:cs="Arial"/>
          <w:sz w:val="20"/>
          <w:szCs w:val="20"/>
        </w:rPr>
        <w:t>ersonnel</w:t>
      </w:r>
      <w:r w:rsidRPr="00AE5B3B">
        <w:rPr>
          <w:rFonts w:ascii="Arial" w:hAnsi="Arial" w:cs="Arial"/>
          <w:sz w:val="20"/>
          <w:szCs w:val="20"/>
        </w:rPr>
        <w:t>/compensation of employees</w:t>
      </w:r>
      <w:bookmarkEnd w:id="11"/>
      <w:r w:rsidRPr="00AE5B3B">
        <w:rPr>
          <w:rFonts w:ascii="Arial" w:hAnsi="Arial" w:cs="Arial"/>
          <w:sz w:val="20"/>
          <w:szCs w:val="20"/>
        </w:rPr>
        <w:t xml:space="preserve"> </w:t>
      </w:r>
    </w:p>
    <w:p w:rsidR="00757C4D" w:rsidRPr="00AE5B3B" w:rsidRDefault="00757C4D" w:rsidP="00AE5B3B">
      <w:pPr>
        <w:autoSpaceDE w:val="0"/>
        <w:autoSpaceDN w:val="0"/>
        <w:adjustRightInd w:val="0"/>
        <w:spacing w:line="240" w:lineRule="auto"/>
        <w:jc w:val="left"/>
        <w:rPr>
          <w:rFonts w:ascii="Arial" w:hAnsi="Arial" w:cs="Arial"/>
          <w:sz w:val="20"/>
          <w:szCs w:val="20"/>
          <w:lang w:eastAsia="en-ZA"/>
        </w:rPr>
      </w:pPr>
    </w:p>
    <w:p w:rsidR="00757C4D" w:rsidRPr="00AE5B3B" w:rsidRDefault="00876C7D"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lang w:eastAsia="en-ZA"/>
        </w:rPr>
        <w:t xml:space="preserve">Compensation of employees remains the Department’s largest cost driver, </w:t>
      </w:r>
      <w:r w:rsidR="00E759CC" w:rsidRPr="00AE5B3B">
        <w:rPr>
          <w:rFonts w:ascii="Arial" w:hAnsi="Arial" w:cs="Arial"/>
          <w:sz w:val="20"/>
          <w:szCs w:val="20"/>
          <w:lang w:eastAsia="en-ZA"/>
        </w:rPr>
        <w:t xml:space="preserve">accounting for </w:t>
      </w:r>
      <w:r w:rsidR="00E759CC" w:rsidRPr="00AE5B3B">
        <w:rPr>
          <w:rFonts w:ascii="Arial" w:hAnsi="Arial" w:cs="Arial"/>
          <w:sz w:val="20"/>
          <w:szCs w:val="20"/>
        </w:rPr>
        <w:t xml:space="preserve">70.38 per cent (R107.2 million) of the Department’s total 2022/23 budget allocation. This allocation increased nominally by 1.36 per cent compared to the previous financial year. </w:t>
      </w:r>
      <w:r w:rsidR="00757C4D" w:rsidRPr="00AE5B3B">
        <w:rPr>
          <w:rFonts w:ascii="Arial" w:hAnsi="Arial" w:cs="Arial"/>
          <w:sz w:val="20"/>
          <w:szCs w:val="20"/>
        </w:rPr>
        <w:t>As at December 2021, the Department had filled 145 of its 156 post establishment, resulting in a vacancy rate of 7.05</w:t>
      </w:r>
      <w:r w:rsidR="00E759CC" w:rsidRPr="00AE5B3B">
        <w:rPr>
          <w:rFonts w:ascii="Arial" w:hAnsi="Arial" w:cs="Arial"/>
          <w:sz w:val="20"/>
          <w:szCs w:val="20"/>
        </w:rPr>
        <w:t xml:space="preserve"> per cent</w:t>
      </w:r>
      <w:r w:rsidR="00757C4D" w:rsidRPr="00AE5B3B">
        <w:rPr>
          <w:rFonts w:ascii="Arial" w:hAnsi="Arial" w:cs="Arial"/>
          <w:sz w:val="20"/>
          <w:szCs w:val="20"/>
        </w:rPr>
        <w:t xml:space="preserve">. </w:t>
      </w:r>
    </w:p>
    <w:p w:rsidR="00876C7D" w:rsidRPr="00AE5B3B" w:rsidRDefault="00876C7D" w:rsidP="00AE5B3B">
      <w:pPr>
        <w:spacing w:line="240" w:lineRule="auto"/>
        <w:jc w:val="left"/>
        <w:rPr>
          <w:rFonts w:ascii="Arial" w:hAnsi="Arial" w:cs="Arial"/>
          <w:sz w:val="20"/>
          <w:szCs w:val="20"/>
        </w:rPr>
      </w:pPr>
    </w:p>
    <w:p w:rsidR="00A627A9" w:rsidRPr="00AE5B3B" w:rsidRDefault="00A627A9" w:rsidP="00AE5B3B">
      <w:pPr>
        <w:pStyle w:val="Heading1"/>
        <w:numPr>
          <w:ilvl w:val="0"/>
          <w:numId w:val="19"/>
        </w:numPr>
        <w:spacing w:before="0" w:line="240" w:lineRule="auto"/>
        <w:jc w:val="left"/>
        <w:rPr>
          <w:rFonts w:ascii="Arial" w:hAnsi="Arial" w:cs="Arial"/>
          <w:sz w:val="20"/>
          <w:szCs w:val="20"/>
        </w:rPr>
      </w:pPr>
      <w:bookmarkStart w:id="12" w:name="_Toc100572317"/>
      <w:r w:rsidRPr="00AE5B3B">
        <w:rPr>
          <w:rFonts w:ascii="Arial" w:hAnsi="Arial" w:cs="Arial"/>
          <w:sz w:val="20"/>
          <w:szCs w:val="20"/>
        </w:rPr>
        <w:t xml:space="preserve">Performance analysis </w:t>
      </w:r>
      <w:r w:rsidR="005A6379" w:rsidRPr="00AE5B3B">
        <w:rPr>
          <w:rFonts w:ascii="Arial" w:hAnsi="Arial" w:cs="Arial"/>
          <w:sz w:val="20"/>
          <w:szCs w:val="20"/>
        </w:rPr>
        <w:t>2022/23</w:t>
      </w:r>
      <w:bookmarkEnd w:id="12"/>
    </w:p>
    <w:p w:rsidR="00A109AE" w:rsidRPr="00AE5B3B" w:rsidRDefault="00A109AE" w:rsidP="00AE5B3B">
      <w:pPr>
        <w:spacing w:line="240" w:lineRule="auto"/>
        <w:jc w:val="left"/>
        <w:rPr>
          <w:rFonts w:ascii="Arial" w:hAnsi="Arial" w:cs="Arial"/>
          <w:sz w:val="20"/>
          <w:szCs w:val="20"/>
        </w:rPr>
      </w:pPr>
    </w:p>
    <w:p w:rsidR="00EB1CAC" w:rsidRPr="00AE5B3B" w:rsidRDefault="00EB1CAC" w:rsidP="00AE5B3B">
      <w:pPr>
        <w:spacing w:line="240" w:lineRule="auto"/>
        <w:jc w:val="left"/>
        <w:rPr>
          <w:rFonts w:ascii="Arial" w:hAnsi="Arial" w:cs="Arial"/>
          <w:sz w:val="20"/>
          <w:szCs w:val="20"/>
        </w:rPr>
      </w:pPr>
      <w:r w:rsidRPr="00AE5B3B">
        <w:rPr>
          <w:rFonts w:ascii="Arial" w:hAnsi="Arial" w:cs="Arial"/>
          <w:sz w:val="20"/>
          <w:szCs w:val="20"/>
        </w:rPr>
        <w:t>In 2022/23, the Department identified 28 performance indicators, of which most targets remained unchanged from the previous financial year. The Department introduced four new targets in 2022/23 and removed two targets that were included in the 2021/22 APP.</w:t>
      </w:r>
    </w:p>
    <w:p w:rsidR="005C7A4C" w:rsidRPr="00AE5B3B" w:rsidRDefault="005C7A4C" w:rsidP="00AE5B3B">
      <w:pPr>
        <w:spacing w:line="240" w:lineRule="auto"/>
        <w:jc w:val="left"/>
        <w:rPr>
          <w:rFonts w:ascii="Arial" w:hAnsi="Arial" w:cs="Arial"/>
          <w:sz w:val="20"/>
          <w:szCs w:val="20"/>
        </w:rPr>
      </w:pPr>
    </w:p>
    <w:p w:rsidR="00757C4D" w:rsidRPr="00AE5B3B" w:rsidRDefault="003B5676" w:rsidP="00AE5B3B">
      <w:pPr>
        <w:spacing w:line="240" w:lineRule="auto"/>
        <w:jc w:val="left"/>
        <w:rPr>
          <w:rFonts w:ascii="Arial" w:hAnsi="Arial" w:cs="Arial"/>
          <w:sz w:val="20"/>
          <w:szCs w:val="20"/>
        </w:rPr>
      </w:pPr>
      <w:r w:rsidRPr="00AE5B3B">
        <w:rPr>
          <w:rFonts w:ascii="Arial" w:hAnsi="Arial" w:cs="Arial"/>
          <w:sz w:val="20"/>
          <w:szCs w:val="20"/>
        </w:rPr>
        <w:t>According to the Department, t</w:t>
      </w:r>
      <w:r w:rsidR="00757C4D" w:rsidRPr="00AE5B3B">
        <w:rPr>
          <w:rFonts w:ascii="Arial" w:hAnsi="Arial" w:cs="Arial"/>
          <w:sz w:val="20"/>
          <w:szCs w:val="20"/>
        </w:rPr>
        <w:t>he effectiveness of the</w:t>
      </w:r>
      <w:r w:rsidRPr="00AE5B3B">
        <w:rPr>
          <w:rFonts w:ascii="Arial" w:hAnsi="Arial" w:cs="Arial"/>
          <w:sz w:val="20"/>
          <w:szCs w:val="20"/>
        </w:rPr>
        <w:t>ir</w:t>
      </w:r>
      <w:r w:rsidR="00757C4D" w:rsidRPr="00AE5B3B">
        <w:rPr>
          <w:rFonts w:ascii="Arial" w:hAnsi="Arial" w:cs="Arial"/>
          <w:sz w:val="20"/>
          <w:szCs w:val="20"/>
        </w:rPr>
        <w:t xml:space="preserve"> civilian oversight mandate, including the provision of strategic and policy advice to the Minister of Police, rests on adequate and reasonable access to SAPS systems and information by the CSPS </w:t>
      </w:r>
      <w:r w:rsidRPr="00AE5B3B">
        <w:rPr>
          <w:rFonts w:ascii="Arial" w:hAnsi="Arial" w:cs="Arial"/>
          <w:sz w:val="20"/>
          <w:szCs w:val="20"/>
        </w:rPr>
        <w:t>and ultimately on</w:t>
      </w:r>
      <w:r w:rsidR="00757C4D" w:rsidRPr="00AE5B3B">
        <w:rPr>
          <w:rFonts w:ascii="Arial" w:hAnsi="Arial" w:cs="Arial"/>
          <w:sz w:val="20"/>
          <w:szCs w:val="20"/>
        </w:rPr>
        <w:t xml:space="preserve"> the willingness to implement CSPS polic</w:t>
      </w:r>
      <w:r w:rsidRPr="00AE5B3B">
        <w:rPr>
          <w:rFonts w:ascii="Arial" w:hAnsi="Arial" w:cs="Arial"/>
          <w:sz w:val="20"/>
          <w:szCs w:val="20"/>
        </w:rPr>
        <w:t>y proposals and recommendations</w:t>
      </w:r>
      <w:r w:rsidR="00757C4D" w:rsidRPr="00AE5B3B">
        <w:rPr>
          <w:rFonts w:ascii="Arial" w:hAnsi="Arial" w:cs="Arial"/>
          <w:sz w:val="20"/>
          <w:szCs w:val="20"/>
        </w:rPr>
        <w:t xml:space="preserve">. </w:t>
      </w:r>
      <w:r w:rsidRPr="00AE5B3B">
        <w:rPr>
          <w:rFonts w:ascii="Arial" w:hAnsi="Arial" w:cs="Arial"/>
          <w:sz w:val="20"/>
          <w:szCs w:val="20"/>
        </w:rPr>
        <w:t>As such, the</w:t>
      </w:r>
      <w:r w:rsidR="00757C4D" w:rsidRPr="00AE5B3B">
        <w:rPr>
          <w:rFonts w:ascii="Arial" w:hAnsi="Arial" w:cs="Arial"/>
          <w:sz w:val="20"/>
          <w:szCs w:val="20"/>
        </w:rPr>
        <w:t xml:space="preserve"> working relationship and functioning of cooperative governance structures between the SAPS and CSPS</w:t>
      </w:r>
      <w:r w:rsidRPr="00AE5B3B">
        <w:rPr>
          <w:rFonts w:ascii="Arial" w:hAnsi="Arial" w:cs="Arial"/>
          <w:sz w:val="20"/>
          <w:szCs w:val="20"/>
        </w:rPr>
        <w:t xml:space="preserve"> must be continuously strengthened.</w:t>
      </w:r>
    </w:p>
    <w:p w:rsidR="00757C4D" w:rsidRPr="00AE5B3B" w:rsidRDefault="00757C4D" w:rsidP="00AE5B3B">
      <w:pPr>
        <w:spacing w:line="240" w:lineRule="auto"/>
        <w:jc w:val="left"/>
        <w:rPr>
          <w:rFonts w:ascii="Arial" w:hAnsi="Arial" w:cs="Arial"/>
          <w:sz w:val="20"/>
          <w:szCs w:val="20"/>
        </w:rPr>
      </w:pPr>
    </w:p>
    <w:p w:rsidR="00E048E1" w:rsidRPr="00AE5B3B" w:rsidRDefault="00E048E1" w:rsidP="00AE5B3B">
      <w:pPr>
        <w:pStyle w:val="Heading2"/>
        <w:numPr>
          <w:ilvl w:val="1"/>
          <w:numId w:val="19"/>
        </w:numPr>
        <w:spacing w:before="0" w:line="240" w:lineRule="auto"/>
        <w:rPr>
          <w:rFonts w:ascii="Arial" w:hAnsi="Arial" w:cs="Arial"/>
          <w:sz w:val="20"/>
          <w:szCs w:val="20"/>
        </w:rPr>
      </w:pPr>
      <w:bookmarkStart w:id="13" w:name="_Toc100572318"/>
      <w:r w:rsidRPr="00AE5B3B">
        <w:rPr>
          <w:rFonts w:ascii="Arial" w:hAnsi="Arial" w:cs="Arial"/>
          <w:sz w:val="20"/>
          <w:szCs w:val="20"/>
        </w:rPr>
        <w:t>Programme 1: Administration</w:t>
      </w:r>
      <w:bookmarkEnd w:id="13"/>
      <w:r w:rsidRPr="00AE5B3B">
        <w:rPr>
          <w:rFonts w:ascii="Arial" w:hAnsi="Arial" w:cs="Arial"/>
          <w:sz w:val="20"/>
          <w:szCs w:val="20"/>
        </w:rPr>
        <w:t xml:space="preserve"> </w:t>
      </w:r>
    </w:p>
    <w:p w:rsidR="005608FA" w:rsidRPr="00AE5B3B" w:rsidRDefault="005608FA" w:rsidP="00AE5B3B">
      <w:pPr>
        <w:spacing w:line="240" w:lineRule="auto"/>
        <w:jc w:val="left"/>
        <w:rPr>
          <w:rFonts w:ascii="Arial" w:hAnsi="Arial" w:cs="Arial"/>
          <w:sz w:val="20"/>
          <w:szCs w:val="20"/>
        </w:rPr>
      </w:pPr>
    </w:p>
    <w:p w:rsidR="004A7F06" w:rsidRPr="00AE5B3B" w:rsidRDefault="002973B9" w:rsidP="00AE5B3B">
      <w:pPr>
        <w:spacing w:line="240" w:lineRule="auto"/>
        <w:jc w:val="left"/>
        <w:rPr>
          <w:rFonts w:ascii="Arial" w:hAnsi="Arial" w:cs="Arial"/>
          <w:sz w:val="20"/>
          <w:szCs w:val="20"/>
        </w:rPr>
      </w:pPr>
      <w:r w:rsidRPr="00AE5B3B">
        <w:rPr>
          <w:rFonts w:ascii="Arial" w:hAnsi="Arial" w:cs="Arial"/>
          <w:b/>
          <w:sz w:val="20"/>
          <w:szCs w:val="20"/>
        </w:rPr>
        <w:t>Programme p</w:t>
      </w:r>
      <w:r w:rsidR="004A7F06" w:rsidRPr="00AE5B3B">
        <w:rPr>
          <w:rFonts w:ascii="Arial" w:hAnsi="Arial" w:cs="Arial"/>
          <w:b/>
          <w:sz w:val="20"/>
          <w:szCs w:val="20"/>
        </w:rPr>
        <w:t xml:space="preserve">urpose: </w:t>
      </w:r>
      <w:r w:rsidR="00C36CD0" w:rsidRPr="00AE5B3B">
        <w:rPr>
          <w:rFonts w:ascii="Arial" w:hAnsi="Arial" w:cs="Arial"/>
          <w:sz w:val="20"/>
          <w:szCs w:val="20"/>
        </w:rPr>
        <w:t xml:space="preserve">The </w:t>
      </w:r>
      <w:r w:rsidR="0029431E" w:rsidRPr="00AE5B3B">
        <w:rPr>
          <w:rFonts w:ascii="Arial" w:hAnsi="Arial" w:cs="Arial"/>
          <w:sz w:val="20"/>
          <w:szCs w:val="20"/>
        </w:rPr>
        <w:t>purpose of the Administration</w:t>
      </w:r>
      <w:r w:rsidR="000E1D3D" w:rsidRPr="00AE5B3B">
        <w:rPr>
          <w:rFonts w:ascii="Arial" w:hAnsi="Arial" w:cs="Arial"/>
          <w:sz w:val="20"/>
          <w:szCs w:val="20"/>
        </w:rPr>
        <w:t xml:space="preserve"> Programme</w:t>
      </w:r>
      <w:r w:rsidR="0029431E" w:rsidRPr="00AE5B3B">
        <w:rPr>
          <w:rFonts w:ascii="Arial" w:hAnsi="Arial" w:cs="Arial"/>
          <w:sz w:val="20"/>
          <w:szCs w:val="20"/>
        </w:rPr>
        <w:t xml:space="preserve"> is to provide strategic leadership, management and support services to the Department. </w:t>
      </w:r>
    </w:p>
    <w:p w:rsidR="004A7F06" w:rsidRPr="00AE5B3B" w:rsidRDefault="004A7F06" w:rsidP="00AE5B3B">
      <w:pPr>
        <w:spacing w:line="240" w:lineRule="auto"/>
        <w:jc w:val="left"/>
        <w:rPr>
          <w:rFonts w:ascii="Arial" w:hAnsi="Arial" w:cs="Arial"/>
          <w:sz w:val="20"/>
          <w:szCs w:val="20"/>
        </w:rPr>
      </w:pPr>
    </w:p>
    <w:p w:rsidR="00284BA8" w:rsidRPr="00AE5B3B" w:rsidRDefault="0029431E" w:rsidP="00AE5B3B">
      <w:pPr>
        <w:autoSpaceDE w:val="0"/>
        <w:autoSpaceDN w:val="0"/>
        <w:adjustRightInd w:val="0"/>
        <w:spacing w:line="240" w:lineRule="auto"/>
        <w:jc w:val="left"/>
        <w:rPr>
          <w:rFonts w:ascii="Arial" w:hAnsi="Arial" w:cs="Arial"/>
          <w:sz w:val="20"/>
          <w:szCs w:val="20"/>
        </w:rPr>
      </w:pPr>
      <w:r w:rsidRPr="00AE5B3B">
        <w:rPr>
          <w:rFonts w:ascii="Arial" w:hAnsi="Arial" w:cs="Arial"/>
          <w:sz w:val="20"/>
          <w:szCs w:val="20"/>
        </w:rPr>
        <w:lastRenderedPageBreak/>
        <w:t xml:space="preserve">For the </w:t>
      </w:r>
      <w:r w:rsidR="00971F0A" w:rsidRPr="00AE5B3B">
        <w:rPr>
          <w:rFonts w:ascii="Arial" w:hAnsi="Arial" w:cs="Arial"/>
          <w:sz w:val="20"/>
          <w:szCs w:val="20"/>
        </w:rPr>
        <w:t>202</w:t>
      </w:r>
      <w:r w:rsidR="00FC112A" w:rsidRPr="00AE5B3B">
        <w:rPr>
          <w:rFonts w:ascii="Arial" w:hAnsi="Arial" w:cs="Arial"/>
          <w:sz w:val="20"/>
          <w:szCs w:val="20"/>
        </w:rPr>
        <w:t>2</w:t>
      </w:r>
      <w:r w:rsidR="00971F0A" w:rsidRPr="00AE5B3B">
        <w:rPr>
          <w:rFonts w:ascii="Arial" w:hAnsi="Arial" w:cs="Arial"/>
          <w:sz w:val="20"/>
          <w:szCs w:val="20"/>
        </w:rPr>
        <w:t>/2</w:t>
      </w:r>
      <w:r w:rsidR="00FC112A" w:rsidRPr="00AE5B3B">
        <w:rPr>
          <w:rFonts w:ascii="Arial" w:hAnsi="Arial" w:cs="Arial"/>
          <w:sz w:val="20"/>
          <w:szCs w:val="20"/>
        </w:rPr>
        <w:t>3</w:t>
      </w:r>
      <w:r w:rsidR="00C36CD0" w:rsidRPr="00AE5B3B">
        <w:rPr>
          <w:rFonts w:ascii="Arial" w:hAnsi="Arial" w:cs="Arial"/>
          <w:sz w:val="20"/>
          <w:szCs w:val="20"/>
        </w:rPr>
        <w:t xml:space="preserve"> financial year</w:t>
      </w:r>
      <w:r w:rsidR="00444ECB" w:rsidRPr="00AE5B3B">
        <w:rPr>
          <w:rFonts w:ascii="Arial" w:hAnsi="Arial" w:cs="Arial"/>
          <w:sz w:val="20"/>
          <w:szCs w:val="20"/>
        </w:rPr>
        <w:t xml:space="preserve">, </w:t>
      </w:r>
      <w:r w:rsidR="00B7204C" w:rsidRPr="00AE5B3B">
        <w:rPr>
          <w:rFonts w:ascii="Arial" w:hAnsi="Arial" w:cs="Arial"/>
          <w:sz w:val="20"/>
          <w:szCs w:val="20"/>
        </w:rPr>
        <w:t xml:space="preserve">the </w:t>
      </w:r>
      <w:r w:rsidR="00FC112A" w:rsidRPr="00AE5B3B">
        <w:rPr>
          <w:rFonts w:ascii="Arial" w:hAnsi="Arial" w:cs="Arial"/>
          <w:sz w:val="20"/>
          <w:szCs w:val="20"/>
        </w:rPr>
        <w:t xml:space="preserve">Administration programme has five </w:t>
      </w:r>
      <w:r w:rsidRPr="00AE5B3B">
        <w:rPr>
          <w:rFonts w:ascii="Arial" w:hAnsi="Arial" w:cs="Arial"/>
          <w:sz w:val="20"/>
          <w:szCs w:val="20"/>
        </w:rPr>
        <w:t xml:space="preserve">performance </w:t>
      </w:r>
      <w:r w:rsidR="00C1236C" w:rsidRPr="00AE5B3B">
        <w:rPr>
          <w:rFonts w:ascii="Arial" w:hAnsi="Arial" w:cs="Arial"/>
          <w:sz w:val="20"/>
          <w:szCs w:val="20"/>
        </w:rPr>
        <w:t>indicators</w:t>
      </w:r>
      <w:r w:rsidR="00284BA8" w:rsidRPr="00AE5B3B">
        <w:rPr>
          <w:rFonts w:ascii="Arial" w:hAnsi="Arial" w:cs="Arial"/>
          <w:sz w:val="20"/>
          <w:szCs w:val="20"/>
        </w:rPr>
        <w:t xml:space="preserve">, of which the targets remain unchanged compared to the previous financial year. </w:t>
      </w:r>
    </w:p>
    <w:p w:rsidR="00284BA8" w:rsidRPr="00AE5B3B" w:rsidRDefault="00284BA8" w:rsidP="00AE5B3B">
      <w:pPr>
        <w:autoSpaceDE w:val="0"/>
        <w:autoSpaceDN w:val="0"/>
        <w:adjustRightInd w:val="0"/>
        <w:spacing w:line="240" w:lineRule="auto"/>
        <w:jc w:val="left"/>
        <w:rPr>
          <w:rFonts w:ascii="Arial" w:hAnsi="Arial" w:cs="Arial"/>
          <w:sz w:val="20"/>
          <w:szCs w:val="20"/>
        </w:rPr>
      </w:pPr>
    </w:p>
    <w:p w:rsidR="001C518C" w:rsidRPr="00AE5B3B" w:rsidRDefault="00FC112A" w:rsidP="00AE5B3B">
      <w:pPr>
        <w:autoSpaceDE w:val="0"/>
        <w:autoSpaceDN w:val="0"/>
        <w:adjustRightInd w:val="0"/>
        <w:spacing w:line="240" w:lineRule="auto"/>
        <w:jc w:val="left"/>
        <w:rPr>
          <w:rFonts w:ascii="Arial" w:hAnsi="Arial" w:cs="Arial"/>
          <w:sz w:val="20"/>
          <w:szCs w:val="20"/>
          <w:highlight w:val="yellow"/>
          <w:lang w:eastAsia="en-ZA"/>
        </w:rPr>
      </w:pPr>
      <w:r w:rsidRPr="00AE5B3B">
        <w:rPr>
          <w:rFonts w:ascii="Arial" w:hAnsi="Arial" w:cs="Arial"/>
          <w:sz w:val="20"/>
          <w:szCs w:val="20"/>
        </w:rPr>
        <w:t xml:space="preserve">The target for four </w:t>
      </w:r>
      <w:r w:rsidRPr="00AE5B3B">
        <w:rPr>
          <w:rFonts w:ascii="Arial" w:hAnsi="Arial" w:cs="Arial"/>
          <w:sz w:val="20"/>
          <w:szCs w:val="20"/>
          <w:lang w:eastAsia="en-ZA"/>
        </w:rPr>
        <w:t xml:space="preserve">joint consultative IPID/Secretariat forum meetings held per year in compliance with the Civilian Secretariat for Police Service Act, 2011 was removed from the 2022/23 APP and included in the 2022/23 Annual Operational Plan of the CSPS. </w:t>
      </w:r>
    </w:p>
    <w:p w:rsidR="00B267B1" w:rsidRPr="00AE5B3B" w:rsidRDefault="00B267B1" w:rsidP="00AE5B3B">
      <w:pPr>
        <w:spacing w:line="240" w:lineRule="auto"/>
        <w:jc w:val="left"/>
        <w:rPr>
          <w:rFonts w:ascii="Arial" w:hAnsi="Arial" w:cs="Arial"/>
          <w:b/>
          <w:sz w:val="20"/>
          <w:szCs w:val="20"/>
        </w:rPr>
      </w:pPr>
    </w:p>
    <w:p w:rsidR="007F3473" w:rsidRPr="00AE5B3B" w:rsidRDefault="00B267B1" w:rsidP="00AE5B3B">
      <w:pPr>
        <w:spacing w:line="240" w:lineRule="auto"/>
        <w:jc w:val="left"/>
        <w:rPr>
          <w:rFonts w:ascii="Arial" w:hAnsi="Arial" w:cs="Arial"/>
          <w:b/>
          <w:sz w:val="20"/>
          <w:szCs w:val="20"/>
        </w:rPr>
      </w:pPr>
      <w:r w:rsidRPr="00AE5B3B">
        <w:rPr>
          <w:rFonts w:ascii="Arial" w:hAnsi="Arial" w:cs="Arial"/>
          <w:b/>
          <w:sz w:val="20"/>
          <w:szCs w:val="20"/>
        </w:rPr>
        <w:t xml:space="preserve">Subprogramme: Corporate Services </w:t>
      </w:r>
    </w:p>
    <w:p w:rsidR="00081283" w:rsidRPr="00AE5B3B" w:rsidRDefault="00BB054F" w:rsidP="00AE5B3B">
      <w:pPr>
        <w:pStyle w:val="ListParagraph"/>
        <w:numPr>
          <w:ilvl w:val="0"/>
          <w:numId w:val="6"/>
        </w:numPr>
        <w:spacing w:line="240" w:lineRule="auto"/>
        <w:jc w:val="left"/>
        <w:rPr>
          <w:rFonts w:ascii="Arial" w:hAnsi="Arial" w:cs="Arial"/>
          <w:b/>
          <w:sz w:val="20"/>
          <w:szCs w:val="20"/>
        </w:rPr>
      </w:pPr>
      <w:r w:rsidRPr="00AE5B3B">
        <w:rPr>
          <w:rFonts w:ascii="Arial" w:hAnsi="Arial" w:cs="Arial"/>
          <w:sz w:val="20"/>
          <w:szCs w:val="20"/>
          <w:lang w:eastAsia="en-ZA"/>
        </w:rPr>
        <w:t>Vacancy rate of not more than 7% of the t</w:t>
      </w:r>
      <w:r w:rsidR="007F3473" w:rsidRPr="00AE5B3B">
        <w:rPr>
          <w:rFonts w:ascii="Arial" w:hAnsi="Arial" w:cs="Arial"/>
          <w:sz w:val="20"/>
          <w:szCs w:val="20"/>
          <w:lang w:eastAsia="en-ZA"/>
        </w:rPr>
        <w:t xml:space="preserve">otal post </w:t>
      </w:r>
      <w:r w:rsidR="001C518C" w:rsidRPr="00AE5B3B">
        <w:rPr>
          <w:rFonts w:ascii="Arial" w:hAnsi="Arial" w:cs="Arial"/>
          <w:sz w:val="20"/>
          <w:szCs w:val="20"/>
          <w:lang w:eastAsia="en-ZA"/>
        </w:rPr>
        <w:t>e</w:t>
      </w:r>
      <w:r w:rsidR="007F3473" w:rsidRPr="00AE5B3B">
        <w:rPr>
          <w:rFonts w:ascii="Arial" w:hAnsi="Arial" w:cs="Arial"/>
          <w:sz w:val="20"/>
          <w:szCs w:val="20"/>
          <w:lang w:eastAsia="en-ZA"/>
        </w:rPr>
        <w:t>stablishment</w:t>
      </w:r>
      <w:r w:rsidRPr="00AE5B3B">
        <w:rPr>
          <w:rFonts w:ascii="Arial" w:hAnsi="Arial" w:cs="Arial"/>
          <w:sz w:val="20"/>
          <w:szCs w:val="20"/>
          <w:lang w:eastAsia="en-ZA"/>
        </w:rPr>
        <w:t>: Target remains unchanged at not more than</w:t>
      </w:r>
      <w:r w:rsidR="00122A53" w:rsidRPr="00AE5B3B">
        <w:rPr>
          <w:rFonts w:ascii="Arial" w:hAnsi="Arial" w:cs="Arial"/>
          <w:sz w:val="20"/>
          <w:szCs w:val="20"/>
          <w:lang w:eastAsia="en-ZA"/>
        </w:rPr>
        <w:t xml:space="preserve"> 7% in 20</w:t>
      </w:r>
      <w:r w:rsidRPr="00AE5B3B">
        <w:rPr>
          <w:rFonts w:ascii="Arial" w:hAnsi="Arial" w:cs="Arial"/>
          <w:sz w:val="20"/>
          <w:szCs w:val="20"/>
          <w:lang w:eastAsia="en-ZA"/>
        </w:rPr>
        <w:t>2</w:t>
      </w:r>
      <w:r w:rsidR="00FC112A" w:rsidRPr="00AE5B3B">
        <w:rPr>
          <w:rFonts w:ascii="Arial" w:hAnsi="Arial" w:cs="Arial"/>
          <w:sz w:val="20"/>
          <w:szCs w:val="20"/>
          <w:lang w:eastAsia="en-ZA"/>
        </w:rPr>
        <w:t>2</w:t>
      </w:r>
      <w:r w:rsidR="00122A53" w:rsidRPr="00AE5B3B">
        <w:rPr>
          <w:rFonts w:ascii="Arial" w:hAnsi="Arial" w:cs="Arial"/>
          <w:sz w:val="20"/>
          <w:szCs w:val="20"/>
          <w:lang w:eastAsia="en-ZA"/>
        </w:rPr>
        <w:t>/2</w:t>
      </w:r>
      <w:r w:rsidR="00FC112A" w:rsidRPr="00AE5B3B">
        <w:rPr>
          <w:rFonts w:ascii="Arial" w:hAnsi="Arial" w:cs="Arial"/>
          <w:sz w:val="20"/>
          <w:szCs w:val="20"/>
          <w:lang w:eastAsia="en-ZA"/>
        </w:rPr>
        <w:t>3</w:t>
      </w:r>
      <w:r w:rsidR="00122A53" w:rsidRPr="00AE5B3B">
        <w:rPr>
          <w:rFonts w:ascii="Arial" w:hAnsi="Arial" w:cs="Arial"/>
          <w:sz w:val="20"/>
          <w:szCs w:val="20"/>
          <w:lang w:eastAsia="en-ZA"/>
        </w:rPr>
        <w:t>.</w:t>
      </w:r>
    </w:p>
    <w:p w:rsidR="00081283" w:rsidRPr="00AE5B3B" w:rsidRDefault="00444ECB" w:rsidP="00AE5B3B">
      <w:pPr>
        <w:pStyle w:val="ListParagraph"/>
        <w:numPr>
          <w:ilvl w:val="0"/>
          <w:numId w:val="6"/>
        </w:numPr>
        <w:spacing w:line="240" w:lineRule="auto"/>
        <w:jc w:val="left"/>
        <w:rPr>
          <w:rFonts w:ascii="Arial" w:hAnsi="Arial" w:cs="Arial"/>
          <w:b/>
          <w:sz w:val="20"/>
          <w:szCs w:val="20"/>
        </w:rPr>
      </w:pPr>
      <w:r w:rsidRPr="00AE5B3B">
        <w:rPr>
          <w:rFonts w:ascii="Arial" w:hAnsi="Arial" w:cs="Arial"/>
          <w:sz w:val="20"/>
          <w:szCs w:val="20"/>
          <w:lang w:eastAsia="en-ZA"/>
        </w:rPr>
        <w:t>Percentage of implementation of the Human Capital Strategy</w:t>
      </w:r>
      <w:r w:rsidR="00A902CD" w:rsidRPr="00AE5B3B">
        <w:rPr>
          <w:rFonts w:ascii="Arial" w:hAnsi="Arial" w:cs="Arial"/>
          <w:sz w:val="20"/>
          <w:szCs w:val="20"/>
          <w:lang w:eastAsia="en-ZA"/>
        </w:rPr>
        <w:t xml:space="preserve">: Target remains unchanged at </w:t>
      </w:r>
      <w:r w:rsidRPr="00AE5B3B">
        <w:rPr>
          <w:rFonts w:ascii="Arial" w:hAnsi="Arial" w:cs="Arial"/>
          <w:sz w:val="20"/>
          <w:szCs w:val="20"/>
          <w:lang w:eastAsia="en-ZA"/>
        </w:rPr>
        <w:t>100%</w:t>
      </w:r>
      <w:r w:rsidR="00A902CD" w:rsidRPr="00AE5B3B">
        <w:rPr>
          <w:rFonts w:ascii="Arial" w:hAnsi="Arial" w:cs="Arial"/>
          <w:sz w:val="20"/>
          <w:szCs w:val="20"/>
          <w:lang w:eastAsia="en-ZA"/>
        </w:rPr>
        <w:t xml:space="preserve"> implementation.</w:t>
      </w:r>
    </w:p>
    <w:p w:rsidR="00081283" w:rsidRPr="00AE5B3B" w:rsidRDefault="00A902CD" w:rsidP="00AE5B3B">
      <w:pPr>
        <w:pStyle w:val="ListParagraph"/>
        <w:numPr>
          <w:ilvl w:val="0"/>
          <w:numId w:val="6"/>
        </w:numPr>
        <w:spacing w:line="240" w:lineRule="auto"/>
        <w:jc w:val="left"/>
        <w:rPr>
          <w:rFonts w:ascii="Arial" w:hAnsi="Arial" w:cs="Arial"/>
          <w:b/>
          <w:sz w:val="20"/>
          <w:szCs w:val="20"/>
        </w:rPr>
      </w:pPr>
      <w:r w:rsidRPr="00AE5B3B">
        <w:rPr>
          <w:rFonts w:ascii="Arial" w:hAnsi="Arial" w:cs="Arial"/>
          <w:sz w:val="20"/>
          <w:szCs w:val="20"/>
          <w:lang w:eastAsia="en-ZA"/>
        </w:rPr>
        <w:t>Percentage i</w:t>
      </w:r>
      <w:r w:rsidR="00444ECB" w:rsidRPr="00AE5B3B">
        <w:rPr>
          <w:rFonts w:ascii="Arial" w:hAnsi="Arial" w:cs="Arial"/>
          <w:sz w:val="20"/>
          <w:szCs w:val="20"/>
          <w:lang w:eastAsia="en-ZA"/>
        </w:rPr>
        <w:t>mplementation of the Information and Communication Technology (ICT) Strategy</w:t>
      </w:r>
      <w:r w:rsidRPr="00AE5B3B">
        <w:rPr>
          <w:rFonts w:ascii="Arial" w:hAnsi="Arial" w:cs="Arial"/>
          <w:sz w:val="20"/>
          <w:szCs w:val="20"/>
          <w:lang w:eastAsia="en-ZA"/>
        </w:rPr>
        <w:t xml:space="preserve">: Target remains unchanged at 100%. </w:t>
      </w:r>
    </w:p>
    <w:p w:rsidR="00122A53" w:rsidRPr="00AE5B3B" w:rsidRDefault="00122A53" w:rsidP="00AE5B3B">
      <w:pPr>
        <w:spacing w:line="240" w:lineRule="auto"/>
        <w:jc w:val="left"/>
        <w:rPr>
          <w:rFonts w:ascii="Arial" w:hAnsi="Arial" w:cs="Arial"/>
          <w:b/>
          <w:sz w:val="20"/>
          <w:szCs w:val="20"/>
        </w:rPr>
      </w:pPr>
    </w:p>
    <w:p w:rsidR="00B267B1" w:rsidRPr="00AE5B3B" w:rsidRDefault="00B267B1" w:rsidP="00AE5B3B">
      <w:pPr>
        <w:spacing w:line="240" w:lineRule="auto"/>
        <w:jc w:val="left"/>
        <w:rPr>
          <w:rFonts w:ascii="Arial" w:hAnsi="Arial" w:cs="Arial"/>
          <w:b/>
          <w:sz w:val="20"/>
          <w:szCs w:val="20"/>
        </w:rPr>
      </w:pPr>
      <w:r w:rsidRPr="00AE5B3B">
        <w:rPr>
          <w:rFonts w:ascii="Arial" w:hAnsi="Arial" w:cs="Arial"/>
          <w:b/>
          <w:sz w:val="20"/>
          <w:szCs w:val="20"/>
        </w:rPr>
        <w:t xml:space="preserve">Subprogramme: Finance Administration </w:t>
      </w:r>
    </w:p>
    <w:p w:rsidR="00081283" w:rsidRPr="00AE5B3B" w:rsidRDefault="00B7204C" w:rsidP="00AE5B3B">
      <w:pPr>
        <w:pStyle w:val="ListParagraph"/>
        <w:numPr>
          <w:ilvl w:val="0"/>
          <w:numId w:val="6"/>
        </w:numPr>
        <w:spacing w:line="240" w:lineRule="auto"/>
        <w:jc w:val="left"/>
        <w:rPr>
          <w:rFonts w:ascii="Arial" w:hAnsi="Arial" w:cs="Arial"/>
          <w:b/>
          <w:sz w:val="20"/>
          <w:szCs w:val="20"/>
        </w:rPr>
      </w:pPr>
      <w:r w:rsidRPr="00AE5B3B">
        <w:rPr>
          <w:rFonts w:ascii="Arial" w:hAnsi="Arial" w:cs="Arial"/>
          <w:sz w:val="20"/>
          <w:szCs w:val="20"/>
          <w:lang w:eastAsia="en-ZA"/>
        </w:rPr>
        <w:t xml:space="preserve">Percentage of payments made to </w:t>
      </w:r>
      <w:r w:rsidR="007F3473" w:rsidRPr="00AE5B3B">
        <w:rPr>
          <w:rFonts w:ascii="Arial" w:hAnsi="Arial" w:cs="Arial"/>
          <w:sz w:val="20"/>
          <w:szCs w:val="20"/>
          <w:lang w:eastAsia="en-ZA"/>
        </w:rPr>
        <w:t>creditors within 30 days</w:t>
      </w:r>
      <w:r w:rsidRPr="00AE5B3B">
        <w:rPr>
          <w:rFonts w:ascii="Arial" w:hAnsi="Arial" w:cs="Arial"/>
          <w:sz w:val="20"/>
          <w:szCs w:val="20"/>
          <w:lang w:eastAsia="en-ZA"/>
        </w:rPr>
        <w:t>: Target remains unchanged at 100%.</w:t>
      </w:r>
    </w:p>
    <w:p w:rsidR="00081283" w:rsidRPr="00AE5B3B" w:rsidRDefault="00B7204C" w:rsidP="00AE5B3B">
      <w:pPr>
        <w:pStyle w:val="ListParagraph"/>
        <w:numPr>
          <w:ilvl w:val="0"/>
          <w:numId w:val="6"/>
        </w:numPr>
        <w:spacing w:line="240" w:lineRule="auto"/>
        <w:jc w:val="left"/>
        <w:rPr>
          <w:rFonts w:ascii="Arial" w:hAnsi="Arial" w:cs="Arial"/>
          <w:b/>
          <w:sz w:val="20"/>
          <w:szCs w:val="20"/>
          <w:lang w:eastAsia="en-ZA"/>
        </w:rPr>
      </w:pPr>
      <w:r w:rsidRPr="00AE5B3B">
        <w:rPr>
          <w:rFonts w:ascii="Arial" w:hAnsi="Arial" w:cs="Arial"/>
          <w:sz w:val="20"/>
          <w:szCs w:val="20"/>
          <w:lang w:eastAsia="en-ZA"/>
        </w:rPr>
        <w:t xml:space="preserve">Percentage of </w:t>
      </w:r>
      <w:r w:rsidR="007F3473" w:rsidRPr="00AE5B3B">
        <w:rPr>
          <w:rFonts w:ascii="Arial" w:hAnsi="Arial" w:cs="Arial"/>
          <w:sz w:val="20"/>
          <w:szCs w:val="20"/>
          <w:lang w:eastAsia="en-ZA"/>
        </w:rPr>
        <w:t xml:space="preserve">expenditure in relation to </w:t>
      </w:r>
      <w:r w:rsidR="00BA6BF4" w:rsidRPr="00AE5B3B">
        <w:rPr>
          <w:rFonts w:ascii="Arial" w:hAnsi="Arial" w:cs="Arial"/>
          <w:sz w:val="20"/>
          <w:szCs w:val="20"/>
          <w:lang w:eastAsia="en-ZA"/>
        </w:rPr>
        <w:t>the allocated b</w:t>
      </w:r>
      <w:r w:rsidR="007F3473" w:rsidRPr="00AE5B3B">
        <w:rPr>
          <w:rFonts w:ascii="Arial" w:hAnsi="Arial" w:cs="Arial"/>
          <w:sz w:val="20"/>
          <w:szCs w:val="20"/>
          <w:lang w:eastAsia="en-ZA"/>
        </w:rPr>
        <w:t>udget</w:t>
      </w:r>
      <w:r w:rsidRPr="00AE5B3B">
        <w:rPr>
          <w:rFonts w:ascii="Arial" w:hAnsi="Arial" w:cs="Arial"/>
          <w:sz w:val="20"/>
          <w:szCs w:val="20"/>
          <w:lang w:eastAsia="en-ZA"/>
        </w:rPr>
        <w:t>: Target remains unchanged at 98%.</w:t>
      </w:r>
      <w:r w:rsidR="00BA6BF4" w:rsidRPr="00AE5B3B">
        <w:rPr>
          <w:rFonts w:ascii="Arial" w:hAnsi="Arial" w:cs="Arial"/>
          <w:sz w:val="20"/>
          <w:szCs w:val="20"/>
          <w:lang w:eastAsia="en-ZA"/>
        </w:rPr>
        <w:t xml:space="preserve">  </w:t>
      </w:r>
      <w:r w:rsidR="00081283" w:rsidRPr="00AE5B3B">
        <w:rPr>
          <w:rFonts w:ascii="Arial" w:hAnsi="Arial" w:cs="Arial"/>
          <w:color w:val="000000"/>
          <w:sz w:val="20"/>
          <w:szCs w:val="20"/>
          <w:lang w:eastAsia="en-ZA"/>
        </w:rPr>
        <w:t xml:space="preserve">This indicator seeks to measure the percentage of expenditure against the quarterly cash flow projections of the Department. </w:t>
      </w:r>
    </w:p>
    <w:p w:rsidR="00122A53" w:rsidRPr="00AE5B3B" w:rsidRDefault="00122A53" w:rsidP="00AE5B3B">
      <w:pPr>
        <w:pStyle w:val="Heading2"/>
        <w:spacing w:before="0" w:line="240" w:lineRule="auto"/>
        <w:rPr>
          <w:rFonts w:ascii="Arial" w:hAnsi="Arial" w:cs="Arial"/>
          <w:caps/>
          <w:sz w:val="20"/>
          <w:szCs w:val="20"/>
        </w:rPr>
      </w:pPr>
    </w:p>
    <w:p w:rsidR="00C07B26" w:rsidRPr="00AE5B3B" w:rsidRDefault="00C07B26" w:rsidP="00AE5B3B">
      <w:pPr>
        <w:pStyle w:val="Heading2"/>
        <w:numPr>
          <w:ilvl w:val="1"/>
          <w:numId w:val="19"/>
        </w:numPr>
        <w:spacing w:before="0" w:line="240" w:lineRule="auto"/>
        <w:rPr>
          <w:rFonts w:ascii="Arial" w:hAnsi="Arial" w:cs="Arial"/>
          <w:sz w:val="20"/>
          <w:szCs w:val="20"/>
        </w:rPr>
      </w:pPr>
      <w:bookmarkStart w:id="14" w:name="_Toc100572319"/>
      <w:r w:rsidRPr="00AE5B3B">
        <w:rPr>
          <w:rFonts w:ascii="Arial" w:hAnsi="Arial" w:cs="Arial"/>
          <w:sz w:val="20"/>
          <w:szCs w:val="20"/>
        </w:rPr>
        <w:t>Programme 2: Intersectoral Coordination and Strategic Partnerships</w:t>
      </w:r>
      <w:bookmarkEnd w:id="14"/>
      <w:r w:rsidRPr="00AE5B3B">
        <w:rPr>
          <w:rFonts w:ascii="Arial" w:hAnsi="Arial" w:cs="Arial"/>
          <w:sz w:val="20"/>
          <w:szCs w:val="20"/>
        </w:rPr>
        <w:t xml:space="preserve"> </w:t>
      </w:r>
    </w:p>
    <w:p w:rsidR="0000654B" w:rsidRPr="00AE5B3B" w:rsidRDefault="0000654B" w:rsidP="00AE5B3B">
      <w:pPr>
        <w:spacing w:line="240" w:lineRule="auto"/>
        <w:jc w:val="left"/>
        <w:rPr>
          <w:rFonts w:ascii="Arial" w:hAnsi="Arial" w:cs="Arial"/>
          <w:sz w:val="20"/>
          <w:szCs w:val="20"/>
        </w:rPr>
      </w:pPr>
    </w:p>
    <w:p w:rsidR="00992F79" w:rsidRPr="00AE5B3B" w:rsidRDefault="002973B9" w:rsidP="00AE5B3B">
      <w:pPr>
        <w:spacing w:line="240" w:lineRule="auto"/>
        <w:jc w:val="left"/>
        <w:rPr>
          <w:rFonts w:ascii="Arial" w:hAnsi="Arial" w:cs="Arial"/>
          <w:sz w:val="20"/>
          <w:szCs w:val="20"/>
        </w:rPr>
      </w:pPr>
      <w:r w:rsidRPr="00AE5B3B">
        <w:rPr>
          <w:rFonts w:ascii="Arial" w:hAnsi="Arial" w:cs="Arial"/>
          <w:b/>
          <w:sz w:val="20"/>
          <w:szCs w:val="20"/>
        </w:rPr>
        <w:t>Programme p</w:t>
      </w:r>
      <w:r w:rsidR="004A7F06" w:rsidRPr="00AE5B3B">
        <w:rPr>
          <w:rFonts w:ascii="Arial" w:hAnsi="Arial" w:cs="Arial"/>
          <w:b/>
          <w:sz w:val="20"/>
          <w:szCs w:val="20"/>
        </w:rPr>
        <w:t xml:space="preserve">urpose: </w:t>
      </w:r>
      <w:r w:rsidR="0000654B" w:rsidRPr="00AE5B3B">
        <w:rPr>
          <w:rFonts w:ascii="Arial" w:hAnsi="Arial" w:cs="Arial"/>
          <w:sz w:val="20"/>
          <w:szCs w:val="20"/>
        </w:rPr>
        <w:t xml:space="preserve">The purpose of the </w:t>
      </w:r>
      <w:r w:rsidR="0000654B" w:rsidRPr="00AE5B3B">
        <w:rPr>
          <w:rFonts w:ascii="Arial" w:hAnsi="Arial" w:cs="Arial"/>
          <w:i/>
          <w:sz w:val="20"/>
          <w:szCs w:val="20"/>
        </w:rPr>
        <w:t>Intersectoral Coordination and Strategic Partnerships</w:t>
      </w:r>
      <w:r w:rsidR="0000654B" w:rsidRPr="00AE5B3B">
        <w:rPr>
          <w:rFonts w:ascii="Arial" w:hAnsi="Arial" w:cs="Arial"/>
          <w:sz w:val="20"/>
          <w:szCs w:val="20"/>
        </w:rPr>
        <w:t xml:space="preserve"> Programme is to manage and encourage national dialogue on community safety and crime prevention. </w:t>
      </w:r>
    </w:p>
    <w:p w:rsidR="00992F79" w:rsidRPr="00AE5B3B" w:rsidRDefault="00992F79" w:rsidP="00AE5B3B">
      <w:pPr>
        <w:spacing w:line="240" w:lineRule="auto"/>
        <w:jc w:val="left"/>
        <w:rPr>
          <w:rFonts w:ascii="Arial" w:hAnsi="Arial" w:cs="Arial"/>
          <w:b/>
          <w:sz w:val="20"/>
          <w:szCs w:val="20"/>
        </w:rPr>
      </w:pPr>
    </w:p>
    <w:p w:rsidR="006F19E2" w:rsidRPr="00AE5B3B" w:rsidRDefault="00444ECB" w:rsidP="00AE5B3B">
      <w:pPr>
        <w:spacing w:line="240" w:lineRule="auto"/>
        <w:jc w:val="left"/>
        <w:rPr>
          <w:rFonts w:ascii="Arial" w:hAnsi="Arial" w:cs="Arial"/>
          <w:sz w:val="20"/>
          <w:szCs w:val="20"/>
        </w:rPr>
      </w:pPr>
      <w:r w:rsidRPr="00AE5B3B">
        <w:rPr>
          <w:rFonts w:ascii="Arial" w:hAnsi="Arial" w:cs="Arial"/>
          <w:sz w:val="20"/>
          <w:szCs w:val="20"/>
        </w:rPr>
        <w:t>For the 202</w:t>
      </w:r>
      <w:r w:rsidR="00A87D8B" w:rsidRPr="00AE5B3B">
        <w:rPr>
          <w:rFonts w:ascii="Arial" w:hAnsi="Arial" w:cs="Arial"/>
          <w:sz w:val="20"/>
          <w:szCs w:val="20"/>
        </w:rPr>
        <w:t>2</w:t>
      </w:r>
      <w:r w:rsidR="00603349" w:rsidRPr="00AE5B3B">
        <w:rPr>
          <w:rFonts w:ascii="Arial" w:hAnsi="Arial" w:cs="Arial"/>
          <w:sz w:val="20"/>
          <w:szCs w:val="20"/>
        </w:rPr>
        <w:t>/</w:t>
      </w:r>
      <w:r w:rsidRPr="00AE5B3B">
        <w:rPr>
          <w:rFonts w:ascii="Arial" w:hAnsi="Arial" w:cs="Arial"/>
          <w:sz w:val="20"/>
          <w:szCs w:val="20"/>
        </w:rPr>
        <w:t>2</w:t>
      </w:r>
      <w:r w:rsidR="00A87D8B" w:rsidRPr="00AE5B3B">
        <w:rPr>
          <w:rFonts w:ascii="Arial" w:hAnsi="Arial" w:cs="Arial"/>
          <w:sz w:val="20"/>
          <w:szCs w:val="20"/>
        </w:rPr>
        <w:t>3</w:t>
      </w:r>
      <w:r w:rsidR="00603349" w:rsidRPr="00AE5B3B">
        <w:rPr>
          <w:rFonts w:ascii="Arial" w:hAnsi="Arial" w:cs="Arial"/>
          <w:sz w:val="20"/>
          <w:szCs w:val="20"/>
        </w:rPr>
        <w:t xml:space="preserve"> financial year, the </w:t>
      </w:r>
      <w:r w:rsidR="00BD4B5C" w:rsidRPr="00AE5B3B">
        <w:rPr>
          <w:rFonts w:ascii="Arial" w:hAnsi="Arial" w:cs="Arial"/>
          <w:sz w:val="20"/>
          <w:szCs w:val="20"/>
        </w:rPr>
        <w:t xml:space="preserve">Programme </w:t>
      </w:r>
      <w:r w:rsidR="004B2FF2" w:rsidRPr="00AE5B3B">
        <w:rPr>
          <w:rFonts w:ascii="Arial" w:hAnsi="Arial" w:cs="Arial"/>
          <w:sz w:val="20"/>
          <w:szCs w:val="20"/>
        </w:rPr>
        <w:t xml:space="preserve">identified </w:t>
      </w:r>
      <w:r w:rsidR="00A87D8B" w:rsidRPr="00AE5B3B">
        <w:rPr>
          <w:rFonts w:ascii="Arial" w:hAnsi="Arial" w:cs="Arial"/>
          <w:sz w:val="20"/>
          <w:szCs w:val="20"/>
        </w:rPr>
        <w:t xml:space="preserve">nine performance indicators, including three new performance indicators. </w:t>
      </w:r>
      <w:r w:rsidRPr="00AE5B3B">
        <w:rPr>
          <w:rFonts w:ascii="Arial" w:hAnsi="Arial" w:cs="Arial"/>
          <w:sz w:val="20"/>
          <w:szCs w:val="20"/>
        </w:rPr>
        <w:t xml:space="preserve"> </w:t>
      </w:r>
    </w:p>
    <w:p w:rsidR="00AB624F" w:rsidRPr="00AE5B3B" w:rsidRDefault="00AB624F" w:rsidP="00AE5B3B">
      <w:pPr>
        <w:autoSpaceDE w:val="0"/>
        <w:autoSpaceDN w:val="0"/>
        <w:adjustRightInd w:val="0"/>
        <w:spacing w:line="240" w:lineRule="auto"/>
        <w:jc w:val="left"/>
        <w:rPr>
          <w:rFonts w:ascii="Arial" w:hAnsi="Arial" w:cs="Arial"/>
          <w:sz w:val="20"/>
          <w:szCs w:val="20"/>
          <w:lang w:eastAsia="en-ZA"/>
        </w:rPr>
      </w:pPr>
    </w:p>
    <w:p w:rsidR="002377A5" w:rsidRPr="00AE5B3B" w:rsidRDefault="002377A5" w:rsidP="00AE5B3B">
      <w:pPr>
        <w:spacing w:line="240" w:lineRule="auto"/>
        <w:jc w:val="left"/>
        <w:rPr>
          <w:rFonts w:ascii="Arial" w:hAnsi="Arial" w:cs="Arial"/>
          <w:b/>
          <w:sz w:val="20"/>
          <w:szCs w:val="20"/>
        </w:rPr>
      </w:pPr>
      <w:r w:rsidRPr="00AE5B3B">
        <w:rPr>
          <w:rFonts w:ascii="Arial" w:hAnsi="Arial" w:cs="Arial"/>
          <w:b/>
          <w:sz w:val="20"/>
          <w:szCs w:val="20"/>
        </w:rPr>
        <w:t xml:space="preserve">Sub programme: Intergovernmental, Civil Society and Public-Private Partnerships  </w:t>
      </w:r>
    </w:p>
    <w:p w:rsidR="00930B0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2377A5" w:rsidRPr="00AE5B3B">
        <w:rPr>
          <w:rFonts w:ascii="Arial" w:hAnsi="Arial" w:cs="Arial"/>
          <w:sz w:val="20"/>
          <w:szCs w:val="20"/>
          <w:lang w:eastAsia="en-ZA"/>
        </w:rPr>
        <w:t>memoranda of understanding (MoUs) signed with stakeholders in order to build safer communities</w:t>
      </w:r>
      <w:r w:rsidRPr="00AE5B3B">
        <w:rPr>
          <w:rFonts w:ascii="Arial" w:hAnsi="Arial" w:cs="Arial"/>
          <w:sz w:val="20"/>
          <w:szCs w:val="20"/>
          <w:lang w:eastAsia="en-ZA"/>
        </w:rPr>
        <w:t>: Target remain</w:t>
      </w:r>
      <w:r w:rsidR="00A87D8B" w:rsidRPr="00AE5B3B">
        <w:rPr>
          <w:rFonts w:ascii="Arial" w:hAnsi="Arial" w:cs="Arial"/>
          <w:sz w:val="20"/>
          <w:szCs w:val="20"/>
          <w:lang w:eastAsia="en-ZA"/>
        </w:rPr>
        <w:t>s unchanged at two MOUs for 2022</w:t>
      </w:r>
      <w:r w:rsidRPr="00AE5B3B">
        <w:rPr>
          <w:rFonts w:ascii="Arial" w:hAnsi="Arial" w:cs="Arial"/>
          <w:sz w:val="20"/>
          <w:szCs w:val="20"/>
          <w:lang w:eastAsia="en-ZA"/>
        </w:rPr>
        <w:t>/2</w:t>
      </w:r>
      <w:r w:rsidR="00A87D8B" w:rsidRPr="00AE5B3B">
        <w:rPr>
          <w:rFonts w:ascii="Arial" w:hAnsi="Arial" w:cs="Arial"/>
          <w:sz w:val="20"/>
          <w:szCs w:val="20"/>
          <w:lang w:eastAsia="en-ZA"/>
        </w:rPr>
        <w:t>3</w:t>
      </w:r>
      <w:r w:rsidRPr="00AE5B3B">
        <w:rPr>
          <w:rFonts w:ascii="Arial" w:hAnsi="Arial" w:cs="Arial"/>
          <w:sz w:val="20"/>
          <w:szCs w:val="20"/>
          <w:lang w:eastAsia="en-ZA"/>
        </w:rPr>
        <w:t>.</w:t>
      </w:r>
    </w:p>
    <w:p w:rsidR="008A2EEF" w:rsidRPr="00AE5B3B" w:rsidRDefault="00A87D8B"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MoUs implemented to build safer communities. The target is </w:t>
      </w:r>
      <w:r w:rsidRPr="00AE5B3B">
        <w:rPr>
          <w:rFonts w:ascii="Arial" w:hAnsi="Arial" w:cs="Arial"/>
          <w:sz w:val="20"/>
          <w:szCs w:val="20"/>
          <w:u w:val="single"/>
          <w:lang w:eastAsia="en-ZA"/>
        </w:rPr>
        <w:t>three MoUs</w:t>
      </w:r>
      <w:r w:rsidRPr="00AE5B3B">
        <w:rPr>
          <w:rFonts w:ascii="Arial" w:hAnsi="Arial" w:cs="Arial"/>
          <w:sz w:val="20"/>
          <w:szCs w:val="20"/>
          <w:lang w:eastAsia="en-ZA"/>
        </w:rPr>
        <w:t xml:space="preserve"> to be established in 2022/23 </w:t>
      </w:r>
      <w:r w:rsidRPr="00AE5B3B">
        <w:rPr>
          <w:rFonts w:ascii="Arial" w:hAnsi="Arial" w:cs="Arial"/>
          <w:b/>
          <w:i/>
          <w:sz w:val="20"/>
          <w:szCs w:val="20"/>
          <w:lang w:eastAsia="en-ZA"/>
        </w:rPr>
        <w:t>(New indicator).</w:t>
      </w:r>
      <w:r w:rsidRPr="00AE5B3B">
        <w:rPr>
          <w:rFonts w:ascii="Arial" w:hAnsi="Arial" w:cs="Arial"/>
          <w:sz w:val="20"/>
          <w:szCs w:val="20"/>
          <w:lang w:eastAsia="en-ZA"/>
        </w:rPr>
        <w:t xml:space="preserve"> </w:t>
      </w:r>
    </w:p>
    <w:p w:rsidR="00930B0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Number of</w:t>
      </w:r>
      <w:r w:rsidR="009446FE" w:rsidRPr="00AE5B3B">
        <w:rPr>
          <w:rFonts w:ascii="Arial" w:hAnsi="Arial" w:cs="Arial"/>
          <w:sz w:val="20"/>
          <w:szCs w:val="20"/>
          <w:lang w:eastAsia="en-ZA"/>
        </w:rPr>
        <w:t xml:space="preserve"> </w:t>
      </w:r>
      <w:r w:rsidR="00CD1F7F" w:rsidRPr="00AE5B3B">
        <w:rPr>
          <w:rFonts w:ascii="Arial" w:hAnsi="Arial" w:cs="Arial"/>
          <w:sz w:val="20"/>
          <w:szCs w:val="20"/>
          <w:lang w:eastAsia="en-ZA"/>
        </w:rPr>
        <w:t>workshops facilitated with Provincial Secretariats and municipalities on the establishment of Community Safety Forums (CSF</w:t>
      </w:r>
      <w:r w:rsidR="009446FE" w:rsidRPr="00AE5B3B">
        <w:rPr>
          <w:rFonts w:ascii="Arial" w:hAnsi="Arial" w:cs="Arial"/>
          <w:sz w:val="20"/>
          <w:szCs w:val="20"/>
          <w:lang w:eastAsia="en-ZA"/>
        </w:rPr>
        <w:t>s)</w:t>
      </w:r>
      <w:r w:rsidRPr="00AE5B3B">
        <w:rPr>
          <w:rFonts w:ascii="Arial" w:hAnsi="Arial" w:cs="Arial"/>
          <w:sz w:val="20"/>
          <w:szCs w:val="20"/>
          <w:lang w:eastAsia="en-ZA"/>
        </w:rPr>
        <w:t>: Target remains unchanged at nine workshops.</w:t>
      </w:r>
    </w:p>
    <w:p w:rsidR="00930B0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9446FE" w:rsidRPr="00AE5B3B">
        <w:rPr>
          <w:rFonts w:ascii="Arial" w:hAnsi="Arial" w:cs="Arial"/>
          <w:sz w:val="20"/>
          <w:szCs w:val="20"/>
          <w:lang w:eastAsia="en-ZA"/>
        </w:rPr>
        <w:t>provincial capacity-building sessions held on crim</w:t>
      </w:r>
      <w:r w:rsidRPr="00AE5B3B">
        <w:rPr>
          <w:rFonts w:ascii="Arial" w:hAnsi="Arial" w:cs="Arial"/>
          <w:sz w:val="20"/>
          <w:szCs w:val="20"/>
          <w:lang w:eastAsia="en-ZA"/>
        </w:rPr>
        <w:t xml:space="preserve">e prevention policies per year: Target remains unchanged at nine sessions. </w:t>
      </w:r>
    </w:p>
    <w:p w:rsidR="00930B0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9446FE" w:rsidRPr="00AE5B3B">
        <w:rPr>
          <w:rFonts w:ascii="Arial" w:hAnsi="Arial" w:cs="Arial"/>
          <w:sz w:val="20"/>
          <w:szCs w:val="20"/>
          <w:lang w:eastAsia="en-ZA"/>
        </w:rPr>
        <w:t>anti-crime campaigns conducted per year</w:t>
      </w:r>
      <w:r w:rsidRPr="00AE5B3B">
        <w:rPr>
          <w:rFonts w:ascii="Arial" w:hAnsi="Arial" w:cs="Arial"/>
          <w:sz w:val="20"/>
          <w:szCs w:val="20"/>
          <w:lang w:eastAsia="en-ZA"/>
        </w:rPr>
        <w:t>: Target remains unchanged at three campaigns</w:t>
      </w:r>
      <w:r w:rsidR="00A87D8B" w:rsidRPr="00AE5B3B">
        <w:rPr>
          <w:rFonts w:ascii="Arial" w:hAnsi="Arial" w:cs="Arial"/>
          <w:sz w:val="20"/>
          <w:szCs w:val="20"/>
          <w:lang w:eastAsia="en-ZA"/>
        </w:rPr>
        <w:t xml:space="preserve"> in 2022/23</w:t>
      </w:r>
      <w:r w:rsidR="00361F45" w:rsidRPr="00AE5B3B">
        <w:rPr>
          <w:rFonts w:ascii="Arial" w:hAnsi="Arial" w:cs="Arial"/>
          <w:sz w:val="20"/>
          <w:szCs w:val="20"/>
          <w:lang w:eastAsia="en-ZA"/>
        </w:rPr>
        <w:t>.</w:t>
      </w:r>
    </w:p>
    <w:p w:rsidR="00930B0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9446FE" w:rsidRPr="00AE5B3B">
        <w:rPr>
          <w:rFonts w:ascii="Arial" w:hAnsi="Arial" w:cs="Arial"/>
          <w:sz w:val="20"/>
          <w:szCs w:val="20"/>
          <w:lang w:eastAsia="en-ZA"/>
        </w:rPr>
        <w:t>monitoring reports on implementing Community Policing Forum (CPF) regulations/stan</w:t>
      </w:r>
      <w:r w:rsidRPr="00AE5B3B">
        <w:rPr>
          <w:rFonts w:ascii="Arial" w:hAnsi="Arial" w:cs="Arial"/>
          <w:sz w:val="20"/>
          <w:szCs w:val="20"/>
          <w:lang w:eastAsia="en-ZA"/>
        </w:rPr>
        <w:t>dards approved by the Secretary: Target remains unchanged at two reports.</w:t>
      </w:r>
    </w:p>
    <w:p w:rsidR="005D2D78" w:rsidRPr="00AE5B3B" w:rsidRDefault="00A87D8B"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Number of provincial CPF training workshops facilitated on the civilian oversight role of CPFs. The target for 2022/23 is nine workshops.</w:t>
      </w:r>
      <w:r w:rsidRPr="00AE5B3B">
        <w:rPr>
          <w:rFonts w:ascii="Arial" w:hAnsi="Arial" w:cs="Arial"/>
          <w:b/>
          <w:i/>
          <w:sz w:val="20"/>
          <w:szCs w:val="20"/>
          <w:lang w:eastAsia="en-ZA"/>
        </w:rPr>
        <w:t xml:space="preserve"> (New indicator).</w:t>
      </w:r>
      <w:r w:rsidRPr="00AE5B3B">
        <w:rPr>
          <w:rFonts w:ascii="Arial" w:hAnsi="Arial" w:cs="Arial"/>
          <w:sz w:val="20"/>
          <w:szCs w:val="20"/>
          <w:lang w:eastAsia="en-ZA"/>
        </w:rPr>
        <w:t xml:space="preserve">  </w:t>
      </w:r>
    </w:p>
    <w:p w:rsidR="009B5029" w:rsidRPr="00AE5B3B" w:rsidRDefault="009B5029" w:rsidP="00AE5B3B">
      <w:pPr>
        <w:spacing w:line="240" w:lineRule="auto"/>
        <w:jc w:val="left"/>
        <w:rPr>
          <w:rFonts w:ascii="Arial" w:hAnsi="Arial" w:cs="Arial"/>
          <w:b/>
          <w:sz w:val="20"/>
          <w:szCs w:val="20"/>
          <w:lang w:eastAsia="en-ZA"/>
        </w:rPr>
      </w:pPr>
    </w:p>
    <w:p w:rsidR="007F3473" w:rsidRPr="00AE5B3B" w:rsidRDefault="002377A5" w:rsidP="00AE5B3B">
      <w:pPr>
        <w:spacing w:line="240" w:lineRule="auto"/>
        <w:jc w:val="left"/>
        <w:rPr>
          <w:rFonts w:ascii="Arial" w:hAnsi="Arial" w:cs="Arial"/>
          <w:b/>
          <w:sz w:val="20"/>
          <w:szCs w:val="20"/>
          <w:lang w:eastAsia="en-ZA"/>
        </w:rPr>
      </w:pPr>
      <w:r w:rsidRPr="00AE5B3B">
        <w:rPr>
          <w:rFonts w:ascii="Arial" w:hAnsi="Arial" w:cs="Arial"/>
          <w:b/>
          <w:sz w:val="20"/>
          <w:szCs w:val="20"/>
          <w:lang w:eastAsia="en-ZA"/>
        </w:rPr>
        <w:t xml:space="preserve">Sub programme: Community Outreach </w:t>
      </w:r>
    </w:p>
    <w:p w:rsidR="00115F55" w:rsidRPr="00AE5B3B" w:rsidRDefault="00992F79"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Number of</w:t>
      </w:r>
      <w:r w:rsidR="00CA11CD" w:rsidRPr="00AE5B3B">
        <w:rPr>
          <w:rFonts w:ascii="Arial" w:hAnsi="Arial" w:cs="Arial"/>
          <w:sz w:val="20"/>
          <w:szCs w:val="20"/>
          <w:lang w:eastAsia="en-ZA"/>
        </w:rPr>
        <w:t xml:space="preserve"> </w:t>
      </w:r>
      <w:r w:rsidR="002377A5" w:rsidRPr="00AE5B3B">
        <w:rPr>
          <w:rFonts w:ascii="Arial" w:hAnsi="Arial" w:cs="Arial"/>
          <w:sz w:val="20"/>
          <w:szCs w:val="20"/>
          <w:lang w:eastAsia="en-ZA"/>
        </w:rPr>
        <w:t xml:space="preserve">izimbizo/public participation programmes held with communities to promote community </w:t>
      </w:r>
      <w:r w:rsidRPr="00AE5B3B">
        <w:rPr>
          <w:rFonts w:ascii="Arial" w:hAnsi="Arial" w:cs="Arial"/>
          <w:sz w:val="20"/>
          <w:szCs w:val="20"/>
          <w:lang w:eastAsia="en-ZA"/>
        </w:rPr>
        <w:t xml:space="preserve">safety: Target </w:t>
      </w:r>
      <w:r w:rsidR="00A87D8B" w:rsidRPr="00AE5B3B">
        <w:rPr>
          <w:rFonts w:ascii="Arial" w:hAnsi="Arial" w:cs="Arial"/>
          <w:sz w:val="20"/>
          <w:szCs w:val="20"/>
          <w:lang w:eastAsia="en-ZA"/>
        </w:rPr>
        <w:t xml:space="preserve">remains unchanged at </w:t>
      </w:r>
      <w:r w:rsidRPr="00AE5B3B">
        <w:rPr>
          <w:rFonts w:ascii="Arial" w:hAnsi="Arial" w:cs="Arial"/>
          <w:sz w:val="20"/>
          <w:szCs w:val="20"/>
          <w:lang w:eastAsia="en-ZA"/>
        </w:rPr>
        <w:t>eight in 202</w:t>
      </w:r>
      <w:r w:rsidR="00A87D8B" w:rsidRPr="00AE5B3B">
        <w:rPr>
          <w:rFonts w:ascii="Arial" w:hAnsi="Arial" w:cs="Arial"/>
          <w:sz w:val="20"/>
          <w:szCs w:val="20"/>
          <w:lang w:eastAsia="en-ZA"/>
        </w:rPr>
        <w:t>2</w:t>
      </w:r>
      <w:r w:rsidRPr="00AE5B3B">
        <w:rPr>
          <w:rFonts w:ascii="Arial" w:hAnsi="Arial" w:cs="Arial"/>
          <w:sz w:val="20"/>
          <w:szCs w:val="20"/>
          <w:lang w:eastAsia="en-ZA"/>
        </w:rPr>
        <w:t>/2</w:t>
      </w:r>
      <w:r w:rsidR="00A87D8B" w:rsidRPr="00AE5B3B">
        <w:rPr>
          <w:rFonts w:ascii="Arial" w:hAnsi="Arial" w:cs="Arial"/>
          <w:sz w:val="20"/>
          <w:szCs w:val="20"/>
          <w:lang w:eastAsia="en-ZA"/>
        </w:rPr>
        <w:t>3</w:t>
      </w:r>
      <w:r w:rsidRPr="00AE5B3B">
        <w:rPr>
          <w:rFonts w:ascii="Arial" w:hAnsi="Arial" w:cs="Arial"/>
          <w:sz w:val="20"/>
          <w:szCs w:val="20"/>
          <w:lang w:eastAsia="en-ZA"/>
        </w:rPr>
        <w:t>.</w:t>
      </w:r>
    </w:p>
    <w:p w:rsidR="005D2D78" w:rsidRPr="00AE5B3B" w:rsidRDefault="00A87D8B" w:rsidP="00AE5B3B">
      <w:pPr>
        <w:pStyle w:val="ListParagraph"/>
        <w:numPr>
          <w:ilvl w:val="0"/>
          <w:numId w:val="7"/>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response plans on the Izimbizo / public participation programmes held to promote community safety (feedback to communities). The target for 2022/23 is three response plans. </w:t>
      </w:r>
      <w:r w:rsidRPr="00AE5B3B">
        <w:rPr>
          <w:rFonts w:ascii="Arial" w:hAnsi="Arial" w:cs="Arial"/>
          <w:b/>
          <w:i/>
          <w:sz w:val="20"/>
          <w:szCs w:val="20"/>
          <w:lang w:eastAsia="en-ZA"/>
        </w:rPr>
        <w:t>(New indicator).</w:t>
      </w:r>
      <w:r w:rsidR="00992F79" w:rsidRPr="00AE5B3B">
        <w:rPr>
          <w:rFonts w:ascii="Arial" w:hAnsi="Arial" w:cs="Arial"/>
          <w:sz w:val="20"/>
          <w:szCs w:val="20"/>
          <w:lang w:eastAsia="en-ZA"/>
        </w:rPr>
        <w:t xml:space="preserve"> </w:t>
      </w:r>
    </w:p>
    <w:p w:rsidR="009446FE" w:rsidRPr="00AE5B3B" w:rsidRDefault="009446FE" w:rsidP="00AE5B3B">
      <w:pPr>
        <w:spacing w:line="240" w:lineRule="auto"/>
        <w:jc w:val="left"/>
        <w:rPr>
          <w:rFonts w:ascii="Arial" w:hAnsi="Arial" w:cs="Arial"/>
          <w:sz w:val="20"/>
          <w:szCs w:val="20"/>
        </w:rPr>
      </w:pPr>
    </w:p>
    <w:p w:rsidR="00C07B26" w:rsidRPr="00AE5B3B" w:rsidRDefault="00C07B26" w:rsidP="00AE5B3B">
      <w:pPr>
        <w:pStyle w:val="Heading2"/>
        <w:numPr>
          <w:ilvl w:val="1"/>
          <w:numId w:val="19"/>
        </w:numPr>
        <w:spacing w:before="0" w:line="240" w:lineRule="auto"/>
        <w:rPr>
          <w:rFonts w:ascii="Arial" w:hAnsi="Arial" w:cs="Arial"/>
          <w:sz w:val="20"/>
          <w:szCs w:val="20"/>
        </w:rPr>
      </w:pPr>
      <w:bookmarkStart w:id="15" w:name="_Toc100572320"/>
      <w:r w:rsidRPr="00AE5B3B">
        <w:rPr>
          <w:rFonts w:ascii="Arial" w:hAnsi="Arial" w:cs="Arial"/>
          <w:sz w:val="20"/>
          <w:szCs w:val="20"/>
        </w:rPr>
        <w:t>Programme 3: Legislation and Policy Development</w:t>
      </w:r>
      <w:bookmarkEnd w:id="15"/>
      <w:r w:rsidRPr="00AE5B3B">
        <w:rPr>
          <w:rFonts w:ascii="Arial" w:hAnsi="Arial" w:cs="Arial"/>
          <w:sz w:val="20"/>
          <w:szCs w:val="20"/>
        </w:rPr>
        <w:t xml:space="preserve"> </w:t>
      </w:r>
    </w:p>
    <w:p w:rsidR="0097278D" w:rsidRPr="00AE5B3B" w:rsidRDefault="0097278D" w:rsidP="00AE5B3B">
      <w:pPr>
        <w:spacing w:line="240" w:lineRule="auto"/>
        <w:jc w:val="left"/>
        <w:rPr>
          <w:rFonts w:ascii="Arial" w:hAnsi="Arial" w:cs="Arial"/>
          <w:sz w:val="20"/>
          <w:szCs w:val="20"/>
        </w:rPr>
      </w:pPr>
    </w:p>
    <w:p w:rsidR="002973B9" w:rsidRPr="00AE5B3B" w:rsidRDefault="002973B9" w:rsidP="00AE5B3B">
      <w:pPr>
        <w:spacing w:line="240" w:lineRule="auto"/>
        <w:jc w:val="left"/>
        <w:rPr>
          <w:rFonts w:ascii="Arial" w:hAnsi="Arial" w:cs="Arial"/>
          <w:sz w:val="20"/>
          <w:szCs w:val="20"/>
        </w:rPr>
      </w:pPr>
      <w:r w:rsidRPr="00AE5B3B">
        <w:rPr>
          <w:rFonts w:ascii="Arial" w:hAnsi="Arial" w:cs="Arial"/>
          <w:b/>
          <w:sz w:val="20"/>
          <w:szCs w:val="20"/>
        </w:rPr>
        <w:lastRenderedPageBreak/>
        <w:t xml:space="preserve">Programme purpose: </w:t>
      </w:r>
      <w:r w:rsidR="0097278D" w:rsidRPr="00AE5B3B">
        <w:rPr>
          <w:rFonts w:ascii="Arial" w:hAnsi="Arial" w:cs="Arial"/>
          <w:sz w:val="20"/>
          <w:szCs w:val="20"/>
        </w:rPr>
        <w:t xml:space="preserve">The purpose of the </w:t>
      </w:r>
      <w:r w:rsidR="0097278D" w:rsidRPr="00AE5B3B">
        <w:rPr>
          <w:rFonts w:ascii="Arial" w:hAnsi="Arial" w:cs="Arial"/>
          <w:i/>
          <w:sz w:val="20"/>
          <w:szCs w:val="20"/>
        </w:rPr>
        <w:t>Legislation and Policy Development</w:t>
      </w:r>
      <w:r w:rsidR="0097278D" w:rsidRPr="00AE5B3B">
        <w:rPr>
          <w:rFonts w:ascii="Arial" w:hAnsi="Arial" w:cs="Arial"/>
          <w:sz w:val="20"/>
          <w:szCs w:val="20"/>
        </w:rPr>
        <w:t xml:space="preserve"> Programme is to develop policy and legislation for the police sector and to conduct research on policing and crime. </w:t>
      </w:r>
    </w:p>
    <w:p w:rsidR="002973B9" w:rsidRPr="00AE5B3B" w:rsidRDefault="002973B9" w:rsidP="00AE5B3B">
      <w:pPr>
        <w:spacing w:line="240" w:lineRule="auto"/>
        <w:jc w:val="left"/>
        <w:rPr>
          <w:rFonts w:ascii="Arial" w:hAnsi="Arial" w:cs="Arial"/>
          <w:sz w:val="20"/>
          <w:szCs w:val="20"/>
        </w:rPr>
      </w:pPr>
    </w:p>
    <w:p w:rsidR="0097278D" w:rsidRPr="00AE5B3B" w:rsidRDefault="00FD7C9D" w:rsidP="00AE5B3B">
      <w:pPr>
        <w:spacing w:line="240" w:lineRule="auto"/>
        <w:jc w:val="left"/>
        <w:rPr>
          <w:rFonts w:ascii="Arial" w:hAnsi="Arial" w:cs="Arial"/>
          <w:sz w:val="20"/>
          <w:szCs w:val="20"/>
        </w:rPr>
      </w:pPr>
      <w:r w:rsidRPr="00AE5B3B">
        <w:rPr>
          <w:rFonts w:ascii="Arial" w:hAnsi="Arial" w:cs="Arial"/>
          <w:sz w:val="20"/>
          <w:szCs w:val="20"/>
        </w:rPr>
        <w:t>For the 202</w:t>
      </w:r>
      <w:r w:rsidR="00BA57B8" w:rsidRPr="00AE5B3B">
        <w:rPr>
          <w:rFonts w:ascii="Arial" w:hAnsi="Arial" w:cs="Arial"/>
          <w:sz w:val="20"/>
          <w:szCs w:val="20"/>
        </w:rPr>
        <w:t>2</w:t>
      </w:r>
      <w:r w:rsidRPr="00AE5B3B">
        <w:rPr>
          <w:rFonts w:ascii="Arial" w:hAnsi="Arial" w:cs="Arial"/>
          <w:sz w:val="20"/>
          <w:szCs w:val="20"/>
        </w:rPr>
        <w:t>/2</w:t>
      </w:r>
      <w:r w:rsidR="00BA57B8" w:rsidRPr="00AE5B3B">
        <w:rPr>
          <w:rFonts w:ascii="Arial" w:hAnsi="Arial" w:cs="Arial"/>
          <w:sz w:val="20"/>
          <w:szCs w:val="20"/>
        </w:rPr>
        <w:t>3</w:t>
      </w:r>
      <w:r w:rsidR="00603349" w:rsidRPr="00AE5B3B">
        <w:rPr>
          <w:rFonts w:ascii="Arial" w:hAnsi="Arial" w:cs="Arial"/>
          <w:sz w:val="20"/>
          <w:szCs w:val="20"/>
        </w:rPr>
        <w:t xml:space="preserve"> financial year, the </w:t>
      </w:r>
      <w:r w:rsidR="009F499A" w:rsidRPr="00AE5B3B">
        <w:rPr>
          <w:rFonts w:ascii="Arial" w:hAnsi="Arial" w:cs="Arial"/>
          <w:sz w:val="20"/>
          <w:szCs w:val="20"/>
        </w:rPr>
        <w:t xml:space="preserve">Programme identified four </w:t>
      </w:r>
      <w:r w:rsidR="00603349" w:rsidRPr="00AE5B3B">
        <w:rPr>
          <w:rFonts w:ascii="Arial" w:hAnsi="Arial" w:cs="Arial"/>
          <w:sz w:val="20"/>
          <w:szCs w:val="20"/>
        </w:rPr>
        <w:t xml:space="preserve">performance </w:t>
      </w:r>
      <w:r w:rsidR="009F499A" w:rsidRPr="00AE5B3B">
        <w:rPr>
          <w:rFonts w:ascii="Arial" w:hAnsi="Arial" w:cs="Arial"/>
          <w:sz w:val="20"/>
          <w:szCs w:val="20"/>
        </w:rPr>
        <w:t>indicators.</w:t>
      </w:r>
      <w:r w:rsidR="00BA57B8" w:rsidRPr="00AE5B3B">
        <w:rPr>
          <w:rFonts w:ascii="Arial" w:hAnsi="Arial" w:cs="Arial"/>
          <w:sz w:val="20"/>
          <w:szCs w:val="20"/>
        </w:rPr>
        <w:t xml:space="preserve"> The indicator to publish a newsletter on SaferSpaces web portal was replaced by a target to implement 100% of the Knowledge and Information Management Strategy (KIS). The Strategy was developed to support the implementation of an integrated knowledge-based approach towards violence and crime prevention advocated for by the 2016 White Paper on Safety and Security, and which will be actioned through the Integrated Crime and Violence Prevention Strategy. The Department will continue to use the SaferSpaces web portal as a knowledge sharing platform. </w:t>
      </w:r>
    </w:p>
    <w:p w:rsidR="00B31209" w:rsidRPr="00AE5B3B" w:rsidRDefault="00B31209" w:rsidP="00AE5B3B">
      <w:pPr>
        <w:spacing w:line="240" w:lineRule="auto"/>
        <w:jc w:val="left"/>
        <w:rPr>
          <w:rFonts w:ascii="Arial" w:hAnsi="Arial" w:cs="Arial"/>
          <w:b/>
          <w:sz w:val="20"/>
          <w:szCs w:val="20"/>
        </w:rPr>
      </w:pPr>
    </w:p>
    <w:p w:rsidR="002377A5" w:rsidRPr="00AE5B3B" w:rsidRDefault="002377A5" w:rsidP="00AE5B3B">
      <w:pPr>
        <w:spacing w:line="240" w:lineRule="auto"/>
        <w:jc w:val="left"/>
        <w:rPr>
          <w:rFonts w:ascii="Arial" w:hAnsi="Arial" w:cs="Arial"/>
          <w:b/>
          <w:sz w:val="20"/>
          <w:szCs w:val="20"/>
        </w:rPr>
      </w:pPr>
      <w:r w:rsidRPr="00AE5B3B">
        <w:rPr>
          <w:rFonts w:ascii="Arial" w:hAnsi="Arial" w:cs="Arial"/>
          <w:b/>
          <w:sz w:val="20"/>
          <w:szCs w:val="20"/>
        </w:rPr>
        <w:t xml:space="preserve">Sub programme: Policy Development and Research   </w:t>
      </w:r>
    </w:p>
    <w:p w:rsidR="00535894" w:rsidRPr="00AE5B3B" w:rsidRDefault="00366324" w:rsidP="00AE5B3B">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draft national policing polices </w:t>
      </w:r>
      <w:r w:rsidR="002377A5" w:rsidRPr="00AE5B3B">
        <w:rPr>
          <w:rFonts w:ascii="Arial" w:hAnsi="Arial" w:cs="Arial"/>
          <w:sz w:val="20"/>
          <w:szCs w:val="20"/>
          <w:lang w:eastAsia="en-ZA"/>
        </w:rPr>
        <w:t xml:space="preserve">submitted to the </w:t>
      </w:r>
      <w:r w:rsidRPr="00AE5B3B">
        <w:rPr>
          <w:rFonts w:ascii="Arial" w:hAnsi="Arial" w:cs="Arial"/>
          <w:sz w:val="20"/>
          <w:szCs w:val="20"/>
          <w:lang w:eastAsia="en-ZA"/>
        </w:rPr>
        <w:t xml:space="preserve">Secretary </w:t>
      </w:r>
      <w:r w:rsidR="002377A5" w:rsidRPr="00AE5B3B">
        <w:rPr>
          <w:rFonts w:ascii="Arial" w:hAnsi="Arial" w:cs="Arial"/>
          <w:sz w:val="20"/>
          <w:szCs w:val="20"/>
          <w:lang w:eastAsia="en-ZA"/>
        </w:rPr>
        <w:t>for approval per year</w:t>
      </w:r>
      <w:r w:rsidRPr="00AE5B3B">
        <w:rPr>
          <w:rFonts w:ascii="Arial" w:hAnsi="Arial" w:cs="Arial"/>
          <w:sz w:val="20"/>
          <w:szCs w:val="20"/>
          <w:lang w:eastAsia="en-ZA"/>
        </w:rPr>
        <w:t xml:space="preserve">: Target remains unchanged at one policy. </w:t>
      </w:r>
    </w:p>
    <w:p w:rsidR="00EC59DF" w:rsidRPr="00AE5B3B" w:rsidRDefault="00366324" w:rsidP="00AE5B3B">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2377A5" w:rsidRPr="00AE5B3B">
        <w:rPr>
          <w:rFonts w:ascii="Arial" w:hAnsi="Arial" w:cs="Arial"/>
          <w:sz w:val="20"/>
          <w:szCs w:val="20"/>
          <w:lang w:eastAsia="en-ZA"/>
        </w:rPr>
        <w:t>research report</w:t>
      </w:r>
      <w:r w:rsidRPr="00AE5B3B">
        <w:rPr>
          <w:rFonts w:ascii="Arial" w:hAnsi="Arial" w:cs="Arial"/>
          <w:sz w:val="20"/>
          <w:szCs w:val="20"/>
          <w:lang w:eastAsia="en-ZA"/>
        </w:rPr>
        <w:t>s</w:t>
      </w:r>
      <w:r w:rsidR="002377A5" w:rsidRPr="00AE5B3B">
        <w:rPr>
          <w:rFonts w:ascii="Arial" w:hAnsi="Arial" w:cs="Arial"/>
          <w:sz w:val="20"/>
          <w:szCs w:val="20"/>
          <w:lang w:eastAsia="en-ZA"/>
        </w:rPr>
        <w:t xml:space="preserve"> on policing approved by the Secretary per year</w:t>
      </w:r>
      <w:r w:rsidRPr="00AE5B3B">
        <w:rPr>
          <w:rFonts w:ascii="Arial" w:hAnsi="Arial" w:cs="Arial"/>
          <w:sz w:val="20"/>
          <w:szCs w:val="20"/>
          <w:lang w:eastAsia="en-ZA"/>
        </w:rPr>
        <w:t xml:space="preserve">: Target </w:t>
      </w:r>
      <w:r w:rsidR="00A87D8B" w:rsidRPr="00AE5B3B">
        <w:rPr>
          <w:rFonts w:ascii="Arial" w:hAnsi="Arial" w:cs="Arial"/>
          <w:sz w:val="20"/>
          <w:szCs w:val="20"/>
          <w:lang w:eastAsia="en-ZA"/>
        </w:rPr>
        <w:t>de</w:t>
      </w:r>
      <w:r w:rsidRPr="00AE5B3B">
        <w:rPr>
          <w:rFonts w:ascii="Arial" w:hAnsi="Arial" w:cs="Arial"/>
          <w:sz w:val="20"/>
          <w:szCs w:val="20"/>
          <w:lang w:eastAsia="en-ZA"/>
        </w:rPr>
        <w:t xml:space="preserve">creased from </w:t>
      </w:r>
      <w:r w:rsidR="00A87D8B" w:rsidRPr="00AE5B3B">
        <w:rPr>
          <w:rFonts w:ascii="Arial" w:hAnsi="Arial" w:cs="Arial"/>
          <w:sz w:val="20"/>
          <w:szCs w:val="20"/>
          <w:lang w:eastAsia="en-ZA"/>
        </w:rPr>
        <w:t>two</w:t>
      </w:r>
      <w:r w:rsidRPr="00AE5B3B">
        <w:rPr>
          <w:rFonts w:ascii="Arial" w:hAnsi="Arial" w:cs="Arial"/>
          <w:sz w:val="20"/>
          <w:szCs w:val="20"/>
          <w:lang w:eastAsia="en-ZA"/>
        </w:rPr>
        <w:t xml:space="preserve"> research report</w:t>
      </w:r>
      <w:r w:rsidR="00A87D8B" w:rsidRPr="00AE5B3B">
        <w:rPr>
          <w:rFonts w:ascii="Arial" w:hAnsi="Arial" w:cs="Arial"/>
          <w:sz w:val="20"/>
          <w:szCs w:val="20"/>
          <w:lang w:eastAsia="en-ZA"/>
        </w:rPr>
        <w:t>s</w:t>
      </w:r>
      <w:r w:rsidRPr="00AE5B3B">
        <w:rPr>
          <w:rFonts w:ascii="Arial" w:hAnsi="Arial" w:cs="Arial"/>
          <w:sz w:val="20"/>
          <w:szCs w:val="20"/>
          <w:lang w:eastAsia="en-ZA"/>
        </w:rPr>
        <w:t xml:space="preserve"> to </w:t>
      </w:r>
      <w:r w:rsidR="00A87D8B" w:rsidRPr="00AE5B3B">
        <w:rPr>
          <w:rFonts w:ascii="Arial" w:hAnsi="Arial" w:cs="Arial"/>
          <w:sz w:val="20"/>
          <w:szCs w:val="20"/>
          <w:lang w:eastAsia="en-ZA"/>
        </w:rPr>
        <w:t xml:space="preserve">one research </w:t>
      </w:r>
      <w:r w:rsidR="004955B6" w:rsidRPr="00AE5B3B">
        <w:rPr>
          <w:rFonts w:ascii="Arial" w:hAnsi="Arial" w:cs="Arial"/>
          <w:sz w:val="20"/>
          <w:szCs w:val="20"/>
          <w:lang w:eastAsia="en-ZA"/>
        </w:rPr>
        <w:t>report</w:t>
      </w:r>
      <w:r w:rsidRPr="00AE5B3B">
        <w:rPr>
          <w:rFonts w:ascii="Arial" w:hAnsi="Arial" w:cs="Arial"/>
          <w:sz w:val="20"/>
          <w:szCs w:val="20"/>
          <w:lang w:eastAsia="en-ZA"/>
        </w:rPr>
        <w:t xml:space="preserve">. </w:t>
      </w:r>
    </w:p>
    <w:p w:rsidR="00023275" w:rsidRPr="00AE5B3B" w:rsidRDefault="004955B6" w:rsidP="00AE5B3B">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Percentage implementation of Knowledge and Information Management Strategy. The 2022/23 target is 100% implementation. </w:t>
      </w:r>
      <w:r w:rsidRPr="00AE5B3B">
        <w:rPr>
          <w:rFonts w:ascii="Arial" w:hAnsi="Arial" w:cs="Arial"/>
          <w:b/>
          <w:i/>
          <w:sz w:val="20"/>
          <w:szCs w:val="20"/>
          <w:lang w:eastAsia="en-ZA"/>
        </w:rPr>
        <w:t>(New indicator).</w:t>
      </w:r>
    </w:p>
    <w:p w:rsidR="00366324" w:rsidRPr="00AE5B3B" w:rsidRDefault="00366324" w:rsidP="00AE5B3B">
      <w:pPr>
        <w:spacing w:line="240" w:lineRule="auto"/>
        <w:jc w:val="left"/>
        <w:rPr>
          <w:rFonts w:ascii="Arial" w:hAnsi="Arial" w:cs="Arial"/>
          <w:b/>
          <w:sz w:val="20"/>
          <w:szCs w:val="20"/>
        </w:rPr>
      </w:pPr>
    </w:p>
    <w:p w:rsidR="002377A5" w:rsidRPr="00AE5B3B" w:rsidRDefault="002377A5" w:rsidP="00AE5B3B">
      <w:pPr>
        <w:spacing w:line="240" w:lineRule="auto"/>
        <w:jc w:val="left"/>
        <w:rPr>
          <w:rFonts w:ascii="Arial" w:hAnsi="Arial" w:cs="Arial"/>
          <w:b/>
          <w:sz w:val="20"/>
          <w:szCs w:val="20"/>
          <w:lang w:eastAsia="en-ZA"/>
        </w:rPr>
      </w:pPr>
      <w:r w:rsidRPr="00AE5B3B">
        <w:rPr>
          <w:rFonts w:ascii="Arial" w:hAnsi="Arial" w:cs="Arial"/>
          <w:b/>
          <w:sz w:val="20"/>
          <w:szCs w:val="20"/>
          <w:lang w:eastAsia="en-ZA"/>
        </w:rPr>
        <w:t xml:space="preserve">Sub programme: Legislation </w:t>
      </w:r>
    </w:p>
    <w:p w:rsidR="00EC59DF" w:rsidRPr="00AE5B3B" w:rsidRDefault="00366324" w:rsidP="00AE5B3B">
      <w:pPr>
        <w:pStyle w:val="ListParagraph"/>
        <w:numPr>
          <w:ilvl w:val="0"/>
          <w:numId w:val="8"/>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2377A5" w:rsidRPr="00AE5B3B">
        <w:rPr>
          <w:rFonts w:ascii="Arial" w:hAnsi="Arial" w:cs="Arial"/>
          <w:sz w:val="20"/>
          <w:szCs w:val="20"/>
          <w:lang w:eastAsia="en-ZA"/>
        </w:rPr>
        <w:t xml:space="preserve">Bills submitted to the Minister for </w:t>
      </w:r>
      <w:r w:rsidR="00FD7C9D" w:rsidRPr="00AE5B3B">
        <w:rPr>
          <w:rFonts w:ascii="Arial" w:hAnsi="Arial" w:cs="Arial"/>
          <w:sz w:val="20"/>
          <w:szCs w:val="20"/>
          <w:lang w:eastAsia="en-ZA"/>
        </w:rPr>
        <w:t xml:space="preserve">Cabinet </w:t>
      </w:r>
      <w:r w:rsidR="002377A5" w:rsidRPr="00AE5B3B">
        <w:rPr>
          <w:rFonts w:ascii="Arial" w:hAnsi="Arial" w:cs="Arial"/>
          <w:sz w:val="20"/>
          <w:szCs w:val="20"/>
          <w:lang w:eastAsia="en-ZA"/>
        </w:rPr>
        <w:t>approval</w:t>
      </w:r>
      <w:r w:rsidR="00FD7C9D" w:rsidRPr="00AE5B3B">
        <w:rPr>
          <w:rFonts w:ascii="Arial" w:hAnsi="Arial" w:cs="Arial"/>
          <w:sz w:val="20"/>
          <w:szCs w:val="20"/>
          <w:lang w:eastAsia="en-ZA"/>
        </w:rPr>
        <w:t xml:space="preserve"> per year</w:t>
      </w:r>
      <w:r w:rsidRPr="00AE5B3B">
        <w:rPr>
          <w:rFonts w:ascii="Arial" w:hAnsi="Arial" w:cs="Arial"/>
          <w:sz w:val="20"/>
          <w:szCs w:val="20"/>
          <w:lang w:eastAsia="en-ZA"/>
        </w:rPr>
        <w:t xml:space="preserve">: Target remains unchanged at two bills. </w:t>
      </w:r>
      <w:r w:rsidR="001B689F" w:rsidRPr="00AE5B3B">
        <w:rPr>
          <w:rFonts w:ascii="Arial" w:hAnsi="Arial" w:cs="Arial"/>
          <w:sz w:val="20"/>
          <w:szCs w:val="20"/>
          <w:lang w:eastAsia="en-ZA"/>
        </w:rPr>
        <w:t xml:space="preserve"> </w:t>
      </w:r>
    </w:p>
    <w:p w:rsidR="00F72AB6" w:rsidRPr="00AE5B3B" w:rsidRDefault="00F72AB6" w:rsidP="00AE5B3B">
      <w:pPr>
        <w:spacing w:line="240" w:lineRule="auto"/>
        <w:jc w:val="left"/>
        <w:rPr>
          <w:rFonts w:ascii="Arial" w:hAnsi="Arial" w:cs="Arial"/>
          <w:sz w:val="20"/>
          <w:szCs w:val="20"/>
        </w:rPr>
      </w:pPr>
    </w:p>
    <w:p w:rsidR="00C07B26" w:rsidRPr="00AE5B3B" w:rsidRDefault="00C07B26" w:rsidP="00AE5B3B">
      <w:pPr>
        <w:pStyle w:val="Heading2"/>
        <w:numPr>
          <w:ilvl w:val="1"/>
          <w:numId w:val="19"/>
        </w:numPr>
        <w:spacing w:before="0" w:line="240" w:lineRule="auto"/>
        <w:rPr>
          <w:rFonts w:ascii="Arial" w:hAnsi="Arial" w:cs="Arial"/>
          <w:sz w:val="20"/>
          <w:szCs w:val="20"/>
        </w:rPr>
      </w:pPr>
      <w:bookmarkStart w:id="16" w:name="_Toc100572321"/>
      <w:r w:rsidRPr="00AE5B3B">
        <w:rPr>
          <w:rFonts w:ascii="Arial" w:hAnsi="Arial" w:cs="Arial"/>
          <w:sz w:val="20"/>
          <w:szCs w:val="20"/>
        </w:rPr>
        <w:t>Programme 4: Civilian Oversight, Monitoring and Evaluation</w:t>
      </w:r>
      <w:bookmarkEnd w:id="16"/>
      <w:r w:rsidRPr="00AE5B3B">
        <w:rPr>
          <w:rFonts w:ascii="Arial" w:hAnsi="Arial" w:cs="Arial"/>
          <w:sz w:val="20"/>
          <w:szCs w:val="20"/>
        </w:rPr>
        <w:t xml:space="preserve"> </w:t>
      </w:r>
    </w:p>
    <w:p w:rsidR="00792E07" w:rsidRPr="00AE5B3B" w:rsidRDefault="00792E07" w:rsidP="00AE5B3B">
      <w:pPr>
        <w:spacing w:line="240" w:lineRule="auto"/>
        <w:jc w:val="left"/>
        <w:rPr>
          <w:rFonts w:ascii="Arial" w:hAnsi="Arial" w:cs="Arial"/>
          <w:b/>
          <w:sz w:val="20"/>
          <w:szCs w:val="20"/>
        </w:rPr>
      </w:pPr>
    </w:p>
    <w:p w:rsidR="007D0C84" w:rsidRPr="00AE5B3B" w:rsidRDefault="00366324" w:rsidP="00AE5B3B">
      <w:pPr>
        <w:spacing w:line="240" w:lineRule="auto"/>
        <w:jc w:val="left"/>
        <w:rPr>
          <w:rFonts w:ascii="Arial" w:hAnsi="Arial" w:cs="Arial"/>
          <w:sz w:val="20"/>
          <w:szCs w:val="20"/>
        </w:rPr>
      </w:pPr>
      <w:r w:rsidRPr="00AE5B3B">
        <w:rPr>
          <w:rFonts w:ascii="Arial" w:hAnsi="Arial" w:cs="Arial"/>
          <w:b/>
          <w:sz w:val="20"/>
          <w:szCs w:val="20"/>
        </w:rPr>
        <w:t xml:space="preserve">Programme purpose: </w:t>
      </w:r>
      <w:r w:rsidR="00907A50" w:rsidRPr="00AE5B3B">
        <w:rPr>
          <w:rFonts w:ascii="Arial" w:hAnsi="Arial" w:cs="Arial"/>
          <w:sz w:val="20"/>
          <w:szCs w:val="20"/>
        </w:rPr>
        <w:t xml:space="preserve">The purpose of the </w:t>
      </w:r>
      <w:r w:rsidR="00907A50" w:rsidRPr="00AE5B3B">
        <w:rPr>
          <w:rFonts w:ascii="Arial" w:hAnsi="Arial" w:cs="Arial"/>
          <w:i/>
          <w:sz w:val="20"/>
          <w:szCs w:val="20"/>
        </w:rPr>
        <w:t>Civilian Oversight, Monitoring and Evaluation</w:t>
      </w:r>
      <w:r w:rsidR="00907A50" w:rsidRPr="00AE5B3B">
        <w:rPr>
          <w:rFonts w:ascii="Arial" w:hAnsi="Arial" w:cs="Arial"/>
          <w:sz w:val="20"/>
          <w:szCs w:val="20"/>
        </w:rPr>
        <w:t xml:space="preserve"> Programme is to oversee, monitor and report on the performance of the SAPS. </w:t>
      </w:r>
    </w:p>
    <w:p w:rsidR="007D0C84" w:rsidRPr="00AE5B3B" w:rsidRDefault="007D0C84" w:rsidP="00AE5B3B">
      <w:pPr>
        <w:spacing w:line="240" w:lineRule="auto"/>
        <w:jc w:val="left"/>
        <w:rPr>
          <w:rFonts w:ascii="Arial" w:hAnsi="Arial" w:cs="Arial"/>
          <w:sz w:val="20"/>
          <w:szCs w:val="20"/>
        </w:rPr>
      </w:pPr>
    </w:p>
    <w:p w:rsidR="00907A50" w:rsidRPr="00AE5B3B" w:rsidRDefault="00971F0A" w:rsidP="00AE5B3B">
      <w:pPr>
        <w:spacing w:line="240" w:lineRule="auto"/>
        <w:jc w:val="left"/>
        <w:rPr>
          <w:rFonts w:ascii="Arial" w:hAnsi="Arial" w:cs="Arial"/>
          <w:sz w:val="20"/>
          <w:szCs w:val="20"/>
        </w:rPr>
      </w:pPr>
      <w:r w:rsidRPr="00AE5B3B">
        <w:rPr>
          <w:rFonts w:ascii="Arial" w:hAnsi="Arial" w:cs="Arial"/>
          <w:sz w:val="20"/>
          <w:szCs w:val="20"/>
        </w:rPr>
        <w:t>For the 202</w:t>
      </w:r>
      <w:r w:rsidR="004955B6" w:rsidRPr="00AE5B3B">
        <w:rPr>
          <w:rFonts w:ascii="Arial" w:hAnsi="Arial" w:cs="Arial"/>
          <w:sz w:val="20"/>
          <w:szCs w:val="20"/>
        </w:rPr>
        <w:t>2</w:t>
      </w:r>
      <w:r w:rsidR="00603349" w:rsidRPr="00AE5B3B">
        <w:rPr>
          <w:rFonts w:ascii="Arial" w:hAnsi="Arial" w:cs="Arial"/>
          <w:sz w:val="20"/>
          <w:szCs w:val="20"/>
        </w:rPr>
        <w:t>/</w:t>
      </w:r>
      <w:r w:rsidRPr="00AE5B3B">
        <w:rPr>
          <w:rFonts w:ascii="Arial" w:hAnsi="Arial" w:cs="Arial"/>
          <w:sz w:val="20"/>
          <w:szCs w:val="20"/>
        </w:rPr>
        <w:t>2</w:t>
      </w:r>
      <w:r w:rsidR="004955B6" w:rsidRPr="00AE5B3B">
        <w:rPr>
          <w:rFonts w:ascii="Arial" w:hAnsi="Arial" w:cs="Arial"/>
          <w:sz w:val="20"/>
          <w:szCs w:val="20"/>
        </w:rPr>
        <w:t>3</w:t>
      </w:r>
      <w:r w:rsidR="00603349" w:rsidRPr="00AE5B3B">
        <w:rPr>
          <w:rFonts w:ascii="Arial" w:hAnsi="Arial" w:cs="Arial"/>
          <w:sz w:val="20"/>
          <w:szCs w:val="20"/>
        </w:rPr>
        <w:t xml:space="preserve"> financial year, the </w:t>
      </w:r>
      <w:r w:rsidR="00366324" w:rsidRPr="00AE5B3B">
        <w:rPr>
          <w:rFonts w:ascii="Arial" w:hAnsi="Arial" w:cs="Arial"/>
          <w:sz w:val="20"/>
          <w:szCs w:val="20"/>
        </w:rPr>
        <w:t>Programme identified 10</w:t>
      </w:r>
      <w:r w:rsidR="00603349" w:rsidRPr="00AE5B3B">
        <w:rPr>
          <w:rFonts w:ascii="Arial" w:hAnsi="Arial" w:cs="Arial"/>
          <w:sz w:val="20"/>
          <w:szCs w:val="20"/>
        </w:rPr>
        <w:t xml:space="preserve"> performance </w:t>
      </w:r>
      <w:r w:rsidR="00366324" w:rsidRPr="00AE5B3B">
        <w:rPr>
          <w:rFonts w:ascii="Arial" w:hAnsi="Arial" w:cs="Arial"/>
          <w:sz w:val="20"/>
          <w:szCs w:val="20"/>
        </w:rPr>
        <w:t>indicators</w:t>
      </w:r>
      <w:r w:rsidR="002F3B9E" w:rsidRPr="00AE5B3B">
        <w:rPr>
          <w:rFonts w:ascii="Arial" w:hAnsi="Arial" w:cs="Arial"/>
          <w:sz w:val="20"/>
          <w:szCs w:val="20"/>
        </w:rPr>
        <w:t>, of which all targets remain unchanged compared to the previous financial year</w:t>
      </w:r>
      <w:r w:rsidR="00366324" w:rsidRPr="00AE5B3B">
        <w:rPr>
          <w:rFonts w:ascii="Arial" w:hAnsi="Arial" w:cs="Arial"/>
          <w:sz w:val="20"/>
          <w:szCs w:val="20"/>
        </w:rPr>
        <w:t xml:space="preserve">. </w:t>
      </w:r>
    </w:p>
    <w:p w:rsidR="00535647" w:rsidRPr="00AE5B3B" w:rsidRDefault="00535647" w:rsidP="00AE5B3B">
      <w:pPr>
        <w:spacing w:line="240" w:lineRule="auto"/>
        <w:jc w:val="left"/>
        <w:rPr>
          <w:rFonts w:ascii="Arial" w:hAnsi="Arial" w:cs="Arial"/>
          <w:b/>
          <w:sz w:val="20"/>
          <w:szCs w:val="20"/>
        </w:rPr>
      </w:pPr>
    </w:p>
    <w:p w:rsidR="001D4ED0" w:rsidRPr="00AE5B3B" w:rsidRDefault="00535647" w:rsidP="00AE5B3B">
      <w:pPr>
        <w:spacing w:line="240" w:lineRule="auto"/>
        <w:jc w:val="left"/>
        <w:rPr>
          <w:rFonts w:ascii="Arial" w:hAnsi="Arial" w:cs="Arial"/>
          <w:b/>
          <w:sz w:val="20"/>
          <w:szCs w:val="20"/>
        </w:rPr>
      </w:pPr>
      <w:r w:rsidRPr="00AE5B3B">
        <w:rPr>
          <w:rFonts w:ascii="Arial" w:hAnsi="Arial" w:cs="Arial"/>
          <w:b/>
          <w:sz w:val="20"/>
          <w:szCs w:val="20"/>
        </w:rPr>
        <w:t xml:space="preserve">Sub programme: Police Performance, Conduct and Compliance Monitoring  </w:t>
      </w:r>
    </w:p>
    <w:p w:rsidR="00683255" w:rsidRPr="00AE5B3B" w:rsidRDefault="00683255" w:rsidP="00AE5B3B">
      <w:pPr>
        <w:spacing w:line="240" w:lineRule="auto"/>
        <w:jc w:val="left"/>
        <w:rPr>
          <w:rFonts w:ascii="Arial" w:hAnsi="Arial" w:cs="Arial"/>
          <w:b/>
          <w:sz w:val="20"/>
          <w:szCs w:val="20"/>
        </w:rPr>
      </w:pPr>
    </w:p>
    <w:p w:rsidR="007669F6" w:rsidRPr="00AE5B3B" w:rsidRDefault="003A196A" w:rsidP="00AE5B3B">
      <w:pPr>
        <w:pStyle w:val="ListParagraph"/>
        <w:numPr>
          <w:ilvl w:val="0"/>
          <w:numId w:val="9"/>
        </w:numPr>
        <w:spacing w:line="240" w:lineRule="auto"/>
        <w:jc w:val="left"/>
        <w:rPr>
          <w:rFonts w:ascii="Arial" w:hAnsi="Arial" w:cs="Arial"/>
          <w:sz w:val="20"/>
          <w:szCs w:val="20"/>
        </w:rPr>
      </w:pPr>
      <w:r w:rsidRPr="00AE5B3B">
        <w:rPr>
          <w:rFonts w:ascii="Arial" w:hAnsi="Arial" w:cs="Arial"/>
          <w:sz w:val="20"/>
          <w:szCs w:val="20"/>
          <w:lang w:eastAsia="en-ZA"/>
        </w:rPr>
        <w:t>Number of</w:t>
      </w:r>
      <w:r w:rsidR="00535647" w:rsidRPr="00AE5B3B">
        <w:rPr>
          <w:rFonts w:ascii="Arial" w:hAnsi="Arial" w:cs="Arial"/>
          <w:sz w:val="20"/>
          <w:szCs w:val="20"/>
          <w:lang w:eastAsia="en-ZA"/>
        </w:rPr>
        <w:t xml:space="preserve"> </w:t>
      </w:r>
      <w:r w:rsidR="00436472" w:rsidRPr="00AE5B3B">
        <w:rPr>
          <w:rFonts w:ascii="Arial" w:hAnsi="Arial" w:cs="Arial"/>
          <w:sz w:val="20"/>
          <w:szCs w:val="20"/>
          <w:lang w:eastAsia="en-ZA"/>
        </w:rPr>
        <w:t>Police O</w:t>
      </w:r>
      <w:r w:rsidR="00535647" w:rsidRPr="00AE5B3B">
        <w:rPr>
          <w:rFonts w:ascii="Arial" w:hAnsi="Arial" w:cs="Arial"/>
          <w:sz w:val="20"/>
          <w:szCs w:val="20"/>
          <w:lang w:eastAsia="en-ZA"/>
        </w:rPr>
        <w:t xml:space="preserve">versight </w:t>
      </w:r>
      <w:r w:rsidR="00436472" w:rsidRPr="00AE5B3B">
        <w:rPr>
          <w:rFonts w:ascii="Arial" w:hAnsi="Arial" w:cs="Arial"/>
          <w:sz w:val="20"/>
          <w:szCs w:val="20"/>
          <w:lang w:eastAsia="en-ZA"/>
        </w:rPr>
        <w:t>Report</w:t>
      </w:r>
      <w:r w:rsidR="005A4D97" w:rsidRPr="00AE5B3B">
        <w:rPr>
          <w:rFonts w:ascii="Arial" w:hAnsi="Arial" w:cs="Arial"/>
          <w:sz w:val="20"/>
          <w:szCs w:val="20"/>
          <w:lang w:eastAsia="en-ZA"/>
        </w:rPr>
        <w:t>s</w:t>
      </w:r>
      <w:r w:rsidR="00436472" w:rsidRPr="00AE5B3B">
        <w:rPr>
          <w:rFonts w:ascii="Arial" w:hAnsi="Arial" w:cs="Arial"/>
          <w:sz w:val="20"/>
          <w:szCs w:val="20"/>
          <w:lang w:eastAsia="en-ZA"/>
        </w:rPr>
        <w:t xml:space="preserve"> approved by the Secretary</w:t>
      </w:r>
      <w:r w:rsidRPr="00AE5B3B">
        <w:rPr>
          <w:rFonts w:ascii="Arial" w:hAnsi="Arial" w:cs="Arial"/>
          <w:sz w:val="20"/>
          <w:szCs w:val="20"/>
          <w:lang w:eastAsia="en-ZA"/>
        </w:rPr>
        <w:t>: T</w:t>
      </w:r>
      <w:r w:rsidR="001B5A0E" w:rsidRPr="00AE5B3B">
        <w:rPr>
          <w:rFonts w:ascii="Arial" w:hAnsi="Arial" w:cs="Arial"/>
          <w:sz w:val="20"/>
          <w:szCs w:val="20"/>
          <w:lang w:eastAsia="en-ZA"/>
        </w:rPr>
        <w:t xml:space="preserve">arget </w:t>
      </w:r>
      <w:r w:rsidR="004955B6" w:rsidRPr="00AE5B3B">
        <w:rPr>
          <w:rFonts w:ascii="Arial" w:hAnsi="Arial" w:cs="Arial"/>
          <w:sz w:val="20"/>
          <w:szCs w:val="20"/>
          <w:lang w:eastAsia="en-ZA"/>
        </w:rPr>
        <w:t xml:space="preserve">remains unchanged at </w:t>
      </w:r>
      <w:r w:rsidRPr="00AE5B3B">
        <w:rPr>
          <w:rFonts w:ascii="Arial" w:hAnsi="Arial" w:cs="Arial"/>
          <w:sz w:val="20"/>
          <w:szCs w:val="20"/>
          <w:lang w:eastAsia="en-ZA"/>
        </w:rPr>
        <w:t>three in 202</w:t>
      </w:r>
      <w:r w:rsidR="004955B6" w:rsidRPr="00AE5B3B">
        <w:rPr>
          <w:rFonts w:ascii="Arial" w:hAnsi="Arial" w:cs="Arial"/>
          <w:sz w:val="20"/>
          <w:szCs w:val="20"/>
          <w:lang w:eastAsia="en-ZA"/>
        </w:rPr>
        <w:t>2</w:t>
      </w:r>
      <w:r w:rsidRPr="00AE5B3B">
        <w:rPr>
          <w:rFonts w:ascii="Arial" w:hAnsi="Arial" w:cs="Arial"/>
          <w:sz w:val="20"/>
          <w:szCs w:val="20"/>
          <w:lang w:eastAsia="en-ZA"/>
        </w:rPr>
        <w:t>/2</w:t>
      </w:r>
      <w:r w:rsidR="004955B6" w:rsidRPr="00AE5B3B">
        <w:rPr>
          <w:rFonts w:ascii="Arial" w:hAnsi="Arial" w:cs="Arial"/>
          <w:sz w:val="20"/>
          <w:szCs w:val="20"/>
          <w:lang w:eastAsia="en-ZA"/>
        </w:rPr>
        <w:t>3</w:t>
      </w:r>
      <w:r w:rsidRPr="00AE5B3B">
        <w:rPr>
          <w:rFonts w:ascii="Arial" w:hAnsi="Arial" w:cs="Arial"/>
          <w:sz w:val="20"/>
          <w:szCs w:val="20"/>
          <w:lang w:eastAsia="en-ZA"/>
        </w:rPr>
        <w:t>.</w:t>
      </w:r>
      <w:r w:rsidR="00436472" w:rsidRPr="00AE5B3B">
        <w:rPr>
          <w:rFonts w:ascii="Arial" w:hAnsi="Arial" w:cs="Arial"/>
          <w:sz w:val="20"/>
          <w:szCs w:val="20"/>
          <w:lang w:eastAsia="en-ZA"/>
        </w:rPr>
        <w:t xml:space="preserve">  </w:t>
      </w:r>
    </w:p>
    <w:p w:rsidR="007669F6" w:rsidRPr="00AE5B3B" w:rsidRDefault="003A196A" w:rsidP="00AE5B3B">
      <w:pPr>
        <w:pStyle w:val="ListParagraph"/>
        <w:numPr>
          <w:ilvl w:val="0"/>
          <w:numId w:val="9"/>
        </w:numPr>
        <w:spacing w:line="240" w:lineRule="auto"/>
        <w:jc w:val="left"/>
        <w:rPr>
          <w:rFonts w:ascii="Arial" w:hAnsi="Arial" w:cs="Arial"/>
          <w:sz w:val="20"/>
          <w:szCs w:val="20"/>
        </w:rPr>
      </w:pPr>
      <w:r w:rsidRPr="00AE5B3B">
        <w:rPr>
          <w:rFonts w:ascii="Arial" w:hAnsi="Arial" w:cs="Arial"/>
          <w:sz w:val="20"/>
          <w:szCs w:val="20"/>
          <w:lang w:eastAsia="en-ZA"/>
        </w:rPr>
        <w:t>Number of</w:t>
      </w:r>
      <w:r w:rsidR="00535647" w:rsidRPr="00AE5B3B">
        <w:rPr>
          <w:rFonts w:ascii="Arial" w:hAnsi="Arial" w:cs="Arial"/>
          <w:sz w:val="20"/>
          <w:szCs w:val="20"/>
          <w:lang w:eastAsia="en-ZA"/>
        </w:rPr>
        <w:t xml:space="preserve"> SAPS Budget and Programme Performance </w:t>
      </w:r>
      <w:r w:rsidR="00436472" w:rsidRPr="00AE5B3B">
        <w:rPr>
          <w:rFonts w:ascii="Arial" w:hAnsi="Arial" w:cs="Arial"/>
          <w:sz w:val="20"/>
          <w:szCs w:val="20"/>
          <w:lang w:eastAsia="en-ZA"/>
        </w:rPr>
        <w:t>Assessment Report</w:t>
      </w:r>
      <w:r w:rsidR="005A4D97" w:rsidRPr="00AE5B3B">
        <w:rPr>
          <w:rFonts w:ascii="Arial" w:hAnsi="Arial" w:cs="Arial"/>
          <w:sz w:val="20"/>
          <w:szCs w:val="20"/>
          <w:lang w:eastAsia="en-ZA"/>
        </w:rPr>
        <w:t>s</w:t>
      </w:r>
      <w:r w:rsidR="00535647" w:rsidRPr="00AE5B3B">
        <w:rPr>
          <w:rFonts w:ascii="Arial" w:hAnsi="Arial" w:cs="Arial"/>
          <w:sz w:val="20"/>
          <w:szCs w:val="20"/>
          <w:lang w:eastAsia="en-ZA"/>
        </w:rPr>
        <w:t xml:space="preserve"> approved by the Secretary for Police Service per year</w:t>
      </w:r>
      <w:r w:rsidRPr="00AE5B3B">
        <w:rPr>
          <w:rFonts w:ascii="Arial" w:hAnsi="Arial" w:cs="Arial"/>
          <w:sz w:val="20"/>
          <w:szCs w:val="20"/>
          <w:lang w:eastAsia="en-ZA"/>
        </w:rPr>
        <w:t>: Target remains unchanged at one report</w:t>
      </w:r>
      <w:r w:rsidR="00436472" w:rsidRPr="00AE5B3B">
        <w:rPr>
          <w:rFonts w:ascii="Arial" w:hAnsi="Arial" w:cs="Arial"/>
          <w:sz w:val="20"/>
          <w:szCs w:val="20"/>
          <w:lang w:eastAsia="en-ZA"/>
        </w:rPr>
        <w:t>.</w:t>
      </w:r>
    </w:p>
    <w:p w:rsidR="007669F6" w:rsidRPr="00AE5B3B" w:rsidRDefault="003A196A" w:rsidP="00AE5B3B">
      <w:pPr>
        <w:pStyle w:val="ListParagraph"/>
        <w:numPr>
          <w:ilvl w:val="0"/>
          <w:numId w:val="9"/>
        </w:numPr>
        <w:spacing w:line="240" w:lineRule="auto"/>
        <w:jc w:val="left"/>
        <w:rPr>
          <w:rFonts w:ascii="Arial" w:hAnsi="Arial" w:cs="Arial"/>
          <w:sz w:val="20"/>
          <w:szCs w:val="20"/>
        </w:rPr>
      </w:pPr>
      <w:r w:rsidRPr="00AE5B3B">
        <w:rPr>
          <w:rFonts w:ascii="Arial" w:hAnsi="Arial" w:cs="Arial"/>
          <w:sz w:val="20"/>
          <w:szCs w:val="20"/>
          <w:lang w:eastAsia="en-ZA"/>
        </w:rPr>
        <w:t>Number of</w:t>
      </w:r>
      <w:r w:rsidR="00535647" w:rsidRPr="00AE5B3B">
        <w:rPr>
          <w:rFonts w:ascii="Arial" w:hAnsi="Arial" w:cs="Arial"/>
          <w:sz w:val="20"/>
          <w:szCs w:val="20"/>
          <w:lang w:eastAsia="en-ZA"/>
        </w:rPr>
        <w:t xml:space="preserve"> Assessments Reports on Complaints Management approved by the Secretary for Police Service per year</w:t>
      </w:r>
      <w:r w:rsidRPr="00AE5B3B">
        <w:rPr>
          <w:rFonts w:ascii="Arial" w:hAnsi="Arial" w:cs="Arial"/>
          <w:sz w:val="20"/>
          <w:szCs w:val="20"/>
          <w:lang w:eastAsia="en-ZA"/>
        </w:rPr>
        <w:t>: Target remains unchanged at two reports.</w:t>
      </w:r>
    </w:p>
    <w:p w:rsidR="00757C4D" w:rsidRPr="00AE5B3B" w:rsidRDefault="003A196A" w:rsidP="00AE5B3B">
      <w:pPr>
        <w:pStyle w:val="ListParagraph"/>
        <w:numPr>
          <w:ilvl w:val="0"/>
          <w:numId w:val="9"/>
        </w:numPr>
        <w:spacing w:line="240" w:lineRule="auto"/>
        <w:jc w:val="left"/>
        <w:rPr>
          <w:rFonts w:ascii="Arial" w:hAnsi="Arial" w:cs="Arial"/>
          <w:sz w:val="20"/>
          <w:szCs w:val="20"/>
        </w:rPr>
      </w:pPr>
      <w:r w:rsidRPr="00AE5B3B">
        <w:rPr>
          <w:rFonts w:ascii="Arial" w:hAnsi="Arial" w:cs="Arial"/>
          <w:sz w:val="20"/>
          <w:szCs w:val="20"/>
          <w:lang w:eastAsia="en-ZA"/>
        </w:rPr>
        <w:t>Number</w:t>
      </w:r>
      <w:r w:rsidR="00FB0102" w:rsidRPr="00AE5B3B">
        <w:rPr>
          <w:rFonts w:ascii="Arial" w:hAnsi="Arial" w:cs="Arial"/>
          <w:sz w:val="20"/>
          <w:szCs w:val="20"/>
          <w:lang w:eastAsia="en-ZA"/>
        </w:rPr>
        <w:t xml:space="preserve"> </w:t>
      </w:r>
      <w:r w:rsidR="00535647" w:rsidRPr="00AE5B3B">
        <w:rPr>
          <w:rFonts w:ascii="Arial" w:hAnsi="Arial" w:cs="Arial"/>
          <w:sz w:val="20"/>
          <w:szCs w:val="20"/>
          <w:lang w:eastAsia="en-ZA"/>
        </w:rPr>
        <w:t>reports on SAPS Implementation of IPID Recommendations approved by the Secretary for Police Service per year</w:t>
      </w:r>
      <w:r w:rsidRPr="00AE5B3B">
        <w:rPr>
          <w:rFonts w:ascii="Arial" w:hAnsi="Arial" w:cs="Arial"/>
          <w:sz w:val="20"/>
          <w:szCs w:val="20"/>
          <w:lang w:eastAsia="en-ZA"/>
        </w:rPr>
        <w:t>: Target remains unchanged at two reports.</w:t>
      </w:r>
    </w:p>
    <w:p w:rsidR="007669F6" w:rsidRPr="00AE5B3B" w:rsidRDefault="003A196A" w:rsidP="00AE5B3B">
      <w:pPr>
        <w:pStyle w:val="ListParagraph"/>
        <w:numPr>
          <w:ilvl w:val="0"/>
          <w:numId w:val="9"/>
        </w:numPr>
        <w:spacing w:line="240" w:lineRule="auto"/>
        <w:jc w:val="left"/>
        <w:rPr>
          <w:rFonts w:ascii="Arial" w:hAnsi="Arial" w:cs="Arial"/>
          <w:sz w:val="20"/>
          <w:szCs w:val="20"/>
        </w:rPr>
      </w:pPr>
      <w:r w:rsidRPr="00AE5B3B">
        <w:rPr>
          <w:rFonts w:ascii="Arial" w:hAnsi="Arial" w:cs="Arial"/>
          <w:sz w:val="20"/>
          <w:szCs w:val="20"/>
          <w:lang w:eastAsia="en-ZA"/>
        </w:rPr>
        <w:t>Number of</w:t>
      </w:r>
      <w:r w:rsidR="00535647" w:rsidRPr="00AE5B3B">
        <w:rPr>
          <w:rFonts w:ascii="Arial" w:hAnsi="Arial" w:cs="Arial"/>
          <w:sz w:val="20"/>
          <w:szCs w:val="20"/>
          <w:lang w:eastAsia="en-ZA"/>
        </w:rPr>
        <w:t xml:space="preserve"> Compliance Monitoring Reports on the implementation of the Domestic Violence Act</w:t>
      </w:r>
      <w:r w:rsidR="00FB0102" w:rsidRPr="00AE5B3B">
        <w:rPr>
          <w:rFonts w:ascii="Arial" w:hAnsi="Arial" w:cs="Arial"/>
          <w:sz w:val="20"/>
          <w:szCs w:val="20"/>
          <w:lang w:eastAsia="en-ZA"/>
        </w:rPr>
        <w:t>, 1998</w:t>
      </w:r>
      <w:r w:rsidR="00535647" w:rsidRPr="00AE5B3B">
        <w:rPr>
          <w:rFonts w:ascii="Arial" w:hAnsi="Arial" w:cs="Arial"/>
          <w:sz w:val="20"/>
          <w:szCs w:val="20"/>
          <w:lang w:eastAsia="en-ZA"/>
        </w:rPr>
        <w:t xml:space="preserve"> by SAPS approved by the Secretary for Police Service per year</w:t>
      </w:r>
      <w:r w:rsidRPr="00AE5B3B">
        <w:rPr>
          <w:rFonts w:ascii="Arial" w:hAnsi="Arial" w:cs="Arial"/>
          <w:sz w:val="20"/>
          <w:szCs w:val="20"/>
          <w:lang w:eastAsia="en-ZA"/>
        </w:rPr>
        <w:t>: Target remains unchanged at two reports.</w:t>
      </w:r>
    </w:p>
    <w:p w:rsidR="007669F6" w:rsidRPr="00AE5B3B" w:rsidRDefault="003A196A" w:rsidP="00AE5B3B">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w:t>
      </w:r>
      <w:r w:rsidR="00535647" w:rsidRPr="00AE5B3B">
        <w:rPr>
          <w:rFonts w:ascii="Arial" w:hAnsi="Arial" w:cs="Arial"/>
          <w:sz w:val="20"/>
          <w:szCs w:val="20"/>
          <w:lang w:eastAsia="en-ZA"/>
        </w:rPr>
        <w:t>report</w:t>
      </w:r>
      <w:r w:rsidR="005A4D97" w:rsidRPr="00AE5B3B">
        <w:rPr>
          <w:rFonts w:ascii="Arial" w:hAnsi="Arial" w:cs="Arial"/>
          <w:sz w:val="20"/>
          <w:szCs w:val="20"/>
          <w:lang w:eastAsia="en-ZA"/>
        </w:rPr>
        <w:t>s</w:t>
      </w:r>
      <w:r w:rsidR="00535647" w:rsidRPr="00AE5B3B">
        <w:rPr>
          <w:rFonts w:ascii="Arial" w:hAnsi="Arial" w:cs="Arial"/>
          <w:sz w:val="20"/>
          <w:szCs w:val="20"/>
          <w:lang w:eastAsia="en-ZA"/>
        </w:rPr>
        <w:t xml:space="preserve"> on the implementation and compliance to legislation </w:t>
      </w:r>
      <w:r w:rsidR="00143B2D" w:rsidRPr="00AE5B3B">
        <w:rPr>
          <w:rFonts w:ascii="Arial" w:hAnsi="Arial" w:cs="Arial"/>
          <w:sz w:val="20"/>
          <w:szCs w:val="20"/>
          <w:lang w:eastAsia="en-ZA"/>
        </w:rPr>
        <w:t xml:space="preserve">and policies </w:t>
      </w:r>
      <w:r w:rsidRPr="00AE5B3B">
        <w:rPr>
          <w:rFonts w:ascii="Arial" w:hAnsi="Arial" w:cs="Arial"/>
          <w:sz w:val="20"/>
          <w:szCs w:val="20"/>
          <w:lang w:eastAsia="en-ZA"/>
        </w:rPr>
        <w:t>approved by the Secretary: Target</w:t>
      </w:r>
      <w:r w:rsidR="002F3B9E" w:rsidRPr="00AE5B3B">
        <w:rPr>
          <w:rFonts w:ascii="Arial" w:hAnsi="Arial" w:cs="Arial"/>
          <w:sz w:val="20"/>
          <w:szCs w:val="20"/>
          <w:lang w:eastAsia="en-ZA"/>
        </w:rPr>
        <w:t xml:space="preserve"> remains unchanged at </w:t>
      </w:r>
      <w:r w:rsidRPr="00AE5B3B">
        <w:rPr>
          <w:rFonts w:ascii="Arial" w:hAnsi="Arial" w:cs="Arial"/>
          <w:sz w:val="20"/>
          <w:szCs w:val="20"/>
          <w:lang w:eastAsia="en-ZA"/>
        </w:rPr>
        <w:t xml:space="preserve">two reports. </w:t>
      </w:r>
    </w:p>
    <w:p w:rsidR="007669F6" w:rsidRPr="00AE5B3B" w:rsidRDefault="004F620C" w:rsidP="00AE5B3B">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assessment reports in police conduct and integrity approved by the Secretary per year: Target remains unchanged at one report. </w:t>
      </w:r>
    </w:p>
    <w:p w:rsidR="008106AE" w:rsidRPr="00AE5B3B" w:rsidRDefault="003A196A" w:rsidP="00AE5B3B">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Number of</w:t>
      </w:r>
      <w:r w:rsidR="00AF6009" w:rsidRPr="00AE5B3B">
        <w:rPr>
          <w:rFonts w:ascii="Arial" w:hAnsi="Arial" w:cs="Arial"/>
          <w:sz w:val="20"/>
          <w:szCs w:val="20"/>
          <w:lang w:eastAsia="en-ZA"/>
        </w:rPr>
        <w:t xml:space="preserve"> reports on the functioning of the National Forensic</w:t>
      </w:r>
      <w:r w:rsidR="004643AD" w:rsidRPr="00AE5B3B">
        <w:rPr>
          <w:rFonts w:ascii="Arial" w:hAnsi="Arial" w:cs="Arial"/>
          <w:sz w:val="20"/>
          <w:szCs w:val="20"/>
          <w:lang w:eastAsia="en-ZA"/>
        </w:rPr>
        <w:t xml:space="preserve"> DNA Database assessed per year</w:t>
      </w:r>
      <w:r w:rsidRPr="00AE5B3B">
        <w:rPr>
          <w:rFonts w:ascii="Arial" w:hAnsi="Arial" w:cs="Arial"/>
          <w:sz w:val="20"/>
          <w:szCs w:val="20"/>
          <w:lang w:eastAsia="en-ZA"/>
        </w:rPr>
        <w:t xml:space="preserve">: Target remains unchanged at four reports. </w:t>
      </w:r>
      <w:r w:rsidR="00AF6009" w:rsidRPr="00AE5B3B">
        <w:rPr>
          <w:rFonts w:ascii="Arial" w:hAnsi="Arial" w:cs="Arial"/>
          <w:sz w:val="20"/>
          <w:szCs w:val="20"/>
          <w:lang w:eastAsia="en-ZA"/>
        </w:rPr>
        <w:t xml:space="preserve"> </w:t>
      </w:r>
    </w:p>
    <w:p w:rsidR="00361F45" w:rsidRPr="00AE5B3B" w:rsidRDefault="00361F45" w:rsidP="00AE5B3B">
      <w:pPr>
        <w:autoSpaceDE w:val="0"/>
        <w:autoSpaceDN w:val="0"/>
        <w:adjustRightInd w:val="0"/>
        <w:spacing w:line="240" w:lineRule="auto"/>
        <w:jc w:val="left"/>
        <w:rPr>
          <w:rFonts w:ascii="Arial" w:hAnsi="Arial" w:cs="Arial"/>
          <w:sz w:val="20"/>
          <w:szCs w:val="20"/>
          <w:lang w:eastAsia="en-ZA"/>
        </w:rPr>
      </w:pPr>
    </w:p>
    <w:p w:rsidR="00143B2D" w:rsidRPr="00AE5B3B" w:rsidRDefault="00143B2D" w:rsidP="00AE5B3B">
      <w:pPr>
        <w:autoSpaceDE w:val="0"/>
        <w:autoSpaceDN w:val="0"/>
        <w:adjustRightInd w:val="0"/>
        <w:spacing w:line="240" w:lineRule="auto"/>
        <w:jc w:val="left"/>
        <w:rPr>
          <w:rFonts w:ascii="Arial" w:hAnsi="Arial" w:cs="Arial"/>
          <w:b/>
          <w:sz w:val="20"/>
          <w:szCs w:val="20"/>
          <w:lang w:eastAsia="en-ZA"/>
        </w:rPr>
      </w:pPr>
      <w:r w:rsidRPr="00AE5B3B">
        <w:rPr>
          <w:rFonts w:ascii="Arial" w:hAnsi="Arial" w:cs="Arial"/>
          <w:b/>
          <w:sz w:val="20"/>
          <w:szCs w:val="20"/>
          <w:lang w:eastAsia="en-ZA"/>
        </w:rPr>
        <w:t xml:space="preserve">Sub programme: Policy and Programme Evaluations  </w:t>
      </w:r>
    </w:p>
    <w:p w:rsidR="0029114B" w:rsidRPr="00AE5B3B" w:rsidRDefault="004F620C" w:rsidP="00AE5B3B">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Number of</w:t>
      </w:r>
      <w:r w:rsidR="00143B2D" w:rsidRPr="00AE5B3B">
        <w:rPr>
          <w:rFonts w:ascii="Arial" w:hAnsi="Arial" w:cs="Arial"/>
          <w:sz w:val="20"/>
          <w:szCs w:val="20"/>
          <w:lang w:eastAsia="en-ZA"/>
        </w:rPr>
        <w:t xml:space="preserve"> assessment report</w:t>
      </w:r>
      <w:r w:rsidRPr="00AE5B3B">
        <w:rPr>
          <w:rFonts w:ascii="Arial" w:hAnsi="Arial" w:cs="Arial"/>
          <w:sz w:val="20"/>
          <w:szCs w:val="20"/>
          <w:lang w:eastAsia="en-ZA"/>
        </w:rPr>
        <w:t>s</w:t>
      </w:r>
      <w:r w:rsidR="00143B2D" w:rsidRPr="00AE5B3B">
        <w:rPr>
          <w:rFonts w:ascii="Arial" w:hAnsi="Arial" w:cs="Arial"/>
          <w:sz w:val="20"/>
          <w:szCs w:val="20"/>
          <w:lang w:eastAsia="en-ZA"/>
        </w:rPr>
        <w:t xml:space="preserve"> </w:t>
      </w:r>
      <w:r w:rsidRPr="00AE5B3B">
        <w:rPr>
          <w:rFonts w:ascii="Arial" w:hAnsi="Arial" w:cs="Arial"/>
          <w:sz w:val="20"/>
          <w:szCs w:val="20"/>
          <w:lang w:eastAsia="en-ZA"/>
        </w:rPr>
        <w:t xml:space="preserve">on SAPS programmes approved by the </w:t>
      </w:r>
      <w:r w:rsidR="005A4D97" w:rsidRPr="00AE5B3B">
        <w:rPr>
          <w:rFonts w:ascii="Arial" w:hAnsi="Arial" w:cs="Arial"/>
          <w:sz w:val="20"/>
          <w:szCs w:val="20"/>
          <w:lang w:eastAsia="en-ZA"/>
        </w:rPr>
        <w:t>S</w:t>
      </w:r>
      <w:r w:rsidRPr="00AE5B3B">
        <w:rPr>
          <w:rFonts w:ascii="Arial" w:hAnsi="Arial" w:cs="Arial"/>
          <w:sz w:val="20"/>
          <w:szCs w:val="20"/>
          <w:lang w:eastAsia="en-ZA"/>
        </w:rPr>
        <w:t xml:space="preserve">ecretary: Target remains unchanged at one report. </w:t>
      </w:r>
    </w:p>
    <w:p w:rsidR="0029114B" w:rsidRPr="00AE5B3B" w:rsidRDefault="004F620C" w:rsidP="00AE5B3B">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AE5B3B">
        <w:rPr>
          <w:rFonts w:ascii="Arial" w:hAnsi="Arial" w:cs="Arial"/>
          <w:sz w:val="20"/>
          <w:szCs w:val="20"/>
          <w:lang w:eastAsia="en-ZA"/>
        </w:rPr>
        <w:t xml:space="preserve">Number of evaluation reports on legislation and policies approved by the Secretary per year: Target remains unchanged at one report. </w:t>
      </w:r>
    </w:p>
    <w:p w:rsidR="00757C4D" w:rsidRPr="00AE5B3B" w:rsidRDefault="00757C4D" w:rsidP="00AE5B3B">
      <w:pPr>
        <w:autoSpaceDE w:val="0"/>
        <w:autoSpaceDN w:val="0"/>
        <w:adjustRightInd w:val="0"/>
        <w:spacing w:line="240" w:lineRule="auto"/>
        <w:jc w:val="left"/>
        <w:rPr>
          <w:rFonts w:ascii="Arial" w:hAnsi="Arial" w:cs="Arial"/>
          <w:sz w:val="20"/>
          <w:szCs w:val="20"/>
          <w:lang w:eastAsia="en-ZA"/>
        </w:rPr>
      </w:pPr>
    </w:p>
    <w:p w:rsidR="00FB33B9" w:rsidRPr="00AE5B3B" w:rsidRDefault="00FB33B9" w:rsidP="00AE5B3B">
      <w:pPr>
        <w:pStyle w:val="Heading1"/>
        <w:numPr>
          <w:ilvl w:val="0"/>
          <w:numId w:val="19"/>
        </w:numPr>
        <w:spacing w:before="0" w:line="240" w:lineRule="auto"/>
        <w:jc w:val="left"/>
        <w:rPr>
          <w:rFonts w:ascii="Arial" w:hAnsi="Arial" w:cs="Arial"/>
          <w:sz w:val="20"/>
          <w:szCs w:val="20"/>
        </w:rPr>
      </w:pPr>
      <w:bookmarkStart w:id="17" w:name="_Toc100572322"/>
      <w:r w:rsidRPr="00AE5B3B">
        <w:rPr>
          <w:rFonts w:ascii="Arial" w:hAnsi="Arial" w:cs="Arial"/>
          <w:sz w:val="20"/>
          <w:szCs w:val="20"/>
        </w:rPr>
        <w:lastRenderedPageBreak/>
        <w:t xml:space="preserve">Committee Observations </w:t>
      </w:r>
    </w:p>
    <w:p w:rsidR="00FB33B9" w:rsidRPr="00AE5B3B" w:rsidRDefault="00FB33B9" w:rsidP="00AE5B3B">
      <w:pPr>
        <w:spacing w:line="240" w:lineRule="auto"/>
        <w:jc w:val="left"/>
        <w:rPr>
          <w:rFonts w:ascii="Arial" w:hAnsi="Arial" w:cs="Arial"/>
          <w:sz w:val="20"/>
          <w:szCs w:val="20"/>
        </w:rPr>
      </w:pPr>
    </w:p>
    <w:p w:rsidR="00952CEB" w:rsidRPr="00AE5B3B" w:rsidRDefault="00952CEB" w:rsidP="00AE5B3B">
      <w:p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The Committee made the following observations during the 2022/23 budget hearings:</w:t>
      </w:r>
    </w:p>
    <w:p w:rsidR="00BD31E7" w:rsidRPr="00AE5B3B" w:rsidRDefault="00BD31E7" w:rsidP="00AE5B3B">
      <w:pPr>
        <w:spacing w:line="240" w:lineRule="auto"/>
        <w:jc w:val="left"/>
        <w:rPr>
          <w:rFonts w:ascii="Arial" w:eastAsia="TimesNewRomanPSMT" w:hAnsi="Arial" w:cs="Arial"/>
          <w:sz w:val="20"/>
          <w:szCs w:val="20"/>
          <w:lang w:eastAsia="en-ZA"/>
        </w:rPr>
      </w:pPr>
    </w:p>
    <w:p w:rsidR="00BD31E7" w:rsidRPr="00AE5B3B" w:rsidRDefault="00BD31E7" w:rsidP="00AE5B3B">
      <w:pPr>
        <w:pStyle w:val="ListParagraph"/>
        <w:numPr>
          <w:ilvl w:val="0"/>
          <w:numId w:val="26"/>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C</w:t>
      </w:r>
      <w:r w:rsidR="0017790A" w:rsidRPr="00AE5B3B">
        <w:rPr>
          <w:rFonts w:ascii="Arial" w:eastAsia="TimesNewRomanPSMT" w:hAnsi="Arial" w:cs="Arial"/>
          <w:b/>
          <w:sz w:val="20"/>
          <w:szCs w:val="20"/>
          <w:lang w:eastAsia="en-ZA"/>
        </w:rPr>
        <w:t>ommunity Safety Forums (CSFs):</w:t>
      </w:r>
      <w:r w:rsidR="0017790A" w:rsidRPr="00AE5B3B">
        <w:rPr>
          <w:rFonts w:ascii="Arial" w:eastAsia="TimesNewRomanPSMT" w:hAnsi="Arial" w:cs="Arial"/>
          <w:sz w:val="20"/>
          <w:szCs w:val="20"/>
          <w:lang w:eastAsia="en-ZA"/>
        </w:rPr>
        <w:t xml:space="preserve"> The Committee requested </w:t>
      </w:r>
      <w:r w:rsidR="00FB7388" w:rsidRPr="00AE5B3B">
        <w:rPr>
          <w:rFonts w:ascii="Arial" w:eastAsia="TimesNewRomanPSMT" w:hAnsi="Arial" w:cs="Arial"/>
          <w:sz w:val="20"/>
          <w:szCs w:val="20"/>
          <w:lang w:eastAsia="en-ZA"/>
        </w:rPr>
        <w:t>an indication of</w:t>
      </w:r>
      <w:r w:rsidR="0017790A" w:rsidRPr="00AE5B3B">
        <w:rPr>
          <w:rFonts w:ascii="Arial" w:eastAsia="TimesNewRomanPSMT" w:hAnsi="Arial" w:cs="Arial"/>
          <w:sz w:val="20"/>
          <w:szCs w:val="20"/>
          <w:lang w:eastAsia="en-ZA"/>
        </w:rPr>
        <w:t xml:space="preserve"> the status of C</w:t>
      </w:r>
      <w:r w:rsidRPr="00AE5B3B">
        <w:rPr>
          <w:rFonts w:ascii="Arial" w:eastAsia="TimesNewRomanPSMT" w:hAnsi="Arial" w:cs="Arial"/>
          <w:sz w:val="20"/>
          <w:szCs w:val="20"/>
          <w:lang w:eastAsia="en-ZA"/>
        </w:rPr>
        <w:t>SF</w:t>
      </w:r>
      <w:r w:rsidR="00FB7388" w:rsidRPr="00AE5B3B">
        <w:rPr>
          <w:rFonts w:ascii="Arial" w:eastAsia="TimesNewRomanPSMT" w:hAnsi="Arial" w:cs="Arial"/>
          <w:sz w:val="20"/>
          <w:szCs w:val="20"/>
          <w:lang w:eastAsia="en-ZA"/>
        </w:rPr>
        <w:t>s</w:t>
      </w:r>
      <w:r w:rsidRPr="00AE5B3B">
        <w:rPr>
          <w:rFonts w:ascii="Arial" w:eastAsia="TimesNewRomanPSMT" w:hAnsi="Arial" w:cs="Arial"/>
          <w:sz w:val="20"/>
          <w:szCs w:val="20"/>
          <w:lang w:eastAsia="en-ZA"/>
        </w:rPr>
        <w:t xml:space="preserve"> countrywide</w:t>
      </w:r>
      <w:r w:rsidR="0017790A" w:rsidRPr="00AE5B3B">
        <w:rPr>
          <w:rFonts w:ascii="Arial" w:eastAsia="TimesNewRomanPSMT" w:hAnsi="Arial" w:cs="Arial"/>
          <w:sz w:val="20"/>
          <w:szCs w:val="20"/>
          <w:lang w:eastAsia="en-ZA"/>
        </w:rPr>
        <w:t xml:space="preserve"> and how </w:t>
      </w:r>
      <w:r w:rsidR="002364E8" w:rsidRPr="00AE5B3B">
        <w:rPr>
          <w:rFonts w:ascii="Arial" w:eastAsia="TimesNewRomanPSMT" w:hAnsi="Arial" w:cs="Arial"/>
          <w:sz w:val="20"/>
          <w:szCs w:val="20"/>
          <w:lang w:eastAsia="en-ZA"/>
        </w:rPr>
        <w:t>local gov</w:t>
      </w:r>
      <w:r w:rsidR="0017790A" w:rsidRPr="00AE5B3B">
        <w:rPr>
          <w:rFonts w:ascii="Arial" w:eastAsia="TimesNewRomanPSMT" w:hAnsi="Arial" w:cs="Arial"/>
          <w:sz w:val="20"/>
          <w:szCs w:val="20"/>
          <w:lang w:eastAsia="en-ZA"/>
        </w:rPr>
        <w:t>ernment</w:t>
      </w:r>
      <w:r w:rsidRPr="00AE5B3B">
        <w:rPr>
          <w:rFonts w:ascii="Arial" w:eastAsia="TimesNewRomanPSMT" w:hAnsi="Arial" w:cs="Arial"/>
          <w:sz w:val="20"/>
          <w:szCs w:val="20"/>
          <w:lang w:eastAsia="en-ZA"/>
        </w:rPr>
        <w:t xml:space="preserve"> elections</w:t>
      </w:r>
      <w:r w:rsidR="0017790A" w:rsidRPr="00AE5B3B">
        <w:rPr>
          <w:rFonts w:ascii="Arial" w:eastAsia="TimesNewRomanPSMT" w:hAnsi="Arial" w:cs="Arial"/>
          <w:sz w:val="20"/>
          <w:szCs w:val="20"/>
          <w:lang w:eastAsia="en-ZA"/>
        </w:rPr>
        <w:t xml:space="preserve"> impact</w:t>
      </w:r>
      <w:r w:rsidR="005159DF" w:rsidRPr="00AE5B3B">
        <w:rPr>
          <w:rFonts w:ascii="Arial" w:eastAsia="TimesNewRomanPSMT" w:hAnsi="Arial" w:cs="Arial"/>
          <w:sz w:val="20"/>
          <w:szCs w:val="20"/>
          <w:lang w:eastAsia="en-ZA"/>
        </w:rPr>
        <w:t xml:space="preserve"> on the establishment of CS</w:t>
      </w:r>
      <w:r w:rsidR="0017790A" w:rsidRPr="00AE5B3B">
        <w:rPr>
          <w:rFonts w:ascii="Arial" w:eastAsia="TimesNewRomanPSMT" w:hAnsi="Arial" w:cs="Arial"/>
          <w:sz w:val="20"/>
          <w:szCs w:val="20"/>
          <w:lang w:eastAsia="en-ZA"/>
        </w:rPr>
        <w:t xml:space="preserve">Fs. The Department indicated that there are a total of 141 CSFs countrywide and that </w:t>
      </w:r>
      <w:r w:rsidR="00246B09" w:rsidRPr="00AE5B3B">
        <w:rPr>
          <w:rFonts w:ascii="Arial" w:eastAsia="TimesNewRomanPSMT" w:hAnsi="Arial" w:cs="Arial"/>
          <w:sz w:val="20"/>
          <w:szCs w:val="20"/>
          <w:lang w:eastAsia="en-ZA"/>
        </w:rPr>
        <w:t>when</w:t>
      </w:r>
      <w:r w:rsidR="00562E19" w:rsidRPr="00AE5B3B">
        <w:rPr>
          <w:rFonts w:ascii="Arial" w:eastAsia="TimesNewRomanPSMT" w:hAnsi="Arial" w:cs="Arial"/>
          <w:sz w:val="20"/>
          <w:szCs w:val="20"/>
          <w:lang w:eastAsia="en-ZA"/>
        </w:rPr>
        <w:t xml:space="preserve"> municipal boundaries change, it does impact on the establishment of CSFs. </w:t>
      </w:r>
    </w:p>
    <w:p w:rsidR="002364E8" w:rsidRPr="00AE5B3B" w:rsidRDefault="002364E8" w:rsidP="00AE5B3B">
      <w:pPr>
        <w:spacing w:line="240" w:lineRule="auto"/>
        <w:jc w:val="left"/>
        <w:rPr>
          <w:rFonts w:ascii="Arial" w:eastAsia="TimesNewRomanPSMT" w:hAnsi="Arial" w:cs="Arial"/>
          <w:sz w:val="20"/>
          <w:szCs w:val="20"/>
          <w:lang w:eastAsia="en-ZA"/>
        </w:rPr>
      </w:pPr>
    </w:p>
    <w:p w:rsidR="00BD31E7" w:rsidRPr="00AE5B3B" w:rsidRDefault="00BD31E7" w:rsidP="00AE5B3B">
      <w:pPr>
        <w:pStyle w:val="ListParagraph"/>
        <w:numPr>
          <w:ilvl w:val="0"/>
          <w:numId w:val="24"/>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Assessment reports complaints management</w:t>
      </w:r>
      <w:r w:rsidR="0017790A" w:rsidRPr="00AE5B3B">
        <w:rPr>
          <w:rFonts w:ascii="Arial" w:eastAsia="TimesNewRomanPSMT" w:hAnsi="Arial" w:cs="Arial"/>
          <w:b/>
          <w:sz w:val="20"/>
          <w:szCs w:val="20"/>
          <w:lang w:eastAsia="en-ZA"/>
        </w:rPr>
        <w:t xml:space="preserve">: </w:t>
      </w:r>
      <w:r w:rsidR="0017790A" w:rsidRPr="00AE5B3B">
        <w:rPr>
          <w:rFonts w:ascii="Arial" w:eastAsia="TimesNewRomanPSMT" w:hAnsi="Arial" w:cs="Arial"/>
          <w:sz w:val="20"/>
          <w:szCs w:val="20"/>
          <w:lang w:eastAsia="en-ZA"/>
        </w:rPr>
        <w:t>The Committee raised concern about the manner in which assessment reports are done on the SAPS’ complaint management system because it is dependent on the</w:t>
      </w:r>
      <w:r w:rsidRPr="00AE5B3B">
        <w:rPr>
          <w:rFonts w:ascii="Arial" w:eastAsia="TimesNewRomanPSMT" w:hAnsi="Arial" w:cs="Arial"/>
          <w:sz w:val="20"/>
          <w:szCs w:val="20"/>
          <w:lang w:eastAsia="en-ZA"/>
        </w:rPr>
        <w:t xml:space="preserve"> accessibility of </w:t>
      </w:r>
      <w:r w:rsidR="0017790A" w:rsidRPr="00AE5B3B">
        <w:rPr>
          <w:rFonts w:ascii="Arial" w:eastAsia="TimesNewRomanPSMT" w:hAnsi="Arial" w:cs="Arial"/>
          <w:sz w:val="20"/>
          <w:szCs w:val="20"/>
          <w:lang w:eastAsia="en-ZA"/>
        </w:rPr>
        <w:t xml:space="preserve">these </w:t>
      </w:r>
      <w:r w:rsidRPr="00AE5B3B">
        <w:rPr>
          <w:rFonts w:ascii="Arial" w:eastAsia="TimesNewRomanPSMT" w:hAnsi="Arial" w:cs="Arial"/>
          <w:sz w:val="20"/>
          <w:szCs w:val="20"/>
          <w:lang w:eastAsia="en-ZA"/>
        </w:rPr>
        <w:t>systems</w:t>
      </w:r>
      <w:r w:rsidR="0017790A" w:rsidRPr="00AE5B3B">
        <w:rPr>
          <w:rFonts w:ascii="Arial" w:eastAsia="TimesNewRomanPSMT" w:hAnsi="Arial" w:cs="Arial"/>
          <w:sz w:val="20"/>
          <w:szCs w:val="20"/>
          <w:lang w:eastAsia="en-ZA"/>
        </w:rPr>
        <w:t>. The Department explained that the</w:t>
      </w:r>
      <w:r w:rsidR="00FB7388" w:rsidRPr="00AE5B3B">
        <w:rPr>
          <w:rFonts w:ascii="Arial" w:eastAsia="TimesNewRomanPSMT" w:hAnsi="Arial" w:cs="Arial"/>
          <w:sz w:val="20"/>
          <w:szCs w:val="20"/>
          <w:lang w:eastAsia="en-ZA"/>
        </w:rPr>
        <w:t>y</w:t>
      </w:r>
      <w:r w:rsidR="0017790A" w:rsidRPr="00AE5B3B">
        <w:rPr>
          <w:rFonts w:ascii="Arial" w:eastAsia="TimesNewRomanPSMT" w:hAnsi="Arial" w:cs="Arial"/>
          <w:sz w:val="20"/>
          <w:szCs w:val="20"/>
          <w:lang w:eastAsia="en-ZA"/>
        </w:rPr>
        <w:t xml:space="preserve"> have sufficient access to</w:t>
      </w:r>
      <w:r w:rsidR="00592CD6" w:rsidRPr="00AE5B3B">
        <w:rPr>
          <w:rFonts w:ascii="Arial" w:eastAsia="TimesNewRomanPSMT" w:hAnsi="Arial" w:cs="Arial"/>
          <w:sz w:val="20"/>
          <w:szCs w:val="20"/>
          <w:lang w:eastAsia="en-ZA"/>
        </w:rPr>
        <w:t xml:space="preserve"> SAPS information systems and conduct</w:t>
      </w:r>
      <w:r w:rsidR="0017790A" w:rsidRPr="00AE5B3B">
        <w:rPr>
          <w:rFonts w:ascii="Arial" w:eastAsia="TimesNewRomanPSMT" w:hAnsi="Arial" w:cs="Arial"/>
          <w:sz w:val="20"/>
          <w:szCs w:val="20"/>
          <w:lang w:eastAsia="en-ZA"/>
        </w:rPr>
        <w:t xml:space="preserve"> quarterly checks on compliance to SAPS frameworks and timelines. In addition, the Department indicated that it also receives and investigates service delivery complaints against the police.</w:t>
      </w:r>
      <w:r w:rsidR="002364E8" w:rsidRPr="00AE5B3B">
        <w:rPr>
          <w:rFonts w:ascii="Arial" w:eastAsia="TimesNewRomanPSMT" w:hAnsi="Arial" w:cs="Arial"/>
          <w:sz w:val="20"/>
          <w:szCs w:val="20"/>
          <w:lang w:eastAsia="en-ZA"/>
        </w:rPr>
        <w:t xml:space="preserve"> </w:t>
      </w:r>
      <w:r w:rsidRPr="00AE5B3B">
        <w:rPr>
          <w:rFonts w:ascii="Arial" w:eastAsia="TimesNewRomanPSMT" w:hAnsi="Arial" w:cs="Arial"/>
          <w:sz w:val="20"/>
          <w:szCs w:val="20"/>
          <w:lang w:eastAsia="en-ZA"/>
        </w:rPr>
        <w:t xml:space="preserve"> </w:t>
      </w:r>
    </w:p>
    <w:p w:rsidR="00587C40" w:rsidRPr="00AE5B3B" w:rsidRDefault="00587C40" w:rsidP="00AE5B3B">
      <w:pPr>
        <w:spacing w:line="240" w:lineRule="auto"/>
        <w:ind w:left="360"/>
        <w:jc w:val="left"/>
        <w:rPr>
          <w:rFonts w:ascii="Arial" w:eastAsia="TimesNewRomanPSMT" w:hAnsi="Arial" w:cs="Arial"/>
          <w:sz w:val="20"/>
          <w:szCs w:val="20"/>
          <w:lang w:eastAsia="en-ZA"/>
        </w:rPr>
      </w:pPr>
    </w:p>
    <w:p w:rsidR="00587C40" w:rsidRPr="00AE5B3B" w:rsidRDefault="00587C40" w:rsidP="00AE5B3B">
      <w:pPr>
        <w:pStyle w:val="ListParagraph"/>
        <w:numPr>
          <w:ilvl w:val="0"/>
          <w:numId w:val="24"/>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Employment of police and administrative personnel:</w:t>
      </w:r>
      <w:r w:rsidRPr="00AE5B3B">
        <w:rPr>
          <w:rFonts w:ascii="Arial" w:eastAsia="TimesNewRomanPSMT" w:hAnsi="Arial" w:cs="Arial"/>
          <w:sz w:val="20"/>
          <w:szCs w:val="20"/>
          <w:lang w:eastAsia="en-ZA"/>
        </w:rPr>
        <w:t xml:space="preserve"> The Committee raised concern about the fact that police personnel are employed under the South African Police Service Act, 1995 and administrative personnel are employed under the Public Service Act, 1994</w:t>
      </w:r>
      <w:r w:rsidR="00592CD6" w:rsidRPr="00AE5B3B">
        <w:rPr>
          <w:rFonts w:ascii="Arial" w:eastAsia="TimesNewRomanPSMT" w:hAnsi="Arial" w:cs="Arial"/>
          <w:sz w:val="20"/>
          <w:szCs w:val="20"/>
          <w:lang w:eastAsia="en-ZA"/>
        </w:rPr>
        <w:t xml:space="preserve"> within the same organisation</w:t>
      </w:r>
      <w:r w:rsidRPr="00AE5B3B">
        <w:rPr>
          <w:rFonts w:ascii="Arial" w:eastAsia="TimesNewRomanPSMT" w:hAnsi="Arial" w:cs="Arial"/>
          <w:sz w:val="20"/>
          <w:szCs w:val="20"/>
          <w:lang w:eastAsia="en-ZA"/>
        </w:rPr>
        <w:t>. The Committee indicate</w:t>
      </w:r>
      <w:r w:rsidR="00FB7388" w:rsidRPr="00AE5B3B">
        <w:rPr>
          <w:rFonts w:ascii="Arial" w:eastAsia="TimesNewRomanPSMT" w:hAnsi="Arial" w:cs="Arial"/>
          <w:sz w:val="20"/>
          <w:szCs w:val="20"/>
          <w:lang w:eastAsia="en-ZA"/>
        </w:rPr>
        <w:t>d</w:t>
      </w:r>
      <w:r w:rsidRPr="00AE5B3B">
        <w:rPr>
          <w:rFonts w:ascii="Arial" w:eastAsia="TimesNewRomanPSMT" w:hAnsi="Arial" w:cs="Arial"/>
          <w:sz w:val="20"/>
          <w:szCs w:val="20"/>
          <w:lang w:eastAsia="en-ZA"/>
        </w:rPr>
        <w:t xml:space="preserve"> that this is not an ideal situation as the employment of police and administrative personnel under two different legislative prescripts within one organisation create significant challenges in personnel management. POPCRU referred the Committee to Part D of the Safety and Security Sectoral Bargaining Council (SSSBC) Agreement 2 of 2011, in which parties agreed to pursue measures with the Department of Public Service and National Treasury that would ensure that Public Service Act employees become a category of employees under the Department of Police.  </w:t>
      </w:r>
    </w:p>
    <w:p w:rsidR="00F33198" w:rsidRPr="00AE5B3B" w:rsidRDefault="00F33198" w:rsidP="00AE5B3B">
      <w:pPr>
        <w:spacing w:line="240" w:lineRule="auto"/>
        <w:jc w:val="left"/>
        <w:rPr>
          <w:rFonts w:ascii="Arial" w:eastAsia="TimesNewRomanPSMT" w:hAnsi="Arial" w:cs="Arial"/>
          <w:sz w:val="20"/>
          <w:szCs w:val="20"/>
          <w:lang w:eastAsia="en-ZA"/>
        </w:rPr>
      </w:pPr>
    </w:p>
    <w:p w:rsidR="00F80EC9" w:rsidRPr="00AE5B3B" w:rsidRDefault="00F80EC9" w:rsidP="00AE5B3B">
      <w:pPr>
        <w:pStyle w:val="ListParagraph"/>
        <w:numPr>
          <w:ilvl w:val="0"/>
          <w:numId w:val="24"/>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 xml:space="preserve">Impact </w:t>
      </w:r>
      <w:r w:rsidR="007B6390" w:rsidRPr="00AE5B3B">
        <w:rPr>
          <w:rFonts w:ascii="Arial" w:eastAsia="TimesNewRomanPSMT" w:hAnsi="Arial" w:cs="Arial"/>
          <w:b/>
          <w:sz w:val="20"/>
          <w:szCs w:val="20"/>
          <w:lang w:eastAsia="en-ZA"/>
        </w:rPr>
        <w:t>of the Department:</w:t>
      </w:r>
      <w:r w:rsidR="007B6390" w:rsidRPr="00AE5B3B">
        <w:rPr>
          <w:rFonts w:ascii="Arial" w:eastAsia="TimesNewRomanPSMT" w:hAnsi="Arial" w:cs="Arial"/>
          <w:sz w:val="20"/>
          <w:szCs w:val="20"/>
          <w:lang w:eastAsia="en-ZA"/>
        </w:rPr>
        <w:t xml:space="preserve"> </w:t>
      </w:r>
      <w:r w:rsidR="0024736A" w:rsidRPr="00AE5B3B">
        <w:rPr>
          <w:rFonts w:ascii="Arial" w:eastAsia="TimesNewRomanPSMT" w:hAnsi="Arial" w:cs="Arial"/>
          <w:sz w:val="20"/>
          <w:szCs w:val="20"/>
          <w:lang w:eastAsia="en-ZA"/>
        </w:rPr>
        <w:t>The Committee raised concern about how the i</w:t>
      </w:r>
      <w:r w:rsidR="007B6390" w:rsidRPr="00AE5B3B">
        <w:rPr>
          <w:rFonts w:ascii="Arial" w:eastAsia="TimesNewRomanPSMT" w:hAnsi="Arial" w:cs="Arial"/>
          <w:sz w:val="20"/>
          <w:szCs w:val="20"/>
          <w:lang w:eastAsia="en-ZA"/>
        </w:rPr>
        <w:t xml:space="preserve">mpact </w:t>
      </w:r>
      <w:r w:rsidR="0024736A" w:rsidRPr="00AE5B3B">
        <w:rPr>
          <w:rFonts w:ascii="Arial" w:eastAsia="TimesNewRomanPSMT" w:hAnsi="Arial" w:cs="Arial"/>
          <w:sz w:val="20"/>
          <w:szCs w:val="20"/>
          <w:lang w:eastAsia="en-ZA"/>
        </w:rPr>
        <w:t xml:space="preserve">of the Department is measured at ground level. In addition, the Committee noted that many theories and strategies are being developed to address this concern, but asked whether the Department has ever asked communities to rate their service delivery and impact. The Department indicated that their Strategic Plan was reviewed based on questions regarding their impact on ground level and on </w:t>
      </w:r>
      <w:r w:rsidR="00592CD6" w:rsidRPr="00AE5B3B">
        <w:rPr>
          <w:rFonts w:ascii="Arial" w:eastAsia="TimesNewRomanPSMT" w:hAnsi="Arial" w:cs="Arial"/>
          <w:sz w:val="20"/>
          <w:szCs w:val="20"/>
          <w:lang w:eastAsia="en-ZA"/>
        </w:rPr>
        <w:t xml:space="preserve">increasing </w:t>
      </w:r>
      <w:r w:rsidR="0024736A" w:rsidRPr="00AE5B3B">
        <w:rPr>
          <w:rFonts w:ascii="Arial" w:eastAsia="TimesNewRomanPSMT" w:hAnsi="Arial" w:cs="Arial"/>
          <w:sz w:val="20"/>
          <w:szCs w:val="20"/>
          <w:lang w:eastAsia="en-ZA"/>
        </w:rPr>
        <w:t xml:space="preserve">the </w:t>
      </w:r>
      <w:r w:rsidR="00592CD6" w:rsidRPr="00AE5B3B">
        <w:rPr>
          <w:rFonts w:ascii="Arial" w:eastAsia="TimesNewRomanPSMT" w:hAnsi="Arial" w:cs="Arial"/>
          <w:sz w:val="20"/>
          <w:szCs w:val="20"/>
          <w:lang w:eastAsia="en-ZA"/>
        </w:rPr>
        <w:t xml:space="preserve">professionalism </w:t>
      </w:r>
      <w:r w:rsidR="0024736A" w:rsidRPr="00AE5B3B">
        <w:rPr>
          <w:rFonts w:ascii="Arial" w:eastAsia="TimesNewRomanPSMT" w:hAnsi="Arial" w:cs="Arial"/>
          <w:sz w:val="20"/>
          <w:szCs w:val="20"/>
          <w:lang w:eastAsia="en-ZA"/>
        </w:rPr>
        <w:t>of the SAPS. The Department indicated that several performance indicators were reviewed to improve outcomes and that f</w:t>
      </w:r>
      <w:r w:rsidR="00F33198" w:rsidRPr="00AE5B3B">
        <w:rPr>
          <w:rFonts w:ascii="Arial" w:eastAsia="TimesNewRomanPSMT" w:hAnsi="Arial" w:cs="Arial"/>
          <w:sz w:val="20"/>
          <w:szCs w:val="20"/>
          <w:lang w:eastAsia="en-ZA"/>
        </w:rPr>
        <w:t xml:space="preserve">eedback from </w:t>
      </w:r>
      <w:r w:rsidR="0024736A" w:rsidRPr="00AE5B3B">
        <w:rPr>
          <w:rFonts w:ascii="Arial" w:eastAsia="TimesNewRomanPSMT" w:hAnsi="Arial" w:cs="Arial"/>
          <w:sz w:val="20"/>
          <w:szCs w:val="20"/>
          <w:lang w:eastAsia="en-ZA"/>
        </w:rPr>
        <w:t xml:space="preserve">the </w:t>
      </w:r>
      <w:r w:rsidR="00F33198" w:rsidRPr="00AE5B3B">
        <w:rPr>
          <w:rFonts w:ascii="Arial" w:eastAsia="TimesNewRomanPSMT" w:hAnsi="Arial" w:cs="Arial"/>
          <w:sz w:val="20"/>
          <w:szCs w:val="20"/>
          <w:lang w:eastAsia="en-ZA"/>
        </w:rPr>
        <w:t xml:space="preserve">public </w:t>
      </w:r>
      <w:r w:rsidR="0024736A" w:rsidRPr="00AE5B3B">
        <w:rPr>
          <w:rFonts w:ascii="Arial" w:eastAsia="TimesNewRomanPSMT" w:hAnsi="Arial" w:cs="Arial"/>
          <w:sz w:val="20"/>
          <w:szCs w:val="20"/>
          <w:lang w:eastAsia="en-ZA"/>
        </w:rPr>
        <w:t xml:space="preserve">is </w:t>
      </w:r>
      <w:r w:rsidR="00F33198" w:rsidRPr="00AE5B3B">
        <w:rPr>
          <w:rFonts w:ascii="Arial" w:eastAsia="TimesNewRomanPSMT" w:hAnsi="Arial" w:cs="Arial"/>
          <w:sz w:val="20"/>
          <w:szCs w:val="20"/>
          <w:lang w:eastAsia="en-ZA"/>
        </w:rPr>
        <w:t>used as</w:t>
      </w:r>
      <w:r w:rsidR="0024736A" w:rsidRPr="00AE5B3B">
        <w:rPr>
          <w:rFonts w:ascii="Arial" w:eastAsia="TimesNewRomanPSMT" w:hAnsi="Arial" w:cs="Arial"/>
          <w:sz w:val="20"/>
          <w:szCs w:val="20"/>
          <w:lang w:eastAsia="en-ZA"/>
        </w:rPr>
        <w:t xml:space="preserve"> a</w:t>
      </w:r>
      <w:r w:rsidR="00F33198" w:rsidRPr="00AE5B3B">
        <w:rPr>
          <w:rFonts w:ascii="Arial" w:eastAsia="TimesNewRomanPSMT" w:hAnsi="Arial" w:cs="Arial"/>
          <w:sz w:val="20"/>
          <w:szCs w:val="20"/>
          <w:lang w:eastAsia="en-ZA"/>
        </w:rPr>
        <w:t xml:space="preserve"> measurement </w:t>
      </w:r>
      <w:r w:rsidR="0024736A" w:rsidRPr="00AE5B3B">
        <w:rPr>
          <w:rFonts w:ascii="Arial" w:eastAsia="TimesNewRomanPSMT" w:hAnsi="Arial" w:cs="Arial"/>
          <w:sz w:val="20"/>
          <w:szCs w:val="20"/>
          <w:lang w:eastAsia="en-ZA"/>
        </w:rPr>
        <w:t xml:space="preserve">of the Department’s impact. </w:t>
      </w:r>
    </w:p>
    <w:p w:rsidR="00F33198" w:rsidRPr="00AE5B3B" w:rsidRDefault="00F33198" w:rsidP="00AE5B3B">
      <w:pPr>
        <w:spacing w:line="240" w:lineRule="auto"/>
        <w:jc w:val="left"/>
        <w:rPr>
          <w:rFonts w:ascii="Arial" w:eastAsia="TimesNewRomanPSMT" w:hAnsi="Arial" w:cs="Arial"/>
          <w:sz w:val="20"/>
          <w:szCs w:val="20"/>
          <w:lang w:eastAsia="en-ZA"/>
        </w:rPr>
      </w:pPr>
    </w:p>
    <w:p w:rsidR="00F80EC9" w:rsidRPr="00AE5B3B" w:rsidRDefault="007B6390" w:rsidP="00AE5B3B">
      <w:pPr>
        <w:pStyle w:val="Default"/>
        <w:numPr>
          <w:ilvl w:val="0"/>
          <w:numId w:val="23"/>
        </w:numPr>
        <w:rPr>
          <w:bCs/>
          <w:color w:val="auto"/>
          <w:sz w:val="20"/>
          <w:szCs w:val="20"/>
        </w:rPr>
      </w:pPr>
      <w:r w:rsidRPr="00AE5B3B">
        <w:rPr>
          <w:b/>
          <w:color w:val="auto"/>
          <w:sz w:val="20"/>
          <w:szCs w:val="20"/>
        </w:rPr>
        <w:t>Mandate:</w:t>
      </w:r>
      <w:r w:rsidRPr="00AE5B3B">
        <w:rPr>
          <w:color w:val="auto"/>
          <w:sz w:val="20"/>
          <w:szCs w:val="20"/>
        </w:rPr>
        <w:t xml:space="preserve"> The Committee questioned the effective execution of the Department’s mandate in terms of </w:t>
      </w:r>
      <w:r w:rsidRPr="00AE5B3B">
        <w:rPr>
          <w:bCs/>
          <w:color w:val="auto"/>
          <w:sz w:val="20"/>
          <w:szCs w:val="20"/>
        </w:rPr>
        <w:t xml:space="preserve">exercising transversal </w:t>
      </w:r>
      <w:r w:rsidRPr="00AE5B3B">
        <w:rPr>
          <w:bCs/>
          <w:iCs/>
          <w:color w:val="auto"/>
          <w:sz w:val="20"/>
          <w:szCs w:val="20"/>
        </w:rPr>
        <w:t xml:space="preserve">civilian oversight </w:t>
      </w:r>
      <w:r w:rsidRPr="00AE5B3B">
        <w:rPr>
          <w:bCs/>
          <w:color w:val="auto"/>
          <w:sz w:val="20"/>
          <w:szCs w:val="20"/>
        </w:rPr>
        <w:t>on matters relating to, amongst others, the governance, service delivery, performance and resourcing of the SAPS</w:t>
      </w:r>
      <w:r w:rsidR="0024736A" w:rsidRPr="00AE5B3B">
        <w:rPr>
          <w:bCs/>
          <w:color w:val="auto"/>
          <w:sz w:val="20"/>
          <w:szCs w:val="20"/>
        </w:rPr>
        <w:t xml:space="preserve"> because the SAPS is continuously experiencing significant challenges in all the mentioned areas of oversight. The Department noted that they </w:t>
      </w:r>
      <w:r w:rsidR="00EE77E7" w:rsidRPr="00AE5B3B">
        <w:rPr>
          <w:rFonts w:eastAsia="TimesNewRomanPSMT"/>
          <w:sz w:val="20"/>
          <w:szCs w:val="20"/>
        </w:rPr>
        <w:t>submit</w:t>
      </w:r>
      <w:r w:rsidR="00D146BF" w:rsidRPr="00AE5B3B">
        <w:rPr>
          <w:rFonts w:eastAsia="TimesNewRomanPSMT"/>
          <w:sz w:val="20"/>
          <w:szCs w:val="20"/>
        </w:rPr>
        <w:t xml:space="preserve"> regular</w:t>
      </w:r>
      <w:r w:rsidR="00EE77E7" w:rsidRPr="00AE5B3B">
        <w:rPr>
          <w:rFonts w:eastAsia="TimesNewRomanPSMT"/>
          <w:sz w:val="20"/>
          <w:szCs w:val="20"/>
        </w:rPr>
        <w:t xml:space="preserve"> reports </w:t>
      </w:r>
      <w:r w:rsidR="00D146BF" w:rsidRPr="00AE5B3B">
        <w:rPr>
          <w:rFonts w:eastAsia="TimesNewRomanPSMT"/>
          <w:sz w:val="20"/>
          <w:szCs w:val="20"/>
        </w:rPr>
        <w:t xml:space="preserve">to the SAPS and the Minister of Police </w:t>
      </w:r>
      <w:r w:rsidR="00EE77E7" w:rsidRPr="00AE5B3B">
        <w:rPr>
          <w:rFonts w:eastAsia="TimesNewRomanPSMT"/>
          <w:sz w:val="20"/>
          <w:szCs w:val="20"/>
        </w:rPr>
        <w:t>with specific recommendations that must be implemented</w:t>
      </w:r>
      <w:r w:rsidR="00D146BF" w:rsidRPr="00AE5B3B">
        <w:rPr>
          <w:rFonts w:eastAsia="TimesNewRomanPSMT"/>
          <w:sz w:val="20"/>
          <w:szCs w:val="20"/>
        </w:rPr>
        <w:t xml:space="preserve">. As an example, the Department recommended the establishment of </w:t>
      </w:r>
      <w:r w:rsidR="00EE77E7" w:rsidRPr="00AE5B3B">
        <w:rPr>
          <w:rFonts w:eastAsia="TimesNewRomanPSMT"/>
          <w:sz w:val="20"/>
          <w:szCs w:val="20"/>
        </w:rPr>
        <w:t>GBV Desk</w:t>
      </w:r>
      <w:r w:rsidR="00FB7388" w:rsidRPr="00AE5B3B">
        <w:rPr>
          <w:rFonts w:eastAsia="TimesNewRomanPSMT"/>
          <w:sz w:val="20"/>
          <w:szCs w:val="20"/>
        </w:rPr>
        <w:t>s</w:t>
      </w:r>
      <w:r w:rsidR="00EE77E7" w:rsidRPr="00AE5B3B">
        <w:rPr>
          <w:rFonts w:eastAsia="TimesNewRomanPSMT"/>
          <w:sz w:val="20"/>
          <w:szCs w:val="20"/>
        </w:rPr>
        <w:t xml:space="preserve"> </w:t>
      </w:r>
      <w:r w:rsidR="00D146BF" w:rsidRPr="00AE5B3B">
        <w:rPr>
          <w:rFonts w:eastAsia="TimesNewRomanPSMT"/>
          <w:sz w:val="20"/>
          <w:szCs w:val="20"/>
        </w:rPr>
        <w:t xml:space="preserve">at police stations, which was implemented and the results and impact of these </w:t>
      </w:r>
      <w:r w:rsidR="00FB7388" w:rsidRPr="00AE5B3B">
        <w:rPr>
          <w:rFonts w:eastAsia="TimesNewRomanPSMT"/>
          <w:sz w:val="20"/>
          <w:szCs w:val="20"/>
        </w:rPr>
        <w:t>D</w:t>
      </w:r>
      <w:r w:rsidR="00D146BF" w:rsidRPr="00AE5B3B">
        <w:rPr>
          <w:rFonts w:eastAsia="TimesNewRomanPSMT"/>
          <w:sz w:val="20"/>
          <w:szCs w:val="20"/>
        </w:rPr>
        <w:t xml:space="preserve">esks are already visible. </w:t>
      </w:r>
    </w:p>
    <w:p w:rsidR="00F33198" w:rsidRPr="00AE5B3B" w:rsidRDefault="00F33198" w:rsidP="00AE5B3B">
      <w:pPr>
        <w:spacing w:line="240" w:lineRule="auto"/>
        <w:jc w:val="left"/>
        <w:rPr>
          <w:rFonts w:ascii="Arial" w:eastAsia="TimesNewRomanPSMT" w:hAnsi="Arial" w:cs="Arial"/>
          <w:sz w:val="20"/>
          <w:szCs w:val="20"/>
          <w:lang w:eastAsia="en-ZA"/>
        </w:rPr>
      </w:pPr>
    </w:p>
    <w:p w:rsidR="00F80EC9" w:rsidRPr="00AE5B3B" w:rsidRDefault="0084271F" w:rsidP="00AE5B3B">
      <w:pPr>
        <w:pStyle w:val="ListParagraph"/>
        <w:numPr>
          <w:ilvl w:val="0"/>
          <w:numId w:val="23"/>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 xml:space="preserve">Customer Satisfaction Survey: </w:t>
      </w:r>
      <w:r w:rsidRPr="00AE5B3B">
        <w:rPr>
          <w:rFonts w:ascii="Arial" w:eastAsia="TimesNewRomanPSMT" w:hAnsi="Arial" w:cs="Arial"/>
          <w:sz w:val="20"/>
          <w:szCs w:val="20"/>
          <w:lang w:eastAsia="en-ZA"/>
        </w:rPr>
        <w:t xml:space="preserve">The Committee requested </w:t>
      </w:r>
      <w:r w:rsidR="00FB7388" w:rsidRPr="00AE5B3B">
        <w:rPr>
          <w:rFonts w:ascii="Arial" w:eastAsia="TimesNewRomanPSMT" w:hAnsi="Arial" w:cs="Arial"/>
          <w:sz w:val="20"/>
          <w:szCs w:val="20"/>
          <w:lang w:eastAsia="en-ZA"/>
        </w:rPr>
        <w:t>an indication of</w:t>
      </w:r>
      <w:r w:rsidRPr="00AE5B3B">
        <w:rPr>
          <w:rFonts w:ascii="Arial" w:eastAsia="TimesNewRomanPSMT" w:hAnsi="Arial" w:cs="Arial"/>
          <w:sz w:val="20"/>
          <w:szCs w:val="20"/>
          <w:lang w:eastAsia="en-ZA"/>
        </w:rPr>
        <w:t xml:space="preserve"> whether the Customer Satisfaction Survey was completed. The Department indicated that the survey was finalised in the</w:t>
      </w:r>
      <w:r w:rsidR="00EE77E7" w:rsidRPr="00AE5B3B">
        <w:rPr>
          <w:rFonts w:ascii="Arial" w:eastAsia="TimesNewRomanPSMT" w:hAnsi="Arial" w:cs="Arial"/>
          <w:sz w:val="20"/>
          <w:szCs w:val="20"/>
          <w:lang w:eastAsia="en-ZA"/>
        </w:rPr>
        <w:t xml:space="preserve"> 2021/22 </w:t>
      </w:r>
      <w:r w:rsidRPr="00AE5B3B">
        <w:rPr>
          <w:rFonts w:ascii="Arial" w:eastAsia="TimesNewRomanPSMT" w:hAnsi="Arial" w:cs="Arial"/>
          <w:sz w:val="20"/>
          <w:szCs w:val="20"/>
          <w:lang w:eastAsia="en-ZA"/>
        </w:rPr>
        <w:t xml:space="preserve">financial year </w:t>
      </w:r>
      <w:r w:rsidR="00EE77E7" w:rsidRPr="00AE5B3B">
        <w:rPr>
          <w:rFonts w:ascii="Arial" w:eastAsia="TimesNewRomanPSMT" w:hAnsi="Arial" w:cs="Arial"/>
          <w:sz w:val="20"/>
          <w:szCs w:val="20"/>
          <w:lang w:eastAsia="en-ZA"/>
        </w:rPr>
        <w:t xml:space="preserve">and </w:t>
      </w:r>
      <w:r w:rsidRPr="00AE5B3B">
        <w:rPr>
          <w:rFonts w:ascii="Arial" w:eastAsia="TimesNewRomanPSMT" w:hAnsi="Arial" w:cs="Arial"/>
          <w:sz w:val="20"/>
          <w:szCs w:val="20"/>
          <w:lang w:eastAsia="en-ZA"/>
        </w:rPr>
        <w:t xml:space="preserve">a copy </w:t>
      </w:r>
      <w:r w:rsidR="00EE77E7" w:rsidRPr="00AE5B3B">
        <w:rPr>
          <w:rFonts w:ascii="Arial" w:eastAsia="TimesNewRomanPSMT" w:hAnsi="Arial" w:cs="Arial"/>
          <w:sz w:val="20"/>
          <w:szCs w:val="20"/>
          <w:lang w:eastAsia="en-ZA"/>
        </w:rPr>
        <w:t xml:space="preserve">will </w:t>
      </w:r>
      <w:r w:rsidRPr="00AE5B3B">
        <w:rPr>
          <w:rFonts w:ascii="Arial" w:eastAsia="TimesNewRomanPSMT" w:hAnsi="Arial" w:cs="Arial"/>
          <w:sz w:val="20"/>
          <w:szCs w:val="20"/>
          <w:lang w:eastAsia="en-ZA"/>
        </w:rPr>
        <w:t xml:space="preserve">be </w:t>
      </w:r>
      <w:r w:rsidR="00EE77E7" w:rsidRPr="00AE5B3B">
        <w:rPr>
          <w:rFonts w:ascii="Arial" w:eastAsia="TimesNewRomanPSMT" w:hAnsi="Arial" w:cs="Arial"/>
          <w:sz w:val="20"/>
          <w:szCs w:val="20"/>
          <w:lang w:eastAsia="en-ZA"/>
        </w:rPr>
        <w:t>provide</w:t>
      </w:r>
      <w:r w:rsidRPr="00AE5B3B">
        <w:rPr>
          <w:rFonts w:ascii="Arial" w:eastAsia="TimesNewRomanPSMT" w:hAnsi="Arial" w:cs="Arial"/>
          <w:sz w:val="20"/>
          <w:szCs w:val="20"/>
          <w:lang w:eastAsia="en-ZA"/>
        </w:rPr>
        <w:t>d</w:t>
      </w:r>
      <w:r w:rsidR="00EE77E7" w:rsidRPr="00AE5B3B">
        <w:rPr>
          <w:rFonts w:ascii="Arial" w:eastAsia="TimesNewRomanPSMT" w:hAnsi="Arial" w:cs="Arial"/>
          <w:sz w:val="20"/>
          <w:szCs w:val="20"/>
          <w:lang w:eastAsia="en-ZA"/>
        </w:rPr>
        <w:t xml:space="preserve"> </w:t>
      </w:r>
      <w:r w:rsidRPr="00AE5B3B">
        <w:rPr>
          <w:rFonts w:ascii="Arial" w:eastAsia="TimesNewRomanPSMT" w:hAnsi="Arial" w:cs="Arial"/>
          <w:sz w:val="20"/>
          <w:szCs w:val="20"/>
          <w:lang w:eastAsia="en-ZA"/>
        </w:rPr>
        <w:t>to the Committee</w:t>
      </w:r>
      <w:r w:rsidR="00EE77E7" w:rsidRPr="00AE5B3B">
        <w:rPr>
          <w:rFonts w:ascii="Arial" w:eastAsia="TimesNewRomanPSMT" w:hAnsi="Arial" w:cs="Arial"/>
          <w:sz w:val="20"/>
          <w:szCs w:val="20"/>
          <w:lang w:eastAsia="en-ZA"/>
        </w:rPr>
        <w:t xml:space="preserve">. </w:t>
      </w:r>
    </w:p>
    <w:p w:rsidR="00F33198" w:rsidRPr="00AE5B3B" w:rsidRDefault="00F33198" w:rsidP="00AE5B3B">
      <w:pPr>
        <w:spacing w:line="240" w:lineRule="auto"/>
        <w:jc w:val="left"/>
        <w:rPr>
          <w:rFonts w:ascii="Arial" w:eastAsia="TimesNewRomanPSMT" w:hAnsi="Arial" w:cs="Arial"/>
          <w:sz w:val="20"/>
          <w:szCs w:val="20"/>
          <w:lang w:eastAsia="en-ZA"/>
        </w:rPr>
      </w:pPr>
    </w:p>
    <w:p w:rsidR="00F80EC9" w:rsidRPr="00AE5B3B" w:rsidRDefault="00F80EC9" w:rsidP="00AE5B3B">
      <w:pPr>
        <w:pStyle w:val="ListParagraph"/>
        <w:numPr>
          <w:ilvl w:val="0"/>
          <w:numId w:val="23"/>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Progress on legislation</w:t>
      </w:r>
      <w:r w:rsidR="00EE77E7" w:rsidRPr="00AE5B3B">
        <w:rPr>
          <w:rFonts w:ascii="Arial" w:eastAsia="TimesNewRomanPSMT" w:hAnsi="Arial" w:cs="Arial"/>
          <w:b/>
          <w:sz w:val="20"/>
          <w:szCs w:val="20"/>
          <w:lang w:eastAsia="en-ZA"/>
        </w:rPr>
        <w:t>:</w:t>
      </w:r>
      <w:r w:rsidR="00EE77E7" w:rsidRPr="00AE5B3B">
        <w:rPr>
          <w:rFonts w:ascii="Arial" w:eastAsia="TimesNewRomanPSMT" w:hAnsi="Arial" w:cs="Arial"/>
          <w:sz w:val="20"/>
          <w:szCs w:val="20"/>
          <w:lang w:eastAsia="en-ZA"/>
        </w:rPr>
        <w:t xml:space="preserve"> </w:t>
      </w:r>
      <w:r w:rsidR="0084271F" w:rsidRPr="00AE5B3B">
        <w:rPr>
          <w:rFonts w:ascii="Arial" w:eastAsia="TimesNewRomanPSMT" w:hAnsi="Arial" w:cs="Arial"/>
          <w:sz w:val="20"/>
          <w:szCs w:val="20"/>
          <w:lang w:eastAsia="en-ZA"/>
        </w:rPr>
        <w:t xml:space="preserve">The Committee requested an update on progress made to date on outstanding legislation. The Department indicated that a written response will be provided to the Committee. </w:t>
      </w:r>
      <w:r w:rsidR="00EE77E7" w:rsidRPr="00AE5B3B">
        <w:rPr>
          <w:rFonts w:ascii="Arial" w:eastAsia="TimesNewRomanPSMT" w:hAnsi="Arial" w:cs="Arial"/>
          <w:sz w:val="20"/>
          <w:szCs w:val="20"/>
          <w:lang w:eastAsia="en-ZA"/>
        </w:rPr>
        <w:t xml:space="preserve"> </w:t>
      </w:r>
      <w:r w:rsidRPr="00AE5B3B">
        <w:rPr>
          <w:rFonts w:ascii="Arial" w:eastAsia="TimesNewRomanPSMT" w:hAnsi="Arial" w:cs="Arial"/>
          <w:sz w:val="20"/>
          <w:szCs w:val="20"/>
          <w:lang w:eastAsia="en-ZA"/>
        </w:rPr>
        <w:t xml:space="preserve"> </w:t>
      </w:r>
    </w:p>
    <w:p w:rsidR="002364E8" w:rsidRPr="00AE5B3B" w:rsidRDefault="002364E8" w:rsidP="00AE5B3B">
      <w:pPr>
        <w:spacing w:line="240" w:lineRule="auto"/>
        <w:jc w:val="left"/>
        <w:rPr>
          <w:rFonts w:ascii="Arial" w:eastAsia="TimesNewRomanPSMT" w:hAnsi="Arial" w:cs="Arial"/>
          <w:sz w:val="20"/>
          <w:szCs w:val="20"/>
          <w:lang w:eastAsia="en-ZA"/>
        </w:rPr>
      </w:pPr>
    </w:p>
    <w:p w:rsidR="0042783A" w:rsidRPr="00AE5B3B" w:rsidRDefault="0042783A" w:rsidP="00AE5B3B">
      <w:pPr>
        <w:pStyle w:val="ListParagraph"/>
        <w:numPr>
          <w:ilvl w:val="0"/>
          <w:numId w:val="25"/>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Theory of Change</w:t>
      </w:r>
      <w:r w:rsidR="007B6390" w:rsidRPr="00AE5B3B">
        <w:rPr>
          <w:rFonts w:ascii="Arial" w:eastAsia="TimesNewRomanPSMT" w:hAnsi="Arial" w:cs="Arial"/>
          <w:b/>
          <w:sz w:val="20"/>
          <w:szCs w:val="20"/>
          <w:lang w:eastAsia="en-ZA"/>
        </w:rPr>
        <w:t>:</w:t>
      </w:r>
      <w:r w:rsidR="007B6390" w:rsidRPr="00AE5B3B">
        <w:rPr>
          <w:rFonts w:ascii="Arial" w:eastAsia="TimesNewRomanPSMT" w:hAnsi="Arial" w:cs="Arial"/>
          <w:sz w:val="20"/>
          <w:szCs w:val="20"/>
          <w:lang w:eastAsia="en-ZA"/>
        </w:rPr>
        <w:t xml:space="preserve"> The Committee raised concern about the Department’s Theory of Change and requested that the theory must be explained </w:t>
      </w:r>
      <w:r w:rsidR="0084271F" w:rsidRPr="00AE5B3B">
        <w:rPr>
          <w:rFonts w:ascii="Arial" w:eastAsia="TimesNewRomanPSMT" w:hAnsi="Arial" w:cs="Arial"/>
          <w:sz w:val="20"/>
          <w:szCs w:val="20"/>
          <w:lang w:eastAsia="en-ZA"/>
        </w:rPr>
        <w:t>in more detail. The Committee indicated th</w:t>
      </w:r>
      <w:r w:rsidR="00592CD6" w:rsidRPr="00AE5B3B">
        <w:rPr>
          <w:rFonts w:ascii="Arial" w:eastAsia="TimesNewRomanPSMT" w:hAnsi="Arial" w:cs="Arial"/>
          <w:sz w:val="20"/>
          <w:szCs w:val="20"/>
          <w:lang w:eastAsia="en-ZA"/>
        </w:rPr>
        <w:t>at a meeting should be scheduled</w:t>
      </w:r>
      <w:r w:rsidR="0084271F" w:rsidRPr="00AE5B3B">
        <w:rPr>
          <w:rFonts w:ascii="Arial" w:eastAsia="TimesNewRomanPSMT" w:hAnsi="Arial" w:cs="Arial"/>
          <w:sz w:val="20"/>
          <w:szCs w:val="20"/>
          <w:lang w:eastAsia="en-ZA"/>
        </w:rPr>
        <w:t xml:space="preserve"> to further </w:t>
      </w:r>
      <w:r w:rsidR="00592CD6" w:rsidRPr="00AE5B3B">
        <w:rPr>
          <w:rFonts w:ascii="Arial" w:eastAsia="TimesNewRomanPSMT" w:hAnsi="Arial" w:cs="Arial"/>
          <w:sz w:val="20"/>
          <w:szCs w:val="20"/>
          <w:lang w:eastAsia="en-ZA"/>
        </w:rPr>
        <w:t>discuss</w:t>
      </w:r>
      <w:r w:rsidR="0084271F" w:rsidRPr="00AE5B3B">
        <w:rPr>
          <w:rFonts w:ascii="Arial" w:eastAsia="TimesNewRomanPSMT" w:hAnsi="Arial" w:cs="Arial"/>
          <w:sz w:val="20"/>
          <w:szCs w:val="20"/>
          <w:lang w:eastAsia="en-ZA"/>
        </w:rPr>
        <w:t xml:space="preserve"> the matters related thereto. </w:t>
      </w:r>
      <w:r w:rsidR="0084271F" w:rsidRPr="00AE5B3B">
        <w:rPr>
          <w:rFonts w:ascii="Arial" w:eastAsia="TimesNewRomanPSMT" w:hAnsi="Arial" w:cs="Arial"/>
          <w:sz w:val="20"/>
          <w:szCs w:val="20"/>
          <w:lang w:eastAsia="en-ZA"/>
        </w:rPr>
        <w:lastRenderedPageBreak/>
        <w:t>The Department welcomed the opportunity and indicated that a w</w:t>
      </w:r>
      <w:r w:rsidR="002364E8" w:rsidRPr="00AE5B3B">
        <w:rPr>
          <w:rFonts w:ascii="Arial" w:eastAsia="TimesNewRomanPSMT" w:hAnsi="Arial" w:cs="Arial"/>
          <w:sz w:val="20"/>
          <w:szCs w:val="20"/>
          <w:lang w:eastAsia="en-ZA"/>
        </w:rPr>
        <w:t>ritten response</w:t>
      </w:r>
      <w:r w:rsidR="00592CD6" w:rsidRPr="00AE5B3B">
        <w:rPr>
          <w:rFonts w:ascii="Arial" w:eastAsia="TimesNewRomanPSMT" w:hAnsi="Arial" w:cs="Arial"/>
          <w:sz w:val="20"/>
          <w:szCs w:val="20"/>
          <w:lang w:eastAsia="en-ZA"/>
        </w:rPr>
        <w:t xml:space="preserve"> will be provided</w:t>
      </w:r>
      <w:r w:rsidR="0084271F" w:rsidRPr="00AE5B3B">
        <w:rPr>
          <w:rFonts w:ascii="Arial" w:eastAsia="TimesNewRomanPSMT" w:hAnsi="Arial" w:cs="Arial"/>
          <w:sz w:val="20"/>
          <w:szCs w:val="20"/>
          <w:lang w:eastAsia="en-ZA"/>
        </w:rPr>
        <w:t xml:space="preserve">. </w:t>
      </w:r>
      <w:r w:rsidR="002364E8" w:rsidRPr="00AE5B3B">
        <w:rPr>
          <w:rFonts w:ascii="Arial" w:eastAsia="TimesNewRomanPSMT" w:hAnsi="Arial" w:cs="Arial"/>
          <w:sz w:val="20"/>
          <w:szCs w:val="20"/>
          <w:lang w:eastAsia="en-ZA"/>
        </w:rPr>
        <w:t xml:space="preserve"> </w:t>
      </w:r>
      <w:r w:rsidRPr="00AE5B3B">
        <w:rPr>
          <w:rFonts w:ascii="Arial" w:eastAsia="TimesNewRomanPSMT" w:hAnsi="Arial" w:cs="Arial"/>
          <w:sz w:val="20"/>
          <w:szCs w:val="20"/>
          <w:lang w:eastAsia="en-ZA"/>
        </w:rPr>
        <w:t xml:space="preserve"> </w:t>
      </w:r>
    </w:p>
    <w:p w:rsidR="002364E8" w:rsidRPr="00AE5B3B" w:rsidRDefault="002364E8" w:rsidP="00AE5B3B">
      <w:pPr>
        <w:spacing w:line="240" w:lineRule="auto"/>
        <w:jc w:val="left"/>
        <w:rPr>
          <w:rFonts w:ascii="Arial" w:eastAsia="TimesNewRomanPSMT" w:hAnsi="Arial" w:cs="Arial"/>
          <w:sz w:val="20"/>
          <w:szCs w:val="20"/>
          <w:lang w:eastAsia="en-ZA"/>
        </w:rPr>
      </w:pPr>
    </w:p>
    <w:p w:rsidR="0042783A" w:rsidRPr="00AE5B3B" w:rsidRDefault="0042783A" w:rsidP="00AE5B3B">
      <w:pPr>
        <w:pStyle w:val="ListParagraph"/>
        <w:numPr>
          <w:ilvl w:val="0"/>
          <w:numId w:val="25"/>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Unclear format of presentation</w:t>
      </w:r>
      <w:r w:rsidR="007B6390" w:rsidRPr="00AE5B3B">
        <w:rPr>
          <w:rFonts w:ascii="Arial" w:eastAsia="TimesNewRomanPSMT" w:hAnsi="Arial" w:cs="Arial"/>
          <w:sz w:val="20"/>
          <w:szCs w:val="20"/>
          <w:lang w:eastAsia="en-ZA"/>
        </w:rPr>
        <w:t>:</w:t>
      </w:r>
      <w:r w:rsidRPr="00AE5B3B">
        <w:rPr>
          <w:rFonts w:ascii="Arial" w:eastAsia="TimesNewRomanPSMT" w:hAnsi="Arial" w:cs="Arial"/>
          <w:sz w:val="20"/>
          <w:szCs w:val="20"/>
          <w:lang w:eastAsia="en-ZA"/>
        </w:rPr>
        <w:t xml:space="preserve"> </w:t>
      </w:r>
      <w:r w:rsidR="0084271F" w:rsidRPr="00AE5B3B">
        <w:rPr>
          <w:rFonts w:ascii="Arial" w:eastAsia="TimesNewRomanPSMT" w:hAnsi="Arial" w:cs="Arial"/>
          <w:sz w:val="20"/>
          <w:szCs w:val="20"/>
          <w:lang w:eastAsia="en-ZA"/>
        </w:rPr>
        <w:t xml:space="preserve">The Committee raised concern about the format of the Department’s presentation </w:t>
      </w:r>
      <w:r w:rsidR="00F32FD0" w:rsidRPr="00AE5B3B">
        <w:rPr>
          <w:rFonts w:ascii="Arial" w:eastAsia="TimesNewRomanPSMT" w:hAnsi="Arial" w:cs="Arial"/>
          <w:sz w:val="20"/>
          <w:szCs w:val="20"/>
          <w:lang w:eastAsia="en-ZA"/>
        </w:rPr>
        <w:t>as it was too wordy and somewhat confusing in deciphering clear indicators and measurement</w:t>
      </w:r>
      <w:r w:rsidR="00592CD6" w:rsidRPr="00AE5B3B">
        <w:rPr>
          <w:rFonts w:ascii="Arial" w:eastAsia="TimesNewRomanPSMT" w:hAnsi="Arial" w:cs="Arial"/>
          <w:sz w:val="20"/>
          <w:szCs w:val="20"/>
          <w:lang w:eastAsia="en-ZA"/>
        </w:rPr>
        <w:t>s</w:t>
      </w:r>
      <w:r w:rsidR="00F32FD0" w:rsidRPr="00AE5B3B">
        <w:rPr>
          <w:rFonts w:ascii="Arial" w:eastAsia="TimesNewRomanPSMT" w:hAnsi="Arial" w:cs="Arial"/>
          <w:sz w:val="20"/>
          <w:szCs w:val="20"/>
          <w:lang w:eastAsia="en-ZA"/>
        </w:rPr>
        <w:t xml:space="preserve">. The Committee </w:t>
      </w:r>
      <w:r w:rsidR="0084271F" w:rsidRPr="00AE5B3B">
        <w:rPr>
          <w:rFonts w:ascii="Arial" w:eastAsia="TimesNewRomanPSMT" w:hAnsi="Arial" w:cs="Arial"/>
          <w:sz w:val="20"/>
          <w:szCs w:val="20"/>
          <w:lang w:eastAsia="en-ZA"/>
        </w:rPr>
        <w:t>requested that it should be streamlined and</w:t>
      </w:r>
      <w:r w:rsidR="00F32FD0" w:rsidRPr="00AE5B3B">
        <w:rPr>
          <w:rFonts w:ascii="Arial" w:eastAsia="TimesNewRomanPSMT" w:hAnsi="Arial" w:cs="Arial"/>
          <w:sz w:val="20"/>
          <w:szCs w:val="20"/>
          <w:lang w:eastAsia="en-ZA"/>
        </w:rPr>
        <w:t xml:space="preserve"> should maybe mirror the format used by the Private Security Industry Regulatory Authority (PSIRA). The Department indicated that it uses the format </w:t>
      </w:r>
      <w:r w:rsidR="00F61DD1" w:rsidRPr="00AE5B3B">
        <w:rPr>
          <w:rFonts w:ascii="Arial" w:eastAsia="TimesNewRomanPSMT" w:hAnsi="Arial" w:cs="Arial"/>
          <w:sz w:val="20"/>
          <w:szCs w:val="20"/>
          <w:lang w:eastAsia="en-ZA"/>
        </w:rPr>
        <w:t xml:space="preserve">used to present to </w:t>
      </w:r>
      <w:r w:rsidR="00F32FD0" w:rsidRPr="00AE5B3B">
        <w:rPr>
          <w:rFonts w:ascii="Arial" w:eastAsia="TimesNewRomanPSMT" w:hAnsi="Arial" w:cs="Arial"/>
          <w:sz w:val="20"/>
          <w:szCs w:val="20"/>
          <w:lang w:eastAsia="en-ZA"/>
        </w:rPr>
        <w:t xml:space="preserve">the Department of Monitoring and Evaluation and committed to improve the layout of their presentation to the Committee in future. </w:t>
      </w:r>
    </w:p>
    <w:p w:rsidR="002364E8" w:rsidRPr="00AE5B3B" w:rsidRDefault="002364E8" w:rsidP="00AE5B3B">
      <w:pPr>
        <w:spacing w:line="240" w:lineRule="auto"/>
        <w:jc w:val="left"/>
        <w:rPr>
          <w:rFonts w:ascii="Arial" w:eastAsia="TimesNewRomanPSMT" w:hAnsi="Arial" w:cs="Arial"/>
          <w:sz w:val="20"/>
          <w:szCs w:val="20"/>
          <w:lang w:eastAsia="en-ZA"/>
        </w:rPr>
      </w:pPr>
    </w:p>
    <w:p w:rsidR="0042783A" w:rsidRPr="00AE5B3B" w:rsidRDefault="0042783A" w:rsidP="00AE5B3B">
      <w:pPr>
        <w:pStyle w:val="ListParagraph"/>
        <w:numPr>
          <w:ilvl w:val="0"/>
          <w:numId w:val="25"/>
        </w:numPr>
        <w:spacing w:line="240" w:lineRule="auto"/>
        <w:jc w:val="left"/>
        <w:rPr>
          <w:rFonts w:ascii="Arial" w:eastAsia="TimesNewRomanPSMT" w:hAnsi="Arial" w:cs="Arial"/>
          <w:sz w:val="20"/>
          <w:szCs w:val="20"/>
          <w:lang w:eastAsia="en-ZA"/>
        </w:rPr>
      </w:pPr>
      <w:r w:rsidRPr="00AE5B3B">
        <w:rPr>
          <w:rFonts w:ascii="Arial" w:eastAsia="TimesNewRomanPSMT" w:hAnsi="Arial" w:cs="Arial"/>
          <w:b/>
          <w:sz w:val="20"/>
          <w:szCs w:val="20"/>
          <w:lang w:eastAsia="en-ZA"/>
        </w:rPr>
        <w:t>Consultancy services</w:t>
      </w:r>
      <w:r w:rsidR="007B6390" w:rsidRPr="00AE5B3B">
        <w:rPr>
          <w:rFonts w:ascii="Arial" w:eastAsia="TimesNewRomanPSMT" w:hAnsi="Arial" w:cs="Arial"/>
          <w:b/>
          <w:sz w:val="20"/>
          <w:szCs w:val="20"/>
          <w:lang w:eastAsia="en-ZA"/>
        </w:rPr>
        <w:t>:</w:t>
      </w:r>
      <w:r w:rsidRPr="00AE5B3B">
        <w:rPr>
          <w:rFonts w:ascii="Arial" w:eastAsia="TimesNewRomanPSMT" w:hAnsi="Arial" w:cs="Arial"/>
          <w:sz w:val="20"/>
          <w:szCs w:val="20"/>
          <w:lang w:eastAsia="en-ZA"/>
        </w:rPr>
        <w:t xml:space="preserve"> </w:t>
      </w:r>
      <w:r w:rsidR="00F32FD0" w:rsidRPr="00AE5B3B">
        <w:rPr>
          <w:rFonts w:ascii="Arial" w:eastAsia="TimesNewRomanPSMT" w:hAnsi="Arial" w:cs="Arial"/>
          <w:sz w:val="20"/>
          <w:szCs w:val="20"/>
          <w:lang w:eastAsia="en-ZA"/>
        </w:rPr>
        <w:t xml:space="preserve">The Committee raised concern about the use of consultants and questioned what skills are lacking in the Department that necessitate the use of outside service providers. The Committee requested a breakdown of the services provided by the consultants. The Department indicated that consultants are not used </w:t>
      </w:r>
      <w:r w:rsidR="00246B09" w:rsidRPr="00AE5B3B">
        <w:rPr>
          <w:rFonts w:ascii="Arial" w:eastAsia="TimesNewRomanPSMT" w:hAnsi="Arial" w:cs="Arial"/>
          <w:sz w:val="20"/>
          <w:szCs w:val="20"/>
          <w:lang w:eastAsia="en-ZA"/>
        </w:rPr>
        <w:t>often</w:t>
      </w:r>
      <w:r w:rsidR="00592CD6" w:rsidRPr="00AE5B3B">
        <w:rPr>
          <w:rFonts w:ascii="Arial" w:eastAsia="TimesNewRomanPSMT" w:hAnsi="Arial" w:cs="Arial"/>
          <w:sz w:val="20"/>
          <w:szCs w:val="20"/>
          <w:lang w:eastAsia="en-ZA"/>
        </w:rPr>
        <w:t xml:space="preserve"> and when it does, i</w:t>
      </w:r>
      <w:r w:rsidR="00F32FD0" w:rsidRPr="00AE5B3B">
        <w:rPr>
          <w:rFonts w:ascii="Arial" w:eastAsia="TimesNewRomanPSMT" w:hAnsi="Arial" w:cs="Arial"/>
          <w:sz w:val="20"/>
          <w:szCs w:val="20"/>
          <w:lang w:eastAsia="en-ZA"/>
        </w:rPr>
        <w:t xml:space="preserve">t is normally on specialised areas of </w:t>
      </w:r>
      <w:r w:rsidR="00246B09" w:rsidRPr="00AE5B3B">
        <w:rPr>
          <w:rFonts w:ascii="Arial" w:eastAsia="TimesNewRomanPSMT" w:hAnsi="Arial" w:cs="Arial"/>
          <w:sz w:val="20"/>
          <w:szCs w:val="20"/>
          <w:lang w:eastAsia="en-ZA"/>
        </w:rPr>
        <w:t>policy development</w:t>
      </w:r>
      <w:r w:rsidR="00F32FD0" w:rsidRPr="00AE5B3B">
        <w:rPr>
          <w:rFonts w:ascii="Arial" w:eastAsia="TimesNewRomanPSMT" w:hAnsi="Arial" w:cs="Arial"/>
          <w:sz w:val="20"/>
          <w:szCs w:val="20"/>
          <w:lang w:eastAsia="en-ZA"/>
        </w:rPr>
        <w:t>, r</w:t>
      </w:r>
      <w:r w:rsidR="00246B09" w:rsidRPr="00AE5B3B">
        <w:rPr>
          <w:rFonts w:ascii="Arial" w:eastAsia="TimesNewRomanPSMT" w:hAnsi="Arial" w:cs="Arial"/>
          <w:sz w:val="20"/>
          <w:szCs w:val="20"/>
          <w:lang w:eastAsia="en-ZA"/>
        </w:rPr>
        <w:t xml:space="preserve">ecruitment </w:t>
      </w:r>
      <w:r w:rsidR="00F32FD0" w:rsidRPr="00AE5B3B">
        <w:rPr>
          <w:rFonts w:ascii="Arial" w:eastAsia="TimesNewRomanPSMT" w:hAnsi="Arial" w:cs="Arial"/>
          <w:sz w:val="20"/>
          <w:szCs w:val="20"/>
          <w:lang w:eastAsia="en-ZA"/>
        </w:rPr>
        <w:t>services and h</w:t>
      </w:r>
      <w:r w:rsidR="00246B09" w:rsidRPr="00AE5B3B">
        <w:rPr>
          <w:rFonts w:ascii="Arial" w:eastAsia="TimesNewRomanPSMT" w:hAnsi="Arial" w:cs="Arial"/>
          <w:sz w:val="20"/>
          <w:szCs w:val="20"/>
          <w:lang w:eastAsia="en-ZA"/>
        </w:rPr>
        <w:t xml:space="preserve">ealth consultants. </w:t>
      </w:r>
    </w:p>
    <w:p w:rsidR="002364E8" w:rsidRPr="00AE5B3B" w:rsidRDefault="002364E8" w:rsidP="00AE5B3B">
      <w:pPr>
        <w:spacing w:line="240" w:lineRule="auto"/>
        <w:jc w:val="left"/>
        <w:rPr>
          <w:rFonts w:ascii="Arial" w:eastAsia="TimesNewRomanPSMT" w:hAnsi="Arial" w:cs="Arial"/>
          <w:sz w:val="20"/>
          <w:szCs w:val="20"/>
          <w:lang w:eastAsia="en-ZA"/>
        </w:rPr>
      </w:pPr>
    </w:p>
    <w:p w:rsidR="0042783A" w:rsidRPr="00AE5B3B" w:rsidRDefault="0042783A" w:rsidP="00AE5B3B">
      <w:pPr>
        <w:pStyle w:val="ListParagraph"/>
        <w:numPr>
          <w:ilvl w:val="0"/>
          <w:numId w:val="22"/>
        </w:numPr>
        <w:spacing w:line="240" w:lineRule="auto"/>
        <w:jc w:val="left"/>
        <w:rPr>
          <w:rFonts w:ascii="Arial" w:hAnsi="Arial" w:cs="Arial"/>
          <w:sz w:val="20"/>
          <w:szCs w:val="20"/>
        </w:rPr>
      </w:pPr>
      <w:r w:rsidRPr="00AE5B3B">
        <w:rPr>
          <w:rFonts w:ascii="Arial" w:eastAsia="TimesNewRomanPSMT" w:hAnsi="Arial" w:cs="Arial"/>
          <w:b/>
          <w:sz w:val="20"/>
          <w:szCs w:val="20"/>
          <w:lang w:eastAsia="en-ZA"/>
        </w:rPr>
        <w:t>V</w:t>
      </w:r>
      <w:r w:rsidR="007B6390" w:rsidRPr="00AE5B3B">
        <w:rPr>
          <w:rFonts w:ascii="Arial" w:eastAsia="TimesNewRomanPSMT" w:hAnsi="Arial" w:cs="Arial"/>
          <w:b/>
          <w:sz w:val="20"/>
          <w:szCs w:val="20"/>
          <w:lang w:eastAsia="en-ZA"/>
        </w:rPr>
        <w:t>acancies:</w:t>
      </w:r>
      <w:r w:rsidR="007B6390" w:rsidRPr="00AE5B3B">
        <w:rPr>
          <w:rFonts w:ascii="Arial" w:eastAsia="TimesNewRomanPSMT" w:hAnsi="Arial" w:cs="Arial"/>
          <w:sz w:val="20"/>
          <w:szCs w:val="20"/>
          <w:lang w:eastAsia="en-ZA"/>
        </w:rPr>
        <w:t xml:space="preserve"> </w:t>
      </w:r>
      <w:r w:rsidR="00E557E3" w:rsidRPr="00AE5B3B">
        <w:rPr>
          <w:rFonts w:ascii="Arial" w:eastAsia="TimesNewRomanPSMT" w:hAnsi="Arial" w:cs="Arial"/>
          <w:sz w:val="20"/>
          <w:szCs w:val="20"/>
          <w:lang w:eastAsia="en-ZA"/>
        </w:rPr>
        <w:t>The Committee</w:t>
      </w:r>
      <w:r w:rsidR="00562E19" w:rsidRPr="00AE5B3B">
        <w:rPr>
          <w:rFonts w:ascii="Arial" w:eastAsia="TimesNewRomanPSMT" w:hAnsi="Arial" w:cs="Arial"/>
          <w:sz w:val="20"/>
          <w:szCs w:val="20"/>
          <w:lang w:eastAsia="en-ZA"/>
        </w:rPr>
        <w:t xml:space="preserve"> questioned whether vacancies are in</w:t>
      </w:r>
      <w:r w:rsidR="00E557E3" w:rsidRPr="00AE5B3B">
        <w:rPr>
          <w:rFonts w:ascii="Arial" w:eastAsia="TimesNewRomanPSMT" w:hAnsi="Arial" w:cs="Arial"/>
          <w:sz w:val="20"/>
          <w:szCs w:val="20"/>
          <w:lang w:eastAsia="en-ZA"/>
        </w:rPr>
        <w:t xml:space="preserve"> critical skills or professional skills</w:t>
      </w:r>
      <w:r w:rsidR="00562E19" w:rsidRPr="00AE5B3B">
        <w:rPr>
          <w:rFonts w:ascii="Arial" w:eastAsia="TimesNewRomanPSMT" w:hAnsi="Arial" w:cs="Arial"/>
          <w:sz w:val="20"/>
          <w:szCs w:val="20"/>
          <w:lang w:eastAsia="en-ZA"/>
        </w:rPr>
        <w:t xml:space="preserve">. The Department indicated that vacancies are across all types and that efforts are in place to fill vacancies within prescribed timeframes. In addition, the Department indicated that the </w:t>
      </w:r>
      <w:r w:rsidR="00FB7388" w:rsidRPr="00AE5B3B">
        <w:rPr>
          <w:rFonts w:ascii="Arial" w:eastAsia="TimesNewRomanPSMT" w:hAnsi="Arial" w:cs="Arial"/>
          <w:sz w:val="20"/>
          <w:szCs w:val="20"/>
          <w:lang w:eastAsia="en-ZA"/>
        </w:rPr>
        <w:t>G</w:t>
      </w:r>
      <w:r w:rsidR="00562E19" w:rsidRPr="00AE5B3B">
        <w:rPr>
          <w:rFonts w:ascii="Arial" w:eastAsia="TimesNewRomanPSMT" w:hAnsi="Arial" w:cs="Arial"/>
          <w:sz w:val="20"/>
          <w:szCs w:val="20"/>
          <w:lang w:eastAsia="en-ZA"/>
        </w:rPr>
        <w:t>overnment norm</w:t>
      </w:r>
      <w:r w:rsidR="00EE77E7" w:rsidRPr="00AE5B3B">
        <w:rPr>
          <w:rFonts w:ascii="Arial" w:eastAsia="TimesNewRomanPSMT" w:hAnsi="Arial" w:cs="Arial"/>
          <w:sz w:val="20"/>
          <w:szCs w:val="20"/>
          <w:lang w:eastAsia="en-ZA"/>
        </w:rPr>
        <w:t xml:space="preserve"> is </w:t>
      </w:r>
      <w:r w:rsidR="00562E19" w:rsidRPr="00AE5B3B">
        <w:rPr>
          <w:rFonts w:ascii="Arial" w:eastAsia="TimesNewRomanPSMT" w:hAnsi="Arial" w:cs="Arial"/>
          <w:sz w:val="20"/>
          <w:szCs w:val="20"/>
          <w:lang w:eastAsia="en-ZA"/>
        </w:rPr>
        <w:t xml:space="preserve">a vacancy rate of less than </w:t>
      </w:r>
      <w:r w:rsidR="00EE77E7" w:rsidRPr="00AE5B3B">
        <w:rPr>
          <w:rFonts w:ascii="Arial" w:eastAsia="TimesNewRomanPSMT" w:hAnsi="Arial" w:cs="Arial"/>
          <w:sz w:val="20"/>
          <w:szCs w:val="20"/>
          <w:lang w:eastAsia="en-ZA"/>
        </w:rPr>
        <w:t>10</w:t>
      </w:r>
      <w:r w:rsidR="00562E19" w:rsidRPr="00AE5B3B">
        <w:rPr>
          <w:rFonts w:ascii="Arial" w:eastAsia="TimesNewRomanPSMT" w:hAnsi="Arial" w:cs="Arial"/>
          <w:sz w:val="20"/>
          <w:szCs w:val="20"/>
          <w:lang w:eastAsia="en-ZA"/>
        </w:rPr>
        <w:t xml:space="preserve"> per cent</w:t>
      </w:r>
      <w:r w:rsidR="00EE77E7" w:rsidRPr="00AE5B3B">
        <w:rPr>
          <w:rFonts w:ascii="Arial" w:eastAsia="TimesNewRomanPSMT" w:hAnsi="Arial" w:cs="Arial"/>
          <w:sz w:val="20"/>
          <w:szCs w:val="20"/>
          <w:lang w:eastAsia="en-ZA"/>
        </w:rPr>
        <w:t xml:space="preserve">, </w:t>
      </w:r>
      <w:r w:rsidR="00562E19" w:rsidRPr="00AE5B3B">
        <w:rPr>
          <w:rFonts w:ascii="Arial" w:eastAsia="TimesNewRomanPSMT" w:hAnsi="Arial" w:cs="Arial"/>
          <w:sz w:val="20"/>
          <w:szCs w:val="20"/>
          <w:lang w:eastAsia="en-ZA"/>
        </w:rPr>
        <w:t xml:space="preserve">but due to the size of the Department, a vacancy rate of less than </w:t>
      </w:r>
      <w:r w:rsidR="00EE77E7" w:rsidRPr="00AE5B3B">
        <w:rPr>
          <w:rFonts w:ascii="Arial" w:eastAsia="TimesNewRomanPSMT" w:hAnsi="Arial" w:cs="Arial"/>
          <w:sz w:val="20"/>
          <w:szCs w:val="20"/>
          <w:lang w:eastAsia="en-ZA"/>
        </w:rPr>
        <w:t>7</w:t>
      </w:r>
      <w:r w:rsidR="00562E19" w:rsidRPr="00AE5B3B">
        <w:rPr>
          <w:rFonts w:ascii="Arial" w:eastAsia="TimesNewRomanPSMT" w:hAnsi="Arial" w:cs="Arial"/>
          <w:sz w:val="20"/>
          <w:szCs w:val="20"/>
          <w:lang w:eastAsia="en-ZA"/>
        </w:rPr>
        <w:t xml:space="preserve"> per cent was adopted. The Department stated that many int</w:t>
      </w:r>
      <w:r w:rsidR="00EB7AED" w:rsidRPr="00AE5B3B">
        <w:rPr>
          <w:rFonts w:ascii="Arial" w:eastAsia="TimesNewRomanPSMT" w:hAnsi="Arial" w:cs="Arial"/>
          <w:sz w:val="20"/>
          <w:szCs w:val="20"/>
          <w:lang w:eastAsia="en-ZA"/>
        </w:rPr>
        <w:t xml:space="preserve">ernal promotions are made and although this is a positive step for employees, it does not lessen the vacancy rate of the Department. </w:t>
      </w:r>
    </w:p>
    <w:p w:rsidR="00952CEB" w:rsidRPr="00AE5B3B" w:rsidRDefault="00952CEB" w:rsidP="00AE5B3B">
      <w:pPr>
        <w:spacing w:line="240" w:lineRule="auto"/>
        <w:jc w:val="left"/>
        <w:rPr>
          <w:rFonts w:ascii="Arial" w:hAnsi="Arial" w:cs="Arial"/>
          <w:sz w:val="20"/>
          <w:szCs w:val="20"/>
        </w:rPr>
      </w:pPr>
    </w:p>
    <w:p w:rsidR="00FB33B9" w:rsidRPr="00AE5B3B" w:rsidRDefault="00FB33B9" w:rsidP="00AE5B3B">
      <w:pPr>
        <w:pStyle w:val="Heading1"/>
        <w:numPr>
          <w:ilvl w:val="0"/>
          <w:numId w:val="19"/>
        </w:numPr>
        <w:spacing w:before="0" w:line="240" w:lineRule="auto"/>
        <w:jc w:val="left"/>
        <w:rPr>
          <w:rFonts w:ascii="Arial" w:hAnsi="Arial" w:cs="Arial"/>
          <w:sz w:val="20"/>
          <w:szCs w:val="20"/>
        </w:rPr>
      </w:pPr>
      <w:r w:rsidRPr="00AE5B3B">
        <w:rPr>
          <w:rFonts w:ascii="Arial" w:hAnsi="Arial" w:cs="Arial"/>
          <w:sz w:val="20"/>
          <w:szCs w:val="20"/>
        </w:rPr>
        <w:t xml:space="preserve">Committee recommendations </w:t>
      </w:r>
      <w:r w:rsidR="00C841CB" w:rsidRPr="00AE5B3B">
        <w:rPr>
          <w:rFonts w:ascii="Arial" w:hAnsi="Arial" w:cs="Arial"/>
          <w:sz w:val="20"/>
          <w:szCs w:val="20"/>
        </w:rPr>
        <w:t xml:space="preserve">and request for information </w:t>
      </w:r>
    </w:p>
    <w:p w:rsidR="00FB33B9" w:rsidRPr="00AE5B3B" w:rsidRDefault="00FB33B9" w:rsidP="00AE5B3B">
      <w:pPr>
        <w:spacing w:line="240" w:lineRule="auto"/>
        <w:jc w:val="left"/>
        <w:rPr>
          <w:rFonts w:ascii="Arial" w:hAnsi="Arial" w:cs="Arial"/>
          <w:sz w:val="20"/>
          <w:szCs w:val="20"/>
        </w:rPr>
      </w:pPr>
    </w:p>
    <w:p w:rsidR="00C841CB" w:rsidRPr="00AE5B3B" w:rsidRDefault="00C841CB"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Recommendations</w:t>
      </w:r>
    </w:p>
    <w:p w:rsidR="00C841CB" w:rsidRPr="00AE5B3B" w:rsidRDefault="00C841CB" w:rsidP="00AE5B3B">
      <w:pPr>
        <w:spacing w:line="240" w:lineRule="auto"/>
        <w:jc w:val="left"/>
        <w:rPr>
          <w:rFonts w:ascii="Arial" w:hAnsi="Arial" w:cs="Arial"/>
          <w:sz w:val="20"/>
          <w:szCs w:val="20"/>
        </w:rPr>
      </w:pPr>
    </w:p>
    <w:p w:rsidR="005D10C1" w:rsidRPr="00AE5B3B" w:rsidRDefault="00952CEB" w:rsidP="00AE5B3B">
      <w:pPr>
        <w:spacing w:line="240" w:lineRule="auto"/>
        <w:jc w:val="left"/>
        <w:rPr>
          <w:rFonts w:ascii="Arial" w:hAnsi="Arial" w:cs="Arial"/>
          <w:bCs/>
          <w:sz w:val="20"/>
          <w:szCs w:val="20"/>
          <w:lang w:eastAsia="en-ZA"/>
        </w:rPr>
      </w:pPr>
      <w:r w:rsidRPr="00AE5B3B">
        <w:rPr>
          <w:rFonts w:ascii="Arial" w:hAnsi="Arial" w:cs="Arial"/>
          <w:bCs/>
          <w:sz w:val="20"/>
          <w:szCs w:val="20"/>
          <w:lang w:eastAsia="en-ZA"/>
        </w:rPr>
        <w:t>The Committee made the following recommendations:</w:t>
      </w:r>
    </w:p>
    <w:p w:rsidR="005D10C1" w:rsidRPr="00AE5B3B" w:rsidRDefault="005D10C1" w:rsidP="00AE5B3B">
      <w:pPr>
        <w:spacing w:line="240" w:lineRule="auto"/>
        <w:jc w:val="left"/>
        <w:rPr>
          <w:rFonts w:ascii="Arial" w:hAnsi="Arial" w:cs="Arial"/>
          <w:bCs/>
          <w:sz w:val="20"/>
          <w:szCs w:val="20"/>
          <w:lang w:eastAsia="en-ZA"/>
        </w:rPr>
      </w:pPr>
    </w:p>
    <w:p w:rsidR="008D0C6C" w:rsidRPr="00AE5B3B" w:rsidRDefault="008D0C6C"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 xml:space="preserve">The Committee recommends that the Department should further analyse the impact that their programmes have on the professionalisation of the SAPS. </w:t>
      </w:r>
    </w:p>
    <w:p w:rsidR="008D0C6C" w:rsidRPr="00AE5B3B" w:rsidRDefault="005D10C1"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The Committee recommends that the Department should</w:t>
      </w:r>
      <w:r w:rsidR="008D0C6C" w:rsidRPr="00AE5B3B">
        <w:rPr>
          <w:rFonts w:ascii="Arial" w:hAnsi="Arial" w:cs="Arial"/>
          <w:bCs/>
          <w:sz w:val="20"/>
          <w:szCs w:val="20"/>
          <w:lang w:eastAsia="en-ZA"/>
        </w:rPr>
        <w:t xml:space="preserve"> </w:t>
      </w:r>
      <w:r w:rsidR="00D336B4" w:rsidRPr="00AE5B3B">
        <w:rPr>
          <w:rFonts w:ascii="Arial" w:hAnsi="Arial" w:cs="Arial"/>
          <w:bCs/>
          <w:sz w:val="20"/>
          <w:szCs w:val="20"/>
          <w:lang w:eastAsia="en-ZA"/>
        </w:rPr>
        <w:t xml:space="preserve">analyse </w:t>
      </w:r>
      <w:r w:rsidR="008D0C6C" w:rsidRPr="00AE5B3B">
        <w:rPr>
          <w:rFonts w:ascii="Arial" w:hAnsi="Arial" w:cs="Arial"/>
          <w:bCs/>
          <w:sz w:val="20"/>
          <w:szCs w:val="20"/>
          <w:lang w:eastAsia="en-ZA"/>
        </w:rPr>
        <w:t xml:space="preserve">incidents of suicide, murder/suicide and femicide in the SAPS </w:t>
      </w:r>
      <w:r w:rsidR="00D336B4" w:rsidRPr="00AE5B3B">
        <w:rPr>
          <w:rFonts w:ascii="Arial" w:hAnsi="Arial" w:cs="Arial"/>
          <w:bCs/>
          <w:sz w:val="20"/>
          <w:szCs w:val="20"/>
          <w:lang w:eastAsia="en-ZA"/>
        </w:rPr>
        <w:t>(and by SAPS members) to</w:t>
      </w:r>
      <w:r w:rsidR="008D0C6C" w:rsidRPr="00AE5B3B">
        <w:rPr>
          <w:rFonts w:ascii="Arial" w:hAnsi="Arial" w:cs="Arial"/>
          <w:bCs/>
          <w:sz w:val="20"/>
          <w:szCs w:val="20"/>
          <w:lang w:eastAsia="en-ZA"/>
        </w:rPr>
        <w:t xml:space="preserve"> identify the causative factors that led to these incidents.</w:t>
      </w:r>
    </w:p>
    <w:p w:rsidR="008D0C6C" w:rsidRPr="00AE5B3B" w:rsidRDefault="008D0C6C"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 xml:space="preserve">The Committee recommends that the Department should review the effectiveness of the Wellness Programmes </w:t>
      </w:r>
      <w:r w:rsidR="00D336B4" w:rsidRPr="00AE5B3B">
        <w:rPr>
          <w:rFonts w:ascii="Arial" w:hAnsi="Arial" w:cs="Arial"/>
          <w:bCs/>
          <w:sz w:val="20"/>
          <w:szCs w:val="20"/>
          <w:lang w:eastAsia="en-ZA"/>
        </w:rPr>
        <w:t xml:space="preserve">offered by the SAPS to their members </w:t>
      </w:r>
      <w:r w:rsidRPr="00AE5B3B">
        <w:rPr>
          <w:rFonts w:ascii="Arial" w:hAnsi="Arial" w:cs="Arial"/>
          <w:bCs/>
          <w:sz w:val="20"/>
          <w:szCs w:val="20"/>
          <w:lang w:eastAsia="en-ZA"/>
        </w:rPr>
        <w:t xml:space="preserve">to ascertain whether police members receive adequate psychological </w:t>
      </w:r>
      <w:r w:rsidR="00A66BE7" w:rsidRPr="00AE5B3B">
        <w:rPr>
          <w:rFonts w:ascii="Arial" w:hAnsi="Arial" w:cs="Arial"/>
          <w:bCs/>
          <w:sz w:val="20"/>
          <w:szCs w:val="20"/>
          <w:lang w:eastAsia="en-ZA"/>
        </w:rPr>
        <w:t xml:space="preserve">and emotional </w:t>
      </w:r>
      <w:r w:rsidRPr="00AE5B3B">
        <w:rPr>
          <w:rFonts w:ascii="Arial" w:hAnsi="Arial" w:cs="Arial"/>
          <w:bCs/>
          <w:sz w:val="20"/>
          <w:szCs w:val="20"/>
          <w:lang w:eastAsia="en-ZA"/>
        </w:rPr>
        <w:t xml:space="preserve">support.  </w:t>
      </w:r>
    </w:p>
    <w:p w:rsidR="00AD46C3" w:rsidRPr="00AE5B3B" w:rsidRDefault="008D0C6C"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 xml:space="preserve">The Committee recommends that the Department should investigate the impact of administrative and police personnel employed under two different legislative prescripts in the SAPS. The Committee further recommends that the Department should revisit efforts made through the 2011 SSSBC agreement to incorporate PSA personnel under the SAPS Act. </w:t>
      </w:r>
    </w:p>
    <w:p w:rsidR="00A66BE7" w:rsidRPr="00AE5B3B" w:rsidRDefault="00AD46C3"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 xml:space="preserve">The Committee recommends that the Department should intensify efforts to submit legislation to the Minister for tabling in Parliament. The Committee notes the Department’s dependencies in terms of the processing of legislation and recommends that the Department should approach the Committee for assistance in this regard.   </w:t>
      </w:r>
      <w:r w:rsidR="008D0C6C" w:rsidRPr="00AE5B3B">
        <w:rPr>
          <w:rFonts w:ascii="Arial" w:hAnsi="Arial" w:cs="Arial"/>
          <w:bCs/>
          <w:sz w:val="20"/>
          <w:szCs w:val="20"/>
          <w:lang w:eastAsia="en-ZA"/>
        </w:rPr>
        <w:t xml:space="preserve"> </w:t>
      </w:r>
    </w:p>
    <w:p w:rsidR="00952CEB" w:rsidRPr="00AE5B3B" w:rsidRDefault="00A66BE7" w:rsidP="00AE5B3B">
      <w:pPr>
        <w:pStyle w:val="ListParagraph"/>
        <w:numPr>
          <w:ilvl w:val="0"/>
          <w:numId w:val="30"/>
        </w:numPr>
        <w:spacing w:line="240" w:lineRule="auto"/>
        <w:jc w:val="left"/>
        <w:rPr>
          <w:rFonts w:ascii="Arial" w:hAnsi="Arial" w:cs="Arial"/>
          <w:bCs/>
          <w:sz w:val="20"/>
          <w:szCs w:val="20"/>
          <w:lang w:eastAsia="en-ZA"/>
        </w:rPr>
      </w:pPr>
      <w:r w:rsidRPr="00AE5B3B">
        <w:rPr>
          <w:rFonts w:ascii="Arial" w:hAnsi="Arial" w:cs="Arial"/>
          <w:bCs/>
          <w:sz w:val="20"/>
          <w:szCs w:val="20"/>
          <w:lang w:eastAsia="en-ZA"/>
        </w:rPr>
        <w:t xml:space="preserve">The Committee recommends that the Department simplify the format of presentations made to the Committee to clearly convey their message.  </w:t>
      </w:r>
      <w:r w:rsidR="008D0C6C" w:rsidRPr="00AE5B3B">
        <w:rPr>
          <w:rFonts w:ascii="Arial" w:hAnsi="Arial" w:cs="Arial"/>
          <w:bCs/>
          <w:sz w:val="20"/>
          <w:szCs w:val="20"/>
          <w:lang w:eastAsia="en-ZA"/>
        </w:rPr>
        <w:t xml:space="preserve">  </w:t>
      </w:r>
      <w:r w:rsidR="005D10C1" w:rsidRPr="00AE5B3B">
        <w:rPr>
          <w:rFonts w:ascii="Arial" w:hAnsi="Arial" w:cs="Arial"/>
          <w:bCs/>
          <w:sz w:val="20"/>
          <w:szCs w:val="20"/>
          <w:lang w:eastAsia="en-ZA"/>
        </w:rPr>
        <w:t xml:space="preserve"> </w:t>
      </w:r>
      <w:r w:rsidR="00952CEB" w:rsidRPr="00AE5B3B">
        <w:rPr>
          <w:rFonts w:ascii="Arial" w:hAnsi="Arial" w:cs="Arial"/>
          <w:bCs/>
          <w:sz w:val="20"/>
          <w:szCs w:val="20"/>
          <w:lang w:eastAsia="en-ZA"/>
        </w:rPr>
        <w:t xml:space="preserve"> </w:t>
      </w:r>
    </w:p>
    <w:p w:rsidR="00952CEB" w:rsidRPr="00AE5B3B" w:rsidRDefault="00952CEB" w:rsidP="00AE5B3B">
      <w:pPr>
        <w:spacing w:line="240" w:lineRule="auto"/>
        <w:jc w:val="left"/>
        <w:rPr>
          <w:rFonts w:ascii="Arial" w:hAnsi="Arial" w:cs="Arial"/>
          <w:sz w:val="20"/>
          <w:szCs w:val="20"/>
        </w:rPr>
      </w:pPr>
    </w:p>
    <w:p w:rsidR="00C841CB" w:rsidRPr="00AE5B3B" w:rsidRDefault="00C841CB" w:rsidP="00AE5B3B">
      <w:pPr>
        <w:pStyle w:val="Heading2"/>
        <w:numPr>
          <w:ilvl w:val="1"/>
          <w:numId w:val="19"/>
        </w:numPr>
        <w:spacing w:before="0" w:line="240" w:lineRule="auto"/>
        <w:rPr>
          <w:rFonts w:ascii="Arial" w:hAnsi="Arial" w:cs="Arial"/>
          <w:sz w:val="20"/>
          <w:szCs w:val="20"/>
        </w:rPr>
      </w:pPr>
      <w:r w:rsidRPr="00AE5B3B">
        <w:rPr>
          <w:rFonts w:ascii="Arial" w:hAnsi="Arial" w:cs="Arial"/>
          <w:sz w:val="20"/>
          <w:szCs w:val="20"/>
        </w:rPr>
        <w:t>Requested information</w:t>
      </w:r>
    </w:p>
    <w:p w:rsidR="00C841CB" w:rsidRPr="00AE5B3B" w:rsidRDefault="00C841CB" w:rsidP="00AE5B3B">
      <w:pPr>
        <w:spacing w:line="240" w:lineRule="auto"/>
        <w:jc w:val="left"/>
        <w:rPr>
          <w:rFonts w:ascii="Arial" w:hAnsi="Arial" w:cs="Arial"/>
          <w:sz w:val="20"/>
          <w:szCs w:val="20"/>
        </w:rPr>
      </w:pPr>
    </w:p>
    <w:p w:rsidR="00C841CB" w:rsidRPr="00AE5B3B" w:rsidRDefault="00C841CB" w:rsidP="00AE5B3B">
      <w:pPr>
        <w:spacing w:line="240" w:lineRule="auto"/>
        <w:jc w:val="left"/>
        <w:rPr>
          <w:rFonts w:ascii="Arial" w:hAnsi="Arial" w:cs="Arial"/>
          <w:sz w:val="20"/>
          <w:szCs w:val="20"/>
        </w:rPr>
      </w:pPr>
      <w:r w:rsidRPr="00AE5B3B">
        <w:rPr>
          <w:rFonts w:ascii="Arial" w:hAnsi="Arial" w:cs="Arial"/>
          <w:sz w:val="20"/>
          <w:szCs w:val="20"/>
        </w:rPr>
        <w:t xml:space="preserve">The Committee requested the following information to be submitted by 25 April 2022: </w:t>
      </w:r>
    </w:p>
    <w:p w:rsidR="00C841CB" w:rsidRPr="00AE5B3B" w:rsidRDefault="00C841CB" w:rsidP="00AE5B3B">
      <w:pPr>
        <w:pStyle w:val="ListParagraph"/>
        <w:numPr>
          <w:ilvl w:val="0"/>
          <w:numId w:val="29"/>
        </w:numPr>
        <w:spacing w:line="240" w:lineRule="auto"/>
        <w:jc w:val="left"/>
        <w:rPr>
          <w:rFonts w:ascii="Arial" w:hAnsi="Arial" w:cs="Arial"/>
          <w:sz w:val="20"/>
          <w:szCs w:val="20"/>
        </w:rPr>
      </w:pPr>
      <w:r w:rsidRPr="00AE5B3B">
        <w:rPr>
          <w:rFonts w:ascii="Arial" w:hAnsi="Arial" w:cs="Arial"/>
          <w:sz w:val="20"/>
          <w:szCs w:val="20"/>
        </w:rPr>
        <w:t>A copy of the 2021/22 Customer Satisfaction Survey.</w:t>
      </w:r>
    </w:p>
    <w:p w:rsidR="00C841CB" w:rsidRPr="00AE5B3B" w:rsidRDefault="00C841CB" w:rsidP="00AE5B3B">
      <w:pPr>
        <w:pStyle w:val="ListParagraph"/>
        <w:numPr>
          <w:ilvl w:val="0"/>
          <w:numId w:val="29"/>
        </w:numPr>
        <w:spacing w:line="240" w:lineRule="auto"/>
        <w:jc w:val="left"/>
        <w:rPr>
          <w:rFonts w:ascii="Arial" w:hAnsi="Arial" w:cs="Arial"/>
          <w:sz w:val="20"/>
          <w:szCs w:val="20"/>
        </w:rPr>
      </w:pPr>
      <w:r w:rsidRPr="00AE5B3B">
        <w:rPr>
          <w:rFonts w:ascii="Arial" w:hAnsi="Arial" w:cs="Arial"/>
          <w:sz w:val="20"/>
          <w:szCs w:val="20"/>
        </w:rPr>
        <w:t xml:space="preserve">Report on progress made on legislation. </w:t>
      </w:r>
    </w:p>
    <w:p w:rsidR="00C841CB" w:rsidRPr="00AE5B3B" w:rsidRDefault="00C841CB" w:rsidP="00AE5B3B">
      <w:pPr>
        <w:pStyle w:val="ListParagraph"/>
        <w:numPr>
          <w:ilvl w:val="0"/>
          <w:numId w:val="29"/>
        </w:numPr>
        <w:spacing w:line="240" w:lineRule="auto"/>
        <w:jc w:val="left"/>
        <w:rPr>
          <w:rFonts w:ascii="Arial" w:hAnsi="Arial" w:cs="Arial"/>
          <w:sz w:val="20"/>
          <w:szCs w:val="20"/>
        </w:rPr>
      </w:pPr>
      <w:r w:rsidRPr="00AE5B3B">
        <w:rPr>
          <w:rFonts w:ascii="Arial" w:hAnsi="Arial" w:cs="Arial"/>
          <w:sz w:val="20"/>
          <w:szCs w:val="20"/>
        </w:rPr>
        <w:t xml:space="preserve">Report explaining the Department’s Theory of Change. </w:t>
      </w:r>
    </w:p>
    <w:p w:rsidR="00C841CB" w:rsidRPr="00AE5B3B" w:rsidRDefault="00C841CB" w:rsidP="00AE5B3B">
      <w:pPr>
        <w:pStyle w:val="ListParagraph"/>
        <w:numPr>
          <w:ilvl w:val="0"/>
          <w:numId w:val="29"/>
        </w:numPr>
        <w:spacing w:line="240" w:lineRule="auto"/>
        <w:jc w:val="left"/>
        <w:rPr>
          <w:rFonts w:ascii="Arial" w:hAnsi="Arial" w:cs="Arial"/>
          <w:sz w:val="20"/>
          <w:szCs w:val="20"/>
        </w:rPr>
      </w:pPr>
      <w:r w:rsidRPr="00AE5B3B">
        <w:rPr>
          <w:rFonts w:ascii="Arial" w:hAnsi="Arial" w:cs="Arial"/>
          <w:sz w:val="20"/>
          <w:szCs w:val="20"/>
        </w:rPr>
        <w:t xml:space="preserve">Location of CFSs countrywide. </w:t>
      </w:r>
    </w:p>
    <w:p w:rsidR="00C841CB" w:rsidRPr="00AE5B3B" w:rsidRDefault="00C841CB" w:rsidP="00AE5B3B">
      <w:pPr>
        <w:spacing w:line="240" w:lineRule="auto"/>
        <w:jc w:val="left"/>
        <w:rPr>
          <w:rFonts w:ascii="Arial" w:hAnsi="Arial" w:cs="Arial"/>
          <w:sz w:val="20"/>
          <w:szCs w:val="20"/>
        </w:rPr>
      </w:pPr>
    </w:p>
    <w:p w:rsidR="006160F2" w:rsidRPr="00AE5B3B" w:rsidRDefault="006160F2" w:rsidP="00AE5B3B">
      <w:pPr>
        <w:pStyle w:val="Heading1"/>
        <w:numPr>
          <w:ilvl w:val="0"/>
          <w:numId w:val="19"/>
        </w:numPr>
        <w:spacing w:before="0" w:line="240" w:lineRule="auto"/>
        <w:jc w:val="left"/>
        <w:rPr>
          <w:rFonts w:ascii="Arial" w:hAnsi="Arial" w:cs="Arial"/>
          <w:sz w:val="20"/>
          <w:szCs w:val="20"/>
        </w:rPr>
      </w:pPr>
      <w:r w:rsidRPr="00AE5B3B">
        <w:rPr>
          <w:rFonts w:ascii="Arial" w:hAnsi="Arial" w:cs="Arial"/>
          <w:sz w:val="20"/>
          <w:szCs w:val="20"/>
        </w:rPr>
        <w:t>Conclusion</w:t>
      </w:r>
      <w:bookmarkEnd w:id="17"/>
      <w:r w:rsidRPr="00AE5B3B">
        <w:rPr>
          <w:rFonts w:ascii="Arial" w:hAnsi="Arial" w:cs="Arial"/>
          <w:sz w:val="20"/>
          <w:szCs w:val="20"/>
        </w:rPr>
        <w:t xml:space="preserve"> </w:t>
      </w:r>
    </w:p>
    <w:p w:rsidR="006160F2" w:rsidRPr="00AE5B3B" w:rsidRDefault="006160F2" w:rsidP="00AE5B3B">
      <w:pPr>
        <w:pStyle w:val="Heading1"/>
        <w:spacing w:before="0" w:line="240" w:lineRule="auto"/>
        <w:jc w:val="left"/>
        <w:rPr>
          <w:rFonts w:ascii="Arial" w:hAnsi="Arial" w:cs="Arial"/>
          <w:sz w:val="20"/>
          <w:szCs w:val="20"/>
        </w:rPr>
      </w:pPr>
    </w:p>
    <w:p w:rsidR="006160F2" w:rsidRPr="00AE5B3B" w:rsidRDefault="006160F2" w:rsidP="00AE5B3B">
      <w:pPr>
        <w:spacing w:line="240" w:lineRule="auto"/>
        <w:jc w:val="left"/>
        <w:rPr>
          <w:rFonts w:ascii="Arial" w:hAnsi="Arial" w:cs="Arial"/>
          <w:sz w:val="20"/>
          <w:szCs w:val="20"/>
        </w:rPr>
      </w:pPr>
      <w:r w:rsidRPr="00AE5B3B">
        <w:rPr>
          <w:rFonts w:ascii="Arial" w:hAnsi="Arial" w:cs="Arial"/>
          <w:sz w:val="20"/>
          <w:szCs w:val="20"/>
        </w:rPr>
        <w:t xml:space="preserve">The CSPS must prioritise its role to reduce violent crime through the promotion of a more active citizenry and the establishment of a new social compact. A key aspect thereof is the effective implementation of the 2016 White Paper on Safety and Security, which </w:t>
      </w:r>
      <w:r w:rsidRPr="00AE5B3B">
        <w:rPr>
          <w:rFonts w:ascii="Arial" w:hAnsi="Arial" w:cs="Arial"/>
          <w:sz w:val="20"/>
          <w:szCs w:val="20"/>
          <w:lang w:eastAsia="en-ZA"/>
        </w:rPr>
        <w:t xml:space="preserve">focuses on realising the Vision 2030 and </w:t>
      </w:r>
      <w:r w:rsidR="006D0745" w:rsidRPr="00AE5B3B">
        <w:rPr>
          <w:rFonts w:ascii="Arial" w:hAnsi="Arial" w:cs="Arial"/>
          <w:sz w:val="20"/>
          <w:szCs w:val="20"/>
          <w:lang w:eastAsia="en-ZA"/>
        </w:rPr>
        <w:t xml:space="preserve">creating an </w:t>
      </w:r>
      <w:r w:rsidRPr="00AE5B3B">
        <w:rPr>
          <w:rFonts w:ascii="Arial" w:hAnsi="Arial" w:cs="Arial"/>
          <w:sz w:val="20"/>
          <w:szCs w:val="20"/>
          <w:lang w:eastAsia="en-ZA"/>
        </w:rPr>
        <w:t xml:space="preserve">integrated and holistic approach to safety and security across all </w:t>
      </w:r>
      <w:r w:rsidR="00FB7388" w:rsidRPr="00AE5B3B">
        <w:rPr>
          <w:rFonts w:ascii="Arial" w:hAnsi="Arial" w:cs="Arial"/>
          <w:sz w:val="20"/>
          <w:szCs w:val="20"/>
          <w:lang w:eastAsia="en-ZA"/>
        </w:rPr>
        <w:t>G</w:t>
      </w:r>
      <w:r w:rsidRPr="00AE5B3B">
        <w:rPr>
          <w:rFonts w:ascii="Arial" w:hAnsi="Arial" w:cs="Arial"/>
          <w:sz w:val="20"/>
          <w:szCs w:val="20"/>
          <w:lang w:eastAsia="en-ZA"/>
        </w:rPr>
        <w:t>overnment departments and civil society.</w:t>
      </w:r>
      <w:r w:rsidR="004B2FF2" w:rsidRPr="00AE5B3B">
        <w:rPr>
          <w:rFonts w:ascii="Arial" w:hAnsi="Arial" w:cs="Arial"/>
          <w:sz w:val="20"/>
          <w:szCs w:val="20"/>
        </w:rPr>
        <w:t xml:space="preserve"> </w:t>
      </w:r>
    </w:p>
    <w:p w:rsidR="0048063E" w:rsidRPr="00AE5B3B" w:rsidRDefault="0048063E" w:rsidP="00AE5B3B">
      <w:pPr>
        <w:spacing w:line="240" w:lineRule="auto"/>
        <w:jc w:val="left"/>
        <w:rPr>
          <w:rFonts w:ascii="Arial" w:hAnsi="Arial" w:cs="Arial"/>
          <w:sz w:val="20"/>
          <w:szCs w:val="20"/>
        </w:rPr>
      </w:pPr>
    </w:p>
    <w:p w:rsidR="0048063E" w:rsidRPr="00AE5B3B" w:rsidRDefault="0048063E" w:rsidP="00AE5B3B">
      <w:pPr>
        <w:autoSpaceDE w:val="0"/>
        <w:autoSpaceDN w:val="0"/>
        <w:adjustRightInd w:val="0"/>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The Portfolio Committee on Police supports the budget of the Civilian Secretariat for Police Service (CSPS) for 2022/23 and recommends that the Budget Vote 21 be adopted.</w:t>
      </w:r>
    </w:p>
    <w:p w:rsidR="0048063E" w:rsidRPr="00AE5B3B" w:rsidRDefault="0048063E" w:rsidP="00AE5B3B">
      <w:pPr>
        <w:spacing w:line="240" w:lineRule="auto"/>
        <w:jc w:val="left"/>
        <w:rPr>
          <w:rFonts w:ascii="Arial" w:hAnsi="Arial" w:cs="Arial"/>
          <w:sz w:val="20"/>
          <w:szCs w:val="20"/>
        </w:rPr>
      </w:pPr>
    </w:p>
    <w:p w:rsidR="00F86368" w:rsidRPr="00AE5B3B" w:rsidRDefault="00C924E4" w:rsidP="00AE5B3B">
      <w:pPr>
        <w:spacing w:line="240" w:lineRule="auto"/>
        <w:jc w:val="left"/>
        <w:rPr>
          <w:rFonts w:ascii="Arial" w:eastAsia="TimesNewRomanPSMT" w:hAnsi="Arial" w:cs="Arial"/>
          <w:sz w:val="20"/>
          <w:szCs w:val="20"/>
          <w:lang w:eastAsia="en-ZA"/>
        </w:rPr>
      </w:pPr>
      <w:r w:rsidRPr="00AE5B3B">
        <w:rPr>
          <w:rFonts w:ascii="Arial" w:eastAsia="TimesNewRomanPSMT" w:hAnsi="Arial" w:cs="Arial"/>
          <w:sz w:val="20"/>
          <w:szCs w:val="20"/>
          <w:lang w:eastAsia="en-ZA"/>
        </w:rPr>
        <w:t>The DA</w:t>
      </w:r>
      <w:r w:rsidR="001C26A4" w:rsidRPr="00AE5B3B">
        <w:rPr>
          <w:rFonts w:ascii="Arial" w:eastAsia="TimesNewRomanPSMT" w:hAnsi="Arial" w:cs="Arial"/>
          <w:sz w:val="20"/>
          <w:szCs w:val="20"/>
          <w:lang w:eastAsia="en-ZA"/>
        </w:rPr>
        <w:t>, ACDP</w:t>
      </w:r>
      <w:r w:rsidRPr="00AE5B3B">
        <w:rPr>
          <w:rFonts w:ascii="Arial" w:eastAsia="TimesNewRomanPSMT" w:hAnsi="Arial" w:cs="Arial"/>
          <w:sz w:val="20"/>
          <w:szCs w:val="20"/>
          <w:lang w:eastAsia="en-ZA"/>
        </w:rPr>
        <w:t xml:space="preserve"> and EFF reserved its rights with respect to the adoption of the report.</w:t>
      </w:r>
    </w:p>
    <w:p w:rsidR="00C924E4" w:rsidRPr="00AE5B3B" w:rsidRDefault="00C924E4" w:rsidP="00AE5B3B">
      <w:pPr>
        <w:spacing w:line="240" w:lineRule="auto"/>
        <w:jc w:val="left"/>
        <w:rPr>
          <w:rFonts w:ascii="Arial" w:eastAsia="TimesNewRomanPSMT" w:hAnsi="Arial" w:cs="Arial"/>
          <w:sz w:val="20"/>
          <w:szCs w:val="20"/>
          <w:lang w:eastAsia="en-ZA"/>
        </w:rPr>
      </w:pPr>
    </w:p>
    <w:p w:rsidR="00C924E4" w:rsidRPr="00AE5B3B" w:rsidRDefault="00C924E4" w:rsidP="00AE5B3B">
      <w:pPr>
        <w:spacing w:line="240" w:lineRule="auto"/>
        <w:jc w:val="left"/>
        <w:rPr>
          <w:rFonts w:ascii="Arial" w:hAnsi="Arial" w:cs="Arial"/>
          <w:sz w:val="20"/>
          <w:szCs w:val="20"/>
        </w:rPr>
      </w:pPr>
      <w:r w:rsidRPr="00AE5B3B">
        <w:rPr>
          <w:rFonts w:ascii="Arial" w:eastAsia="TimesNewRomanPSMT" w:hAnsi="Arial" w:cs="Arial"/>
          <w:b/>
          <w:bCs/>
          <w:sz w:val="20"/>
          <w:szCs w:val="20"/>
          <w:lang w:eastAsia="en-ZA"/>
        </w:rPr>
        <w:t>Report to be considered.</w:t>
      </w:r>
    </w:p>
    <w:p w:rsidR="00C924E4" w:rsidRPr="00AE5B3B" w:rsidRDefault="00C924E4" w:rsidP="00AE5B3B">
      <w:pPr>
        <w:spacing w:line="240" w:lineRule="auto"/>
        <w:jc w:val="left"/>
        <w:rPr>
          <w:rFonts w:ascii="Arial" w:hAnsi="Arial" w:cs="Arial"/>
          <w:sz w:val="20"/>
          <w:szCs w:val="20"/>
        </w:rPr>
      </w:pPr>
    </w:p>
    <w:sectPr w:rsidR="00C924E4" w:rsidRPr="00AE5B3B" w:rsidSect="00B352A0">
      <w:headerReference w:type="default" r:id="rId8"/>
      <w:footerReference w:type="default" r:id="rId9"/>
      <w:footerReference w:type="first" r:id="rId10"/>
      <w:pgSz w:w="11906" w:h="16838"/>
      <w:pgMar w:top="199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B8" w:rsidRDefault="000125B8" w:rsidP="00BE1544">
      <w:pPr>
        <w:spacing w:line="240" w:lineRule="auto"/>
      </w:pPr>
      <w:r>
        <w:separator/>
      </w:r>
    </w:p>
  </w:endnote>
  <w:endnote w:type="continuationSeparator" w:id="0">
    <w:p w:rsidR="000125B8" w:rsidRDefault="000125B8"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99" w:rsidRDefault="005E2A99" w:rsidP="00BE1544">
    <w:pPr>
      <w:pStyle w:val="Footer"/>
    </w:pPr>
    <w:r>
      <w:rPr>
        <w:rFonts w:cs="Arial"/>
        <w:sz w:val="16"/>
        <w:szCs w:val="16"/>
      </w:rPr>
      <w:t xml:space="preserve">                                                                                                                                                                                      </w:t>
    </w:r>
    <w:r w:rsidRPr="00BE1544">
      <w:rPr>
        <w:rFonts w:cs="Arial"/>
        <w:sz w:val="16"/>
        <w:szCs w:val="16"/>
      </w:rPr>
      <w:t xml:space="preserve">Page </w:t>
    </w:r>
    <w:r w:rsidR="00373DD6" w:rsidRPr="00BE1544">
      <w:rPr>
        <w:rFonts w:cs="Arial"/>
        <w:bCs/>
        <w:sz w:val="16"/>
        <w:szCs w:val="16"/>
      </w:rPr>
      <w:fldChar w:fldCharType="begin"/>
    </w:r>
    <w:r w:rsidRPr="00BE1544">
      <w:rPr>
        <w:rFonts w:cs="Arial"/>
        <w:bCs/>
        <w:sz w:val="16"/>
        <w:szCs w:val="16"/>
      </w:rPr>
      <w:instrText xml:space="preserve"> PAGE </w:instrText>
    </w:r>
    <w:r w:rsidR="00373DD6" w:rsidRPr="00BE1544">
      <w:rPr>
        <w:rFonts w:cs="Arial"/>
        <w:bCs/>
        <w:sz w:val="16"/>
        <w:szCs w:val="16"/>
      </w:rPr>
      <w:fldChar w:fldCharType="separate"/>
    </w:r>
    <w:r w:rsidR="00AE5B3B">
      <w:rPr>
        <w:rFonts w:cs="Arial"/>
        <w:bCs/>
        <w:noProof/>
        <w:sz w:val="16"/>
        <w:szCs w:val="16"/>
      </w:rPr>
      <w:t>12</w:t>
    </w:r>
    <w:r w:rsidR="00373DD6" w:rsidRPr="00BE1544">
      <w:rPr>
        <w:rFonts w:cs="Arial"/>
        <w:bCs/>
        <w:sz w:val="16"/>
        <w:szCs w:val="16"/>
      </w:rPr>
      <w:fldChar w:fldCharType="end"/>
    </w:r>
    <w:r w:rsidRPr="00BE1544">
      <w:rPr>
        <w:rFonts w:cs="Arial"/>
        <w:sz w:val="16"/>
        <w:szCs w:val="16"/>
      </w:rPr>
      <w:t xml:space="preserve"> of </w:t>
    </w:r>
    <w:r w:rsidR="00373DD6" w:rsidRPr="00BE1544">
      <w:rPr>
        <w:rFonts w:cs="Arial"/>
        <w:bCs/>
        <w:sz w:val="16"/>
        <w:szCs w:val="16"/>
      </w:rPr>
      <w:fldChar w:fldCharType="begin"/>
    </w:r>
    <w:r w:rsidRPr="00BE1544">
      <w:rPr>
        <w:rFonts w:cs="Arial"/>
        <w:bCs/>
        <w:sz w:val="16"/>
        <w:szCs w:val="16"/>
      </w:rPr>
      <w:instrText xml:space="preserve"> NUMPAGES  </w:instrText>
    </w:r>
    <w:r w:rsidR="00373DD6" w:rsidRPr="00BE1544">
      <w:rPr>
        <w:rFonts w:cs="Arial"/>
        <w:bCs/>
        <w:sz w:val="16"/>
        <w:szCs w:val="16"/>
      </w:rPr>
      <w:fldChar w:fldCharType="separate"/>
    </w:r>
    <w:r w:rsidR="00AE5B3B">
      <w:rPr>
        <w:rFonts w:cs="Arial"/>
        <w:bCs/>
        <w:noProof/>
        <w:sz w:val="16"/>
        <w:szCs w:val="16"/>
      </w:rPr>
      <w:t>12</w:t>
    </w:r>
    <w:r w:rsidR="00373DD6" w:rsidRPr="00BE1544">
      <w:rPr>
        <w:rFonts w:cs="Arial"/>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99" w:rsidRPr="00BE1544" w:rsidRDefault="005E2A99">
    <w:pPr>
      <w:pStyle w:val="Footer"/>
      <w:rPr>
        <w:rFonts w:cs="Arial"/>
        <w:sz w:val="16"/>
        <w:szCs w:val="16"/>
      </w:rPr>
    </w:pPr>
    <w:r>
      <w:rPr>
        <w:rFonts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B8" w:rsidRDefault="000125B8" w:rsidP="00BE1544">
      <w:pPr>
        <w:spacing w:line="240" w:lineRule="auto"/>
      </w:pPr>
      <w:r>
        <w:separator/>
      </w:r>
    </w:p>
  </w:footnote>
  <w:footnote w:type="continuationSeparator" w:id="0">
    <w:p w:rsidR="000125B8" w:rsidRDefault="000125B8"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99" w:rsidRDefault="005E2A99">
    <w:pPr>
      <w:pStyle w:val="Header"/>
    </w:pPr>
  </w:p>
  <w:p w:rsidR="005E2A99" w:rsidRDefault="005E2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A5685A"/>
    <w:multiLevelType w:val="hybridMultilevel"/>
    <w:tmpl w:val="34061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2048EC"/>
    <w:multiLevelType w:val="hybridMultilevel"/>
    <w:tmpl w:val="873461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DC0C9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3F2D22"/>
    <w:multiLevelType w:val="hybridMultilevel"/>
    <w:tmpl w:val="7B0AB0B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F72B3B"/>
    <w:multiLevelType w:val="hybridMultilevel"/>
    <w:tmpl w:val="1E8AEACC"/>
    <w:lvl w:ilvl="0" w:tplc="1C090011">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F902A1"/>
    <w:multiLevelType w:val="hybridMultilevel"/>
    <w:tmpl w:val="0B8A00E6"/>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925B27"/>
    <w:multiLevelType w:val="hybridMultilevel"/>
    <w:tmpl w:val="3B3E1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5778AC"/>
    <w:multiLevelType w:val="hybridMultilevel"/>
    <w:tmpl w:val="76507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E85B78"/>
    <w:multiLevelType w:val="hybridMultilevel"/>
    <w:tmpl w:val="72D4A668"/>
    <w:lvl w:ilvl="0" w:tplc="1C090011">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4210BBB"/>
    <w:multiLevelType w:val="hybridMultilevel"/>
    <w:tmpl w:val="7FB02936"/>
    <w:lvl w:ilvl="0" w:tplc="1C090011">
      <w:start w:val="1"/>
      <w:numFmt w:val="decimal"/>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3DA76E6A"/>
    <w:multiLevelType w:val="hybridMultilevel"/>
    <w:tmpl w:val="69C2B2E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6637C6C"/>
    <w:multiLevelType w:val="hybridMultilevel"/>
    <w:tmpl w:val="873461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936AC"/>
    <w:multiLevelType w:val="hybridMultilevel"/>
    <w:tmpl w:val="26968FB4"/>
    <w:lvl w:ilvl="0" w:tplc="1C090011">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F6639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A0612"/>
    <w:multiLevelType w:val="hybridMultilevel"/>
    <w:tmpl w:val="0AB63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51E1A3C"/>
    <w:multiLevelType w:val="hybridMultilevel"/>
    <w:tmpl w:val="77C0928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C4799B"/>
    <w:multiLevelType w:val="hybridMultilevel"/>
    <w:tmpl w:val="8BF603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5E32671"/>
    <w:multiLevelType w:val="hybridMultilevel"/>
    <w:tmpl w:val="6A1E5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AB92642"/>
    <w:multiLevelType w:val="hybridMultilevel"/>
    <w:tmpl w:val="D444D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6077694"/>
    <w:multiLevelType w:val="hybridMultilevel"/>
    <w:tmpl w:val="70B8E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8387976"/>
    <w:multiLevelType w:val="hybridMultilevel"/>
    <w:tmpl w:val="01A2F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8C0691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E31242"/>
    <w:multiLevelType w:val="hybridMultilevel"/>
    <w:tmpl w:val="60E25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696B9E"/>
    <w:multiLevelType w:val="hybridMultilevel"/>
    <w:tmpl w:val="131A3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0802468"/>
    <w:multiLevelType w:val="hybridMultilevel"/>
    <w:tmpl w:val="E96A35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AB47D8"/>
    <w:multiLevelType w:val="hybridMultilevel"/>
    <w:tmpl w:val="C48C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B76237C"/>
    <w:multiLevelType w:val="hybridMultilevel"/>
    <w:tmpl w:val="A96AD724"/>
    <w:lvl w:ilvl="0" w:tplc="ED047538">
      <w:start w:val="1"/>
      <w:numFmt w:val="decimal"/>
      <w:lvlText w:val="%1)"/>
      <w:lvlJc w:val="left"/>
      <w:pPr>
        <w:ind w:left="720" w:hanging="360"/>
      </w:pPr>
      <w:rPr>
        <w:b w:val="0"/>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18"/>
  </w:num>
  <w:num w:numId="4">
    <w:abstractNumId w:val="2"/>
  </w:num>
  <w:num w:numId="5">
    <w:abstractNumId w:val="11"/>
  </w:num>
  <w:num w:numId="6">
    <w:abstractNumId w:val="29"/>
  </w:num>
  <w:num w:numId="7">
    <w:abstractNumId w:val="6"/>
  </w:num>
  <w:num w:numId="8">
    <w:abstractNumId w:val="14"/>
  </w:num>
  <w:num w:numId="9">
    <w:abstractNumId w:val="10"/>
  </w:num>
  <w:num w:numId="10">
    <w:abstractNumId w:val="16"/>
  </w:num>
  <w:num w:numId="11">
    <w:abstractNumId w:val="25"/>
  </w:num>
  <w:num w:numId="12">
    <w:abstractNumId w:val="21"/>
  </w:num>
  <w:num w:numId="13">
    <w:abstractNumId w:val="17"/>
  </w:num>
  <w:num w:numId="14">
    <w:abstractNumId w:val="23"/>
  </w:num>
  <w:num w:numId="15">
    <w:abstractNumId w:val="26"/>
  </w:num>
  <w:num w:numId="16">
    <w:abstractNumId w:val="12"/>
  </w:num>
  <w:num w:numId="17">
    <w:abstractNumId w:val="28"/>
  </w:num>
  <w:num w:numId="18">
    <w:abstractNumId w:val="1"/>
  </w:num>
  <w:num w:numId="19">
    <w:abstractNumId w:val="0"/>
  </w:num>
  <w:num w:numId="20">
    <w:abstractNumId w:val="3"/>
  </w:num>
  <w:num w:numId="21">
    <w:abstractNumId w:val="24"/>
  </w:num>
  <w:num w:numId="22">
    <w:abstractNumId w:val="22"/>
  </w:num>
  <w:num w:numId="23">
    <w:abstractNumId w:val="8"/>
  </w:num>
  <w:num w:numId="24">
    <w:abstractNumId w:val="19"/>
  </w:num>
  <w:num w:numId="25">
    <w:abstractNumId w:val="20"/>
  </w:num>
  <w:num w:numId="26">
    <w:abstractNumId w:val="9"/>
  </w:num>
  <w:num w:numId="27">
    <w:abstractNumId w:val="4"/>
  </w:num>
  <w:num w:numId="28">
    <w:abstractNumId w:val="5"/>
  </w:num>
  <w:num w:numId="29">
    <w:abstractNumId w:val="7"/>
  </w:num>
  <w:num w:numId="30">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1050"/>
    <w:rsid w:val="00001753"/>
    <w:rsid w:val="00001AC2"/>
    <w:rsid w:val="0000654B"/>
    <w:rsid w:val="00007F91"/>
    <w:rsid w:val="000125B8"/>
    <w:rsid w:val="000129BF"/>
    <w:rsid w:val="00015579"/>
    <w:rsid w:val="00017B1F"/>
    <w:rsid w:val="00017D0F"/>
    <w:rsid w:val="00017ECD"/>
    <w:rsid w:val="00023275"/>
    <w:rsid w:val="000236B6"/>
    <w:rsid w:val="00024249"/>
    <w:rsid w:val="00024EB0"/>
    <w:rsid w:val="000309B2"/>
    <w:rsid w:val="00032380"/>
    <w:rsid w:val="0003295E"/>
    <w:rsid w:val="00032AA0"/>
    <w:rsid w:val="00032B87"/>
    <w:rsid w:val="00036F68"/>
    <w:rsid w:val="00042EB2"/>
    <w:rsid w:val="00043743"/>
    <w:rsid w:val="000447A4"/>
    <w:rsid w:val="00050AE9"/>
    <w:rsid w:val="000517A1"/>
    <w:rsid w:val="000522EF"/>
    <w:rsid w:val="00052B47"/>
    <w:rsid w:val="000571E1"/>
    <w:rsid w:val="00063706"/>
    <w:rsid w:val="0006432E"/>
    <w:rsid w:val="00064BBE"/>
    <w:rsid w:val="00070F93"/>
    <w:rsid w:val="0007378D"/>
    <w:rsid w:val="00080622"/>
    <w:rsid w:val="00081283"/>
    <w:rsid w:val="00081479"/>
    <w:rsid w:val="0008709C"/>
    <w:rsid w:val="0009459D"/>
    <w:rsid w:val="00095471"/>
    <w:rsid w:val="000A2557"/>
    <w:rsid w:val="000A32B4"/>
    <w:rsid w:val="000A5BE5"/>
    <w:rsid w:val="000A5CF9"/>
    <w:rsid w:val="000B0639"/>
    <w:rsid w:val="000B6DD1"/>
    <w:rsid w:val="000B732D"/>
    <w:rsid w:val="000C179B"/>
    <w:rsid w:val="000C335B"/>
    <w:rsid w:val="000C3B3C"/>
    <w:rsid w:val="000C3F75"/>
    <w:rsid w:val="000C60A6"/>
    <w:rsid w:val="000C7CA1"/>
    <w:rsid w:val="000C7CE3"/>
    <w:rsid w:val="000D3B03"/>
    <w:rsid w:val="000D3C20"/>
    <w:rsid w:val="000D5D1D"/>
    <w:rsid w:val="000D7614"/>
    <w:rsid w:val="000D7A5F"/>
    <w:rsid w:val="000E1D3D"/>
    <w:rsid w:val="000E684F"/>
    <w:rsid w:val="000F1B3B"/>
    <w:rsid w:val="000F1BB2"/>
    <w:rsid w:val="000F2214"/>
    <w:rsid w:val="000F38D6"/>
    <w:rsid w:val="000F39BB"/>
    <w:rsid w:val="000F3D97"/>
    <w:rsid w:val="000F58F3"/>
    <w:rsid w:val="000F7296"/>
    <w:rsid w:val="00100B45"/>
    <w:rsid w:val="001010A3"/>
    <w:rsid w:val="00101C72"/>
    <w:rsid w:val="001029E0"/>
    <w:rsid w:val="001033A4"/>
    <w:rsid w:val="001059AF"/>
    <w:rsid w:val="00110D94"/>
    <w:rsid w:val="00110DD2"/>
    <w:rsid w:val="00114D2D"/>
    <w:rsid w:val="00115F55"/>
    <w:rsid w:val="00117FCF"/>
    <w:rsid w:val="00121DAC"/>
    <w:rsid w:val="00122876"/>
    <w:rsid w:val="00122A53"/>
    <w:rsid w:val="0012420A"/>
    <w:rsid w:val="00141007"/>
    <w:rsid w:val="00141852"/>
    <w:rsid w:val="00143B2D"/>
    <w:rsid w:val="0014409E"/>
    <w:rsid w:val="001463C2"/>
    <w:rsid w:val="00146793"/>
    <w:rsid w:val="001522B6"/>
    <w:rsid w:val="00152EEB"/>
    <w:rsid w:val="001547FD"/>
    <w:rsid w:val="001576EC"/>
    <w:rsid w:val="00157FA1"/>
    <w:rsid w:val="0016050A"/>
    <w:rsid w:val="0016071A"/>
    <w:rsid w:val="00163AC7"/>
    <w:rsid w:val="00166FCA"/>
    <w:rsid w:val="0017107A"/>
    <w:rsid w:val="00171B85"/>
    <w:rsid w:val="001723C8"/>
    <w:rsid w:val="00172E8D"/>
    <w:rsid w:val="001743B0"/>
    <w:rsid w:val="0017580E"/>
    <w:rsid w:val="0017790A"/>
    <w:rsid w:val="001801B9"/>
    <w:rsid w:val="00180798"/>
    <w:rsid w:val="00183A77"/>
    <w:rsid w:val="0018425F"/>
    <w:rsid w:val="00184D13"/>
    <w:rsid w:val="00193894"/>
    <w:rsid w:val="00194AF7"/>
    <w:rsid w:val="001951B4"/>
    <w:rsid w:val="00195D7F"/>
    <w:rsid w:val="00195F45"/>
    <w:rsid w:val="00196268"/>
    <w:rsid w:val="001A05BC"/>
    <w:rsid w:val="001A0DE2"/>
    <w:rsid w:val="001A11CB"/>
    <w:rsid w:val="001A2C3C"/>
    <w:rsid w:val="001A5AC4"/>
    <w:rsid w:val="001A7A7C"/>
    <w:rsid w:val="001B0A07"/>
    <w:rsid w:val="001B4172"/>
    <w:rsid w:val="001B4832"/>
    <w:rsid w:val="001B5A0E"/>
    <w:rsid w:val="001B5E6E"/>
    <w:rsid w:val="001B689F"/>
    <w:rsid w:val="001C26A4"/>
    <w:rsid w:val="001C3E74"/>
    <w:rsid w:val="001C518C"/>
    <w:rsid w:val="001C6F80"/>
    <w:rsid w:val="001C74C8"/>
    <w:rsid w:val="001C77F9"/>
    <w:rsid w:val="001C7E66"/>
    <w:rsid w:val="001D390E"/>
    <w:rsid w:val="001D4ED0"/>
    <w:rsid w:val="001D7455"/>
    <w:rsid w:val="001E1AC2"/>
    <w:rsid w:val="001E1D5E"/>
    <w:rsid w:val="001E21FA"/>
    <w:rsid w:val="001E2662"/>
    <w:rsid w:val="001E3CBC"/>
    <w:rsid w:val="001E7433"/>
    <w:rsid w:val="001F0345"/>
    <w:rsid w:val="001F5BC8"/>
    <w:rsid w:val="001F6E6D"/>
    <w:rsid w:val="002042B1"/>
    <w:rsid w:val="00207222"/>
    <w:rsid w:val="002204EE"/>
    <w:rsid w:val="002222FB"/>
    <w:rsid w:val="00224AAA"/>
    <w:rsid w:val="00224F07"/>
    <w:rsid w:val="0022512D"/>
    <w:rsid w:val="002274B9"/>
    <w:rsid w:val="00232E3F"/>
    <w:rsid w:val="002339FD"/>
    <w:rsid w:val="00233FD8"/>
    <w:rsid w:val="002364E8"/>
    <w:rsid w:val="002367D5"/>
    <w:rsid w:val="002377A5"/>
    <w:rsid w:val="00237B9C"/>
    <w:rsid w:val="002407D6"/>
    <w:rsid w:val="002425CC"/>
    <w:rsid w:val="002448B1"/>
    <w:rsid w:val="00245E4E"/>
    <w:rsid w:val="00246B09"/>
    <w:rsid w:val="00246BBF"/>
    <w:rsid w:val="00247218"/>
    <w:rsid w:val="0024736A"/>
    <w:rsid w:val="00253639"/>
    <w:rsid w:val="00254A5C"/>
    <w:rsid w:val="00256DD5"/>
    <w:rsid w:val="002573EB"/>
    <w:rsid w:val="0025753C"/>
    <w:rsid w:val="00265280"/>
    <w:rsid w:val="00265A42"/>
    <w:rsid w:val="00265BB5"/>
    <w:rsid w:val="00266F04"/>
    <w:rsid w:val="00267C57"/>
    <w:rsid w:val="002712F4"/>
    <w:rsid w:val="00275CB8"/>
    <w:rsid w:val="00280C34"/>
    <w:rsid w:val="00281CDB"/>
    <w:rsid w:val="00281D19"/>
    <w:rsid w:val="0028267C"/>
    <w:rsid w:val="00284BA8"/>
    <w:rsid w:val="002909E8"/>
    <w:rsid w:val="00290F60"/>
    <w:rsid w:val="0029114B"/>
    <w:rsid w:val="002912B7"/>
    <w:rsid w:val="0029431E"/>
    <w:rsid w:val="00294FB8"/>
    <w:rsid w:val="00295876"/>
    <w:rsid w:val="00295FC4"/>
    <w:rsid w:val="002961CF"/>
    <w:rsid w:val="002973B9"/>
    <w:rsid w:val="002979BA"/>
    <w:rsid w:val="002A1AF5"/>
    <w:rsid w:val="002A3243"/>
    <w:rsid w:val="002A363C"/>
    <w:rsid w:val="002A3C5B"/>
    <w:rsid w:val="002A5619"/>
    <w:rsid w:val="002A676F"/>
    <w:rsid w:val="002A6A32"/>
    <w:rsid w:val="002A6E1A"/>
    <w:rsid w:val="002A76A8"/>
    <w:rsid w:val="002B148C"/>
    <w:rsid w:val="002B437B"/>
    <w:rsid w:val="002B48C8"/>
    <w:rsid w:val="002B6B4A"/>
    <w:rsid w:val="002C2295"/>
    <w:rsid w:val="002C35B1"/>
    <w:rsid w:val="002C560F"/>
    <w:rsid w:val="002C5D4E"/>
    <w:rsid w:val="002C6C14"/>
    <w:rsid w:val="002C7262"/>
    <w:rsid w:val="002C72D1"/>
    <w:rsid w:val="002D06F7"/>
    <w:rsid w:val="002D2EA3"/>
    <w:rsid w:val="002D6EE7"/>
    <w:rsid w:val="002E1911"/>
    <w:rsid w:val="002E1AD0"/>
    <w:rsid w:val="002E7148"/>
    <w:rsid w:val="002E7F70"/>
    <w:rsid w:val="002F3B9E"/>
    <w:rsid w:val="002F3D79"/>
    <w:rsid w:val="002F42BD"/>
    <w:rsid w:val="002F48F7"/>
    <w:rsid w:val="003041D9"/>
    <w:rsid w:val="003041F8"/>
    <w:rsid w:val="00306C0B"/>
    <w:rsid w:val="00307B6F"/>
    <w:rsid w:val="0031278C"/>
    <w:rsid w:val="0031390A"/>
    <w:rsid w:val="00315061"/>
    <w:rsid w:val="00315E62"/>
    <w:rsid w:val="0031661C"/>
    <w:rsid w:val="003167B6"/>
    <w:rsid w:val="00317CF9"/>
    <w:rsid w:val="00321614"/>
    <w:rsid w:val="003237A6"/>
    <w:rsid w:val="003270A7"/>
    <w:rsid w:val="00327C24"/>
    <w:rsid w:val="00327E4C"/>
    <w:rsid w:val="0033165F"/>
    <w:rsid w:val="003320C2"/>
    <w:rsid w:val="00335740"/>
    <w:rsid w:val="003400B3"/>
    <w:rsid w:val="003411DC"/>
    <w:rsid w:val="0034240E"/>
    <w:rsid w:val="00343156"/>
    <w:rsid w:val="00345F96"/>
    <w:rsid w:val="003468AF"/>
    <w:rsid w:val="00346EAB"/>
    <w:rsid w:val="00350139"/>
    <w:rsid w:val="003514A7"/>
    <w:rsid w:val="00351E71"/>
    <w:rsid w:val="00352C67"/>
    <w:rsid w:val="0035303E"/>
    <w:rsid w:val="0035556C"/>
    <w:rsid w:val="00360B08"/>
    <w:rsid w:val="00361044"/>
    <w:rsid w:val="0036130F"/>
    <w:rsid w:val="00361F45"/>
    <w:rsid w:val="00363DAD"/>
    <w:rsid w:val="00366157"/>
    <w:rsid w:val="00366324"/>
    <w:rsid w:val="00373DD6"/>
    <w:rsid w:val="003749D6"/>
    <w:rsid w:val="003761D1"/>
    <w:rsid w:val="00376D15"/>
    <w:rsid w:val="00380577"/>
    <w:rsid w:val="003851B0"/>
    <w:rsid w:val="00391575"/>
    <w:rsid w:val="00392474"/>
    <w:rsid w:val="00392B9D"/>
    <w:rsid w:val="003939BE"/>
    <w:rsid w:val="00393F08"/>
    <w:rsid w:val="00395241"/>
    <w:rsid w:val="003954A0"/>
    <w:rsid w:val="003A016C"/>
    <w:rsid w:val="003A196A"/>
    <w:rsid w:val="003A537D"/>
    <w:rsid w:val="003A67D1"/>
    <w:rsid w:val="003B5676"/>
    <w:rsid w:val="003B7399"/>
    <w:rsid w:val="003C63C8"/>
    <w:rsid w:val="003C7BB7"/>
    <w:rsid w:val="003D1D47"/>
    <w:rsid w:val="003D3BE2"/>
    <w:rsid w:val="003D4915"/>
    <w:rsid w:val="003D7E0C"/>
    <w:rsid w:val="003E0476"/>
    <w:rsid w:val="003E1589"/>
    <w:rsid w:val="003E4826"/>
    <w:rsid w:val="003E6539"/>
    <w:rsid w:val="003F09A5"/>
    <w:rsid w:val="003F0A54"/>
    <w:rsid w:val="003F1250"/>
    <w:rsid w:val="003F5A10"/>
    <w:rsid w:val="003F6C04"/>
    <w:rsid w:val="00406A5F"/>
    <w:rsid w:val="00407813"/>
    <w:rsid w:val="00407C3B"/>
    <w:rsid w:val="0041291E"/>
    <w:rsid w:val="00413BD8"/>
    <w:rsid w:val="00414863"/>
    <w:rsid w:val="004161A4"/>
    <w:rsid w:val="004166D2"/>
    <w:rsid w:val="004169CF"/>
    <w:rsid w:val="00416EDD"/>
    <w:rsid w:val="004176CF"/>
    <w:rsid w:val="00422B38"/>
    <w:rsid w:val="00423041"/>
    <w:rsid w:val="00424C9A"/>
    <w:rsid w:val="00424FE9"/>
    <w:rsid w:val="00426E99"/>
    <w:rsid w:val="0042783A"/>
    <w:rsid w:val="00430E3D"/>
    <w:rsid w:val="0043346E"/>
    <w:rsid w:val="00436472"/>
    <w:rsid w:val="004371C0"/>
    <w:rsid w:val="00442F0D"/>
    <w:rsid w:val="00444D1B"/>
    <w:rsid w:val="00444ECB"/>
    <w:rsid w:val="00445C49"/>
    <w:rsid w:val="00450700"/>
    <w:rsid w:val="00450B21"/>
    <w:rsid w:val="00451C1A"/>
    <w:rsid w:val="00454C2A"/>
    <w:rsid w:val="00454DA8"/>
    <w:rsid w:val="00457892"/>
    <w:rsid w:val="00461093"/>
    <w:rsid w:val="00462784"/>
    <w:rsid w:val="004633B6"/>
    <w:rsid w:val="00464015"/>
    <w:rsid w:val="004643AD"/>
    <w:rsid w:val="004672F9"/>
    <w:rsid w:val="00467434"/>
    <w:rsid w:val="0047179D"/>
    <w:rsid w:val="004719B5"/>
    <w:rsid w:val="00471B0E"/>
    <w:rsid w:val="004746A3"/>
    <w:rsid w:val="00474FD2"/>
    <w:rsid w:val="0048063E"/>
    <w:rsid w:val="00481D86"/>
    <w:rsid w:val="00485906"/>
    <w:rsid w:val="004871A8"/>
    <w:rsid w:val="00492F21"/>
    <w:rsid w:val="004932BC"/>
    <w:rsid w:val="00494118"/>
    <w:rsid w:val="0049556F"/>
    <w:rsid w:val="004955B6"/>
    <w:rsid w:val="00495B9A"/>
    <w:rsid w:val="00495D14"/>
    <w:rsid w:val="004A3CA2"/>
    <w:rsid w:val="004A3F10"/>
    <w:rsid w:val="004A42BA"/>
    <w:rsid w:val="004A6BF1"/>
    <w:rsid w:val="004A7F06"/>
    <w:rsid w:val="004B2FF2"/>
    <w:rsid w:val="004B3E87"/>
    <w:rsid w:val="004B6D02"/>
    <w:rsid w:val="004B7AFA"/>
    <w:rsid w:val="004C1A49"/>
    <w:rsid w:val="004C1ED9"/>
    <w:rsid w:val="004C3DFA"/>
    <w:rsid w:val="004C3F32"/>
    <w:rsid w:val="004C5DED"/>
    <w:rsid w:val="004C7614"/>
    <w:rsid w:val="004C7AFC"/>
    <w:rsid w:val="004D30B1"/>
    <w:rsid w:val="004E2900"/>
    <w:rsid w:val="004E2F08"/>
    <w:rsid w:val="004E3206"/>
    <w:rsid w:val="004E331D"/>
    <w:rsid w:val="004E37C3"/>
    <w:rsid w:val="004E557E"/>
    <w:rsid w:val="004E5CD4"/>
    <w:rsid w:val="004E68FB"/>
    <w:rsid w:val="004E6EA1"/>
    <w:rsid w:val="004E7F14"/>
    <w:rsid w:val="004F0445"/>
    <w:rsid w:val="004F133D"/>
    <w:rsid w:val="004F2763"/>
    <w:rsid w:val="004F324C"/>
    <w:rsid w:val="004F3500"/>
    <w:rsid w:val="004F4CF4"/>
    <w:rsid w:val="004F5989"/>
    <w:rsid w:val="004F620C"/>
    <w:rsid w:val="004F730E"/>
    <w:rsid w:val="0050014C"/>
    <w:rsid w:val="005028B1"/>
    <w:rsid w:val="00504F4F"/>
    <w:rsid w:val="00505377"/>
    <w:rsid w:val="00511F94"/>
    <w:rsid w:val="00513374"/>
    <w:rsid w:val="005159DF"/>
    <w:rsid w:val="0052026B"/>
    <w:rsid w:val="00520D65"/>
    <w:rsid w:val="005234CA"/>
    <w:rsid w:val="00523D11"/>
    <w:rsid w:val="005273ED"/>
    <w:rsid w:val="00535647"/>
    <w:rsid w:val="0053577C"/>
    <w:rsid w:val="00535894"/>
    <w:rsid w:val="0053685C"/>
    <w:rsid w:val="005400DC"/>
    <w:rsid w:val="005411B1"/>
    <w:rsid w:val="005412D0"/>
    <w:rsid w:val="00541A0A"/>
    <w:rsid w:val="00541B2C"/>
    <w:rsid w:val="00543C49"/>
    <w:rsid w:val="00552C11"/>
    <w:rsid w:val="00552ECD"/>
    <w:rsid w:val="00553AE4"/>
    <w:rsid w:val="0055502B"/>
    <w:rsid w:val="00557F8C"/>
    <w:rsid w:val="005608FA"/>
    <w:rsid w:val="00560C79"/>
    <w:rsid w:val="00562879"/>
    <w:rsid w:val="00562E19"/>
    <w:rsid w:val="00565B6B"/>
    <w:rsid w:val="00566BA4"/>
    <w:rsid w:val="00570C36"/>
    <w:rsid w:val="005718E3"/>
    <w:rsid w:val="005742E7"/>
    <w:rsid w:val="00577D0C"/>
    <w:rsid w:val="005810BD"/>
    <w:rsid w:val="00583CFA"/>
    <w:rsid w:val="00585125"/>
    <w:rsid w:val="00587C40"/>
    <w:rsid w:val="00592CD6"/>
    <w:rsid w:val="00596C37"/>
    <w:rsid w:val="00597E84"/>
    <w:rsid w:val="005A2393"/>
    <w:rsid w:val="005A4D97"/>
    <w:rsid w:val="005A6379"/>
    <w:rsid w:val="005A6549"/>
    <w:rsid w:val="005B1770"/>
    <w:rsid w:val="005B251F"/>
    <w:rsid w:val="005B6A1F"/>
    <w:rsid w:val="005C2D6B"/>
    <w:rsid w:val="005C7A4C"/>
    <w:rsid w:val="005D0AB8"/>
    <w:rsid w:val="005D10C1"/>
    <w:rsid w:val="005D210C"/>
    <w:rsid w:val="005D2711"/>
    <w:rsid w:val="005D2917"/>
    <w:rsid w:val="005D2D78"/>
    <w:rsid w:val="005D3900"/>
    <w:rsid w:val="005E01FE"/>
    <w:rsid w:val="005E068D"/>
    <w:rsid w:val="005E2A99"/>
    <w:rsid w:val="005E6E60"/>
    <w:rsid w:val="005F2734"/>
    <w:rsid w:val="005F4548"/>
    <w:rsid w:val="005F69D7"/>
    <w:rsid w:val="005F6D2A"/>
    <w:rsid w:val="00601AE0"/>
    <w:rsid w:val="006023BF"/>
    <w:rsid w:val="00602AF1"/>
    <w:rsid w:val="00602FDE"/>
    <w:rsid w:val="00603349"/>
    <w:rsid w:val="006074D9"/>
    <w:rsid w:val="00611ECB"/>
    <w:rsid w:val="00614438"/>
    <w:rsid w:val="006160F2"/>
    <w:rsid w:val="0061631A"/>
    <w:rsid w:val="0061714A"/>
    <w:rsid w:val="00617B16"/>
    <w:rsid w:val="00617C3D"/>
    <w:rsid w:val="006229AA"/>
    <w:rsid w:val="0062452B"/>
    <w:rsid w:val="0062721E"/>
    <w:rsid w:val="0063024A"/>
    <w:rsid w:val="00630803"/>
    <w:rsid w:val="006324AE"/>
    <w:rsid w:val="00632D84"/>
    <w:rsid w:val="0063378D"/>
    <w:rsid w:val="006354F2"/>
    <w:rsid w:val="00637487"/>
    <w:rsid w:val="00637F86"/>
    <w:rsid w:val="006439B5"/>
    <w:rsid w:val="00645879"/>
    <w:rsid w:val="00645F05"/>
    <w:rsid w:val="00646664"/>
    <w:rsid w:val="00647627"/>
    <w:rsid w:val="0065016C"/>
    <w:rsid w:val="0065017E"/>
    <w:rsid w:val="0065221E"/>
    <w:rsid w:val="00656864"/>
    <w:rsid w:val="0066337A"/>
    <w:rsid w:val="00667488"/>
    <w:rsid w:val="00667B9F"/>
    <w:rsid w:val="00673198"/>
    <w:rsid w:val="00675D54"/>
    <w:rsid w:val="00681372"/>
    <w:rsid w:val="00683255"/>
    <w:rsid w:val="00684C93"/>
    <w:rsid w:val="00685203"/>
    <w:rsid w:val="00687B2F"/>
    <w:rsid w:val="006912C2"/>
    <w:rsid w:val="006928D4"/>
    <w:rsid w:val="00693C96"/>
    <w:rsid w:val="006A0D7B"/>
    <w:rsid w:val="006A1FB1"/>
    <w:rsid w:val="006A2F04"/>
    <w:rsid w:val="006A4B92"/>
    <w:rsid w:val="006A6306"/>
    <w:rsid w:val="006A7E30"/>
    <w:rsid w:val="006B19EA"/>
    <w:rsid w:val="006B30C4"/>
    <w:rsid w:val="006B36B4"/>
    <w:rsid w:val="006B4F27"/>
    <w:rsid w:val="006B5D3A"/>
    <w:rsid w:val="006B7250"/>
    <w:rsid w:val="006B785D"/>
    <w:rsid w:val="006C2798"/>
    <w:rsid w:val="006C2CE9"/>
    <w:rsid w:val="006C62F2"/>
    <w:rsid w:val="006C6D94"/>
    <w:rsid w:val="006D011D"/>
    <w:rsid w:val="006D0745"/>
    <w:rsid w:val="006D0CB5"/>
    <w:rsid w:val="006D22AF"/>
    <w:rsid w:val="006D3218"/>
    <w:rsid w:val="006E120E"/>
    <w:rsid w:val="006E3184"/>
    <w:rsid w:val="006E46AA"/>
    <w:rsid w:val="006E5FD6"/>
    <w:rsid w:val="006F01FB"/>
    <w:rsid w:val="006F026D"/>
    <w:rsid w:val="006F19E2"/>
    <w:rsid w:val="006F1B6F"/>
    <w:rsid w:val="006F27BB"/>
    <w:rsid w:val="006F5E2B"/>
    <w:rsid w:val="006F6313"/>
    <w:rsid w:val="006F6F20"/>
    <w:rsid w:val="0070139E"/>
    <w:rsid w:val="00701F7C"/>
    <w:rsid w:val="007051CB"/>
    <w:rsid w:val="00705D6A"/>
    <w:rsid w:val="007067C6"/>
    <w:rsid w:val="00713540"/>
    <w:rsid w:val="00716BC4"/>
    <w:rsid w:val="00723CB6"/>
    <w:rsid w:val="00726A07"/>
    <w:rsid w:val="007276F7"/>
    <w:rsid w:val="00727D83"/>
    <w:rsid w:val="00730009"/>
    <w:rsid w:val="007311C0"/>
    <w:rsid w:val="007324BB"/>
    <w:rsid w:val="00733178"/>
    <w:rsid w:val="00736454"/>
    <w:rsid w:val="007377CC"/>
    <w:rsid w:val="00737A92"/>
    <w:rsid w:val="00740EE5"/>
    <w:rsid w:val="00740F31"/>
    <w:rsid w:val="00743218"/>
    <w:rsid w:val="00743679"/>
    <w:rsid w:val="0074415B"/>
    <w:rsid w:val="00745007"/>
    <w:rsid w:val="00746C50"/>
    <w:rsid w:val="00747C89"/>
    <w:rsid w:val="00751AD5"/>
    <w:rsid w:val="00754CFB"/>
    <w:rsid w:val="00757AA8"/>
    <w:rsid w:val="00757C4D"/>
    <w:rsid w:val="007613DD"/>
    <w:rsid w:val="0076262D"/>
    <w:rsid w:val="007669F6"/>
    <w:rsid w:val="007670CA"/>
    <w:rsid w:val="00767780"/>
    <w:rsid w:val="00770010"/>
    <w:rsid w:val="00770BF3"/>
    <w:rsid w:val="007713CC"/>
    <w:rsid w:val="00771BB3"/>
    <w:rsid w:val="0077212F"/>
    <w:rsid w:val="00772166"/>
    <w:rsid w:val="00772E00"/>
    <w:rsid w:val="00772FC1"/>
    <w:rsid w:val="00773CF1"/>
    <w:rsid w:val="00775978"/>
    <w:rsid w:val="00780B93"/>
    <w:rsid w:val="0078333C"/>
    <w:rsid w:val="00790C06"/>
    <w:rsid w:val="007919CE"/>
    <w:rsid w:val="00792620"/>
    <w:rsid w:val="00792E07"/>
    <w:rsid w:val="007946EB"/>
    <w:rsid w:val="0079562E"/>
    <w:rsid w:val="00796A1E"/>
    <w:rsid w:val="007A1355"/>
    <w:rsid w:val="007A6742"/>
    <w:rsid w:val="007A7673"/>
    <w:rsid w:val="007A7E7F"/>
    <w:rsid w:val="007B0B8D"/>
    <w:rsid w:val="007B0DC7"/>
    <w:rsid w:val="007B169D"/>
    <w:rsid w:val="007B2E0B"/>
    <w:rsid w:val="007B41B5"/>
    <w:rsid w:val="007B6390"/>
    <w:rsid w:val="007B7468"/>
    <w:rsid w:val="007C1A53"/>
    <w:rsid w:val="007C2BF9"/>
    <w:rsid w:val="007C4E44"/>
    <w:rsid w:val="007C565D"/>
    <w:rsid w:val="007C5829"/>
    <w:rsid w:val="007C6DE4"/>
    <w:rsid w:val="007C7BDA"/>
    <w:rsid w:val="007C7C88"/>
    <w:rsid w:val="007D0C84"/>
    <w:rsid w:val="007D0C8A"/>
    <w:rsid w:val="007D2915"/>
    <w:rsid w:val="007E0C2F"/>
    <w:rsid w:val="007E223A"/>
    <w:rsid w:val="007E67F2"/>
    <w:rsid w:val="007E7607"/>
    <w:rsid w:val="007F1007"/>
    <w:rsid w:val="007F3473"/>
    <w:rsid w:val="007F3FCD"/>
    <w:rsid w:val="007F409A"/>
    <w:rsid w:val="007F57DE"/>
    <w:rsid w:val="007F65BD"/>
    <w:rsid w:val="007F7D41"/>
    <w:rsid w:val="00801158"/>
    <w:rsid w:val="008020FF"/>
    <w:rsid w:val="008021E3"/>
    <w:rsid w:val="0080253B"/>
    <w:rsid w:val="00804847"/>
    <w:rsid w:val="0080703E"/>
    <w:rsid w:val="008106AE"/>
    <w:rsid w:val="00813DA8"/>
    <w:rsid w:val="00814420"/>
    <w:rsid w:val="008214FC"/>
    <w:rsid w:val="008241B5"/>
    <w:rsid w:val="00824F3F"/>
    <w:rsid w:val="00825AF3"/>
    <w:rsid w:val="0082666B"/>
    <w:rsid w:val="008318F4"/>
    <w:rsid w:val="00832417"/>
    <w:rsid w:val="00835723"/>
    <w:rsid w:val="00835B9F"/>
    <w:rsid w:val="0084073B"/>
    <w:rsid w:val="00841275"/>
    <w:rsid w:val="008423DA"/>
    <w:rsid w:val="0084271F"/>
    <w:rsid w:val="00844C05"/>
    <w:rsid w:val="00845AF5"/>
    <w:rsid w:val="008564C7"/>
    <w:rsid w:val="0086095C"/>
    <w:rsid w:val="00860D56"/>
    <w:rsid w:val="008645AD"/>
    <w:rsid w:val="00865F7D"/>
    <w:rsid w:val="00867FCA"/>
    <w:rsid w:val="00870040"/>
    <w:rsid w:val="00872568"/>
    <w:rsid w:val="008737BC"/>
    <w:rsid w:val="00874626"/>
    <w:rsid w:val="0087597D"/>
    <w:rsid w:val="00876070"/>
    <w:rsid w:val="00876C7D"/>
    <w:rsid w:val="00881735"/>
    <w:rsid w:val="00881F36"/>
    <w:rsid w:val="008836FB"/>
    <w:rsid w:val="0088374A"/>
    <w:rsid w:val="00885076"/>
    <w:rsid w:val="00886D21"/>
    <w:rsid w:val="00890486"/>
    <w:rsid w:val="00890ED6"/>
    <w:rsid w:val="00893EE9"/>
    <w:rsid w:val="00894C22"/>
    <w:rsid w:val="008957F2"/>
    <w:rsid w:val="008A039E"/>
    <w:rsid w:val="008A06B4"/>
    <w:rsid w:val="008A1185"/>
    <w:rsid w:val="008A2795"/>
    <w:rsid w:val="008A29D1"/>
    <w:rsid w:val="008A2EEF"/>
    <w:rsid w:val="008A3070"/>
    <w:rsid w:val="008A3E89"/>
    <w:rsid w:val="008A64A3"/>
    <w:rsid w:val="008B2F6F"/>
    <w:rsid w:val="008C0C75"/>
    <w:rsid w:val="008C1135"/>
    <w:rsid w:val="008C35A2"/>
    <w:rsid w:val="008C3CDE"/>
    <w:rsid w:val="008C76C8"/>
    <w:rsid w:val="008D0C6C"/>
    <w:rsid w:val="008E17F5"/>
    <w:rsid w:val="008E393B"/>
    <w:rsid w:val="008F51B0"/>
    <w:rsid w:val="008F75C5"/>
    <w:rsid w:val="009013F6"/>
    <w:rsid w:val="009022F4"/>
    <w:rsid w:val="0090338E"/>
    <w:rsid w:val="00903A4A"/>
    <w:rsid w:val="0090599B"/>
    <w:rsid w:val="00907A50"/>
    <w:rsid w:val="00910D4D"/>
    <w:rsid w:val="00911A8B"/>
    <w:rsid w:val="009170B8"/>
    <w:rsid w:val="00921681"/>
    <w:rsid w:val="009218D7"/>
    <w:rsid w:val="00924910"/>
    <w:rsid w:val="00930B05"/>
    <w:rsid w:val="00932A4E"/>
    <w:rsid w:val="00933974"/>
    <w:rsid w:val="009345EA"/>
    <w:rsid w:val="00935012"/>
    <w:rsid w:val="00936AE2"/>
    <w:rsid w:val="00937466"/>
    <w:rsid w:val="009446FE"/>
    <w:rsid w:val="00945218"/>
    <w:rsid w:val="0094754A"/>
    <w:rsid w:val="00950376"/>
    <w:rsid w:val="00950FB6"/>
    <w:rsid w:val="00951362"/>
    <w:rsid w:val="00952CEB"/>
    <w:rsid w:val="00953186"/>
    <w:rsid w:val="009545C4"/>
    <w:rsid w:val="00955E73"/>
    <w:rsid w:val="00957241"/>
    <w:rsid w:val="00957EB0"/>
    <w:rsid w:val="0096027C"/>
    <w:rsid w:val="00964BEC"/>
    <w:rsid w:val="00971F0A"/>
    <w:rsid w:val="0097278D"/>
    <w:rsid w:val="009762EB"/>
    <w:rsid w:val="009825E7"/>
    <w:rsid w:val="009833D8"/>
    <w:rsid w:val="009878E1"/>
    <w:rsid w:val="00991950"/>
    <w:rsid w:val="00992B1B"/>
    <w:rsid w:val="00992F79"/>
    <w:rsid w:val="00996BFD"/>
    <w:rsid w:val="009A2690"/>
    <w:rsid w:val="009A2A76"/>
    <w:rsid w:val="009B0E47"/>
    <w:rsid w:val="009B1EAA"/>
    <w:rsid w:val="009B3C87"/>
    <w:rsid w:val="009B5029"/>
    <w:rsid w:val="009B530B"/>
    <w:rsid w:val="009B539C"/>
    <w:rsid w:val="009D124D"/>
    <w:rsid w:val="009D143C"/>
    <w:rsid w:val="009D4F3B"/>
    <w:rsid w:val="009D5542"/>
    <w:rsid w:val="009E0C94"/>
    <w:rsid w:val="009E3380"/>
    <w:rsid w:val="009E3AE9"/>
    <w:rsid w:val="009E640E"/>
    <w:rsid w:val="009E73DE"/>
    <w:rsid w:val="009F1975"/>
    <w:rsid w:val="009F24E9"/>
    <w:rsid w:val="009F3733"/>
    <w:rsid w:val="009F3A65"/>
    <w:rsid w:val="009F4039"/>
    <w:rsid w:val="009F499A"/>
    <w:rsid w:val="009F5C99"/>
    <w:rsid w:val="009F6662"/>
    <w:rsid w:val="009F6884"/>
    <w:rsid w:val="00A0339C"/>
    <w:rsid w:val="00A04123"/>
    <w:rsid w:val="00A04548"/>
    <w:rsid w:val="00A04A49"/>
    <w:rsid w:val="00A074B8"/>
    <w:rsid w:val="00A077DE"/>
    <w:rsid w:val="00A109AE"/>
    <w:rsid w:val="00A11A98"/>
    <w:rsid w:val="00A126C7"/>
    <w:rsid w:val="00A13906"/>
    <w:rsid w:val="00A14440"/>
    <w:rsid w:val="00A22B58"/>
    <w:rsid w:val="00A23FDC"/>
    <w:rsid w:val="00A2470A"/>
    <w:rsid w:val="00A256EB"/>
    <w:rsid w:val="00A257AD"/>
    <w:rsid w:val="00A26A08"/>
    <w:rsid w:val="00A31B2C"/>
    <w:rsid w:val="00A345F9"/>
    <w:rsid w:val="00A3487C"/>
    <w:rsid w:val="00A36439"/>
    <w:rsid w:val="00A37BBA"/>
    <w:rsid w:val="00A37DB6"/>
    <w:rsid w:val="00A45249"/>
    <w:rsid w:val="00A45878"/>
    <w:rsid w:val="00A470C4"/>
    <w:rsid w:val="00A47A29"/>
    <w:rsid w:val="00A51D7E"/>
    <w:rsid w:val="00A53CB7"/>
    <w:rsid w:val="00A56AF7"/>
    <w:rsid w:val="00A56DA0"/>
    <w:rsid w:val="00A5716E"/>
    <w:rsid w:val="00A61179"/>
    <w:rsid w:val="00A6141D"/>
    <w:rsid w:val="00A627A9"/>
    <w:rsid w:val="00A63A97"/>
    <w:rsid w:val="00A649FA"/>
    <w:rsid w:val="00A66BE7"/>
    <w:rsid w:val="00A67F83"/>
    <w:rsid w:val="00A71B2E"/>
    <w:rsid w:val="00A72166"/>
    <w:rsid w:val="00A732C3"/>
    <w:rsid w:val="00A73843"/>
    <w:rsid w:val="00A73FDB"/>
    <w:rsid w:val="00A75BD3"/>
    <w:rsid w:val="00A77CDA"/>
    <w:rsid w:val="00A80DCA"/>
    <w:rsid w:val="00A82671"/>
    <w:rsid w:val="00A83DD1"/>
    <w:rsid w:val="00A86E2C"/>
    <w:rsid w:val="00A87125"/>
    <w:rsid w:val="00A87D8B"/>
    <w:rsid w:val="00A902CD"/>
    <w:rsid w:val="00A90A9E"/>
    <w:rsid w:val="00A91DE9"/>
    <w:rsid w:val="00A91E08"/>
    <w:rsid w:val="00A92FB7"/>
    <w:rsid w:val="00A947AA"/>
    <w:rsid w:val="00A95D5C"/>
    <w:rsid w:val="00A9667F"/>
    <w:rsid w:val="00A9685F"/>
    <w:rsid w:val="00AA06E6"/>
    <w:rsid w:val="00AA0CDA"/>
    <w:rsid w:val="00AA1821"/>
    <w:rsid w:val="00AA6EB0"/>
    <w:rsid w:val="00AA7E82"/>
    <w:rsid w:val="00AB0264"/>
    <w:rsid w:val="00AB0710"/>
    <w:rsid w:val="00AB1C6B"/>
    <w:rsid w:val="00AB41FA"/>
    <w:rsid w:val="00AB5919"/>
    <w:rsid w:val="00AB5A3B"/>
    <w:rsid w:val="00AB624F"/>
    <w:rsid w:val="00AB6277"/>
    <w:rsid w:val="00AC057C"/>
    <w:rsid w:val="00AC27EA"/>
    <w:rsid w:val="00AC288A"/>
    <w:rsid w:val="00AD0A4E"/>
    <w:rsid w:val="00AD24F8"/>
    <w:rsid w:val="00AD2D8B"/>
    <w:rsid w:val="00AD46C3"/>
    <w:rsid w:val="00AD7511"/>
    <w:rsid w:val="00AE1CBD"/>
    <w:rsid w:val="00AE4253"/>
    <w:rsid w:val="00AE48DC"/>
    <w:rsid w:val="00AE5432"/>
    <w:rsid w:val="00AE5B3B"/>
    <w:rsid w:val="00AF365D"/>
    <w:rsid w:val="00AF55CA"/>
    <w:rsid w:val="00AF6009"/>
    <w:rsid w:val="00AF716A"/>
    <w:rsid w:val="00AF75B4"/>
    <w:rsid w:val="00AF7F03"/>
    <w:rsid w:val="00B0176B"/>
    <w:rsid w:val="00B02287"/>
    <w:rsid w:val="00B030D7"/>
    <w:rsid w:val="00B07C58"/>
    <w:rsid w:val="00B148C5"/>
    <w:rsid w:val="00B17E29"/>
    <w:rsid w:val="00B234DA"/>
    <w:rsid w:val="00B24304"/>
    <w:rsid w:val="00B25CB8"/>
    <w:rsid w:val="00B267B1"/>
    <w:rsid w:val="00B3037B"/>
    <w:rsid w:val="00B31209"/>
    <w:rsid w:val="00B31E6A"/>
    <w:rsid w:val="00B32962"/>
    <w:rsid w:val="00B352A0"/>
    <w:rsid w:val="00B35C24"/>
    <w:rsid w:val="00B3700A"/>
    <w:rsid w:val="00B37EB4"/>
    <w:rsid w:val="00B431D7"/>
    <w:rsid w:val="00B4414D"/>
    <w:rsid w:val="00B4440D"/>
    <w:rsid w:val="00B4527D"/>
    <w:rsid w:val="00B45A9B"/>
    <w:rsid w:val="00B45DBC"/>
    <w:rsid w:val="00B51105"/>
    <w:rsid w:val="00B52566"/>
    <w:rsid w:val="00B5357A"/>
    <w:rsid w:val="00B543EF"/>
    <w:rsid w:val="00B5594C"/>
    <w:rsid w:val="00B57FE9"/>
    <w:rsid w:val="00B63865"/>
    <w:rsid w:val="00B6697C"/>
    <w:rsid w:val="00B7204C"/>
    <w:rsid w:val="00B74FE4"/>
    <w:rsid w:val="00B761BF"/>
    <w:rsid w:val="00B85BB4"/>
    <w:rsid w:val="00B85C88"/>
    <w:rsid w:val="00B86AFB"/>
    <w:rsid w:val="00B9088A"/>
    <w:rsid w:val="00B92FF1"/>
    <w:rsid w:val="00B9302E"/>
    <w:rsid w:val="00B964A1"/>
    <w:rsid w:val="00BA0B6F"/>
    <w:rsid w:val="00BA1050"/>
    <w:rsid w:val="00BA3555"/>
    <w:rsid w:val="00BA4FEB"/>
    <w:rsid w:val="00BA57B8"/>
    <w:rsid w:val="00BA6BF4"/>
    <w:rsid w:val="00BA6FC0"/>
    <w:rsid w:val="00BA77A5"/>
    <w:rsid w:val="00BB054F"/>
    <w:rsid w:val="00BB60BA"/>
    <w:rsid w:val="00BC0BF4"/>
    <w:rsid w:val="00BC2474"/>
    <w:rsid w:val="00BC24A4"/>
    <w:rsid w:val="00BC27C4"/>
    <w:rsid w:val="00BC289D"/>
    <w:rsid w:val="00BC7E4E"/>
    <w:rsid w:val="00BD2797"/>
    <w:rsid w:val="00BD31E7"/>
    <w:rsid w:val="00BD49FC"/>
    <w:rsid w:val="00BD4B5C"/>
    <w:rsid w:val="00BD7B45"/>
    <w:rsid w:val="00BD7D53"/>
    <w:rsid w:val="00BE106F"/>
    <w:rsid w:val="00BE1544"/>
    <w:rsid w:val="00BE3469"/>
    <w:rsid w:val="00BE4CA2"/>
    <w:rsid w:val="00BE6197"/>
    <w:rsid w:val="00BF1200"/>
    <w:rsid w:val="00BF1866"/>
    <w:rsid w:val="00C0131A"/>
    <w:rsid w:val="00C03DEF"/>
    <w:rsid w:val="00C05CFF"/>
    <w:rsid w:val="00C0615D"/>
    <w:rsid w:val="00C072E7"/>
    <w:rsid w:val="00C07B26"/>
    <w:rsid w:val="00C1189C"/>
    <w:rsid w:val="00C1236C"/>
    <w:rsid w:val="00C21D15"/>
    <w:rsid w:val="00C22485"/>
    <w:rsid w:val="00C227AB"/>
    <w:rsid w:val="00C22F45"/>
    <w:rsid w:val="00C23660"/>
    <w:rsid w:val="00C24C9B"/>
    <w:rsid w:val="00C31F4A"/>
    <w:rsid w:val="00C3404E"/>
    <w:rsid w:val="00C35448"/>
    <w:rsid w:val="00C36CD0"/>
    <w:rsid w:val="00C36D0D"/>
    <w:rsid w:val="00C37163"/>
    <w:rsid w:val="00C434D9"/>
    <w:rsid w:val="00C441D3"/>
    <w:rsid w:val="00C464E8"/>
    <w:rsid w:val="00C474E5"/>
    <w:rsid w:val="00C51108"/>
    <w:rsid w:val="00C5465D"/>
    <w:rsid w:val="00C55DE9"/>
    <w:rsid w:val="00C565DB"/>
    <w:rsid w:val="00C5769E"/>
    <w:rsid w:val="00C627BC"/>
    <w:rsid w:val="00C63765"/>
    <w:rsid w:val="00C67A6A"/>
    <w:rsid w:val="00C7216D"/>
    <w:rsid w:val="00C73244"/>
    <w:rsid w:val="00C841CB"/>
    <w:rsid w:val="00C858AF"/>
    <w:rsid w:val="00C85C09"/>
    <w:rsid w:val="00C92187"/>
    <w:rsid w:val="00C924E4"/>
    <w:rsid w:val="00C954A2"/>
    <w:rsid w:val="00C96D1D"/>
    <w:rsid w:val="00CA0044"/>
    <w:rsid w:val="00CA00E7"/>
    <w:rsid w:val="00CA11CD"/>
    <w:rsid w:val="00CA449E"/>
    <w:rsid w:val="00CA467A"/>
    <w:rsid w:val="00CB22B2"/>
    <w:rsid w:val="00CB2B87"/>
    <w:rsid w:val="00CB3615"/>
    <w:rsid w:val="00CB48EA"/>
    <w:rsid w:val="00CC67CF"/>
    <w:rsid w:val="00CC70E5"/>
    <w:rsid w:val="00CD1F25"/>
    <w:rsid w:val="00CD1F7F"/>
    <w:rsid w:val="00CD2150"/>
    <w:rsid w:val="00CD4498"/>
    <w:rsid w:val="00CE119D"/>
    <w:rsid w:val="00CE121F"/>
    <w:rsid w:val="00CE1CC6"/>
    <w:rsid w:val="00CE2645"/>
    <w:rsid w:val="00CE31F2"/>
    <w:rsid w:val="00CF34DE"/>
    <w:rsid w:val="00CF4B76"/>
    <w:rsid w:val="00CF598F"/>
    <w:rsid w:val="00CF6118"/>
    <w:rsid w:val="00CF67E4"/>
    <w:rsid w:val="00D00117"/>
    <w:rsid w:val="00D00E60"/>
    <w:rsid w:val="00D0113B"/>
    <w:rsid w:val="00D063EB"/>
    <w:rsid w:val="00D10B5C"/>
    <w:rsid w:val="00D12748"/>
    <w:rsid w:val="00D131AE"/>
    <w:rsid w:val="00D14442"/>
    <w:rsid w:val="00D146BF"/>
    <w:rsid w:val="00D15696"/>
    <w:rsid w:val="00D22957"/>
    <w:rsid w:val="00D2390B"/>
    <w:rsid w:val="00D25D79"/>
    <w:rsid w:val="00D3113D"/>
    <w:rsid w:val="00D31E8C"/>
    <w:rsid w:val="00D323E9"/>
    <w:rsid w:val="00D32C3D"/>
    <w:rsid w:val="00D336B4"/>
    <w:rsid w:val="00D36CC6"/>
    <w:rsid w:val="00D447AD"/>
    <w:rsid w:val="00D448E4"/>
    <w:rsid w:val="00D50981"/>
    <w:rsid w:val="00D51925"/>
    <w:rsid w:val="00D5368C"/>
    <w:rsid w:val="00D54822"/>
    <w:rsid w:val="00D56FDA"/>
    <w:rsid w:val="00D70D13"/>
    <w:rsid w:val="00D72E1D"/>
    <w:rsid w:val="00D74EB9"/>
    <w:rsid w:val="00D764AB"/>
    <w:rsid w:val="00D76694"/>
    <w:rsid w:val="00D81B02"/>
    <w:rsid w:val="00D82553"/>
    <w:rsid w:val="00D839A8"/>
    <w:rsid w:val="00D84899"/>
    <w:rsid w:val="00D84A11"/>
    <w:rsid w:val="00D86F8E"/>
    <w:rsid w:val="00D874B9"/>
    <w:rsid w:val="00D90ABD"/>
    <w:rsid w:val="00D92256"/>
    <w:rsid w:val="00D93FC3"/>
    <w:rsid w:val="00D9702D"/>
    <w:rsid w:val="00DA289B"/>
    <w:rsid w:val="00DA543A"/>
    <w:rsid w:val="00DA5C54"/>
    <w:rsid w:val="00DA5C6E"/>
    <w:rsid w:val="00DB11D0"/>
    <w:rsid w:val="00DB2AF0"/>
    <w:rsid w:val="00DB5F56"/>
    <w:rsid w:val="00DC1077"/>
    <w:rsid w:val="00DC28ED"/>
    <w:rsid w:val="00DC3FB3"/>
    <w:rsid w:val="00DC44EB"/>
    <w:rsid w:val="00DC5D54"/>
    <w:rsid w:val="00DD050D"/>
    <w:rsid w:val="00DD128A"/>
    <w:rsid w:val="00DD3E57"/>
    <w:rsid w:val="00DD5C65"/>
    <w:rsid w:val="00DE0E28"/>
    <w:rsid w:val="00DE3174"/>
    <w:rsid w:val="00DE3232"/>
    <w:rsid w:val="00DE50E7"/>
    <w:rsid w:val="00DF4574"/>
    <w:rsid w:val="00DF7186"/>
    <w:rsid w:val="00E00577"/>
    <w:rsid w:val="00E0150B"/>
    <w:rsid w:val="00E0264F"/>
    <w:rsid w:val="00E03666"/>
    <w:rsid w:val="00E048E1"/>
    <w:rsid w:val="00E0498B"/>
    <w:rsid w:val="00E0618D"/>
    <w:rsid w:val="00E06BB1"/>
    <w:rsid w:val="00E06CB1"/>
    <w:rsid w:val="00E10F80"/>
    <w:rsid w:val="00E1244C"/>
    <w:rsid w:val="00E129D3"/>
    <w:rsid w:val="00E144F3"/>
    <w:rsid w:val="00E20351"/>
    <w:rsid w:val="00E206E1"/>
    <w:rsid w:val="00E228F6"/>
    <w:rsid w:val="00E24A77"/>
    <w:rsid w:val="00E27B4B"/>
    <w:rsid w:val="00E31A39"/>
    <w:rsid w:val="00E32CAD"/>
    <w:rsid w:val="00E33184"/>
    <w:rsid w:val="00E34080"/>
    <w:rsid w:val="00E35440"/>
    <w:rsid w:val="00E37BB2"/>
    <w:rsid w:val="00E41247"/>
    <w:rsid w:val="00E431A7"/>
    <w:rsid w:val="00E43354"/>
    <w:rsid w:val="00E4606F"/>
    <w:rsid w:val="00E5236E"/>
    <w:rsid w:val="00E5380F"/>
    <w:rsid w:val="00E53B1E"/>
    <w:rsid w:val="00E53D69"/>
    <w:rsid w:val="00E55114"/>
    <w:rsid w:val="00E557E3"/>
    <w:rsid w:val="00E63479"/>
    <w:rsid w:val="00E63D7E"/>
    <w:rsid w:val="00E67532"/>
    <w:rsid w:val="00E74277"/>
    <w:rsid w:val="00E74508"/>
    <w:rsid w:val="00E759CC"/>
    <w:rsid w:val="00E761E4"/>
    <w:rsid w:val="00E76804"/>
    <w:rsid w:val="00E76AFD"/>
    <w:rsid w:val="00E76E64"/>
    <w:rsid w:val="00E77629"/>
    <w:rsid w:val="00E779B2"/>
    <w:rsid w:val="00E77E74"/>
    <w:rsid w:val="00E80E8B"/>
    <w:rsid w:val="00E81609"/>
    <w:rsid w:val="00E81AD8"/>
    <w:rsid w:val="00E82850"/>
    <w:rsid w:val="00E82888"/>
    <w:rsid w:val="00E85B93"/>
    <w:rsid w:val="00E8798D"/>
    <w:rsid w:val="00E92950"/>
    <w:rsid w:val="00E93167"/>
    <w:rsid w:val="00E93EED"/>
    <w:rsid w:val="00E9648D"/>
    <w:rsid w:val="00E96897"/>
    <w:rsid w:val="00EA37C2"/>
    <w:rsid w:val="00EA3850"/>
    <w:rsid w:val="00EA77DF"/>
    <w:rsid w:val="00EB1CAC"/>
    <w:rsid w:val="00EB22EC"/>
    <w:rsid w:val="00EB46F0"/>
    <w:rsid w:val="00EB7AED"/>
    <w:rsid w:val="00EC0C6E"/>
    <w:rsid w:val="00EC4F9F"/>
    <w:rsid w:val="00EC5130"/>
    <w:rsid w:val="00EC59DF"/>
    <w:rsid w:val="00ED1A07"/>
    <w:rsid w:val="00EE1F53"/>
    <w:rsid w:val="00EE2824"/>
    <w:rsid w:val="00EE77E7"/>
    <w:rsid w:val="00EF1FCA"/>
    <w:rsid w:val="00EF4A91"/>
    <w:rsid w:val="00EF6E40"/>
    <w:rsid w:val="00EF77CD"/>
    <w:rsid w:val="00F00272"/>
    <w:rsid w:val="00F057B4"/>
    <w:rsid w:val="00F05A92"/>
    <w:rsid w:val="00F07A95"/>
    <w:rsid w:val="00F07E0A"/>
    <w:rsid w:val="00F14BC4"/>
    <w:rsid w:val="00F1722A"/>
    <w:rsid w:val="00F21E1C"/>
    <w:rsid w:val="00F22A35"/>
    <w:rsid w:val="00F23106"/>
    <w:rsid w:val="00F25666"/>
    <w:rsid w:val="00F25EBD"/>
    <w:rsid w:val="00F3088B"/>
    <w:rsid w:val="00F3221A"/>
    <w:rsid w:val="00F32FD0"/>
    <w:rsid w:val="00F33198"/>
    <w:rsid w:val="00F36924"/>
    <w:rsid w:val="00F37BB7"/>
    <w:rsid w:val="00F40C53"/>
    <w:rsid w:val="00F417C6"/>
    <w:rsid w:val="00F41CD1"/>
    <w:rsid w:val="00F41D7B"/>
    <w:rsid w:val="00F463A2"/>
    <w:rsid w:val="00F55C7C"/>
    <w:rsid w:val="00F61CEB"/>
    <w:rsid w:val="00F61DD1"/>
    <w:rsid w:val="00F62736"/>
    <w:rsid w:val="00F638D1"/>
    <w:rsid w:val="00F640A3"/>
    <w:rsid w:val="00F64399"/>
    <w:rsid w:val="00F6470C"/>
    <w:rsid w:val="00F658FC"/>
    <w:rsid w:val="00F6654B"/>
    <w:rsid w:val="00F70ED8"/>
    <w:rsid w:val="00F72AB6"/>
    <w:rsid w:val="00F751A4"/>
    <w:rsid w:val="00F77F7F"/>
    <w:rsid w:val="00F80594"/>
    <w:rsid w:val="00F80ADB"/>
    <w:rsid w:val="00F80EC9"/>
    <w:rsid w:val="00F8253C"/>
    <w:rsid w:val="00F82846"/>
    <w:rsid w:val="00F82CF0"/>
    <w:rsid w:val="00F83608"/>
    <w:rsid w:val="00F85A2F"/>
    <w:rsid w:val="00F86368"/>
    <w:rsid w:val="00F86825"/>
    <w:rsid w:val="00F91775"/>
    <w:rsid w:val="00F92438"/>
    <w:rsid w:val="00F94F47"/>
    <w:rsid w:val="00F95618"/>
    <w:rsid w:val="00F974FF"/>
    <w:rsid w:val="00F978E4"/>
    <w:rsid w:val="00F97B6B"/>
    <w:rsid w:val="00FA48A4"/>
    <w:rsid w:val="00FA4BDA"/>
    <w:rsid w:val="00FB0102"/>
    <w:rsid w:val="00FB06C0"/>
    <w:rsid w:val="00FB228C"/>
    <w:rsid w:val="00FB2D3C"/>
    <w:rsid w:val="00FB33B9"/>
    <w:rsid w:val="00FB5249"/>
    <w:rsid w:val="00FB7388"/>
    <w:rsid w:val="00FB73C3"/>
    <w:rsid w:val="00FC01D4"/>
    <w:rsid w:val="00FC112A"/>
    <w:rsid w:val="00FC61E7"/>
    <w:rsid w:val="00FC7BD4"/>
    <w:rsid w:val="00FD45C2"/>
    <w:rsid w:val="00FD6B87"/>
    <w:rsid w:val="00FD7ACC"/>
    <w:rsid w:val="00FD7C9D"/>
    <w:rsid w:val="00FD7CD1"/>
    <w:rsid w:val="00FE41F8"/>
    <w:rsid w:val="00FF0EC1"/>
    <w:rsid w:val="00FF0FD8"/>
    <w:rsid w:val="00FF1B1A"/>
    <w:rsid w:val="00FF44B4"/>
    <w:rsid w:val="00FF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52A0"/>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41291E"/>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41291E"/>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971F0A"/>
    <w:pPr>
      <w:keepNext/>
      <w:keepLines/>
      <w:outlineLvl w:val="2"/>
    </w:pPr>
    <w:rPr>
      <w:rFonts w:eastAsia="Times New Roman"/>
      <w:b/>
      <w:i/>
      <w:sz w:val="20"/>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41291E"/>
    <w:rPr>
      <w:rFonts w:ascii="Times New Roman" w:eastAsia="Times New Roman" w:hAnsi="Times New Roman"/>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1"/>
    <w:next w:val="Normal"/>
    <w:uiPriority w:val="39"/>
    <w:unhideWhenUsed/>
    <w:qFormat/>
    <w:rsid w:val="00052B47"/>
    <w:pPr>
      <w:outlineLvl w:val="9"/>
    </w:pPr>
    <w:rPr>
      <w:caps w:val="0"/>
      <w:color w:val="000000"/>
      <w:lang w:val="en-US"/>
    </w:rPr>
  </w:style>
  <w:style w:type="paragraph" w:styleId="TOC1">
    <w:name w:val="toc 1"/>
    <w:basedOn w:val="Normal"/>
    <w:next w:val="Normal"/>
    <w:autoRedefine/>
    <w:uiPriority w:val="39"/>
    <w:unhideWhenUsed/>
    <w:qFormat/>
    <w:rsid w:val="00950376"/>
    <w:pPr>
      <w:tabs>
        <w:tab w:val="left" w:pos="442"/>
        <w:tab w:val="right" w:leader="dot" w:pos="9016"/>
      </w:tabs>
      <w:spacing w:line="240" w:lineRule="exact"/>
    </w:pPr>
    <w:rPr>
      <w:b/>
      <w:caps/>
      <w:color w:val="000000"/>
      <w:sz w:val="20"/>
    </w:rPr>
  </w:style>
  <w:style w:type="character" w:styleId="Hyperlink">
    <w:name w:val="Hyperlink"/>
    <w:uiPriority w:val="99"/>
    <w:unhideWhenUsed/>
    <w:rsid w:val="005E068D"/>
    <w:rPr>
      <w:color w:val="0563C1"/>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link w:val="Heading2"/>
    <w:uiPriority w:val="9"/>
    <w:rsid w:val="0041291E"/>
    <w:rPr>
      <w:rFonts w:ascii="Times New Roman" w:eastAsia="Times New Roman" w:hAnsi="Times New Roman"/>
      <w:b/>
      <w:sz w:val="22"/>
      <w:szCs w:val="26"/>
      <w:lang w:eastAsia="en-US"/>
    </w:rPr>
  </w:style>
  <w:style w:type="paragraph" w:styleId="TOC2">
    <w:name w:val="toc 2"/>
    <w:basedOn w:val="Normal"/>
    <w:next w:val="Normal"/>
    <w:autoRedefine/>
    <w:uiPriority w:val="39"/>
    <w:unhideWhenUsed/>
    <w:rsid w:val="00B31E6A"/>
    <w:pPr>
      <w:spacing w:line="240" w:lineRule="exact"/>
      <w:ind w:left="221"/>
    </w:pPr>
    <w:rPr>
      <w:sz w:val="20"/>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sz w:val="20"/>
      <w:lang w:val="en-US"/>
    </w:rPr>
  </w:style>
  <w:style w:type="paragraph" w:styleId="Title">
    <w:name w:val="Title"/>
    <w:basedOn w:val="Normal"/>
    <w:next w:val="Normal"/>
    <w:link w:val="TitleChar"/>
    <w:uiPriority w:val="10"/>
    <w:qFormat/>
    <w:rsid w:val="00032AA0"/>
    <w:pPr>
      <w:spacing w:line="240" w:lineRule="auto"/>
      <w:contextualSpacing/>
    </w:pPr>
    <w:rPr>
      <w:rFonts w:eastAsia="Times New Roman"/>
      <w:b/>
      <w:caps/>
      <w:spacing w:val="-10"/>
      <w:kern w:val="28"/>
      <w:sz w:val="24"/>
      <w:szCs w:val="56"/>
    </w:rPr>
  </w:style>
  <w:style w:type="character" w:customStyle="1" w:styleId="TitleChar">
    <w:name w:val="Title Char"/>
    <w:link w:val="Title"/>
    <w:uiPriority w:val="10"/>
    <w:rsid w:val="00032AA0"/>
    <w:rPr>
      <w:rFonts w:ascii="Arial" w:eastAsia="Times New Roman" w:hAnsi="Arial"/>
      <w:b/>
      <w:caps/>
      <w:spacing w:val="-10"/>
      <w:kern w:val="28"/>
      <w:sz w:val="24"/>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971F0A"/>
    <w:rPr>
      <w:rFonts w:ascii="Arial" w:eastAsia="Times New Roman" w:hAnsi="Arial"/>
      <w:b/>
      <w:i/>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 w:val="2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basedOn w:val="Normal"/>
    <w:link w:val="FootnoteTextChar"/>
    <w:uiPriority w:val="99"/>
    <w:semiHidden/>
    <w:unhideWhenUsed/>
    <w:rsid w:val="007F3FCD"/>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F3FC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paragraph" w:styleId="NoSpacing">
    <w:name w:val="No Spacing"/>
    <w:link w:val="NoSpacingChar"/>
    <w:uiPriority w:val="1"/>
    <w:qFormat/>
    <w:rsid w:val="0076262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6262D"/>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9013F6"/>
    <w:rPr>
      <w:sz w:val="16"/>
      <w:szCs w:val="16"/>
    </w:rPr>
  </w:style>
  <w:style w:type="paragraph" w:styleId="CommentSubject">
    <w:name w:val="annotation subject"/>
    <w:basedOn w:val="CommentText"/>
    <w:next w:val="CommentText"/>
    <w:link w:val="CommentSubjectChar"/>
    <w:uiPriority w:val="99"/>
    <w:semiHidden/>
    <w:unhideWhenUsed/>
    <w:rsid w:val="009013F6"/>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9013F6"/>
    <w:rPr>
      <w:rFonts w:ascii="Arial" w:eastAsia="Times New Roman" w:hAnsi="Arial" w:cs="Times New Roman"/>
      <w:b/>
      <w:bCs/>
      <w:color w:val="00000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971083">
      <w:bodyDiv w:val="1"/>
      <w:marLeft w:val="0"/>
      <w:marRight w:val="0"/>
      <w:marTop w:val="0"/>
      <w:marBottom w:val="0"/>
      <w:divBdr>
        <w:top w:val="none" w:sz="0" w:space="0" w:color="auto"/>
        <w:left w:val="none" w:sz="0" w:space="0" w:color="auto"/>
        <w:bottom w:val="none" w:sz="0" w:space="0" w:color="auto"/>
        <w:right w:val="none" w:sz="0" w:space="0" w:color="auto"/>
      </w:divBdr>
    </w:div>
    <w:div w:id="38290334">
      <w:bodyDiv w:val="1"/>
      <w:marLeft w:val="0"/>
      <w:marRight w:val="0"/>
      <w:marTop w:val="0"/>
      <w:marBottom w:val="0"/>
      <w:divBdr>
        <w:top w:val="none" w:sz="0" w:space="0" w:color="auto"/>
        <w:left w:val="none" w:sz="0" w:space="0" w:color="auto"/>
        <w:bottom w:val="none" w:sz="0" w:space="0" w:color="auto"/>
        <w:right w:val="none" w:sz="0" w:space="0" w:color="auto"/>
      </w:divBdr>
    </w:div>
    <w:div w:id="69694015">
      <w:bodyDiv w:val="1"/>
      <w:marLeft w:val="0"/>
      <w:marRight w:val="0"/>
      <w:marTop w:val="0"/>
      <w:marBottom w:val="0"/>
      <w:divBdr>
        <w:top w:val="none" w:sz="0" w:space="0" w:color="auto"/>
        <w:left w:val="none" w:sz="0" w:space="0" w:color="auto"/>
        <w:bottom w:val="none" w:sz="0" w:space="0" w:color="auto"/>
        <w:right w:val="none" w:sz="0" w:space="0" w:color="auto"/>
      </w:divBdr>
    </w:div>
    <w:div w:id="110515086">
      <w:bodyDiv w:val="1"/>
      <w:marLeft w:val="0"/>
      <w:marRight w:val="0"/>
      <w:marTop w:val="0"/>
      <w:marBottom w:val="0"/>
      <w:divBdr>
        <w:top w:val="none" w:sz="0" w:space="0" w:color="auto"/>
        <w:left w:val="none" w:sz="0" w:space="0" w:color="auto"/>
        <w:bottom w:val="none" w:sz="0" w:space="0" w:color="auto"/>
        <w:right w:val="none" w:sz="0" w:space="0" w:color="auto"/>
      </w:divBdr>
    </w:div>
    <w:div w:id="210272132">
      <w:bodyDiv w:val="1"/>
      <w:marLeft w:val="0"/>
      <w:marRight w:val="0"/>
      <w:marTop w:val="0"/>
      <w:marBottom w:val="0"/>
      <w:divBdr>
        <w:top w:val="none" w:sz="0" w:space="0" w:color="auto"/>
        <w:left w:val="none" w:sz="0" w:space="0" w:color="auto"/>
        <w:bottom w:val="none" w:sz="0" w:space="0" w:color="auto"/>
        <w:right w:val="none" w:sz="0" w:space="0" w:color="auto"/>
      </w:divBdr>
    </w:div>
    <w:div w:id="303051802">
      <w:bodyDiv w:val="1"/>
      <w:marLeft w:val="0"/>
      <w:marRight w:val="0"/>
      <w:marTop w:val="0"/>
      <w:marBottom w:val="0"/>
      <w:divBdr>
        <w:top w:val="none" w:sz="0" w:space="0" w:color="auto"/>
        <w:left w:val="none" w:sz="0" w:space="0" w:color="auto"/>
        <w:bottom w:val="none" w:sz="0" w:space="0" w:color="auto"/>
        <w:right w:val="none" w:sz="0" w:space="0" w:color="auto"/>
      </w:divBdr>
    </w:div>
    <w:div w:id="333798845">
      <w:bodyDiv w:val="1"/>
      <w:marLeft w:val="0"/>
      <w:marRight w:val="0"/>
      <w:marTop w:val="0"/>
      <w:marBottom w:val="0"/>
      <w:divBdr>
        <w:top w:val="none" w:sz="0" w:space="0" w:color="auto"/>
        <w:left w:val="none" w:sz="0" w:space="0" w:color="auto"/>
        <w:bottom w:val="none" w:sz="0" w:space="0" w:color="auto"/>
        <w:right w:val="none" w:sz="0" w:space="0" w:color="auto"/>
      </w:divBdr>
    </w:div>
    <w:div w:id="377584619">
      <w:bodyDiv w:val="1"/>
      <w:marLeft w:val="0"/>
      <w:marRight w:val="0"/>
      <w:marTop w:val="0"/>
      <w:marBottom w:val="0"/>
      <w:divBdr>
        <w:top w:val="none" w:sz="0" w:space="0" w:color="auto"/>
        <w:left w:val="none" w:sz="0" w:space="0" w:color="auto"/>
        <w:bottom w:val="none" w:sz="0" w:space="0" w:color="auto"/>
        <w:right w:val="none" w:sz="0" w:space="0" w:color="auto"/>
      </w:divBdr>
    </w:div>
    <w:div w:id="401414945">
      <w:bodyDiv w:val="1"/>
      <w:marLeft w:val="0"/>
      <w:marRight w:val="0"/>
      <w:marTop w:val="0"/>
      <w:marBottom w:val="0"/>
      <w:divBdr>
        <w:top w:val="none" w:sz="0" w:space="0" w:color="auto"/>
        <w:left w:val="none" w:sz="0" w:space="0" w:color="auto"/>
        <w:bottom w:val="none" w:sz="0" w:space="0" w:color="auto"/>
        <w:right w:val="none" w:sz="0" w:space="0" w:color="auto"/>
      </w:divBdr>
    </w:div>
    <w:div w:id="459885297">
      <w:bodyDiv w:val="1"/>
      <w:marLeft w:val="0"/>
      <w:marRight w:val="0"/>
      <w:marTop w:val="0"/>
      <w:marBottom w:val="0"/>
      <w:divBdr>
        <w:top w:val="none" w:sz="0" w:space="0" w:color="auto"/>
        <w:left w:val="none" w:sz="0" w:space="0" w:color="auto"/>
        <w:bottom w:val="none" w:sz="0" w:space="0" w:color="auto"/>
        <w:right w:val="none" w:sz="0" w:space="0" w:color="auto"/>
      </w:divBdr>
    </w:div>
    <w:div w:id="469399044">
      <w:bodyDiv w:val="1"/>
      <w:marLeft w:val="0"/>
      <w:marRight w:val="0"/>
      <w:marTop w:val="0"/>
      <w:marBottom w:val="0"/>
      <w:divBdr>
        <w:top w:val="none" w:sz="0" w:space="0" w:color="auto"/>
        <w:left w:val="none" w:sz="0" w:space="0" w:color="auto"/>
        <w:bottom w:val="none" w:sz="0" w:space="0" w:color="auto"/>
        <w:right w:val="none" w:sz="0" w:space="0" w:color="auto"/>
      </w:divBdr>
    </w:div>
    <w:div w:id="660810922">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816798370">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927080409">
      <w:bodyDiv w:val="1"/>
      <w:marLeft w:val="0"/>
      <w:marRight w:val="0"/>
      <w:marTop w:val="0"/>
      <w:marBottom w:val="0"/>
      <w:divBdr>
        <w:top w:val="none" w:sz="0" w:space="0" w:color="auto"/>
        <w:left w:val="none" w:sz="0" w:space="0" w:color="auto"/>
        <w:bottom w:val="none" w:sz="0" w:space="0" w:color="auto"/>
        <w:right w:val="none" w:sz="0" w:space="0" w:color="auto"/>
      </w:divBdr>
    </w:div>
    <w:div w:id="1036664928">
      <w:bodyDiv w:val="1"/>
      <w:marLeft w:val="0"/>
      <w:marRight w:val="0"/>
      <w:marTop w:val="0"/>
      <w:marBottom w:val="0"/>
      <w:divBdr>
        <w:top w:val="none" w:sz="0" w:space="0" w:color="auto"/>
        <w:left w:val="none" w:sz="0" w:space="0" w:color="auto"/>
        <w:bottom w:val="none" w:sz="0" w:space="0" w:color="auto"/>
        <w:right w:val="none" w:sz="0" w:space="0" w:color="auto"/>
      </w:divBdr>
    </w:div>
    <w:div w:id="1049721793">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19377906">
      <w:bodyDiv w:val="1"/>
      <w:marLeft w:val="0"/>
      <w:marRight w:val="0"/>
      <w:marTop w:val="0"/>
      <w:marBottom w:val="0"/>
      <w:divBdr>
        <w:top w:val="none" w:sz="0" w:space="0" w:color="auto"/>
        <w:left w:val="none" w:sz="0" w:space="0" w:color="auto"/>
        <w:bottom w:val="none" w:sz="0" w:space="0" w:color="auto"/>
        <w:right w:val="none" w:sz="0" w:space="0" w:color="auto"/>
      </w:divBdr>
    </w:div>
    <w:div w:id="1164079764">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292663375">
      <w:bodyDiv w:val="1"/>
      <w:marLeft w:val="0"/>
      <w:marRight w:val="0"/>
      <w:marTop w:val="0"/>
      <w:marBottom w:val="0"/>
      <w:divBdr>
        <w:top w:val="none" w:sz="0" w:space="0" w:color="auto"/>
        <w:left w:val="none" w:sz="0" w:space="0" w:color="auto"/>
        <w:bottom w:val="none" w:sz="0" w:space="0" w:color="auto"/>
        <w:right w:val="none" w:sz="0" w:space="0" w:color="auto"/>
      </w:divBdr>
    </w:div>
    <w:div w:id="1330862471">
      <w:bodyDiv w:val="1"/>
      <w:marLeft w:val="0"/>
      <w:marRight w:val="0"/>
      <w:marTop w:val="0"/>
      <w:marBottom w:val="0"/>
      <w:divBdr>
        <w:top w:val="none" w:sz="0" w:space="0" w:color="auto"/>
        <w:left w:val="none" w:sz="0" w:space="0" w:color="auto"/>
        <w:bottom w:val="none" w:sz="0" w:space="0" w:color="auto"/>
        <w:right w:val="none" w:sz="0" w:space="0" w:color="auto"/>
      </w:divBdr>
    </w:div>
    <w:div w:id="1349061406">
      <w:bodyDiv w:val="1"/>
      <w:marLeft w:val="0"/>
      <w:marRight w:val="0"/>
      <w:marTop w:val="0"/>
      <w:marBottom w:val="0"/>
      <w:divBdr>
        <w:top w:val="none" w:sz="0" w:space="0" w:color="auto"/>
        <w:left w:val="none" w:sz="0" w:space="0" w:color="auto"/>
        <w:bottom w:val="none" w:sz="0" w:space="0" w:color="auto"/>
        <w:right w:val="none" w:sz="0" w:space="0" w:color="auto"/>
      </w:divBdr>
    </w:div>
    <w:div w:id="1356494233">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32042024">
      <w:bodyDiv w:val="1"/>
      <w:marLeft w:val="0"/>
      <w:marRight w:val="0"/>
      <w:marTop w:val="0"/>
      <w:marBottom w:val="0"/>
      <w:divBdr>
        <w:top w:val="none" w:sz="0" w:space="0" w:color="auto"/>
        <w:left w:val="none" w:sz="0" w:space="0" w:color="auto"/>
        <w:bottom w:val="none" w:sz="0" w:space="0" w:color="auto"/>
        <w:right w:val="none" w:sz="0" w:space="0" w:color="auto"/>
      </w:divBdr>
    </w:div>
    <w:div w:id="1527711734">
      <w:bodyDiv w:val="1"/>
      <w:marLeft w:val="0"/>
      <w:marRight w:val="0"/>
      <w:marTop w:val="0"/>
      <w:marBottom w:val="0"/>
      <w:divBdr>
        <w:top w:val="none" w:sz="0" w:space="0" w:color="auto"/>
        <w:left w:val="none" w:sz="0" w:space="0" w:color="auto"/>
        <w:bottom w:val="none" w:sz="0" w:space="0" w:color="auto"/>
        <w:right w:val="none" w:sz="0" w:space="0" w:color="auto"/>
      </w:divBdr>
    </w:div>
    <w:div w:id="1572041344">
      <w:bodyDiv w:val="1"/>
      <w:marLeft w:val="0"/>
      <w:marRight w:val="0"/>
      <w:marTop w:val="0"/>
      <w:marBottom w:val="0"/>
      <w:divBdr>
        <w:top w:val="none" w:sz="0" w:space="0" w:color="auto"/>
        <w:left w:val="none" w:sz="0" w:space="0" w:color="auto"/>
        <w:bottom w:val="none" w:sz="0" w:space="0" w:color="auto"/>
        <w:right w:val="none" w:sz="0" w:space="0" w:color="auto"/>
      </w:divBdr>
    </w:div>
    <w:div w:id="1575968416">
      <w:bodyDiv w:val="1"/>
      <w:marLeft w:val="0"/>
      <w:marRight w:val="0"/>
      <w:marTop w:val="0"/>
      <w:marBottom w:val="0"/>
      <w:divBdr>
        <w:top w:val="none" w:sz="0" w:space="0" w:color="auto"/>
        <w:left w:val="none" w:sz="0" w:space="0" w:color="auto"/>
        <w:bottom w:val="none" w:sz="0" w:space="0" w:color="auto"/>
        <w:right w:val="none" w:sz="0" w:space="0" w:color="auto"/>
      </w:divBdr>
    </w:div>
    <w:div w:id="1600065930">
      <w:bodyDiv w:val="1"/>
      <w:marLeft w:val="0"/>
      <w:marRight w:val="0"/>
      <w:marTop w:val="0"/>
      <w:marBottom w:val="0"/>
      <w:divBdr>
        <w:top w:val="none" w:sz="0" w:space="0" w:color="auto"/>
        <w:left w:val="none" w:sz="0" w:space="0" w:color="auto"/>
        <w:bottom w:val="none" w:sz="0" w:space="0" w:color="auto"/>
        <w:right w:val="none" w:sz="0" w:space="0" w:color="auto"/>
      </w:divBdr>
    </w:div>
    <w:div w:id="1664239723">
      <w:bodyDiv w:val="1"/>
      <w:marLeft w:val="0"/>
      <w:marRight w:val="0"/>
      <w:marTop w:val="0"/>
      <w:marBottom w:val="0"/>
      <w:divBdr>
        <w:top w:val="none" w:sz="0" w:space="0" w:color="auto"/>
        <w:left w:val="none" w:sz="0" w:space="0" w:color="auto"/>
        <w:bottom w:val="none" w:sz="0" w:space="0" w:color="auto"/>
        <w:right w:val="none" w:sz="0" w:space="0" w:color="auto"/>
      </w:divBdr>
    </w:div>
    <w:div w:id="1712341469">
      <w:bodyDiv w:val="1"/>
      <w:marLeft w:val="0"/>
      <w:marRight w:val="0"/>
      <w:marTop w:val="0"/>
      <w:marBottom w:val="0"/>
      <w:divBdr>
        <w:top w:val="none" w:sz="0" w:space="0" w:color="auto"/>
        <w:left w:val="none" w:sz="0" w:space="0" w:color="auto"/>
        <w:bottom w:val="none" w:sz="0" w:space="0" w:color="auto"/>
        <w:right w:val="none" w:sz="0" w:space="0" w:color="auto"/>
      </w:divBdr>
    </w:div>
    <w:div w:id="1768235458">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981231">
      <w:bodyDiv w:val="1"/>
      <w:marLeft w:val="0"/>
      <w:marRight w:val="0"/>
      <w:marTop w:val="0"/>
      <w:marBottom w:val="0"/>
      <w:divBdr>
        <w:top w:val="none" w:sz="0" w:space="0" w:color="auto"/>
        <w:left w:val="none" w:sz="0" w:space="0" w:color="auto"/>
        <w:bottom w:val="none" w:sz="0" w:space="0" w:color="auto"/>
        <w:right w:val="none" w:sz="0" w:space="0" w:color="auto"/>
      </w:divBdr>
    </w:div>
    <w:div w:id="1925603507">
      <w:bodyDiv w:val="1"/>
      <w:marLeft w:val="0"/>
      <w:marRight w:val="0"/>
      <w:marTop w:val="0"/>
      <w:marBottom w:val="0"/>
      <w:divBdr>
        <w:top w:val="none" w:sz="0" w:space="0" w:color="auto"/>
        <w:left w:val="none" w:sz="0" w:space="0" w:color="auto"/>
        <w:bottom w:val="none" w:sz="0" w:space="0" w:color="auto"/>
        <w:right w:val="none" w:sz="0" w:space="0" w:color="auto"/>
      </w:divBdr>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 w:id="1954165923">
      <w:bodyDiv w:val="1"/>
      <w:marLeft w:val="0"/>
      <w:marRight w:val="0"/>
      <w:marTop w:val="0"/>
      <w:marBottom w:val="0"/>
      <w:divBdr>
        <w:top w:val="none" w:sz="0" w:space="0" w:color="auto"/>
        <w:left w:val="none" w:sz="0" w:space="0" w:color="auto"/>
        <w:bottom w:val="none" w:sz="0" w:space="0" w:color="auto"/>
        <w:right w:val="none" w:sz="0" w:space="0" w:color="auto"/>
      </w:divBdr>
    </w:div>
    <w:div w:id="1988901060">
      <w:bodyDiv w:val="1"/>
      <w:marLeft w:val="0"/>
      <w:marRight w:val="0"/>
      <w:marTop w:val="0"/>
      <w:marBottom w:val="0"/>
      <w:divBdr>
        <w:top w:val="none" w:sz="0" w:space="0" w:color="auto"/>
        <w:left w:val="none" w:sz="0" w:space="0" w:color="auto"/>
        <w:bottom w:val="none" w:sz="0" w:space="0" w:color="auto"/>
        <w:right w:val="none" w:sz="0" w:space="0" w:color="auto"/>
      </w:divBdr>
    </w:div>
    <w:div w:id="2022967851">
      <w:bodyDiv w:val="1"/>
      <w:marLeft w:val="0"/>
      <w:marRight w:val="0"/>
      <w:marTop w:val="0"/>
      <w:marBottom w:val="0"/>
      <w:divBdr>
        <w:top w:val="none" w:sz="0" w:space="0" w:color="auto"/>
        <w:left w:val="none" w:sz="0" w:space="0" w:color="auto"/>
        <w:bottom w:val="none" w:sz="0" w:space="0" w:color="auto"/>
        <w:right w:val="none" w:sz="0" w:space="0" w:color="auto"/>
      </w:divBdr>
    </w:div>
    <w:div w:id="2083091374">
      <w:bodyDiv w:val="1"/>
      <w:marLeft w:val="0"/>
      <w:marRight w:val="0"/>
      <w:marTop w:val="0"/>
      <w:marBottom w:val="0"/>
      <w:divBdr>
        <w:top w:val="none" w:sz="0" w:space="0" w:color="auto"/>
        <w:left w:val="none" w:sz="0" w:space="0" w:color="auto"/>
        <w:bottom w:val="none" w:sz="0" w:space="0" w:color="auto"/>
        <w:right w:val="none" w:sz="0" w:space="0" w:color="auto"/>
      </w:divBdr>
    </w:div>
    <w:div w:id="21300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203E-E4DB-4221-AF35-11978C37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1</TotalTime>
  <Pages>12</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37871</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2021-04-23T11:09:00Z</cp:lastPrinted>
  <dcterms:created xsi:type="dcterms:W3CDTF">2022-05-05T07:10:00Z</dcterms:created>
  <dcterms:modified xsi:type="dcterms:W3CDTF">2022-05-05T07:10:00Z</dcterms:modified>
</cp:coreProperties>
</file>