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24B" w:rsidRPr="005A505B" w:rsidRDefault="0088724B" w:rsidP="005A505B">
      <w:pPr>
        <w:jc w:val="both"/>
        <w:rPr>
          <w:rFonts w:cs="Arial"/>
          <w:b/>
          <w:color w:val="auto"/>
          <w:sz w:val="20"/>
          <w:szCs w:val="20"/>
          <w:lang w:val="en-US"/>
        </w:rPr>
      </w:pPr>
      <w:r w:rsidRPr="005A505B">
        <w:rPr>
          <w:rFonts w:cs="Arial"/>
          <w:b/>
          <w:color w:val="auto"/>
          <w:sz w:val="20"/>
          <w:szCs w:val="20"/>
          <w:lang w:val="en-US"/>
        </w:rPr>
        <w:t>The Budget Vote Repo</w:t>
      </w:r>
      <w:bookmarkStart w:id="0" w:name="_GoBack"/>
      <w:bookmarkEnd w:id="0"/>
      <w:r w:rsidRPr="005A505B">
        <w:rPr>
          <w:rFonts w:cs="Arial"/>
          <w:b/>
          <w:color w:val="auto"/>
          <w:sz w:val="20"/>
          <w:szCs w:val="20"/>
          <w:lang w:val="en-US"/>
        </w:rPr>
        <w:t xml:space="preserve">rt of the Portfolio Committee on Health, dated </w:t>
      </w:r>
      <w:r w:rsidR="006C6A06" w:rsidRPr="005A505B">
        <w:rPr>
          <w:rFonts w:cs="Arial"/>
          <w:b/>
          <w:color w:val="auto"/>
          <w:sz w:val="20"/>
          <w:szCs w:val="20"/>
          <w:lang w:val="en-US"/>
        </w:rPr>
        <w:t>0</w:t>
      </w:r>
      <w:r w:rsidR="006C4110" w:rsidRPr="005A505B">
        <w:rPr>
          <w:rFonts w:cs="Arial"/>
          <w:b/>
          <w:color w:val="auto"/>
          <w:sz w:val="20"/>
          <w:szCs w:val="20"/>
          <w:lang w:val="en-US"/>
        </w:rPr>
        <w:t>4 May 2022</w:t>
      </w:r>
    </w:p>
    <w:p w:rsidR="003C7115" w:rsidRPr="005A505B" w:rsidRDefault="003C7115" w:rsidP="005A505B">
      <w:pPr>
        <w:jc w:val="both"/>
        <w:rPr>
          <w:rFonts w:cs="Arial"/>
          <w:b/>
          <w:color w:val="auto"/>
          <w:sz w:val="20"/>
          <w:szCs w:val="20"/>
          <w:lang w:val="en-US"/>
        </w:rPr>
      </w:pPr>
    </w:p>
    <w:sdt>
      <w:sdtPr>
        <w:rPr>
          <w:rFonts w:ascii="Arial" w:hAnsi="Arial" w:cs="Arial"/>
          <w:color w:val="auto"/>
          <w:spacing w:val="6"/>
          <w:sz w:val="20"/>
          <w:szCs w:val="20"/>
          <w:lang w:val="en-GB" w:eastAsia="en-GB"/>
        </w:rPr>
        <w:id w:val="-366988511"/>
        <w:docPartObj>
          <w:docPartGallery w:val="Table of Contents"/>
          <w:docPartUnique/>
        </w:docPartObj>
      </w:sdtPr>
      <w:sdtEndPr>
        <w:rPr>
          <w:b/>
          <w:bCs/>
          <w:noProof/>
        </w:rPr>
      </w:sdtEndPr>
      <w:sdtContent>
        <w:p w:rsidR="0088724B" w:rsidRPr="005A505B" w:rsidRDefault="0088724B" w:rsidP="005A505B">
          <w:pPr>
            <w:pStyle w:val="TOCHeading"/>
            <w:spacing w:before="0" w:line="240" w:lineRule="auto"/>
            <w:rPr>
              <w:rFonts w:ascii="Arial" w:hAnsi="Arial" w:cs="Arial"/>
              <w:b/>
              <w:color w:val="auto"/>
              <w:sz w:val="20"/>
              <w:szCs w:val="20"/>
            </w:rPr>
          </w:pPr>
          <w:r w:rsidRPr="005A505B">
            <w:rPr>
              <w:rFonts w:ascii="Arial" w:hAnsi="Arial" w:cs="Arial"/>
              <w:b/>
              <w:color w:val="auto"/>
              <w:sz w:val="20"/>
              <w:szCs w:val="20"/>
            </w:rPr>
            <w:t>Contents</w:t>
          </w:r>
        </w:p>
        <w:p w:rsidR="00A07268" w:rsidRPr="005A505B" w:rsidRDefault="00A07268" w:rsidP="005A505B">
          <w:pPr>
            <w:rPr>
              <w:rFonts w:cs="Arial"/>
              <w:color w:val="auto"/>
              <w:sz w:val="20"/>
              <w:szCs w:val="20"/>
            </w:rPr>
          </w:pPr>
        </w:p>
        <w:p w:rsidR="00C50342" w:rsidRPr="005A505B" w:rsidRDefault="00013966" w:rsidP="005A505B">
          <w:pPr>
            <w:pStyle w:val="TOC1"/>
            <w:spacing w:line="240" w:lineRule="auto"/>
            <w:rPr>
              <w:rFonts w:ascii="Arial" w:eastAsiaTheme="minorEastAsia" w:hAnsi="Arial" w:cs="Arial"/>
              <w:b w:val="0"/>
              <w:sz w:val="20"/>
              <w:szCs w:val="20"/>
              <w:lang w:val="en-US"/>
            </w:rPr>
          </w:pPr>
          <w:r w:rsidRPr="005A505B">
            <w:rPr>
              <w:rFonts w:ascii="Arial" w:hAnsi="Arial" w:cs="Arial"/>
              <w:sz w:val="20"/>
              <w:szCs w:val="20"/>
            </w:rPr>
            <w:fldChar w:fldCharType="begin"/>
          </w:r>
          <w:r w:rsidR="0088724B" w:rsidRPr="005A505B">
            <w:rPr>
              <w:rFonts w:ascii="Arial" w:hAnsi="Arial" w:cs="Arial"/>
              <w:sz w:val="20"/>
              <w:szCs w:val="20"/>
            </w:rPr>
            <w:instrText xml:space="preserve"> TOC \o "1-3" \h \z \u </w:instrText>
          </w:r>
          <w:r w:rsidRPr="005A505B">
            <w:rPr>
              <w:rFonts w:ascii="Arial" w:hAnsi="Arial" w:cs="Arial"/>
              <w:sz w:val="20"/>
              <w:szCs w:val="20"/>
            </w:rPr>
            <w:fldChar w:fldCharType="separate"/>
          </w:r>
          <w:hyperlink w:anchor="_Toc102119839" w:history="1">
            <w:r w:rsidR="00C50342" w:rsidRPr="005A505B">
              <w:rPr>
                <w:rStyle w:val="Hyperlink"/>
                <w:rFonts w:ascii="Arial" w:hAnsi="Arial" w:cs="Arial"/>
                <w:caps/>
                <w:sz w:val="20"/>
                <w:szCs w:val="20"/>
              </w:rPr>
              <w:t>1.</w:t>
            </w:r>
            <w:r w:rsidR="00C50342" w:rsidRPr="005A505B">
              <w:rPr>
                <w:rFonts w:ascii="Arial" w:eastAsiaTheme="minorEastAsia" w:hAnsi="Arial" w:cs="Arial"/>
                <w:b w:val="0"/>
                <w:sz w:val="20"/>
                <w:szCs w:val="20"/>
                <w:lang w:val="en-US"/>
              </w:rPr>
              <w:tab/>
            </w:r>
            <w:r w:rsidR="00C50342" w:rsidRPr="005A505B">
              <w:rPr>
                <w:rStyle w:val="Hyperlink"/>
                <w:rFonts w:ascii="Arial" w:hAnsi="Arial" w:cs="Arial"/>
                <w:sz w:val="20"/>
                <w:szCs w:val="20"/>
              </w:rPr>
              <w:t>INTRODUCTION</w:t>
            </w:r>
            <w:r w:rsidR="00C50342" w:rsidRPr="005A505B">
              <w:rPr>
                <w:rFonts w:ascii="Arial" w:hAnsi="Arial" w:cs="Arial"/>
                <w:webHidden/>
                <w:sz w:val="20"/>
                <w:szCs w:val="20"/>
              </w:rPr>
              <w:tab/>
            </w:r>
            <w:r w:rsidRPr="005A505B">
              <w:rPr>
                <w:rFonts w:ascii="Arial" w:hAnsi="Arial" w:cs="Arial"/>
                <w:webHidden/>
                <w:sz w:val="20"/>
                <w:szCs w:val="20"/>
              </w:rPr>
              <w:fldChar w:fldCharType="begin"/>
            </w:r>
            <w:r w:rsidR="00C50342" w:rsidRPr="005A505B">
              <w:rPr>
                <w:rFonts w:ascii="Arial" w:hAnsi="Arial" w:cs="Arial"/>
                <w:webHidden/>
                <w:sz w:val="20"/>
                <w:szCs w:val="20"/>
              </w:rPr>
              <w:instrText xml:space="preserve"> PAGEREF _Toc102119839 \h </w:instrText>
            </w:r>
            <w:r w:rsidRPr="005A505B">
              <w:rPr>
                <w:rFonts w:ascii="Arial" w:hAnsi="Arial" w:cs="Arial"/>
                <w:webHidden/>
                <w:sz w:val="20"/>
                <w:szCs w:val="20"/>
              </w:rPr>
            </w:r>
            <w:r w:rsidRPr="005A505B">
              <w:rPr>
                <w:rFonts w:ascii="Arial" w:hAnsi="Arial" w:cs="Arial"/>
                <w:webHidden/>
                <w:sz w:val="20"/>
                <w:szCs w:val="20"/>
              </w:rPr>
              <w:fldChar w:fldCharType="separate"/>
            </w:r>
            <w:r w:rsidR="00783AA5" w:rsidRPr="005A505B">
              <w:rPr>
                <w:rFonts w:ascii="Arial" w:hAnsi="Arial" w:cs="Arial"/>
                <w:webHidden/>
                <w:sz w:val="20"/>
                <w:szCs w:val="20"/>
              </w:rPr>
              <w:t>2</w:t>
            </w:r>
            <w:r w:rsidRPr="005A505B">
              <w:rPr>
                <w:rFonts w:ascii="Arial" w:hAnsi="Arial" w:cs="Arial"/>
                <w:webHidden/>
                <w:sz w:val="20"/>
                <w:szCs w:val="20"/>
              </w:rPr>
              <w:fldChar w:fldCharType="end"/>
            </w:r>
          </w:hyperlink>
        </w:p>
        <w:p w:rsidR="00C50342" w:rsidRPr="005A505B" w:rsidRDefault="00013966" w:rsidP="005A505B">
          <w:pPr>
            <w:pStyle w:val="TOC2"/>
            <w:tabs>
              <w:tab w:val="left" w:pos="880"/>
              <w:tab w:val="right" w:leader="dot" w:pos="9016"/>
            </w:tabs>
            <w:spacing w:after="0" w:line="240" w:lineRule="auto"/>
            <w:rPr>
              <w:rFonts w:ascii="Arial" w:eastAsiaTheme="minorEastAsia" w:hAnsi="Arial" w:cs="Arial"/>
              <w:noProof/>
              <w:sz w:val="20"/>
              <w:szCs w:val="20"/>
              <w:lang w:val="en-US"/>
            </w:rPr>
          </w:pPr>
          <w:hyperlink w:anchor="_Toc102119840" w:history="1">
            <w:r w:rsidR="00C50342" w:rsidRPr="005A505B">
              <w:rPr>
                <w:rStyle w:val="Hyperlink"/>
                <w:rFonts w:ascii="Arial" w:hAnsi="Arial" w:cs="Arial"/>
                <w:i/>
                <w:noProof/>
                <w:sz w:val="20"/>
                <w:szCs w:val="20"/>
              </w:rPr>
              <w:t>1.1.</w:t>
            </w:r>
            <w:r w:rsidR="00C50342" w:rsidRPr="005A505B">
              <w:rPr>
                <w:rFonts w:ascii="Arial" w:eastAsiaTheme="minorEastAsia" w:hAnsi="Arial" w:cs="Arial"/>
                <w:noProof/>
                <w:sz w:val="20"/>
                <w:szCs w:val="20"/>
                <w:lang w:val="en-US"/>
              </w:rPr>
              <w:tab/>
            </w:r>
            <w:r w:rsidR="00C50342" w:rsidRPr="005A505B">
              <w:rPr>
                <w:rStyle w:val="Hyperlink"/>
                <w:rFonts w:ascii="Arial" w:hAnsi="Arial" w:cs="Arial"/>
                <w:i/>
                <w:noProof/>
                <w:sz w:val="20"/>
                <w:szCs w:val="20"/>
              </w:rPr>
              <w:t>Purpose of the report</w:t>
            </w:r>
            <w:r w:rsidR="00C50342" w:rsidRPr="005A505B">
              <w:rPr>
                <w:rFonts w:ascii="Arial" w:hAnsi="Arial" w:cs="Arial"/>
                <w:noProof/>
                <w:webHidden/>
                <w:sz w:val="20"/>
                <w:szCs w:val="20"/>
              </w:rPr>
              <w:tab/>
            </w:r>
            <w:r w:rsidRPr="005A505B">
              <w:rPr>
                <w:rFonts w:ascii="Arial" w:hAnsi="Arial" w:cs="Arial"/>
                <w:noProof/>
                <w:webHidden/>
                <w:sz w:val="20"/>
                <w:szCs w:val="20"/>
              </w:rPr>
              <w:fldChar w:fldCharType="begin"/>
            </w:r>
            <w:r w:rsidR="00C50342" w:rsidRPr="005A505B">
              <w:rPr>
                <w:rFonts w:ascii="Arial" w:hAnsi="Arial" w:cs="Arial"/>
                <w:noProof/>
                <w:webHidden/>
                <w:sz w:val="20"/>
                <w:szCs w:val="20"/>
              </w:rPr>
              <w:instrText xml:space="preserve"> PAGEREF _Toc102119840 \h </w:instrText>
            </w:r>
            <w:r w:rsidRPr="005A505B">
              <w:rPr>
                <w:rFonts w:ascii="Arial" w:hAnsi="Arial" w:cs="Arial"/>
                <w:noProof/>
                <w:webHidden/>
                <w:sz w:val="20"/>
                <w:szCs w:val="20"/>
              </w:rPr>
            </w:r>
            <w:r w:rsidRPr="005A505B">
              <w:rPr>
                <w:rFonts w:ascii="Arial" w:hAnsi="Arial" w:cs="Arial"/>
                <w:noProof/>
                <w:webHidden/>
                <w:sz w:val="20"/>
                <w:szCs w:val="20"/>
              </w:rPr>
              <w:fldChar w:fldCharType="separate"/>
            </w:r>
            <w:r w:rsidR="00783AA5" w:rsidRPr="005A505B">
              <w:rPr>
                <w:rFonts w:ascii="Arial" w:hAnsi="Arial" w:cs="Arial"/>
                <w:noProof/>
                <w:webHidden/>
                <w:sz w:val="20"/>
                <w:szCs w:val="20"/>
              </w:rPr>
              <w:t>2</w:t>
            </w:r>
            <w:r w:rsidRPr="005A505B">
              <w:rPr>
                <w:rFonts w:ascii="Arial" w:hAnsi="Arial" w:cs="Arial"/>
                <w:noProof/>
                <w:webHidden/>
                <w:sz w:val="20"/>
                <w:szCs w:val="20"/>
              </w:rPr>
              <w:fldChar w:fldCharType="end"/>
            </w:r>
          </w:hyperlink>
        </w:p>
        <w:p w:rsidR="00C50342" w:rsidRPr="005A505B" w:rsidRDefault="00013966" w:rsidP="005A505B">
          <w:pPr>
            <w:pStyle w:val="TOC2"/>
            <w:tabs>
              <w:tab w:val="left" w:pos="880"/>
              <w:tab w:val="right" w:leader="dot" w:pos="9016"/>
            </w:tabs>
            <w:spacing w:after="0" w:line="240" w:lineRule="auto"/>
            <w:rPr>
              <w:rFonts w:ascii="Arial" w:eastAsiaTheme="minorEastAsia" w:hAnsi="Arial" w:cs="Arial"/>
              <w:noProof/>
              <w:sz w:val="20"/>
              <w:szCs w:val="20"/>
              <w:lang w:val="en-US"/>
            </w:rPr>
          </w:pPr>
          <w:hyperlink w:anchor="_Toc102119842" w:history="1">
            <w:r w:rsidR="00C50342" w:rsidRPr="005A505B">
              <w:rPr>
                <w:rStyle w:val="Hyperlink"/>
                <w:rFonts w:ascii="Arial" w:hAnsi="Arial" w:cs="Arial"/>
                <w:i/>
                <w:noProof/>
                <w:sz w:val="20"/>
                <w:szCs w:val="20"/>
              </w:rPr>
              <w:t>1.2.</w:t>
            </w:r>
            <w:r w:rsidR="00C50342" w:rsidRPr="005A505B">
              <w:rPr>
                <w:rFonts w:ascii="Arial" w:eastAsiaTheme="minorEastAsia" w:hAnsi="Arial" w:cs="Arial"/>
                <w:noProof/>
                <w:sz w:val="20"/>
                <w:szCs w:val="20"/>
                <w:lang w:val="en-US"/>
              </w:rPr>
              <w:tab/>
            </w:r>
            <w:r w:rsidR="00C50342" w:rsidRPr="005A505B">
              <w:rPr>
                <w:rStyle w:val="Hyperlink"/>
                <w:rFonts w:ascii="Arial" w:hAnsi="Arial" w:cs="Arial"/>
                <w:i/>
                <w:noProof/>
                <w:sz w:val="20"/>
                <w:szCs w:val="20"/>
              </w:rPr>
              <w:t>Process</w:t>
            </w:r>
            <w:r w:rsidR="00C50342" w:rsidRPr="005A505B">
              <w:rPr>
                <w:rFonts w:ascii="Arial" w:hAnsi="Arial" w:cs="Arial"/>
                <w:noProof/>
                <w:webHidden/>
                <w:sz w:val="20"/>
                <w:szCs w:val="20"/>
              </w:rPr>
              <w:tab/>
            </w:r>
            <w:r w:rsidRPr="005A505B">
              <w:rPr>
                <w:rFonts w:ascii="Arial" w:hAnsi="Arial" w:cs="Arial"/>
                <w:noProof/>
                <w:webHidden/>
                <w:sz w:val="20"/>
                <w:szCs w:val="20"/>
              </w:rPr>
              <w:fldChar w:fldCharType="begin"/>
            </w:r>
            <w:r w:rsidR="00C50342" w:rsidRPr="005A505B">
              <w:rPr>
                <w:rFonts w:ascii="Arial" w:hAnsi="Arial" w:cs="Arial"/>
                <w:noProof/>
                <w:webHidden/>
                <w:sz w:val="20"/>
                <w:szCs w:val="20"/>
              </w:rPr>
              <w:instrText xml:space="preserve"> PAGEREF _Toc102119842 \h </w:instrText>
            </w:r>
            <w:r w:rsidRPr="005A505B">
              <w:rPr>
                <w:rFonts w:ascii="Arial" w:hAnsi="Arial" w:cs="Arial"/>
                <w:noProof/>
                <w:webHidden/>
                <w:sz w:val="20"/>
                <w:szCs w:val="20"/>
              </w:rPr>
            </w:r>
            <w:r w:rsidRPr="005A505B">
              <w:rPr>
                <w:rFonts w:ascii="Arial" w:hAnsi="Arial" w:cs="Arial"/>
                <w:noProof/>
                <w:webHidden/>
                <w:sz w:val="20"/>
                <w:szCs w:val="20"/>
              </w:rPr>
              <w:fldChar w:fldCharType="separate"/>
            </w:r>
            <w:r w:rsidR="00783AA5" w:rsidRPr="005A505B">
              <w:rPr>
                <w:rFonts w:ascii="Arial" w:hAnsi="Arial" w:cs="Arial"/>
                <w:noProof/>
                <w:webHidden/>
                <w:sz w:val="20"/>
                <w:szCs w:val="20"/>
              </w:rPr>
              <w:t>2</w:t>
            </w:r>
            <w:r w:rsidRPr="005A505B">
              <w:rPr>
                <w:rFonts w:ascii="Arial" w:hAnsi="Arial" w:cs="Arial"/>
                <w:noProof/>
                <w:webHidden/>
                <w:sz w:val="20"/>
                <w:szCs w:val="20"/>
              </w:rPr>
              <w:fldChar w:fldCharType="end"/>
            </w:r>
          </w:hyperlink>
        </w:p>
        <w:p w:rsidR="00C50342" w:rsidRPr="005A505B" w:rsidRDefault="00013966" w:rsidP="005A505B">
          <w:pPr>
            <w:pStyle w:val="TOC2"/>
            <w:tabs>
              <w:tab w:val="left" w:pos="880"/>
              <w:tab w:val="right" w:leader="dot" w:pos="9016"/>
            </w:tabs>
            <w:spacing w:after="0" w:line="240" w:lineRule="auto"/>
            <w:rPr>
              <w:rFonts w:ascii="Arial" w:eastAsiaTheme="minorEastAsia" w:hAnsi="Arial" w:cs="Arial"/>
              <w:noProof/>
              <w:sz w:val="20"/>
              <w:szCs w:val="20"/>
              <w:lang w:val="en-US"/>
            </w:rPr>
          </w:pPr>
          <w:hyperlink w:anchor="_Toc102119843" w:history="1">
            <w:r w:rsidR="00C50342" w:rsidRPr="005A505B">
              <w:rPr>
                <w:rStyle w:val="Hyperlink"/>
                <w:rFonts w:ascii="Arial" w:hAnsi="Arial" w:cs="Arial"/>
                <w:i/>
                <w:noProof/>
                <w:sz w:val="20"/>
                <w:szCs w:val="20"/>
              </w:rPr>
              <w:t>1.3.</w:t>
            </w:r>
            <w:r w:rsidR="00C50342" w:rsidRPr="005A505B">
              <w:rPr>
                <w:rFonts w:ascii="Arial" w:eastAsiaTheme="minorEastAsia" w:hAnsi="Arial" w:cs="Arial"/>
                <w:noProof/>
                <w:sz w:val="20"/>
                <w:szCs w:val="20"/>
                <w:lang w:val="en-US"/>
              </w:rPr>
              <w:tab/>
            </w:r>
            <w:r w:rsidR="00C50342" w:rsidRPr="005A505B">
              <w:rPr>
                <w:rStyle w:val="Hyperlink"/>
                <w:rFonts w:ascii="Arial" w:hAnsi="Arial" w:cs="Arial"/>
                <w:i/>
                <w:noProof/>
                <w:sz w:val="20"/>
                <w:szCs w:val="20"/>
              </w:rPr>
              <w:t>Report of the Auditor General of South Africa</w:t>
            </w:r>
            <w:r w:rsidR="00C50342" w:rsidRPr="005A505B">
              <w:rPr>
                <w:rFonts w:ascii="Arial" w:hAnsi="Arial" w:cs="Arial"/>
                <w:noProof/>
                <w:webHidden/>
                <w:sz w:val="20"/>
                <w:szCs w:val="20"/>
              </w:rPr>
              <w:tab/>
            </w:r>
            <w:r w:rsidRPr="005A505B">
              <w:rPr>
                <w:rFonts w:ascii="Arial" w:hAnsi="Arial" w:cs="Arial"/>
                <w:noProof/>
                <w:webHidden/>
                <w:sz w:val="20"/>
                <w:szCs w:val="20"/>
              </w:rPr>
              <w:fldChar w:fldCharType="begin"/>
            </w:r>
            <w:r w:rsidR="00C50342" w:rsidRPr="005A505B">
              <w:rPr>
                <w:rFonts w:ascii="Arial" w:hAnsi="Arial" w:cs="Arial"/>
                <w:noProof/>
                <w:webHidden/>
                <w:sz w:val="20"/>
                <w:szCs w:val="20"/>
              </w:rPr>
              <w:instrText xml:space="preserve"> PAGEREF _Toc102119843 \h </w:instrText>
            </w:r>
            <w:r w:rsidRPr="005A505B">
              <w:rPr>
                <w:rFonts w:ascii="Arial" w:hAnsi="Arial" w:cs="Arial"/>
                <w:noProof/>
                <w:webHidden/>
                <w:sz w:val="20"/>
                <w:szCs w:val="20"/>
              </w:rPr>
            </w:r>
            <w:r w:rsidRPr="005A505B">
              <w:rPr>
                <w:rFonts w:ascii="Arial" w:hAnsi="Arial" w:cs="Arial"/>
                <w:noProof/>
                <w:webHidden/>
                <w:sz w:val="20"/>
                <w:szCs w:val="20"/>
              </w:rPr>
              <w:fldChar w:fldCharType="separate"/>
            </w:r>
            <w:r w:rsidR="00783AA5" w:rsidRPr="005A505B">
              <w:rPr>
                <w:rFonts w:ascii="Arial" w:hAnsi="Arial" w:cs="Arial"/>
                <w:noProof/>
                <w:webHidden/>
                <w:sz w:val="20"/>
                <w:szCs w:val="20"/>
              </w:rPr>
              <w:t>3</w:t>
            </w:r>
            <w:r w:rsidRPr="005A505B">
              <w:rPr>
                <w:rFonts w:ascii="Arial" w:hAnsi="Arial" w:cs="Arial"/>
                <w:noProof/>
                <w:webHidden/>
                <w:sz w:val="20"/>
                <w:szCs w:val="20"/>
              </w:rPr>
              <w:fldChar w:fldCharType="end"/>
            </w:r>
          </w:hyperlink>
        </w:p>
        <w:p w:rsidR="00C50342" w:rsidRPr="005A505B" w:rsidRDefault="00013966" w:rsidP="005A505B">
          <w:pPr>
            <w:pStyle w:val="TOC1"/>
            <w:spacing w:line="240" w:lineRule="auto"/>
            <w:rPr>
              <w:rFonts w:ascii="Arial" w:eastAsiaTheme="minorEastAsia" w:hAnsi="Arial" w:cs="Arial"/>
              <w:b w:val="0"/>
              <w:sz w:val="20"/>
              <w:szCs w:val="20"/>
              <w:lang w:val="en-US"/>
            </w:rPr>
          </w:pPr>
          <w:hyperlink w:anchor="_Toc102119844" w:history="1">
            <w:r w:rsidR="00C50342" w:rsidRPr="005A505B">
              <w:rPr>
                <w:rStyle w:val="Hyperlink"/>
                <w:rFonts w:ascii="Arial" w:hAnsi="Arial" w:cs="Arial"/>
                <w:sz w:val="20"/>
                <w:szCs w:val="20"/>
              </w:rPr>
              <w:t>2.</w:t>
            </w:r>
            <w:r w:rsidR="00C50342" w:rsidRPr="005A505B">
              <w:rPr>
                <w:rFonts w:ascii="Arial" w:eastAsiaTheme="minorEastAsia" w:hAnsi="Arial" w:cs="Arial"/>
                <w:b w:val="0"/>
                <w:sz w:val="20"/>
                <w:szCs w:val="20"/>
                <w:lang w:val="en-US"/>
              </w:rPr>
              <w:tab/>
            </w:r>
            <w:r w:rsidR="00C50342" w:rsidRPr="005A505B">
              <w:rPr>
                <w:rStyle w:val="Hyperlink"/>
                <w:rFonts w:ascii="Arial" w:hAnsi="Arial" w:cs="Arial"/>
                <w:sz w:val="20"/>
                <w:szCs w:val="20"/>
              </w:rPr>
              <w:t>CONSIDERATION OF THE ANNUAL PERFORMANCE AND BUDGET OF THE DEPARTMENT OF HEALTH (2022/23)</w:t>
            </w:r>
            <w:r w:rsidR="00C50342" w:rsidRPr="005A505B">
              <w:rPr>
                <w:rFonts w:ascii="Arial" w:hAnsi="Arial" w:cs="Arial"/>
                <w:webHidden/>
                <w:sz w:val="20"/>
                <w:szCs w:val="20"/>
              </w:rPr>
              <w:tab/>
            </w:r>
            <w:r w:rsidRPr="005A505B">
              <w:rPr>
                <w:rFonts w:ascii="Arial" w:hAnsi="Arial" w:cs="Arial"/>
                <w:webHidden/>
                <w:sz w:val="20"/>
                <w:szCs w:val="20"/>
              </w:rPr>
              <w:fldChar w:fldCharType="begin"/>
            </w:r>
            <w:r w:rsidR="00C50342" w:rsidRPr="005A505B">
              <w:rPr>
                <w:rFonts w:ascii="Arial" w:hAnsi="Arial" w:cs="Arial"/>
                <w:webHidden/>
                <w:sz w:val="20"/>
                <w:szCs w:val="20"/>
              </w:rPr>
              <w:instrText xml:space="preserve"> PAGEREF _Toc102119844 \h </w:instrText>
            </w:r>
            <w:r w:rsidRPr="005A505B">
              <w:rPr>
                <w:rFonts w:ascii="Arial" w:hAnsi="Arial" w:cs="Arial"/>
                <w:webHidden/>
                <w:sz w:val="20"/>
                <w:szCs w:val="20"/>
              </w:rPr>
            </w:r>
            <w:r w:rsidRPr="005A505B">
              <w:rPr>
                <w:rFonts w:ascii="Arial" w:hAnsi="Arial" w:cs="Arial"/>
                <w:webHidden/>
                <w:sz w:val="20"/>
                <w:szCs w:val="20"/>
              </w:rPr>
              <w:fldChar w:fldCharType="separate"/>
            </w:r>
            <w:r w:rsidR="00783AA5" w:rsidRPr="005A505B">
              <w:rPr>
                <w:rFonts w:ascii="Arial" w:hAnsi="Arial" w:cs="Arial"/>
                <w:webHidden/>
                <w:sz w:val="20"/>
                <w:szCs w:val="20"/>
              </w:rPr>
              <w:t>4</w:t>
            </w:r>
            <w:r w:rsidRPr="005A505B">
              <w:rPr>
                <w:rFonts w:ascii="Arial" w:hAnsi="Arial" w:cs="Arial"/>
                <w:webHidden/>
                <w:sz w:val="20"/>
                <w:szCs w:val="20"/>
              </w:rPr>
              <w:fldChar w:fldCharType="end"/>
            </w:r>
          </w:hyperlink>
        </w:p>
        <w:p w:rsidR="00C50342" w:rsidRPr="005A505B" w:rsidRDefault="00013966" w:rsidP="005A505B">
          <w:pPr>
            <w:pStyle w:val="TOC2"/>
            <w:tabs>
              <w:tab w:val="left" w:pos="880"/>
              <w:tab w:val="right" w:leader="dot" w:pos="9016"/>
            </w:tabs>
            <w:spacing w:after="0" w:line="240" w:lineRule="auto"/>
            <w:rPr>
              <w:rFonts w:ascii="Arial" w:eastAsiaTheme="minorEastAsia" w:hAnsi="Arial" w:cs="Arial"/>
              <w:noProof/>
              <w:sz w:val="20"/>
              <w:szCs w:val="20"/>
              <w:lang w:val="en-US"/>
            </w:rPr>
          </w:pPr>
          <w:hyperlink w:anchor="_Toc102119845" w:history="1">
            <w:r w:rsidR="00C50342" w:rsidRPr="005A505B">
              <w:rPr>
                <w:rStyle w:val="Hyperlink"/>
                <w:rFonts w:ascii="Arial" w:hAnsi="Arial" w:cs="Arial"/>
                <w:noProof/>
                <w:sz w:val="20"/>
                <w:szCs w:val="20"/>
              </w:rPr>
              <w:t>2.1.</w:t>
            </w:r>
            <w:r w:rsidR="00C50342" w:rsidRPr="005A505B">
              <w:rPr>
                <w:rFonts w:ascii="Arial" w:eastAsiaTheme="minorEastAsia" w:hAnsi="Arial" w:cs="Arial"/>
                <w:noProof/>
                <w:sz w:val="20"/>
                <w:szCs w:val="20"/>
                <w:lang w:val="en-US"/>
              </w:rPr>
              <w:tab/>
            </w:r>
            <w:r w:rsidR="00C50342" w:rsidRPr="005A505B">
              <w:rPr>
                <w:rStyle w:val="Hyperlink"/>
                <w:rFonts w:ascii="Arial" w:hAnsi="Arial" w:cs="Arial"/>
                <w:noProof/>
                <w:sz w:val="20"/>
                <w:szCs w:val="20"/>
              </w:rPr>
              <w:t>Introduction</w:t>
            </w:r>
            <w:r w:rsidR="00C50342" w:rsidRPr="005A505B">
              <w:rPr>
                <w:rFonts w:ascii="Arial" w:hAnsi="Arial" w:cs="Arial"/>
                <w:noProof/>
                <w:webHidden/>
                <w:sz w:val="20"/>
                <w:szCs w:val="20"/>
              </w:rPr>
              <w:tab/>
            </w:r>
            <w:r w:rsidRPr="005A505B">
              <w:rPr>
                <w:rFonts w:ascii="Arial" w:hAnsi="Arial" w:cs="Arial"/>
                <w:noProof/>
                <w:webHidden/>
                <w:sz w:val="20"/>
                <w:szCs w:val="20"/>
              </w:rPr>
              <w:fldChar w:fldCharType="begin"/>
            </w:r>
            <w:r w:rsidR="00C50342" w:rsidRPr="005A505B">
              <w:rPr>
                <w:rFonts w:ascii="Arial" w:hAnsi="Arial" w:cs="Arial"/>
                <w:noProof/>
                <w:webHidden/>
                <w:sz w:val="20"/>
                <w:szCs w:val="20"/>
              </w:rPr>
              <w:instrText xml:space="preserve"> PAGEREF _Toc102119845 \h </w:instrText>
            </w:r>
            <w:r w:rsidRPr="005A505B">
              <w:rPr>
                <w:rFonts w:ascii="Arial" w:hAnsi="Arial" w:cs="Arial"/>
                <w:noProof/>
                <w:webHidden/>
                <w:sz w:val="20"/>
                <w:szCs w:val="20"/>
              </w:rPr>
            </w:r>
            <w:r w:rsidRPr="005A505B">
              <w:rPr>
                <w:rFonts w:ascii="Arial" w:hAnsi="Arial" w:cs="Arial"/>
                <w:noProof/>
                <w:webHidden/>
                <w:sz w:val="20"/>
                <w:szCs w:val="20"/>
              </w:rPr>
              <w:fldChar w:fldCharType="separate"/>
            </w:r>
            <w:r w:rsidR="00783AA5" w:rsidRPr="005A505B">
              <w:rPr>
                <w:rFonts w:ascii="Arial" w:hAnsi="Arial" w:cs="Arial"/>
                <w:noProof/>
                <w:webHidden/>
                <w:sz w:val="20"/>
                <w:szCs w:val="20"/>
              </w:rPr>
              <w:t>4</w:t>
            </w:r>
            <w:r w:rsidRPr="005A505B">
              <w:rPr>
                <w:rFonts w:ascii="Arial" w:hAnsi="Arial" w:cs="Arial"/>
                <w:noProof/>
                <w:webHidden/>
                <w:sz w:val="20"/>
                <w:szCs w:val="20"/>
              </w:rPr>
              <w:fldChar w:fldCharType="end"/>
            </w:r>
          </w:hyperlink>
        </w:p>
        <w:p w:rsidR="00C50342" w:rsidRPr="005A505B" w:rsidRDefault="00013966" w:rsidP="005A505B">
          <w:pPr>
            <w:pStyle w:val="TOC2"/>
            <w:tabs>
              <w:tab w:val="left" w:pos="880"/>
              <w:tab w:val="right" w:leader="dot" w:pos="9016"/>
            </w:tabs>
            <w:spacing w:after="0" w:line="240" w:lineRule="auto"/>
            <w:rPr>
              <w:rFonts w:ascii="Arial" w:eastAsiaTheme="minorEastAsia" w:hAnsi="Arial" w:cs="Arial"/>
              <w:noProof/>
              <w:sz w:val="20"/>
              <w:szCs w:val="20"/>
              <w:lang w:val="en-US"/>
            </w:rPr>
          </w:pPr>
          <w:hyperlink w:anchor="_Toc102119862" w:history="1">
            <w:r w:rsidR="00C50342" w:rsidRPr="005A505B">
              <w:rPr>
                <w:rStyle w:val="Hyperlink"/>
                <w:rFonts w:ascii="Arial" w:hAnsi="Arial" w:cs="Arial"/>
                <w:noProof/>
                <w:sz w:val="20"/>
                <w:szCs w:val="20"/>
              </w:rPr>
              <w:t>2.2.</w:t>
            </w:r>
            <w:r w:rsidR="00C50342" w:rsidRPr="005A505B">
              <w:rPr>
                <w:rFonts w:ascii="Arial" w:eastAsiaTheme="minorEastAsia" w:hAnsi="Arial" w:cs="Arial"/>
                <w:noProof/>
                <w:sz w:val="20"/>
                <w:szCs w:val="20"/>
                <w:lang w:val="en-US"/>
              </w:rPr>
              <w:tab/>
            </w:r>
            <w:r w:rsidR="00C50342" w:rsidRPr="005A505B">
              <w:rPr>
                <w:rStyle w:val="Hyperlink"/>
                <w:rFonts w:ascii="Arial" w:hAnsi="Arial" w:cs="Arial"/>
                <w:noProof/>
                <w:sz w:val="20"/>
                <w:szCs w:val="20"/>
              </w:rPr>
              <w:t>Policy Priorities for 2022/23</w:t>
            </w:r>
            <w:r w:rsidR="00C50342" w:rsidRPr="005A505B">
              <w:rPr>
                <w:rFonts w:ascii="Arial" w:hAnsi="Arial" w:cs="Arial"/>
                <w:noProof/>
                <w:webHidden/>
                <w:sz w:val="20"/>
                <w:szCs w:val="20"/>
              </w:rPr>
              <w:tab/>
            </w:r>
            <w:r w:rsidRPr="005A505B">
              <w:rPr>
                <w:rFonts w:ascii="Arial" w:hAnsi="Arial" w:cs="Arial"/>
                <w:noProof/>
                <w:webHidden/>
                <w:sz w:val="20"/>
                <w:szCs w:val="20"/>
              </w:rPr>
              <w:fldChar w:fldCharType="begin"/>
            </w:r>
            <w:r w:rsidR="00C50342" w:rsidRPr="005A505B">
              <w:rPr>
                <w:rFonts w:ascii="Arial" w:hAnsi="Arial" w:cs="Arial"/>
                <w:noProof/>
                <w:webHidden/>
                <w:sz w:val="20"/>
                <w:szCs w:val="20"/>
              </w:rPr>
              <w:instrText xml:space="preserve"> PAGEREF _Toc102119862 \h </w:instrText>
            </w:r>
            <w:r w:rsidRPr="005A505B">
              <w:rPr>
                <w:rFonts w:ascii="Arial" w:hAnsi="Arial" w:cs="Arial"/>
                <w:noProof/>
                <w:webHidden/>
                <w:sz w:val="20"/>
                <w:szCs w:val="20"/>
              </w:rPr>
            </w:r>
            <w:r w:rsidRPr="005A505B">
              <w:rPr>
                <w:rFonts w:ascii="Arial" w:hAnsi="Arial" w:cs="Arial"/>
                <w:noProof/>
                <w:webHidden/>
                <w:sz w:val="20"/>
                <w:szCs w:val="20"/>
              </w:rPr>
              <w:fldChar w:fldCharType="separate"/>
            </w:r>
            <w:r w:rsidR="00783AA5" w:rsidRPr="005A505B">
              <w:rPr>
                <w:rFonts w:ascii="Arial" w:hAnsi="Arial" w:cs="Arial"/>
                <w:noProof/>
                <w:webHidden/>
                <w:sz w:val="20"/>
                <w:szCs w:val="20"/>
              </w:rPr>
              <w:t>4</w:t>
            </w:r>
            <w:r w:rsidRPr="005A505B">
              <w:rPr>
                <w:rFonts w:ascii="Arial" w:hAnsi="Arial" w:cs="Arial"/>
                <w:noProof/>
                <w:webHidden/>
                <w:sz w:val="20"/>
                <w:szCs w:val="20"/>
              </w:rPr>
              <w:fldChar w:fldCharType="end"/>
            </w:r>
          </w:hyperlink>
        </w:p>
        <w:p w:rsidR="00C50342" w:rsidRPr="005A505B" w:rsidRDefault="00013966" w:rsidP="005A505B">
          <w:pPr>
            <w:pStyle w:val="TOC3"/>
            <w:tabs>
              <w:tab w:val="left" w:pos="1320"/>
              <w:tab w:val="right" w:leader="dot" w:pos="9016"/>
            </w:tabs>
            <w:spacing w:after="0" w:line="240" w:lineRule="auto"/>
            <w:rPr>
              <w:rFonts w:ascii="Arial" w:eastAsiaTheme="minorEastAsia" w:hAnsi="Arial" w:cs="Arial"/>
              <w:noProof/>
              <w:sz w:val="20"/>
              <w:szCs w:val="20"/>
              <w:lang w:val="en-US"/>
            </w:rPr>
          </w:pPr>
          <w:hyperlink w:anchor="_Toc102119863" w:history="1">
            <w:r w:rsidR="00C50342" w:rsidRPr="005A505B">
              <w:rPr>
                <w:rStyle w:val="Hyperlink"/>
                <w:rFonts w:ascii="Arial" w:hAnsi="Arial" w:cs="Arial"/>
                <w:noProof/>
                <w:sz w:val="20"/>
                <w:szCs w:val="20"/>
              </w:rPr>
              <w:t>2.2.1.</w:t>
            </w:r>
            <w:r w:rsidR="00C50342" w:rsidRPr="005A505B">
              <w:rPr>
                <w:rFonts w:ascii="Arial" w:eastAsiaTheme="minorEastAsia" w:hAnsi="Arial" w:cs="Arial"/>
                <w:noProof/>
                <w:sz w:val="20"/>
                <w:szCs w:val="20"/>
                <w:lang w:val="en-US"/>
              </w:rPr>
              <w:tab/>
            </w:r>
            <w:r w:rsidR="00C50342" w:rsidRPr="005A505B">
              <w:rPr>
                <w:rStyle w:val="Hyperlink"/>
                <w:rFonts w:ascii="Arial" w:hAnsi="Arial" w:cs="Arial"/>
                <w:noProof/>
                <w:sz w:val="20"/>
                <w:szCs w:val="20"/>
              </w:rPr>
              <w:t>State of the Nation Address (SONA)</w:t>
            </w:r>
            <w:r w:rsidR="00C50342" w:rsidRPr="005A505B">
              <w:rPr>
                <w:rFonts w:ascii="Arial" w:hAnsi="Arial" w:cs="Arial"/>
                <w:noProof/>
                <w:webHidden/>
                <w:sz w:val="20"/>
                <w:szCs w:val="20"/>
              </w:rPr>
              <w:tab/>
            </w:r>
            <w:r w:rsidRPr="005A505B">
              <w:rPr>
                <w:rFonts w:ascii="Arial" w:hAnsi="Arial" w:cs="Arial"/>
                <w:noProof/>
                <w:webHidden/>
                <w:sz w:val="20"/>
                <w:szCs w:val="20"/>
              </w:rPr>
              <w:fldChar w:fldCharType="begin"/>
            </w:r>
            <w:r w:rsidR="00C50342" w:rsidRPr="005A505B">
              <w:rPr>
                <w:rFonts w:ascii="Arial" w:hAnsi="Arial" w:cs="Arial"/>
                <w:noProof/>
                <w:webHidden/>
                <w:sz w:val="20"/>
                <w:szCs w:val="20"/>
              </w:rPr>
              <w:instrText xml:space="preserve"> PAGEREF _Toc102119863 \h </w:instrText>
            </w:r>
            <w:r w:rsidRPr="005A505B">
              <w:rPr>
                <w:rFonts w:ascii="Arial" w:hAnsi="Arial" w:cs="Arial"/>
                <w:noProof/>
                <w:webHidden/>
                <w:sz w:val="20"/>
                <w:szCs w:val="20"/>
              </w:rPr>
            </w:r>
            <w:r w:rsidRPr="005A505B">
              <w:rPr>
                <w:rFonts w:ascii="Arial" w:hAnsi="Arial" w:cs="Arial"/>
                <w:noProof/>
                <w:webHidden/>
                <w:sz w:val="20"/>
                <w:szCs w:val="20"/>
              </w:rPr>
              <w:fldChar w:fldCharType="separate"/>
            </w:r>
            <w:r w:rsidR="00783AA5" w:rsidRPr="005A505B">
              <w:rPr>
                <w:rFonts w:ascii="Arial" w:hAnsi="Arial" w:cs="Arial"/>
                <w:noProof/>
                <w:webHidden/>
                <w:sz w:val="20"/>
                <w:szCs w:val="20"/>
              </w:rPr>
              <w:t>4</w:t>
            </w:r>
            <w:r w:rsidRPr="005A505B">
              <w:rPr>
                <w:rFonts w:ascii="Arial" w:hAnsi="Arial" w:cs="Arial"/>
                <w:noProof/>
                <w:webHidden/>
                <w:sz w:val="20"/>
                <w:szCs w:val="20"/>
              </w:rPr>
              <w:fldChar w:fldCharType="end"/>
            </w:r>
          </w:hyperlink>
        </w:p>
        <w:p w:rsidR="00C50342" w:rsidRPr="005A505B" w:rsidRDefault="00013966" w:rsidP="005A505B">
          <w:pPr>
            <w:pStyle w:val="TOC3"/>
            <w:tabs>
              <w:tab w:val="left" w:pos="1320"/>
              <w:tab w:val="right" w:leader="dot" w:pos="9016"/>
            </w:tabs>
            <w:spacing w:after="0" w:line="240" w:lineRule="auto"/>
            <w:rPr>
              <w:rFonts w:ascii="Arial" w:eastAsiaTheme="minorEastAsia" w:hAnsi="Arial" w:cs="Arial"/>
              <w:noProof/>
              <w:sz w:val="20"/>
              <w:szCs w:val="20"/>
              <w:lang w:val="en-US"/>
            </w:rPr>
          </w:pPr>
          <w:hyperlink w:anchor="_Toc102119864" w:history="1">
            <w:r w:rsidR="00C50342" w:rsidRPr="005A505B">
              <w:rPr>
                <w:rStyle w:val="Hyperlink"/>
                <w:rFonts w:ascii="Arial" w:hAnsi="Arial" w:cs="Arial"/>
                <w:noProof/>
                <w:sz w:val="20"/>
                <w:szCs w:val="20"/>
              </w:rPr>
              <w:t>2.2.2.</w:t>
            </w:r>
            <w:r w:rsidR="00C50342" w:rsidRPr="005A505B">
              <w:rPr>
                <w:rFonts w:ascii="Arial" w:eastAsiaTheme="minorEastAsia" w:hAnsi="Arial" w:cs="Arial"/>
                <w:noProof/>
                <w:sz w:val="20"/>
                <w:szCs w:val="20"/>
                <w:lang w:val="en-US"/>
              </w:rPr>
              <w:tab/>
            </w:r>
            <w:r w:rsidR="00C50342" w:rsidRPr="005A505B">
              <w:rPr>
                <w:rStyle w:val="Hyperlink"/>
                <w:rFonts w:ascii="Arial" w:hAnsi="Arial" w:cs="Arial"/>
                <w:noProof/>
                <w:sz w:val="20"/>
                <w:szCs w:val="20"/>
              </w:rPr>
              <w:t>The National Development Plan (NDP)</w:t>
            </w:r>
            <w:r w:rsidR="00C50342" w:rsidRPr="005A505B">
              <w:rPr>
                <w:rFonts w:ascii="Arial" w:hAnsi="Arial" w:cs="Arial"/>
                <w:noProof/>
                <w:webHidden/>
                <w:sz w:val="20"/>
                <w:szCs w:val="20"/>
              </w:rPr>
              <w:tab/>
            </w:r>
            <w:r w:rsidRPr="005A505B">
              <w:rPr>
                <w:rFonts w:ascii="Arial" w:hAnsi="Arial" w:cs="Arial"/>
                <w:noProof/>
                <w:webHidden/>
                <w:sz w:val="20"/>
                <w:szCs w:val="20"/>
              </w:rPr>
              <w:fldChar w:fldCharType="begin"/>
            </w:r>
            <w:r w:rsidR="00C50342" w:rsidRPr="005A505B">
              <w:rPr>
                <w:rFonts w:ascii="Arial" w:hAnsi="Arial" w:cs="Arial"/>
                <w:noProof/>
                <w:webHidden/>
                <w:sz w:val="20"/>
                <w:szCs w:val="20"/>
              </w:rPr>
              <w:instrText xml:space="preserve"> PAGEREF _Toc102119864 \h </w:instrText>
            </w:r>
            <w:r w:rsidRPr="005A505B">
              <w:rPr>
                <w:rFonts w:ascii="Arial" w:hAnsi="Arial" w:cs="Arial"/>
                <w:noProof/>
                <w:webHidden/>
                <w:sz w:val="20"/>
                <w:szCs w:val="20"/>
              </w:rPr>
            </w:r>
            <w:r w:rsidRPr="005A505B">
              <w:rPr>
                <w:rFonts w:ascii="Arial" w:hAnsi="Arial" w:cs="Arial"/>
                <w:noProof/>
                <w:webHidden/>
                <w:sz w:val="20"/>
                <w:szCs w:val="20"/>
              </w:rPr>
              <w:fldChar w:fldCharType="separate"/>
            </w:r>
            <w:r w:rsidR="00783AA5" w:rsidRPr="005A505B">
              <w:rPr>
                <w:rFonts w:ascii="Arial" w:hAnsi="Arial" w:cs="Arial"/>
                <w:noProof/>
                <w:webHidden/>
                <w:sz w:val="20"/>
                <w:szCs w:val="20"/>
              </w:rPr>
              <w:t>5</w:t>
            </w:r>
            <w:r w:rsidRPr="005A505B">
              <w:rPr>
                <w:rFonts w:ascii="Arial" w:hAnsi="Arial" w:cs="Arial"/>
                <w:noProof/>
                <w:webHidden/>
                <w:sz w:val="20"/>
                <w:szCs w:val="20"/>
              </w:rPr>
              <w:fldChar w:fldCharType="end"/>
            </w:r>
          </w:hyperlink>
        </w:p>
        <w:p w:rsidR="00C50342" w:rsidRPr="005A505B" w:rsidRDefault="00013966" w:rsidP="005A505B">
          <w:pPr>
            <w:pStyle w:val="TOC3"/>
            <w:tabs>
              <w:tab w:val="left" w:pos="1320"/>
              <w:tab w:val="right" w:leader="dot" w:pos="9016"/>
            </w:tabs>
            <w:spacing w:after="0" w:line="240" w:lineRule="auto"/>
            <w:rPr>
              <w:rFonts w:ascii="Arial" w:eastAsiaTheme="minorEastAsia" w:hAnsi="Arial" w:cs="Arial"/>
              <w:noProof/>
              <w:sz w:val="20"/>
              <w:szCs w:val="20"/>
              <w:lang w:val="en-US"/>
            </w:rPr>
          </w:pPr>
          <w:hyperlink w:anchor="_Toc102119869" w:history="1">
            <w:r w:rsidR="00C50342" w:rsidRPr="005A505B">
              <w:rPr>
                <w:rStyle w:val="Hyperlink"/>
                <w:rFonts w:ascii="Arial" w:hAnsi="Arial" w:cs="Arial"/>
                <w:noProof/>
                <w:sz w:val="20"/>
                <w:szCs w:val="20"/>
              </w:rPr>
              <w:t>2.2.3.</w:t>
            </w:r>
            <w:r w:rsidR="00C50342" w:rsidRPr="005A505B">
              <w:rPr>
                <w:rFonts w:ascii="Arial" w:eastAsiaTheme="minorEastAsia" w:hAnsi="Arial" w:cs="Arial"/>
                <w:noProof/>
                <w:sz w:val="20"/>
                <w:szCs w:val="20"/>
                <w:lang w:val="en-US"/>
              </w:rPr>
              <w:tab/>
            </w:r>
            <w:r w:rsidR="00C50342" w:rsidRPr="005A505B">
              <w:rPr>
                <w:rStyle w:val="Hyperlink"/>
                <w:rFonts w:ascii="Arial" w:hAnsi="Arial" w:cs="Arial"/>
                <w:noProof/>
                <w:sz w:val="20"/>
                <w:szCs w:val="20"/>
              </w:rPr>
              <w:t>Department of Health Five Year Strategic Goals (2020/21 – 2024/25)</w:t>
            </w:r>
            <w:r w:rsidR="00C50342" w:rsidRPr="005A505B">
              <w:rPr>
                <w:rFonts w:ascii="Arial" w:hAnsi="Arial" w:cs="Arial"/>
                <w:noProof/>
                <w:webHidden/>
                <w:sz w:val="20"/>
                <w:szCs w:val="20"/>
              </w:rPr>
              <w:tab/>
            </w:r>
            <w:r w:rsidRPr="005A505B">
              <w:rPr>
                <w:rFonts w:ascii="Arial" w:hAnsi="Arial" w:cs="Arial"/>
                <w:noProof/>
                <w:webHidden/>
                <w:sz w:val="20"/>
                <w:szCs w:val="20"/>
              </w:rPr>
              <w:fldChar w:fldCharType="begin"/>
            </w:r>
            <w:r w:rsidR="00C50342" w:rsidRPr="005A505B">
              <w:rPr>
                <w:rFonts w:ascii="Arial" w:hAnsi="Arial" w:cs="Arial"/>
                <w:noProof/>
                <w:webHidden/>
                <w:sz w:val="20"/>
                <w:szCs w:val="20"/>
              </w:rPr>
              <w:instrText xml:space="preserve"> PAGEREF _Toc102119869 \h </w:instrText>
            </w:r>
            <w:r w:rsidRPr="005A505B">
              <w:rPr>
                <w:rFonts w:ascii="Arial" w:hAnsi="Arial" w:cs="Arial"/>
                <w:noProof/>
                <w:webHidden/>
                <w:sz w:val="20"/>
                <w:szCs w:val="20"/>
              </w:rPr>
            </w:r>
            <w:r w:rsidRPr="005A505B">
              <w:rPr>
                <w:rFonts w:ascii="Arial" w:hAnsi="Arial" w:cs="Arial"/>
                <w:noProof/>
                <w:webHidden/>
                <w:sz w:val="20"/>
                <w:szCs w:val="20"/>
              </w:rPr>
              <w:fldChar w:fldCharType="separate"/>
            </w:r>
            <w:r w:rsidR="00783AA5" w:rsidRPr="005A505B">
              <w:rPr>
                <w:rFonts w:ascii="Arial" w:hAnsi="Arial" w:cs="Arial"/>
                <w:noProof/>
                <w:webHidden/>
                <w:sz w:val="20"/>
                <w:szCs w:val="20"/>
              </w:rPr>
              <w:t>5</w:t>
            </w:r>
            <w:r w:rsidRPr="005A505B">
              <w:rPr>
                <w:rFonts w:ascii="Arial" w:hAnsi="Arial" w:cs="Arial"/>
                <w:noProof/>
                <w:webHidden/>
                <w:sz w:val="20"/>
                <w:szCs w:val="20"/>
              </w:rPr>
              <w:fldChar w:fldCharType="end"/>
            </w:r>
          </w:hyperlink>
        </w:p>
        <w:p w:rsidR="00C50342" w:rsidRPr="005A505B" w:rsidRDefault="00013966" w:rsidP="005A505B">
          <w:pPr>
            <w:pStyle w:val="TOC3"/>
            <w:tabs>
              <w:tab w:val="left" w:pos="1320"/>
              <w:tab w:val="right" w:leader="dot" w:pos="9016"/>
            </w:tabs>
            <w:spacing w:after="0" w:line="240" w:lineRule="auto"/>
            <w:rPr>
              <w:rFonts w:ascii="Arial" w:eastAsiaTheme="minorEastAsia" w:hAnsi="Arial" w:cs="Arial"/>
              <w:noProof/>
              <w:sz w:val="20"/>
              <w:szCs w:val="20"/>
              <w:lang w:val="en-US"/>
            </w:rPr>
          </w:pPr>
          <w:hyperlink w:anchor="_Toc102119892" w:history="1">
            <w:r w:rsidR="00C50342" w:rsidRPr="005A505B">
              <w:rPr>
                <w:rStyle w:val="Hyperlink"/>
                <w:rFonts w:ascii="Arial" w:hAnsi="Arial" w:cs="Arial"/>
                <w:noProof/>
                <w:sz w:val="20"/>
                <w:szCs w:val="20"/>
              </w:rPr>
              <w:t>2.2.4.</w:t>
            </w:r>
            <w:r w:rsidR="00C50342" w:rsidRPr="005A505B">
              <w:rPr>
                <w:rFonts w:ascii="Arial" w:eastAsiaTheme="minorEastAsia" w:hAnsi="Arial" w:cs="Arial"/>
                <w:noProof/>
                <w:sz w:val="20"/>
                <w:szCs w:val="20"/>
                <w:lang w:val="en-US"/>
              </w:rPr>
              <w:tab/>
            </w:r>
            <w:r w:rsidR="00C50342" w:rsidRPr="005A505B">
              <w:rPr>
                <w:rStyle w:val="Hyperlink"/>
                <w:rFonts w:ascii="Arial" w:hAnsi="Arial" w:cs="Arial"/>
                <w:noProof/>
                <w:sz w:val="20"/>
                <w:szCs w:val="20"/>
              </w:rPr>
              <w:t>Department of Health Planned Policy Initiatives</w:t>
            </w:r>
            <w:r w:rsidR="00C50342" w:rsidRPr="005A505B">
              <w:rPr>
                <w:rFonts w:ascii="Arial" w:hAnsi="Arial" w:cs="Arial"/>
                <w:noProof/>
                <w:webHidden/>
                <w:sz w:val="20"/>
                <w:szCs w:val="20"/>
              </w:rPr>
              <w:tab/>
            </w:r>
            <w:r w:rsidRPr="005A505B">
              <w:rPr>
                <w:rFonts w:ascii="Arial" w:hAnsi="Arial" w:cs="Arial"/>
                <w:noProof/>
                <w:webHidden/>
                <w:sz w:val="20"/>
                <w:szCs w:val="20"/>
              </w:rPr>
              <w:fldChar w:fldCharType="begin"/>
            </w:r>
            <w:r w:rsidR="00C50342" w:rsidRPr="005A505B">
              <w:rPr>
                <w:rFonts w:ascii="Arial" w:hAnsi="Arial" w:cs="Arial"/>
                <w:noProof/>
                <w:webHidden/>
                <w:sz w:val="20"/>
                <w:szCs w:val="20"/>
              </w:rPr>
              <w:instrText xml:space="preserve"> PAGEREF _Toc102119892 \h </w:instrText>
            </w:r>
            <w:r w:rsidRPr="005A505B">
              <w:rPr>
                <w:rFonts w:ascii="Arial" w:hAnsi="Arial" w:cs="Arial"/>
                <w:noProof/>
                <w:webHidden/>
                <w:sz w:val="20"/>
                <w:szCs w:val="20"/>
              </w:rPr>
            </w:r>
            <w:r w:rsidRPr="005A505B">
              <w:rPr>
                <w:rFonts w:ascii="Arial" w:hAnsi="Arial" w:cs="Arial"/>
                <w:noProof/>
                <w:webHidden/>
                <w:sz w:val="20"/>
                <w:szCs w:val="20"/>
              </w:rPr>
              <w:fldChar w:fldCharType="separate"/>
            </w:r>
            <w:r w:rsidR="00783AA5" w:rsidRPr="005A505B">
              <w:rPr>
                <w:rFonts w:ascii="Arial" w:hAnsi="Arial" w:cs="Arial"/>
                <w:noProof/>
                <w:webHidden/>
                <w:sz w:val="20"/>
                <w:szCs w:val="20"/>
              </w:rPr>
              <w:t>6</w:t>
            </w:r>
            <w:r w:rsidRPr="005A505B">
              <w:rPr>
                <w:rFonts w:ascii="Arial" w:hAnsi="Arial" w:cs="Arial"/>
                <w:noProof/>
                <w:webHidden/>
                <w:sz w:val="20"/>
                <w:szCs w:val="20"/>
              </w:rPr>
              <w:fldChar w:fldCharType="end"/>
            </w:r>
          </w:hyperlink>
        </w:p>
        <w:p w:rsidR="00C50342" w:rsidRPr="005A505B" w:rsidRDefault="00013966" w:rsidP="005A505B">
          <w:pPr>
            <w:pStyle w:val="TOC2"/>
            <w:tabs>
              <w:tab w:val="left" w:pos="880"/>
              <w:tab w:val="right" w:leader="dot" w:pos="9016"/>
            </w:tabs>
            <w:spacing w:after="0" w:line="240" w:lineRule="auto"/>
            <w:rPr>
              <w:rFonts w:ascii="Arial" w:eastAsiaTheme="minorEastAsia" w:hAnsi="Arial" w:cs="Arial"/>
              <w:noProof/>
              <w:sz w:val="20"/>
              <w:szCs w:val="20"/>
              <w:lang w:val="en-US"/>
            </w:rPr>
          </w:pPr>
          <w:hyperlink w:anchor="_Toc102119894" w:history="1">
            <w:r w:rsidR="00C50342" w:rsidRPr="005A505B">
              <w:rPr>
                <w:rStyle w:val="Hyperlink"/>
                <w:rFonts w:ascii="Arial" w:hAnsi="Arial" w:cs="Arial"/>
                <w:noProof/>
                <w:sz w:val="20"/>
                <w:szCs w:val="20"/>
              </w:rPr>
              <w:t>2.3.</w:t>
            </w:r>
            <w:r w:rsidR="00C50342" w:rsidRPr="005A505B">
              <w:rPr>
                <w:rFonts w:ascii="Arial" w:eastAsiaTheme="minorEastAsia" w:hAnsi="Arial" w:cs="Arial"/>
                <w:noProof/>
                <w:sz w:val="20"/>
                <w:szCs w:val="20"/>
                <w:lang w:val="en-US"/>
              </w:rPr>
              <w:tab/>
            </w:r>
            <w:r w:rsidR="00C50342" w:rsidRPr="005A505B">
              <w:rPr>
                <w:rStyle w:val="Hyperlink"/>
                <w:rFonts w:ascii="Arial" w:hAnsi="Arial" w:cs="Arial"/>
                <w:noProof/>
                <w:sz w:val="20"/>
                <w:szCs w:val="20"/>
              </w:rPr>
              <w:t>Annual Performance Plan (APP) Key Indicators</w:t>
            </w:r>
            <w:r w:rsidR="00C50342" w:rsidRPr="005A505B">
              <w:rPr>
                <w:rFonts w:ascii="Arial" w:hAnsi="Arial" w:cs="Arial"/>
                <w:noProof/>
                <w:webHidden/>
                <w:sz w:val="20"/>
                <w:szCs w:val="20"/>
              </w:rPr>
              <w:tab/>
            </w:r>
            <w:r w:rsidRPr="005A505B">
              <w:rPr>
                <w:rFonts w:ascii="Arial" w:hAnsi="Arial" w:cs="Arial"/>
                <w:noProof/>
                <w:webHidden/>
                <w:sz w:val="20"/>
                <w:szCs w:val="20"/>
              </w:rPr>
              <w:fldChar w:fldCharType="begin"/>
            </w:r>
            <w:r w:rsidR="00C50342" w:rsidRPr="005A505B">
              <w:rPr>
                <w:rFonts w:ascii="Arial" w:hAnsi="Arial" w:cs="Arial"/>
                <w:noProof/>
                <w:webHidden/>
                <w:sz w:val="20"/>
                <w:szCs w:val="20"/>
              </w:rPr>
              <w:instrText xml:space="preserve"> PAGEREF _Toc102119894 \h </w:instrText>
            </w:r>
            <w:r w:rsidRPr="005A505B">
              <w:rPr>
                <w:rFonts w:ascii="Arial" w:hAnsi="Arial" w:cs="Arial"/>
                <w:noProof/>
                <w:webHidden/>
                <w:sz w:val="20"/>
                <w:szCs w:val="20"/>
              </w:rPr>
            </w:r>
            <w:r w:rsidRPr="005A505B">
              <w:rPr>
                <w:rFonts w:ascii="Arial" w:hAnsi="Arial" w:cs="Arial"/>
                <w:noProof/>
                <w:webHidden/>
                <w:sz w:val="20"/>
                <w:szCs w:val="20"/>
              </w:rPr>
              <w:fldChar w:fldCharType="separate"/>
            </w:r>
            <w:r w:rsidR="00783AA5" w:rsidRPr="005A505B">
              <w:rPr>
                <w:rFonts w:ascii="Arial" w:hAnsi="Arial" w:cs="Arial"/>
                <w:noProof/>
                <w:webHidden/>
                <w:sz w:val="20"/>
                <w:szCs w:val="20"/>
              </w:rPr>
              <w:t>7</w:t>
            </w:r>
            <w:r w:rsidRPr="005A505B">
              <w:rPr>
                <w:rFonts w:ascii="Arial" w:hAnsi="Arial" w:cs="Arial"/>
                <w:noProof/>
                <w:webHidden/>
                <w:sz w:val="20"/>
                <w:szCs w:val="20"/>
              </w:rPr>
              <w:fldChar w:fldCharType="end"/>
            </w:r>
          </w:hyperlink>
        </w:p>
        <w:p w:rsidR="00C50342" w:rsidRPr="005A505B" w:rsidRDefault="00013966" w:rsidP="005A505B">
          <w:pPr>
            <w:pStyle w:val="TOC2"/>
            <w:tabs>
              <w:tab w:val="left" w:pos="880"/>
              <w:tab w:val="right" w:leader="dot" w:pos="9016"/>
            </w:tabs>
            <w:spacing w:after="0" w:line="240" w:lineRule="auto"/>
            <w:rPr>
              <w:rFonts w:ascii="Arial" w:eastAsiaTheme="minorEastAsia" w:hAnsi="Arial" w:cs="Arial"/>
              <w:noProof/>
              <w:sz w:val="20"/>
              <w:szCs w:val="20"/>
              <w:lang w:val="en-US"/>
            </w:rPr>
          </w:pPr>
          <w:hyperlink w:anchor="_Toc102119895" w:history="1">
            <w:r w:rsidR="00C50342" w:rsidRPr="005A505B">
              <w:rPr>
                <w:rStyle w:val="Hyperlink"/>
                <w:rFonts w:ascii="Arial" w:hAnsi="Arial" w:cs="Arial"/>
                <w:noProof/>
                <w:sz w:val="20"/>
                <w:szCs w:val="20"/>
              </w:rPr>
              <w:t>2.4.</w:t>
            </w:r>
            <w:r w:rsidR="00C50342" w:rsidRPr="005A505B">
              <w:rPr>
                <w:rFonts w:ascii="Arial" w:eastAsiaTheme="minorEastAsia" w:hAnsi="Arial" w:cs="Arial"/>
                <w:noProof/>
                <w:sz w:val="20"/>
                <w:szCs w:val="20"/>
                <w:lang w:val="en-US"/>
              </w:rPr>
              <w:tab/>
            </w:r>
            <w:r w:rsidR="00C50342" w:rsidRPr="005A505B">
              <w:rPr>
                <w:rStyle w:val="Hyperlink"/>
                <w:rFonts w:ascii="Arial" w:hAnsi="Arial" w:cs="Arial"/>
                <w:noProof/>
                <w:sz w:val="20"/>
                <w:szCs w:val="20"/>
              </w:rPr>
              <w:t>Budget Analysis (2022/23)</w:t>
            </w:r>
            <w:r w:rsidR="00C50342" w:rsidRPr="005A505B">
              <w:rPr>
                <w:rFonts w:ascii="Arial" w:hAnsi="Arial" w:cs="Arial"/>
                <w:noProof/>
                <w:webHidden/>
                <w:sz w:val="20"/>
                <w:szCs w:val="20"/>
              </w:rPr>
              <w:tab/>
            </w:r>
            <w:r w:rsidRPr="005A505B">
              <w:rPr>
                <w:rFonts w:ascii="Arial" w:hAnsi="Arial" w:cs="Arial"/>
                <w:noProof/>
                <w:webHidden/>
                <w:sz w:val="20"/>
                <w:szCs w:val="20"/>
              </w:rPr>
              <w:fldChar w:fldCharType="begin"/>
            </w:r>
            <w:r w:rsidR="00C50342" w:rsidRPr="005A505B">
              <w:rPr>
                <w:rFonts w:ascii="Arial" w:hAnsi="Arial" w:cs="Arial"/>
                <w:noProof/>
                <w:webHidden/>
                <w:sz w:val="20"/>
                <w:szCs w:val="20"/>
              </w:rPr>
              <w:instrText xml:space="preserve"> PAGEREF _Toc102119895 \h </w:instrText>
            </w:r>
            <w:r w:rsidRPr="005A505B">
              <w:rPr>
                <w:rFonts w:ascii="Arial" w:hAnsi="Arial" w:cs="Arial"/>
                <w:noProof/>
                <w:webHidden/>
                <w:sz w:val="20"/>
                <w:szCs w:val="20"/>
              </w:rPr>
            </w:r>
            <w:r w:rsidRPr="005A505B">
              <w:rPr>
                <w:rFonts w:ascii="Arial" w:hAnsi="Arial" w:cs="Arial"/>
                <w:noProof/>
                <w:webHidden/>
                <w:sz w:val="20"/>
                <w:szCs w:val="20"/>
              </w:rPr>
              <w:fldChar w:fldCharType="separate"/>
            </w:r>
            <w:r w:rsidR="00783AA5" w:rsidRPr="005A505B">
              <w:rPr>
                <w:rFonts w:ascii="Arial" w:hAnsi="Arial" w:cs="Arial"/>
                <w:noProof/>
                <w:webHidden/>
                <w:sz w:val="20"/>
                <w:szCs w:val="20"/>
              </w:rPr>
              <w:t>9</w:t>
            </w:r>
            <w:r w:rsidRPr="005A505B">
              <w:rPr>
                <w:rFonts w:ascii="Arial" w:hAnsi="Arial" w:cs="Arial"/>
                <w:noProof/>
                <w:webHidden/>
                <w:sz w:val="20"/>
                <w:szCs w:val="20"/>
              </w:rPr>
              <w:fldChar w:fldCharType="end"/>
            </w:r>
          </w:hyperlink>
        </w:p>
        <w:p w:rsidR="00C50342" w:rsidRPr="005A505B" w:rsidRDefault="00013966" w:rsidP="005A505B">
          <w:pPr>
            <w:pStyle w:val="TOC3"/>
            <w:tabs>
              <w:tab w:val="left" w:pos="1320"/>
              <w:tab w:val="right" w:leader="dot" w:pos="9016"/>
            </w:tabs>
            <w:spacing w:after="0" w:line="240" w:lineRule="auto"/>
            <w:rPr>
              <w:rFonts w:ascii="Arial" w:eastAsiaTheme="minorEastAsia" w:hAnsi="Arial" w:cs="Arial"/>
              <w:noProof/>
              <w:sz w:val="20"/>
              <w:szCs w:val="20"/>
              <w:lang w:val="en-US"/>
            </w:rPr>
          </w:pPr>
          <w:hyperlink w:anchor="_Toc102119896" w:history="1">
            <w:r w:rsidR="00C50342" w:rsidRPr="005A505B">
              <w:rPr>
                <w:rStyle w:val="Hyperlink"/>
                <w:rFonts w:ascii="Arial" w:hAnsi="Arial" w:cs="Arial"/>
                <w:noProof/>
                <w:sz w:val="20"/>
                <w:szCs w:val="20"/>
              </w:rPr>
              <w:t>2.4.1.</w:t>
            </w:r>
            <w:r w:rsidR="00C50342" w:rsidRPr="005A505B">
              <w:rPr>
                <w:rFonts w:ascii="Arial" w:eastAsiaTheme="minorEastAsia" w:hAnsi="Arial" w:cs="Arial"/>
                <w:noProof/>
                <w:sz w:val="20"/>
                <w:szCs w:val="20"/>
                <w:lang w:val="en-US"/>
              </w:rPr>
              <w:tab/>
            </w:r>
            <w:r w:rsidR="00C50342" w:rsidRPr="005A505B">
              <w:rPr>
                <w:rStyle w:val="Hyperlink"/>
                <w:rFonts w:ascii="Arial" w:hAnsi="Arial" w:cs="Arial"/>
                <w:noProof/>
                <w:sz w:val="20"/>
                <w:szCs w:val="20"/>
              </w:rPr>
              <w:t>Consolidated Health Budget 2022/23</w:t>
            </w:r>
            <w:r w:rsidR="00C50342" w:rsidRPr="005A505B">
              <w:rPr>
                <w:rFonts w:ascii="Arial" w:hAnsi="Arial" w:cs="Arial"/>
                <w:noProof/>
                <w:webHidden/>
                <w:sz w:val="20"/>
                <w:szCs w:val="20"/>
              </w:rPr>
              <w:tab/>
            </w:r>
            <w:r w:rsidRPr="005A505B">
              <w:rPr>
                <w:rFonts w:ascii="Arial" w:hAnsi="Arial" w:cs="Arial"/>
                <w:noProof/>
                <w:webHidden/>
                <w:sz w:val="20"/>
                <w:szCs w:val="20"/>
              </w:rPr>
              <w:fldChar w:fldCharType="begin"/>
            </w:r>
            <w:r w:rsidR="00C50342" w:rsidRPr="005A505B">
              <w:rPr>
                <w:rFonts w:ascii="Arial" w:hAnsi="Arial" w:cs="Arial"/>
                <w:noProof/>
                <w:webHidden/>
                <w:sz w:val="20"/>
                <w:szCs w:val="20"/>
              </w:rPr>
              <w:instrText xml:space="preserve"> PAGEREF _Toc102119896 \h </w:instrText>
            </w:r>
            <w:r w:rsidRPr="005A505B">
              <w:rPr>
                <w:rFonts w:ascii="Arial" w:hAnsi="Arial" w:cs="Arial"/>
                <w:noProof/>
                <w:webHidden/>
                <w:sz w:val="20"/>
                <w:szCs w:val="20"/>
              </w:rPr>
            </w:r>
            <w:r w:rsidRPr="005A505B">
              <w:rPr>
                <w:rFonts w:ascii="Arial" w:hAnsi="Arial" w:cs="Arial"/>
                <w:noProof/>
                <w:webHidden/>
                <w:sz w:val="20"/>
                <w:szCs w:val="20"/>
              </w:rPr>
              <w:fldChar w:fldCharType="separate"/>
            </w:r>
            <w:r w:rsidR="00783AA5" w:rsidRPr="005A505B">
              <w:rPr>
                <w:rFonts w:ascii="Arial" w:hAnsi="Arial" w:cs="Arial"/>
                <w:noProof/>
                <w:webHidden/>
                <w:sz w:val="20"/>
                <w:szCs w:val="20"/>
              </w:rPr>
              <w:t>9</w:t>
            </w:r>
            <w:r w:rsidRPr="005A505B">
              <w:rPr>
                <w:rFonts w:ascii="Arial" w:hAnsi="Arial" w:cs="Arial"/>
                <w:noProof/>
                <w:webHidden/>
                <w:sz w:val="20"/>
                <w:szCs w:val="20"/>
              </w:rPr>
              <w:fldChar w:fldCharType="end"/>
            </w:r>
          </w:hyperlink>
        </w:p>
        <w:p w:rsidR="00C50342" w:rsidRPr="005A505B" w:rsidRDefault="00013966" w:rsidP="005A505B">
          <w:pPr>
            <w:pStyle w:val="TOC3"/>
            <w:tabs>
              <w:tab w:val="left" w:pos="1320"/>
              <w:tab w:val="right" w:leader="dot" w:pos="9016"/>
            </w:tabs>
            <w:spacing w:after="0" w:line="240" w:lineRule="auto"/>
            <w:rPr>
              <w:rFonts w:ascii="Arial" w:eastAsiaTheme="minorEastAsia" w:hAnsi="Arial" w:cs="Arial"/>
              <w:noProof/>
              <w:sz w:val="20"/>
              <w:szCs w:val="20"/>
              <w:lang w:val="en-US"/>
            </w:rPr>
          </w:pPr>
          <w:hyperlink w:anchor="_Toc102119897" w:history="1">
            <w:r w:rsidR="00C50342" w:rsidRPr="005A505B">
              <w:rPr>
                <w:rStyle w:val="Hyperlink"/>
                <w:rFonts w:ascii="Arial" w:hAnsi="Arial" w:cs="Arial"/>
                <w:noProof/>
                <w:sz w:val="20"/>
                <w:szCs w:val="20"/>
              </w:rPr>
              <w:t>2.4.2.</w:t>
            </w:r>
            <w:r w:rsidR="00C50342" w:rsidRPr="005A505B">
              <w:rPr>
                <w:rFonts w:ascii="Arial" w:eastAsiaTheme="minorEastAsia" w:hAnsi="Arial" w:cs="Arial"/>
                <w:noProof/>
                <w:sz w:val="20"/>
                <w:szCs w:val="20"/>
                <w:lang w:val="en-US"/>
              </w:rPr>
              <w:tab/>
            </w:r>
            <w:r w:rsidR="00C50342" w:rsidRPr="005A505B">
              <w:rPr>
                <w:rStyle w:val="Hyperlink"/>
                <w:rFonts w:ascii="Arial" w:hAnsi="Arial" w:cs="Arial"/>
                <w:noProof/>
                <w:sz w:val="20"/>
                <w:szCs w:val="20"/>
              </w:rPr>
              <w:t>National Department of Health Budget 2022/23</w:t>
            </w:r>
            <w:r w:rsidR="00C50342" w:rsidRPr="005A505B">
              <w:rPr>
                <w:rFonts w:ascii="Arial" w:hAnsi="Arial" w:cs="Arial"/>
                <w:noProof/>
                <w:webHidden/>
                <w:sz w:val="20"/>
                <w:szCs w:val="20"/>
              </w:rPr>
              <w:tab/>
            </w:r>
            <w:r w:rsidRPr="005A505B">
              <w:rPr>
                <w:rFonts w:ascii="Arial" w:hAnsi="Arial" w:cs="Arial"/>
                <w:noProof/>
                <w:webHidden/>
                <w:sz w:val="20"/>
                <w:szCs w:val="20"/>
              </w:rPr>
              <w:fldChar w:fldCharType="begin"/>
            </w:r>
            <w:r w:rsidR="00C50342" w:rsidRPr="005A505B">
              <w:rPr>
                <w:rFonts w:ascii="Arial" w:hAnsi="Arial" w:cs="Arial"/>
                <w:noProof/>
                <w:webHidden/>
                <w:sz w:val="20"/>
                <w:szCs w:val="20"/>
              </w:rPr>
              <w:instrText xml:space="preserve"> PAGEREF _Toc102119897 \h </w:instrText>
            </w:r>
            <w:r w:rsidRPr="005A505B">
              <w:rPr>
                <w:rFonts w:ascii="Arial" w:hAnsi="Arial" w:cs="Arial"/>
                <w:noProof/>
                <w:webHidden/>
                <w:sz w:val="20"/>
                <w:szCs w:val="20"/>
              </w:rPr>
            </w:r>
            <w:r w:rsidRPr="005A505B">
              <w:rPr>
                <w:rFonts w:ascii="Arial" w:hAnsi="Arial" w:cs="Arial"/>
                <w:noProof/>
                <w:webHidden/>
                <w:sz w:val="20"/>
                <w:szCs w:val="20"/>
              </w:rPr>
              <w:fldChar w:fldCharType="separate"/>
            </w:r>
            <w:r w:rsidR="00783AA5" w:rsidRPr="005A505B">
              <w:rPr>
                <w:rFonts w:ascii="Arial" w:hAnsi="Arial" w:cs="Arial"/>
                <w:noProof/>
                <w:webHidden/>
                <w:sz w:val="20"/>
                <w:szCs w:val="20"/>
              </w:rPr>
              <w:t>10</w:t>
            </w:r>
            <w:r w:rsidRPr="005A505B">
              <w:rPr>
                <w:rFonts w:ascii="Arial" w:hAnsi="Arial" w:cs="Arial"/>
                <w:noProof/>
                <w:webHidden/>
                <w:sz w:val="20"/>
                <w:szCs w:val="20"/>
              </w:rPr>
              <w:fldChar w:fldCharType="end"/>
            </w:r>
          </w:hyperlink>
        </w:p>
        <w:p w:rsidR="00C50342" w:rsidRPr="005A505B" w:rsidRDefault="00013966" w:rsidP="005A505B">
          <w:pPr>
            <w:pStyle w:val="TOC2"/>
            <w:tabs>
              <w:tab w:val="left" w:pos="880"/>
              <w:tab w:val="right" w:leader="dot" w:pos="9016"/>
            </w:tabs>
            <w:spacing w:after="0" w:line="240" w:lineRule="auto"/>
            <w:rPr>
              <w:rFonts w:ascii="Arial" w:eastAsiaTheme="minorEastAsia" w:hAnsi="Arial" w:cs="Arial"/>
              <w:noProof/>
              <w:sz w:val="20"/>
              <w:szCs w:val="20"/>
              <w:lang w:val="en-US"/>
            </w:rPr>
          </w:pPr>
          <w:hyperlink w:anchor="_Toc102119898" w:history="1">
            <w:r w:rsidR="00C50342" w:rsidRPr="005A505B">
              <w:rPr>
                <w:rStyle w:val="Hyperlink"/>
                <w:rFonts w:ascii="Arial" w:hAnsi="Arial" w:cs="Arial"/>
                <w:noProof/>
                <w:sz w:val="20"/>
                <w:szCs w:val="20"/>
              </w:rPr>
              <w:t>2.5.</w:t>
            </w:r>
            <w:r w:rsidR="00C50342" w:rsidRPr="005A505B">
              <w:rPr>
                <w:rFonts w:ascii="Arial" w:eastAsiaTheme="minorEastAsia" w:hAnsi="Arial" w:cs="Arial"/>
                <w:noProof/>
                <w:sz w:val="20"/>
                <w:szCs w:val="20"/>
                <w:lang w:val="en-US"/>
              </w:rPr>
              <w:tab/>
            </w:r>
            <w:r w:rsidR="00C50342" w:rsidRPr="005A505B">
              <w:rPr>
                <w:rStyle w:val="Hyperlink"/>
                <w:rFonts w:ascii="Arial" w:hAnsi="Arial" w:cs="Arial"/>
                <w:noProof/>
                <w:sz w:val="20"/>
                <w:szCs w:val="20"/>
              </w:rPr>
              <w:t>Committee Observations on the Department</w:t>
            </w:r>
            <w:r w:rsidR="00C50342" w:rsidRPr="005A505B">
              <w:rPr>
                <w:rFonts w:ascii="Arial" w:hAnsi="Arial" w:cs="Arial"/>
                <w:noProof/>
                <w:webHidden/>
                <w:sz w:val="20"/>
                <w:szCs w:val="20"/>
              </w:rPr>
              <w:tab/>
            </w:r>
            <w:r w:rsidRPr="005A505B">
              <w:rPr>
                <w:rFonts w:ascii="Arial" w:hAnsi="Arial" w:cs="Arial"/>
                <w:noProof/>
                <w:webHidden/>
                <w:sz w:val="20"/>
                <w:szCs w:val="20"/>
              </w:rPr>
              <w:fldChar w:fldCharType="begin"/>
            </w:r>
            <w:r w:rsidR="00C50342" w:rsidRPr="005A505B">
              <w:rPr>
                <w:rFonts w:ascii="Arial" w:hAnsi="Arial" w:cs="Arial"/>
                <w:noProof/>
                <w:webHidden/>
                <w:sz w:val="20"/>
                <w:szCs w:val="20"/>
              </w:rPr>
              <w:instrText xml:space="preserve"> PAGEREF _Toc102119898 \h </w:instrText>
            </w:r>
            <w:r w:rsidRPr="005A505B">
              <w:rPr>
                <w:rFonts w:ascii="Arial" w:hAnsi="Arial" w:cs="Arial"/>
                <w:noProof/>
                <w:webHidden/>
                <w:sz w:val="20"/>
                <w:szCs w:val="20"/>
              </w:rPr>
            </w:r>
            <w:r w:rsidRPr="005A505B">
              <w:rPr>
                <w:rFonts w:ascii="Arial" w:hAnsi="Arial" w:cs="Arial"/>
                <w:noProof/>
                <w:webHidden/>
                <w:sz w:val="20"/>
                <w:szCs w:val="20"/>
              </w:rPr>
              <w:fldChar w:fldCharType="separate"/>
            </w:r>
            <w:r w:rsidR="00783AA5" w:rsidRPr="005A505B">
              <w:rPr>
                <w:rFonts w:ascii="Arial" w:hAnsi="Arial" w:cs="Arial"/>
                <w:noProof/>
                <w:webHidden/>
                <w:sz w:val="20"/>
                <w:szCs w:val="20"/>
              </w:rPr>
              <w:t>15</w:t>
            </w:r>
            <w:r w:rsidRPr="005A505B">
              <w:rPr>
                <w:rFonts w:ascii="Arial" w:hAnsi="Arial" w:cs="Arial"/>
                <w:noProof/>
                <w:webHidden/>
                <w:sz w:val="20"/>
                <w:szCs w:val="20"/>
              </w:rPr>
              <w:fldChar w:fldCharType="end"/>
            </w:r>
          </w:hyperlink>
        </w:p>
        <w:p w:rsidR="00C50342" w:rsidRPr="005A505B" w:rsidRDefault="00013966" w:rsidP="005A505B">
          <w:pPr>
            <w:pStyle w:val="TOC1"/>
            <w:spacing w:line="240" w:lineRule="auto"/>
            <w:rPr>
              <w:rFonts w:ascii="Arial" w:eastAsiaTheme="minorEastAsia" w:hAnsi="Arial" w:cs="Arial"/>
              <w:b w:val="0"/>
              <w:sz w:val="20"/>
              <w:szCs w:val="20"/>
              <w:lang w:val="en-US"/>
            </w:rPr>
          </w:pPr>
          <w:hyperlink w:anchor="_Toc102119900" w:history="1">
            <w:r w:rsidR="00C50342" w:rsidRPr="005A505B">
              <w:rPr>
                <w:rStyle w:val="Hyperlink"/>
                <w:rFonts w:ascii="Arial" w:hAnsi="Arial" w:cs="Arial"/>
                <w:sz w:val="20"/>
                <w:szCs w:val="20"/>
              </w:rPr>
              <w:t>3.</w:t>
            </w:r>
            <w:r w:rsidR="00C50342" w:rsidRPr="005A505B">
              <w:rPr>
                <w:rFonts w:ascii="Arial" w:eastAsiaTheme="minorEastAsia" w:hAnsi="Arial" w:cs="Arial"/>
                <w:b w:val="0"/>
                <w:sz w:val="20"/>
                <w:szCs w:val="20"/>
                <w:lang w:val="en-US"/>
              </w:rPr>
              <w:tab/>
            </w:r>
            <w:r w:rsidR="00C50342" w:rsidRPr="005A505B">
              <w:rPr>
                <w:rStyle w:val="Hyperlink"/>
                <w:rFonts w:ascii="Arial" w:hAnsi="Arial" w:cs="Arial"/>
                <w:sz w:val="20"/>
                <w:szCs w:val="20"/>
              </w:rPr>
              <w:t>CONSIDERATION OF THE APPs AND BUDGETS OF ENTITIES (2022/23)</w:t>
            </w:r>
            <w:r w:rsidR="00C50342" w:rsidRPr="005A505B">
              <w:rPr>
                <w:rFonts w:ascii="Arial" w:hAnsi="Arial" w:cs="Arial"/>
                <w:webHidden/>
                <w:sz w:val="20"/>
                <w:szCs w:val="20"/>
              </w:rPr>
              <w:tab/>
            </w:r>
            <w:r w:rsidRPr="005A505B">
              <w:rPr>
                <w:rFonts w:ascii="Arial" w:hAnsi="Arial" w:cs="Arial"/>
                <w:webHidden/>
                <w:sz w:val="20"/>
                <w:szCs w:val="20"/>
              </w:rPr>
              <w:fldChar w:fldCharType="begin"/>
            </w:r>
            <w:r w:rsidR="00C50342" w:rsidRPr="005A505B">
              <w:rPr>
                <w:rFonts w:ascii="Arial" w:hAnsi="Arial" w:cs="Arial"/>
                <w:webHidden/>
                <w:sz w:val="20"/>
                <w:szCs w:val="20"/>
              </w:rPr>
              <w:instrText xml:space="preserve"> PAGEREF _Toc102119900 \h </w:instrText>
            </w:r>
            <w:r w:rsidRPr="005A505B">
              <w:rPr>
                <w:rFonts w:ascii="Arial" w:hAnsi="Arial" w:cs="Arial"/>
                <w:webHidden/>
                <w:sz w:val="20"/>
                <w:szCs w:val="20"/>
              </w:rPr>
            </w:r>
            <w:r w:rsidRPr="005A505B">
              <w:rPr>
                <w:rFonts w:ascii="Arial" w:hAnsi="Arial" w:cs="Arial"/>
                <w:webHidden/>
                <w:sz w:val="20"/>
                <w:szCs w:val="20"/>
              </w:rPr>
              <w:fldChar w:fldCharType="separate"/>
            </w:r>
            <w:r w:rsidR="00783AA5" w:rsidRPr="005A505B">
              <w:rPr>
                <w:rFonts w:ascii="Arial" w:hAnsi="Arial" w:cs="Arial"/>
                <w:webHidden/>
                <w:sz w:val="20"/>
                <w:szCs w:val="20"/>
              </w:rPr>
              <w:t>17</w:t>
            </w:r>
            <w:r w:rsidRPr="005A505B">
              <w:rPr>
                <w:rFonts w:ascii="Arial" w:hAnsi="Arial" w:cs="Arial"/>
                <w:webHidden/>
                <w:sz w:val="20"/>
                <w:szCs w:val="20"/>
              </w:rPr>
              <w:fldChar w:fldCharType="end"/>
            </w:r>
          </w:hyperlink>
        </w:p>
        <w:p w:rsidR="00C50342" w:rsidRPr="005A505B" w:rsidRDefault="00013966" w:rsidP="005A505B">
          <w:pPr>
            <w:pStyle w:val="TOC2"/>
            <w:tabs>
              <w:tab w:val="left" w:pos="880"/>
              <w:tab w:val="right" w:leader="dot" w:pos="9016"/>
            </w:tabs>
            <w:spacing w:after="0" w:line="240" w:lineRule="auto"/>
            <w:rPr>
              <w:rFonts w:ascii="Arial" w:eastAsiaTheme="minorEastAsia" w:hAnsi="Arial" w:cs="Arial"/>
              <w:noProof/>
              <w:sz w:val="20"/>
              <w:szCs w:val="20"/>
              <w:lang w:val="en-US"/>
            </w:rPr>
          </w:pPr>
          <w:hyperlink w:anchor="_Toc102119901" w:history="1">
            <w:r w:rsidR="00C50342" w:rsidRPr="005A505B">
              <w:rPr>
                <w:rStyle w:val="Hyperlink"/>
                <w:rFonts w:ascii="Arial" w:hAnsi="Arial" w:cs="Arial"/>
                <w:noProof/>
                <w:sz w:val="20"/>
                <w:szCs w:val="20"/>
              </w:rPr>
              <w:t>3.1.</w:t>
            </w:r>
            <w:r w:rsidR="00C50342" w:rsidRPr="005A505B">
              <w:rPr>
                <w:rFonts w:ascii="Arial" w:eastAsiaTheme="minorEastAsia" w:hAnsi="Arial" w:cs="Arial"/>
                <w:noProof/>
                <w:sz w:val="20"/>
                <w:szCs w:val="20"/>
                <w:lang w:val="en-US"/>
              </w:rPr>
              <w:tab/>
            </w:r>
            <w:r w:rsidR="00C50342" w:rsidRPr="005A505B">
              <w:rPr>
                <w:rStyle w:val="Hyperlink"/>
                <w:rFonts w:ascii="Arial" w:hAnsi="Arial" w:cs="Arial"/>
                <w:noProof/>
                <w:sz w:val="20"/>
                <w:szCs w:val="20"/>
              </w:rPr>
              <w:t>Compensation Commissioner for Occupational Diseases (CCOD)</w:t>
            </w:r>
            <w:r w:rsidR="00C50342" w:rsidRPr="005A505B">
              <w:rPr>
                <w:rFonts w:ascii="Arial" w:hAnsi="Arial" w:cs="Arial"/>
                <w:noProof/>
                <w:webHidden/>
                <w:sz w:val="20"/>
                <w:szCs w:val="20"/>
              </w:rPr>
              <w:tab/>
            </w:r>
            <w:r w:rsidRPr="005A505B">
              <w:rPr>
                <w:rFonts w:ascii="Arial" w:hAnsi="Arial" w:cs="Arial"/>
                <w:noProof/>
                <w:webHidden/>
                <w:sz w:val="20"/>
                <w:szCs w:val="20"/>
              </w:rPr>
              <w:fldChar w:fldCharType="begin"/>
            </w:r>
            <w:r w:rsidR="00C50342" w:rsidRPr="005A505B">
              <w:rPr>
                <w:rFonts w:ascii="Arial" w:hAnsi="Arial" w:cs="Arial"/>
                <w:noProof/>
                <w:webHidden/>
                <w:sz w:val="20"/>
                <w:szCs w:val="20"/>
              </w:rPr>
              <w:instrText xml:space="preserve"> PAGEREF _Toc102119901 \h </w:instrText>
            </w:r>
            <w:r w:rsidRPr="005A505B">
              <w:rPr>
                <w:rFonts w:ascii="Arial" w:hAnsi="Arial" w:cs="Arial"/>
                <w:noProof/>
                <w:webHidden/>
                <w:sz w:val="20"/>
                <w:szCs w:val="20"/>
              </w:rPr>
            </w:r>
            <w:r w:rsidRPr="005A505B">
              <w:rPr>
                <w:rFonts w:ascii="Arial" w:hAnsi="Arial" w:cs="Arial"/>
                <w:noProof/>
                <w:webHidden/>
                <w:sz w:val="20"/>
                <w:szCs w:val="20"/>
              </w:rPr>
              <w:fldChar w:fldCharType="separate"/>
            </w:r>
            <w:r w:rsidR="00783AA5" w:rsidRPr="005A505B">
              <w:rPr>
                <w:rFonts w:ascii="Arial" w:hAnsi="Arial" w:cs="Arial"/>
                <w:noProof/>
                <w:webHidden/>
                <w:sz w:val="20"/>
                <w:szCs w:val="20"/>
              </w:rPr>
              <w:t>17</w:t>
            </w:r>
            <w:r w:rsidRPr="005A505B">
              <w:rPr>
                <w:rFonts w:ascii="Arial" w:hAnsi="Arial" w:cs="Arial"/>
                <w:noProof/>
                <w:webHidden/>
                <w:sz w:val="20"/>
                <w:szCs w:val="20"/>
              </w:rPr>
              <w:fldChar w:fldCharType="end"/>
            </w:r>
          </w:hyperlink>
        </w:p>
        <w:p w:rsidR="00C50342" w:rsidRPr="005A505B" w:rsidRDefault="00013966" w:rsidP="005A505B">
          <w:pPr>
            <w:pStyle w:val="TOC2"/>
            <w:tabs>
              <w:tab w:val="left" w:pos="880"/>
              <w:tab w:val="right" w:leader="dot" w:pos="9016"/>
            </w:tabs>
            <w:spacing w:after="0" w:line="240" w:lineRule="auto"/>
            <w:rPr>
              <w:rFonts w:ascii="Arial" w:eastAsiaTheme="minorEastAsia" w:hAnsi="Arial" w:cs="Arial"/>
              <w:noProof/>
              <w:sz w:val="20"/>
              <w:szCs w:val="20"/>
              <w:lang w:val="en-US"/>
            </w:rPr>
          </w:pPr>
          <w:hyperlink w:anchor="_Toc102119902" w:history="1">
            <w:r w:rsidR="00C50342" w:rsidRPr="005A505B">
              <w:rPr>
                <w:rStyle w:val="Hyperlink"/>
                <w:rFonts w:ascii="Arial" w:hAnsi="Arial" w:cs="Arial"/>
                <w:noProof/>
                <w:sz w:val="20"/>
                <w:szCs w:val="20"/>
              </w:rPr>
              <w:t>3.2.</w:t>
            </w:r>
            <w:r w:rsidR="00C50342" w:rsidRPr="005A505B">
              <w:rPr>
                <w:rFonts w:ascii="Arial" w:eastAsiaTheme="minorEastAsia" w:hAnsi="Arial" w:cs="Arial"/>
                <w:noProof/>
                <w:sz w:val="20"/>
                <w:szCs w:val="20"/>
                <w:lang w:val="en-US"/>
              </w:rPr>
              <w:tab/>
            </w:r>
            <w:r w:rsidR="00C50342" w:rsidRPr="005A505B">
              <w:rPr>
                <w:rStyle w:val="Hyperlink"/>
                <w:rFonts w:ascii="Arial" w:hAnsi="Arial" w:cs="Arial"/>
                <w:noProof/>
                <w:sz w:val="20"/>
                <w:szCs w:val="20"/>
              </w:rPr>
              <w:t>Office of Health Standards Compliance (OHSC)</w:t>
            </w:r>
            <w:r w:rsidR="00C50342" w:rsidRPr="005A505B">
              <w:rPr>
                <w:rFonts w:ascii="Arial" w:hAnsi="Arial" w:cs="Arial"/>
                <w:noProof/>
                <w:webHidden/>
                <w:sz w:val="20"/>
                <w:szCs w:val="20"/>
              </w:rPr>
              <w:tab/>
            </w:r>
            <w:r w:rsidRPr="005A505B">
              <w:rPr>
                <w:rFonts w:ascii="Arial" w:hAnsi="Arial" w:cs="Arial"/>
                <w:noProof/>
                <w:webHidden/>
                <w:sz w:val="20"/>
                <w:szCs w:val="20"/>
              </w:rPr>
              <w:fldChar w:fldCharType="begin"/>
            </w:r>
            <w:r w:rsidR="00C50342" w:rsidRPr="005A505B">
              <w:rPr>
                <w:rFonts w:ascii="Arial" w:hAnsi="Arial" w:cs="Arial"/>
                <w:noProof/>
                <w:webHidden/>
                <w:sz w:val="20"/>
                <w:szCs w:val="20"/>
              </w:rPr>
              <w:instrText xml:space="preserve"> PAGEREF _Toc102119902 \h </w:instrText>
            </w:r>
            <w:r w:rsidRPr="005A505B">
              <w:rPr>
                <w:rFonts w:ascii="Arial" w:hAnsi="Arial" w:cs="Arial"/>
                <w:noProof/>
                <w:webHidden/>
                <w:sz w:val="20"/>
                <w:szCs w:val="20"/>
              </w:rPr>
            </w:r>
            <w:r w:rsidRPr="005A505B">
              <w:rPr>
                <w:rFonts w:ascii="Arial" w:hAnsi="Arial" w:cs="Arial"/>
                <w:noProof/>
                <w:webHidden/>
                <w:sz w:val="20"/>
                <w:szCs w:val="20"/>
              </w:rPr>
              <w:fldChar w:fldCharType="separate"/>
            </w:r>
            <w:r w:rsidR="00783AA5" w:rsidRPr="005A505B">
              <w:rPr>
                <w:rFonts w:ascii="Arial" w:hAnsi="Arial" w:cs="Arial"/>
                <w:noProof/>
                <w:webHidden/>
                <w:sz w:val="20"/>
                <w:szCs w:val="20"/>
              </w:rPr>
              <w:t>19</w:t>
            </w:r>
            <w:r w:rsidRPr="005A505B">
              <w:rPr>
                <w:rFonts w:ascii="Arial" w:hAnsi="Arial" w:cs="Arial"/>
                <w:noProof/>
                <w:webHidden/>
                <w:sz w:val="20"/>
                <w:szCs w:val="20"/>
              </w:rPr>
              <w:fldChar w:fldCharType="end"/>
            </w:r>
          </w:hyperlink>
        </w:p>
        <w:p w:rsidR="00C50342" w:rsidRPr="005A505B" w:rsidRDefault="00013966" w:rsidP="005A505B">
          <w:pPr>
            <w:pStyle w:val="TOC2"/>
            <w:tabs>
              <w:tab w:val="left" w:pos="880"/>
              <w:tab w:val="right" w:leader="dot" w:pos="9016"/>
            </w:tabs>
            <w:spacing w:after="0" w:line="240" w:lineRule="auto"/>
            <w:rPr>
              <w:rFonts w:ascii="Arial" w:eastAsiaTheme="minorEastAsia" w:hAnsi="Arial" w:cs="Arial"/>
              <w:noProof/>
              <w:sz w:val="20"/>
              <w:szCs w:val="20"/>
              <w:lang w:val="en-US"/>
            </w:rPr>
          </w:pPr>
          <w:hyperlink w:anchor="_Toc102119903" w:history="1">
            <w:r w:rsidR="00C50342" w:rsidRPr="005A505B">
              <w:rPr>
                <w:rStyle w:val="Hyperlink"/>
                <w:rFonts w:ascii="Arial" w:hAnsi="Arial" w:cs="Arial"/>
                <w:noProof/>
                <w:sz w:val="20"/>
                <w:szCs w:val="20"/>
              </w:rPr>
              <w:t>3.3.</w:t>
            </w:r>
            <w:r w:rsidR="00C50342" w:rsidRPr="005A505B">
              <w:rPr>
                <w:rFonts w:ascii="Arial" w:eastAsiaTheme="minorEastAsia" w:hAnsi="Arial" w:cs="Arial"/>
                <w:noProof/>
                <w:sz w:val="20"/>
                <w:szCs w:val="20"/>
                <w:lang w:val="en-US"/>
              </w:rPr>
              <w:tab/>
            </w:r>
            <w:r w:rsidR="00C50342" w:rsidRPr="005A505B">
              <w:rPr>
                <w:rStyle w:val="Hyperlink"/>
                <w:rFonts w:ascii="Arial" w:hAnsi="Arial" w:cs="Arial"/>
                <w:noProof/>
                <w:sz w:val="20"/>
                <w:szCs w:val="20"/>
              </w:rPr>
              <w:t>National Health Laboratory Services (NHLS)</w:t>
            </w:r>
            <w:r w:rsidR="00C50342" w:rsidRPr="005A505B">
              <w:rPr>
                <w:rFonts w:ascii="Arial" w:hAnsi="Arial" w:cs="Arial"/>
                <w:noProof/>
                <w:webHidden/>
                <w:sz w:val="20"/>
                <w:szCs w:val="20"/>
              </w:rPr>
              <w:tab/>
            </w:r>
            <w:r w:rsidRPr="005A505B">
              <w:rPr>
                <w:rFonts w:ascii="Arial" w:hAnsi="Arial" w:cs="Arial"/>
                <w:noProof/>
                <w:webHidden/>
                <w:sz w:val="20"/>
                <w:szCs w:val="20"/>
              </w:rPr>
              <w:fldChar w:fldCharType="begin"/>
            </w:r>
            <w:r w:rsidR="00C50342" w:rsidRPr="005A505B">
              <w:rPr>
                <w:rFonts w:ascii="Arial" w:hAnsi="Arial" w:cs="Arial"/>
                <w:noProof/>
                <w:webHidden/>
                <w:sz w:val="20"/>
                <w:szCs w:val="20"/>
              </w:rPr>
              <w:instrText xml:space="preserve"> PAGEREF _Toc102119903 \h </w:instrText>
            </w:r>
            <w:r w:rsidRPr="005A505B">
              <w:rPr>
                <w:rFonts w:ascii="Arial" w:hAnsi="Arial" w:cs="Arial"/>
                <w:noProof/>
                <w:webHidden/>
                <w:sz w:val="20"/>
                <w:szCs w:val="20"/>
              </w:rPr>
            </w:r>
            <w:r w:rsidRPr="005A505B">
              <w:rPr>
                <w:rFonts w:ascii="Arial" w:hAnsi="Arial" w:cs="Arial"/>
                <w:noProof/>
                <w:webHidden/>
                <w:sz w:val="20"/>
                <w:szCs w:val="20"/>
              </w:rPr>
              <w:fldChar w:fldCharType="separate"/>
            </w:r>
            <w:r w:rsidR="00783AA5" w:rsidRPr="005A505B">
              <w:rPr>
                <w:rFonts w:ascii="Arial" w:hAnsi="Arial" w:cs="Arial"/>
                <w:noProof/>
                <w:webHidden/>
                <w:sz w:val="20"/>
                <w:szCs w:val="20"/>
              </w:rPr>
              <w:t>23</w:t>
            </w:r>
            <w:r w:rsidRPr="005A505B">
              <w:rPr>
                <w:rFonts w:ascii="Arial" w:hAnsi="Arial" w:cs="Arial"/>
                <w:noProof/>
                <w:webHidden/>
                <w:sz w:val="20"/>
                <w:szCs w:val="20"/>
              </w:rPr>
              <w:fldChar w:fldCharType="end"/>
            </w:r>
          </w:hyperlink>
        </w:p>
        <w:p w:rsidR="00C50342" w:rsidRPr="005A505B" w:rsidRDefault="00013966" w:rsidP="005A505B">
          <w:pPr>
            <w:pStyle w:val="TOC2"/>
            <w:tabs>
              <w:tab w:val="left" w:pos="880"/>
              <w:tab w:val="right" w:leader="dot" w:pos="9016"/>
            </w:tabs>
            <w:spacing w:after="0" w:line="240" w:lineRule="auto"/>
            <w:rPr>
              <w:rFonts w:ascii="Arial" w:eastAsiaTheme="minorEastAsia" w:hAnsi="Arial" w:cs="Arial"/>
              <w:noProof/>
              <w:sz w:val="20"/>
              <w:szCs w:val="20"/>
              <w:lang w:val="en-US"/>
            </w:rPr>
          </w:pPr>
          <w:hyperlink w:anchor="_Toc102119904" w:history="1">
            <w:r w:rsidR="00C50342" w:rsidRPr="005A505B">
              <w:rPr>
                <w:rStyle w:val="Hyperlink"/>
                <w:rFonts w:ascii="Arial" w:hAnsi="Arial" w:cs="Arial"/>
                <w:noProof/>
                <w:sz w:val="20"/>
                <w:szCs w:val="20"/>
              </w:rPr>
              <w:t>3.4.</w:t>
            </w:r>
            <w:r w:rsidR="00C50342" w:rsidRPr="005A505B">
              <w:rPr>
                <w:rFonts w:ascii="Arial" w:eastAsiaTheme="minorEastAsia" w:hAnsi="Arial" w:cs="Arial"/>
                <w:noProof/>
                <w:sz w:val="20"/>
                <w:szCs w:val="20"/>
                <w:lang w:val="en-US"/>
              </w:rPr>
              <w:tab/>
            </w:r>
            <w:r w:rsidR="00C50342" w:rsidRPr="005A505B">
              <w:rPr>
                <w:rStyle w:val="Hyperlink"/>
                <w:rFonts w:ascii="Arial" w:hAnsi="Arial" w:cs="Arial"/>
                <w:noProof/>
                <w:sz w:val="20"/>
                <w:szCs w:val="20"/>
              </w:rPr>
              <w:t>Council for Medical Schemes (CMS)</w:t>
            </w:r>
            <w:r w:rsidR="00C50342" w:rsidRPr="005A505B">
              <w:rPr>
                <w:rFonts w:ascii="Arial" w:hAnsi="Arial" w:cs="Arial"/>
                <w:noProof/>
                <w:webHidden/>
                <w:sz w:val="20"/>
                <w:szCs w:val="20"/>
              </w:rPr>
              <w:tab/>
            </w:r>
            <w:r w:rsidRPr="005A505B">
              <w:rPr>
                <w:rFonts w:ascii="Arial" w:hAnsi="Arial" w:cs="Arial"/>
                <w:noProof/>
                <w:webHidden/>
                <w:sz w:val="20"/>
                <w:szCs w:val="20"/>
              </w:rPr>
              <w:fldChar w:fldCharType="begin"/>
            </w:r>
            <w:r w:rsidR="00C50342" w:rsidRPr="005A505B">
              <w:rPr>
                <w:rFonts w:ascii="Arial" w:hAnsi="Arial" w:cs="Arial"/>
                <w:noProof/>
                <w:webHidden/>
                <w:sz w:val="20"/>
                <w:szCs w:val="20"/>
              </w:rPr>
              <w:instrText xml:space="preserve"> PAGEREF _Toc102119904 \h </w:instrText>
            </w:r>
            <w:r w:rsidRPr="005A505B">
              <w:rPr>
                <w:rFonts w:ascii="Arial" w:hAnsi="Arial" w:cs="Arial"/>
                <w:noProof/>
                <w:webHidden/>
                <w:sz w:val="20"/>
                <w:szCs w:val="20"/>
              </w:rPr>
            </w:r>
            <w:r w:rsidRPr="005A505B">
              <w:rPr>
                <w:rFonts w:ascii="Arial" w:hAnsi="Arial" w:cs="Arial"/>
                <w:noProof/>
                <w:webHidden/>
                <w:sz w:val="20"/>
                <w:szCs w:val="20"/>
              </w:rPr>
              <w:fldChar w:fldCharType="separate"/>
            </w:r>
            <w:r w:rsidR="00783AA5" w:rsidRPr="005A505B">
              <w:rPr>
                <w:rFonts w:ascii="Arial" w:hAnsi="Arial" w:cs="Arial"/>
                <w:noProof/>
                <w:webHidden/>
                <w:sz w:val="20"/>
                <w:szCs w:val="20"/>
              </w:rPr>
              <w:t>27</w:t>
            </w:r>
            <w:r w:rsidRPr="005A505B">
              <w:rPr>
                <w:rFonts w:ascii="Arial" w:hAnsi="Arial" w:cs="Arial"/>
                <w:noProof/>
                <w:webHidden/>
                <w:sz w:val="20"/>
                <w:szCs w:val="20"/>
              </w:rPr>
              <w:fldChar w:fldCharType="end"/>
            </w:r>
          </w:hyperlink>
        </w:p>
        <w:p w:rsidR="00C50342" w:rsidRPr="005A505B" w:rsidRDefault="00013966" w:rsidP="005A505B">
          <w:pPr>
            <w:pStyle w:val="TOC2"/>
            <w:tabs>
              <w:tab w:val="left" w:pos="880"/>
              <w:tab w:val="right" w:leader="dot" w:pos="9016"/>
            </w:tabs>
            <w:spacing w:after="0" w:line="240" w:lineRule="auto"/>
            <w:rPr>
              <w:rFonts w:ascii="Arial" w:eastAsiaTheme="minorEastAsia" w:hAnsi="Arial" w:cs="Arial"/>
              <w:noProof/>
              <w:sz w:val="20"/>
              <w:szCs w:val="20"/>
              <w:lang w:val="en-US"/>
            </w:rPr>
          </w:pPr>
          <w:hyperlink w:anchor="_Toc102119905" w:history="1">
            <w:r w:rsidR="00C50342" w:rsidRPr="005A505B">
              <w:rPr>
                <w:rStyle w:val="Hyperlink"/>
                <w:rFonts w:ascii="Arial" w:hAnsi="Arial" w:cs="Arial"/>
                <w:noProof/>
                <w:sz w:val="20"/>
                <w:szCs w:val="20"/>
              </w:rPr>
              <w:t>3.5.</w:t>
            </w:r>
            <w:r w:rsidR="00C50342" w:rsidRPr="005A505B">
              <w:rPr>
                <w:rFonts w:ascii="Arial" w:eastAsiaTheme="minorEastAsia" w:hAnsi="Arial" w:cs="Arial"/>
                <w:noProof/>
                <w:sz w:val="20"/>
                <w:szCs w:val="20"/>
                <w:lang w:val="en-US"/>
              </w:rPr>
              <w:tab/>
            </w:r>
            <w:r w:rsidR="00C50342" w:rsidRPr="005A505B">
              <w:rPr>
                <w:rStyle w:val="Hyperlink"/>
                <w:rFonts w:ascii="Arial" w:hAnsi="Arial" w:cs="Arial"/>
                <w:noProof/>
                <w:sz w:val="20"/>
                <w:szCs w:val="20"/>
              </w:rPr>
              <w:t>South African Health Products Regulatory Authority (SAHPRA)</w:t>
            </w:r>
            <w:r w:rsidR="00C50342" w:rsidRPr="005A505B">
              <w:rPr>
                <w:rFonts w:ascii="Arial" w:hAnsi="Arial" w:cs="Arial"/>
                <w:noProof/>
                <w:webHidden/>
                <w:sz w:val="20"/>
                <w:szCs w:val="20"/>
              </w:rPr>
              <w:tab/>
            </w:r>
            <w:r w:rsidRPr="005A505B">
              <w:rPr>
                <w:rFonts w:ascii="Arial" w:hAnsi="Arial" w:cs="Arial"/>
                <w:noProof/>
                <w:webHidden/>
                <w:sz w:val="20"/>
                <w:szCs w:val="20"/>
              </w:rPr>
              <w:fldChar w:fldCharType="begin"/>
            </w:r>
            <w:r w:rsidR="00C50342" w:rsidRPr="005A505B">
              <w:rPr>
                <w:rFonts w:ascii="Arial" w:hAnsi="Arial" w:cs="Arial"/>
                <w:noProof/>
                <w:webHidden/>
                <w:sz w:val="20"/>
                <w:szCs w:val="20"/>
              </w:rPr>
              <w:instrText xml:space="preserve"> PAGEREF _Toc102119905 \h </w:instrText>
            </w:r>
            <w:r w:rsidRPr="005A505B">
              <w:rPr>
                <w:rFonts w:ascii="Arial" w:hAnsi="Arial" w:cs="Arial"/>
                <w:noProof/>
                <w:webHidden/>
                <w:sz w:val="20"/>
                <w:szCs w:val="20"/>
              </w:rPr>
            </w:r>
            <w:r w:rsidRPr="005A505B">
              <w:rPr>
                <w:rFonts w:ascii="Arial" w:hAnsi="Arial" w:cs="Arial"/>
                <w:noProof/>
                <w:webHidden/>
                <w:sz w:val="20"/>
                <w:szCs w:val="20"/>
              </w:rPr>
              <w:fldChar w:fldCharType="separate"/>
            </w:r>
            <w:r w:rsidR="00783AA5" w:rsidRPr="005A505B">
              <w:rPr>
                <w:rFonts w:ascii="Arial" w:hAnsi="Arial" w:cs="Arial"/>
                <w:noProof/>
                <w:webHidden/>
                <w:sz w:val="20"/>
                <w:szCs w:val="20"/>
              </w:rPr>
              <w:t>32</w:t>
            </w:r>
            <w:r w:rsidRPr="005A505B">
              <w:rPr>
                <w:rFonts w:ascii="Arial" w:hAnsi="Arial" w:cs="Arial"/>
                <w:noProof/>
                <w:webHidden/>
                <w:sz w:val="20"/>
                <w:szCs w:val="20"/>
              </w:rPr>
              <w:fldChar w:fldCharType="end"/>
            </w:r>
          </w:hyperlink>
        </w:p>
        <w:p w:rsidR="00C50342" w:rsidRPr="005A505B" w:rsidRDefault="00013966" w:rsidP="005A505B">
          <w:pPr>
            <w:pStyle w:val="TOC2"/>
            <w:tabs>
              <w:tab w:val="left" w:pos="880"/>
              <w:tab w:val="right" w:leader="dot" w:pos="9016"/>
            </w:tabs>
            <w:spacing w:after="0" w:line="240" w:lineRule="auto"/>
            <w:rPr>
              <w:rFonts w:ascii="Arial" w:eastAsiaTheme="minorEastAsia" w:hAnsi="Arial" w:cs="Arial"/>
              <w:noProof/>
              <w:sz w:val="20"/>
              <w:szCs w:val="20"/>
              <w:lang w:val="en-US"/>
            </w:rPr>
          </w:pPr>
          <w:hyperlink w:anchor="_Toc102119927" w:history="1">
            <w:r w:rsidR="00C50342" w:rsidRPr="005A505B">
              <w:rPr>
                <w:rStyle w:val="Hyperlink"/>
                <w:rFonts w:ascii="Arial" w:hAnsi="Arial" w:cs="Arial"/>
                <w:noProof/>
                <w:sz w:val="20"/>
                <w:szCs w:val="20"/>
              </w:rPr>
              <w:t>3.6.</w:t>
            </w:r>
            <w:r w:rsidR="00C50342" w:rsidRPr="005A505B">
              <w:rPr>
                <w:rFonts w:ascii="Arial" w:eastAsiaTheme="minorEastAsia" w:hAnsi="Arial" w:cs="Arial"/>
                <w:noProof/>
                <w:sz w:val="20"/>
                <w:szCs w:val="20"/>
                <w:lang w:val="en-US"/>
              </w:rPr>
              <w:tab/>
            </w:r>
            <w:r w:rsidR="00C50342" w:rsidRPr="005A505B">
              <w:rPr>
                <w:rStyle w:val="Hyperlink"/>
                <w:rFonts w:ascii="Arial" w:hAnsi="Arial" w:cs="Arial"/>
                <w:noProof/>
                <w:sz w:val="20"/>
                <w:szCs w:val="20"/>
              </w:rPr>
              <w:t>South African Medical Research Council (SAMRC)</w:t>
            </w:r>
            <w:r w:rsidR="00C50342" w:rsidRPr="005A505B">
              <w:rPr>
                <w:rFonts w:ascii="Arial" w:hAnsi="Arial" w:cs="Arial"/>
                <w:noProof/>
                <w:webHidden/>
                <w:sz w:val="20"/>
                <w:szCs w:val="20"/>
              </w:rPr>
              <w:tab/>
            </w:r>
            <w:r w:rsidRPr="005A505B">
              <w:rPr>
                <w:rFonts w:ascii="Arial" w:hAnsi="Arial" w:cs="Arial"/>
                <w:noProof/>
                <w:webHidden/>
                <w:sz w:val="20"/>
                <w:szCs w:val="20"/>
              </w:rPr>
              <w:fldChar w:fldCharType="begin"/>
            </w:r>
            <w:r w:rsidR="00C50342" w:rsidRPr="005A505B">
              <w:rPr>
                <w:rFonts w:ascii="Arial" w:hAnsi="Arial" w:cs="Arial"/>
                <w:noProof/>
                <w:webHidden/>
                <w:sz w:val="20"/>
                <w:szCs w:val="20"/>
              </w:rPr>
              <w:instrText xml:space="preserve"> PAGEREF _Toc102119927 \h </w:instrText>
            </w:r>
            <w:r w:rsidRPr="005A505B">
              <w:rPr>
                <w:rFonts w:ascii="Arial" w:hAnsi="Arial" w:cs="Arial"/>
                <w:noProof/>
                <w:webHidden/>
                <w:sz w:val="20"/>
                <w:szCs w:val="20"/>
              </w:rPr>
            </w:r>
            <w:r w:rsidRPr="005A505B">
              <w:rPr>
                <w:rFonts w:ascii="Arial" w:hAnsi="Arial" w:cs="Arial"/>
                <w:noProof/>
                <w:webHidden/>
                <w:sz w:val="20"/>
                <w:szCs w:val="20"/>
              </w:rPr>
              <w:fldChar w:fldCharType="separate"/>
            </w:r>
            <w:r w:rsidR="00783AA5" w:rsidRPr="005A505B">
              <w:rPr>
                <w:rFonts w:ascii="Arial" w:hAnsi="Arial" w:cs="Arial"/>
                <w:noProof/>
                <w:webHidden/>
                <w:sz w:val="20"/>
                <w:szCs w:val="20"/>
              </w:rPr>
              <w:t>37</w:t>
            </w:r>
            <w:r w:rsidRPr="005A505B">
              <w:rPr>
                <w:rFonts w:ascii="Arial" w:hAnsi="Arial" w:cs="Arial"/>
                <w:noProof/>
                <w:webHidden/>
                <w:sz w:val="20"/>
                <w:szCs w:val="20"/>
              </w:rPr>
              <w:fldChar w:fldCharType="end"/>
            </w:r>
          </w:hyperlink>
        </w:p>
        <w:p w:rsidR="00C50342" w:rsidRPr="005A505B" w:rsidRDefault="00013966" w:rsidP="005A505B">
          <w:pPr>
            <w:pStyle w:val="TOC2"/>
            <w:tabs>
              <w:tab w:val="left" w:pos="880"/>
              <w:tab w:val="right" w:leader="dot" w:pos="9016"/>
            </w:tabs>
            <w:spacing w:after="0" w:line="240" w:lineRule="auto"/>
            <w:rPr>
              <w:rFonts w:ascii="Arial" w:eastAsiaTheme="minorEastAsia" w:hAnsi="Arial" w:cs="Arial"/>
              <w:noProof/>
              <w:sz w:val="20"/>
              <w:szCs w:val="20"/>
              <w:lang w:val="en-US"/>
            </w:rPr>
          </w:pPr>
          <w:hyperlink w:anchor="_Toc102119928" w:history="1">
            <w:r w:rsidR="00C50342" w:rsidRPr="005A505B">
              <w:rPr>
                <w:rStyle w:val="Hyperlink"/>
                <w:rFonts w:ascii="Arial" w:hAnsi="Arial" w:cs="Arial"/>
                <w:noProof/>
                <w:sz w:val="20"/>
                <w:szCs w:val="20"/>
              </w:rPr>
              <w:t>3.7.</w:t>
            </w:r>
            <w:r w:rsidR="00C50342" w:rsidRPr="005A505B">
              <w:rPr>
                <w:rFonts w:ascii="Arial" w:eastAsiaTheme="minorEastAsia" w:hAnsi="Arial" w:cs="Arial"/>
                <w:noProof/>
                <w:sz w:val="20"/>
                <w:szCs w:val="20"/>
                <w:lang w:val="en-US"/>
              </w:rPr>
              <w:tab/>
            </w:r>
            <w:r w:rsidR="00C50342" w:rsidRPr="005A505B">
              <w:rPr>
                <w:rStyle w:val="Hyperlink"/>
                <w:rFonts w:ascii="Arial" w:hAnsi="Arial" w:cs="Arial"/>
                <w:noProof/>
                <w:sz w:val="20"/>
                <w:szCs w:val="20"/>
              </w:rPr>
              <w:t>Committee Observations on Entities</w:t>
            </w:r>
            <w:r w:rsidR="00C50342" w:rsidRPr="005A505B">
              <w:rPr>
                <w:rFonts w:ascii="Arial" w:hAnsi="Arial" w:cs="Arial"/>
                <w:noProof/>
                <w:webHidden/>
                <w:sz w:val="20"/>
                <w:szCs w:val="20"/>
              </w:rPr>
              <w:tab/>
            </w:r>
            <w:r w:rsidRPr="005A505B">
              <w:rPr>
                <w:rFonts w:ascii="Arial" w:hAnsi="Arial" w:cs="Arial"/>
                <w:noProof/>
                <w:webHidden/>
                <w:sz w:val="20"/>
                <w:szCs w:val="20"/>
              </w:rPr>
              <w:fldChar w:fldCharType="begin"/>
            </w:r>
            <w:r w:rsidR="00C50342" w:rsidRPr="005A505B">
              <w:rPr>
                <w:rFonts w:ascii="Arial" w:hAnsi="Arial" w:cs="Arial"/>
                <w:noProof/>
                <w:webHidden/>
                <w:sz w:val="20"/>
                <w:szCs w:val="20"/>
              </w:rPr>
              <w:instrText xml:space="preserve"> PAGEREF _Toc102119928 \h </w:instrText>
            </w:r>
            <w:r w:rsidRPr="005A505B">
              <w:rPr>
                <w:rFonts w:ascii="Arial" w:hAnsi="Arial" w:cs="Arial"/>
                <w:noProof/>
                <w:webHidden/>
                <w:sz w:val="20"/>
                <w:szCs w:val="20"/>
              </w:rPr>
            </w:r>
            <w:r w:rsidRPr="005A505B">
              <w:rPr>
                <w:rFonts w:ascii="Arial" w:hAnsi="Arial" w:cs="Arial"/>
                <w:noProof/>
                <w:webHidden/>
                <w:sz w:val="20"/>
                <w:szCs w:val="20"/>
              </w:rPr>
              <w:fldChar w:fldCharType="separate"/>
            </w:r>
            <w:r w:rsidR="00783AA5" w:rsidRPr="005A505B">
              <w:rPr>
                <w:rFonts w:ascii="Arial" w:hAnsi="Arial" w:cs="Arial"/>
                <w:noProof/>
                <w:webHidden/>
                <w:sz w:val="20"/>
                <w:szCs w:val="20"/>
              </w:rPr>
              <w:t>40</w:t>
            </w:r>
            <w:r w:rsidRPr="005A505B">
              <w:rPr>
                <w:rFonts w:ascii="Arial" w:hAnsi="Arial" w:cs="Arial"/>
                <w:noProof/>
                <w:webHidden/>
                <w:sz w:val="20"/>
                <w:szCs w:val="20"/>
              </w:rPr>
              <w:fldChar w:fldCharType="end"/>
            </w:r>
          </w:hyperlink>
        </w:p>
        <w:p w:rsidR="00C50342" w:rsidRPr="005A505B" w:rsidRDefault="00013966" w:rsidP="005A505B">
          <w:pPr>
            <w:pStyle w:val="TOC1"/>
            <w:spacing w:line="240" w:lineRule="auto"/>
            <w:rPr>
              <w:rFonts w:ascii="Arial" w:eastAsiaTheme="minorEastAsia" w:hAnsi="Arial" w:cs="Arial"/>
              <w:b w:val="0"/>
              <w:sz w:val="20"/>
              <w:szCs w:val="20"/>
              <w:lang w:val="en-US"/>
            </w:rPr>
          </w:pPr>
          <w:hyperlink w:anchor="_Toc102119930" w:history="1">
            <w:r w:rsidR="00C50342" w:rsidRPr="005A505B">
              <w:rPr>
                <w:rStyle w:val="Hyperlink"/>
                <w:rFonts w:ascii="Arial" w:hAnsi="Arial" w:cs="Arial"/>
                <w:sz w:val="20"/>
                <w:szCs w:val="20"/>
              </w:rPr>
              <w:t>4.</w:t>
            </w:r>
            <w:r w:rsidR="00C50342" w:rsidRPr="005A505B">
              <w:rPr>
                <w:rFonts w:ascii="Arial" w:eastAsiaTheme="minorEastAsia" w:hAnsi="Arial" w:cs="Arial"/>
                <w:b w:val="0"/>
                <w:sz w:val="20"/>
                <w:szCs w:val="20"/>
                <w:lang w:val="en-US"/>
              </w:rPr>
              <w:tab/>
            </w:r>
            <w:r w:rsidR="00C50342" w:rsidRPr="005A505B">
              <w:rPr>
                <w:rStyle w:val="Hyperlink"/>
                <w:rFonts w:ascii="Arial" w:hAnsi="Arial" w:cs="Arial"/>
                <w:sz w:val="20"/>
                <w:szCs w:val="20"/>
              </w:rPr>
              <w:t>COMMITTEE RECOMMENDATIONS</w:t>
            </w:r>
            <w:r w:rsidR="00C50342" w:rsidRPr="005A505B">
              <w:rPr>
                <w:rFonts w:ascii="Arial" w:hAnsi="Arial" w:cs="Arial"/>
                <w:webHidden/>
                <w:sz w:val="20"/>
                <w:szCs w:val="20"/>
              </w:rPr>
              <w:tab/>
            </w:r>
            <w:r w:rsidRPr="005A505B">
              <w:rPr>
                <w:rFonts w:ascii="Arial" w:hAnsi="Arial" w:cs="Arial"/>
                <w:webHidden/>
                <w:sz w:val="20"/>
                <w:szCs w:val="20"/>
              </w:rPr>
              <w:fldChar w:fldCharType="begin"/>
            </w:r>
            <w:r w:rsidR="00C50342" w:rsidRPr="005A505B">
              <w:rPr>
                <w:rFonts w:ascii="Arial" w:hAnsi="Arial" w:cs="Arial"/>
                <w:webHidden/>
                <w:sz w:val="20"/>
                <w:szCs w:val="20"/>
              </w:rPr>
              <w:instrText xml:space="preserve"> PAGEREF _Toc102119930 \h </w:instrText>
            </w:r>
            <w:r w:rsidRPr="005A505B">
              <w:rPr>
                <w:rFonts w:ascii="Arial" w:hAnsi="Arial" w:cs="Arial"/>
                <w:webHidden/>
                <w:sz w:val="20"/>
                <w:szCs w:val="20"/>
              </w:rPr>
            </w:r>
            <w:r w:rsidRPr="005A505B">
              <w:rPr>
                <w:rFonts w:ascii="Arial" w:hAnsi="Arial" w:cs="Arial"/>
                <w:webHidden/>
                <w:sz w:val="20"/>
                <w:szCs w:val="20"/>
              </w:rPr>
              <w:fldChar w:fldCharType="separate"/>
            </w:r>
            <w:r w:rsidR="00783AA5" w:rsidRPr="005A505B">
              <w:rPr>
                <w:rFonts w:ascii="Arial" w:hAnsi="Arial" w:cs="Arial"/>
                <w:webHidden/>
                <w:sz w:val="20"/>
                <w:szCs w:val="20"/>
              </w:rPr>
              <w:t>45</w:t>
            </w:r>
            <w:r w:rsidRPr="005A505B">
              <w:rPr>
                <w:rFonts w:ascii="Arial" w:hAnsi="Arial" w:cs="Arial"/>
                <w:webHidden/>
                <w:sz w:val="20"/>
                <w:szCs w:val="20"/>
              </w:rPr>
              <w:fldChar w:fldCharType="end"/>
            </w:r>
          </w:hyperlink>
        </w:p>
        <w:p w:rsidR="00C50342" w:rsidRPr="005A505B" w:rsidRDefault="00013966" w:rsidP="005A505B">
          <w:pPr>
            <w:pStyle w:val="TOC2"/>
            <w:tabs>
              <w:tab w:val="left" w:pos="880"/>
              <w:tab w:val="right" w:leader="dot" w:pos="9016"/>
            </w:tabs>
            <w:spacing w:after="0" w:line="240" w:lineRule="auto"/>
            <w:rPr>
              <w:rFonts w:ascii="Arial" w:eastAsiaTheme="minorEastAsia" w:hAnsi="Arial" w:cs="Arial"/>
              <w:noProof/>
              <w:sz w:val="20"/>
              <w:szCs w:val="20"/>
              <w:lang w:val="en-US"/>
            </w:rPr>
          </w:pPr>
          <w:hyperlink w:anchor="_Toc102119931" w:history="1">
            <w:r w:rsidR="00C50342" w:rsidRPr="005A505B">
              <w:rPr>
                <w:rStyle w:val="Hyperlink"/>
                <w:rFonts w:ascii="Arial" w:hAnsi="Arial" w:cs="Arial"/>
                <w:noProof/>
                <w:sz w:val="20"/>
                <w:szCs w:val="20"/>
              </w:rPr>
              <w:t>4.1.</w:t>
            </w:r>
            <w:r w:rsidR="00C50342" w:rsidRPr="005A505B">
              <w:rPr>
                <w:rFonts w:ascii="Arial" w:eastAsiaTheme="minorEastAsia" w:hAnsi="Arial" w:cs="Arial"/>
                <w:noProof/>
                <w:sz w:val="20"/>
                <w:szCs w:val="20"/>
                <w:lang w:val="en-US"/>
              </w:rPr>
              <w:tab/>
            </w:r>
            <w:r w:rsidR="00C50342" w:rsidRPr="005A505B">
              <w:rPr>
                <w:rStyle w:val="Hyperlink"/>
                <w:rFonts w:ascii="Arial" w:hAnsi="Arial" w:cs="Arial"/>
                <w:noProof/>
                <w:sz w:val="20"/>
                <w:szCs w:val="20"/>
              </w:rPr>
              <w:t>Department of Health</w:t>
            </w:r>
            <w:r w:rsidR="00C50342" w:rsidRPr="005A505B">
              <w:rPr>
                <w:rFonts w:ascii="Arial" w:hAnsi="Arial" w:cs="Arial"/>
                <w:noProof/>
                <w:webHidden/>
                <w:sz w:val="20"/>
                <w:szCs w:val="20"/>
              </w:rPr>
              <w:tab/>
            </w:r>
            <w:r w:rsidRPr="005A505B">
              <w:rPr>
                <w:rFonts w:ascii="Arial" w:hAnsi="Arial" w:cs="Arial"/>
                <w:noProof/>
                <w:webHidden/>
                <w:sz w:val="20"/>
                <w:szCs w:val="20"/>
              </w:rPr>
              <w:fldChar w:fldCharType="begin"/>
            </w:r>
            <w:r w:rsidR="00C50342" w:rsidRPr="005A505B">
              <w:rPr>
                <w:rFonts w:ascii="Arial" w:hAnsi="Arial" w:cs="Arial"/>
                <w:noProof/>
                <w:webHidden/>
                <w:sz w:val="20"/>
                <w:szCs w:val="20"/>
              </w:rPr>
              <w:instrText xml:space="preserve"> PAGEREF _Toc102119931 \h </w:instrText>
            </w:r>
            <w:r w:rsidRPr="005A505B">
              <w:rPr>
                <w:rFonts w:ascii="Arial" w:hAnsi="Arial" w:cs="Arial"/>
                <w:noProof/>
                <w:webHidden/>
                <w:sz w:val="20"/>
                <w:szCs w:val="20"/>
              </w:rPr>
            </w:r>
            <w:r w:rsidRPr="005A505B">
              <w:rPr>
                <w:rFonts w:ascii="Arial" w:hAnsi="Arial" w:cs="Arial"/>
                <w:noProof/>
                <w:webHidden/>
                <w:sz w:val="20"/>
                <w:szCs w:val="20"/>
              </w:rPr>
              <w:fldChar w:fldCharType="separate"/>
            </w:r>
            <w:r w:rsidR="00783AA5" w:rsidRPr="005A505B">
              <w:rPr>
                <w:rFonts w:ascii="Arial" w:hAnsi="Arial" w:cs="Arial"/>
                <w:noProof/>
                <w:webHidden/>
                <w:sz w:val="20"/>
                <w:szCs w:val="20"/>
              </w:rPr>
              <w:t>45</w:t>
            </w:r>
            <w:r w:rsidRPr="005A505B">
              <w:rPr>
                <w:rFonts w:ascii="Arial" w:hAnsi="Arial" w:cs="Arial"/>
                <w:noProof/>
                <w:webHidden/>
                <w:sz w:val="20"/>
                <w:szCs w:val="20"/>
              </w:rPr>
              <w:fldChar w:fldCharType="end"/>
            </w:r>
          </w:hyperlink>
        </w:p>
        <w:p w:rsidR="00C50342" w:rsidRPr="005A505B" w:rsidRDefault="00013966" w:rsidP="005A505B">
          <w:pPr>
            <w:pStyle w:val="TOC2"/>
            <w:tabs>
              <w:tab w:val="left" w:pos="880"/>
              <w:tab w:val="right" w:leader="dot" w:pos="9016"/>
            </w:tabs>
            <w:spacing w:after="0" w:line="240" w:lineRule="auto"/>
            <w:rPr>
              <w:rFonts w:ascii="Arial" w:eastAsiaTheme="minorEastAsia" w:hAnsi="Arial" w:cs="Arial"/>
              <w:noProof/>
              <w:sz w:val="20"/>
              <w:szCs w:val="20"/>
              <w:lang w:val="en-US"/>
            </w:rPr>
          </w:pPr>
          <w:hyperlink w:anchor="_Toc102119941" w:history="1">
            <w:r w:rsidR="00C50342" w:rsidRPr="005A505B">
              <w:rPr>
                <w:rStyle w:val="Hyperlink"/>
                <w:rFonts w:ascii="Arial" w:hAnsi="Arial" w:cs="Arial"/>
                <w:noProof/>
                <w:sz w:val="20"/>
                <w:szCs w:val="20"/>
              </w:rPr>
              <w:t>4.2.</w:t>
            </w:r>
            <w:r w:rsidR="00C50342" w:rsidRPr="005A505B">
              <w:rPr>
                <w:rFonts w:ascii="Arial" w:eastAsiaTheme="minorEastAsia" w:hAnsi="Arial" w:cs="Arial"/>
                <w:noProof/>
                <w:sz w:val="20"/>
                <w:szCs w:val="20"/>
                <w:lang w:val="en-US"/>
              </w:rPr>
              <w:tab/>
            </w:r>
            <w:r w:rsidR="00C50342" w:rsidRPr="005A505B">
              <w:rPr>
                <w:rStyle w:val="Hyperlink"/>
                <w:rFonts w:ascii="Arial" w:hAnsi="Arial" w:cs="Arial"/>
                <w:noProof/>
                <w:sz w:val="20"/>
                <w:szCs w:val="20"/>
              </w:rPr>
              <w:t>Entities</w:t>
            </w:r>
            <w:r w:rsidR="00C50342" w:rsidRPr="005A505B">
              <w:rPr>
                <w:rFonts w:ascii="Arial" w:hAnsi="Arial" w:cs="Arial"/>
                <w:noProof/>
                <w:webHidden/>
                <w:sz w:val="20"/>
                <w:szCs w:val="20"/>
              </w:rPr>
              <w:tab/>
            </w:r>
            <w:r w:rsidRPr="005A505B">
              <w:rPr>
                <w:rFonts w:ascii="Arial" w:hAnsi="Arial" w:cs="Arial"/>
                <w:noProof/>
                <w:webHidden/>
                <w:sz w:val="20"/>
                <w:szCs w:val="20"/>
              </w:rPr>
              <w:fldChar w:fldCharType="begin"/>
            </w:r>
            <w:r w:rsidR="00C50342" w:rsidRPr="005A505B">
              <w:rPr>
                <w:rFonts w:ascii="Arial" w:hAnsi="Arial" w:cs="Arial"/>
                <w:noProof/>
                <w:webHidden/>
                <w:sz w:val="20"/>
                <w:szCs w:val="20"/>
              </w:rPr>
              <w:instrText xml:space="preserve"> PAGEREF _Toc102119941 \h </w:instrText>
            </w:r>
            <w:r w:rsidRPr="005A505B">
              <w:rPr>
                <w:rFonts w:ascii="Arial" w:hAnsi="Arial" w:cs="Arial"/>
                <w:noProof/>
                <w:webHidden/>
                <w:sz w:val="20"/>
                <w:szCs w:val="20"/>
              </w:rPr>
            </w:r>
            <w:r w:rsidRPr="005A505B">
              <w:rPr>
                <w:rFonts w:ascii="Arial" w:hAnsi="Arial" w:cs="Arial"/>
                <w:noProof/>
                <w:webHidden/>
                <w:sz w:val="20"/>
                <w:szCs w:val="20"/>
              </w:rPr>
              <w:fldChar w:fldCharType="separate"/>
            </w:r>
            <w:r w:rsidR="00783AA5" w:rsidRPr="005A505B">
              <w:rPr>
                <w:rFonts w:ascii="Arial" w:hAnsi="Arial" w:cs="Arial"/>
                <w:noProof/>
                <w:webHidden/>
                <w:sz w:val="20"/>
                <w:szCs w:val="20"/>
              </w:rPr>
              <w:t>46</w:t>
            </w:r>
            <w:r w:rsidRPr="005A505B">
              <w:rPr>
                <w:rFonts w:ascii="Arial" w:hAnsi="Arial" w:cs="Arial"/>
                <w:noProof/>
                <w:webHidden/>
                <w:sz w:val="20"/>
                <w:szCs w:val="20"/>
              </w:rPr>
              <w:fldChar w:fldCharType="end"/>
            </w:r>
          </w:hyperlink>
        </w:p>
        <w:p w:rsidR="00C50342" w:rsidRPr="005A505B" w:rsidRDefault="00013966" w:rsidP="005A505B">
          <w:pPr>
            <w:pStyle w:val="TOC1"/>
            <w:spacing w:line="240" w:lineRule="auto"/>
            <w:rPr>
              <w:rFonts w:ascii="Arial" w:eastAsiaTheme="minorEastAsia" w:hAnsi="Arial" w:cs="Arial"/>
              <w:b w:val="0"/>
              <w:sz w:val="20"/>
              <w:szCs w:val="20"/>
              <w:lang w:val="en-US"/>
            </w:rPr>
          </w:pPr>
          <w:hyperlink w:anchor="_Toc102119942" w:history="1">
            <w:r w:rsidR="00C50342" w:rsidRPr="005A505B">
              <w:rPr>
                <w:rStyle w:val="Hyperlink"/>
                <w:rFonts w:ascii="Arial" w:hAnsi="Arial" w:cs="Arial"/>
                <w:sz w:val="20"/>
                <w:szCs w:val="20"/>
                <w:lang w:val="en-US"/>
              </w:rPr>
              <w:t>5.</w:t>
            </w:r>
            <w:r w:rsidR="00C50342" w:rsidRPr="005A505B">
              <w:rPr>
                <w:rFonts w:ascii="Arial" w:eastAsiaTheme="minorEastAsia" w:hAnsi="Arial" w:cs="Arial"/>
                <w:b w:val="0"/>
                <w:sz w:val="20"/>
                <w:szCs w:val="20"/>
                <w:lang w:val="en-US"/>
              </w:rPr>
              <w:tab/>
            </w:r>
            <w:r w:rsidR="00C50342" w:rsidRPr="005A505B">
              <w:rPr>
                <w:rStyle w:val="Hyperlink"/>
                <w:rFonts w:ascii="Arial" w:hAnsi="Arial" w:cs="Arial"/>
                <w:sz w:val="20"/>
                <w:szCs w:val="20"/>
                <w:lang w:val="en-US"/>
              </w:rPr>
              <w:t>CONCLUSION</w:t>
            </w:r>
            <w:r w:rsidR="00C50342" w:rsidRPr="005A505B">
              <w:rPr>
                <w:rFonts w:ascii="Arial" w:hAnsi="Arial" w:cs="Arial"/>
                <w:webHidden/>
                <w:sz w:val="20"/>
                <w:szCs w:val="20"/>
              </w:rPr>
              <w:tab/>
            </w:r>
            <w:r w:rsidRPr="005A505B">
              <w:rPr>
                <w:rFonts w:ascii="Arial" w:hAnsi="Arial" w:cs="Arial"/>
                <w:webHidden/>
                <w:sz w:val="20"/>
                <w:szCs w:val="20"/>
              </w:rPr>
              <w:fldChar w:fldCharType="begin"/>
            </w:r>
            <w:r w:rsidR="00C50342" w:rsidRPr="005A505B">
              <w:rPr>
                <w:rFonts w:ascii="Arial" w:hAnsi="Arial" w:cs="Arial"/>
                <w:webHidden/>
                <w:sz w:val="20"/>
                <w:szCs w:val="20"/>
              </w:rPr>
              <w:instrText xml:space="preserve"> PAGEREF _Toc102119942 \h </w:instrText>
            </w:r>
            <w:r w:rsidRPr="005A505B">
              <w:rPr>
                <w:rFonts w:ascii="Arial" w:hAnsi="Arial" w:cs="Arial"/>
                <w:webHidden/>
                <w:sz w:val="20"/>
                <w:szCs w:val="20"/>
              </w:rPr>
            </w:r>
            <w:r w:rsidRPr="005A505B">
              <w:rPr>
                <w:rFonts w:ascii="Arial" w:hAnsi="Arial" w:cs="Arial"/>
                <w:webHidden/>
                <w:sz w:val="20"/>
                <w:szCs w:val="20"/>
              </w:rPr>
              <w:fldChar w:fldCharType="separate"/>
            </w:r>
            <w:r w:rsidR="00783AA5" w:rsidRPr="005A505B">
              <w:rPr>
                <w:rFonts w:ascii="Arial" w:hAnsi="Arial" w:cs="Arial"/>
                <w:webHidden/>
                <w:sz w:val="20"/>
                <w:szCs w:val="20"/>
              </w:rPr>
              <w:t>47</w:t>
            </w:r>
            <w:r w:rsidRPr="005A505B">
              <w:rPr>
                <w:rFonts w:ascii="Arial" w:hAnsi="Arial" w:cs="Arial"/>
                <w:webHidden/>
                <w:sz w:val="20"/>
                <w:szCs w:val="20"/>
              </w:rPr>
              <w:fldChar w:fldCharType="end"/>
            </w:r>
          </w:hyperlink>
        </w:p>
        <w:p w:rsidR="0088724B" w:rsidRPr="005A505B" w:rsidRDefault="00013966" w:rsidP="005A505B">
          <w:pPr>
            <w:rPr>
              <w:rFonts w:cs="Arial"/>
              <w:color w:val="auto"/>
              <w:sz w:val="20"/>
              <w:szCs w:val="20"/>
            </w:rPr>
          </w:pPr>
          <w:r w:rsidRPr="005A505B">
            <w:rPr>
              <w:rFonts w:cs="Arial"/>
              <w:b/>
              <w:bCs/>
              <w:noProof/>
              <w:color w:val="auto"/>
              <w:sz w:val="20"/>
              <w:szCs w:val="20"/>
            </w:rPr>
            <w:fldChar w:fldCharType="end"/>
          </w:r>
        </w:p>
      </w:sdtContent>
    </w:sdt>
    <w:p w:rsidR="0088724B" w:rsidRPr="005A505B" w:rsidRDefault="0088724B" w:rsidP="005A505B">
      <w:pPr>
        <w:jc w:val="both"/>
        <w:rPr>
          <w:rFonts w:cs="Arial"/>
          <w:b/>
          <w:color w:val="auto"/>
          <w:sz w:val="20"/>
          <w:szCs w:val="20"/>
          <w:lang w:val="en-US"/>
        </w:rPr>
      </w:pPr>
    </w:p>
    <w:p w:rsidR="00182E29" w:rsidRPr="005A505B" w:rsidRDefault="00182E29" w:rsidP="005A505B">
      <w:pPr>
        <w:jc w:val="both"/>
        <w:rPr>
          <w:rFonts w:cs="Arial"/>
          <w:b/>
          <w:color w:val="auto"/>
          <w:sz w:val="20"/>
          <w:szCs w:val="20"/>
          <w:lang w:val="en-US"/>
        </w:rPr>
      </w:pPr>
    </w:p>
    <w:p w:rsidR="00297CCB" w:rsidRPr="005A505B" w:rsidRDefault="00297CCB" w:rsidP="005A505B">
      <w:pPr>
        <w:jc w:val="both"/>
        <w:rPr>
          <w:rFonts w:cs="Arial"/>
          <w:b/>
          <w:color w:val="auto"/>
          <w:sz w:val="20"/>
          <w:szCs w:val="20"/>
          <w:lang w:val="en-US"/>
        </w:rPr>
      </w:pPr>
    </w:p>
    <w:p w:rsidR="00297CCB" w:rsidRPr="005A505B" w:rsidRDefault="00297CCB" w:rsidP="005A505B">
      <w:pPr>
        <w:jc w:val="both"/>
        <w:rPr>
          <w:rFonts w:cs="Arial"/>
          <w:b/>
          <w:color w:val="auto"/>
          <w:sz w:val="20"/>
          <w:szCs w:val="20"/>
          <w:lang w:val="en-US"/>
        </w:rPr>
      </w:pPr>
    </w:p>
    <w:p w:rsidR="00123BA0" w:rsidRPr="005A505B" w:rsidRDefault="000A67A7" w:rsidP="005A505B">
      <w:pPr>
        <w:jc w:val="both"/>
        <w:rPr>
          <w:rFonts w:cs="Arial"/>
          <w:b/>
          <w:color w:val="auto"/>
          <w:sz w:val="20"/>
          <w:szCs w:val="20"/>
          <w:lang w:val="en-US"/>
        </w:rPr>
      </w:pPr>
      <w:r w:rsidRPr="005A505B">
        <w:rPr>
          <w:rFonts w:cs="Arial"/>
          <w:b/>
          <w:color w:val="auto"/>
          <w:sz w:val="20"/>
          <w:szCs w:val="20"/>
          <w:lang w:val="en-US"/>
        </w:rPr>
        <w:t>Report of the Portfolio Committee on Health on Budget Vote 18: Health, Annual Performance Plan of the Department of Health</w:t>
      </w:r>
      <w:r w:rsidR="00B06EE1" w:rsidRPr="005A505B">
        <w:rPr>
          <w:rFonts w:cs="Arial"/>
          <w:b/>
          <w:color w:val="auto"/>
          <w:sz w:val="20"/>
          <w:szCs w:val="20"/>
          <w:lang w:val="en-US"/>
        </w:rPr>
        <w:t xml:space="preserve"> and its entities, </w:t>
      </w:r>
      <w:r w:rsidR="00880463" w:rsidRPr="005A505B">
        <w:rPr>
          <w:rFonts w:cs="Arial"/>
          <w:b/>
          <w:color w:val="auto"/>
          <w:sz w:val="20"/>
          <w:szCs w:val="20"/>
          <w:lang w:val="en-US"/>
        </w:rPr>
        <w:t xml:space="preserve">Dated, </w:t>
      </w:r>
      <w:r w:rsidR="009A6707" w:rsidRPr="005A505B">
        <w:rPr>
          <w:rFonts w:cs="Arial"/>
          <w:b/>
          <w:color w:val="auto"/>
          <w:sz w:val="20"/>
          <w:szCs w:val="20"/>
          <w:lang w:val="en-US"/>
        </w:rPr>
        <w:t>0</w:t>
      </w:r>
      <w:r w:rsidR="006C4110" w:rsidRPr="005A505B">
        <w:rPr>
          <w:rFonts w:cs="Arial"/>
          <w:b/>
          <w:color w:val="auto"/>
          <w:sz w:val="20"/>
          <w:szCs w:val="20"/>
          <w:lang w:val="en-US"/>
        </w:rPr>
        <w:t>4 May 2022</w:t>
      </w:r>
      <w:r w:rsidR="0002610D" w:rsidRPr="005A505B">
        <w:rPr>
          <w:rFonts w:cs="Arial"/>
          <w:b/>
          <w:color w:val="auto"/>
          <w:sz w:val="20"/>
          <w:szCs w:val="20"/>
          <w:lang w:val="en-US"/>
        </w:rPr>
        <w:t xml:space="preserve"> </w:t>
      </w:r>
    </w:p>
    <w:p w:rsidR="007D5F79" w:rsidRPr="005A505B" w:rsidRDefault="007D5F79" w:rsidP="005A505B">
      <w:pPr>
        <w:jc w:val="both"/>
        <w:rPr>
          <w:rFonts w:cs="Arial"/>
          <w:b/>
          <w:color w:val="auto"/>
          <w:sz w:val="20"/>
          <w:szCs w:val="20"/>
          <w:lang w:val="en-US"/>
        </w:rPr>
      </w:pPr>
    </w:p>
    <w:p w:rsidR="00190806" w:rsidRPr="005A505B" w:rsidRDefault="00FF5990" w:rsidP="005A505B">
      <w:pPr>
        <w:autoSpaceDE w:val="0"/>
        <w:autoSpaceDN w:val="0"/>
        <w:adjustRightInd w:val="0"/>
        <w:jc w:val="both"/>
        <w:rPr>
          <w:rFonts w:cs="Arial"/>
          <w:color w:val="auto"/>
          <w:sz w:val="20"/>
          <w:szCs w:val="20"/>
        </w:rPr>
      </w:pPr>
      <w:r w:rsidRPr="005A505B">
        <w:rPr>
          <w:rFonts w:cs="Arial"/>
          <w:color w:val="auto"/>
          <w:sz w:val="20"/>
          <w:szCs w:val="20"/>
        </w:rPr>
        <w:t>The Portfolio Committ</w:t>
      </w:r>
      <w:r w:rsidR="00613BB6" w:rsidRPr="005A505B">
        <w:rPr>
          <w:rFonts w:cs="Arial"/>
          <w:color w:val="auto"/>
          <w:sz w:val="20"/>
          <w:szCs w:val="20"/>
        </w:rPr>
        <w:t>ee on Health</w:t>
      </w:r>
      <w:r w:rsidR="00944228" w:rsidRPr="005A505B">
        <w:rPr>
          <w:rFonts w:cs="Arial"/>
          <w:color w:val="auto"/>
          <w:sz w:val="20"/>
          <w:szCs w:val="20"/>
        </w:rPr>
        <w:t xml:space="preserve"> (the Committee)</w:t>
      </w:r>
      <w:r w:rsidR="00613BB6" w:rsidRPr="005A505B">
        <w:rPr>
          <w:rFonts w:cs="Arial"/>
          <w:color w:val="auto"/>
          <w:sz w:val="20"/>
          <w:szCs w:val="20"/>
        </w:rPr>
        <w:t xml:space="preserve">, having considered </w:t>
      </w:r>
      <w:r w:rsidR="007D5F79" w:rsidRPr="005A505B">
        <w:rPr>
          <w:rFonts w:cs="Arial"/>
          <w:color w:val="auto"/>
          <w:sz w:val="20"/>
          <w:szCs w:val="20"/>
        </w:rPr>
        <w:t xml:space="preserve">Budget Vote </w:t>
      </w:r>
      <w:r w:rsidR="000A67A7" w:rsidRPr="005A505B">
        <w:rPr>
          <w:rFonts w:cs="Arial"/>
          <w:color w:val="auto"/>
          <w:sz w:val="20"/>
          <w:szCs w:val="20"/>
        </w:rPr>
        <w:t>18</w:t>
      </w:r>
      <w:r w:rsidR="007D5F79" w:rsidRPr="005A505B">
        <w:rPr>
          <w:rFonts w:cs="Arial"/>
          <w:color w:val="auto"/>
          <w:sz w:val="20"/>
          <w:szCs w:val="20"/>
        </w:rPr>
        <w:t xml:space="preserve">: Health, together with </w:t>
      </w:r>
      <w:r w:rsidR="00613BB6" w:rsidRPr="005A505B">
        <w:rPr>
          <w:rFonts w:cs="Arial"/>
          <w:color w:val="auto"/>
          <w:sz w:val="20"/>
          <w:szCs w:val="20"/>
        </w:rPr>
        <w:t xml:space="preserve">the </w:t>
      </w:r>
      <w:r w:rsidR="00B06EE1" w:rsidRPr="005A505B">
        <w:rPr>
          <w:rFonts w:cs="Arial"/>
          <w:color w:val="auto"/>
          <w:sz w:val="20"/>
          <w:szCs w:val="20"/>
        </w:rPr>
        <w:t>202</w:t>
      </w:r>
      <w:r w:rsidR="006C4110" w:rsidRPr="005A505B">
        <w:rPr>
          <w:rFonts w:cs="Arial"/>
          <w:color w:val="auto"/>
          <w:sz w:val="20"/>
          <w:szCs w:val="20"/>
        </w:rPr>
        <w:t xml:space="preserve">2/23 </w:t>
      </w:r>
      <w:r w:rsidRPr="005A505B">
        <w:rPr>
          <w:rFonts w:cs="Arial"/>
          <w:color w:val="auto"/>
          <w:sz w:val="20"/>
          <w:szCs w:val="20"/>
        </w:rPr>
        <w:t>Annual Performance Plan</w:t>
      </w:r>
      <w:r w:rsidR="00B06EE1" w:rsidRPr="005A505B">
        <w:rPr>
          <w:rFonts w:cs="Arial"/>
          <w:color w:val="auto"/>
          <w:sz w:val="20"/>
          <w:szCs w:val="20"/>
        </w:rPr>
        <w:t>s</w:t>
      </w:r>
      <w:r w:rsidR="00D86349" w:rsidRPr="005A505B">
        <w:rPr>
          <w:rFonts w:cs="Arial"/>
          <w:color w:val="auto"/>
          <w:sz w:val="20"/>
          <w:szCs w:val="20"/>
        </w:rPr>
        <w:t xml:space="preserve"> (APP</w:t>
      </w:r>
      <w:r w:rsidR="006C6A06" w:rsidRPr="005A505B">
        <w:rPr>
          <w:rFonts w:cs="Arial"/>
          <w:color w:val="auto"/>
          <w:sz w:val="20"/>
          <w:szCs w:val="20"/>
        </w:rPr>
        <w:t>s</w:t>
      </w:r>
      <w:r w:rsidR="00D86349" w:rsidRPr="005A505B">
        <w:rPr>
          <w:rFonts w:cs="Arial"/>
          <w:color w:val="auto"/>
          <w:sz w:val="20"/>
          <w:szCs w:val="20"/>
        </w:rPr>
        <w:t>)</w:t>
      </w:r>
      <w:r w:rsidRPr="005A505B">
        <w:rPr>
          <w:rFonts w:cs="Arial"/>
          <w:color w:val="auto"/>
          <w:sz w:val="20"/>
          <w:szCs w:val="20"/>
        </w:rPr>
        <w:t xml:space="preserve"> of the Department of Health</w:t>
      </w:r>
      <w:r w:rsidR="00B15F43" w:rsidRPr="005A505B">
        <w:rPr>
          <w:rFonts w:cs="Arial"/>
          <w:color w:val="auto"/>
          <w:sz w:val="20"/>
          <w:szCs w:val="20"/>
        </w:rPr>
        <w:t xml:space="preserve"> </w:t>
      </w:r>
      <w:r w:rsidR="00E342FE" w:rsidRPr="005A505B">
        <w:rPr>
          <w:rFonts w:cs="Arial"/>
          <w:color w:val="auto"/>
          <w:sz w:val="20"/>
          <w:szCs w:val="20"/>
        </w:rPr>
        <w:t>(the Department)</w:t>
      </w:r>
      <w:r w:rsidR="0088724B" w:rsidRPr="005A505B">
        <w:rPr>
          <w:rFonts w:cs="Arial"/>
          <w:color w:val="auto"/>
          <w:sz w:val="20"/>
          <w:szCs w:val="20"/>
        </w:rPr>
        <w:t xml:space="preserve"> </w:t>
      </w:r>
      <w:r w:rsidR="006C6A06" w:rsidRPr="005A505B">
        <w:rPr>
          <w:rFonts w:cs="Arial"/>
          <w:color w:val="auto"/>
          <w:sz w:val="20"/>
          <w:szCs w:val="20"/>
        </w:rPr>
        <w:t xml:space="preserve">and its entities, </w:t>
      </w:r>
      <w:r w:rsidR="0088724B" w:rsidRPr="005A505B">
        <w:rPr>
          <w:rFonts w:cs="Arial"/>
          <w:color w:val="auto"/>
          <w:sz w:val="20"/>
          <w:szCs w:val="20"/>
        </w:rPr>
        <w:t>the</w:t>
      </w:r>
      <w:r w:rsidRPr="005A505B">
        <w:rPr>
          <w:rFonts w:cs="Arial"/>
          <w:color w:val="auto"/>
          <w:sz w:val="20"/>
          <w:szCs w:val="20"/>
        </w:rPr>
        <w:t xml:space="preserve"> </w:t>
      </w:r>
      <w:r w:rsidR="00B06EE1" w:rsidRPr="005A505B">
        <w:rPr>
          <w:rFonts w:cs="Arial"/>
          <w:color w:val="auto"/>
          <w:sz w:val="20"/>
          <w:szCs w:val="20"/>
        </w:rPr>
        <w:t>Compensation Commissioner for Occupational Diseases (CCOD</w:t>
      </w:r>
      <w:r w:rsidR="0088724B" w:rsidRPr="005A505B">
        <w:rPr>
          <w:rFonts w:cs="Arial"/>
          <w:color w:val="auto"/>
          <w:sz w:val="20"/>
          <w:szCs w:val="20"/>
        </w:rPr>
        <w:t>)</w:t>
      </w:r>
      <w:r w:rsidR="00B06EE1" w:rsidRPr="005A505B">
        <w:rPr>
          <w:rFonts w:cs="Arial"/>
          <w:color w:val="auto"/>
          <w:sz w:val="20"/>
          <w:szCs w:val="20"/>
        </w:rPr>
        <w:t>,</w:t>
      </w:r>
      <w:r w:rsidR="0088724B" w:rsidRPr="005A505B">
        <w:rPr>
          <w:rFonts w:cs="Arial"/>
          <w:color w:val="auto"/>
          <w:sz w:val="20"/>
          <w:szCs w:val="20"/>
        </w:rPr>
        <w:t xml:space="preserve"> </w:t>
      </w:r>
      <w:r w:rsidR="006C4110" w:rsidRPr="005A505B">
        <w:rPr>
          <w:rFonts w:cs="Arial"/>
          <w:color w:val="auto"/>
          <w:sz w:val="20"/>
          <w:szCs w:val="20"/>
        </w:rPr>
        <w:t xml:space="preserve">Office of Health Standards Compliance (OHSC), National Health Laboratory Services (NHLS), South African Health Products Regulatory Authority (SAHPRA), </w:t>
      </w:r>
      <w:r w:rsidR="00B06EE1" w:rsidRPr="005A505B">
        <w:rPr>
          <w:rFonts w:cs="Arial"/>
          <w:color w:val="auto"/>
          <w:sz w:val="20"/>
          <w:szCs w:val="20"/>
        </w:rPr>
        <w:t xml:space="preserve"> Council for </w:t>
      </w:r>
      <w:r w:rsidR="006C4110" w:rsidRPr="005A505B">
        <w:rPr>
          <w:rFonts w:cs="Arial"/>
          <w:color w:val="auto"/>
          <w:sz w:val="20"/>
          <w:szCs w:val="20"/>
        </w:rPr>
        <w:t>Medical Schemes (CMS) and the South African Medical Research Council (SAMRC)</w:t>
      </w:r>
      <w:r w:rsidR="00950709" w:rsidRPr="005A505B">
        <w:rPr>
          <w:rFonts w:cs="Arial"/>
          <w:color w:val="auto"/>
          <w:sz w:val="20"/>
          <w:szCs w:val="20"/>
        </w:rPr>
        <w:t>,</w:t>
      </w:r>
      <w:r w:rsidR="006C4110" w:rsidRPr="005A505B">
        <w:rPr>
          <w:rFonts w:cs="Arial"/>
          <w:color w:val="auto"/>
          <w:sz w:val="20"/>
          <w:szCs w:val="20"/>
        </w:rPr>
        <w:t xml:space="preserve"> </w:t>
      </w:r>
      <w:r w:rsidRPr="005A505B">
        <w:rPr>
          <w:rFonts w:cs="Arial"/>
          <w:color w:val="auto"/>
          <w:sz w:val="20"/>
          <w:szCs w:val="20"/>
        </w:rPr>
        <w:t>reports as follows:</w:t>
      </w:r>
    </w:p>
    <w:p w:rsidR="008F0E4C" w:rsidRPr="005A505B" w:rsidRDefault="008F0E4C" w:rsidP="005A505B">
      <w:pPr>
        <w:autoSpaceDE w:val="0"/>
        <w:autoSpaceDN w:val="0"/>
        <w:adjustRightInd w:val="0"/>
        <w:jc w:val="both"/>
        <w:rPr>
          <w:rFonts w:cs="Arial"/>
          <w:color w:val="auto"/>
          <w:sz w:val="20"/>
          <w:szCs w:val="20"/>
        </w:rPr>
      </w:pPr>
    </w:p>
    <w:p w:rsidR="0088724B" w:rsidRPr="005A505B" w:rsidRDefault="0088724B" w:rsidP="005A505B">
      <w:pPr>
        <w:pStyle w:val="ListParagraph"/>
        <w:numPr>
          <w:ilvl w:val="0"/>
          <w:numId w:val="53"/>
        </w:numPr>
        <w:jc w:val="both"/>
        <w:outlineLvl w:val="0"/>
        <w:rPr>
          <w:rFonts w:cs="Arial"/>
          <w:b/>
          <w:caps/>
          <w:color w:val="auto"/>
          <w:sz w:val="20"/>
          <w:szCs w:val="20"/>
        </w:rPr>
      </w:pPr>
      <w:bookmarkStart w:id="1" w:name="_Toc22296688"/>
      <w:bookmarkStart w:id="2" w:name="_Toc57126132"/>
      <w:bookmarkStart w:id="3" w:name="_Toc102119839"/>
      <w:r w:rsidRPr="005A505B">
        <w:rPr>
          <w:rFonts w:cs="Arial"/>
          <w:b/>
          <w:color w:val="auto"/>
          <w:sz w:val="20"/>
          <w:szCs w:val="20"/>
        </w:rPr>
        <w:t>INTRODUCTION</w:t>
      </w:r>
      <w:bookmarkEnd w:id="1"/>
      <w:bookmarkEnd w:id="2"/>
      <w:bookmarkEnd w:id="3"/>
    </w:p>
    <w:p w:rsidR="00B74F4B" w:rsidRPr="005A505B" w:rsidRDefault="00B74F4B" w:rsidP="005A505B">
      <w:pPr>
        <w:pStyle w:val="ListParagraph"/>
        <w:autoSpaceDE w:val="0"/>
        <w:autoSpaceDN w:val="0"/>
        <w:adjustRightInd w:val="0"/>
        <w:ind w:left="0"/>
        <w:jc w:val="both"/>
        <w:rPr>
          <w:rFonts w:cs="Arial"/>
          <w:b/>
          <w:color w:val="auto"/>
          <w:sz w:val="20"/>
          <w:szCs w:val="20"/>
          <w:lang w:val="en-US"/>
        </w:rPr>
      </w:pPr>
    </w:p>
    <w:p w:rsidR="000A67A7" w:rsidRPr="005A505B" w:rsidRDefault="000A67A7" w:rsidP="005A505B">
      <w:pPr>
        <w:pStyle w:val="ListParagraph"/>
        <w:autoSpaceDE w:val="0"/>
        <w:autoSpaceDN w:val="0"/>
        <w:adjustRightInd w:val="0"/>
        <w:ind w:left="0"/>
        <w:jc w:val="both"/>
        <w:rPr>
          <w:rFonts w:cs="Arial"/>
          <w:color w:val="auto"/>
          <w:spacing w:val="0"/>
          <w:sz w:val="20"/>
          <w:szCs w:val="20"/>
          <w:lang w:val="en-ZA" w:eastAsia="en-ZA"/>
        </w:rPr>
      </w:pPr>
      <w:r w:rsidRPr="005A505B">
        <w:rPr>
          <w:rFonts w:cs="Arial"/>
          <w:color w:val="auto"/>
          <w:spacing w:val="0"/>
          <w:sz w:val="20"/>
          <w:szCs w:val="20"/>
          <w:lang w:val="en-ZA" w:eastAsia="en-ZA"/>
        </w:rPr>
        <w:t xml:space="preserve">Section 5(2) of the Constitution of South Africa and section 27(4) of the Public Finance Management Act (No.1 of 1999) sets out the role of Parliamentary committees in overseeing the performance of government departments and entities. Furthermore, the Money Bills Amendment Procedure and Related Matters Act (Act No. 9 of 2009), provides for </w:t>
      </w:r>
      <w:r w:rsidRPr="005A505B">
        <w:rPr>
          <w:rFonts w:cs="Arial"/>
          <w:color w:val="auto"/>
          <w:sz w:val="20"/>
          <w:szCs w:val="20"/>
        </w:rPr>
        <w:t xml:space="preserve">the National Assembly, through its </w:t>
      </w:r>
      <w:r w:rsidRPr="005A505B">
        <w:rPr>
          <w:rFonts w:cs="Arial"/>
          <w:color w:val="auto"/>
          <w:spacing w:val="0"/>
          <w:sz w:val="20"/>
          <w:szCs w:val="20"/>
          <w:lang w:val="en-ZA" w:eastAsia="en-ZA"/>
        </w:rPr>
        <w:t xml:space="preserve">committees to assess the budget votes of departments and entities with their respective strategic and annual performance plans. </w:t>
      </w:r>
    </w:p>
    <w:p w:rsidR="00C42DF1" w:rsidRPr="005A505B" w:rsidRDefault="00C42DF1" w:rsidP="005A505B">
      <w:pPr>
        <w:pStyle w:val="ListParagraph"/>
        <w:autoSpaceDE w:val="0"/>
        <w:autoSpaceDN w:val="0"/>
        <w:adjustRightInd w:val="0"/>
        <w:ind w:left="0"/>
        <w:jc w:val="both"/>
        <w:rPr>
          <w:rFonts w:cs="Arial"/>
          <w:color w:val="auto"/>
          <w:spacing w:val="0"/>
          <w:sz w:val="20"/>
          <w:szCs w:val="20"/>
          <w:lang w:val="en-ZA" w:eastAsia="en-ZA"/>
        </w:rPr>
      </w:pPr>
    </w:p>
    <w:p w:rsidR="00C42DF1" w:rsidRPr="005A505B" w:rsidRDefault="00C42DF1" w:rsidP="005A505B">
      <w:pPr>
        <w:pStyle w:val="Heading2"/>
        <w:numPr>
          <w:ilvl w:val="1"/>
          <w:numId w:val="6"/>
        </w:numPr>
        <w:jc w:val="both"/>
        <w:rPr>
          <w:b w:val="0"/>
          <w:i/>
          <w:color w:val="auto"/>
          <w:sz w:val="20"/>
          <w:szCs w:val="20"/>
        </w:rPr>
      </w:pPr>
      <w:bookmarkStart w:id="4" w:name="_Toc102119840"/>
      <w:r w:rsidRPr="005A505B">
        <w:rPr>
          <w:b w:val="0"/>
          <w:i/>
          <w:color w:val="auto"/>
          <w:sz w:val="20"/>
          <w:szCs w:val="20"/>
        </w:rPr>
        <w:t>Purpose of the report</w:t>
      </w:r>
      <w:bookmarkEnd w:id="4"/>
    </w:p>
    <w:p w:rsidR="00437A0B" w:rsidRPr="005A505B" w:rsidRDefault="00944228" w:rsidP="005A505B">
      <w:pPr>
        <w:jc w:val="both"/>
        <w:rPr>
          <w:rFonts w:cs="Arial"/>
          <w:color w:val="auto"/>
          <w:spacing w:val="0"/>
          <w:sz w:val="20"/>
          <w:szCs w:val="20"/>
          <w:lang w:val="en-ZA" w:eastAsia="en-ZA"/>
        </w:rPr>
      </w:pPr>
      <w:r w:rsidRPr="005A505B">
        <w:rPr>
          <w:rFonts w:cs="Arial"/>
          <w:color w:val="auto"/>
          <w:spacing w:val="0"/>
          <w:sz w:val="20"/>
          <w:szCs w:val="20"/>
          <w:lang w:val="en-ZA" w:eastAsia="en-ZA"/>
        </w:rPr>
        <w:t xml:space="preserve">This report </w:t>
      </w:r>
      <w:r w:rsidR="004A5F9C" w:rsidRPr="005A505B">
        <w:rPr>
          <w:rFonts w:cs="Arial"/>
          <w:color w:val="auto"/>
          <w:spacing w:val="0"/>
          <w:sz w:val="20"/>
          <w:szCs w:val="20"/>
          <w:lang w:val="en-ZA" w:eastAsia="en-ZA"/>
        </w:rPr>
        <w:t>summarises</w:t>
      </w:r>
      <w:r w:rsidRPr="005A505B">
        <w:rPr>
          <w:rFonts w:cs="Arial"/>
          <w:color w:val="auto"/>
          <w:spacing w:val="0"/>
          <w:sz w:val="20"/>
          <w:szCs w:val="20"/>
          <w:lang w:val="en-ZA" w:eastAsia="en-ZA"/>
        </w:rPr>
        <w:t xml:space="preserve"> </w:t>
      </w:r>
      <w:r w:rsidR="003A5B9F" w:rsidRPr="005A505B">
        <w:rPr>
          <w:rFonts w:cs="Arial"/>
          <w:color w:val="auto"/>
          <w:spacing w:val="0"/>
          <w:sz w:val="20"/>
          <w:szCs w:val="20"/>
          <w:lang w:val="en-ZA" w:eastAsia="en-ZA"/>
        </w:rPr>
        <w:t xml:space="preserve">the </w:t>
      </w:r>
      <w:r w:rsidR="00911EB3" w:rsidRPr="005A505B">
        <w:rPr>
          <w:rFonts w:cs="Arial"/>
          <w:color w:val="auto"/>
          <w:spacing w:val="0"/>
          <w:sz w:val="20"/>
          <w:szCs w:val="20"/>
          <w:lang w:val="en-ZA" w:eastAsia="en-ZA"/>
        </w:rPr>
        <w:t>presentation</w:t>
      </w:r>
      <w:r w:rsidR="003A5B9F" w:rsidRPr="005A505B">
        <w:rPr>
          <w:rFonts w:cs="Arial"/>
          <w:color w:val="auto"/>
          <w:spacing w:val="0"/>
          <w:sz w:val="20"/>
          <w:szCs w:val="20"/>
          <w:lang w:val="en-ZA" w:eastAsia="en-ZA"/>
        </w:rPr>
        <w:t>s</w:t>
      </w:r>
      <w:r w:rsidR="00911EB3" w:rsidRPr="005A505B">
        <w:rPr>
          <w:rFonts w:cs="Arial"/>
          <w:color w:val="auto"/>
          <w:spacing w:val="0"/>
          <w:sz w:val="20"/>
          <w:szCs w:val="20"/>
          <w:lang w:val="en-ZA" w:eastAsia="en-ZA"/>
        </w:rPr>
        <w:t xml:space="preserve"> </w:t>
      </w:r>
      <w:r w:rsidR="004A5F9C" w:rsidRPr="005A505B">
        <w:rPr>
          <w:rFonts w:cs="Arial"/>
          <w:color w:val="auto"/>
          <w:spacing w:val="0"/>
          <w:sz w:val="20"/>
          <w:szCs w:val="20"/>
          <w:lang w:val="en-ZA" w:eastAsia="en-ZA"/>
        </w:rPr>
        <w:t>received from</w:t>
      </w:r>
      <w:r w:rsidRPr="005A505B">
        <w:rPr>
          <w:rFonts w:cs="Arial"/>
          <w:color w:val="auto"/>
          <w:spacing w:val="0"/>
          <w:sz w:val="20"/>
          <w:szCs w:val="20"/>
          <w:lang w:val="en-ZA" w:eastAsia="en-ZA"/>
        </w:rPr>
        <w:t xml:space="preserve"> the Department</w:t>
      </w:r>
      <w:r w:rsidR="002F17EB" w:rsidRPr="005A505B">
        <w:rPr>
          <w:rFonts w:cs="Arial"/>
          <w:color w:val="auto"/>
          <w:spacing w:val="0"/>
          <w:sz w:val="20"/>
          <w:szCs w:val="20"/>
          <w:lang w:val="en-ZA" w:eastAsia="en-ZA"/>
        </w:rPr>
        <w:t xml:space="preserve"> </w:t>
      </w:r>
      <w:r w:rsidR="003A5B9F" w:rsidRPr="005A505B">
        <w:rPr>
          <w:rFonts w:cs="Arial"/>
          <w:color w:val="auto"/>
          <w:spacing w:val="0"/>
          <w:sz w:val="20"/>
          <w:szCs w:val="20"/>
          <w:lang w:val="en-ZA" w:eastAsia="en-ZA"/>
        </w:rPr>
        <w:t xml:space="preserve">of Health </w:t>
      </w:r>
      <w:r w:rsidR="002F17EB" w:rsidRPr="005A505B">
        <w:rPr>
          <w:rFonts w:cs="Arial"/>
          <w:color w:val="auto"/>
          <w:spacing w:val="0"/>
          <w:sz w:val="20"/>
          <w:szCs w:val="20"/>
          <w:lang w:val="en-ZA" w:eastAsia="en-ZA"/>
        </w:rPr>
        <w:t xml:space="preserve">and its </w:t>
      </w:r>
      <w:r w:rsidR="00E24FBC" w:rsidRPr="005A505B">
        <w:rPr>
          <w:rFonts w:cs="Arial"/>
          <w:color w:val="auto"/>
          <w:spacing w:val="0"/>
          <w:sz w:val="20"/>
          <w:szCs w:val="20"/>
          <w:lang w:val="en-ZA" w:eastAsia="en-ZA"/>
        </w:rPr>
        <w:t>entities</w:t>
      </w:r>
      <w:r w:rsidR="00B06EE1" w:rsidRPr="005A505B">
        <w:rPr>
          <w:rFonts w:cs="Arial"/>
          <w:color w:val="auto"/>
          <w:spacing w:val="0"/>
          <w:sz w:val="20"/>
          <w:szCs w:val="20"/>
          <w:lang w:val="en-ZA" w:eastAsia="en-ZA"/>
        </w:rPr>
        <w:t xml:space="preserve"> </w:t>
      </w:r>
      <w:r w:rsidR="00BA6445" w:rsidRPr="005A505B">
        <w:rPr>
          <w:rFonts w:cs="Arial"/>
          <w:color w:val="auto"/>
          <w:spacing w:val="0"/>
          <w:sz w:val="20"/>
          <w:szCs w:val="20"/>
          <w:lang w:val="en-ZA" w:eastAsia="en-ZA"/>
        </w:rPr>
        <w:t>focusing on</w:t>
      </w:r>
      <w:r w:rsidR="00E24FBC" w:rsidRPr="005A505B">
        <w:rPr>
          <w:rFonts w:cs="Arial"/>
          <w:color w:val="auto"/>
          <w:spacing w:val="0"/>
          <w:sz w:val="20"/>
          <w:szCs w:val="20"/>
          <w:lang w:val="en-ZA" w:eastAsia="en-ZA"/>
        </w:rPr>
        <w:t xml:space="preserve"> the</w:t>
      </w:r>
      <w:r w:rsidR="000A67A7" w:rsidRPr="005A505B">
        <w:rPr>
          <w:rFonts w:cs="Arial"/>
          <w:color w:val="auto"/>
          <w:spacing w:val="0"/>
          <w:sz w:val="20"/>
          <w:szCs w:val="20"/>
          <w:lang w:val="en-ZA" w:eastAsia="en-ZA"/>
        </w:rPr>
        <w:t xml:space="preserve"> </w:t>
      </w:r>
      <w:r w:rsidR="003A5B9F" w:rsidRPr="005A505B">
        <w:rPr>
          <w:rFonts w:cs="Arial"/>
          <w:color w:val="auto"/>
          <w:spacing w:val="0"/>
          <w:sz w:val="20"/>
          <w:szCs w:val="20"/>
          <w:lang w:val="en-ZA" w:eastAsia="en-ZA"/>
        </w:rPr>
        <w:t>2022</w:t>
      </w:r>
      <w:r w:rsidR="00E24FBC" w:rsidRPr="005A505B">
        <w:rPr>
          <w:rFonts w:cs="Arial"/>
          <w:color w:val="auto"/>
          <w:spacing w:val="0"/>
          <w:sz w:val="20"/>
          <w:szCs w:val="20"/>
          <w:lang w:val="en-ZA" w:eastAsia="en-ZA"/>
        </w:rPr>
        <w:t>/</w:t>
      </w:r>
      <w:r w:rsidR="003A5B9F" w:rsidRPr="005A505B">
        <w:rPr>
          <w:rFonts w:cs="Arial"/>
          <w:color w:val="auto"/>
          <w:spacing w:val="0"/>
          <w:sz w:val="20"/>
          <w:szCs w:val="20"/>
          <w:lang w:val="en-ZA" w:eastAsia="en-ZA"/>
        </w:rPr>
        <w:t xml:space="preserve">23 </w:t>
      </w:r>
      <w:r w:rsidR="00BA6445" w:rsidRPr="005A505B">
        <w:rPr>
          <w:rFonts w:cs="Arial"/>
          <w:color w:val="auto"/>
          <w:spacing w:val="0"/>
          <w:sz w:val="20"/>
          <w:szCs w:val="20"/>
          <w:lang w:val="en-ZA" w:eastAsia="en-ZA"/>
        </w:rPr>
        <w:t>Annual Performance Plan</w:t>
      </w:r>
      <w:r w:rsidR="003A5B9F" w:rsidRPr="005A505B">
        <w:rPr>
          <w:rFonts w:cs="Arial"/>
          <w:color w:val="auto"/>
          <w:spacing w:val="0"/>
          <w:sz w:val="20"/>
          <w:szCs w:val="20"/>
          <w:lang w:val="en-ZA" w:eastAsia="en-ZA"/>
        </w:rPr>
        <w:t>s</w:t>
      </w:r>
      <w:r w:rsidR="00C603D7" w:rsidRPr="005A505B">
        <w:rPr>
          <w:rFonts w:cs="Arial"/>
          <w:color w:val="auto"/>
          <w:spacing w:val="0"/>
          <w:sz w:val="20"/>
          <w:szCs w:val="20"/>
          <w:lang w:val="en-ZA" w:eastAsia="en-ZA"/>
        </w:rPr>
        <w:t xml:space="preserve"> and </w:t>
      </w:r>
      <w:r w:rsidR="003A5B9F" w:rsidRPr="005A505B">
        <w:rPr>
          <w:rFonts w:cs="Arial"/>
          <w:color w:val="auto"/>
          <w:spacing w:val="0"/>
          <w:sz w:val="20"/>
          <w:szCs w:val="20"/>
          <w:lang w:val="en-ZA" w:eastAsia="en-ZA"/>
        </w:rPr>
        <w:t xml:space="preserve">budgets </w:t>
      </w:r>
      <w:r w:rsidR="00FB0E7A" w:rsidRPr="005A505B">
        <w:rPr>
          <w:rFonts w:cs="Arial"/>
          <w:color w:val="auto"/>
          <w:spacing w:val="0"/>
          <w:sz w:val="20"/>
          <w:szCs w:val="20"/>
          <w:lang w:val="en-ZA" w:eastAsia="en-ZA"/>
        </w:rPr>
        <w:t>as well as</w:t>
      </w:r>
      <w:r w:rsidR="00651B61" w:rsidRPr="005A505B">
        <w:rPr>
          <w:rFonts w:cs="Arial"/>
          <w:color w:val="auto"/>
          <w:spacing w:val="0"/>
          <w:sz w:val="20"/>
          <w:szCs w:val="20"/>
          <w:lang w:val="en-ZA" w:eastAsia="en-ZA"/>
        </w:rPr>
        <w:t xml:space="preserve"> </w:t>
      </w:r>
      <w:r w:rsidR="00853799" w:rsidRPr="005A505B">
        <w:rPr>
          <w:rFonts w:cs="Arial"/>
          <w:color w:val="auto"/>
          <w:spacing w:val="0"/>
          <w:sz w:val="20"/>
          <w:szCs w:val="20"/>
          <w:lang w:val="en-ZA" w:eastAsia="en-ZA"/>
        </w:rPr>
        <w:t>allocations</w:t>
      </w:r>
      <w:r w:rsidR="00DD204F" w:rsidRPr="005A505B">
        <w:rPr>
          <w:rFonts w:cs="Arial"/>
          <w:color w:val="auto"/>
          <w:spacing w:val="0"/>
          <w:sz w:val="20"/>
          <w:szCs w:val="20"/>
          <w:lang w:val="en-ZA" w:eastAsia="en-ZA"/>
        </w:rPr>
        <w:t xml:space="preserve"> </w:t>
      </w:r>
      <w:r w:rsidR="001A0F11" w:rsidRPr="005A505B">
        <w:rPr>
          <w:rFonts w:cs="Arial"/>
          <w:color w:val="auto"/>
          <w:spacing w:val="0"/>
          <w:sz w:val="20"/>
          <w:szCs w:val="20"/>
          <w:lang w:val="en-ZA" w:eastAsia="en-ZA"/>
        </w:rPr>
        <w:t>over the</w:t>
      </w:r>
      <w:r w:rsidR="004A5F9C" w:rsidRPr="005A505B">
        <w:rPr>
          <w:rFonts w:cs="Arial"/>
          <w:color w:val="auto"/>
          <w:spacing w:val="0"/>
          <w:sz w:val="20"/>
          <w:szCs w:val="20"/>
          <w:lang w:val="en-ZA" w:eastAsia="en-ZA"/>
        </w:rPr>
        <w:t xml:space="preserve"> </w:t>
      </w:r>
      <w:r w:rsidR="000A67A7" w:rsidRPr="005A505B">
        <w:rPr>
          <w:rFonts w:cs="Arial"/>
          <w:color w:val="auto"/>
          <w:spacing w:val="0"/>
          <w:sz w:val="20"/>
          <w:szCs w:val="20"/>
          <w:lang w:val="en-ZA" w:eastAsia="en-ZA"/>
        </w:rPr>
        <w:lastRenderedPageBreak/>
        <w:t>medium-term expenditure framework (</w:t>
      </w:r>
      <w:r w:rsidR="00BA6445" w:rsidRPr="005A505B">
        <w:rPr>
          <w:rFonts w:cs="Arial"/>
          <w:color w:val="auto"/>
          <w:spacing w:val="0"/>
          <w:sz w:val="20"/>
          <w:szCs w:val="20"/>
          <w:lang w:val="en-ZA" w:eastAsia="en-ZA"/>
        </w:rPr>
        <w:t>MTE</w:t>
      </w:r>
      <w:r w:rsidR="007F2328" w:rsidRPr="005A505B">
        <w:rPr>
          <w:rFonts w:cs="Arial"/>
          <w:color w:val="auto"/>
          <w:spacing w:val="0"/>
          <w:sz w:val="20"/>
          <w:szCs w:val="20"/>
          <w:lang w:val="en-ZA" w:eastAsia="en-ZA"/>
        </w:rPr>
        <w:t>F</w:t>
      </w:r>
      <w:r w:rsidR="000A67A7" w:rsidRPr="005A505B">
        <w:rPr>
          <w:rFonts w:cs="Arial"/>
          <w:color w:val="auto"/>
          <w:spacing w:val="0"/>
          <w:sz w:val="20"/>
          <w:szCs w:val="20"/>
          <w:lang w:val="en-ZA" w:eastAsia="en-ZA"/>
        </w:rPr>
        <w:t>) period</w:t>
      </w:r>
      <w:r w:rsidR="00BA6445" w:rsidRPr="005A505B">
        <w:rPr>
          <w:rFonts w:cs="Arial"/>
          <w:color w:val="auto"/>
          <w:spacing w:val="0"/>
          <w:sz w:val="20"/>
          <w:szCs w:val="20"/>
          <w:lang w:val="en-ZA" w:eastAsia="en-ZA"/>
        </w:rPr>
        <w:t>.</w:t>
      </w:r>
      <w:r w:rsidR="00E24FBC" w:rsidRPr="005A505B">
        <w:rPr>
          <w:rFonts w:cs="Arial"/>
          <w:color w:val="auto"/>
          <w:spacing w:val="0"/>
          <w:sz w:val="20"/>
          <w:szCs w:val="20"/>
          <w:lang w:val="en-ZA" w:eastAsia="en-ZA"/>
        </w:rPr>
        <w:t xml:space="preserve"> The Committee further received </w:t>
      </w:r>
      <w:r w:rsidR="003A5B9F" w:rsidRPr="005A505B">
        <w:rPr>
          <w:rFonts w:cs="Arial"/>
          <w:color w:val="auto"/>
          <w:spacing w:val="0"/>
          <w:sz w:val="20"/>
          <w:szCs w:val="20"/>
          <w:lang w:val="en-ZA" w:eastAsia="en-ZA"/>
        </w:rPr>
        <w:t xml:space="preserve">reports </w:t>
      </w:r>
      <w:r w:rsidR="0084348F" w:rsidRPr="005A505B">
        <w:rPr>
          <w:rFonts w:cs="Arial"/>
          <w:color w:val="auto"/>
          <w:spacing w:val="0"/>
          <w:sz w:val="20"/>
          <w:szCs w:val="20"/>
          <w:lang w:val="en-ZA" w:eastAsia="en-ZA"/>
        </w:rPr>
        <w:t>from the Auditor-General South Africa (AGSA</w:t>
      </w:r>
      <w:r w:rsidR="00923BD1" w:rsidRPr="005A505B">
        <w:rPr>
          <w:rFonts w:cs="Arial"/>
          <w:color w:val="auto"/>
          <w:spacing w:val="0"/>
          <w:sz w:val="20"/>
          <w:szCs w:val="20"/>
          <w:lang w:val="en-ZA" w:eastAsia="en-ZA"/>
        </w:rPr>
        <w:t>)</w:t>
      </w:r>
      <w:r w:rsidR="003A5B9F" w:rsidRPr="005A505B">
        <w:rPr>
          <w:rFonts w:cs="Arial"/>
          <w:color w:val="auto"/>
          <w:spacing w:val="0"/>
          <w:sz w:val="20"/>
          <w:szCs w:val="20"/>
          <w:lang w:val="en-ZA" w:eastAsia="en-ZA"/>
        </w:rPr>
        <w:t xml:space="preserve"> on its review of the 2022/23 health sector APPs</w:t>
      </w:r>
      <w:r w:rsidR="004379DD" w:rsidRPr="005A505B">
        <w:rPr>
          <w:rFonts w:cs="Arial"/>
          <w:color w:val="auto"/>
          <w:spacing w:val="0"/>
          <w:sz w:val="20"/>
          <w:szCs w:val="20"/>
          <w:lang w:val="en-ZA" w:eastAsia="en-ZA"/>
        </w:rPr>
        <w:t>, health sector audit outcomes and the COVID-19 vaccine</w:t>
      </w:r>
      <w:r w:rsidR="00A654FD" w:rsidRPr="005A505B">
        <w:rPr>
          <w:rFonts w:cs="Arial"/>
          <w:color w:val="auto"/>
          <w:spacing w:val="0"/>
          <w:sz w:val="20"/>
          <w:szCs w:val="20"/>
          <w:lang w:val="en-ZA" w:eastAsia="en-ZA"/>
        </w:rPr>
        <w:t xml:space="preserve"> </w:t>
      </w:r>
      <w:r w:rsidR="00125DE2" w:rsidRPr="005A505B">
        <w:rPr>
          <w:rFonts w:cs="Arial"/>
          <w:color w:val="auto"/>
          <w:spacing w:val="0"/>
          <w:sz w:val="20"/>
          <w:szCs w:val="20"/>
          <w:lang w:val="en-ZA" w:eastAsia="en-ZA"/>
        </w:rPr>
        <w:t xml:space="preserve">programme </w:t>
      </w:r>
      <w:r w:rsidR="00A654FD" w:rsidRPr="005A505B">
        <w:rPr>
          <w:rFonts w:cs="Arial"/>
          <w:color w:val="auto"/>
          <w:spacing w:val="0"/>
          <w:sz w:val="20"/>
          <w:szCs w:val="20"/>
          <w:lang w:val="en-ZA" w:eastAsia="en-ZA"/>
        </w:rPr>
        <w:t>special</w:t>
      </w:r>
      <w:r w:rsidR="004379DD" w:rsidRPr="005A505B">
        <w:rPr>
          <w:rFonts w:cs="Arial"/>
          <w:color w:val="auto"/>
          <w:spacing w:val="0"/>
          <w:sz w:val="20"/>
          <w:szCs w:val="20"/>
          <w:lang w:val="en-ZA" w:eastAsia="en-ZA"/>
        </w:rPr>
        <w:t xml:space="preserve"> audit report</w:t>
      </w:r>
      <w:r w:rsidR="00923BD1" w:rsidRPr="005A505B">
        <w:rPr>
          <w:rFonts w:cs="Arial"/>
          <w:color w:val="auto"/>
          <w:spacing w:val="0"/>
          <w:sz w:val="20"/>
          <w:szCs w:val="20"/>
          <w:lang w:val="en-ZA" w:eastAsia="en-ZA"/>
        </w:rPr>
        <w:t xml:space="preserve">. </w:t>
      </w:r>
      <w:r w:rsidR="003A5B9F" w:rsidRPr="005A505B">
        <w:rPr>
          <w:rFonts w:cs="Arial"/>
          <w:color w:val="auto"/>
          <w:spacing w:val="0"/>
          <w:sz w:val="20"/>
          <w:szCs w:val="20"/>
          <w:lang w:val="en-ZA" w:eastAsia="en-ZA"/>
        </w:rPr>
        <w:t xml:space="preserve">This </w:t>
      </w:r>
      <w:r w:rsidR="00C3399F" w:rsidRPr="005A505B">
        <w:rPr>
          <w:rFonts w:cs="Arial"/>
          <w:color w:val="auto"/>
          <w:spacing w:val="0"/>
          <w:sz w:val="20"/>
          <w:szCs w:val="20"/>
          <w:lang w:val="en-ZA" w:eastAsia="en-ZA"/>
        </w:rPr>
        <w:t>report details the deliberations</w:t>
      </w:r>
      <w:r w:rsidR="00963AE7" w:rsidRPr="005A505B">
        <w:rPr>
          <w:rFonts w:cs="Arial"/>
          <w:color w:val="auto"/>
          <w:spacing w:val="0"/>
          <w:sz w:val="20"/>
          <w:szCs w:val="20"/>
          <w:lang w:val="en-ZA" w:eastAsia="en-ZA"/>
        </w:rPr>
        <w:t xml:space="preserve">, </w:t>
      </w:r>
      <w:r w:rsidR="00F109D6" w:rsidRPr="005A505B">
        <w:rPr>
          <w:rFonts w:cs="Arial"/>
          <w:color w:val="auto"/>
          <w:spacing w:val="0"/>
          <w:sz w:val="20"/>
          <w:szCs w:val="20"/>
          <w:lang w:val="en-ZA" w:eastAsia="en-ZA"/>
        </w:rPr>
        <w:t xml:space="preserve">observations </w:t>
      </w:r>
      <w:r w:rsidR="00C3399F" w:rsidRPr="005A505B">
        <w:rPr>
          <w:rFonts w:cs="Arial"/>
          <w:color w:val="auto"/>
          <w:spacing w:val="0"/>
          <w:sz w:val="20"/>
          <w:szCs w:val="20"/>
          <w:lang w:val="en-ZA" w:eastAsia="en-ZA"/>
        </w:rPr>
        <w:t>and recommendations ma</w:t>
      </w:r>
      <w:r w:rsidR="0084348F" w:rsidRPr="005A505B">
        <w:rPr>
          <w:rFonts w:cs="Arial"/>
          <w:color w:val="auto"/>
          <w:spacing w:val="0"/>
          <w:sz w:val="20"/>
          <w:szCs w:val="20"/>
          <w:lang w:val="en-ZA" w:eastAsia="en-ZA"/>
        </w:rPr>
        <w:t xml:space="preserve">de by the Committee relating to </w:t>
      </w:r>
      <w:r w:rsidR="00C3399F" w:rsidRPr="005A505B">
        <w:rPr>
          <w:rFonts w:cs="Arial"/>
          <w:color w:val="auto"/>
          <w:spacing w:val="0"/>
          <w:sz w:val="20"/>
          <w:szCs w:val="20"/>
          <w:lang w:val="en-ZA" w:eastAsia="en-ZA"/>
        </w:rPr>
        <w:t>V</w:t>
      </w:r>
      <w:r w:rsidR="00BA6445" w:rsidRPr="005A505B">
        <w:rPr>
          <w:rFonts w:cs="Arial"/>
          <w:color w:val="auto"/>
          <w:spacing w:val="0"/>
          <w:sz w:val="20"/>
          <w:szCs w:val="20"/>
          <w:lang w:val="en-ZA" w:eastAsia="en-ZA"/>
        </w:rPr>
        <w:t>ote</w:t>
      </w:r>
      <w:r w:rsidR="00C3399F" w:rsidRPr="005A505B">
        <w:rPr>
          <w:rFonts w:cs="Arial"/>
          <w:color w:val="auto"/>
          <w:spacing w:val="0"/>
          <w:sz w:val="20"/>
          <w:szCs w:val="20"/>
          <w:lang w:val="en-ZA" w:eastAsia="en-ZA"/>
        </w:rPr>
        <w:t xml:space="preserve"> </w:t>
      </w:r>
      <w:r w:rsidR="000A67A7" w:rsidRPr="005A505B">
        <w:rPr>
          <w:rFonts w:cs="Arial"/>
          <w:color w:val="auto"/>
          <w:spacing w:val="0"/>
          <w:sz w:val="20"/>
          <w:szCs w:val="20"/>
          <w:lang w:val="en-ZA" w:eastAsia="en-ZA"/>
        </w:rPr>
        <w:t>18</w:t>
      </w:r>
      <w:r w:rsidR="00BA10A2" w:rsidRPr="005A505B">
        <w:rPr>
          <w:rFonts w:cs="Arial"/>
          <w:color w:val="auto"/>
          <w:spacing w:val="0"/>
          <w:sz w:val="20"/>
          <w:szCs w:val="20"/>
          <w:lang w:val="en-ZA" w:eastAsia="en-ZA"/>
        </w:rPr>
        <w:t xml:space="preserve">.  </w:t>
      </w:r>
    </w:p>
    <w:p w:rsidR="00490DF5" w:rsidRPr="005A505B" w:rsidRDefault="00490DF5" w:rsidP="005A505B">
      <w:pPr>
        <w:jc w:val="both"/>
        <w:rPr>
          <w:rFonts w:cs="Arial"/>
          <w:color w:val="auto"/>
          <w:spacing w:val="0"/>
          <w:sz w:val="20"/>
          <w:szCs w:val="20"/>
          <w:lang w:val="en-ZA" w:eastAsia="en-ZA"/>
        </w:rPr>
      </w:pPr>
    </w:p>
    <w:p w:rsidR="00C42DF1" w:rsidRPr="005A505B" w:rsidRDefault="00C42DF1" w:rsidP="005A505B">
      <w:pPr>
        <w:pStyle w:val="Heading2"/>
        <w:numPr>
          <w:ilvl w:val="1"/>
          <w:numId w:val="6"/>
        </w:numPr>
        <w:jc w:val="both"/>
        <w:rPr>
          <w:b w:val="0"/>
          <w:i/>
          <w:color w:val="auto"/>
          <w:sz w:val="20"/>
          <w:szCs w:val="20"/>
        </w:rPr>
      </w:pPr>
      <w:bookmarkStart w:id="5" w:name="_Toc101969170"/>
      <w:bookmarkStart w:id="6" w:name="_Toc102064470"/>
      <w:bookmarkStart w:id="7" w:name="_Toc102119737"/>
      <w:bookmarkStart w:id="8" w:name="_Toc102119841"/>
      <w:bookmarkStart w:id="9" w:name="_Toc102119842"/>
      <w:bookmarkEnd w:id="5"/>
      <w:bookmarkEnd w:id="6"/>
      <w:bookmarkEnd w:id="7"/>
      <w:bookmarkEnd w:id="8"/>
      <w:r w:rsidRPr="005A505B">
        <w:rPr>
          <w:b w:val="0"/>
          <w:i/>
          <w:color w:val="auto"/>
          <w:sz w:val="20"/>
          <w:szCs w:val="20"/>
        </w:rPr>
        <w:t>Process</w:t>
      </w:r>
      <w:bookmarkEnd w:id="9"/>
    </w:p>
    <w:p w:rsidR="004C0D91" w:rsidRPr="005A505B" w:rsidRDefault="00BA10A2" w:rsidP="005A505B">
      <w:pPr>
        <w:jc w:val="both"/>
        <w:rPr>
          <w:rFonts w:cs="Arial"/>
          <w:color w:val="auto"/>
          <w:sz w:val="20"/>
          <w:szCs w:val="20"/>
          <w:lang w:val="en-US"/>
        </w:rPr>
      </w:pPr>
      <w:r w:rsidRPr="005A505B">
        <w:rPr>
          <w:rFonts w:cs="Arial"/>
          <w:color w:val="auto"/>
          <w:sz w:val="20"/>
          <w:szCs w:val="20"/>
          <w:lang w:val="en-US"/>
        </w:rPr>
        <w:t>On</w:t>
      </w:r>
      <w:r w:rsidR="00923BD1" w:rsidRPr="005A505B">
        <w:rPr>
          <w:rFonts w:cs="Arial"/>
          <w:color w:val="auto"/>
          <w:sz w:val="20"/>
          <w:szCs w:val="20"/>
          <w:lang w:val="en-US"/>
        </w:rPr>
        <w:t xml:space="preserve"> </w:t>
      </w:r>
      <w:r w:rsidR="003A5B9F" w:rsidRPr="005A505B">
        <w:rPr>
          <w:rFonts w:cs="Arial"/>
          <w:color w:val="auto"/>
          <w:sz w:val="20"/>
          <w:szCs w:val="20"/>
          <w:lang w:val="en-US"/>
        </w:rPr>
        <w:t xml:space="preserve">29 March </w:t>
      </w:r>
      <w:r w:rsidR="006C4110" w:rsidRPr="005A505B">
        <w:rPr>
          <w:rFonts w:cs="Arial"/>
          <w:color w:val="auto"/>
          <w:sz w:val="20"/>
          <w:szCs w:val="20"/>
          <w:lang w:val="en-US"/>
        </w:rPr>
        <w:t>to 22 April 2022</w:t>
      </w:r>
      <w:r w:rsidR="00923BD1" w:rsidRPr="005A505B">
        <w:rPr>
          <w:rFonts w:cs="Arial"/>
          <w:color w:val="auto"/>
          <w:sz w:val="20"/>
          <w:szCs w:val="20"/>
          <w:lang w:val="en-US"/>
        </w:rPr>
        <w:t>, t</w:t>
      </w:r>
      <w:r w:rsidR="007832A3" w:rsidRPr="005A505B">
        <w:rPr>
          <w:rFonts w:cs="Arial"/>
          <w:color w:val="auto"/>
          <w:sz w:val="20"/>
          <w:szCs w:val="20"/>
          <w:lang w:val="en-US"/>
        </w:rPr>
        <w:t xml:space="preserve">he Portfolio Committee on Health engaged the </w:t>
      </w:r>
      <w:r w:rsidR="000C551E" w:rsidRPr="005A505B">
        <w:rPr>
          <w:rFonts w:cs="Arial"/>
          <w:color w:val="auto"/>
          <w:sz w:val="20"/>
          <w:szCs w:val="20"/>
          <w:lang w:val="en-US"/>
        </w:rPr>
        <w:t>Department</w:t>
      </w:r>
      <w:r w:rsidRPr="005A505B">
        <w:rPr>
          <w:rFonts w:cs="Arial"/>
          <w:color w:val="auto"/>
          <w:sz w:val="20"/>
          <w:szCs w:val="20"/>
          <w:lang w:val="en-US"/>
        </w:rPr>
        <w:t xml:space="preserve"> </w:t>
      </w:r>
      <w:r w:rsidR="00923BD1" w:rsidRPr="005A505B">
        <w:rPr>
          <w:rFonts w:cs="Arial"/>
          <w:color w:val="auto"/>
          <w:sz w:val="20"/>
          <w:szCs w:val="20"/>
          <w:lang w:val="en-US"/>
        </w:rPr>
        <w:t xml:space="preserve">and </w:t>
      </w:r>
      <w:r w:rsidR="00437A0B" w:rsidRPr="005A505B">
        <w:rPr>
          <w:rFonts w:cs="Arial"/>
          <w:color w:val="auto"/>
          <w:sz w:val="20"/>
          <w:szCs w:val="20"/>
          <w:lang w:val="en-US"/>
        </w:rPr>
        <w:t>its</w:t>
      </w:r>
      <w:r w:rsidR="007832A3" w:rsidRPr="005A505B">
        <w:rPr>
          <w:rFonts w:cs="Arial"/>
          <w:color w:val="auto"/>
          <w:sz w:val="20"/>
          <w:szCs w:val="20"/>
          <w:lang w:val="en-US"/>
        </w:rPr>
        <w:t xml:space="preserve"> </w:t>
      </w:r>
      <w:r w:rsidR="00923BD1" w:rsidRPr="005A505B">
        <w:rPr>
          <w:rFonts w:cs="Arial"/>
          <w:color w:val="auto"/>
          <w:sz w:val="20"/>
          <w:szCs w:val="20"/>
          <w:lang w:val="en-US"/>
        </w:rPr>
        <w:t xml:space="preserve">entities on their </w:t>
      </w:r>
      <w:r w:rsidR="00F360B0" w:rsidRPr="005A505B">
        <w:rPr>
          <w:rFonts w:cs="Arial"/>
          <w:color w:val="auto"/>
          <w:sz w:val="20"/>
          <w:szCs w:val="20"/>
          <w:lang w:val="en-US"/>
        </w:rPr>
        <w:t>A</w:t>
      </w:r>
      <w:r w:rsidR="000C551E" w:rsidRPr="005A505B">
        <w:rPr>
          <w:rFonts w:cs="Arial"/>
          <w:color w:val="auto"/>
          <w:sz w:val="20"/>
          <w:szCs w:val="20"/>
          <w:lang w:val="en-US"/>
        </w:rPr>
        <w:t xml:space="preserve">nnual </w:t>
      </w:r>
      <w:r w:rsidR="00F360B0" w:rsidRPr="005A505B">
        <w:rPr>
          <w:rFonts w:cs="Arial"/>
          <w:color w:val="auto"/>
          <w:sz w:val="20"/>
          <w:szCs w:val="20"/>
          <w:lang w:val="en-US"/>
        </w:rPr>
        <w:t>P</w:t>
      </w:r>
      <w:r w:rsidR="000C551E" w:rsidRPr="005A505B">
        <w:rPr>
          <w:rFonts w:cs="Arial"/>
          <w:color w:val="auto"/>
          <w:sz w:val="20"/>
          <w:szCs w:val="20"/>
          <w:lang w:val="en-US"/>
        </w:rPr>
        <w:t xml:space="preserve">erformance </w:t>
      </w:r>
      <w:r w:rsidR="00F360B0" w:rsidRPr="005A505B">
        <w:rPr>
          <w:rFonts w:cs="Arial"/>
          <w:color w:val="auto"/>
          <w:sz w:val="20"/>
          <w:szCs w:val="20"/>
          <w:lang w:val="en-US"/>
        </w:rPr>
        <w:t>P</w:t>
      </w:r>
      <w:r w:rsidR="000C551E" w:rsidRPr="005A505B">
        <w:rPr>
          <w:rFonts w:cs="Arial"/>
          <w:color w:val="auto"/>
          <w:sz w:val="20"/>
          <w:szCs w:val="20"/>
          <w:lang w:val="en-US"/>
        </w:rPr>
        <w:t>lan</w:t>
      </w:r>
      <w:r w:rsidR="00923BD1" w:rsidRPr="005A505B">
        <w:rPr>
          <w:rFonts w:cs="Arial"/>
          <w:color w:val="auto"/>
          <w:sz w:val="20"/>
          <w:szCs w:val="20"/>
          <w:lang w:val="en-US"/>
        </w:rPr>
        <w:t>s</w:t>
      </w:r>
      <w:r w:rsidR="000C551E" w:rsidRPr="005A505B">
        <w:rPr>
          <w:rFonts w:cs="Arial"/>
          <w:color w:val="auto"/>
          <w:sz w:val="20"/>
          <w:szCs w:val="20"/>
          <w:lang w:val="en-US"/>
        </w:rPr>
        <w:t xml:space="preserve"> and budget</w:t>
      </w:r>
      <w:r w:rsidR="002F17EB" w:rsidRPr="005A505B">
        <w:rPr>
          <w:rFonts w:cs="Arial"/>
          <w:color w:val="auto"/>
          <w:sz w:val="20"/>
          <w:szCs w:val="20"/>
          <w:lang w:val="en-US"/>
        </w:rPr>
        <w:t>s</w:t>
      </w:r>
      <w:r w:rsidR="000C551E" w:rsidRPr="005A505B">
        <w:rPr>
          <w:rFonts w:cs="Arial"/>
          <w:color w:val="auto"/>
          <w:sz w:val="20"/>
          <w:szCs w:val="20"/>
          <w:lang w:val="en-US"/>
        </w:rPr>
        <w:t xml:space="preserve"> </w:t>
      </w:r>
      <w:r w:rsidR="007832A3" w:rsidRPr="005A505B">
        <w:rPr>
          <w:rFonts w:cs="Arial"/>
          <w:color w:val="auto"/>
          <w:sz w:val="20"/>
          <w:szCs w:val="20"/>
          <w:lang w:val="en-US"/>
        </w:rPr>
        <w:t>for 202</w:t>
      </w:r>
      <w:r w:rsidR="006C4110" w:rsidRPr="005A505B">
        <w:rPr>
          <w:rFonts w:cs="Arial"/>
          <w:color w:val="auto"/>
          <w:sz w:val="20"/>
          <w:szCs w:val="20"/>
          <w:lang w:val="en-US"/>
        </w:rPr>
        <w:t>2/23</w:t>
      </w:r>
      <w:r w:rsidR="002F17EB" w:rsidRPr="005A505B">
        <w:rPr>
          <w:rFonts w:cs="Arial"/>
          <w:color w:val="auto"/>
          <w:sz w:val="20"/>
          <w:szCs w:val="20"/>
          <w:lang w:val="en-US"/>
        </w:rPr>
        <w:t>.</w:t>
      </w:r>
      <w:r w:rsidR="000C551E" w:rsidRPr="005A505B">
        <w:rPr>
          <w:rFonts w:cs="Arial"/>
          <w:color w:val="auto"/>
          <w:sz w:val="20"/>
          <w:szCs w:val="20"/>
          <w:lang w:val="en-US"/>
        </w:rPr>
        <w:t xml:space="preserve">  </w:t>
      </w:r>
      <w:r w:rsidR="006F5D72" w:rsidRPr="005A505B">
        <w:rPr>
          <w:rFonts w:cs="Arial"/>
          <w:color w:val="auto"/>
          <w:sz w:val="20"/>
          <w:szCs w:val="20"/>
          <w:lang w:val="en-US"/>
        </w:rPr>
        <w:t xml:space="preserve"> </w:t>
      </w:r>
    </w:p>
    <w:p w:rsidR="006C4110" w:rsidRPr="005A505B" w:rsidRDefault="006C4110" w:rsidP="005A505B">
      <w:pPr>
        <w:jc w:val="both"/>
        <w:rPr>
          <w:rFonts w:cs="Arial"/>
          <w:color w:val="auto"/>
          <w:sz w:val="20"/>
          <w:szCs w:val="20"/>
          <w:lang w:val="en-US"/>
        </w:rPr>
      </w:pPr>
    </w:p>
    <w:p w:rsidR="006C4110" w:rsidRPr="005A505B" w:rsidRDefault="006C4110" w:rsidP="005A505B">
      <w:pPr>
        <w:jc w:val="both"/>
        <w:rPr>
          <w:rFonts w:cs="Arial"/>
          <w:color w:val="auto"/>
          <w:sz w:val="20"/>
          <w:szCs w:val="20"/>
          <w:lang w:val="en-US"/>
        </w:rPr>
      </w:pPr>
    </w:p>
    <w:p w:rsidR="006C4110" w:rsidRPr="005A505B" w:rsidRDefault="006C4110" w:rsidP="005A505B">
      <w:pPr>
        <w:jc w:val="both"/>
        <w:rPr>
          <w:rFonts w:cs="Arial"/>
          <w:color w:val="auto"/>
          <w:sz w:val="20"/>
          <w:szCs w:val="20"/>
          <w:lang w:val="en-US"/>
        </w:rPr>
      </w:pPr>
    </w:p>
    <w:p w:rsidR="002F17EB" w:rsidRPr="005A505B" w:rsidRDefault="002F17EB" w:rsidP="005A505B">
      <w:pPr>
        <w:pStyle w:val="Heading2"/>
        <w:numPr>
          <w:ilvl w:val="1"/>
          <w:numId w:val="6"/>
        </w:numPr>
        <w:jc w:val="both"/>
        <w:rPr>
          <w:b w:val="0"/>
          <w:i/>
          <w:color w:val="auto"/>
          <w:sz w:val="20"/>
          <w:szCs w:val="20"/>
        </w:rPr>
      </w:pPr>
      <w:bookmarkStart w:id="10" w:name="_Toc102119843"/>
      <w:r w:rsidRPr="005A505B">
        <w:rPr>
          <w:b w:val="0"/>
          <w:i/>
          <w:color w:val="auto"/>
          <w:sz w:val="20"/>
          <w:szCs w:val="20"/>
        </w:rPr>
        <w:t>Report of the Auditor General of South Africa</w:t>
      </w:r>
      <w:bookmarkEnd w:id="10"/>
    </w:p>
    <w:p w:rsidR="00735C6D" w:rsidRPr="005A505B" w:rsidRDefault="00735C6D" w:rsidP="005A505B">
      <w:pPr>
        <w:autoSpaceDE w:val="0"/>
        <w:autoSpaceDN w:val="0"/>
        <w:adjustRightInd w:val="0"/>
        <w:jc w:val="both"/>
        <w:rPr>
          <w:rFonts w:cs="Arial"/>
          <w:color w:val="auto"/>
          <w:spacing w:val="0"/>
          <w:sz w:val="20"/>
          <w:szCs w:val="20"/>
          <w:lang w:val="en-ZA" w:eastAsia="en-ZA"/>
        </w:rPr>
      </w:pPr>
      <w:r w:rsidRPr="005A505B">
        <w:rPr>
          <w:rFonts w:cs="Arial"/>
          <w:color w:val="auto"/>
          <w:spacing w:val="0"/>
          <w:sz w:val="20"/>
          <w:szCs w:val="20"/>
          <w:lang w:val="en-ZA" w:eastAsia="en-ZA"/>
        </w:rPr>
        <w:t>The AGSA reviewed the six programmes of the Department, with a focus on Programme 2: N</w:t>
      </w:r>
      <w:r w:rsidR="00022848" w:rsidRPr="005A505B">
        <w:rPr>
          <w:rFonts w:cs="Arial"/>
          <w:color w:val="auto"/>
          <w:spacing w:val="0"/>
          <w:sz w:val="20"/>
          <w:szCs w:val="20"/>
          <w:lang w:val="en-ZA" w:eastAsia="en-ZA"/>
        </w:rPr>
        <w:t xml:space="preserve">ational </w:t>
      </w:r>
      <w:r w:rsidRPr="005A505B">
        <w:rPr>
          <w:rFonts w:cs="Arial"/>
          <w:color w:val="auto"/>
          <w:spacing w:val="0"/>
          <w:sz w:val="20"/>
          <w:szCs w:val="20"/>
          <w:lang w:val="en-ZA" w:eastAsia="en-ZA"/>
        </w:rPr>
        <w:t>H</w:t>
      </w:r>
      <w:r w:rsidR="00022848" w:rsidRPr="005A505B">
        <w:rPr>
          <w:rFonts w:cs="Arial"/>
          <w:color w:val="auto"/>
          <w:spacing w:val="0"/>
          <w:sz w:val="20"/>
          <w:szCs w:val="20"/>
          <w:lang w:val="en-ZA" w:eastAsia="en-ZA"/>
        </w:rPr>
        <w:t>ealth Insurance</w:t>
      </w:r>
      <w:r w:rsidRPr="005A505B">
        <w:rPr>
          <w:rFonts w:cs="Arial"/>
          <w:color w:val="auto"/>
          <w:spacing w:val="0"/>
          <w:sz w:val="20"/>
          <w:szCs w:val="20"/>
          <w:lang w:val="en-ZA" w:eastAsia="en-ZA"/>
        </w:rPr>
        <w:t xml:space="preserve">. The review </w:t>
      </w:r>
      <w:r w:rsidR="00FD1AAB" w:rsidRPr="005A505B">
        <w:rPr>
          <w:rFonts w:cs="Arial"/>
          <w:color w:val="auto"/>
          <w:spacing w:val="0"/>
          <w:sz w:val="20"/>
          <w:szCs w:val="20"/>
          <w:lang w:val="en-ZA" w:eastAsia="en-ZA"/>
        </w:rPr>
        <w:t>has not identified any</w:t>
      </w:r>
      <w:r w:rsidRPr="005A505B">
        <w:rPr>
          <w:rFonts w:cs="Arial"/>
          <w:color w:val="auto"/>
          <w:spacing w:val="0"/>
          <w:sz w:val="20"/>
          <w:szCs w:val="20"/>
          <w:lang w:val="en-ZA" w:eastAsia="en-ZA"/>
        </w:rPr>
        <w:t xml:space="preserve"> material findings, all findings raised were discussed with the Department and corrected</w:t>
      </w:r>
      <w:r w:rsidR="00D71F4E" w:rsidRPr="005A505B">
        <w:rPr>
          <w:rFonts w:cs="Arial"/>
          <w:color w:val="auto"/>
          <w:spacing w:val="0"/>
          <w:sz w:val="20"/>
          <w:szCs w:val="20"/>
          <w:lang w:val="en-ZA" w:eastAsia="en-ZA"/>
        </w:rPr>
        <w:t>. The AGSA indicated that the APPs of the nine provincial health departments would be completed by 31 March 2022.</w:t>
      </w:r>
    </w:p>
    <w:p w:rsidR="00332808" w:rsidRPr="005A505B" w:rsidRDefault="00332808" w:rsidP="005A505B">
      <w:pPr>
        <w:autoSpaceDE w:val="0"/>
        <w:autoSpaceDN w:val="0"/>
        <w:adjustRightInd w:val="0"/>
        <w:jc w:val="both"/>
        <w:rPr>
          <w:rFonts w:cs="Arial"/>
          <w:color w:val="auto"/>
          <w:spacing w:val="0"/>
          <w:sz w:val="20"/>
          <w:szCs w:val="20"/>
          <w:lang w:val="en-ZA" w:eastAsia="en-ZA"/>
        </w:rPr>
      </w:pPr>
    </w:p>
    <w:p w:rsidR="00735C6D" w:rsidRPr="005A505B" w:rsidRDefault="00446D36" w:rsidP="005A505B">
      <w:pPr>
        <w:autoSpaceDE w:val="0"/>
        <w:autoSpaceDN w:val="0"/>
        <w:adjustRightInd w:val="0"/>
        <w:jc w:val="both"/>
        <w:rPr>
          <w:rFonts w:cs="Arial"/>
          <w:color w:val="auto"/>
          <w:spacing w:val="0"/>
          <w:sz w:val="20"/>
          <w:szCs w:val="20"/>
          <w:lang w:val="en-ZA" w:eastAsia="en-ZA"/>
        </w:rPr>
      </w:pPr>
      <w:r w:rsidRPr="005A505B">
        <w:rPr>
          <w:rFonts w:cs="Arial"/>
          <w:color w:val="auto"/>
          <w:spacing w:val="0"/>
          <w:sz w:val="20"/>
          <w:szCs w:val="20"/>
          <w:lang w:val="en-ZA" w:eastAsia="en-ZA"/>
        </w:rPr>
        <w:t xml:space="preserve">On the health sector audit outcomes, the AGSA reported that the </w:t>
      </w:r>
      <w:r w:rsidR="00F56FA5" w:rsidRPr="005A505B">
        <w:rPr>
          <w:rFonts w:cs="Arial"/>
          <w:color w:val="auto"/>
          <w:spacing w:val="0"/>
          <w:sz w:val="20"/>
          <w:szCs w:val="20"/>
          <w:lang w:val="en-ZA" w:eastAsia="en-ZA"/>
        </w:rPr>
        <w:t xml:space="preserve">sector’s </w:t>
      </w:r>
      <w:r w:rsidRPr="005A505B">
        <w:rPr>
          <w:rFonts w:cs="Arial"/>
          <w:color w:val="auto"/>
          <w:spacing w:val="0"/>
          <w:sz w:val="20"/>
          <w:szCs w:val="20"/>
          <w:lang w:val="en-ZA" w:eastAsia="en-ZA"/>
        </w:rPr>
        <w:t xml:space="preserve">audit outcomes remain stagnant for the period under review. </w:t>
      </w:r>
      <w:r w:rsidR="00F56FA5" w:rsidRPr="005A505B">
        <w:rPr>
          <w:rFonts w:cs="Arial"/>
          <w:color w:val="auto"/>
          <w:spacing w:val="0"/>
          <w:sz w:val="20"/>
          <w:szCs w:val="20"/>
          <w:lang w:val="en-ZA" w:eastAsia="en-ZA"/>
        </w:rPr>
        <w:t xml:space="preserve">It was noted that the North West improved its </w:t>
      </w:r>
      <w:r w:rsidR="00960F17" w:rsidRPr="005A505B">
        <w:rPr>
          <w:rFonts w:cs="Arial"/>
          <w:color w:val="auto"/>
          <w:spacing w:val="0"/>
          <w:sz w:val="20"/>
          <w:szCs w:val="20"/>
          <w:lang w:val="en-ZA" w:eastAsia="en-ZA"/>
        </w:rPr>
        <w:t xml:space="preserve">audit </w:t>
      </w:r>
      <w:r w:rsidR="00F56FA5" w:rsidRPr="005A505B">
        <w:rPr>
          <w:rFonts w:cs="Arial"/>
          <w:color w:val="auto"/>
          <w:spacing w:val="0"/>
          <w:sz w:val="20"/>
          <w:szCs w:val="20"/>
          <w:lang w:val="en-ZA" w:eastAsia="en-ZA"/>
        </w:rPr>
        <w:t>outcomes</w:t>
      </w:r>
      <w:r w:rsidR="005F2AF5" w:rsidRPr="005A505B">
        <w:rPr>
          <w:rFonts w:cs="Arial"/>
          <w:color w:val="auto"/>
          <w:spacing w:val="0"/>
          <w:sz w:val="20"/>
          <w:szCs w:val="20"/>
          <w:lang w:val="en-ZA" w:eastAsia="en-ZA"/>
        </w:rPr>
        <w:t>,</w:t>
      </w:r>
      <w:r w:rsidR="00F56FA5" w:rsidRPr="005A505B">
        <w:rPr>
          <w:rFonts w:cs="Arial"/>
          <w:color w:val="auto"/>
          <w:spacing w:val="0"/>
          <w:sz w:val="20"/>
          <w:szCs w:val="20"/>
          <w:lang w:val="en-ZA" w:eastAsia="en-ZA"/>
        </w:rPr>
        <w:t xml:space="preserve"> from qualified to unqualified with findings. The biggest concern remains KwaZulu-Natal and the Northern Cape, whose audit outcomes have been qualified for the past five years with little improvement. The AGSA commended Gauteng, Mpumalanga, North West and Western Cape for submitting financial statements with no material misstatements. </w:t>
      </w:r>
    </w:p>
    <w:p w:rsidR="009C5A3D" w:rsidRPr="005A505B" w:rsidRDefault="009C5A3D" w:rsidP="005A505B">
      <w:pPr>
        <w:autoSpaceDE w:val="0"/>
        <w:autoSpaceDN w:val="0"/>
        <w:adjustRightInd w:val="0"/>
        <w:jc w:val="both"/>
        <w:rPr>
          <w:rFonts w:cs="Arial"/>
          <w:color w:val="auto"/>
          <w:spacing w:val="0"/>
          <w:sz w:val="20"/>
          <w:szCs w:val="20"/>
          <w:lang w:val="en-ZA" w:eastAsia="en-ZA"/>
        </w:rPr>
      </w:pPr>
    </w:p>
    <w:p w:rsidR="009C5A3D" w:rsidRPr="005A505B" w:rsidRDefault="009C5A3D" w:rsidP="005A505B">
      <w:pPr>
        <w:autoSpaceDE w:val="0"/>
        <w:autoSpaceDN w:val="0"/>
        <w:adjustRightInd w:val="0"/>
        <w:jc w:val="both"/>
        <w:rPr>
          <w:rFonts w:cs="Arial"/>
          <w:color w:val="auto"/>
          <w:spacing w:val="0"/>
          <w:sz w:val="20"/>
          <w:szCs w:val="20"/>
          <w:lang w:val="en-ZA" w:eastAsia="en-ZA"/>
        </w:rPr>
      </w:pPr>
      <w:r w:rsidRPr="005A505B">
        <w:rPr>
          <w:rFonts w:cs="Arial"/>
          <w:color w:val="auto"/>
          <w:spacing w:val="0"/>
          <w:sz w:val="20"/>
          <w:szCs w:val="20"/>
          <w:lang w:val="en-ZA" w:eastAsia="en-ZA"/>
        </w:rPr>
        <w:t>The AGSA expressed concern regarding increases in unauthorised, irregular, fruitless and wasteful expenditure due to disregard for legislation.</w:t>
      </w:r>
      <w:r w:rsidR="00F85F8A" w:rsidRPr="005A505B">
        <w:rPr>
          <w:rFonts w:cs="Arial"/>
          <w:color w:val="auto"/>
          <w:spacing w:val="0"/>
          <w:sz w:val="20"/>
          <w:szCs w:val="20"/>
          <w:lang w:val="en-ZA" w:eastAsia="en-ZA"/>
        </w:rPr>
        <w:t xml:space="preserve"> It was noted that the Eastern Cape was the biggest contributor to unauthorised expenditure as a result of payment to medico-legal claims and interest not budgeted for. </w:t>
      </w:r>
      <w:r w:rsidR="005C5CE3" w:rsidRPr="005A505B">
        <w:rPr>
          <w:rFonts w:cs="Arial"/>
          <w:color w:val="auto"/>
          <w:spacing w:val="0"/>
          <w:sz w:val="20"/>
          <w:szCs w:val="20"/>
          <w:lang w:val="en-ZA" w:eastAsia="en-ZA"/>
        </w:rPr>
        <w:t>Gauteng was the biggest contributor to both irregular expenditure and fruitless and wasteful expenditure due to non-compliance with procurement regulations for personal protective equipment and supply chain management. The AGSA reported that lack of consequence management prevailed throughout the sector.</w:t>
      </w:r>
    </w:p>
    <w:p w:rsidR="00735C6D" w:rsidRPr="005A505B" w:rsidRDefault="00735C6D" w:rsidP="005A505B">
      <w:pPr>
        <w:autoSpaceDE w:val="0"/>
        <w:autoSpaceDN w:val="0"/>
        <w:adjustRightInd w:val="0"/>
        <w:jc w:val="both"/>
        <w:rPr>
          <w:rFonts w:cs="Arial"/>
          <w:color w:val="auto"/>
          <w:spacing w:val="0"/>
          <w:sz w:val="20"/>
          <w:szCs w:val="20"/>
          <w:lang w:val="en-ZA" w:eastAsia="en-ZA"/>
        </w:rPr>
      </w:pPr>
    </w:p>
    <w:p w:rsidR="00D30CCF" w:rsidRPr="005A505B" w:rsidRDefault="00D30CCF" w:rsidP="005A505B">
      <w:pPr>
        <w:autoSpaceDE w:val="0"/>
        <w:autoSpaceDN w:val="0"/>
        <w:adjustRightInd w:val="0"/>
        <w:jc w:val="both"/>
        <w:rPr>
          <w:rFonts w:cs="Arial"/>
          <w:color w:val="auto"/>
          <w:spacing w:val="0"/>
          <w:sz w:val="20"/>
          <w:szCs w:val="20"/>
          <w:lang w:val="en-ZA" w:eastAsia="en-ZA"/>
        </w:rPr>
      </w:pPr>
      <w:r w:rsidRPr="005A505B">
        <w:rPr>
          <w:rFonts w:cs="Arial"/>
          <w:color w:val="auto"/>
          <w:spacing w:val="0"/>
          <w:sz w:val="20"/>
          <w:szCs w:val="20"/>
          <w:lang w:val="en-ZA" w:eastAsia="en-ZA"/>
        </w:rPr>
        <w:t xml:space="preserve">The AGSA indicated that the significant increase in medico-legal claims and confirmed material irregularities due to poor prior performance and inadequate record keeping were putting the sector under immense </w:t>
      </w:r>
      <w:r w:rsidR="00BB323A" w:rsidRPr="005A505B">
        <w:rPr>
          <w:rFonts w:cs="Arial"/>
          <w:color w:val="auto"/>
          <w:spacing w:val="0"/>
          <w:sz w:val="20"/>
          <w:szCs w:val="20"/>
          <w:lang w:val="en-ZA" w:eastAsia="en-ZA"/>
        </w:rPr>
        <w:t xml:space="preserve">financial </w:t>
      </w:r>
      <w:r w:rsidRPr="005A505B">
        <w:rPr>
          <w:rFonts w:cs="Arial"/>
          <w:color w:val="auto"/>
          <w:spacing w:val="0"/>
          <w:sz w:val="20"/>
          <w:szCs w:val="20"/>
          <w:lang w:val="en-ZA" w:eastAsia="en-ZA"/>
        </w:rPr>
        <w:t>pressure.</w:t>
      </w:r>
      <w:r w:rsidR="00BB323A" w:rsidRPr="005A505B">
        <w:rPr>
          <w:rFonts w:cs="Arial"/>
          <w:color w:val="auto"/>
          <w:spacing w:val="0"/>
          <w:sz w:val="20"/>
          <w:szCs w:val="20"/>
          <w:lang w:val="en-ZA" w:eastAsia="en-ZA"/>
        </w:rPr>
        <w:t xml:space="preserve"> The financial strain has also resulted in increased accruals and late payment of suppliers.</w:t>
      </w:r>
    </w:p>
    <w:p w:rsidR="00D30CCF" w:rsidRPr="005A505B" w:rsidRDefault="00D30CCF" w:rsidP="005A505B">
      <w:pPr>
        <w:autoSpaceDE w:val="0"/>
        <w:autoSpaceDN w:val="0"/>
        <w:adjustRightInd w:val="0"/>
        <w:jc w:val="both"/>
        <w:rPr>
          <w:rFonts w:cs="Arial"/>
          <w:color w:val="auto"/>
          <w:spacing w:val="0"/>
          <w:sz w:val="20"/>
          <w:szCs w:val="20"/>
          <w:lang w:val="en-ZA" w:eastAsia="en-ZA"/>
        </w:rPr>
      </w:pPr>
    </w:p>
    <w:p w:rsidR="00BB323A" w:rsidRPr="005A505B" w:rsidRDefault="00BB323A" w:rsidP="005A505B">
      <w:pPr>
        <w:autoSpaceDE w:val="0"/>
        <w:autoSpaceDN w:val="0"/>
        <w:adjustRightInd w:val="0"/>
        <w:jc w:val="both"/>
        <w:rPr>
          <w:rFonts w:cs="Arial"/>
          <w:color w:val="auto"/>
          <w:spacing w:val="0"/>
          <w:sz w:val="20"/>
          <w:szCs w:val="20"/>
          <w:lang w:val="en-ZA" w:eastAsia="en-ZA"/>
        </w:rPr>
      </w:pPr>
      <w:r w:rsidRPr="005A505B">
        <w:rPr>
          <w:rFonts w:cs="Arial"/>
          <w:color w:val="auto"/>
          <w:spacing w:val="0"/>
          <w:sz w:val="20"/>
          <w:szCs w:val="20"/>
          <w:lang w:val="en-ZA" w:eastAsia="en-ZA"/>
        </w:rPr>
        <w:t xml:space="preserve">On infrastructure projects, it was noted that significant delays were experienced in the delivery of projects in some provinces. Furthermore, some provincial departments failed to manage projects effectively, resulting in potential fruitless and wasteful expenditure amounting to approximately R18.5 million. </w:t>
      </w:r>
      <w:r w:rsidR="002B6386" w:rsidRPr="005A505B">
        <w:rPr>
          <w:rFonts w:cs="Arial"/>
          <w:color w:val="auto"/>
          <w:spacing w:val="0"/>
          <w:sz w:val="20"/>
          <w:szCs w:val="20"/>
          <w:lang w:val="en-ZA" w:eastAsia="en-ZA"/>
        </w:rPr>
        <w:t>The AGSA on its site visits identified a number of building quality deficiencies. Common causes included poor management of milestones, poor performance of contractors, poor planning by departments, poor project management and poor workmanship.</w:t>
      </w:r>
    </w:p>
    <w:p w:rsidR="00BB323A" w:rsidRPr="005A505B" w:rsidRDefault="00BB323A" w:rsidP="005A505B">
      <w:pPr>
        <w:autoSpaceDE w:val="0"/>
        <w:autoSpaceDN w:val="0"/>
        <w:adjustRightInd w:val="0"/>
        <w:jc w:val="both"/>
        <w:rPr>
          <w:rFonts w:cs="Arial"/>
          <w:color w:val="auto"/>
          <w:spacing w:val="0"/>
          <w:sz w:val="20"/>
          <w:szCs w:val="20"/>
          <w:lang w:val="en-ZA" w:eastAsia="en-ZA"/>
        </w:rPr>
      </w:pPr>
    </w:p>
    <w:p w:rsidR="00BB323A" w:rsidRPr="005A505B" w:rsidRDefault="001B15F2" w:rsidP="005A505B">
      <w:pPr>
        <w:autoSpaceDE w:val="0"/>
        <w:autoSpaceDN w:val="0"/>
        <w:adjustRightInd w:val="0"/>
        <w:jc w:val="both"/>
        <w:rPr>
          <w:rFonts w:cs="Arial"/>
          <w:color w:val="auto"/>
          <w:spacing w:val="0"/>
          <w:sz w:val="20"/>
          <w:szCs w:val="20"/>
          <w:lang w:val="en-ZA" w:eastAsia="en-ZA"/>
        </w:rPr>
      </w:pPr>
      <w:r w:rsidRPr="005A505B">
        <w:rPr>
          <w:rFonts w:cs="Arial"/>
          <w:color w:val="auto"/>
          <w:spacing w:val="0"/>
          <w:sz w:val="20"/>
          <w:szCs w:val="20"/>
          <w:lang w:val="en-ZA" w:eastAsia="en-ZA"/>
        </w:rPr>
        <w:t>In relation to the vaccine programme special audit report, the AGSA reported that the procurement for vaccines and related services was mainly in line with applicable laws and regulations, except for matters relating to:</w:t>
      </w:r>
    </w:p>
    <w:p w:rsidR="001B15F2" w:rsidRPr="005A505B" w:rsidRDefault="001B15F2" w:rsidP="005A505B">
      <w:pPr>
        <w:pStyle w:val="ListParagraph"/>
        <w:numPr>
          <w:ilvl w:val="0"/>
          <w:numId w:val="96"/>
        </w:numPr>
        <w:autoSpaceDE w:val="0"/>
        <w:autoSpaceDN w:val="0"/>
        <w:adjustRightInd w:val="0"/>
        <w:jc w:val="both"/>
        <w:rPr>
          <w:rFonts w:cs="Arial"/>
          <w:color w:val="auto"/>
          <w:spacing w:val="0"/>
          <w:sz w:val="20"/>
          <w:szCs w:val="20"/>
          <w:lang w:val="en-ZA" w:eastAsia="en-ZA"/>
        </w:rPr>
      </w:pPr>
      <w:r w:rsidRPr="005A505B">
        <w:rPr>
          <w:rFonts w:cs="Arial"/>
          <w:color w:val="auto"/>
          <w:spacing w:val="0"/>
          <w:sz w:val="20"/>
          <w:szCs w:val="20"/>
          <w:lang w:val="en-ZA" w:eastAsia="en-ZA"/>
        </w:rPr>
        <w:t>Inadequate evidence provided to support the application of objective criteria to award contracts to bidders who did not obtain the highest score.</w:t>
      </w:r>
    </w:p>
    <w:p w:rsidR="001B15F2" w:rsidRPr="005A505B" w:rsidRDefault="001B15F2" w:rsidP="005A505B">
      <w:pPr>
        <w:pStyle w:val="ListParagraph"/>
        <w:numPr>
          <w:ilvl w:val="0"/>
          <w:numId w:val="96"/>
        </w:numPr>
        <w:autoSpaceDE w:val="0"/>
        <w:autoSpaceDN w:val="0"/>
        <w:adjustRightInd w:val="0"/>
        <w:jc w:val="both"/>
        <w:rPr>
          <w:rFonts w:cs="Arial"/>
          <w:color w:val="auto"/>
          <w:spacing w:val="0"/>
          <w:sz w:val="20"/>
          <w:szCs w:val="20"/>
          <w:lang w:val="en-ZA" w:eastAsia="en-ZA"/>
        </w:rPr>
      </w:pPr>
      <w:r w:rsidRPr="005A505B">
        <w:rPr>
          <w:rFonts w:cs="Arial"/>
          <w:color w:val="auto"/>
          <w:spacing w:val="0"/>
          <w:sz w:val="20"/>
          <w:szCs w:val="20"/>
          <w:lang w:val="en-ZA" w:eastAsia="en-ZA"/>
        </w:rPr>
        <w:t>Price negotiations were not performed with the appointed second highest scoring bidders.</w:t>
      </w:r>
    </w:p>
    <w:p w:rsidR="00A73A1B" w:rsidRPr="005A505B" w:rsidRDefault="001B15F2" w:rsidP="005A505B">
      <w:pPr>
        <w:pStyle w:val="ListParagraph"/>
        <w:numPr>
          <w:ilvl w:val="0"/>
          <w:numId w:val="96"/>
        </w:numPr>
        <w:autoSpaceDE w:val="0"/>
        <w:autoSpaceDN w:val="0"/>
        <w:adjustRightInd w:val="0"/>
        <w:jc w:val="both"/>
        <w:rPr>
          <w:rFonts w:cs="Arial"/>
          <w:color w:val="auto"/>
          <w:spacing w:val="0"/>
          <w:sz w:val="20"/>
          <w:szCs w:val="20"/>
          <w:lang w:val="en-ZA" w:eastAsia="en-ZA"/>
        </w:rPr>
      </w:pPr>
      <w:r w:rsidRPr="005A505B">
        <w:rPr>
          <w:rFonts w:cs="Arial"/>
          <w:color w:val="auto"/>
          <w:spacing w:val="0"/>
          <w:sz w:val="20"/>
          <w:szCs w:val="20"/>
          <w:lang w:val="en-ZA" w:eastAsia="en-ZA"/>
        </w:rPr>
        <w:t xml:space="preserve">Possible collusive bidding not identified by the bid evaluation committee. </w:t>
      </w:r>
    </w:p>
    <w:p w:rsidR="00A73A1B" w:rsidRPr="005A505B" w:rsidRDefault="00A73A1B" w:rsidP="005A505B">
      <w:pPr>
        <w:autoSpaceDE w:val="0"/>
        <w:autoSpaceDN w:val="0"/>
        <w:adjustRightInd w:val="0"/>
        <w:jc w:val="both"/>
        <w:rPr>
          <w:rFonts w:cs="Arial"/>
          <w:color w:val="auto"/>
          <w:spacing w:val="0"/>
          <w:sz w:val="20"/>
          <w:szCs w:val="20"/>
          <w:lang w:val="en-ZA" w:eastAsia="en-ZA"/>
        </w:rPr>
      </w:pPr>
    </w:p>
    <w:p w:rsidR="00A73A1B" w:rsidRPr="005A505B" w:rsidRDefault="00A73A1B" w:rsidP="005A505B">
      <w:pPr>
        <w:autoSpaceDE w:val="0"/>
        <w:autoSpaceDN w:val="0"/>
        <w:adjustRightInd w:val="0"/>
        <w:jc w:val="both"/>
        <w:rPr>
          <w:rFonts w:cs="Arial"/>
          <w:color w:val="auto"/>
          <w:spacing w:val="0"/>
          <w:sz w:val="20"/>
          <w:szCs w:val="20"/>
          <w:lang w:val="en-ZA" w:eastAsia="en-ZA"/>
        </w:rPr>
      </w:pPr>
      <w:r w:rsidRPr="005A505B">
        <w:rPr>
          <w:rFonts w:cs="Arial"/>
          <w:color w:val="auto"/>
          <w:spacing w:val="0"/>
          <w:sz w:val="20"/>
          <w:szCs w:val="20"/>
          <w:lang w:val="en-ZA" w:eastAsia="en-ZA"/>
        </w:rPr>
        <w:t>The AGSA concluded that the NDoH should implement mechanisms to ensure adherence to prescripts and establish a contract management unit to ensure that all contracts are effectively managed.</w:t>
      </w:r>
    </w:p>
    <w:p w:rsidR="008E1F3C" w:rsidRPr="005A505B" w:rsidRDefault="008E1F3C" w:rsidP="005A505B">
      <w:pPr>
        <w:rPr>
          <w:rFonts w:cs="Arial"/>
          <w:color w:val="auto"/>
          <w:sz w:val="20"/>
          <w:szCs w:val="20"/>
        </w:rPr>
      </w:pPr>
    </w:p>
    <w:p w:rsidR="00F56FA5" w:rsidRPr="005A505B" w:rsidRDefault="00F56FA5" w:rsidP="005A505B">
      <w:pPr>
        <w:rPr>
          <w:rFonts w:cs="Arial"/>
          <w:color w:val="auto"/>
          <w:sz w:val="20"/>
          <w:szCs w:val="20"/>
        </w:rPr>
      </w:pPr>
    </w:p>
    <w:p w:rsidR="006A1690" w:rsidRPr="005A505B" w:rsidRDefault="006A1690" w:rsidP="005A505B">
      <w:pPr>
        <w:pStyle w:val="Heading1"/>
        <w:numPr>
          <w:ilvl w:val="0"/>
          <w:numId w:val="53"/>
        </w:numPr>
        <w:jc w:val="both"/>
        <w:rPr>
          <w:color w:val="auto"/>
        </w:rPr>
      </w:pPr>
      <w:bookmarkStart w:id="11" w:name="_Toc102119844"/>
      <w:r w:rsidRPr="005A505B">
        <w:rPr>
          <w:color w:val="auto"/>
        </w:rPr>
        <w:t>CONSIDERATION OF THE ANNUAL PERFORMANCE AND BUDGET OF THE DEPARTMENT</w:t>
      </w:r>
      <w:r w:rsidR="00A07268" w:rsidRPr="005A505B">
        <w:rPr>
          <w:color w:val="auto"/>
        </w:rPr>
        <w:t xml:space="preserve"> OF HEALTH</w:t>
      </w:r>
      <w:r w:rsidRPr="005A505B">
        <w:rPr>
          <w:color w:val="auto"/>
        </w:rPr>
        <w:t xml:space="preserve"> (202</w:t>
      </w:r>
      <w:r w:rsidR="008C29DE" w:rsidRPr="005A505B">
        <w:rPr>
          <w:color w:val="auto"/>
        </w:rPr>
        <w:t>2</w:t>
      </w:r>
      <w:r w:rsidRPr="005A505B">
        <w:rPr>
          <w:color w:val="auto"/>
        </w:rPr>
        <w:t>/2</w:t>
      </w:r>
      <w:r w:rsidR="008C29DE" w:rsidRPr="005A505B">
        <w:rPr>
          <w:color w:val="auto"/>
        </w:rPr>
        <w:t>3</w:t>
      </w:r>
      <w:r w:rsidRPr="005A505B">
        <w:rPr>
          <w:color w:val="auto"/>
        </w:rPr>
        <w:t>)</w:t>
      </w:r>
      <w:bookmarkEnd w:id="11"/>
    </w:p>
    <w:p w:rsidR="008C29DE" w:rsidRPr="005A505B" w:rsidRDefault="008C29DE" w:rsidP="005A505B">
      <w:pPr>
        <w:rPr>
          <w:rFonts w:cs="Arial"/>
          <w:color w:val="auto"/>
          <w:sz w:val="20"/>
          <w:szCs w:val="20"/>
        </w:rPr>
      </w:pPr>
    </w:p>
    <w:p w:rsidR="00332808" w:rsidRPr="005A505B" w:rsidRDefault="00332808" w:rsidP="005A505B">
      <w:pPr>
        <w:rPr>
          <w:rFonts w:cs="Arial"/>
          <w:color w:val="auto"/>
          <w:sz w:val="20"/>
          <w:szCs w:val="20"/>
        </w:rPr>
      </w:pPr>
    </w:p>
    <w:p w:rsidR="00CE336C" w:rsidRPr="005A505B" w:rsidRDefault="00CE336C" w:rsidP="005A505B">
      <w:pPr>
        <w:pStyle w:val="Heading2"/>
        <w:numPr>
          <w:ilvl w:val="1"/>
          <w:numId w:val="53"/>
        </w:numPr>
        <w:rPr>
          <w:color w:val="auto"/>
          <w:sz w:val="20"/>
          <w:szCs w:val="20"/>
        </w:rPr>
      </w:pPr>
      <w:bookmarkStart w:id="12" w:name="_Toc102119845"/>
      <w:r w:rsidRPr="005A505B">
        <w:rPr>
          <w:color w:val="auto"/>
          <w:sz w:val="20"/>
          <w:szCs w:val="20"/>
        </w:rPr>
        <w:t>Introduction</w:t>
      </w:r>
      <w:bookmarkEnd w:id="12"/>
    </w:p>
    <w:p w:rsidR="008C29DE" w:rsidRPr="005A505B" w:rsidRDefault="008C29DE" w:rsidP="005A505B">
      <w:pPr>
        <w:pStyle w:val="ListParagraph"/>
        <w:rPr>
          <w:rFonts w:cs="Arial"/>
          <w:color w:val="auto"/>
          <w:sz w:val="20"/>
          <w:szCs w:val="20"/>
        </w:rPr>
      </w:pPr>
    </w:p>
    <w:p w:rsidR="008C29DE" w:rsidRPr="005A505B" w:rsidRDefault="008C29DE" w:rsidP="005A505B">
      <w:pPr>
        <w:jc w:val="both"/>
        <w:rPr>
          <w:rFonts w:cs="Arial"/>
          <w:bCs/>
          <w:color w:val="auto"/>
          <w:sz w:val="20"/>
          <w:szCs w:val="20"/>
        </w:rPr>
      </w:pPr>
      <w:r w:rsidRPr="005A505B">
        <w:rPr>
          <w:rFonts w:cs="Arial"/>
          <w:color w:val="auto"/>
          <w:sz w:val="20"/>
          <w:szCs w:val="20"/>
        </w:rPr>
        <w:t xml:space="preserve">Over the MTEF, the </w:t>
      </w:r>
      <w:r w:rsidRPr="005A505B">
        <w:rPr>
          <w:rFonts w:cs="Arial"/>
          <w:bCs/>
          <w:color w:val="auto"/>
          <w:sz w:val="20"/>
          <w:szCs w:val="20"/>
        </w:rPr>
        <w:t>Department’s focus will be on tackling the COVID</w:t>
      </w:r>
      <w:r w:rsidRPr="005A505B">
        <w:rPr>
          <w:rFonts w:ascii="Cambria Math" w:hAnsi="Cambria Math" w:cs="Arial"/>
          <w:bCs/>
          <w:color w:val="auto"/>
          <w:sz w:val="20"/>
          <w:szCs w:val="20"/>
        </w:rPr>
        <w:t>‐</w:t>
      </w:r>
      <w:r w:rsidRPr="005A505B">
        <w:rPr>
          <w:rFonts w:cs="Arial"/>
          <w:bCs/>
          <w:color w:val="auto"/>
          <w:sz w:val="20"/>
          <w:szCs w:val="20"/>
        </w:rPr>
        <w:t>19 pandemic, with a focus on rolling out it’s vaccination strategy and preparing for and responding to future waves of COVID-19 infection. In addition, the Department will continue to focus on preparing for the implementation of the proposed National Health Insurance (NHI), preventing and treating communicable and non</w:t>
      </w:r>
      <w:r w:rsidRPr="005A505B">
        <w:rPr>
          <w:rFonts w:ascii="Cambria Math" w:hAnsi="Cambria Math" w:cs="Arial"/>
          <w:bCs/>
          <w:color w:val="auto"/>
          <w:sz w:val="20"/>
          <w:szCs w:val="20"/>
        </w:rPr>
        <w:t>‐</w:t>
      </w:r>
      <w:r w:rsidRPr="005A505B">
        <w:rPr>
          <w:rFonts w:cs="Arial"/>
          <w:bCs/>
          <w:color w:val="auto"/>
          <w:sz w:val="20"/>
          <w:szCs w:val="20"/>
        </w:rPr>
        <w:t>communicable diseases (NCDs), investing in health infrastructure, supporting tertiary health care services in provinces, and developing the health workforce. Whilst the COVID-19 pandemic was rightly the main focus over the past two years, testing and treatment of other diseases declined and the Department aims to address this by increasing emphasis on other diseases and mainstreaming COVID</w:t>
      </w:r>
      <w:r w:rsidR="00A4477B" w:rsidRPr="005A505B">
        <w:rPr>
          <w:rFonts w:cs="Arial"/>
          <w:bCs/>
          <w:color w:val="auto"/>
          <w:sz w:val="20"/>
          <w:szCs w:val="20"/>
        </w:rPr>
        <w:t>-19</w:t>
      </w:r>
      <w:r w:rsidRPr="005A505B">
        <w:rPr>
          <w:rFonts w:cs="Arial"/>
          <w:bCs/>
          <w:color w:val="auto"/>
          <w:sz w:val="20"/>
          <w:szCs w:val="20"/>
        </w:rPr>
        <w:t xml:space="preserve"> vaccination as part of the immunisation programme. </w:t>
      </w:r>
      <w:r w:rsidRPr="005A505B">
        <w:rPr>
          <w:rFonts w:cs="Arial"/>
          <w:color w:val="auto"/>
          <w:sz w:val="20"/>
          <w:szCs w:val="20"/>
        </w:rPr>
        <w:t xml:space="preserve"> </w:t>
      </w:r>
      <w:r w:rsidRPr="005A505B">
        <w:rPr>
          <w:rFonts w:cs="Arial"/>
          <w:bCs/>
          <w:color w:val="auto"/>
          <w:sz w:val="20"/>
          <w:szCs w:val="20"/>
        </w:rPr>
        <w:t>This means the resources shift from special project at national level to provinces, and this will be reflected in the budget.</w:t>
      </w:r>
    </w:p>
    <w:p w:rsidR="008C29DE" w:rsidRPr="005A505B" w:rsidRDefault="008C29DE" w:rsidP="005A505B">
      <w:pPr>
        <w:jc w:val="both"/>
        <w:rPr>
          <w:rFonts w:cs="Arial"/>
          <w:bCs/>
          <w:color w:val="auto"/>
          <w:sz w:val="20"/>
          <w:szCs w:val="20"/>
        </w:rPr>
      </w:pPr>
    </w:p>
    <w:p w:rsidR="008C29DE" w:rsidRPr="005A505B" w:rsidRDefault="008C29DE" w:rsidP="005A505B">
      <w:pPr>
        <w:pStyle w:val="Heading2"/>
        <w:numPr>
          <w:ilvl w:val="1"/>
          <w:numId w:val="53"/>
        </w:numPr>
        <w:rPr>
          <w:color w:val="auto"/>
          <w:sz w:val="20"/>
          <w:szCs w:val="20"/>
        </w:rPr>
      </w:pPr>
      <w:bookmarkStart w:id="13" w:name="_Toc101969175"/>
      <w:bookmarkStart w:id="14" w:name="_Toc102064475"/>
      <w:bookmarkStart w:id="15" w:name="_Toc102119742"/>
      <w:bookmarkStart w:id="16" w:name="_Toc102119846"/>
      <w:bookmarkStart w:id="17" w:name="_Toc101969176"/>
      <w:bookmarkStart w:id="18" w:name="_Toc102064476"/>
      <w:bookmarkStart w:id="19" w:name="_Toc102119743"/>
      <w:bookmarkStart w:id="20" w:name="_Toc102119847"/>
      <w:bookmarkStart w:id="21" w:name="_Toc101951062"/>
      <w:bookmarkStart w:id="22" w:name="_Toc101951171"/>
      <w:bookmarkStart w:id="23" w:name="_Toc101951248"/>
      <w:bookmarkStart w:id="24" w:name="_Toc101951324"/>
      <w:bookmarkStart w:id="25" w:name="_Toc101951896"/>
      <w:bookmarkStart w:id="26" w:name="_Toc101952201"/>
      <w:bookmarkStart w:id="27" w:name="_Toc101952263"/>
      <w:bookmarkStart w:id="28" w:name="_Toc101952808"/>
      <w:bookmarkStart w:id="29" w:name="_Toc101952855"/>
      <w:bookmarkStart w:id="30" w:name="_Toc101952902"/>
      <w:bookmarkStart w:id="31" w:name="_Toc101952949"/>
      <w:bookmarkStart w:id="32" w:name="_Toc101953248"/>
      <w:bookmarkStart w:id="33" w:name="_Toc101953328"/>
      <w:bookmarkStart w:id="34" w:name="_Toc101953845"/>
      <w:bookmarkStart w:id="35" w:name="_Toc101969177"/>
      <w:bookmarkStart w:id="36" w:name="_Toc102064477"/>
      <w:bookmarkStart w:id="37" w:name="_Toc102119744"/>
      <w:bookmarkStart w:id="38" w:name="_Toc102119848"/>
      <w:bookmarkStart w:id="39" w:name="_Toc101951063"/>
      <w:bookmarkStart w:id="40" w:name="_Toc101951172"/>
      <w:bookmarkStart w:id="41" w:name="_Toc101951249"/>
      <w:bookmarkStart w:id="42" w:name="_Toc101951325"/>
      <w:bookmarkStart w:id="43" w:name="_Toc101951897"/>
      <w:bookmarkStart w:id="44" w:name="_Toc101952202"/>
      <w:bookmarkStart w:id="45" w:name="_Toc101952264"/>
      <w:bookmarkStart w:id="46" w:name="_Toc101952809"/>
      <w:bookmarkStart w:id="47" w:name="_Toc101952856"/>
      <w:bookmarkStart w:id="48" w:name="_Toc101952903"/>
      <w:bookmarkStart w:id="49" w:name="_Toc101952950"/>
      <w:bookmarkStart w:id="50" w:name="_Toc101953249"/>
      <w:bookmarkStart w:id="51" w:name="_Toc101953329"/>
      <w:bookmarkStart w:id="52" w:name="_Toc101953846"/>
      <w:bookmarkStart w:id="53" w:name="_Toc101969178"/>
      <w:bookmarkStart w:id="54" w:name="_Toc102064478"/>
      <w:bookmarkStart w:id="55" w:name="_Toc102119745"/>
      <w:bookmarkStart w:id="56" w:name="_Toc102119849"/>
      <w:bookmarkStart w:id="57" w:name="_Toc101951064"/>
      <w:bookmarkStart w:id="58" w:name="_Toc101951173"/>
      <w:bookmarkStart w:id="59" w:name="_Toc101951250"/>
      <w:bookmarkStart w:id="60" w:name="_Toc101951326"/>
      <w:bookmarkStart w:id="61" w:name="_Toc101951898"/>
      <w:bookmarkStart w:id="62" w:name="_Toc101952203"/>
      <w:bookmarkStart w:id="63" w:name="_Toc101952265"/>
      <w:bookmarkStart w:id="64" w:name="_Toc101952810"/>
      <w:bookmarkStart w:id="65" w:name="_Toc101952857"/>
      <w:bookmarkStart w:id="66" w:name="_Toc101952904"/>
      <w:bookmarkStart w:id="67" w:name="_Toc101952951"/>
      <w:bookmarkStart w:id="68" w:name="_Toc101953250"/>
      <w:bookmarkStart w:id="69" w:name="_Toc101953330"/>
      <w:bookmarkStart w:id="70" w:name="_Toc101953847"/>
      <w:bookmarkStart w:id="71" w:name="_Toc101969179"/>
      <w:bookmarkStart w:id="72" w:name="_Toc102064479"/>
      <w:bookmarkStart w:id="73" w:name="_Toc102119746"/>
      <w:bookmarkStart w:id="74" w:name="_Toc102119850"/>
      <w:bookmarkStart w:id="75" w:name="_Toc101951065"/>
      <w:bookmarkStart w:id="76" w:name="_Toc101951174"/>
      <w:bookmarkStart w:id="77" w:name="_Toc101951251"/>
      <w:bookmarkStart w:id="78" w:name="_Toc101951327"/>
      <w:bookmarkStart w:id="79" w:name="_Toc101951899"/>
      <w:bookmarkStart w:id="80" w:name="_Toc101952204"/>
      <w:bookmarkStart w:id="81" w:name="_Toc101952266"/>
      <w:bookmarkStart w:id="82" w:name="_Toc101952811"/>
      <w:bookmarkStart w:id="83" w:name="_Toc101952858"/>
      <w:bookmarkStart w:id="84" w:name="_Toc101952905"/>
      <w:bookmarkStart w:id="85" w:name="_Toc101952952"/>
      <w:bookmarkStart w:id="86" w:name="_Toc101953251"/>
      <w:bookmarkStart w:id="87" w:name="_Toc101953331"/>
      <w:bookmarkStart w:id="88" w:name="_Toc101953848"/>
      <w:bookmarkStart w:id="89" w:name="_Toc101969180"/>
      <w:bookmarkStart w:id="90" w:name="_Toc102064480"/>
      <w:bookmarkStart w:id="91" w:name="_Toc102119747"/>
      <w:bookmarkStart w:id="92" w:name="_Toc102119851"/>
      <w:bookmarkStart w:id="93" w:name="_Toc101951066"/>
      <w:bookmarkStart w:id="94" w:name="_Toc101951175"/>
      <w:bookmarkStart w:id="95" w:name="_Toc101951252"/>
      <w:bookmarkStart w:id="96" w:name="_Toc101951328"/>
      <w:bookmarkStart w:id="97" w:name="_Toc101951900"/>
      <w:bookmarkStart w:id="98" w:name="_Toc101952205"/>
      <w:bookmarkStart w:id="99" w:name="_Toc101952267"/>
      <w:bookmarkStart w:id="100" w:name="_Toc101952812"/>
      <w:bookmarkStart w:id="101" w:name="_Toc101952859"/>
      <w:bookmarkStart w:id="102" w:name="_Toc101952906"/>
      <w:bookmarkStart w:id="103" w:name="_Toc101952953"/>
      <w:bookmarkStart w:id="104" w:name="_Toc101953252"/>
      <w:bookmarkStart w:id="105" w:name="_Toc101953332"/>
      <w:bookmarkStart w:id="106" w:name="_Toc101953849"/>
      <w:bookmarkStart w:id="107" w:name="_Toc101969181"/>
      <w:bookmarkStart w:id="108" w:name="_Toc102064481"/>
      <w:bookmarkStart w:id="109" w:name="_Toc102119748"/>
      <w:bookmarkStart w:id="110" w:name="_Toc102119852"/>
      <w:bookmarkStart w:id="111" w:name="_Toc101951067"/>
      <w:bookmarkStart w:id="112" w:name="_Toc101951176"/>
      <w:bookmarkStart w:id="113" w:name="_Toc101951253"/>
      <w:bookmarkStart w:id="114" w:name="_Toc101951329"/>
      <w:bookmarkStart w:id="115" w:name="_Toc101951901"/>
      <w:bookmarkStart w:id="116" w:name="_Toc101952206"/>
      <w:bookmarkStart w:id="117" w:name="_Toc101952268"/>
      <w:bookmarkStart w:id="118" w:name="_Toc101952813"/>
      <w:bookmarkStart w:id="119" w:name="_Toc101952860"/>
      <w:bookmarkStart w:id="120" w:name="_Toc101952907"/>
      <w:bookmarkStart w:id="121" w:name="_Toc101952954"/>
      <w:bookmarkStart w:id="122" w:name="_Toc101953253"/>
      <w:bookmarkStart w:id="123" w:name="_Toc101953333"/>
      <w:bookmarkStart w:id="124" w:name="_Toc101953850"/>
      <w:bookmarkStart w:id="125" w:name="_Toc101969182"/>
      <w:bookmarkStart w:id="126" w:name="_Toc102064482"/>
      <w:bookmarkStart w:id="127" w:name="_Toc102119749"/>
      <w:bookmarkStart w:id="128" w:name="_Toc102119853"/>
      <w:bookmarkStart w:id="129" w:name="_Toc101951068"/>
      <w:bookmarkStart w:id="130" w:name="_Toc101951177"/>
      <w:bookmarkStart w:id="131" w:name="_Toc101951254"/>
      <w:bookmarkStart w:id="132" w:name="_Toc101951330"/>
      <w:bookmarkStart w:id="133" w:name="_Toc101951902"/>
      <w:bookmarkStart w:id="134" w:name="_Toc101952207"/>
      <w:bookmarkStart w:id="135" w:name="_Toc101952269"/>
      <w:bookmarkStart w:id="136" w:name="_Toc101952814"/>
      <w:bookmarkStart w:id="137" w:name="_Toc101952861"/>
      <w:bookmarkStart w:id="138" w:name="_Toc101952908"/>
      <w:bookmarkStart w:id="139" w:name="_Toc101952955"/>
      <w:bookmarkStart w:id="140" w:name="_Toc101953254"/>
      <w:bookmarkStart w:id="141" w:name="_Toc101953334"/>
      <w:bookmarkStart w:id="142" w:name="_Toc101953851"/>
      <w:bookmarkStart w:id="143" w:name="_Toc101969183"/>
      <w:bookmarkStart w:id="144" w:name="_Toc102064483"/>
      <w:bookmarkStart w:id="145" w:name="_Toc102119750"/>
      <w:bookmarkStart w:id="146" w:name="_Toc102119854"/>
      <w:bookmarkStart w:id="147" w:name="_Toc101951069"/>
      <w:bookmarkStart w:id="148" w:name="_Toc101951178"/>
      <w:bookmarkStart w:id="149" w:name="_Toc101951255"/>
      <w:bookmarkStart w:id="150" w:name="_Toc101951331"/>
      <w:bookmarkStart w:id="151" w:name="_Toc101951903"/>
      <w:bookmarkStart w:id="152" w:name="_Toc101952208"/>
      <w:bookmarkStart w:id="153" w:name="_Toc101952270"/>
      <w:bookmarkStart w:id="154" w:name="_Toc101952815"/>
      <w:bookmarkStart w:id="155" w:name="_Toc101952862"/>
      <w:bookmarkStart w:id="156" w:name="_Toc101952909"/>
      <w:bookmarkStart w:id="157" w:name="_Toc101952956"/>
      <w:bookmarkStart w:id="158" w:name="_Toc101953255"/>
      <w:bookmarkStart w:id="159" w:name="_Toc101953335"/>
      <w:bookmarkStart w:id="160" w:name="_Toc101953852"/>
      <w:bookmarkStart w:id="161" w:name="_Toc101969184"/>
      <w:bookmarkStart w:id="162" w:name="_Toc102064484"/>
      <w:bookmarkStart w:id="163" w:name="_Toc102119751"/>
      <w:bookmarkStart w:id="164" w:name="_Toc102119855"/>
      <w:bookmarkStart w:id="165" w:name="_Toc101951070"/>
      <w:bookmarkStart w:id="166" w:name="_Toc101951179"/>
      <w:bookmarkStart w:id="167" w:name="_Toc101951256"/>
      <w:bookmarkStart w:id="168" w:name="_Toc101951332"/>
      <w:bookmarkStart w:id="169" w:name="_Toc101951904"/>
      <w:bookmarkStart w:id="170" w:name="_Toc101952209"/>
      <w:bookmarkStart w:id="171" w:name="_Toc101952271"/>
      <w:bookmarkStart w:id="172" w:name="_Toc101952816"/>
      <w:bookmarkStart w:id="173" w:name="_Toc101952863"/>
      <w:bookmarkStart w:id="174" w:name="_Toc101952910"/>
      <w:bookmarkStart w:id="175" w:name="_Toc101952957"/>
      <w:bookmarkStart w:id="176" w:name="_Toc101953256"/>
      <w:bookmarkStart w:id="177" w:name="_Toc101953336"/>
      <w:bookmarkStart w:id="178" w:name="_Toc101953853"/>
      <w:bookmarkStart w:id="179" w:name="_Toc101969185"/>
      <w:bookmarkStart w:id="180" w:name="_Toc102064485"/>
      <w:bookmarkStart w:id="181" w:name="_Toc102119752"/>
      <w:bookmarkStart w:id="182" w:name="_Toc102119856"/>
      <w:bookmarkStart w:id="183" w:name="_Toc101951071"/>
      <w:bookmarkStart w:id="184" w:name="_Toc101951180"/>
      <w:bookmarkStart w:id="185" w:name="_Toc101951257"/>
      <w:bookmarkStart w:id="186" w:name="_Toc101951333"/>
      <w:bookmarkStart w:id="187" w:name="_Toc101951905"/>
      <w:bookmarkStart w:id="188" w:name="_Toc101952210"/>
      <w:bookmarkStart w:id="189" w:name="_Toc101952272"/>
      <w:bookmarkStart w:id="190" w:name="_Toc101952817"/>
      <w:bookmarkStart w:id="191" w:name="_Toc101952864"/>
      <w:bookmarkStart w:id="192" w:name="_Toc101952911"/>
      <w:bookmarkStart w:id="193" w:name="_Toc101952958"/>
      <w:bookmarkStart w:id="194" w:name="_Toc101953257"/>
      <w:bookmarkStart w:id="195" w:name="_Toc101953337"/>
      <w:bookmarkStart w:id="196" w:name="_Toc101953854"/>
      <w:bookmarkStart w:id="197" w:name="_Toc101969186"/>
      <w:bookmarkStart w:id="198" w:name="_Toc102064486"/>
      <w:bookmarkStart w:id="199" w:name="_Toc102119753"/>
      <w:bookmarkStart w:id="200" w:name="_Toc102119857"/>
      <w:bookmarkStart w:id="201" w:name="_Toc101951072"/>
      <w:bookmarkStart w:id="202" w:name="_Toc101951181"/>
      <w:bookmarkStart w:id="203" w:name="_Toc101951258"/>
      <w:bookmarkStart w:id="204" w:name="_Toc101951334"/>
      <w:bookmarkStart w:id="205" w:name="_Toc101951906"/>
      <w:bookmarkStart w:id="206" w:name="_Toc101952211"/>
      <w:bookmarkStart w:id="207" w:name="_Toc101952273"/>
      <w:bookmarkStart w:id="208" w:name="_Toc101952818"/>
      <w:bookmarkStart w:id="209" w:name="_Toc101952865"/>
      <w:bookmarkStart w:id="210" w:name="_Toc101952912"/>
      <w:bookmarkStart w:id="211" w:name="_Toc101952959"/>
      <w:bookmarkStart w:id="212" w:name="_Toc101953258"/>
      <w:bookmarkStart w:id="213" w:name="_Toc101953338"/>
      <w:bookmarkStart w:id="214" w:name="_Toc101953855"/>
      <w:bookmarkStart w:id="215" w:name="_Toc101969187"/>
      <w:bookmarkStart w:id="216" w:name="_Toc102064487"/>
      <w:bookmarkStart w:id="217" w:name="_Toc102119754"/>
      <w:bookmarkStart w:id="218" w:name="_Toc102119858"/>
      <w:bookmarkStart w:id="219" w:name="_Toc101951073"/>
      <w:bookmarkStart w:id="220" w:name="_Toc101951182"/>
      <w:bookmarkStart w:id="221" w:name="_Toc101951259"/>
      <w:bookmarkStart w:id="222" w:name="_Toc101951335"/>
      <w:bookmarkStart w:id="223" w:name="_Toc101951907"/>
      <w:bookmarkStart w:id="224" w:name="_Toc101952212"/>
      <w:bookmarkStart w:id="225" w:name="_Toc101952274"/>
      <w:bookmarkStart w:id="226" w:name="_Toc101952819"/>
      <w:bookmarkStart w:id="227" w:name="_Toc101952866"/>
      <w:bookmarkStart w:id="228" w:name="_Toc101952913"/>
      <w:bookmarkStart w:id="229" w:name="_Toc101952960"/>
      <w:bookmarkStart w:id="230" w:name="_Toc101953259"/>
      <w:bookmarkStart w:id="231" w:name="_Toc101953339"/>
      <w:bookmarkStart w:id="232" w:name="_Toc101953856"/>
      <w:bookmarkStart w:id="233" w:name="_Toc101969188"/>
      <w:bookmarkStart w:id="234" w:name="_Toc102064488"/>
      <w:bookmarkStart w:id="235" w:name="_Toc102119755"/>
      <w:bookmarkStart w:id="236" w:name="_Toc102119859"/>
      <w:bookmarkStart w:id="237" w:name="_Toc101951074"/>
      <w:bookmarkStart w:id="238" w:name="_Toc101951183"/>
      <w:bookmarkStart w:id="239" w:name="_Toc101951260"/>
      <w:bookmarkStart w:id="240" w:name="_Toc101951336"/>
      <w:bookmarkStart w:id="241" w:name="_Toc101951908"/>
      <w:bookmarkStart w:id="242" w:name="_Toc101952213"/>
      <w:bookmarkStart w:id="243" w:name="_Toc101952275"/>
      <w:bookmarkStart w:id="244" w:name="_Toc101952820"/>
      <w:bookmarkStart w:id="245" w:name="_Toc101952867"/>
      <w:bookmarkStart w:id="246" w:name="_Toc101952914"/>
      <w:bookmarkStart w:id="247" w:name="_Toc101952961"/>
      <w:bookmarkStart w:id="248" w:name="_Toc101953260"/>
      <w:bookmarkStart w:id="249" w:name="_Toc101953340"/>
      <w:bookmarkStart w:id="250" w:name="_Toc101953857"/>
      <w:bookmarkStart w:id="251" w:name="_Toc101969189"/>
      <w:bookmarkStart w:id="252" w:name="_Toc102064489"/>
      <w:bookmarkStart w:id="253" w:name="_Toc102119756"/>
      <w:bookmarkStart w:id="254" w:name="_Toc102119860"/>
      <w:bookmarkStart w:id="255" w:name="_Toc101951075"/>
      <w:bookmarkStart w:id="256" w:name="_Toc101951184"/>
      <w:bookmarkStart w:id="257" w:name="_Toc101951261"/>
      <w:bookmarkStart w:id="258" w:name="_Toc101951337"/>
      <w:bookmarkStart w:id="259" w:name="_Toc101951909"/>
      <w:bookmarkStart w:id="260" w:name="_Toc101952214"/>
      <w:bookmarkStart w:id="261" w:name="_Toc101952276"/>
      <w:bookmarkStart w:id="262" w:name="_Toc101952821"/>
      <w:bookmarkStart w:id="263" w:name="_Toc101952868"/>
      <w:bookmarkStart w:id="264" w:name="_Toc101952915"/>
      <w:bookmarkStart w:id="265" w:name="_Toc101952962"/>
      <w:bookmarkStart w:id="266" w:name="_Toc101953261"/>
      <w:bookmarkStart w:id="267" w:name="_Toc101953341"/>
      <w:bookmarkStart w:id="268" w:name="_Toc101953858"/>
      <w:bookmarkStart w:id="269" w:name="_Toc101969190"/>
      <w:bookmarkStart w:id="270" w:name="_Toc102064490"/>
      <w:bookmarkStart w:id="271" w:name="_Toc102119757"/>
      <w:bookmarkStart w:id="272" w:name="_Toc102119861"/>
      <w:bookmarkStart w:id="273" w:name="_Toc102119862"/>
      <w:bookmarkStart w:id="274" w:name="_Toc101435143"/>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r w:rsidRPr="005A505B">
        <w:rPr>
          <w:color w:val="auto"/>
          <w:sz w:val="20"/>
          <w:szCs w:val="20"/>
        </w:rPr>
        <w:t>Policy Priorities for 2022/23</w:t>
      </w:r>
      <w:bookmarkEnd w:id="273"/>
      <w:r w:rsidRPr="005A505B">
        <w:rPr>
          <w:color w:val="auto"/>
          <w:sz w:val="20"/>
          <w:szCs w:val="20"/>
        </w:rPr>
        <w:t xml:space="preserve"> </w:t>
      </w:r>
      <w:bookmarkEnd w:id="274"/>
    </w:p>
    <w:p w:rsidR="008C29DE" w:rsidRPr="005A505B" w:rsidRDefault="008C29DE" w:rsidP="005A505B">
      <w:pPr>
        <w:jc w:val="both"/>
        <w:rPr>
          <w:rFonts w:cs="Arial"/>
          <w:b/>
          <w:bCs/>
          <w:color w:val="auto"/>
          <w:sz w:val="20"/>
          <w:szCs w:val="20"/>
        </w:rPr>
      </w:pPr>
    </w:p>
    <w:p w:rsidR="008C29DE" w:rsidRPr="005A505B" w:rsidRDefault="008C29DE" w:rsidP="005A505B">
      <w:pPr>
        <w:pStyle w:val="Heading3"/>
        <w:numPr>
          <w:ilvl w:val="2"/>
          <w:numId w:val="53"/>
        </w:numPr>
        <w:spacing w:before="0" w:after="0"/>
        <w:rPr>
          <w:color w:val="auto"/>
          <w:sz w:val="20"/>
          <w:szCs w:val="20"/>
        </w:rPr>
      </w:pPr>
      <w:bookmarkStart w:id="275" w:name="_Toc101435144"/>
      <w:bookmarkStart w:id="276" w:name="_Toc102119863"/>
      <w:r w:rsidRPr="005A505B">
        <w:rPr>
          <w:color w:val="auto"/>
          <w:sz w:val="20"/>
          <w:szCs w:val="20"/>
        </w:rPr>
        <w:t>State of the Nation Address (SONA)</w:t>
      </w:r>
      <w:bookmarkEnd w:id="275"/>
      <w:bookmarkEnd w:id="276"/>
      <w:r w:rsidRPr="005A505B">
        <w:rPr>
          <w:color w:val="auto"/>
          <w:sz w:val="20"/>
          <w:szCs w:val="20"/>
        </w:rPr>
        <w:t xml:space="preserve"> </w:t>
      </w:r>
    </w:p>
    <w:p w:rsidR="004A7902" w:rsidRPr="005A505B" w:rsidRDefault="004A7902" w:rsidP="005A505B">
      <w:pPr>
        <w:jc w:val="both"/>
        <w:rPr>
          <w:rFonts w:cs="Arial"/>
          <w:color w:val="auto"/>
          <w:sz w:val="20"/>
          <w:szCs w:val="20"/>
        </w:rPr>
      </w:pPr>
    </w:p>
    <w:p w:rsidR="008C29DE" w:rsidRPr="005A505B" w:rsidRDefault="008C29DE" w:rsidP="005A505B">
      <w:pPr>
        <w:jc w:val="both"/>
        <w:rPr>
          <w:rFonts w:cs="Arial"/>
          <w:color w:val="auto"/>
          <w:sz w:val="20"/>
          <w:szCs w:val="20"/>
        </w:rPr>
      </w:pPr>
      <w:r w:rsidRPr="005A505B">
        <w:rPr>
          <w:rFonts w:cs="Arial"/>
          <w:color w:val="auto"/>
          <w:sz w:val="20"/>
          <w:szCs w:val="20"/>
        </w:rPr>
        <w:t xml:space="preserve">The February 2022 SONA highlighted the following main health-related issues: </w:t>
      </w:r>
    </w:p>
    <w:p w:rsidR="008C29DE" w:rsidRPr="005A505B" w:rsidRDefault="008C29DE" w:rsidP="005A505B">
      <w:pPr>
        <w:jc w:val="both"/>
        <w:rPr>
          <w:rFonts w:cs="Arial"/>
          <w:color w:val="auto"/>
          <w:sz w:val="20"/>
          <w:szCs w:val="20"/>
        </w:rPr>
      </w:pPr>
    </w:p>
    <w:p w:rsidR="008C29DE" w:rsidRPr="005A505B" w:rsidRDefault="008C29DE" w:rsidP="005A505B">
      <w:pPr>
        <w:pStyle w:val="ListParagraph"/>
        <w:numPr>
          <w:ilvl w:val="0"/>
          <w:numId w:val="65"/>
        </w:numPr>
        <w:jc w:val="both"/>
        <w:rPr>
          <w:rFonts w:cs="Arial"/>
          <w:color w:val="auto"/>
          <w:sz w:val="20"/>
          <w:szCs w:val="20"/>
        </w:rPr>
      </w:pPr>
      <w:r w:rsidRPr="005A505B">
        <w:rPr>
          <w:rFonts w:cs="Arial"/>
          <w:color w:val="auto"/>
          <w:sz w:val="20"/>
          <w:szCs w:val="20"/>
        </w:rPr>
        <w:t xml:space="preserve">Overcoming COVID-19 </w:t>
      </w:r>
      <w:r w:rsidR="004A7902" w:rsidRPr="005A505B">
        <w:rPr>
          <w:rFonts w:cs="Arial"/>
          <w:color w:val="auto"/>
          <w:sz w:val="20"/>
          <w:szCs w:val="20"/>
        </w:rPr>
        <w:t xml:space="preserve">remained </w:t>
      </w:r>
      <w:r w:rsidRPr="005A505B">
        <w:rPr>
          <w:rFonts w:cs="Arial"/>
          <w:color w:val="auto"/>
          <w:sz w:val="20"/>
          <w:szCs w:val="20"/>
        </w:rPr>
        <w:t>a key priority in this year’s SONA. Vaccines have proven to be the best available defence against illness and death from COVID-19. The vaccine rollout has so far seen 30 million doses of COVID-19 vaccines administered, with nearly 42</w:t>
      </w:r>
      <w:r w:rsidR="004A7902" w:rsidRPr="005A505B">
        <w:rPr>
          <w:rFonts w:cs="Arial"/>
          <w:color w:val="auto"/>
          <w:sz w:val="20"/>
          <w:szCs w:val="20"/>
        </w:rPr>
        <w:t xml:space="preserve">% </w:t>
      </w:r>
      <w:r w:rsidRPr="005A505B">
        <w:rPr>
          <w:rFonts w:cs="Arial"/>
          <w:color w:val="auto"/>
          <w:sz w:val="20"/>
          <w:szCs w:val="20"/>
        </w:rPr>
        <w:t>of all adults and 60</w:t>
      </w:r>
      <w:r w:rsidR="004A7902" w:rsidRPr="005A505B">
        <w:rPr>
          <w:rFonts w:cs="Arial"/>
          <w:color w:val="auto"/>
          <w:sz w:val="20"/>
          <w:szCs w:val="20"/>
        </w:rPr>
        <w:t>%</w:t>
      </w:r>
      <w:r w:rsidRPr="005A505B">
        <w:rPr>
          <w:rFonts w:cs="Arial"/>
          <w:color w:val="auto"/>
          <w:sz w:val="20"/>
          <w:szCs w:val="20"/>
        </w:rPr>
        <w:t xml:space="preserve"> of everyone over 50</w:t>
      </w:r>
      <w:r w:rsidR="004A7902" w:rsidRPr="005A505B">
        <w:rPr>
          <w:rFonts w:cs="Arial"/>
          <w:color w:val="auto"/>
          <w:sz w:val="20"/>
          <w:szCs w:val="20"/>
        </w:rPr>
        <w:t>-years</w:t>
      </w:r>
      <w:r w:rsidRPr="005A505B">
        <w:rPr>
          <w:rFonts w:cs="Arial"/>
          <w:color w:val="auto"/>
          <w:sz w:val="20"/>
          <w:szCs w:val="20"/>
        </w:rPr>
        <w:t xml:space="preserve"> fully vaccinated. </w:t>
      </w:r>
    </w:p>
    <w:p w:rsidR="008C29DE" w:rsidRPr="005A505B" w:rsidRDefault="008C29DE" w:rsidP="005A505B">
      <w:pPr>
        <w:pStyle w:val="ListParagraph"/>
        <w:numPr>
          <w:ilvl w:val="0"/>
          <w:numId w:val="65"/>
        </w:numPr>
        <w:jc w:val="both"/>
        <w:rPr>
          <w:rFonts w:cs="Arial"/>
          <w:color w:val="auto"/>
          <w:sz w:val="20"/>
          <w:szCs w:val="20"/>
        </w:rPr>
      </w:pPr>
      <w:r w:rsidRPr="005A505B">
        <w:rPr>
          <w:rFonts w:cs="Arial"/>
          <w:color w:val="auto"/>
          <w:sz w:val="20"/>
          <w:szCs w:val="20"/>
        </w:rPr>
        <w:t xml:space="preserve">The national state of disaster will be lifted once measures under the National Health Act and other legislation to contain the pandemic, are finalised. </w:t>
      </w:r>
      <w:r w:rsidR="009D0BD2" w:rsidRPr="005A505B">
        <w:rPr>
          <w:rFonts w:cs="Arial"/>
          <w:color w:val="auto"/>
          <w:sz w:val="20"/>
          <w:szCs w:val="20"/>
        </w:rPr>
        <w:t>T</w:t>
      </w:r>
      <w:r w:rsidRPr="005A505B">
        <w:rPr>
          <w:rFonts w:cs="Arial"/>
          <w:color w:val="auto"/>
          <w:sz w:val="20"/>
          <w:szCs w:val="20"/>
        </w:rPr>
        <w:t>his was done on the 5</w:t>
      </w:r>
      <w:r w:rsidRPr="005A505B">
        <w:rPr>
          <w:rFonts w:cs="Arial"/>
          <w:color w:val="auto"/>
          <w:sz w:val="20"/>
          <w:szCs w:val="20"/>
          <w:vertAlign w:val="superscript"/>
        </w:rPr>
        <w:t>th</w:t>
      </w:r>
      <w:r w:rsidRPr="005A505B">
        <w:rPr>
          <w:rFonts w:cs="Arial"/>
          <w:color w:val="auto"/>
          <w:sz w:val="20"/>
          <w:szCs w:val="20"/>
        </w:rPr>
        <w:t xml:space="preserve"> April 2022.</w:t>
      </w:r>
    </w:p>
    <w:p w:rsidR="008C29DE" w:rsidRPr="005A505B" w:rsidRDefault="008C29DE" w:rsidP="005A505B">
      <w:pPr>
        <w:pStyle w:val="ListParagraph"/>
        <w:numPr>
          <w:ilvl w:val="0"/>
          <w:numId w:val="65"/>
        </w:numPr>
        <w:jc w:val="both"/>
        <w:rPr>
          <w:rFonts w:cs="Arial"/>
          <w:color w:val="auto"/>
          <w:sz w:val="20"/>
          <w:szCs w:val="20"/>
        </w:rPr>
      </w:pPr>
      <w:r w:rsidRPr="005A505B">
        <w:rPr>
          <w:rFonts w:cs="Arial"/>
          <w:color w:val="auto"/>
          <w:sz w:val="20"/>
          <w:szCs w:val="20"/>
        </w:rPr>
        <w:t xml:space="preserve">South Africa will work with other African countries and international partners to support the strengthening of the continent’s capacity to respond to pandemics. Specifically, there will be increased efforts to develop Africa’s ability to manufacture vaccines. In South Africa, two companies – Aspen and Biovac – have contracts to produce COVID-19 vaccines. Two additional vaccine projects have also been announced. </w:t>
      </w:r>
    </w:p>
    <w:p w:rsidR="008C29DE" w:rsidRPr="005A505B" w:rsidRDefault="009D0BD2" w:rsidP="005A505B">
      <w:pPr>
        <w:pStyle w:val="ListParagraph"/>
        <w:numPr>
          <w:ilvl w:val="0"/>
          <w:numId w:val="65"/>
        </w:numPr>
        <w:jc w:val="both"/>
        <w:rPr>
          <w:rFonts w:cs="Arial"/>
          <w:color w:val="auto"/>
          <w:sz w:val="20"/>
          <w:szCs w:val="20"/>
        </w:rPr>
      </w:pPr>
      <w:r w:rsidRPr="005A505B">
        <w:rPr>
          <w:rFonts w:cs="Arial"/>
          <w:color w:val="auto"/>
          <w:sz w:val="20"/>
          <w:szCs w:val="20"/>
        </w:rPr>
        <w:t>T</w:t>
      </w:r>
      <w:r w:rsidR="008C29DE" w:rsidRPr="005A505B">
        <w:rPr>
          <w:rFonts w:cs="Arial"/>
          <w:color w:val="auto"/>
          <w:sz w:val="20"/>
          <w:szCs w:val="20"/>
        </w:rPr>
        <w:t>he country has developed full local production capability for ventilators, hand sanitisers, medical-grade face masks and gloves and therapeutic drugs and anaesthetic. South African products have been exported to other African countries, securing them vital supplies and expanding jobs for young South Africans.</w:t>
      </w:r>
    </w:p>
    <w:p w:rsidR="008C29DE" w:rsidRPr="005A505B" w:rsidRDefault="008C29DE" w:rsidP="005A505B">
      <w:pPr>
        <w:pStyle w:val="ListParagraph"/>
        <w:numPr>
          <w:ilvl w:val="0"/>
          <w:numId w:val="65"/>
        </w:numPr>
        <w:jc w:val="both"/>
        <w:rPr>
          <w:rFonts w:cs="Arial"/>
          <w:color w:val="auto"/>
          <w:sz w:val="20"/>
          <w:szCs w:val="20"/>
        </w:rPr>
      </w:pPr>
      <w:r w:rsidRPr="005A505B">
        <w:rPr>
          <w:rFonts w:cs="Arial"/>
          <w:color w:val="auto"/>
          <w:sz w:val="20"/>
          <w:szCs w:val="20"/>
        </w:rPr>
        <w:t>In preparation for NHI, more than 59 million people are registered in the Health Patient Registration System (HPRS). By September 2021, more than 56,000 additional health workers had been recruited and more than 46,000 community health workers integrated into the public health system.</w:t>
      </w:r>
    </w:p>
    <w:p w:rsidR="008C29DE" w:rsidRPr="005A505B" w:rsidRDefault="008C29DE" w:rsidP="005A505B">
      <w:pPr>
        <w:pStyle w:val="ListParagraph"/>
        <w:numPr>
          <w:ilvl w:val="0"/>
          <w:numId w:val="65"/>
        </w:numPr>
        <w:jc w:val="both"/>
        <w:rPr>
          <w:rFonts w:cs="Arial"/>
          <w:color w:val="auto"/>
          <w:sz w:val="20"/>
          <w:szCs w:val="20"/>
        </w:rPr>
      </w:pPr>
      <w:r w:rsidRPr="005A505B">
        <w:rPr>
          <w:rFonts w:cs="Arial"/>
          <w:color w:val="auto"/>
          <w:sz w:val="20"/>
          <w:szCs w:val="20"/>
        </w:rPr>
        <w:t xml:space="preserve">In December 2021, the </w:t>
      </w:r>
      <w:r w:rsidRPr="005A505B">
        <w:rPr>
          <w:rFonts w:cs="Arial"/>
          <w:bCs/>
          <w:color w:val="auto"/>
          <w:sz w:val="20"/>
          <w:szCs w:val="20"/>
        </w:rPr>
        <w:t>Special Investigating Unit (SIU</w:t>
      </w:r>
      <w:r w:rsidRPr="005A505B">
        <w:rPr>
          <w:rFonts w:cs="Arial"/>
          <w:color w:val="auto"/>
          <w:sz w:val="20"/>
          <w:szCs w:val="20"/>
        </w:rPr>
        <w:t>) submitted its final report on its investigation into COVID-19 related contracts. As a result, 45 matters, with a combined value of R2.1 billion, have been enrolled with the Special Tribunal. The SIU has referred 224 government officials for disciplinary action and referred 386 cases for possible prosecution to the National Prosecuting Authority (NPA). The Presidency has set up mechanisms to monitor implementation of the recommendations of the SIU and ensure that government departments and entities act against those who have violated regulations and broken the law.</w:t>
      </w:r>
    </w:p>
    <w:p w:rsidR="008C29DE" w:rsidRPr="005A505B" w:rsidRDefault="008C29DE" w:rsidP="005A505B">
      <w:pPr>
        <w:jc w:val="both"/>
        <w:rPr>
          <w:rFonts w:cs="Arial"/>
          <w:color w:val="auto"/>
          <w:sz w:val="20"/>
          <w:szCs w:val="20"/>
        </w:rPr>
      </w:pPr>
    </w:p>
    <w:p w:rsidR="008C29DE" w:rsidRPr="005A505B" w:rsidRDefault="008C29DE" w:rsidP="005A505B">
      <w:pPr>
        <w:pStyle w:val="Heading3"/>
        <w:numPr>
          <w:ilvl w:val="2"/>
          <w:numId w:val="53"/>
        </w:numPr>
        <w:spacing w:before="0" w:after="0"/>
        <w:rPr>
          <w:color w:val="auto"/>
          <w:sz w:val="20"/>
          <w:szCs w:val="20"/>
        </w:rPr>
      </w:pPr>
      <w:bookmarkStart w:id="277" w:name="_Toc101435145"/>
      <w:bookmarkStart w:id="278" w:name="_Toc102119864"/>
      <w:r w:rsidRPr="005A505B">
        <w:rPr>
          <w:color w:val="auto"/>
          <w:sz w:val="20"/>
          <w:szCs w:val="20"/>
        </w:rPr>
        <w:t>The National Development Plan (NDP)</w:t>
      </w:r>
      <w:bookmarkEnd w:id="277"/>
      <w:bookmarkEnd w:id="278"/>
      <w:r w:rsidRPr="005A505B">
        <w:rPr>
          <w:color w:val="auto"/>
          <w:sz w:val="20"/>
          <w:szCs w:val="20"/>
        </w:rPr>
        <w:t xml:space="preserve"> </w:t>
      </w:r>
    </w:p>
    <w:p w:rsidR="008C29DE" w:rsidRPr="005A505B" w:rsidRDefault="008C29DE" w:rsidP="005A505B">
      <w:pPr>
        <w:jc w:val="both"/>
        <w:rPr>
          <w:rFonts w:cs="Arial"/>
          <w:color w:val="auto"/>
          <w:sz w:val="20"/>
          <w:szCs w:val="20"/>
        </w:rPr>
      </w:pPr>
    </w:p>
    <w:p w:rsidR="008C29DE" w:rsidRPr="005A505B" w:rsidRDefault="008C29DE" w:rsidP="005A505B">
      <w:pPr>
        <w:jc w:val="both"/>
        <w:rPr>
          <w:rFonts w:cs="Arial"/>
          <w:color w:val="auto"/>
          <w:sz w:val="20"/>
          <w:szCs w:val="20"/>
        </w:rPr>
      </w:pPr>
      <w:r w:rsidRPr="005A505B">
        <w:rPr>
          <w:rFonts w:cs="Arial"/>
          <w:color w:val="auto"/>
          <w:sz w:val="20"/>
          <w:szCs w:val="20"/>
          <w:lang w:eastAsia="en-ZA"/>
        </w:rPr>
        <w:t xml:space="preserve">The National Development Plan (NDP) identifies demographics, burden of disease, health systems and the social and environmental determinants of health as the key areas for intervention required to improve the health system in the country. </w:t>
      </w:r>
      <w:r w:rsidRPr="005A505B">
        <w:rPr>
          <w:rFonts w:cs="Arial"/>
          <w:color w:val="auto"/>
          <w:sz w:val="20"/>
          <w:szCs w:val="20"/>
        </w:rPr>
        <w:t>Nine goals for health have been identified in the NDP, viz.:</w:t>
      </w:r>
    </w:p>
    <w:p w:rsidR="008C29DE" w:rsidRPr="005A505B" w:rsidRDefault="008C29DE" w:rsidP="005A505B">
      <w:pPr>
        <w:jc w:val="both"/>
        <w:rPr>
          <w:rFonts w:cs="Arial"/>
          <w:color w:val="auto"/>
          <w:sz w:val="20"/>
          <w:szCs w:val="20"/>
        </w:rPr>
      </w:pPr>
    </w:p>
    <w:p w:rsidR="008C29DE" w:rsidRPr="005A505B" w:rsidRDefault="008C29DE" w:rsidP="005A505B">
      <w:pPr>
        <w:numPr>
          <w:ilvl w:val="0"/>
          <w:numId w:val="48"/>
        </w:numPr>
        <w:ind w:left="720"/>
        <w:jc w:val="both"/>
        <w:rPr>
          <w:rFonts w:cs="Arial"/>
          <w:color w:val="auto"/>
          <w:sz w:val="20"/>
          <w:szCs w:val="20"/>
        </w:rPr>
      </w:pPr>
      <w:r w:rsidRPr="005A505B">
        <w:rPr>
          <w:rFonts w:cs="Arial"/>
          <w:color w:val="auto"/>
          <w:sz w:val="20"/>
          <w:szCs w:val="20"/>
        </w:rPr>
        <w:t>Average male and female life expectancy at birth increased to 70 years;</w:t>
      </w:r>
    </w:p>
    <w:p w:rsidR="008C29DE" w:rsidRPr="005A505B" w:rsidRDefault="008C29DE" w:rsidP="005A505B">
      <w:pPr>
        <w:numPr>
          <w:ilvl w:val="0"/>
          <w:numId w:val="48"/>
        </w:numPr>
        <w:ind w:left="720"/>
        <w:jc w:val="both"/>
        <w:rPr>
          <w:rFonts w:cs="Arial"/>
          <w:color w:val="auto"/>
          <w:sz w:val="20"/>
          <w:szCs w:val="20"/>
        </w:rPr>
      </w:pPr>
      <w:r w:rsidRPr="005A505B">
        <w:rPr>
          <w:rFonts w:cs="Arial"/>
          <w:color w:val="auto"/>
          <w:sz w:val="20"/>
          <w:szCs w:val="20"/>
        </w:rPr>
        <w:t xml:space="preserve">Tuberculosis (TB) prevention and cure progressively improved;                                                                                                                                                                                                                                                                                                                       </w:t>
      </w:r>
    </w:p>
    <w:p w:rsidR="008C29DE" w:rsidRPr="005A505B" w:rsidRDefault="008C29DE" w:rsidP="005A505B">
      <w:pPr>
        <w:numPr>
          <w:ilvl w:val="0"/>
          <w:numId w:val="48"/>
        </w:numPr>
        <w:ind w:left="720"/>
        <w:jc w:val="both"/>
        <w:rPr>
          <w:rFonts w:cs="Arial"/>
          <w:color w:val="auto"/>
          <w:sz w:val="20"/>
          <w:szCs w:val="20"/>
        </w:rPr>
      </w:pPr>
      <w:r w:rsidRPr="005A505B">
        <w:rPr>
          <w:rFonts w:cs="Arial"/>
          <w:color w:val="auto"/>
          <w:sz w:val="20"/>
          <w:szCs w:val="20"/>
        </w:rPr>
        <w:t>Maternal, infant and child mortality reduced;</w:t>
      </w:r>
    </w:p>
    <w:p w:rsidR="008C29DE" w:rsidRPr="005A505B" w:rsidRDefault="008C29DE" w:rsidP="005A505B">
      <w:pPr>
        <w:numPr>
          <w:ilvl w:val="0"/>
          <w:numId w:val="48"/>
        </w:numPr>
        <w:ind w:left="720"/>
        <w:jc w:val="both"/>
        <w:rPr>
          <w:rFonts w:cs="Arial"/>
          <w:color w:val="auto"/>
          <w:sz w:val="20"/>
          <w:szCs w:val="20"/>
        </w:rPr>
      </w:pPr>
      <w:r w:rsidRPr="005A505B">
        <w:rPr>
          <w:rFonts w:cs="Arial"/>
          <w:color w:val="auto"/>
          <w:sz w:val="20"/>
          <w:szCs w:val="20"/>
        </w:rPr>
        <w:lastRenderedPageBreak/>
        <w:t>Significantly reduced prevalence of non-communicable chronic diseases;</w:t>
      </w:r>
    </w:p>
    <w:p w:rsidR="008C29DE" w:rsidRPr="005A505B" w:rsidRDefault="008C29DE" w:rsidP="005A505B">
      <w:pPr>
        <w:numPr>
          <w:ilvl w:val="0"/>
          <w:numId w:val="48"/>
        </w:numPr>
        <w:ind w:left="720"/>
        <w:jc w:val="both"/>
        <w:rPr>
          <w:rFonts w:cs="Arial"/>
          <w:color w:val="auto"/>
          <w:sz w:val="20"/>
          <w:szCs w:val="20"/>
        </w:rPr>
      </w:pPr>
      <w:r w:rsidRPr="005A505B">
        <w:rPr>
          <w:rFonts w:cs="Arial"/>
          <w:color w:val="auto"/>
          <w:sz w:val="20"/>
          <w:szCs w:val="20"/>
        </w:rPr>
        <w:t xml:space="preserve">Injury, accidents and violence reduced by 50 </w:t>
      </w:r>
      <w:r w:rsidR="0034021A" w:rsidRPr="005A505B">
        <w:rPr>
          <w:rFonts w:cs="Arial"/>
          <w:color w:val="auto"/>
          <w:sz w:val="20"/>
          <w:szCs w:val="20"/>
        </w:rPr>
        <w:t>%</w:t>
      </w:r>
      <w:r w:rsidRPr="005A505B">
        <w:rPr>
          <w:rFonts w:cs="Arial"/>
          <w:color w:val="auto"/>
          <w:sz w:val="20"/>
          <w:szCs w:val="20"/>
        </w:rPr>
        <w:t xml:space="preserve"> from 2010 levels;</w:t>
      </w:r>
    </w:p>
    <w:p w:rsidR="008C29DE" w:rsidRPr="005A505B" w:rsidRDefault="008C29DE" w:rsidP="005A505B">
      <w:pPr>
        <w:numPr>
          <w:ilvl w:val="0"/>
          <w:numId w:val="48"/>
        </w:numPr>
        <w:ind w:left="717" w:hanging="357"/>
        <w:jc w:val="both"/>
        <w:rPr>
          <w:rFonts w:cs="Arial"/>
          <w:color w:val="auto"/>
          <w:sz w:val="20"/>
          <w:szCs w:val="20"/>
        </w:rPr>
      </w:pPr>
      <w:r w:rsidRPr="005A505B">
        <w:rPr>
          <w:rFonts w:cs="Arial"/>
          <w:color w:val="auto"/>
          <w:sz w:val="20"/>
          <w:szCs w:val="20"/>
        </w:rPr>
        <w:t>Health system reforms completed;</w:t>
      </w:r>
    </w:p>
    <w:p w:rsidR="008C29DE" w:rsidRPr="005A505B" w:rsidRDefault="008C29DE" w:rsidP="005A505B">
      <w:pPr>
        <w:numPr>
          <w:ilvl w:val="0"/>
          <w:numId w:val="48"/>
        </w:numPr>
        <w:ind w:left="720"/>
        <w:jc w:val="both"/>
        <w:rPr>
          <w:rFonts w:cs="Arial"/>
          <w:color w:val="auto"/>
          <w:sz w:val="20"/>
          <w:szCs w:val="20"/>
        </w:rPr>
      </w:pPr>
      <w:r w:rsidRPr="005A505B">
        <w:rPr>
          <w:rFonts w:cs="Arial"/>
          <w:color w:val="auto"/>
          <w:sz w:val="20"/>
          <w:szCs w:val="20"/>
        </w:rPr>
        <w:t>Primary health care teams deployed to provide care to families and communities;</w:t>
      </w:r>
    </w:p>
    <w:p w:rsidR="008C29DE" w:rsidRPr="005A505B" w:rsidRDefault="008C29DE" w:rsidP="005A505B">
      <w:pPr>
        <w:numPr>
          <w:ilvl w:val="0"/>
          <w:numId w:val="48"/>
        </w:numPr>
        <w:ind w:left="720"/>
        <w:jc w:val="both"/>
        <w:rPr>
          <w:rFonts w:cs="Arial"/>
          <w:color w:val="auto"/>
          <w:sz w:val="20"/>
          <w:szCs w:val="20"/>
        </w:rPr>
      </w:pPr>
      <w:r w:rsidRPr="005A505B">
        <w:rPr>
          <w:rFonts w:cs="Arial"/>
          <w:color w:val="auto"/>
          <w:sz w:val="20"/>
          <w:szCs w:val="20"/>
        </w:rPr>
        <w:t>Universal health coverage achieved; and</w:t>
      </w:r>
    </w:p>
    <w:p w:rsidR="008C29DE" w:rsidRPr="005A505B" w:rsidRDefault="008C29DE" w:rsidP="005A505B">
      <w:pPr>
        <w:numPr>
          <w:ilvl w:val="0"/>
          <w:numId w:val="48"/>
        </w:numPr>
        <w:ind w:left="720"/>
        <w:jc w:val="both"/>
        <w:rPr>
          <w:rFonts w:cs="Arial"/>
          <w:color w:val="auto"/>
          <w:sz w:val="20"/>
          <w:szCs w:val="20"/>
        </w:rPr>
      </w:pPr>
      <w:r w:rsidRPr="005A505B">
        <w:rPr>
          <w:rFonts w:cs="Arial"/>
          <w:color w:val="auto"/>
          <w:sz w:val="20"/>
          <w:szCs w:val="20"/>
        </w:rPr>
        <w:t>Health posts filled with skilled, committed and competent individuals.</w:t>
      </w:r>
    </w:p>
    <w:p w:rsidR="008C29DE" w:rsidRPr="005A505B" w:rsidRDefault="008C29DE" w:rsidP="005A505B">
      <w:pPr>
        <w:ind w:left="360"/>
        <w:jc w:val="both"/>
        <w:rPr>
          <w:rFonts w:cs="Arial"/>
          <w:color w:val="auto"/>
          <w:sz w:val="20"/>
          <w:szCs w:val="20"/>
        </w:rPr>
      </w:pPr>
    </w:p>
    <w:p w:rsidR="008C29DE" w:rsidRPr="005A505B" w:rsidRDefault="008C29DE" w:rsidP="005A505B">
      <w:pPr>
        <w:jc w:val="both"/>
        <w:rPr>
          <w:rFonts w:cs="Arial"/>
          <w:color w:val="auto"/>
          <w:sz w:val="20"/>
          <w:szCs w:val="20"/>
        </w:rPr>
      </w:pPr>
      <w:r w:rsidRPr="005A505B">
        <w:rPr>
          <w:rFonts w:cs="Arial"/>
          <w:color w:val="auto"/>
          <w:sz w:val="20"/>
          <w:szCs w:val="20"/>
        </w:rPr>
        <w:t xml:space="preserve">The planned National Health Commission is aimed at preventing and reducing the burden of communicable diseases. The Department envisages a number of health system reforms, including improved health facility planning, an improved Health Management Information System, and improved quality of care. </w:t>
      </w:r>
    </w:p>
    <w:p w:rsidR="00CE336C" w:rsidRPr="005A505B" w:rsidRDefault="00CE336C" w:rsidP="005A505B">
      <w:pPr>
        <w:jc w:val="both"/>
        <w:rPr>
          <w:rFonts w:cs="Arial"/>
          <w:color w:val="auto"/>
          <w:sz w:val="20"/>
          <w:szCs w:val="20"/>
        </w:rPr>
      </w:pPr>
    </w:p>
    <w:p w:rsidR="008C29DE" w:rsidRPr="005A505B" w:rsidRDefault="008C29DE" w:rsidP="005A505B">
      <w:pPr>
        <w:pStyle w:val="Heading3"/>
        <w:numPr>
          <w:ilvl w:val="2"/>
          <w:numId w:val="53"/>
        </w:numPr>
        <w:spacing w:before="0" w:after="0"/>
        <w:rPr>
          <w:b w:val="0"/>
          <w:bCs w:val="0"/>
          <w:color w:val="auto"/>
          <w:sz w:val="20"/>
          <w:szCs w:val="20"/>
        </w:rPr>
      </w:pPr>
      <w:bookmarkStart w:id="279" w:name="_Toc101951079"/>
      <w:bookmarkStart w:id="280" w:name="_Toc101951188"/>
      <w:bookmarkStart w:id="281" w:name="_Toc101951265"/>
      <w:bookmarkStart w:id="282" w:name="_Toc101951341"/>
      <w:bookmarkStart w:id="283" w:name="_Toc101951913"/>
      <w:bookmarkStart w:id="284" w:name="_Toc101952218"/>
      <w:bookmarkStart w:id="285" w:name="_Toc101952280"/>
      <w:bookmarkStart w:id="286" w:name="_Toc101952825"/>
      <w:bookmarkStart w:id="287" w:name="_Toc101952872"/>
      <w:bookmarkStart w:id="288" w:name="_Toc101952919"/>
      <w:bookmarkStart w:id="289" w:name="_Toc101952966"/>
      <w:bookmarkStart w:id="290" w:name="_Toc101953265"/>
      <w:bookmarkStart w:id="291" w:name="_Toc101953345"/>
      <w:bookmarkStart w:id="292" w:name="_Toc101953862"/>
      <w:bookmarkStart w:id="293" w:name="_Toc101969194"/>
      <w:bookmarkStart w:id="294" w:name="_Toc102064494"/>
      <w:bookmarkStart w:id="295" w:name="_Toc102119761"/>
      <w:bookmarkStart w:id="296" w:name="_Toc102119865"/>
      <w:bookmarkStart w:id="297" w:name="_Toc101951080"/>
      <w:bookmarkStart w:id="298" w:name="_Toc101951189"/>
      <w:bookmarkStart w:id="299" w:name="_Toc101951266"/>
      <w:bookmarkStart w:id="300" w:name="_Toc101951342"/>
      <w:bookmarkStart w:id="301" w:name="_Toc101951914"/>
      <w:bookmarkStart w:id="302" w:name="_Toc101952219"/>
      <w:bookmarkStart w:id="303" w:name="_Toc101952281"/>
      <w:bookmarkStart w:id="304" w:name="_Toc101952826"/>
      <w:bookmarkStart w:id="305" w:name="_Toc101952873"/>
      <w:bookmarkStart w:id="306" w:name="_Toc101952920"/>
      <w:bookmarkStart w:id="307" w:name="_Toc101952967"/>
      <w:bookmarkStart w:id="308" w:name="_Toc101953266"/>
      <w:bookmarkStart w:id="309" w:name="_Toc101953346"/>
      <w:bookmarkStart w:id="310" w:name="_Toc101953863"/>
      <w:bookmarkStart w:id="311" w:name="_Toc101969195"/>
      <w:bookmarkStart w:id="312" w:name="_Toc102064495"/>
      <w:bookmarkStart w:id="313" w:name="_Toc102119762"/>
      <w:bookmarkStart w:id="314" w:name="_Toc102119866"/>
      <w:bookmarkStart w:id="315" w:name="_Toc101951081"/>
      <w:bookmarkStart w:id="316" w:name="_Toc101951190"/>
      <w:bookmarkStart w:id="317" w:name="_Toc101951267"/>
      <w:bookmarkStart w:id="318" w:name="_Toc101951343"/>
      <w:bookmarkStart w:id="319" w:name="_Toc101951915"/>
      <w:bookmarkStart w:id="320" w:name="_Toc101952220"/>
      <w:bookmarkStart w:id="321" w:name="_Toc101952282"/>
      <w:bookmarkStart w:id="322" w:name="_Toc101952827"/>
      <w:bookmarkStart w:id="323" w:name="_Toc101952874"/>
      <w:bookmarkStart w:id="324" w:name="_Toc101952921"/>
      <w:bookmarkStart w:id="325" w:name="_Toc101952968"/>
      <w:bookmarkStart w:id="326" w:name="_Toc101953267"/>
      <w:bookmarkStart w:id="327" w:name="_Toc101953347"/>
      <w:bookmarkStart w:id="328" w:name="_Toc101953864"/>
      <w:bookmarkStart w:id="329" w:name="_Toc101969196"/>
      <w:bookmarkStart w:id="330" w:name="_Toc102064496"/>
      <w:bookmarkStart w:id="331" w:name="_Toc102119763"/>
      <w:bookmarkStart w:id="332" w:name="_Toc102119867"/>
      <w:bookmarkStart w:id="333" w:name="_Toc101951082"/>
      <w:bookmarkStart w:id="334" w:name="_Toc101951191"/>
      <w:bookmarkStart w:id="335" w:name="_Toc101951268"/>
      <w:bookmarkStart w:id="336" w:name="_Toc101951344"/>
      <w:bookmarkStart w:id="337" w:name="_Toc101951916"/>
      <w:bookmarkStart w:id="338" w:name="_Toc101952221"/>
      <w:bookmarkStart w:id="339" w:name="_Toc101952283"/>
      <w:bookmarkStart w:id="340" w:name="_Toc101952828"/>
      <w:bookmarkStart w:id="341" w:name="_Toc101952875"/>
      <w:bookmarkStart w:id="342" w:name="_Toc101952922"/>
      <w:bookmarkStart w:id="343" w:name="_Toc101952969"/>
      <w:bookmarkStart w:id="344" w:name="_Toc101953268"/>
      <w:bookmarkStart w:id="345" w:name="_Toc101953348"/>
      <w:bookmarkStart w:id="346" w:name="_Toc101953865"/>
      <w:bookmarkStart w:id="347" w:name="_Toc101969197"/>
      <w:bookmarkStart w:id="348" w:name="_Toc102064497"/>
      <w:bookmarkStart w:id="349" w:name="_Toc102119764"/>
      <w:bookmarkStart w:id="350" w:name="_Toc102119868"/>
      <w:bookmarkStart w:id="351" w:name="_Toc101435146"/>
      <w:bookmarkStart w:id="352" w:name="_Toc102119869"/>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r w:rsidRPr="005A505B">
        <w:rPr>
          <w:color w:val="auto"/>
          <w:sz w:val="20"/>
          <w:szCs w:val="20"/>
        </w:rPr>
        <w:t>Department of Health Five Year Strategic Goals (2020/21 – 2024/25)</w:t>
      </w:r>
      <w:bookmarkEnd w:id="351"/>
      <w:bookmarkEnd w:id="352"/>
    </w:p>
    <w:p w:rsidR="008C29DE" w:rsidRPr="005A505B" w:rsidRDefault="008C29DE" w:rsidP="005A505B">
      <w:pPr>
        <w:jc w:val="both"/>
        <w:rPr>
          <w:rFonts w:cs="Arial"/>
          <w:color w:val="auto"/>
          <w:sz w:val="20"/>
          <w:szCs w:val="20"/>
        </w:rPr>
      </w:pPr>
      <w:r w:rsidRPr="005A505B">
        <w:rPr>
          <w:rFonts w:cs="Arial"/>
          <w:color w:val="auto"/>
          <w:sz w:val="20"/>
          <w:szCs w:val="20"/>
        </w:rPr>
        <w:t>In addition to the NDP, the health sector is also guided by the health sector Ten Point Plan and the United Nations (UN) Sustainable Development Goals 2030 (SDGs). The Department’s five-year strategic goals are</w:t>
      </w:r>
      <w:r w:rsidR="00A94ACA" w:rsidRPr="005A505B">
        <w:rPr>
          <w:rFonts w:cs="Arial"/>
          <w:color w:val="auto"/>
          <w:sz w:val="20"/>
          <w:szCs w:val="20"/>
        </w:rPr>
        <w:t xml:space="preserve"> as follows</w:t>
      </w:r>
      <w:r w:rsidRPr="005A505B">
        <w:rPr>
          <w:rFonts w:cs="Arial"/>
          <w:color w:val="auto"/>
          <w:sz w:val="20"/>
          <w:szCs w:val="20"/>
        </w:rPr>
        <w:t xml:space="preserve">: </w:t>
      </w:r>
    </w:p>
    <w:p w:rsidR="008C29DE" w:rsidRPr="005A505B" w:rsidRDefault="008C29DE" w:rsidP="005A505B">
      <w:pPr>
        <w:pStyle w:val="Caption"/>
        <w:keepNext/>
        <w:jc w:val="both"/>
        <w:rPr>
          <w:rFonts w:cs="Arial"/>
          <w:color w:val="auto"/>
        </w:rPr>
      </w:pPr>
    </w:p>
    <w:p w:rsidR="00332808" w:rsidRPr="005A505B" w:rsidRDefault="00332808" w:rsidP="005A505B">
      <w:pPr>
        <w:rPr>
          <w:rFonts w:cs="Arial"/>
          <w:color w:val="auto"/>
          <w:sz w:val="20"/>
          <w:szCs w:val="20"/>
        </w:rPr>
      </w:pPr>
    </w:p>
    <w:p w:rsidR="00A94ACA" w:rsidRPr="005A505B" w:rsidRDefault="00A94ACA" w:rsidP="005A505B">
      <w:pPr>
        <w:rPr>
          <w:rFonts w:cs="Arial"/>
          <w:color w:val="auto"/>
          <w:sz w:val="20"/>
          <w:szCs w:val="20"/>
        </w:rPr>
      </w:pPr>
    </w:p>
    <w:p w:rsidR="00A94ACA" w:rsidRPr="005A505B" w:rsidRDefault="00A94ACA" w:rsidP="005A505B">
      <w:pPr>
        <w:rPr>
          <w:rFonts w:cs="Arial"/>
          <w:color w:val="auto"/>
          <w:sz w:val="20"/>
          <w:szCs w:val="20"/>
        </w:rPr>
      </w:pPr>
    </w:p>
    <w:p w:rsidR="00A94ACA" w:rsidRPr="005A505B" w:rsidRDefault="00A94ACA" w:rsidP="005A505B">
      <w:pPr>
        <w:rPr>
          <w:rFonts w:cs="Arial"/>
          <w:color w:val="auto"/>
          <w:sz w:val="20"/>
          <w:szCs w:val="20"/>
        </w:rPr>
      </w:pPr>
    </w:p>
    <w:p w:rsidR="008C29DE" w:rsidRPr="005A505B" w:rsidRDefault="008C29DE" w:rsidP="005A505B">
      <w:pPr>
        <w:pStyle w:val="Caption"/>
        <w:keepNext/>
        <w:jc w:val="both"/>
        <w:rPr>
          <w:rFonts w:cs="Arial"/>
          <w:color w:val="auto"/>
        </w:rPr>
      </w:pPr>
      <w:r w:rsidRPr="005A505B">
        <w:rPr>
          <w:rFonts w:cs="Arial"/>
          <w:color w:val="auto"/>
        </w:rPr>
        <w:t xml:space="preserve">Table </w:t>
      </w:r>
      <w:r w:rsidR="00013966" w:rsidRPr="005A505B">
        <w:rPr>
          <w:rFonts w:cs="Arial"/>
          <w:color w:val="auto"/>
        </w:rPr>
        <w:fldChar w:fldCharType="begin"/>
      </w:r>
      <w:r w:rsidRPr="005A505B">
        <w:rPr>
          <w:rFonts w:cs="Arial"/>
          <w:color w:val="auto"/>
        </w:rPr>
        <w:instrText xml:space="preserve"> SEQ Table \* ARABIC </w:instrText>
      </w:r>
      <w:r w:rsidR="00013966" w:rsidRPr="005A505B">
        <w:rPr>
          <w:rFonts w:cs="Arial"/>
          <w:color w:val="auto"/>
        </w:rPr>
        <w:fldChar w:fldCharType="separate"/>
      </w:r>
      <w:r w:rsidRPr="005A505B">
        <w:rPr>
          <w:rFonts w:cs="Arial"/>
          <w:noProof/>
          <w:color w:val="auto"/>
        </w:rPr>
        <w:t>1</w:t>
      </w:r>
      <w:r w:rsidR="00013966" w:rsidRPr="005A505B">
        <w:rPr>
          <w:rFonts w:cs="Arial"/>
          <w:noProof/>
          <w:color w:val="auto"/>
        </w:rPr>
        <w:fldChar w:fldCharType="end"/>
      </w:r>
      <w:r w:rsidRPr="005A505B">
        <w:rPr>
          <w:rFonts w:cs="Arial"/>
          <w:color w:val="auto"/>
        </w:rPr>
        <w:t>: Department of Health Five Year Strategic Goals</w:t>
      </w:r>
    </w:p>
    <w:tbl>
      <w:tblPr>
        <w:tblStyle w:val="TableGrid"/>
        <w:tblW w:w="9351" w:type="dxa"/>
        <w:tblLook w:val="04A0"/>
      </w:tblPr>
      <w:tblGrid>
        <w:gridCol w:w="2972"/>
        <w:gridCol w:w="6379"/>
      </w:tblGrid>
      <w:tr w:rsidR="008C29DE" w:rsidRPr="005A505B" w:rsidTr="002E66DA">
        <w:tc>
          <w:tcPr>
            <w:tcW w:w="9351" w:type="dxa"/>
            <w:gridSpan w:val="2"/>
            <w:shd w:val="clear" w:color="auto" w:fill="auto"/>
          </w:tcPr>
          <w:p w:rsidR="008C29DE" w:rsidRPr="005A505B" w:rsidRDefault="008C29DE" w:rsidP="005A505B">
            <w:pPr>
              <w:jc w:val="both"/>
              <w:rPr>
                <w:rFonts w:cs="Arial"/>
                <w:b/>
                <w:color w:val="auto"/>
                <w:sz w:val="20"/>
                <w:szCs w:val="20"/>
              </w:rPr>
            </w:pPr>
            <w:r w:rsidRPr="005A505B">
              <w:rPr>
                <w:rFonts w:cs="Arial"/>
                <w:b/>
                <w:color w:val="auto"/>
                <w:sz w:val="20"/>
                <w:szCs w:val="20"/>
              </w:rPr>
              <w:t>MTSF Priority 3: Education, Skills and Health</w:t>
            </w:r>
          </w:p>
        </w:tc>
      </w:tr>
      <w:tr w:rsidR="008C29DE" w:rsidRPr="005A505B" w:rsidTr="002E66DA">
        <w:tc>
          <w:tcPr>
            <w:tcW w:w="2972" w:type="dxa"/>
            <w:shd w:val="clear" w:color="auto" w:fill="auto"/>
          </w:tcPr>
          <w:p w:rsidR="008C29DE" w:rsidRPr="005A505B" w:rsidRDefault="008C29DE" w:rsidP="005A505B">
            <w:pPr>
              <w:jc w:val="both"/>
              <w:rPr>
                <w:rFonts w:cs="Arial"/>
                <w:b/>
                <w:color w:val="auto"/>
                <w:sz w:val="20"/>
                <w:szCs w:val="20"/>
              </w:rPr>
            </w:pPr>
            <w:r w:rsidRPr="005A505B">
              <w:rPr>
                <w:rFonts w:cs="Arial"/>
                <w:b/>
                <w:color w:val="auto"/>
                <w:sz w:val="20"/>
                <w:szCs w:val="20"/>
              </w:rPr>
              <w:t>Impact Statements</w:t>
            </w:r>
          </w:p>
        </w:tc>
        <w:tc>
          <w:tcPr>
            <w:tcW w:w="6379" w:type="dxa"/>
            <w:shd w:val="clear" w:color="auto" w:fill="auto"/>
          </w:tcPr>
          <w:p w:rsidR="008C29DE" w:rsidRPr="005A505B" w:rsidRDefault="008C29DE" w:rsidP="005A505B">
            <w:pPr>
              <w:jc w:val="both"/>
              <w:rPr>
                <w:rFonts w:cs="Arial"/>
                <w:b/>
                <w:color w:val="auto"/>
                <w:sz w:val="20"/>
                <w:szCs w:val="20"/>
              </w:rPr>
            </w:pPr>
            <w:r w:rsidRPr="005A505B">
              <w:rPr>
                <w:rFonts w:cs="Arial"/>
                <w:b/>
                <w:color w:val="auto"/>
                <w:sz w:val="20"/>
                <w:szCs w:val="20"/>
              </w:rPr>
              <w:t>Outcomes</w:t>
            </w:r>
          </w:p>
        </w:tc>
      </w:tr>
      <w:tr w:rsidR="008C29DE" w:rsidRPr="005A505B" w:rsidTr="008C29DE">
        <w:tc>
          <w:tcPr>
            <w:tcW w:w="2972" w:type="dxa"/>
            <w:vMerge w:val="restart"/>
          </w:tcPr>
          <w:p w:rsidR="008C29DE" w:rsidRPr="005A505B" w:rsidRDefault="008C29DE" w:rsidP="005A505B">
            <w:pPr>
              <w:jc w:val="both"/>
              <w:rPr>
                <w:rFonts w:cs="Arial"/>
                <w:color w:val="auto"/>
                <w:sz w:val="20"/>
                <w:szCs w:val="20"/>
              </w:rPr>
            </w:pPr>
            <w:r w:rsidRPr="005A505B">
              <w:rPr>
                <w:rFonts w:cs="Arial"/>
                <w:color w:val="auto"/>
                <w:sz w:val="20"/>
                <w:szCs w:val="20"/>
              </w:rPr>
              <w:t>A. Life expectancy</w:t>
            </w:r>
          </w:p>
          <w:p w:rsidR="008C29DE" w:rsidRPr="005A505B" w:rsidRDefault="008C29DE" w:rsidP="005A505B">
            <w:pPr>
              <w:jc w:val="both"/>
              <w:rPr>
                <w:rFonts w:cs="Arial"/>
                <w:color w:val="auto"/>
                <w:sz w:val="20"/>
                <w:szCs w:val="20"/>
              </w:rPr>
            </w:pPr>
            <w:r w:rsidRPr="005A505B">
              <w:rPr>
                <w:rFonts w:cs="Arial"/>
                <w:color w:val="auto"/>
                <w:sz w:val="20"/>
                <w:szCs w:val="20"/>
              </w:rPr>
              <w:t>of South Africans</w:t>
            </w:r>
          </w:p>
          <w:p w:rsidR="008C29DE" w:rsidRPr="005A505B" w:rsidRDefault="008C29DE" w:rsidP="005A505B">
            <w:pPr>
              <w:jc w:val="both"/>
              <w:rPr>
                <w:rFonts w:cs="Arial"/>
                <w:color w:val="auto"/>
                <w:sz w:val="20"/>
                <w:szCs w:val="20"/>
              </w:rPr>
            </w:pPr>
            <w:r w:rsidRPr="005A505B">
              <w:rPr>
                <w:rFonts w:cs="Arial"/>
                <w:color w:val="auto"/>
                <w:sz w:val="20"/>
                <w:szCs w:val="20"/>
              </w:rPr>
              <w:t>improved to 66.6</w:t>
            </w:r>
          </w:p>
          <w:p w:rsidR="008C29DE" w:rsidRPr="005A505B" w:rsidRDefault="008C29DE" w:rsidP="005A505B">
            <w:pPr>
              <w:jc w:val="both"/>
              <w:rPr>
                <w:rFonts w:cs="Arial"/>
                <w:color w:val="auto"/>
                <w:sz w:val="20"/>
                <w:szCs w:val="20"/>
              </w:rPr>
            </w:pPr>
            <w:r w:rsidRPr="005A505B">
              <w:rPr>
                <w:rFonts w:cs="Arial"/>
                <w:color w:val="auto"/>
                <w:sz w:val="20"/>
                <w:szCs w:val="20"/>
              </w:rPr>
              <w:t>years by 2024, and 70</w:t>
            </w:r>
          </w:p>
          <w:p w:rsidR="008C29DE" w:rsidRPr="005A505B" w:rsidRDefault="008C29DE" w:rsidP="005A505B">
            <w:pPr>
              <w:jc w:val="both"/>
              <w:rPr>
                <w:rFonts w:cs="Arial"/>
                <w:color w:val="auto"/>
                <w:sz w:val="20"/>
                <w:szCs w:val="20"/>
              </w:rPr>
            </w:pPr>
            <w:r w:rsidRPr="005A505B">
              <w:rPr>
                <w:rFonts w:cs="Arial"/>
                <w:color w:val="auto"/>
                <w:sz w:val="20"/>
                <w:szCs w:val="20"/>
              </w:rPr>
              <w:t>years by 2030.</w:t>
            </w:r>
          </w:p>
        </w:tc>
        <w:tc>
          <w:tcPr>
            <w:tcW w:w="6379" w:type="dxa"/>
          </w:tcPr>
          <w:p w:rsidR="008C29DE" w:rsidRPr="005A505B" w:rsidRDefault="008C29DE" w:rsidP="005A505B">
            <w:pPr>
              <w:jc w:val="both"/>
              <w:rPr>
                <w:rFonts w:cs="Arial"/>
                <w:color w:val="auto"/>
                <w:sz w:val="20"/>
                <w:szCs w:val="20"/>
              </w:rPr>
            </w:pPr>
            <w:r w:rsidRPr="005A505B">
              <w:rPr>
                <w:rFonts w:cs="Arial"/>
                <w:color w:val="auto"/>
                <w:sz w:val="20"/>
                <w:szCs w:val="20"/>
              </w:rPr>
              <w:t>1. Maternal, Child, Infant and neonatal mortalities reduced.</w:t>
            </w:r>
          </w:p>
        </w:tc>
      </w:tr>
      <w:tr w:rsidR="008C29DE" w:rsidRPr="005A505B" w:rsidTr="008C29DE">
        <w:tc>
          <w:tcPr>
            <w:tcW w:w="2972" w:type="dxa"/>
            <w:vMerge/>
          </w:tcPr>
          <w:p w:rsidR="008C29DE" w:rsidRPr="005A505B" w:rsidRDefault="008C29DE" w:rsidP="005A505B">
            <w:pPr>
              <w:jc w:val="both"/>
              <w:rPr>
                <w:rFonts w:cs="Arial"/>
                <w:color w:val="auto"/>
                <w:sz w:val="20"/>
                <w:szCs w:val="20"/>
              </w:rPr>
            </w:pPr>
          </w:p>
        </w:tc>
        <w:tc>
          <w:tcPr>
            <w:tcW w:w="6379" w:type="dxa"/>
          </w:tcPr>
          <w:p w:rsidR="008C29DE" w:rsidRPr="005A505B" w:rsidRDefault="008C29DE" w:rsidP="005A505B">
            <w:pPr>
              <w:jc w:val="both"/>
              <w:rPr>
                <w:rFonts w:cs="Arial"/>
                <w:color w:val="auto"/>
                <w:sz w:val="20"/>
                <w:szCs w:val="20"/>
              </w:rPr>
            </w:pPr>
            <w:r w:rsidRPr="005A505B">
              <w:rPr>
                <w:rFonts w:cs="Arial"/>
                <w:color w:val="auto"/>
                <w:sz w:val="20"/>
                <w:szCs w:val="20"/>
              </w:rPr>
              <w:t>2. HIV incidence among youth reduced.</w:t>
            </w:r>
          </w:p>
        </w:tc>
      </w:tr>
      <w:tr w:rsidR="008C29DE" w:rsidRPr="005A505B" w:rsidTr="008C29DE">
        <w:tc>
          <w:tcPr>
            <w:tcW w:w="2972" w:type="dxa"/>
            <w:vMerge/>
          </w:tcPr>
          <w:p w:rsidR="008C29DE" w:rsidRPr="005A505B" w:rsidRDefault="008C29DE" w:rsidP="005A505B">
            <w:pPr>
              <w:jc w:val="both"/>
              <w:rPr>
                <w:rFonts w:cs="Arial"/>
                <w:color w:val="auto"/>
                <w:sz w:val="20"/>
                <w:szCs w:val="20"/>
              </w:rPr>
            </w:pPr>
          </w:p>
        </w:tc>
        <w:tc>
          <w:tcPr>
            <w:tcW w:w="6379" w:type="dxa"/>
          </w:tcPr>
          <w:p w:rsidR="008C29DE" w:rsidRPr="005A505B" w:rsidRDefault="008C29DE" w:rsidP="005A505B">
            <w:pPr>
              <w:jc w:val="both"/>
              <w:rPr>
                <w:rFonts w:cs="Arial"/>
                <w:color w:val="auto"/>
                <w:sz w:val="20"/>
                <w:szCs w:val="20"/>
              </w:rPr>
            </w:pPr>
            <w:r w:rsidRPr="005A505B">
              <w:rPr>
                <w:rFonts w:cs="Arial"/>
                <w:color w:val="auto"/>
                <w:sz w:val="20"/>
                <w:szCs w:val="20"/>
              </w:rPr>
              <w:t>3. 90:90:90 targets for HIV AIDS achieved by 2020 and 95:95:95 targets by 2024/25.</w:t>
            </w:r>
          </w:p>
        </w:tc>
      </w:tr>
      <w:tr w:rsidR="008C29DE" w:rsidRPr="005A505B" w:rsidTr="008C29DE">
        <w:tc>
          <w:tcPr>
            <w:tcW w:w="2972" w:type="dxa"/>
            <w:vMerge/>
          </w:tcPr>
          <w:p w:rsidR="008C29DE" w:rsidRPr="005A505B" w:rsidRDefault="008C29DE" w:rsidP="005A505B">
            <w:pPr>
              <w:jc w:val="both"/>
              <w:rPr>
                <w:rFonts w:cs="Arial"/>
                <w:color w:val="auto"/>
                <w:sz w:val="20"/>
                <w:szCs w:val="20"/>
              </w:rPr>
            </w:pPr>
          </w:p>
        </w:tc>
        <w:tc>
          <w:tcPr>
            <w:tcW w:w="6379" w:type="dxa"/>
          </w:tcPr>
          <w:p w:rsidR="008C29DE" w:rsidRPr="005A505B" w:rsidRDefault="008C29DE" w:rsidP="005A505B">
            <w:pPr>
              <w:jc w:val="both"/>
              <w:rPr>
                <w:rFonts w:cs="Arial"/>
                <w:color w:val="auto"/>
                <w:sz w:val="20"/>
                <w:szCs w:val="20"/>
              </w:rPr>
            </w:pPr>
            <w:r w:rsidRPr="005A505B">
              <w:rPr>
                <w:rFonts w:cs="Arial"/>
                <w:color w:val="auto"/>
                <w:sz w:val="20"/>
                <w:szCs w:val="20"/>
              </w:rPr>
              <w:t>4. Significant progress made towards ending TB by 2035 through improving treatment/cure.</w:t>
            </w:r>
          </w:p>
        </w:tc>
      </w:tr>
      <w:tr w:rsidR="008C29DE" w:rsidRPr="005A505B" w:rsidTr="008C29DE">
        <w:tc>
          <w:tcPr>
            <w:tcW w:w="2972" w:type="dxa"/>
            <w:vMerge/>
          </w:tcPr>
          <w:p w:rsidR="008C29DE" w:rsidRPr="005A505B" w:rsidRDefault="008C29DE" w:rsidP="005A505B">
            <w:pPr>
              <w:jc w:val="both"/>
              <w:rPr>
                <w:rFonts w:cs="Arial"/>
                <w:color w:val="auto"/>
                <w:sz w:val="20"/>
                <w:szCs w:val="20"/>
              </w:rPr>
            </w:pPr>
          </w:p>
        </w:tc>
        <w:tc>
          <w:tcPr>
            <w:tcW w:w="6379" w:type="dxa"/>
          </w:tcPr>
          <w:p w:rsidR="008C29DE" w:rsidRPr="005A505B" w:rsidRDefault="008C29DE" w:rsidP="005A505B">
            <w:pPr>
              <w:jc w:val="both"/>
              <w:rPr>
                <w:rFonts w:cs="Arial"/>
                <w:color w:val="auto"/>
                <w:sz w:val="20"/>
                <w:szCs w:val="20"/>
              </w:rPr>
            </w:pPr>
            <w:r w:rsidRPr="005A505B">
              <w:rPr>
                <w:rFonts w:cs="Arial"/>
                <w:color w:val="auto"/>
                <w:sz w:val="20"/>
                <w:szCs w:val="20"/>
              </w:rPr>
              <w:t>5. Premature mortality from non-communicable diseases reduced by 10%.</w:t>
            </w:r>
          </w:p>
        </w:tc>
      </w:tr>
      <w:tr w:rsidR="008C29DE" w:rsidRPr="005A505B" w:rsidTr="008C29DE">
        <w:tc>
          <w:tcPr>
            <w:tcW w:w="2972" w:type="dxa"/>
            <w:vMerge w:val="restart"/>
          </w:tcPr>
          <w:p w:rsidR="008C29DE" w:rsidRPr="005A505B" w:rsidRDefault="008C29DE" w:rsidP="005A505B">
            <w:pPr>
              <w:jc w:val="both"/>
              <w:rPr>
                <w:rFonts w:cs="Arial"/>
                <w:color w:val="auto"/>
                <w:sz w:val="20"/>
                <w:szCs w:val="20"/>
              </w:rPr>
            </w:pPr>
            <w:r w:rsidRPr="005A505B">
              <w:rPr>
                <w:rFonts w:cs="Arial"/>
                <w:color w:val="auto"/>
                <w:sz w:val="20"/>
                <w:szCs w:val="20"/>
              </w:rPr>
              <w:t>B. Universal Health</w:t>
            </w:r>
          </w:p>
          <w:p w:rsidR="008C29DE" w:rsidRPr="005A505B" w:rsidRDefault="008C29DE" w:rsidP="005A505B">
            <w:pPr>
              <w:jc w:val="both"/>
              <w:rPr>
                <w:rFonts w:cs="Arial"/>
                <w:color w:val="auto"/>
                <w:sz w:val="20"/>
                <w:szCs w:val="20"/>
              </w:rPr>
            </w:pPr>
            <w:r w:rsidRPr="005A505B">
              <w:rPr>
                <w:rFonts w:cs="Arial"/>
                <w:color w:val="auto"/>
                <w:sz w:val="20"/>
                <w:szCs w:val="20"/>
              </w:rPr>
              <w:t>Coverage for all South</w:t>
            </w:r>
          </w:p>
          <w:p w:rsidR="008C29DE" w:rsidRPr="005A505B" w:rsidRDefault="008C29DE" w:rsidP="005A505B">
            <w:pPr>
              <w:jc w:val="both"/>
              <w:rPr>
                <w:rFonts w:cs="Arial"/>
                <w:color w:val="auto"/>
                <w:sz w:val="20"/>
                <w:szCs w:val="20"/>
              </w:rPr>
            </w:pPr>
            <w:r w:rsidRPr="005A505B">
              <w:rPr>
                <w:rFonts w:cs="Arial"/>
                <w:color w:val="auto"/>
                <w:sz w:val="20"/>
                <w:szCs w:val="20"/>
              </w:rPr>
              <w:t>Africans progressively</w:t>
            </w:r>
          </w:p>
          <w:p w:rsidR="008C29DE" w:rsidRPr="005A505B" w:rsidRDefault="008C29DE" w:rsidP="005A505B">
            <w:pPr>
              <w:jc w:val="both"/>
              <w:rPr>
                <w:rFonts w:cs="Arial"/>
                <w:color w:val="auto"/>
                <w:sz w:val="20"/>
                <w:szCs w:val="20"/>
              </w:rPr>
            </w:pPr>
            <w:r w:rsidRPr="005A505B">
              <w:rPr>
                <w:rFonts w:cs="Arial"/>
                <w:color w:val="auto"/>
                <w:sz w:val="20"/>
                <w:szCs w:val="20"/>
              </w:rPr>
              <w:t>achieved and all</w:t>
            </w:r>
          </w:p>
          <w:p w:rsidR="008C29DE" w:rsidRPr="005A505B" w:rsidRDefault="008C29DE" w:rsidP="005A505B">
            <w:pPr>
              <w:jc w:val="both"/>
              <w:rPr>
                <w:rFonts w:cs="Arial"/>
                <w:color w:val="auto"/>
                <w:sz w:val="20"/>
                <w:szCs w:val="20"/>
              </w:rPr>
            </w:pPr>
            <w:r w:rsidRPr="005A505B">
              <w:rPr>
                <w:rFonts w:cs="Arial"/>
                <w:color w:val="auto"/>
                <w:sz w:val="20"/>
                <w:szCs w:val="20"/>
              </w:rPr>
              <w:t>citizens protected</w:t>
            </w:r>
          </w:p>
          <w:p w:rsidR="008C29DE" w:rsidRPr="005A505B" w:rsidRDefault="008C29DE" w:rsidP="005A505B">
            <w:pPr>
              <w:jc w:val="both"/>
              <w:rPr>
                <w:rFonts w:cs="Arial"/>
                <w:color w:val="auto"/>
                <w:sz w:val="20"/>
                <w:szCs w:val="20"/>
              </w:rPr>
            </w:pPr>
            <w:r w:rsidRPr="005A505B">
              <w:rPr>
                <w:rFonts w:cs="Arial"/>
                <w:color w:val="auto"/>
                <w:sz w:val="20"/>
                <w:szCs w:val="20"/>
              </w:rPr>
              <w:t>from the catastrophic</w:t>
            </w:r>
          </w:p>
          <w:p w:rsidR="008C29DE" w:rsidRPr="005A505B" w:rsidRDefault="008C29DE" w:rsidP="005A505B">
            <w:pPr>
              <w:jc w:val="both"/>
              <w:rPr>
                <w:rFonts w:cs="Arial"/>
                <w:color w:val="auto"/>
                <w:sz w:val="20"/>
                <w:szCs w:val="20"/>
              </w:rPr>
            </w:pPr>
            <w:r w:rsidRPr="005A505B">
              <w:rPr>
                <w:rFonts w:cs="Arial"/>
                <w:color w:val="auto"/>
                <w:sz w:val="20"/>
                <w:szCs w:val="20"/>
              </w:rPr>
              <w:t>financial impact of</w:t>
            </w:r>
          </w:p>
          <w:p w:rsidR="008C29DE" w:rsidRPr="005A505B" w:rsidRDefault="008C29DE" w:rsidP="005A505B">
            <w:pPr>
              <w:jc w:val="both"/>
              <w:rPr>
                <w:rFonts w:cs="Arial"/>
                <w:color w:val="auto"/>
                <w:sz w:val="20"/>
                <w:szCs w:val="20"/>
              </w:rPr>
            </w:pPr>
            <w:r w:rsidRPr="005A505B">
              <w:rPr>
                <w:rFonts w:cs="Arial"/>
                <w:color w:val="auto"/>
                <w:sz w:val="20"/>
                <w:szCs w:val="20"/>
              </w:rPr>
              <w:t>seeking health care by</w:t>
            </w:r>
          </w:p>
          <w:p w:rsidR="008C29DE" w:rsidRPr="005A505B" w:rsidRDefault="008C29DE" w:rsidP="005A505B">
            <w:pPr>
              <w:jc w:val="both"/>
              <w:rPr>
                <w:rFonts w:cs="Arial"/>
                <w:color w:val="auto"/>
                <w:sz w:val="20"/>
                <w:szCs w:val="20"/>
              </w:rPr>
            </w:pPr>
            <w:r w:rsidRPr="005A505B">
              <w:rPr>
                <w:rFonts w:cs="Arial"/>
                <w:color w:val="auto"/>
                <w:sz w:val="20"/>
                <w:szCs w:val="20"/>
              </w:rPr>
              <w:t>2030.</w:t>
            </w:r>
          </w:p>
        </w:tc>
        <w:tc>
          <w:tcPr>
            <w:tcW w:w="6379" w:type="dxa"/>
          </w:tcPr>
          <w:p w:rsidR="008C29DE" w:rsidRPr="005A505B" w:rsidRDefault="008C29DE" w:rsidP="005A505B">
            <w:pPr>
              <w:jc w:val="both"/>
              <w:rPr>
                <w:rFonts w:cs="Arial"/>
                <w:color w:val="auto"/>
                <w:sz w:val="20"/>
                <w:szCs w:val="20"/>
              </w:rPr>
            </w:pPr>
            <w:r w:rsidRPr="005A505B">
              <w:rPr>
                <w:rFonts w:cs="Arial"/>
                <w:color w:val="auto"/>
                <w:sz w:val="20"/>
                <w:szCs w:val="20"/>
              </w:rPr>
              <w:t>6. An equitable budgeting system progressively implemented and fragmentation reduced.</w:t>
            </w:r>
          </w:p>
        </w:tc>
      </w:tr>
      <w:tr w:rsidR="008C29DE" w:rsidRPr="005A505B" w:rsidTr="008C29DE">
        <w:tc>
          <w:tcPr>
            <w:tcW w:w="2972" w:type="dxa"/>
            <w:vMerge/>
          </w:tcPr>
          <w:p w:rsidR="008C29DE" w:rsidRPr="005A505B" w:rsidRDefault="008C29DE" w:rsidP="005A505B">
            <w:pPr>
              <w:jc w:val="both"/>
              <w:rPr>
                <w:rFonts w:cs="Arial"/>
                <w:color w:val="auto"/>
                <w:sz w:val="20"/>
                <w:szCs w:val="20"/>
              </w:rPr>
            </w:pPr>
          </w:p>
        </w:tc>
        <w:tc>
          <w:tcPr>
            <w:tcW w:w="6379" w:type="dxa"/>
          </w:tcPr>
          <w:p w:rsidR="008C29DE" w:rsidRPr="005A505B" w:rsidRDefault="008C29DE" w:rsidP="005A505B">
            <w:pPr>
              <w:jc w:val="both"/>
              <w:rPr>
                <w:rFonts w:cs="Arial"/>
                <w:color w:val="auto"/>
                <w:sz w:val="20"/>
                <w:szCs w:val="20"/>
              </w:rPr>
            </w:pPr>
            <w:r w:rsidRPr="005A505B">
              <w:rPr>
                <w:rFonts w:cs="Arial"/>
                <w:color w:val="auto"/>
                <w:sz w:val="20"/>
                <w:szCs w:val="20"/>
              </w:rPr>
              <w:t>7. Resources are available to managers and frontline providers, with flexibility to manage it according to their local needs.</w:t>
            </w:r>
          </w:p>
        </w:tc>
      </w:tr>
      <w:tr w:rsidR="008C29DE" w:rsidRPr="005A505B" w:rsidTr="008C29DE">
        <w:tc>
          <w:tcPr>
            <w:tcW w:w="2972" w:type="dxa"/>
            <w:vMerge/>
          </w:tcPr>
          <w:p w:rsidR="008C29DE" w:rsidRPr="005A505B" w:rsidRDefault="008C29DE" w:rsidP="005A505B">
            <w:pPr>
              <w:jc w:val="both"/>
              <w:rPr>
                <w:rFonts w:cs="Arial"/>
                <w:color w:val="auto"/>
                <w:sz w:val="20"/>
                <w:szCs w:val="20"/>
              </w:rPr>
            </w:pPr>
          </w:p>
        </w:tc>
        <w:tc>
          <w:tcPr>
            <w:tcW w:w="6379" w:type="dxa"/>
          </w:tcPr>
          <w:p w:rsidR="008C29DE" w:rsidRPr="005A505B" w:rsidRDefault="008C29DE" w:rsidP="005A505B">
            <w:pPr>
              <w:jc w:val="both"/>
              <w:rPr>
                <w:rFonts w:cs="Arial"/>
                <w:color w:val="auto"/>
                <w:sz w:val="20"/>
                <w:szCs w:val="20"/>
              </w:rPr>
            </w:pPr>
            <w:r w:rsidRPr="005A505B">
              <w:rPr>
                <w:rFonts w:cs="Arial"/>
                <w:color w:val="auto"/>
                <w:sz w:val="20"/>
                <w:szCs w:val="20"/>
              </w:rPr>
              <w:t>8. Financial management strengthened in the health sector.</w:t>
            </w:r>
          </w:p>
        </w:tc>
      </w:tr>
      <w:tr w:rsidR="008C29DE" w:rsidRPr="005A505B" w:rsidTr="008C29DE">
        <w:tc>
          <w:tcPr>
            <w:tcW w:w="2972" w:type="dxa"/>
            <w:vMerge/>
          </w:tcPr>
          <w:p w:rsidR="008C29DE" w:rsidRPr="005A505B" w:rsidRDefault="008C29DE" w:rsidP="005A505B">
            <w:pPr>
              <w:jc w:val="both"/>
              <w:rPr>
                <w:rFonts w:cs="Arial"/>
                <w:color w:val="auto"/>
                <w:sz w:val="20"/>
                <w:szCs w:val="20"/>
              </w:rPr>
            </w:pPr>
          </w:p>
        </w:tc>
        <w:tc>
          <w:tcPr>
            <w:tcW w:w="6379" w:type="dxa"/>
          </w:tcPr>
          <w:p w:rsidR="008C29DE" w:rsidRPr="005A505B" w:rsidRDefault="008C29DE" w:rsidP="005A505B">
            <w:pPr>
              <w:jc w:val="both"/>
              <w:rPr>
                <w:rFonts w:cs="Arial"/>
                <w:color w:val="auto"/>
                <w:sz w:val="20"/>
                <w:szCs w:val="20"/>
              </w:rPr>
            </w:pPr>
            <w:r w:rsidRPr="005A505B">
              <w:rPr>
                <w:rFonts w:cs="Arial"/>
                <w:color w:val="auto"/>
                <w:sz w:val="20"/>
                <w:szCs w:val="20"/>
              </w:rPr>
              <w:t>9. Management of medico-legal cases in the health system strengthened.</w:t>
            </w:r>
          </w:p>
        </w:tc>
      </w:tr>
      <w:tr w:rsidR="008C29DE" w:rsidRPr="005A505B" w:rsidTr="008C29DE">
        <w:tc>
          <w:tcPr>
            <w:tcW w:w="2972" w:type="dxa"/>
            <w:vMerge/>
          </w:tcPr>
          <w:p w:rsidR="008C29DE" w:rsidRPr="005A505B" w:rsidRDefault="008C29DE" w:rsidP="005A505B">
            <w:pPr>
              <w:jc w:val="both"/>
              <w:rPr>
                <w:rFonts w:cs="Arial"/>
                <w:color w:val="auto"/>
                <w:sz w:val="20"/>
                <w:szCs w:val="20"/>
              </w:rPr>
            </w:pPr>
          </w:p>
        </w:tc>
        <w:tc>
          <w:tcPr>
            <w:tcW w:w="6379" w:type="dxa"/>
          </w:tcPr>
          <w:p w:rsidR="008C29DE" w:rsidRPr="005A505B" w:rsidRDefault="008C29DE" w:rsidP="005A505B">
            <w:pPr>
              <w:jc w:val="both"/>
              <w:rPr>
                <w:rFonts w:cs="Arial"/>
                <w:color w:val="auto"/>
                <w:sz w:val="20"/>
                <w:szCs w:val="20"/>
              </w:rPr>
            </w:pPr>
            <w:r w:rsidRPr="005A505B">
              <w:rPr>
                <w:rFonts w:cs="Arial"/>
                <w:color w:val="auto"/>
                <w:sz w:val="20"/>
                <w:szCs w:val="20"/>
              </w:rPr>
              <w:t>10. Package of services available to the population is expanded on the basis of cost-effectiveness and equity.</w:t>
            </w:r>
          </w:p>
        </w:tc>
      </w:tr>
      <w:tr w:rsidR="008C29DE" w:rsidRPr="005A505B" w:rsidTr="008C29DE">
        <w:tc>
          <w:tcPr>
            <w:tcW w:w="2972" w:type="dxa"/>
            <w:vMerge/>
          </w:tcPr>
          <w:p w:rsidR="008C29DE" w:rsidRPr="005A505B" w:rsidRDefault="008C29DE" w:rsidP="005A505B">
            <w:pPr>
              <w:jc w:val="both"/>
              <w:rPr>
                <w:rFonts w:cs="Arial"/>
                <w:color w:val="auto"/>
                <w:sz w:val="20"/>
                <w:szCs w:val="20"/>
              </w:rPr>
            </w:pPr>
          </w:p>
        </w:tc>
        <w:tc>
          <w:tcPr>
            <w:tcW w:w="6379" w:type="dxa"/>
          </w:tcPr>
          <w:p w:rsidR="008C29DE" w:rsidRPr="005A505B" w:rsidRDefault="008C29DE" w:rsidP="005A505B">
            <w:pPr>
              <w:jc w:val="both"/>
              <w:rPr>
                <w:rFonts w:cs="Arial"/>
                <w:color w:val="auto"/>
                <w:sz w:val="20"/>
                <w:szCs w:val="20"/>
              </w:rPr>
            </w:pPr>
            <w:r w:rsidRPr="005A505B">
              <w:rPr>
                <w:rFonts w:cs="Arial"/>
                <w:color w:val="auto"/>
                <w:sz w:val="20"/>
                <w:szCs w:val="20"/>
              </w:rPr>
              <w:t>11. Integrated services delivered according to the referral policy, at the most appropriate level, to ensure continuity of care.</w:t>
            </w:r>
          </w:p>
        </w:tc>
      </w:tr>
      <w:tr w:rsidR="008C29DE" w:rsidRPr="005A505B" w:rsidTr="008C29DE">
        <w:tc>
          <w:tcPr>
            <w:tcW w:w="2972" w:type="dxa"/>
            <w:vMerge/>
          </w:tcPr>
          <w:p w:rsidR="008C29DE" w:rsidRPr="005A505B" w:rsidRDefault="008C29DE" w:rsidP="005A505B">
            <w:pPr>
              <w:jc w:val="both"/>
              <w:rPr>
                <w:rFonts w:cs="Arial"/>
                <w:color w:val="auto"/>
                <w:sz w:val="20"/>
                <w:szCs w:val="20"/>
              </w:rPr>
            </w:pPr>
          </w:p>
        </w:tc>
        <w:tc>
          <w:tcPr>
            <w:tcW w:w="6379" w:type="dxa"/>
          </w:tcPr>
          <w:p w:rsidR="008C29DE" w:rsidRPr="005A505B" w:rsidRDefault="008C29DE" w:rsidP="005A505B">
            <w:pPr>
              <w:jc w:val="both"/>
              <w:rPr>
                <w:rFonts w:cs="Arial"/>
                <w:color w:val="auto"/>
                <w:sz w:val="20"/>
                <w:szCs w:val="20"/>
              </w:rPr>
            </w:pPr>
            <w:r w:rsidRPr="005A505B">
              <w:rPr>
                <w:rFonts w:cs="Arial"/>
                <w:color w:val="auto"/>
                <w:sz w:val="20"/>
                <w:szCs w:val="20"/>
              </w:rPr>
              <w:t>12. Quality and safety of care improved.</w:t>
            </w:r>
          </w:p>
        </w:tc>
      </w:tr>
      <w:tr w:rsidR="008C29DE" w:rsidRPr="005A505B" w:rsidTr="008C29DE">
        <w:tc>
          <w:tcPr>
            <w:tcW w:w="2972" w:type="dxa"/>
            <w:vMerge/>
          </w:tcPr>
          <w:p w:rsidR="008C29DE" w:rsidRPr="005A505B" w:rsidRDefault="008C29DE" w:rsidP="005A505B">
            <w:pPr>
              <w:jc w:val="both"/>
              <w:rPr>
                <w:rFonts w:cs="Arial"/>
                <w:color w:val="auto"/>
                <w:sz w:val="20"/>
                <w:szCs w:val="20"/>
              </w:rPr>
            </w:pPr>
          </w:p>
        </w:tc>
        <w:tc>
          <w:tcPr>
            <w:tcW w:w="6379" w:type="dxa"/>
          </w:tcPr>
          <w:p w:rsidR="008C29DE" w:rsidRPr="005A505B" w:rsidRDefault="008C29DE" w:rsidP="005A505B">
            <w:pPr>
              <w:jc w:val="both"/>
              <w:rPr>
                <w:rFonts w:cs="Arial"/>
                <w:color w:val="auto"/>
                <w:sz w:val="20"/>
                <w:szCs w:val="20"/>
              </w:rPr>
            </w:pPr>
            <w:r w:rsidRPr="005A505B">
              <w:rPr>
                <w:rFonts w:cs="Arial"/>
                <w:color w:val="auto"/>
                <w:sz w:val="20"/>
                <w:szCs w:val="20"/>
              </w:rPr>
              <w:t>13. Staff equitably distributed and have right skills and attitudes.</w:t>
            </w:r>
          </w:p>
        </w:tc>
      </w:tr>
      <w:tr w:rsidR="008C29DE" w:rsidRPr="005A505B" w:rsidTr="008C29DE">
        <w:tc>
          <w:tcPr>
            <w:tcW w:w="2972" w:type="dxa"/>
            <w:vMerge/>
          </w:tcPr>
          <w:p w:rsidR="008C29DE" w:rsidRPr="005A505B" w:rsidRDefault="008C29DE" w:rsidP="005A505B">
            <w:pPr>
              <w:jc w:val="both"/>
              <w:rPr>
                <w:rFonts w:cs="Arial"/>
                <w:color w:val="auto"/>
                <w:sz w:val="20"/>
                <w:szCs w:val="20"/>
              </w:rPr>
            </w:pPr>
          </w:p>
        </w:tc>
        <w:tc>
          <w:tcPr>
            <w:tcW w:w="6379" w:type="dxa"/>
          </w:tcPr>
          <w:p w:rsidR="008C29DE" w:rsidRPr="005A505B" w:rsidRDefault="008C29DE" w:rsidP="005A505B">
            <w:pPr>
              <w:jc w:val="both"/>
              <w:rPr>
                <w:rFonts w:cs="Arial"/>
                <w:color w:val="auto"/>
                <w:sz w:val="20"/>
                <w:szCs w:val="20"/>
              </w:rPr>
            </w:pPr>
            <w:r w:rsidRPr="005A505B">
              <w:rPr>
                <w:rFonts w:cs="Arial"/>
                <w:color w:val="auto"/>
                <w:sz w:val="20"/>
                <w:szCs w:val="20"/>
              </w:rPr>
              <w:t>14. Community participation promoted to ensure health system responsiveness and effective management of their health needs.</w:t>
            </w:r>
          </w:p>
        </w:tc>
      </w:tr>
      <w:tr w:rsidR="008C29DE" w:rsidRPr="005A505B" w:rsidTr="008C29DE">
        <w:tc>
          <w:tcPr>
            <w:tcW w:w="2972" w:type="dxa"/>
            <w:vMerge/>
          </w:tcPr>
          <w:p w:rsidR="008C29DE" w:rsidRPr="005A505B" w:rsidRDefault="008C29DE" w:rsidP="005A505B">
            <w:pPr>
              <w:jc w:val="both"/>
              <w:rPr>
                <w:rFonts w:cs="Arial"/>
                <w:color w:val="auto"/>
                <w:sz w:val="20"/>
                <w:szCs w:val="20"/>
              </w:rPr>
            </w:pPr>
          </w:p>
        </w:tc>
        <w:tc>
          <w:tcPr>
            <w:tcW w:w="6379" w:type="dxa"/>
          </w:tcPr>
          <w:p w:rsidR="008C29DE" w:rsidRPr="005A505B" w:rsidRDefault="008C29DE" w:rsidP="005A505B">
            <w:pPr>
              <w:jc w:val="both"/>
              <w:rPr>
                <w:rFonts w:cs="Arial"/>
                <w:color w:val="auto"/>
                <w:sz w:val="20"/>
                <w:szCs w:val="20"/>
              </w:rPr>
            </w:pPr>
            <w:r w:rsidRPr="005A505B">
              <w:rPr>
                <w:rFonts w:cs="Arial"/>
                <w:color w:val="auto"/>
                <w:sz w:val="20"/>
                <w:szCs w:val="20"/>
              </w:rPr>
              <w:t>15. Environmental Health strengthened by contributing to improved quality of water, sanitation, waste management and food services.</w:t>
            </w:r>
          </w:p>
        </w:tc>
      </w:tr>
      <w:tr w:rsidR="008C29DE" w:rsidRPr="005A505B" w:rsidTr="008C29DE">
        <w:tc>
          <w:tcPr>
            <w:tcW w:w="2972" w:type="dxa"/>
            <w:vMerge/>
          </w:tcPr>
          <w:p w:rsidR="008C29DE" w:rsidRPr="005A505B" w:rsidRDefault="008C29DE" w:rsidP="005A505B">
            <w:pPr>
              <w:jc w:val="both"/>
              <w:rPr>
                <w:rFonts w:cs="Arial"/>
                <w:color w:val="auto"/>
                <w:sz w:val="20"/>
                <w:szCs w:val="20"/>
              </w:rPr>
            </w:pPr>
          </w:p>
        </w:tc>
        <w:tc>
          <w:tcPr>
            <w:tcW w:w="6379" w:type="dxa"/>
          </w:tcPr>
          <w:p w:rsidR="008C29DE" w:rsidRPr="005A505B" w:rsidRDefault="008C29DE" w:rsidP="005A505B">
            <w:pPr>
              <w:jc w:val="both"/>
              <w:rPr>
                <w:rFonts w:cs="Arial"/>
                <w:color w:val="auto"/>
                <w:sz w:val="20"/>
                <w:szCs w:val="20"/>
              </w:rPr>
            </w:pPr>
            <w:r w:rsidRPr="005A505B">
              <w:rPr>
                <w:rFonts w:cs="Arial"/>
                <w:color w:val="auto"/>
                <w:sz w:val="20"/>
                <w:szCs w:val="20"/>
              </w:rPr>
              <w:t>16. Financing and Delivery of infrastructure projects improved.</w:t>
            </w:r>
          </w:p>
        </w:tc>
      </w:tr>
      <w:tr w:rsidR="008C29DE" w:rsidRPr="005A505B" w:rsidTr="008C29DE">
        <w:tc>
          <w:tcPr>
            <w:tcW w:w="2972" w:type="dxa"/>
            <w:vMerge/>
          </w:tcPr>
          <w:p w:rsidR="008C29DE" w:rsidRPr="005A505B" w:rsidRDefault="008C29DE" w:rsidP="005A505B">
            <w:pPr>
              <w:jc w:val="both"/>
              <w:rPr>
                <w:rFonts w:cs="Arial"/>
                <w:color w:val="auto"/>
                <w:sz w:val="20"/>
                <w:szCs w:val="20"/>
              </w:rPr>
            </w:pPr>
          </w:p>
        </w:tc>
        <w:tc>
          <w:tcPr>
            <w:tcW w:w="6379" w:type="dxa"/>
          </w:tcPr>
          <w:p w:rsidR="008C29DE" w:rsidRPr="005A505B" w:rsidRDefault="008C29DE" w:rsidP="005A505B">
            <w:pPr>
              <w:jc w:val="both"/>
              <w:rPr>
                <w:rFonts w:cs="Arial"/>
                <w:color w:val="auto"/>
                <w:sz w:val="20"/>
                <w:szCs w:val="20"/>
              </w:rPr>
            </w:pPr>
            <w:r w:rsidRPr="005A505B">
              <w:rPr>
                <w:rFonts w:cs="Arial"/>
                <w:color w:val="auto"/>
                <w:sz w:val="20"/>
                <w:szCs w:val="20"/>
              </w:rPr>
              <w:t>17. Adaptive learning and decision making is improved through use of strategic information and evidence.</w:t>
            </w:r>
          </w:p>
        </w:tc>
      </w:tr>
      <w:tr w:rsidR="008C29DE" w:rsidRPr="005A505B" w:rsidTr="008C29DE">
        <w:tc>
          <w:tcPr>
            <w:tcW w:w="2972" w:type="dxa"/>
            <w:vMerge/>
          </w:tcPr>
          <w:p w:rsidR="008C29DE" w:rsidRPr="005A505B" w:rsidRDefault="008C29DE" w:rsidP="005A505B">
            <w:pPr>
              <w:jc w:val="both"/>
              <w:rPr>
                <w:rFonts w:cs="Arial"/>
                <w:color w:val="auto"/>
                <w:sz w:val="20"/>
                <w:szCs w:val="20"/>
              </w:rPr>
            </w:pPr>
          </w:p>
        </w:tc>
        <w:tc>
          <w:tcPr>
            <w:tcW w:w="6379" w:type="dxa"/>
          </w:tcPr>
          <w:p w:rsidR="008C29DE" w:rsidRPr="005A505B" w:rsidRDefault="008C29DE" w:rsidP="005A505B">
            <w:pPr>
              <w:jc w:val="both"/>
              <w:rPr>
                <w:rFonts w:cs="Arial"/>
                <w:color w:val="auto"/>
                <w:sz w:val="20"/>
                <w:szCs w:val="20"/>
              </w:rPr>
            </w:pPr>
            <w:r w:rsidRPr="005A505B">
              <w:rPr>
                <w:rFonts w:cs="Arial"/>
                <w:color w:val="auto"/>
                <w:sz w:val="20"/>
                <w:szCs w:val="20"/>
              </w:rPr>
              <w:t>18. Information systems are responsive to local needs to enhance data use and improve quality of care.</w:t>
            </w:r>
          </w:p>
        </w:tc>
      </w:tr>
    </w:tbl>
    <w:p w:rsidR="008C29DE" w:rsidRPr="005A505B" w:rsidRDefault="008C29DE" w:rsidP="005A505B">
      <w:pPr>
        <w:jc w:val="both"/>
        <w:rPr>
          <w:rFonts w:cs="Arial"/>
          <w:color w:val="auto"/>
          <w:sz w:val="20"/>
          <w:szCs w:val="20"/>
        </w:rPr>
      </w:pPr>
    </w:p>
    <w:p w:rsidR="008C29DE" w:rsidRPr="005A505B" w:rsidRDefault="008C29DE" w:rsidP="005A505B">
      <w:pPr>
        <w:pStyle w:val="Heading3"/>
        <w:numPr>
          <w:ilvl w:val="2"/>
          <w:numId w:val="53"/>
        </w:numPr>
        <w:spacing w:before="0" w:after="0"/>
        <w:rPr>
          <w:rFonts w:eastAsia="Calibri"/>
          <w:color w:val="auto"/>
          <w:sz w:val="20"/>
          <w:szCs w:val="20"/>
        </w:rPr>
      </w:pPr>
      <w:bookmarkStart w:id="353" w:name="_Toc101969199"/>
      <w:bookmarkStart w:id="354" w:name="_Toc102064499"/>
      <w:bookmarkStart w:id="355" w:name="_Toc102119766"/>
      <w:bookmarkStart w:id="356" w:name="_Toc102119870"/>
      <w:bookmarkStart w:id="357" w:name="_Toc101969200"/>
      <w:bookmarkStart w:id="358" w:name="_Toc102064500"/>
      <w:bookmarkStart w:id="359" w:name="_Toc102119767"/>
      <w:bookmarkStart w:id="360" w:name="_Toc102119871"/>
      <w:bookmarkStart w:id="361" w:name="_Toc101969201"/>
      <w:bookmarkStart w:id="362" w:name="_Toc102064501"/>
      <w:bookmarkStart w:id="363" w:name="_Toc102119768"/>
      <w:bookmarkStart w:id="364" w:name="_Toc102119872"/>
      <w:bookmarkStart w:id="365" w:name="_Toc101969202"/>
      <w:bookmarkStart w:id="366" w:name="_Toc102064502"/>
      <w:bookmarkStart w:id="367" w:name="_Toc102119769"/>
      <w:bookmarkStart w:id="368" w:name="_Toc102119873"/>
      <w:bookmarkStart w:id="369" w:name="_Toc101969203"/>
      <w:bookmarkStart w:id="370" w:name="_Toc102064503"/>
      <w:bookmarkStart w:id="371" w:name="_Toc102119770"/>
      <w:bookmarkStart w:id="372" w:name="_Toc102119874"/>
      <w:bookmarkStart w:id="373" w:name="_Toc101969204"/>
      <w:bookmarkStart w:id="374" w:name="_Toc102064504"/>
      <w:bookmarkStart w:id="375" w:name="_Toc102119771"/>
      <w:bookmarkStart w:id="376" w:name="_Toc102119875"/>
      <w:bookmarkStart w:id="377" w:name="_Toc101969205"/>
      <w:bookmarkStart w:id="378" w:name="_Toc102064505"/>
      <w:bookmarkStart w:id="379" w:name="_Toc102119772"/>
      <w:bookmarkStart w:id="380" w:name="_Toc102119876"/>
      <w:bookmarkStart w:id="381" w:name="_Toc101969206"/>
      <w:bookmarkStart w:id="382" w:name="_Toc102064506"/>
      <w:bookmarkStart w:id="383" w:name="_Toc102119773"/>
      <w:bookmarkStart w:id="384" w:name="_Toc102119877"/>
      <w:bookmarkStart w:id="385" w:name="_Toc101969207"/>
      <w:bookmarkStart w:id="386" w:name="_Toc102064507"/>
      <w:bookmarkStart w:id="387" w:name="_Toc102119774"/>
      <w:bookmarkStart w:id="388" w:name="_Toc102119878"/>
      <w:bookmarkStart w:id="389" w:name="_Toc101969208"/>
      <w:bookmarkStart w:id="390" w:name="_Toc102064508"/>
      <w:bookmarkStart w:id="391" w:name="_Toc102119775"/>
      <w:bookmarkStart w:id="392" w:name="_Toc102119879"/>
      <w:bookmarkStart w:id="393" w:name="_Toc101969209"/>
      <w:bookmarkStart w:id="394" w:name="_Toc102064509"/>
      <w:bookmarkStart w:id="395" w:name="_Toc102119776"/>
      <w:bookmarkStart w:id="396" w:name="_Toc102119880"/>
      <w:bookmarkStart w:id="397" w:name="_Toc101969210"/>
      <w:bookmarkStart w:id="398" w:name="_Toc102064510"/>
      <w:bookmarkStart w:id="399" w:name="_Toc102119777"/>
      <w:bookmarkStart w:id="400" w:name="_Toc102119881"/>
      <w:bookmarkStart w:id="401" w:name="_Toc101969211"/>
      <w:bookmarkStart w:id="402" w:name="_Toc102064511"/>
      <w:bookmarkStart w:id="403" w:name="_Toc102119778"/>
      <w:bookmarkStart w:id="404" w:name="_Toc102119882"/>
      <w:bookmarkStart w:id="405" w:name="_Toc101969212"/>
      <w:bookmarkStart w:id="406" w:name="_Toc102064512"/>
      <w:bookmarkStart w:id="407" w:name="_Toc102119779"/>
      <w:bookmarkStart w:id="408" w:name="_Toc102119883"/>
      <w:bookmarkStart w:id="409" w:name="_Toc101969213"/>
      <w:bookmarkStart w:id="410" w:name="_Toc102064513"/>
      <w:bookmarkStart w:id="411" w:name="_Toc102119780"/>
      <w:bookmarkStart w:id="412" w:name="_Toc102119884"/>
      <w:bookmarkStart w:id="413" w:name="_Toc101969214"/>
      <w:bookmarkStart w:id="414" w:name="_Toc102064514"/>
      <w:bookmarkStart w:id="415" w:name="_Toc102119781"/>
      <w:bookmarkStart w:id="416" w:name="_Toc102119885"/>
      <w:bookmarkStart w:id="417" w:name="_Toc101969215"/>
      <w:bookmarkStart w:id="418" w:name="_Toc102064515"/>
      <w:bookmarkStart w:id="419" w:name="_Toc102119782"/>
      <w:bookmarkStart w:id="420" w:name="_Toc102119886"/>
      <w:bookmarkStart w:id="421" w:name="_Toc101969216"/>
      <w:bookmarkStart w:id="422" w:name="_Toc102064516"/>
      <w:bookmarkStart w:id="423" w:name="_Toc102119783"/>
      <w:bookmarkStart w:id="424" w:name="_Toc102119887"/>
      <w:bookmarkStart w:id="425" w:name="_Toc101969217"/>
      <w:bookmarkStart w:id="426" w:name="_Toc102064517"/>
      <w:bookmarkStart w:id="427" w:name="_Toc102119784"/>
      <w:bookmarkStart w:id="428" w:name="_Toc102119888"/>
      <w:bookmarkStart w:id="429" w:name="_Toc101969218"/>
      <w:bookmarkStart w:id="430" w:name="_Toc102064518"/>
      <w:bookmarkStart w:id="431" w:name="_Toc102119785"/>
      <w:bookmarkStart w:id="432" w:name="_Toc102119889"/>
      <w:bookmarkStart w:id="433" w:name="_Toc101969219"/>
      <w:bookmarkStart w:id="434" w:name="_Toc102064519"/>
      <w:bookmarkStart w:id="435" w:name="_Toc102119786"/>
      <w:bookmarkStart w:id="436" w:name="_Toc102119890"/>
      <w:bookmarkStart w:id="437" w:name="_Toc101969220"/>
      <w:bookmarkStart w:id="438" w:name="_Toc102064520"/>
      <w:bookmarkStart w:id="439" w:name="_Toc102119787"/>
      <w:bookmarkStart w:id="440" w:name="_Toc102119891"/>
      <w:bookmarkStart w:id="441" w:name="_Toc101435148"/>
      <w:bookmarkStart w:id="442" w:name="_Toc10211989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r w:rsidRPr="005A505B">
        <w:rPr>
          <w:rFonts w:eastAsia="Calibri"/>
          <w:color w:val="auto"/>
          <w:sz w:val="20"/>
          <w:szCs w:val="20"/>
        </w:rPr>
        <w:t>Department of Health Planned Policy Initiatives</w:t>
      </w:r>
      <w:bookmarkEnd w:id="441"/>
      <w:bookmarkEnd w:id="442"/>
      <w:r w:rsidRPr="005A505B">
        <w:rPr>
          <w:rFonts w:eastAsia="Calibri"/>
          <w:color w:val="auto"/>
          <w:sz w:val="20"/>
          <w:szCs w:val="20"/>
        </w:rPr>
        <w:t xml:space="preserve"> </w:t>
      </w:r>
    </w:p>
    <w:p w:rsidR="008C29DE" w:rsidRPr="005A505B" w:rsidRDefault="008C29DE" w:rsidP="005A505B">
      <w:pPr>
        <w:jc w:val="both"/>
        <w:rPr>
          <w:rFonts w:cs="Arial"/>
          <w:bCs/>
          <w:color w:val="auto"/>
          <w:sz w:val="20"/>
          <w:szCs w:val="20"/>
        </w:rPr>
      </w:pPr>
    </w:p>
    <w:p w:rsidR="008C29DE" w:rsidRPr="005A505B" w:rsidRDefault="008C29DE" w:rsidP="005A505B">
      <w:pPr>
        <w:jc w:val="both"/>
        <w:rPr>
          <w:rFonts w:cs="Arial"/>
          <w:bCs/>
          <w:color w:val="auto"/>
          <w:sz w:val="20"/>
          <w:szCs w:val="20"/>
        </w:rPr>
      </w:pPr>
      <w:r w:rsidRPr="005A505B">
        <w:rPr>
          <w:rFonts w:cs="Arial"/>
          <w:bCs/>
          <w:color w:val="auto"/>
          <w:sz w:val="20"/>
          <w:szCs w:val="20"/>
        </w:rPr>
        <w:t xml:space="preserve">The key policy priorities of the Department include the following: </w:t>
      </w:r>
    </w:p>
    <w:p w:rsidR="008C29DE" w:rsidRPr="005A505B" w:rsidRDefault="008C29DE" w:rsidP="005A505B">
      <w:pPr>
        <w:jc w:val="both"/>
        <w:rPr>
          <w:rFonts w:cs="Arial"/>
          <w:bCs/>
          <w:color w:val="auto"/>
          <w:sz w:val="20"/>
          <w:szCs w:val="20"/>
        </w:rPr>
      </w:pPr>
    </w:p>
    <w:p w:rsidR="008C29DE" w:rsidRPr="005A505B" w:rsidRDefault="008C29DE" w:rsidP="005A505B">
      <w:pPr>
        <w:numPr>
          <w:ilvl w:val="0"/>
          <w:numId w:val="3"/>
        </w:numPr>
        <w:jc w:val="both"/>
        <w:rPr>
          <w:rFonts w:cs="Arial"/>
          <w:bCs/>
          <w:color w:val="auto"/>
          <w:sz w:val="20"/>
          <w:szCs w:val="20"/>
        </w:rPr>
      </w:pPr>
      <w:r w:rsidRPr="005A505B">
        <w:rPr>
          <w:rFonts w:cs="Arial"/>
          <w:b/>
          <w:bCs/>
          <w:color w:val="auto"/>
          <w:sz w:val="20"/>
          <w:szCs w:val="20"/>
        </w:rPr>
        <w:t xml:space="preserve">COVID-19 response plan: </w:t>
      </w:r>
      <w:r w:rsidRPr="005A505B">
        <w:rPr>
          <w:rFonts w:cs="Arial"/>
          <w:bCs/>
          <w:color w:val="auto"/>
          <w:sz w:val="20"/>
          <w:szCs w:val="20"/>
        </w:rPr>
        <w:t>The Department’s COVID-19 response plan aims to mitigate the effects of the virus in South Africa. There will be continued focus on increasing the COVID-19 vaccine population coverage. However, there will be a change in strategy</w:t>
      </w:r>
      <w:r w:rsidR="009D0BD2" w:rsidRPr="005A505B">
        <w:rPr>
          <w:rFonts w:cs="Arial"/>
          <w:bCs/>
          <w:color w:val="auto"/>
          <w:sz w:val="20"/>
          <w:szCs w:val="20"/>
        </w:rPr>
        <w:t>,</w:t>
      </w:r>
      <w:r w:rsidRPr="005A505B">
        <w:rPr>
          <w:rFonts w:cs="Arial"/>
          <w:bCs/>
          <w:color w:val="auto"/>
          <w:sz w:val="20"/>
          <w:szCs w:val="20"/>
        </w:rPr>
        <w:t xml:space="preserve"> the COVID-19 vaccine will be integrated into the routine care at Primary Health Care (PHC) facilities, within the Integrated Clinical Services Management model of service delivery</w:t>
      </w:r>
      <w:r w:rsidR="002F4CE4" w:rsidRPr="005A505B">
        <w:rPr>
          <w:rFonts w:cs="Arial"/>
          <w:bCs/>
          <w:color w:val="auto"/>
          <w:sz w:val="20"/>
          <w:szCs w:val="20"/>
        </w:rPr>
        <w:t>.</w:t>
      </w:r>
    </w:p>
    <w:p w:rsidR="008C29DE" w:rsidRPr="005A505B" w:rsidRDefault="008C29DE" w:rsidP="005A505B">
      <w:pPr>
        <w:pStyle w:val="ListParagraph"/>
        <w:jc w:val="both"/>
        <w:rPr>
          <w:rFonts w:cs="Arial"/>
          <w:b/>
          <w:bCs/>
          <w:color w:val="auto"/>
          <w:sz w:val="20"/>
          <w:szCs w:val="20"/>
        </w:rPr>
      </w:pPr>
    </w:p>
    <w:p w:rsidR="008C29DE" w:rsidRPr="005A505B" w:rsidRDefault="008C29DE" w:rsidP="005A505B">
      <w:pPr>
        <w:numPr>
          <w:ilvl w:val="0"/>
          <w:numId w:val="3"/>
        </w:numPr>
        <w:jc w:val="both"/>
        <w:rPr>
          <w:rFonts w:cs="Arial"/>
          <w:bCs/>
          <w:color w:val="auto"/>
          <w:sz w:val="20"/>
          <w:szCs w:val="20"/>
        </w:rPr>
      </w:pPr>
      <w:r w:rsidRPr="005A505B">
        <w:rPr>
          <w:rFonts w:cs="Arial"/>
          <w:b/>
          <w:bCs/>
          <w:color w:val="auto"/>
          <w:sz w:val="20"/>
          <w:szCs w:val="20"/>
        </w:rPr>
        <w:t>Prevent further decline in routine services</w:t>
      </w:r>
      <w:r w:rsidRPr="005A505B">
        <w:rPr>
          <w:rFonts w:cs="Arial"/>
          <w:bCs/>
          <w:color w:val="auto"/>
          <w:sz w:val="20"/>
          <w:szCs w:val="20"/>
        </w:rPr>
        <w:t xml:space="preserve">: Over the past </w:t>
      </w:r>
      <w:r w:rsidR="009D0BD2" w:rsidRPr="005A505B">
        <w:rPr>
          <w:rFonts w:cs="Arial"/>
          <w:bCs/>
          <w:color w:val="auto"/>
          <w:sz w:val="20"/>
          <w:szCs w:val="20"/>
        </w:rPr>
        <w:t xml:space="preserve">two </w:t>
      </w:r>
      <w:r w:rsidRPr="005A505B">
        <w:rPr>
          <w:rFonts w:cs="Arial"/>
          <w:bCs/>
          <w:color w:val="auto"/>
          <w:sz w:val="20"/>
          <w:szCs w:val="20"/>
        </w:rPr>
        <w:t>years due to the pandemic, there has been a decline in routine services and their respective outcomes including, amongst others, case finding detection in tuberculosis (TB), Expanded Programme on Immunisation (EPI) numbers have declined, and a decline in wellness testing including diabetes. There will thus be renewed focus on improving access to quality health services.</w:t>
      </w:r>
    </w:p>
    <w:p w:rsidR="008C29DE" w:rsidRPr="005A505B" w:rsidRDefault="008C29DE" w:rsidP="005A505B">
      <w:pPr>
        <w:jc w:val="both"/>
        <w:rPr>
          <w:rFonts w:cs="Arial"/>
          <w:bCs/>
          <w:color w:val="auto"/>
          <w:sz w:val="20"/>
          <w:szCs w:val="20"/>
        </w:rPr>
      </w:pPr>
    </w:p>
    <w:p w:rsidR="008C29DE" w:rsidRPr="005A505B" w:rsidRDefault="008C29DE" w:rsidP="005A505B">
      <w:pPr>
        <w:numPr>
          <w:ilvl w:val="0"/>
          <w:numId w:val="3"/>
        </w:numPr>
        <w:jc w:val="both"/>
        <w:rPr>
          <w:rFonts w:cs="Arial"/>
          <w:bCs/>
          <w:color w:val="auto"/>
          <w:sz w:val="20"/>
          <w:szCs w:val="20"/>
        </w:rPr>
      </w:pPr>
      <w:r w:rsidRPr="005A505B">
        <w:rPr>
          <w:rFonts w:cs="Arial"/>
          <w:b/>
          <w:bCs/>
          <w:color w:val="auto"/>
          <w:sz w:val="20"/>
          <w:szCs w:val="20"/>
        </w:rPr>
        <w:t>Facilitate the implementation of the NHI service.</w:t>
      </w:r>
      <w:r w:rsidRPr="005A505B">
        <w:rPr>
          <w:rFonts w:cs="Arial"/>
          <w:bCs/>
          <w:color w:val="auto"/>
          <w:sz w:val="20"/>
          <w:szCs w:val="20"/>
        </w:rPr>
        <w:t xml:space="preserve"> The Department will continue in its trajectory to prepare for the implementation of the proposed NHI.  </w:t>
      </w:r>
    </w:p>
    <w:p w:rsidR="008C29DE" w:rsidRPr="005A505B" w:rsidRDefault="008C29DE" w:rsidP="005A505B">
      <w:pPr>
        <w:pStyle w:val="ListParagraph"/>
        <w:jc w:val="both"/>
        <w:rPr>
          <w:rFonts w:cs="Arial"/>
          <w:bCs/>
          <w:color w:val="auto"/>
          <w:sz w:val="20"/>
          <w:szCs w:val="20"/>
        </w:rPr>
      </w:pPr>
    </w:p>
    <w:p w:rsidR="008C29DE" w:rsidRPr="005A505B" w:rsidRDefault="008C29DE" w:rsidP="005A505B">
      <w:pPr>
        <w:numPr>
          <w:ilvl w:val="0"/>
          <w:numId w:val="3"/>
        </w:numPr>
        <w:jc w:val="both"/>
        <w:rPr>
          <w:rFonts w:cs="Arial"/>
          <w:bCs/>
          <w:color w:val="auto"/>
          <w:sz w:val="20"/>
          <w:szCs w:val="20"/>
        </w:rPr>
      </w:pPr>
      <w:r w:rsidRPr="005A505B">
        <w:rPr>
          <w:rFonts w:cs="Arial"/>
          <w:b/>
          <w:bCs/>
          <w:color w:val="auto"/>
          <w:sz w:val="20"/>
          <w:szCs w:val="20"/>
        </w:rPr>
        <w:t>Improvement of health system infrastructure</w:t>
      </w:r>
      <w:r w:rsidRPr="005A505B">
        <w:rPr>
          <w:rFonts w:cs="Arial"/>
          <w:bCs/>
          <w:color w:val="auto"/>
          <w:sz w:val="20"/>
          <w:szCs w:val="20"/>
        </w:rPr>
        <w:t>: The Department will focus on refurbishment, upgrading and building of new hospitals, health centres, clinics and new specialised units including oncology which, according to the Department has improved over the recent years due to public-private partnership (PPP).</w:t>
      </w:r>
    </w:p>
    <w:p w:rsidR="008C29DE" w:rsidRPr="005A505B" w:rsidRDefault="008C29DE" w:rsidP="005A505B">
      <w:pPr>
        <w:jc w:val="both"/>
        <w:rPr>
          <w:rFonts w:cs="Arial"/>
          <w:bCs/>
          <w:color w:val="auto"/>
          <w:sz w:val="20"/>
          <w:szCs w:val="20"/>
          <w:u w:val="single"/>
        </w:rPr>
      </w:pPr>
    </w:p>
    <w:p w:rsidR="002F4CE4" w:rsidRPr="005A505B" w:rsidRDefault="002F4CE4" w:rsidP="005A505B">
      <w:pPr>
        <w:jc w:val="both"/>
        <w:rPr>
          <w:rFonts w:cs="Arial"/>
          <w:bCs/>
          <w:color w:val="auto"/>
          <w:sz w:val="20"/>
          <w:szCs w:val="20"/>
          <w:u w:val="single"/>
        </w:rPr>
      </w:pPr>
    </w:p>
    <w:p w:rsidR="008C29DE" w:rsidRPr="005A505B" w:rsidRDefault="008C29DE" w:rsidP="005A505B">
      <w:pPr>
        <w:pStyle w:val="Heading2"/>
        <w:numPr>
          <w:ilvl w:val="1"/>
          <w:numId w:val="53"/>
        </w:numPr>
        <w:rPr>
          <w:color w:val="auto"/>
          <w:sz w:val="20"/>
          <w:szCs w:val="20"/>
        </w:rPr>
      </w:pPr>
      <w:bookmarkStart w:id="443" w:name="_Toc101969222"/>
      <w:bookmarkStart w:id="444" w:name="_Toc102064522"/>
      <w:bookmarkStart w:id="445" w:name="_Toc102119789"/>
      <w:bookmarkStart w:id="446" w:name="_Toc102119893"/>
      <w:bookmarkStart w:id="447" w:name="_Toc101435149"/>
      <w:bookmarkStart w:id="448" w:name="_Toc102119894"/>
      <w:bookmarkEnd w:id="443"/>
      <w:bookmarkEnd w:id="444"/>
      <w:bookmarkEnd w:id="445"/>
      <w:bookmarkEnd w:id="446"/>
      <w:r w:rsidRPr="005A505B">
        <w:rPr>
          <w:color w:val="auto"/>
          <w:sz w:val="20"/>
          <w:szCs w:val="20"/>
        </w:rPr>
        <w:t>Annual Performance Plan (APP) Key Indicators</w:t>
      </w:r>
      <w:bookmarkEnd w:id="447"/>
      <w:bookmarkEnd w:id="448"/>
      <w:r w:rsidRPr="005A505B">
        <w:rPr>
          <w:rFonts w:eastAsia="Calibri"/>
          <w:color w:val="auto"/>
          <w:sz w:val="20"/>
          <w:szCs w:val="20"/>
        </w:rPr>
        <w:t xml:space="preserve"> </w:t>
      </w:r>
      <w:r w:rsidRPr="005A505B">
        <w:rPr>
          <w:color w:val="auto"/>
          <w:sz w:val="20"/>
          <w:szCs w:val="20"/>
        </w:rPr>
        <w:t xml:space="preserve"> </w:t>
      </w:r>
    </w:p>
    <w:p w:rsidR="008C29DE" w:rsidRPr="005A505B" w:rsidRDefault="008C29DE" w:rsidP="005A505B">
      <w:pPr>
        <w:jc w:val="both"/>
        <w:rPr>
          <w:rFonts w:cs="Arial"/>
          <w:color w:val="auto"/>
          <w:sz w:val="20"/>
          <w:szCs w:val="20"/>
        </w:rPr>
      </w:pPr>
    </w:p>
    <w:p w:rsidR="008C29DE" w:rsidRPr="005A505B" w:rsidRDefault="008C29DE" w:rsidP="005A505B">
      <w:pPr>
        <w:jc w:val="both"/>
        <w:rPr>
          <w:rFonts w:cs="Arial"/>
          <w:color w:val="auto"/>
          <w:sz w:val="20"/>
          <w:szCs w:val="20"/>
        </w:rPr>
      </w:pPr>
      <w:r w:rsidRPr="005A505B">
        <w:rPr>
          <w:rFonts w:cs="Arial"/>
          <w:color w:val="auto"/>
          <w:sz w:val="20"/>
          <w:szCs w:val="20"/>
        </w:rPr>
        <w:t xml:space="preserve">Some of the key indicators in the Department of Health’s 2022/23 APP include: </w:t>
      </w:r>
    </w:p>
    <w:p w:rsidR="008C29DE" w:rsidRPr="005A505B" w:rsidRDefault="008C29DE" w:rsidP="005A505B">
      <w:pPr>
        <w:jc w:val="both"/>
        <w:rPr>
          <w:rFonts w:cs="Arial"/>
          <w:color w:val="auto"/>
          <w:sz w:val="20"/>
          <w:szCs w:val="20"/>
        </w:rPr>
      </w:pPr>
    </w:p>
    <w:p w:rsidR="008C29DE" w:rsidRPr="005A505B" w:rsidRDefault="008C29DE" w:rsidP="005A505B">
      <w:pPr>
        <w:jc w:val="both"/>
        <w:rPr>
          <w:rFonts w:cs="Arial"/>
          <w:b/>
          <w:color w:val="auto"/>
          <w:sz w:val="20"/>
          <w:szCs w:val="20"/>
        </w:rPr>
      </w:pPr>
      <w:r w:rsidRPr="005A505B">
        <w:rPr>
          <w:rFonts w:cs="Arial"/>
          <w:b/>
          <w:color w:val="auto"/>
          <w:sz w:val="20"/>
          <w:szCs w:val="20"/>
        </w:rPr>
        <w:t xml:space="preserve">Programme 1: Administration </w:t>
      </w:r>
    </w:p>
    <w:p w:rsidR="008C29DE" w:rsidRPr="005A505B" w:rsidRDefault="008C29DE" w:rsidP="005A505B">
      <w:pPr>
        <w:jc w:val="both"/>
        <w:rPr>
          <w:rFonts w:cs="Arial"/>
          <w:color w:val="auto"/>
          <w:sz w:val="20"/>
          <w:szCs w:val="20"/>
        </w:rPr>
      </w:pPr>
    </w:p>
    <w:p w:rsidR="008C29DE" w:rsidRPr="005A505B" w:rsidRDefault="008C29DE" w:rsidP="005A505B">
      <w:pPr>
        <w:pStyle w:val="ListParagraph"/>
        <w:numPr>
          <w:ilvl w:val="0"/>
          <w:numId w:val="9"/>
        </w:numPr>
        <w:ind w:left="720"/>
        <w:jc w:val="both"/>
        <w:rPr>
          <w:rFonts w:cs="Arial"/>
          <w:bCs/>
          <w:color w:val="auto"/>
          <w:sz w:val="20"/>
          <w:szCs w:val="20"/>
        </w:rPr>
      </w:pPr>
      <w:r w:rsidRPr="005A505B">
        <w:rPr>
          <w:rFonts w:cs="Arial"/>
          <w:color w:val="auto"/>
          <w:sz w:val="20"/>
          <w:szCs w:val="20"/>
        </w:rPr>
        <w:t xml:space="preserve">The Department aims for an unqualified audit opinion for </w:t>
      </w:r>
      <w:r w:rsidR="009D0BD2" w:rsidRPr="005A505B">
        <w:rPr>
          <w:rFonts w:cs="Arial"/>
          <w:color w:val="auto"/>
          <w:sz w:val="20"/>
          <w:szCs w:val="20"/>
        </w:rPr>
        <w:t>2022</w:t>
      </w:r>
      <w:r w:rsidRPr="005A505B">
        <w:rPr>
          <w:rFonts w:cs="Arial"/>
          <w:color w:val="auto"/>
          <w:sz w:val="20"/>
          <w:szCs w:val="20"/>
        </w:rPr>
        <w:t>/</w:t>
      </w:r>
      <w:r w:rsidR="009D0BD2" w:rsidRPr="005A505B">
        <w:rPr>
          <w:rFonts w:cs="Arial"/>
          <w:color w:val="auto"/>
          <w:sz w:val="20"/>
          <w:szCs w:val="20"/>
        </w:rPr>
        <w:t xml:space="preserve">23 </w:t>
      </w:r>
      <w:r w:rsidRPr="005A505B">
        <w:rPr>
          <w:rFonts w:cs="Arial"/>
          <w:color w:val="auto"/>
          <w:sz w:val="20"/>
          <w:szCs w:val="20"/>
        </w:rPr>
        <w:t xml:space="preserve">and for </w:t>
      </w:r>
      <w:r w:rsidR="009D0BD2" w:rsidRPr="005A505B">
        <w:rPr>
          <w:rFonts w:cs="Arial"/>
          <w:color w:val="auto"/>
          <w:sz w:val="20"/>
          <w:szCs w:val="20"/>
        </w:rPr>
        <w:t xml:space="preserve">six </w:t>
      </w:r>
      <w:r w:rsidRPr="005A505B">
        <w:rPr>
          <w:rFonts w:cs="Arial"/>
          <w:color w:val="auto"/>
          <w:sz w:val="20"/>
          <w:szCs w:val="20"/>
        </w:rPr>
        <w:t xml:space="preserve">Provincial departments to achieve improvements in audit outcomes with no significant matters. </w:t>
      </w:r>
    </w:p>
    <w:p w:rsidR="008C29DE" w:rsidRPr="005A505B" w:rsidRDefault="008C29DE" w:rsidP="005A505B">
      <w:pPr>
        <w:pStyle w:val="ListParagraph"/>
        <w:numPr>
          <w:ilvl w:val="0"/>
          <w:numId w:val="9"/>
        </w:numPr>
        <w:ind w:left="720"/>
        <w:jc w:val="both"/>
        <w:rPr>
          <w:rFonts w:cs="Arial"/>
          <w:bCs/>
          <w:color w:val="auto"/>
          <w:sz w:val="20"/>
          <w:szCs w:val="20"/>
        </w:rPr>
      </w:pPr>
      <w:r w:rsidRPr="005A505B">
        <w:rPr>
          <w:rFonts w:cs="Arial"/>
          <w:bCs/>
          <w:color w:val="auto"/>
          <w:sz w:val="20"/>
          <w:szCs w:val="20"/>
        </w:rPr>
        <w:t>Legislation to manage medico-legal claims will be developed.</w:t>
      </w:r>
    </w:p>
    <w:p w:rsidR="008C29DE" w:rsidRPr="005A505B" w:rsidRDefault="008C29DE" w:rsidP="005A505B">
      <w:pPr>
        <w:pStyle w:val="ListParagraph"/>
        <w:numPr>
          <w:ilvl w:val="0"/>
          <w:numId w:val="9"/>
        </w:numPr>
        <w:ind w:left="720"/>
        <w:jc w:val="both"/>
        <w:rPr>
          <w:rFonts w:cs="Arial"/>
          <w:bCs/>
          <w:color w:val="auto"/>
          <w:sz w:val="20"/>
          <w:szCs w:val="20"/>
        </w:rPr>
      </w:pPr>
      <w:r w:rsidRPr="005A505B">
        <w:rPr>
          <w:rFonts w:cs="Arial"/>
          <w:color w:val="auto"/>
          <w:sz w:val="20"/>
          <w:szCs w:val="20"/>
        </w:rPr>
        <w:t>A medico-legal claim case management system will be used in the remaining 4 of 8 participating provinces.</w:t>
      </w:r>
    </w:p>
    <w:p w:rsidR="008C29DE" w:rsidRPr="005A505B" w:rsidRDefault="008C29DE" w:rsidP="005A505B">
      <w:pPr>
        <w:pStyle w:val="ListParagraph"/>
        <w:numPr>
          <w:ilvl w:val="0"/>
          <w:numId w:val="9"/>
        </w:numPr>
        <w:ind w:left="720"/>
        <w:jc w:val="both"/>
        <w:rPr>
          <w:rFonts w:cs="Arial"/>
          <w:bCs/>
          <w:color w:val="auto"/>
          <w:sz w:val="20"/>
          <w:szCs w:val="20"/>
        </w:rPr>
      </w:pPr>
      <w:r w:rsidRPr="005A505B">
        <w:rPr>
          <w:rFonts w:cs="Arial"/>
          <w:color w:val="auto"/>
          <w:sz w:val="20"/>
          <w:szCs w:val="20"/>
        </w:rPr>
        <w:t>100 health promotion messages will be placed on social media in order to reduce premature mortality due to non-communicable diseases to 26% (10 % reduction).</w:t>
      </w:r>
    </w:p>
    <w:p w:rsidR="008C29DE" w:rsidRPr="005A505B" w:rsidRDefault="008C29DE" w:rsidP="005A505B">
      <w:pPr>
        <w:pStyle w:val="ListParagraph"/>
        <w:numPr>
          <w:ilvl w:val="0"/>
          <w:numId w:val="9"/>
        </w:numPr>
        <w:ind w:left="720"/>
        <w:jc w:val="both"/>
        <w:rPr>
          <w:rFonts w:cs="Arial"/>
          <w:bCs/>
          <w:color w:val="auto"/>
          <w:sz w:val="20"/>
          <w:szCs w:val="20"/>
        </w:rPr>
      </w:pPr>
      <w:r w:rsidRPr="005A505B">
        <w:rPr>
          <w:rFonts w:cs="Arial"/>
          <w:color w:val="auto"/>
          <w:sz w:val="20"/>
          <w:szCs w:val="20"/>
        </w:rPr>
        <w:t xml:space="preserve">Meet equity targets regarding percentage of women in SMS (Senior Management Service), percentage of youth appointed, and percentage of people with disabilities appointed. </w:t>
      </w:r>
    </w:p>
    <w:p w:rsidR="008C29DE" w:rsidRPr="005A505B" w:rsidRDefault="008C29DE" w:rsidP="005A505B">
      <w:pPr>
        <w:jc w:val="both"/>
        <w:rPr>
          <w:rFonts w:cs="Arial"/>
          <w:bCs/>
          <w:color w:val="auto"/>
          <w:sz w:val="20"/>
          <w:szCs w:val="20"/>
          <w:highlight w:val="yellow"/>
        </w:rPr>
      </w:pPr>
    </w:p>
    <w:p w:rsidR="008C29DE" w:rsidRPr="005A505B" w:rsidRDefault="008C29DE" w:rsidP="005A505B">
      <w:pPr>
        <w:jc w:val="both"/>
        <w:rPr>
          <w:rFonts w:cs="Arial"/>
          <w:b/>
          <w:color w:val="auto"/>
          <w:sz w:val="20"/>
          <w:szCs w:val="20"/>
        </w:rPr>
      </w:pPr>
      <w:r w:rsidRPr="005A505B">
        <w:rPr>
          <w:rFonts w:cs="Arial"/>
          <w:b/>
          <w:color w:val="auto"/>
          <w:sz w:val="20"/>
          <w:szCs w:val="20"/>
        </w:rPr>
        <w:t xml:space="preserve">Programme 2: National Health Insurance </w:t>
      </w:r>
    </w:p>
    <w:p w:rsidR="008C29DE" w:rsidRPr="005A505B" w:rsidRDefault="008C29DE" w:rsidP="005A505B">
      <w:pPr>
        <w:jc w:val="both"/>
        <w:rPr>
          <w:rFonts w:cs="Arial"/>
          <w:b/>
          <w:color w:val="auto"/>
          <w:sz w:val="20"/>
          <w:szCs w:val="20"/>
        </w:rPr>
      </w:pPr>
    </w:p>
    <w:p w:rsidR="008C29DE" w:rsidRPr="005A505B" w:rsidRDefault="008C29DE" w:rsidP="005A505B">
      <w:pPr>
        <w:pStyle w:val="ListParagraph"/>
        <w:numPr>
          <w:ilvl w:val="0"/>
          <w:numId w:val="49"/>
        </w:numPr>
        <w:jc w:val="both"/>
        <w:rPr>
          <w:rFonts w:cs="Arial"/>
          <w:color w:val="auto"/>
          <w:sz w:val="20"/>
          <w:szCs w:val="20"/>
        </w:rPr>
      </w:pPr>
      <w:r w:rsidRPr="005A505B">
        <w:rPr>
          <w:rFonts w:cs="Arial"/>
          <w:color w:val="auto"/>
          <w:sz w:val="20"/>
          <w:szCs w:val="20"/>
        </w:rPr>
        <w:t>Portfolio Committee and NCOP public hearings on the NHI Bill in Parliament attended.</w:t>
      </w:r>
    </w:p>
    <w:p w:rsidR="008C29DE" w:rsidRPr="005A505B" w:rsidRDefault="008C29DE" w:rsidP="005A505B">
      <w:pPr>
        <w:pStyle w:val="ListParagraph"/>
        <w:numPr>
          <w:ilvl w:val="0"/>
          <w:numId w:val="49"/>
        </w:numPr>
        <w:jc w:val="both"/>
        <w:rPr>
          <w:rFonts w:cs="Arial"/>
          <w:color w:val="auto"/>
          <w:sz w:val="20"/>
          <w:szCs w:val="20"/>
        </w:rPr>
      </w:pPr>
      <w:r w:rsidRPr="005A505B">
        <w:rPr>
          <w:rFonts w:cs="Arial"/>
          <w:color w:val="auto"/>
          <w:sz w:val="20"/>
          <w:szCs w:val="20"/>
        </w:rPr>
        <w:t>5.5 million Patients registered to receive medicines through the centralised chronic medicine dispensing and distribution (CCMDD).</w:t>
      </w:r>
    </w:p>
    <w:p w:rsidR="008C29DE" w:rsidRPr="005A505B" w:rsidRDefault="008C29DE" w:rsidP="005A505B">
      <w:pPr>
        <w:pStyle w:val="ListParagraph"/>
        <w:numPr>
          <w:ilvl w:val="0"/>
          <w:numId w:val="49"/>
        </w:numPr>
        <w:jc w:val="both"/>
        <w:rPr>
          <w:rFonts w:cs="Arial"/>
          <w:color w:val="auto"/>
          <w:sz w:val="20"/>
          <w:szCs w:val="20"/>
        </w:rPr>
      </w:pPr>
      <w:r w:rsidRPr="005A505B">
        <w:rPr>
          <w:rFonts w:cs="Arial"/>
          <w:color w:val="auto"/>
          <w:sz w:val="20"/>
          <w:szCs w:val="20"/>
        </w:rPr>
        <w:t xml:space="preserve">70 </w:t>
      </w:r>
      <w:r w:rsidR="0034021A" w:rsidRPr="005A505B">
        <w:rPr>
          <w:rFonts w:cs="Arial"/>
          <w:color w:val="auto"/>
          <w:sz w:val="20"/>
          <w:szCs w:val="20"/>
        </w:rPr>
        <w:t>%</w:t>
      </w:r>
      <w:r w:rsidRPr="005A505B">
        <w:rPr>
          <w:rFonts w:cs="Arial"/>
          <w:color w:val="auto"/>
          <w:sz w:val="20"/>
          <w:szCs w:val="20"/>
        </w:rPr>
        <w:t xml:space="preserve"> of funded posts in the NHI organogram filled.</w:t>
      </w:r>
    </w:p>
    <w:p w:rsidR="008C29DE" w:rsidRPr="005A505B" w:rsidRDefault="008C29DE" w:rsidP="005A505B">
      <w:pPr>
        <w:pStyle w:val="ListParagraph"/>
        <w:numPr>
          <w:ilvl w:val="0"/>
          <w:numId w:val="49"/>
        </w:numPr>
        <w:jc w:val="both"/>
        <w:rPr>
          <w:rFonts w:cs="Arial"/>
          <w:color w:val="auto"/>
          <w:sz w:val="20"/>
          <w:szCs w:val="20"/>
        </w:rPr>
      </w:pPr>
      <w:r w:rsidRPr="005A505B">
        <w:rPr>
          <w:rFonts w:cs="Arial"/>
          <w:color w:val="auto"/>
          <w:sz w:val="20"/>
          <w:szCs w:val="20"/>
        </w:rPr>
        <w:t xml:space="preserve">3 850 (up from 3 830) health facilities reporting stock availability at national surveillance centre  </w:t>
      </w:r>
    </w:p>
    <w:p w:rsidR="008C29DE" w:rsidRPr="005A505B" w:rsidRDefault="008C29DE" w:rsidP="005A505B">
      <w:pPr>
        <w:jc w:val="both"/>
        <w:rPr>
          <w:rFonts w:cs="Arial"/>
          <w:bCs/>
          <w:color w:val="auto"/>
          <w:sz w:val="20"/>
          <w:szCs w:val="20"/>
        </w:rPr>
      </w:pPr>
    </w:p>
    <w:p w:rsidR="008C29DE" w:rsidRPr="005A505B" w:rsidRDefault="008C29DE" w:rsidP="005A505B">
      <w:pPr>
        <w:jc w:val="both"/>
        <w:rPr>
          <w:rFonts w:cs="Arial"/>
          <w:b/>
          <w:bCs/>
          <w:color w:val="auto"/>
          <w:sz w:val="20"/>
          <w:szCs w:val="20"/>
        </w:rPr>
      </w:pPr>
      <w:r w:rsidRPr="005A505B">
        <w:rPr>
          <w:rFonts w:cs="Arial"/>
          <w:b/>
          <w:bCs/>
          <w:color w:val="auto"/>
          <w:sz w:val="20"/>
          <w:szCs w:val="20"/>
        </w:rPr>
        <w:t>Programme 3: Communicable and Non-Communicable Diseases</w:t>
      </w:r>
    </w:p>
    <w:p w:rsidR="008C29DE" w:rsidRPr="005A505B" w:rsidRDefault="008C29DE" w:rsidP="005A505B">
      <w:pPr>
        <w:jc w:val="both"/>
        <w:rPr>
          <w:rFonts w:cs="Arial"/>
          <w:b/>
          <w:bCs/>
          <w:i/>
          <w:color w:val="auto"/>
          <w:sz w:val="20"/>
          <w:szCs w:val="20"/>
          <w:highlight w:val="yellow"/>
        </w:rPr>
      </w:pPr>
    </w:p>
    <w:p w:rsidR="008C29DE" w:rsidRPr="005A505B" w:rsidRDefault="008C29DE" w:rsidP="005A505B">
      <w:pPr>
        <w:pStyle w:val="ListParagraph"/>
        <w:numPr>
          <w:ilvl w:val="0"/>
          <w:numId w:val="9"/>
        </w:numPr>
        <w:ind w:left="720"/>
        <w:jc w:val="both"/>
        <w:rPr>
          <w:rFonts w:cs="Arial"/>
          <w:bCs/>
          <w:color w:val="auto"/>
          <w:sz w:val="20"/>
          <w:szCs w:val="20"/>
        </w:rPr>
      </w:pPr>
      <w:r w:rsidRPr="005A505B">
        <w:rPr>
          <w:rFonts w:cs="Arial"/>
          <w:bCs/>
          <w:color w:val="auto"/>
          <w:sz w:val="20"/>
          <w:szCs w:val="20"/>
        </w:rPr>
        <w:t>Three indicators deal with reducing the morbidity and mortality due to COVID-19 for different age groups- Percentage of age group vaccinated (at least one dose):</w:t>
      </w:r>
    </w:p>
    <w:p w:rsidR="008C29DE" w:rsidRPr="005A505B" w:rsidRDefault="008C29DE" w:rsidP="005A505B">
      <w:pPr>
        <w:pStyle w:val="ListParagraph"/>
        <w:numPr>
          <w:ilvl w:val="1"/>
          <w:numId w:val="9"/>
        </w:numPr>
        <w:ind w:left="1440"/>
        <w:jc w:val="both"/>
        <w:rPr>
          <w:rFonts w:cs="Arial"/>
          <w:bCs/>
          <w:color w:val="auto"/>
          <w:sz w:val="20"/>
          <w:szCs w:val="20"/>
        </w:rPr>
      </w:pPr>
      <w:r w:rsidRPr="005A505B">
        <w:rPr>
          <w:rFonts w:cs="Arial"/>
          <w:bCs/>
          <w:color w:val="auto"/>
          <w:sz w:val="20"/>
          <w:szCs w:val="20"/>
        </w:rPr>
        <w:t xml:space="preserve">75 </w:t>
      </w:r>
      <w:r w:rsidR="0034021A" w:rsidRPr="005A505B">
        <w:rPr>
          <w:rFonts w:cs="Arial"/>
          <w:bCs/>
          <w:color w:val="auto"/>
          <w:sz w:val="20"/>
          <w:szCs w:val="20"/>
        </w:rPr>
        <w:t>%</w:t>
      </w:r>
      <w:r w:rsidRPr="005A505B">
        <w:rPr>
          <w:rFonts w:cs="Arial"/>
          <w:bCs/>
          <w:color w:val="auto"/>
          <w:sz w:val="20"/>
          <w:szCs w:val="20"/>
        </w:rPr>
        <w:t xml:space="preserve"> of adults 50 years and older;</w:t>
      </w:r>
    </w:p>
    <w:p w:rsidR="008C29DE" w:rsidRPr="005A505B" w:rsidRDefault="008C29DE" w:rsidP="005A505B">
      <w:pPr>
        <w:pStyle w:val="ListParagraph"/>
        <w:numPr>
          <w:ilvl w:val="1"/>
          <w:numId w:val="9"/>
        </w:numPr>
        <w:ind w:left="1440"/>
        <w:jc w:val="both"/>
        <w:rPr>
          <w:rFonts w:cs="Arial"/>
          <w:bCs/>
          <w:color w:val="auto"/>
          <w:sz w:val="20"/>
          <w:szCs w:val="20"/>
        </w:rPr>
      </w:pPr>
      <w:r w:rsidRPr="005A505B">
        <w:rPr>
          <w:rFonts w:cs="Arial"/>
          <w:bCs/>
          <w:color w:val="auto"/>
          <w:sz w:val="20"/>
          <w:szCs w:val="20"/>
        </w:rPr>
        <w:t xml:space="preserve">65 </w:t>
      </w:r>
      <w:r w:rsidR="0034021A" w:rsidRPr="005A505B">
        <w:rPr>
          <w:rFonts w:cs="Arial"/>
          <w:bCs/>
          <w:color w:val="auto"/>
          <w:sz w:val="20"/>
          <w:szCs w:val="20"/>
        </w:rPr>
        <w:t>%</w:t>
      </w:r>
      <w:r w:rsidRPr="005A505B">
        <w:rPr>
          <w:rFonts w:cs="Arial"/>
          <w:bCs/>
          <w:color w:val="auto"/>
          <w:sz w:val="20"/>
          <w:szCs w:val="20"/>
        </w:rPr>
        <w:t xml:space="preserve"> of adults 35 - 49 years; and </w:t>
      </w:r>
    </w:p>
    <w:p w:rsidR="008C29DE" w:rsidRPr="005A505B" w:rsidRDefault="008C29DE" w:rsidP="005A505B">
      <w:pPr>
        <w:pStyle w:val="ListParagraph"/>
        <w:numPr>
          <w:ilvl w:val="1"/>
          <w:numId w:val="9"/>
        </w:numPr>
        <w:ind w:left="1440"/>
        <w:jc w:val="both"/>
        <w:rPr>
          <w:rFonts w:cs="Arial"/>
          <w:bCs/>
          <w:color w:val="auto"/>
          <w:sz w:val="20"/>
          <w:szCs w:val="20"/>
        </w:rPr>
      </w:pPr>
      <w:r w:rsidRPr="005A505B">
        <w:rPr>
          <w:rFonts w:cs="Arial"/>
          <w:bCs/>
          <w:color w:val="auto"/>
          <w:sz w:val="20"/>
          <w:szCs w:val="20"/>
        </w:rPr>
        <w:t xml:space="preserve">37.5 </w:t>
      </w:r>
      <w:r w:rsidR="0034021A" w:rsidRPr="005A505B">
        <w:rPr>
          <w:rFonts w:cs="Arial"/>
          <w:bCs/>
          <w:color w:val="auto"/>
          <w:sz w:val="20"/>
          <w:szCs w:val="20"/>
        </w:rPr>
        <w:t>%</w:t>
      </w:r>
      <w:r w:rsidRPr="005A505B">
        <w:rPr>
          <w:rFonts w:cs="Arial"/>
          <w:bCs/>
          <w:color w:val="auto"/>
          <w:sz w:val="20"/>
          <w:szCs w:val="20"/>
        </w:rPr>
        <w:t xml:space="preserve"> of young people 12 – 34 years.</w:t>
      </w:r>
    </w:p>
    <w:p w:rsidR="008C29DE" w:rsidRPr="005A505B" w:rsidRDefault="008C29DE" w:rsidP="005A505B">
      <w:pPr>
        <w:pStyle w:val="ListParagraph"/>
        <w:jc w:val="both"/>
        <w:rPr>
          <w:rFonts w:cs="Arial"/>
          <w:bCs/>
          <w:color w:val="auto"/>
          <w:sz w:val="20"/>
          <w:szCs w:val="20"/>
        </w:rPr>
      </w:pPr>
      <w:r w:rsidRPr="005A505B">
        <w:rPr>
          <w:rFonts w:cs="Arial"/>
          <w:bCs/>
          <w:color w:val="auto"/>
          <w:sz w:val="20"/>
          <w:szCs w:val="20"/>
        </w:rPr>
        <w:lastRenderedPageBreak/>
        <w:t>This replaces the indicator from the previous year, which aimed to vaccinate 40 million in 2021/22 financial year.</w:t>
      </w:r>
    </w:p>
    <w:p w:rsidR="008C29DE" w:rsidRPr="005A505B" w:rsidRDefault="008C29DE" w:rsidP="005A505B">
      <w:pPr>
        <w:pStyle w:val="ListParagraph"/>
        <w:numPr>
          <w:ilvl w:val="0"/>
          <w:numId w:val="9"/>
        </w:numPr>
        <w:ind w:left="720"/>
        <w:jc w:val="both"/>
        <w:rPr>
          <w:rFonts w:cs="Arial"/>
          <w:bCs/>
          <w:color w:val="auto"/>
          <w:sz w:val="20"/>
          <w:szCs w:val="20"/>
        </w:rPr>
      </w:pPr>
      <w:r w:rsidRPr="005A505B">
        <w:rPr>
          <w:rFonts w:cs="Arial"/>
          <w:bCs/>
          <w:color w:val="auto"/>
          <w:sz w:val="20"/>
          <w:szCs w:val="20"/>
        </w:rPr>
        <w:t>New indicator: 200 facilities offering HIV self-screening (HIVSS).</w:t>
      </w:r>
    </w:p>
    <w:p w:rsidR="008C29DE" w:rsidRPr="005A505B" w:rsidRDefault="008C29DE" w:rsidP="005A505B">
      <w:pPr>
        <w:pStyle w:val="ListParagraph"/>
        <w:numPr>
          <w:ilvl w:val="0"/>
          <w:numId w:val="9"/>
        </w:numPr>
        <w:ind w:left="720"/>
        <w:jc w:val="both"/>
        <w:rPr>
          <w:rFonts w:cs="Arial"/>
          <w:bCs/>
          <w:color w:val="auto"/>
          <w:sz w:val="20"/>
          <w:szCs w:val="20"/>
        </w:rPr>
      </w:pPr>
      <w:r w:rsidRPr="005A505B">
        <w:rPr>
          <w:rFonts w:cs="Arial"/>
          <w:bCs/>
          <w:color w:val="auto"/>
          <w:sz w:val="20"/>
          <w:szCs w:val="20"/>
        </w:rPr>
        <w:t>New indicator: Men’s health services piloted at 10 facilities.</w:t>
      </w:r>
    </w:p>
    <w:p w:rsidR="008C29DE" w:rsidRPr="005A505B" w:rsidRDefault="008C29DE" w:rsidP="005A505B">
      <w:pPr>
        <w:pStyle w:val="ListParagraph"/>
        <w:numPr>
          <w:ilvl w:val="0"/>
          <w:numId w:val="9"/>
        </w:numPr>
        <w:ind w:left="720"/>
        <w:jc w:val="both"/>
        <w:rPr>
          <w:rFonts w:cs="Arial"/>
          <w:bCs/>
          <w:color w:val="auto"/>
          <w:sz w:val="20"/>
          <w:szCs w:val="20"/>
        </w:rPr>
      </w:pPr>
      <w:r w:rsidRPr="005A505B">
        <w:rPr>
          <w:rFonts w:cs="Arial"/>
          <w:bCs/>
          <w:color w:val="auto"/>
          <w:sz w:val="20"/>
          <w:szCs w:val="20"/>
        </w:rPr>
        <w:t xml:space="preserve">2 000 (previous year 1 600) PHC facilities with youth zones. </w:t>
      </w:r>
    </w:p>
    <w:p w:rsidR="008C29DE" w:rsidRPr="005A505B" w:rsidRDefault="008C29DE" w:rsidP="005A505B">
      <w:pPr>
        <w:pStyle w:val="ListParagraph"/>
        <w:numPr>
          <w:ilvl w:val="0"/>
          <w:numId w:val="9"/>
        </w:numPr>
        <w:ind w:left="720"/>
        <w:jc w:val="both"/>
        <w:rPr>
          <w:rFonts w:cs="Arial"/>
          <w:bCs/>
          <w:color w:val="auto"/>
          <w:sz w:val="20"/>
          <w:szCs w:val="20"/>
        </w:rPr>
      </w:pPr>
      <w:r w:rsidRPr="005A505B">
        <w:rPr>
          <w:rFonts w:cs="Arial"/>
          <w:bCs/>
          <w:color w:val="auto"/>
          <w:sz w:val="20"/>
          <w:szCs w:val="20"/>
        </w:rPr>
        <w:t xml:space="preserve">85 </w:t>
      </w:r>
      <w:r w:rsidR="0034021A" w:rsidRPr="005A505B">
        <w:rPr>
          <w:rFonts w:cs="Arial"/>
          <w:bCs/>
          <w:color w:val="auto"/>
          <w:sz w:val="20"/>
          <w:szCs w:val="20"/>
        </w:rPr>
        <w:t>%</w:t>
      </w:r>
      <w:r w:rsidRPr="005A505B">
        <w:rPr>
          <w:rFonts w:cs="Arial"/>
          <w:bCs/>
          <w:color w:val="auto"/>
          <w:sz w:val="20"/>
          <w:szCs w:val="20"/>
        </w:rPr>
        <w:t xml:space="preserve"> of drug susceptible (DS) –TB treatment success rate.</w:t>
      </w:r>
    </w:p>
    <w:p w:rsidR="008C29DE" w:rsidRPr="005A505B" w:rsidRDefault="008C29DE" w:rsidP="005A505B">
      <w:pPr>
        <w:pStyle w:val="ListParagraph"/>
        <w:numPr>
          <w:ilvl w:val="0"/>
          <w:numId w:val="9"/>
        </w:numPr>
        <w:ind w:left="720"/>
        <w:jc w:val="both"/>
        <w:rPr>
          <w:rFonts w:cs="Arial"/>
          <w:bCs/>
          <w:color w:val="auto"/>
          <w:sz w:val="20"/>
          <w:szCs w:val="20"/>
        </w:rPr>
      </w:pPr>
      <w:r w:rsidRPr="005A505B">
        <w:rPr>
          <w:rFonts w:cs="Arial"/>
          <w:bCs/>
          <w:color w:val="auto"/>
          <w:sz w:val="20"/>
          <w:szCs w:val="20"/>
        </w:rPr>
        <w:t>Reduce the number of drug susceptible (DS) –TB deaths annual target: 12 381. This indicator needs an explanation as in Quarter One (Q1) the number is 14 235, Q2 13 617, Q3 12 999 and Q4 12 381. Are the Quarters not cumulative?</w:t>
      </w:r>
    </w:p>
    <w:p w:rsidR="008C29DE" w:rsidRPr="005A505B" w:rsidRDefault="008C29DE" w:rsidP="005A505B">
      <w:pPr>
        <w:pStyle w:val="ListParagraph"/>
        <w:numPr>
          <w:ilvl w:val="0"/>
          <w:numId w:val="9"/>
        </w:numPr>
        <w:ind w:left="720"/>
        <w:jc w:val="both"/>
        <w:rPr>
          <w:rFonts w:cs="Arial"/>
          <w:bCs/>
          <w:color w:val="auto"/>
          <w:sz w:val="20"/>
          <w:szCs w:val="20"/>
        </w:rPr>
      </w:pPr>
      <w:r w:rsidRPr="005A505B">
        <w:rPr>
          <w:rFonts w:cs="Arial"/>
          <w:bCs/>
          <w:color w:val="auto"/>
          <w:sz w:val="20"/>
          <w:szCs w:val="20"/>
        </w:rPr>
        <w:t xml:space="preserve">Find and treat 221 900 people for TB. </w:t>
      </w:r>
    </w:p>
    <w:p w:rsidR="008C29DE" w:rsidRPr="005A505B" w:rsidRDefault="008C29DE" w:rsidP="005A505B">
      <w:pPr>
        <w:pStyle w:val="ListParagraph"/>
        <w:numPr>
          <w:ilvl w:val="0"/>
          <w:numId w:val="9"/>
        </w:numPr>
        <w:ind w:left="720"/>
        <w:jc w:val="both"/>
        <w:rPr>
          <w:rFonts w:cs="Arial"/>
          <w:bCs/>
          <w:color w:val="auto"/>
          <w:sz w:val="20"/>
          <w:szCs w:val="20"/>
        </w:rPr>
      </w:pPr>
      <w:r w:rsidRPr="005A505B">
        <w:rPr>
          <w:rFonts w:cs="Arial"/>
          <w:bCs/>
          <w:color w:val="auto"/>
          <w:sz w:val="20"/>
          <w:szCs w:val="20"/>
        </w:rPr>
        <w:t>Schistosomiasis</w:t>
      </w:r>
      <w:r w:rsidR="003135A6" w:rsidRPr="005A505B">
        <w:rPr>
          <w:rFonts w:cs="Arial"/>
          <w:bCs/>
          <w:color w:val="auto"/>
          <w:sz w:val="20"/>
          <w:szCs w:val="20"/>
        </w:rPr>
        <w:t>.</w:t>
      </w:r>
      <w:r w:rsidRPr="005A505B">
        <w:rPr>
          <w:rFonts w:cs="Arial"/>
          <w:bCs/>
          <w:color w:val="auto"/>
          <w:sz w:val="20"/>
          <w:szCs w:val="20"/>
        </w:rPr>
        <w:t xml:space="preserve"> (also referred to as Bilharzia) prevention – Mass Drug Implementation Plan in place.</w:t>
      </w:r>
    </w:p>
    <w:p w:rsidR="008C29DE" w:rsidRPr="005A505B" w:rsidRDefault="008C29DE" w:rsidP="005A505B">
      <w:pPr>
        <w:pStyle w:val="ListParagraph"/>
        <w:numPr>
          <w:ilvl w:val="0"/>
          <w:numId w:val="9"/>
        </w:numPr>
        <w:ind w:left="720"/>
        <w:jc w:val="both"/>
        <w:rPr>
          <w:rFonts w:cs="Arial"/>
          <w:bCs/>
          <w:color w:val="auto"/>
          <w:sz w:val="20"/>
          <w:szCs w:val="20"/>
        </w:rPr>
      </w:pPr>
      <w:r w:rsidRPr="005A505B">
        <w:rPr>
          <w:rFonts w:cs="Arial"/>
          <w:bCs/>
          <w:color w:val="auto"/>
          <w:sz w:val="20"/>
          <w:szCs w:val="20"/>
        </w:rPr>
        <w:t xml:space="preserve">75 new State patients admitted into designated psychiatric hospitals. </w:t>
      </w:r>
    </w:p>
    <w:p w:rsidR="008C29DE" w:rsidRPr="005A505B" w:rsidRDefault="008C29DE" w:rsidP="005A505B">
      <w:pPr>
        <w:pStyle w:val="ListParagraph"/>
        <w:numPr>
          <w:ilvl w:val="0"/>
          <w:numId w:val="9"/>
        </w:numPr>
        <w:ind w:left="720"/>
        <w:jc w:val="both"/>
        <w:rPr>
          <w:rFonts w:cs="Arial"/>
          <w:bCs/>
          <w:color w:val="auto"/>
          <w:sz w:val="20"/>
          <w:szCs w:val="20"/>
        </w:rPr>
      </w:pPr>
      <w:r w:rsidRPr="005A505B">
        <w:rPr>
          <w:rFonts w:cs="Arial"/>
          <w:bCs/>
          <w:color w:val="auto"/>
          <w:sz w:val="20"/>
          <w:szCs w:val="20"/>
        </w:rPr>
        <w:t xml:space="preserve">Additional 100 Hospitals obtain 75% or more on the food service policy assessments. </w:t>
      </w:r>
    </w:p>
    <w:p w:rsidR="008C29DE" w:rsidRPr="005A505B" w:rsidRDefault="008C29DE" w:rsidP="005A505B">
      <w:pPr>
        <w:pStyle w:val="ListParagraph"/>
        <w:numPr>
          <w:ilvl w:val="0"/>
          <w:numId w:val="9"/>
        </w:numPr>
        <w:ind w:left="720"/>
        <w:jc w:val="both"/>
        <w:rPr>
          <w:rFonts w:cs="Arial"/>
          <w:bCs/>
          <w:color w:val="auto"/>
          <w:sz w:val="20"/>
          <w:szCs w:val="20"/>
        </w:rPr>
      </w:pPr>
      <w:r w:rsidRPr="005A505B">
        <w:rPr>
          <w:rFonts w:cs="Arial"/>
          <w:bCs/>
          <w:color w:val="auto"/>
          <w:sz w:val="20"/>
          <w:szCs w:val="20"/>
        </w:rPr>
        <w:t>A National Mental Health Policy framework to be tabled at the National Health Committee (NHC)</w:t>
      </w:r>
    </w:p>
    <w:p w:rsidR="008C29DE" w:rsidRPr="005A505B" w:rsidRDefault="008C29DE" w:rsidP="005A505B">
      <w:pPr>
        <w:pStyle w:val="ListParagraph"/>
        <w:numPr>
          <w:ilvl w:val="0"/>
          <w:numId w:val="9"/>
        </w:numPr>
        <w:ind w:left="720"/>
        <w:jc w:val="both"/>
        <w:rPr>
          <w:rFonts w:cs="Arial"/>
          <w:bCs/>
          <w:color w:val="auto"/>
          <w:sz w:val="20"/>
          <w:szCs w:val="20"/>
        </w:rPr>
      </w:pPr>
      <w:r w:rsidRPr="005A505B">
        <w:rPr>
          <w:rFonts w:cs="Arial"/>
          <w:bCs/>
          <w:color w:val="auto"/>
          <w:sz w:val="20"/>
          <w:szCs w:val="20"/>
        </w:rPr>
        <w:t xml:space="preserve">Updated Strategy for the prevention and control of obesity in SA developed and published. </w:t>
      </w:r>
    </w:p>
    <w:p w:rsidR="008C29DE" w:rsidRPr="005A505B" w:rsidRDefault="008C29DE" w:rsidP="005A505B">
      <w:pPr>
        <w:pStyle w:val="ListParagraph"/>
        <w:numPr>
          <w:ilvl w:val="0"/>
          <w:numId w:val="9"/>
        </w:numPr>
        <w:ind w:left="720"/>
        <w:jc w:val="both"/>
        <w:rPr>
          <w:rFonts w:cs="Arial"/>
          <w:bCs/>
          <w:color w:val="auto"/>
          <w:sz w:val="20"/>
          <w:szCs w:val="20"/>
        </w:rPr>
      </w:pPr>
      <w:r w:rsidRPr="005A505B">
        <w:rPr>
          <w:rFonts w:cs="Arial"/>
          <w:bCs/>
          <w:color w:val="auto"/>
          <w:sz w:val="20"/>
          <w:szCs w:val="20"/>
        </w:rPr>
        <w:t xml:space="preserve">9 provinces progress reports on the implementation of provincial plans on the National Strategic Plan (NSP) for NCDs developed and published. </w:t>
      </w:r>
    </w:p>
    <w:p w:rsidR="008C29DE" w:rsidRPr="005A505B" w:rsidRDefault="008C29DE" w:rsidP="005A505B">
      <w:pPr>
        <w:jc w:val="both"/>
        <w:rPr>
          <w:rFonts w:cs="Arial"/>
          <w:bCs/>
          <w:color w:val="auto"/>
          <w:sz w:val="20"/>
          <w:szCs w:val="20"/>
        </w:rPr>
      </w:pPr>
    </w:p>
    <w:p w:rsidR="008C29DE" w:rsidRPr="005A505B" w:rsidRDefault="008C29DE" w:rsidP="005A505B">
      <w:pPr>
        <w:jc w:val="both"/>
        <w:rPr>
          <w:rFonts w:cs="Arial"/>
          <w:b/>
          <w:bCs/>
          <w:color w:val="auto"/>
          <w:sz w:val="20"/>
          <w:szCs w:val="20"/>
        </w:rPr>
      </w:pPr>
      <w:r w:rsidRPr="005A505B">
        <w:rPr>
          <w:rFonts w:cs="Arial"/>
          <w:b/>
          <w:bCs/>
          <w:color w:val="auto"/>
          <w:sz w:val="20"/>
          <w:szCs w:val="20"/>
        </w:rPr>
        <w:t>Programme 4: Primary Health Care</w:t>
      </w:r>
    </w:p>
    <w:p w:rsidR="008C29DE" w:rsidRPr="005A505B" w:rsidRDefault="008C29DE" w:rsidP="005A505B">
      <w:pPr>
        <w:jc w:val="both"/>
        <w:rPr>
          <w:rFonts w:cs="Arial"/>
          <w:b/>
          <w:bCs/>
          <w:color w:val="auto"/>
          <w:sz w:val="20"/>
          <w:szCs w:val="20"/>
        </w:rPr>
      </w:pPr>
    </w:p>
    <w:p w:rsidR="008C29DE" w:rsidRPr="005A505B" w:rsidRDefault="008C29DE" w:rsidP="005A505B">
      <w:pPr>
        <w:pStyle w:val="ListParagraph"/>
        <w:numPr>
          <w:ilvl w:val="0"/>
          <w:numId w:val="9"/>
        </w:numPr>
        <w:ind w:left="720"/>
        <w:jc w:val="both"/>
        <w:rPr>
          <w:rFonts w:cs="Arial"/>
          <w:bCs/>
          <w:color w:val="auto"/>
          <w:sz w:val="20"/>
          <w:szCs w:val="20"/>
        </w:rPr>
      </w:pPr>
      <w:r w:rsidRPr="005A505B">
        <w:rPr>
          <w:rFonts w:cs="Arial"/>
          <w:bCs/>
          <w:color w:val="auto"/>
          <w:sz w:val="20"/>
          <w:szCs w:val="20"/>
          <w:lang w:val="en-US"/>
        </w:rPr>
        <w:t xml:space="preserve">Evaluation report on the review of the District Health System Policy framework for 2014 – 2019 be made available. </w:t>
      </w:r>
    </w:p>
    <w:p w:rsidR="008C29DE" w:rsidRPr="005A505B" w:rsidRDefault="008C29DE" w:rsidP="005A505B">
      <w:pPr>
        <w:pStyle w:val="ListParagraph"/>
        <w:numPr>
          <w:ilvl w:val="0"/>
          <w:numId w:val="9"/>
        </w:numPr>
        <w:ind w:left="720"/>
        <w:jc w:val="both"/>
        <w:rPr>
          <w:rFonts w:cs="Arial"/>
          <w:bCs/>
          <w:color w:val="auto"/>
          <w:sz w:val="20"/>
          <w:szCs w:val="20"/>
        </w:rPr>
      </w:pPr>
      <w:r w:rsidRPr="005A505B">
        <w:rPr>
          <w:rFonts w:cs="Arial"/>
          <w:bCs/>
          <w:color w:val="auto"/>
          <w:sz w:val="20"/>
          <w:szCs w:val="20"/>
          <w:lang w:val="en-US"/>
        </w:rPr>
        <w:t xml:space="preserve">District Health Management Offices (DHMOs) Guidelines tested in 18 Districts. </w:t>
      </w:r>
    </w:p>
    <w:p w:rsidR="008C29DE" w:rsidRPr="005A505B" w:rsidRDefault="008C29DE" w:rsidP="005A505B">
      <w:pPr>
        <w:pStyle w:val="ListParagraph"/>
        <w:numPr>
          <w:ilvl w:val="0"/>
          <w:numId w:val="9"/>
        </w:numPr>
        <w:ind w:left="720"/>
        <w:jc w:val="both"/>
        <w:rPr>
          <w:rFonts w:cs="Arial"/>
          <w:bCs/>
          <w:color w:val="auto"/>
          <w:sz w:val="20"/>
          <w:szCs w:val="20"/>
        </w:rPr>
      </w:pPr>
      <w:r w:rsidRPr="005A505B">
        <w:rPr>
          <w:rFonts w:cs="Arial"/>
          <w:bCs/>
          <w:color w:val="auto"/>
          <w:sz w:val="20"/>
          <w:szCs w:val="20"/>
        </w:rPr>
        <w:t xml:space="preserve">2 700 Primary Health Care (PHC) facilities with Ward Based Outreach teams. </w:t>
      </w:r>
    </w:p>
    <w:p w:rsidR="008C29DE" w:rsidRPr="005A505B" w:rsidRDefault="008C29DE" w:rsidP="005A505B">
      <w:pPr>
        <w:pStyle w:val="ListParagraph"/>
        <w:numPr>
          <w:ilvl w:val="0"/>
          <w:numId w:val="9"/>
        </w:numPr>
        <w:ind w:left="720"/>
        <w:jc w:val="both"/>
        <w:rPr>
          <w:rFonts w:cs="Arial"/>
          <w:bCs/>
          <w:color w:val="auto"/>
          <w:sz w:val="20"/>
          <w:szCs w:val="20"/>
        </w:rPr>
      </w:pPr>
      <w:r w:rsidRPr="005A505B">
        <w:rPr>
          <w:rFonts w:cs="Arial"/>
          <w:bCs/>
          <w:color w:val="auto"/>
          <w:sz w:val="20"/>
          <w:szCs w:val="20"/>
        </w:rPr>
        <w:t>25 Ports of entry compliant with international health regulations (IHR) based on self-assessments.</w:t>
      </w:r>
    </w:p>
    <w:p w:rsidR="008C29DE" w:rsidRPr="005A505B" w:rsidRDefault="008C29DE" w:rsidP="005A505B">
      <w:pPr>
        <w:pStyle w:val="ListParagraph"/>
        <w:numPr>
          <w:ilvl w:val="0"/>
          <w:numId w:val="9"/>
        </w:numPr>
        <w:ind w:left="720"/>
        <w:jc w:val="both"/>
        <w:rPr>
          <w:rFonts w:cs="Arial"/>
          <w:bCs/>
          <w:color w:val="auto"/>
          <w:sz w:val="20"/>
          <w:szCs w:val="20"/>
        </w:rPr>
      </w:pPr>
      <w:r w:rsidRPr="005A505B">
        <w:rPr>
          <w:rFonts w:cs="Arial"/>
          <w:bCs/>
          <w:color w:val="auto"/>
          <w:sz w:val="20"/>
          <w:szCs w:val="20"/>
        </w:rPr>
        <w:t xml:space="preserve">26 Metropolitan and district municipalities assessed for adherence to environmental norms and standards. </w:t>
      </w:r>
    </w:p>
    <w:p w:rsidR="008C29DE" w:rsidRPr="005A505B" w:rsidRDefault="008C29DE" w:rsidP="005A505B">
      <w:pPr>
        <w:pStyle w:val="ListParagraph"/>
        <w:numPr>
          <w:ilvl w:val="0"/>
          <w:numId w:val="9"/>
        </w:numPr>
        <w:ind w:left="720"/>
        <w:jc w:val="both"/>
        <w:rPr>
          <w:rFonts w:cs="Arial"/>
          <w:bCs/>
          <w:color w:val="auto"/>
          <w:sz w:val="20"/>
          <w:szCs w:val="20"/>
        </w:rPr>
      </w:pPr>
      <w:r w:rsidRPr="005A505B">
        <w:rPr>
          <w:rFonts w:cs="Arial"/>
          <w:bCs/>
          <w:color w:val="auto"/>
          <w:sz w:val="20"/>
          <w:szCs w:val="20"/>
        </w:rPr>
        <w:t>350 000 clients lost to follow up for treatment traced by community health workers (CHWs).</w:t>
      </w:r>
    </w:p>
    <w:p w:rsidR="003135A6" w:rsidRPr="005A505B" w:rsidRDefault="003135A6" w:rsidP="005A505B">
      <w:pPr>
        <w:pStyle w:val="ListParagraph"/>
        <w:jc w:val="both"/>
        <w:rPr>
          <w:rFonts w:cs="Arial"/>
          <w:bCs/>
          <w:color w:val="auto"/>
          <w:sz w:val="20"/>
          <w:szCs w:val="20"/>
        </w:rPr>
      </w:pPr>
    </w:p>
    <w:p w:rsidR="008C29DE" w:rsidRPr="005A505B" w:rsidRDefault="008C29DE" w:rsidP="005A505B">
      <w:pPr>
        <w:jc w:val="both"/>
        <w:rPr>
          <w:rFonts w:cs="Arial"/>
          <w:b/>
          <w:bCs/>
          <w:color w:val="auto"/>
          <w:sz w:val="20"/>
          <w:szCs w:val="20"/>
        </w:rPr>
      </w:pPr>
      <w:r w:rsidRPr="005A505B">
        <w:rPr>
          <w:rFonts w:cs="Arial"/>
          <w:b/>
          <w:bCs/>
          <w:color w:val="auto"/>
          <w:sz w:val="20"/>
          <w:szCs w:val="20"/>
        </w:rPr>
        <w:t>Programme 5: Hospital Systems</w:t>
      </w:r>
    </w:p>
    <w:p w:rsidR="008C29DE" w:rsidRPr="005A505B" w:rsidRDefault="008C29DE" w:rsidP="005A505B">
      <w:pPr>
        <w:jc w:val="both"/>
        <w:rPr>
          <w:rFonts w:cs="Arial"/>
          <w:b/>
          <w:bCs/>
          <w:color w:val="auto"/>
          <w:sz w:val="20"/>
          <w:szCs w:val="20"/>
        </w:rPr>
      </w:pPr>
    </w:p>
    <w:p w:rsidR="008C29DE" w:rsidRPr="005A505B" w:rsidRDefault="008C29DE" w:rsidP="005A505B">
      <w:pPr>
        <w:pStyle w:val="ListParagraph"/>
        <w:numPr>
          <w:ilvl w:val="0"/>
          <w:numId w:val="9"/>
        </w:numPr>
        <w:ind w:left="720"/>
        <w:jc w:val="both"/>
        <w:rPr>
          <w:rFonts w:cs="Arial"/>
          <w:bCs/>
          <w:color w:val="auto"/>
          <w:sz w:val="20"/>
          <w:szCs w:val="20"/>
        </w:rPr>
      </w:pPr>
      <w:r w:rsidRPr="005A505B">
        <w:rPr>
          <w:rFonts w:cs="Arial"/>
          <w:bCs/>
          <w:color w:val="auto"/>
          <w:sz w:val="20"/>
          <w:szCs w:val="20"/>
        </w:rPr>
        <w:t>Regulations relating to designation/classification of hospitals reviewed and published for comment.</w:t>
      </w:r>
    </w:p>
    <w:p w:rsidR="008C29DE" w:rsidRPr="005A505B" w:rsidRDefault="008C29DE" w:rsidP="005A505B">
      <w:pPr>
        <w:pStyle w:val="ListParagraph"/>
        <w:numPr>
          <w:ilvl w:val="0"/>
          <w:numId w:val="9"/>
        </w:numPr>
        <w:ind w:left="720"/>
        <w:jc w:val="both"/>
        <w:rPr>
          <w:rFonts w:cs="Arial"/>
          <w:bCs/>
          <w:color w:val="auto"/>
          <w:sz w:val="20"/>
          <w:szCs w:val="20"/>
        </w:rPr>
      </w:pPr>
      <w:r w:rsidRPr="005A505B">
        <w:rPr>
          <w:rFonts w:cs="Arial"/>
          <w:bCs/>
          <w:color w:val="auto"/>
          <w:sz w:val="20"/>
          <w:szCs w:val="20"/>
        </w:rPr>
        <w:t xml:space="preserve">40 facilities constructed or revitalised. </w:t>
      </w:r>
    </w:p>
    <w:p w:rsidR="008C29DE" w:rsidRPr="005A505B" w:rsidRDefault="008C29DE" w:rsidP="005A505B">
      <w:pPr>
        <w:pStyle w:val="ListParagraph"/>
        <w:numPr>
          <w:ilvl w:val="0"/>
          <w:numId w:val="9"/>
        </w:numPr>
        <w:ind w:left="720"/>
        <w:jc w:val="both"/>
        <w:rPr>
          <w:rFonts w:cs="Arial"/>
          <w:bCs/>
          <w:color w:val="auto"/>
          <w:sz w:val="20"/>
          <w:szCs w:val="20"/>
        </w:rPr>
      </w:pPr>
      <w:r w:rsidRPr="005A505B">
        <w:rPr>
          <w:rFonts w:cs="Arial"/>
          <w:bCs/>
          <w:color w:val="auto"/>
          <w:sz w:val="20"/>
          <w:szCs w:val="20"/>
        </w:rPr>
        <w:t>21 hospitals are to be constructed or revitalised.</w:t>
      </w:r>
    </w:p>
    <w:p w:rsidR="008C29DE" w:rsidRPr="005A505B" w:rsidRDefault="008C29DE" w:rsidP="005A505B">
      <w:pPr>
        <w:pStyle w:val="ListParagraph"/>
        <w:numPr>
          <w:ilvl w:val="0"/>
          <w:numId w:val="9"/>
        </w:numPr>
        <w:ind w:left="720"/>
        <w:jc w:val="both"/>
        <w:rPr>
          <w:rFonts w:cs="Arial"/>
          <w:bCs/>
          <w:color w:val="auto"/>
          <w:sz w:val="20"/>
          <w:szCs w:val="20"/>
        </w:rPr>
      </w:pPr>
      <w:r w:rsidRPr="005A505B">
        <w:rPr>
          <w:rFonts w:cs="Arial"/>
          <w:bCs/>
          <w:color w:val="auto"/>
          <w:sz w:val="20"/>
          <w:szCs w:val="20"/>
        </w:rPr>
        <w:t xml:space="preserve">120 public health facilities to be maintained, repaired and /or refurbished. </w:t>
      </w:r>
    </w:p>
    <w:p w:rsidR="008C29DE" w:rsidRPr="005A505B" w:rsidRDefault="008C29DE" w:rsidP="005A505B">
      <w:pPr>
        <w:jc w:val="both"/>
        <w:rPr>
          <w:rFonts w:cs="Arial"/>
          <w:bCs/>
          <w:color w:val="auto"/>
          <w:sz w:val="20"/>
          <w:szCs w:val="20"/>
        </w:rPr>
      </w:pPr>
    </w:p>
    <w:p w:rsidR="008C29DE" w:rsidRPr="005A505B" w:rsidRDefault="008C29DE" w:rsidP="005A505B">
      <w:pPr>
        <w:jc w:val="both"/>
        <w:rPr>
          <w:rFonts w:cs="Arial"/>
          <w:b/>
          <w:bCs/>
          <w:color w:val="auto"/>
          <w:sz w:val="20"/>
          <w:szCs w:val="20"/>
        </w:rPr>
      </w:pPr>
      <w:r w:rsidRPr="005A505B">
        <w:rPr>
          <w:rFonts w:cs="Arial"/>
          <w:b/>
          <w:bCs/>
          <w:color w:val="auto"/>
          <w:sz w:val="20"/>
          <w:szCs w:val="20"/>
        </w:rPr>
        <w:t>Programme 6: Health Systems Governance and Human Resources</w:t>
      </w:r>
    </w:p>
    <w:p w:rsidR="008C29DE" w:rsidRPr="005A505B" w:rsidRDefault="008C29DE" w:rsidP="005A505B">
      <w:pPr>
        <w:jc w:val="both"/>
        <w:rPr>
          <w:rFonts w:cs="Arial"/>
          <w:b/>
          <w:bCs/>
          <w:i/>
          <w:color w:val="auto"/>
          <w:sz w:val="20"/>
          <w:szCs w:val="20"/>
        </w:rPr>
      </w:pPr>
    </w:p>
    <w:p w:rsidR="008C29DE" w:rsidRPr="005A505B" w:rsidRDefault="008C29DE" w:rsidP="005A505B">
      <w:pPr>
        <w:pStyle w:val="ListParagraph"/>
        <w:numPr>
          <w:ilvl w:val="0"/>
          <w:numId w:val="9"/>
        </w:numPr>
        <w:ind w:left="720"/>
        <w:jc w:val="both"/>
        <w:rPr>
          <w:rFonts w:cs="Arial"/>
          <w:bCs/>
          <w:color w:val="auto"/>
          <w:sz w:val="20"/>
          <w:szCs w:val="20"/>
        </w:rPr>
      </w:pPr>
      <w:r w:rsidRPr="005A505B">
        <w:rPr>
          <w:rFonts w:cs="Arial"/>
          <w:bCs/>
          <w:color w:val="auto"/>
          <w:sz w:val="20"/>
          <w:szCs w:val="20"/>
        </w:rPr>
        <w:t>New indicator: 2 Boards appointment recommendations made prior to the expiry of the term of office (South African Medical Research Council (SAMRC) and Office of Health Standards and Compliance (OHSC))</w:t>
      </w:r>
    </w:p>
    <w:p w:rsidR="008C29DE" w:rsidRPr="005A505B" w:rsidRDefault="008C29DE" w:rsidP="005A505B">
      <w:pPr>
        <w:pStyle w:val="ListParagraph"/>
        <w:numPr>
          <w:ilvl w:val="0"/>
          <w:numId w:val="9"/>
        </w:numPr>
        <w:ind w:left="720"/>
        <w:jc w:val="both"/>
        <w:rPr>
          <w:rFonts w:cs="Arial"/>
          <w:bCs/>
          <w:color w:val="auto"/>
          <w:sz w:val="20"/>
          <w:szCs w:val="20"/>
        </w:rPr>
      </w:pPr>
      <w:r w:rsidRPr="005A505B">
        <w:rPr>
          <w:rFonts w:cs="Arial"/>
          <w:bCs/>
          <w:color w:val="auto"/>
          <w:sz w:val="20"/>
          <w:szCs w:val="20"/>
        </w:rPr>
        <w:t>New indicator: Statutory Health Professionals Councils and Public Entities governance report produced bi-annually.</w:t>
      </w:r>
    </w:p>
    <w:p w:rsidR="008C29DE" w:rsidRPr="005A505B" w:rsidRDefault="008C29DE" w:rsidP="005A505B">
      <w:pPr>
        <w:pStyle w:val="ListParagraph"/>
        <w:numPr>
          <w:ilvl w:val="0"/>
          <w:numId w:val="9"/>
        </w:numPr>
        <w:ind w:left="720"/>
        <w:jc w:val="both"/>
        <w:rPr>
          <w:rFonts w:cs="Arial"/>
          <w:bCs/>
          <w:color w:val="auto"/>
          <w:sz w:val="20"/>
          <w:szCs w:val="20"/>
        </w:rPr>
      </w:pPr>
      <w:r w:rsidRPr="005A505B">
        <w:rPr>
          <w:rFonts w:cs="Arial"/>
          <w:bCs/>
          <w:color w:val="auto"/>
          <w:sz w:val="20"/>
          <w:szCs w:val="20"/>
        </w:rPr>
        <w:t>New indicator: 9 Nursing Colleges supported to develop training plans for nurse/ midwife specialists.</w:t>
      </w:r>
    </w:p>
    <w:p w:rsidR="008C29DE" w:rsidRPr="005A505B" w:rsidRDefault="008C29DE" w:rsidP="005A505B">
      <w:pPr>
        <w:pStyle w:val="ListParagraph"/>
        <w:numPr>
          <w:ilvl w:val="0"/>
          <w:numId w:val="9"/>
        </w:numPr>
        <w:ind w:left="720"/>
        <w:jc w:val="both"/>
        <w:rPr>
          <w:rFonts w:cs="Arial"/>
          <w:bCs/>
          <w:color w:val="auto"/>
          <w:sz w:val="20"/>
          <w:szCs w:val="20"/>
        </w:rPr>
      </w:pPr>
      <w:r w:rsidRPr="005A505B">
        <w:rPr>
          <w:rFonts w:cs="Arial"/>
          <w:bCs/>
          <w:color w:val="auto"/>
          <w:sz w:val="20"/>
          <w:szCs w:val="20"/>
        </w:rPr>
        <w:t>Revised set of Health Research priorities produced.</w:t>
      </w:r>
    </w:p>
    <w:p w:rsidR="008C29DE" w:rsidRPr="005A505B" w:rsidRDefault="008C29DE" w:rsidP="005A505B">
      <w:pPr>
        <w:pStyle w:val="ListParagraph"/>
        <w:numPr>
          <w:ilvl w:val="0"/>
          <w:numId w:val="9"/>
        </w:numPr>
        <w:ind w:left="720"/>
        <w:jc w:val="both"/>
        <w:rPr>
          <w:rFonts w:cs="Arial"/>
          <w:bCs/>
          <w:color w:val="auto"/>
          <w:sz w:val="20"/>
          <w:szCs w:val="20"/>
        </w:rPr>
      </w:pPr>
      <w:r w:rsidRPr="005A505B">
        <w:rPr>
          <w:rFonts w:cs="Arial"/>
          <w:bCs/>
          <w:color w:val="auto"/>
          <w:sz w:val="20"/>
          <w:szCs w:val="20"/>
        </w:rPr>
        <w:t>New indicator: Performance dashboards for national, provincial and district levels developed.</w:t>
      </w:r>
    </w:p>
    <w:p w:rsidR="008C29DE" w:rsidRPr="005A505B" w:rsidRDefault="008C29DE" w:rsidP="005A505B">
      <w:pPr>
        <w:pStyle w:val="ListParagraph"/>
        <w:numPr>
          <w:ilvl w:val="0"/>
          <w:numId w:val="9"/>
        </w:numPr>
        <w:ind w:left="720"/>
        <w:jc w:val="both"/>
        <w:rPr>
          <w:rFonts w:cs="Arial"/>
          <w:bCs/>
          <w:color w:val="auto"/>
          <w:sz w:val="20"/>
          <w:szCs w:val="20"/>
        </w:rPr>
      </w:pPr>
      <w:r w:rsidRPr="005A505B">
        <w:rPr>
          <w:rFonts w:cs="Arial"/>
          <w:bCs/>
          <w:color w:val="auto"/>
          <w:sz w:val="20"/>
          <w:szCs w:val="20"/>
        </w:rPr>
        <w:lastRenderedPageBreak/>
        <w:t>100 PHC facilities and 80 hospitals implementing the National Health Quality Improvement Programme.</w:t>
      </w:r>
    </w:p>
    <w:p w:rsidR="008C29DE" w:rsidRPr="005A505B" w:rsidRDefault="008C29DE" w:rsidP="005A505B">
      <w:pPr>
        <w:pStyle w:val="ListParagraph"/>
        <w:numPr>
          <w:ilvl w:val="0"/>
          <w:numId w:val="9"/>
        </w:numPr>
        <w:ind w:left="720"/>
        <w:jc w:val="both"/>
        <w:rPr>
          <w:rFonts w:cs="Arial"/>
          <w:bCs/>
          <w:color w:val="auto"/>
          <w:sz w:val="20"/>
          <w:szCs w:val="20"/>
        </w:rPr>
      </w:pPr>
      <w:r w:rsidRPr="005A505B">
        <w:rPr>
          <w:rFonts w:cs="Arial"/>
          <w:bCs/>
          <w:color w:val="auto"/>
          <w:sz w:val="20"/>
          <w:szCs w:val="20"/>
        </w:rPr>
        <w:t>2 200 PHC facilities qualify as Ideal Clinics.</w:t>
      </w:r>
    </w:p>
    <w:p w:rsidR="008C29DE" w:rsidRPr="005A505B" w:rsidRDefault="008C29DE" w:rsidP="005A505B">
      <w:pPr>
        <w:pStyle w:val="ListParagraph"/>
        <w:numPr>
          <w:ilvl w:val="0"/>
          <w:numId w:val="9"/>
        </w:numPr>
        <w:ind w:left="720"/>
        <w:jc w:val="both"/>
        <w:rPr>
          <w:rFonts w:cs="Arial"/>
          <w:bCs/>
          <w:color w:val="auto"/>
          <w:sz w:val="20"/>
          <w:szCs w:val="20"/>
        </w:rPr>
      </w:pPr>
      <w:r w:rsidRPr="005A505B">
        <w:rPr>
          <w:rFonts w:cs="Arial"/>
          <w:bCs/>
          <w:color w:val="auto"/>
          <w:sz w:val="20"/>
          <w:szCs w:val="20"/>
        </w:rPr>
        <w:t>New indicator: Community service policy review report with recommendations finalised and presented to the Technical NHC.</w:t>
      </w:r>
    </w:p>
    <w:p w:rsidR="008C29DE" w:rsidRPr="005A505B" w:rsidRDefault="008C29DE" w:rsidP="005A505B">
      <w:pPr>
        <w:pStyle w:val="ListParagraph"/>
        <w:numPr>
          <w:ilvl w:val="0"/>
          <w:numId w:val="9"/>
        </w:numPr>
        <w:ind w:left="720"/>
        <w:jc w:val="both"/>
        <w:rPr>
          <w:rFonts w:cs="Arial"/>
          <w:bCs/>
          <w:color w:val="auto"/>
          <w:sz w:val="20"/>
          <w:szCs w:val="20"/>
        </w:rPr>
      </w:pPr>
      <w:r w:rsidRPr="005A505B">
        <w:rPr>
          <w:rFonts w:cs="Arial"/>
          <w:bCs/>
          <w:color w:val="auto"/>
          <w:sz w:val="20"/>
          <w:szCs w:val="20"/>
        </w:rPr>
        <w:t>Utilisation and functionality of Human Resource Information System (HRIS) for HRH planning extended.</w:t>
      </w:r>
    </w:p>
    <w:p w:rsidR="009D0BD2" w:rsidRPr="005A505B" w:rsidRDefault="009D0BD2" w:rsidP="005A505B">
      <w:pPr>
        <w:jc w:val="both"/>
        <w:rPr>
          <w:rFonts w:cs="Arial"/>
          <w:bCs/>
          <w:color w:val="auto"/>
          <w:sz w:val="20"/>
          <w:szCs w:val="20"/>
        </w:rPr>
      </w:pPr>
    </w:p>
    <w:p w:rsidR="008C29DE" w:rsidRPr="005A505B" w:rsidRDefault="008C29DE" w:rsidP="005A505B">
      <w:pPr>
        <w:pStyle w:val="Heading2"/>
        <w:numPr>
          <w:ilvl w:val="1"/>
          <w:numId w:val="53"/>
        </w:numPr>
        <w:rPr>
          <w:color w:val="auto"/>
          <w:sz w:val="20"/>
          <w:szCs w:val="20"/>
        </w:rPr>
      </w:pPr>
      <w:bookmarkStart w:id="449" w:name="_Toc101435150"/>
      <w:bookmarkStart w:id="450" w:name="_Toc102119895"/>
      <w:r w:rsidRPr="005A505B">
        <w:rPr>
          <w:color w:val="auto"/>
          <w:sz w:val="20"/>
          <w:szCs w:val="20"/>
        </w:rPr>
        <w:t>Budget Analysis</w:t>
      </w:r>
      <w:bookmarkEnd w:id="449"/>
      <w:r w:rsidR="00CE336C" w:rsidRPr="005A505B">
        <w:rPr>
          <w:color w:val="auto"/>
          <w:sz w:val="20"/>
          <w:szCs w:val="20"/>
        </w:rPr>
        <w:t xml:space="preserve"> (2022/23)</w:t>
      </w:r>
      <w:bookmarkEnd w:id="450"/>
    </w:p>
    <w:p w:rsidR="008C29DE" w:rsidRPr="005A505B" w:rsidRDefault="008C29DE" w:rsidP="005A505B">
      <w:pPr>
        <w:jc w:val="both"/>
        <w:rPr>
          <w:rFonts w:cs="Arial"/>
          <w:color w:val="auto"/>
          <w:sz w:val="20"/>
          <w:szCs w:val="20"/>
        </w:rPr>
      </w:pPr>
    </w:p>
    <w:p w:rsidR="008C29DE" w:rsidRPr="005A505B" w:rsidRDefault="008C29DE" w:rsidP="005A505B">
      <w:pPr>
        <w:pStyle w:val="Heading3"/>
        <w:numPr>
          <w:ilvl w:val="2"/>
          <w:numId w:val="53"/>
        </w:numPr>
        <w:spacing w:before="0" w:after="0"/>
        <w:rPr>
          <w:color w:val="auto"/>
          <w:sz w:val="20"/>
          <w:szCs w:val="20"/>
        </w:rPr>
      </w:pPr>
      <w:bookmarkStart w:id="451" w:name="_Toc101435151"/>
      <w:bookmarkStart w:id="452" w:name="_Toc102119896"/>
      <w:r w:rsidRPr="005A505B">
        <w:rPr>
          <w:color w:val="auto"/>
          <w:sz w:val="20"/>
          <w:szCs w:val="20"/>
        </w:rPr>
        <w:t>Consolidated Health Budget 2022/23</w:t>
      </w:r>
      <w:bookmarkEnd w:id="451"/>
      <w:bookmarkEnd w:id="452"/>
    </w:p>
    <w:p w:rsidR="008C29DE" w:rsidRPr="005A505B" w:rsidRDefault="008C29DE" w:rsidP="005A505B">
      <w:pPr>
        <w:jc w:val="both"/>
        <w:rPr>
          <w:rFonts w:cs="Arial"/>
          <w:color w:val="auto"/>
          <w:sz w:val="20"/>
          <w:szCs w:val="20"/>
        </w:rPr>
      </w:pPr>
    </w:p>
    <w:p w:rsidR="008C29DE" w:rsidRPr="005A505B" w:rsidRDefault="008C29DE" w:rsidP="005A505B">
      <w:pPr>
        <w:jc w:val="both"/>
        <w:rPr>
          <w:rFonts w:cs="Arial"/>
          <w:color w:val="auto"/>
          <w:sz w:val="20"/>
          <w:szCs w:val="20"/>
        </w:rPr>
      </w:pPr>
      <w:r w:rsidRPr="005A505B">
        <w:rPr>
          <w:rFonts w:cs="Arial"/>
          <w:color w:val="auto"/>
          <w:sz w:val="20"/>
          <w:szCs w:val="20"/>
        </w:rPr>
        <w:t xml:space="preserve">The public health budget spans across the national department, its entities and the provincial departments of health. The consolidated budget for 2022/23 totals R259.0 billion, up from R248.8 billion in the previous financial year. Table </w:t>
      </w:r>
      <w:r w:rsidR="009D0BD2" w:rsidRPr="005A505B">
        <w:rPr>
          <w:rFonts w:cs="Arial"/>
          <w:color w:val="auto"/>
          <w:sz w:val="20"/>
          <w:szCs w:val="20"/>
        </w:rPr>
        <w:t>2</w:t>
      </w:r>
      <w:r w:rsidRPr="005A505B">
        <w:rPr>
          <w:rFonts w:cs="Arial"/>
          <w:color w:val="auto"/>
          <w:sz w:val="20"/>
          <w:szCs w:val="20"/>
        </w:rPr>
        <w:t xml:space="preserve">, below, provides a breakdown of the 2020/21 budget, by functional and economical classification. </w:t>
      </w:r>
    </w:p>
    <w:p w:rsidR="008C29DE" w:rsidRPr="005A505B" w:rsidRDefault="008C29DE" w:rsidP="005A505B">
      <w:pPr>
        <w:jc w:val="both"/>
        <w:rPr>
          <w:rFonts w:cs="Arial"/>
          <w:color w:val="auto"/>
          <w:sz w:val="20"/>
          <w:szCs w:val="20"/>
        </w:rPr>
      </w:pPr>
    </w:p>
    <w:p w:rsidR="008C29DE" w:rsidRPr="005A505B" w:rsidRDefault="008C29DE" w:rsidP="005A505B">
      <w:pPr>
        <w:pStyle w:val="Caption"/>
        <w:keepNext/>
        <w:jc w:val="both"/>
        <w:rPr>
          <w:rFonts w:cs="Arial"/>
          <w:color w:val="auto"/>
        </w:rPr>
      </w:pPr>
      <w:r w:rsidRPr="005A505B">
        <w:rPr>
          <w:rFonts w:cs="Arial"/>
          <w:color w:val="auto"/>
        </w:rPr>
        <w:t xml:space="preserve">Table </w:t>
      </w:r>
      <w:r w:rsidR="00013966" w:rsidRPr="005A505B">
        <w:rPr>
          <w:rFonts w:cs="Arial"/>
          <w:color w:val="auto"/>
        </w:rPr>
        <w:fldChar w:fldCharType="begin"/>
      </w:r>
      <w:r w:rsidRPr="005A505B">
        <w:rPr>
          <w:rFonts w:cs="Arial"/>
          <w:color w:val="auto"/>
        </w:rPr>
        <w:instrText xml:space="preserve"> SEQ Table \* ARABIC </w:instrText>
      </w:r>
      <w:r w:rsidR="00013966" w:rsidRPr="005A505B">
        <w:rPr>
          <w:rFonts w:cs="Arial"/>
          <w:color w:val="auto"/>
        </w:rPr>
        <w:fldChar w:fldCharType="separate"/>
      </w:r>
      <w:r w:rsidRPr="005A505B">
        <w:rPr>
          <w:rFonts w:cs="Arial"/>
          <w:noProof/>
          <w:color w:val="auto"/>
        </w:rPr>
        <w:t>2</w:t>
      </w:r>
      <w:r w:rsidR="00013966" w:rsidRPr="005A505B">
        <w:rPr>
          <w:rFonts w:cs="Arial"/>
          <w:noProof/>
          <w:color w:val="auto"/>
        </w:rPr>
        <w:fldChar w:fldCharType="end"/>
      </w:r>
      <w:r w:rsidRPr="005A505B">
        <w:rPr>
          <w:rFonts w:cs="Arial"/>
          <w:noProof/>
          <w:color w:val="auto"/>
        </w:rPr>
        <w:t>:</w:t>
      </w:r>
      <w:r w:rsidRPr="005A505B">
        <w:rPr>
          <w:rFonts w:cs="Arial"/>
          <w:color w:val="auto"/>
        </w:rPr>
        <w:t xml:space="preserve"> Consolidated Spending by Functional and Economic Classification, 2022/23</w:t>
      </w:r>
    </w:p>
    <w:tbl>
      <w:tblPr>
        <w:tblStyle w:val="TableGrid1"/>
        <w:tblW w:w="10190" w:type="dxa"/>
        <w:tblInd w:w="-431" w:type="dxa"/>
        <w:tblLayout w:type="fixed"/>
        <w:tblLook w:val="04A0"/>
      </w:tblPr>
      <w:tblGrid>
        <w:gridCol w:w="1575"/>
        <w:gridCol w:w="1005"/>
        <w:gridCol w:w="649"/>
        <w:gridCol w:w="930"/>
        <w:gridCol w:w="614"/>
        <w:gridCol w:w="898"/>
        <w:gridCol w:w="604"/>
        <w:gridCol w:w="1043"/>
        <w:gridCol w:w="578"/>
        <w:gridCol w:w="888"/>
        <w:gridCol w:w="567"/>
        <w:gridCol w:w="839"/>
      </w:tblGrid>
      <w:tr w:rsidR="008C29DE" w:rsidRPr="005A505B" w:rsidTr="002E66DA">
        <w:trPr>
          <w:cantSplit/>
          <w:trHeight w:val="833"/>
        </w:trPr>
        <w:tc>
          <w:tcPr>
            <w:tcW w:w="1575" w:type="dxa"/>
            <w:shd w:val="clear" w:color="auto" w:fill="auto"/>
            <w:textDirection w:val="btLr"/>
          </w:tcPr>
          <w:p w:rsidR="008C29DE" w:rsidRPr="005A505B" w:rsidRDefault="008C29DE" w:rsidP="005A505B">
            <w:pPr>
              <w:ind w:left="113" w:right="113"/>
              <w:jc w:val="both"/>
              <w:rPr>
                <w:rFonts w:cs="Arial"/>
                <w:b/>
                <w:color w:val="auto"/>
                <w:sz w:val="20"/>
                <w:szCs w:val="20"/>
              </w:rPr>
            </w:pPr>
          </w:p>
        </w:tc>
        <w:tc>
          <w:tcPr>
            <w:tcW w:w="1654" w:type="dxa"/>
            <w:gridSpan w:val="2"/>
            <w:shd w:val="clear" w:color="auto" w:fill="auto"/>
          </w:tcPr>
          <w:p w:rsidR="008C29DE" w:rsidRPr="005A505B" w:rsidRDefault="008C29DE" w:rsidP="005A505B">
            <w:pPr>
              <w:ind w:right="-31"/>
              <w:jc w:val="both"/>
              <w:rPr>
                <w:rFonts w:cs="Arial"/>
                <w:b/>
                <w:color w:val="auto"/>
                <w:sz w:val="20"/>
                <w:szCs w:val="20"/>
              </w:rPr>
            </w:pPr>
            <w:r w:rsidRPr="005A505B">
              <w:rPr>
                <w:rFonts w:cs="Arial"/>
                <w:b/>
                <w:color w:val="auto"/>
                <w:sz w:val="20"/>
                <w:szCs w:val="20"/>
              </w:rPr>
              <w:t>Compensation of Employees</w:t>
            </w:r>
          </w:p>
        </w:tc>
        <w:tc>
          <w:tcPr>
            <w:tcW w:w="1544" w:type="dxa"/>
            <w:gridSpan w:val="2"/>
            <w:shd w:val="clear" w:color="auto" w:fill="auto"/>
          </w:tcPr>
          <w:p w:rsidR="008C29DE" w:rsidRPr="005A505B" w:rsidRDefault="008C29DE" w:rsidP="005A505B">
            <w:pPr>
              <w:jc w:val="both"/>
              <w:rPr>
                <w:rFonts w:cs="Arial"/>
                <w:b/>
                <w:color w:val="auto"/>
                <w:sz w:val="20"/>
                <w:szCs w:val="20"/>
              </w:rPr>
            </w:pPr>
            <w:r w:rsidRPr="005A505B">
              <w:rPr>
                <w:rFonts w:cs="Arial"/>
                <w:b/>
                <w:color w:val="auto"/>
                <w:sz w:val="20"/>
                <w:szCs w:val="20"/>
              </w:rPr>
              <w:t>Goods and Services</w:t>
            </w:r>
          </w:p>
        </w:tc>
        <w:tc>
          <w:tcPr>
            <w:tcW w:w="1502" w:type="dxa"/>
            <w:gridSpan w:val="2"/>
            <w:shd w:val="clear" w:color="auto" w:fill="auto"/>
          </w:tcPr>
          <w:p w:rsidR="008C29DE" w:rsidRPr="005A505B" w:rsidRDefault="008C29DE" w:rsidP="005A505B">
            <w:pPr>
              <w:jc w:val="both"/>
              <w:rPr>
                <w:rFonts w:cs="Arial"/>
                <w:b/>
                <w:color w:val="auto"/>
                <w:sz w:val="20"/>
                <w:szCs w:val="20"/>
              </w:rPr>
            </w:pPr>
            <w:r w:rsidRPr="005A505B">
              <w:rPr>
                <w:rFonts w:cs="Arial"/>
                <w:b/>
                <w:color w:val="auto"/>
                <w:sz w:val="20"/>
                <w:szCs w:val="20"/>
              </w:rPr>
              <w:t>Capital spending and transfers</w:t>
            </w:r>
          </w:p>
        </w:tc>
        <w:tc>
          <w:tcPr>
            <w:tcW w:w="1621" w:type="dxa"/>
            <w:gridSpan w:val="2"/>
            <w:shd w:val="clear" w:color="auto" w:fill="auto"/>
          </w:tcPr>
          <w:p w:rsidR="008C29DE" w:rsidRPr="005A505B" w:rsidRDefault="008C29DE" w:rsidP="005A505B">
            <w:pPr>
              <w:jc w:val="both"/>
              <w:rPr>
                <w:rFonts w:cs="Arial"/>
                <w:b/>
                <w:color w:val="auto"/>
                <w:sz w:val="20"/>
                <w:szCs w:val="20"/>
              </w:rPr>
            </w:pPr>
            <w:r w:rsidRPr="005A505B">
              <w:rPr>
                <w:rFonts w:cs="Arial"/>
                <w:b/>
                <w:color w:val="auto"/>
                <w:sz w:val="20"/>
                <w:szCs w:val="20"/>
              </w:rPr>
              <w:t>Current transfers and subsidies</w:t>
            </w:r>
          </w:p>
        </w:tc>
        <w:tc>
          <w:tcPr>
            <w:tcW w:w="1455" w:type="dxa"/>
            <w:gridSpan w:val="2"/>
            <w:shd w:val="clear" w:color="auto" w:fill="auto"/>
          </w:tcPr>
          <w:p w:rsidR="008C29DE" w:rsidRPr="005A505B" w:rsidRDefault="008C29DE" w:rsidP="005A505B">
            <w:pPr>
              <w:jc w:val="both"/>
              <w:rPr>
                <w:rFonts w:cs="Arial"/>
                <w:b/>
                <w:color w:val="auto"/>
                <w:sz w:val="20"/>
                <w:szCs w:val="20"/>
              </w:rPr>
            </w:pPr>
            <w:r w:rsidRPr="005A505B">
              <w:rPr>
                <w:rFonts w:cs="Arial"/>
                <w:b/>
                <w:color w:val="auto"/>
                <w:sz w:val="20"/>
                <w:szCs w:val="20"/>
              </w:rPr>
              <w:t>Interest Payments</w:t>
            </w:r>
          </w:p>
        </w:tc>
        <w:tc>
          <w:tcPr>
            <w:tcW w:w="839" w:type="dxa"/>
            <w:shd w:val="clear" w:color="auto" w:fill="auto"/>
          </w:tcPr>
          <w:p w:rsidR="008C29DE" w:rsidRPr="005A505B" w:rsidRDefault="008C29DE" w:rsidP="005A505B">
            <w:pPr>
              <w:jc w:val="both"/>
              <w:rPr>
                <w:rFonts w:cs="Arial"/>
                <w:b/>
                <w:color w:val="auto"/>
                <w:sz w:val="20"/>
                <w:szCs w:val="20"/>
              </w:rPr>
            </w:pPr>
            <w:r w:rsidRPr="005A505B">
              <w:rPr>
                <w:rFonts w:cs="Arial"/>
                <w:b/>
                <w:color w:val="auto"/>
                <w:sz w:val="20"/>
                <w:szCs w:val="20"/>
              </w:rPr>
              <w:t>Total</w:t>
            </w:r>
          </w:p>
        </w:tc>
      </w:tr>
      <w:tr w:rsidR="002A322E" w:rsidRPr="005A505B" w:rsidTr="002E66DA">
        <w:trPr>
          <w:cantSplit/>
          <w:trHeight w:val="604"/>
        </w:trPr>
        <w:tc>
          <w:tcPr>
            <w:tcW w:w="1575" w:type="dxa"/>
            <w:shd w:val="clear" w:color="auto" w:fill="auto"/>
          </w:tcPr>
          <w:p w:rsidR="008C29DE" w:rsidRPr="005A505B" w:rsidRDefault="008C29DE" w:rsidP="005A505B">
            <w:pPr>
              <w:jc w:val="both"/>
              <w:rPr>
                <w:rFonts w:cs="Arial"/>
                <w:b/>
                <w:color w:val="auto"/>
                <w:sz w:val="20"/>
                <w:szCs w:val="20"/>
              </w:rPr>
            </w:pPr>
          </w:p>
          <w:p w:rsidR="008C29DE" w:rsidRPr="005A505B" w:rsidRDefault="008C29DE" w:rsidP="005A505B">
            <w:pPr>
              <w:jc w:val="both"/>
              <w:rPr>
                <w:rFonts w:cs="Arial"/>
                <w:b/>
                <w:color w:val="auto"/>
                <w:sz w:val="20"/>
                <w:szCs w:val="20"/>
              </w:rPr>
            </w:pPr>
            <w:r w:rsidRPr="005A505B">
              <w:rPr>
                <w:rFonts w:cs="Arial"/>
                <w:b/>
                <w:color w:val="auto"/>
                <w:sz w:val="20"/>
                <w:szCs w:val="20"/>
              </w:rPr>
              <w:t>R billion</w:t>
            </w:r>
          </w:p>
        </w:tc>
        <w:tc>
          <w:tcPr>
            <w:tcW w:w="1005" w:type="dxa"/>
            <w:shd w:val="clear" w:color="auto" w:fill="auto"/>
            <w:vAlign w:val="center"/>
          </w:tcPr>
          <w:p w:rsidR="008C29DE" w:rsidRPr="005A505B" w:rsidRDefault="002F4CE4" w:rsidP="005A505B">
            <w:pPr>
              <w:jc w:val="both"/>
              <w:rPr>
                <w:rFonts w:cs="Arial"/>
                <w:b/>
                <w:color w:val="auto"/>
                <w:sz w:val="20"/>
                <w:szCs w:val="20"/>
              </w:rPr>
            </w:pPr>
            <w:r w:rsidRPr="005A505B">
              <w:rPr>
                <w:rFonts w:cs="Arial"/>
                <w:b/>
                <w:color w:val="auto"/>
                <w:sz w:val="20"/>
                <w:szCs w:val="20"/>
              </w:rPr>
              <w:t>R</w:t>
            </w:r>
          </w:p>
        </w:tc>
        <w:tc>
          <w:tcPr>
            <w:tcW w:w="649" w:type="dxa"/>
            <w:shd w:val="clear" w:color="auto" w:fill="auto"/>
            <w:vAlign w:val="center"/>
          </w:tcPr>
          <w:p w:rsidR="008C29DE" w:rsidRPr="005A505B" w:rsidRDefault="008C29DE" w:rsidP="005A505B">
            <w:pPr>
              <w:ind w:right="-31"/>
              <w:jc w:val="both"/>
              <w:rPr>
                <w:rFonts w:cs="Arial"/>
                <w:b/>
                <w:color w:val="auto"/>
                <w:sz w:val="20"/>
                <w:szCs w:val="20"/>
              </w:rPr>
            </w:pPr>
          </w:p>
          <w:p w:rsidR="008C29DE" w:rsidRPr="005A505B" w:rsidRDefault="008C29DE" w:rsidP="005A505B">
            <w:pPr>
              <w:ind w:right="-31"/>
              <w:jc w:val="both"/>
              <w:rPr>
                <w:rFonts w:cs="Arial"/>
                <w:b/>
                <w:color w:val="auto"/>
                <w:sz w:val="20"/>
                <w:szCs w:val="20"/>
              </w:rPr>
            </w:pPr>
            <w:r w:rsidRPr="005A505B">
              <w:rPr>
                <w:rFonts w:cs="Arial"/>
                <w:b/>
                <w:color w:val="auto"/>
                <w:sz w:val="20"/>
                <w:szCs w:val="20"/>
              </w:rPr>
              <w:t>%</w:t>
            </w:r>
          </w:p>
        </w:tc>
        <w:tc>
          <w:tcPr>
            <w:tcW w:w="930" w:type="dxa"/>
            <w:shd w:val="clear" w:color="auto" w:fill="auto"/>
            <w:vAlign w:val="center"/>
          </w:tcPr>
          <w:p w:rsidR="008C29DE" w:rsidRPr="005A505B" w:rsidRDefault="002F4CE4" w:rsidP="005A505B">
            <w:pPr>
              <w:jc w:val="both"/>
              <w:rPr>
                <w:rFonts w:cs="Arial"/>
                <w:b/>
                <w:color w:val="auto"/>
                <w:sz w:val="20"/>
                <w:szCs w:val="20"/>
              </w:rPr>
            </w:pPr>
            <w:r w:rsidRPr="005A505B">
              <w:rPr>
                <w:rFonts w:cs="Arial"/>
                <w:b/>
                <w:color w:val="auto"/>
                <w:sz w:val="20"/>
                <w:szCs w:val="20"/>
              </w:rPr>
              <w:t>R</w:t>
            </w:r>
          </w:p>
        </w:tc>
        <w:tc>
          <w:tcPr>
            <w:tcW w:w="614" w:type="dxa"/>
            <w:shd w:val="clear" w:color="auto" w:fill="auto"/>
            <w:vAlign w:val="center"/>
          </w:tcPr>
          <w:p w:rsidR="008C29DE" w:rsidRPr="005A505B" w:rsidRDefault="008C29DE" w:rsidP="005A505B">
            <w:pPr>
              <w:jc w:val="both"/>
              <w:rPr>
                <w:rFonts w:cs="Arial"/>
                <w:b/>
                <w:color w:val="auto"/>
                <w:sz w:val="20"/>
                <w:szCs w:val="20"/>
              </w:rPr>
            </w:pPr>
          </w:p>
          <w:p w:rsidR="008C29DE" w:rsidRPr="005A505B" w:rsidRDefault="008C29DE" w:rsidP="005A505B">
            <w:pPr>
              <w:jc w:val="both"/>
              <w:rPr>
                <w:rFonts w:cs="Arial"/>
                <w:b/>
                <w:color w:val="auto"/>
                <w:sz w:val="20"/>
                <w:szCs w:val="20"/>
              </w:rPr>
            </w:pPr>
            <w:r w:rsidRPr="005A505B">
              <w:rPr>
                <w:rFonts w:cs="Arial"/>
                <w:b/>
                <w:color w:val="auto"/>
                <w:sz w:val="20"/>
                <w:szCs w:val="20"/>
              </w:rPr>
              <w:t>%</w:t>
            </w:r>
          </w:p>
        </w:tc>
        <w:tc>
          <w:tcPr>
            <w:tcW w:w="898" w:type="dxa"/>
            <w:shd w:val="clear" w:color="auto" w:fill="auto"/>
            <w:vAlign w:val="center"/>
          </w:tcPr>
          <w:p w:rsidR="008C29DE" w:rsidRPr="005A505B" w:rsidRDefault="002F4CE4" w:rsidP="005A505B">
            <w:pPr>
              <w:jc w:val="both"/>
              <w:rPr>
                <w:rFonts w:cs="Arial"/>
                <w:b/>
                <w:color w:val="auto"/>
                <w:sz w:val="20"/>
                <w:szCs w:val="20"/>
              </w:rPr>
            </w:pPr>
            <w:r w:rsidRPr="005A505B">
              <w:rPr>
                <w:rFonts w:cs="Arial"/>
                <w:b/>
                <w:color w:val="auto"/>
                <w:sz w:val="20"/>
                <w:szCs w:val="20"/>
              </w:rPr>
              <w:t>R</w:t>
            </w:r>
          </w:p>
        </w:tc>
        <w:tc>
          <w:tcPr>
            <w:tcW w:w="604" w:type="dxa"/>
            <w:shd w:val="clear" w:color="auto" w:fill="auto"/>
            <w:vAlign w:val="center"/>
          </w:tcPr>
          <w:p w:rsidR="008C29DE" w:rsidRPr="005A505B" w:rsidRDefault="008C29DE" w:rsidP="005A505B">
            <w:pPr>
              <w:jc w:val="both"/>
              <w:rPr>
                <w:rFonts w:cs="Arial"/>
                <w:b/>
                <w:color w:val="auto"/>
                <w:sz w:val="20"/>
                <w:szCs w:val="20"/>
              </w:rPr>
            </w:pPr>
          </w:p>
          <w:p w:rsidR="008C29DE" w:rsidRPr="005A505B" w:rsidRDefault="008C29DE" w:rsidP="005A505B">
            <w:pPr>
              <w:jc w:val="both"/>
              <w:rPr>
                <w:rFonts w:cs="Arial"/>
                <w:b/>
                <w:color w:val="auto"/>
                <w:sz w:val="20"/>
                <w:szCs w:val="20"/>
              </w:rPr>
            </w:pPr>
            <w:r w:rsidRPr="005A505B">
              <w:rPr>
                <w:rFonts w:cs="Arial"/>
                <w:b/>
                <w:color w:val="auto"/>
                <w:sz w:val="20"/>
                <w:szCs w:val="20"/>
              </w:rPr>
              <w:t>%</w:t>
            </w:r>
          </w:p>
        </w:tc>
        <w:tc>
          <w:tcPr>
            <w:tcW w:w="1043" w:type="dxa"/>
            <w:shd w:val="clear" w:color="auto" w:fill="auto"/>
            <w:vAlign w:val="center"/>
          </w:tcPr>
          <w:p w:rsidR="008C29DE" w:rsidRPr="005A505B" w:rsidRDefault="002F4CE4" w:rsidP="005A505B">
            <w:pPr>
              <w:jc w:val="both"/>
              <w:rPr>
                <w:rFonts w:cs="Arial"/>
                <w:b/>
                <w:color w:val="auto"/>
                <w:sz w:val="20"/>
                <w:szCs w:val="20"/>
              </w:rPr>
            </w:pPr>
            <w:r w:rsidRPr="005A505B">
              <w:rPr>
                <w:rFonts w:cs="Arial"/>
                <w:b/>
                <w:color w:val="auto"/>
                <w:sz w:val="20"/>
                <w:szCs w:val="20"/>
              </w:rPr>
              <w:t>R</w:t>
            </w:r>
          </w:p>
        </w:tc>
        <w:tc>
          <w:tcPr>
            <w:tcW w:w="578" w:type="dxa"/>
            <w:shd w:val="clear" w:color="auto" w:fill="auto"/>
            <w:vAlign w:val="center"/>
          </w:tcPr>
          <w:p w:rsidR="008C29DE" w:rsidRPr="005A505B" w:rsidRDefault="008C29DE" w:rsidP="005A505B">
            <w:pPr>
              <w:jc w:val="both"/>
              <w:rPr>
                <w:rFonts w:cs="Arial"/>
                <w:b/>
                <w:color w:val="auto"/>
                <w:sz w:val="20"/>
                <w:szCs w:val="20"/>
              </w:rPr>
            </w:pPr>
          </w:p>
          <w:p w:rsidR="008C29DE" w:rsidRPr="005A505B" w:rsidRDefault="008C29DE" w:rsidP="005A505B">
            <w:pPr>
              <w:jc w:val="both"/>
              <w:rPr>
                <w:rFonts w:cs="Arial"/>
                <w:b/>
                <w:color w:val="auto"/>
                <w:sz w:val="20"/>
                <w:szCs w:val="20"/>
              </w:rPr>
            </w:pPr>
            <w:r w:rsidRPr="005A505B">
              <w:rPr>
                <w:rFonts w:cs="Arial"/>
                <w:b/>
                <w:color w:val="auto"/>
                <w:sz w:val="20"/>
                <w:szCs w:val="20"/>
              </w:rPr>
              <w:t>%</w:t>
            </w:r>
          </w:p>
        </w:tc>
        <w:tc>
          <w:tcPr>
            <w:tcW w:w="888" w:type="dxa"/>
            <w:shd w:val="clear" w:color="auto" w:fill="auto"/>
            <w:vAlign w:val="center"/>
          </w:tcPr>
          <w:p w:rsidR="008C29DE" w:rsidRPr="005A505B" w:rsidRDefault="008C29DE" w:rsidP="005A505B">
            <w:pPr>
              <w:ind w:right="-104" w:hanging="227"/>
              <w:jc w:val="both"/>
              <w:rPr>
                <w:rFonts w:cs="Arial"/>
                <w:b/>
                <w:color w:val="auto"/>
                <w:sz w:val="20"/>
                <w:szCs w:val="20"/>
              </w:rPr>
            </w:pPr>
            <w:r w:rsidRPr="005A505B">
              <w:rPr>
                <w:rFonts w:cs="Arial"/>
                <w:b/>
                <w:color w:val="auto"/>
                <w:sz w:val="20"/>
                <w:szCs w:val="20"/>
              </w:rPr>
              <w:t>A</w:t>
            </w:r>
            <w:r w:rsidR="002F4CE4" w:rsidRPr="005A505B">
              <w:rPr>
                <w:rFonts w:cs="Arial"/>
                <w:b/>
                <w:color w:val="auto"/>
                <w:sz w:val="20"/>
                <w:szCs w:val="20"/>
              </w:rPr>
              <w:t>R</w:t>
            </w:r>
          </w:p>
        </w:tc>
        <w:tc>
          <w:tcPr>
            <w:tcW w:w="567" w:type="dxa"/>
            <w:shd w:val="clear" w:color="auto" w:fill="auto"/>
            <w:vAlign w:val="center"/>
          </w:tcPr>
          <w:p w:rsidR="008C29DE" w:rsidRPr="005A505B" w:rsidRDefault="008C29DE" w:rsidP="005A505B">
            <w:pPr>
              <w:jc w:val="both"/>
              <w:rPr>
                <w:rFonts w:cs="Arial"/>
                <w:b/>
                <w:color w:val="auto"/>
                <w:sz w:val="20"/>
                <w:szCs w:val="20"/>
              </w:rPr>
            </w:pPr>
          </w:p>
          <w:p w:rsidR="008C29DE" w:rsidRPr="005A505B" w:rsidRDefault="008C29DE" w:rsidP="005A505B">
            <w:pPr>
              <w:jc w:val="both"/>
              <w:rPr>
                <w:rFonts w:cs="Arial"/>
                <w:b/>
                <w:color w:val="auto"/>
                <w:sz w:val="20"/>
                <w:szCs w:val="20"/>
              </w:rPr>
            </w:pPr>
            <w:r w:rsidRPr="005A505B">
              <w:rPr>
                <w:rFonts w:cs="Arial"/>
                <w:b/>
                <w:color w:val="auto"/>
                <w:sz w:val="20"/>
                <w:szCs w:val="20"/>
              </w:rPr>
              <w:t>%</w:t>
            </w:r>
          </w:p>
        </w:tc>
        <w:tc>
          <w:tcPr>
            <w:tcW w:w="839" w:type="dxa"/>
            <w:shd w:val="clear" w:color="auto" w:fill="auto"/>
            <w:vAlign w:val="center"/>
          </w:tcPr>
          <w:p w:rsidR="008C29DE" w:rsidRPr="005A505B" w:rsidRDefault="002F4CE4" w:rsidP="005A505B">
            <w:pPr>
              <w:jc w:val="both"/>
              <w:rPr>
                <w:rFonts w:cs="Arial"/>
                <w:b/>
                <w:color w:val="auto"/>
                <w:sz w:val="20"/>
                <w:szCs w:val="20"/>
              </w:rPr>
            </w:pPr>
            <w:r w:rsidRPr="005A505B">
              <w:rPr>
                <w:rFonts w:cs="Arial"/>
                <w:b/>
                <w:color w:val="auto"/>
                <w:sz w:val="20"/>
                <w:szCs w:val="20"/>
              </w:rPr>
              <w:t>R</w:t>
            </w:r>
          </w:p>
        </w:tc>
      </w:tr>
      <w:tr w:rsidR="008C29DE" w:rsidRPr="005A505B" w:rsidTr="002E66DA">
        <w:trPr>
          <w:trHeight w:val="429"/>
        </w:trPr>
        <w:tc>
          <w:tcPr>
            <w:tcW w:w="1575" w:type="dxa"/>
            <w:shd w:val="clear" w:color="auto" w:fill="auto"/>
          </w:tcPr>
          <w:p w:rsidR="008C29DE" w:rsidRPr="005A505B" w:rsidRDefault="008C29DE" w:rsidP="005A505B">
            <w:pPr>
              <w:ind w:right="-133" w:hanging="113"/>
              <w:jc w:val="both"/>
              <w:rPr>
                <w:rFonts w:cs="Arial"/>
                <w:b/>
                <w:color w:val="auto"/>
                <w:sz w:val="20"/>
                <w:szCs w:val="20"/>
              </w:rPr>
            </w:pPr>
            <w:r w:rsidRPr="005A505B">
              <w:rPr>
                <w:rFonts w:cs="Arial"/>
                <w:b/>
                <w:color w:val="auto"/>
                <w:sz w:val="20"/>
                <w:szCs w:val="20"/>
              </w:rPr>
              <w:t xml:space="preserve">  Consolidated Health </w:t>
            </w:r>
          </w:p>
        </w:tc>
        <w:tc>
          <w:tcPr>
            <w:tcW w:w="1005" w:type="dxa"/>
            <w:shd w:val="clear" w:color="auto" w:fill="auto"/>
          </w:tcPr>
          <w:p w:rsidR="008C29DE" w:rsidRPr="005A505B" w:rsidRDefault="008C29DE" w:rsidP="005A505B">
            <w:pPr>
              <w:jc w:val="both"/>
              <w:rPr>
                <w:rFonts w:cs="Arial"/>
                <w:color w:val="auto"/>
                <w:sz w:val="20"/>
                <w:szCs w:val="20"/>
              </w:rPr>
            </w:pPr>
            <w:r w:rsidRPr="005A505B">
              <w:rPr>
                <w:rFonts w:cs="Arial"/>
                <w:color w:val="auto"/>
                <w:sz w:val="20"/>
                <w:szCs w:val="20"/>
              </w:rPr>
              <w:t>159.6</w:t>
            </w:r>
          </w:p>
        </w:tc>
        <w:tc>
          <w:tcPr>
            <w:tcW w:w="649" w:type="dxa"/>
          </w:tcPr>
          <w:p w:rsidR="008C29DE" w:rsidRPr="005A505B" w:rsidRDefault="008C29DE" w:rsidP="005A505B">
            <w:pPr>
              <w:ind w:right="-31"/>
              <w:jc w:val="both"/>
              <w:rPr>
                <w:rFonts w:cs="Arial"/>
                <w:color w:val="auto"/>
                <w:sz w:val="20"/>
                <w:szCs w:val="20"/>
              </w:rPr>
            </w:pPr>
            <w:r w:rsidRPr="005A505B">
              <w:rPr>
                <w:rFonts w:cs="Arial"/>
                <w:color w:val="auto"/>
                <w:sz w:val="20"/>
                <w:szCs w:val="20"/>
              </w:rPr>
              <w:t>61.6</w:t>
            </w:r>
          </w:p>
        </w:tc>
        <w:tc>
          <w:tcPr>
            <w:tcW w:w="930" w:type="dxa"/>
          </w:tcPr>
          <w:p w:rsidR="008C29DE" w:rsidRPr="005A505B" w:rsidRDefault="008C29DE" w:rsidP="005A505B">
            <w:pPr>
              <w:jc w:val="both"/>
              <w:rPr>
                <w:rFonts w:cs="Arial"/>
                <w:color w:val="auto"/>
                <w:sz w:val="20"/>
                <w:szCs w:val="20"/>
              </w:rPr>
            </w:pPr>
            <w:r w:rsidRPr="005A505B">
              <w:rPr>
                <w:rFonts w:cs="Arial"/>
                <w:color w:val="auto"/>
                <w:sz w:val="20"/>
                <w:szCs w:val="20"/>
              </w:rPr>
              <w:t>78.9</w:t>
            </w:r>
          </w:p>
        </w:tc>
        <w:tc>
          <w:tcPr>
            <w:tcW w:w="614" w:type="dxa"/>
          </w:tcPr>
          <w:p w:rsidR="008C29DE" w:rsidRPr="005A505B" w:rsidRDefault="008C29DE" w:rsidP="005A505B">
            <w:pPr>
              <w:jc w:val="both"/>
              <w:rPr>
                <w:rFonts w:cs="Arial"/>
                <w:color w:val="auto"/>
                <w:sz w:val="20"/>
                <w:szCs w:val="20"/>
              </w:rPr>
            </w:pPr>
            <w:r w:rsidRPr="005A505B">
              <w:rPr>
                <w:rFonts w:cs="Arial"/>
                <w:color w:val="auto"/>
                <w:sz w:val="20"/>
                <w:szCs w:val="20"/>
              </w:rPr>
              <w:t>30.5</w:t>
            </w:r>
          </w:p>
        </w:tc>
        <w:tc>
          <w:tcPr>
            <w:tcW w:w="898" w:type="dxa"/>
          </w:tcPr>
          <w:p w:rsidR="008C29DE" w:rsidRPr="005A505B" w:rsidRDefault="008C29DE" w:rsidP="005A505B">
            <w:pPr>
              <w:jc w:val="both"/>
              <w:rPr>
                <w:rFonts w:cs="Arial"/>
                <w:color w:val="auto"/>
                <w:sz w:val="20"/>
                <w:szCs w:val="20"/>
              </w:rPr>
            </w:pPr>
            <w:r w:rsidRPr="005A505B">
              <w:rPr>
                <w:rFonts w:cs="Arial"/>
                <w:color w:val="auto"/>
                <w:sz w:val="20"/>
                <w:szCs w:val="20"/>
              </w:rPr>
              <w:t>14.1</w:t>
            </w:r>
          </w:p>
        </w:tc>
        <w:tc>
          <w:tcPr>
            <w:tcW w:w="604" w:type="dxa"/>
          </w:tcPr>
          <w:p w:rsidR="008C29DE" w:rsidRPr="005A505B" w:rsidRDefault="008C29DE" w:rsidP="005A505B">
            <w:pPr>
              <w:jc w:val="both"/>
              <w:rPr>
                <w:rFonts w:cs="Arial"/>
                <w:color w:val="auto"/>
                <w:sz w:val="20"/>
                <w:szCs w:val="20"/>
              </w:rPr>
            </w:pPr>
            <w:r w:rsidRPr="005A505B">
              <w:rPr>
                <w:rFonts w:cs="Arial"/>
                <w:color w:val="auto"/>
                <w:sz w:val="20"/>
                <w:szCs w:val="20"/>
              </w:rPr>
              <w:t>5.4</w:t>
            </w:r>
          </w:p>
        </w:tc>
        <w:tc>
          <w:tcPr>
            <w:tcW w:w="1043" w:type="dxa"/>
          </w:tcPr>
          <w:p w:rsidR="008C29DE" w:rsidRPr="005A505B" w:rsidRDefault="008C29DE" w:rsidP="005A505B">
            <w:pPr>
              <w:jc w:val="both"/>
              <w:rPr>
                <w:rFonts w:cs="Arial"/>
                <w:color w:val="auto"/>
                <w:sz w:val="20"/>
                <w:szCs w:val="20"/>
              </w:rPr>
            </w:pPr>
            <w:r w:rsidRPr="005A505B">
              <w:rPr>
                <w:rFonts w:cs="Arial"/>
                <w:color w:val="auto"/>
                <w:sz w:val="20"/>
                <w:szCs w:val="20"/>
              </w:rPr>
              <w:t>6.4</w:t>
            </w:r>
          </w:p>
        </w:tc>
        <w:tc>
          <w:tcPr>
            <w:tcW w:w="578" w:type="dxa"/>
          </w:tcPr>
          <w:p w:rsidR="008C29DE" w:rsidRPr="005A505B" w:rsidRDefault="008C29DE" w:rsidP="005A505B">
            <w:pPr>
              <w:jc w:val="both"/>
              <w:rPr>
                <w:rFonts w:cs="Arial"/>
                <w:color w:val="auto"/>
                <w:sz w:val="20"/>
                <w:szCs w:val="20"/>
              </w:rPr>
            </w:pPr>
            <w:r w:rsidRPr="005A505B">
              <w:rPr>
                <w:rFonts w:cs="Arial"/>
                <w:color w:val="auto"/>
                <w:sz w:val="20"/>
                <w:szCs w:val="20"/>
              </w:rPr>
              <w:t>2.5</w:t>
            </w:r>
          </w:p>
        </w:tc>
        <w:tc>
          <w:tcPr>
            <w:tcW w:w="888" w:type="dxa"/>
          </w:tcPr>
          <w:p w:rsidR="008C29DE" w:rsidRPr="005A505B" w:rsidRDefault="008C29DE" w:rsidP="005A505B">
            <w:pPr>
              <w:jc w:val="both"/>
              <w:rPr>
                <w:rFonts w:cs="Arial"/>
                <w:color w:val="auto"/>
                <w:sz w:val="20"/>
                <w:szCs w:val="20"/>
              </w:rPr>
            </w:pPr>
            <w:r w:rsidRPr="005A505B">
              <w:rPr>
                <w:rFonts w:cs="Arial"/>
                <w:color w:val="auto"/>
                <w:sz w:val="20"/>
                <w:szCs w:val="20"/>
              </w:rPr>
              <w:t>0.0</w:t>
            </w:r>
          </w:p>
        </w:tc>
        <w:tc>
          <w:tcPr>
            <w:tcW w:w="567" w:type="dxa"/>
          </w:tcPr>
          <w:p w:rsidR="008C29DE" w:rsidRPr="005A505B" w:rsidRDefault="008C29DE" w:rsidP="005A505B">
            <w:pPr>
              <w:jc w:val="both"/>
              <w:rPr>
                <w:rFonts w:cs="Arial"/>
                <w:color w:val="auto"/>
                <w:sz w:val="20"/>
                <w:szCs w:val="20"/>
              </w:rPr>
            </w:pPr>
            <w:r w:rsidRPr="005A505B">
              <w:rPr>
                <w:rFonts w:cs="Arial"/>
                <w:color w:val="auto"/>
                <w:sz w:val="20"/>
                <w:szCs w:val="20"/>
              </w:rPr>
              <w:t>0.0</w:t>
            </w:r>
          </w:p>
        </w:tc>
        <w:tc>
          <w:tcPr>
            <w:tcW w:w="839" w:type="dxa"/>
          </w:tcPr>
          <w:p w:rsidR="008C29DE" w:rsidRPr="005A505B" w:rsidRDefault="008C29DE" w:rsidP="005A505B">
            <w:pPr>
              <w:jc w:val="both"/>
              <w:rPr>
                <w:rFonts w:cs="Arial"/>
                <w:color w:val="auto"/>
                <w:sz w:val="20"/>
                <w:szCs w:val="20"/>
              </w:rPr>
            </w:pPr>
            <w:r w:rsidRPr="005A505B">
              <w:rPr>
                <w:rFonts w:cs="Arial"/>
                <w:color w:val="auto"/>
                <w:sz w:val="20"/>
                <w:szCs w:val="20"/>
              </w:rPr>
              <w:t>259.0</w:t>
            </w:r>
          </w:p>
        </w:tc>
      </w:tr>
      <w:tr w:rsidR="008C29DE" w:rsidRPr="005A505B" w:rsidTr="002E66DA">
        <w:trPr>
          <w:trHeight w:val="429"/>
        </w:trPr>
        <w:tc>
          <w:tcPr>
            <w:tcW w:w="1575" w:type="dxa"/>
            <w:shd w:val="clear" w:color="auto" w:fill="auto"/>
          </w:tcPr>
          <w:p w:rsidR="008C29DE" w:rsidRPr="005A505B" w:rsidRDefault="008C29DE" w:rsidP="005A505B">
            <w:pPr>
              <w:jc w:val="both"/>
              <w:rPr>
                <w:rFonts w:cs="Arial"/>
                <w:b/>
                <w:color w:val="auto"/>
                <w:sz w:val="20"/>
                <w:szCs w:val="20"/>
              </w:rPr>
            </w:pPr>
            <w:r w:rsidRPr="005A505B">
              <w:rPr>
                <w:rFonts w:cs="Arial"/>
                <w:b/>
                <w:color w:val="auto"/>
                <w:sz w:val="20"/>
                <w:szCs w:val="20"/>
              </w:rPr>
              <w:t xml:space="preserve">SA Total </w:t>
            </w:r>
          </w:p>
          <w:p w:rsidR="008C29DE" w:rsidRPr="005A505B" w:rsidRDefault="008C29DE" w:rsidP="005A505B">
            <w:pPr>
              <w:jc w:val="both"/>
              <w:rPr>
                <w:rFonts w:cs="Arial"/>
                <w:b/>
                <w:color w:val="auto"/>
                <w:sz w:val="20"/>
                <w:szCs w:val="20"/>
              </w:rPr>
            </w:pPr>
            <w:r w:rsidRPr="005A505B">
              <w:rPr>
                <w:rFonts w:cs="Arial"/>
                <w:b/>
                <w:color w:val="auto"/>
                <w:sz w:val="20"/>
                <w:szCs w:val="20"/>
              </w:rPr>
              <w:t>Expenditure</w:t>
            </w:r>
          </w:p>
        </w:tc>
        <w:tc>
          <w:tcPr>
            <w:tcW w:w="1005" w:type="dxa"/>
            <w:shd w:val="clear" w:color="auto" w:fill="auto"/>
          </w:tcPr>
          <w:p w:rsidR="008C29DE" w:rsidRPr="005A505B" w:rsidRDefault="008C29DE" w:rsidP="005A505B">
            <w:pPr>
              <w:jc w:val="both"/>
              <w:rPr>
                <w:rFonts w:cs="Arial"/>
                <w:color w:val="auto"/>
                <w:sz w:val="20"/>
                <w:szCs w:val="20"/>
              </w:rPr>
            </w:pPr>
            <w:r w:rsidRPr="005A505B">
              <w:rPr>
                <w:rFonts w:cs="Arial"/>
                <w:color w:val="auto"/>
                <w:sz w:val="20"/>
                <w:szCs w:val="20"/>
              </w:rPr>
              <w:t>682.5</w:t>
            </w:r>
          </w:p>
        </w:tc>
        <w:tc>
          <w:tcPr>
            <w:tcW w:w="649" w:type="dxa"/>
          </w:tcPr>
          <w:p w:rsidR="008C29DE" w:rsidRPr="005A505B" w:rsidRDefault="008C29DE" w:rsidP="005A505B">
            <w:pPr>
              <w:ind w:right="-31"/>
              <w:jc w:val="both"/>
              <w:rPr>
                <w:rFonts w:cs="Arial"/>
                <w:color w:val="auto"/>
                <w:sz w:val="20"/>
                <w:szCs w:val="20"/>
              </w:rPr>
            </w:pPr>
            <w:r w:rsidRPr="005A505B">
              <w:rPr>
                <w:rFonts w:cs="Arial"/>
                <w:color w:val="auto"/>
                <w:sz w:val="20"/>
                <w:szCs w:val="20"/>
              </w:rPr>
              <w:t>31.6</w:t>
            </w:r>
          </w:p>
        </w:tc>
        <w:tc>
          <w:tcPr>
            <w:tcW w:w="930" w:type="dxa"/>
          </w:tcPr>
          <w:p w:rsidR="008C29DE" w:rsidRPr="005A505B" w:rsidRDefault="008C29DE" w:rsidP="005A505B">
            <w:pPr>
              <w:jc w:val="both"/>
              <w:rPr>
                <w:rFonts w:cs="Arial"/>
                <w:color w:val="auto"/>
                <w:sz w:val="20"/>
                <w:szCs w:val="20"/>
              </w:rPr>
            </w:pPr>
            <w:r w:rsidRPr="005A505B">
              <w:rPr>
                <w:rFonts w:cs="Arial"/>
                <w:color w:val="auto"/>
                <w:sz w:val="20"/>
                <w:szCs w:val="20"/>
              </w:rPr>
              <w:t>284.4</w:t>
            </w:r>
          </w:p>
        </w:tc>
        <w:tc>
          <w:tcPr>
            <w:tcW w:w="614" w:type="dxa"/>
          </w:tcPr>
          <w:p w:rsidR="008C29DE" w:rsidRPr="005A505B" w:rsidRDefault="008C29DE" w:rsidP="005A505B">
            <w:pPr>
              <w:jc w:val="both"/>
              <w:rPr>
                <w:rFonts w:cs="Arial"/>
                <w:color w:val="auto"/>
                <w:sz w:val="20"/>
                <w:szCs w:val="20"/>
              </w:rPr>
            </w:pPr>
            <w:r w:rsidRPr="005A505B">
              <w:rPr>
                <w:rFonts w:cs="Arial"/>
                <w:color w:val="auto"/>
                <w:sz w:val="20"/>
                <w:szCs w:val="20"/>
              </w:rPr>
              <w:t>13.2</w:t>
            </w:r>
          </w:p>
        </w:tc>
        <w:tc>
          <w:tcPr>
            <w:tcW w:w="898" w:type="dxa"/>
          </w:tcPr>
          <w:p w:rsidR="008C29DE" w:rsidRPr="005A505B" w:rsidRDefault="008C29DE" w:rsidP="005A505B">
            <w:pPr>
              <w:jc w:val="both"/>
              <w:rPr>
                <w:rFonts w:cs="Arial"/>
                <w:color w:val="auto"/>
                <w:sz w:val="20"/>
                <w:szCs w:val="20"/>
              </w:rPr>
            </w:pPr>
            <w:r w:rsidRPr="005A505B">
              <w:rPr>
                <w:rFonts w:cs="Arial"/>
                <w:color w:val="auto"/>
                <w:sz w:val="20"/>
                <w:szCs w:val="20"/>
              </w:rPr>
              <w:t>183.8</w:t>
            </w:r>
          </w:p>
        </w:tc>
        <w:tc>
          <w:tcPr>
            <w:tcW w:w="604" w:type="dxa"/>
          </w:tcPr>
          <w:p w:rsidR="008C29DE" w:rsidRPr="005A505B" w:rsidRDefault="008C29DE" w:rsidP="005A505B">
            <w:pPr>
              <w:jc w:val="both"/>
              <w:rPr>
                <w:rFonts w:cs="Arial"/>
                <w:color w:val="auto"/>
                <w:sz w:val="20"/>
                <w:szCs w:val="20"/>
              </w:rPr>
            </w:pPr>
            <w:r w:rsidRPr="005A505B">
              <w:rPr>
                <w:rFonts w:cs="Arial"/>
                <w:color w:val="auto"/>
                <w:sz w:val="20"/>
                <w:szCs w:val="20"/>
              </w:rPr>
              <w:t>8.5</w:t>
            </w:r>
          </w:p>
        </w:tc>
        <w:tc>
          <w:tcPr>
            <w:tcW w:w="1043" w:type="dxa"/>
          </w:tcPr>
          <w:p w:rsidR="008C29DE" w:rsidRPr="005A505B" w:rsidRDefault="008C29DE" w:rsidP="005A505B">
            <w:pPr>
              <w:jc w:val="both"/>
              <w:rPr>
                <w:rFonts w:cs="Arial"/>
                <w:color w:val="auto"/>
                <w:sz w:val="20"/>
                <w:szCs w:val="20"/>
              </w:rPr>
            </w:pPr>
            <w:r w:rsidRPr="005A505B">
              <w:rPr>
                <w:rFonts w:cs="Arial"/>
                <w:color w:val="auto"/>
                <w:sz w:val="20"/>
                <w:szCs w:val="20"/>
              </w:rPr>
              <w:t>658.2</w:t>
            </w:r>
          </w:p>
        </w:tc>
        <w:tc>
          <w:tcPr>
            <w:tcW w:w="578" w:type="dxa"/>
          </w:tcPr>
          <w:p w:rsidR="008C29DE" w:rsidRPr="005A505B" w:rsidRDefault="008C29DE" w:rsidP="005A505B">
            <w:pPr>
              <w:jc w:val="both"/>
              <w:rPr>
                <w:rFonts w:cs="Arial"/>
                <w:color w:val="auto"/>
                <w:sz w:val="20"/>
                <w:szCs w:val="20"/>
              </w:rPr>
            </w:pPr>
            <w:r w:rsidRPr="005A505B">
              <w:rPr>
                <w:rFonts w:cs="Arial"/>
                <w:color w:val="auto"/>
                <w:sz w:val="20"/>
                <w:szCs w:val="20"/>
              </w:rPr>
              <w:t>30.5</w:t>
            </w:r>
          </w:p>
        </w:tc>
        <w:tc>
          <w:tcPr>
            <w:tcW w:w="888" w:type="dxa"/>
          </w:tcPr>
          <w:p w:rsidR="008C29DE" w:rsidRPr="005A505B" w:rsidRDefault="008C29DE" w:rsidP="005A505B">
            <w:pPr>
              <w:jc w:val="both"/>
              <w:rPr>
                <w:rFonts w:cs="Arial"/>
                <w:color w:val="auto"/>
                <w:sz w:val="20"/>
                <w:szCs w:val="20"/>
              </w:rPr>
            </w:pPr>
            <w:r w:rsidRPr="005A505B">
              <w:rPr>
                <w:rFonts w:cs="Arial"/>
                <w:color w:val="auto"/>
                <w:sz w:val="20"/>
                <w:szCs w:val="20"/>
              </w:rPr>
              <w:t>310.8</w:t>
            </w:r>
          </w:p>
        </w:tc>
        <w:tc>
          <w:tcPr>
            <w:tcW w:w="567" w:type="dxa"/>
          </w:tcPr>
          <w:p w:rsidR="008C29DE" w:rsidRPr="005A505B" w:rsidRDefault="008C29DE" w:rsidP="005A505B">
            <w:pPr>
              <w:ind w:right="-51"/>
              <w:jc w:val="both"/>
              <w:rPr>
                <w:rFonts w:cs="Arial"/>
                <w:color w:val="auto"/>
                <w:sz w:val="20"/>
                <w:szCs w:val="20"/>
              </w:rPr>
            </w:pPr>
            <w:r w:rsidRPr="005A505B">
              <w:rPr>
                <w:rFonts w:cs="Arial"/>
                <w:color w:val="auto"/>
                <w:sz w:val="20"/>
                <w:szCs w:val="20"/>
              </w:rPr>
              <w:t>14.4</w:t>
            </w:r>
          </w:p>
        </w:tc>
        <w:tc>
          <w:tcPr>
            <w:tcW w:w="839" w:type="dxa"/>
          </w:tcPr>
          <w:p w:rsidR="008C29DE" w:rsidRPr="005A505B" w:rsidRDefault="008C29DE" w:rsidP="005A505B">
            <w:pPr>
              <w:jc w:val="both"/>
              <w:rPr>
                <w:rFonts w:cs="Arial"/>
                <w:color w:val="auto"/>
                <w:sz w:val="20"/>
                <w:szCs w:val="20"/>
              </w:rPr>
            </w:pPr>
            <w:r w:rsidRPr="005A505B">
              <w:rPr>
                <w:rFonts w:cs="Arial"/>
                <w:color w:val="auto"/>
                <w:sz w:val="20"/>
                <w:szCs w:val="20"/>
              </w:rPr>
              <w:t>2 157.3</w:t>
            </w:r>
          </w:p>
        </w:tc>
      </w:tr>
    </w:tbl>
    <w:p w:rsidR="008C29DE" w:rsidRPr="005A505B" w:rsidRDefault="008C29DE" w:rsidP="005A505B">
      <w:pPr>
        <w:jc w:val="both"/>
        <w:rPr>
          <w:rFonts w:cs="Arial"/>
          <w:color w:val="auto"/>
          <w:sz w:val="20"/>
          <w:szCs w:val="20"/>
        </w:rPr>
      </w:pPr>
    </w:p>
    <w:p w:rsidR="008C29DE" w:rsidRPr="005A505B" w:rsidRDefault="008C29DE" w:rsidP="005A505B">
      <w:pPr>
        <w:jc w:val="both"/>
        <w:rPr>
          <w:rFonts w:cs="Arial"/>
          <w:color w:val="auto"/>
          <w:sz w:val="20"/>
          <w:szCs w:val="20"/>
        </w:rPr>
      </w:pPr>
    </w:p>
    <w:p w:rsidR="008C29DE" w:rsidRPr="005A505B" w:rsidRDefault="008C29DE" w:rsidP="005A505B">
      <w:pPr>
        <w:pStyle w:val="ListParagraph"/>
        <w:numPr>
          <w:ilvl w:val="0"/>
          <w:numId w:val="4"/>
        </w:numPr>
        <w:jc w:val="both"/>
        <w:rPr>
          <w:rFonts w:cs="Arial"/>
          <w:color w:val="auto"/>
          <w:sz w:val="20"/>
          <w:szCs w:val="20"/>
        </w:rPr>
      </w:pPr>
      <w:r w:rsidRPr="005A505B">
        <w:rPr>
          <w:rFonts w:cs="Arial"/>
          <w:color w:val="auto"/>
          <w:sz w:val="20"/>
          <w:szCs w:val="20"/>
        </w:rPr>
        <w:t>A significant segment of the consolidated health expenditure, 61.6</w:t>
      </w:r>
      <w:r w:rsidR="00925930" w:rsidRPr="005A505B">
        <w:rPr>
          <w:rFonts w:cs="Arial"/>
          <w:color w:val="auto"/>
          <w:sz w:val="20"/>
          <w:szCs w:val="20"/>
        </w:rPr>
        <w:t>%</w:t>
      </w:r>
      <w:r w:rsidRPr="005A505B">
        <w:rPr>
          <w:rFonts w:cs="Arial"/>
          <w:color w:val="auto"/>
          <w:sz w:val="20"/>
          <w:szCs w:val="20"/>
        </w:rPr>
        <w:t>, is dedicated to Compensation of Employees (COE), which totals R159.6 billion, up from R150.7 billion.</w:t>
      </w:r>
    </w:p>
    <w:p w:rsidR="008C29DE" w:rsidRPr="005A505B" w:rsidRDefault="008C29DE" w:rsidP="005A505B">
      <w:pPr>
        <w:pStyle w:val="ListParagraph"/>
        <w:numPr>
          <w:ilvl w:val="0"/>
          <w:numId w:val="4"/>
        </w:numPr>
        <w:jc w:val="both"/>
        <w:rPr>
          <w:rFonts w:cs="Arial"/>
          <w:color w:val="auto"/>
          <w:sz w:val="20"/>
          <w:szCs w:val="20"/>
        </w:rPr>
      </w:pPr>
      <w:r w:rsidRPr="005A505B">
        <w:rPr>
          <w:rFonts w:cs="Arial"/>
          <w:color w:val="auto"/>
          <w:sz w:val="20"/>
          <w:szCs w:val="20"/>
        </w:rPr>
        <w:t>Consolidated health expenditure on Goods and Services totals R78.9 billion, down from R80.1 billion, which constitutes 30.5</w:t>
      </w:r>
      <w:r w:rsidR="00925930" w:rsidRPr="005A505B">
        <w:rPr>
          <w:rFonts w:cs="Arial"/>
          <w:color w:val="auto"/>
          <w:sz w:val="20"/>
          <w:szCs w:val="20"/>
        </w:rPr>
        <w:t xml:space="preserve">% </w:t>
      </w:r>
      <w:r w:rsidRPr="005A505B">
        <w:rPr>
          <w:rFonts w:cs="Arial"/>
          <w:color w:val="auto"/>
          <w:sz w:val="20"/>
          <w:szCs w:val="20"/>
        </w:rPr>
        <w:t xml:space="preserve">of overall health expenditure. </w:t>
      </w:r>
    </w:p>
    <w:p w:rsidR="008C29DE" w:rsidRPr="005A505B" w:rsidRDefault="008C29DE" w:rsidP="005A505B">
      <w:pPr>
        <w:pStyle w:val="ListParagraph"/>
        <w:numPr>
          <w:ilvl w:val="0"/>
          <w:numId w:val="4"/>
        </w:numPr>
        <w:jc w:val="both"/>
        <w:rPr>
          <w:rFonts w:cs="Arial"/>
          <w:color w:val="auto"/>
          <w:sz w:val="20"/>
          <w:szCs w:val="20"/>
        </w:rPr>
      </w:pPr>
      <w:r w:rsidRPr="005A505B">
        <w:rPr>
          <w:rFonts w:cs="Arial"/>
          <w:color w:val="auto"/>
          <w:sz w:val="20"/>
          <w:szCs w:val="20"/>
        </w:rPr>
        <w:t>Consolidated health expenditure also makes provision for R14.1 billion (5.4</w:t>
      </w:r>
      <w:r w:rsidR="00925930" w:rsidRPr="005A505B">
        <w:rPr>
          <w:rFonts w:cs="Arial"/>
          <w:color w:val="auto"/>
          <w:sz w:val="20"/>
          <w:szCs w:val="20"/>
        </w:rPr>
        <w:t>%</w:t>
      </w:r>
      <w:r w:rsidRPr="005A505B">
        <w:rPr>
          <w:rFonts w:cs="Arial"/>
          <w:color w:val="auto"/>
          <w:sz w:val="20"/>
          <w:szCs w:val="20"/>
        </w:rPr>
        <w:t>) allocated to Capital spending and transfers, and R6.4 billion (up from 5.8 billion in the previous year) for Current transfers and subsidies (2.5</w:t>
      </w:r>
      <w:r w:rsidR="00925930" w:rsidRPr="005A505B">
        <w:rPr>
          <w:rFonts w:cs="Arial"/>
          <w:color w:val="auto"/>
          <w:sz w:val="20"/>
          <w:szCs w:val="20"/>
        </w:rPr>
        <w:t>%</w:t>
      </w:r>
      <w:r w:rsidRPr="005A505B">
        <w:rPr>
          <w:rFonts w:cs="Arial"/>
          <w:color w:val="auto"/>
          <w:sz w:val="20"/>
          <w:szCs w:val="20"/>
        </w:rPr>
        <w:t xml:space="preserve">). </w:t>
      </w:r>
    </w:p>
    <w:p w:rsidR="008C29DE" w:rsidRPr="005A505B" w:rsidRDefault="008C29DE" w:rsidP="005A505B">
      <w:pPr>
        <w:pStyle w:val="ListParagraph"/>
        <w:numPr>
          <w:ilvl w:val="0"/>
          <w:numId w:val="4"/>
        </w:numPr>
        <w:jc w:val="both"/>
        <w:rPr>
          <w:rFonts w:cs="Arial"/>
          <w:color w:val="auto"/>
          <w:sz w:val="20"/>
          <w:szCs w:val="20"/>
        </w:rPr>
      </w:pPr>
      <w:r w:rsidRPr="005A505B">
        <w:rPr>
          <w:rFonts w:cs="Arial"/>
          <w:color w:val="auto"/>
          <w:sz w:val="20"/>
          <w:szCs w:val="20"/>
        </w:rPr>
        <w:t>There is no allocation for Interest Payments. However, given that provinces are known to run high levels of accruals, this is likely not accurate and suppliers are probably char</w:t>
      </w:r>
      <w:r w:rsidR="003135A6" w:rsidRPr="005A505B">
        <w:rPr>
          <w:rFonts w:cs="Arial"/>
          <w:color w:val="auto"/>
          <w:sz w:val="20"/>
          <w:szCs w:val="20"/>
        </w:rPr>
        <w:t>ging interest for late payment.</w:t>
      </w:r>
    </w:p>
    <w:p w:rsidR="008C29DE" w:rsidRPr="005A505B" w:rsidRDefault="008C29DE" w:rsidP="005A505B">
      <w:pPr>
        <w:jc w:val="both"/>
        <w:rPr>
          <w:rFonts w:cs="Arial"/>
          <w:color w:val="auto"/>
          <w:sz w:val="20"/>
          <w:szCs w:val="20"/>
        </w:rPr>
      </w:pPr>
    </w:p>
    <w:p w:rsidR="008C29DE" w:rsidRPr="005A505B" w:rsidRDefault="00BE0C40" w:rsidP="005A505B">
      <w:pPr>
        <w:jc w:val="both"/>
        <w:rPr>
          <w:rFonts w:cs="Arial"/>
          <w:noProof/>
          <w:color w:val="auto"/>
          <w:sz w:val="20"/>
          <w:szCs w:val="20"/>
          <w:lang w:eastAsia="en-ZA"/>
        </w:rPr>
      </w:pPr>
      <w:r w:rsidRPr="005A505B">
        <w:rPr>
          <w:rFonts w:cs="Arial"/>
          <w:noProof/>
          <w:color w:val="auto"/>
          <w:sz w:val="20"/>
          <w:szCs w:val="20"/>
          <w:lang w:val="en-US" w:eastAsia="en-US"/>
        </w:rPr>
        <w:drawing>
          <wp:anchor distT="0" distB="0" distL="114300" distR="114300" simplePos="0" relativeHeight="251706368" behindDoc="0" locked="0" layoutInCell="1" allowOverlap="1">
            <wp:simplePos x="0" y="0"/>
            <wp:positionH relativeFrom="column">
              <wp:posOffset>161925</wp:posOffset>
            </wp:positionH>
            <wp:positionV relativeFrom="paragraph">
              <wp:posOffset>296545</wp:posOffset>
            </wp:positionV>
            <wp:extent cx="4886960" cy="2761615"/>
            <wp:effectExtent l="0" t="0" r="8890" b="635"/>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86960" cy="2761615"/>
                    </a:xfrm>
                    <a:prstGeom prst="rect">
                      <a:avLst/>
                    </a:prstGeom>
                    <a:noFill/>
                  </pic:spPr>
                </pic:pic>
              </a:graphicData>
            </a:graphic>
          </wp:anchor>
        </w:drawing>
      </w:r>
      <w:r w:rsidR="00013966" w:rsidRPr="005A505B">
        <w:rPr>
          <w:rFonts w:cs="Arial"/>
          <w:noProof/>
          <w:color w:val="auto"/>
          <w:sz w:val="20"/>
          <w:szCs w:val="20"/>
          <w:lang w:val="en-US" w:eastAsia="en-US"/>
        </w:rPr>
        <w:pict>
          <v:shapetype id="_x0000_t202" coordsize="21600,21600" o:spt="202" path="m,l,21600r21600,l21600,xe">
            <v:stroke joinstyle="miter"/>
            <v:path gradientshapeok="t" o:connecttype="rect"/>
          </v:shapetype>
          <v:shape id="Text Box 11" o:spid="_x0000_s1026" type="#_x0000_t202" style="position:absolute;left:0;text-align:left;margin-left:13.5pt;margin-top:7.25pt;width:384.05pt;height:11.75pt;z-index:251700224;visibility:visible;mso-position-horizontal-relative:margin;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" stroked="f">
            <v:textbox inset="0,0,0,0">
              <w:txbxContent>
                <w:p w:rsidR="00950709" w:rsidRPr="002E66DA" w:rsidRDefault="00950709" w:rsidP="008C29DE">
                  <w:pPr>
                    <w:pStyle w:val="Caption"/>
                    <w:rPr>
                      <w:noProof/>
                      <w:sz w:val="14"/>
                    </w:rPr>
                  </w:pPr>
                  <w:r w:rsidRPr="002E66DA">
                    <w:rPr>
                      <w:sz w:val="18"/>
                    </w:rPr>
                    <w:t>Figure 1: Consolidated Health Budget Expenditure</w:t>
                  </w:r>
                </w:p>
              </w:txbxContent>
            </v:textbox>
            <w10:wrap type="square" anchorx="margin"/>
          </v:shape>
        </w:pict>
      </w:r>
    </w:p>
    <w:p w:rsidR="008C29DE" w:rsidRPr="005A505B" w:rsidRDefault="008C29DE" w:rsidP="005A505B">
      <w:pPr>
        <w:jc w:val="both"/>
        <w:rPr>
          <w:rFonts w:cs="Arial"/>
          <w:noProof/>
          <w:color w:val="auto"/>
          <w:sz w:val="20"/>
          <w:szCs w:val="20"/>
          <w:lang w:eastAsia="en-ZA"/>
        </w:rPr>
      </w:pPr>
    </w:p>
    <w:p w:rsidR="008C29DE" w:rsidRPr="005A505B" w:rsidRDefault="008C29DE" w:rsidP="005A505B">
      <w:pPr>
        <w:jc w:val="both"/>
        <w:rPr>
          <w:rFonts w:cs="Arial"/>
          <w:color w:val="auto"/>
          <w:sz w:val="20"/>
          <w:szCs w:val="20"/>
        </w:rPr>
      </w:pPr>
    </w:p>
    <w:p w:rsidR="008C29DE" w:rsidRPr="005A505B" w:rsidRDefault="008C29DE" w:rsidP="005A505B">
      <w:pPr>
        <w:jc w:val="both"/>
        <w:rPr>
          <w:rFonts w:cs="Arial"/>
          <w:color w:val="auto"/>
          <w:sz w:val="20"/>
          <w:szCs w:val="20"/>
        </w:rPr>
      </w:pPr>
      <w:r w:rsidRPr="005A505B">
        <w:rPr>
          <w:rFonts w:cs="Arial"/>
          <w:color w:val="auto"/>
          <w:sz w:val="20"/>
          <w:szCs w:val="20"/>
        </w:rPr>
        <w:t>As can be seen in Figure 1 above, District Health Services receives R115.7 billion (44.7</w:t>
      </w:r>
      <w:r w:rsidR="002F4CE4" w:rsidRPr="005A505B">
        <w:rPr>
          <w:rFonts w:cs="Arial"/>
          <w:color w:val="auto"/>
          <w:sz w:val="20"/>
          <w:szCs w:val="20"/>
        </w:rPr>
        <w:t>%</w:t>
      </w:r>
      <w:r w:rsidRPr="005A505B">
        <w:rPr>
          <w:rFonts w:cs="Arial"/>
          <w:color w:val="auto"/>
          <w:sz w:val="20"/>
          <w:szCs w:val="20"/>
        </w:rPr>
        <w:t xml:space="preserve">), the largest proportion of the consolidated health budget. </w:t>
      </w:r>
    </w:p>
    <w:p w:rsidR="008C29DE" w:rsidRPr="005A505B" w:rsidRDefault="008C29DE" w:rsidP="005A505B">
      <w:pPr>
        <w:jc w:val="both"/>
        <w:rPr>
          <w:rFonts w:cs="Arial"/>
          <w:color w:val="auto"/>
          <w:sz w:val="20"/>
          <w:szCs w:val="20"/>
        </w:rPr>
      </w:pPr>
    </w:p>
    <w:p w:rsidR="008C29DE" w:rsidRPr="005A505B" w:rsidRDefault="008C29DE" w:rsidP="005A505B">
      <w:pPr>
        <w:jc w:val="both"/>
        <w:rPr>
          <w:rFonts w:cs="Arial"/>
          <w:color w:val="auto"/>
          <w:sz w:val="20"/>
          <w:szCs w:val="20"/>
        </w:rPr>
      </w:pPr>
      <w:r w:rsidRPr="005A505B">
        <w:rPr>
          <w:rFonts w:cs="Arial"/>
          <w:color w:val="auto"/>
          <w:sz w:val="20"/>
          <w:szCs w:val="20"/>
        </w:rPr>
        <w:t>This is followed by Central Hospital Services, which receives R49.4 billion (19.1</w:t>
      </w:r>
      <w:r w:rsidR="002F4CE4" w:rsidRPr="005A505B">
        <w:rPr>
          <w:rFonts w:cs="Arial"/>
          <w:color w:val="auto"/>
          <w:sz w:val="20"/>
          <w:szCs w:val="20"/>
        </w:rPr>
        <w:t>%</w:t>
      </w:r>
      <w:r w:rsidRPr="005A505B">
        <w:rPr>
          <w:rFonts w:cs="Arial"/>
          <w:color w:val="auto"/>
          <w:sz w:val="20"/>
          <w:szCs w:val="20"/>
        </w:rPr>
        <w:t>), Other Health Services R42.4 billion (16.4</w:t>
      </w:r>
      <w:r w:rsidR="002F4CE4" w:rsidRPr="005A505B">
        <w:rPr>
          <w:rFonts w:cs="Arial"/>
          <w:color w:val="auto"/>
          <w:sz w:val="20"/>
          <w:szCs w:val="20"/>
        </w:rPr>
        <w:t>%</w:t>
      </w:r>
      <w:r w:rsidRPr="005A505B">
        <w:rPr>
          <w:rFonts w:cs="Arial"/>
          <w:color w:val="auto"/>
          <w:sz w:val="20"/>
          <w:szCs w:val="20"/>
        </w:rPr>
        <w:t>) and Provincial Hospital Services receives R40.4 billion (15.6</w:t>
      </w:r>
      <w:r w:rsidR="002F4CE4" w:rsidRPr="005A505B">
        <w:rPr>
          <w:rFonts w:cs="Arial"/>
          <w:color w:val="auto"/>
          <w:sz w:val="20"/>
          <w:szCs w:val="20"/>
        </w:rPr>
        <w:t>%</w:t>
      </w:r>
      <w:r w:rsidRPr="005A505B">
        <w:rPr>
          <w:rFonts w:cs="Arial"/>
          <w:color w:val="auto"/>
          <w:sz w:val="20"/>
          <w:szCs w:val="20"/>
        </w:rPr>
        <w:t>). Facilities Management and Maintenance Receives R11.1 billion (4.3</w:t>
      </w:r>
      <w:r w:rsidR="002F4CE4" w:rsidRPr="005A505B">
        <w:rPr>
          <w:rFonts w:cs="Arial"/>
          <w:color w:val="auto"/>
          <w:sz w:val="20"/>
          <w:szCs w:val="20"/>
        </w:rPr>
        <w:t>%</w:t>
      </w:r>
      <w:r w:rsidRPr="005A505B">
        <w:rPr>
          <w:rFonts w:cs="Arial"/>
          <w:color w:val="auto"/>
          <w:sz w:val="20"/>
          <w:szCs w:val="20"/>
        </w:rPr>
        <w:t>).</w:t>
      </w:r>
    </w:p>
    <w:p w:rsidR="008C29DE" w:rsidRPr="005A505B" w:rsidRDefault="008C29DE" w:rsidP="005A505B">
      <w:pPr>
        <w:jc w:val="both"/>
        <w:rPr>
          <w:rFonts w:cs="Arial"/>
          <w:color w:val="auto"/>
          <w:sz w:val="20"/>
          <w:szCs w:val="20"/>
        </w:rPr>
      </w:pPr>
    </w:p>
    <w:p w:rsidR="008C29DE" w:rsidRPr="005A505B" w:rsidRDefault="00C50342" w:rsidP="005A505B">
      <w:pPr>
        <w:pStyle w:val="Heading3"/>
        <w:numPr>
          <w:ilvl w:val="2"/>
          <w:numId w:val="53"/>
        </w:numPr>
        <w:spacing w:before="0" w:after="0"/>
        <w:rPr>
          <w:color w:val="auto"/>
          <w:sz w:val="20"/>
          <w:szCs w:val="20"/>
        </w:rPr>
      </w:pPr>
      <w:bookmarkStart w:id="453" w:name="_Toc101435152"/>
      <w:bookmarkStart w:id="454" w:name="_Toc102119897"/>
      <w:r w:rsidRPr="005A505B">
        <w:rPr>
          <w:color w:val="auto"/>
          <w:sz w:val="20"/>
          <w:szCs w:val="20"/>
        </w:rPr>
        <w:t xml:space="preserve">National </w:t>
      </w:r>
      <w:r w:rsidR="008C29DE" w:rsidRPr="005A505B">
        <w:rPr>
          <w:color w:val="auto"/>
          <w:sz w:val="20"/>
          <w:szCs w:val="20"/>
        </w:rPr>
        <w:t>Department of Health Budget</w:t>
      </w:r>
      <w:r w:rsidRPr="005A505B">
        <w:rPr>
          <w:color w:val="auto"/>
          <w:sz w:val="20"/>
          <w:szCs w:val="20"/>
        </w:rPr>
        <w:t xml:space="preserve"> </w:t>
      </w:r>
      <w:r w:rsidR="008C29DE" w:rsidRPr="005A505B">
        <w:rPr>
          <w:color w:val="auto"/>
          <w:sz w:val="20"/>
          <w:szCs w:val="20"/>
        </w:rPr>
        <w:t>2022/23</w:t>
      </w:r>
      <w:bookmarkEnd w:id="453"/>
      <w:bookmarkEnd w:id="454"/>
    </w:p>
    <w:p w:rsidR="000157F9" w:rsidRPr="005A505B" w:rsidRDefault="000157F9" w:rsidP="005A505B">
      <w:pPr>
        <w:rPr>
          <w:rFonts w:cs="Arial"/>
          <w:color w:val="auto"/>
          <w:sz w:val="20"/>
          <w:szCs w:val="20"/>
        </w:rPr>
      </w:pPr>
    </w:p>
    <w:p w:rsidR="000157F9" w:rsidRPr="005A505B" w:rsidRDefault="000157F9" w:rsidP="005A505B">
      <w:pPr>
        <w:jc w:val="both"/>
        <w:rPr>
          <w:rFonts w:cs="Arial"/>
          <w:color w:val="auto"/>
          <w:sz w:val="20"/>
          <w:szCs w:val="20"/>
        </w:rPr>
      </w:pPr>
      <w:r w:rsidRPr="005A505B">
        <w:rPr>
          <w:rFonts w:cs="Arial"/>
          <w:color w:val="auto"/>
          <w:sz w:val="20"/>
          <w:szCs w:val="20"/>
        </w:rPr>
        <w:t>The De</w:t>
      </w:r>
      <w:r w:rsidR="00D46D71" w:rsidRPr="005A505B">
        <w:rPr>
          <w:rFonts w:cs="Arial"/>
          <w:color w:val="auto"/>
          <w:sz w:val="20"/>
          <w:szCs w:val="20"/>
        </w:rPr>
        <w:t xml:space="preserve">partment receives R64.5 billion in 2022/23, a decrease from </w:t>
      </w:r>
      <w:r w:rsidRPr="005A505B">
        <w:rPr>
          <w:rFonts w:cs="Arial"/>
          <w:color w:val="auto"/>
          <w:sz w:val="20"/>
          <w:szCs w:val="20"/>
        </w:rPr>
        <w:t>R65.4 billion in 2021/22. This represents a decrease of 1.3</w:t>
      </w:r>
      <w:r w:rsidR="00925930" w:rsidRPr="005A505B">
        <w:rPr>
          <w:rFonts w:cs="Arial"/>
          <w:color w:val="auto"/>
          <w:sz w:val="20"/>
          <w:szCs w:val="20"/>
        </w:rPr>
        <w:t xml:space="preserve">% </w:t>
      </w:r>
      <w:r w:rsidRPr="005A505B">
        <w:rPr>
          <w:rFonts w:cs="Arial"/>
          <w:color w:val="auto"/>
          <w:sz w:val="20"/>
          <w:szCs w:val="20"/>
        </w:rPr>
        <w:t>in nominal terms (5.6</w:t>
      </w:r>
      <w:r w:rsidR="00925930" w:rsidRPr="005A505B">
        <w:rPr>
          <w:rFonts w:cs="Arial"/>
          <w:color w:val="auto"/>
          <w:sz w:val="20"/>
          <w:szCs w:val="20"/>
        </w:rPr>
        <w:t xml:space="preserve">% </w:t>
      </w:r>
      <w:r w:rsidRPr="005A505B">
        <w:rPr>
          <w:rFonts w:cs="Arial"/>
          <w:color w:val="auto"/>
          <w:sz w:val="20"/>
          <w:szCs w:val="20"/>
        </w:rPr>
        <w:t>in real terms). This reduction is the result of the once</w:t>
      </w:r>
      <w:r w:rsidRPr="005A505B">
        <w:rPr>
          <w:rFonts w:ascii="Cambria Math" w:hAnsi="Cambria Math" w:cs="Arial"/>
          <w:color w:val="auto"/>
          <w:sz w:val="20"/>
          <w:szCs w:val="20"/>
        </w:rPr>
        <w:t>‐</w:t>
      </w:r>
      <w:r w:rsidRPr="005A505B">
        <w:rPr>
          <w:rFonts w:cs="Arial"/>
          <w:color w:val="auto"/>
          <w:sz w:val="20"/>
          <w:szCs w:val="20"/>
        </w:rPr>
        <w:t>off allocations for the COVID</w:t>
      </w:r>
      <w:r w:rsidRPr="005A505B">
        <w:rPr>
          <w:rFonts w:ascii="Cambria Math" w:hAnsi="Cambria Math" w:cs="Arial"/>
          <w:color w:val="auto"/>
          <w:sz w:val="20"/>
          <w:szCs w:val="20"/>
        </w:rPr>
        <w:t>‐</w:t>
      </w:r>
      <w:r w:rsidRPr="005A505B">
        <w:rPr>
          <w:rFonts w:cs="Arial"/>
          <w:color w:val="auto"/>
          <w:sz w:val="20"/>
          <w:szCs w:val="20"/>
        </w:rPr>
        <w:t>19 response in 2021/22 and baseline reductions effected over the 2021 MTEF period.</w:t>
      </w:r>
    </w:p>
    <w:p w:rsidR="002F4CE4" w:rsidRPr="005A505B" w:rsidRDefault="00013966" w:rsidP="005A505B">
      <w:pPr>
        <w:jc w:val="both"/>
        <w:rPr>
          <w:rFonts w:cs="Arial"/>
          <w:color w:val="auto"/>
          <w:sz w:val="20"/>
          <w:szCs w:val="20"/>
        </w:rPr>
      </w:pPr>
      <w:r w:rsidRPr="005A505B">
        <w:rPr>
          <w:rFonts w:cs="Arial"/>
          <w:noProof/>
          <w:color w:val="auto"/>
          <w:sz w:val="20"/>
          <w:szCs w:val="20"/>
          <w:lang w:val="en-US" w:eastAsia="en-US"/>
        </w:rPr>
        <w:pict>
          <v:shape id="Text Box 1" o:spid="_x0000_s1027" type="#_x0000_t202" style="position:absolute;left:0;text-align:left;margin-left:-.1pt;margin-top:17.7pt;width:451.25pt;height:12.65pt;z-index:251693056;visibility:visible;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" stroked="f">
            <v:textbox inset="0,0,0,0">
              <w:txbxContent>
                <w:p w:rsidR="00950709" w:rsidRPr="002E66DA" w:rsidRDefault="00950709" w:rsidP="008C29DE">
                  <w:pPr>
                    <w:pStyle w:val="Caption"/>
                    <w:rPr>
                      <w:noProof/>
                      <w:sz w:val="18"/>
                    </w:rPr>
                  </w:pPr>
                  <w:r w:rsidRPr="002E66DA">
                    <w:rPr>
                      <w:sz w:val="18"/>
                    </w:rPr>
                    <w:t>Table 3: NDoH Budget Summary</w:t>
                  </w:r>
                </w:p>
              </w:txbxContent>
            </v:textbox>
            <w10:wrap type="topAndBottom" anchorx="margin"/>
          </v:shape>
        </w:pict>
      </w:r>
      <w:r w:rsidR="00332808" w:rsidRPr="005A505B">
        <w:rPr>
          <w:rFonts w:cs="Arial"/>
          <w:noProof/>
          <w:color w:val="auto"/>
          <w:sz w:val="20"/>
          <w:szCs w:val="20"/>
          <w:lang w:val="en-US" w:eastAsia="en-US"/>
        </w:rPr>
        <w:drawing>
          <wp:anchor distT="0" distB="0" distL="114300" distR="114300" simplePos="0" relativeHeight="251705344" behindDoc="0" locked="0" layoutInCell="1" allowOverlap="1">
            <wp:simplePos x="0" y="0"/>
            <wp:positionH relativeFrom="margin">
              <wp:align>left</wp:align>
            </wp:positionH>
            <wp:positionV relativeFrom="paragraph">
              <wp:posOffset>438785</wp:posOffset>
            </wp:positionV>
            <wp:extent cx="6323965" cy="1606550"/>
            <wp:effectExtent l="0" t="0" r="635"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23965" cy="1606550"/>
                    </a:xfrm>
                    <a:prstGeom prst="rect">
                      <a:avLst/>
                    </a:prstGeom>
                    <a:noFill/>
                    <a:ln>
                      <a:noFill/>
                    </a:ln>
                  </pic:spPr>
                </pic:pic>
              </a:graphicData>
            </a:graphic>
          </wp:anchor>
        </w:drawing>
      </w:r>
    </w:p>
    <w:p w:rsidR="000157F9" w:rsidRPr="005A505B" w:rsidRDefault="000157F9" w:rsidP="005A505B">
      <w:pPr>
        <w:rPr>
          <w:rFonts w:cs="Arial"/>
          <w:color w:val="auto"/>
          <w:sz w:val="20"/>
          <w:szCs w:val="20"/>
        </w:rPr>
      </w:pPr>
    </w:p>
    <w:p w:rsidR="008C29DE" w:rsidRPr="005A505B" w:rsidRDefault="008C29DE" w:rsidP="005A505B">
      <w:pPr>
        <w:jc w:val="both"/>
        <w:rPr>
          <w:rFonts w:cs="Arial"/>
          <w:i/>
          <w:iCs/>
          <w:noProof/>
          <w:color w:val="auto"/>
          <w:sz w:val="20"/>
          <w:szCs w:val="20"/>
          <w:lang w:eastAsia="en-ZA"/>
        </w:rPr>
      </w:pPr>
    </w:p>
    <w:p w:rsidR="008C29DE" w:rsidRPr="005A505B" w:rsidRDefault="008C29DE" w:rsidP="005A505B">
      <w:pPr>
        <w:jc w:val="both"/>
        <w:rPr>
          <w:rFonts w:cs="Arial"/>
          <w:i/>
          <w:iCs/>
          <w:color w:val="auto"/>
          <w:sz w:val="20"/>
          <w:szCs w:val="20"/>
        </w:rPr>
      </w:pPr>
    </w:p>
    <w:p w:rsidR="008C29DE" w:rsidRPr="005A505B" w:rsidRDefault="008C29DE" w:rsidP="005A505B">
      <w:pPr>
        <w:jc w:val="both"/>
        <w:rPr>
          <w:rFonts w:cs="Arial"/>
          <w:color w:val="auto"/>
          <w:sz w:val="20"/>
          <w:szCs w:val="20"/>
        </w:rPr>
      </w:pPr>
    </w:p>
    <w:p w:rsidR="008C29DE" w:rsidRPr="005A505B" w:rsidRDefault="008C29DE" w:rsidP="005A505B">
      <w:pPr>
        <w:jc w:val="both"/>
        <w:rPr>
          <w:rFonts w:cs="Arial"/>
          <w:color w:val="auto"/>
          <w:sz w:val="20"/>
          <w:szCs w:val="20"/>
        </w:rPr>
      </w:pPr>
      <w:r w:rsidRPr="005A505B">
        <w:rPr>
          <w:rFonts w:cs="Arial"/>
          <w:color w:val="auto"/>
          <w:sz w:val="20"/>
          <w:szCs w:val="20"/>
        </w:rPr>
        <w:t xml:space="preserve">The two largest programmes, namely Programme 3: </w:t>
      </w:r>
      <w:r w:rsidRPr="005A505B">
        <w:rPr>
          <w:rFonts w:cs="Arial"/>
          <w:i/>
          <w:color w:val="auto"/>
          <w:sz w:val="20"/>
          <w:szCs w:val="20"/>
        </w:rPr>
        <w:t>Communicable and Non-Communicable Diseases</w:t>
      </w:r>
      <w:r w:rsidRPr="005A505B">
        <w:rPr>
          <w:rFonts w:cs="Arial"/>
          <w:color w:val="auto"/>
          <w:sz w:val="20"/>
          <w:szCs w:val="20"/>
        </w:rPr>
        <w:t xml:space="preserve"> (R26.9 billion) and Programme 5: </w:t>
      </w:r>
      <w:r w:rsidRPr="005A505B">
        <w:rPr>
          <w:rFonts w:cs="Arial"/>
          <w:i/>
          <w:color w:val="auto"/>
          <w:sz w:val="20"/>
          <w:szCs w:val="20"/>
        </w:rPr>
        <w:t>Hospital Systems</w:t>
      </w:r>
      <w:r w:rsidRPr="005A505B">
        <w:rPr>
          <w:rFonts w:cs="Arial"/>
          <w:color w:val="auto"/>
          <w:sz w:val="20"/>
          <w:szCs w:val="20"/>
        </w:rPr>
        <w:t xml:space="preserve"> (R22.6 billion), jointly constitute 76.8</w:t>
      </w:r>
      <w:r w:rsidR="00925930" w:rsidRPr="005A505B">
        <w:rPr>
          <w:rFonts w:cs="Arial"/>
          <w:color w:val="auto"/>
          <w:sz w:val="20"/>
          <w:szCs w:val="20"/>
        </w:rPr>
        <w:t xml:space="preserve">% </w:t>
      </w:r>
      <w:r w:rsidRPr="005A505B">
        <w:rPr>
          <w:rFonts w:cs="Arial"/>
          <w:color w:val="auto"/>
          <w:sz w:val="20"/>
          <w:szCs w:val="20"/>
        </w:rPr>
        <w:t>(down from 86.3</w:t>
      </w:r>
      <w:r w:rsidR="00925930" w:rsidRPr="005A505B">
        <w:rPr>
          <w:rFonts w:cs="Arial"/>
          <w:color w:val="auto"/>
          <w:sz w:val="20"/>
          <w:szCs w:val="20"/>
        </w:rPr>
        <w:t>%</w:t>
      </w:r>
      <w:r w:rsidRPr="005A505B">
        <w:rPr>
          <w:rFonts w:cs="Arial"/>
          <w:color w:val="auto"/>
          <w:sz w:val="20"/>
          <w:szCs w:val="20"/>
        </w:rPr>
        <w:t xml:space="preserve">) of the total budget allocation. It is important to note that </w:t>
      </w:r>
      <w:r w:rsidRPr="005A505B">
        <w:rPr>
          <w:rFonts w:cs="Arial"/>
          <w:bCs/>
          <w:color w:val="auto"/>
          <w:sz w:val="20"/>
          <w:szCs w:val="20"/>
        </w:rPr>
        <w:t>Programme 3</w:t>
      </w:r>
      <w:r w:rsidRPr="005A505B">
        <w:rPr>
          <w:rFonts w:cs="Arial"/>
          <w:color w:val="auto"/>
          <w:sz w:val="20"/>
          <w:szCs w:val="20"/>
        </w:rPr>
        <w:t>: Communicable and non-communicable Diseases funded the COVID</w:t>
      </w:r>
      <w:r w:rsidR="00925930" w:rsidRPr="005A505B">
        <w:rPr>
          <w:rFonts w:cs="Arial"/>
          <w:color w:val="auto"/>
          <w:sz w:val="20"/>
          <w:szCs w:val="20"/>
        </w:rPr>
        <w:t>-19</w:t>
      </w:r>
      <w:r w:rsidRPr="005A505B">
        <w:rPr>
          <w:rFonts w:cs="Arial"/>
          <w:color w:val="auto"/>
          <w:sz w:val="20"/>
          <w:szCs w:val="20"/>
        </w:rPr>
        <w:t xml:space="preserve"> response</w:t>
      </w:r>
      <w:r w:rsidR="00925930" w:rsidRPr="005A505B">
        <w:rPr>
          <w:rFonts w:cs="Arial"/>
          <w:color w:val="auto"/>
          <w:sz w:val="20"/>
          <w:szCs w:val="20"/>
        </w:rPr>
        <w:t xml:space="preserve">, its budget </w:t>
      </w:r>
      <w:r w:rsidRPr="005A505B">
        <w:rPr>
          <w:rFonts w:cs="Arial"/>
          <w:color w:val="auto"/>
          <w:sz w:val="20"/>
          <w:szCs w:val="20"/>
        </w:rPr>
        <w:t>declines from 54.7</w:t>
      </w:r>
      <w:r w:rsidR="00925930" w:rsidRPr="005A505B">
        <w:rPr>
          <w:rFonts w:cs="Arial"/>
          <w:color w:val="auto"/>
          <w:sz w:val="20"/>
          <w:szCs w:val="20"/>
        </w:rPr>
        <w:t xml:space="preserve">% </w:t>
      </w:r>
      <w:r w:rsidRPr="005A505B">
        <w:rPr>
          <w:rFonts w:cs="Arial"/>
          <w:color w:val="auto"/>
          <w:sz w:val="20"/>
          <w:szCs w:val="20"/>
        </w:rPr>
        <w:t>(R35.8 billion) to 41.7</w:t>
      </w:r>
      <w:r w:rsidR="00925930" w:rsidRPr="005A505B">
        <w:rPr>
          <w:rFonts w:cs="Arial"/>
          <w:color w:val="auto"/>
          <w:sz w:val="20"/>
          <w:szCs w:val="20"/>
        </w:rPr>
        <w:t xml:space="preserve">% </w:t>
      </w:r>
      <w:r w:rsidRPr="005A505B">
        <w:rPr>
          <w:rFonts w:cs="Arial"/>
          <w:color w:val="auto"/>
          <w:sz w:val="20"/>
          <w:szCs w:val="20"/>
        </w:rPr>
        <w:t>(R26.9 billion).</w:t>
      </w:r>
    </w:p>
    <w:p w:rsidR="008C29DE" w:rsidRPr="005A505B" w:rsidRDefault="008C29DE" w:rsidP="005A505B">
      <w:pPr>
        <w:jc w:val="both"/>
        <w:rPr>
          <w:rFonts w:cs="Arial"/>
          <w:color w:val="auto"/>
          <w:sz w:val="20"/>
          <w:szCs w:val="20"/>
        </w:rPr>
      </w:pPr>
    </w:p>
    <w:p w:rsidR="008C29DE" w:rsidRPr="005A505B" w:rsidRDefault="008C29DE" w:rsidP="005A505B">
      <w:pPr>
        <w:jc w:val="both"/>
        <w:rPr>
          <w:rFonts w:cs="Arial"/>
          <w:color w:val="auto"/>
          <w:sz w:val="20"/>
          <w:szCs w:val="20"/>
        </w:rPr>
      </w:pPr>
      <w:r w:rsidRPr="005A505B">
        <w:rPr>
          <w:rFonts w:cs="Arial"/>
          <w:bCs/>
          <w:color w:val="auto"/>
          <w:sz w:val="20"/>
          <w:szCs w:val="20"/>
        </w:rPr>
        <w:t>Programme 4:</w:t>
      </w:r>
      <w:r w:rsidRPr="005A505B">
        <w:rPr>
          <w:rFonts w:cs="Arial"/>
          <w:color w:val="auto"/>
          <w:sz w:val="20"/>
          <w:szCs w:val="20"/>
        </w:rPr>
        <w:t xml:space="preserve"> </w:t>
      </w:r>
      <w:r w:rsidRPr="005A505B">
        <w:rPr>
          <w:rFonts w:cs="Arial"/>
          <w:i/>
          <w:color w:val="auto"/>
          <w:sz w:val="20"/>
          <w:szCs w:val="20"/>
        </w:rPr>
        <w:t>Primary Health Care Services</w:t>
      </w:r>
      <w:r w:rsidRPr="005A505B">
        <w:rPr>
          <w:rFonts w:cs="Arial"/>
          <w:color w:val="auto"/>
          <w:sz w:val="20"/>
          <w:szCs w:val="20"/>
        </w:rPr>
        <w:t xml:space="preserve">, </w:t>
      </w:r>
      <w:r w:rsidRPr="005A505B">
        <w:rPr>
          <w:rFonts w:cs="Arial"/>
          <w:bCs/>
          <w:color w:val="auto"/>
          <w:sz w:val="20"/>
          <w:szCs w:val="20"/>
        </w:rPr>
        <w:t>increases dramatically</w:t>
      </w:r>
      <w:r w:rsidRPr="005A505B">
        <w:rPr>
          <w:rFonts w:cs="Arial"/>
          <w:color w:val="auto"/>
          <w:sz w:val="20"/>
          <w:szCs w:val="20"/>
        </w:rPr>
        <w:t xml:space="preserve"> growing from being the smallest budget programme, constituting less than half a percent (0.38</w:t>
      </w:r>
      <w:r w:rsidR="003B786F" w:rsidRPr="005A505B">
        <w:rPr>
          <w:rFonts w:cs="Arial"/>
          <w:color w:val="auto"/>
          <w:sz w:val="20"/>
          <w:szCs w:val="20"/>
        </w:rPr>
        <w:t>%</w:t>
      </w:r>
      <w:r w:rsidRPr="005A505B">
        <w:rPr>
          <w:rFonts w:cs="Arial"/>
          <w:color w:val="auto"/>
          <w:sz w:val="20"/>
          <w:szCs w:val="20"/>
        </w:rPr>
        <w:t>) in the previous financial year to being allocated an additional almost R5 billion to now being allocated R5.2 billion (8</w:t>
      </w:r>
      <w:r w:rsidR="003B786F" w:rsidRPr="005A505B">
        <w:rPr>
          <w:rFonts w:cs="Arial"/>
          <w:color w:val="auto"/>
          <w:sz w:val="20"/>
          <w:szCs w:val="20"/>
        </w:rPr>
        <w:t>%</w:t>
      </w:r>
      <w:r w:rsidRPr="005A505B">
        <w:rPr>
          <w:rFonts w:cs="Arial"/>
          <w:color w:val="auto"/>
          <w:sz w:val="20"/>
          <w:szCs w:val="20"/>
        </w:rPr>
        <w:t xml:space="preserve"> of the budget). The smallest budget item is now Programme 1: </w:t>
      </w:r>
      <w:r w:rsidRPr="005A505B">
        <w:rPr>
          <w:rFonts w:cs="Arial"/>
          <w:i/>
          <w:color w:val="auto"/>
          <w:sz w:val="20"/>
          <w:szCs w:val="20"/>
        </w:rPr>
        <w:t>Administration</w:t>
      </w:r>
      <w:r w:rsidRPr="005A505B">
        <w:rPr>
          <w:rFonts w:cs="Arial"/>
          <w:color w:val="auto"/>
          <w:sz w:val="20"/>
          <w:szCs w:val="20"/>
        </w:rPr>
        <w:t xml:space="preserve"> which declines from R828.7 million to R781.7 million to constitute 1.2</w:t>
      </w:r>
      <w:r w:rsidR="003B786F" w:rsidRPr="005A505B">
        <w:rPr>
          <w:rFonts w:cs="Arial"/>
          <w:color w:val="auto"/>
          <w:sz w:val="20"/>
          <w:szCs w:val="20"/>
        </w:rPr>
        <w:t xml:space="preserve">% </w:t>
      </w:r>
      <w:r w:rsidRPr="005A505B">
        <w:rPr>
          <w:rFonts w:cs="Arial"/>
          <w:color w:val="auto"/>
          <w:sz w:val="20"/>
          <w:szCs w:val="20"/>
        </w:rPr>
        <w:t xml:space="preserve">of the total budget. </w:t>
      </w:r>
    </w:p>
    <w:p w:rsidR="008C29DE" w:rsidRPr="005A505B" w:rsidRDefault="008C29DE" w:rsidP="005A505B">
      <w:pPr>
        <w:jc w:val="both"/>
        <w:rPr>
          <w:rFonts w:cs="Arial"/>
          <w:color w:val="auto"/>
          <w:sz w:val="20"/>
          <w:szCs w:val="20"/>
        </w:rPr>
      </w:pPr>
    </w:p>
    <w:p w:rsidR="008C29DE" w:rsidRPr="005A505B" w:rsidRDefault="008C29DE" w:rsidP="005A505B">
      <w:pPr>
        <w:pStyle w:val="ListParagraph"/>
        <w:numPr>
          <w:ilvl w:val="3"/>
          <w:numId w:val="53"/>
        </w:numPr>
        <w:jc w:val="both"/>
        <w:rPr>
          <w:rFonts w:cs="Arial"/>
          <w:b/>
          <w:i/>
          <w:iCs/>
          <w:color w:val="auto"/>
          <w:sz w:val="20"/>
          <w:szCs w:val="20"/>
        </w:rPr>
      </w:pPr>
      <w:r w:rsidRPr="005A505B">
        <w:rPr>
          <w:rFonts w:cs="Arial"/>
          <w:b/>
          <w:i/>
          <w:iCs/>
          <w:color w:val="auto"/>
          <w:sz w:val="20"/>
          <w:szCs w:val="20"/>
        </w:rPr>
        <w:t>Economic classification</w:t>
      </w:r>
    </w:p>
    <w:p w:rsidR="008C29DE" w:rsidRPr="005A505B" w:rsidRDefault="008C29DE" w:rsidP="005A505B">
      <w:pPr>
        <w:jc w:val="both"/>
        <w:rPr>
          <w:rFonts w:cs="Arial"/>
          <w:color w:val="auto"/>
          <w:sz w:val="20"/>
          <w:szCs w:val="20"/>
        </w:rPr>
      </w:pPr>
    </w:p>
    <w:p w:rsidR="008C29DE" w:rsidRPr="005A505B" w:rsidRDefault="008C29DE" w:rsidP="005A505B">
      <w:pPr>
        <w:jc w:val="both"/>
        <w:rPr>
          <w:rFonts w:cs="Arial"/>
          <w:color w:val="auto"/>
          <w:sz w:val="20"/>
          <w:szCs w:val="20"/>
        </w:rPr>
      </w:pPr>
      <w:r w:rsidRPr="005A505B">
        <w:rPr>
          <w:rFonts w:cs="Arial"/>
          <w:color w:val="auto"/>
          <w:sz w:val="20"/>
          <w:szCs w:val="20"/>
        </w:rPr>
        <w:t>In terms of economic classification, the bulk of the NDoH budget (R58.3 billion or 90.4</w:t>
      </w:r>
      <w:r w:rsidR="003B786F" w:rsidRPr="005A505B">
        <w:rPr>
          <w:rFonts w:cs="Arial"/>
          <w:color w:val="auto"/>
          <w:sz w:val="20"/>
          <w:szCs w:val="20"/>
        </w:rPr>
        <w:t>%</w:t>
      </w:r>
      <w:r w:rsidRPr="005A505B">
        <w:rPr>
          <w:rFonts w:cs="Arial"/>
          <w:color w:val="auto"/>
          <w:sz w:val="20"/>
          <w:szCs w:val="20"/>
        </w:rPr>
        <w:t xml:space="preserve">) consists of transfers and subsidies. This figure includes R56.3 billion to provinces and municipalities, R189.0 million to Non-Profit Organisations (NPOs), and R1.9 billion to departmental agencies and accounts. </w:t>
      </w:r>
    </w:p>
    <w:p w:rsidR="008C29DE" w:rsidRPr="005A505B" w:rsidRDefault="008C29DE" w:rsidP="005A505B">
      <w:pPr>
        <w:jc w:val="both"/>
        <w:rPr>
          <w:rFonts w:cs="Arial"/>
          <w:color w:val="auto"/>
          <w:sz w:val="20"/>
          <w:szCs w:val="20"/>
        </w:rPr>
      </w:pPr>
    </w:p>
    <w:p w:rsidR="008C29DE" w:rsidRPr="005A505B" w:rsidRDefault="008C29DE" w:rsidP="005A505B">
      <w:pPr>
        <w:pStyle w:val="ListParagraph"/>
        <w:numPr>
          <w:ilvl w:val="0"/>
          <w:numId w:val="7"/>
        </w:numPr>
        <w:jc w:val="both"/>
        <w:rPr>
          <w:rFonts w:cs="Arial"/>
          <w:color w:val="auto"/>
          <w:sz w:val="20"/>
          <w:szCs w:val="20"/>
        </w:rPr>
      </w:pPr>
      <w:r w:rsidRPr="005A505B">
        <w:rPr>
          <w:rFonts w:cs="Arial"/>
          <w:color w:val="auto"/>
          <w:sz w:val="20"/>
          <w:szCs w:val="20"/>
        </w:rPr>
        <w:t>Current payments constitute a total value of R4.8 billion, which represents 8.2</w:t>
      </w:r>
      <w:r w:rsidR="00490DF5" w:rsidRPr="005A505B">
        <w:rPr>
          <w:rFonts w:cs="Arial"/>
          <w:color w:val="auto"/>
          <w:sz w:val="20"/>
          <w:szCs w:val="20"/>
        </w:rPr>
        <w:t xml:space="preserve">% </w:t>
      </w:r>
      <w:r w:rsidRPr="005A505B">
        <w:rPr>
          <w:rFonts w:cs="Arial"/>
          <w:color w:val="auto"/>
          <w:sz w:val="20"/>
          <w:szCs w:val="20"/>
        </w:rPr>
        <w:t xml:space="preserve">of the total budget allocation. </w:t>
      </w:r>
    </w:p>
    <w:p w:rsidR="008C29DE" w:rsidRPr="005A505B" w:rsidRDefault="008C29DE" w:rsidP="005A505B">
      <w:pPr>
        <w:pStyle w:val="ListParagraph"/>
        <w:numPr>
          <w:ilvl w:val="0"/>
          <w:numId w:val="7"/>
        </w:numPr>
        <w:jc w:val="both"/>
        <w:rPr>
          <w:rFonts w:cs="Arial"/>
          <w:color w:val="auto"/>
          <w:sz w:val="20"/>
          <w:szCs w:val="20"/>
        </w:rPr>
      </w:pPr>
      <w:r w:rsidRPr="005A505B">
        <w:rPr>
          <w:rFonts w:cs="Arial"/>
          <w:color w:val="auto"/>
          <w:sz w:val="20"/>
          <w:szCs w:val="20"/>
        </w:rPr>
        <w:t>Compensation of employees declines from R898.8 million, to R787.3 million</w:t>
      </w:r>
      <w:r w:rsidR="00490DF5" w:rsidRPr="005A505B">
        <w:rPr>
          <w:rFonts w:cs="Arial"/>
          <w:color w:val="auto"/>
          <w:sz w:val="20"/>
          <w:szCs w:val="20"/>
        </w:rPr>
        <w:t>, representing a</w:t>
      </w:r>
      <w:r w:rsidRPr="005A505B">
        <w:rPr>
          <w:rFonts w:cs="Arial"/>
          <w:color w:val="auto"/>
          <w:sz w:val="20"/>
          <w:szCs w:val="20"/>
        </w:rPr>
        <w:t xml:space="preserve"> 12.4</w:t>
      </w:r>
      <w:r w:rsidR="00490DF5" w:rsidRPr="005A505B">
        <w:rPr>
          <w:rFonts w:cs="Arial"/>
          <w:color w:val="auto"/>
          <w:sz w:val="20"/>
          <w:szCs w:val="20"/>
        </w:rPr>
        <w:t xml:space="preserve">% </w:t>
      </w:r>
      <w:r w:rsidRPr="005A505B">
        <w:rPr>
          <w:rFonts w:cs="Arial"/>
          <w:color w:val="auto"/>
          <w:sz w:val="20"/>
          <w:szCs w:val="20"/>
        </w:rPr>
        <w:t xml:space="preserve">decrease. </w:t>
      </w:r>
    </w:p>
    <w:p w:rsidR="008C29DE" w:rsidRPr="005A505B" w:rsidRDefault="008C29DE" w:rsidP="005A505B">
      <w:pPr>
        <w:pStyle w:val="ListParagraph"/>
        <w:numPr>
          <w:ilvl w:val="0"/>
          <w:numId w:val="7"/>
        </w:numPr>
        <w:jc w:val="both"/>
        <w:rPr>
          <w:rFonts w:cs="Arial"/>
          <w:color w:val="auto"/>
          <w:sz w:val="20"/>
          <w:szCs w:val="20"/>
        </w:rPr>
      </w:pPr>
      <w:r w:rsidRPr="005A505B">
        <w:rPr>
          <w:rFonts w:cs="Arial"/>
          <w:color w:val="auto"/>
          <w:sz w:val="20"/>
          <w:szCs w:val="20"/>
        </w:rPr>
        <w:t>Most of the current expenditure (R4.0 billion) is allocated to Goods and Services, constituting approximately 83.5</w:t>
      </w:r>
      <w:r w:rsidR="00490DF5" w:rsidRPr="005A505B">
        <w:rPr>
          <w:rFonts w:cs="Arial"/>
          <w:color w:val="auto"/>
          <w:sz w:val="20"/>
          <w:szCs w:val="20"/>
        </w:rPr>
        <w:t xml:space="preserve">% </w:t>
      </w:r>
      <w:r w:rsidRPr="005A505B">
        <w:rPr>
          <w:rFonts w:cs="Arial"/>
          <w:color w:val="auto"/>
          <w:sz w:val="20"/>
          <w:szCs w:val="20"/>
        </w:rPr>
        <w:t>of the total current payments.</w:t>
      </w:r>
    </w:p>
    <w:p w:rsidR="008C29DE" w:rsidRPr="005A505B" w:rsidRDefault="008C29DE" w:rsidP="005A505B">
      <w:pPr>
        <w:pStyle w:val="ListParagraph"/>
        <w:numPr>
          <w:ilvl w:val="0"/>
          <w:numId w:val="7"/>
        </w:numPr>
        <w:jc w:val="both"/>
        <w:rPr>
          <w:rFonts w:cs="Arial"/>
          <w:color w:val="auto"/>
          <w:sz w:val="20"/>
          <w:szCs w:val="20"/>
        </w:rPr>
      </w:pPr>
      <w:r w:rsidRPr="005A505B">
        <w:rPr>
          <w:rFonts w:cs="Arial"/>
          <w:color w:val="auto"/>
          <w:sz w:val="20"/>
          <w:szCs w:val="20"/>
        </w:rPr>
        <w:t xml:space="preserve">The largest share of expenditure goes to Inventory: Medicine R4.1 billion.  </w:t>
      </w:r>
    </w:p>
    <w:p w:rsidR="008C29DE" w:rsidRPr="005A505B" w:rsidRDefault="008C29DE" w:rsidP="005A505B">
      <w:pPr>
        <w:pStyle w:val="ListParagraph"/>
        <w:numPr>
          <w:ilvl w:val="0"/>
          <w:numId w:val="7"/>
        </w:numPr>
        <w:jc w:val="both"/>
        <w:rPr>
          <w:rFonts w:cs="Arial"/>
          <w:color w:val="auto"/>
          <w:sz w:val="20"/>
          <w:szCs w:val="20"/>
        </w:rPr>
      </w:pPr>
      <w:r w:rsidRPr="005A505B">
        <w:rPr>
          <w:rFonts w:cs="Arial"/>
          <w:color w:val="auto"/>
          <w:sz w:val="20"/>
          <w:szCs w:val="20"/>
        </w:rPr>
        <w:t xml:space="preserve">Expenditure items that also receive a large share of the Goods and Services budget are Contractors at R590.1 million; Consultants: Business and advisory services at R300.1 </w:t>
      </w:r>
      <w:r w:rsidRPr="005A505B">
        <w:rPr>
          <w:rFonts w:cs="Arial"/>
          <w:color w:val="auto"/>
          <w:sz w:val="20"/>
          <w:szCs w:val="20"/>
        </w:rPr>
        <w:lastRenderedPageBreak/>
        <w:t xml:space="preserve">million; Operating leases at R127.2 million and Travel and subsistence at R133.9 million. </w:t>
      </w:r>
    </w:p>
    <w:p w:rsidR="008C29DE" w:rsidRPr="005A505B" w:rsidRDefault="008C29DE" w:rsidP="005A505B">
      <w:pPr>
        <w:pStyle w:val="ListParagraph"/>
        <w:numPr>
          <w:ilvl w:val="0"/>
          <w:numId w:val="7"/>
        </w:numPr>
        <w:jc w:val="both"/>
        <w:rPr>
          <w:rFonts w:cs="Arial"/>
          <w:color w:val="auto"/>
          <w:sz w:val="20"/>
          <w:szCs w:val="20"/>
        </w:rPr>
      </w:pPr>
      <w:r w:rsidRPr="005A505B">
        <w:rPr>
          <w:rFonts w:cs="Arial"/>
          <w:color w:val="auto"/>
          <w:sz w:val="20"/>
          <w:szCs w:val="20"/>
        </w:rPr>
        <w:t xml:space="preserve">Capital assets is allocated R1.4 billion. Buildings and other fixed structures are allocated R1.1 billion, and Machinery and Equipment is allocated R345.5 million. </w:t>
      </w:r>
    </w:p>
    <w:p w:rsidR="008C29DE" w:rsidRPr="005A505B" w:rsidRDefault="008C29DE" w:rsidP="005A505B">
      <w:pPr>
        <w:pStyle w:val="ListParagraph"/>
        <w:jc w:val="both"/>
        <w:rPr>
          <w:rFonts w:cs="Arial"/>
          <w:color w:val="auto"/>
          <w:sz w:val="20"/>
          <w:szCs w:val="20"/>
        </w:rPr>
      </w:pPr>
    </w:p>
    <w:p w:rsidR="008C29DE" w:rsidRPr="005A505B" w:rsidRDefault="008C29DE" w:rsidP="005A505B">
      <w:pPr>
        <w:pStyle w:val="ListParagraph"/>
        <w:numPr>
          <w:ilvl w:val="3"/>
          <w:numId w:val="53"/>
        </w:numPr>
        <w:rPr>
          <w:rFonts w:cs="Arial"/>
          <w:b/>
          <w:i/>
          <w:color w:val="auto"/>
          <w:sz w:val="20"/>
          <w:szCs w:val="20"/>
        </w:rPr>
      </w:pPr>
      <w:r w:rsidRPr="005A505B">
        <w:rPr>
          <w:rFonts w:cs="Arial"/>
          <w:b/>
          <w:i/>
          <w:color w:val="auto"/>
          <w:sz w:val="20"/>
          <w:szCs w:val="20"/>
        </w:rPr>
        <w:t>Spending priorities for 2021 MTEF</w:t>
      </w:r>
    </w:p>
    <w:p w:rsidR="008C29DE" w:rsidRPr="005A505B" w:rsidRDefault="008C29DE" w:rsidP="005A505B">
      <w:pPr>
        <w:jc w:val="both"/>
        <w:rPr>
          <w:rFonts w:cs="Arial"/>
          <w:b/>
          <w:color w:val="auto"/>
          <w:sz w:val="20"/>
          <w:szCs w:val="20"/>
        </w:rPr>
      </w:pPr>
    </w:p>
    <w:p w:rsidR="008C29DE" w:rsidRPr="005A505B" w:rsidRDefault="008C29DE" w:rsidP="005A505B">
      <w:pPr>
        <w:pStyle w:val="ListParagraph"/>
        <w:numPr>
          <w:ilvl w:val="0"/>
          <w:numId w:val="8"/>
        </w:numPr>
        <w:jc w:val="both"/>
        <w:rPr>
          <w:rFonts w:cs="Arial"/>
          <w:color w:val="auto"/>
          <w:sz w:val="20"/>
          <w:szCs w:val="20"/>
        </w:rPr>
      </w:pPr>
      <w:r w:rsidRPr="005A505B">
        <w:rPr>
          <w:rFonts w:cs="Arial"/>
          <w:color w:val="auto"/>
          <w:sz w:val="20"/>
          <w:szCs w:val="20"/>
        </w:rPr>
        <w:t xml:space="preserve">Responding to the COVID-19 pandemic is ongoing and a matter of priority. </w:t>
      </w:r>
      <w:r w:rsidR="00332808" w:rsidRPr="005A505B">
        <w:rPr>
          <w:rFonts w:cs="Arial"/>
          <w:color w:val="auto"/>
          <w:sz w:val="20"/>
          <w:szCs w:val="20"/>
        </w:rPr>
        <w:t>T</w:t>
      </w:r>
      <w:r w:rsidRPr="005A505B">
        <w:rPr>
          <w:rFonts w:cs="Arial"/>
          <w:color w:val="auto"/>
          <w:sz w:val="20"/>
          <w:szCs w:val="20"/>
        </w:rPr>
        <w:t>he Department aims to have 70</w:t>
      </w:r>
      <w:r w:rsidR="00332808" w:rsidRPr="005A505B">
        <w:rPr>
          <w:rFonts w:cs="Arial"/>
          <w:color w:val="auto"/>
          <w:sz w:val="20"/>
          <w:szCs w:val="20"/>
        </w:rPr>
        <w:t xml:space="preserve">% </w:t>
      </w:r>
      <w:r w:rsidRPr="005A505B">
        <w:rPr>
          <w:rFonts w:cs="Arial"/>
          <w:color w:val="auto"/>
          <w:sz w:val="20"/>
          <w:szCs w:val="20"/>
        </w:rPr>
        <w:t>of the adult population vaccinated by March 2023 as the most effective means to protect against the virus and serious illness. R10.1 billion was allocated for the vaccine rollout in 2020/21 and 2021/22, and R4 billion is allocated for this purpose in 2022/23. Additional allocations are made through the provincial equitable share for COVID-19 response and goods and services.</w:t>
      </w:r>
    </w:p>
    <w:p w:rsidR="008C29DE" w:rsidRPr="005A505B" w:rsidRDefault="008C29DE" w:rsidP="005A505B">
      <w:pPr>
        <w:jc w:val="both"/>
        <w:rPr>
          <w:rFonts w:cs="Arial"/>
          <w:color w:val="auto"/>
          <w:sz w:val="20"/>
          <w:szCs w:val="20"/>
          <w:highlight w:val="yellow"/>
        </w:rPr>
      </w:pPr>
    </w:p>
    <w:p w:rsidR="008C29DE" w:rsidRPr="005A505B" w:rsidRDefault="008C29DE" w:rsidP="005A505B">
      <w:pPr>
        <w:pStyle w:val="ListParagraph"/>
        <w:numPr>
          <w:ilvl w:val="0"/>
          <w:numId w:val="8"/>
        </w:numPr>
        <w:jc w:val="both"/>
        <w:rPr>
          <w:rFonts w:cs="Arial"/>
          <w:color w:val="auto"/>
          <w:sz w:val="20"/>
          <w:szCs w:val="20"/>
        </w:rPr>
      </w:pPr>
      <w:r w:rsidRPr="005A505B">
        <w:rPr>
          <w:rFonts w:cs="Arial"/>
          <w:color w:val="auto"/>
          <w:sz w:val="20"/>
          <w:szCs w:val="20"/>
        </w:rPr>
        <w:t xml:space="preserve">Phased implementation of the NHI continues. Over the MTEF, R8.8 billion is allocated for NHI activities </w:t>
      </w:r>
      <w:r w:rsidR="0067412B" w:rsidRPr="005A505B">
        <w:rPr>
          <w:rFonts w:cs="Arial"/>
          <w:color w:val="auto"/>
          <w:sz w:val="20"/>
          <w:szCs w:val="20"/>
        </w:rPr>
        <w:t>–</w:t>
      </w:r>
      <w:r w:rsidRPr="005A505B">
        <w:rPr>
          <w:rFonts w:cs="Arial"/>
          <w:color w:val="auto"/>
          <w:sz w:val="20"/>
          <w:szCs w:val="20"/>
        </w:rPr>
        <w:t xml:space="preserve"> the</w:t>
      </w:r>
      <w:r w:rsidRPr="005A505B">
        <w:rPr>
          <w:rFonts w:cs="Arial"/>
          <w:i/>
          <w:color w:val="auto"/>
          <w:sz w:val="20"/>
          <w:szCs w:val="20"/>
        </w:rPr>
        <w:t xml:space="preserve"> National Health Insurance Indirect Grant is </w:t>
      </w:r>
      <w:r w:rsidRPr="005A505B">
        <w:rPr>
          <w:rFonts w:cs="Arial"/>
          <w:color w:val="auto"/>
          <w:sz w:val="20"/>
          <w:szCs w:val="20"/>
        </w:rPr>
        <w:t xml:space="preserve">allocated R6.5 billion. R2.1 billion is allocated to provincial health departments through the </w:t>
      </w:r>
      <w:r w:rsidRPr="005A505B">
        <w:rPr>
          <w:rFonts w:cs="Arial"/>
          <w:i/>
          <w:color w:val="auto"/>
          <w:sz w:val="20"/>
          <w:szCs w:val="20"/>
        </w:rPr>
        <w:t>Direct National Health Insurance Grant.</w:t>
      </w:r>
      <w:r w:rsidRPr="005A505B">
        <w:rPr>
          <w:rFonts w:cs="Arial"/>
          <w:color w:val="auto"/>
          <w:sz w:val="20"/>
          <w:szCs w:val="20"/>
        </w:rPr>
        <w:t xml:space="preserve"> This will be used for contracting primary health care doctors, and mental health and oncology service providers. R174.2 million is earmarked for capacitating the department’s national health insurance unit and building its health technology assessment. </w:t>
      </w:r>
    </w:p>
    <w:p w:rsidR="008C29DE" w:rsidRPr="005A505B" w:rsidRDefault="008C29DE" w:rsidP="005A505B">
      <w:pPr>
        <w:pStyle w:val="ListParagraph"/>
        <w:ind w:left="780"/>
        <w:jc w:val="both"/>
        <w:rPr>
          <w:rFonts w:cs="Arial"/>
          <w:color w:val="auto"/>
          <w:sz w:val="20"/>
          <w:szCs w:val="20"/>
          <w:highlight w:val="yellow"/>
        </w:rPr>
      </w:pPr>
    </w:p>
    <w:p w:rsidR="008C29DE" w:rsidRPr="005A505B" w:rsidRDefault="008C29DE" w:rsidP="005A505B">
      <w:pPr>
        <w:pStyle w:val="ListParagraph"/>
        <w:numPr>
          <w:ilvl w:val="0"/>
          <w:numId w:val="8"/>
        </w:numPr>
        <w:jc w:val="both"/>
        <w:rPr>
          <w:rFonts w:cs="Arial"/>
          <w:color w:val="auto"/>
          <w:sz w:val="20"/>
          <w:szCs w:val="20"/>
        </w:rPr>
      </w:pPr>
      <w:r w:rsidRPr="005A505B">
        <w:rPr>
          <w:rFonts w:cs="Arial"/>
          <w:color w:val="auto"/>
          <w:sz w:val="20"/>
          <w:szCs w:val="20"/>
        </w:rPr>
        <w:t xml:space="preserve">The </w:t>
      </w:r>
      <w:r w:rsidRPr="005A505B">
        <w:rPr>
          <w:rFonts w:cs="Arial"/>
          <w:i/>
          <w:color w:val="auto"/>
          <w:sz w:val="20"/>
          <w:szCs w:val="20"/>
        </w:rPr>
        <w:t>District Health Programmes Grant</w:t>
      </w:r>
      <w:r w:rsidRPr="005A505B">
        <w:rPr>
          <w:rFonts w:cs="Arial"/>
          <w:color w:val="auto"/>
          <w:sz w:val="20"/>
          <w:szCs w:val="20"/>
        </w:rPr>
        <w:t xml:space="preserve"> (previously known as the </w:t>
      </w:r>
      <w:r w:rsidRPr="005A505B">
        <w:rPr>
          <w:rFonts w:cs="Arial"/>
          <w:i/>
          <w:color w:val="auto"/>
          <w:sz w:val="20"/>
          <w:szCs w:val="20"/>
        </w:rPr>
        <w:t>HIV, TB, malaria and community outreach grant</w:t>
      </w:r>
      <w:r w:rsidRPr="005A505B">
        <w:rPr>
          <w:rFonts w:cs="Arial"/>
          <w:color w:val="auto"/>
          <w:sz w:val="20"/>
          <w:szCs w:val="20"/>
        </w:rPr>
        <w:t>)</w:t>
      </w:r>
      <w:r w:rsidRPr="005A505B">
        <w:rPr>
          <w:rFonts w:cs="Arial"/>
          <w:i/>
          <w:color w:val="auto"/>
          <w:sz w:val="20"/>
          <w:szCs w:val="20"/>
        </w:rPr>
        <w:t xml:space="preserve"> </w:t>
      </w:r>
      <w:r w:rsidRPr="005A505B">
        <w:rPr>
          <w:rFonts w:cs="Arial"/>
          <w:color w:val="auto"/>
          <w:sz w:val="20"/>
          <w:szCs w:val="20"/>
        </w:rPr>
        <w:t xml:space="preserve">is allocated R84.0 billion over the medium term. The grant’s </w:t>
      </w:r>
      <w:r w:rsidR="0074250F" w:rsidRPr="005A505B">
        <w:rPr>
          <w:rFonts w:cs="Arial"/>
          <w:color w:val="auto"/>
          <w:sz w:val="20"/>
          <w:szCs w:val="20"/>
        </w:rPr>
        <w:t xml:space="preserve">eight </w:t>
      </w:r>
      <w:r w:rsidRPr="005A505B">
        <w:rPr>
          <w:rFonts w:cs="Arial"/>
          <w:color w:val="auto"/>
          <w:sz w:val="20"/>
          <w:szCs w:val="20"/>
        </w:rPr>
        <w:t xml:space="preserve">components have been merged into </w:t>
      </w:r>
      <w:r w:rsidR="0074250F" w:rsidRPr="005A505B">
        <w:rPr>
          <w:rFonts w:cs="Arial"/>
          <w:color w:val="auto"/>
          <w:sz w:val="20"/>
          <w:szCs w:val="20"/>
        </w:rPr>
        <w:t xml:space="preserve">two </w:t>
      </w:r>
      <w:r w:rsidRPr="005A505B">
        <w:rPr>
          <w:rFonts w:cs="Arial"/>
          <w:color w:val="auto"/>
          <w:sz w:val="20"/>
          <w:szCs w:val="20"/>
        </w:rPr>
        <w:t xml:space="preserve">in order to give provinces more flexibility to use the funds. </w:t>
      </w:r>
    </w:p>
    <w:p w:rsidR="008C29DE" w:rsidRPr="005A505B" w:rsidRDefault="008C29DE" w:rsidP="005A505B">
      <w:pPr>
        <w:pStyle w:val="ListParagraph"/>
        <w:jc w:val="both"/>
        <w:rPr>
          <w:rFonts w:cs="Arial"/>
          <w:color w:val="auto"/>
          <w:sz w:val="20"/>
          <w:szCs w:val="20"/>
        </w:rPr>
      </w:pPr>
    </w:p>
    <w:p w:rsidR="008C29DE" w:rsidRPr="005A505B" w:rsidRDefault="008C29DE" w:rsidP="005A505B">
      <w:pPr>
        <w:pStyle w:val="ListParagraph"/>
        <w:numPr>
          <w:ilvl w:val="1"/>
          <w:numId w:val="8"/>
        </w:numPr>
        <w:jc w:val="both"/>
        <w:rPr>
          <w:rFonts w:cs="Arial"/>
          <w:color w:val="auto"/>
          <w:sz w:val="20"/>
          <w:szCs w:val="20"/>
        </w:rPr>
      </w:pPr>
      <w:r w:rsidRPr="005A505B">
        <w:rPr>
          <w:rFonts w:cs="Arial"/>
          <w:color w:val="auto"/>
          <w:sz w:val="20"/>
          <w:szCs w:val="20"/>
        </w:rPr>
        <w:t xml:space="preserve">The comprehensive HIV and AIDS component in Programme 3: </w:t>
      </w:r>
      <w:r w:rsidRPr="005A505B">
        <w:rPr>
          <w:rFonts w:cs="Arial"/>
          <w:i/>
          <w:color w:val="auto"/>
          <w:sz w:val="20"/>
          <w:szCs w:val="20"/>
        </w:rPr>
        <w:t>Communicable and Non-</w:t>
      </w:r>
      <w:r w:rsidR="0074250F" w:rsidRPr="005A505B">
        <w:rPr>
          <w:rFonts w:cs="Arial"/>
          <w:i/>
          <w:color w:val="auto"/>
          <w:sz w:val="20"/>
          <w:szCs w:val="20"/>
        </w:rPr>
        <w:t>communicable</w:t>
      </w:r>
      <w:r w:rsidRPr="005A505B">
        <w:rPr>
          <w:rFonts w:cs="Arial"/>
          <w:i/>
          <w:color w:val="auto"/>
          <w:sz w:val="20"/>
          <w:szCs w:val="20"/>
        </w:rPr>
        <w:t xml:space="preserve"> Diseases</w:t>
      </w:r>
      <w:r w:rsidRPr="005A505B">
        <w:rPr>
          <w:rFonts w:cs="Arial"/>
          <w:color w:val="auto"/>
          <w:sz w:val="20"/>
          <w:szCs w:val="20"/>
        </w:rPr>
        <w:t xml:space="preserve"> funds government’s antiretroviral treatment programme, as well as HIV-prevention and TB prevention and treatment services, and receives R73.1 billion.</w:t>
      </w:r>
    </w:p>
    <w:p w:rsidR="008C29DE" w:rsidRPr="005A505B" w:rsidRDefault="008C29DE" w:rsidP="005A505B">
      <w:pPr>
        <w:pStyle w:val="ListParagraph"/>
        <w:numPr>
          <w:ilvl w:val="1"/>
          <w:numId w:val="8"/>
        </w:numPr>
        <w:jc w:val="both"/>
        <w:rPr>
          <w:rFonts w:cs="Arial"/>
          <w:color w:val="auto"/>
          <w:sz w:val="20"/>
          <w:szCs w:val="20"/>
        </w:rPr>
      </w:pPr>
      <w:r w:rsidRPr="005A505B">
        <w:rPr>
          <w:rFonts w:cs="Arial"/>
          <w:color w:val="auto"/>
          <w:sz w:val="20"/>
          <w:szCs w:val="20"/>
        </w:rPr>
        <w:t xml:space="preserve">The district health component in Programme 4: </w:t>
      </w:r>
      <w:r w:rsidRPr="005A505B">
        <w:rPr>
          <w:rFonts w:cs="Arial"/>
          <w:i/>
          <w:color w:val="auto"/>
          <w:sz w:val="20"/>
          <w:szCs w:val="20"/>
        </w:rPr>
        <w:t xml:space="preserve">Primary Health Care </w:t>
      </w:r>
      <w:r w:rsidRPr="005A505B">
        <w:rPr>
          <w:rFonts w:cs="Arial"/>
          <w:color w:val="auto"/>
          <w:sz w:val="20"/>
          <w:szCs w:val="20"/>
        </w:rPr>
        <w:t>funds community outreach services, malaria interventions, human papillomavirus vaccinations and will also fund provincial costs for the rollout of COVID</w:t>
      </w:r>
      <w:r w:rsidRPr="005A505B">
        <w:rPr>
          <w:rFonts w:ascii="Cambria Math" w:hAnsi="Cambria Math" w:cs="Arial"/>
          <w:color w:val="auto"/>
          <w:sz w:val="20"/>
          <w:szCs w:val="20"/>
        </w:rPr>
        <w:t>‐</w:t>
      </w:r>
      <w:r w:rsidRPr="005A505B">
        <w:rPr>
          <w:rFonts w:cs="Arial"/>
          <w:color w:val="auto"/>
          <w:sz w:val="20"/>
          <w:szCs w:val="20"/>
        </w:rPr>
        <w:t>19 vaccines. It receives R10.9 billion over the MTEF.</w:t>
      </w:r>
    </w:p>
    <w:p w:rsidR="008C29DE" w:rsidRPr="005A505B" w:rsidRDefault="008C29DE" w:rsidP="005A505B">
      <w:pPr>
        <w:pStyle w:val="ListParagraph"/>
        <w:jc w:val="both"/>
        <w:rPr>
          <w:rFonts w:cs="Arial"/>
          <w:color w:val="auto"/>
          <w:sz w:val="20"/>
          <w:szCs w:val="20"/>
        </w:rPr>
      </w:pPr>
    </w:p>
    <w:p w:rsidR="008C29DE" w:rsidRPr="005A505B" w:rsidRDefault="008C29DE" w:rsidP="005A505B">
      <w:pPr>
        <w:pStyle w:val="ListParagraph"/>
        <w:numPr>
          <w:ilvl w:val="0"/>
          <w:numId w:val="8"/>
        </w:numPr>
        <w:jc w:val="both"/>
        <w:rPr>
          <w:rFonts w:cs="Arial"/>
          <w:color w:val="auto"/>
          <w:sz w:val="20"/>
          <w:szCs w:val="20"/>
        </w:rPr>
      </w:pPr>
      <w:r w:rsidRPr="005A505B">
        <w:rPr>
          <w:rFonts w:cs="Arial"/>
          <w:color w:val="auto"/>
          <w:sz w:val="20"/>
          <w:szCs w:val="20"/>
        </w:rPr>
        <w:t xml:space="preserve">Investing in health infrastructure. R21.3 billion will be transferred to provinces through the </w:t>
      </w:r>
      <w:r w:rsidRPr="005A505B">
        <w:rPr>
          <w:rFonts w:cs="Arial"/>
          <w:i/>
          <w:color w:val="auto"/>
          <w:sz w:val="20"/>
          <w:szCs w:val="20"/>
        </w:rPr>
        <w:t>Health Facility Revitalisation Grant</w:t>
      </w:r>
      <w:r w:rsidRPr="005A505B">
        <w:rPr>
          <w:rFonts w:cs="Arial"/>
          <w:color w:val="auto"/>
          <w:sz w:val="20"/>
          <w:szCs w:val="20"/>
        </w:rPr>
        <w:t xml:space="preserve">.  R4.4 billion is managed by the department on behalf of provinces through the health facility revitalisation component of the </w:t>
      </w:r>
      <w:r w:rsidRPr="005A505B">
        <w:rPr>
          <w:rFonts w:cs="Arial"/>
          <w:i/>
          <w:color w:val="auto"/>
          <w:sz w:val="20"/>
          <w:szCs w:val="20"/>
        </w:rPr>
        <w:t>National Health Insurance Indirect Grant</w:t>
      </w:r>
      <w:r w:rsidRPr="005A505B">
        <w:rPr>
          <w:rFonts w:cs="Arial"/>
          <w:color w:val="auto"/>
          <w:sz w:val="20"/>
          <w:szCs w:val="20"/>
        </w:rPr>
        <w:t>. These Grants are aimed at accelerating the construction, maintenance, upgrading and rehabilitation of new and existing health system infrastructure, as well as providing medical equipment required to render health services.</w:t>
      </w:r>
    </w:p>
    <w:p w:rsidR="008C29DE" w:rsidRPr="005A505B" w:rsidRDefault="008C29DE" w:rsidP="005A505B">
      <w:pPr>
        <w:jc w:val="both"/>
        <w:rPr>
          <w:rFonts w:cs="Arial"/>
          <w:color w:val="auto"/>
          <w:sz w:val="20"/>
          <w:szCs w:val="20"/>
        </w:rPr>
      </w:pPr>
    </w:p>
    <w:p w:rsidR="008C29DE" w:rsidRPr="005A505B" w:rsidRDefault="008C29DE" w:rsidP="005A505B">
      <w:pPr>
        <w:pStyle w:val="ListParagraph"/>
        <w:numPr>
          <w:ilvl w:val="0"/>
          <w:numId w:val="8"/>
        </w:numPr>
        <w:jc w:val="both"/>
        <w:rPr>
          <w:rFonts w:cs="Arial"/>
          <w:color w:val="auto"/>
          <w:sz w:val="20"/>
          <w:szCs w:val="20"/>
        </w:rPr>
      </w:pPr>
      <w:r w:rsidRPr="005A505B">
        <w:rPr>
          <w:rFonts w:cs="Arial"/>
          <w:color w:val="auto"/>
          <w:sz w:val="20"/>
          <w:szCs w:val="20"/>
        </w:rPr>
        <w:t xml:space="preserve">The </w:t>
      </w:r>
      <w:r w:rsidRPr="005A505B">
        <w:rPr>
          <w:rFonts w:cs="Arial"/>
          <w:i/>
          <w:color w:val="auto"/>
          <w:sz w:val="20"/>
          <w:szCs w:val="20"/>
        </w:rPr>
        <w:t>National Tertiary Services Grant</w:t>
      </w:r>
      <w:r w:rsidRPr="005A505B">
        <w:rPr>
          <w:rFonts w:cs="Arial"/>
          <w:color w:val="auto"/>
          <w:sz w:val="20"/>
          <w:szCs w:val="20"/>
        </w:rPr>
        <w:t xml:space="preserve"> is allocated R14.3 billion in 2022/23, R14 billion in 2023/4, and R14.7 billion in 2024/25 in Programme 5: </w:t>
      </w:r>
      <w:r w:rsidRPr="005A505B">
        <w:rPr>
          <w:rFonts w:cs="Arial"/>
          <w:i/>
          <w:color w:val="auto"/>
          <w:sz w:val="20"/>
          <w:szCs w:val="20"/>
        </w:rPr>
        <w:t>Hospital Systems</w:t>
      </w:r>
      <w:r w:rsidRPr="005A505B">
        <w:rPr>
          <w:rFonts w:cs="Arial"/>
          <w:color w:val="auto"/>
          <w:sz w:val="20"/>
          <w:szCs w:val="20"/>
        </w:rPr>
        <w:t xml:space="preserve">. The Grant compensates provinces for providing tertiary services to patients from elsewhere. </w:t>
      </w:r>
    </w:p>
    <w:p w:rsidR="008C29DE" w:rsidRPr="005A505B" w:rsidRDefault="008C29DE" w:rsidP="005A505B">
      <w:pPr>
        <w:pStyle w:val="ListParagraph"/>
        <w:jc w:val="both"/>
        <w:rPr>
          <w:rFonts w:cs="Arial"/>
          <w:color w:val="auto"/>
          <w:sz w:val="20"/>
          <w:szCs w:val="20"/>
        </w:rPr>
      </w:pPr>
    </w:p>
    <w:p w:rsidR="008C29DE" w:rsidRPr="005A505B" w:rsidRDefault="008C29DE" w:rsidP="005A505B">
      <w:pPr>
        <w:pStyle w:val="ListParagraph"/>
        <w:numPr>
          <w:ilvl w:val="0"/>
          <w:numId w:val="8"/>
        </w:numPr>
        <w:jc w:val="both"/>
        <w:rPr>
          <w:rFonts w:cs="Arial"/>
          <w:color w:val="auto"/>
          <w:sz w:val="20"/>
          <w:szCs w:val="20"/>
        </w:rPr>
      </w:pPr>
      <w:r w:rsidRPr="005A505B">
        <w:rPr>
          <w:rFonts w:cs="Arial"/>
          <w:color w:val="auto"/>
          <w:sz w:val="20"/>
          <w:szCs w:val="20"/>
        </w:rPr>
        <w:t xml:space="preserve">Developing the health workforce: under Programme 6: </w:t>
      </w:r>
      <w:r w:rsidRPr="005A505B">
        <w:rPr>
          <w:rFonts w:cs="Arial"/>
          <w:i/>
          <w:color w:val="auto"/>
          <w:sz w:val="20"/>
          <w:szCs w:val="20"/>
        </w:rPr>
        <w:t>Health System Governance</w:t>
      </w:r>
      <w:r w:rsidRPr="005A505B">
        <w:rPr>
          <w:rFonts w:cs="Arial"/>
          <w:color w:val="auto"/>
          <w:sz w:val="20"/>
          <w:szCs w:val="20"/>
        </w:rPr>
        <w:t xml:space="preserve"> </w:t>
      </w:r>
      <w:r w:rsidRPr="005A505B">
        <w:rPr>
          <w:rFonts w:cs="Arial"/>
          <w:i/>
          <w:color w:val="auto"/>
          <w:sz w:val="20"/>
          <w:szCs w:val="20"/>
        </w:rPr>
        <w:t>and Human Resources</w:t>
      </w:r>
      <w:r w:rsidRPr="005A505B">
        <w:rPr>
          <w:rFonts w:cs="Arial"/>
          <w:color w:val="auto"/>
          <w:sz w:val="20"/>
          <w:szCs w:val="20"/>
        </w:rPr>
        <w:t xml:space="preserve"> additional allocations are made to the statutory human resources component of the </w:t>
      </w:r>
      <w:r w:rsidRPr="005A505B">
        <w:rPr>
          <w:rFonts w:cs="Arial"/>
          <w:i/>
          <w:color w:val="auto"/>
          <w:sz w:val="20"/>
          <w:szCs w:val="20"/>
        </w:rPr>
        <w:t>Human Resources and Training Grant</w:t>
      </w:r>
      <w:r w:rsidRPr="005A505B">
        <w:rPr>
          <w:rFonts w:cs="Arial"/>
          <w:color w:val="auto"/>
          <w:sz w:val="20"/>
          <w:szCs w:val="20"/>
        </w:rPr>
        <w:t xml:space="preserve"> to ensure students can complete their medical internships and community service. This Grant now totals R7.8 billion over the MTEF. For further development and training of existing health workers, the training component of the grant is allocated R8.5 billion over the same period.</w:t>
      </w:r>
    </w:p>
    <w:p w:rsidR="008C29DE" w:rsidRPr="005A505B" w:rsidRDefault="008C29DE" w:rsidP="005A505B">
      <w:pPr>
        <w:jc w:val="both"/>
        <w:rPr>
          <w:rFonts w:cs="Arial"/>
          <w:i/>
          <w:color w:val="auto"/>
          <w:sz w:val="20"/>
          <w:szCs w:val="20"/>
        </w:rPr>
      </w:pPr>
    </w:p>
    <w:p w:rsidR="00BE0C40" w:rsidRPr="005A505B" w:rsidRDefault="00BE0C40" w:rsidP="005A505B">
      <w:pPr>
        <w:rPr>
          <w:rFonts w:cs="Arial"/>
          <w:b/>
          <w:i/>
          <w:color w:val="auto"/>
          <w:sz w:val="20"/>
          <w:szCs w:val="20"/>
        </w:rPr>
      </w:pPr>
      <w:r w:rsidRPr="005A505B">
        <w:rPr>
          <w:rFonts w:cs="Arial"/>
          <w:b/>
          <w:i/>
          <w:color w:val="auto"/>
          <w:sz w:val="20"/>
          <w:szCs w:val="20"/>
        </w:rPr>
        <w:t>2.4.2.3. Programme Analysis</w:t>
      </w:r>
    </w:p>
    <w:p w:rsidR="003135A6" w:rsidRPr="005A505B" w:rsidRDefault="003135A6" w:rsidP="005A505B">
      <w:pPr>
        <w:jc w:val="both"/>
        <w:rPr>
          <w:rFonts w:cs="Arial"/>
          <w:color w:val="auto"/>
          <w:sz w:val="20"/>
          <w:szCs w:val="20"/>
        </w:rPr>
      </w:pPr>
    </w:p>
    <w:p w:rsidR="008B1690" w:rsidRPr="005A505B" w:rsidRDefault="008B1690" w:rsidP="005A505B">
      <w:pPr>
        <w:rPr>
          <w:rFonts w:cs="Arial"/>
          <w:color w:val="auto"/>
          <w:sz w:val="20"/>
          <w:szCs w:val="20"/>
        </w:rPr>
      </w:pPr>
      <w:bookmarkStart w:id="455" w:name="_Toc101435154"/>
    </w:p>
    <w:p w:rsidR="008C29DE" w:rsidRPr="005A505B" w:rsidRDefault="008C29DE" w:rsidP="005A505B">
      <w:pPr>
        <w:ind w:left="720"/>
        <w:rPr>
          <w:rFonts w:cs="Arial"/>
          <w:color w:val="auto"/>
          <w:sz w:val="20"/>
          <w:szCs w:val="20"/>
        </w:rPr>
      </w:pPr>
      <w:r w:rsidRPr="005A505B">
        <w:rPr>
          <w:rFonts w:cs="Arial"/>
          <w:b/>
          <w:color w:val="auto"/>
          <w:sz w:val="20"/>
          <w:szCs w:val="20"/>
        </w:rPr>
        <w:t>Programme 1: Administration</w:t>
      </w:r>
      <w:bookmarkEnd w:id="455"/>
      <w:r w:rsidRPr="005A505B">
        <w:rPr>
          <w:rFonts w:cs="Arial"/>
          <w:b/>
          <w:color w:val="auto"/>
          <w:sz w:val="20"/>
          <w:szCs w:val="20"/>
        </w:rPr>
        <w:t xml:space="preserve"> </w:t>
      </w:r>
    </w:p>
    <w:p w:rsidR="008C29DE" w:rsidRPr="005A505B" w:rsidRDefault="008C29DE" w:rsidP="005A505B">
      <w:pPr>
        <w:jc w:val="both"/>
        <w:rPr>
          <w:rFonts w:cs="Arial"/>
          <w:color w:val="auto"/>
          <w:sz w:val="20"/>
          <w:szCs w:val="20"/>
        </w:rPr>
      </w:pPr>
    </w:p>
    <w:p w:rsidR="008C29DE" w:rsidRPr="005A505B" w:rsidRDefault="008C29DE" w:rsidP="005A505B">
      <w:pPr>
        <w:jc w:val="both"/>
        <w:rPr>
          <w:rFonts w:cs="Arial"/>
          <w:color w:val="auto"/>
          <w:sz w:val="20"/>
          <w:szCs w:val="20"/>
        </w:rPr>
      </w:pPr>
      <w:r w:rsidRPr="005A505B">
        <w:rPr>
          <w:rFonts w:cs="Arial"/>
          <w:color w:val="auto"/>
          <w:sz w:val="20"/>
          <w:szCs w:val="20"/>
        </w:rPr>
        <w:lastRenderedPageBreak/>
        <w:t>Programme 1’s budget decreases by 5.7</w:t>
      </w:r>
      <w:r w:rsidR="0034021A" w:rsidRPr="005A505B">
        <w:rPr>
          <w:rFonts w:cs="Arial"/>
          <w:color w:val="auto"/>
          <w:sz w:val="20"/>
          <w:szCs w:val="20"/>
        </w:rPr>
        <w:t xml:space="preserve">% </w:t>
      </w:r>
      <w:r w:rsidRPr="005A505B">
        <w:rPr>
          <w:rFonts w:cs="Arial"/>
          <w:color w:val="auto"/>
          <w:sz w:val="20"/>
          <w:szCs w:val="20"/>
        </w:rPr>
        <w:t>in nominal terms (and decreases by 9.7</w:t>
      </w:r>
      <w:r w:rsidR="0034021A" w:rsidRPr="005A505B">
        <w:rPr>
          <w:rFonts w:cs="Arial"/>
          <w:color w:val="auto"/>
          <w:sz w:val="20"/>
          <w:szCs w:val="20"/>
        </w:rPr>
        <w:t>%</w:t>
      </w:r>
      <w:r w:rsidRPr="005A505B">
        <w:rPr>
          <w:rFonts w:cs="Arial"/>
          <w:color w:val="auto"/>
          <w:sz w:val="20"/>
          <w:szCs w:val="20"/>
        </w:rPr>
        <w:t xml:space="preserve"> in real terms) from R828.7 million in 2021/22 to R781.7 million in 2022/23. The largest sub-programme is </w:t>
      </w:r>
      <w:r w:rsidRPr="005A505B">
        <w:rPr>
          <w:rFonts w:cs="Arial"/>
          <w:i/>
          <w:color w:val="auto"/>
          <w:sz w:val="20"/>
          <w:szCs w:val="20"/>
        </w:rPr>
        <w:t>Corporate Services,</w:t>
      </w:r>
      <w:r w:rsidRPr="005A505B">
        <w:rPr>
          <w:rFonts w:cs="Arial"/>
          <w:color w:val="auto"/>
          <w:sz w:val="20"/>
          <w:szCs w:val="20"/>
        </w:rPr>
        <w:t xml:space="preserve"> of which the allocation decreases by 8.1</w:t>
      </w:r>
      <w:r w:rsidR="0034021A" w:rsidRPr="005A505B">
        <w:rPr>
          <w:rFonts w:cs="Arial"/>
          <w:color w:val="auto"/>
          <w:sz w:val="20"/>
          <w:szCs w:val="20"/>
        </w:rPr>
        <w:t xml:space="preserve">% </w:t>
      </w:r>
      <w:r w:rsidRPr="005A505B">
        <w:rPr>
          <w:rFonts w:cs="Arial"/>
          <w:color w:val="auto"/>
          <w:sz w:val="20"/>
          <w:szCs w:val="20"/>
        </w:rPr>
        <w:t>in nominal terms and by 12.0</w:t>
      </w:r>
      <w:r w:rsidR="0034021A" w:rsidRPr="005A505B">
        <w:rPr>
          <w:rFonts w:cs="Arial"/>
          <w:color w:val="auto"/>
          <w:sz w:val="20"/>
          <w:szCs w:val="20"/>
        </w:rPr>
        <w:t xml:space="preserve">% </w:t>
      </w:r>
      <w:r w:rsidRPr="005A505B">
        <w:rPr>
          <w:rFonts w:cs="Arial"/>
          <w:color w:val="auto"/>
          <w:sz w:val="20"/>
          <w:szCs w:val="20"/>
        </w:rPr>
        <w:t>in real terms. Financial Management is the only sub-programme allocation that increases, from R161.3 million to R174.7 million, representing a 8.3</w:t>
      </w:r>
      <w:r w:rsidR="0034021A" w:rsidRPr="005A505B">
        <w:rPr>
          <w:rFonts w:cs="Arial"/>
          <w:color w:val="auto"/>
          <w:sz w:val="20"/>
          <w:szCs w:val="20"/>
        </w:rPr>
        <w:t xml:space="preserve">% </w:t>
      </w:r>
      <w:r w:rsidRPr="005A505B">
        <w:rPr>
          <w:rFonts w:cs="Arial"/>
          <w:color w:val="auto"/>
          <w:sz w:val="20"/>
          <w:szCs w:val="20"/>
        </w:rPr>
        <w:t>increase in nominal terms and 3.6</w:t>
      </w:r>
      <w:r w:rsidR="0034021A" w:rsidRPr="005A505B">
        <w:rPr>
          <w:rFonts w:cs="Arial"/>
          <w:color w:val="auto"/>
          <w:sz w:val="20"/>
          <w:szCs w:val="20"/>
        </w:rPr>
        <w:t xml:space="preserve">% </w:t>
      </w:r>
      <w:r w:rsidRPr="005A505B">
        <w:rPr>
          <w:rFonts w:cs="Arial"/>
          <w:color w:val="auto"/>
          <w:sz w:val="20"/>
          <w:szCs w:val="20"/>
        </w:rPr>
        <w:t xml:space="preserve">increase in real terms. </w:t>
      </w:r>
    </w:p>
    <w:p w:rsidR="008C29DE" w:rsidRPr="005A505B" w:rsidRDefault="008C29DE" w:rsidP="005A505B">
      <w:pPr>
        <w:jc w:val="both"/>
        <w:rPr>
          <w:rFonts w:cs="Arial"/>
          <w:color w:val="auto"/>
          <w:sz w:val="20"/>
          <w:szCs w:val="20"/>
        </w:rPr>
      </w:pPr>
    </w:p>
    <w:p w:rsidR="008C29DE" w:rsidRPr="005A505B" w:rsidRDefault="008C29DE" w:rsidP="005A505B">
      <w:pPr>
        <w:jc w:val="both"/>
        <w:rPr>
          <w:rFonts w:cs="Arial"/>
          <w:color w:val="auto"/>
          <w:sz w:val="20"/>
          <w:szCs w:val="20"/>
        </w:rPr>
      </w:pPr>
      <w:r w:rsidRPr="005A505B">
        <w:rPr>
          <w:rFonts w:cs="Arial"/>
          <w:color w:val="auto"/>
          <w:sz w:val="20"/>
          <w:szCs w:val="20"/>
        </w:rPr>
        <w:t>In terms of economic classification, 97.7</w:t>
      </w:r>
      <w:r w:rsidR="0034021A" w:rsidRPr="005A505B">
        <w:rPr>
          <w:rFonts w:cs="Arial"/>
          <w:color w:val="auto"/>
          <w:sz w:val="20"/>
          <w:szCs w:val="20"/>
        </w:rPr>
        <w:t>%</w:t>
      </w:r>
      <w:r w:rsidRPr="005A505B">
        <w:rPr>
          <w:rFonts w:cs="Arial"/>
          <w:color w:val="auto"/>
          <w:sz w:val="20"/>
          <w:szCs w:val="20"/>
        </w:rPr>
        <w:t xml:space="preserve"> of the budget is allocated to Current payments. Compensation of employees amounts to R245.7 million, down from R250.1 million in the previous financial year (a 1.8</w:t>
      </w:r>
      <w:r w:rsidR="0034021A" w:rsidRPr="005A505B">
        <w:rPr>
          <w:rFonts w:cs="Arial"/>
          <w:color w:val="auto"/>
          <w:sz w:val="20"/>
          <w:szCs w:val="20"/>
        </w:rPr>
        <w:t>%</w:t>
      </w:r>
      <w:r w:rsidRPr="005A505B">
        <w:rPr>
          <w:rFonts w:cs="Arial"/>
          <w:color w:val="auto"/>
          <w:sz w:val="20"/>
          <w:szCs w:val="20"/>
        </w:rPr>
        <w:t xml:space="preserve"> decline in nominal terms). R518.2 million is allocated to Goods and services. This includes R123.8 million for Operating leases, R52.4 for Property payments and R47.5 million for Travel and Subsistence (S&amp;T).</w:t>
      </w:r>
    </w:p>
    <w:p w:rsidR="008C29DE" w:rsidRPr="005A505B" w:rsidRDefault="008C29DE" w:rsidP="005A505B">
      <w:pPr>
        <w:jc w:val="both"/>
        <w:rPr>
          <w:rFonts w:cs="Arial"/>
          <w:color w:val="auto"/>
          <w:sz w:val="20"/>
          <w:szCs w:val="20"/>
        </w:rPr>
      </w:pPr>
    </w:p>
    <w:p w:rsidR="008C29DE" w:rsidRPr="005A505B" w:rsidRDefault="008C29DE" w:rsidP="005A505B">
      <w:pPr>
        <w:ind w:left="720"/>
        <w:rPr>
          <w:rFonts w:cs="Arial"/>
          <w:color w:val="auto"/>
          <w:sz w:val="20"/>
          <w:szCs w:val="20"/>
        </w:rPr>
      </w:pPr>
      <w:bookmarkStart w:id="456" w:name="_Toc101435155"/>
      <w:r w:rsidRPr="005A505B">
        <w:rPr>
          <w:rFonts w:cs="Arial"/>
          <w:b/>
          <w:color w:val="auto"/>
          <w:sz w:val="20"/>
          <w:szCs w:val="20"/>
        </w:rPr>
        <w:t>Programme 2: National Health Insurance</w:t>
      </w:r>
      <w:bookmarkEnd w:id="456"/>
    </w:p>
    <w:p w:rsidR="008C29DE" w:rsidRPr="005A505B" w:rsidRDefault="008C29DE" w:rsidP="005A505B">
      <w:pPr>
        <w:jc w:val="both"/>
        <w:rPr>
          <w:rFonts w:cs="Arial"/>
          <w:color w:val="auto"/>
          <w:sz w:val="20"/>
          <w:szCs w:val="20"/>
        </w:rPr>
      </w:pPr>
    </w:p>
    <w:p w:rsidR="008C29DE" w:rsidRPr="005A505B" w:rsidRDefault="008C29DE" w:rsidP="005A505B">
      <w:pPr>
        <w:jc w:val="both"/>
        <w:rPr>
          <w:rFonts w:cs="Arial"/>
          <w:color w:val="auto"/>
          <w:sz w:val="20"/>
          <w:szCs w:val="20"/>
        </w:rPr>
      </w:pPr>
      <w:r w:rsidRPr="005A505B">
        <w:rPr>
          <w:rFonts w:cs="Arial"/>
          <w:color w:val="auto"/>
          <w:sz w:val="20"/>
          <w:szCs w:val="20"/>
        </w:rPr>
        <w:t>The Programme’s budget increases by 48.0</w:t>
      </w:r>
      <w:r w:rsidR="0034021A" w:rsidRPr="005A505B">
        <w:rPr>
          <w:rFonts w:cs="Arial"/>
          <w:color w:val="auto"/>
          <w:sz w:val="20"/>
          <w:szCs w:val="20"/>
        </w:rPr>
        <w:t>%</w:t>
      </w:r>
      <w:r w:rsidRPr="005A505B">
        <w:rPr>
          <w:rFonts w:cs="Arial"/>
          <w:color w:val="auto"/>
          <w:sz w:val="20"/>
          <w:szCs w:val="20"/>
        </w:rPr>
        <w:t xml:space="preserve"> in nominal terms (i.e. 41.6</w:t>
      </w:r>
      <w:r w:rsidR="0034021A" w:rsidRPr="005A505B">
        <w:rPr>
          <w:rFonts w:cs="Arial"/>
          <w:color w:val="auto"/>
          <w:sz w:val="20"/>
          <w:szCs w:val="20"/>
        </w:rPr>
        <w:t>%</w:t>
      </w:r>
      <w:r w:rsidRPr="005A505B">
        <w:rPr>
          <w:rFonts w:cs="Arial"/>
          <w:color w:val="auto"/>
          <w:sz w:val="20"/>
          <w:szCs w:val="20"/>
        </w:rPr>
        <w:t xml:space="preserve"> in real terms), due to the shift of mental health and oncology conditional grant allocations from the Communicable and Non-Communicable Diseases programme to this sub-programme.</w:t>
      </w:r>
    </w:p>
    <w:p w:rsidR="008C29DE" w:rsidRPr="005A505B" w:rsidRDefault="008C29DE" w:rsidP="005A505B">
      <w:pPr>
        <w:jc w:val="both"/>
        <w:rPr>
          <w:rFonts w:cs="Arial"/>
          <w:color w:val="auto"/>
          <w:sz w:val="20"/>
          <w:szCs w:val="20"/>
        </w:rPr>
      </w:pPr>
    </w:p>
    <w:p w:rsidR="008C29DE" w:rsidRPr="005A505B" w:rsidRDefault="008C29DE" w:rsidP="005A505B">
      <w:pPr>
        <w:jc w:val="both"/>
        <w:rPr>
          <w:rFonts w:cs="Arial"/>
          <w:color w:val="auto"/>
          <w:sz w:val="20"/>
          <w:szCs w:val="20"/>
        </w:rPr>
      </w:pPr>
      <w:r w:rsidRPr="005A505B">
        <w:rPr>
          <w:rFonts w:cs="Arial"/>
          <w:color w:val="auto"/>
          <w:sz w:val="20"/>
          <w:szCs w:val="20"/>
        </w:rPr>
        <w:t>R779.3 million is allocated for Current payments, of which R734.0 million is for Goods and Services. R547.3 million or 70.2</w:t>
      </w:r>
      <w:r w:rsidR="0034021A" w:rsidRPr="005A505B">
        <w:rPr>
          <w:rFonts w:cs="Arial"/>
          <w:color w:val="auto"/>
          <w:sz w:val="20"/>
          <w:szCs w:val="20"/>
        </w:rPr>
        <w:t>%</w:t>
      </w:r>
      <w:r w:rsidRPr="005A505B">
        <w:rPr>
          <w:rFonts w:cs="Arial"/>
          <w:color w:val="auto"/>
          <w:sz w:val="20"/>
          <w:szCs w:val="20"/>
        </w:rPr>
        <w:t xml:space="preserve"> of this budget is spent on Contractors. In terms of Transfers and Subsidies, R693.7 million is transferred to Provinces and Municipalities. R54.4 million is allocated to payments for Capital Assets. </w:t>
      </w:r>
    </w:p>
    <w:p w:rsidR="008C29DE" w:rsidRPr="005A505B" w:rsidRDefault="008C29DE" w:rsidP="005A505B">
      <w:pPr>
        <w:jc w:val="both"/>
        <w:rPr>
          <w:rFonts w:cs="Arial"/>
          <w:color w:val="auto"/>
          <w:sz w:val="20"/>
          <w:szCs w:val="20"/>
        </w:rPr>
      </w:pPr>
    </w:p>
    <w:p w:rsidR="008C29DE" w:rsidRPr="005A505B" w:rsidRDefault="008C29DE" w:rsidP="005A505B">
      <w:pPr>
        <w:ind w:left="720"/>
        <w:rPr>
          <w:rFonts w:cs="Arial"/>
          <w:color w:val="auto"/>
          <w:sz w:val="20"/>
          <w:szCs w:val="20"/>
        </w:rPr>
      </w:pPr>
      <w:bookmarkStart w:id="457" w:name="_Toc101435156"/>
      <w:r w:rsidRPr="005A505B">
        <w:rPr>
          <w:rFonts w:cs="Arial"/>
          <w:b/>
          <w:color w:val="auto"/>
          <w:sz w:val="20"/>
          <w:szCs w:val="20"/>
        </w:rPr>
        <w:t>Programme 3: Communicable and Non-communicable Diseases</w:t>
      </w:r>
      <w:bookmarkEnd w:id="457"/>
    </w:p>
    <w:p w:rsidR="008C29DE" w:rsidRPr="005A505B" w:rsidRDefault="008C29DE" w:rsidP="005A505B">
      <w:pPr>
        <w:jc w:val="both"/>
        <w:rPr>
          <w:rFonts w:cs="Arial"/>
          <w:color w:val="auto"/>
          <w:sz w:val="20"/>
          <w:szCs w:val="20"/>
        </w:rPr>
      </w:pPr>
      <w:r w:rsidRPr="005A505B">
        <w:rPr>
          <w:rFonts w:cs="Arial"/>
          <w:color w:val="auto"/>
          <w:sz w:val="20"/>
          <w:szCs w:val="20"/>
        </w:rPr>
        <w:t xml:space="preserve"> </w:t>
      </w:r>
    </w:p>
    <w:p w:rsidR="008C29DE" w:rsidRPr="005A505B" w:rsidRDefault="008C29DE" w:rsidP="005A505B">
      <w:pPr>
        <w:jc w:val="both"/>
        <w:rPr>
          <w:rFonts w:cs="Arial"/>
          <w:color w:val="auto"/>
          <w:sz w:val="20"/>
          <w:szCs w:val="20"/>
        </w:rPr>
      </w:pPr>
      <w:r w:rsidRPr="005A505B">
        <w:rPr>
          <w:rFonts w:cs="Arial"/>
          <w:color w:val="auto"/>
          <w:sz w:val="20"/>
          <w:szCs w:val="20"/>
        </w:rPr>
        <w:t>This programme experiences a decrease due to the shifting of mental health and oncology component of the conditional grant allocations to Programme 2. The bulk of Programme 3’s budget, i.e., 91.3</w:t>
      </w:r>
      <w:r w:rsidR="0034021A" w:rsidRPr="005A505B">
        <w:rPr>
          <w:rFonts w:cs="Arial"/>
          <w:color w:val="auto"/>
          <w:sz w:val="20"/>
          <w:szCs w:val="20"/>
        </w:rPr>
        <w:t>%</w:t>
      </w:r>
      <w:r w:rsidRPr="005A505B">
        <w:rPr>
          <w:rFonts w:cs="Arial"/>
          <w:color w:val="auto"/>
          <w:sz w:val="20"/>
          <w:szCs w:val="20"/>
        </w:rPr>
        <w:t xml:space="preserve">, is allocated to the </w:t>
      </w:r>
      <w:r w:rsidRPr="005A505B">
        <w:rPr>
          <w:rFonts w:cs="Arial"/>
          <w:i/>
          <w:color w:val="auto"/>
          <w:sz w:val="20"/>
          <w:szCs w:val="20"/>
        </w:rPr>
        <w:t>HIV, AIDS and STIs</w:t>
      </w:r>
      <w:r w:rsidRPr="005A505B">
        <w:rPr>
          <w:rFonts w:cs="Arial"/>
          <w:color w:val="auto"/>
          <w:sz w:val="20"/>
          <w:szCs w:val="20"/>
        </w:rPr>
        <w:t xml:space="preserve"> sub-programme, amounting to R24.6 billion in 2022/23. This represents a nominal decrease of 12.8</w:t>
      </w:r>
      <w:r w:rsidR="0034021A" w:rsidRPr="005A505B">
        <w:rPr>
          <w:rFonts w:cs="Arial"/>
          <w:color w:val="auto"/>
          <w:sz w:val="20"/>
          <w:szCs w:val="20"/>
        </w:rPr>
        <w:t>%</w:t>
      </w:r>
      <w:r w:rsidRPr="005A505B">
        <w:rPr>
          <w:rFonts w:cs="Arial"/>
          <w:color w:val="auto"/>
          <w:sz w:val="20"/>
          <w:szCs w:val="20"/>
        </w:rPr>
        <w:t xml:space="preserve"> (a decline of 16.5</w:t>
      </w:r>
      <w:r w:rsidR="0034021A" w:rsidRPr="005A505B">
        <w:rPr>
          <w:rFonts w:cs="Arial"/>
          <w:color w:val="auto"/>
          <w:sz w:val="20"/>
          <w:szCs w:val="20"/>
        </w:rPr>
        <w:t>%</w:t>
      </w:r>
      <w:r w:rsidRPr="005A505B">
        <w:rPr>
          <w:rFonts w:cs="Arial"/>
          <w:color w:val="auto"/>
          <w:sz w:val="20"/>
          <w:szCs w:val="20"/>
        </w:rPr>
        <w:t xml:space="preserve"> in real terms). The HIV programme is a major priority of the Department, and it is concerning to see a decline in real terms in this programme. </w:t>
      </w:r>
    </w:p>
    <w:p w:rsidR="008C29DE" w:rsidRPr="005A505B" w:rsidRDefault="008C29DE" w:rsidP="005A505B">
      <w:pPr>
        <w:jc w:val="both"/>
        <w:rPr>
          <w:rFonts w:cs="Arial"/>
          <w:color w:val="auto"/>
          <w:sz w:val="20"/>
          <w:szCs w:val="20"/>
        </w:rPr>
      </w:pPr>
    </w:p>
    <w:p w:rsidR="008C29DE" w:rsidRPr="005A505B" w:rsidRDefault="008C29DE" w:rsidP="005A505B">
      <w:pPr>
        <w:jc w:val="both"/>
        <w:rPr>
          <w:rFonts w:cs="Arial"/>
          <w:color w:val="auto"/>
          <w:sz w:val="20"/>
          <w:szCs w:val="20"/>
        </w:rPr>
      </w:pPr>
      <w:r w:rsidRPr="005A505B">
        <w:rPr>
          <w:rFonts w:cs="Arial"/>
          <w:color w:val="auto"/>
          <w:sz w:val="20"/>
          <w:szCs w:val="20"/>
        </w:rPr>
        <w:t xml:space="preserve">The </w:t>
      </w:r>
      <w:r w:rsidRPr="005A505B">
        <w:rPr>
          <w:rFonts w:cs="Arial"/>
          <w:bCs/>
          <w:i/>
          <w:color w:val="auto"/>
          <w:sz w:val="20"/>
          <w:szCs w:val="20"/>
        </w:rPr>
        <w:t xml:space="preserve">Communicable Diseases </w:t>
      </w:r>
      <w:r w:rsidRPr="005A505B">
        <w:rPr>
          <w:rFonts w:cs="Arial"/>
          <w:bCs/>
          <w:color w:val="auto"/>
          <w:sz w:val="20"/>
          <w:szCs w:val="20"/>
        </w:rPr>
        <w:t>sub-programme allocation decreases by 70.9</w:t>
      </w:r>
      <w:r w:rsidR="0034021A" w:rsidRPr="005A505B">
        <w:rPr>
          <w:rFonts w:cs="Arial"/>
          <w:bCs/>
          <w:color w:val="auto"/>
          <w:sz w:val="20"/>
          <w:szCs w:val="20"/>
        </w:rPr>
        <w:t>%</w:t>
      </w:r>
      <w:r w:rsidRPr="005A505B">
        <w:rPr>
          <w:rFonts w:cs="Arial"/>
          <w:bCs/>
          <w:color w:val="auto"/>
          <w:sz w:val="20"/>
          <w:szCs w:val="20"/>
        </w:rPr>
        <w:t xml:space="preserve"> </w:t>
      </w:r>
      <w:r w:rsidRPr="005A505B">
        <w:rPr>
          <w:rFonts w:cs="Arial"/>
          <w:color w:val="auto"/>
          <w:sz w:val="20"/>
          <w:szCs w:val="20"/>
        </w:rPr>
        <w:t>(72.1</w:t>
      </w:r>
      <w:r w:rsidR="0034021A" w:rsidRPr="005A505B">
        <w:rPr>
          <w:rFonts w:cs="Arial"/>
          <w:color w:val="auto"/>
          <w:sz w:val="20"/>
          <w:szCs w:val="20"/>
        </w:rPr>
        <w:t>%</w:t>
      </w:r>
      <w:r w:rsidRPr="005A505B">
        <w:rPr>
          <w:rFonts w:cs="Arial"/>
          <w:color w:val="auto"/>
          <w:sz w:val="20"/>
          <w:szCs w:val="20"/>
        </w:rPr>
        <w:t xml:space="preserve"> in real terms) compared to the previous financial year, but experiences an increase compared to prior years, due to COVID-19 interventions and represent 8 </w:t>
      </w:r>
      <w:r w:rsidR="0034021A" w:rsidRPr="005A505B">
        <w:rPr>
          <w:rFonts w:cs="Arial"/>
          <w:color w:val="auto"/>
          <w:sz w:val="20"/>
          <w:szCs w:val="20"/>
        </w:rPr>
        <w:t>%</w:t>
      </w:r>
      <w:r w:rsidRPr="005A505B">
        <w:rPr>
          <w:rFonts w:cs="Arial"/>
          <w:color w:val="auto"/>
          <w:sz w:val="20"/>
          <w:szCs w:val="20"/>
        </w:rPr>
        <w:t xml:space="preserve"> of this programmes budget. It declines from R7.4 billion to R2.2 billion in nominal terms. The remaining six sub-programmes combined receive less than 1</w:t>
      </w:r>
      <w:r w:rsidR="0034021A" w:rsidRPr="005A505B">
        <w:rPr>
          <w:rFonts w:cs="Arial"/>
          <w:color w:val="auto"/>
          <w:sz w:val="20"/>
          <w:szCs w:val="20"/>
        </w:rPr>
        <w:t>%</w:t>
      </w:r>
      <w:r w:rsidRPr="005A505B">
        <w:rPr>
          <w:rFonts w:cs="Arial"/>
          <w:color w:val="auto"/>
          <w:sz w:val="20"/>
          <w:szCs w:val="20"/>
        </w:rPr>
        <w:t xml:space="preserve"> of the programme’s budget. This includes the </w:t>
      </w:r>
      <w:r w:rsidRPr="005A505B">
        <w:rPr>
          <w:rFonts w:cs="Arial"/>
          <w:i/>
          <w:color w:val="auto"/>
          <w:sz w:val="20"/>
          <w:szCs w:val="20"/>
        </w:rPr>
        <w:t>Tuberculosis Management;</w:t>
      </w:r>
      <w:r w:rsidRPr="005A505B">
        <w:rPr>
          <w:rFonts w:cs="Arial"/>
          <w:color w:val="auto"/>
          <w:sz w:val="20"/>
          <w:szCs w:val="20"/>
        </w:rPr>
        <w:t xml:space="preserve"> </w:t>
      </w:r>
      <w:r w:rsidRPr="005A505B">
        <w:rPr>
          <w:rFonts w:cs="Arial"/>
          <w:i/>
          <w:color w:val="auto"/>
          <w:sz w:val="20"/>
          <w:szCs w:val="20"/>
        </w:rPr>
        <w:t>Women’s Maternal and Reproductive Health; Child, Youth and School Health;</w:t>
      </w:r>
      <w:r w:rsidRPr="005A505B">
        <w:rPr>
          <w:rFonts w:cs="Arial"/>
          <w:color w:val="auto"/>
          <w:sz w:val="20"/>
          <w:szCs w:val="20"/>
        </w:rPr>
        <w:t xml:space="preserve"> </w:t>
      </w:r>
      <w:r w:rsidRPr="005A505B">
        <w:rPr>
          <w:rFonts w:cs="Arial"/>
          <w:i/>
          <w:color w:val="auto"/>
          <w:sz w:val="20"/>
          <w:szCs w:val="20"/>
        </w:rPr>
        <w:t xml:space="preserve">Non- communicable Diseases </w:t>
      </w:r>
      <w:r w:rsidRPr="005A505B">
        <w:rPr>
          <w:rFonts w:cs="Arial"/>
          <w:color w:val="auto"/>
          <w:sz w:val="20"/>
          <w:szCs w:val="20"/>
        </w:rPr>
        <w:t xml:space="preserve">(NCDs); and the </w:t>
      </w:r>
      <w:r w:rsidRPr="005A505B">
        <w:rPr>
          <w:rFonts w:cs="Arial"/>
          <w:i/>
          <w:color w:val="auto"/>
          <w:sz w:val="20"/>
          <w:szCs w:val="20"/>
        </w:rPr>
        <w:t>Health Promotion and Nutrition</w:t>
      </w:r>
      <w:r w:rsidRPr="005A505B">
        <w:rPr>
          <w:rFonts w:cs="Arial"/>
          <w:color w:val="auto"/>
          <w:sz w:val="20"/>
          <w:szCs w:val="20"/>
        </w:rPr>
        <w:t xml:space="preserve"> sub-programmes. </w:t>
      </w:r>
    </w:p>
    <w:p w:rsidR="008C29DE" w:rsidRPr="005A505B" w:rsidRDefault="008C29DE" w:rsidP="005A505B">
      <w:pPr>
        <w:jc w:val="both"/>
        <w:rPr>
          <w:rFonts w:cs="Arial"/>
          <w:color w:val="auto"/>
          <w:sz w:val="20"/>
          <w:szCs w:val="20"/>
        </w:rPr>
      </w:pPr>
    </w:p>
    <w:p w:rsidR="008C29DE" w:rsidRPr="005A505B" w:rsidRDefault="008C29DE" w:rsidP="005A505B">
      <w:pPr>
        <w:ind w:left="720"/>
        <w:rPr>
          <w:rFonts w:cs="Arial"/>
          <w:color w:val="auto"/>
          <w:sz w:val="20"/>
          <w:szCs w:val="20"/>
        </w:rPr>
      </w:pPr>
      <w:bookmarkStart w:id="458" w:name="_Toc101435157"/>
      <w:r w:rsidRPr="005A505B">
        <w:rPr>
          <w:rFonts w:cs="Arial"/>
          <w:b/>
          <w:color w:val="auto"/>
          <w:sz w:val="20"/>
          <w:szCs w:val="20"/>
        </w:rPr>
        <w:t>Programme 4: Primary Health Care</w:t>
      </w:r>
      <w:bookmarkEnd w:id="458"/>
      <w:r w:rsidRPr="005A505B">
        <w:rPr>
          <w:rFonts w:cs="Arial"/>
          <w:b/>
          <w:color w:val="auto"/>
          <w:sz w:val="20"/>
          <w:szCs w:val="20"/>
        </w:rPr>
        <w:t xml:space="preserve"> </w:t>
      </w:r>
    </w:p>
    <w:p w:rsidR="008C29DE" w:rsidRPr="005A505B" w:rsidRDefault="008C29DE" w:rsidP="005A505B">
      <w:pPr>
        <w:jc w:val="both"/>
        <w:rPr>
          <w:rFonts w:cs="Arial"/>
          <w:color w:val="auto"/>
          <w:sz w:val="20"/>
          <w:szCs w:val="20"/>
        </w:rPr>
      </w:pPr>
    </w:p>
    <w:p w:rsidR="008C29DE" w:rsidRPr="005A505B" w:rsidRDefault="008C29DE" w:rsidP="005A505B">
      <w:pPr>
        <w:jc w:val="both"/>
        <w:rPr>
          <w:rFonts w:cs="Arial"/>
          <w:color w:val="auto"/>
          <w:sz w:val="20"/>
          <w:szCs w:val="20"/>
        </w:rPr>
      </w:pPr>
      <w:r w:rsidRPr="005A505B">
        <w:rPr>
          <w:rFonts w:cs="Arial"/>
          <w:color w:val="auto"/>
          <w:sz w:val="20"/>
          <w:szCs w:val="20"/>
        </w:rPr>
        <w:t xml:space="preserve">This Programme’s budget increases nearly 20-fold in nominal terms from R250.1 million to R5.2 billion. The </w:t>
      </w:r>
      <w:r w:rsidRPr="005A505B">
        <w:rPr>
          <w:rFonts w:cs="Arial"/>
          <w:i/>
          <w:color w:val="auto"/>
          <w:sz w:val="20"/>
          <w:szCs w:val="20"/>
        </w:rPr>
        <w:t>District Health Services</w:t>
      </w:r>
      <w:r w:rsidRPr="005A505B">
        <w:rPr>
          <w:rFonts w:cs="Arial"/>
          <w:color w:val="auto"/>
          <w:sz w:val="20"/>
          <w:szCs w:val="20"/>
        </w:rPr>
        <w:t xml:space="preserve"> sub-programme increases dramatically from R19 million in the previous year, to R4.9 billion in 2022/23. This is due to the shift of the district health component of the district health programmes grant to this sub-programme from the Programme 3: </w:t>
      </w:r>
      <w:r w:rsidRPr="005A505B">
        <w:rPr>
          <w:rFonts w:cs="Arial"/>
          <w:i/>
          <w:color w:val="auto"/>
          <w:sz w:val="20"/>
          <w:szCs w:val="20"/>
        </w:rPr>
        <w:t>Communicable and Non</w:t>
      </w:r>
      <w:r w:rsidRPr="005A505B">
        <w:rPr>
          <w:rFonts w:ascii="Cambria Math" w:hAnsi="Cambria Math" w:cs="Arial"/>
          <w:i/>
          <w:color w:val="auto"/>
          <w:sz w:val="20"/>
          <w:szCs w:val="20"/>
        </w:rPr>
        <w:t>‐</w:t>
      </w:r>
      <w:r w:rsidRPr="005A505B">
        <w:rPr>
          <w:rFonts w:cs="Arial"/>
          <w:i/>
          <w:color w:val="auto"/>
          <w:sz w:val="20"/>
          <w:szCs w:val="20"/>
        </w:rPr>
        <w:t>communicable Diseases</w:t>
      </w:r>
      <w:r w:rsidRPr="005A505B">
        <w:rPr>
          <w:rFonts w:cs="Arial"/>
          <w:color w:val="auto"/>
          <w:sz w:val="20"/>
          <w:szCs w:val="20"/>
        </w:rPr>
        <w:t>.</w:t>
      </w:r>
    </w:p>
    <w:p w:rsidR="008C29DE" w:rsidRPr="005A505B" w:rsidRDefault="008C29DE" w:rsidP="005A505B">
      <w:pPr>
        <w:jc w:val="both"/>
        <w:rPr>
          <w:rFonts w:cs="Arial"/>
          <w:color w:val="auto"/>
          <w:sz w:val="20"/>
          <w:szCs w:val="20"/>
        </w:rPr>
      </w:pPr>
    </w:p>
    <w:p w:rsidR="008C29DE" w:rsidRPr="005A505B" w:rsidRDefault="008C29DE" w:rsidP="005A505B">
      <w:pPr>
        <w:jc w:val="both"/>
        <w:rPr>
          <w:rFonts w:cs="Arial"/>
          <w:color w:val="auto"/>
          <w:sz w:val="20"/>
          <w:szCs w:val="20"/>
        </w:rPr>
      </w:pPr>
      <w:r w:rsidRPr="005A505B">
        <w:rPr>
          <w:rFonts w:cs="Arial"/>
          <w:i/>
          <w:color w:val="auto"/>
          <w:sz w:val="20"/>
          <w:szCs w:val="20"/>
        </w:rPr>
        <w:t xml:space="preserve">Emergency Medical Services and Trauma </w:t>
      </w:r>
      <w:r w:rsidRPr="005A505B">
        <w:rPr>
          <w:rFonts w:cs="Arial"/>
          <w:color w:val="auto"/>
          <w:sz w:val="20"/>
          <w:szCs w:val="20"/>
        </w:rPr>
        <w:t>increases by 6.3</w:t>
      </w:r>
      <w:r w:rsidR="0034021A" w:rsidRPr="005A505B">
        <w:rPr>
          <w:rFonts w:cs="Arial"/>
          <w:color w:val="auto"/>
          <w:sz w:val="20"/>
          <w:szCs w:val="20"/>
        </w:rPr>
        <w:t>%</w:t>
      </w:r>
      <w:r w:rsidRPr="005A505B">
        <w:rPr>
          <w:rFonts w:cs="Arial"/>
          <w:color w:val="auto"/>
          <w:sz w:val="20"/>
          <w:szCs w:val="20"/>
        </w:rPr>
        <w:t xml:space="preserve"> in nominal terms (or 1.8</w:t>
      </w:r>
      <w:r w:rsidR="0034021A" w:rsidRPr="005A505B">
        <w:rPr>
          <w:rFonts w:cs="Arial"/>
          <w:color w:val="auto"/>
          <w:sz w:val="20"/>
          <w:szCs w:val="20"/>
        </w:rPr>
        <w:t>%</w:t>
      </w:r>
      <w:r w:rsidRPr="005A505B">
        <w:rPr>
          <w:rFonts w:cs="Arial"/>
          <w:color w:val="auto"/>
          <w:sz w:val="20"/>
          <w:szCs w:val="20"/>
        </w:rPr>
        <w:t xml:space="preserve"> in real terms) from R7.9 million in 2021/22 to R8.4 million in 2022/23.</w:t>
      </w:r>
    </w:p>
    <w:p w:rsidR="008C29DE" w:rsidRPr="005A505B" w:rsidRDefault="008C29DE" w:rsidP="005A505B">
      <w:pPr>
        <w:jc w:val="both"/>
        <w:rPr>
          <w:rFonts w:cs="Arial"/>
          <w:color w:val="auto"/>
          <w:sz w:val="20"/>
          <w:szCs w:val="20"/>
        </w:rPr>
      </w:pPr>
    </w:p>
    <w:p w:rsidR="008C29DE" w:rsidRPr="005A505B" w:rsidRDefault="008C29DE" w:rsidP="005A505B">
      <w:pPr>
        <w:ind w:left="720"/>
        <w:rPr>
          <w:rFonts w:cs="Arial"/>
          <w:b/>
          <w:color w:val="auto"/>
          <w:sz w:val="20"/>
          <w:szCs w:val="20"/>
        </w:rPr>
      </w:pPr>
      <w:bookmarkStart w:id="459" w:name="_Toc101435158"/>
      <w:r w:rsidRPr="005A505B">
        <w:rPr>
          <w:rFonts w:cs="Arial"/>
          <w:b/>
          <w:color w:val="auto"/>
          <w:sz w:val="20"/>
          <w:szCs w:val="20"/>
        </w:rPr>
        <w:t>Programme 5: Hospital Systems</w:t>
      </w:r>
      <w:bookmarkEnd w:id="459"/>
      <w:r w:rsidRPr="005A505B">
        <w:rPr>
          <w:rFonts w:cs="Arial"/>
          <w:b/>
          <w:color w:val="auto"/>
          <w:sz w:val="20"/>
          <w:szCs w:val="20"/>
        </w:rPr>
        <w:t xml:space="preserve"> </w:t>
      </w:r>
    </w:p>
    <w:p w:rsidR="00055E21" w:rsidRPr="005A505B" w:rsidRDefault="00055E21" w:rsidP="005A505B">
      <w:pPr>
        <w:ind w:left="720"/>
        <w:rPr>
          <w:rFonts w:cs="Arial"/>
          <w:color w:val="auto"/>
          <w:sz w:val="20"/>
          <w:szCs w:val="20"/>
        </w:rPr>
      </w:pPr>
    </w:p>
    <w:p w:rsidR="008C29DE" w:rsidRPr="005A505B" w:rsidRDefault="008C29DE" w:rsidP="005A505B">
      <w:pPr>
        <w:jc w:val="both"/>
        <w:rPr>
          <w:rFonts w:eastAsiaTheme="majorEastAsia" w:cs="Arial"/>
          <w:bCs/>
          <w:iCs/>
          <w:color w:val="auto"/>
          <w:sz w:val="20"/>
          <w:szCs w:val="20"/>
        </w:rPr>
      </w:pPr>
      <w:r w:rsidRPr="005A505B">
        <w:rPr>
          <w:rFonts w:eastAsiaTheme="majorEastAsia" w:cs="Arial"/>
          <w:bCs/>
          <w:iCs/>
          <w:color w:val="auto"/>
          <w:sz w:val="20"/>
          <w:szCs w:val="20"/>
        </w:rPr>
        <w:t xml:space="preserve">The total budget for Programme 5 grows from R21.1 billion in the </w:t>
      </w:r>
      <w:r w:rsidRPr="005A505B">
        <w:rPr>
          <w:rFonts w:cs="Arial"/>
          <w:color w:val="auto"/>
          <w:sz w:val="20"/>
          <w:szCs w:val="20"/>
        </w:rPr>
        <w:t xml:space="preserve">2021/22 </w:t>
      </w:r>
      <w:r w:rsidRPr="005A505B">
        <w:rPr>
          <w:rFonts w:eastAsiaTheme="majorEastAsia" w:cs="Arial"/>
          <w:bCs/>
          <w:iCs/>
          <w:color w:val="auto"/>
          <w:sz w:val="20"/>
          <w:szCs w:val="20"/>
        </w:rPr>
        <w:t xml:space="preserve">financial year to R22.7 billion in </w:t>
      </w:r>
      <w:r w:rsidRPr="005A505B">
        <w:rPr>
          <w:rFonts w:cs="Arial"/>
          <w:color w:val="auto"/>
          <w:sz w:val="20"/>
          <w:szCs w:val="20"/>
        </w:rPr>
        <w:t>2022/23</w:t>
      </w:r>
      <w:r w:rsidRPr="005A505B">
        <w:rPr>
          <w:rFonts w:eastAsiaTheme="majorEastAsia" w:cs="Arial"/>
          <w:bCs/>
          <w:iCs/>
          <w:color w:val="auto"/>
          <w:sz w:val="20"/>
          <w:szCs w:val="20"/>
        </w:rPr>
        <w:t>. The budget for this programme increases by 7.1</w:t>
      </w:r>
      <w:r w:rsidR="0034021A" w:rsidRPr="005A505B">
        <w:rPr>
          <w:rFonts w:eastAsiaTheme="majorEastAsia" w:cs="Arial"/>
          <w:bCs/>
          <w:iCs/>
          <w:color w:val="auto"/>
          <w:sz w:val="20"/>
          <w:szCs w:val="20"/>
        </w:rPr>
        <w:t>%</w:t>
      </w:r>
      <w:r w:rsidRPr="005A505B">
        <w:rPr>
          <w:rFonts w:eastAsiaTheme="majorEastAsia" w:cs="Arial"/>
          <w:bCs/>
          <w:iCs/>
          <w:color w:val="auto"/>
          <w:sz w:val="20"/>
          <w:szCs w:val="20"/>
        </w:rPr>
        <w:t xml:space="preserve"> in nominal terms and by 2.5</w:t>
      </w:r>
      <w:r w:rsidR="0034021A" w:rsidRPr="005A505B">
        <w:rPr>
          <w:rFonts w:eastAsiaTheme="majorEastAsia" w:cs="Arial"/>
          <w:bCs/>
          <w:iCs/>
          <w:color w:val="auto"/>
          <w:sz w:val="20"/>
          <w:szCs w:val="20"/>
        </w:rPr>
        <w:t>%</w:t>
      </w:r>
      <w:r w:rsidRPr="005A505B">
        <w:rPr>
          <w:rFonts w:eastAsiaTheme="majorEastAsia" w:cs="Arial"/>
          <w:bCs/>
          <w:iCs/>
          <w:color w:val="auto"/>
          <w:sz w:val="20"/>
          <w:szCs w:val="20"/>
        </w:rPr>
        <w:t xml:space="preserve"> in real terms.</w:t>
      </w:r>
    </w:p>
    <w:p w:rsidR="008C29DE" w:rsidRPr="005A505B" w:rsidRDefault="008C29DE" w:rsidP="005A505B">
      <w:pPr>
        <w:jc w:val="both"/>
        <w:rPr>
          <w:rFonts w:eastAsiaTheme="majorEastAsia" w:cs="Arial"/>
          <w:bCs/>
          <w:iCs/>
          <w:color w:val="auto"/>
          <w:sz w:val="20"/>
          <w:szCs w:val="20"/>
        </w:rPr>
      </w:pPr>
    </w:p>
    <w:p w:rsidR="008C29DE" w:rsidRPr="005A505B" w:rsidRDefault="008C29DE" w:rsidP="005A505B">
      <w:pPr>
        <w:jc w:val="both"/>
        <w:rPr>
          <w:rFonts w:eastAsiaTheme="majorEastAsia" w:cs="Arial"/>
          <w:bCs/>
          <w:iCs/>
          <w:color w:val="auto"/>
          <w:sz w:val="20"/>
          <w:szCs w:val="20"/>
        </w:rPr>
      </w:pPr>
      <w:r w:rsidRPr="005A505B">
        <w:rPr>
          <w:rFonts w:eastAsiaTheme="majorEastAsia" w:cs="Arial"/>
          <w:bCs/>
          <w:iCs/>
          <w:color w:val="auto"/>
          <w:sz w:val="20"/>
          <w:szCs w:val="20"/>
        </w:rPr>
        <w:t xml:space="preserve">The </w:t>
      </w:r>
      <w:r w:rsidRPr="005A505B">
        <w:rPr>
          <w:rFonts w:cs="Arial"/>
          <w:color w:val="auto"/>
          <w:sz w:val="20"/>
          <w:szCs w:val="20"/>
        </w:rPr>
        <w:t>2022/23</w:t>
      </w:r>
      <w:r w:rsidRPr="005A505B">
        <w:rPr>
          <w:rFonts w:eastAsiaTheme="majorEastAsia" w:cs="Arial"/>
          <w:bCs/>
          <w:iCs/>
          <w:color w:val="auto"/>
          <w:sz w:val="20"/>
          <w:szCs w:val="20"/>
        </w:rPr>
        <w:t xml:space="preserve"> allocation to the </w:t>
      </w:r>
      <w:r w:rsidRPr="005A505B">
        <w:rPr>
          <w:rFonts w:eastAsiaTheme="majorEastAsia" w:cs="Arial"/>
          <w:bCs/>
          <w:i/>
          <w:iCs/>
          <w:color w:val="auto"/>
          <w:sz w:val="20"/>
          <w:szCs w:val="20"/>
        </w:rPr>
        <w:t>Health Facilities Infrastructure Management</w:t>
      </w:r>
      <w:r w:rsidRPr="005A505B">
        <w:rPr>
          <w:rFonts w:eastAsiaTheme="majorEastAsia" w:cs="Arial"/>
          <w:bCs/>
          <w:iCs/>
          <w:color w:val="auto"/>
          <w:sz w:val="20"/>
          <w:szCs w:val="20"/>
        </w:rPr>
        <w:t xml:space="preserve"> sub-programme increases by 12.6</w:t>
      </w:r>
      <w:r w:rsidR="0034021A" w:rsidRPr="005A505B">
        <w:rPr>
          <w:rFonts w:eastAsiaTheme="majorEastAsia" w:cs="Arial"/>
          <w:bCs/>
          <w:iCs/>
          <w:color w:val="auto"/>
          <w:sz w:val="20"/>
          <w:szCs w:val="20"/>
        </w:rPr>
        <w:t>%</w:t>
      </w:r>
      <w:r w:rsidRPr="005A505B">
        <w:rPr>
          <w:rFonts w:eastAsiaTheme="majorEastAsia" w:cs="Arial"/>
          <w:bCs/>
          <w:iCs/>
          <w:color w:val="auto"/>
          <w:sz w:val="20"/>
          <w:szCs w:val="20"/>
        </w:rPr>
        <w:t xml:space="preserve"> in nominal terms from R7.4 billion in </w:t>
      </w:r>
      <w:r w:rsidRPr="005A505B">
        <w:rPr>
          <w:rFonts w:cs="Arial"/>
          <w:color w:val="auto"/>
          <w:sz w:val="20"/>
          <w:szCs w:val="20"/>
        </w:rPr>
        <w:t xml:space="preserve">2021/22 </w:t>
      </w:r>
      <w:r w:rsidRPr="005A505B">
        <w:rPr>
          <w:rFonts w:eastAsiaTheme="majorEastAsia" w:cs="Arial"/>
          <w:bCs/>
          <w:iCs/>
          <w:color w:val="auto"/>
          <w:sz w:val="20"/>
          <w:szCs w:val="20"/>
        </w:rPr>
        <w:t xml:space="preserve">to R8.3 billion in </w:t>
      </w:r>
      <w:r w:rsidRPr="005A505B">
        <w:rPr>
          <w:rFonts w:cs="Arial"/>
          <w:color w:val="auto"/>
          <w:sz w:val="20"/>
          <w:szCs w:val="20"/>
        </w:rPr>
        <w:t>2022/23</w:t>
      </w:r>
      <w:r w:rsidRPr="005A505B">
        <w:rPr>
          <w:rFonts w:eastAsiaTheme="majorEastAsia" w:cs="Arial"/>
          <w:bCs/>
          <w:iCs/>
          <w:color w:val="auto"/>
          <w:sz w:val="20"/>
          <w:szCs w:val="20"/>
        </w:rPr>
        <w:t xml:space="preserve">, </w:t>
      </w:r>
      <w:r w:rsidRPr="005A505B">
        <w:rPr>
          <w:rFonts w:eastAsiaTheme="majorEastAsia" w:cs="Arial"/>
          <w:bCs/>
          <w:iCs/>
          <w:color w:val="auto"/>
          <w:sz w:val="20"/>
          <w:szCs w:val="20"/>
        </w:rPr>
        <w:lastRenderedPageBreak/>
        <w:t>which is an increase of 7.7</w:t>
      </w:r>
      <w:r w:rsidR="0034021A" w:rsidRPr="005A505B">
        <w:rPr>
          <w:rFonts w:eastAsiaTheme="majorEastAsia" w:cs="Arial"/>
          <w:bCs/>
          <w:iCs/>
          <w:color w:val="auto"/>
          <w:sz w:val="20"/>
          <w:szCs w:val="20"/>
        </w:rPr>
        <w:t>%</w:t>
      </w:r>
      <w:r w:rsidRPr="005A505B">
        <w:rPr>
          <w:rFonts w:eastAsiaTheme="majorEastAsia" w:cs="Arial"/>
          <w:bCs/>
          <w:iCs/>
          <w:color w:val="auto"/>
          <w:sz w:val="20"/>
          <w:szCs w:val="20"/>
        </w:rPr>
        <w:t xml:space="preserve"> in real terms.  The </w:t>
      </w:r>
      <w:r w:rsidRPr="005A505B">
        <w:rPr>
          <w:rFonts w:eastAsiaTheme="majorEastAsia" w:cs="Arial"/>
          <w:bCs/>
          <w:i/>
          <w:iCs/>
          <w:color w:val="auto"/>
          <w:sz w:val="20"/>
          <w:szCs w:val="20"/>
        </w:rPr>
        <w:t>Hospital Systems</w:t>
      </w:r>
      <w:r w:rsidRPr="005A505B">
        <w:rPr>
          <w:rFonts w:eastAsiaTheme="majorEastAsia" w:cs="Arial"/>
          <w:bCs/>
          <w:iCs/>
          <w:color w:val="auto"/>
          <w:sz w:val="20"/>
          <w:szCs w:val="20"/>
        </w:rPr>
        <w:t xml:space="preserve"> sub-programme increases by R595.6 million from R13.7 billion in 2021/22 to R14.3 billion in </w:t>
      </w:r>
      <w:r w:rsidRPr="005A505B">
        <w:rPr>
          <w:rFonts w:cs="Arial"/>
          <w:color w:val="auto"/>
          <w:sz w:val="20"/>
          <w:szCs w:val="20"/>
        </w:rPr>
        <w:t>2022/23</w:t>
      </w:r>
      <w:r w:rsidRPr="005A505B">
        <w:rPr>
          <w:rFonts w:eastAsiaTheme="majorEastAsia" w:cs="Arial"/>
          <w:bCs/>
          <w:iCs/>
          <w:color w:val="auto"/>
          <w:sz w:val="20"/>
          <w:szCs w:val="20"/>
        </w:rPr>
        <w:t>, representing nominal increase of 4.3</w:t>
      </w:r>
      <w:r w:rsidR="0034021A" w:rsidRPr="005A505B">
        <w:rPr>
          <w:rFonts w:eastAsiaTheme="majorEastAsia" w:cs="Arial"/>
          <w:bCs/>
          <w:iCs/>
          <w:color w:val="auto"/>
          <w:sz w:val="20"/>
          <w:szCs w:val="20"/>
        </w:rPr>
        <w:t>%</w:t>
      </w:r>
      <w:r w:rsidRPr="005A505B">
        <w:rPr>
          <w:rFonts w:eastAsiaTheme="majorEastAsia" w:cs="Arial"/>
          <w:bCs/>
          <w:iCs/>
          <w:color w:val="auto"/>
          <w:sz w:val="20"/>
          <w:szCs w:val="20"/>
        </w:rPr>
        <w:t xml:space="preserve"> and a 0.2</w:t>
      </w:r>
      <w:r w:rsidR="0034021A" w:rsidRPr="005A505B">
        <w:rPr>
          <w:rFonts w:eastAsiaTheme="majorEastAsia" w:cs="Arial"/>
          <w:bCs/>
          <w:iCs/>
          <w:color w:val="auto"/>
          <w:sz w:val="20"/>
          <w:szCs w:val="20"/>
        </w:rPr>
        <w:t>%</w:t>
      </w:r>
      <w:r w:rsidRPr="005A505B">
        <w:rPr>
          <w:rFonts w:eastAsiaTheme="majorEastAsia" w:cs="Arial"/>
          <w:bCs/>
          <w:iCs/>
          <w:color w:val="auto"/>
          <w:sz w:val="20"/>
          <w:szCs w:val="20"/>
        </w:rPr>
        <w:t xml:space="preserve"> decline in real terms. 93.2% of programme funding is transferred to provinces via the NTSG and HFRG.</w:t>
      </w:r>
    </w:p>
    <w:p w:rsidR="008C29DE" w:rsidRPr="005A505B" w:rsidRDefault="008C29DE" w:rsidP="005A505B">
      <w:pPr>
        <w:jc w:val="both"/>
        <w:rPr>
          <w:rFonts w:eastAsiaTheme="majorEastAsia" w:cs="Arial"/>
          <w:bCs/>
          <w:iCs/>
          <w:color w:val="auto"/>
          <w:sz w:val="20"/>
          <w:szCs w:val="20"/>
        </w:rPr>
      </w:pPr>
    </w:p>
    <w:p w:rsidR="008C29DE" w:rsidRPr="005A505B" w:rsidRDefault="008C29DE" w:rsidP="005A505B">
      <w:pPr>
        <w:ind w:left="720"/>
        <w:rPr>
          <w:rFonts w:cs="Arial"/>
          <w:color w:val="auto"/>
          <w:sz w:val="20"/>
          <w:szCs w:val="20"/>
        </w:rPr>
      </w:pPr>
      <w:bookmarkStart w:id="460" w:name="_Toc101435159"/>
      <w:r w:rsidRPr="005A505B">
        <w:rPr>
          <w:rFonts w:cs="Arial"/>
          <w:b/>
          <w:color w:val="auto"/>
          <w:sz w:val="20"/>
          <w:szCs w:val="20"/>
        </w:rPr>
        <w:t>Programme 6: Health Systems Governance and Human Resources</w:t>
      </w:r>
      <w:bookmarkEnd w:id="460"/>
    </w:p>
    <w:p w:rsidR="008C29DE" w:rsidRPr="005A505B" w:rsidRDefault="008C29DE" w:rsidP="005A505B">
      <w:pPr>
        <w:jc w:val="both"/>
        <w:rPr>
          <w:rFonts w:cs="Arial"/>
          <w:color w:val="auto"/>
          <w:sz w:val="20"/>
          <w:szCs w:val="20"/>
        </w:rPr>
      </w:pPr>
    </w:p>
    <w:p w:rsidR="008C29DE" w:rsidRPr="005A505B" w:rsidRDefault="008C29DE" w:rsidP="005A505B">
      <w:pPr>
        <w:jc w:val="both"/>
        <w:rPr>
          <w:rFonts w:cs="Arial"/>
          <w:color w:val="auto"/>
          <w:sz w:val="20"/>
          <w:szCs w:val="20"/>
        </w:rPr>
      </w:pPr>
      <w:r w:rsidRPr="005A505B">
        <w:rPr>
          <w:rFonts w:cs="Arial"/>
          <w:color w:val="auto"/>
          <w:sz w:val="20"/>
          <w:szCs w:val="20"/>
        </w:rPr>
        <w:t>Programme 6 increases by 16.9</w:t>
      </w:r>
      <w:r w:rsidR="0034021A" w:rsidRPr="005A505B">
        <w:rPr>
          <w:rFonts w:cs="Arial"/>
          <w:color w:val="auto"/>
          <w:sz w:val="20"/>
          <w:szCs w:val="20"/>
        </w:rPr>
        <w:t>%</w:t>
      </w:r>
      <w:r w:rsidRPr="005A505B">
        <w:rPr>
          <w:rFonts w:cs="Arial"/>
          <w:color w:val="auto"/>
          <w:sz w:val="20"/>
          <w:szCs w:val="20"/>
        </w:rPr>
        <w:t xml:space="preserve"> in nominal terms and by 11.9</w:t>
      </w:r>
      <w:r w:rsidR="0034021A" w:rsidRPr="005A505B">
        <w:rPr>
          <w:rFonts w:cs="Arial"/>
          <w:color w:val="auto"/>
          <w:sz w:val="20"/>
          <w:szCs w:val="20"/>
        </w:rPr>
        <w:t>%</w:t>
      </w:r>
      <w:r w:rsidRPr="005A505B">
        <w:rPr>
          <w:rFonts w:cs="Arial"/>
          <w:color w:val="auto"/>
          <w:sz w:val="20"/>
          <w:szCs w:val="20"/>
        </w:rPr>
        <w:t xml:space="preserve"> in real terms, from R6.4 billion to R7.5 billion in 2022/23. </w:t>
      </w:r>
    </w:p>
    <w:p w:rsidR="008C29DE" w:rsidRPr="005A505B" w:rsidRDefault="008C29DE" w:rsidP="005A505B">
      <w:pPr>
        <w:jc w:val="both"/>
        <w:rPr>
          <w:rFonts w:cs="Arial"/>
          <w:color w:val="auto"/>
          <w:sz w:val="20"/>
          <w:szCs w:val="20"/>
        </w:rPr>
      </w:pPr>
    </w:p>
    <w:p w:rsidR="008C29DE" w:rsidRPr="005A505B" w:rsidRDefault="008C29DE" w:rsidP="005A505B">
      <w:pPr>
        <w:jc w:val="both"/>
        <w:rPr>
          <w:rFonts w:cs="Arial"/>
          <w:color w:val="auto"/>
          <w:sz w:val="20"/>
          <w:szCs w:val="20"/>
        </w:rPr>
      </w:pPr>
      <w:r w:rsidRPr="005A505B">
        <w:rPr>
          <w:rFonts w:cs="Arial"/>
          <w:color w:val="auto"/>
          <w:sz w:val="20"/>
          <w:szCs w:val="20"/>
        </w:rPr>
        <w:t xml:space="preserve">Two sub-programmes dominate expenditure under Programme 6. The </w:t>
      </w:r>
      <w:r w:rsidRPr="005A505B">
        <w:rPr>
          <w:rFonts w:cs="Arial"/>
          <w:i/>
          <w:color w:val="auto"/>
          <w:sz w:val="20"/>
          <w:szCs w:val="20"/>
        </w:rPr>
        <w:t xml:space="preserve">Human Resources for Health </w:t>
      </w:r>
      <w:r w:rsidRPr="005A505B">
        <w:rPr>
          <w:rFonts w:cs="Arial"/>
          <w:color w:val="auto"/>
          <w:sz w:val="20"/>
          <w:szCs w:val="20"/>
        </w:rPr>
        <w:t>sub-programme which receives R5.5 billion, which is an increase of 26.6</w:t>
      </w:r>
      <w:r w:rsidR="0034021A" w:rsidRPr="005A505B">
        <w:rPr>
          <w:rFonts w:cs="Arial"/>
          <w:color w:val="auto"/>
          <w:sz w:val="20"/>
          <w:szCs w:val="20"/>
        </w:rPr>
        <w:t>%</w:t>
      </w:r>
      <w:r w:rsidRPr="005A505B">
        <w:rPr>
          <w:rFonts w:cs="Arial"/>
          <w:color w:val="auto"/>
          <w:sz w:val="20"/>
          <w:szCs w:val="20"/>
        </w:rPr>
        <w:t xml:space="preserve"> in nominal terms from the previous financial year’s total of R4.3 billion. This represents a real increase of 21.1</w:t>
      </w:r>
      <w:r w:rsidR="0034021A" w:rsidRPr="005A505B">
        <w:rPr>
          <w:rFonts w:cs="Arial"/>
          <w:color w:val="auto"/>
          <w:sz w:val="20"/>
          <w:szCs w:val="20"/>
        </w:rPr>
        <w:t>%</w:t>
      </w:r>
      <w:r w:rsidRPr="005A505B">
        <w:rPr>
          <w:rFonts w:cs="Arial"/>
          <w:color w:val="auto"/>
          <w:sz w:val="20"/>
          <w:szCs w:val="20"/>
        </w:rPr>
        <w:t xml:space="preserve">. The </w:t>
      </w:r>
      <w:r w:rsidRPr="005A505B">
        <w:rPr>
          <w:rFonts w:cs="Arial"/>
          <w:i/>
          <w:color w:val="auto"/>
          <w:sz w:val="20"/>
          <w:szCs w:val="20"/>
        </w:rPr>
        <w:t>Public Entities Management</w:t>
      </w:r>
      <w:r w:rsidRPr="005A505B">
        <w:rPr>
          <w:rFonts w:cs="Arial"/>
          <w:color w:val="auto"/>
          <w:sz w:val="20"/>
          <w:szCs w:val="20"/>
        </w:rPr>
        <w:t xml:space="preserve"> sub-programme, receives R1.95 billion, decreasing by 3.4</w:t>
      </w:r>
      <w:r w:rsidR="0034021A" w:rsidRPr="005A505B">
        <w:rPr>
          <w:rFonts w:cs="Arial"/>
          <w:color w:val="auto"/>
          <w:sz w:val="20"/>
          <w:szCs w:val="20"/>
        </w:rPr>
        <w:t>%</w:t>
      </w:r>
      <w:r w:rsidRPr="005A505B">
        <w:rPr>
          <w:rFonts w:cs="Arial"/>
          <w:color w:val="auto"/>
          <w:sz w:val="20"/>
          <w:szCs w:val="20"/>
        </w:rPr>
        <w:t xml:space="preserve"> in nominal terms (i.e. 7.5</w:t>
      </w:r>
      <w:r w:rsidR="0034021A" w:rsidRPr="005A505B">
        <w:rPr>
          <w:rFonts w:cs="Arial"/>
          <w:color w:val="auto"/>
          <w:sz w:val="20"/>
          <w:szCs w:val="20"/>
        </w:rPr>
        <w:t>%</w:t>
      </w:r>
      <w:r w:rsidRPr="005A505B">
        <w:rPr>
          <w:rFonts w:cs="Arial"/>
          <w:color w:val="auto"/>
          <w:sz w:val="20"/>
          <w:szCs w:val="20"/>
        </w:rPr>
        <w:t xml:space="preserve"> decrease in real terms) from the previous year’s allocation of R2.02 billion. </w:t>
      </w:r>
    </w:p>
    <w:p w:rsidR="008C29DE" w:rsidRPr="005A505B" w:rsidRDefault="008C29DE" w:rsidP="005A505B">
      <w:pPr>
        <w:jc w:val="both"/>
        <w:rPr>
          <w:rFonts w:cs="Arial"/>
          <w:color w:val="auto"/>
          <w:sz w:val="20"/>
          <w:szCs w:val="20"/>
        </w:rPr>
      </w:pPr>
    </w:p>
    <w:p w:rsidR="008C29DE" w:rsidRPr="005A505B" w:rsidRDefault="008C29DE" w:rsidP="005A505B">
      <w:pPr>
        <w:jc w:val="both"/>
        <w:rPr>
          <w:rFonts w:cs="Arial"/>
          <w:color w:val="auto"/>
          <w:sz w:val="20"/>
          <w:szCs w:val="20"/>
        </w:rPr>
      </w:pPr>
      <w:r w:rsidRPr="005A505B">
        <w:rPr>
          <w:rFonts w:cs="Arial"/>
          <w:color w:val="auto"/>
          <w:sz w:val="20"/>
          <w:szCs w:val="20"/>
        </w:rPr>
        <w:t>The Nursing Services sub-programme increases by 3.2</w:t>
      </w:r>
      <w:r w:rsidR="0034021A" w:rsidRPr="005A505B">
        <w:rPr>
          <w:rFonts w:cs="Arial"/>
          <w:color w:val="auto"/>
          <w:sz w:val="20"/>
          <w:szCs w:val="20"/>
        </w:rPr>
        <w:t>%</w:t>
      </w:r>
      <w:r w:rsidRPr="005A505B">
        <w:rPr>
          <w:rFonts w:cs="Arial"/>
          <w:color w:val="auto"/>
          <w:sz w:val="20"/>
          <w:szCs w:val="20"/>
        </w:rPr>
        <w:t xml:space="preserve"> in nominal terms from R9.4 million to R9.7 million in 2021/22, a decline of 1.3</w:t>
      </w:r>
      <w:r w:rsidR="0034021A" w:rsidRPr="005A505B">
        <w:rPr>
          <w:rFonts w:cs="Arial"/>
          <w:color w:val="auto"/>
          <w:sz w:val="20"/>
          <w:szCs w:val="20"/>
        </w:rPr>
        <w:t>%</w:t>
      </w:r>
      <w:r w:rsidRPr="005A505B">
        <w:rPr>
          <w:rFonts w:cs="Arial"/>
          <w:color w:val="auto"/>
          <w:sz w:val="20"/>
          <w:szCs w:val="20"/>
        </w:rPr>
        <w:t xml:space="preserve"> in real terms. </w:t>
      </w:r>
    </w:p>
    <w:p w:rsidR="00BE0C40" w:rsidRPr="005A505B" w:rsidRDefault="00BE0C40" w:rsidP="005A505B">
      <w:pPr>
        <w:jc w:val="both"/>
        <w:rPr>
          <w:rFonts w:cs="Arial"/>
          <w:color w:val="auto"/>
          <w:sz w:val="20"/>
          <w:szCs w:val="20"/>
        </w:rPr>
      </w:pPr>
    </w:p>
    <w:p w:rsidR="00BE0C40" w:rsidRPr="005A505B" w:rsidRDefault="00BE0C40" w:rsidP="005A505B">
      <w:pPr>
        <w:rPr>
          <w:rFonts w:cs="Arial"/>
          <w:b/>
          <w:i/>
          <w:color w:val="auto"/>
          <w:sz w:val="20"/>
          <w:szCs w:val="20"/>
        </w:rPr>
      </w:pPr>
      <w:r w:rsidRPr="005A505B">
        <w:rPr>
          <w:rFonts w:cs="Arial"/>
          <w:b/>
          <w:i/>
          <w:color w:val="auto"/>
          <w:sz w:val="20"/>
          <w:szCs w:val="20"/>
        </w:rPr>
        <w:t>2.4.2.4. Conditional Grants</w:t>
      </w:r>
    </w:p>
    <w:p w:rsidR="00BE0C40" w:rsidRPr="005A505B" w:rsidRDefault="00BE0C40" w:rsidP="005A505B">
      <w:pPr>
        <w:jc w:val="both"/>
        <w:rPr>
          <w:rFonts w:cs="Arial"/>
          <w:color w:val="auto"/>
          <w:sz w:val="20"/>
          <w:szCs w:val="20"/>
        </w:rPr>
      </w:pPr>
    </w:p>
    <w:p w:rsidR="00BE0C40" w:rsidRPr="005A505B" w:rsidRDefault="00BE0C40" w:rsidP="005A505B">
      <w:pPr>
        <w:jc w:val="both"/>
        <w:rPr>
          <w:rFonts w:cs="Arial"/>
          <w:color w:val="auto"/>
          <w:sz w:val="20"/>
          <w:szCs w:val="20"/>
        </w:rPr>
      </w:pPr>
      <w:r w:rsidRPr="005A505B">
        <w:rPr>
          <w:rFonts w:cs="Arial"/>
          <w:color w:val="auto"/>
          <w:sz w:val="20"/>
          <w:szCs w:val="20"/>
        </w:rPr>
        <w:t>Tables 4 and 5 below, provide a breakdown of the Conditional Grants</w:t>
      </w:r>
      <w:r w:rsidR="000F06B4" w:rsidRPr="005A505B">
        <w:rPr>
          <w:rFonts w:cs="Arial"/>
          <w:color w:val="auto"/>
          <w:sz w:val="20"/>
          <w:szCs w:val="20"/>
        </w:rPr>
        <w:t>,</w:t>
      </w:r>
      <w:r w:rsidRPr="005A505B">
        <w:rPr>
          <w:rFonts w:cs="Arial"/>
          <w:color w:val="auto"/>
          <w:sz w:val="20"/>
          <w:szCs w:val="20"/>
        </w:rPr>
        <w:t xml:space="preserve"> Direct and Indirect allocations. </w:t>
      </w:r>
    </w:p>
    <w:p w:rsidR="00BE0C40" w:rsidRPr="005A505B" w:rsidRDefault="00BE0C40" w:rsidP="005A505B">
      <w:pPr>
        <w:pStyle w:val="Caption"/>
        <w:keepNext/>
        <w:jc w:val="both"/>
        <w:rPr>
          <w:rFonts w:cs="Arial"/>
          <w:color w:val="auto"/>
        </w:rPr>
      </w:pPr>
    </w:p>
    <w:p w:rsidR="00BE0C40" w:rsidRPr="005A505B" w:rsidRDefault="00BE0C40" w:rsidP="005A505B">
      <w:pPr>
        <w:pStyle w:val="Caption"/>
        <w:keepNext/>
        <w:jc w:val="both"/>
        <w:rPr>
          <w:rFonts w:cs="Arial"/>
          <w:color w:val="auto"/>
        </w:rPr>
      </w:pPr>
      <w:r w:rsidRPr="005A505B">
        <w:rPr>
          <w:rFonts w:cs="Arial"/>
          <w:color w:val="auto"/>
        </w:rPr>
        <w:t>Table 4: Conditional Grants</w:t>
      </w:r>
      <w:r w:rsidRPr="005A505B">
        <w:rPr>
          <w:rFonts w:cs="Arial"/>
          <w:noProof/>
          <w:color w:val="auto"/>
        </w:rPr>
        <w:t xml:space="preserve"> Direct Allocations 2022/23</w:t>
      </w:r>
    </w:p>
    <w:tbl>
      <w:tblPr>
        <w:tblStyle w:val="TableGrid"/>
        <w:tblpPr w:leftFromText="180" w:rightFromText="180" w:vertAnchor="text" w:horzAnchor="margin" w:tblpY="42"/>
        <w:tblW w:w="8926" w:type="dxa"/>
        <w:tblLook w:val="04A0"/>
      </w:tblPr>
      <w:tblGrid>
        <w:gridCol w:w="6516"/>
        <w:gridCol w:w="2410"/>
      </w:tblGrid>
      <w:tr w:rsidR="00BE0C40" w:rsidRPr="005A505B" w:rsidTr="00267B0A">
        <w:tc>
          <w:tcPr>
            <w:tcW w:w="6516" w:type="dxa"/>
            <w:shd w:val="clear" w:color="auto" w:fill="DAEEF3" w:themeFill="accent5" w:themeFillTint="33"/>
          </w:tcPr>
          <w:p w:rsidR="00BE0C40" w:rsidRPr="005A505B" w:rsidRDefault="00BE0C40" w:rsidP="005A505B">
            <w:pPr>
              <w:jc w:val="both"/>
              <w:rPr>
                <w:rFonts w:cs="Arial"/>
                <w:b/>
                <w:color w:val="auto"/>
                <w:sz w:val="20"/>
                <w:szCs w:val="20"/>
              </w:rPr>
            </w:pPr>
            <w:r w:rsidRPr="005A505B">
              <w:rPr>
                <w:rFonts w:cs="Arial"/>
                <w:b/>
                <w:color w:val="auto"/>
                <w:sz w:val="20"/>
                <w:szCs w:val="20"/>
              </w:rPr>
              <w:t xml:space="preserve">Direct Conditional Grants to Provinces </w:t>
            </w:r>
          </w:p>
        </w:tc>
        <w:tc>
          <w:tcPr>
            <w:tcW w:w="2410" w:type="dxa"/>
            <w:shd w:val="clear" w:color="auto" w:fill="DAEEF3" w:themeFill="accent5" w:themeFillTint="33"/>
          </w:tcPr>
          <w:p w:rsidR="00BE0C40" w:rsidRPr="005A505B" w:rsidRDefault="00BE0C40" w:rsidP="005A505B">
            <w:pPr>
              <w:jc w:val="both"/>
              <w:rPr>
                <w:rFonts w:cs="Arial"/>
                <w:b/>
                <w:color w:val="auto"/>
                <w:sz w:val="20"/>
                <w:szCs w:val="20"/>
              </w:rPr>
            </w:pPr>
            <w:r w:rsidRPr="005A505B">
              <w:rPr>
                <w:rFonts w:cs="Arial"/>
                <w:b/>
                <w:color w:val="auto"/>
                <w:sz w:val="20"/>
                <w:szCs w:val="20"/>
              </w:rPr>
              <w:t>R million</w:t>
            </w:r>
          </w:p>
        </w:tc>
      </w:tr>
      <w:tr w:rsidR="00BE0C40" w:rsidRPr="005A505B" w:rsidTr="00267B0A">
        <w:tc>
          <w:tcPr>
            <w:tcW w:w="6516" w:type="dxa"/>
            <w:shd w:val="clear" w:color="auto" w:fill="DAEEF3" w:themeFill="accent5" w:themeFillTint="33"/>
          </w:tcPr>
          <w:p w:rsidR="00BE0C40" w:rsidRPr="005A505B" w:rsidRDefault="00BE0C40" w:rsidP="005A505B">
            <w:pPr>
              <w:jc w:val="both"/>
              <w:rPr>
                <w:rFonts w:cs="Arial"/>
                <w:b/>
                <w:color w:val="auto"/>
                <w:sz w:val="20"/>
                <w:szCs w:val="20"/>
              </w:rPr>
            </w:pPr>
            <w:r w:rsidRPr="005A505B">
              <w:rPr>
                <w:rFonts w:cs="Arial"/>
                <w:b/>
                <w:color w:val="auto"/>
                <w:sz w:val="20"/>
                <w:szCs w:val="20"/>
              </w:rPr>
              <w:t>Schedule 4, Part A</w:t>
            </w:r>
          </w:p>
        </w:tc>
        <w:tc>
          <w:tcPr>
            <w:tcW w:w="2410" w:type="dxa"/>
            <w:shd w:val="clear" w:color="auto" w:fill="DAEEF3" w:themeFill="accent5" w:themeFillTint="33"/>
          </w:tcPr>
          <w:p w:rsidR="00BE0C40" w:rsidRPr="005A505B" w:rsidRDefault="00BE0C40" w:rsidP="005A505B">
            <w:pPr>
              <w:jc w:val="both"/>
              <w:rPr>
                <w:rFonts w:cs="Arial"/>
                <w:b/>
                <w:color w:val="auto"/>
                <w:sz w:val="20"/>
                <w:szCs w:val="20"/>
              </w:rPr>
            </w:pPr>
          </w:p>
        </w:tc>
      </w:tr>
      <w:tr w:rsidR="00BE0C40" w:rsidRPr="005A505B" w:rsidTr="00267B0A">
        <w:tc>
          <w:tcPr>
            <w:tcW w:w="6516" w:type="dxa"/>
            <w:shd w:val="clear" w:color="auto" w:fill="auto"/>
          </w:tcPr>
          <w:p w:rsidR="00BE0C40" w:rsidRPr="005A505B" w:rsidRDefault="00BE0C40" w:rsidP="005A505B">
            <w:pPr>
              <w:jc w:val="both"/>
              <w:rPr>
                <w:rFonts w:cs="Arial"/>
                <w:b/>
                <w:color w:val="auto"/>
                <w:sz w:val="20"/>
                <w:szCs w:val="20"/>
              </w:rPr>
            </w:pPr>
            <w:r w:rsidRPr="005A505B">
              <w:rPr>
                <w:rFonts w:cs="Arial"/>
                <w:color w:val="auto"/>
                <w:sz w:val="20"/>
                <w:szCs w:val="20"/>
              </w:rPr>
              <w:t xml:space="preserve">National Tertiary Services Grant </w:t>
            </w:r>
          </w:p>
        </w:tc>
        <w:tc>
          <w:tcPr>
            <w:tcW w:w="2410" w:type="dxa"/>
            <w:shd w:val="clear" w:color="auto" w:fill="auto"/>
          </w:tcPr>
          <w:p w:rsidR="00BE0C40" w:rsidRPr="005A505B" w:rsidRDefault="00BE0C40" w:rsidP="005A505B">
            <w:pPr>
              <w:jc w:val="both"/>
              <w:rPr>
                <w:rFonts w:cs="Arial"/>
                <w:color w:val="auto"/>
                <w:sz w:val="20"/>
                <w:szCs w:val="20"/>
              </w:rPr>
            </w:pPr>
            <w:r w:rsidRPr="005A505B">
              <w:rPr>
                <w:rFonts w:cs="Arial"/>
                <w:color w:val="auto"/>
                <w:sz w:val="20"/>
                <w:szCs w:val="20"/>
              </w:rPr>
              <w:t>14 306.1</w:t>
            </w:r>
          </w:p>
        </w:tc>
      </w:tr>
      <w:tr w:rsidR="00BE0C40" w:rsidRPr="005A505B" w:rsidTr="00267B0A">
        <w:tc>
          <w:tcPr>
            <w:tcW w:w="6516" w:type="dxa"/>
            <w:shd w:val="clear" w:color="auto" w:fill="auto"/>
          </w:tcPr>
          <w:p w:rsidR="00BE0C40" w:rsidRPr="005A505B" w:rsidRDefault="00BE0C40" w:rsidP="005A505B">
            <w:pPr>
              <w:jc w:val="both"/>
              <w:rPr>
                <w:rFonts w:cs="Arial"/>
                <w:b/>
                <w:color w:val="auto"/>
                <w:sz w:val="20"/>
                <w:szCs w:val="20"/>
              </w:rPr>
            </w:pPr>
            <w:r w:rsidRPr="005A505B">
              <w:rPr>
                <w:rFonts w:cs="Arial"/>
                <w:b/>
                <w:color w:val="auto"/>
                <w:sz w:val="20"/>
                <w:szCs w:val="20"/>
              </w:rPr>
              <w:t>Schedule 5, Part A</w:t>
            </w:r>
          </w:p>
        </w:tc>
        <w:tc>
          <w:tcPr>
            <w:tcW w:w="2410" w:type="dxa"/>
            <w:shd w:val="clear" w:color="auto" w:fill="auto"/>
          </w:tcPr>
          <w:p w:rsidR="00BE0C40" w:rsidRPr="005A505B" w:rsidRDefault="00BE0C40" w:rsidP="005A505B">
            <w:pPr>
              <w:jc w:val="both"/>
              <w:rPr>
                <w:rFonts w:cs="Arial"/>
                <w:color w:val="auto"/>
                <w:sz w:val="20"/>
                <w:szCs w:val="20"/>
              </w:rPr>
            </w:pPr>
          </w:p>
        </w:tc>
      </w:tr>
      <w:tr w:rsidR="00BE0C40" w:rsidRPr="005A505B" w:rsidTr="00267B0A">
        <w:tc>
          <w:tcPr>
            <w:tcW w:w="6516" w:type="dxa"/>
            <w:shd w:val="clear" w:color="auto" w:fill="auto"/>
          </w:tcPr>
          <w:p w:rsidR="00BE0C40" w:rsidRPr="005A505B" w:rsidRDefault="00BE0C40" w:rsidP="005A505B">
            <w:pPr>
              <w:jc w:val="both"/>
              <w:rPr>
                <w:rFonts w:cs="Arial"/>
                <w:color w:val="auto"/>
                <w:sz w:val="20"/>
                <w:szCs w:val="20"/>
              </w:rPr>
            </w:pPr>
            <w:r w:rsidRPr="005A505B">
              <w:rPr>
                <w:rFonts w:cs="Arial"/>
                <w:color w:val="auto"/>
                <w:sz w:val="20"/>
                <w:szCs w:val="20"/>
              </w:rPr>
              <w:t>District Health Programmes Grant</w:t>
            </w:r>
          </w:p>
        </w:tc>
        <w:tc>
          <w:tcPr>
            <w:tcW w:w="2410" w:type="dxa"/>
          </w:tcPr>
          <w:p w:rsidR="00BE0C40" w:rsidRPr="005A505B" w:rsidRDefault="00BE0C40" w:rsidP="005A505B">
            <w:pPr>
              <w:jc w:val="both"/>
              <w:rPr>
                <w:rFonts w:cs="Arial"/>
                <w:color w:val="auto"/>
                <w:sz w:val="20"/>
                <w:szCs w:val="20"/>
              </w:rPr>
            </w:pPr>
            <w:r w:rsidRPr="005A505B">
              <w:rPr>
                <w:rFonts w:cs="Arial"/>
                <w:color w:val="auto"/>
                <w:sz w:val="20"/>
                <w:szCs w:val="20"/>
              </w:rPr>
              <w:t>29 023.1</w:t>
            </w:r>
          </w:p>
        </w:tc>
      </w:tr>
      <w:tr w:rsidR="00BE0C40" w:rsidRPr="005A505B" w:rsidTr="00267B0A">
        <w:tc>
          <w:tcPr>
            <w:tcW w:w="6516" w:type="dxa"/>
            <w:shd w:val="clear" w:color="auto" w:fill="auto"/>
          </w:tcPr>
          <w:p w:rsidR="00BE0C40" w:rsidRPr="005A505B" w:rsidRDefault="00BE0C40" w:rsidP="005A505B">
            <w:pPr>
              <w:jc w:val="both"/>
              <w:rPr>
                <w:rFonts w:cs="Arial"/>
                <w:color w:val="auto"/>
                <w:sz w:val="20"/>
                <w:szCs w:val="20"/>
              </w:rPr>
            </w:pPr>
            <w:r w:rsidRPr="005A505B">
              <w:rPr>
                <w:rFonts w:cs="Arial"/>
                <w:color w:val="auto"/>
                <w:sz w:val="20"/>
                <w:szCs w:val="20"/>
              </w:rPr>
              <w:t xml:space="preserve">Health Facility Revitalisation Grant </w:t>
            </w:r>
          </w:p>
        </w:tc>
        <w:tc>
          <w:tcPr>
            <w:tcW w:w="2410" w:type="dxa"/>
          </w:tcPr>
          <w:p w:rsidR="00BE0C40" w:rsidRPr="005A505B" w:rsidRDefault="00BE0C40" w:rsidP="005A505B">
            <w:pPr>
              <w:jc w:val="both"/>
              <w:rPr>
                <w:rFonts w:cs="Arial"/>
                <w:color w:val="auto"/>
                <w:sz w:val="20"/>
                <w:szCs w:val="20"/>
              </w:rPr>
            </w:pPr>
            <w:r w:rsidRPr="005A505B">
              <w:rPr>
                <w:rFonts w:cs="Arial"/>
                <w:color w:val="auto"/>
                <w:sz w:val="20"/>
                <w:szCs w:val="20"/>
              </w:rPr>
              <w:t>6 779.6</w:t>
            </w:r>
          </w:p>
        </w:tc>
      </w:tr>
      <w:tr w:rsidR="00BE0C40" w:rsidRPr="005A505B" w:rsidTr="00267B0A">
        <w:tc>
          <w:tcPr>
            <w:tcW w:w="6516" w:type="dxa"/>
            <w:shd w:val="clear" w:color="auto" w:fill="auto"/>
          </w:tcPr>
          <w:p w:rsidR="00BE0C40" w:rsidRPr="005A505B" w:rsidRDefault="00BE0C40" w:rsidP="005A505B">
            <w:pPr>
              <w:jc w:val="both"/>
              <w:rPr>
                <w:rFonts w:cs="Arial"/>
                <w:color w:val="auto"/>
                <w:sz w:val="20"/>
                <w:szCs w:val="20"/>
              </w:rPr>
            </w:pPr>
            <w:r w:rsidRPr="005A505B">
              <w:rPr>
                <w:rFonts w:cs="Arial"/>
                <w:color w:val="auto"/>
                <w:sz w:val="20"/>
                <w:szCs w:val="20"/>
              </w:rPr>
              <w:t>Human Resources and Training Grant</w:t>
            </w:r>
          </w:p>
        </w:tc>
        <w:tc>
          <w:tcPr>
            <w:tcW w:w="2410" w:type="dxa"/>
          </w:tcPr>
          <w:p w:rsidR="00BE0C40" w:rsidRPr="005A505B" w:rsidRDefault="00BE0C40" w:rsidP="005A505B">
            <w:pPr>
              <w:jc w:val="both"/>
              <w:rPr>
                <w:rFonts w:cs="Arial"/>
                <w:color w:val="auto"/>
                <w:sz w:val="20"/>
                <w:szCs w:val="20"/>
              </w:rPr>
            </w:pPr>
            <w:r w:rsidRPr="005A505B">
              <w:rPr>
                <w:rFonts w:cs="Arial"/>
                <w:color w:val="auto"/>
                <w:sz w:val="20"/>
                <w:szCs w:val="20"/>
              </w:rPr>
              <w:t>5 449.1</w:t>
            </w:r>
          </w:p>
        </w:tc>
      </w:tr>
      <w:tr w:rsidR="00BE0C40" w:rsidRPr="005A505B" w:rsidTr="00267B0A">
        <w:tc>
          <w:tcPr>
            <w:tcW w:w="6516" w:type="dxa"/>
            <w:shd w:val="clear" w:color="auto" w:fill="auto"/>
          </w:tcPr>
          <w:p w:rsidR="00BE0C40" w:rsidRPr="005A505B" w:rsidRDefault="00BE0C40" w:rsidP="005A505B">
            <w:pPr>
              <w:jc w:val="both"/>
              <w:rPr>
                <w:rFonts w:cs="Arial"/>
                <w:color w:val="auto"/>
                <w:sz w:val="20"/>
                <w:szCs w:val="20"/>
              </w:rPr>
            </w:pPr>
            <w:r w:rsidRPr="005A505B">
              <w:rPr>
                <w:rFonts w:cs="Arial"/>
                <w:color w:val="auto"/>
                <w:sz w:val="20"/>
                <w:szCs w:val="20"/>
              </w:rPr>
              <w:t xml:space="preserve">National Health Insurance </w:t>
            </w:r>
          </w:p>
        </w:tc>
        <w:tc>
          <w:tcPr>
            <w:tcW w:w="2410" w:type="dxa"/>
          </w:tcPr>
          <w:p w:rsidR="00BE0C40" w:rsidRPr="005A505B" w:rsidRDefault="00BE0C40" w:rsidP="005A505B">
            <w:pPr>
              <w:jc w:val="both"/>
              <w:rPr>
                <w:rFonts w:cs="Arial"/>
                <w:color w:val="auto"/>
                <w:sz w:val="20"/>
                <w:szCs w:val="20"/>
              </w:rPr>
            </w:pPr>
            <w:r w:rsidRPr="005A505B">
              <w:rPr>
                <w:rFonts w:cs="Arial"/>
                <w:color w:val="auto"/>
                <w:sz w:val="20"/>
                <w:szCs w:val="20"/>
              </w:rPr>
              <w:t>693.8</w:t>
            </w:r>
          </w:p>
        </w:tc>
      </w:tr>
      <w:tr w:rsidR="00BE0C40" w:rsidRPr="005A505B" w:rsidTr="00267B0A">
        <w:tc>
          <w:tcPr>
            <w:tcW w:w="6516" w:type="dxa"/>
            <w:shd w:val="clear" w:color="auto" w:fill="auto"/>
          </w:tcPr>
          <w:p w:rsidR="00BE0C40" w:rsidRPr="005A505B" w:rsidRDefault="00BE0C40" w:rsidP="005A505B">
            <w:pPr>
              <w:jc w:val="both"/>
              <w:rPr>
                <w:rFonts w:cs="Arial"/>
                <w:b/>
                <w:color w:val="auto"/>
                <w:sz w:val="20"/>
                <w:szCs w:val="20"/>
              </w:rPr>
            </w:pPr>
            <w:r w:rsidRPr="005A505B">
              <w:rPr>
                <w:rFonts w:cs="Arial"/>
                <w:b/>
                <w:color w:val="auto"/>
                <w:sz w:val="20"/>
                <w:szCs w:val="20"/>
              </w:rPr>
              <w:t xml:space="preserve">Total </w:t>
            </w:r>
          </w:p>
        </w:tc>
        <w:tc>
          <w:tcPr>
            <w:tcW w:w="2410" w:type="dxa"/>
          </w:tcPr>
          <w:p w:rsidR="00BE0C40" w:rsidRPr="005A505B" w:rsidRDefault="00BE0C40" w:rsidP="005A505B">
            <w:pPr>
              <w:jc w:val="both"/>
              <w:rPr>
                <w:rFonts w:cs="Arial"/>
                <w:b/>
                <w:color w:val="auto"/>
                <w:sz w:val="20"/>
                <w:szCs w:val="20"/>
              </w:rPr>
            </w:pPr>
            <w:r w:rsidRPr="005A505B">
              <w:rPr>
                <w:rFonts w:cs="Arial"/>
                <w:b/>
                <w:color w:val="auto"/>
                <w:sz w:val="20"/>
                <w:szCs w:val="20"/>
              </w:rPr>
              <w:t>56 251.7</w:t>
            </w:r>
          </w:p>
        </w:tc>
      </w:tr>
    </w:tbl>
    <w:p w:rsidR="00BE0C40" w:rsidRPr="005A505B" w:rsidRDefault="00BE0C40" w:rsidP="005A505B">
      <w:pPr>
        <w:jc w:val="both"/>
        <w:rPr>
          <w:rFonts w:cs="Arial"/>
          <w:color w:val="auto"/>
          <w:sz w:val="20"/>
          <w:szCs w:val="20"/>
        </w:rPr>
      </w:pPr>
    </w:p>
    <w:p w:rsidR="00BE0C40" w:rsidRPr="005A505B" w:rsidRDefault="00BE0C40" w:rsidP="005A505B">
      <w:pPr>
        <w:jc w:val="both"/>
        <w:rPr>
          <w:rFonts w:cs="Arial"/>
          <w:color w:val="auto"/>
          <w:sz w:val="20"/>
          <w:szCs w:val="20"/>
        </w:rPr>
      </w:pPr>
      <w:r w:rsidRPr="005A505B">
        <w:rPr>
          <w:rFonts w:cs="Arial"/>
          <w:color w:val="auto"/>
          <w:sz w:val="20"/>
          <w:szCs w:val="20"/>
        </w:rPr>
        <w:t xml:space="preserve">In terms of direct grants, the Department administers R56.3 billion in 2022/23. The largest grant is the </w:t>
      </w:r>
      <w:r w:rsidRPr="005A505B">
        <w:rPr>
          <w:rFonts w:cs="Arial"/>
          <w:i/>
          <w:color w:val="auto"/>
          <w:sz w:val="20"/>
          <w:szCs w:val="20"/>
        </w:rPr>
        <w:t>District Health Programmes</w:t>
      </w:r>
      <w:r w:rsidRPr="005A505B">
        <w:rPr>
          <w:rFonts w:cs="Arial"/>
          <w:color w:val="auto"/>
          <w:sz w:val="20"/>
          <w:szCs w:val="20"/>
        </w:rPr>
        <w:t xml:space="preserve"> </w:t>
      </w:r>
      <w:r w:rsidRPr="005A505B">
        <w:rPr>
          <w:rFonts w:cs="Arial"/>
          <w:i/>
          <w:color w:val="auto"/>
          <w:sz w:val="20"/>
          <w:szCs w:val="20"/>
        </w:rPr>
        <w:t>Grant</w:t>
      </w:r>
      <w:r w:rsidRPr="005A505B">
        <w:rPr>
          <w:rFonts w:cs="Arial"/>
          <w:color w:val="auto"/>
          <w:sz w:val="20"/>
          <w:szCs w:val="20"/>
        </w:rPr>
        <w:t xml:space="preserve">, which receives R29.1 billion, followed by the </w:t>
      </w:r>
      <w:r w:rsidRPr="005A505B">
        <w:rPr>
          <w:rFonts w:cs="Arial"/>
          <w:i/>
          <w:color w:val="auto"/>
          <w:sz w:val="20"/>
          <w:szCs w:val="20"/>
        </w:rPr>
        <w:t>National Tertiary Services Grant (NTSG)</w:t>
      </w:r>
      <w:r w:rsidRPr="005A505B">
        <w:rPr>
          <w:rFonts w:cs="Arial"/>
          <w:color w:val="auto"/>
          <w:sz w:val="20"/>
          <w:szCs w:val="20"/>
        </w:rPr>
        <w:t xml:space="preserve"> with R14.3 billion, and the </w:t>
      </w:r>
      <w:r w:rsidRPr="005A505B">
        <w:rPr>
          <w:rFonts w:cs="Arial"/>
          <w:i/>
          <w:color w:val="auto"/>
          <w:sz w:val="20"/>
          <w:szCs w:val="20"/>
        </w:rPr>
        <w:t>Health Facility Revitalisation Grant</w:t>
      </w:r>
      <w:r w:rsidRPr="005A505B">
        <w:rPr>
          <w:rFonts w:cs="Arial"/>
          <w:color w:val="auto"/>
          <w:sz w:val="20"/>
          <w:szCs w:val="20"/>
        </w:rPr>
        <w:t xml:space="preserve"> with R6.8 billion.</w:t>
      </w:r>
    </w:p>
    <w:p w:rsidR="00BE0C40" w:rsidRPr="005A505B" w:rsidRDefault="00BE0C40" w:rsidP="005A505B">
      <w:pPr>
        <w:jc w:val="both"/>
        <w:rPr>
          <w:rFonts w:cs="Arial"/>
          <w:color w:val="auto"/>
          <w:sz w:val="20"/>
          <w:szCs w:val="20"/>
        </w:rPr>
      </w:pPr>
      <w:r w:rsidRPr="005A505B">
        <w:rPr>
          <w:rFonts w:cs="Arial"/>
          <w:color w:val="auto"/>
          <w:sz w:val="20"/>
          <w:szCs w:val="20"/>
        </w:rPr>
        <w:t xml:space="preserve"> </w:t>
      </w:r>
    </w:p>
    <w:p w:rsidR="00BE0C40" w:rsidRPr="005A505B" w:rsidRDefault="00BE0C40" w:rsidP="005A505B">
      <w:pPr>
        <w:jc w:val="both"/>
        <w:rPr>
          <w:rFonts w:cs="Arial"/>
          <w:color w:val="auto"/>
          <w:sz w:val="20"/>
          <w:szCs w:val="20"/>
        </w:rPr>
      </w:pPr>
      <w:r w:rsidRPr="005A505B">
        <w:rPr>
          <w:rFonts w:cs="Arial"/>
          <w:color w:val="auto"/>
          <w:sz w:val="20"/>
          <w:szCs w:val="20"/>
        </w:rPr>
        <w:t xml:space="preserve">With regard to the indirect grants, the </w:t>
      </w:r>
      <w:r w:rsidRPr="005A505B">
        <w:rPr>
          <w:rFonts w:cs="Arial"/>
          <w:i/>
          <w:color w:val="auto"/>
          <w:sz w:val="20"/>
          <w:szCs w:val="20"/>
        </w:rPr>
        <w:t>National Health Insurance Indirect Grant</w:t>
      </w:r>
      <w:r w:rsidRPr="005A505B">
        <w:rPr>
          <w:rFonts w:cs="Arial"/>
          <w:color w:val="auto"/>
          <w:sz w:val="20"/>
          <w:szCs w:val="20"/>
        </w:rPr>
        <w:t xml:space="preserve"> is allocated R2.2 billion. </w:t>
      </w:r>
    </w:p>
    <w:p w:rsidR="00BE0C40" w:rsidRPr="005A505B" w:rsidRDefault="00BE0C40" w:rsidP="005A505B">
      <w:pPr>
        <w:jc w:val="both"/>
        <w:rPr>
          <w:rFonts w:cs="Arial"/>
          <w:color w:val="auto"/>
          <w:sz w:val="20"/>
          <w:szCs w:val="20"/>
        </w:rPr>
      </w:pPr>
    </w:p>
    <w:tbl>
      <w:tblPr>
        <w:tblStyle w:val="TableGrid"/>
        <w:tblpPr w:leftFromText="180" w:rightFromText="180" w:vertAnchor="text" w:horzAnchor="margin" w:tblpY="389"/>
        <w:tblW w:w="0" w:type="auto"/>
        <w:tblLook w:val="04A0"/>
      </w:tblPr>
      <w:tblGrid>
        <w:gridCol w:w="6516"/>
        <w:gridCol w:w="2382"/>
      </w:tblGrid>
      <w:tr w:rsidR="00BE0C40" w:rsidRPr="005A505B" w:rsidTr="002E66DA">
        <w:tc>
          <w:tcPr>
            <w:tcW w:w="6516" w:type="dxa"/>
            <w:shd w:val="clear" w:color="auto" w:fill="DAEEF3" w:themeFill="accent5" w:themeFillTint="33"/>
          </w:tcPr>
          <w:p w:rsidR="00BE0C40" w:rsidRPr="005A505B" w:rsidRDefault="00BE0C40" w:rsidP="005A505B">
            <w:pPr>
              <w:jc w:val="both"/>
              <w:rPr>
                <w:rFonts w:cs="Arial"/>
                <w:b/>
                <w:color w:val="auto"/>
                <w:sz w:val="20"/>
                <w:szCs w:val="20"/>
              </w:rPr>
            </w:pPr>
            <w:r w:rsidRPr="005A505B">
              <w:rPr>
                <w:rFonts w:cs="Arial"/>
                <w:b/>
                <w:color w:val="auto"/>
                <w:sz w:val="20"/>
                <w:szCs w:val="20"/>
              </w:rPr>
              <w:t xml:space="preserve">Conditional Grants Indirect Allocations </w:t>
            </w:r>
          </w:p>
        </w:tc>
        <w:tc>
          <w:tcPr>
            <w:tcW w:w="2382" w:type="dxa"/>
            <w:shd w:val="clear" w:color="auto" w:fill="DAEEF3" w:themeFill="accent5" w:themeFillTint="33"/>
          </w:tcPr>
          <w:p w:rsidR="00BE0C40" w:rsidRPr="005A505B" w:rsidRDefault="00BE0C40" w:rsidP="005A505B">
            <w:pPr>
              <w:jc w:val="both"/>
              <w:rPr>
                <w:rFonts w:cs="Arial"/>
                <w:b/>
                <w:color w:val="auto"/>
                <w:sz w:val="20"/>
                <w:szCs w:val="20"/>
              </w:rPr>
            </w:pPr>
            <w:r w:rsidRPr="005A505B">
              <w:rPr>
                <w:rFonts w:cs="Arial"/>
                <w:b/>
                <w:color w:val="auto"/>
                <w:sz w:val="20"/>
                <w:szCs w:val="20"/>
              </w:rPr>
              <w:t xml:space="preserve">R million </w:t>
            </w:r>
          </w:p>
        </w:tc>
      </w:tr>
      <w:tr w:rsidR="00BE0C40" w:rsidRPr="005A505B" w:rsidTr="002E66DA">
        <w:tc>
          <w:tcPr>
            <w:tcW w:w="6516" w:type="dxa"/>
            <w:shd w:val="clear" w:color="auto" w:fill="DAEEF3" w:themeFill="accent5" w:themeFillTint="33"/>
          </w:tcPr>
          <w:p w:rsidR="00BE0C40" w:rsidRPr="005A505B" w:rsidRDefault="00BE0C40" w:rsidP="005A505B">
            <w:pPr>
              <w:jc w:val="both"/>
              <w:rPr>
                <w:rFonts w:cs="Arial"/>
                <w:b/>
                <w:color w:val="auto"/>
                <w:sz w:val="20"/>
                <w:szCs w:val="20"/>
              </w:rPr>
            </w:pPr>
            <w:r w:rsidRPr="005A505B">
              <w:rPr>
                <w:rFonts w:cs="Arial"/>
                <w:b/>
                <w:color w:val="auto"/>
                <w:sz w:val="20"/>
                <w:szCs w:val="20"/>
              </w:rPr>
              <w:t>Schedule 6, Part A</w:t>
            </w:r>
          </w:p>
        </w:tc>
        <w:tc>
          <w:tcPr>
            <w:tcW w:w="2382" w:type="dxa"/>
            <w:shd w:val="clear" w:color="auto" w:fill="DAEEF3" w:themeFill="accent5" w:themeFillTint="33"/>
          </w:tcPr>
          <w:p w:rsidR="00BE0C40" w:rsidRPr="005A505B" w:rsidRDefault="00BE0C40" w:rsidP="005A505B">
            <w:pPr>
              <w:jc w:val="both"/>
              <w:rPr>
                <w:rFonts w:cs="Arial"/>
                <w:color w:val="auto"/>
                <w:sz w:val="20"/>
                <w:szCs w:val="20"/>
              </w:rPr>
            </w:pPr>
          </w:p>
        </w:tc>
      </w:tr>
      <w:tr w:rsidR="00BE0C40" w:rsidRPr="005A505B" w:rsidTr="002E66DA">
        <w:tc>
          <w:tcPr>
            <w:tcW w:w="6516" w:type="dxa"/>
            <w:shd w:val="clear" w:color="auto" w:fill="auto"/>
          </w:tcPr>
          <w:p w:rsidR="00BE0C40" w:rsidRPr="005A505B" w:rsidRDefault="00BE0C40" w:rsidP="005A505B">
            <w:pPr>
              <w:jc w:val="both"/>
              <w:rPr>
                <w:rFonts w:cs="Arial"/>
                <w:color w:val="auto"/>
                <w:sz w:val="20"/>
                <w:szCs w:val="20"/>
              </w:rPr>
            </w:pPr>
            <w:r w:rsidRPr="005A505B">
              <w:rPr>
                <w:rFonts w:cs="Arial"/>
                <w:color w:val="auto"/>
                <w:sz w:val="20"/>
                <w:szCs w:val="20"/>
              </w:rPr>
              <w:t xml:space="preserve">National Health Insurance Indirect Grant </w:t>
            </w:r>
          </w:p>
        </w:tc>
        <w:tc>
          <w:tcPr>
            <w:tcW w:w="2382" w:type="dxa"/>
            <w:shd w:val="clear" w:color="auto" w:fill="auto"/>
          </w:tcPr>
          <w:p w:rsidR="00BE0C40" w:rsidRPr="005A505B" w:rsidRDefault="00BE0C40" w:rsidP="005A505B">
            <w:pPr>
              <w:jc w:val="both"/>
              <w:rPr>
                <w:rFonts w:cs="Arial"/>
                <w:color w:val="auto"/>
                <w:sz w:val="20"/>
                <w:szCs w:val="20"/>
              </w:rPr>
            </w:pPr>
            <w:r w:rsidRPr="005A505B">
              <w:rPr>
                <w:rFonts w:cs="Arial"/>
                <w:color w:val="auto"/>
                <w:sz w:val="20"/>
                <w:szCs w:val="20"/>
              </w:rPr>
              <w:t>2 209.1</w:t>
            </w:r>
          </w:p>
        </w:tc>
      </w:tr>
      <w:tr w:rsidR="00BE0C40" w:rsidRPr="005A505B" w:rsidTr="002E66DA">
        <w:tc>
          <w:tcPr>
            <w:tcW w:w="6516" w:type="dxa"/>
            <w:shd w:val="clear" w:color="auto" w:fill="auto"/>
          </w:tcPr>
          <w:p w:rsidR="00BE0C40" w:rsidRPr="005A505B" w:rsidRDefault="00BE0C40" w:rsidP="005A505B">
            <w:pPr>
              <w:jc w:val="both"/>
              <w:rPr>
                <w:rFonts w:cs="Arial"/>
                <w:b/>
                <w:color w:val="auto"/>
                <w:sz w:val="20"/>
                <w:szCs w:val="20"/>
              </w:rPr>
            </w:pPr>
            <w:r w:rsidRPr="005A505B">
              <w:rPr>
                <w:rFonts w:cs="Arial"/>
                <w:b/>
                <w:color w:val="auto"/>
                <w:sz w:val="20"/>
                <w:szCs w:val="20"/>
              </w:rPr>
              <w:t xml:space="preserve">Total </w:t>
            </w:r>
          </w:p>
        </w:tc>
        <w:tc>
          <w:tcPr>
            <w:tcW w:w="2382" w:type="dxa"/>
            <w:shd w:val="clear" w:color="auto" w:fill="auto"/>
          </w:tcPr>
          <w:p w:rsidR="00BE0C40" w:rsidRPr="005A505B" w:rsidRDefault="00BE0C40" w:rsidP="005A505B">
            <w:pPr>
              <w:jc w:val="both"/>
              <w:rPr>
                <w:rFonts w:cs="Arial"/>
                <w:b/>
                <w:color w:val="auto"/>
                <w:sz w:val="20"/>
                <w:szCs w:val="20"/>
              </w:rPr>
            </w:pPr>
            <w:r w:rsidRPr="005A505B">
              <w:rPr>
                <w:rFonts w:cs="Arial"/>
                <w:b/>
                <w:color w:val="auto"/>
                <w:sz w:val="20"/>
                <w:szCs w:val="20"/>
              </w:rPr>
              <w:t>2 209.1</w:t>
            </w:r>
          </w:p>
        </w:tc>
      </w:tr>
    </w:tbl>
    <w:p w:rsidR="00BE0C40" w:rsidRPr="005A505B" w:rsidRDefault="00BE0C40" w:rsidP="005A505B">
      <w:pPr>
        <w:pStyle w:val="Caption"/>
        <w:keepNext/>
        <w:jc w:val="both"/>
        <w:rPr>
          <w:rFonts w:cs="Arial"/>
          <w:color w:val="auto"/>
        </w:rPr>
      </w:pPr>
      <w:r w:rsidRPr="005A505B">
        <w:rPr>
          <w:rFonts w:cs="Arial"/>
          <w:color w:val="auto"/>
        </w:rPr>
        <w:t>Table 5: Conditional Grants Indirect Allocations 2022/23</w:t>
      </w:r>
    </w:p>
    <w:p w:rsidR="00BE0C40" w:rsidRPr="005A505B" w:rsidRDefault="00BE0C40" w:rsidP="005A505B">
      <w:pPr>
        <w:jc w:val="both"/>
        <w:rPr>
          <w:rFonts w:cs="Arial"/>
          <w:color w:val="auto"/>
          <w:sz w:val="20"/>
          <w:szCs w:val="20"/>
        </w:rPr>
      </w:pPr>
    </w:p>
    <w:p w:rsidR="00C44E56" w:rsidRPr="005A505B" w:rsidRDefault="00C44E56" w:rsidP="005A505B">
      <w:pPr>
        <w:jc w:val="both"/>
        <w:rPr>
          <w:rFonts w:cs="Arial"/>
          <w:color w:val="auto"/>
          <w:sz w:val="20"/>
          <w:szCs w:val="20"/>
        </w:rPr>
      </w:pPr>
    </w:p>
    <w:p w:rsidR="00C44E56" w:rsidRPr="005A505B" w:rsidRDefault="00C44E56" w:rsidP="005A505B">
      <w:pPr>
        <w:pStyle w:val="Heading2"/>
        <w:numPr>
          <w:ilvl w:val="1"/>
          <w:numId w:val="53"/>
        </w:numPr>
        <w:rPr>
          <w:b w:val="0"/>
          <w:color w:val="auto"/>
          <w:sz w:val="20"/>
          <w:szCs w:val="20"/>
        </w:rPr>
      </w:pPr>
      <w:bookmarkStart w:id="461" w:name="_Toc102119898"/>
      <w:r w:rsidRPr="005A505B">
        <w:rPr>
          <w:color w:val="auto"/>
          <w:sz w:val="20"/>
          <w:szCs w:val="20"/>
        </w:rPr>
        <w:t>Committee Observations</w:t>
      </w:r>
      <w:r w:rsidR="00E26B24" w:rsidRPr="005A505B">
        <w:rPr>
          <w:color w:val="auto"/>
          <w:sz w:val="20"/>
          <w:szCs w:val="20"/>
        </w:rPr>
        <w:t xml:space="preserve"> on the Department</w:t>
      </w:r>
      <w:bookmarkEnd w:id="461"/>
      <w:r w:rsidR="00E26B24" w:rsidRPr="005A505B">
        <w:rPr>
          <w:color w:val="auto"/>
          <w:sz w:val="20"/>
          <w:szCs w:val="20"/>
        </w:rPr>
        <w:t xml:space="preserve"> </w:t>
      </w:r>
      <w:r w:rsidRPr="005A505B">
        <w:rPr>
          <w:color w:val="auto"/>
          <w:sz w:val="20"/>
          <w:szCs w:val="20"/>
        </w:rPr>
        <w:t xml:space="preserve"> </w:t>
      </w:r>
    </w:p>
    <w:p w:rsidR="00C44E56" w:rsidRPr="005A505B" w:rsidRDefault="00C44E56" w:rsidP="005A505B">
      <w:pPr>
        <w:jc w:val="both"/>
        <w:rPr>
          <w:rFonts w:cs="Arial"/>
          <w:b/>
          <w:color w:val="auto"/>
          <w:sz w:val="20"/>
          <w:szCs w:val="20"/>
        </w:rPr>
      </w:pPr>
    </w:p>
    <w:p w:rsidR="00425DB4" w:rsidRPr="005A505B" w:rsidRDefault="00425DB4" w:rsidP="005A505B">
      <w:pPr>
        <w:pStyle w:val="ListParagraph"/>
        <w:numPr>
          <w:ilvl w:val="0"/>
          <w:numId w:val="50"/>
        </w:numPr>
        <w:jc w:val="both"/>
        <w:rPr>
          <w:rFonts w:cs="Arial"/>
          <w:color w:val="auto"/>
          <w:sz w:val="20"/>
          <w:szCs w:val="20"/>
        </w:rPr>
      </w:pPr>
      <w:r w:rsidRPr="005A505B">
        <w:rPr>
          <w:rFonts w:cs="Arial"/>
          <w:color w:val="auto"/>
          <w:sz w:val="20"/>
          <w:szCs w:val="20"/>
        </w:rPr>
        <w:t>The Committee noted with concern the increase in mental health cases, while the capacity of institutions remained low.</w:t>
      </w:r>
    </w:p>
    <w:p w:rsidR="000D3ECE" w:rsidRPr="005A505B" w:rsidRDefault="000D3ECE" w:rsidP="005A505B">
      <w:pPr>
        <w:pStyle w:val="ListParagraph"/>
        <w:numPr>
          <w:ilvl w:val="0"/>
          <w:numId w:val="50"/>
        </w:numPr>
        <w:jc w:val="both"/>
        <w:rPr>
          <w:rFonts w:cs="Arial"/>
          <w:color w:val="auto"/>
          <w:sz w:val="20"/>
          <w:szCs w:val="20"/>
        </w:rPr>
      </w:pPr>
      <w:r w:rsidRPr="005A505B">
        <w:rPr>
          <w:rFonts w:cs="Arial"/>
          <w:color w:val="auto"/>
          <w:sz w:val="20"/>
          <w:szCs w:val="20"/>
        </w:rPr>
        <w:t>The Committee enquired about the number of new hospitals being planned for over the medium-term, considering the backlog of forensic and psychiatric evaluations for state patients in detention centres waiting on hospital admissions.</w:t>
      </w:r>
    </w:p>
    <w:p w:rsidR="000D3ECE" w:rsidRPr="005A505B" w:rsidRDefault="000D3ECE" w:rsidP="005A505B">
      <w:pPr>
        <w:pStyle w:val="ListParagraph"/>
        <w:numPr>
          <w:ilvl w:val="0"/>
          <w:numId w:val="50"/>
        </w:numPr>
        <w:jc w:val="both"/>
        <w:rPr>
          <w:rFonts w:cs="Arial"/>
          <w:color w:val="auto"/>
          <w:sz w:val="20"/>
          <w:szCs w:val="20"/>
        </w:rPr>
      </w:pPr>
      <w:r w:rsidRPr="005A505B">
        <w:rPr>
          <w:rFonts w:cs="Arial"/>
          <w:color w:val="auto"/>
          <w:sz w:val="20"/>
          <w:szCs w:val="20"/>
        </w:rPr>
        <w:lastRenderedPageBreak/>
        <w:t xml:space="preserve">The Committee observed that the performance estimate for the Mental Health Policy Framework was </w:t>
      </w:r>
      <w:r w:rsidR="004C2D09" w:rsidRPr="005A505B">
        <w:rPr>
          <w:rFonts w:cs="Arial"/>
          <w:color w:val="auto"/>
          <w:sz w:val="20"/>
          <w:szCs w:val="20"/>
        </w:rPr>
        <w:t xml:space="preserve">reported as </w:t>
      </w:r>
      <w:r w:rsidRPr="005A505B">
        <w:rPr>
          <w:rFonts w:cs="Arial"/>
          <w:color w:val="auto"/>
          <w:sz w:val="20"/>
          <w:szCs w:val="20"/>
        </w:rPr>
        <w:t>not applicable and asked whether the Department had finalised the framework or</w:t>
      </w:r>
      <w:r w:rsidR="00425DB4" w:rsidRPr="005A505B">
        <w:rPr>
          <w:rFonts w:cs="Arial"/>
          <w:color w:val="auto"/>
          <w:sz w:val="20"/>
          <w:szCs w:val="20"/>
        </w:rPr>
        <w:t xml:space="preserve"> </w:t>
      </w:r>
      <w:r w:rsidRPr="005A505B">
        <w:rPr>
          <w:rFonts w:cs="Arial"/>
          <w:color w:val="auto"/>
          <w:sz w:val="20"/>
          <w:szCs w:val="20"/>
        </w:rPr>
        <w:t xml:space="preserve">it was still </w:t>
      </w:r>
      <w:r w:rsidR="004C2D09" w:rsidRPr="005A505B">
        <w:rPr>
          <w:rFonts w:cs="Arial"/>
          <w:color w:val="auto"/>
          <w:sz w:val="20"/>
          <w:szCs w:val="20"/>
        </w:rPr>
        <w:t>under</w:t>
      </w:r>
      <w:r w:rsidRPr="005A505B">
        <w:rPr>
          <w:rFonts w:cs="Arial"/>
          <w:color w:val="auto"/>
          <w:sz w:val="20"/>
          <w:szCs w:val="20"/>
        </w:rPr>
        <w:t xml:space="preserve"> </w:t>
      </w:r>
      <w:r w:rsidR="004C2D09" w:rsidRPr="005A505B">
        <w:rPr>
          <w:rFonts w:cs="Arial"/>
          <w:color w:val="auto"/>
          <w:sz w:val="20"/>
          <w:szCs w:val="20"/>
        </w:rPr>
        <w:t>review</w:t>
      </w:r>
      <w:r w:rsidRPr="005A505B">
        <w:rPr>
          <w:rFonts w:cs="Arial"/>
          <w:color w:val="auto"/>
          <w:sz w:val="20"/>
          <w:szCs w:val="20"/>
        </w:rPr>
        <w:t>.</w:t>
      </w:r>
    </w:p>
    <w:p w:rsidR="00C44E56" w:rsidRPr="005A505B" w:rsidRDefault="00C44E56" w:rsidP="005A505B">
      <w:pPr>
        <w:pStyle w:val="ListParagraph"/>
        <w:numPr>
          <w:ilvl w:val="0"/>
          <w:numId w:val="50"/>
        </w:numPr>
        <w:jc w:val="both"/>
        <w:rPr>
          <w:rFonts w:cs="Arial"/>
          <w:b/>
          <w:color w:val="auto"/>
          <w:sz w:val="20"/>
          <w:szCs w:val="20"/>
        </w:rPr>
      </w:pPr>
      <w:r w:rsidRPr="005A505B">
        <w:rPr>
          <w:rFonts w:cs="Arial"/>
          <w:color w:val="auto"/>
          <w:sz w:val="20"/>
          <w:szCs w:val="20"/>
        </w:rPr>
        <w:t xml:space="preserve">The Committee noted with concern that vital programmes </w:t>
      </w:r>
      <w:r w:rsidR="00F61832" w:rsidRPr="005A505B">
        <w:rPr>
          <w:rFonts w:cs="Arial"/>
          <w:color w:val="auto"/>
          <w:sz w:val="20"/>
          <w:szCs w:val="20"/>
        </w:rPr>
        <w:t xml:space="preserve">such as the HIV and TB programmes </w:t>
      </w:r>
      <w:r w:rsidRPr="005A505B">
        <w:rPr>
          <w:rFonts w:cs="Arial"/>
          <w:color w:val="auto"/>
          <w:sz w:val="20"/>
          <w:szCs w:val="20"/>
        </w:rPr>
        <w:t xml:space="preserve">were not given the attention that they deserve which might result in </w:t>
      </w:r>
      <w:r w:rsidR="000B0A56" w:rsidRPr="005A505B">
        <w:rPr>
          <w:rFonts w:cs="Arial"/>
          <w:color w:val="auto"/>
          <w:sz w:val="20"/>
          <w:szCs w:val="20"/>
        </w:rPr>
        <w:t xml:space="preserve">a </w:t>
      </w:r>
      <w:r w:rsidRPr="005A505B">
        <w:rPr>
          <w:rFonts w:cs="Arial"/>
          <w:color w:val="auto"/>
          <w:sz w:val="20"/>
          <w:szCs w:val="20"/>
        </w:rPr>
        <w:t>regression in the</w:t>
      </w:r>
      <w:r w:rsidR="000B0A56" w:rsidRPr="005A505B">
        <w:rPr>
          <w:rFonts w:cs="Arial"/>
          <w:color w:val="auto"/>
          <w:sz w:val="20"/>
          <w:szCs w:val="20"/>
        </w:rPr>
        <w:t>ir</w:t>
      </w:r>
      <w:r w:rsidRPr="005A505B">
        <w:rPr>
          <w:rFonts w:cs="Arial"/>
          <w:color w:val="auto"/>
          <w:sz w:val="20"/>
          <w:szCs w:val="20"/>
        </w:rPr>
        <w:t xml:space="preserve"> control and prevention as the </w:t>
      </w:r>
      <w:r w:rsidR="008D0ACC" w:rsidRPr="005A505B">
        <w:rPr>
          <w:rFonts w:cs="Arial"/>
          <w:color w:val="auto"/>
          <w:sz w:val="20"/>
          <w:szCs w:val="20"/>
        </w:rPr>
        <w:t>D</w:t>
      </w:r>
      <w:r w:rsidRPr="005A505B">
        <w:rPr>
          <w:rFonts w:cs="Arial"/>
          <w:color w:val="auto"/>
          <w:sz w:val="20"/>
          <w:szCs w:val="20"/>
        </w:rPr>
        <w:t xml:space="preserve">epartment was </w:t>
      </w:r>
      <w:r w:rsidR="00F61832" w:rsidRPr="005A505B">
        <w:rPr>
          <w:rFonts w:cs="Arial"/>
          <w:color w:val="auto"/>
          <w:sz w:val="20"/>
          <w:szCs w:val="20"/>
        </w:rPr>
        <w:t>focusing</w:t>
      </w:r>
      <w:r w:rsidRPr="005A505B">
        <w:rPr>
          <w:rFonts w:cs="Arial"/>
          <w:color w:val="auto"/>
          <w:sz w:val="20"/>
          <w:szCs w:val="20"/>
        </w:rPr>
        <w:t xml:space="preserve"> on </w:t>
      </w:r>
      <w:r w:rsidR="000F1AB5" w:rsidRPr="005A505B">
        <w:rPr>
          <w:rFonts w:cs="Arial"/>
          <w:color w:val="auto"/>
          <w:sz w:val="20"/>
          <w:szCs w:val="20"/>
        </w:rPr>
        <w:t>COVID</w:t>
      </w:r>
      <w:r w:rsidRPr="005A505B">
        <w:rPr>
          <w:rFonts w:cs="Arial"/>
          <w:color w:val="auto"/>
          <w:sz w:val="20"/>
          <w:szCs w:val="20"/>
        </w:rPr>
        <w:t>-19.</w:t>
      </w:r>
      <w:r w:rsidR="006F287D" w:rsidRPr="005A505B">
        <w:rPr>
          <w:rFonts w:cs="Arial"/>
          <w:color w:val="auto"/>
          <w:sz w:val="20"/>
          <w:szCs w:val="20"/>
        </w:rPr>
        <w:t xml:space="preserve"> Further, the Committee asked about the Department’s cancer campaign and how it had been affected by the COVID-19 pandemic.</w:t>
      </w:r>
    </w:p>
    <w:p w:rsidR="00564592" w:rsidRPr="005A505B" w:rsidRDefault="00564592" w:rsidP="005A505B">
      <w:pPr>
        <w:pStyle w:val="ListParagraph"/>
        <w:numPr>
          <w:ilvl w:val="0"/>
          <w:numId w:val="50"/>
        </w:numPr>
        <w:jc w:val="both"/>
        <w:rPr>
          <w:rFonts w:cs="Arial"/>
          <w:b/>
          <w:color w:val="auto"/>
          <w:sz w:val="20"/>
          <w:szCs w:val="20"/>
        </w:rPr>
      </w:pPr>
      <w:r w:rsidRPr="005A505B">
        <w:rPr>
          <w:rFonts w:cs="Arial"/>
          <w:color w:val="auto"/>
          <w:sz w:val="20"/>
          <w:szCs w:val="20"/>
        </w:rPr>
        <w:t xml:space="preserve">The </w:t>
      </w:r>
      <w:r w:rsidR="00A32797" w:rsidRPr="005A505B">
        <w:rPr>
          <w:rFonts w:cs="Arial"/>
          <w:color w:val="auto"/>
          <w:sz w:val="20"/>
          <w:szCs w:val="20"/>
        </w:rPr>
        <w:t>C</w:t>
      </w:r>
      <w:r w:rsidRPr="005A505B">
        <w:rPr>
          <w:rFonts w:cs="Arial"/>
          <w:color w:val="auto"/>
          <w:sz w:val="20"/>
          <w:szCs w:val="20"/>
        </w:rPr>
        <w:t>ommittee enquired about the interventions in place to realise the 60% target for COVID-19 vaccin</w:t>
      </w:r>
      <w:r w:rsidR="00A32797" w:rsidRPr="005A505B">
        <w:rPr>
          <w:rFonts w:cs="Arial"/>
          <w:color w:val="auto"/>
          <w:sz w:val="20"/>
          <w:szCs w:val="20"/>
        </w:rPr>
        <w:t>ation of people in the 12 to 34-year</w:t>
      </w:r>
      <w:r w:rsidRPr="005A505B">
        <w:rPr>
          <w:rFonts w:cs="Arial"/>
          <w:color w:val="auto"/>
          <w:sz w:val="20"/>
          <w:szCs w:val="20"/>
        </w:rPr>
        <w:t xml:space="preserve"> age group</w:t>
      </w:r>
      <w:r w:rsidR="00A32797" w:rsidRPr="005A505B">
        <w:rPr>
          <w:rFonts w:cs="Arial"/>
          <w:color w:val="auto"/>
          <w:sz w:val="20"/>
          <w:szCs w:val="20"/>
        </w:rPr>
        <w:t>,</w:t>
      </w:r>
      <w:r w:rsidRPr="005A505B">
        <w:rPr>
          <w:rFonts w:cs="Arial"/>
          <w:color w:val="auto"/>
          <w:sz w:val="20"/>
          <w:szCs w:val="20"/>
        </w:rPr>
        <w:t xml:space="preserve"> considering the low up-take by young people.</w:t>
      </w:r>
    </w:p>
    <w:p w:rsidR="00924D6D" w:rsidRPr="005A505B" w:rsidRDefault="00924D6D" w:rsidP="005A505B">
      <w:pPr>
        <w:pStyle w:val="ListParagraph"/>
        <w:numPr>
          <w:ilvl w:val="0"/>
          <w:numId w:val="50"/>
        </w:numPr>
        <w:jc w:val="both"/>
        <w:rPr>
          <w:rFonts w:cs="Arial"/>
          <w:b/>
          <w:color w:val="auto"/>
          <w:sz w:val="20"/>
          <w:szCs w:val="20"/>
        </w:rPr>
      </w:pPr>
      <w:r w:rsidRPr="005A505B">
        <w:rPr>
          <w:rFonts w:cs="Arial"/>
          <w:color w:val="auto"/>
          <w:sz w:val="20"/>
          <w:szCs w:val="20"/>
        </w:rPr>
        <w:t>The Committee was concerned about</w:t>
      </w:r>
      <w:r w:rsidR="00516848" w:rsidRPr="005A505B">
        <w:rPr>
          <w:rFonts w:cs="Arial"/>
          <w:color w:val="auto"/>
          <w:sz w:val="20"/>
          <w:szCs w:val="20"/>
        </w:rPr>
        <w:t xml:space="preserve"> the scourge of</w:t>
      </w:r>
      <w:r w:rsidRPr="005A505B">
        <w:rPr>
          <w:rFonts w:cs="Arial"/>
          <w:color w:val="auto"/>
          <w:sz w:val="20"/>
          <w:szCs w:val="20"/>
        </w:rPr>
        <w:t xml:space="preserve"> </w:t>
      </w:r>
      <w:r w:rsidR="00675BA3" w:rsidRPr="005A505B">
        <w:rPr>
          <w:rFonts w:cs="Arial"/>
          <w:color w:val="auto"/>
          <w:sz w:val="20"/>
          <w:szCs w:val="20"/>
        </w:rPr>
        <w:t>tuberculosis (TB)</w:t>
      </w:r>
      <w:r w:rsidRPr="005A505B">
        <w:rPr>
          <w:rFonts w:cs="Arial"/>
          <w:color w:val="auto"/>
          <w:sz w:val="20"/>
          <w:szCs w:val="20"/>
        </w:rPr>
        <w:t xml:space="preserve"> in the country and wanted to know </w:t>
      </w:r>
      <w:r w:rsidR="00516848" w:rsidRPr="005A505B">
        <w:rPr>
          <w:rFonts w:cs="Arial"/>
          <w:color w:val="auto"/>
          <w:sz w:val="20"/>
          <w:szCs w:val="20"/>
        </w:rPr>
        <w:t xml:space="preserve">whether the Department had </w:t>
      </w:r>
      <w:r w:rsidR="0074340D" w:rsidRPr="005A505B">
        <w:rPr>
          <w:rFonts w:cs="Arial"/>
          <w:color w:val="auto"/>
          <w:sz w:val="20"/>
          <w:szCs w:val="20"/>
        </w:rPr>
        <w:t xml:space="preserve">explored </w:t>
      </w:r>
      <w:r w:rsidR="008953A6" w:rsidRPr="005A505B">
        <w:rPr>
          <w:rFonts w:cs="Arial"/>
          <w:color w:val="auto"/>
          <w:sz w:val="20"/>
          <w:szCs w:val="20"/>
        </w:rPr>
        <w:t>inter</w:t>
      </w:r>
      <w:r w:rsidR="007169AB" w:rsidRPr="005A505B">
        <w:rPr>
          <w:rFonts w:cs="Arial"/>
          <w:color w:val="auto"/>
          <w:sz w:val="20"/>
          <w:szCs w:val="20"/>
        </w:rPr>
        <w:t>-sectoral collaboration</w:t>
      </w:r>
      <w:r w:rsidR="00641E9C" w:rsidRPr="005A505B">
        <w:rPr>
          <w:rFonts w:cs="Arial"/>
          <w:color w:val="auto"/>
          <w:sz w:val="20"/>
          <w:szCs w:val="20"/>
        </w:rPr>
        <w:t>s</w:t>
      </w:r>
      <w:r w:rsidR="00516848" w:rsidRPr="005A505B">
        <w:rPr>
          <w:rFonts w:cs="Arial"/>
          <w:color w:val="auto"/>
          <w:sz w:val="20"/>
          <w:szCs w:val="20"/>
        </w:rPr>
        <w:t xml:space="preserve"> with the Department of Mineral Resources</w:t>
      </w:r>
      <w:r w:rsidR="00675BA3" w:rsidRPr="005A505B">
        <w:rPr>
          <w:rFonts w:cs="Arial"/>
          <w:color w:val="auto"/>
          <w:sz w:val="20"/>
          <w:szCs w:val="20"/>
        </w:rPr>
        <w:t xml:space="preserve"> (in the mining sector)</w:t>
      </w:r>
      <w:r w:rsidR="00516848" w:rsidRPr="005A505B">
        <w:rPr>
          <w:rFonts w:cs="Arial"/>
          <w:color w:val="auto"/>
          <w:sz w:val="20"/>
          <w:szCs w:val="20"/>
        </w:rPr>
        <w:t xml:space="preserve"> and the Department of Correctional Services</w:t>
      </w:r>
      <w:r w:rsidR="00675BA3" w:rsidRPr="005A505B">
        <w:rPr>
          <w:rFonts w:cs="Arial"/>
          <w:color w:val="auto"/>
          <w:sz w:val="20"/>
          <w:szCs w:val="20"/>
        </w:rPr>
        <w:t xml:space="preserve"> (in correctional centres)</w:t>
      </w:r>
      <w:r w:rsidRPr="005A505B">
        <w:rPr>
          <w:rFonts w:cs="Arial"/>
          <w:color w:val="auto"/>
          <w:sz w:val="20"/>
          <w:szCs w:val="20"/>
        </w:rPr>
        <w:t xml:space="preserve"> to address this challenge.</w:t>
      </w:r>
    </w:p>
    <w:p w:rsidR="004A0A79" w:rsidRPr="005A505B" w:rsidRDefault="004A0A79" w:rsidP="005A505B">
      <w:pPr>
        <w:pStyle w:val="ListParagraph"/>
        <w:numPr>
          <w:ilvl w:val="0"/>
          <w:numId w:val="50"/>
        </w:numPr>
        <w:jc w:val="both"/>
        <w:rPr>
          <w:rFonts w:cs="Arial"/>
          <w:b/>
          <w:color w:val="auto"/>
          <w:sz w:val="20"/>
          <w:szCs w:val="20"/>
        </w:rPr>
      </w:pPr>
      <w:r w:rsidRPr="005A505B">
        <w:rPr>
          <w:rFonts w:cs="Arial"/>
          <w:color w:val="auto"/>
          <w:sz w:val="20"/>
          <w:szCs w:val="20"/>
        </w:rPr>
        <w:t xml:space="preserve">The Committee asked about the number of patients on TB and HIV treatment </w:t>
      </w:r>
      <w:r w:rsidR="00F01EA2" w:rsidRPr="005A505B">
        <w:rPr>
          <w:rFonts w:cs="Arial"/>
          <w:color w:val="auto"/>
          <w:sz w:val="20"/>
          <w:szCs w:val="20"/>
        </w:rPr>
        <w:t xml:space="preserve">that </w:t>
      </w:r>
      <w:r w:rsidRPr="005A505B">
        <w:rPr>
          <w:rFonts w:cs="Arial"/>
          <w:color w:val="auto"/>
          <w:sz w:val="20"/>
          <w:szCs w:val="20"/>
        </w:rPr>
        <w:t>were lost to follow-up and how the causal factors could be addressed beyond community participation.</w:t>
      </w:r>
    </w:p>
    <w:p w:rsidR="00C44E56" w:rsidRPr="005A505B" w:rsidRDefault="00C44E56" w:rsidP="005A505B">
      <w:pPr>
        <w:pStyle w:val="ListParagraph"/>
        <w:numPr>
          <w:ilvl w:val="0"/>
          <w:numId w:val="50"/>
        </w:numPr>
        <w:jc w:val="both"/>
        <w:rPr>
          <w:rFonts w:cs="Arial"/>
          <w:b/>
          <w:color w:val="auto"/>
          <w:sz w:val="20"/>
          <w:szCs w:val="20"/>
        </w:rPr>
      </w:pPr>
      <w:r w:rsidRPr="005A505B">
        <w:rPr>
          <w:rFonts w:cs="Arial"/>
          <w:color w:val="auto"/>
          <w:sz w:val="20"/>
          <w:szCs w:val="20"/>
        </w:rPr>
        <w:t xml:space="preserve">The Committee noted with concern the infrastructure backlogs within the </w:t>
      </w:r>
      <w:r w:rsidR="000F1AB5" w:rsidRPr="005A505B">
        <w:rPr>
          <w:rFonts w:cs="Arial"/>
          <w:color w:val="auto"/>
          <w:sz w:val="20"/>
          <w:szCs w:val="20"/>
        </w:rPr>
        <w:t xml:space="preserve">health sector </w:t>
      </w:r>
      <w:r w:rsidRPr="005A505B">
        <w:rPr>
          <w:rFonts w:cs="Arial"/>
          <w:color w:val="auto"/>
          <w:sz w:val="20"/>
          <w:szCs w:val="20"/>
        </w:rPr>
        <w:t xml:space="preserve">and wanted to know how these will be </w:t>
      </w:r>
      <w:r w:rsidR="00651260" w:rsidRPr="005A505B">
        <w:rPr>
          <w:rFonts w:cs="Arial"/>
          <w:color w:val="auto"/>
          <w:sz w:val="20"/>
          <w:szCs w:val="20"/>
        </w:rPr>
        <w:t>addressed</w:t>
      </w:r>
      <w:r w:rsidRPr="005A505B">
        <w:rPr>
          <w:rFonts w:cs="Arial"/>
          <w:color w:val="auto"/>
          <w:sz w:val="20"/>
          <w:szCs w:val="20"/>
        </w:rPr>
        <w:t>.</w:t>
      </w:r>
    </w:p>
    <w:p w:rsidR="00C44E56" w:rsidRPr="005A505B" w:rsidRDefault="00C44E56" w:rsidP="005A505B">
      <w:pPr>
        <w:pStyle w:val="ListParagraph"/>
        <w:numPr>
          <w:ilvl w:val="0"/>
          <w:numId w:val="50"/>
        </w:numPr>
        <w:jc w:val="both"/>
        <w:rPr>
          <w:rFonts w:cs="Arial"/>
          <w:b/>
          <w:color w:val="auto"/>
          <w:sz w:val="20"/>
          <w:szCs w:val="20"/>
        </w:rPr>
      </w:pPr>
      <w:r w:rsidRPr="005A505B">
        <w:rPr>
          <w:rFonts w:cs="Arial"/>
          <w:color w:val="auto"/>
          <w:sz w:val="20"/>
          <w:szCs w:val="20"/>
        </w:rPr>
        <w:t xml:space="preserve">The Committee </w:t>
      </w:r>
      <w:r w:rsidR="00F931CB" w:rsidRPr="005A505B">
        <w:rPr>
          <w:rFonts w:cs="Arial"/>
          <w:color w:val="auto"/>
          <w:sz w:val="20"/>
          <w:szCs w:val="20"/>
        </w:rPr>
        <w:t>expressed</w:t>
      </w:r>
      <w:r w:rsidRPr="005A505B">
        <w:rPr>
          <w:rFonts w:cs="Arial"/>
          <w:color w:val="auto"/>
          <w:sz w:val="20"/>
          <w:szCs w:val="20"/>
        </w:rPr>
        <w:t xml:space="preserve"> concern </w:t>
      </w:r>
      <w:r w:rsidR="00F931CB" w:rsidRPr="005A505B">
        <w:rPr>
          <w:rFonts w:cs="Arial"/>
          <w:color w:val="auto"/>
          <w:sz w:val="20"/>
          <w:szCs w:val="20"/>
        </w:rPr>
        <w:t xml:space="preserve">about </w:t>
      </w:r>
      <w:r w:rsidRPr="005A505B">
        <w:rPr>
          <w:rFonts w:cs="Arial"/>
          <w:color w:val="auto"/>
          <w:sz w:val="20"/>
          <w:szCs w:val="20"/>
        </w:rPr>
        <w:t xml:space="preserve">the </w:t>
      </w:r>
      <w:r w:rsidR="00F931CB" w:rsidRPr="005A505B">
        <w:rPr>
          <w:rFonts w:cs="Arial"/>
          <w:color w:val="auto"/>
          <w:sz w:val="20"/>
          <w:szCs w:val="20"/>
        </w:rPr>
        <w:t xml:space="preserve">significant increase in </w:t>
      </w:r>
      <w:r w:rsidR="002E4A66" w:rsidRPr="005A505B">
        <w:rPr>
          <w:rFonts w:cs="Arial"/>
          <w:color w:val="auto"/>
          <w:sz w:val="20"/>
          <w:szCs w:val="20"/>
        </w:rPr>
        <w:t>medico</w:t>
      </w:r>
      <w:r w:rsidRPr="005A505B">
        <w:rPr>
          <w:rFonts w:cs="Arial"/>
          <w:color w:val="auto"/>
          <w:sz w:val="20"/>
          <w:szCs w:val="20"/>
        </w:rPr>
        <w:t>-legal claims</w:t>
      </w:r>
      <w:r w:rsidR="002E4A66" w:rsidRPr="005A505B">
        <w:rPr>
          <w:rFonts w:cs="Arial"/>
          <w:color w:val="auto"/>
          <w:sz w:val="20"/>
          <w:szCs w:val="20"/>
        </w:rPr>
        <w:t>,</w:t>
      </w:r>
      <w:r w:rsidRPr="005A505B">
        <w:rPr>
          <w:rFonts w:cs="Arial"/>
          <w:color w:val="auto"/>
          <w:sz w:val="20"/>
          <w:szCs w:val="20"/>
        </w:rPr>
        <w:t xml:space="preserve"> especially in the Eastern Cape</w:t>
      </w:r>
      <w:r w:rsidR="00924D6D" w:rsidRPr="005A505B">
        <w:rPr>
          <w:rFonts w:cs="Arial"/>
          <w:color w:val="auto"/>
          <w:sz w:val="20"/>
          <w:szCs w:val="20"/>
        </w:rPr>
        <w:t>,</w:t>
      </w:r>
      <w:r w:rsidRPr="005A505B">
        <w:rPr>
          <w:rFonts w:cs="Arial"/>
          <w:color w:val="auto"/>
          <w:sz w:val="20"/>
          <w:szCs w:val="20"/>
        </w:rPr>
        <w:t xml:space="preserve"> </w:t>
      </w:r>
      <w:r w:rsidR="00924D6D" w:rsidRPr="005A505B">
        <w:rPr>
          <w:rFonts w:cs="Arial"/>
          <w:color w:val="auto"/>
          <w:sz w:val="20"/>
          <w:szCs w:val="20"/>
        </w:rPr>
        <w:t xml:space="preserve">as reported by the AGSA </w:t>
      </w:r>
      <w:r w:rsidRPr="005A505B">
        <w:rPr>
          <w:rFonts w:cs="Arial"/>
          <w:color w:val="auto"/>
          <w:sz w:val="20"/>
          <w:szCs w:val="20"/>
        </w:rPr>
        <w:t xml:space="preserve">and wanted to know what the </w:t>
      </w:r>
      <w:r w:rsidR="009449A9" w:rsidRPr="005A505B">
        <w:rPr>
          <w:rFonts w:cs="Arial"/>
          <w:color w:val="auto"/>
          <w:sz w:val="20"/>
          <w:szCs w:val="20"/>
        </w:rPr>
        <w:t xml:space="preserve">Department </w:t>
      </w:r>
      <w:r w:rsidRPr="005A505B">
        <w:rPr>
          <w:rFonts w:cs="Arial"/>
          <w:color w:val="auto"/>
          <w:sz w:val="20"/>
          <w:szCs w:val="20"/>
        </w:rPr>
        <w:t>was doing to address</w:t>
      </w:r>
      <w:r w:rsidR="009449A9" w:rsidRPr="005A505B">
        <w:rPr>
          <w:rFonts w:cs="Arial"/>
          <w:color w:val="auto"/>
          <w:sz w:val="20"/>
          <w:szCs w:val="20"/>
        </w:rPr>
        <w:t xml:space="preserve"> this, as</w:t>
      </w:r>
      <w:r w:rsidRPr="005A505B">
        <w:rPr>
          <w:rFonts w:cs="Arial"/>
          <w:color w:val="auto"/>
          <w:sz w:val="20"/>
          <w:szCs w:val="20"/>
        </w:rPr>
        <w:t xml:space="preserve"> </w:t>
      </w:r>
      <w:r w:rsidR="00924D6D" w:rsidRPr="005A505B">
        <w:rPr>
          <w:rFonts w:cs="Arial"/>
          <w:color w:val="auto"/>
          <w:sz w:val="20"/>
          <w:szCs w:val="20"/>
        </w:rPr>
        <w:t xml:space="preserve">these costs </w:t>
      </w:r>
      <w:r w:rsidR="009449A9" w:rsidRPr="005A505B">
        <w:rPr>
          <w:rFonts w:cs="Arial"/>
          <w:color w:val="auto"/>
          <w:sz w:val="20"/>
          <w:szCs w:val="20"/>
        </w:rPr>
        <w:t>depletes</w:t>
      </w:r>
      <w:r w:rsidRPr="005A505B">
        <w:rPr>
          <w:rFonts w:cs="Arial"/>
          <w:color w:val="auto"/>
          <w:sz w:val="20"/>
          <w:szCs w:val="20"/>
        </w:rPr>
        <w:t xml:space="preserve"> </w:t>
      </w:r>
      <w:r w:rsidR="002E4A66" w:rsidRPr="005A505B">
        <w:rPr>
          <w:rFonts w:cs="Arial"/>
          <w:color w:val="auto"/>
          <w:sz w:val="20"/>
          <w:szCs w:val="20"/>
        </w:rPr>
        <w:t>provincial departments</w:t>
      </w:r>
      <w:r w:rsidR="00924D6D" w:rsidRPr="005A505B">
        <w:rPr>
          <w:rFonts w:cs="Arial"/>
          <w:color w:val="auto"/>
          <w:sz w:val="20"/>
          <w:szCs w:val="20"/>
        </w:rPr>
        <w:t>’</w:t>
      </w:r>
      <w:r w:rsidR="002E4A66" w:rsidRPr="005A505B">
        <w:rPr>
          <w:rFonts w:cs="Arial"/>
          <w:color w:val="auto"/>
          <w:sz w:val="20"/>
          <w:szCs w:val="20"/>
        </w:rPr>
        <w:t xml:space="preserve"> </w:t>
      </w:r>
      <w:r w:rsidRPr="005A505B">
        <w:rPr>
          <w:rFonts w:cs="Arial"/>
          <w:color w:val="auto"/>
          <w:sz w:val="20"/>
          <w:szCs w:val="20"/>
        </w:rPr>
        <w:t>budget</w:t>
      </w:r>
      <w:r w:rsidR="001055A9" w:rsidRPr="005A505B">
        <w:rPr>
          <w:rFonts w:cs="Arial"/>
          <w:color w:val="auto"/>
          <w:sz w:val="20"/>
          <w:szCs w:val="20"/>
        </w:rPr>
        <w:t>s</w:t>
      </w:r>
      <w:r w:rsidRPr="005A505B">
        <w:rPr>
          <w:rFonts w:cs="Arial"/>
          <w:color w:val="auto"/>
          <w:sz w:val="20"/>
          <w:szCs w:val="20"/>
        </w:rPr>
        <w:t>.</w:t>
      </w:r>
    </w:p>
    <w:p w:rsidR="009449A9" w:rsidRPr="005A505B" w:rsidRDefault="009449A9" w:rsidP="005A505B">
      <w:pPr>
        <w:pStyle w:val="ListParagraph"/>
        <w:numPr>
          <w:ilvl w:val="0"/>
          <w:numId w:val="50"/>
        </w:numPr>
        <w:jc w:val="both"/>
        <w:rPr>
          <w:rFonts w:cs="Arial"/>
          <w:color w:val="auto"/>
          <w:sz w:val="20"/>
          <w:szCs w:val="20"/>
        </w:rPr>
      </w:pPr>
      <w:r w:rsidRPr="005A505B">
        <w:rPr>
          <w:rFonts w:cs="Arial"/>
          <w:color w:val="auto"/>
          <w:sz w:val="20"/>
          <w:szCs w:val="20"/>
        </w:rPr>
        <w:t xml:space="preserve">The Committee questioned the exclusion of the Western Cape from implementing </w:t>
      </w:r>
      <w:r w:rsidR="0063128A" w:rsidRPr="005A505B">
        <w:rPr>
          <w:rFonts w:cs="Arial"/>
          <w:color w:val="auto"/>
          <w:sz w:val="20"/>
          <w:szCs w:val="20"/>
        </w:rPr>
        <w:t>t</w:t>
      </w:r>
      <w:r w:rsidRPr="005A505B">
        <w:rPr>
          <w:rFonts w:cs="Arial"/>
          <w:color w:val="auto"/>
          <w:sz w:val="20"/>
          <w:szCs w:val="20"/>
        </w:rPr>
        <w:t>he medico-legal Case Management System.</w:t>
      </w:r>
    </w:p>
    <w:p w:rsidR="00575207" w:rsidRPr="005A505B" w:rsidRDefault="00575207" w:rsidP="005A505B">
      <w:pPr>
        <w:pStyle w:val="ListParagraph"/>
        <w:numPr>
          <w:ilvl w:val="0"/>
          <w:numId w:val="50"/>
        </w:numPr>
        <w:jc w:val="both"/>
        <w:rPr>
          <w:rFonts w:cs="Arial"/>
          <w:color w:val="auto"/>
          <w:sz w:val="20"/>
          <w:szCs w:val="20"/>
        </w:rPr>
      </w:pPr>
      <w:r w:rsidRPr="005A505B">
        <w:rPr>
          <w:rFonts w:cs="Arial"/>
          <w:color w:val="auto"/>
          <w:sz w:val="20"/>
          <w:szCs w:val="20"/>
        </w:rPr>
        <w:t xml:space="preserve">The Committee sought clarity on the development of </w:t>
      </w:r>
      <w:r w:rsidR="00FF1A84" w:rsidRPr="005A505B">
        <w:rPr>
          <w:rFonts w:cs="Arial"/>
          <w:color w:val="auto"/>
          <w:sz w:val="20"/>
          <w:szCs w:val="20"/>
        </w:rPr>
        <w:t xml:space="preserve">a </w:t>
      </w:r>
      <w:r w:rsidRPr="005A505B">
        <w:rPr>
          <w:rFonts w:cs="Arial"/>
          <w:color w:val="auto"/>
          <w:sz w:val="20"/>
          <w:szCs w:val="20"/>
        </w:rPr>
        <w:t xml:space="preserve">legislation for the management of medico-legal cases, and whether there was a regulatory framework in place for the appointment of legal teams to deal with these claims. </w:t>
      </w:r>
    </w:p>
    <w:p w:rsidR="00C44E56" w:rsidRPr="005A505B" w:rsidRDefault="00C44E56" w:rsidP="005A505B">
      <w:pPr>
        <w:pStyle w:val="ListParagraph"/>
        <w:numPr>
          <w:ilvl w:val="0"/>
          <w:numId w:val="50"/>
        </w:numPr>
        <w:jc w:val="both"/>
        <w:rPr>
          <w:rFonts w:cs="Arial"/>
          <w:b/>
          <w:color w:val="auto"/>
          <w:sz w:val="20"/>
          <w:szCs w:val="20"/>
        </w:rPr>
      </w:pPr>
      <w:r w:rsidRPr="005A505B">
        <w:rPr>
          <w:rFonts w:cs="Arial"/>
          <w:color w:val="auto"/>
          <w:sz w:val="20"/>
          <w:szCs w:val="20"/>
        </w:rPr>
        <w:t xml:space="preserve">The Committee noted with concern that there was no costing of the NHI and further indicated that even the Minister of Finance did not </w:t>
      </w:r>
      <w:r w:rsidR="00575207" w:rsidRPr="005A505B">
        <w:rPr>
          <w:rFonts w:cs="Arial"/>
          <w:color w:val="auto"/>
          <w:sz w:val="20"/>
          <w:szCs w:val="20"/>
        </w:rPr>
        <w:t>indicate</w:t>
      </w:r>
      <w:r w:rsidRPr="005A505B">
        <w:rPr>
          <w:rFonts w:cs="Arial"/>
          <w:color w:val="auto"/>
          <w:sz w:val="20"/>
          <w:szCs w:val="20"/>
        </w:rPr>
        <w:t xml:space="preserve"> </w:t>
      </w:r>
      <w:r w:rsidR="00575207" w:rsidRPr="005A505B">
        <w:rPr>
          <w:rFonts w:cs="Arial"/>
          <w:color w:val="auto"/>
          <w:sz w:val="20"/>
          <w:szCs w:val="20"/>
        </w:rPr>
        <w:t xml:space="preserve">any </w:t>
      </w:r>
      <w:r w:rsidRPr="005A505B">
        <w:rPr>
          <w:rFonts w:cs="Arial"/>
          <w:color w:val="auto"/>
          <w:sz w:val="20"/>
          <w:szCs w:val="20"/>
        </w:rPr>
        <w:t xml:space="preserve">NHI </w:t>
      </w:r>
      <w:r w:rsidR="00575207" w:rsidRPr="005A505B">
        <w:rPr>
          <w:rFonts w:cs="Arial"/>
          <w:color w:val="auto"/>
          <w:sz w:val="20"/>
          <w:szCs w:val="20"/>
        </w:rPr>
        <w:t>allocation in his budget speech</w:t>
      </w:r>
      <w:r w:rsidRPr="005A505B">
        <w:rPr>
          <w:rFonts w:cs="Arial"/>
          <w:color w:val="auto"/>
          <w:sz w:val="20"/>
          <w:szCs w:val="20"/>
        </w:rPr>
        <w:t>.</w:t>
      </w:r>
    </w:p>
    <w:p w:rsidR="00221EAB" w:rsidRPr="005A505B" w:rsidRDefault="00221EAB" w:rsidP="005A505B">
      <w:pPr>
        <w:pStyle w:val="ListParagraph"/>
        <w:numPr>
          <w:ilvl w:val="0"/>
          <w:numId w:val="50"/>
        </w:numPr>
        <w:jc w:val="both"/>
        <w:rPr>
          <w:rFonts w:cs="Arial"/>
          <w:b/>
          <w:color w:val="auto"/>
          <w:sz w:val="20"/>
          <w:szCs w:val="20"/>
        </w:rPr>
      </w:pPr>
      <w:r w:rsidRPr="005A505B">
        <w:rPr>
          <w:rFonts w:cs="Arial"/>
          <w:color w:val="auto"/>
          <w:sz w:val="20"/>
          <w:szCs w:val="20"/>
        </w:rPr>
        <w:t xml:space="preserve">The Committee asked the Department to share information about the 70% funded filled posts on the NHI programme and to provide a report on the spending of the NHI grant. </w:t>
      </w:r>
    </w:p>
    <w:p w:rsidR="00575207" w:rsidRPr="005A505B" w:rsidRDefault="00575207" w:rsidP="005A505B">
      <w:pPr>
        <w:pStyle w:val="ListParagraph"/>
        <w:numPr>
          <w:ilvl w:val="0"/>
          <w:numId w:val="50"/>
        </w:numPr>
        <w:jc w:val="both"/>
        <w:rPr>
          <w:rFonts w:cs="Arial"/>
          <w:b/>
          <w:color w:val="auto"/>
          <w:sz w:val="20"/>
          <w:szCs w:val="20"/>
        </w:rPr>
      </w:pPr>
      <w:r w:rsidRPr="005A505B">
        <w:rPr>
          <w:rFonts w:cs="Arial"/>
          <w:color w:val="auto"/>
          <w:sz w:val="20"/>
          <w:szCs w:val="20"/>
        </w:rPr>
        <w:t>The Committee expressed that it would have wanted to see more money being allocated for the NHI in the current fiscal year, however understood the fiscal position and debt burden of the country.</w:t>
      </w:r>
    </w:p>
    <w:p w:rsidR="00757F66" w:rsidRPr="005A505B" w:rsidRDefault="00757F66" w:rsidP="005A505B">
      <w:pPr>
        <w:pStyle w:val="ListParagraph"/>
        <w:numPr>
          <w:ilvl w:val="0"/>
          <w:numId w:val="50"/>
        </w:numPr>
        <w:jc w:val="both"/>
        <w:rPr>
          <w:rFonts w:cs="Arial"/>
          <w:b/>
          <w:color w:val="auto"/>
          <w:sz w:val="20"/>
          <w:szCs w:val="20"/>
        </w:rPr>
      </w:pPr>
      <w:r w:rsidRPr="005A505B">
        <w:rPr>
          <w:rFonts w:cs="Arial"/>
          <w:color w:val="auto"/>
          <w:sz w:val="20"/>
          <w:szCs w:val="20"/>
        </w:rPr>
        <w:t>The Committee observed that the budget for primary health care had increased significantly and questioned whether the programme had been adequately capacitated</w:t>
      </w:r>
      <w:r w:rsidR="00A47A9C" w:rsidRPr="005A505B">
        <w:rPr>
          <w:rFonts w:cs="Arial"/>
          <w:color w:val="auto"/>
          <w:sz w:val="20"/>
          <w:szCs w:val="20"/>
        </w:rPr>
        <w:t xml:space="preserve"> in terms of human resources</w:t>
      </w:r>
      <w:r w:rsidRPr="005A505B">
        <w:rPr>
          <w:rFonts w:cs="Arial"/>
          <w:color w:val="auto"/>
          <w:sz w:val="20"/>
          <w:szCs w:val="20"/>
        </w:rPr>
        <w:t xml:space="preserve"> to deliver services.</w:t>
      </w:r>
    </w:p>
    <w:p w:rsidR="00C44E56" w:rsidRPr="005A505B" w:rsidRDefault="00C44E56" w:rsidP="005A505B">
      <w:pPr>
        <w:pStyle w:val="ListParagraph"/>
        <w:numPr>
          <w:ilvl w:val="0"/>
          <w:numId w:val="50"/>
        </w:numPr>
        <w:jc w:val="both"/>
        <w:rPr>
          <w:rFonts w:cs="Arial"/>
          <w:b/>
          <w:color w:val="auto"/>
          <w:sz w:val="20"/>
          <w:szCs w:val="20"/>
        </w:rPr>
      </w:pPr>
      <w:r w:rsidRPr="005A505B">
        <w:rPr>
          <w:rFonts w:cs="Arial"/>
          <w:color w:val="auto"/>
          <w:sz w:val="20"/>
          <w:szCs w:val="20"/>
        </w:rPr>
        <w:t>The Committee noted with concern the high vacancy rate</w:t>
      </w:r>
      <w:r w:rsidR="00A47A9C" w:rsidRPr="005A505B">
        <w:rPr>
          <w:rFonts w:cs="Arial"/>
          <w:color w:val="auto"/>
          <w:sz w:val="20"/>
          <w:szCs w:val="20"/>
        </w:rPr>
        <w:t>s</w:t>
      </w:r>
      <w:r w:rsidRPr="005A505B">
        <w:rPr>
          <w:rFonts w:cs="Arial"/>
          <w:color w:val="auto"/>
          <w:sz w:val="20"/>
          <w:szCs w:val="20"/>
        </w:rPr>
        <w:t xml:space="preserve"> </w:t>
      </w:r>
      <w:r w:rsidR="006345B5" w:rsidRPr="005A505B">
        <w:rPr>
          <w:rFonts w:cs="Arial"/>
          <w:color w:val="auto"/>
          <w:sz w:val="20"/>
          <w:szCs w:val="20"/>
        </w:rPr>
        <w:t xml:space="preserve">for health professionals – </w:t>
      </w:r>
      <w:r w:rsidR="00884A93" w:rsidRPr="005A505B">
        <w:rPr>
          <w:rFonts w:cs="Arial"/>
          <w:color w:val="auto"/>
          <w:sz w:val="20"/>
          <w:szCs w:val="20"/>
        </w:rPr>
        <w:t>(10 800)</w:t>
      </w:r>
      <w:r w:rsidR="002A0ED5" w:rsidRPr="005A505B">
        <w:rPr>
          <w:rFonts w:cs="Arial"/>
          <w:color w:val="auto"/>
          <w:sz w:val="20"/>
          <w:szCs w:val="20"/>
        </w:rPr>
        <w:t xml:space="preserve"> </w:t>
      </w:r>
      <w:r w:rsidRPr="005A505B">
        <w:rPr>
          <w:rFonts w:cs="Arial"/>
          <w:color w:val="auto"/>
          <w:sz w:val="20"/>
          <w:szCs w:val="20"/>
        </w:rPr>
        <w:t xml:space="preserve">nurses and </w:t>
      </w:r>
      <w:r w:rsidR="00884A93" w:rsidRPr="005A505B">
        <w:rPr>
          <w:rFonts w:cs="Arial"/>
          <w:color w:val="auto"/>
          <w:sz w:val="20"/>
          <w:szCs w:val="20"/>
        </w:rPr>
        <w:t xml:space="preserve">(1 339) </w:t>
      </w:r>
      <w:r w:rsidRPr="005A505B">
        <w:rPr>
          <w:rFonts w:cs="Arial"/>
          <w:color w:val="auto"/>
          <w:sz w:val="20"/>
          <w:szCs w:val="20"/>
        </w:rPr>
        <w:t xml:space="preserve">doctors </w:t>
      </w:r>
      <w:r w:rsidR="006345B5" w:rsidRPr="005A505B">
        <w:rPr>
          <w:rFonts w:cs="Arial"/>
          <w:color w:val="auto"/>
          <w:sz w:val="20"/>
          <w:szCs w:val="20"/>
        </w:rPr>
        <w:t xml:space="preserve">– </w:t>
      </w:r>
      <w:r w:rsidRPr="005A505B">
        <w:rPr>
          <w:rFonts w:cs="Arial"/>
          <w:color w:val="auto"/>
          <w:sz w:val="20"/>
          <w:szCs w:val="20"/>
        </w:rPr>
        <w:t xml:space="preserve">and wanted to know </w:t>
      </w:r>
      <w:r w:rsidR="00884A93" w:rsidRPr="005A505B">
        <w:rPr>
          <w:rFonts w:cs="Arial"/>
          <w:color w:val="auto"/>
          <w:sz w:val="20"/>
          <w:szCs w:val="20"/>
        </w:rPr>
        <w:t>the Department’s plans to</w:t>
      </w:r>
      <w:r w:rsidRPr="005A505B">
        <w:rPr>
          <w:rFonts w:cs="Arial"/>
          <w:color w:val="auto"/>
          <w:sz w:val="20"/>
          <w:szCs w:val="20"/>
        </w:rPr>
        <w:t xml:space="preserve"> eradicate</w:t>
      </w:r>
      <w:r w:rsidR="00884A93" w:rsidRPr="005A505B">
        <w:rPr>
          <w:rFonts w:cs="Arial"/>
          <w:color w:val="auto"/>
          <w:sz w:val="20"/>
          <w:szCs w:val="20"/>
        </w:rPr>
        <w:t xml:space="preserve"> these vacant posts</w:t>
      </w:r>
      <w:r w:rsidRPr="005A505B">
        <w:rPr>
          <w:rFonts w:cs="Arial"/>
          <w:color w:val="auto"/>
          <w:sz w:val="20"/>
          <w:szCs w:val="20"/>
        </w:rPr>
        <w:t xml:space="preserve">. The Committee further </w:t>
      </w:r>
      <w:r w:rsidR="00D86A63" w:rsidRPr="005A505B">
        <w:rPr>
          <w:rFonts w:cs="Arial"/>
          <w:color w:val="auto"/>
          <w:sz w:val="20"/>
          <w:szCs w:val="20"/>
        </w:rPr>
        <w:t xml:space="preserve">asked for </w:t>
      </w:r>
      <w:r w:rsidRPr="005A505B">
        <w:rPr>
          <w:rFonts w:cs="Arial"/>
          <w:color w:val="auto"/>
          <w:sz w:val="20"/>
          <w:szCs w:val="20"/>
        </w:rPr>
        <w:t xml:space="preserve">a progress report on the training of nurses and the </w:t>
      </w:r>
      <w:r w:rsidR="002E4A66" w:rsidRPr="005A505B">
        <w:rPr>
          <w:rFonts w:cs="Arial"/>
          <w:color w:val="auto"/>
          <w:sz w:val="20"/>
          <w:szCs w:val="20"/>
        </w:rPr>
        <w:t>re</w:t>
      </w:r>
      <w:r w:rsidRPr="005A505B">
        <w:rPr>
          <w:rFonts w:cs="Arial"/>
          <w:color w:val="auto"/>
          <w:sz w:val="20"/>
          <w:szCs w:val="20"/>
        </w:rPr>
        <w:t>opening of nursing colleges</w:t>
      </w:r>
      <w:r w:rsidR="00D86A63" w:rsidRPr="005A505B">
        <w:rPr>
          <w:rFonts w:cs="Arial"/>
          <w:color w:val="auto"/>
          <w:sz w:val="20"/>
          <w:szCs w:val="20"/>
        </w:rPr>
        <w:t>,</w:t>
      </w:r>
      <w:r w:rsidR="00627DD7" w:rsidRPr="005A505B">
        <w:rPr>
          <w:rFonts w:cs="Arial"/>
          <w:color w:val="auto"/>
          <w:sz w:val="20"/>
          <w:szCs w:val="20"/>
        </w:rPr>
        <w:t xml:space="preserve"> and whether the changes in the curriculum includes mental health care</w:t>
      </w:r>
      <w:r w:rsidR="002A0ED5" w:rsidRPr="005A505B">
        <w:rPr>
          <w:rFonts w:cs="Arial"/>
          <w:color w:val="auto"/>
          <w:sz w:val="20"/>
          <w:szCs w:val="20"/>
        </w:rPr>
        <w:t>,</w:t>
      </w:r>
      <w:r w:rsidR="00627DD7" w:rsidRPr="005A505B">
        <w:rPr>
          <w:rFonts w:cs="Arial"/>
          <w:color w:val="auto"/>
          <w:sz w:val="20"/>
          <w:szCs w:val="20"/>
        </w:rPr>
        <w:t xml:space="preserve"> considering the impact of COVID-19 on the mental health of many citizens</w:t>
      </w:r>
      <w:r w:rsidRPr="005A505B">
        <w:rPr>
          <w:rFonts w:cs="Arial"/>
          <w:color w:val="auto"/>
          <w:sz w:val="20"/>
          <w:szCs w:val="20"/>
        </w:rPr>
        <w:t>.</w:t>
      </w:r>
    </w:p>
    <w:p w:rsidR="00510F2C" w:rsidRPr="005A505B" w:rsidRDefault="00510F2C" w:rsidP="005A505B">
      <w:pPr>
        <w:pStyle w:val="ListParagraph"/>
        <w:numPr>
          <w:ilvl w:val="0"/>
          <w:numId w:val="50"/>
        </w:numPr>
        <w:jc w:val="both"/>
        <w:rPr>
          <w:rFonts w:cs="Arial"/>
          <w:color w:val="auto"/>
          <w:sz w:val="20"/>
          <w:szCs w:val="20"/>
          <w:lang w:val="en-US"/>
        </w:rPr>
      </w:pPr>
      <w:r w:rsidRPr="005A505B">
        <w:rPr>
          <w:rFonts w:cs="Arial"/>
          <w:color w:val="auto"/>
          <w:sz w:val="20"/>
          <w:szCs w:val="20"/>
          <w:lang w:val="en-US"/>
        </w:rPr>
        <w:t>The Committee wanted to know the lessons learnt from the COVID-19 pandemic</w:t>
      </w:r>
      <w:r w:rsidR="001B513B" w:rsidRPr="005A505B">
        <w:rPr>
          <w:rFonts w:cs="Arial"/>
          <w:color w:val="auto"/>
          <w:sz w:val="20"/>
          <w:szCs w:val="20"/>
          <w:lang w:val="en-US"/>
        </w:rPr>
        <w:t xml:space="preserve"> to improve the public health care system</w:t>
      </w:r>
      <w:r w:rsidRPr="005A505B">
        <w:rPr>
          <w:rFonts w:cs="Arial"/>
          <w:color w:val="auto"/>
          <w:sz w:val="20"/>
          <w:szCs w:val="20"/>
          <w:lang w:val="en-US"/>
        </w:rPr>
        <w:t>.</w:t>
      </w:r>
    </w:p>
    <w:p w:rsidR="00E616A2" w:rsidRPr="005A505B" w:rsidRDefault="00E616A2" w:rsidP="005A505B">
      <w:pPr>
        <w:pStyle w:val="ListParagraph"/>
        <w:numPr>
          <w:ilvl w:val="0"/>
          <w:numId w:val="50"/>
        </w:numPr>
        <w:jc w:val="both"/>
        <w:rPr>
          <w:rFonts w:cs="Arial"/>
          <w:color w:val="auto"/>
          <w:sz w:val="20"/>
          <w:szCs w:val="20"/>
          <w:lang w:val="en-US"/>
        </w:rPr>
      </w:pPr>
      <w:r w:rsidRPr="005A505B">
        <w:rPr>
          <w:rFonts w:cs="Arial"/>
          <w:color w:val="auto"/>
          <w:sz w:val="20"/>
          <w:szCs w:val="20"/>
          <w:lang w:val="en-US"/>
        </w:rPr>
        <w:t>The Committee asked how the Department was supporting the Nelson Mandela/ Fidel Castro Cuban programme and what the impact of the programme was on health skills development in the country.</w:t>
      </w:r>
    </w:p>
    <w:p w:rsidR="003C7786" w:rsidRPr="005A505B" w:rsidRDefault="003C7786" w:rsidP="005A505B">
      <w:pPr>
        <w:pStyle w:val="ListParagraph"/>
        <w:numPr>
          <w:ilvl w:val="0"/>
          <w:numId w:val="50"/>
        </w:numPr>
        <w:jc w:val="both"/>
        <w:rPr>
          <w:rFonts w:cs="Arial"/>
          <w:b/>
          <w:color w:val="auto"/>
          <w:sz w:val="20"/>
          <w:szCs w:val="20"/>
        </w:rPr>
      </w:pPr>
      <w:r w:rsidRPr="005A505B">
        <w:rPr>
          <w:rFonts w:cs="Arial"/>
          <w:color w:val="auto"/>
          <w:sz w:val="20"/>
          <w:szCs w:val="20"/>
        </w:rPr>
        <w:t xml:space="preserve">The Committee asked the Department to intervene by absorbing community health workers into the system and </w:t>
      </w:r>
      <w:r w:rsidR="00C2717A" w:rsidRPr="005A505B">
        <w:rPr>
          <w:rFonts w:cs="Arial"/>
          <w:color w:val="auto"/>
          <w:sz w:val="20"/>
          <w:szCs w:val="20"/>
        </w:rPr>
        <w:t>their recruitment</w:t>
      </w:r>
      <w:r w:rsidRPr="005A505B">
        <w:rPr>
          <w:rFonts w:cs="Arial"/>
          <w:color w:val="auto"/>
          <w:sz w:val="20"/>
          <w:szCs w:val="20"/>
        </w:rPr>
        <w:t xml:space="preserve"> for nursing training.</w:t>
      </w:r>
    </w:p>
    <w:p w:rsidR="00C44E56" w:rsidRPr="005A505B" w:rsidRDefault="00C44E56" w:rsidP="005A505B">
      <w:pPr>
        <w:pStyle w:val="ListParagraph"/>
        <w:numPr>
          <w:ilvl w:val="0"/>
          <w:numId w:val="50"/>
        </w:numPr>
        <w:jc w:val="both"/>
        <w:rPr>
          <w:rFonts w:cs="Arial"/>
          <w:b/>
          <w:color w:val="auto"/>
          <w:sz w:val="20"/>
          <w:szCs w:val="20"/>
        </w:rPr>
      </w:pPr>
      <w:r w:rsidRPr="005A505B">
        <w:rPr>
          <w:rFonts w:cs="Arial"/>
          <w:color w:val="auto"/>
          <w:sz w:val="20"/>
          <w:szCs w:val="20"/>
        </w:rPr>
        <w:t xml:space="preserve">The Committee was </w:t>
      </w:r>
      <w:r w:rsidR="00157BF4" w:rsidRPr="005A505B">
        <w:rPr>
          <w:rFonts w:cs="Arial"/>
          <w:color w:val="auto"/>
          <w:sz w:val="20"/>
          <w:szCs w:val="20"/>
        </w:rPr>
        <w:t xml:space="preserve">also </w:t>
      </w:r>
      <w:r w:rsidRPr="005A505B">
        <w:rPr>
          <w:rFonts w:cs="Arial"/>
          <w:color w:val="auto"/>
          <w:sz w:val="20"/>
          <w:szCs w:val="20"/>
        </w:rPr>
        <w:t xml:space="preserve">concerned </w:t>
      </w:r>
      <w:r w:rsidR="00422D73" w:rsidRPr="005A505B">
        <w:rPr>
          <w:rFonts w:cs="Arial"/>
          <w:color w:val="auto"/>
          <w:sz w:val="20"/>
          <w:szCs w:val="20"/>
        </w:rPr>
        <w:t xml:space="preserve">about the increase in </w:t>
      </w:r>
      <w:r w:rsidR="00483B18" w:rsidRPr="005A505B">
        <w:rPr>
          <w:rFonts w:cs="Arial"/>
          <w:color w:val="auto"/>
          <w:sz w:val="20"/>
          <w:szCs w:val="20"/>
        </w:rPr>
        <w:t xml:space="preserve">severe </w:t>
      </w:r>
      <w:r w:rsidRPr="005A505B">
        <w:rPr>
          <w:rFonts w:cs="Arial"/>
          <w:color w:val="auto"/>
          <w:sz w:val="20"/>
          <w:szCs w:val="20"/>
        </w:rPr>
        <w:t xml:space="preserve">malnutrition and wanted to know </w:t>
      </w:r>
      <w:r w:rsidR="00605D07" w:rsidRPr="005A505B">
        <w:rPr>
          <w:rFonts w:cs="Arial"/>
          <w:color w:val="auto"/>
          <w:sz w:val="20"/>
          <w:szCs w:val="20"/>
        </w:rPr>
        <w:t xml:space="preserve">the </w:t>
      </w:r>
      <w:r w:rsidRPr="005A505B">
        <w:rPr>
          <w:rFonts w:cs="Arial"/>
          <w:color w:val="auto"/>
          <w:sz w:val="20"/>
          <w:szCs w:val="20"/>
        </w:rPr>
        <w:t xml:space="preserve">strategies </w:t>
      </w:r>
      <w:r w:rsidR="008D0ACC" w:rsidRPr="005A505B">
        <w:rPr>
          <w:rFonts w:cs="Arial"/>
          <w:color w:val="auto"/>
          <w:sz w:val="20"/>
          <w:szCs w:val="20"/>
        </w:rPr>
        <w:t>i</w:t>
      </w:r>
      <w:r w:rsidRPr="005A505B">
        <w:rPr>
          <w:rFonts w:cs="Arial"/>
          <w:color w:val="auto"/>
          <w:sz w:val="20"/>
          <w:szCs w:val="20"/>
        </w:rPr>
        <w:t xml:space="preserve">n place </w:t>
      </w:r>
      <w:r w:rsidR="008172E8" w:rsidRPr="005A505B">
        <w:rPr>
          <w:rFonts w:cs="Arial"/>
          <w:color w:val="auto"/>
          <w:sz w:val="20"/>
          <w:szCs w:val="20"/>
        </w:rPr>
        <w:t>to combat malnutrition</w:t>
      </w:r>
      <w:r w:rsidR="008172E8" w:rsidRPr="005A505B" w:rsidDel="008172E8">
        <w:rPr>
          <w:rFonts w:cs="Arial"/>
          <w:color w:val="auto"/>
          <w:sz w:val="20"/>
          <w:szCs w:val="20"/>
        </w:rPr>
        <w:t xml:space="preserve"> </w:t>
      </w:r>
      <w:r w:rsidR="00D90DA7" w:rsidRPr="005A505B">
        <w:rPr>
          <w:rFonts w:cs="Arial"/>
          <w:color w:val="auto"/>
          <w:sz w:val="20"/>
          <w:szCs w:val="20"/>
        </w:rPr>
        <w:t xml:space="preserve">and whether </w:t>
      </w:r>
      <w:r w:rsidR="007F7DD2" w:rsidRPr="005A505B">
        <w:rPr>
          <w:rFonts w:cs="Arial"/>
          <w:color w:val="auto"/>
          <w:sz w:val="20"/>
          <w:szCs w:val="20"/>
        </w:rPr>
        <w:t>a</w:t>
      </w:r>
      <w:r w:rsidR="00D90DA7" w:rsidRPr="005A505B">
        <w:rPr>
          <w:rFonts w:cs="Arial"/>
          <w:color w:val="auto"/>
          <w:sz w:val="20"/>
          <w:szCs w:val="20"/>
        </w:rPr>
        <w:t xml:space="preserve"> </w:t>
      </w:r>
      <w:r w:rsidR="007F7DD2" w:rsidRPr="005A505B">
        <w:rPr>
          <w:rFonts w:cs="Arial"/>
          <w:color w:val="auto"/>
          <w:sz w:val="20"/>
          <w:szCs w:val="20"/>
        </w:rPr>
        <w:t>collaborative</w:t>
      </w:r>
      <w:r w:rsidR="00D90DA7" w:rsidRPr="005A505B">
        <w:rPr>
          <w:rFonts w:cs="Arial"/>
          <w:color w:val="auto"/>
          <w:sz w:val="20"/>
          <w:szCs w:val="20"/>
        </w:rPr>
        <w:t xml:space="preserve"> approach was being followed </w:t>
      </w:r>
      <w:r w:rsidR="00605D07" w:rsidRPr="005A505B">
        <w:rPr>
          <w:rFonts w:cs="Arial"/>
          <w:color w:val="auto"/>
          <w:sz w:val="20"/>
          <w:szCs w:val="20"/>
        </w:rPr>
        <w:t xml:space="preserve">– </w:t>
      </w:r>
      <w:r w:rsidR="00EE6A8D" w:rsidRPr="005A505B">
        <w:rPr>
          <w:rFonts w:cs="Arial"/>
          <w:color w:val="auto"/>
          <w:sz w:val="20"/>
          <w:szCs w:val="20"/>
        </w:rPr>
        <w:t>working</w:t>
      </w:r>
      <w:r w:rsidR="00D90DA7" w:rsidRPr="005A505B">
        <w:rPr>
          <w:rFonts w:cs="Arial"/>
          <w:color w:val="auto"/>
          <w:sz w:val="20"/>
          <w:szCs w:val="20"/>
        </w:rPr>
        <w:t xml:space="preserve"> with the Department of Social Development and the Department of Basic Education.</w:t>
      </w:r>
    </w:p>
    <w:p w:rsidR="00C44E56" w:rsidRPr="005A505B" w:rsidRDefault="00C44E56" w:rsidP="005A505B">
      <w:pPr>
        <w:pStyle w:val="ListParagraph"/>
        <w:numPr>
          <w:ilvl w:val="0"/>
          <w:numId w:val="50"/>
        </w:numPr>
        <w:jc w:val="both"/>
        <w:rPr>
          <w:rFonts w:cs="Arial"/>
          <w:b/>
          <w:color w:val="auto"/>
          <w:sz w:val="20"/>
          <w:szCs w:val="20"/>
        </w:rPr>
      </w:pPr>
      <w:r w:rsidRPr="005A505B">
        <w:rPr>
          <w:rFonts w:cs="Arial"/>
          <w:color w:val="auto"/>
          <w:sz w:val="20"/>
          <w:szCs w:val="20"/>
        </w:rPr>
        <w:t xml:space="preserve">The Committee </w:t>
      </w:r>
      <w:r w:rsidR="008D0ACC" w:rsidRPr="005A505B">
        <w:rPr>
          <w:rFonts w:cs="Arial"/>
          <w:color w:val="auto"/>
          <w:sz w:val="20"/>
          <w:szCs w:val="20"/>
        </w:rPr>
        <w:t xml:space="preserve">asked for </w:t>
      </w:r>
      <w:r w:rsidRPr="005A505B">
        <w:rPr>
          <w:rFonts w:cs="Arial"/>
          <w:color w:val="auto"/>
          <w:sz w:val="20"/>
          <w:szCs w:val="20"/>
        </w:rPr>
        <w:t>a progress report on</w:t>
      </w:r>
      <w:r w:rsidR="00941109" w:rsidRPr="005A505B">
        <w:rPr>
          <w:rFonts w:cs="Arial"/>
          <w:color w:val="auto"/>
          <w:sz w:val="20"/>
          <w:szCs w:val="20"/>
        </w:rPr>
        <w:t xml:space="preserve"> the</w:t>
      </w:r>
      <w:r w:rsidR="00B16BEF" w:rsidRPr="005A505B">
        <w:rPr>
          <w:rFonts w:cs="Arial"/>
          <w:color w:val="auto"/>
          <w:sz w:val="20"/>
          <w:szCs w:val="20"/>
        </w:rPr>
        <w:t xml:space="preserve"> victims of</w:t>
      </w:r>
      <w:r w:rsidRPr="005A505B">
        <w:rPr>
          <w:rFonts w:cs="Arial"/>
          <w:color w:val="auto"/>
          <w:sz w:val="20"/>
          <w:szCs w:val="20"/>
        </w:rPr>
        <w:t xml:space="preserve"> forced sterilisation and whether the </w:t>
      </w:r>
      <w:r w:rsidR="008D0ACC" w:rsidRPr="005A505B">
        <w:rPr>
          <w:rFonts w:cs="Arial"/>
          <w:color w:val="auto"/>
          <w:sz w:val="20"/>
          <w:szCs w:val="20"/>
        </w:rPr>
        <w:t>D</w:t>
      </w:r>
      <w:r w:rsidRPr="005A505B">
        <w:rPr>
          <w:rFonts w:cs="Arial"/>
          <w:color w:val="auto"/>
          <w:sz w:val="20"/>
          <w:szCs w:val="20"/>
        </w:rPr>
        <w:t xml:space="preserve">epartment </w:t>
      </w:r>
      <w:r w:rsidR="00941109" w:rsidRPr="005A505B">
        <w:rPr>
          <w:rFonts w:cs="Arial"/>
          <w:color w:val="auto"/>
          <w:sz w:val="20"/>
          <w:szCs w:val="20"/>
        </w:rPr>
        <w:t xml:space="preserve">had </w:t>
      </w:r>
      <w:r w:rsidRPr="005A505B">
        <w:rPr>
          <w:rFonts w:cs="Arial"/>
          <w:color w:val="auto"/>
          <w:sz w:val="20"/>
          <w:szCs w:val="20"/>
        </w:rPr>
        <w:t>contacted those affected</w:t>
      </w:r>
      <w:r w:rsidR="00B16BEF" w:rsidRPr="005A505B">
        <w:rPr>
          <w:rFonts w:cs="Arial"/>
          <w:color w:val="auto"/>
          <w:sz w:val="20"/>
          <w:szCs w:val="20"/>
        </w:rPr>
        <w:t xml:space="preserve"> and services offered to them</w:t>
      </w:r>
      <w:r w:rsidRPr="005A505B">
        <w:rPr>
          <w:rFonts w:cs="Arial"/>
          <w:color w:val="auto"/>
          <w:sz w:val="20"/>
          <w:szCs w:val="20"/>
        </w:rPr>
        <w:t xml:space="preserve">. </w:t>
      </w:r>
      <w:r w:rsidRPr="005A505B">
        <w:rPr>
          <w:rFonts w:cs="Arial"/>
          <w:color w:val="auto"/>
          <w:sz w:val="20"/>
          <w:szCs w:val="20"/>
        </w:rPr>
        <w:lastRenderedPageBreak/>
        <w:t xml:space="preserve">The Committee was concerned about the </w:t>
      </w:r>
      <w:r w:rsidR="008D0ACC" w:rsidRPr="005A505B">
        <w:rPr>
          <w:rFonts w:cs="Arial"/>
          <w:color w:val="auto"/>
          <w:sz w:val="20"/>
          <w:szCs w:val="20"/>
        </w:rPr>
        <w:t xml:space="preserve">Department’s </w:t>
      </w:r>
      <w:r w:rsidRPr="005A505B">
        <w:rPr>
          <w:rFonts w:cs="Arial"/>
          <w:color w:val="auto"/>
          <w:sz w:val="20"/>
          <w:szCs w:val="20"/>
        </w:rPr>
        <w:t>slow pace in addressing this issue.</w:t>
      </w:r>
    </w:p>
    <w:p w:rsidR="00C44E56" w:rsidRPr="005A505B" w:rsidRDefault="00C44E56" w:rsidP="005A505B">
      <w:pPr>
        <w:pStyle w:val="ListParagraph"/>
        <w:numPr>
          <w:ilvl w:val="0"/>
          <w:numId w:val="50"/>
        </w:numPr>
        <w:jc w:val="both"/>
        <w:rPr>
          <w:rFonts w:cs="Arial"/>
          <w:b/>
          <w:color w:val="auto"/>
          <w:sz w:val="20"/>
          <w:szCs w:val="20"/>
        </w:rPr>
      </w:pPr>
      <w:r w:rsidRPr="005A505B">
        <w:rPr>
          <w:rFonts w:cs="Arial"/>
          <w:color w:val="auto"/>
          <w:sz w:val="20"/>
          <w:szCs w:val="20"/>
        </w:rPr>
        <w:t xml:space="preserve">The Committee was concerned that the </w:t>
      </w:r>
      <w:r w:rsidR="008D0ACC" w:rsidRPr="005A505B">
        <w:rPr>
          <w:rFonts w:cs="Arial"/>
          <w:color w:val="auto"/>
          <w:sz w:val="20"/>
          <w:szCs w:val="20"/>
        </w:rPr>
        <w:t xml:space="preserve">issue of </w:t>
      </w:r>
      <w:r w:rsidRPr="005A505B">
        <w:rPr>
          <w:rFonts w:cs="Arial"/>
          <w:color w:val="auto"/>
          <w:sz w:val="20"/>
          <w:szCs w:val="20"/>
        </w:rPr>
        <w:t xml:space="preserve">surgical mesh </w:t>
      </w:r>
      <w:r w:rsidR="001534F1" w:rsidRPr="005A505B">
        <w:rPr>
          <w:rFonts w:cs="Arial"/>
          <w:color w:val="auto"/>
          <w:sz w:val="20"/>
          <w:szCs w:val="20"/>
        </w:rPr>
        <w:t>had been raised for a while</w:t>
      </w:r>
      <w:r w:rsidRPr="005A505B">
        <w:rPr>
          <w:rFonts w:cs="Arial"/>
          <w:color w:val="auto"/>
          <w:sz w:val="20"/>
          <w:szCs w:val="20"/>
        </w:rPr>
        <w:t xml:space="preserve"> and </w:t>
      </w:r>
      <w:r w:rsidR="001534F1" w:rsidRPr="005A505B">
        <w:rPr>
          <w:rFonts w:cs="Arial"/>
          <w:color w:val="auto"/>
          <w:sz w:val="20"/>
          <w:szCs w:val="20"/>
        </w:rPr>
        <w:t>sought an update on</w:t>
      </w:r>
      <w:r w:rsidRPr="005A505B">
        <w:rPr>
          <w:rFonts w:cs="Arial"/>
          <w:color w:val="auto"/>
          <w:sz w:val="20"/>
          <w:szCs w:val="20"/>
        </w:rPr>
        <w:t xml:space="preserve"> </w:t>
      </w:r>
      <w:r w:rsidR="001534F1" w:rsidRPr="005A505B">
        <w:rPr>
          <w:rFonts w:cs="Arial"/>
          <w:color w:val="auto"/>
          <w:sz w:val="20"/>
          <w:szCs w:val="20"/>
        </w:rPr>
        <w:t>the matter</w:t>
      </w:r>
      <w:r w:rsidRPr="005A505B">
        <w:rPr>
          <w:rFonts w:cs="Arial"/>
          <w:color w:val="auto"/>
          <w:sz w:val="20"/>
          <w:szCs w:val="20"/>
        </w:rPr>
        <w:t>.</w:t>
      </w:r>
    </w:p>
    <w:p w:rsidR="00C44E56" w:rsidRPr="005A505B" w:rsidRDefault="00C44E56" w:rsidP="005A505B">
      <w:pPr>
        <w:pStyle w:val="ListParagraph"/>
        <w:numPr>
          <w:ilvl w:val="0"/>
          <w:numId w:val="50"/>
        </w:numPr>
        <w:jc w:val="both"/>
        <w:rPr>
          <w:rFonts w:cs="Arial"/>
          <w:b/>
          <w:color w:val="auto"/>
          <w:sz w:val="20"/>
          <w:szCs w:val="20"/>
        </w:rPr>
      </w:pPr>
      <w:r w:rsidRPr="005A505B">
        <w:rPr>
          <w:rFonts w:cs="Arial"/>
          <w:color w:val="auto"/>
          <w:sz w:val="20"/>
          <w:szCs w:val="20"/>
        </w:rPr>
        <w:t xml:space="preserve">The Committee was concerned about </w:t>
      </w:r>
      <w:r w:rsidR="00941109" w:rsidRPr="005A505B">
        <w:rPr>
          <w:rFonts w:cs="Arial"/>
          <w:color w:val="auto"/>
          <w:sz w:val="20"/>
          <w:szCs w:val="20"/>
        </w:rPr>
        <w:t xml:space="preserve">the closure of </w:t>
      </w:r>
      <w:r w:rsidRPr="005A505B">
        <w:rPr>
          <w:rFonts w:cs="Arial"/>
          <w:color w:val="auto"/>
          <w:sz w:val="20"/>
          <w:szCs w:val="20"/>
        </w:rPr>
        <w:t>Charlotte Maxeke</w:t>
      </w:r>
      <w:r w:rsidR="00CF129E" w:rsidRPr="005A505B">
        <w:rPr>
          <w:rFonts w:cs="Arial"/>
          <w:color w:val="auto"/>
          <w:sz w:val="20"/>
          <w:szCs w:val="20"/>
        </w:rPr>
        <w:t xml:space="preserve"> Academic</w:t>
      </w:r>
      <w:r w:rsidRPr="005A505B">
        <w:rPr>
          <w:rFonts w:cs="Arial"/>
          <w:color w:val="auto"/>
          <w:sz w:val="20"/>
          <w:szCs w:val="20"/>
        </w:rPr>
        <w:t xml:space="preserve"> Hospital and wanted to know what the </w:t>
      </w:r>
      <w:r w:rsidR="00F860B1" w:rsidRPr="005A505B">
        <w:rPr>
          <w:rFonts w:cs="Arial"/>
          <w:color w:val="auto"/>
          <w:sz w:val="20"/>
          <w:szCs w:val="20"/>
        </w:rPr>
        <w:t xml:space="preserve">Department </w:t>
      </w:r>
      <w:r w:rsidRPr="005A505B">
        <w:rPr>
          <w:rFonts w:cs="Arial"/>
          <w:color w:val="auto"/>
          <w:sz w:val="20"/>
          <w:szCs w:val="20"/>
        </w:rPr>
        <w:t xml:space="preserve">was doing to mitigate the impact of </w:t>
      </w:r>
      <w:r w:rsidR="008D0ACC" w:rsidRPr="005A505B">
        <w:rPr>
          <w:rFonts w:cs="Arial"/>
          <w:color w:val="auto"/>
          <w:sz w:val="20"/>
          <w:szCs w:val="20"/>
        </w:rPr>
        <w:t>its closure on other healthcare facilities</w:t>
      </w:r>
      <w:r w:rsidR="00F860B1" w:rsidRPr="005A505B">
        <w:rPr>
          <w:rFonts w:cs="Arial"/>
          <w:color w:val="auto"/>
          <w:sz w:val="20"/>
          <w:szCs w:val="20"/>
        </w:rPr>
        <w:t xml:space="preserve"> and the restoration of oncology services.</w:t>
      </w:r>
    </w:p>
    <w:p w:rsidR="00CF129E" w:rsidRPr="005A505B" w:rsidRDefault="00CF129E" w:rsidP="005A505B">
      <w:pPr>
        <w:pStyle w:val="ListParagraph"/>
        <w:numPr>
          <w:ilvl w:val="0"/>
          <w:numId w:val="50"/>
        </w:numPr>
        <w:jc w:val="both"/>
        <w:rPr>
          <w:rFonts w:cs="Arial"/>
          <w:b/>
          <w:color w:val="auto"/>
          <w:sz w:val="20"/>
          <w:szCs w:val="20"/>
        </w:rPr>
      </w:pPr>
      <w:r w:rsidRPr="005A505B">
        <w:rPr>
          <w:rFonts w:cs="Arial"/>
          <w:color w:val="auto"/>
          <w:sz w:val="20"/>
          <w:szCs w:val="20"/>
        </w:rPr>
        <w:t xml:space="preserve">The Committee questioned whether there was a long-term strategy in place to invest in vaccine development and how the Department was supporting vaccine development in the African continent. </w:t>
      </w:r>
    </w:p>
    <w:p w:rsidR="00C44E56" w:rsidRPr="005A505B" w:rsidRDefault="00C44E56" w:rsidP="005A505B">
      <w:pPr>
        <w:pStyle w:val="ListParagraph"/>
        <w:numPr>
          <w:ilvl w:val="0"/>
          <w:numId w:val="50"/>
        </w:numPr>
        <w:jc w:val="both"/>
        <w:rPr>
          <w:rFonts w:cs="Arial"/>
          <w:b/>
          <w:color w:val="auto"/>
          <w:sz w:val="20"/>
          <w:szCs w:val="20"/>
        </w:rPr>
      </w:pPr>
      <w:r w:rsidRPr="005A505B">
        <w:rPr>
          <w:rFonts w:cs="Arial"/>
          <w:color w:val="auto"/>
          <w:sz w:val="20"/>
          <w:szCs w:val="20"/>
        </w:rPr>
        <w:t xml:space="preserve">The Committee was concerned </w:t>
      </w:r>
      <w:r w:rsidR="0014357D" w:rsidRPr="005A505B">
        <w:rPr>
          <w:rFonts w:cs="Arial"/>
          <w:color w:val="auto"/>
          <w:sz w:val="20"/>
          <w:szCs w:val="20"/>
        </w:rPr>
        <w:t xml:space="preserve">that </w:t>
      </w:r>
      <w:r w:rsidRPr="005A505B">
        <w:rPr>
          <w:rFonts w:cs="Arial"/>
          <w:color w:val="auto"/>
          <w:sz w:val="20"/>
          <w:szCs w:val="20"/>
        </w:rPr>
        <w:t>termination of pregnancies</w:t>
      </w:r>
      <w:r w:rsidR="0014357D" w:rsidRPr="005A505B">
        <w:rPr>
          <w:rFonts w:cs="Arial"/>
          <w:color w:val="auto"/>
          <w:sz w:val="20"/>
          <w:szCs w:val="20"/>
        </w:rPr>
        <w:t xml:space="preserve"> was not accessible in some provinces</w:t>
      </w:r>
      <w:r w:rsidR="003C7C47" w:rsidRPr="005A505B">
        <w:rPr>
          <w:rFonts w:cs="Arial"/>
          <w:color w:val="auto"/>
          <w:sz w:val="20"/>
          <w:szCs w:val="20"/>
        </w:rPr>
        <w:t>, including the Eastern Cape</w:t>
      </w:r>
      <w:r w:rsidRPr="005A505B">
        <w:rPr>
          <w:rFonts w:cs="Arial"/>
          <w:color w:val="auto"/>
          <w:sz w:val="20"/>
          <w:szCs w:val="20"/>
        </w:rPr>
        <w:t xml:space="preserve"> and wanted to know what the </w:t>
      </w:r>
      <w:r w:rsidR="0014357D" w:rsidRPr="005A505B">
        <w:rPr>
          <w:rFonts w:cs="Arial"/>
          <w:color w:val="auto"/>
          <w:sz w:val="20"/>
          <w:szCs w:val="20"/>
        </w:rPr>
        <w:t xml:space="preserve">Department </w:t>
      </w:r>
      <w:r w:rsidRPr="005A505B">
        <w:rPr>
          <w:rFonts w:cs="Arial"/>
          <w:color w:val="auto"/>
          <w:sz w:val="20"/>
          <w:szCs w:val="20"/>
        </w:rPr>
        <w:t xml:space="preserve">was doing to </w:t>
      </w:r>
      <w:r w:rsidR="0014357D" w:rsidRPr="005A505B">
        <w:rPr>
          <w:rFonts w:cs="Arial"/>
          <w:color w:val="auto"/>
          <w:sz w:val="20"/>
          <w:szCs w:val="20"/>
        </w:rPr>
        <w:t>resolve the matter</w:t>
      </w:r>
      <w:r w:rsidRPr="005A505B">
        <w:rPr>
          <w:rFonts w:cs="Arial"/>
          <w:color w:val="auto"/>
          <w:sz w:val="20"/>
          <w:szCs w:val="20"/>
        </w:rPr>
        <w:t>.</w:t>
      </w:r>
    </w:p>
    <w:p w:rsidR="00A47A9C" w:rsidRPr="005A505B" w:rsidRDefault="00A47A9C" w:rsidP="005A505B">
      <w:pPr>
        <w:pStyle w:val="ListParagraph"/>
        <w:numPr>
          <w:ilvl w:val="0"/>
          <w:numId w:val="50"/>
        </w:numPr>
        <w:jc w:val="both"/>
        <w:rPr>
          <w:rFonts w:cs="Arial"/>
          <w:b/>
          <w:color w:val="auto"/>
          <w:sz w:val="20"/>
          <w:szCs w:val="20"/>
        </w:rPr>
      </w:pPr>
      <w:r w:rsidRPr="005A505B">
        <w:rPr>
          <w:rFonts w:cs="Arial"/>
          <w:color w:val="auto"/>
          <w:sz w:val="20"/>
          <w:szCs w:val="20"/>
        </w:rPr>
        <w:t xml:space="preserve">The Committee enquired about </w:t>
      </w:r>
      <w:r w:rsidR="00092432" w:rsidRPr="005A505B">
        <w:rPr>
          <w:rFonts w:cs="Arial"/>
          <w:color w:val="auto"/>
          <w:sz w:val="20"/>
          <w:szCs w:val="20"/>
        </w:rPr>
        <w:t>t</w:t>
      </w:r>
      <w:r w:rsidRPr="005A505B">
        <w:rPr>
          <w:rFonts w:cs="Arial"/>
          <w:color w:val="auto"/>
          <w:sz w:val="20"/>
          <w:szCs w:val="20"/>
        </w:rPr>
        <w:t>he plans put in place to change the trajectory of the increase in maternal mortality rates.</w:t>
      </w:r>
    </w:p>
    <w:p w:rsidR="00085255" w:rsidRPr="005A505B" w:rsidRDefault="00085255" w:rsidP="005A505B">
      <w:pPr>
        <w:pStyle w:val="ListParagraph"/>
        <w:numPr>
          <w:ilvl w:val="0"/>
          <w:numId w:val="50"/>
        </w:numPr>
        <w:jc w:val="both"/>
        <w:rPr>
          <w:rFonts w:cs="Arial"/>
          <w:b/>
          <w:color w:val="auto"/>
          <w:sz w:val="20"/>
          <w:szCs w:val="20"/>
        </w:rPr>
      </w:pPr>
      <w:r w:rsidRPr="005A505B">
        <w:rPr>
          <w:rFonts w:cs="Arial"/>
          <w:color w:val="auto"/>
          <w:sz w:val="20"/>
          <w:szCs w:val="20"/>
        </w:rPr>
        <w:t xml:space="preserve">The Committee enquired about the </w:t>
      </w:r>
      <w:r w:rsidR="00925E9F" w:rsidRPr="005A505B">
        <w:rPr>
          <w:rFonts w:cs="Arial"/>
          <w:color w:val="auto"/>
          <w:sz w:val="20"/>
          <w:szCs w:val="20"/>
        </w:rPr>
        <w:t>impact</w:t>
      </w:r>
      <w:r w:rsidRPr="005A505B">
        <w:rPr>
          <w:rFonts w:cs="Arial"/>
          <w:color w:val="auto"/>
          <w:sz w:val="20"/>
          <w:szCs w:val="20"/>
        </w:rPr>
        <w:t xml:space="preserve"> of health care treatment of undocumented immigrant on the planning and budgeting of the Department.</w:t>
      </w:r>
    </w:p>
    <w:p w:rsidR="007F2BA8" w:rsidRPr="005A505B" w:rsidRDefault="007F2BA8" w:rsidP="005A505B">
      <w:pPr>
        <w:jc w:val="both"/>
        <w:rPr>
          <w:rFonts w:cs="Arial"/>
          <w:b/>
          <w:color w:val="auto"/>
          <w:sz w:val="20"/>
          <w:szCs w:val="20"/>
        </w:rPr>
      </w:pPr>
    </w:p>
    <w:p w:rsidR="007F2BA8" w:rsidRPr="005A505B" w:rsidRDefault="007F2BA8" w:rsidP="005A505B">
      <w:pPr>
        <w:jc w:val="both"/>
        <w:rPr>
          <w:rFonts w:cs="Arial"/>
          <w:b/>
          <w:color w:val="auto"/>
          <w:sz w:val="20"/>
          <w:szCs w:val="20"/>
        </w:rPr>
      </w:pPr>
    </w:p>
    <w:p w:rsidR="00501C19" w:rsidRPr="005A505B" w:rsidRDefault="00501C19" w:rsidP="005A505B">
      <w:pPr>
        <w:pStyle w:val="Heading1"/>
        <w:numPr>
          <w:ilvl w:val="0"/>
          <w:numId w:val="53"/>
        </w:numPr>
        <w:rPr>
          <w:color w:val="auto"/>
        </w:rPr>
      </w:pPr>
      <w:bookmarkStart w:id="462" w:name="_Toc102064528"/>
      <w:bookmarkStart w:id="463" w:name="_Toc102119795"/>
      <w:bookmarkStart w:id="464" w:name="_Toc102119899"/>
      <w:bookmarkStart w:id="465" w:name="_Toc102119900"/>
      <w:bookmarkEnd w:id="462"/>
      <w:bookmarkEnd w:id="463"/>
      <w:bookmarkEnd w:id="464"/>
      <w:r w:rsidRPr="005A505B">
        <w:rPr>
          <w:color w:val="auto"/>
        </w:rPr>
        <w:t>CONSIDERATION OF THE APPs AND BUDGETS OF ENTITIES (2022/23)</w:t>
      </w:r>
      <w:bookmarkEnd w:id="465"/>
    </w:p>
    <w:p w:rsidR="00501C19" w:rsidRPr="005A505B" w:rsidRDefault="00501C19" w:rsidP="005A505B">
      <w:pPr>
        <w:jc w:val="both"/>
        <w:rPr>
          <w:rFonts w:cs="Arial"/>
          <w:color w:val="auto"/>
          <w:sz w:val="20"/>
          <w:szCs w:val="20"/>
        </w:rPr>
      </w:pPr>
    </w:p>
    <w:p w:rsidR="00501C19" w:rsidRPr="005A505B" w:rsidRDefault="00501C19" w:rsidP="005A505B">
      <w:pPr>
        <w:jc w:val="both"/>
        <w:rPr>
          <w:rFonts w:cs="Arial"/>
          <w:b/>
          <w:color w:val="auto"/>
          <w:sz w:val="20"/>
          <w:szCs w:val="20"/>
        </w:rPr>
      </w:pPr>
    </w:p>
    <w:p w:rsidR="00C81807" w:rsidRPr="005A505B" w:rsidRDefault="00C81807" w:rsidP="005A505B">
      <w:pPr>
        <w:pStyle w:val="Heading2"/>
        <w:numPr>
          <w:ilvl w:val="1"/>
          <w:numId w:val="53"/>
        </w:numPr>
        <w:rPr>
          <w:color w:val="auto"/>
          <w:sz w:val="20"/>
          <w:szCs w:val="20"/>
        </w:rPr>
      </w:pPr>
      <w:bookmarkStart w:id="466" w:name="_Toc102119901"/>
      <w:r w:rsidRPr="005A505B">
        <w:rPr>
          <w:color w:val="auto"/>
          <w:sz w:val="20"/>
          <w:szCs w:val="20"/>
        </w:rPr>
        <w:t>Compensation Commissioner for Occupational Diseases (CCOD)</w:t>
      </w:r>
      <w:bookmarkEnd w:id="466"/>
    </w:p>
    <w:p w:rsidR="00F55F38" w:rsidRPr="005A505B" w:rsidRDefault="00F55F38" w:rsidP="005A505B">
      <w:pPr>
        <w:jc w:val="both"/>
        <w:rPr>
          <w:rFonts w:cs="Arial"/>
          <w:b/>
          <w:color w:val="auto"/>
          <w:sz w:val="20"/>
          <w:szCs w:val="20"/>
        </w:rPr>
      </w:pPr>
    </w:p>
    <w:p w:rsidR="00AA6663" w:rsidRPr="005A505B" w:rsidRDefault="00AA6663" w:rsidP="005A505B">
      <w:pPr>
        <w:rPr>
          <w:rFonts w:cs="Arial"/>
          <w:b/>
          <w:color w:val="auto"/>
          <w:sz w:val="20"/>
          <w:szCs w:val="20"/>
        </w:rPr>
      </w:pPr>
      <w:bookmarkStart w:id="467" w:name="_Toc494459633"/>
    </w:p>
    <w:p w:rsidR="00C81807" w:rsidRPr="005A505B" w:rsidRDefault="00C81807" w:rsidP="005A505B">
      <w:pPr>
        <w:pStyle w:val="ListParagraph"/>
        <w:numPr>
          <w:ilvl w:val="2"/>
          <w:numId w:val="53"/>
        </w:numPr>
        <w:rPr>
          <w:rFonts w:cs="Arial"/>
          <w:color w:val="auto"/>
          <w:sz w:val="20"/>
          <w:szCs w:val="20"/>
        </w:rPr>
      </w:pPr>
      <w:r w:rsidRPr="005A505B">
        <w:rPr>
          <w:rFonts w:cs="Arial"/>
          <w:b/>
          <w:color w:val="auto"/>
          <w:sz w:val="20"/>
          <w:szCs w:val="20"/>
        </w:rPr>
        <w:t xml:space="preserve">Introduction </w:t>
      </w:r>
      <w:bookmarkEnd w:id="467"/>
      <w:r w:rsidRPr="005A505B">
        <w:rPr>
          <w:rFonts w:cs="Arial"/>
          <w:b/>
          <w:color w:val="auto"/>
          <w:sz w:val="20"/>
          <w:szCs w:val="20"/>
        </w:rPr>
        <w:t xml:space="preserve"> </w:t>
      </w:r>
    </w:p>
    <w:p w:rsidR="00C81807" w:rsidRPr="005A505B" w:rsidRDefault="00C81807" w:rsidP="005A505B">
      <w:pPr>
        <w:rPr>
          <w:rFonts w:cs="Arial"/>
          <w:color w:val="auto"/>
          <w:sz w:val="20"/>
          <w:szCs w:val="20"/>
        </w:rPr>
      </w:pPr>
    </w:p>
    <w:p w:rsidR="00C81807" w:rsidRPr="005A505B" w:rsidRDefault="00C81807" w:rsidP="005A505B">
      <w:pPr>
        <w:jc w:val="both"/>
        <w:rPr>
          <w:rFonts w:cs="Arial"/>
          <w:color w:val="auto"/>
          <w:sz w:val="20"/>
          <w:szCs w:val="20"/>
        </w:rPr>
      </w:pPr>
      <w:r w:rsidRPr="005A505B">
        <w:rPr>
          <w:rFonts w:cs="Arial"/>
          <w:color w:val="auto"/>
          <w:sz w:val="20"/>
          <w:szCs w:val="20"/>
        </w:rPr>
        <w:t>The Occupational Diseases in Mines and Works Act 1973, (No. 78 of 1973) (ODMWA) establishes the Compensation Commissioner for Occupational Diseases in Mines and Works (CCOD). The CCOD is a legislated entity of the National Department of Health (NDOH) and receives its appropriated share of voted funds from the National Treasury through NDOH. Given the enormous role of CCOD, its vision and mission are stated below as follow:</w:t>
      </w:r>
    </w:p>
    <w:p w:rsidR="00C81807" w:rsidRPr="005A505B" w:rsidRDefault="00C81807" w:rsidP="005A505B">
      <w:pPr>
        <w:rPr>
          <w:rFonts w:cs="Arial"/>
          <w:color w:val="auto"/>
          <w:sz w:val="20"/>
          <w:szCs w:val="20"/>
        </w:rPr>
      </w:pPr>
    </w:p>
    <w:p w:rsidR="00C81807" w:rsidRPr="005A505B" w:rsidRDefault="00C81807" w:rsidP="005A505B">
      <w:pPr>
        <w:pStyle w:val="ListParagraph"/>
        <w:numPr>
          <w:ilvl w:val="2"/>
          <w:numId w:val="53"/>
        </w:numPr>
        <w:rPr>
          <w:rFonts w:cs="Arial"/>
          <w:b/>
          <w:color w:val="auto"/>
          <w:spacing w:val="0"/>
          <w:sz w:val="20"/>
          <w:szCs w:val="20"/>
          <w:lang w:val="en-ZA" w:eastAsia="en-ZA"/>
        </w:rPr>
      </w:pPr>
      <w:r w:rsidRPr="005A505B">
        <w:rPr>
          <w:rFonts w:cs="Arial"/>
          <w:b/>
          <w:color w:val="auto"/>
          <w:spacing w:val="0"/>
          <w:sz w:val="20"/>
          <w:szCs w:val="20"/>
          <w:lang w:val="en-ZA" w:eastAsia="en-ZA"/>
        </w:rPr>
        <w:t xml:space="preserve">CCOD’s </w:t>
      </w:r>
      <w:r w:rsidR="00992AA8" w:rsidRPr="005A505B">
        <w:rPr>
          <w:rFonts w:cs="Arial"/>
          <w:b/>
          <w:color w:val="auto"/>
          <w:spacing w:val="0"/>
          <w:sz w:val="20"/>
          <w:szCs w:val="20"/>
          <w:lang w:val="en-ZA" w:eastAsia="en-ZA"/>
        </w:rPr>
        <w:t>Achievements over</w:t>
      </w:r>
      <w:r w:rsidRPr="005A505B">
        <w:rPr>
          <w:rFonts w:cs="Arial"/>
          <w:b/>
          <w:color w:val="auto"/>
          <w:spacing w:val="0"/>
          <w:sz w:val="20"/>
          <w:szCs w:val="20"/>
          <w:lang w:val="en-ZA" w:eastAsia="en-ZA"/>
        </w:rPr>
        <w:t xml:space="preserve"> time  </w:t>
      </w:r>
    </w:p>
    <w:p w:rsidR="00C81807" w:rsidRPr="005A505B" w:rsidRDefault="00C81807" w:rsidP="005A505B">
      <w:pPr>
        <w:rPr>
          <w:rFonts w:cs="Arial"/>
          <w:color w:val="auto"/>
          <w:spacing w:val="0"/>
          <w:sz w:val="20"/>
          <w:szCs w:val="20"/>
          <w:lang w:val="en-ZA" w:eastAsia="en-ZA"/>
        </w:rPr>
      </w:pPr>
    </w:p>
    <w:p w:rsidR="00C81807" w:rsidRPr="005A505B" w:rsidRDefault="00C81807" w:rsidP="005A505B">
      <w:pPr>
        <w:jc w:val="both"/>
        <w:rPr>
          <w:rFonts w:cs="Arial"/>
          <w:color w:val="auto"/>
          <w:spacing w:val="0"/>
          <w:sz w:val="20"/>
          <w:szCs w:val="20"/>
          <w:lang w:val="en-ZA" w:eastAsia="en-ZA"/>
        </w:rPr>
      </w:pPr>
      <w:r w:rsidRPr="005A505B">
        <w:rPr>
          <w:rFonts w:cs="Arial"/>
          <w:color w:val="auto"/>
          <w:spacing w:val="0"/>
          <w:sz w:val="20"/>
          <w:szCs w:val="20"/>
          <w:lang w:val="en-ZA" w:eastAsia="en-ZA"/>
        </w:rPr>
        <w:t>By the end of March 2021, CCOD</w:t>
      </w:r>
      <w:r w:rsidRPr="005A505B">
        <w:rPr>
          <w:rFonts w:cs="Arial"/>
          <w:color w:val="auto"/>
          <w:sz w:val="20"/>
          <w:szCs w:val="20"/>
        </w:rPr>
        <w:t xml:space="preserve"> </w:t>
      </w:r>
      <w:r w:rsidRPr="005A505B">
        <w:rPr>
          <w:rFonts w:cs="Arial"/>
          <w:color w:val="auto"/>
          <w:spacing w:val="0"/>
          <w:sz w:val="20"/>
          <w:szCs w:val="20"/>
          <w:lang w:val="en-ZA" w:eastAsia="en-ZA"/>
        </w:rPr>
        <w:t>reported the significant milestones, i.e. having its 2018/19 and 2019/20 annual financial statements signed-off by the Auditor-General of South Africa (AGSA) and committing to table these in Parliament in the 2022/23 fiscal year.</w:t>
      </w:r>
      <w:r w:rsidRPr="005A505B">
        <w:rPr>
          <w:rFonts w:cs="Arial"/>
          <w:color w:val="auto"/>
          <w:sz w:val="20"/>
          <w:szCs w:val="20"/>
        </w:rPr>
        <w:t xml:space="preserve"> </w:t>
      </w:r>
      <w:r w:rsidRPr="005A505B">
        <w:rPr>
          <w:rFonts w:cs="Arial"/>
          <w:color w:val="auto"/>
          <w:spacing w:val="0"/>
          <w:sz w:val="20"/>
          <w:szCs w:val="20"/>
          <w:lang w:val="en-ZA" w:eastAsia="en-ZA"/>
        </w:rPr>
        <w:t>Another milestone is completing the 2020/21 financial report, which is in the process of being audited by the AGSA. Also reported as an achievement is the completion of the valuation of the Mines and Works Compensation Fund by 31 March 2021 by the actuaries. One noticeable improvement for the entity was the inspection of 109 controlled mines and works by 31 December 2021 and the accurate submission of risk shift information and payments of levies by the mines and works.</w:t>
      </w:r>
      <w:r w:rsidRPr="005A505B">
        <w:rPr>
          <w:rFonts w:cs="Arial"/>
          <w:color w:val="auto"/>
          <w:sz w:val="20"/>
          <w:szCs w:val="20"/>
        </w:rPr>
        <w:t xml:space="preserve"> The </w:t>
      </w:r>
      <w:r w:rsidRPr="005A505B">
        <w:rPr>
          <w:rFonts w:cs="Arial"/>
          <w:color w:val="auto"/>
          <w:spacing w:val="0"/>
          <w:sz w:val="20"/>
          <w:szCs w:val="20"/>
          <w:lang w:val="en-ZA" w:eastAsia="en-ZA"/>
        </w:rPr>
        <w:t>CCOD also improved the registration of claims from 2,923 in 2020/21 to 5,054 in 2021/22, which shows more beneficiaries than prior years. Going forward, CCOD aims to submit its 2021/22 financial annual report to the Auditor-General in the 2022/23 fiscal year</w:t>
      </w:r>
    </w:p>
    <w:p w:rsidR="00C81807" w:rsidRPr="005A505B" w:rsidRDefault="00C81807" w:rsidP="005A505B">
      <w:pPr>
        <w:rPr>
          <w:rFonts w:cs="Arial"/>
          <w:color w:val="auto"/>
          <w:sz w:val="20"/>
          <w:szCs w:val="20"/>
        </w:rPr>
      </w:pPr>
    </w:p>
    <w:p w:rsidR="00C81807" w:rsidRPr="005A505B" w:rsidRDefault="00C81807" w:rsidP="005A505B">
      <w:pPr>
        <w:pStyle w:val="ListParagraph"/>
        <w:numPr>
          <w:ilvl w:val="2"/>
          <w:numId w:val="53"/>
        </w:numPr>
        <w:rPr>
          <w:rFonts w:cs="Arial"/>
          <w:b/>
          <w:color w:val="auto"/>
          <w:sz w:val="20"/>
          <w:szCs w:val="20"/>
        </w:rPr>
      </w:pPr>
      <w:r w:rsidRPr="005A505B">
        <w:rPr>
          <w:rFonts w:cs="Arial"/>
          <w:b/>
          <w:bCs/>
          <w:color w:val="auto"/>
          <w:sz w:val="20"/>
          <w:szCs w:val="20"/>
        </w:rPr>
        <w:t xml:space="preserve">CCOD’S Priorities for the 2022/23 Fiscal Year  </w:t>
      </w:r>
    </w:p>
    <w:p w:rsidR="00C81807" w:rsidRPr="005A505B" w:rsidRDefault="00C81807" w:rsidP="005A505B">
      <w:pPr>
        <w:rPr>
          <w:rFonts w:cs="Arial"/>
          <w:color w:val="auto"/>
          <w:sz w:val="20"/>
          <w:szCs w:val="20"/>
        </w:rPr>
      </w:pPr>
    </w:p>
    <w:p w:rsidR="00C81807" w:rsidRPr="005A505B" w:rsidRDefault="00C81807" w:rsidP="005A505B">
      <w:pPr>
        <w:jc w:val="both"/>
        <w:rPr>
          <w:rFonts w:cs="Arial"/>
          <w:color w:val="auto"/>
          <w:sz w:val="20"/>
          <w:szCs w:val="20"/>
        </w:rPr>
      </w:pPr>
      <w:r w:rsidRPr="005A505B">
        <w:rPr>
          <w:rFonts w:cs="Arial"/>
          <w:color w:val="auto"/>
          <w:sz w:val="20"/>
          <w:szCs w:val="20"/>
        </w:rPr>
        <w:t>During the period of 2021/22 to 2024/25, CCOD intends to achieve the following priorities:</w:t>
      </w:r>
    </w:p>
    <w:p w:rsidR="00C81807" w:rsidRPr="005A505B" w:rsidRDefault="00C81807" w:rsidP="005A505B">
      <w:pPr>
        <w:jc w:val="both"/>
        <w:rPr>
          <w:rFonts w:cs="Arial"/>
          <w:color w:val="auto"/>
          <w:sz w:val="20"/>
          <w:szCs w:val="20"/>
        </w:rPr>
      </w:pPr>
    </w:p>
    <w:p w:rsidR="00C81807" w:rsidRPr="005A505B" w:rsidRDefault="00C81807" w:rsidP="005A505B">
      <w:pPr>
        <w:pStyle w:val="ListParagraph"/>
        <w:numPr>
          <w:ilvl w:val="0"/>
          <w:numId w:val="99"/>
        </w:numPr>
        <w:jc w:val="both"/>
        <w:rPr>
          <w:rFonts w:cs="Arial"/>
          <w:color w:val="auto"/>
          <w:sz w:val="20"/>
          <w:szCs w:val="20"/>
        </w:rPr>
      </w:pPr>
      <w:r w:rsidRPr="005A505B">
        <w:rPr>
          <w:rFonts w:cs="Arial"/>
          <w:color w:val="auto"/>
          <w:sz w:val="20"/>
          <w:szCs w:val="20"/>
        </w:rPr>
        <w:t>Expansion of the electronic claims management system.</w:t>
      </w:r>
    </w:p>
    <w:p w:rsidR="00C81807" w:rsidRPr="005A505B" w:rsidRDefault="00C81807" w:rsidP="005A505B">
      <w:pPr>
        <w:pStyle w:val="ListParagraph"/>
        <w:numPr>
          <w:ilvl w:val="0"/>
          <w:numId w:val="99"/>
        </w:numPr>
        <w:jc w:val="both"/>
        <w:rPr>
          <w:rFonts w:cs="Arial"/>
          <w:color w:val="auto"/>
          <w:sz w:val="20"/>
          <w:szCs w:val="20"/>
        </w:rPr>
      </w:pPr>
      <w:r w:rsidRPr="005A505B">
        <w:rPr>
          <w:rFonts w:cs="Arial"/>
          <w:color w:val="auto"/>
          <w:sz w:val="20"/>
          <w:szCs w:val="20"/>
        </w:rPr>
        <w:t xml:space="preserve">Submission to the Director-General of Health </w:t>
      </w:r>
      <w:r w:rsidR="00AA6663" w:rsidRPr="005A505B">
        <w:rPr>
          <w:rFonts w:cs="Arial"/>
          <w:color w:val="auto"/>
          <w:sz w:val="20"/>
          <w:szCs w:val="20"/>
        </w:rPr>
        <w:t>the</w:t>
      </w:r>
      <w:r w:rsidRPr="005A505B">
        <w:rPr>
          <w:rFonts w:cs="Arial"/>
          <w:color w:val="auto"/>
          <w:sz w:val="20"/>
          <w:szCs w:val="20"/>
        </w:rPr>
        <w:t xml:space="preserve"> amendments to the ODMWA.</w:t>
      </w:r>
    </w:p>
    <w:p w:rsidR="00C81807" w:rsidRPr="005A505B" w:rsidRDefault="00C81807" w:rsidP="005A505B">
      <w:pPr>
        <w:pStyle w:val="ListParagraph"/>
        <w:numPr>
          <w:ilvl w:val="0"/>
          <w:numId w:val="99"/>
        </w:numPr>
        <w:jc w:val="both"/>
        <w:rPr>
          <w:rFonts w:cs="Arial"/>
          <w:color w:val="auto"/>
          <w:sz w:val="20"/>
          <w:szCs w:val="20"/>
        </w:rPr>
      </w:pPr>
      <w:r w:rsidRPr="005A505B">
        <w:rPr>
          <w:rFonts w:cs="Arial"/>
          <w:color w:val="auto"/>
          <w:sz w:val="20"/>
          <w:szCs w:val="20"/>
        </w:rPr>
        <w:t>Maintenance of the database covering current workers in controlled mines and works.</w:t>
      </w:r>
    </w:p>
    <w:p w:rsidR="00C81807" w:rsidRPr="005A505B" w:rsidRDefault="00C81807" w:rsidP="005A505B">
      <w:pPr>
        <w:pStyle w:val="ListParagraph"/>
        <w:numPr>
          <w:ilvl w:val="0"/>
          <w:numId w:val="99"/>
        </w:numPr>
        <w:jc w:val="both"/>
        <w:rPr>
          <w:rFonts w:cs="Arial"/>
          <w:color w:val="auto"/>
          <w:sz w:val="20"/>
          <w:szCs w:val="20"/>
        </w:rPr>
      </w:pPr>
      <w:r w:rsidRPr="005A505B">
        <w:rPr>
          <w:rFonts w:cs="Arial"/>
          <w:color w:val="auto"/>
          <w:sz w:val="20"/>
          <w:szCs w:val="20"/>
        </w:rPr>
        <w:t>Working closely with stakeholders and social partners to resolve many of the legacy challenges facing the CCOD.</w:t>
      </w:r>
    </w:p>
    <w:p w:rsidR="00C81807" w:rsidRPr="005A505B" w:rsidRDefault="00C81807" w:rsidP="005A505B">
      <w:pPr>
        <w:jc w:val="both"/>
        <w:rPr>
          <w:rFonts w:cs="Arial"/>
          <w:color w:val="auto"/>
          <w:sz w:val="20"/>
          <w:szCs w:val="20"/>
        </w:rPr>
      </w:pPr>
    </w:p>
    <w:p w:rsidR="00722B24" w:rsidRPr="005A505B" w:rsidRDefault="00722B24" w:rsidP="005A505B">
      <w:pPr>
        <w:rPr>
          <w:rFonts w:cs="Arial"/>
          <w:color w:val="auto"/>
          <w:sz w:val="20"/>
          <w:szCs w:val="20"/>
        </w:rPr>
      </w:pPr>
    </w:p>
    <w:p w:rsidR="00722B24" w:rsidRPr="005A505B" w:rsidRDefault="00722B24" w:rsidP="005A505B">
      <w:pPr>
        <w:rPr>
          <w:rFonts w:cs="Arial"/>
          <w:color w:val="auto"/>
          <w:sz w:val="20"/>
          <w:szCs w:val="20"/>
        </w:rPr>
      </w:pPr>
    </w:p>
    <w:p w:rsidR="00C81807" w:rsidRPr="005A505B" w:rsidRDefault="00C81807" w:rsidP="005A505B">
      <w:pPr>
        <w:rPr>
          <w:rFonts w:cs="Arial"/>
          <w:color w:val="auto"/>
          <w:sz w:val="20"/>
          <w:szCs w:val="20"/>
        </w:rPr>
      </w:pPr>
    </w:p>
    <w:p w:rsidR="00C81807" w:rsidRPr="005A505B" w:rsidRDefault="00C81807" w:rsidP="005A505B">
      <w:pPr>
        <w:pStyle w:val="ListParagraph"/>
        <w:numPr>
          <w:ilvl w:val="2"/>
          <w:numId w:val="53"/>
        </w:numPr>
        <w:rPr>
          <w:rFonts w:cs="Arial"/>
          <w:b/>
          <w:color w:val="auto"/>
          <w:sz w:val="20"/>
          <w:szCs w:val="20"/>
        </w:rPr>
      </w:pPr>
      <w:r w:rsidRPr="005A505B">
        <w:rPr>
          <w:rFonts w:cs="Arial"/>
          <w:b/>
          <w:bCs/>
          <w:color w:val="auto"/>
          <w:sz w:val="20"/>
          <w:szCs w:val="20"/>
        </w:rPr>
        <w:lastRenderedPageBreak/>
        <w:t>Situational Analysis</w:t>
      </w:r>
    </w:p>
    <w:p w:rsidR="00C81807" w:rsidRPr="005A505B" w:rsidRDefault="00C81807" w:rsidP="005A505B">
      <w:pPr>
        <w:rPr>
          <w:rFonts w:cs="Arial"/>
          <w:color w:val="auto"/>
          <w:sz w:val="20"/>
          <w:szCs w:val="20"/>
        </w:rPr>
      </w:pPr>
    </w:p>
    <w:p w:rsidR="00C81807" w:rsidRPr="005A505B" w:rsidRDefault="00C81807" w:rsidP="005A505B">
      <w:pPr>
        <w:jc w:val="both"/>
        <w:rPr>
          <w:rFonts w:cs="Arial"/>
          <w:color w:val="auto"/>
          <w:sz w:val="20"/>
          <w:szCs w:val="20"/>
        </w:rPr>
      </w:pPr>
      <w:r w:rsidRPr="005A505B">
        <w:rPr>
          <w:rFonts w:cs="Arial"/>
          <w:color w:val="auto"/>
          <w:sz w:val="20"/>
          <w:szCs w:val="20"/>
        </w:rPr>
        <w:t xml:space="preserve">Over the years, </w:t>
      </w:r>
      <w:r w:rsidR="00787D7E" w:rsidRPr="005A505B">
        <w:rPr>
          <w:rFonts w:cs="Arial"/>
          <w:color w:val="auto"/>
          <w:sz w:val="20"/>
          <w:szCs w:val="20"/>
        </w:rPr>
        <w:t xml:space="preserve">the </w:t>
      </w:r>
      <w:r w:rsidRPr="005A505B">
        <w:rPr>
          <w:rFonts w:cs="Arial"/>
          <w:color w:val="auto"/>
          <w:sz w:val="20"/>
          <w:szCs w:val="20"/>
        </w:rPr>
        <w:t>CCOD has reported that its legislation is outdated and requires amendment. Due to its outdated legislation, CCOD is the only entity in the NDOH that has its administration costs, i.e. personnel, operational and infrastructure operations being controlled by the NDOH. As reported earlier, CCOD has undertaken to rectify the legislative defects by submitting amendments to ODMWA to the Director-General of Health during the 2022/23 fiscal year. Also reported in 2021/22 APP is that CCOD requires urgent attention, given the impediments that hamper it from attaining its full potential. The following are standing challenges at CCOD:</w:t>
      </w:r>
    </w:p>
    <w:p w:rsidR="00C81807" w:rsidRPr="005A505B" w:rsidRDefault="00C81807" w:rsidP="005A505B">
      <w:pPr>
        <w:jc w:val="both"/>
        <w:rPr>
          <w:rFonts w:cs="Arial"/>
          <w:color w:val="auto"/>
          <w:sz w:val="20"/>
          <w:szCs w:val="20"/>
        </w:rPr>
      </w:pPr>
      <w:r w:rsidRPr="005A505B">
        <w:rPr>
          <w:rFonts w:cs="Arial"/>
          <w:color w:val="auto"/>
          <w:sz w:val="20"/>
          <w:szCs w:val="20"/>
        </w:rPr>
        <w:t xml:space="preserve"> </w:t>
      </w:r>
    </w:p>
    <w:p w:rsidR="00C81807" w:rsidRPr="005A505B" w:rsidRDefault="00C81807" w:rsidP="005A505B">
      <w:pPr>
        <w:pStyle w:val="ListParagraph"/>
        <w:numPr>
          <w:ilvl w:val="0"/>
          <w:numId w:val="100"/>
        </w:numPr>
        <w:jc w:val="both"/>
        <w:rPr>
          <w:rFonts w:cs="Arial"/>
          <w:color w:val="auto"/>
          <w:sz w:val="20"/>
          <w:szCs w:val="20"/>
        </w:rPr>
      </w:pPr>
      <w:r w:rsidRPr="005A505B">
        <w:rPr>
          <w:rFonts w:cs="Arial"/>
          <w:color w:val="auto"/>
          <w:sz w:val="20"/>
          <w:szCs w:val="20"/>
        </w:rPr>
        <w:t xml:space="preserve">No specialised personnel within its structure. </w:t>
      </w:r>
    </w:p>
    <w:p w:rsidR="00C81807" w:rsidRPr="005A505B" w:rsidRDefault="00C81807" w:rsidP="005A505B">
      <w:pPr>
        <w:pStyle w:val="ListParagraph"/>
        <w:numPr>
          <w:ilvl w:val="0"/>
          <w:numId w:val="100"/>
        </w:numPr>
        <w:jc w:val="both"/>
        <w:rPr>
          <w:rFonts w:cs="Arial"/>
          <w:color w:val="auto"/>
          <w:sz w:val="20"/>
          <w:szCs w:val="20"/>
        </w:rPr>
      </w:pPr>
      <w:r w:rsidRPr="005A505B">
        <w:rPr>
          <w:rFonts w:cs="Arial"/>
          <w:color w:val="auto"/>
          <w:sz w:val="20"/>
          <w:szCs w:val="20"/>
        </w:rPr>
        <w:t xml:space="preserve">Relies from Minerals Council South Africa for support on specialised personnel. </w:t>
      </w:r>
    </w:p>
    <w:p w:rsidR="00C81807" w:rsidRPr="005A505B" w:rsidRDefault="00C81807" w:rsidP="005A505B">
      <w:pPr>
        <w:pStyle w:val="ListParagraph"/>
        <w:numPr>
          <w:ilvl w:val="0"/>
          <w:numId w:val="100"/>
        </w:numPr>
        <w:jc w:val="both"/>
        <w:rPr>
          <w:rFonts w:cs="Arial"/>
          <w:color w:val="auto"/>
          <w:sz w:val="20"/>
          <w:szCs w:val="20"/>
        </w:rPr>
      </w:pPr>
      <w:r w:rsidRPr="005A505B">
        <w:rPr>
          <w:rFonts w:cs="Arial"/>
          <w:color w:val="auto"/>
          <w:sz w:val="20"/>
          <w:szCs w:val="20"/>
        </w:rPr>
        <w:t>A less optimally functioning Risk Committee for identification of mines and works.</w:t>
      </w:r>
    </w:p>
    <w:p w:rsidR="00C81807" w:rsidRPr="005A505B" w:rsidRDefault="00C81807" w:rsidP="005A505B">
      <w:pPr>
        <w:pStyle w:val="ListParagraph"/>
        <w:numPr>
          <w:ilvl w:val="0"/>
          <w:numId w:val="100"/>
        </w:numPr>
        <w:jc w:val="both"/>
        <w:rPr>
          <w:rFonts w:cs="Arial"/>
          <w:color w:val="auto"/>
          <w:sz w:val="20"/>
          <w:szCs w:val="20"/>
        </w:rPr>
      </w:pPr>
      <w:r w:rsidRPr="005A505B">
        <w:rPr>
          <w:rFonts w:cs="Arial"/>
          <w:color w:val="auto"/>
          <w:sz w:val="20"/>
          <w:szCs w:val="20"/>
        </w:rPr>
        <w:t>A deficit on medical, finance and information technology personnel, including maintenance of the database with approximately 1.1 million claimant files.</w:t>
      </w:r>
    </w:p>
    <w:p w:rsidR="00C81807" w:rsidRPr="005A505B" w:rsidRDefault="00C81807" w:rsidP="005A505B">
      <w:pPr>
        <w:rPr>
          <w:rFonts w:cs="Arial"/>
          <w:b/>
          <w:color w:val="auto"/>
          <w:sz w:val="20"/>
          <w:szCs w:val="20"/>
        </w:rPr>
      </w:pPr>
    </w:p>
    <w:p w:rsidR="00C81807" w:rsidRPr="005A505B" w:rsidRDefault="00F55F38" w:rsidP="005A505B">
      <w:pPr>
        <w:pStyle w:val="ListParagraph"/>
        <w:numPr>
          <w:ilvl w:val="2"/>
          <w:numId w:val="53"/>
        </w:numPr>
        <w:rPr>
          <w:rFonts w:cs="Arial"/>
          <w:color w:val="auto"/>
          <w:sz w:val="20"/>
          <w:szCs w:val="20"/>
        </w:rPr>
      </w:pPr>
      <w:r w:rsidRPr="005A505B">
        <w:rPr>
          <w:rFonts w:cs="Arial"/>
          <w:b/>
          <w:bCs/>
          <w:color w:val="auto"/>
          <w:sz w:val="20"/>
          <w:szCs w:val="20"/>
        </w:rPr>
        <w:t xml:space="preserve">Performance Information for </w:t>
      </w:r>
      <w:r w:rsidR="00C81807" w:rsidRPr="005A505B">
        <w:rPr>
          <w:rFonts w:cs="Arial"/>
          <w:b/>
          <w:bCs/>
          <w:color w:val="auto"/>
          <w:sz w:val="20"/>
          <w:szCs w:val="20"/>
        </w:rPr>
        <w:t>2022/23</w:t>
      </w:r>
      <w:r w:rsidRPr="005A505B">
        <w:rPr>
          <w:rFonts w:cs="Arial"/>
          <w:b/>
          <w:bCs/>
          <w:color w:val="auto"/>
          <w:sz w:val="20"/>
          <w:szCs w:val="20"/>
        </w:rPr>
        <w:t xml:space="preserve"> </w:t>
      </w:r>
    </w:p>
    <w:p w:rsidR="00C81807" w:rsidRPr="005A505B" w:rsidRDefault="00C81807" w:rsidP="005A505B">
      <w:pPr>
        <w:rPr>
          <w:rFonts w:cs="Arial"/>
          <w:color w:val="auto"/>
          <w:sz w:val="20"/>
          <w:szCs w:val="20"/>
        </w:rPr>
      </w:pPr>
    </w:p>
    <w:p w:rsidR="00C81807" w:rsidRPr="005A505B" w:rsidRDefault="00C81807" w:rsidP="005A505B">
      <w:pPr>
        <w:jc w:val="both"/>
        <w:rPr>
          <w:rFonts w:cs="Arial"/>
          <w:color w:val="auto"/>
          <w:sz w:val="20"/>
          <w:szCs w:val="20"/>
        </w:rPr>
      </w:pPr>
      <w:r w:rsidRPr="005A505B">
        <w:rPr>
          <w:rFonts w:cs="Arial"/>
          <w:color w:val="auto"/>
          <w:sz w:val="20"/>
          <w:szCs w:val="20"/>
        </w:rPr>
        <w:t xml:space="preserve">CCOD has four programmes to execute its mandate, 1) Administration, 2) Compensation of Pensioners, 3) Compensation of Ex-miners, </w:t>
      </w:r>
      <w:r w:rsidR="001D08EA" w:rsidRPr="005A505B">
        <w:rPr>
          <w:rFonts w:cs="Arial"/>
          <w:color w:val="auto"/>
          <w:sz w:val="20"/>
          <w:szCs w:val="20"/>
        </w:rPr>
        <w:t xml:space="preserve">and </w:t>
      </w:r>
      <w:r w:rsidRPr="005A505B">
        <w:rPr>
          <w:rFonts w:cs="Arial"/>
          <w:color w:val="auto"/>
          <w:sz w:val="20"/>
          <w:szCs w:val="20"/>
        </w:rPr>
        <w:t xml:space="preserve">4) Compensation of Tuberculosis. </w:t>
      </w:r>
    </w:p>
    <w:p w:rsidR="00C81807" w:rsidRPr="005A505B" w:rsidRDefault="00C81807" w:rsidP="005A505B">
      <w:pPr>
        <w:jc w:val="both"/>
        <w:rPr>
          <w:rFonts w:cs="Arial"/>
          <w:color w:val="auto"/>
          <w:sz w:val="20"/>
          <w:szCs w:val="20"/>
        </w:rPr>
      </w:pPr>
    </w:p>
    <w:p w:rsidR="00C81807" w:rsidRPr="005A505B" w:rsidRDefault="00C81807" w:rsidP="005A505B">
      <w:pPr>
        <w:jc w:val="both"/>
        <w:rPr>
          <w:rFonts w:cs="Arial"/>
          <w:color w:val="auto"/>
          <w:sz w:val="20"/>
          <w:szCs w:val="20"/>
        </w:rPr>
      </w:pPr>
      <w:r w:rsidRPr="005A505B">
        <w:rPr>
          <w:rFonts w:cs="Arial"/>
          <w:color w:val="auto"/>
          <w:sz w:val="20"/>
          <w:szCs w:val="20"/>
        </w:rPr>
        <w:t>In the past, CCOD had a short-term Eastern Cape Project, which is currently defunct as it has reached its objective. The following table provides performance indicators stating the Outcome, Output Indicator and Estimated Performance / Targets.</w:t>
      </w:r>
    </w:p>
    <w:p w:rsidR="00C81807" w:rsidRPr="005A505B" w:rsidRDefault="00C81807" w:rsidP="005A505B">
      <w:pPr>
        <w:rPr>
          <w:rFonts w:cs="Arial"/>
          <w:color w:val="auto"/>
          <w:sz w:val="20"/>
          <w:szCs w:val="20"/>
        </w:rPr>
      </w:pPr>
    </w:p>
    <w:p w:rsidR="00C81807" w:rsidRPr="005A505B" w:rsidRDefault="00C81807" w:rsidP="005A505B">
      <w:pPr>
        <w:rPr>
          <w:rFonts w:cs="Arial"/>
          <w:b/>
          <w:color w:val="auto"/>
          <w:sz w:val="20"/>
          <w:szCs w:val="20"/>
        </w:rPr>
      </w:pPr>
      <w:r w:rsidRPr="005A505B">
        <w:rPr>
          <w:rFonts w:cs="Arial"/>
          <w:b/>
          <w:color w:val="auto"/>
          <w:sz w:val="20"/>
          <w:szCs w:val="20"/>
        </w:rPr>
        <w:t xml:space="preserve">Table </w:t>
      </w:r>
      <w:r w:rsidR="002D51D1" w:rsidRPr="005A505B">
        <w:rPr>
          <w:rFonts w:cs="Arial"/>
          <w:b/>
          <w:color w:val="auto"/>
          <w:sz w:val="20"/>
          <w:szCs w:val="20"/>
        </w:rPr>
        <w:t>6</w:t>
      </w:r>
      <w:r w:rsidRPr="005A505B">
        <w:rPr>
          <w:rFonts w:cs="Arial"/>
          <w:b/>
          <w:color w:val="auto"/>
          <w:sz w:val="20"/>
          <w:szCs w:val="20"/>
        </w:rPr>
        <w:t>: Performance indicators and targets 2022/23</w:t>
      </w:r>
    </w:p>
    <w:tbl>
      <w:tblPr>
        <w:tblStyle w:val="TableGrid"/>
        <w:tblW w:w="9918" w:type="dxa"/>
        <w:tblLook w:val="04A0"/>
      </w:tblPr>
      <w:tblGrid>
        <w:gridCol w:w="2505"/>
        <w:gridCol w:w="3444"/>
        <w:gridCol w:w="3969"/>
      </w:tblGrid>
      <w:tr w:rsidR="00F55F38" w:rsidRPr="005A505B" w:rsidTr="002E66DA">
        <w:tc>
          <w:tcPr>
            <w:tcW w:w="2505" w:type="dxa"/>
            <w:shd w:val="clear" w:color="auto" w:fill="DAEEF3" w:themeFill="accent5" w:themeFillTint="33"/>
          </w:tcPr>
          <w:p w:rsidR="00F55F38" w:rsidRPr="005A505B" w:rsidRDefault="00F55F38" w:rsidP="005A505B">
            <w:pPr>
              <w:rPr>
                <w:rFonts w:cs="Arial"/>
                <w:b/>
                <w:color w:val="auto"/>
                <w:sz w:val="20"/>
                <w:szCs w:val="20"/>
              </w:rPr>
            </w:pPr>
          </w:p>
          <w:p w:rsidR="00F55F38" w:rsidRPr="005A505B" w:rsidRDefault="00F55F38" w:rsidP="005A505B">
            <w:pPr>
              <w:rPr>
                <w:rFonts w:cs="Arial"/>
                <w:b/>
                <w:color w:val="auto"/>
                <w:sz w:val="20"/>
                <w:szCs w:val="20"/>
              </w:rPr>
            </w:pPr>
            <w:r w:rsidRPr="005A505B">
              <w:rPr>
                <w:rFonts w:cs="Arial"/>
                <w:b/>
                <w:color w:val="auto"/>
                <w:sz w:val="20"/>
                <w:szCs w:val="20"/>
              </w:rPr>
              <w:t>Outcome</w:t>
            </w:r>
          </w:p>
        </w:tc>
        <w:tc>
          <w:tcPr>
            <w:tcW w:w="3444" w:type="dxa"/>
            <w:shd w:val="clear" w:color="auto" w:fill="DAEEF3" w:themeFill="accent5" w:themeFillTint="33"/>
          </w:tcPr>
          <w:p w:rsidR="00F55F38" w:rsidRPr="005A505B" w:rsidRDefault="00F55F38" w:rsidP="005A505B">
            <w:pPr>
              <w:rPr>
                <w:rFonts w:cs="Arial"/>
                <w:b/>
                <w:color w:val="auto"/>
                <w:sz w:val="20"/>
                <w:szCs w:val="20"/>
              </w:rPr>
            </w:pPr>
          </w:p>
          <w:p w:rsidR="00F55F38" w:rsidRPr="005A505B" w:rsidRDefault="00F55F38" w:rsidP="005A505B">
            <w:pPr>
              <w:rPr>
                <w:rFonts w:cs="Arial"/>
                <w:b/>
                <w:color w:val="auto"/>
                <w:sz w:val="20"/>
                <w:szCs w:val="20"/>
              </w:rPr>
            </w:pPr>
            <w:r w:rsidRPr="005A505B">
              <w:rPr>
                <w:rFonts w:cs="Arial"/>
                <w:b/>
                <w:color w:val="auto"/>
                <w:sz w:val="20"/>
                <w:szCs w:val="20"/>
              </w:rPr>
              <w:t>Output Indicator</w:t>
            </w:r>
          </w:p>
        </w:tc>
        <w:tc>
          <w:tcPr>
            <w:tcW w:w="3969" w:type="dxa"/>
            <w:shd w:val="clear" w:color="auto" w:fill="DAEEF3" w:themeFill="accent5" w:themeFillTint="33"/>
          </w:tcPr>
          <w:p w:rsidR="00F55F38" w:rsidRPr="005A505B" w:rsidRDefault="00F55F38" w:rsidP="005A505B">
            <w:pPr>
              <w:rPr>
                <w:rFonts w:cs="Arial"/>
                <w:b/>
                <w:color w:val="auto"/>
                <w:sz w:val="20"/>
                <w:szCs w:val="20"/>
              </w:rPr>
            </w:pPr>
          </w:p>
          <w:p w:rsidR="00F55F38" w:rsidRPr="005A505B" w:rsidRDefault="00F55F38" w:rsidP="005A505B">
            <w:pPr>
              <w:rPr>
                <w:rFonts w:cs="Arial"/>
                <w:b/>
                <w:color w:val="auto"/>
                <w:sz w:val="20"/>
                <w:szCs w:val="20"/>
              </w:rPr>
            </w:pPr>
            <w:r w:rsidRPr="005A505B">
              <w:rPr>
                <w:rFonts w:cs="Arial"/>
                <w:b/>
                <w:color w:val="auto"/>
                <w:sz w:val="20"/>
                <w:szCs w:val="20"/>
              </w:rPr>
              <w:t>Targets</w:t>
            </w:r>
          </w:p>
          <w:p w:rsidR="00F55F38" w:rsidRPr="005A505B" w:rsidRDefault="00F55F38" w:rsidP="005A505B">
            <w:pPr>
              <w:rPr>
                <w:rFonts w:cs="Arial"/>
                <w:b/>
                <w:color w:val="auto"/>
                <w:sz w:val="20"/>
                <w:szCs w:val="20"/>
              </w:rPr>
            </w:pPr>
          </w:p>
        </w:tc>
      </w:tr>
      <w:tr w:rsidR="00F55F38" w:rsidRPr="005A505B" w:rsidTr="00F55F38">
        <w:tc>
          <w:tcPr>
            <w:tcW w:w="2505" w:type="dxa"/>
          </w:tcPr>
          <w:p w:rsidR="00F55F38" w:rsidRPr="005A505B" w:rsidRDefault="00F55F38" w:rsidP="005A505B">
            <w:pPr>
              <w:rPr>
                <w:rFonts w:cs="Arial"/>
                <w:color w:val="auto"/>
                <w:sz w:val="20"/>
                <w:szCs w:val="20"/>
              </w:rPr>
            </w:pPr>
            <w:r w:rsidRPr="005A505B">
              <w:rPr>
                <w:rFonts w:cs="Arial"/>
                <w:color w:val="auto"/>
                <w:sz w:val="20"/>
                <w:szCs w:val="20"/>
              </w:rPr>
              <w:t>Submission of amendments to ODMWA to the Director-General of the National Department of Health</w:t>
            </w:r>
          </w:p>
        </w:tc>
        <w:tc>
          <w:tcPr>
            <w:tcW w:w="3444" w:type="dxa"/>
          </w:tcPr>
          <w:p w:rsidR="00F55F38" w:rsidRPr="005A505B" w:rsidRDefault="00F55F38" w:rsidP="005A505B">
            <w:pPr>
              <w:rPr>
                <w:rFonts w:cs="Arial"/>
                <w:color w:val="auto"/>
                <w:sz w:val="20"/>
                <w:szCs w:val="20"/>
              </w:rPr>
            </w:pPr>
            <w:r w:rsidRPr="005A505B">
              <w:rPr>
                <w:rFonts w:cs="Arial"/>
                <w:color w:val="auto"/>
                <w:sz w:val="20"/>
                <w:szCs w:val="20"/>
              </w:rPr>
              <w:t>Report on the submission of amendments to the Director-General of the National Department of Health</w:t>
            </w:r>
          </w:p>
          <w:p w:rsidR="00F55F38" w:rsidRPr="005A505B" w:rsidRDefault="00F55F38" w:rsidP="005A505B">
            <w:pPr>
              <w:rPr>
                <w:rFonts w:cs="Arial"/>
                <w:color w:val="auto"/>
                <w:sz w:val="20"/>
                <w:szCs w:val="20"/>
              </w:rPr>
            </w:pPr>
          </w:p>
        </w:tc>
        <w:tc>
          <w:tcPr>
            <w:tcW w:w="3969" w:type="dxa"/>
          </w:tcPr>
          <w:p w:rsidR="00F55F38" w:rsidRPr="005A505B" w:rsidRDefault="00F55F38" w:rsidP="005A505B">
            <w:pPr>
              <w:rPr>
                <w:rFonts w:cs="Arial"/>
                <w:color w:val="auto"/>
                <w:sz w:val="20"/>
                <w:szCs w:val="20"/>
              </w:rPr>
            </w:pPr>
            <w:r w:rsidRPr="005A505B">
              <w:rPr>
                <w:rFonts w:cs="Arial"/>
                <w:color w:val="auto"/>
                <w:sz w:val="20"/>
                <w:szCs w:val="20"/>
              </w:rPr>
              <w:t>Submission of amendments to ODMWA to the Director-General of the National Department of Health.</w:t>
            </w:r>
          </w:p>
          <w:p w:rsidR="00F55F38" w:rsidRPr="005A505B" w:rsidRDefault="00F55F38" w:rsidP="005A505B">
            <w:pPr>
              <w:rPr>
                <w:rFonts w:cs="Arial"/>
                <w:color w:val="auto"/>
                <w:sz w:val="20"/>
                <w:szCs w:val="20"/>
              </w:rPr>
            </w:pPr>
          </w:p>
        </w:tc>
      </w:tr>
      <w:tr w:rsidR="00F55F38" w:rsidRPr="005A505B" w:rsidTr="00F55F38">
        <w:tc>
          <w:tcPr>
            <w:tcW w:w="2505" w:type="dxa"/>
            <w:vMerge w:val="restart"/>
          </w:tcPr>
          <w:p w:rsidR="00F55F38" w:rsidRPr="005A505B" w:rsidRDefault="00F55F38" w:rsidP="005A505B">
            <w:pPr>
              <w:rPr>
                <w:rFonts w:cs="Arial"/>
                <w:color w:val="auto"/>
                <w:sz w:val="20"/>
                <w:szCs w:val="20"/>
              </w:rPr>
            </w:pPr>
          </w:p>
          <w:p w:rsidR="00F55F38" w:rsidRPr="005A505B" w:rsidRDefault="00F55F38" w:rsidP="005A505B">
            <w:pPr>
              <w:rPr>
                <w:rFonts w:cs="Arial"/>
                <w:color w:val="auto"/>
                <w:sz w:val="20"/>
                <w:szCs w:val="20"/>
              </w:rPr>
            </w:pPr>
          </w:p>
          <w:p w:rsidR="00F55F38" w:rsidRPr="005A505B" w:rsidRDefault="00F55F38" w:rsidP="005A505B">
            <w:pPr>
              <w:rPr>
                <w:rFonts w:cs="Arial"/>
                <w:color w:val="auto"/>
                <w:sz w:val="20"/>
                <w:szCs w:val="20"/>
              </w:rPr>
            </w:pPr>
          </w:p>
          <w:p w:rsidR="00F55F38" w:rsidRPr="005A505B" w:rsidRDefault="00F55F38" w:rsidP="005A505B">
            <w:pPr>
              <w:rPr>
                <w:rFonts w:cs="Arial"/>
                <w:color w:val="auto"/>
                <w:sz w:val="20"/>
                <w:szCs w:val="20"/>
              </w:rPr>
            </w:pPr>
          </w:p>
          <w:p w:rsidR="00F55F38" w:rsidRPr="005A505B" w:rsidRDefault="00F55F38" w:rsidP="005A505B">
            <w:pPr>
              <w:rPr>
                <w:rFonts w:cs="Arial"/>
                <w:color w:val="auto"/>
                <w:sz w:val="20"/>
                <w:szCs w:val="20"/>
              </w:rPr>
            </w:pPr>
          </w:p>
          <w:p w:rsidR="00F55F38" w:rsidRPr="005A505B" w:rsidRDefault="00F55F38" w:rsidP="005A505B">
            <w:pPr>
              <w:rPr>
                <w:rFonts w:cs="Arial"/>
                <w:color w:val="auto"/>
                <w:sz w:val="20"/>
                <w:szCs w:val="20"/>
              </w:rPr>
            </w:pPr>
          </w:p>
          <w:p w:rsidR="00F55F38" w:rsidRPr="005A505B" w:rsidRDefault="00F55F38" w:rsidP="005A505B">
            <w:pPr>
              <w:rPr>
                <w:rFonts w:cs="Arial"/>
                <w:color w:val="auto"/>
                <w:sz w:val="20"/>
                <w:szCs w:val="20"/>
              </w:rPr>
            </w:pPr>
          </w:p>
          <w:p w:rsidR="00F55F38" w:rsidRPr="005A505B" w:rsidRDefault="00F55F38" w:rsidP="005A505B">
            <w:pPr>
              <w:rPr>
                <w:rFonts w:cs="Arial"/>
                <w:color w:val="auto"/>
                <w:sz w:val="20"/>
                <w:szCs w:val="20"/>
              </w:rPr>
            </w:pPr>
          </w:p>
          <w:p w:rsidR="00F55F38" w:rsidRPr="005A505B" w:rsidRDefault="00F55F38" w:rsidP="005A505B">
            <w:pPr>
              <w:rPr>
                <w:rFonts w:cs="Arial"/>
                <w:color w:val="auto"/>
                <w:sz w:val="20"/>
                <w:szCs w:val="20"/>
              </w:rPr>
            </w:pPr>
          </w:p>
          <w:p w:rsidR="00F55F38" w:rsidRPr="005A505B" w:rsidRDefault="00F55F38" w:rsidP="005A505B">
            <w:pPr>
              <w:rPr>
                <w:rFonts w:cs="Arial"/>
                <w:color w:val="auto"/>
                <w:sz w:val="20"/>
                <w:szCs w:val="20"/>
              </w:rPr>
            </w:pPr>
            <w:r w:rsidRPr="005A505B">
              <w:rPr>
                <w:rFonts w:cs="Arial"/>
                <w:color w:val="auto"/>
                <w:sz w:val="20"/>
                <w:szCs w:val="20"/>
              </w:rPr>
              <w:t>Ensure the effective and efficient management of the CCOD</w:t>
            </w:r>
          </w:p>
        </w:tc>
        <w:tc>
          <w:tcPr>
            <w:tcW w:w="3444" w:type="dxa"/>
          </w:tcPr>
          <w:p w:rsidR="00F55F38" w:rsidRPr="005A505B" w:rsidRDefault="00F55F38" w:rsidP="005A505B">
            <w:pPr>
              <w:rPr>
                <w:rFonts w:cs="Arial"/>
                <w:color w:val="auto"/>
                <w:sz w:val="20"/>
                <w:szCs w:val="20"/>
              </w:rPr>
            </w:pPr>
            <w:r w:rsidRPr="005A505B">
              <w:rPr>
                <w:rFonts w:cs="Arial"/>
                <w:color w:val="auto"/>
                <w:sz w:val="20"/>
                <w:szCs w:val="20"/>
              </w:rPr>
              <w:t>Report on updates of the database of claims at the CCOD in terms of claims, payments, certifications and data exchange updates and/or additions</w:t>
            </w:r>
          </w:p>
        </w:tc>
        <w:tc>
          <w:tcPr>
            <w:tcW w:w="3969" w:type="dxa"/>
          </w:tcPr>
          <w:p w:rsidR="00F55F38" w:rsidRPr="005A505B" w:rsidRDefault="00F55F38" w:rsidP="005A505B">
            <w:pPr>
              <w:rPr>
                <w:rFonts w:cs="Arial"/>
                <w:color w:val="auto"/>
                <w:sz w:val="20"/>
                <w:szCs w:val="20"/>
              </w:rPr>
            </w:pPr>
            <w:r w:rsidRPr="005A505B">
              <w:rPr>
                <w:rFonts w:cs="Arial"/>
                <w:color w:val="auto"/>
                <w:sz w:val="20"/>
                <w:szCs w:val="20"/>
              </w:rPr>
              <w:t>Master database updated for payments made, new claims and new certifications for the month before the 7</w:t>
            </w:r>
            <w:r w:rsidRPr="005A505B">
              <w:rPr>
                <w:rFonts w:cs="Arial"/>
                <w:color w:val="auto"/>
                <w:sz w:val="20"/>
                <w:szCs w:val="20"/>
                <w:vertAlign w:val="superscript"/>
              </w:rPr>
              <w:t>th</w:t>
            </w:r>
            <w:r w:rsidRPr="005A505B">
              <w:rPr>
                <w:rFonts w:cs="Arial"/>
                <w:color w:val="auto"/>
                <w:sz w:val="20"/>
                <w:szCs w:val="20"/>
              </w:rPr>
              <w:t xml:space="preserve"> of the next month. External data exchange updates and/or additions to the master database once a quarter</w:t>
            </w:r>
          </w:p>
          <w:p w:rsidR="00F55F38" w:rsidRPr="005A505B" w:rsidRDefault="00F55F38" w:rsidP="005A505B">
            <w:pPr>
              <w:rPr>
                <w:rFonts w:cs="Arial"/>
                <w:color w:val="auto"/>
                <w:sz w:val="20"/>
                <w:szCs w:val="20"/>
              </w:rPr>
            </w:pPr>
          </w:p>
        </w:tc>
      </w:tr>
      <w:tr w:rsidR="00F55F38" w:rsidRPr="005A505B" w:rsidTr="00F55F38">
        <w:tc>
          <w:tcPr>
            <w:tcW w:w="2505" w:type="dxa"/>
            <w:vMerge/>
          </w:tcPr>
          <w:p w:rsidR="00F55F38" w:rsidRPr="005A505B" w:rsidRDefault="00F55F38" w:rsidP="005A505B">
            <w:pPr>
              <w:rPr>
                <w:rFonts w:cs="Arial"/>
                <w:color w:val="auto"/>
                <w:sz w:val="20"/>
                <w:szCs w:val="20"/>
              </w:rPr>
            </w:pPr>
          </w:p>
        </w:tc>
        <w:tc>
          <w:tcPr>
            <w:tcW w:w="3444" w:type="dxa"/>
          </w:tcPr>
          <w:p w:rsidR="00F55F38" w:rsidRPr="005A505B" w:rsidRDefault="00F55F38" w:rsidP="005A505B">
            <w:pPr>
              <w:rPr>
                <w:rFonts w:cs="Arial"/>
                <w:color w:val="auto"/>
                <w:sz w:val="20"/>
                <w:szCs w:val="20"/>
              </w:rPr>
            </w:pPr>
            <w:r w:rsidRPr="005A505B">
              <w:rPr>
                <w:rFonts w:cs="Arial"/>
                <w:color w:val="auto"/>
                <w:sz w:val="20"/>
                <w:szCs w:val="20"/>
              </w:rPr>
              <w:t>Report on the number of certifications finalised on the Mineworkers Compensation System per year.</w:t>
            </w:r>
          </w:p>
        </w:tc>
        <w:tc>
          <w:tcPr>
            <w:tcW w:w="3969" w:type="dxa"/>
          </w:tcPr>
          <w:p w:rsidR="00F55F38" w:rsidRPr="005A505B" w:rsidRDefault="00F55F38" w:rsidP="005A505B">
            <w:pPr>
              <w:rPr>
                <w:rFonts w:cs="Arial"/>
                <w:color w:val="auto"/>
                <w:sz w:val="20"/>
                <w:szCs w:val="20"/>
              </w:rPr>
            </w:pPr>
            <w:r w:rsidRPr="005A505B">
              <w:rPr>
                <w:rFonts w:cs="Arial"/>
                <w:color w:val="auto"/>
                <w:sz w:val="20"/>
                <w:szCs w:val="20"/>
              </w:rPr>
              <w:t>13 200</w:t>
            </w:r>
          </w:p>
          <w:p w:rsidR="00F55F38" w:rsidRPr="005A505B" w:rsidRDefault="00F55F38" w:rsidP="005A505B">
            <w:pPr>
              <w:rPr>
                <w:rFonts w:cs="Arial"/>
                <w:color w:val="auto"/>
                <w:sz w:val="20"/>
                <w:szCs w:val="20"/>
              </w:rPr>
            </w:pPr>
          </w:p>
          <w:p w:rsidR="00F55F38" w:rsidRPr="005A505B" w:rsidRDefault="00F55F38" w:rsidP="005A505B">
            <w:pPr>
              <w:rPr>
                <w:rFonts w:cs="Arial"/>
                <w:b/>
                <w:color w:val="auto"/>
                <w:sz w:val="20"/>
                <w:szCs w:val="20"/>
              </w:rPr>
            </w:pPr>
          </w:p>
        </w:tc>
      </w:tr>
      <w:tr w:rsidR="00F55F38" w:rsidRPr="005A505B" w:rsidTr="00F55F38">
        <w:tc>
          <w:tcPr>
            <w:tcW w:w="2505" w:type="dxa"/>
            <w:vMerge/>
          </w:tcPr>
          <w:p w:rsidR="00F55F38" w:rsidRPr="005A505B" w:rsidRDefault="00F55F38" w:rsidP="005A505B">
            <w:pPr>
              <w:rPr>
                <w:rFonts w:cs="Arial"/>
                <w:color w:val="auto"/>
                <w:sz w:val="20"/>
                <w:szCs w:val="20"/>
              </w:rPr>
            </w:pPr>
          </w:p>
        </w:tc>
        <w:tc>
          <w:tcPr>
            <w:tcW w:w="3444" w:type="dxa"/>
          </w:tcPr>
          <w:p w:rsidR="00F55F38" w:rsidRPr="005A505B" w:rsidRDefault="00F55F38" w:rsidP="005A505B">
            <w:pPr>
              <w:rPr>
                <w:rFonts w:cs="Arial"/>
                <w:color w:val="auto"/>
                <w:sz w:val="20"/>
                <w:szCs w:val="20"/>
              </w:rPr>
            </w:pPr>
            <w:r w:rsidRPr="005A505B">
              <w:rPr>
                <w:rFonts w:cs="Arial"/>
                <w:color w:val="auto"/>
                <w:sz w:val="20"/>
                <w:szCs w:val="20"/>
              </w:rPr>
              <w:t>Report on the number of benefit payments made by the CCOD (other than pension payments)</w:t>
            </w:r>
          </w:p>
          <w:p w:rsidR="00F55F38" w:rsidRPr="005A505B" w:rsidRDefault="00F55F38" w:rsidP="005A505B">
            <w:pPr>
              <w:rPr>
                <w:rFonts w:cs="Arial"/>
                <w:color w:val="auto"/>
                <w:sz w:val="20"/>
                <w:szCs w:val="20"/>
              </w:rPr>
            </w:pPr>
          </w:p>
        </w:tc>
        <w:tc>
          <w:tcPr>
            <w:tcW w:w="3969" w:type="dxa"/>
          </w:tcPr>
          <w:p w:rsidR="00F55F38" w:rsidRPr="005A505B" w:rsidRDefault="00F55F38" w:rsidP="005A505B">
            <w:pPr>
              <w:rPr>
                <w:rFonts w:cs="Arial"/>
                <w:color w:val="auto"/>
                <w:sz w:val="20"/>
                <w:szCs w:val="20"/>
              </w:rPr>
            </w:pPr>
            <w:r w:rsidRPr="005A505B">
              <w:rPr>
                <w:rFonts w:cs="Arial"/>
                <w:color w:val="auto"/>
                <w:sz w:val="20"/>
                <w:szCs w:val="20"/>
              </w:rPr>
              <w:t>7600</w:t>
            </w:r>
          </w:p>
          <w:p w:rsidR="00F55F38" w:rsidRPr="005A505B" w:rsidRDefault="00F55F38" w:rsidP="005A505B">
            <w:pPr>
              <w:rPr>
                <w:rFonts w:cs="Arial"/>
                <w:color w:val="auto"/>
                <w:sz w:val="20"/>
                <w:szCs w:val="20"/>
              </w:rPr>
            </w:pPr>
          </w:p>
          <w:p w:rsidR="00F55F38" w:rsidRPr="005A505B" w:rsidRDefault="00F55F38" w:rsidP="005A505B">
            <w:pPr>
              <w:rPr>
                <w:rFonts w:cs="Arial"/>
                <w:color w:val="auto"/>
                <w:sz w:val="20"/>
                <w:szCs w:val="20"/>
              </w:rPr>
            </w:pPr>
          </w:p>
        </w:tc>
      </w:tr>
      <w:tr w:rsidR="00F55F38" w:rsidRPr="005A505B" w:rsidTr="00F55F38">
        <w:tc>
          <w:tcPr>
            <w:tcW w:w="2505" w:type="dxa"/>
            <w:vMerge/>
          </w:tcPr>
          <w:p w:rsidR="00F55F38" w:rsidRPr="005A505B" w:rsidRDefault="00F55F38" w:rsidP="005A505B">
            <w:pPr>
              <w:rPr>
                <w:rFonts w:cs="Arial"/>
                <w:color w:val="auto"/>
                <w:sz w:val="20"/>
                <w:szCs w:val="20"/>
              </w:rPr>
            </w:pPr>
          </w:p>
        </w:tc>
        <w:tc>
          <w:tcPr>
            <w:tcW w:w="3444" w:type="dxa"/>
          </w:tcPr>
          <w:p w:rsidR="00F55F38" w:rsidRPr="005A505B" w:rsidRDefault="00F55F38" w:rsidP="005A505B">
            <w:pPr>
              <w:rPr>
                <w:rFonts w:cs="Arial"/>
                <w:color w:val="auto"/>
                <w:sz w:val="20"/>
                <w:szCs w:val="20"/>
              </w:rPr>
            </w:pPr>
            <w:r w:rsidRPr="005A505B">
              <w:rPr>
                <w:rFonts w:cs="Arial"/>
                <w:color w:val="auto"/>
                <w:sz w:val="20"/>
                <w:szCs w:val="20"/>
              </w:rPr>
              <w:t>Report on the number of claims</w:t>
            </w:r>
          </w:p>
          <w:p w:rsidR="00F55F38" w:rsidRPr="005A505B" w:rsidRDefault="00F55F38" w:rsidP="005A505B">
            <w:pPr>
              <w:rPr>
                <w:rFonts w:cs="Arial"/>
                <w:color w:val="auto"/>
                <w:sz w:val="20"/>
                <w:szCs w:val="20"/>
              </w:rPr>
            </w:pPr>
            <w:r w:rsidRPr="005A505B">
              <w:rPr>
                <w:rFonts w:cs="Arial"/>
                <w:color w:val="auto"/>
                <w:sz w:val="20"/>
                <w:szCs w:val="20"/>
              </w:rPr>
              <w:t>finalised by the CCOD (other than pensioners)</w:t>
            </w:r>
          </w:p>
          <w:p w:rsidR="00F55F38" w:rsidRPr="005A505B" w:rsidRDefault="00F55F38" w:rsidP="005A505B">
            <w:pPr>
              <w:rPr>
                <w:rFonts w:cs="Arial"/>
                <w:color w:val="auto"/>
                <w:sz w:val="20"/>
                <w:szCs w:val="20"/>
              </w:rPr>
            </w:pPr>
          </w:p>
        </w:tc>
        <w:tc>
          <w:tcPr>
            <w:tcW w:w="3969" w:type="dxa"/>
          </w:tcPr>
          <w:p w:rsidR="00F55F38" w:rsidRPr="005A505B" w:rsidRDefault="00F55F38" w:rsidP="005A505B">
            <w:pPr>
              <w:rPr>
                <w:rFonts w:cs="Arial"/>
                <w:color w:val="auto"/>
                <w:sz w:val="20"/>
                <w:szCs w:val="20"/>
              </w:rPr>
            </w:pPr>
            <w:r w:rsidRPr="005A505B">
              <w:rPr>
                <w:rFonts w:cs="Arial"/>
                <w:color w:val="auto"/>
                <w:sz w:val="20"/>
                <w:szCs w:val="20"/>
              </w:rPr>
              <w:t>8470</w:t>
            </w:r>
          </w:p>
          <w:p w:rsidR="00F55F38" w:rsidRPr="005A505B" w:rsidRDefault="00F55F38" w:rsidP="005A505B">
            <w:pPr>
              <w:rPr>
                <w:rFonts w:cs="Arial"/>
                <w:color w:val="auto"/>
                <w:sz w:val="20"/>
                <w:szCs w:val="20"/>
              </w:rPr>
            </w:pPr>
          </w:p>
        </w:tc>
      </w:tr>
      <w:tr w:rsidR="00F55F38" w:rsidRPr="005A505B" w:rsidTr="00F55F38">
        <w:tc>
          <w:tcPr>
            <w:tcW w:w="2505" w:type="dxa"/>
            <w:vMerge/>
          </w:tcPr>
          <w:p w:rsidR="00F55F38" w:rsidRPr="005A505B" w:rsidRDefault="00F55F38" w:rsidP="005A505B">
            <w:pPr>
              <w:rPr>
                <w:rFonts w:cs="Arial"/>
                <w:color w:val="auto"/>
                <w:sz w:val="20"/>
                <w:szCs w:val="20"/>
              </w:rPr>
            </w:pPr>
          </w:p>
        </w:tc>
        <w:tc>
          <w:tcPr>
            <w:tcW w:w="3444" w:type="dxa"/>
          </w:tcPr>
          <w:p w:rsidR="00F55F38" w:rsidRPr="005A505B" w:rsidRDefault="00F55F38" w:rsidP="005A505B">
            <w:pPr>
              <w:rPr>
                <w:rFonts w:cs="Arial"/>
                <w:color w:val="auto"/>
                <w:sz w:val="20"/>
                <w:szCs w:val="20"/>
              </w:rPr>
            </w:pPr>
            <w:r w:rsidRPr="005A505B">
              <w:rPr>
                <w:rFonts w:cs="Arial"/>
                <w:color w:val="auto"/>
                <w:sz w:val="20"/>
                <w:szCs w:val="20"/>
              </w:rPr>
              <w:t>Report on the submission of annual reports of the CCOD to the Auditor General of South Africa</w:t>
            </w:r>
          </w:p>
        </w:tc>
        <w:tc>
          <w:tcPr>
            <w:tcW w:w="3969" w:type="dxa"/>
          </w:tcPr>
          <w:p w:rsidR="00F55F38" w:rsidRPr="005A505B" w:rsidRDefault="00F55F38" w:rsidP="005A505B">
            <w:pPr>
              <w:rPr>
                <w:rFonts w:cs="Arial"/>
                <w:color w:val="auto"/>
                <w:sz w:val="20"/>
                <w:szCs w:val="20"/>
              </w:rPr>
            </w:pPr>
            <w:r w:rsidRPr="005A505B">
              <w:rPr>
                <w:rFonts w:cs="Arial"/>
                <w:color w:val="auto"/>
                <w:sz w:val="20"/>
                <w:szCs w:val="20"/>
              </w:rPr>
              <w:t>Submission of the 2021/22 annual report to the Auditor-General of South Africa</w:t>
            </w:r>
          </w:p>
          <w:p w:rsidR="00F55F38" w:rsidRPr="005A505B" w:rsidRDefault="00F55F38" w:rsidP="005A505B">
            <w:pPr>
              <w:rPr>
                <w:rFonts w:cs="Arial"/>
                <w:color w:val="auto"/>
                <w:sz w:val="20"/>
                <w:szCs w:val="20"/>
              </w:rPr>
            </w:pPr>
          </w:p>
        </w:tc>
      </w:tr>
      <w:tr w:rsidR="00F55F38" w:rsidRPr="005A505B" w:rsidTr="00F55F38">
        <w:tc>
          <w:tcPr>
            <w:tcW w:w="2505" w:type="dxa"/>
            <w:vMerge/>
          </w:tcPr>
          <w:p w:rsidR="00F55F38" w:rsidRPr="005A505B" w:rsidRDefault="00F55F38" w:rsidP="005A505B">
            <w:pPr>
              <w:rPr>
                <w:rFonts w:cs="Arial"/>
                <w:color w:val="auto"/>
                <w:sz w:val="20"/>
                <w:szCs w:val="20"/>
              </w:rPr>
            </w:pPr>
          </w:p>
        </w:tc>
        <w:tc>
          <w:tcPr>
            <w:tcW w:w="3444" w:type="dxa"/>
          </w:tcPr>
          <w:p w:rsidR="00F55F38" w:rsidRPr="005A505B" w:rsidRDefault="00F55F38" w:rsidP="005A505B">
            <w:pPr>
              <w:rPr>
                <w:rFonts w:cs="Arial"/>
                <w:color w:val="auto"/>
                <w:sz w:val="20"/>
                <w:szCs w:val="20"/>
              </w:rPr>
            </w:pPr>
            <w:r w:rsidRPr="005A505B">
              <w:rPr>
                <w:rFonts w:cs="Arial"/>
                <w:color w:val="auto"/>
                <w:sz w:val="20"/>
                <w:szCs w:val="20"/>
              </w:rPr>
              <w:t xml:space="preserve">Percentage of controlled mines </w:t>
            </w:r>
            <w:r w:rsidRPr="005A505B">
              <w:rPr>
                <w:rFonts w:cs="Arial"/>
                <w:color w:val="auto"/>
                <w:sz w:val="20"/>
                <w:szCs w:val="20"/>
              </w:rPr>
              <w:lastRenderedPageBreak/>
              <w:t>and works liable for payment of levies per the financial system paying levies to the CCOD</w:t>
            </w:r>
          </w:p>
        </w:tc>
        <w:tc>
          <w:tcPr>
            <w:tcW w:w="3969" w:type="dxa"/>
          </w:tcPr>
          <w:p w:rsidR="00F55F38" w:rsidRPr="005A505B" w:rsidRDefault="00F55F38" w:rsidP="005A505B">
            <w:pPr>
              <w:rPr>
                <w:rFonts w:cs="Arial"/>
                <w:color w:val="auto"/>
                <w:sz w:val="20"/>
                <w:szCs w:val="20"/>
              </w:rPr>
            </w:pPr>
            <w:r w:rsidRPr="005A505B">
              <w:rPr>
                <w:rFonts w:cs="Arial"/>
                <w:color w:val="auto"/>
                <w:sz w:val="20"/>
                <w:szCs w:val="20"/>
              </w:rPr>
              <w:lastRenderedPageBreak/>
              <w:t xml:space="preserve">80% of controlled mines and works </w:t>
            </w:r>
            <w:r w:rsidRPr="005A505B">
              <w:rPr>
                <w:rFonts w:cs="Arial"/>
                <w:color w:val="auto"/>
                <w:sz w:val="20"/>
                <w:szCs w:val="20"/>
              </w:rPr>
              <w:lastRenderedPageBreak/>
              <w:t>paying levies to the CCOD</w:t>
            </w:r>
          </w:p>
          <w:p w:rsidR="00F55F38" w:rsidRPr="005A505B" w:rsidRDefault="00F55F38" w:rsidP="005A505B">
            <w:pPr>
              <w:rPr>
                <w:rFonts w:cs="Arial"/>
                <w:color w:val="auto"/>
                <w:sz w:val="20"/>
                <w:szCs w:val="20"/>
              </w:rPr>
            </w:pPr>
          </w:p>
          <w:p w:rsidR="00F55F38" w:rsidRPr="005A505B" w:rsidRDefault="00F55F38" w:rsidP="005A505B">
            <w:pPr>
              <w:rPr>
                <w:rFonts w:cs="Arial"/>
                <w:color w:val="auto"/>
                <w:sz w:val="20"/>
                <w:szCs w:val="20"/>
              </w:rPr>
            </w:pPr>
          </w:p>
        </w:tc>
      </w:tr>
    </w:tbl>
    <w:p w:rsidR="00C81807" w:rsidRPr="005A505B" w:rsidRDefault="00C81807" w:rsidP="005A505B">
      <w:pPr>
        <w:rPr>
          <w:rFonts w:cs="Arial"/>
          <w:color w:val="auto"/>
          <w:sz w:val="20"/>
          <w:szCs w:val="20"/>
        </w:rPr>
      </w:pPr>
    </w:p>
    <w:p w:rsidR="00C81807" w:rsidRPr="005A505B" w:rsidRDefault="00C81807" w:rsidP="005A505B">
      <w:pPr>
        <w:rPr>
          <w:rFonts w:cs="Arial"/>
          <w:color w:val="auto"/>
          <w:sz w:val="20"/>
          <w:szCs w:val="20"/>
        </w:rPr>
      </w:pPr>
    </w:p>
    <w:p w:rsidR="002D51D1" w:rsidRPr="005A505B" w:rsidRDefault="002D51D1" w:rsidP="005A505B">
      <w:pPr>
        <w:jc w:val="both"/>
        <w:rPr>
          <w:rFonts w:cs="Arial"/>
          <w:color w:val="auto"/>
          <w:sz w:val="20"/>
          <w:szCs w:val="20"/>
        </w:rPr>
      </w:pPr>
      <w:r w:rsidRPr="005A505B">
        <w:rPr>
          <w:rFonts w:cs="Arial"/>
          <w:color w:val="auto"/>
          <w:sz w:val="20"/>
          <w:szCs w:val="20"/>
        </w:rPr>
        <w:t>Similar to the previous financial year (2020/21), there is ambiguity on some outcomes, indicators and targets. Therefore, clarity needs to be given to determine progress towards targets. Also repeated is the omission of the most important performance target related to the Public Finance Management Act (PFMA), 1999 (Act No. 1 of 1999), i.e.</w:t>
      </w:r>
      <w:r w:rsidR="00694E06" w:rsidRPr="005A505B">
        <w:rPr>
          <w:rFonts w:cs="Arial"/>
          <w:color w:val="auto"/>
          <w:sz w:val="20"/>
          <w:szCs w:val="20"/>
        </w:rPr>
        <w:t xml:space="preserve"> improvement</w:t>
      </w:r>
      <w:r w:rsidRPr="005A505B">
        <w:rPr>
          <w:rFonts w:cs="Arial"/>
          <w:color w:val="auto"/>
          <w:sz w:val="20"/>
          <w:szCs w:val="20"/>
        </w:rPr>
        <w:t xml:space="preserve"> on audit outcomes.</w:t>
      </w:r>
    </w:p>
    <w:p w:rsidR="00C81807" w:rsidRPr="005A505B" w:rsidRDefault="00C81807" w:rsidP="005A505B">
      <w:pPr>
        <w:rPr>
          <w:rFonts w:cs="Arial"/>
          <w:color w:val="auto"/>
          <w:sz w:val="20"/>
          <w:szCs w:val="20"/>
        </w:rPr>
      </w:pPr>
    </w:p>
    <w:p w:rsidR="00C81807" w:rsidRPr="005A505B" w:rsidRDefault="00722B24" w:rsidP="005A505B">
      <w:pPr>
        <w:pStyle w:val="ListParagraph"/>
        <w:numPr>
          <w:ilvl w:val="2"/>
          <w:numId w:val="53"/>
        </w:numPr>
        <w:rPr>
          <w:rFonts w:cs="Arial"/>
          <w:b/>
          <w:color w:val="auto"/>
          <w:sz w:val="20"/>
          <w:szCs w:val="20"/>
        </w:rPr>
      </w:pPr>
      <w:r w:rsidRPr="005A505B">
        <w:rPr>
          <w:rFonts w:cs="Arial"/>
          <w:b/>
          <w:bCs/>
          <w:color w:val="auto"/>
          <w:sz w:val="20"/>
          <w:szCs w:val="20"/>
        </w:rPr>
        <w:t>Budget</w:t>
      </w:r>
      <w:r w:rsidR="00F55F38" w:rsidRPr="005A505B">
        <w:rPr>
          <w:rFonts w:cs="Arial"/>
          <w:b/>
          <w:bCs/>
          <w:color w:val="auto"/>
          <w:sz w:val="20"/>
          <w:szCs w:val="20"/>
        </w:rPr>
        <w:t xml:space="preserve"> for 2022/23 </w:t>
      </w:r>
    </w:p>
    <w:p w:rsidR="00C81807" w:rsidRPr="005A505B" w:rsidRDefault="00C81807" w:rsidP="005A505B">
      <w:pPr>
        <w:rPr>
          <w:rFonts w:cs="Arial"/>
          <w:color w:val="auto"/>
          <w:sz w:val="20"/>
          <w:szCs w:val="20"/>
        </w:rPr>
      </w:pPr>
    </w:p>
    <w:p w:rsidR="00C81807" w:rsidRPr="005A505B" w:rsidRDefault="00C81807" w:rsidP="005A505B">
      <w:pPr>
        <w:jc w:val="both"/>
        <w:rPr>
          <w:rFonts w:cs="Arial"/>
          <w:color w:val="auto"/>
          <w:sz w:val="20"/>
          <w:szCs w:val="20"/>
        </w:rPr>
      </w:pPr>
      <w:r w:rsidRPr="005A505B">
        <w:rPr>
          <w:rFonts w:cs="Arial"/>
          <w:color w:val="auto"/>
          <w:sz w:val="20"/>
          <w:szCs w:val="20"/>
        </w:rPr>
        <w:t xml:space="preserve">Table </w:t>
      </w:r>
      <w:r w:rsidR="007F2BA8" w:rsidRPr="005A505B">
        <w:rPr>
          <w:rFonts w:cs="Arial"/>
          <w:color w:val="auto"/>
          <w:sz w:val="20"/>
          <w:szCs w:val="20"/>
        </w:rPr>
        <w:t xml:space="preserve">7 </w:t>
      </w:r>
      <w:r w:rsidRPr="005A505B">
        <w:rPr>
          <w:rFonts w:cs="Arial"/>
          <w:color w:val="auto"/>
          <w:sz w:val="20"/>
          <w:szCs w:val="20"/>
        </w:rPr>
        <w:t xml:space="preserve">presents the proposed allocation according to the </w:t>
      </w:r>
      <w:r w:rsidR="00E526FE" w:rsidRPr="005A505B">
        <w:rPr>
          <w:rFonts w:cs="Arial"/>
          <w:color w:val="auto"/>
          <w:sz w:val="20"/>
          <w:szCs w:val="20"/>
        </w:rPr>
        <w:t xml:space="preserve">CCOD’s </w:t>
      </w:r>
      <w:r w:rsidRPr="005A505B">
        <w:rPr>
          <w:rFonts w:cs="Arial"/>
          <w:color w:val="auto"/>
          <w:sz w:val="20"/>
          <w:szCs w:val="20"/>
        </w:rPr>
        <w:t xml:space="preserve">programmes for 2022/23 fiscal year. </w:t>
      </w:r>
    </w:p>
    <w:p w:rsidR="00C81807" w:rsidRPr="005A505B" w:rsidRDefault="00C81807" w:rsidP="005A505B">
      <w:pPr>
        <w:rPr>
          <w:rFonts w:cs="Arial"/>
          <w:b/>
          <w:bCs/>
          <w:color w:val="auto"/>
          <w:sz w:val="20"/>
          <w:szCs w:val="20"/>
        </w:rPr>
      </w:pPr>
    </w:p>
    <w:p w:rsidR="00C81807" w:rsidRPr="005A505B" w:rsidRDefault="00C81807" w:rsidP="005A505B">
      <w:pPr>
        <w:rPr>
          <w:rFonts w:cs="Arial"/>
          <w:b/>
          <w:bCs/>
          <w:color w:val="auto"/>
          <w:sz w:val="20"/>
          <w:szCs w:val="20"/>
        </w:rPr>
      </w:pPr>
      <w:r w:rsidRPr="005A505B">
        <w:rPr>
          <w:rFonts w:cs="Arial"/>
          <w:b/>
          <w:bCs/>
          <w:color w:val="auto"/>
          <w:sz w:val="20"/>
          <w:szCs w:val="20"/>
        </w:rPr>
        <w:t xml:space="preserve">Table </w:t>
      </w:r>
      <w:r w:rsidR="007F2BA8" w:rsidRPr="005A505B">
        <w:rPr>
          <w:rFonts w:cs="Arial"/>
          <w:b/>
          <w:bCs/>
          <w:color w:val="auto"/>
          <w:sz w:val="20"/>
          <w:szCs w:val="20"/>
        </w:rPr>
        <w:t>7:</w:t>
      </w:r>
      <w:r w:rsidRPr="005A505B">
        <w:rPr>
          <w:rFonts w:cs="Arial"/>
          <w:b/>
          <w:bCs/>
          <w:color w:val="auto"/>
          <w:sz w:val="20"/>
          <w:szCs w:val="20"/>
        </w:rPr>
        <w:t xml:space="preserve"> Proposed allocation for 2022/23 fiscal year per programme</w:t>
      </w:r>
    </w:p>
    <w:tbl>
      <w:tblPr>
        <w:tblStyle w:val="TableGrid"/>
        <w:tblW w:w="9639" w:type="dxa"/>
        <w:tblInd w:w="-5" w:type="dxa"/>
        <w:tblLook w:val="04A0"/>
      </w:tblPr>
      <w:tblGrid>
        <w:gridCol w:w="2127"/>
        <w:gridCol w:w="1134"/>
        <w:gridCol w:w="1134"/>
        <w:gridCol w:w="1154"/>
        <w:gridCol w:w="1260"/>
        <w:gridCol w:w="1291"/>
        <w:gridCol w:w="1559"/>
      </w:tblGrid>
      <w:tr w:rsidR="00C81807" w:rsidRPr="005A505B" w:rsidTr="002E66DA">
        <w:trPr>
          <w:trHeight w:val="765"/>
        </w:trPr>
        <w:tc>
          <w:tcPr>
            <w:tcW w:w="2127"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hideMark/>
          </w:tcPr>
          <w:p w:rsidR="00C81807" w:rsidRPr="005A505B" w:rsidRDefault="00C81807" w:rsidP="005A505B">
            <w:pPr>
              <w:rPr>
                <w:rFonts w:cs="Arial"/>
                <w:b/>
                <w:bCs/>
                <w:color w:val="auto"/>
                <w:spacing w:val="0"/>
                <w:sz w:val="20"/>
                <w:szCs w:val="20"/>
                <w:lang w:val="en-ZA" w:eastAsia="en-US"/>
              </w:rPr>
            </w:pPr>
            <w:r w:rsidRPr="005A505B">
              <w:rPr>
                <w:rFonts w:cs="Arial"/>
                <w:b/>
                <w:bCs/>
                <w:color w:val="auto"/>
                <w:sz w:val="20"/>
                <w:szCs w:val="20"/>
              </w:rPr>
              <w:t>Programme</w:t>
            </w:r>
          </w:p>
        </w:tc>
        <w:tc>
          <w:tcPr>
            <w:tcW w:w="226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C81807" w:rsidRPr="005A505B" w:rsidRDefault="00C81807" w:rsidP="005A505B">
            <w:pPr>
              <w:rPr>
                <w:rFonts w:cs="Arial"/>
                <w:b/>
                <w:bCs/>
                <w:color w:val="auto"/>
                <w:sz w:val="20"/>
                <w:szCs w:val="20"/>
              </w:rPr>
            </w:pPr>
            <w:r w:rsidRPr="005A505B">
              <w:rPr>
                <w:rFonts w:cs="Arial"/>
                <w:b/>
                <w:bCs/>
                <w:color w:val="auto"/>
                <w:sz w:val="20"/>
                <w:szCs w:val="20"/>
              </w:rPr>
              <w:t>Budget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C81807" w:rsidRPr="005A505B" w:rsidRDefault="00C81807" w:rsidP="005A505B">
            <w:pPr>
              <w:rPr>
                <w:rFonts w:cs="Arial"/>
                <w:b/>
                <w:bCs/>
                <w:color w:val="auto"/>
                <w:sz w:val="20"/>
                <w:szCs w:val="20"/>
              </w:rPr>
            </w:pPr>
            <w:r w:rsidRPr="005A505B">
              <w:rPr>
                <w:rFonts w:cs="Arial"/>
                <w:b/>
                <w:bCs/>
                <w:color w:val="auto"/>
                <w:sz w:val="20"/>
                <w:szCs w:val="20"/>
              </w:rPr>
              <w:t>Nominal Increase / Decrease in 2022/23</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C81807" w:rsidRPr="005A505B" w:rsidRDefault="00C81807" w:rsidP="005A505B">
            <w:pPr>
              <w:rPr>
                <w:rFonts w:cs="Arial"/>
                <w:b/>
                <w:bCs/>
                <w:color w:val="auto"/>
                <w:sz w:val="20"/>
                <w:szCs w:val="20"/>
              </w:rPr>
            </w:pPr>
            <w:r w:rsidRPr="005A505B">
              <w:rPr>
                <w:rFonts w:cs="Arial"/>
                <w:b/>
                <w:bCs/>
                <w:color w:val="auto"/>
                <w:sz w:val="20"/>
                <w:szCs w:val="20"/>
              </w:rPr>
              <w:t>Real Increase / Decrease in 2022/23</w:t>
            </w:r>
          </w:p>
        </w:tc>
        <w:tc>
          <w:tcPr>
            <w:tcW w:w="1291"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C81807" w:rsidRPr="005A505B" w:rsidRDefault="00C81807" w:rsidP="005A505B">
            <w:pPr>
              <w:rPr>
                <w:rFonts w:cs="Arial"/>
                <w:b/>
                <w:bCs/>
                <w:color w:val="auto"/>
                <w:sz w:val="20"/>
                <w:szCs w:val="20"/>
              </w:rPr>
            </w:pPr>
            <w:r w:rsidRPr="005A505B">
              <w:rPr>
                <w:rFonts w:cs="Arial"/>
                <w:b/>
                <w:bCs/>
                <w:color w:val="auto"/>
                <w:sz w:val="20"/>
                <w:szCs w:val="20"/>
              </w:rPr>
              <w:t>Nominal Percent change in 2022/23</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C81807" w:rsidRPr="005A505B" w:rsidRDefault="00C81807" w:rsidP="005A505B">
            <w:pPr>
              <w:rPr>
                <w:rFonts w:cs="Arial"/>
                <w:b/>
                <w:bCs/>
                <w:color w:val="auto"/>
                <w:sz w:val="20"/>
                <w:szCs w:val="20"/>
              </w:rPr>
            </w:pPr>
            <w:r w:rsidRPr="005A505B">
              <w:rPr>
                <w:rFonts w:cs="Arial"/>
                <w:b/>
                <w:bCs/>
                <w:color w:val="auto"/>
                <w:sz w:val="20"/>
                <w:szCs w:val="20"/>
              </w:rPr>
              <w:t>Real Percent change in 2022/23</w:t>
            </w:r>
          </w:p>
        </w:tc>
      </w:tr>
      <w:tr w:rsidR="00C81807" w:rsidRPr="005A505B" w:rsidTr="002E66DA">
        <w:trPr>
          <w:trHeight w:val="264"/>
        </w:trPr>
        <w:tc>
          <w:tcPr>
            <w:tcW w:w="2127" w:type="dxa"/>
            <w:tcBorders>
              <w:top w:val="single" w:sz="4" w:space="0" w:color="auto"/>
              <w:left w:val="single" w:sz="4" w:space="0" w:color="auto"/>
              <w:bottom w:val="single" w:sz="4" w:space="0" w:color="auto"/>
              <w:right w:val="single" w:sz="4" w:space="0" w:color="auto"/>
            </w:tcBorders>
            <w:noWrap/>
            <w:hideMark/>
          </w:tcPr>
          <w:p w:rsidR="00C81807" w:rsidRPr="005A505B" w:rsidRDefault="00C81807" w:rsidP="005A505B">
            <w:pPr>
              <w:rPr>
                <w:rFonts w:cs="Arial"/>
                <w:b/>
                <w:bCs/>
                <w:color w:val="auto"/>
                <w:sz w:val="20"/>
                <w:szCs w:val="20"/>
              </w:rPr>
            </w:pPr>
            <w:r w:rsidRPr="005A505B">
              <w:rPr>
                <w:rFonts w:cs="Arial"/>
                <w:b/>
                <w:bCs/>
                <w:color w:val="auto"/>
                <w:sz w:val="20"/>
                <w:szCs w:val="20"/>
              </w:rPr>
              <w:t>R million</w:t>
            </w:r>
          </w:p>
        </w:tc>
        <w:tc>
          <w:tcPr>
            <w:tcW w:w="1134" w:type="dxa"/>
            <w:tcBorders>
              <w:top w:val="single" w:sz="4" w:space="0" w:color="auto"/>
              <w:left w:val="single" w:sz="4" w:space="0" w:color="auto"/>
              <w:bottom w:val="single" w:sz="4" w:space="0" w:color="auto"/>
              <w:right w:val="single" w:sz="4" w:space="0" w:color="auto"/>
            </w:tcBorders>
            <w:noWrap/>
            <w:hideMark/>
          </w:tcPr>
          <w:p w:rsidR="00C81807" w:rsidRPr="005A505B" w:rsidRDefault="00C81807" w:rsidP="005A505B">
            <w:pPr>
              <w:rPr>
                <w:rFonts w:cs="Arial"/>
                <w:b/>
                <w:bCs/>
                <w:color w:val="auto"/>
                <w:sz w:val="20"/>
                <w:szCs w:val="20"/>
              </w:rPr>
            </w:pPr>
            <w:r w:rsidRPr="005A505B">
              <w:rPr>
                <w:rFonts w:cs="Arial"/>
                <w:b/>
                <w:bCs/>
                <w:color w:val="auto"/>
                <w:sz w:val="20"/>
                <w:szCs w:val="20"/>
              </w:rPr>
              <w:t>2021/22</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hideMark/>
          </w:tcPr>
          <w:p w:rsidR="00C81807" w:rsidRPr="005A505B" w:rsidRDefault="00C81807" w:rsidP="005A505B">
            <w:pPr>
              <w:rPr>
                <w:rFonts w:cs="Arial"/>
                <w:b/>
                <w:bCs/>
                <w:color w:val="auto"/>
                <w:sz w:val="20"/>
                <w:szCs w:val="20"/>
              </w:rPr>
            </w:pPr>
            <w:r w:rsidRPr="005A505B">
              <w:rPr>
                <w:rFonts w:cs="Arial"/>
                <w:b/>
                <w:bCs/>
                <w:color w:val="auto"/>
                <w:sz w:val="20"/>
                <w:szCs w:val="20"/>
              </w:rPr>
              <w:t>2022/23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1807" w:rsidRPr="005A505B" w:rsidRDefault="00C81807" w:rsidP="005A505B">
            <w:pPr>
              <w:rPr>
                <w:rFonts w:cs="Arial"/>
                <w:b/>
                <w:bCs/>
                <w:color w:val="auto"/>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1807" w:rsidRPr="005A505B" w:rsidRDefault="00C81807" w:rsidP="005A505B">
            <w:pPr>
              <w:rPr>
                <w:rFonts w:cs="Arial"/>
                <w:b/>
                <w:bCs/>
                <w:color w:val="auto"/>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1807" w:rsidRPr="005A505B" w:rsidRDefault="00C81807" w:rsidP="005A505B">
            <w:pPr>
              <w:rPr>
                <w:rFonts w:cs="Arial"/>
                <w:b/>
                <w:bCs/>
                <w:color w:val="auto"/>
                <w:sz w:val="20"/>
                <w:szCs w:val="2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81807" w:rsidRPr="005A505B" w:rsidRDefault="00C81807" w:rsidP="005A505B">
            <w:pPr>
              <w:rPr>
                <w:rFonts w:cs="Arial"/>
                <w:b/>
                <w:bCs/>
                <w:color w:val="auto"/>
                <w:sz w:val="20"/>
                <w:szCs w:val="20"/>
                <w:lang w:eastAsia="en-US"/>
              </w:rPr>
            </w:pPr>
          </w:p>
        </w:tc>
      </w:tr>
      <w:tr w:rsidR="00510F2C" w:rsidRPr="005A505B" w:rsidTr="007F2BA8">
        <w:trPr>
          <w:trHeight w:val="264"/>
        </w:trPr>
        <w:tc>
          <w:tcPr>
            <w:tcW w:w="2127" w:type="dxa"/>
            <w:tcBorders>
              <w:top w:val="single" w:sz="4" w:space="0" w:color="auto"/>
              <w:left w:val="single" w:sz="4" w:space="0" w:color="auto"/>
              <w:bottom w:val="single" w:sz="4" w:space="0" w:color="auto"/>
              <w:right w:val="single" w:sz="4" w:space="0" w:color="auto"/>
            </w:tcBorders>
            <w:noWrap/>
            <w:hideMark/>
          </w:tcPr>
          <w:p w:rsidR="00C81807" w:rsidRPr="005A505B" w:rsidRDefault="00C81807" w:rsidP="005A505B">
            <w:pPr>
              <w:rPr>
                <w:rFonts w:cs="Arial"/>
                <w:color w:val="auto"/>
                <w:sz w:val="20"/>
                <w:szCs w:val="20"/>
              </w:rPr>
            </w:pPr>
            <w:r w:rsidRPr="005A505B">
              <w:rPr>
                <w:rFonts w:cs="Arial"/>
                <w:color w:val="auto"/>
                <w:sz w:val="20"/>
                <w:szCs w:val="20"/>
              </w:rPr>
              <w:t>Administration</w:t>
            </w:r>
          </w:p>
        </w:tc>
        <w:tc>
          <w:tcPr>
            <w:tcW w:w="1134" w:type="dxa"/>
            <w:tcBorders>
              <w:top w:val="single" w:sz="4" w:space="0" w:color="auto"/>
              <w:left w:val="single" w:sz="4" w:space="0" w:color="auto"/>
              <w:bottom w:val="single" w:sz="4" w:space="0" w:color="auto"/>
              <w:right w:val="single" w:sz="4" w:space="0" w:color="auto"/>
            </w:tcBorders>
            <w:noWrap/>
            <w:hideMark/>
          </w:tcPr>
          <w:p w:rsidR="00C81807" w:rsidRPr="005A505B" w:rsidRDefault="00C81807" w:rsidP="005A505B">
            <w:pPr>
              <w:jc w:val="center"/>
              <w:rPr>
                <w:rFonts w:cs="Arial"/>
                <w:color w:val="auto"/>
                <w:sz w:val="20"/>
                <w:szCs w:val="20"/>
              </w:rPr>
            </w:pPr>
            <w:r w:rsidRPr="005A505B">
              <w:rPr>
                <w:rFonts w:cs="Arial"/>
                <w:color w:val="auto"/>
                <w:sz w:val="20"/>
                <w:szCs w:val="20"/>
              </w:rPr>
              <w:t>286 336</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hideMark/>
          </w:tcPr>
          <w:p w:rsidR="00C81807" w:rsidRPr="005A505B" w:rsidRDefault="00C81807" w:rsidP="005A505B">
            <w:pPr>
              <w:jc w:val="center"/>
              <w:rPr>
                <w:rFonts w:cs="Arial"/>
                <w:color w:val="auto"/>
                <w:sz w:val="20"/>
                <w:szCs w:val="20"/>
              </w:rPr>
            </w:pPr>
            <w:r w:rsidRPr="005A505B">
              <w:rPr>
                <w:rFonts w:cs="Arial"/>
                <w:color w:val="auto"/>
                <w:sz w:val="20"/>
                <w:szCs w:val="20"/>
              </w:rPr>
              <w:t>286 353</w:t>
            </w:r>
          </w:p>
        </w:tc>
        <w:tc>
          <w:tcPr>
            <w:tcW w:w="1134" w:type="dxa"/>
            <w:tcBorders>
              <w:top w:val="single" w:sz="4" w:space="0" w:color="auto"/>
              <w:left w:val="single" w:sz="4" w:space="0" w:color="auto"/>
              <w:bottom w:val="single" w:sz="4" w:space="0" w:color="auto"/>
              <w:right w:val="single" w:sz="4" w:space="0" w:color="auto"/>
            </w:tcBorders>
            <w:noWrap/>
            <w:hideMark/>
          </w:tcPr>
          <w:p w:rsidR="00C81807" w:rsidRPr="005A505B" w:rsidRDefault="00C81807" w:rsidP="005A505B">
            <w:pPr>
              <w:jc w:val="center"/>
              <w:rPr>
                <w:rFonts w:cs="Arial"/>
                <w:color w:val="auto"/>
                <w:sz w:val="20"/>
                <w:szCs w:val="20"/>
              </w:rPr>
            </w:pPr>
            <w:r w:rsidRPr="005A505B">
              <w:rPr>
                <w:rFonts w:cs="Arial"/>
                <w:color w:val="auto"/>
                <w:sz w:val="20"/>
                <w:szCs w:val="20"/>
              </w:rPr>
              <w:t>17</w:t>
            </w:r>
          </w:p>
        </w:tc>
        <w:tc>
          <w:tcPr>
            <w:tcW w:w="1260" w:type="dxa"/>
            <w:tcBorders>
              <w:top w:val="single" w:sz="4" w:space="0" w:color="auto"/>
              <w:left w:val="single" w:sz="4" w:space="0" w:color="auto"/>
              <w:bottom w:val="single" w:sz="4" w:space="0" w:color="auto"/>
              <w:right w:val="single" w:sz="4" w:space="0" w:color="auto"/>
            </w:tcBorders>
            <w:noWrap/>
            <w:hideMark/>
          </w:tcPr>
          <w:p w:rsidR="00C81807" w:rsidRPr="005A505B" w:rsidRDefault="00C81807" w:rsidP="005A505B">
            <w:pPr>
              <w:jc w:val="center"/>
              <w:rPr>
                <w:rFonts w:cs="Arial"/>
                <w:color w:val="auto"/>
                <w:sz w:val="20"/>
                <w:szCs w:val="20"/>
              </w:rPr>
            </w:pPr>
            <w:r w:rsidRPr="005A505B">
              <w:rPr>
                <w:rFonts w:cs="Arial"/>
                <w:color w:val="auto"/>
                <w:sz w:val="20"/>
                <w:szCs w:val="20"/>
              </w:rPr>
              <w:t>-12 314</w:t>
            </w:r>
          </w:p>
        </w:tc>
        <w:tc>
          <w:tcPr>
            <w:tcW w:w="1291" w:type="dxa"/>
            <w:tcBorders>
              <w:top w:val="single" w:sz="4" w:space="0" w:color="auto"/>
              <w:left w:val="single" w:sz="4" w:space="0" w:color="auto"/>
              <w:bottom w:val="single" w:sz="4" w:space="0" w:color="auto"/>
              <w:right w:val="single" w:sz="4" w:space="0" w:color="auto"/>
            </w:tcBorders>
            <w:noWrap/>
            <w:hideMark/>
          </w:tcPr>
          <w:p w:rsidR="00C81807" w:rsidRPr="005A505B" w:rsidRDefault="00C81807" w:rsidP="005A505B">
            <w:pPr>
              <w:jc w:val="center"/>
              <w:rPr>
                <w:rFonts w:cs="Arial"/>
                <w:color w:val="auto"/>
                <w:sz w:val="20"/>
                <w:szCs w:val="20"/>
              </w:rPr>
            </w:pPr>
            <w:r w:rsidRPr="005A505B">
              <w:rPr>
                <w:rFonts w:cs="Arial"/>
                <w:color w:val="auto"/>
                <w:sz w:val="20"/>
                <w:szCs w:val="20"/>
              </w:rPr>
              <w:t>0</w:t>
            </w:r>
            <w:r w:rsidR="00480C78" w:rsidRPr="005A505B">
              <w:rPr>
                <w:rFonts w:cs="Arial"/>
                <w:color w:val="auto"/>
                <w:sz w:val="20"/>
                <w:szCs w:val="20"/>
              </w:rPr>
              <w:t>.</w:t>
            </w:r>
            <w:r w:rsidRPr="005A505B">
              <w:rPr>
                <w:rFonts w:cs="Arial"/>
                <w:color w:val="auto"/>
                <w:sz w:val="20"/>
                <w:szCs w:val="20"/>
              </w:rPr>
              <w:t>01</w:t>
            </w:r>
            <w:r w:rsidR="0034021A" w:rsidRPr="005A505B">
              <w:rPr>
                <w:rFonts w:cs="Arial"/>
                <w:color w:val="auto"/>
                <w:sz w:val="20"/>
                <w:szCs w:val="20"/>
              </w:rPr>
              <w:t>%</w:t>
            </w:r>
          </w:p>
        </w:tc>
        <w:tc>
          <w:tcPr>
            <w:tcW w:w="1559" w:type="dxa"/>
            <w:tcBorders>
              <w:top w:val="single" w:sz="4" w:space="0" w:color="auto"/>
              <w:left w:val="single" w:sz="4" w:space="0" w:color="auto"/>
              <w:bottom w:val="single" w:sz="4" w:space="0" w:color="auto"/>
              <w:right w:val="single" w:sz="4" w:space="0" w:color="auto"/>
            </w:tcBorders>
            <w:noWrap/>
            <w:hideMark/>
          </w:tcPr>
          <w:p w:rsidR="00C81807" w:rsidRPr="005A505B" w:rsidRDefault="00C81807" w:rsidP="005A505B">
            <w:pPr>
              <w:jc w:val="center"/>
              <w:rPr>
                <w:rFonts w:cs="Arial"/>
                <w:color w:val="auto"/>
                <w:sz w:val="20"/>
                <w:szCs w:val="20"/>
              </w:rPr>
            </w:pPr>
            <w:r w:rsidRPr="005A505B">
              <w:rPr>
                <w:rFonts w:cs="Arial"/>
                <w:color w:val="auto"/>
                <w:sz w:val="20"/>
                <w:szCs w:val="20"/>
              </w:rPr>
              <w:t>-4</w:t>
            </w:r>
            <w:r w:rsidR="00480C78" w:rsidRPr="005A505B">
              <w:rPr>
                <w:rFonts w:cs="Arial"/>
                <w:color w:val="auto"/>
                <w:sz w:val="20"/>
                <w:szCs w:val="20"/>
              </w:rPr>
              <w:t>.</w:t>
            </w:r>
            <w:r w:rsidRPr="005A505B">
              <w:rPr>
                <w:rFonts w:cs="Arial"/>
                <w:color w:val="auto"/>
                <w:sz w:val="20"/>
                <w:szCs w:val="20"/>
              </w:rPr>
              <w:t>30</w:t>
            </w:r>
            <w:r w:rsidR="0034021A" w:rsidRPr="005A505B">
              <w:rPr>
                <w:rFonts w:cs="Arial"/>
                <w:color w:val="auto"/>
                <w:sz w:val="20"/>
                <w:szCs w:val="20"/>
              </w:rPr>
              <w:t>%</w:t>
            </w:r>
          </w:p>
        </w:tc>
      </w:tr>
      <w:tr w:rsidR="00510F2C" w:rsidRPr="005A505B" w:rsidTr="007F2BA8">
        <w:trPr>
          <w:trHeight w:val="264"/>
        </w:trPr>
        <w:tc>
          <w:tcPr>
            <w:tcW w:w="2127" w:type="dxa"/>
            <w:tcBorders>
              <w:top w:val="single" w:sz="4" w:space="0" w:color="auto"/>
              <w:left w:val="single" w:sz="4" w:space="0" w:color="auto"/>
              <w:bottom w:val="single" w:sz="4" w:space="0" w:color="auto"/>
              <w:right w:val="single" w:sz="4" w:space="0" w:color="auto"/>
            </w:tcBorders>
            <w:noWrap/>
            <w:hideMark/>
          </w:tcPr>
          <w:p w:rsidR="00C81807" w:rsidRPr="005A505B" w:rsidRDefault="00C81807" w:rsidP="005A505B">
            <w:pPr>
              <w:rPr>
                <w:rFonts w:cs="Arial"/>
                <w:color w:val="auto"/>
                <w:sz w:val="20"/>
                <w:szCs w:val="20"/>
              </w:rPr>
            </w:pPr>
            <w:r w:rsidRPr="005A505B">
              <w:rPr>
                <w:rFonts w:cs="Arial"/>
                <w:color w:val="auto"/>
                <w:sz w:val="20"/>
                <w:szCs w:val="20"/>
              </w:rPr>
              <w:t>Compensation of Pensioners</w:t>
            </w:r>
          </w:p>
        </w:tc>
        <w:tc>
          <w:tcPr>
            <w:tcW w:w="1134" w:type="dxa"/>
            <w:tcBorders>
              <w:top w:val="single" w:sz="4" w:space="0" w:color="auto"/>
              <w:left w:val="single" w:sz="4" w:space="0" w:color="auto"/>
              <w:bottom w:val="single" w:sz="4" w:space="0" w:color="auto"/>
              <w:right w:val="single" w:sz="4" w:space="0" w:color="auto"/>
            </w:tcBorders>
            <w:noWrap/>
            <w:hideMark/>
          </w:tcPr>
          <w:p w:rsidR="00C81807" w:rsidRPr="005A505B" w:rsidRDefault="00C81807" w:rsidP="005A505B">
            <w:pPr>
              <w:jc w:val="center"/>
              <w:rPr>
                <w:rFonts w:cs="Arial"/>
                <w:color w:val="auto"/>
                <w:sz w:val="20"/>
                <w:szCs w:val="20"/>
              </w:rPr>
            </w:pPr>
            <w:r w:rsidRPr="005A505B">
              <w:rPr>
                <w:rFonts w:cs="Arial"/>
                <w:color w:val="auto"/>
                <w:sz w:val="20"/>
                <w:szCs w:val="20"/>
              </w:rPr>
              <w:t>1 437</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hideMark/>
          </w:tcPr>
          <w:p w:rsidR="00C81807" w:rsidRPr="005A505B" w:rsidRDefault="00C81807" w:rsidP="005A505B">
            <w:pPr>
              <w:jc w:val="center"/>
              <w:rPr>
                <w:rFonts w:cs="Arial"/>
                <w:color w:val="auto"/>
                <w:sz w:val="20"/>
                <w:szCs w:val="20"/>
              </w:rPr>
            </w:pPr>
            <w:r w:rsidRPr="005A505B">
              <w:rPr>
                <w:rFonts w:cs="Arial"/>
                <w:color w:val="auto"/>
                <w:sz w:val="20"/>
                <w:szCs w:val="20"/>
              </w:rPr>
              <w:t>1 544</w:t>
            </w:r>
          </w:p>
        </w:tc>
        <w:tc>
          <w:tcPr>
            <w:tcW w:w="1134" w:type="dxa"/>
            <w:tcBorders>
              <w:top w:val="single" w:sz="4" w:space="0" w:color="auto"/>
              <w:left w:val="single" w:sz="4" w:space="0" w:color="auto"/>
              <w:bottom w:val="single" w:sz="4" w:space="0" w:color="auto"/>
              <w:right w:val="single" w:sz="4" w:space="0" w:color="auto"/>
            </w:tcBorders>
            <w:noWrap/>
            <w:hideMark/>
          </w:tcPr>
          <w:p w:rsidR="00C81807" w:rsidRPr="005A505B" w:rsidRDefault="00C81807" w:rsidP="005A505B">
            <w:pPr>
              <w:jc w:val="center"/>
              <w:rPr>
                <w:rFonts w:cs="Arial"/>
                <w:color w:val="auto"/>
                <w:sz w:val="20"/>
                <w:szCs w:val="20"/>
              </w:rPr>
            </w:pPr>
            <w:r w:rsidRPr="005A505B">
              <w:rPr>
                <w:rFonts w:cs="Arial"/>
                <w:color w:val="auto"/>
                <w:sz w:val="20"/>
                <w:szCs w:val="20"/>
              </w:rPr>
              <w:t>107</w:t>
            </w:r>
          </w:p>
        </w:tc>
        <w:tc>
          <w:tcPr>
            <w:tcW w:w="1260" w:type="dxa"/>
            <w:tcBorders>
              <w:top w:val="single" w:sz="4" w:space="0" w:color="auto"/>
              <w:left w:val="single" w:sz="4" w:space="0" w:color="auto"/>
              <w:bottom w:val="single" w:sz="4" w:space="0" w:color="auto"/>
              <w:right w:val="single" w:sz="4" w:space="0" w:color="auto"/>
            </w:tcBorders>
            <w:noWrap/>
            <w:hideMark/>
          </w:tcPr>
          <w:p w:rsidR="00C81807" w:rsidRPr="005A505B" w:rsidRDefault="00C81807" w:rsidP="005A505B">
            <w:pPr>
              <w:jc w:val="center"/>
              <w:rPr>
                <w:rFonts w:cs="Arial"/>
                <w:color w:val="auto"/>
                <w:sz w:val="20"/>
                <w:szCs w:val="20"/>
              </w:rPr>
            </w:pPr>
            <w:r w:rsidRPr="005A505B">
              <w:rPr>
                <w:rFonts w:cs="Arial"/>
                <w:color w:val="auto"/>
                <w:sz w:val="20"/>
                <w:szCs w:val="20"/>
              </w:rPr>
              <w:t>4</w:t>
            </w:r>
            <w:r w:rsidR="00480C78" w:rsidRPr="005A505B">
              <w:rPr>
                <w:rFonts w:cs="Arial"/>
                <w:color w:val="auto"/>
                <w:sz w:val="20"/>
                <w:szCs w:val="20"/>
              </w:rPr>
              <w:t>1</w:t>
            </w:r>
          </w:p>
        </w:tc>
        <w:tc>
          <w:tcPr>
            <w:tcW w:w="1291" w:type="dxa"/>
            <w:tcBorders>
              <w:top w:val="single" w:sz="4" w:space="0" w:color="auto"/>
              <w:left w:val="single" w:sz="4" w:space="0" w:color="auto"/>
              <w:bottom w:val="single" w:sz="4" w:space="0" w:color="auto"/>
              <w:right w:val="single" w:sz="4" w:space="0" w:color="auto"/>
            </w:tcBorders>
            <w:noWrap/>
            <w:hideMark/>
          </w:tcPr>
          <w:p w:rsidR="00C81807" w:rsidRPr="005A505B" w:rsidRDefault="00C81807" w:rsidP="005A505B">
            <w:pPr>
              <w:jc w:val="center"/>
              <w:rPr>
                <w:rFonts w:cs="Arial"/>
                <w:color w:val="auto"/>
                <w:sz w:val="20"/>
                <w:szCs w:val="20"/>
              </w:rPr>
            </w:pPr>
            <w:r w:rsidRPr="005A505B">
              <w:rPr>
                <w:rFonts w:cs="Arial"/>
                <w:color w:val="auto"/>
                <w:sz w:val="20"/>
                <w:szCs w:val="20"/>
              </w:rPr>
              <w:t>7</w:t>
            </w:r>
            <w:r w:rsidR="00480C78" w:rsidRPr="005A505B">
              <w:rPr>
                <w:rFonts w:cs="Arial"/>
                <w:color w:val="auto"/>
                <w:sz w:val="20"/>
                <w:szCs w:val="20"/>
              </w:rPr>
              <w:t>.</w:t>
            </w:r>
            <w:r w:rsidRPr="005A505B">
              <w:rPr>
                <w:rFonts w:cs="Arial"/>
                <w:color w:val="auto"/>
                <w:sz w:val="20"/>
                <w:szCs w:val="20"/>
              </w:rPr>
              <w:t>45</w:t>
            </w:r>
            <w:r w:rsidR="0034021A" w:rsidRPr="005A505B">
              <w:rPr>
                <w:rFonts w:cs="Arial"/>
                <w:color w:val="auto"/>
                <w:sz w:val="20"/>
                <w:szCs w:val="20"/>
              </w:rPr>
              <w:t>%</w:t>
            </w:r>
          </w:p>
        </w:tc>
        <w:tc>
          <w:tcPr>
            <w:tcW w:w="1559" w:type="dxa"/>
            <w:tcBorders>
              <w:top w:val="single" w:sz="4" w:space="0" w:color="auto"/>
              <w:left w:val="single" w:sz="4" w:space="0" w:color="auto"/>
              <w:bottom w:val="single" w:sz="4" w:space="0" w:color="auto"/>
              <w:right w:val="single" w:sz="4" w:space="0" w:color="auto"/>
            </w:tcBorders>
            <w:noWrap/>
            <w:hideMark/>
          </w:tcPr>
          <w:p w:rsidR="00C81807" w:rsidRPr="005A505B" w:rsidRDefault="00C81807" w:rsidP="005A505B">
            <w:pPr>
              <w:jc w:val="center"/>
              <w:rPr>
                <w:rFonts w:cs="Arial"/>
                <w:color w:val="auto"/>
                <w:sz w:val="20"/>
                <w:szCs w:val="20"/>
              </w:rPr>
            </w:pPr>
            <w:r w:rsidRPr="005A505B">
              <w:rPr>
                <w:rFonts w:cs="Arial"/>
                <w:color w:val="auto"/>
                <w:sz w:val="20"/>
                <w:szCs w:val="20"/>
              </w:rPr>
              <w:t>2</w:t>
            </w:r>
            <w:r w:rsidR="00480C78" w:rsidRPr="005A505B">
              <w:rPr>
                <w:rFonts w:cs="Arial"/>
                <w:color w:val="auto"/>
                <w:sz w:val="20"/>
                <w:szCs w:val="20"/>
              </w:rPr>
              <w:t>.</w:t>
            </w:r>
            <w:r w:rsidRPr="005A505B">
              <w:rPr>
                <w:rFonts w:cs="Arial"/>
                <w:color w:val="auto"/>
                <w:sz w:val="20"/>
                <w:szCs w:val="20"/>
              </w:rPr>
              <w:t>82</w:t>
            </w:r>
            <w:r w:rsidR="0034021A" w:rsidRPr="005A505B">
              <w:rPr>
                <w:rFonts w:cs="Arial"/>
                <w:color w:val="auto"/>
                <w:sz w:val="20"/>
                <w:szCs w:val="20"/>
              </w:rPr>
              <w:t>%</w:t>
            </w:r>
          </w:p>
        </w:tc>
      </w:tr>
      <w:tr w:rsidR="00510F2C" w:rsidRPr="005A505B" w:rsidTr="007F2BA8">
        <w:trPr>
          <w:trHeight w:val="264"/>
        </w:trPr>
        <w:tc>
          <w:tcPr>
            <w:tcW w:w="2127" w:type="dxa"/>
            <w:tcBorders>
              <w:top w:val="single" w:sz="4" w:space="0" w:color="auto"/>
              <w:left w:val="single" w:sz="4" w:space="0" w:color="auto"/>
              <w:bottom w:val="single" w:sz="4" w:space="0" w:color="auto"/>
              <w:right w:val="single" w:sz="4" w:space="0" w:color="auto"/>
            </w:tcBorders>
            <w:noWrap/>
            <w:hideMark/>
          </w:tcPr>
          <w:p w:rsidR="00C81807" w:rsidRPr="005A505B" w:rsidRDefault="00C81807" w:rsidP="005A505B">
            <w:pPr>
              <w:rPr>
                <w:rFonts w:cs="Arial"/>
                <w:color w:val="auto"/>
                <w:sz w:val="20"/>
                <w:szCs w:val="20"/>
              </w:rPr>
            </w:pPr>
            <w:r w:rsidRPr="005A505B">
              <w:rPr>
                <w:rFonts w:cs="Arial"/>
                <w:color w:val="auto"/>
                <w:sz w:val="20"/>
                <w:szCs w:val="20"/>
              </w:rPr>
              <w:t>Compensation of Ex-Miners</w:t>
            </w:r>
          </w:p>
        </w:tc>
        <w:tc>
          <w:tcPr>
            <w:tcW w:w="1134" w:type="dxa"/>
            <w:tcBorders>
              <w:top w:val="single" w:sz="4" w:space="0" w:color="auto"/>
              <w:left w:val="single" w:sz="4" w:space="0" w:color="auto"/>
              <w:bottom w:val="single" w:sz="4" w:space="0" w:color="auto"/>
              <w:right w:val="single" w:sz="4" w:space="0" w:color="auto"/>
            </w:tcBorders>
            <w:noWrap/>
            <w:hideMark/>
          </w:tcPr>
          <w:p w:rsidR="00C81807" w:rsidRPr="005A505B" w:rsidRDefault="00C81807" w:rsidP="005A505B">
            <w:pPr>
              <w:jc w:val="center"/>
              <w:rPr>
                <w:rFonts w:cs="Arial"/>
                <w:color w:val="auto"/>
                <w:sz w:val="20"/>
                <w:szCs w:val="20"/>
              </w:rPr>
            </w:pPr>
            <w:r w:rsidRPr="005A505B">
              <w:rPr>
                <w:rFonts w:cs="Arial"/>
                <w:color w:val="auto"/>
                <w:sz w:val="20"/>
                <w:szCs w:val="20"/>
              </w:rPr>
              <w:t>120 000</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hideMark/>
          </w:tcPr>
          <w:p w:rsidR="00C81807" w:rsidRPr="005A505B" w:rsidRDefault="00C81807" w:rsidP="005A505B">
            <w:pPr>
              <w:jc w:val="center"/>
              <w:rPr>
                <w:rFonts w:cs="Arial"/>
                <w:color w:val="auto"/>
                <w:sz w:val="20"/>
                <w:szCs w:val="20"/>
              </w:rPr>
            </w:pPr>
            <w:r w:rsidRPr="005A505B">
              <w:rPr>
                <w:rFonts w:cs="Arial"/>
                <w:color w:val="auto"/>
                <w:sz w:val="20"/>
                <w:szCs w:val="20"/>
              </w:rPr>
              <w:t>125 000</w:t>
            </w:r>
          </w:p>
        </w:tc>
        <w:tc>
          <w:tcPr>
            <w:tcW w:w="1134" w:type="dxa"/>
            <w:tcBorders>
              <w:top w:val="single" w:sz="4" w:space="0" w:color="auto"/>
              <w:left w:val="single" w:sz="4" w:space="0" w:color="auto"/>
              <w:bottom w:val="single" w:sz="4" w:space="0" w:color="auto"/>
              <w:right w:val="single" w:sz="4" w:space="0" w:color="auto"/>
            </w:tcBorders>
            <w:noWrap/>
            <w:hideMark/>
          </w:tcPr>
          <w:p w:rsidR="00C81807" w:rsidRPr="005A505B" w:rsidRDefault="00C81807" w:rsidP="005A505B">
            <w:pPr>
              <w:jc w:val="center"/>
              <w:rPr>
                <w:rFonts w:cs="Arial"/>
                <w:color w:val="auto"/>
                <w:sz w:val="20"/>
                <w:szCs w:val="20"/>
              </w:rPr>
            </w:pPr>
            <w:r w:rsidRPr="005A505B">
              <w:rPr>
                <w:rFonts w:cs="Arial"/>
                <w:color w:val="auto"/>
                <w:sz w:val="20"/>
                <w:szCs w:val="20"/>
              </w:rPr>
              <w:t>5 000</w:t>
            </w:r>
          </w:p>
        </w:tc>
        <w:tc>
          <w:tcPr>
            <w:tcW w:w="1260" w:type="dxa"/>
            <w:tcBorders>
              <w:top w:val="single" w:sz="4" w:space="0" w:color="auto"/>
              <w:left w:val="single" w:sz="4" w:space="0" w:color="auto"/>
              <w:bottom w:val="single" w:sz="4" w:space="0" w:color="auto"/>
              <w:right w:val="single" w:sz="4" w:space="0" w:color="auto"/>
            </w:tcBorders>
            <w:noWrap/>
            <w:hideMark/>
          </w:tcPr>
          <w:p w:rsidR="00C81807" w:rsidRPr="005A505B" w:rsidRDefault="00C81807" w:rsidP="005A505B">
            <w:pPr>
              <w:jc w:val="center"/>
              <w:rPr>
                <w:rFonts w:cs="Arial"/>
                <w:color w:val="auto"/>
                <w:sz w:val="20"/>
                <w:szCs w:val="20"/>
              </w:rPr>
            </w:pPr>
            <w:r w:rsidRPr="005A505B">
              <w:rPr>
                <w:rFonts w:cs="Arial"/>
                <w:color w:val="auto"/>
                <w:sz w:val="20"/>
                <w:szCs w:val="20"/>
              </w:rPr>
              <w:t>-38</w:t>
            </w:r>
            <w:r w:rsidR="00480C78" w:rsidRPr="005A505B">
              <w:rPr>
                <w:rFonts w:cs="Arial"/>
                <w:color w:val="auto"/>
                <w:sz w:val="20"/>
                <w:szCs w:val="20"/>
              </w:rPr>
              <w:t>3</w:t>
            </w:r>
          </w:p>
        </w:tc>
        <w:tc>
          <w:tcPr>
            <w:tcW w:w="1291" w:type="dxa"/>
            <w:tcBorders>
              <w:top w:val="single" w:sz="4" w:space="0" w:color="auto"/>
              <w:left w:val="single" w:sz="4" w:space="0" w:color="auto"/>
              <w:bottom w:val="single" w:sz="4" w:space="0" w:color="auto"/>
              <w:right w:val="single" w:sz="4" w:space="0" w:color="auto"/>
            </w:tcBorders>
            <w:noWrap/>
            <w:hideMark/>
          </w:tcPr>
          <w:p w:rsidR="00C81807" w:rsidRPr="005A505B" w:rsidRDefault="00C81807" w:rsidP="005A505B">
            <w:pPr>
              <w:jc w:val="center"/>
              <w:rPr>
                <w:rFonts w:cs="Arial"/>
                <w:color w:val="auto"/>
                <w:sz w:val="20"/>
                <w:szCs w:val="20"/>
              </w:rPr>
            </w:pPr>
            <w:r w:rsidRPr="005A505B">
              <w:rPr>
                <w:rFonts w:cs="Arial"/>
                <w:color w:val="auto"/>
                <w:sz w:val="20"/>
                <w:szCs w:val="20"/>
              </w:rPr>
              <w:t>4</w:t>
            </w:r>
            <w:r w:rsidR="00480C78" w:rsidRPr="005A505B">
              <w:rPr>
                <w:rFonts w:cs="Arial"/>
                <w:color w:val="auto"/>
                <w:sz w:val="20"/>
                <w:szCs w:val="20"/>
              </w:rPr>
              <w:t>.</w:t>
            </w:r>
            <w:r w:rsidRPr="005A505B">
              <w:rPr>
                <w:rFonts w:cs="Arial"/>
                <w:color w:val="auto"/>
                <w:sz w:val="20"/>
                <w:szCs w:val="20"/>
              </w:rPr>
              <w:t>17</w:t>
            </w:r>
            <w:r w:rsidR="0034021A" w:rsidRPr="005A505B">
              <w:rPr>
                <w:rFonts w:cs="Arial"/>
                <w:color w:val="auto"/>
                <w:sz w:val="20"/>
                <w:szCs w:val="20"/>
              </w:rPr>
              <w:t>%</w:t>
            </w:r>
          </w:p>
        </w:tc>
        <w:tc>
          <w:tcPr>
            <w:tcW w:w="1559" w:type="dxa"/>
            <w:tcBorders>
              <w:top w:val="single" w:sz="4" w:space="0" w:color="auto"/>
              <w:left w:val="single" w:sz="4" w:space="0" w:color="auto"/>
              <w:bottom w:val="single" w:sz="4" w:space="0" w:color="auto"/>
              <w:right w:val="single" w:sz="4" w:space="0" w:color="auto"/>
            </w:tcBorders>
            <w:noWrap/>
            <w:hideMark/>
          </w:tcPr>
          <w:p w:rsidR="00C81807" w:rsidRPr="005A505B" w:rsidRDefault="00C81807" w:rsidP="005A505B">
            <w:pPr>
              <w:jc w:val="center"/>
              <w:rPr>
                <w:rFonts w:cs="Arial"/>
                <w:color w:val="auto"/>
                <w:sz w:val="20"/>
                <w:szCs w:val="20"/>
              </w:rPr>
            </w:pPr>
            <w:r w:rsidRPr="005A505B">
              <w:rPr>
                <w:rFonts w:cs="Arial"/>
                <w:color w:val="auto"/>
                <w:sz w:val="20"/>
                <w:szCs w:val="20"/>
              </w:rPr>
              <w:t>-0</w:t>
            </w:r>
            <w:r w:rsidR="00480C78" w:rsidRPr="005A505B">
              <w:rPr>
                <w:rFonts w:cs="Arial"/>
                <w:color w:val="auto"/>
                <w:sz w:val="20"/>
                <w:szCs w:val="20"/>
              </w:rPr>
              <w:t>.</w:t>
            </w:r>
            <w:r w:rsidRPr="005A505B">
              <w:rPr>
                <w:rFonts w:cs="Arial"/>
                <w:color w:val="auto"/>
                <w:sz w:val="20"/>
                <w:szCs w:val="20"/>
              </w:rPr>
              <w:t>32</w:t>
            </w:r>
            <w:r w:rsidR="0034021A" w:rsidRPr="005A505B">
              <w:rPr>
                <w:rFonts w:cs="Arial"/>
                <w:color w:val="auto"/>
                <w:sz w:val="20"/>
                <w:szCs w:val="20"/>
              </w:rPr>
              <w:t>%</w:t>
            </w:r>
          </w:p>
        </w:tc>
      </w:tr>
      <w:tr w:rsidR="00510F2C" w:rsidRPr="005A505B" w:rsidTr="007F2BA8">
        <w:trPr>
          <w:trHeight w:val="264"/>
        </w:trPr>
        <w:tc>
          <w:tcPr>
            <w:tcW w:w="2127" w:type="dxa"/>
            <w:tcBorders>
              <w:top w:val="single" w:sz="4" w:space="0" w:color="auto"/>
              <w:left w:val="single" w:sz="4" w:space="0" w:color="auto"/>
              <w:bottom w:val="single" w:sz="4" w:space="0" w:color="auto"/>
              <w:right w:val="single" w:sz="4" w:space="0" w:color="auto"/>
            </w:tcBorders>
            <w:noWrap/>
            <w:hideMark/>
          </w:tcPr>
          <w:p w:rsidR="00C81807" w:rsidRPr="005A505B" w:rsidRDefault="00C81807" w:rsidP="005A505B">
            <w:pPr>
              <w:rPr>
                <w:rFonts w:cs="Arial"/>
                <w:color w:val="auto"/>
                <w:sz w:val="20"/>
                <w:szCs w:val="20"/>
              </w:rPr>
            </w:pPr>
            <w:r w:rsidRPr="005A505B">
              <w:rPr>
                <w:rFonts w:cs="Arial"/>
                <w:color w:val="auto"/>
                <w:sz w:val="20"/>
                <w:szCs w:val="20"/>
              </w:rPr>
              <w:t>Compensation of Tuberculosis</w:t>
            </w:r>
          </w:p>
        </w:tc>
        <w:tc>
          <w:tcPr>
            <w:tcW w:w="1134" w:type="dxa"/>
            <w:tcBorders>
              <w:top w:val="single" w:sz="4" w:space="0" w:color="auto"/>
              <w:left w:val="single" w:sz="4" w:space="0" w:color="auto"/>
              <w:bottom w:val="single" w:sz="4" w:space="0" w:color="auto"/>
              <w:right w:val="single" w:sz="4" w:space="0" w:color="auto"/>
            </w:tcBorders>
            <w:noWrap/>
            <w:hideMark/>
          </w:tcPr>
          <w:p w:rsidR="00C81807" w:rsidRPr="005A505B" w:rsidRDefault="00C81807" w:rsidP="005A505B">
            <w:pPr>
              <w:jc w:val="center"/>
              <w:rPr>
                <w:rFonts w:cs="Arial"/>
                <w:color w:val="auto"/>
                <w:sz w:val="20"/>
                <w:szCs w:val="20"/>
              </w:rPr>
            </w:pPr>
            <w:r w:rsidRPr="005A505B">
              <w:rPr>
                <w:rFonts w:cs="Arial"/>
                <w:color w:val="auto"/>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hideMark/>
          </w:tcPr>
          <w:p w:rsidR="00C81807" w:rsidRPr="005A505B" w:rsidRDefault="00C81807" w:rsidP="005A505B">
            <w:pPr>
              <w:jc w:val="center"/>
              <w:rPr>
                <w:rFonts w:cs="Arial"/>
                <w:color w:val="auto"/>
                <w:sz w:val="20"/>
                <w:szCs w:val="20"/>
              </w:rPr>
            </w:pPr>
            <w:r w:rsidRPr="005A505B">
              <w:rPr>
                <w:rFonts w:cs="Arial"/>
                <w:color w:val="auto"/>
                <w:sz w:val="20"/>
                <w:szCs w:val="20"/>
              </w:rPr>
              <w:t>0</w:t>
            </w:r>
          </w:p>
        </w:tc>
        <w:tc>
          <w:tcPr>
            <w:tcW w:w="1134" w:type="dxa"/>
            <w:tcBorders>
              <w:top w:val="single" w:sz="4" w:space="0" w:color="auto"/>
              <w:left w:val="single" w:sz="4" w:space="0" w:color="auto"/>
              <w:bottom w:val="single" w:sz="4" w:space="0" w:color="auto"/>
              <w:right w:val="single" w:sz="4" w:space="0" w:color="auto"/>
            </w:tcBorders>
            <w:noWrap/>
            <w:hideMark/>
          </w:tcPr>
          <w:p w:rsidR="00C81807" w:rsidRPr="005A505B" w:rsidRDefault="00C81807" w:rsidP="005A505B">
            <w:pPr>
              <w:jc w:val="center"/>
              <w:rPr>
                <w:rFonts w:cs="Arial"/>
                <w:color w:val="auto"/>
                <w:sz w:val="20"/>
                <w:szCs w:val="20"/>
              </w:rPr>
            </w:pPr>
            <w:r w:rsidRPr="005A505B">
              <w:rPr>
                <w:rFonts w:cs="Arial"/>
                <w:color w:val="auto"/>
                <w:sz w:val="20"/>
                <w:szCs w:val="20"/>
              </w:rPr>
              <w:t>0</w:t>
            </w:r>
          </w:p>
        </w:tc>
        <w:tc>
          <w:tcPr>
            <w:tcW w:w="1260" w:type="dxa"/>
            <w:tcBorders>
              <w:top w:val="single" w:sz="4" w:space="0" w:color="auto"/>
              <w:left w:val="single" w:sz="4" w:space="0" w:color="auto"/>
              <w:bottom w:val="single" w:sz="4" w:space="0" w:color="auto"/>
              <w:right w:val="single" w:sz="4" w:space="0" w:color="auto"/>
            </w:tcBorders>
            <w:noWrap/>
            <w:hideMark/>
          </w:tcPr>
          <w:p w:rsidR="00C81807" w:rsidRPr="005A505B" w:rsidRDefault="00C81807" w:rsidP="005A505B">
            <w:pPr>
              <w:jc w:val="center"/>
              <w:rPr>
                <w:rFonts w:cs="Arial"/>
                <w:color w:val="auto"/>
                <w:sz w:val="20"/>
                <w:szCs w:val="20"/>
              </w:rPr>
            </w:pPr>
            <w:r w:rsidRPr="005A505B">
              <w:rPr>
                <w:rFonts w:cs="Arial"/>
                <w:color w:val="auto"/>
                <w:sz w:val="20"/>
                <w:szCs w:val="20"/>
              </w:rPr>
              <w:t>0</w:t>
            </w:r>
          </w:p>
        </w:tc>
        <w:tc>
          <w:tcPr>
            <w:tcW w:w="1291" w:type="dxa"/>
            <w:tcBorders>
              <w:top w:val="single" w:sz="4" w:space="0" w:color="auto"/>
              <w:left w:val="single" w:sz="4" w:space="0" w:color="auto"/>
              <w:bottom w:val="single" w:sz="4" w:space="0" w:color="auto"/>
              <w:right w:val="single" w:sz="4" w:space="0" w:color="auto"/>
            </w:tcBorders>
            <w:noWrap/>
          </w:tcPr>
          <w:p w:rsidR="00C81807" w:rsidRPr="005A505B" w:rsidRDefault="00C81807" w:rsidP="005A505B">
            <w:pPr>
              <w:jc w:val="center"/>
              <w:rPr>
                <w:rFonts w:cs="Arial"/>
                <w:color w:val="auto"/>
                <w:sz w:val="20"/>
                <w:szCs w:val="20"/>
              </w:rPr>
            </w:pPr>
            <w:r w:rsidRPr="005A505B">
              <w:rPr>
                <w:rFonts w:cs="Arial"/>
                <w:color w:val="auto"/>
                <w:sz w:val="20"/>
                <w:szCs w:val="20"/>
              </w:rPr>
              <w:t>-</w:t>
            </w:r>
          </w:p>
        </w:tc>
        <w:tc>
          <w:tcPr>
            <w:tcW w:w="1559" w:type="dxa"/>
            <w:tcBorders>
              <w:top w:val="single" w:sz="4" w:space="0" w:color="auto"/>
              <w:left w:val="single" w:sz="4" w:space="0" w:color="auto"/>
              <w:bottom w:val="single" w:sz="4" w:space="0" w:color="auto"/>
              <w:right w:val="single" w:sz="4" w:space="0" w:color="auto"/>
            </w:tcBorders>
            <w:noWrap/>
          </w:tcPr>
          <w:p w:rsidR="00C81807" w:rsidRPr="005A505B" w:rsidRDefault="00C81807" w:rsidP="005A505B">
            <w:pPr>
              <w:jc w:val="center"/>
              <w:rPr>
                <w:rFonts w:cs="Arial"/>
                <w:color w:val="auto"/>
                <w:sz w:val="20"/>
                <w:szCs w:val="20"/>
              </w:rPr>
            </w:pPr>
            <w:r w:rsidRPr="005A505B">
              <w:rPr>
                <w:rFonts w:cs="Arial"/>
                <w:color w:val="auto"/>
                <w:sz w:val="20"/>
                <w:szCs w:val="20"/>
              </w:rPr>
              <w:t>-</w:t>
            </w:r>
          </w:p>
        </w:tc>
      </w:tr>
      <w:tr w:rsidR="00510F2C" w:rsidRPr="005A505B" w:rsidTr="007F2BA8">
        <w:trPr>
          <w:trHeight w:val="264"/>
        </w:trPr>
        <w:tc>
          <w:tcPr>
            <w:tcW w:w="2127" w:type="dxa"/>
            <w:tcBorders>
              <w:top w:val="single" w:sz="4" w:space="0" w:color="auto"/>
              <w:left w:val="single" w:sz="4" w:space="0" w:color="auto"/>
              <w:bottom w:val="single" w:sz="4" w:space="0" w:color="auto"/>
              <w:right w:val="single" w:sz="4" w:space="0" w:color="auto"/>
            </w:tcBorders>
            <w:noWrap/>
            <w:hideMark/>
          </w:tcPr>
          <w:p w:rsidR="00C81807" w:rsidRPr="005A505B" w:rsidRDefault="00C81807" w:rsidP="005A505B">
            <w:pPr>
              <w:rPr>
                <w:rFonts w:cs="Arial"/>
                <w:color w:val="auto"/>
                <w:sz w:val="20"/>
                <w:szCs w:val="20"/>
              </w:rPr>
            </w:pPr>
            <w:r w:rsidRPr="005A505B">
              <w:rPr>
                <w:rFonts w:cs="Arial"/>
                <w:color w:val="auto"/>
                <w:sz w:val="20"/>
                <w:szCs w:val="20"/>
              </w:rPr>
              <w:t>Eastern Cape Project</w:t>
            </w:r>
          </w:p>
        </w:tc>
        <w:tc>
          <w:tcPr>
            <w:tcW w:w="1134" w:type="dxa"/>
            <w:tcBorders>
              <w:top w:val="single" w:sz="4" w:space="0" w:color="auto"/>
              <w:left w:val="single" w:sz="4" w:space="0" w:color="auto"/>
              <w:bottom w:val="single" w:sz="4" w:space="0" w:color="auto"/>
              <w:right w:val="single" w:sz="4" w:space="0" w:color="auto"/>
            </w:tcBorders>
            <w:noWrap/>
            <w:hideMark/>
          </w:tcPr>
          <w:p w:rsidR="00C81807" w:rsidRPr="005A505B" w:rsidRDefault="00C81807" w:rsidP="005A505B">
            <w:pPr>
              <w:jc w:val="center"/>
              <w:rPr>
                <w:rFonts w:cs="Arial"/>
                <w:color w:val="auto"/>
                <w:sz w:val="20"/>
                <w:szCs w:val="20"/>
              </w:rPr>
            </w:pPr>
            <w:r w:rsidRPr="005A505B">
              <w:rPr>
                <w:rFonts w:cs="Arial"/>
                <w:color w:val="auto"/>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hideMark/>
          </w:tcPr>
          <w:p w:rsidR="00C81807" w:rsidRPr="005A505B" w:rsidRDefault="00C81807" w:rsidP="005A505B">
            <w:pPr>
              <w:jc w:val="center"/>
              <w:rPr>
                <w:rFonts w:cs="Arial"/>
                <w:color w:val="auto"/>
                <w:sz w:val="20"/>
                <w:szCs w:val="20"/>
              </w:rPr>
            </w:pPr>
            <w:r w:rsidRPr="005A505B">
              <w:rPr>
                <w:rFonts w:cs="Arial"/>
                <w:color w:val="auto"/>
                <w:sz w:val="20"/>
                <w:szCs w:val="20"/>
              </w:rPr>
              <w:t>0</w:t>
            </w:r>
          </w:p>
        </w:tc>
        <w:tc>
          <w:tcPr>
            <w:tcW w:w="1134" w:type="dxa"/>
            <w:tcBorders>
              <w:top w:val="single" w:sz="4" w:space="0" w:color="auto"/>
              <w:left w:val="single" w:sz="4" w:space="0" w:color="auto"/>
              <w:bottom w:val="single" w:sz="4" w:space="0" w:color="auto"/>
              <w:right w:val="single" w:sz="4" w:space="0" w:color="auto"/>
            </w:tcBorders>
            <w:noWrap/>
            <w:hideMark/>
          </w:tcPr>
          <w:p w:rsidR="00C81807" w:rsidRPr="005A505B" w:rsidRDefault="00C81807" w:rsidP="005A505B">
            <w:pPr>
              <w:jc w:val="center"/>
              <w:rPr>
                <w:rFonts w:cs="Arial"/>
                <w:color w:val="auto"/>
                <w:sz w:val="20"/>
                <w:szCs w:val="20"/>
              </w:rPr>
            </w:pPr>
            <w:r w:rsidRPr="005A505B">
              <w:rPr>
                <w:rFonts w:cs="Arial"/>
                <w:color w:val="auto"/>
                <w:sz w:val="20"/>
                <w:szCs w:val="20"/>
              </w:rPr>
              <w:t>0</w:t>
            </w:r>
          </w:p>
        </w:tc>
        <w:tc>
          <w:tcPr>
            <w:tcW w:w="1260" w:type="dxa"/>
            <w:tcBorders>
              <w:top w:val="single" w:sz="4" w:space="0" w:color="auto"/>
              <w:left w:val="single" w:sz="4" w:space="0" w:color="auto"/>
              <w:bottom w:val="single" w:sz="4" w:space="0" w:color="auto"/>
              <w:right w:val="single" w:sz="4" w:space="0" w:color="auto"/>
            </w:tcBorders>
            <w:noWrap/>
            <w:hideMark/>
          </w:tcPr>
          <w:p w:rsidR="00C81807" w:rsidRPr="005A505B" w:rsidRDefault="00C81807" w:rsidP="005A505B">
            <w:pPr>
              <w:jc w:val="center"/>
              <w:rPr>
                <w:rFonts w:cs="Arial"/>
                <w:color w:val="auto"/>
                <w:sz w:val="20"/>
                <w:szCs w:val="20"/>
              </w:rPr>
            </w:pPr>
            <w:r w:rsidRPr="005A505B">
              <w:rPr>
                <w:rFonts w:cs="Arial"/>
                <w:color w:val="auto"/>
                <w:sz w:val="20"/>
                <w:szCs w:val="20"/>
              </w:rPr>
              <w:t>0</w:t>
            </w:r>
          </w:p>
        </w:tc>
        <w:tc>
          <w:tcPr>
            <w:tcW w:w="1291" w:type="dxa"/>
            <w:tcBorders>
              <w:top w:val="single" w:sz="4" w:space="0" w:color="auto"/>
              <w:left w:val="single" w:sz="4" w:space="0" w:color="auto"/>
              <w:bottom w:val="single" w:sz="4" w:space="0" w:color="auto"/>
              <w:right w:val="single" w:sz="4" w:space="0" w:color="auto"/>
            </w:tcBorders>
            <w:noWrap/>
          </w:tcPr>
          <w:p w:rsidR="00C81807" w:rsidRPr="005A505B" w:rsidRDefault="00C81807" w:rsidP="005A505B">
            <w:pPr>
              <w:jc w:val="center"/>
              <w:rPr>
                <w:rFonts w:cs="Arial"/>
                <w:color w:val="auto"/>
                <w:sz w:val="20"/>
                <w:szCs w:val="20"/>
              </w:rPr>
            </w:pPr>
            <w:r w:rsidRPr="005A505B">
              <w:rPr>
                <w:rFonts w:cs="Arial"/>
                <w:color w:val="auto"/>
                <w:sz w:val="20"/>
                <w:szCs w:val="20"/>
              </w:rPr>
              <w:t>-</w:t>
            </w:r>
          </w:p>
        </w:tc>
        <w:tc>
          <w:tcPr>
            <w:tcW w:w="1559" w:type="dxa"/>
            <w:tcBorders>
              <w:top w:val="single" w:sz="4" w:space="0" w:color="auto"/>
              <w:left w:val="single" w:sz="4" w:space="0" w:color="auto"/>
              <w:bottom w:val="single" w:sz="4" w:space="0" w:color="auto"/>
              <w:right w:val="single" w:sz="4" w:space="0" w:color="auto"/>
            </w:tcBorders>
            <w:noWrap/>
          </w:tcPr>
          <w:p w:rsidR="00C81807" w:rsidRPr="005A505B" w:rsidRDefault="00C81807" w:rsidP="005A505B">
            <w:pPr>
              <w:jc w:val="center"/>
              <w:rPr>
                <w:rFonts w:cs="Arial"/>
                <w:color w:val="auto"/>
                <w:sz w:val="20"/>
                <w:szCs w:val="20"/>
              </w:rPr>
            </w:pPr>
            <w:r w:rsidRPr="005A505B">
              <w:rPr>
                <w:rFonts w:cs="Arial"/>
                <w:color w:val="auto"/>
                <w:sz w:val="20"/>
                <w:szCs w:val="20"/>
              </w:rPr>
              <w:t>-</w:t>
            </w:r>
          </w:p>
        </w:tc>
      </w:tr>
      <w:tr w:rsidR="00C81807" w:rsidRPr="005A505B" w:rsidTr="002E66DA">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hideMark/>
          </w:tcPr>
          <w:p w:rsidR="00C81807" w:rsidRPr="005A505B" w:rsidRDefault="00C81807" w:rsidP="005A505B">
            <w:pPr>
              <w:rPr>
                <w:rFonts w:cs="Arial"/>
                <w:b/>
                <w:bCs/>
                <w:color w:val="auto"/>
                <w:sz w:val="20"/>
                <w:szCs w:val="20"/>
              </w:rPr>
            </w:pPr>
            <w:r w:rsidRPr="005A505B">
              <w:rPr>
                <w:rFonts w:cs="Arial"/>
                <w:b/>
                <w:bCs/>
                <w:color w:val="auto"/>
                <w:sz w:val="20"/>
                <w:szCs w:val="20"/>
              </w:rPr>
              <w:t>TOTAL</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hideMark/>
          </w:tcPr>
          <w:p w:rsidR="00C81807" w:rsidRPr="005A505B" w:rsidRDefault="00C81807" w:rsidP="005A505B">
            <w:pPr>
              <w:jc w:val="center"/>
              <w:rPr>
                <w:rFonts w:cs="Arial"/>
                <w:b/>
                <w:bCs/>
                <w:color w:val="auto"/>
                <w:sz w:val="20"/>
                <w:szCs w:val="20"/>
              </w:rPr>
            </w:pPr>
            <w:r w:rsidRPr="005A505B">
              <w:rPr>
                <w:rFonts w:cs="Arial"/>
                <w:b/>
                <w:bCs/>
                <w:color w:val="auto"/>
                <w:sz w:val="20"/>
                <w:szCs w:val="20"/>
              </w:rPr>
              <w:t>407 773</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hideMark/>
          </w:tcPr>
          <w:p w:rsidR="00C81807" w:rsidRPr="005A505B" w:rsidRDefault="00C81807" w:rsidP="005A505B">
            <w:pPr>
              <w:jc w:val="center"/>
              <w:rPr>
                <w:rFonts w:cs="Arial"/>
                <w:b/>
                <w:bCs/>
                <w:color w:val="auto"/>
                <w:sz w:val="20"/>
                <w:szCs w:val="20"/>
              </w:rPr>
            </w:pPr>
            <w:r w:rsidRPr="005A505B">
              <w:rPr>
                <w:rFonts w:cs="Arial"/>
                <w:b/>
                <w:bCs/>
                <w:color w:val="auto"/>
                <w:sz w:val="20"/>
                <w:szCs w:val="20"/>
              </w:rPr>
              <w:t>412 897</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hideMark/>
          </w:tcPr>
          <w:p w:rsidR="00C81807" w:rsidRPr="005A505B" w:rsidRDefault="00C81807" w:rsidP="005A505B">
            <w:pPr>
              <w:jc w:val="center"/>
              <w:rPr>
                <w:rFonts w:cs="Arial"/>
                <w:b/>
                <w:bCs/>
                <w:color w:val="auto"/>
                <w:sz w:val="20"/>
                <w:szCs w:val="20"/>
              </w:rPr>
            </w:pPr>
            <w:r w:rsidRPr="005A505B">
              <w:rPr>
                <w:rFonts w:cs="Arial"/>
                <w:b/>
                <w:bCs/>
                <w:color w:val="auto"/>
                <w:sz w:val="20"/>
                <w:szCs w:val="20"/>
              </w:rPr>
              <w:t>5 124</w:t>
            </w:r>
          </w:p>
        </w:tc>
        <w:tc>
          <w:tcPr>
            <w:tcW w:w="126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hideMark/>
          </w:tcPr>
          <w:p w:rsidR="00C81807" w:rsidRPr="005A505B" w:rsidRDefault="00C81807" w:rsidP="005A505B">
            <w:pPr>
              <w:jc w:val="center"/>
              <w:rPr>
                <w:rFonts w:cs="Arial"/>
                <w:b/>
                <w:bCs/>
                <w:color w:val="auto"/>
                <w:sz w:val="20"/>
                <w:szCs w:val="20"/>
              </w:rPr>
            </w:pPr>
            <w:r w:rsidRPr="005A505B">
              <w:rPr>
                <w:rFonts w:cs="Arial"/>
                <w:b/>
                <w:bCs/>
                <w:color w:val="auto"/>
                <w:sz w:val="20"/>
                <w:szCs w:val="20"/>
              </w:rPr>
              <w:t>- 12 656</w:t>
            </w:r>
          </w:p>
        </w:tc>
        <w:tc>
          <w:tcPr>
            <w:tcW w:w="1291"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hideMark/>
          </w:tcPr>
          <w:p w:rsidR="00C81807" w:rsidRPr="005A505B" w:rsidRDefault="00C81807" w:rsidP="005A505B">
            <w:pPr>
              <w:jc w:val="center"/>
              <w:rPr>
                <w:rFonts w:cs="Arial"/>
                <w:b/>
                <w:bCs/>
                <w:color w:val="auto"/>
                <w:sz w:val="20"/>
                <w:szCs w:val="20"/>
              </w:rPr>
            </w:pPr>
            <w:r w:rsidRPr="005A505B">
              <w:rPr>
                <w:rFonts w:cs="Arial"/>
                <w:b/>
                <w:bCs/>
                <w:color w:val="auto"/>
                <w:sz w:val="20"/>
                <w:szCs w:val="20"/>
              </w:rPr>
              <w:t>1</w:t>
            </w:r>
            <w:r w:rsidR="00480C78" w:rsidRPr="005A505B">
              <w:rPr>
                <w:rFonts w:cs="Arial"/>
                <w:b/>
                <w:bCs/>
                <w:color w:val="auto"/>
                <w:sz w:val="20"/>
                <w:szCs w:val="20"/>
              </w:rPr>
              <w:t>.</w:t>
            </w:r>
            <w:r w:rsidRPr="005A505B">
              <w:rPr>
                <w:rFonts w:cs="Arial"/>
                <w:b/>
                <w:bCs/>
                <w:color w:val="auto"/>
                <w:sz w:val="20"/>
                <w:szCs w:val="20"/>
              </w:rPr>
              <w:t>3</w:t>
            </w:r>
            <w:r w:rsidR="0034021A" w:rsidRPr="005A505B">
              <w:rPr>
                <w:rFonts w:cs="Arial"/>
                <w:b/>
                <w:bCs/>
                <w:color w:val="auto"/>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hideMark/>
          </w:tcPr>
          <w:p w:rsidR="00C81807" w:rsidRPr="005A505B" w:rsidRDefault="00C81807" w:rsidP="005A505B">
            <w:pPr>
              <w:jc w:val="center"/>
              <w:rPr>
                <w:rFonts w:cs="Arial"/>
                <w:b/>
                <w:bCs/>
                <w:color w:val="auto"/>
                <w:sz w:val="20"/>
                <w:szCs w:val="20"/>
              </w:rPr>
            </w:pPr>
            <w:r w:rsidRPr="005A505B">
              <w:rPr>
                <w:rFonts w:cs="Arial"/>
                <w:b/>
                <w:bCs/>
                <w:color w:val="auto"/>
                <w:sz w:val="20"/>
                <w:szCs w:val="20"/>
              </w:rPr>
              <w:t>-3</w:t>
            </w:r>
            <w:r w:rsidR="00480C78" w:rsidRPr="005A505B">
              <w:rPr>
                <w:rFonts w:cs="Arial"/>
                <w:b/>
                <w:bCs/>
                <w:color w:val="auto"/>
                <w:sz w:val="20"/>
                <w:szCs w:val="20"/>
              </w:rPr>
              <w:t>.</w:t>
            </w:r>
            <w:r w:rsidRPr="005A505B">
              <w:rPr>
                <w:rFonts w:cs="Arial"/>
                <w:b/>
                <w:bCs/>
                <w:color w:val="auto"/>
                <w:sz w:val="20"/>
                <w:szCs w:val="20"/>
              </w:rPr>
              <w:t>10</w:t>
            </w:r>
            <w:r w:rsidR="0034021A" w:rsidRPr="005A505B">
              <w:rPr>
                <w:rFonts w:cs="Arial"/>
                <w:b/>
                <w:bCs/>
                <w:color w:val="auto"/>
                <w:sz w:val="20"/>
                <w:szCs w:val="20"/>
              </w:rPr>
              <w:t>%</w:t>
            </w:r>
          </w:p>
        </w:tc>
      </w:tr>
    </w:tbl>
    <w:p w:rsidR="00C81807" w:rsidRPr="005A505B" w:rsidRDefault="00C81807" w:rsidP="005A505B">
      <w:pPr>
        <w:rPr>
          <w:rFonts w:cs="Arial"/>
          <w:color w:val="auto"/>
          <w:sz w:val="20"/>
          <w:szCs w:val="20"/>
          <w:lang w:eastAsia="en-US"/>
        </w:rPr>
      </w:pPr>
    </w:p>
    <w:p w:rsidR="00C81807" w:rsidRPr="005A505B" w:rsidRDefault="00C81807" w:rsidP="005A505B">
      <w:pPr>
        <w:rPr>
          <w:rFonts w:cs="Arial"/>
          <w:color w:val="auto"/>
          <w:sz w:val="20"/>
          <w:szCs w:val="20"/>
        </w:rPr>
      </w:pPr>
    </w:p>
    <w:p w:rsidR="00C81807" w:rsidRPr="005A505B" w:rsidRDefault="00C81807" w:rsidP="005A505B">
      <w:pPr>
        <w:jc w:val="both"/>
        <w:rPr>
          <w:rFonts w:cs="Arial"/>
          <w:color w:val="auto"/>
          <w:sz w:val="20"/>
          <w:szCs w:val="20"/>
        </w:rPr>
      </w:pPr>
      <w:r w:rsidRPr="005A505B">
        <w:rPr>
          <w:rFonts w:cs="Arial"/>
          <w:color w:val="auto"/>
          <w:sz w:val="20"/>
          <w:szCs w:val="20"/>
        </w:rPr>
        <w:t xml:space="preserve">In reference to table </w:t>
      </w:r>
      <w:r w:rsidR="00480C78" w:rsidRPr="005A505B">
        <w:rPr>
          <w:rFonts w:cs="Arial"/>
          <w:color w:val="auto"/>
          <w:sz w:val="20"/>
          <w:szCs w:val="20"/>
        </w:rPr>
        <w:t>7</w:t>
      </w:r>
      <w:r w:rsidRPr="005A505B">
        <w:rPr>
          <w:rFonts w:cs="Arial"/>
          <w:color w:val="auto"/>
          <w:sz w:val="20"/>
          <w:szCs w:val="20"/>
        </w:rPr>
        <w:t xml:space="preserve">, it is clear that CCOD has three active programmes, not five given the non-allocation of resources to </w:t>
      </w:r>
      <w:r w:rsidR="00E0710E" w:rsidRPr="005A505B">
        <w:rPr>
          <w:rFonts w:cs="Arial"/>
          <w:color w:val="auto"/>
          <w:sz w:val="20"/>
          <w:szCs w:val="20"/>
        </w:rPr>
        <w:t xml:space="preserve">Programme </w:t>
      </w:r>
      <w:r w:rsidRPr="005A505B">
        <w:rPr>
          <w:rFonts w:cs="Arial"/>
          <w:color w:val="auto"/>
          <w:sz w:val="20"/>
          <w:szCs w:val="20"/>
        </w:rPr>
        <w:t>4</w:t>
      </w:r>
      <w:r w:rsidR="00E0710E" w:rsidRPr="005A505B">
        <w:rPr>
          <w:rFonts w:cs="Arial"/>
          <w:color w:val="auto"/>
          <w:sz w:val="20"/>
          <w:szCs w:val="20"/>
        </w:rPr>
        <w:t>:</w:t>
      </w:r>
      <w:r w:rsidRPr="005A505B">
        <w:rPr>
          <w:rFonts w:cs="Arial"/>
          <w:color w:val="auto"/>
          <w:sz w:val="20"/>
          <w:szCs w:val="20"/>
        </w:rPr>
        <w:t xml:space="preserve"> Compensation of Tuberculosis and </w:t>
      </w:r>
      <w:r w:rsidR="00E0710E" w:rsidRPr="005A505B">
        <w:rPr>
          <w:rFonts w:cs="Arial"/>
          <w:color w:val="auto"/>
          <w:sz w:val="20"/>
          <w:szCs w:val="20"/>
        </w:rPr>
        <w:t xml:space="preserve">Programme </w:t>
      </w:r>
      <w:r w:rsidRPr="005A505B">
        <w:rPr>
          <w:rFonts w:cs="Arial"/>
          <w:color w:val="auto"/>
          <w:sz w:val="20"/>
          <w:szCs w:val="20"/>
        </w:rPr>
        <w:t>5</w:t>
      </w:r>
      <w:r w:rsidR="00E0710E" w:rsidRPr="005A505B">
        <w:rPr>
          <w:rFonts w:cs="Arial"/>
          <w:color w:val="auto"/>
          <w:sz w:val="20"/>
          <w:szCs w:val="20"/>
        </w:rPr>
        <w:t xml:space="preserve">: </w:t>
      </w:r>
      <w:r w:rsidRPr="005A505B">
        <w:rPr>
          <w:rFonts w:cs="Arial"/>
          <w:color w:val="auto"/>
          <w:sz w:val="20"/>
          <w:szCs w:val="20"/>
        </w:rPr>
        <w:t>Eastern Cape Project. As a result, there is a minimal increase when considering the total budget for CCOD from R407.7 million in 2021/22 to R412.8 million in 2022/23. In essence, the allocation shows a real decrease of R12.6 million when factoring in annual inflation. This may pose a significant challenge to the entity for meeting its mandate given the increase in beneficiaries and verification of its database.</w:t>
      </w:r>
    </w:p>
    <w:p w:rsidR="00F55F38" w:rsidRPr="005A505B" w:rsidRDefault="00F55F38" w:rsidP="005A505B">
      <w:pPr>
        <w:jc w:val="both"/>
        <w:rPr>
          <w:rFonts w:cs="Arial"/>
          <w:color w:val="auto"/>
          <w:sz w:val="20"/>
          <w:szCs w:val="20"/>
        </w:rPr>
      </w:pPr>
    </w:p>
    <w:p w:rsidR="00F55F38" w:rsidRPr="005A505B" w:rsidRDefault="00F55F38" w:rsidP="005A505B">
      <w:pPr>
        <w:jc w:val="both"/>
        <w:rPr>
          <w:rFonts w:cs="Arial"/>
          <w:color w:val="auto"/>
          <w:sz w:val="20"/>
          <w:szCs w:val="20"/>
        </w:rPr>
      </w:pPr>
    </w:p>
    <w:p w:rsidR="00F55F38" w:rsidRPr="005A505B" w:rsidRDefault="00F55F38" w:rsidP="005A505B">
      <w:pPr>
        <w:pStyle w:val="Heading2"/>
        <w:numPr>
          <w:ilvl w:val="1"/>
          <w:numId w:val="53"/>
        </w:numPr>
        <w:rPr>
          <w:color w:val="auto"/>
          <w:sz w:val="20"/>
          <w:szCs w:val="20"/>
        </w:rPr>
      </w:pPr>
      <w:bookmarkStart w:id="468" w:name="_Toc102119902"/>
      <w:r w:rsidRPr="005A505B">
        <w:rPr>
          <w:color w:val="auto"/>
          <w:sz w:val="20"/>
          <w:szCs w:val="20"/>
        </w:rPr>
        <w:t>Office of Health Standards Compliance (OHSC)</w:t>
      </w:r>
      <w:bookmarkEnd w:id="468"/>
    </w:p>
    <w:p w:rsidR="00076B59" w:rsidRPr="005A505B" w:rsidRDefault="00076B59" w:rsidP="005A505B">
      <w:pPr>
        <w:jc w:val="both"/>
        <w:rPr>
          <w:rFonts w:cs="Arial"/>
          <w:b/>
          <w:color w:val="auto"/>
          <w:sz w:val="20"/>
          <w:szCs w:val="20"/>
        </w:rPr>
      </w:pPr>
    </w:p>
    <w:p w:rsidR="00076B59" w:rsidRPr="005A505B" w:rsidRDefault="00076B59" w:rsidP="005A505B">
      <w:pPr>
        <w:rPr>
          <w:rFonts w:cs="Arial"/>
          <w:color w:val="auto"/>
          <w:sz w:val="20"/>
          <w:szCs w:val="20"/>
        </w:rPr>
      </w:pPr>
    </w:p>
    <w:p w:rsidR="00076B59" w:rsidRPr="005A505B" w:rsidRDefault="00076B59" w:rsidP="005A505B">
      <w:pPr>
        <w:pStyle w:val="ListParagraph"/>
        <w:numPr>
          <w:ilvl w:val="2"/>
          <w:numId w:val="53"/>
        </w:numPr>
        <w:jc w:val="both"/>
        <w:rPr>
          <w:rFonts w:cs="Arial"/>
          <w:color w:val="auto"/>
          <w:sz w:val="20"/>
          <w:szCs w:val="20"/>
        </w:rPr>
      </w:pPr>
      <w:bookmarkStart w:id="469" w:name="_Toc99368116"/>
      <w:r w:rsidRPr="005A505B">
        <w:rPr>
          <w:rFonts w:cs="Arial"/>
          <w:b/>
          <w:color w:val="auto"/>
          <w:sz w:val="20"/>
          <w:szCs w:val="20"/>
        </w:rPr>
        <w:t xml:space="preserve">Introduction </w:t>
      </w:r>
      <w:bookmarkEnd w:id="469"/>
    </w:p>
    <w:p w:rsidR="00076B59" w:rsidRPr="005A505B" w:rsidRDefault="00076B59" w:rsidP="005A505B">
      <w:pPr>
        <w:jc w:val="both"/>
        <w:rPr>
          <w:rFonts w:cs="Arial"/>
          <w:color w:val="auto"/>
          <w:sz w:val="20"/>
          <w:szCs w:val="20"/>
        </w:rPr>
      </w:pPr>
    </w:p>
    <w:p w:rsidR="00076B59" w:rsidRPr="005A505B" w:rsidRDefault="00076B59" w:rsidP="005A505B">
      <w:pPr>
        <w:jc w:val="both"/>
        <w:rPr>
          <w:rFonts w:cs="Arial"/>
          <w:color w:val="auto"/>
          <w:sz w:val="20"/>
          <w:szCs w:val="20"/>
          <w:lang w:eastAsia="en-ZA"/>
        </w:rPr>
      </w:pPr>
      <w:r w:rsidRPr="005A505B">
        <w:rPr>
          <w:rFonts w:cs="Arial"/>
          <w:color w:val="auto"/>
          <w:sz w:val="20"/>
          <w:szCs w:val="20"/>
          <w:lang w:eastAsia="en-ZA"/>
        </w:rPr>
        <w:t xml:space="preserve">The Office of the Health Standard Compliance (OHSC) is established in terms of the National Health Amendment Act (NHA), </w:t>
      </w:r>
      <w:r w:rsidRPr="005A505B">
        <w:rPr>
          <w:rFonts w:cs="Arial"/>
          <w:color w:val="auto"/>
          <w:sz w:val="20"/>
          <w:szCs w:val="20"/>
        </w:rPr>
        <w:t xml:space="preserve">No. 12 </w:t>
      </w:r>
      <w:r w:rsidRPr="005A505B">
        <w:rPr>
          <w:rFonts w:cs="Arial"/>
          <w:color w:val="auto"/>
          <w:sz w:val="20"/>
          <w:szCs w:val="20"/>
          <w:lang w:eastAsia="en-ZA"/>
        </w:rPr>
        <w:t>of 2013 and is listed as a Schedule 3A Public Entity in terms of the Public Finance Management Act (PFMA). According to the NHA, the OHSC is responsible for protecting and promoting the health and safety of users of health services by:</w:t>
      </w:r>
    </w:p>
    <w:p w:rsidR="00076B59" w:rsidRPr="005A505B" w:rsidRDefault="00076B59" w:rsidP="005A505B">
      <w:pPr>
        <w:pStyle w:val="ListParagraph"/>
        <w:numPr>
          <w:ilvl w:val="0"/>
          <w:numId w:val="101"/>
        </w:numPr>
        <w:jc w:val="both"/>
        <w:rPr>
          <w:rFonts w:cs="Arial"/>
          <w:color w:val="auto"/>
          <w:sz w:val="20"/>
          <w:szCs w:val="20"/>
          <w:lang w:eastAsia="en-ZA"/>
        </w:rPr>
      </w:pPr>
      <w:r w:rsidRPr="005A505B">
        <w:rPr>
          <w:rFonts w:cs="Arial"/>
          <w:color w:val="auto"/>
          <w:sz w:val="20"/>
          <w:szCs w:val="20"/>
          <w:lang w:eastAsia="en-ZA"/>
        </w:rPr>
        <w:t>Monitoring and enforcing compliance by health establishments with norms and standards prescribed by the Minister concerning to the national health system; and</w:t>
      </w:r>
    </w:p>
    <w:p w:rsidR="00076B59" w:rsidRPr="005A505B" w:rsidRDefault="00076B59" w:rsidP="005A505B">
      <w:pPr>
        <w:pStyle w:val="ListParagraph"/>
        <w:numPr>
          <w:ilvl w:val="0"/>
          <w:numId w:val="101"/>
        </w:numPr>
        <w:jc w:val="both"/>
        <w:rPr>
          <w:rFonts w:cs="Arial"/>
          <w:color w:val="auto"/>
          <w:sz w:val="20"/>
          <w:szCs w:val="20"/>
          <w:lang w:eastAsia="en-ZA"/>
        </w:rPr>
      </w:pPr>
      <w:r w:rsidRPr="005A505B">
        <w:rPr>
          <w:rFonts w:cs="Arial"/>
          <w:color w:val="auto"/>
          <w:sz w:val="20"/>
          <w:szCs w:val="20"/>
          <w:lang w:eastAsia="en-ZA"/>
        </w:rPr>
        <w:t>Ensuring that complaints about non-compliance with prescribed norms and standards are considered, investigated and disposed of in a procedurally fair, economical and expeditious manner.</w:t>
      </w:r>
    </w:p>
    <w:p w:rsidR="00076B59" w:rsidRPr="005A505B" w:rsidRDefault="00076B59" w:rsidP="005A505B">
      <w:pPr>
        <w:jc w:val="both"/>
        <w:rPr>
          <w:rFonts w:cs="Arial"/>
          <w:color w:val="auto"/>
          <w:sz w:val="20"/>
          <w:szCs w:val="20"/>
          <w:lang w:eastAsia="en-ZA"/>
        </w:rPr>
      </w:pPr>
    </w:p>
    <w:p w:rsidR="00076B59" w:rsidRPr="005A505B" w:rsidRDefault="00076B59" w:rsidP="005A505B">
      <w:pPr>
        <w:jc w:val="both"/>
        <w:rPr>
          <w:rFonts w:cs="Arial"/>
          <w:color w:val="auto"/>
          <w:sz w:val="20"/>
          <w:szCs w:val="20"/>
          <w:lang w:eastAsia="en-ZA"/>
        </w:rPr>
      </w:pPr>
      <w:r w:rsidRPr="005A505B">
        <w:rPr>
          <w:rFonts w:cs="Arial"/>
          <w:color w:val="auto"/>
          <w:sz w:val="20"/>
          <w:szCs w:val="20"/>
          <w:lang w:eastAsia="en-ZA"/>
        </w:rPr>
        <w:lastRenderedPageBreak/>
        <w:t>The governance of the OHSC is entrusted to a Board appointed in accordance with section 79 of the NHA. Currently the Board has the following committees:</w:t>
      </w:r>
    </w:p>
    <w:p w:rsidR="00076B59" w:rsidRPr="005A505B" w:rsidRDefault="00076B59" w:rsidP="005A505B">
      <w:pPr>
        <w:pStyle w:val="ListParagraph"/>
        <w:numPr>
          <w:ilvl w:val="0"/>
          <w:numId w:val="102"/>
        </w:numPr>
        <w:jc w:val="both"/>
        <w:rPr>
          <w:rFonts w:cs="Arial"/>
          <w:color w:val="auto"/>
          <w:sz w:val="20"/>
          <w:szCs w:val="20"/>
          <w:lang w:eastAsia="en-ZA"/>
        </w:rPr>
      </w:pPr>
      <w:r w:rsidRPr="005A505B">
        <w:rPr>
          <w:rFonts w:cs="Arial"/>
          <w:color w:val="auto"/>
          <w:sz w:val="20"/>
          <w:szCs w:val="20"/>
          <w:lang w:eastAsia="en-ZA"/>
        </w:rPr>
        <w:t>EXCO Board Chairperson and Chairpersons of the Board sub-committees;</w:t>
      </w:r>
    </w:p>
    <w:p w:rsidR="00076B59" w:rsidRPr="005A505B" w:rsidRDefault="00076B59" w:rsidP="005A505B">
      <w:pPr>
        <w:pStyle w:val="ListParagraph"/>
        <w:numPr>
          <w:ilvl w:val="0"/>
          <w:numId w:val="102"/>
        </w:numPr>
        <w:jc w:val="both"/>
        <w:rPr>
          <w:rFonts w:cs="Arial"/>
          <w:color w:val="auto"/>
          <w:sz w:val="20"/>
          <w:szCs w:val="20"/>
          <w:lang w:eastAsia="en-ZA"/>
        </w:rPr>
      </w:pPr>
      <w:r w:rsidRPr="005A505B">
        <w:rPr>
          <w:rFonts w:cs="Arial"/>
          <w:color w:val="auto"/>
          <w:sz w:val="20"/>
          <w:szCs w:val="20"/>
          <w:lang w:eastAsia="en-ZA"/>
        </w:rPr>
        <w:t>Certification and Enforcement Committee;</w:t>
      </w:r>
    </w:p>
    <w:p w:rsidR="00076B59" w:rsidRPr="005A505B" w:rsidRDefault="00076B59" w:rsidP="005A505B">
      <w:pPr>
        <w:pStyle w:val="ListParagraph"/>
        <w:numPr>
          <w:ilvl w:val="0"/>
          <w:numId w:val="102"/>
        </w:numPr>
        <w:jc w:val="both"/>
        <w:rPr>
          <w:rFonts w:cs="Arial"/>
          <w:color w:val="auto"/>
          <w:sz w:val="20"/>
          <w:szCs w:val="20"/>
          <w:lang w:eastAsia="en-ZA"/>
        </w:rPr>
      </w:pPr>
      <w:r w:rsidRPr="005A505B">
        <w:rPr>
          <w:rFonts w:cs="Arial"/>
          <w:color w:val="auto"/>
          <w:sz w:val="20"/>
          <w:szCs w:val="20"/>
          <w:lang w:eastAsia="en-ZA"/>
        </w:rPr>
        <w:t xml:space="preserve">Audit, Risk and Finance Committee; and </w:t>
      </w:r>
    </w:p>
    <w:p w:rsidR="00076B59" w:rsidRPr="005A505B" w:rsidRDefault="00076B59" w:rsidP="005A505B">
      <w:pPr>
        <w:pStyle w:val="ListParagraph"/>
        <w:numPr>
          <w:ilvl w:val="0"/>
          <w:numId w:val="102"/>
        </w:numPr>
        <w:jc w:val="both"/>
        <w:rPr>
          <w:rFonts w:cs="Arial"/>
          <w:color w:val="auto"/>
          <w:sz w:val="20"/>
          <w:szCs w:val="20"/>
          <w:lang w:eastAsia="en-ZA"/>
        </w:rPr>
      </w:pPr>
      <w:r w:rsidRPr="005A505B">
        <w:rPr>
          <w:rFonts w:cs="Arial"/>
          <w:color w:val="auto"/>
          <w:sz w:val="20"/>
          <w:szCs w:val="20"/>
          <w:lang w:eastAsia="en-ZA"/>
        </w:rPr>
        <w:t>Human Resources and Remuneration Committee.</w:t>
      </w:r>
    </w:p>
    <w:p w:rsidR="00076B59" w:rsidRPr="005A505B" w:rsidRDefault="00076B59" w:rsidP="005A505B">
      <w:pPr>
        <w:jc w:val="both"/>
        <w:rPr>
          <w:rFonts w:cs="Arial"/>
          <w:color w:val="auto"/>
          <w:sz w:val="20"/>
          <w:szCs w:val="20"/>
        </w:rPr>
      </w:pPr>
    </w:p>
    <w:p w:rsidR="00076B59" w:rsidRPr="005A505B" w:rsidRDefault="00076B59" w:rsidP="005A505B">
      <w:pPr>
        <w:pStyle w:val="ListParagraph"/>
        <w:numPr>
          <w:ilvl w:val="2"/>
          <w:numId w:val="53"/>
        </w:numPr>
        <w:jc w:val="both"/>
        <w:rPr>
          <w:rFonts w:cs="Arial"/>
          <w:color w:val="auto"/>
          <w:sz w:val="20"/>
          <w:szCs w:val="20"/>
        </w:rPr>
      </w:pPr>
      <w:bookmarkStart w:id="470" w:name="_Toc99368117"/>
      <w:r w:rsidRPr="005A505B">
        <w:rPr>
          <w:rFonts w:cs="Arial"/>
          <w:b/>
          <w:color w:val="auto"/>
          <w:sz w:val="20"/>
          <w:szCs w:val="20"/>
        </w:rPr>
        <w:t>Situational Analysis</w:t>
      </w:r>
      <w:bookmarkEnd w:id="470"/>
    </w:p>
    <w:p w:rsidR="00076B59" w:rsidRPr="005A505B" w:rsidRDefault="00076B59" w:rsidP="005A505B">
      <w:pPr>
        <w:jc w:val="both"/>
        <w:rPr>
          <w:rFonts w:cs="Arial"/>
          <w:color w:val="auto"/>
          <w:sz w:val="20"/>
          <w:szCs w:val="20"/>
        </w:rPr>
      </w:pPr>
    </w:p>
    <w:p w:rsidR="00076B59" w:rsidRPr="005A505B" w:rsidRDefault="00076B59" w:rsidP="005A505B">
      <w:pPr>
        <w:jc w:val="both"/>
        <w:rPr>
          <w:rFonts w:cs="Arial"/>
          <w:color w:val="auto"/>
          <w:sz w:val="20"/>
          <w:szCs w:val="20"/>
        </w:rPr>
      </w:pPr>
      <w:r w:rsidRPr="005A505B">
        <w:rPr>
          <w:rFonts w:cs="Arial"/>
          <w:color w:val="auto"/>
          <w:sz w:val="20"/>
          <w:szCs w:val="20"/>
        </w:rPr>
        <w:t>The entity has a conducted a reflective analysis within and outside of its operation to determine its strengths and challenges. In this regard, it employed three assessment methods namely the Political, Economic, Social, Technological, Legal/Ethics, Environment (</w:t>
      </w:r>
      <w:r w:rsidRPr="005A505B">
        <w:rPr>
          <w:rFonts w:eastAsia="Batang" w:cs="Arial"/>
          <w:color w:val="auto"/>
          <w:sz w:val="20"/>
          <w:szCs w:val="20"/>
          <w:lang w:eastAsia="ko-KR"/>
        </w:rPr>
        <w:t>PESTLE), SWOT and Stakeholder analysis. The outcome of these exercises were that there are successes (clean audits), strengths (good political support) and challenges (financial challenges and human resources shortages) for the entity. The following are some of the concerns coming out of the entity’s APP</w:t>
      </w:r>
      <w:r w:rsidRPr="005A505B">
        <w:rPr>
          <w:rFonts w:cs="Arial"/>
          <w:color w:val="auto"/>
          <w:sz w:val="20"/>
          <w:szCs w:val="20"/>
        </w:rPr>
        <w:t xml:space="preserve">. </w:t>
      </w:r>
    </w:p>
    <w:p w:rsidR="00076B59" w:rsidRPr="005A505B" w:rsidRDefault="00076B59" w:rsidP="005A505B">
      <w:pPr>
        <w:jc w:val="both"/>
        <w:rPr>
          <w:rFonts w:cs="Arial"/>
          <w:color w:val="auto"/>
          <w:sz w:val="20"/>
          <w:szCs w:val="20"/>
        </w:rPr>
      </w:pPr>
    </w:p>
    <w:p w:rsidR="00076B59" w:rsidRPr="005A505B" w:rsidRDefault="00076B59" w:rsidP="005A505B">
      <w:pPr>
        <w:jc w:val="both"/>
        <w:rPr>
          <w:rFonts w:cs="Arial"/>
          <w:b/>
          <w:color w:val="auto"/>
          <w:sz w:val="20"/>
          <w:szCs w:val="20"/>
        </w:rPr>
      </w:pPr>
      <w:r w:rsidRPr="005A505B">
        <w:rPr>
          <w:rFonts w:cs="Arial"/>
          <w:b/>
          <w:color w:val="auto"/>
          <w:sz w:val="20"/>
          <w:szCs w:val="20"/>
        </w:rPr>
        <w:t xml:space="preserve">Key Risks are as follows:  </w:t>
      </w:r>
    </w:p>
    <w:p w:rsidR="00076B59" w:rsidRPr="005A505B" w:rsidRDefault="00076B59" w:rsidP="005A505B">
      <w:pPr>
        <w:jc w:val="both"/>
        <w:rPr>
          <w:rFonts w:cs="Arial"/>
          <w:color w:val="auto"/>
          <w:sz w:val="20"/>
          <w:szCs w:val="20"/>
        </w:rPr>
      </w:pPr>
    </w:p>
    <w:p w:rsidR="00076B59" w:rsidRPr="005A505B" w:rsidRDefault="00076B59" w:rsidP="005A505B">
      <w:pPr>
        <w:pStyle w:val="ListParagraph"/>
        <w:numPr>
          <w:ilvl w:val="0"/>
          <w:numId w:val="103"/>
        </w:numPr>
        <w:jc w:val="both"/>
        <w:rPr>
          <w:rFonts w:cs="Arial"/>
          <w:color w:val="auto"/>
          <w:sz w:val="20"/>
          <w:szCs w:val="20"/>
        </w:rPr>
      </w:pPr>
      <w:r w:rsidRPr="005A505B">
        <w:rPr>
          <w:rFonts w:cs="Arial"/>
          <w:color w:val="auto"/>
          <w:sz w:val="20"/>
          <w:szCs w:val="20"/>
        </w:rPr>
        <w:t>Delays in the resolution of complaints;</w:t>
      </w:r>
    </w:p>
    <w:p w:rsidR="00076B59" w:rsidRPr="005A505B" w:rsidRDefault="00076B59" w:rsidP="005A505B">
      <w:pPr>
        <w:pStyle w:val="ListParagraph"/>
        <w:numPr>
          <w:ilvl w:val="0"/>
          <w:numId w:val="103"/>
        </w:numPr>
        <w:jc w:val="both"/>
        <w:rPr>
          <w:rFonts w:cs="Arial"/>
          <w:color w:val="auto"/>
          <w:sz w:val="20"/>
          <w:szCs w:val="20"/>
        </w:rPr>
      </w:pPr>
      <w:r w:rsidRPr="005A505B">
        <w:rPr>
          <w:rFonts w:cs="Arial"/>
          <w:color w:val="auto"/>
          <w:sz w:val="20"/>
          <w:szCs w:val="20"/>
        </w:rPr>
        <w:t>Limited set of norms and standards for different types of health establishments;</w:t>
      </w:r>
    </w:p>
    <w:p w:rsidR="00076B59" w:rsidRPr="005A505B" w:rsidRDefault="00076B59" w:rsidP="005A505B">
      <w:pPr>
        <w:pStyle w:val="ListParagraph"/>
        <w:numPr>
          <w:ilvl w:val="0"/>
          <w:numId w:val="103"/>
        </w:numPr>
        <w:jc w:val="both"/>
        <w:rPr>
          <w:rFonts w:cs="Arial"/>
          <w:color w:val="auto"/>
          <w:sz w:val="20"/>
          <w:szCs w:val="20"/>
        </w:rPr>
      </w:pPr>
      <w:r w:rsidRPr="005A505B">
        <w:rPr>
          <w:rFonts w:cs="Arial"/>
          <w:color w:val="auto"/>
          <w:sz w:val="20"/>
          <w:szCs w:val="20"/>
        </w:rPr>
        <w:t>Weaknesses in organisational culture;</w:t>
      </w:r>
    </w:p>
    <w:p w:rsidR="00076B59" w:rsidRPr="005A505B" w:rsidRDefault="00076B59" w:rsidP="005A505B">
      <w:pPr>
        <w:pStyle w:val="ListParagraph"/>
        <w:numPr>
          <w:ilvl w:val="0"/>
          <w:numId w:val="103"/>
        </w:numPr>
        <w:jc w:val="both"/>
        <w:rPr>
          <w:rFonts w:cs="Arial"/>
          <w:color w:val="auto"/>
          <w:sz w:val="20"/>
          <w:szCs w:val="20"/>
        </w:rPr>
      </w:pPr>
      <w:r w:rsidRPr="005A505B">
        <w:rPr>
          <w:rFonts w:cs="Arial"/>
          <w:color w:val="auto"/>
          <w:sz w:val="20"/>
          <w:szCs w:val="20"/>
        </w:rPr>
        <w:t xml:space="preserve">Litigation against the OHSC;  </w:t>
      </w:r>
    </w:p>
    <w:p w:rsidR="00076B59" w:rsidRPr="005A505B" w:rsidRDefault="00076B59" w:rsidP="005A505B">
      <w:pPr>
        <w:pStyle w:val="ListParagraph"/>
        <w:numPr>
          <w:ilvl w:val="0"/>
          <w:numId w:val="103"/>
        </w:numPr>
        <w:jc w:val="both"/>
        <w:rPr>
          <w:rFonts w:cs="Arial"/>
          <w:color w:val="auto"/>
          <w:sz w:val="20"/>
          <w:szCs w:val="20"/>
        </w:rPr>
      </w:pPr>
      <w:r w:rsidRPr="005A505B">
        <w:rPr>
          <w:rFonts w:cs="Arial"/>
          <w:color w:val="auto"/>
          <w:sz w:val="20"/>
          <w:szCs w:val="20"/>
        </w:rPr>
        <w:t>Business Continuity risk;</w:t>
      </w:r>
    </w:p>
    <w:p w:rsidR="00076B59" w:rsidRPr="005A505B" w:rsidRDefault="00076B59" w:rsidP="005A505B">
      <w:pPr>
        <w:pStyle w:val="ListParagraph"/>
        <w:numPr>
          <w:ilvl w:val="0"/>
          <w:numId w:val="103"/>
        </w:numPr>
        <w:jc w:val="both"/>
        <w:rPr>
          <w:rFonts w:cs="Arial"/>
          <w:color w:val="auto"/>
          <w:sz w:val="20"/>
          <w:szCs w:val="20"/>
        </w:rPr>
      </w:pPr>
      <w:r w:rsidRPr="005A505B">
        <w:rPr>
          <w:rFonts w:cs="Arial"/>
          <w:color w:val="auto"/>
          <w:sz w:val="20"/>
          <w:szCs w:val="20"/>
        </w:rPr>
        <w:t>Insufficient human resource capacity and skills-mix;</w:t>
      </w:r>
    </w:p>
    <w:p w:rsidR="00076B59" w:rsidRPr="005A505B" w:rsidRDefault="00076B59" w:rsidP="005A505B">
      <w:pPr>
        <w:pStyle w:val="ListParagraph"/>
        <w:numPr>
          <w:ilvl w:val="0"/>
          <w:numId w:val="103"/>
        </w:numPr>
        <w:jc w:val="both"/>
        <w:rPr>
          <w:rFonts w:cs="Arial"/>
          <w:color w:val="auto"/>
          <w:sz w:val="20"/>
          <w:szCs w:val="20"/>
        </w:rPr>
      </w:pPr>
      <w:r w:rsidRPr="005A505B">
        <w:rPr>
          <w:rFonts w:cs="Arial"/>
          <w:color w:val="auto"/>
          <w:sz w:val="20"/>
          <w:szCs w:val="20"/>
        </w:rPr>
        <w:t>Inadequate funding for OHSC operations;</w:t>
      </w:r>
    </w:p>
    <w:p w:rsidR="00076B59" w:rsidRPr="005A505B" w:rsidRDefault="00076B59" w:rsidP="005A505B">
      <w:pPr>
        <w:pStyle w:val="ListParagraph"/>
        <w:numPr>
          <w:ilvl w:val="0"/>
          <w:numId w:val="103"/>
        </w:numPr>
        <w:jc w:val="both"/>
        <w:rPr>
          <w:rFonts w:cs="Arial"/>
          <w:color w:val="auto"/>
          <w:sz w:val="20"/>
          <w:szCs w:val="20"/>
        </w:rPr>
      </w:pPr>
      <w:r w:rsidRPr="005A505B">
        <w:rPr>
          <w:rFonts w:eastAsia="Batang" w:cs="Arial"/>
          <w:color w:val="auto"/>
          <w:sz w:val="20"/>
          <w:szCs w:val="20"/>
          <w:lang w:eastAsia="ko-KR"/>
        </w:rPr>
        <w:t>Limited understanding and clarity on independence and mandate of OHSC by key stakeholders;</w:t>
      </w:r>
    </w:p>
    <w:p w:rsidR="00076B59" w:rsidRPr="005A505B" w:rsidRDefault="00076B59" w:rsidP="005A505B">
      <w:pPr>
        <w:pStyle w:val="ListParagraph"/>
        <w:numPr>
          <w:ilvl w:val="0"/>
          <w:numId w:val="103"/>
        </w:numPr>
        <w:jc w:val="both"/>
        <w:rPr>
          <w:rFonts w:cs="Arial"/>
          <w:color w:val="auto"/>
          <w:sz w:val="20"/>
          <w:szCs w:val="20"/>
        </w:rPr>
      </w:pPr>
      <w:r w:rsidRPr="005A505B">
        <w:rPr>
          <w:rFonts w:cs="Arial"/>
          <w:color w:val="auto"/>
          <w:sz w:val="20"/>
          <w:szCs w:val="20"/>
        </w:rPr>
        <w:t>Non-compliance with applicable regulatory requirements (core business and administrative processes); and</w:t>
      </w:r>
    </w:p>
    <w:p w:rsidR="00076B59" w:rsidRPr="005A505B" w:rsidRDefault="00076B59" w:rsidP="005A505B">
      <w:pPr>
        <w:pStyle w:val="ListParagraph"/>
        <w:numPr>
          <w:ilvl w:val="0"/>
          <w:numId w:val="103"/>
        </w:numPr>
        <w:jc w:val="both"/>
        <w:rPr>
          <w:rFonts w:cs="Arial"/>
          <w:color w:val="auto"/>
          <w:sz w:val="20"/>
          <w:szCs w:val="20"/>
        </w:rPr>
      </w:pPr>
      <w:r w:rsidRPr="005A505B">
        <w:rPr>
          <w:rFonts w:cs="Arial"/>
          <w:color w:val="auto"/>
          <w:sz w:val="20"/>
          <w:szCs w:val="20"/>
        </w:rPr>
        <w:t>Fraud and corruption.</w:t>
      </w:r>
    </w:p>
    <w:p w:rsidR="00076B59" w:rsidRPr="005A505B" w:rsidRDefault="00076B59" w:rsidP="005A505B">
      <w:pPr>
        <w:jc w:val="both"/>
        <w:rPr>
          <w:rFonts w:eastAsia="Batang" w:cs="Arial"/>
          <w:color w:val="auto"/>
          <w:sz w:val="20"/>
          <w:szCs w:val="20"/>
          <w:lang w:eastAsia="ko-KR"/>
        </w:rPr>
      </w:pPr>
    </w:p>
    <w:p w:rsidR="00076B59" w:rsidRPr="005A505B" w:rsidRDefault="00076B59" w:rsidP="005A505B">
      <w:pPr>
        <w:pStyle w:val="ListParagraph"/>
        <w:numPr>
          <w:ilvl w:val="2"/>
          <w:numId w:val="53"/>
        </w:numPr>
        <w:jc w:val="both"/>
        <w:rPr>
          <w:rFonts w:cs="Arial"/>
          <w:color w:val="auto"/>
          <w:sz w:val="20"/>
          <w:szCs w:val="20"/>
        </w:rPr>
      </w:pPr>
      <w:bookmarkStart w:id="471" w:name="_Toc99368118"/>
      <w:r w:rsidRPr="005A505B">
        <w:rPr>
          <w:rFonts w:cs="Arial"/>
          <w:b/>
          <w:color w:val="auto"/>
          <w:sz w:val="20"/>
          <w:szCs w:val="20"/>
        </w:rPr>
        <w:t>Performance Information for 2022/23</w:t>
      </w:r>
      <w:bookmarkEnd w:id="471"/>
    </w:p>
    <w:p w:rsidR="00076B59" w:rsidRPr="005A505B" w:rsidRDefault="00076B59" w:rsidP="005A505B">
      <w:pPr>
        <w:jc w:val="both"/>
        <w:rPr>
          <w:rFonts w:cs="Arial"/>
          <w:color w:val="auto"/>
          <w:sz w:val="20"/>
          <w:szCs w:val="20"/>
        </w:rPr>
      </w:pPr>
    </w:p>
    <w:p w:rsidR="00076B59" w:rsidRPr="005A505B" w:rsidRDefault="00076B59" w:rsidP="005A505B">
      <w:pPr>
        <w:jc w:val="both"/>
        <w:rPr>
          <w:rFonts w:cs="Arial"/>
          <w:color w:val="auto"/>
          <w:sz w:val="20"/>
          <w:szCs w:val="20"/>
        </w:rPr>
      </w:pPr>
      <w:r w:rsidRPr="005A505B">
        <w:rPr>
          <w:rFonts w:cs="Arial"/>
          <w:color w:val="auto"/>
          <w:sz w:val="20"/>
          <w:szCs w:val="20"/>
        </w:rPr>
        <w:t>The Office has five (5) programmes, namely</w:t>
      </w:r>
      <w:r w:rsidR="00E7232D" w:rsidRPr="005A505B">
        <w:rPr>
          <w:rFonts w:cs="Arial"/>
          <w:color w:val="auto"/>
          <w:sz w:val="20"/>
          <w:szCs w:val="20"/>
        </w:rPr>
        <w:t>,</w:t>
      </w:r>
      <w:r w:rsidRPr="005A505B">
        <w:rPr>
          <w:rFonts w:cs="Arial"/>
          <w:color w:val="auto"/>
          <w:sz w:val="20"/>
          <w:szCs w:val="20"/>
        </w:rPr>
        <w:t xml:space="preserve"> Administration, Compliance Inspectorate, Complaints Management and Ombud, Health Standards Design, Analysis and Support, as well as Certification and Enforcement. In executing its mandate, the entity apportions activities to achieve its strategic outcomes and overall objective of ensuring that the provision of safe and quality healthcare services is experienced by the health users. The table below discusses a set of selected indicators and targets in comparison to their performance in the previous financial year (2021/22). </w:t>
      </w:r>
    </w:p>
    <w:p w:rsidR="00076B59" w:rsidRPr="005A505B" w:rsidRDefault="00076B59" w:rsidP="005A505B">
      <w:pPr>
        <w:rPr>
          <w:rFonts w:cs="Arial"/>
          <w:color w:val="auto"/>
          <w:sz w:val="20"/>
          <w:szCs w:val="20"/>
        </w:rPr>
      </w:pPr>
    </w:p>
    <w:p w:rsidR="00076B59" w:rsidRPr="005A505B" w:rsidRDefault="00076B59" w:rsidP="005A505B">
      <w:pPr>
        <w:rPr>
          <w:rFonts w:cs="Arial"/>
          <w:color w:val="auto"/>
          <w:sz w:val="20"/>
          <w:szCs w:val="20"/>
        </w:rPr>
      </w:pPr>
    </w:p>
    <w:p w:rsidR="00076B59" w:rsidRPr="005A505B" w:rsidRDefault="00076B59" w:rsidP="005A505B">
      <w:pPr>
        <w:rPr>
          <w:rFonts w:cs="Arial"/>
          <w:b/>
          <w:color w:val="auto"/>
          <w:sz w:val="20"/>
          <w:szCs w:val="20"/>
        </w:rPr>
      </w:pPr>
      <w:r w:rsidRPr="005A505B">
        <w:rPr>
          <w:rFonts w:cs="Arial"/>
          <w:b/>
          <w:color w:val="auto"/>
          <w:sz w:val="20"/>
          <w:szCs w:val="20"/>
        </w:rPr>
        <w:t xml:space="preserve">Table </w:t>
      </w:r>
      <w:r w:rsidR="002E7933" w:rsidRPr="005A505B">
        <w:rPr>
          <w:rFonts w:cs="Arial"/>
          <w:b/>
          <w:color w:val="auto"/>
          <w:sz w:val="20"/>
          <w:szCs w:val="20"/>
        </w:rPr>
        <w:t>8</w:t>
      </w:r>
      <w:r w:rsidRPr="005A505B">
        <w:rPr>
          <w:rFonts w:cs="Arial"/>
          <w:b/>
          <w:color w:val="auto"/>
          <w:sz w:val="20"/>
          <w:szCs w:val="20"/>
        </w:rPr>
        <w:t>: Performance Targets 2022/23</w:t>
      </w:r>
    </w:p>
    <w:p w:rsidR="00076B59" w:rsidRPr="005A505B" w:rsidRDefault="00076B59" w:rsidP="005A505B">
      <w:pPr>
        <w:rPr>
          <w:rFonts w:cs="Arial"/>
          <w:sz w:val="20"/>
          <w:szCs w:val="20"/>
        </w:rPr>
      </w:pPr>
    </w:p>
    <w:tbl>
      <w:tblPr>
        <w:tblStyle w:val="TableGrid"/>
        <w:tblW w:w="9900" w:type="dxa"/>
        <w:tblInd w:w="-5" w:type="dxa"/>
        <w:tblLayout w:type="fixed"/>
        <w:tblLook w:val="04A0"/>
      </w:tblPr>
      <w:tblGrid>
        <w:gridCol w:w="1890"/>
        <w:gridCol w:w="1800"/>
        <w:gridCol w:w="2997"/>
        <w:gridCol w:w="1503"/>
        <w:gridCol w:w="1710"/>
      </w:tblGrid>
      <w:tr w:rsidR="00076B59" w:rsidRPr="005A505B" w:rsidTr="002E66DA">
        <w:trPr>
          <w:tblHeader/>
        </w:trPr>
        <w:tc>
          <w:tcPr>
            <w:tcW w:w="1890" w:type="dxa"/>
            <w:shd w:val="clear" w:color="auto" w:fill="DAEEF3" w:themeFill="accent5" w:themeFillTint="33"/>
          </w:tcPr>
          <w:p w:rsidR="00076B59" w:rsidRPr="005A505B" w:rsidRDefault="00076B59" w:rsidP="005A505B">
            <w:pPr>
              <w:rPr>
                <w:rFonts w:cs="Arial"/>
                <w:b/>
                <w:color w:val="auto"/>
                <w:sz w:val="20"/>
                <w:szCs w:val="20"/>
              </w:rPr>
            </w:pPr>
            <w:r w:rsidRPr="005A505B">
              <w:rPr>
                <w:rFonts w:cs="Arial"/>
                <w:b/>
                <w:color w:val="auto"/>
                <w:sz w:val="20"/>
                <w:szCs w:val="20"/>
              </w:rPr>
              <w:t>Programme</w:t>
            </w:r>
          </w:p>
        </w:tc>
        <w:tc>
          <w:tcPr>
            <w:tcW w:w="1800" w:type="dxa"/>
            <w:shd w:val="clear" w:color="auto" w:fill="DAEEF3" w:themeFill="accent5" w:themeFillTint="33"/>
          </w:tcPr>
          <w:p w:rsidR="00076B59" w:rsidRPr="005A505B" w:rsidRDefault="00076B59" w:rsidP="005A505B">
            <w:pPr>
              <w:rPr>
                <w:rFonts w:cs="Arial"/>
                <w:b/>
                <w:color w:val="auto"/>
                <w:sz w:val="20"/>
                <w:szCs w:val="20"/>
              </w:rPr>
            </w:pPr>
            <w:r w:rsidRPr="005A505B">
              <w:rPr>
                <w:rFonts w:cs="Arial"/>
                <w:b/>
                <w:color w:val="auto"/>
                <w:sz w:val="20"/>
                <w:szCs w:val="20"/>
              </w:rPr>
              <w:t>Outcome</w:t>
            </w:r>
          </w:p>
        </w:tc>
        <w:tc>
          <w:tcPr>
            <w:tcW w:w="2997" w:type="dxa"/>
            <w:shd w:val="clear" w:color="auto" w:fill="DAEEF3" w:themeFill="accent5" w:themeFillTint="33"/>
          </w:tcPr>
          <w:p w:rsidR="00076B59" w:rsidRPr="005A505B" w:rsidRDefault="00076B59" w:rsidP="005A505B">
            <w:pPr>
              <w:rPr>
                <w:rFonts w:cs="Arial"/>
                <w:b/>
                <w:color w:val="auto"/>
                <w:sz w:val="20"/>
                <w:szCs w:val="20"/>
              </w:rPr>
            </w:pPr>
            <w:r w:rsidRPr="005A505B">
              <w:rPr>
                <w:rFonts w:cs="Arial"/>
                <w:b/>
                <w:color w:val="auto"/>
                <w:sz w:val="20"/>
                <w:szCs w:val="20"/>
              </w:rPr>
              <w:t>Output Indicator</w:t>
            </w:r>
          </w:p>
        </w:tc>
        <w:tc>
          <w:tcPr>
            <w:tcW w:w="1503" w:type="dxa"/>
            <w:shd w:val="clear" w:color="auto" w:fill="DAEEF3" w:themeFill="accent5" w:themeFillTint="33"/>
          </w:tcPr>
          <w:p w:rsidR="00076B59" w:rsidRPr="005A505B" w:rsidRDefault="00076B59" w:rsidP="005A505B">
            <w:pPr>
              <w:rPr>
                <w:rFonts w:cs="Arial"/>
                <w:b/>
                <w:color w:val="auto"/>
                <w:sz w:val="20"/>
                <w:szCs w:val="20"/>
              </w:rPr>
            </w:pPr>
            <w:r w:rsidRPr="005A505B">
              <w:rPr>
                <w:rFonts w:cs="Arial"/>
                <w:b/>
                <w:color w:val="auto"/>
                <w:sz w:val="20"/>
                <w:szCs w:val="20"/>
              </w:rPr>
              <w:t xml:space="preserve">Estimated Performance </w:t>
            </w:r>
          </w:p>
          <w:p w:rsidR="00076B59" w:rsidRPr="005A505B" w:rsidRDefault="00076B59" w:rsidP="005A505B">
            <w:pPr>
              <w:rPr>
                <w:rFonts w:cs="Arial"/>
                <w:b/>
                <w:color w:val="auto"/>
                <w:sz w:val="20"/>
                <w:szCs w:val="20"/>
              </w:rPr>
            </w:pPr>
            <w:r w:rsidRPr="005A505B">
              <w:rPr>
                <w:rFonts w:cs="Arial"/>
                <w:b/>
                <w:color w:val="auto"/>
                <w:sz w:val="20"/>
                <w:szCs w:val="20"/>
              </w:rPr>
              <w:t>2021/22</w:t>
            </w:r>
          </w:p>
        </w:tc>
        <w:tc>
          <w:tcPr>
            <w:tcW w:w="1710" w:type="dxa"/>
            <w:shd w:val="clear" w:color="auto" w:fill="DAEEF3" w:themeFill="accent5" w:themeFillTint="33"/>
          </w:tcPr>
          <w:p w:rsidR="00076B59" w:rsidRPr="005A505B" w:rsidRDefault="00076B59" w:rsidP="005A505B">
            <w:pPr>
              <w:rPr>
                <w:rFonts w:cs="Arial"/>
                <w:b/>
                <w:color w:val="auto"/>
                <w:sz w:val="20"/>
                <w:szCs w:val="20"/>
              </w:rPr>
            </w:pPr>
            <w:r w:rsidRPr="005A505B">
              <w:rPr>
                <w:rFonts w:cs="Arial"/>
                <w:b/>
                <w:color w:val="auto"/>
                <w:sz w:val="20"/>
                <w:szCs w:val="20"/>
              </w:rPr>
              <w:t xml:space="preserve">Targets for </w:t>
            </w:r>
          </w:p>
          <w:p w:rsidR="00076B59" w:rsidRPr="005A505B" w:rsidRDefault="00076B59" w:rsidP="005A505B">
            <w:pPr>
              <w:rPr>
                <w:rFonts w:cs="Arial"/>
                <w:b/>
                <w:color w:val="auto"/>
                <w:sz w:val="20"/>
                <w:szCs w:val="20"/>
              </w:rPr>
            </w:pPr>
            <w:r w:rsidRPr="005A505B">
              <w:rPr>
                <w:rFonts w:cs="Arial"/>
                <w:b/>
                <w:color w:val="auto"/>
                <w:sz w:val="20"/>
                <w:szCs w:val="20"/>
              </w:rPr>
              <w:t xml:space="preserve">2022/23 </w:t>
            </w:r>
          </w:p>
        </w:tc>
      </w:tr>
      <w:tr w:rsidR="00076B59" w:rsidRPr="005A505B" w:rsidTr="00076B59">
        <w:tc>
          <w:tcPr>
            <w:tcW w:w="1890" w:type="dxa"/>
            <w:vMerge w:val="restart"/>
            <w:shd w:val="clear" w:color="auto" w:fill="auto"/>
          </w:tcPr>
          <w:p w:rsidR="00076B59" w:rsidRPr="005A505B" w:rsidRDefault="00076B59" w:rsidP="005A505B">
            <w:pPr>
              <w:rPr>
                <w:rFonts w:cs="Arial"/>
                <w:b/>
                <w:color w:val="auto"/>
                <w:sz w:val="20"/>
                <w:szCs w:val="20"/>
              </w:rPr>
            </w:pPr>
            <w:r w:rsidRPr="005A505B">
              <w:rPr>
                <w:rFonts w:cs="Arial"/>
                <w:b/>
                <w:color w:val="auto"/>
                <w:sz w:val="20"/>
                <w:szCs w:val="20"/>
              </w:rPr>
              <w:t>Administration</w:t>
            </w:r>
          </w:p>
        </w:tc>
        <w:tc>
          <w:tcPr>
            <w:tcW w:w="1800" w:type="dxa"/>
            <w:vMerge w:val="restart"/>
            <w:shd w:val="clear" w:color="auto" w:fill="auto"/>
          </w:tcPr>
          <w:p w:rsidR="00076B59" w:rsidRPr="005A505B" w:rsidRDefault="00076B59" w:rsidP="005A505B">
            <w:pPr>
              <w:rPr>
                <w:rFonts w:cs="Arial"/>
                <w:color w:val="auto"/>
                <w:sz w:val="20"/>
                <w:szCs w:val="20"/>
              </w:rPr>
            </w:pPr>
          </w:p>
          <w:p w:rsidR="00076B59" w:rsidRPr="005A505B" w:rsidRDefault="00076B59" w:rsidP="005A505B">
            <w:pPr>
              <w:rPr>
                <w:rFonts w:cs="Arial"/>
                <w:color w:val="auto"/>
                <w:sz w:val="20"/>
                <w:szCs w:val="20"/>
              </w:rPr>
            </w:pPr>
          </w:p>
          <w:p w:rsidR="00076B59" w:rsidRPr="005A505B" w:rsidRDefault="00076B59" w:rsidP="005A505B">
            <w:pPr>
              <w:rPr>
                <w:rFonts w:cs="Arial"/>
                <w:color w:val="auto"/>
                <w:sz w:val="20"/>
                <w:szCs w:val="20"/>
              </w:rPr>
            </w:pPr>
          </w:p>
          <w:p w:rsidR="00076B59" w:rsidRPr="005A505B" w:rsidRDefault="00076B59" w:rsidP="005A505B">
            <w:pPr>
              <w:rPr>
                <w:rFonts w:cs="Arial"/>
                <w:color w:val="auto"/>
                <w:sz w:val="20"/>
                <w:szCs w:val="20"/>
              </w:rPr>
            </w:pPr>
          </w:p>
          <w:p w:rsidR="00076B59" w:rsidRPr="005A505B" w:rsidRDefault="00076B59" w:rsidP="005A505B">
            <w:pPr>
              <w:rPr>
                <w:rFonts w:cs="Arial"/>
                <w:color w:val="auto"/>
                <w:sz w:val="20"/>
                <w:szCs w:val="20"/>
              </w:rPr>
            </w:pPr>
          </w:p>
          <w:p w:rsidR="00076B59" w:rsidRPr="005A505B" w:rsidRDefault="00076B59" w:rsidP="005A505B">
            <w:pPr>
              <w:rPr>
                <w:rFonts w:cs="Arial"/>
                <w:color w:val="auto"/>
                <w:sz w:val="20"/>
                <w:szCs w:val="20"/>
              </w:rPr>
            </w:pPr>
          </w:p>
          <w:p w:rsidR="00076B59" w:rsidRPr="005A505B" w:rsidRDefault="00076B59" w:rsidP="005A505B">
            <w:pPr>
              <w:rPr>
                <w:rFonts w:cs="Arial"/>
                <w:color w:val="auto"/>
                <w:sz w:val="20"/>
                <w:szCs w:val="20"/>
              </w:rPr>
            </w:pPr>
            <w:r w:rsidRPr="005A505B">
              <w:rPr>
                <w:rFonts w:cs="Arial"/>
                <w:color w:val="auto"/>
                <w:sz w:val="20"/>
                <w:szCs w:val="20"/>
              </w:rPr>
              <w:t xml:space="preserve">A fully functional OHSC  </w:t>
            </w:r>
          </w:p>
          <w:p w:rsidR="00076B59" w:rsidRPr="005A505B" w:rsidRDefault="00076B59" w:rsidP="005A505B">
            <w:pPr>
              <w:rPr>
                <w:rFonts w:cs="Arial"/>
                <w:color w:val="auto"/>
                <w:sz w:val="20"/>
                <w:szCs w:val="20"/>
              </w:rPr>
            </w:pPr>
          </w:p>
        </w:tc>
        <w:tc>
          <w:tcPr>
            <w:tcW w:w="2997" w:type="dxa"/>
            <w:shd w:val="clear" w:color="auto" w:fill="auto"/>
          </w:tcPr>
          <w:p w:rsidR="00076B59" w:rsidRPr="005A505B" w:rsidRDefault="00076B59" w:rsidP="005A505B">
            <w:pPr>
              <w:rPr>
                <w:rFonts w:cs="Arial"/>
                <w:color w:val="auto"/>
                <w:sz w:val="20"/>
                <w:szCs w:val="20"/>
              </w:rPr>
            </w:pPr>
            <w:r w:rsidRPr="005A505B">
              <w:rPr>
                <w:rFonts w:cs="Arial"/>
                <w:color w:val="auto"/>
                <w:sz w:val="20"/>
                <w:szCs w:val="20"/>
              </w:rPr>
              <w:t>Percentage of vacancies filled within four month of the vacancy</w:t>
            </w:r>
          </w:p>
        </w:tc>
        <w:tc>
          <w:tcPr>
            <w:tcW w:w="1503" w:type="dxa"/>
            <w:shd w:val="clear" w:color="auto" w:fill="auto"/>
          </w:tcPr>
          <w:p w:rsidR="00076B59" w:rsidRPr="005A505B" w:rsidRDefault="00076B59" w:rsidP="005A505B">
            <w:pPr>
              <w:rPr>
                <w:rFonts w:cs="Arial"/>
                <w:color w:val="auto"/>
                <w:sz w:val="20"/>
                <w:szCs w:val="20"/>
              </w:rPr>
            </w:pPr>
            <w:r w:rsidRPr="005A505B">
              <w:rPr>
                <w:rFonts w:cs="Arial"/>
                <w:color w:val="auto"/>
                <w:sz w:val="20"/>
                <w:szCs w:val="20"/>
              </w:rPr>
              <w:t>90%</w:t>
            </w:r>
          </w:p>
        </w:tc>
        <w:tc>
          <w:tcPr>
            <w:tcW w:w="1710" w:type="dxa"/>
            <w:shd w:val="clear" w:color="auto" w:fill="auto"/>
          </w:tcPr>
          <w:p w:rsidR="00076B59" w:rsidRPr="005A505B" w:rsidRDefault="00076B59" w:rsidP="005A505B">
            <w:pPr>
              <w:rPr>
                <w:rFonts w:cs="Arial"/>
                <w:color w:val="auto"/>
                <w:sz w:val="20"/>
                <w:szCs w:val="20"/>
              </w:rPr>
            </w:pPr>
            <w:r w:rsidRPr="005A505B">
              <w:rPr>
                <w:rFonts w:cs="Arial"/>
                <w:color w:val="auto"/>
                <w:sz w:val="20"/>
                <w:szCs w:val="20"/>
              </w:rPr>
              <w:t>90%</w:t>
            </w:r>
          </w:p>
        </w:tc>
      </w:tr>
      <w:tr w:rsidR="00076B59" w:rsidRPr="005A505B" w:rsidTr="00076B59">
        <w:tc>
          <w:tcPr>
            <w:tcW w:w="1890" w:type="dxa"/>
            <w:vMerge/>
            <w:shd w:val="clear" w:color="auto" w:fill="auto"/>
          </w:tcPr>
          <w:p w:rsidR="00076B59" w:rsidRPr="005A505B" w:rsidRDefault="00076B59" w:rsidP="005A505B">
            <w:pPr>
              <w:rPr>
                <w:rFonts w:cs="Arial"/>
                <w:b/>
                <w:color w:val="auto"/>
                <w:sz w:val="20"/>
                <w:szCs w:val="20"/>
              </w:rPr>
            </w:pPr>
          </w:p>
        </w:tc>
        <w:tc>
          <w:tcPr>
            <w:tcW w:w="1800" w:type="dxa"/>
            <w:vMerge/>
            <w:shd w:val="clear" w:color="auto" w:fill="auto"/>
          </w:tcPr>
          <w:p w:rsidR="00076B59" w:rsidRPr="005A505B" w:rsidRDefault="00076B59" w:rsidP="005A505B">
            <w:pPr>
              <w:rPr>
                <w:rFonts w:cs="Arial"/>
                <w:color w:val="auto"/>
                <w:sz w:val="20"/>
                <w:szCs w:val="20"/>
              </w:rPr>
            </w:pPr>
          </w:p>
        </w:tc>
        <w:tc>
          <w:tcPr>
            <w:tcW w:w="2997" w:type="dxa"/>
            <w:shd w:val="clear" w:color="auto" w:fill="auto"/>
          </w:tcPr>
          <w:p w:rsidR="00076B59" w:rsidRPr="005A505B" w:rsidRDefault="00076B59" w:rsidP="005A505B">
            <w:pPr>
              <w:rPr>
                <w:rFonts w:cs="Arial"/>
                <w:color w:val="auto"/>
                <w:sz w:val="20"/>
                <w:szCs w:val="20"/>
              </w:rPr>
            </w:pPr>
            <w:r w:rsidRPr="005A505B">
              <w:rPr>
                <w:rFonts w:cs="Arial"/>
                <w:color w:val="auto"/>
                <w:sz w:val="20"/>
                <w:szCs w:val="20"/>
              </w:rPr>
              <w:t>Percentage vacancy rate per year</w:t>
            </w:r>
          </w:p>
        </w:tc>
        <w:tc>
          <w:tcPr>
            <w:tcW w:w="1503" w:type="dxa"/>
            <w:shd w:val="clear" w:color="auto" w:fill="auto"/>
          </w:tcPr>
          <w:p w:rsidR="00076B59" w:rsidRPr="005A505B" w:rsidRDefault="00076B59" w:rsidP="005A505B">
            <w:pPr>
              <w:rPr>
                <w:rFonts w:cs="Arial"/>
                <w:color w:val="auto"/>
                <w:sz w:val="20"/>
                <w:szCs w:val="20"/>
              </w:rPr>
            </w:pPr>
            <w:r w:rsidRPr="005A505B">
              <w:rPr>
                <w:rFonts w:cs="Arial"/>
                <w:color w:val="auto"/>
                <w:sz w:val="20"/>
                <w:szCs w:val="20"/>
              </w:rPr>
              <w:t>New indicator</w:t>
            </w:r>
          </w:p>
        </w:tc>
        <w:tc>
          <w:tcPr>
            <w:tcW w:w="1710" w:type="dxa"/>
            <w:shd w:val="clear" w:color="auto" w:fill="auto"/>
          </w:tcPr>
          <w:p w:rsidR="00076B59" w:rsidRPr="005A505B" w:rsidRDefault="00076B59" w:rsidP="005A505B">
            <w:pPr>
              <w:rPr>
                <w:rFonts w:cs="Arial"/>
                <w:color w:val="auto"/>
                <w:sz w:val="20"/>
                <w:szCs w:val="20"/>
              </w:rPr>
            </w:pPr>
            <w:r w:rsidRPr="005A505B">
              <w:rPr>
                <w:rFonts w:cs="Arial"/>
                <w:color w:val="auto"/>
                <w:sz w:val="20"/>
                <w:szCs w:val="20"/>
              </w:rPr>
              <w:t>7%</w:t>
            </w:r>
          </w:p>
        </w:tc>
      </w:tr>
      <w:tr w:rsidR="00076B59" w:rsidRPr="005A505B" w:rsidTr="00076B59">
        <w:tc>
          <w:tcPr>
            <w:tcW w:w="1890" w:type="dxa"/>
            <w:vMerge/>
            <w:shd w:val="clear" w:color="auto" w:fill="auto"/>
          </w:tcPr>
          <w:p w:rsidR="00076B59" w:rsidRPr="005A505B" w:rsidRDefault="00076B59" w:rsidP="005A505B">
            <w:pPr>
              <w:rPr>
                <w:rFonts w:cs="Arial"/>
                <w:b/>
                <w:color w:val="auto"/>
                <w:sz w:val="20"/>
                <w:szCs w:val="20"/>
              </w:rPr>
            </w:pPr>
          </w:p>
        </w:tc>
        <w:tc>
          <w:tcPr>
            <w:tcW w:w="1800" w:type="dxa"/>
            <w:vMerge/>
            <w:shd w:val="clear" w:color="auto" w:fill="auto"/>
          </w:tcPr>
          <w:p w:rsidR="00076B59" w:rsidRPr="005A505B" w:rsidRDefault="00076B59" w:rsidP="005A505B">
            <w:pPr>
              <w:rPr>
                <w:rFonts w:cs="Arial"/>
                <w:color w:val="auto"/>
                <w:sz w:val="20"/>
                <w:szCs w:val="20"/>
              </w:rPr>
            </w:pPr>
          </w:p>
        </w:tc>
        <w:tc>
          <w:tcPr>
            <w:tcW w:w="2997" w:type="dxa"/>
            <w:shd w:val="clear" w:color="auto" w:fill="auto"/>
          </w:tcPr>
          <w:p w:rsidR="00076B59" w:rsidRPr="005A505B" w:rsidRDefault="00076B59" w:rsidP="005A505B">
            <w:pPr>
              <w:rPr>
                <w:rFonts w:cs="Arial"/>
                <w:color w:val="auto"/>
                <w:sz w:val="20"/>
                <w:szCs w:val="20"/>
              </w:rPr>
            </w:pPr>
            <w:r w:rsidRPr="005A505B">
              <w:rPr>
                <w:rFonts w:cs="Arial"/>
                <w:color w:val="auto"/>
                <w:sz w:val="20"/>
                <w:szCs w:val="20"/>
              </w:rPr>
              <w:t xml:space="preserve">Percentage of certified inspectors after completion of training </w:t>
            </w:r>
          </w:p>
        </w:tc>
        <w:tc>
          <w:tcPr>
            <w:tcW w:w="1503" w:type="dxa"/>
            <w:shd w:val="clear" w:color="auto" w:fill="auto"/>
          </w:tcPr>
          <w:p w:rsidR="00076B59" w:rsidRPr="005A505B" w:rsidRDefault="00076B59" w:rsidP="005A505B">
            <w:pPr>
              <w:rPr>
                <w:rFonts w:cs="Arial"/>
                <w:color w:val="auto"/>
                <w:sz w:val="20"/>
                <w:szCs w:val="20"/>
              </w:rPr>
            </w:pPr>
            <w:r w:rsidRPr="005A505B">
              <w:rPr>
                <w:rFonts w:cs="Arial"/>
                <w:color w:val="auto"/>
                <w:sz w:val="20"/>
                <w:szCs w:val="20"/>
              </w:rPr>
              <w:t>95%</w:t>
            </w:r>
          </w:p>
        </w:tc>
        <w:tc>
          <w:tcPr>
            <w:tcW w:w="1710" w:type="dxa"/>
            <w:shd w:val="clear" w:color="auto" w:fill="auto"/>
          </w:tcPr>
          <w:p w:rsidR="00076B59" w:rsidRPr="005A505B" w:rsidRDefault="00076B59" w:rsidP="005A505B">
            <w:pPr>
              <w:rPr>
                <w:rFonts w:cs="Arial"/>
                <w:color w:val="auto"/>
                <w:sz w:val="20"/>
                <w:szCs w:val="20"/>
              </w:rPr>
            </w:pPr>
            <w:r w:rsidRPr="005A505B">
              <w:rPr>
                <w:rFonts w:cs="Arial"/>
                <w:color w:val="auto"/>
                <w:sz w:val="20"/>
                <w:szCs w:val="20"/>
              </w:rPr>
              <w:t>95%</w:t>
            </w:r>
          </w:p>
          <w:p w:rsidR="00076B59" w:rsidRPr="005A505B" w:rsidRDefault="00076B59" w:rsidP="005A505B">
            <w:pPr>
              <w:rPr>
                <w:rFonts w:cs="Arial"/>
                <w:color w:val="auto"/>
                <w:sz w:val="20"/>
                <w:szCs w:val="20"/>
              </w:rPr>
            </w:pPr>
          </w:p>
          <w:p w:rsidR="00076B59" w:rsidRPr="005A505B" w:rsidRDefault="00076B59" w:rsidP="005A505B">
            <w:pPr>
              <w:rPr>
                <w:rFonts w:cs="Arial"/>
                <w:color w:val="auto"/>
                <w:sz w:val="20"/>
                <w:szCs w:val="20"/>
              </w:rPr>
            </w:pPr>
            <w:r w:rsidRPr="005A505B">
              <w:rPr>
                <w:rFonts w:cs="Arial"/>
                <w:color w:val="auto"/>
                <w:sz w:val="20"/>
                <w:szCs w:val="20"/>
              </w:rPr>
              <w:t xml:space="preserve">Projected to remain the same over the </w:t>
            </w:r>
            <w:r w:rsidRPr="005A505B">
              <w:rPr>
                <w:rFonts w:cs="Arial"/>
                <w:color w:val="auto"/>
                <w:sz w:val="20"/>
                <w:szCs w:val="20"/>
              </w:rPr>
              <w:lastRenderedPageBreak/>
              <w:t xml:space="preserve">MTEF period </w:t>
            </w:r>
          </w:p>
        </w:tc>
      </w:tr>
      <w:tr w:rsidR="00076B59" w:rsidRPr="005A505B" w:rsidTr="00076B59">
        <w:tc>
          <w:tcPr>
            <w:tcW w:w="1890" w:type="dxa"/>
            <w:vMerge/>
            <w:shd w:val="clear" w:color="auto" w:fill="auto"/>
          </w:tcPr>
          <w:p w:rsidR="00076B59" w:rsidRPr="005A505B" w:rsidRDefault="00076B59" w:rsidP="005A505B">
            <w:pPr>
              <w:rPr>
                <w:rFonts w:cs="Arial"/>
                <w:b/>
                <w:color w:val="auto"/>
                <w:sz w:val="20"/>
                <w:szCs w:val="20"/>
              </w:rPr>
            </w:pPr>
          </w:p>
        </w:tc>
        <w:tc>
          <w:tcPr>
            <w:tcW w:w="1800" w:type="dxa"/>
            <w:vMerge/>
            <w:shd w:val="clear" w:color="auto" w:fill="auto"/>
          </w:tcPr>
          <w:p w:rsidR="00076B59" w:rsidRPr="005A505B" w:rsidRDefault="00076B59" w:rsidP="005A505B">
            <w:pPr>
              <w:rPr>
                <w:rFonts w:cs="Arial"/>
                <w:color w:val="auto"/>
                <w:sz w:val="20"/>
                <w:szCs w:val="20"/>
              </w:rPr>
            </w:pPr>
          </w:p>
        </w:tc>
        <w:tc>
          <w:tcPr>
            <w:tcW w:w="2997" w:type="dxa"/>
            <w:shd w:val="clear" w:color="auto" w:fill="auto"/>
          </w:tcPr>
          <w:p w:rsidR="00076B59" w:rsidRPr="005A505B" w:rsidRDefault="00076B59" w:rsidP="005A505B">
            <w:pPr>
              <w:rPr>
                <w:rFonts w:cs="Arial"/>
                <w:color w:val="auto"/>
                <w:sz w:val="20"/>
                <w:szCs w:val="20"/>
              </w:rPr>
            </w:pPr>
            <w:r w:rsidRPr="005A505B">
              <w:rPr>
                <w:rFonts w:cs="Arial"/>
                <w:color w:val="auto"/>
                <w:sz w:val="20"/>
                <w:szCs w:val="20"/>
              </w:rPr>
              <w:t>Percentage of ICT availability</w:t>
            </w:r>
          </w:p>
          <w:p w:rsidR="00076B59" w:rsidRPr="005A505B" w:rsidRDefault="00076B59" w:rsidP="005A505B">
            <w:pPr>
              <w:rPr>
                <w:rFonts w:cs="Arial"/>
                <w:color w:val="auto"/>
                <w:sz w:val="20"/>
                <w:szCs w:val="20"/>
              </w:rPr>
            </w:pPr>
            <w:r w:rsidRPr="005A505B">
              <w:rPr>
                <w:rFonts w:cs="Arial"/>
                <w:color w:val="auto"/>
                <w:sz w:val="20"/>
                <w:szCs w:val="20"/>
              </w:rPr>
              <w:t xml:space="preserve">for core OHSC services </w:t>
            </w:r>
          </w:p>
        </w:tc>
        <w:tc>
          <w:tcPr>
            <w:tcW w:w="1503" w:type="dxa"/>
            <w:shd w:val="clear" w:color="auto" w:fill="auto"/>
          </w:tcPr>
          <w:p w:rsidR="00076B59" w:rsidRPr="005A505B" w:rsidRDefault="00076B59" w:rsidP="005A505B">
            <w:pPr>
              <w:rPr>
                <w:rFonts w:cs="Arial"/>
                <w:color w:val="auto"/>
                <w:sz w:val="20"/>
                <w:szCs w:val="20"/>
              </w:rPr>
            </w:pPr>
            <w:r w:rsidRPr="005A505B">
              <w:rPr>
                <w:rFonts w:cs="Arial"/>
                <w:color w:val="auto"/>
                <w:sz w:val="20"/>
                <w:szCs w:val="20"/>
              </w:rPr>
              <w:t>95%</w:t>
            </w:r>
          </w:p>
        </w:tc>
        <w:tc>
          <w:tcPr>
            <w:tcW w:w="1710" w:type="dxa"/>
            <w:shd w:val="clear" w:color="auto" w:fill="auto"/>
          </w:tcPr>
          <w:p w:rsidR="00076B59" w:rsidRPr="005A505B" w:rsidRDefault="00076B59" w:rsidP="005A505B">
            <w:pPr>
              <w:rPr>
                <w:rFonts w:cs="Arial"/>
                <w:color w:val="auto"/>
                <w:sz w:val="20"/>
                <w:szCs w:val="20"/>
              </w:rPr>
            </w:pPr>
            <w:r w:rsidRPr="005A505B">
              <w:rPr>
                <w:rFonts w:cs="Arial"/>
                <w:color w:val="auto"/>
                <w:sz w:val="20"/>
                <w:szCs w:val="20"/>
              </w:rPr>
              <w:t>95%</w:t>
            </w:r>
          </w:p>
          <w:p w:rsidR="00076B59" w:rsidRPr="005A505B" w:rsidRDefault="00076B59" w:rsidP="005A505B">
            <w:pPr>
              <w:rPr>
                <w:rFonts w:cs="Arial"/>
                <w:color w:val="auto"/>
                <w:sz w:val="20"/>
                <w:szCs w:val="20"/>
              </w:rPr>
            </w:pPr>
          </w:p>
          <w:p w:rsidR="00076B59" w:rsidRPr="005A505B" w:rsidRDefault="00076B59" w:rsidP="005A505B">
            <w:pPr>
              <w:rPr>
                <w:rFonts w:cs="Arial"/>
                <w:color w:val="auto"/>
                <w:sz w:val="20"/>
                <w:szCs w:val="20"/>
              </w:rPr>
            </w:pPr>
            <w:r w:rsidRPr="005A505B">
              <w:rPr>
                <w:rFonts w:cs="Arial"/>
                <w:color w:val="auto"/>
                <w:sz w:val="20"/>
                <w:szCs w:val="20"/>
              </w:rPr>
              <w:t xml:space="preserve">Projected to remain the same over the MTEF period </w:t>
            </w:r>
          </w:p>
        </w:tc>
      </w:tr>
      <w:tr w:rsidR="00076B59" w:rsidRPr="005A505B" w:rsidTr="00076B59">
        <w:tc>
          <w:tcPr>
            <w:tcW w:w="1890" w:type="dxa"/>
            <w:vMerge/>
            <w:shd w:val="clear" w:color="auto" w:fill="auto"/>
          </w:tcPr>
          <w:p w:rsidR="00076B59" w:rsidRPr="005A505B" w:rsidRDefault="00076B59" w:rsidP="005A505B">
            <w:pPr>
              <w:rPr>
                <w:rFonts w:cs="Arial"/>
                <w:color w:val="auto"/>
                <w:sz w:val="20"/>
                <w:szCs w:val="20"/>
              </w:rPr>
            </w:pPr>
          </w:p>
        </w:tc>
        <w:tc>
          <w:tcPr>
            <w:tcW w:w="1800" w:type="dxa"/>
            <w:vMerge/>
            <w:shd w:val="clear" w:color="auto" w:fill="auto"/>
          </w:tcPr>
          <w:p w:rsidR="00076B59" w:rsidRPr="005A505B" w:rsidRDefault="00076B59" w:rsidP="005A505B">
            <w:pPr>
              <w:rPr>
                <w:rFonts w:cs="Arial"/>
                <w:color w:val="auto"/>
                <w:sz w:val="20"/>
                <w:szCs w:val="20"/>
              </w:rPr>
            </w:pPr>
          </w:p>
        </w:tc>
        <w:tc>
          <w:tcPr>
            <w:tcW w:w="2997" w:type="dxa"/>
            <w:shd w:val="clear" w:color="auto" w:fill="auto"/>
          </w:tcPr>
          <w:p w:rsidR="00076B59" w:rsidRPr="005A505B" w:rsidRDefault="00076B59" w:rsidP="005A505B">
            <w:pPr>
              <w:rPr>
                <w:rFonts w:cs="Arial"/>
                <w:sz w:val="20"/>
                <w:szCs w:val="20"/>
              </w:rPr>
            </w:pPr>
          </w:p>
          <w:p w:rsidR="00076B59" w:rsidRPr="005A505B" w:rsidRDefault="00076B59" w:rsidP="005A505B">
            <w:pPr>
              <w:rPr>
                <w:rFonts w:cs="Arial"/>
                <w:sz w:val="20"/>
                <w:szCs w:val="20"/>
              </w:rPr>
            </w:pPr>
            <w:r w:rsidRPr="005A505B">
              <w:rPr>
                <w:rFonts w:cs="Arial"/>
                <w:color w:val="auto"/>
                <w:sz w:val="20"/>
                <w:szCs w:val="20"/>
              </w:rPr>
              <w:t>Number of community stakeholder engagements to raise public awareness on the role and powers of the OHSC and Health Ombud</w:t>
            </w:r>
          </w:p>
        </w:tc>
        <w:tc>
          <w:tcPr>
            <w:tcW w:w="1503" w:type="dxa"/>
            <w:shd w:val="clear" w:color="auto" w:fill="auto"/>
          </w:tcPr>
          <w:p w:rsidR="00076B59" w:rsidRPr="005A505B" w:rsidRDefault="00076B59" w:rsidP="005A505B">
            <w:pPr>
              <w:rPr>
                <w:rFonts w:cs="Arial"/>
                <w:color w:val="auto"/>
                <w:sz w:val="20"/>
                <w:szCs w:val="20"/>
              </w:rPr>
            </w:pPr>
          </w:p>
        </w:tc>
        <w:tc>
          <w:tcPr>
            <w:tcW w:w="1710" w:type="dxa"/>
            <w:shd w:val="clear" w:color="auto" w:fill="auto"/>
          </w:tcPr>
          <w:p w:rsidR="00076B59" w:rsidRPr="005A505B" w:rsidRDefault="00076B59" w:rsidP="005A505B">
            <w:pPr>
              <w:rPr>
                <w:rFonts w:cs="Arial"/>
                <w:color w:val="auto"/>
                <w:sz w:val="20"/>
                <w:szCs w:val="20"/>
              </w:rPr>
            </w:pPr>
            <w:r w:rsidRPr="005A505B">
              <w:rPr>
                <w:rFonts w:cs="Arial"/>
                <w:color w:val="auto"/>
                <w:sz w:val="20"/>
                <w:szCs w:val="20"/>
              </w:rPr>
              <w:t>12</w:t>
            </w:r>
          </w:p>
          <w:p w:rsidR="00076B59" w:rsidRPr="005A505B" w:rsidRDefault="00076B59" w:rsidP="005A505B">
            <w:pPr>
              <w:rPr>
                <w:rFonts w:cs="Arial"/>
                <w:color w:val="auto"/>
                <w:sz w:val="20"/>
                <w:szCs w:val="20"/>
              </w:rPr>
            </w:pPr>
          </w:p>
          <w:p w:rsidR="00076B59" w:rsidRPr="005A505B" w:rsidRDefault="00076B59" w:rsidP="005A505B">
            <w:pPr>
              <w:rPr>
                <w:rFonts w:cs="Arial"/>
                <w:color w:val="auto"/>
                <w:sz w:val="20"/>
                <w:szCs w:val="20"/>
              </w:rPr>
            </w:pPr>
            <w:r w:rsidRPr="005A505B">
              <w:rPr>
                <w:rFonts w:cs="Arial"/>
                <w:color w:val="auto"/>
                <w:sz w:val="20"/>
                <w:szCs w:val="20"/>
              </w:rPr>
              <w:t>Projected remain the same over the MTEF period</w:t>
            </w:r>
          </w:p>
        </w:tc>
      </w:tr>
      <w:tr w:rsidR="00076B59" w:rsidRPr="005A505B" w:rsidTr="00076B59">
        <w:tc>
          <w:tcPr>
            <w:tcW w:w="1890" w:type="dxa"/>
            <w:vMerge/>
            <w:shd w:val="clear" w:color="auto" w:fill="auto"/>
          </w:tcPr>
          <w:p w:rsidR="00076B59" w:rsidRPr="005A505B" w:rsidRDefault="00076B59" w:rsidP="005A505B">
            <w:pPr>
              <w:rPr>
                <w:rFonts w:cs="Arial"/>
                <w:color w:val="auto"/>
                <w:sz w:val="20"/>
                <w:szCs w:val="20"/>
              </w:rPr>
            </w:pPr>
          </w:p>
        </w:tc>
        <w:tc>
          <w:tcPr>
            <w:tcW w:w="1800" w:type="dxa"/>
            <w:vMerge/>
            <w:shd w:val="clear" w:color="auto" w:fill="auto"/>
          </w:tcPr>
          <w:p w:rsidR="00076B59" w:rsidRPr="005A505B" w:rsidRDefault="00076B59" w:rsidP="005A505B">
            <w:pPr>
              <w:rPr>
                <w:rFonts w:cs="Arial"/>
                <w:color w:val="auto"/>
                <w:sz w:val="20"/>
                <w:szCs w:val="20"/>
              </w:rPr>
            </w:pPr>
          </w:p>
        </w:tc>
        <w:tc>
          <w:tcPr>
            <w:tcW w:w="2997" w:type="dxa"/>
            <w:shd w:val="clear" w:color="auto" w:fill="auto"/>
          </w:tcPr>
          <w:p w:rsidR="00076B59" w:rsidRPr="005A505B" w:rsidRDefault="00076B59" w:rsidP="005A505B">
            <w:pPr>
              <w:rPr>
                <w:rFonts w:cs="Arial"/>
                <w:color w:val="auto"/>
                <w:sz w:val="20"/>
                <w:szCs w:val="20"/>
              </w:rPr>
            </w:pPr>
            <w:r w:rsidRPr="005A505B">
              <w:rPr>
                <w:rFonts w:cs="Arial"/>
                <w:color w:val="auto"/>
                <w:sz w:val="20"/>
                <w:szCs w:val="20"/>
              </w:rPr>
              <w:t xml:space="preserve">Unqualified Audit Opinion achieved </w:t>
            </w:r>
          </w:p>
        </w:tc>
        <w:tc>
          <w:tcPr>
            <w:tcW w:w="1503" w:type="dxa"/>
            <w:shd w:val="clear" w:color="auto" w:fill="auto"/>
          </w:tcPr>
          <w:p w:rsidR="00076B59" w:rsidRPr="005A505B" w:rsidRDefault="00076B59" w:rsidP="005A505B">
            <w:pPr>
              <w:rPr>
                <w:rFonts w:cs="Arial"/>
                <w:color w:val="auto"/>
                <w:sz w:val="20"/>
                <w:szCs w:val="20"/>
              </w:rPr>
            </w:pPr>
            <w:r w:rsidRPr="005A505B">
              <w:rPr>
                <w:rFonts w:cs="Arial"/>
                <w:color w:val="auto"/>
                <w:sz w:val="20"/>
                <w:szCs w:val="20"/>
              </w:rPr>
              <w:t>Unqualified audit</w:t>
            </w:r>
          </w:p>
        </w:tc>
        <w:tc>
          <w:tcPr>
            <w:tcW w:w="1710" w:type="dxa"/>
            <w:shd w:val="clear" w:color="auto" w:fill="auto"/>
          </w:tcPr>
          <w:p w:rsidR="00076B59" w:rsidRPr="005A505B" w:rsidRDefault="00076B59" w:rsidP="005A505B">
            <w:pPr>
              <w:rPr>
                <w:rFonts w:cs="Arial"/>
                <w:color w:val="auto"/>
                <w:sz w:val="20"/>
                <w:szCs w:val="20"/>
              </w:rPr>
            </w:pPr>
            <w:r w:rsidRPr="005A505B">
              <w:rPr>
                <w:rFonts w:cs="Arial"/>
                <w:color w:val="auto"/>
                <w:sz w:val="20"/>
                <w:szCs w:val="20"/>
              </w:rPr>
              <w:t>Unqualified audit</w:t>
            </w:r>
          </w:p>
          <w:p w:rsidR="00076B59" w:rsidRPr="005A505B" w:rsidRDefault="00076B59" w:rsidP="005A505B">
            <w:pPr>
              <w:rPr>
                <w:rFonts w:cs="Arial"/>
                <w:color w:val="auto"/>
                <w:sz w:val="20"/>
                <w:szCs w:val="20"/>
              </w:rPr>
            </w:pPr>
          </w:p>
        </w:tc>
      </w:tr>
      <w:tr w:rsidR="00076B59" w:rsidRPr="005A505B" w:rsidTr="00076B59">
        <w:tc>
          <w:tcPr>
            <w:tcW w:w="1890" w:type="dxa"/>
            <w:vMerge w:val="restart"/>
            <w:tcBorders>
              <w:top w:val="nil"/>
            </w:tcBorders>
            <w:shd w:val="clear" w:color="auto" w:fill="auto"/>
          </w:tcPr>
          <w:p w:rsidR="00076B59" w:rsidRPr="005A505B" w:rsidRDefault="00076B59" w:rsidP="005A505B">
            <w:pPr>
              <w:rPr>
                <w:rFonts w:cs="Arial"/>
                <w:color w:val="auto"/>
                <w:sz w:val="20"/>
                <w:szCs w:val="20"/>
              </w:rPr>
            </w:pPr>
            <w:r w:rsidRPr="005A505B">
              <w:rPr>
                <w:rFonts w:cs="Arial"/>
                <w:bCs/>
                <w:color w:val="auto"/>
                <w:sz w:val="20"/>
                <w:szCs w:val="20"/>
              </w:rPr>
              <w:t>Compliance Inspectorate</w:t>
            </w:r>
          </w:p>
        </w:tc>
        <w:tc>
          <w:tcPr>
            <w:tcW w:w="1800" w:type="dxa"/>
            <w:vMerge w:val="restart"/>
            <w:shd w:val="clear" w:color="auto" w:fill="auto"/>
          </w:tcPr>
          <w:p w:rsidR="00076B59" w:rsidRPr="005A505B" w:rsidRDefault="00076B59" w:rsidP="005A505B">
            <w:pPr>
              <w:rPr>
                <w:rFonts w:cs="Arial"/>
                <w:color w:val="auto"/>
                <w:sz w:val="20"/>
                <w:szCs w:val="20"/>
              </w:rPr>
            </w:pPr>
          </w:p>
          <w:p w:rsidR="00076B59" w:rsidRPr="005A505B" w:rsidRDefault="00076B59" w:rsidP="005A505B">
            <w:pPr>
              <w:rPr>
                <w:rFonts w:cs="Arial"/>
                <w:color w:val="auto"/>
                <w:sz w:val="20"/>
                <w:szCs w:val="20"/>
              </w:rPr>
            </w:pPr>
          </w:p>
          <w:p w:rsidR="00076B59" w:rsidRPr="005A505B" w:rsidRDefault="00076B59" w:rsidP="005A505B">
            <w:pPr>
              <w:rPr>
                <w:rFonts w:cs="Arial"/>
                <w:color w:val="auto"/>
                <w:sz w:val="20"/>
                <w:szCs w:val="20"/>
              </w:rPr>
            </w:pPr>
          </w:p>
          <w:p w:rsidR="00076B59" w:rsidRPr="005A505B" w:rsidRDefault="00076B59" w:rsidP="005A505B">
            <w:pPr>
              <w:rPr>
                <w:rFonts w:cs="Arial"/>
                <w:color w:val="auto"/>
                <w:sz w:val="20"/>
                <w:szCs w:val="20"/>
              </w:rPr>
            </w:pPr>
          </w:p>
          <w:p w:rsidR="00076B59" w:rsidRPr="005A505B" w:rsidRDefault="00076B59" w:rsidP="005A505B">
            <w:pPr>
              <w:rPr>
                <w:rFonts w:cs="Arial"/>
                <w:color w:val="auto"/>
                <w:sz w:val="20"/>
                <w:szCs w:val="20"/>
              </w:rPr>
            </w:pPr>
          </w:p>
          <w:p w:rsidR="00076B59" w:rsidRPr="005A505B" w:rsidRDefault="00076B59" w:rsidP="005A505B">
            <w:pPr>
              <w:rPr>
                <w:rFonts w:cs="Arial"/>
                <w:color w:val="auto"/>
                <w:sz w:val="20"/>
                <w:szCs w:val="20"/>
              </w:rPr>
            </w:pPr>
          </w:p>
          <w:p w:rsidR="00076B59" w:rsidRPr="005A505B" w:rsidRDefault="00076B59" w:rsidP="005A505B">
            <w:pPr>
              <w:rPr>
                <w:rFonts w:cs="Arial"/>
                <w:color w:val="auto"/>
                <w:sz w:val="20"/>
                <w:szCs w:val="20"/>
              </w:rPr>
            </w:pPr>
          </w:p>
          <w:p w:rsidR="00076B59" w:rsidRPr="005A505B" w:rsidRDefault="00076B59" w:rsidP="005A505B">
            <w:pPr>
              <w:rPr>
                <w:rFonts w:cs="Arial"/>
                <w:color w:val="auto"/>
                <w:sz w:val="20"/>
                <w:szCs w:val="20"/>
              </w:rPr>
            </w:pPr>
            <w:r w:rsidRPr="005A505B">
              <w:rPr>
                <w:rFonts w:cs="Arial"/>
                <w:color w:val="auto"/>
                <w:sz w:val="20"/>
                <w:szCs w:val="20"/>
              </w:rPr>
              <w:t xml:space="preserve">Compliance with norms and standards is effectively monitored </w:t>
            </w:r>
          </w:p>
        </w:tc>
        <w:tc>
          <w:tcPr>
            <w:tcW w:w="2997" w:type="dxa"/>
            <w:shd w:val="clear" w:color="auto" w:fill="auto"/>
          </w:tcPr>
          <w:p w:rsidR="00076B59" w:rsidRPr="005A505B" w:rsidRDefault="00076B59" w:rsidP="005A505B">
            <w:pPr>
              <w:rPr>
                <w:rFonts w:cs="Arial"/>
                <w:color w:val="auto"/>
                <w:sz w:val="20"/>
                <w:szCs w:val="20"/>
              </w:rPr>
            </w:pPr>
            <w:r w:rsidRPr="005A505B">
              <w:rPr>
                <w:rFonts w:cs="Arial"/>
                <w:color w:val="auto"/>
                <w:sz w:val="20"/>
                <w:szCs w:val="20"/>
              </w:rPr>
              <w:t>Percentage of public health establishments (HEs) inspected for compliance with the norms and standards</w:t>
            </w:r>
          </w:p>
        </w:tc>
        <w:tc>
          <w:tcPr>
            <w:tcW w:w="1503" w:type="dxa"/>
            <w:shd w:val="clear" w:color="auto" w:fill="auto"/>
          </w:tcPr>
          <w:p w:rsidR="00076B59" w:rsidRPr="005A505B" w:rsidRDefault="00076B59" w:rsidP="005A505B">
            <w:pPr>
              <w:rPr>
                <w:rFonts w:cs="Arial"/>
                <w:color w:val="auto"/>
                <w:sz w:val="20"/>
                <w:szCs w:val="20"/>
              </w:rPr>
            </w:pPr>
            <w:r w:rsidRPr="005A505B">
              <w:rPr>
                <w:rFonts w:cs="Arial"/>
                <w:color w:val="auto"/>
                <w:sz w:val="20"/>
                <w:szCs w:val="20"/>
              </w:rPr>
              <w:t>8%</w:t>
            </w:r>
          </w:p>
          <w:p w:rsidR="00076B59" w:rsidRPr="005A505B" w:rsidRDefault="00076B59" w:rsidP="005A505B">
            <w:pPr>
              <w:rPr>
                <w:rFonts w:cs="Arial"/>
                <w:color w:val="auto"/>
                <w:sz w:val="20"/>
                <w:szCs w:val="20"/>
              </w:rPr>
            </w:pPr>
            <w:r w:rsidRPr="005A505B">
              <w:rPr>
                <w:rFonts w:cs="Arial"/>
                <w:color w:val="auto"/>
                <w:sz w:val="20"/>
                <w:szCs w:val="20"/>
              </w:rPr>
              <w:t>(299 of 3 741)</w:t>
            </w:r>
          </w:p>
          <w:p w:rsidR="00076B59" w:rsidRPr="005A505B" w:rsidRDefault="00076B59" w:rsidP="005A505B">
            <w:pPr>
              <w:rPr>
                <w:rFonts w:cs="Arial"/>
                <w:color w:val="auto"/>
                <w:sz w:val="20"/>
                <w:szCs w:val="20"/>
              </w:rPr>
            </w:pPr>
          </w:p>
        </w:tc>
        <w:tc>
          <w:tcPr>
            <w:tcW w:w="1710" w:type="dxa"/>
            <w:shd w:val="clear" w:color="auto" w:fill="auto"/>
          </w:tcPr>
          <w:p w:rsidR="00076B59" w:rsidRPr="005A505B" w:rsidRDefault="00076B59" w:rsidP="005A505B">
            <w:pPr>
              <w:rPr>
                <w:rFonts w:cs="Arial"/>
                <w:color w:val="auto"/>
                <w:sz w:val="20"/>
                <w:szCs w:val="20"/>
              </w:rPr>
            </w:pPr>
            <w:r w:rsidRPr="005A505B">
              <w:rPr>
                <w:rFonts w:cs="Arial"/>
                <w:color w:val="auto"/>
                <w:sz w:val="20"/>
                <w:szCs w:val="20"/>
              </w:rPr>
              <w:t>21%</w:t>
            </w:r>
          </w:p>
          <w:p w:rsidR="00076B59" w:rsidRPr="005A505B" w:rsidRDefault="00076B59" w:rsidP="005A505B">
            <w:pPr>
              <w:rPr>
                <w:rFonts w:cs="Arial"/>
                <w:color w:val="auto"/>
                <w:sz w:val="20"/>
                <w:szCs w:val="20"/>
              </w:rPr>
            </w:pPr>
            <w:r w:rsidRPr="005A505B">
              <w:rPr>
                <w:rFonts w:cs="Arial"/>
                <w:color w:val="auto"/>
                <w:sz w:val="20"/>
                <w:szCs w:val="20"/>
              </w:rPr>
              <w:t>(788 of 3 741)</w:t>
            </w:r>
          </w:p>
          <w:p w:rsidR="00076B59" w:rsidRPr="005A505B" w:rsidRDefault="00076B59" w:rsidP="005A505B">
            <w:pPr>
              <w:rPr>
                <w:rFonts w:cs="Arial"/>
                <w:color w:val="auto"/>
                <w:sz w:val="20"/>
                <w:szCs w:val="20"/>
              </w:rPr>
            </w:pPr>
          </w:p>
          <w:p w:rsidR="00076B59" w:rsidRPr="005A505B" w:rsidRDefault="00076B59" w:rsidP="005A505B">
            <w:pPr>
              <w:rPr>
                <w:rFonts w:cs="Arial"/>
                <w:color w:val="auto"/>
                <w:sz w:val="20"/>
                <w:szCs w:val="20"/>
              </w:rPr>
            </w:pPr>
          </w:p>
        </w:tc>
      </w:tr>
      <w:tr w:rsidR="00076B59" w:rsidRPr="005A505B" w:rsidTr="002E66DA">
        <w:trPr>
          <w:trHeight w:val="953"/>
        </w:trPr>
        <w:tc>
          <w:tcPr>
            <w:tcW w:w="1890" w:type="dxa"/>
            <w:vMerge/>
            <w:shd w:val="clear" w:color="auto" w:fill="auto"/>
          </w:tcPr>
          <w:p w:rsidR="00076B59" w:rsidRPr="005A505B" w:rsidRDefault="00076B59" w:rsidP="005A505B">
            <w:pPr>
              <w:rPr>
                <w:rFonts w:cs="Arial"/>
                <w:color w:val="auto"/>
                <w:sz w:val="20"/>
                <w:szCs w:val="20"/>
              </w:rPr>
            </w:pPr>
          </w:p>
        </w:tc>
        <w:tc>
          <w:tcPr>
            <w:tcW w:w="1800" w:type="dxa"/>
            <w:vMerge/>
            <w:shd w:val="clear" w:color="auto" w:fill="auto"/>
          </w:tcPr>
          <w:p w:rsidR="00076B59" w:rsidRPr="005A505B" w:rsidRDefault="00076B59" w:rsidP="005A505B">
            <w:pPr>
              <w:rPr>
                <w:rFonts w:cs="Arial"/>
                <w:color w:val="auto"/>
                <w:sz w:val="20"/>
                <w:szCs w:val="20"/>
              </w:rPr>
            </w:pPr>
          </w:p>
        </w:tc>
        <w:tc>
          <w:tcPr>
            <w:tcW w:w="2997" w:type="dxa"/>
            <w:shd w:val="clear" w:color="auto" w:fill="auto"/>
          </w:tcPr>
          <w:p w:rsidR="00076B59" w:rsidRPr="005A505B" w:rsidRDefault="00076B59" w:rsidP="005A505B">
            <w:pPr>
              <w:rPr>
                <w:rFonts w:cs="Arial"/>
                <w:sz w:val="20"/>
                <w:szCs w:val="20"/>
              </w:rPr>
            </w:pPr>
            <w:r w:rsidRPr="005A505B">
              <w:rPr>
                <w:rFonts w:cs="Arial"/>
                <w:color w:val="auto"/>
                <w:sz w:val="20"/>
                <w:szCs w:val="20"/>
              </w:rPr>
              <w:t>Percentage of private health establishments inspected for compliance with the norms and standards</w:t>
            </w:r>
          </w:p>
        </w:tc>
        <w:tc>
          <w:tcPr>
            <w:tcW w:w="1503" w:type="dxa"/>
            <w:shd w:val="clear" w:color="auto" w:fill="auto"/>
          </w:tcPr>
          <w:p w:rsidR="00076B59" w:rsidRPr="005A505B" w:rsidRDefault="00076B59" w:rsidP="005A505B">
            <w:pPr>
              <w:rPr>
                <w:rFonts w:cs="Arial"/>
                <w:color w:val="auto"/>
                <w:sz w:val="20"/>
                <w:szCs w:val="20"/>
              </w:rPr>
            </w:pPr>
            <w:r w:rsidRPr="005A505B">
              <w:rPr>
                <w:rFonts w:cs="Arial"/>
                <w:color w:val="auto"/>
                <w:sz w:val="20"/>
                <w:szCs w:val="20"/>
              </w:rPr>
              <w:t>6%</w:t>
            </w:r>
          </w:p>
          <w:p w:rsidR="00076B59" w:rsidRPr="005A505B" w:rsidRDefault="00076B59" w:rsidP="005A505B">
            <w:pPr>
              <w:rPr>
                <w:rFonts w:cs="Arial"/>
                <w:color w:val="auto"/>
                <w:sz w:val="20"/>
                <w:szCs w:val="20"/>
              </w:rPr>
            </w:pPr>
            <w:r w:rsidRPr="005A505B">
              <w:rPr>
                <w:rFonts w:cs="Arial"/>
                <w:color w:val="auto"/>
                <w:sz w:val="20"/>
                <w:szCs w:val="20"/>
              </w:rPr>
              <w:t>(24 of 431)</w:t>
            </w:r>
          </w:p>
          <w:p w:rsidR="00076B59" w:rsidRPr="005A505B" w:rsidRDefault="00076B59" w:rsidP="005A505B">
            <w:pPr>
              <w:rPr>
                <w:rFonts w:cs="Arial"/>
                <w:color w:val="auto"/>
                <w:sz w:val="20"/>
                <w:szCs w:val="20"/>
              </w:rPr>
            </w:pPr>
          </w:p>
        </w:tc>
        <w:tc>
          <w:tcPr>
            <w:tcW w:w="1710" w:type="dxa"/>
            <w:shd w:val="clear" w:color="auto" w:fill="auto"/>
          </w:tcPr>
          <w:p w:rsidR="00076B59" w:rsidRPr="005A505B" w:rsidRDefault="00076B59" w:rsidP="005A505B">
            <w:pPr>
              <w:rPr>
                <w:rFonts w:cs="Arial"/>
                <w:color w:val="auto"/>
                <w:sz w:val="20"/>
                <w:szCs w:val="20"/>
              </w:rPr>
            </w:pPr>
            <w:r w:rsidRPr="005A505B">
              <w:rPr>
                <w:rFonts w:cs="Arial"/>
                <w:color w:val="auto"/>
                <w:sz w:val="20"/>
                <w:szCs w:val="20"/>
              </w:rPr>
              <w:t>12%</w:t>
            </w:r>
          </w:p>
          <w:p w:rsidR="00076B59" w:rsidRPr="005A505B" w:rsidRDefault="00076B59" w:rsidP="005A505B">
            <w:pPr>
              <w:rPr>
                <w:rFonts w:cs="Arial"/>
                <w:color w:val="auto"/>
                <w:sz w:val="20"/>
                <w:szCs w:val="20"/>
              </w:rPr>
            </w:pPr>
            <w:r w:rsidRPr="005A505B">
              <w:rPr>
                <w:rFonts w:cs="Arial"/>
                <w:color w:val="auto"/>
                <w:sz w:val="20"/>
                <w:szCs w:val="20"/>
              </w:rPr>
              <w:t>(52 of 431)</w:t>
            </w:r>
          </w:p>
          <w:p w:rsidR="00076B59" w:rsidRPr="005A505B" w:rsidRDefault="00076B59" w:rsidP="005A505B">
            <w:pPr>
              <w:rPr>
                <w:rFonts w:cs="Arial"/>
                <w:color w:val="auto"/>
                <w:sz w:val="20"/>
                <w:szCs w:val="20"/>
              </w:rPr>
            </w:pPr>
          </w:p>
          <w:p w:rsidR="00076B59" w:rsidRPr="005A505B" w:rsidRDefault="00076B59" w:rsidP="005A505B">
            <w:pPr>
              <w:rPr>
                <w:rFonts w:cs="Arial"/>
                <w:color w:val="auto"/>
                <w:sz w:val="20"/>
                <w:szCs w:val="20"/>
              </w:rPr>
            </w:pPr>
          </w:p>
        </w:tc>
      </w:tr>
      <w:tr w:rsidR="00076B59" w:rsidRPr="005A505B" w:rsidTr="00076B59">
        <w:trPr>
          <w:trHeight w:val="1250"/>
        </w:trPr>
        <w:tc>
          <w:tcPr>
            <w:tcW w:w="1890" w:type="dxa"/>
            <w:vMerge/>
            <w:shd w:val="clear" w:color="auto" w:fill="auto"/>
          </w:tcPr>
          <w:p w:rsidR="00076B59" w:rsidRPr="005A505B" w:rsidRDefault="00076B59" w:rsidP="005A505B">
            <w:pPr>
              <w:rPr>
                <w:rFonts w:cs="Arial"/>
                <w:color w:val="auto"/>
                <w:sz w:val="20"/>
                <w:szCs w:val="20"/>
              </w:rPr>
            </w:pPr>
          </w:p>
        </w:tc>
        <w:tc>
          <w:tcPr>
            <w:tcW w:w="1800" w:type="dxa"/>
            <w:vMerge/>
            <w:shd w:val="clear" w:color="auto" w:fill="auto"/>
          </w:tcPr>
          <w:p w:rsidR="00076B59" w:rsidRPr="005A505B" w:rsidRDefault="00076B59" w:rsidP="005A505B">
            <w:pPr>
              <w:rPr>
                <w:rFonts w:cs="Arial"/>
                <w:color w:val="auto"/>
                <w:sz w:val="20"/>
                <w:szCs w:val="20"/>
              </w:rPr>
            </w:pPr>
          </w:p>
        </w:tc>
        <w:tc>
          <w:tcPr>
            <w:tcW w:w="2997" w:type="dxa"/>
            <w:shd w:val="clear" w:color="auto" w:fill="auto"/>
          </w:tcPr>
          <w:p w:rsidR="00076B59" w:rsidRPr="005A505B" w:rsidRDefault="00076B59" w:rsidP="005A505B">
            <w:pPr>
              <w:rPr>
                <w:rFonts w:cs="Arial"/>
                <w:sz w:val="20"/>
                <w:szCs w:val="20"/>
              </w:rPr>
            </w:pPr>
            <w:r w:rsidRPr="005A505B">
              <w:rPr>
                <w:rFonts w:cs="Arial"/>
                <w:color w:val="auto"/>
                <w:sz w:val="20"/>
                <w:szCs w:val="20"/>
              </w:rPr>
              <w:t xml:space="preserve">Percentage of additional inspection conducted in public and private health establishments </w:t>
            </w:r>
          </w:p>
        </w:tc>
        <w:tc>
          <w:tcPr>
            <w:tcW w:w="1503" w:type="dxa"/>
            <w:shd w:val="clear" w:color="auto" w:fill="auto"/>
          </w:tcPr>
          <w:p w:rsidR="00076B59" w:rsidRPr="005A505B" w:rsidRDefault="00076B59" w:rsidP="005A505B">
            <w:pPr>
              <w:rPr>
                <w:rFonts w:cs="Arial"/>
                <w:color w:val="auto"/>
                <w:sz w:val="20"/>
                <w:szCs w:val="20"/>
              </w:rPr>
            </w:pPr>
            <w:r w:rsidRPr="005A505B">
              <w:rPr>
                <w:rFonts w:cs="Arial"/>
                <w:color w:val="auto"/>
                <w:sz w:val="20"/>
                <w:szCs w:val="20"/>
              </w:rPr>
              <w:t>100%</w:t>
            </w:r>
          </w:p>
        </w:tc>
        <w:tc>
          <w:tcPr>
            <w:tcW w:w="1710" w:type="dxa"/>
            <w:shd w:val="clear" w:color="auto" w:fill="auto"/>
          </w:tcPr>
          <w:p w:rsidR="00076B59" w:rsidRPr="005A505B" w:rsidRDefault="00076B59" w:rsidP="005A505B">
            <w:pPr>
              <w:rPr>
                <w:rFonts w:cs="Arial"/>
                <w:color w:val="auto"/>
                <w:sz w:val="20"/>
                <w:szCs w:val="20"/>
              </w:rPr>
            </w:pPr>
            <w:r w:rsidRPr="005A505B">
              <w:rPr>
                <w:rFonts w:cs="Arial"/>
                <w:color w:val="auto"/>
                <w:sz w:val="20"/>
                <w:szCs w:val="20"/>
              </w:rPr>
              <w:t>100%</w:t>
            </w:r>
          </w:p>
          <w:p w:rsidR="00076B59" w:rsidRPr="005A505B" w:rsidRDefault="00076B59" w:rsidP="005A505B">
            <w:pPr>
              <w:rPr>
                <w:rFonts w:cs="Arial"/>
                <w:b/>
                <w:color w:val="auto"/>
                <w:sz w:val="20"/>
                <w:szCs w:val="20"/>
              </w:rPr>
            </w:pPr>
          </w:p>
          <w:p w:rsidR="00076B59" w:rsidRPr="005A505B" w:rsidRDefault="00076B59" w:rsidP="005A505B">
            <w:pPr>
              <w:rPr>
                <w:rFonts w:cs="Arial"/>
                <w:color w:val="auto"/>
                <w:sz w:val="20"/>
                <w:szCs w:val="20"/>
              </w:rPr>
            </w:pPr>
            <w:r w:rsidRPr="005A505B">
              <w:rPr>
                <w:rFonts w:cs="Arial"/>
                <w:color w:val="auto"/>
                <w:sz w:val="20"/>
                <w:szCs w:val="20"/>
              </w:rPr>
              <w:t>Projected to remain the same over the MTEF period</w:t>
            </w:r>
          </w:p>
        </w:tc>
      </w:tr>
      <w:tr w:rsidR="00076B59" w:rsidRPr="005A505B" w:rsidTr="002E66DA">
        <w:trPr>
          <w:trHeight w:val="863"/>
        </w:trPr>
        <w:tc>
          <w:tcPr>
            <w:tcW w:w="1890" w:type="dxa"/>
            <w:vMerge/>
            <w:shd w:val="clear" w:color="auto" w:fill="auto"/>
          </w:tcPr>
          <w:p w:rsidR="00076B59" w:rsidRPr="005A505B" w:rsidRDefault="00076B59" w:rsidP="005A505B">
            <w:pPr>
              <w:rPr>
                <w:rFonts w:cs="Arial"/>
                <w:color w:val="auto"/>
                <w:sz w:val="20"/>
                <w:szCs w:val="20"/>
              </w:rPr>
            </w:pPr>
          </w:p>
        </w:tc>
        <w:tc>
          <w:tcPr>
            <w:tcW w:w="1800" w:type="dxa"/>
            <w:vMerge/>
            <w:shd w:val="clear" w:color="auto" w:fill="auto"/>
          </w:tcPr>
          <w:p w:rsidR="00076B59" w:rsidRPr="005A505B" w:rsidRDefault="00076B59" w:rsidP="005A505B">
            <w:pPr>
              <w:rPr>
                <w:rFonts w:cs="Arial"/>
                <w:color w:val="auto"/>
                <w:sz w:val="20"/>
                <w:szCs w:val="20"/>
              </w:rPr>
            </w:pPr>
          </w:p>
        </w:tc>
        <w:tc>
          <w:tcPr>
            <w:tcW w:w="2997" w:type="dxa"/>
            <w:shd w:val="clear" w:color="auto" w:fill="auto"/>
          </w:tcPr>
          <w:p w:rsidR="00076B59" w:rsidRPr="005A505B" w:rsidRDefault="00076B59" w:rsidP="005A505B">
            <w:pPr>
              <w:rPr>
                <w:rFonts w:cs="Arial"/>
                <w:sz w:val="20"/>
                <w:szCs w:val="20"/>
              </w:rPr>
            </w:pPr>
            <w:r w:rsidRPr="005A505B">
              <w:rPr>
                <w:rFonts w:cs="Arial"/>
                <w:color w:val="auto"/>
                <w:sz w:val="20"/>
                <w:szCs w:val="20"/>
              </w:rPr>
              <w:t>Number of reports of inspections conducted with the names and location of the HE every six months published</w:t>
            </w:r>
          </w:p>
        </w:tc>
        <w:tc>
          <w:tcPr>
            <w:tcW w:w="1503" w:type="dxa"/>
            <w:shd w:val="clear" w:color="auto" w:fill="auto"/>
          </w:tcPr>
          <w:p w:rsidR="00076B59" w:rsidRPr="005A505B" w:rsidRDefault="00076B59" w:rsidP="005A505B">
            <w:pPr>
              <w:rPr>
                <w:rFonts w:cs="Arial"/>
                <w:color w:val="auto"/>
                <w:sz w:val="20"/>
                <w:szCs w:val="20"/>
              </w:rPr>
            </w:pPr>
            <w:r w:rsidRPr="005A505B">
              <w:rPr>
                <w:rFonts w:cs="Arial"/>
                <w:color w:val="auto"/>
                <w:sz w:val="20"/>
                <w:szCs w:val="20"/>
              </w:rPr>
              <w:t>New indicator</w:t>
            </w:r>
          </w:p>
        </w:tc>
        <w:tc>
          <w:tcPr>
            <w:tcW w:w="1710" w:type="dxa"/>
            <w:shd w:val="clear" w:color="auto" w:fill="auto"/>
          </w:tcPr>
          <w:p w:rsidR="00076B59" w:rsidRPr="005A505B" w:rsidRDefault="00076B59" w:rsidP="005A505B">
            <w:pPr>
              <w:rPr>
                <w:rFonts w:cs="Arial"/>
                <w:color w:val="auto"/>
                <w:sz w:val="20"/>
                <w:szCs w:val="20"/>
              </w:rPr>
            </w:pPr>
            <w:r w:rsidRPr="005A505B">
              <w:rPr>
                <w:rFonts w:cs="Arial"/>
                <w:color w:val="auto"/>
                <w:sz w:val="20"/>
                <w:szCs w:val="20"/>
              </w:rPr>
              <w:t>2</w:t>
            </w:r>
          </w:p>
        </w:tc>
      </w:tr>
      <w:tr w:rsidR="00076B59" w:rsidRPr="005A505B" w:rsidTr="00076B59">
        <w:tc>
          <w:tcPr>
            <w:tcW w:w="1890" w:type="dxa"/>
            <w:vMerge w:val="restart"/>
            <w:shd w:val="clear" w:color="auto" w:fill="auto"/>
          </w:tcPr>
          <w:p w:rsidR="00076B59" w:rsidRPr="005A505B" w:rsidRDefault="00076B59" w:rsidP="005A505B">
            <w:pPr>
              <w:rPr>
                <w:rFonts w:cs="Arial"/>
                <w:color w:val="auto"/>
                <w:sz w:val="20"/>
                <w:szCs w:val="20"/>
              </w:rPr>
            </w:pPr>
            <w:r w:rsidRPr="005A505B">
              <w:rPr>
                <w:rFonts w:cs="Arial"/>
                <w:bCs/>
                <w:color w:val="auto"/>
                <w:sz w:val="20"/>
                <w:szCs w:val="20"/>
              </w:rPr>
              <w:t>Complaints Management and Ombud</w:t>
            </w:r>
          </w:p>
          <w:p w:rsidR="00076B59" w:rsidRPr="005A505B" w:rsidRDefault="00076B59" w:rsidP="005A505B">
            <w:pPr>
              <w:rPr>
                <w:rFonts w:cs="Arial"/>
                <w:color w:val="auto"/>
                <w:sz w:val="20"/>
                <w:szCs w:val="20"/>
                <w:lang w:val="en-ZA" w:eastAsia="en-US"/>
              </w:rPr>
            </w:pPr>
          </w:p>
        </w:tc>
        <w:tc>
          <w:tcPr>
            <w:tcW w:w="1800" w:type="dxa"/>
            <w:vMerge w:val="restart"/>
            <w:shd w:val="clear" w:color="auto" w:fill="auto"/>
          </w:tcPr>
          <w:p w:rsidR="00076B59" w:rsidRPr="005A505B" w:rsidRDefault="00076B59" w:rsidP="005A505B">
            <w:pPr>
              <w:rPr>
                <w:rFonts w:cs="Arial"/>
                <w:color w:val="auto"/>
                <w:sz w:val="20"/>
                <w:szCs w:val="20"/>
              </w:rPr>
            </w:pPr>
          </w:p>
          <w:p w:rsidR="00076B59" w:rsidRPr="005A505B" w:rsidRDefault="00076B59" w:rsidP="005A505B">
            <w:pPr>
              <w:rPr>
                <w:rFonts w:cs="Arial"/>
                <w:color w:val="auto"/>
                <w:sz w:val="20"/>
                <w:szCs w:val="20"/>
              </w:rPr>
            </w:pPr>
            <w:r w:rsidRPr="005A505B">
              <w:rPr>
                <w:rFonts w:cs="Arial"/>
                <w:color w:val="auto"/>
                <w:sz w:val="20"/>
                <w:szCs w:val="20"/>
              </w:rPr>
              <w:t>Improved quality of health care services rendered to the users in the HEs</w:t>
            </w:r>
          </w:p>
          <w:p w:rsidR="00076B59" w:rsidRPr="005A505B" w:rsidRDefault="00076B59" w:rsidP="005A505B">
            <w:pPr>
              <w:rPr>
                <w:rFonts w:cs="Arial"/>
                <w:color w:val="auto"/>
                <w:sz w:val="20"/>
                <w:szCs w:val="20"/>
              </w:rPr>
            </w:pPr>
          </w:p>
        </w:tc>
        <w:tc>
          <w:tcPr>
            <w:tcW w:w="2997" w:type="dxa"/>
            <w:shd w:val="clear" w:color="auto" w:fill="auto"/>
          </w:tcPr>
          <w:p w:rsidR="00076B59" w:rsidRPr="005A505B" w:rsidRDefault="00076B59" w:rsidP="005A505B">
            <w:pPr>
              <w:rPr>
                <w:rFonts w:cs="Arial"/>
                <w:color w:val="auto"/>
                <w:sz w:val="20"/>
                <w:szCs w:val="20"/>
              </w:rPr>
            </w:pPr>
            <w:r w:rsidRPr="005A505B">
              <w:rPr>
                <w:rFonts w:cs="Arial"/>
                <w:color w:val="auto"/>
                <w:sz w:val="20"/>
                <w:szCs w:val="20"/>
              </w:rPr>
              <w:t xml:space="preserve">Percentage of low-risk complaints resolved within 25 days </w:t>
            </w:r>
          </w:p>
        </w:tc>
        <w:tc>
          <w:tcPr>
            <w:tcW w:w="1503" w:type="dxa"/>
            <w:shd w:val="clear" w:color="auto" w:fill="auto"/>
          </w:tcPr>
          <w:p w:rsidR="00076B59" w:rsidRPr="005A505B" w:rsidRDefault="00076B59" w:rsidP="005A505B">
            <w:pPr>
              <w:rPr>
                <w:rFonts w:cs="Arial"/>
                <w:color w:val="auto"/>
                <w:sz w:val="20"/>
                <w:szCs w:val="20"/>
              </w:rPr>
            </w:pPr>
            <w:r w:rsidRPr="005A505B">
              <w:rPr>
                <w:rFonts w:cs="Arial"/>
                <w:color w:val="auto"/>
                <w:sz w:val="20"/>
                <w:szCs w:val="20"/>
              </w:rPr>
              <w:t>74.59%</w:t>
            </w:r>
          </w:p>
        </w:tc>
        <w:tc>
          <w:tcPr>
            <w:tcW w:w="1710" w:type="dxa"/>
            <w:shd w:val="clear" w:color="auto" w:fill="auto"/>
          </w:tcPr>
          <w:p w:rsidR="00076B59" w:rsidRPr="005A505B" w:rsidRDefault="00076B59" w:rsidP="005A505B">
            <w:pPr>
              <w:rPr>
                <w:rFonts w:cs="Arial"/>
                <w:color w:val="auto"/>
                <w:sz w:val="20"/>
                <w:szCs w:val="20"/>
              </w:rPr>
            </w:pPr>
            <w:r w:rsidRPr="005A505B">
              <w:rPr>
                <w:rFonts w:cs="Arial"/>
                <w:color w:val="auto"/>
                <w:sz w:val="20"/>
                <w:szCs w:val="20"/>
              </w:rPr>
              <w:t>80%</w:t>
            </w:r>
          </w:p>
        </w:tc>
      </w:tr>
      <w:tr w:rsidR="00076B59" w:rsidRPr="005A505B" w:rsidTr="00076B59">
        <w:tc>
          <w:tcPr>
            <w:tcW w:w="1890" w:type="dxa"/>
            <w:vMerge/>
            <w:shd w:val="clear" w:color="auto" w:fill="auto"/>
          </w:tcPr>
          <w:p w:rsidR="00076B59" w:rsidRPr="005A505B" w:rsidRDefault="00076B59" w:rsidP="005A505B">
            <w:pPr>
              <w:rPr>
                <w:rFonts w:cs="Arial"/>
                <w:color w:val="auto"/>
                <w:sz w:val="20"/>
                <w:szCs w:val="20"/>
              </w:rPr>
            </w:pPr>
          </w:p>
        </w:tc>
        <w:tc>
          <w:tcPr>
            <w:tcW w:w="1800" w:type="dxa"/>
            <w:vMerge/>
            <w:shd w:val="clear" w:color="auto" w:fill="auto"/>
          </w:tcPr>
          <w:p w:rsidR="00076B59" w:rsidRPr="005A505B" w:rsidRDefault="00076B59" w:rsidP="005A505B">
            <w:pPr>
              <w:rPr>
                <w:rFonts w:cs="Arial"/>
                <w:color w:val="auto"/>
                <w:sz w:val="20"/>
                <w:szCs w:val="20"/>
              </w:rPr>
            </w:pPr>
          </w:p>
        </w:tc>
        <w:tc>
          <w:tcPr>
            <w:tcW w:w="2997" w:type="dxa"/>
            <w:shd w:val="clear" w:color="auto" w:fill="auto"/>
          </w:tcPr>
          <w:p w:rsidR="00076B59" w:rsidRPr="005A505B" w:rsidRDefault="00076B59" w:rsidP="005A505B">
            <w:pPr>
              <w:rPr>
                <w:rFonts w:cs="Arial"/>
                <w:sz w:val="20"/>
                <w:szCs w:val="20"/>
              </w:rPr>
            </w:pPr>
            <w:r w:rsidRPr="005A505B">
              <w:rPr>
                <w:rFonts w:cs="Arial"/>
                <w:color w:val="auto"/>
                <w:sz w:val="20"/>
                <w:szCs w:val="20"/>
              </w:rPr>
              <w:t xml:space="preserve">Percentage of complaints resolved through assessment within 30 days </w:t>
            </w:r>
          </w:p>
        </w:tc>
        <w:tc>
          <w:tcPr>
            <w:tcW w:w="1503" w:type="dxa"/>
            <w:shd w:val="clear" w:color="auto" w:fill="auto"/>
          </w:tcPr>
          <w:p w:rsidR="00076B59" w:rsidRPr="005A505B" w:rsidRDefault="00076B59" w:rsidP="005A505B">
            <w:pPr>
              <w:rPr>
                <w:rFonts w:cs="Arial"/>
                <w:color w:val="auto"/>
                <w:sz w:val="20"/>
                <w:szCs w:val="20"/>
              </w:rPr>
            </w:pPr>
            <w:r w:rsidRPr="005A505B">
              <w:rPr>
                <w:rFonts w:cs="Arial"/>
                <w:color w:val="auto"/>
                <w:sz w:val="20"/>
                <w:szCs w:val="20"/>
              </w:rPr>
              <w:t>11.8%</w:t>
            </w:r>
          </w:p>
        </w:tc>
        <w:tc>
          <w:tcPr>
            <w:tcW w:w="1710" w:type="dxa"/>
            <w:shd w:val="clear" w:color="auto" w:fill="auto"/>
          </w:tcPr>
          <w:p w:rsidR="00076B59" w:rsidRPr="005A505B" w:rsidRDefault="00076B59" w:rsidP="005A505B">
            <w:pPr>
              <w:rPr>
                <w:rFonts w:cs="Arial"/>
                <w:color w:val="auto"/>
                <w:sz w:val="20"/>
                <w:szCs w:val="20"/>
              </w:rPr>
            </w:pPr>
            <w:r w:rsidRPr="005A505B">
              <w:rPr>
                <w:rFonts w:cs="Arial"/>
                <w:color w:val="auto"/>
                <w:sz w:val="20"/>
                <w:szCs w:val="20"/>
              </w:rPr>
              <w:t>65%</w:t>
            </w:r>
          </w:p>
          <w:p w:rsidR="00076B59" w:rsidRPr="005A505B" w:rsidRDefault="00076B59" w:rsidP="005A505B">
            <w:pPr>
              <w:rPr>
                <w:rFonts w:cs="Arial"/>
                <w:color w:val="auto"/>
                <w:sz w:val="20"/>
                <w:szCs w:val="20"/>
              </w:rPr>
            </w:pPr>
          </w:p>
        </w:tc>
      </w:tr>
      <w:tr w:rsidR="00076B59" w:rsidRPr="005A505B" w:rsidTr="00076B59">
        <w:tc>
          <w:tcPr>
            <w:tcW w:w="1890" w:type="dxa"/>
            <w:vMerge/>
            <w:shd w:val="clear" w:color="auto" w:fill="auto"/>
          </w:tcPr>
          <w:p w:rsidR="00076B59" w:rsidRPr="005A505B" w:rsidRDefault="00076B59" w:rsidP="005A505B">
            <w:pPr>
              <w:rPr>
                <w:rFonts w:cs="Arial"/>
                <w:color w:val="auto"/>
                <w:sz w:val="20"/>
                <w:szCs w:val="20"/>
              </w:rPr>
            </w:pPr>
          </w:p>
        </w:tc>
        <w:tc>
          <w:tcPr>
            <w:tcW w:w="1800" w:type="dxa"/>
            <w:vMerge/>
            <w:shd w:val="clear" w:color="auto" w:fill="auto"/>
          </w:tcPr>
          <w:p w:rsidR="00076B59" w:rsidRPr="005A505B" w:rsidRDefault="00076B59" w:rsidP="005A505B">
            <w:pPr>
              <w:rPr>
                <w:rFonts w:cs="Arial"/>
                <w:color w:val="auto"/>
                <w:sz w:val="20"/>
                <w:szCs w:val="20"/>
              </w:rPr>
            </w:pPr>
          </w:p>
        </w:tc>
        <w:tc>
          <w:tcPr>
            <w:tcW w:w="2997" w:type="dxa"/>
            <w:shd w:val="clear" w:color="auto" w:fill="auto"/>
          </w:tcPr>
          <w:p w:rsidR="00076B59" w:rsidRPr="005A505B" w:rsidRDefault="00076B59" w:rsidP="005A505B">
            <w:pPr>
              <w:rPr>
                <w:rFonts w:cs="Arial"/>
                <w:color w:val="auto"/>
                <w:sz w:val="20"/>
                <w:szCs w:val="20"/>
              </w:rPr>
            </w:pPr>
            <w:r w:rsidRPr="005A505B">
              <w:rPr>
                <w:rFonts w:cs="Arial"/>
                <w:color w:val="auto"/>
                <w:sz w:val="20"/>
                <w:szCs w:val="20"/>
              </w:rPr>
              <w:t>Percentage of complaints resolved within 6 months through investigation</w:t>
            </w:r>
          </w:p>
        </w:tc>
        <w:tc>
          <w:tcPr>
            <w:tcW w:w="1503" w:type="dxa"/>
            <w:shd w:val="clear" w:color="auto" w:fill="auto"/>
          </w:tcPr>
          <w:p w:rsidR="00076B59" w:rsidRPr="005A505B" w:rsidRDefault="00076B59" w:rsidP="005A505B">
            <w:pPr>
              <w:rPr>
                <w:rFonts w:cs="Arial"/>
                <w:color w:val="auto"/>
                <w:sz w:val="20"/>
                <w:szCs w:val="20"/>
              </w:rPr>
            </w:pPr>
          </w:p>
          <w:p w:rsidR="00076B59" w:rsidRPr="005A505B" w:rsidRDefault="00076B59" w:rsidP="005A505B">
            <w:pPr>
              <w:rPr>
                <w:rFonts w:cs="Arial"/>
                <w:color w:val="auto"/>
                <w:sz w:val="20"/>
                <w:szCs w:val="20"/>
              </w:rPr>
            </w:pPr>
            <w:r w:rsidRPr="005A505B">
              <w:rPr>
                <w:rFonts w:cs="Arial"/>
                <w:color w:val="auto"/>
                <w:sz w:val="20"/>
                <w:szCs w:val="20"/>
              </w:rPr>
              <w:t>12%</w:t>
            </w:r>
          </w:p>
        </w:tc>
        <w:tc>
          <w:tcPr>
            <w:tcW w:w="1710" w:type="dxa"/>
            <w:shd w:val="clear" w:color="auto" w:fill="auto"/>
          </w:tcPr>
          <w:p w:rsidR="00076B59" w:rsidRPr="005A505B" w:rsidRDefault="00076B59" w:rsidP="005A505B">
            <w:pPr>
              <w:rPr>
                <w:rFonts w:cs="Arial"/>
                <w:color w:val="auto"/>
                <w:sz w:val="20"/>
                <w:szCs w:val="20"/>
              </w:rPr>
            </w:pPr>
          </w:p>
          <w:p w:rsidR="00076B59" w:rsidRPr="005A505B" w:rsidRDefault="00076B59" w:rsidP="005A505B">
            <w:pPr>
              <w:rPr>
                <w:rFonts w:cs="Arial"/>
                <w:color w:val="auto"/>
                <w:sz w:val="20"/>
                <w:szCs w:val="20"/>
              </w:rPr>
            </w:pPr>
            <w:r w:rsidRPr="005A505B">
              <w:rPr>
                <w:rFonts w:cs="Arial"/>
                <w:color w:val="auto"/>
                <w:sz w:val="20"/>
                <w:szCs w:val="20"/>
              </w:rPr>
              <w:t>15%</w:t>
            </w:r>
          </w:p>
          <w:p w:rsidR="00076B59" w:rsidRPr="005A505B" w:rsidRDefault="00076B59" w:rsidP="005A505B">
            <w:pPr>
              <w:rPr>
                <w:rFonts w:cs="Arial"/>
                <w:color w:val="auto"/>
                <w:sz w:val="20"/>
                <w:szCs w:val="20"/>
              </w:rPr>
            </w:pPr>
          </w:p>
          <w:p w:rsidR="00076B59" w:rsidRPr="005A505B" w:rsidRDefault="00076B59" w:rsidP="005A505B">
            <w:pPr>
              <w:rPr>
                <w:rFonts w:cs="Arial"/>
                <w:color w:val="auto"/>
                <w:sz w:val="20"/>
                <w:szCs w:val="20"/>
              </w:rPr>
            </w:pPr>
          </w:p>
        </w:tc>
      </w:tr>
      <w:tr w:rsidR="00076B59" w:rsidRPr="005A505B" w:rsidTr="00076B59">
        <w:tc>
          <w:tcPr>
            <w:tcW w:w="1890" w:type="dxa"/>
            <w:vMerge/>
            <w:shd w:val="clear" w:color="auto" w:fill="auto"/>
          </w:tcPr>
          <w:p w:rsidR="00076B59" w:rsidRPr="005A505B" w:rsidRDefault="00076B59" w:rsidP="005A505B">
            <w:pPr>
              <w:rPr>
                <w:rFonts w:cs="Arial"/>
                <w:color w:val="auto"/>
                <w:sz w:val="20"/>
                <w:szCs w:val="20"/>
              </w:rPr>
            </w:pPr>
          </w:p>
        </w:tc>
        <w:tc>
          <w:tcPr>
            <w:tcW w:w="1800" w:type="dxa"/>
            <w:vMerge/>
            <w:shd w:val="clear" w:color="auto" w:fill="auto"/>
          </w:tcPr>
          <w:p w:rsidR="00076B59" w:rsidRPr="005A505B" w:rsidRDefault="00076B59" w:rsidP="005A505B">
            <w:pPr>
              <w:rPr>
                <w:rFonts w:cs="Arial"/>
                <w:color w:val="auto"/>
                <w:sz w:val="20"/>
                <w:szCs w:val="20"/>
              </w:rPr>
            </w:pPr>
          </w:p>
        </w:tc>
        <w:tc>
          <w:tcPr>
            <w:tcW w:w="2997" w:type="dxa"/>
            <w:shd w:val="clear" w:color="auto" w:fill="auto"/>
          </w:tcPr>
          <w:p w:rsidR="00076B59" w:rsidRPr="005A505B" w:rsidRDefault="00076B59" w:rsidP="005A505B">
            <w:pPr>
              <w:rPr>
                <w:rFonts w:cs="Arial"/>
                <w:color w:val="auto"/>
                <w:sz w:val="20"/>
                <w:szCs w:val="20"/>
              </w:rPr>
            </w:pPr>
            <w:r w:rsidRPr="005A505B">
              <w:rPr>
                <w:rFonts w:cs="Arial"/>
                <w:color w:val="auto"/>
                <w:sz w:val="20"/>
                <w:szCs w:val="20"/>
              </w:rPr>
              <w:t>Percentage of complaints resolved within 12 months through investigation</w:t>
            </w:r>
          </w:p>
          <w:p w:rsidR="00076B59" w:rsidRPr="005A505B" w:rsidRDefault="00076B59" w:rsidP="005A505B">
            <w:pPr>
              <w:rPr>
                <w:rFonts w:cs="Arial"/>
                <w:color w:val="auto"/>
                <w:sz w:val="20"/>
                <w:szCs w:val="20"/>
              </w:rPr>
            </w:pPr>
          </w:p>
        </w:tc>
        <w:tc>
          <w:tcPr>
            <w:tcW w:w="1503" w:type="dxa"/>
            <w:shd w:val="clear" w:color="auto" w:fill="auto"/>
          </w:tcPr>
          <w:p w:rsidR="00076B59" w:rsidRPr="005A505B" w:rsidRDefault="00076B59" w:rsidP="005A505B">
            <w:pPr>
              <w:rPr>
                <w:rFonts w:cs="Arial"/>
                <w:color w:val="auto"/>
                <w:sz w:val="20"/>
                <w:szCs w:val="20"/>
              </w:rPr>
            </w:pPr>
            <w:r w:rsidRPr="005A505B">
              <w:rPr>
                <w:rFonts w:cs="Arial"/>
                <w:color w:val="auto"/>
                <w:sz w:val="20"/>
                <w:szCs w:val="20"/>
              </w:rPr>
              <w:t>0</w:t>
            </w:r>
          </w:p>
        </w:tc>
        <w:tc>
          <w:tcPr>
            <w:tcW w:w="1710" w:type="dxa"/>
            <w:shd w:val="clear" w:color="auto" w:fill="auto"/>
          </w:tcPr>
          <w:p w:rsidR="00076B59" w:rsidRPr="005A505B" w:rsidRDefault="00076B59" w:rsidP="005A505B">
            <w:pPr>
              <w:rPr>
                <w:rFonts w:cs="Arial"/>
                <w:color w:val="auto"/>
                <w:sz w:val="20"/>
                <w:szCs w:val="20"/>
              </w:rPr>
            </w:pPr>
            <w:r w:rsidRPr="005A505B">
              <w:rPr>
                <w:rFonts w:cs="Arial"/>
                <w:color w:val="auto"/>
                <w:sz w:val="20"/>
                <w:szCs w:val="20"/>
              </w:rPr>
              <w:t>5%</w:t>
            </w:r>
          </w:p>
          <w:p w:rsidR="00076B59" w:rsidRPr="005A505B" w:rsidRDefault="00076B59" w:rsidP="005A505B">
            <w:pPr>
              <w:rPr>
                <w:rFonts w:cs="Arial"/>
                <w:color w:val="auto"/>
                <w:sz w:val="20"/>
                <w:szCs w:val="20"/>
              </w:rPr>
            </w:pPr>
          </w:p>
          <w:p w:rsidR="00076B59" w:rsidRPr="005A505B" w:rsidRDefault="00076B59" w:rsidP="005A505B">
            <w:pPr>
              <w:rPr>
                <w:rFonts w:cs="Arial"/>
                <w:color w:val="auto"/>
                <w:sz w:val="20"/>
                <w:szCs w:val="20"/>
              </w:rPr>
            </w:pPr>
            <w:r w:rsidRPr="005A505B">
              <w:rPr>
                <w:rFonts w:cs="Arial"/>
                <w:color w:val="auto"/>
                <w:sz w:val="20"/>
                <w:szCs w:val="20"/>
              </w:rPr>
              <w:t>This indicator was not achieved in  2021/22 and is projected to remain at 5% over the MTEF</w:t>
            </w:r>
          </w:p>
        </w:tc>
      </w:tr>
      <w:tr w:rsidR="00076B59" w:rsidRPr="005A505B" w:rsidTr="00076B59">
        <w:tc>
          <w:tcPr>
            <w:tcW w:w="1890" w:type="dxa"/>
            <w:vMerge/>
            <w:shd w:val="clear" w:color="auto" w:fill="auto"/>
          </w:tcPr>
          <w:p w:rsidR="00076B59" w:rsidRPr="005A505B" w:rsidRDefault="00076B59" w:rsidP="005A505B">
            <w:pPr>
              <w:rPr>
                <w:rFonts w:cs="Arial"/>
                <w:color w:val="auto"/>
                <w:sz w:val="20"/>
                <w:szCs w:val="20"/>
              </w:rPr>
            </w:pPr>
          </w:p>
        </w:tc>
        <w:tc>
          <w:tcPr>
            <w:tcW w:w="1800" w:type="dxa"/>
            <w:vMerge/>
            <w:shd w:val="clear" w:color="auto" w:fill="auto"/>
          </w:tcPr>
          <w:p w:rsidR="00076B59" w:rsidRPr="005A505B" w:rsidRDefault="00076B59" w:rsidP="005A505B">
            <w:pPr>
              <w:rPr>
                <w:rFonts w:cs="Arial"/>
                <w:color w:val="auto"/>
                <w:sz w:val="20"/>
                <w:szCs w:val="20"/>
              </w:rPr>
            </w:pPr>
          </w:p>
        </w:tc>
        <w:tc>
          <w:tcPr>
            <w:tcW w:w="2997" w:type="dxa"/>
            <w:shd w:val="clear" w:color="auto" w:fill="auto"/>
          </w:tcPr>
          <w:p w:rsidR="00076B59" w:rsidRPr="005A505B" w:rsidRDefault="00076B59" w:rsidP="005A505B">
            <w:pPr>
              <w:rPr>
                <w:rFonts w:cs="Arial"/>
                <w:color w:val="auto"/>
                <w:sz w:val="20"/>
                <w:szCs w:val="20"/>
              </w:rPr>
            </w:pPr>
            <w:r w:rsidRPr="005A505B">
              <w:rPr>
                <w:rFonts w:cs="Arial"/>
                <w:color w:val="auto"/>
                <w:sz w:val="20"/>
                <w:szCs w:val="20"/>
              </w:rPr>
              <w:t>Percentage of complaints resolved 18 months through investigation</w:t>
            </w:r>
          </w:p>
          <w:p w:rsidR="00076B59" w:rsidRPr="005A505B" w:rsidRDefault="00076B59" w:rsidP="005A505B">
            <w:pPr>
              <w:rPr>
                <w:rFonts w:cs="Arial"/>
                <w:color w:val="auto"/>
                <w:sz w:val="20"/>
                <w:szCs w:val="20"/>
              </w:rPr>
            </w:pPr>
          </w:p>
        </w:tc>
        <w:tc>
          <w:tcPr>
            <w:tcW w:w="1503" w:type="dxa"/>
            <w:shd w:val="clear" w:color="auto" w:fill="auto"/>
          </w:tcPr>
          <w:p w:rsidR="00076B59" w:rsidRPr="005A505B" w:rsidRDefault="00CF2C38" w:rsidP="005A505B">
            <w:pPr>
              <w:rPr>
                <w:rFonts w:cs="Arial"/>
                <w:color w:val="auto"/>
                <w:sz w:val="20"/>
                <w:szCs w:val="20"/>
              </w:rPr>
            </w:pPr>
            <w:r w:rsidRPr="005A505B">
              <w:rPr>
                <w:rFonts w:cs="Arial"/>
                <w:color w:val="auto"/>
                <w:sz w:val="20"/>
                <w:szCs w:val="20"/>
              </w:rPr>
              <w:t>0</w:t>
            </w:r>
          </w:p>
        </w:tc>
        <w:tc>
          <w:tcPr>
            <w:tcW w:w="1710" w:type="dxa"/>
            <w:shd w:val="clear" w:color="auto" w:fill="auto"/>
          </w:tcPr>
          <w:p w:rsidR="00076B59" w:rsidRPr="005A505B" w:rsidRDefault="00076B59" w:rsidP="005A505B">
            <w:pPr>
              <w:rPr>
                <w:rFonts w:cs="Arial"/>
                <w:color w:val="auto"/>
                <w:sz w:val="20"/>
                <w:szCs w:val="20"/>
              </w:rPr>
            </w:pPr>
            <w:r w:rsidRPr="005A505B">
              <w:rPr>
                <w:rFonts w:cs="Arial"/>
                <w:color w:val="auto"/>
                <w:sz w:val="20"/>
                <w:szCs w:val="20"/>
              </w:rPr>
              <w:t>2%</w:t>
            </w:r>
          </w:p>
          <w:p w:rsidR="00076B59" w:rsidRPr="005A505B" w:rsidRDefault="00076B59" w:rsidP="005A505B">
            <w:pPr>
              <w:rPr>
                <w:rFonts w:cs="Arial"/>
                <w:color w:val="auto"/>
                <w:sz w:val="20"/>
                <w:szCs w:val="20"/>
              </w:rPr>
            </w:pPr>
          </w:p>
          <w:p w:rsidR="00076B59" w:rsidRPr="005A505B" w:rsidRDefault="00076B59" w:rsidP="005A505B">
            <w:pPr>
              <w:rPr>
                <w:rFonts w:cs="Arial"/>
                <w:color w:val="auto"/>
                <w:sz w:val="20"/>
                <w:szCs w:val="20"/>
              </w:rPr>
            </w:pPr>
            <w:r w:rsidRPr="005A505B">
              <w:rPr>
                <w:rFonts w:cs="Arial"/>
                <w:color w:val="auto"/>
                <w:sz w:val="20"/>
                <w:szCs w:val="20"/>
              </w:rPr>
              <w:t>This indicator was not achieved in  2021/22 and is projected to remain at 2% over the MTEF</w:t>
            </w:r>
          </w:p>
        </w:tc>
      </w:tr>
      <w:tr w:rsidR="00076B59" w:rsidRPr="005A505B" w:rsidTr="00076B59">
        <w:tc>
          <w:tcPr>
            <w:tcW w:w="1890" w:type="dxa"/>
            <w:vMerge w:val="restart"/>
            <w:shd w:val="clear" w:color="auto" w:fill="auto"/>
          </w:tcPr>
          <w:p w:rsidR="00076B59" w:rsidRPr="005A505B" w:rsidRDefault="00076B59" w:rsidP="005A505B">
            <w:pPr>
              <w:rPr>
                <w:rFonts w:cs="Arial"/>
                <w:color w:val="auto"/>
                <w:sz w:val="20"/>
                <w:szCs w:val="20"/>
              </w:rPr>
            </w:pPr>
            <w:r w:rsidRPr="005A505B">
              <w:rPr>
                <w:rFonts w:cs="Arial"/>
                <w:bCs/>
                <w:color w:val="auto"/>
                <w:sz w:val="20"/>
                <w:szCs w:val="20"/>
              </w:rPr>
              <w:t>Health Standards Design, analysis and Support</w:t>
            </w:r>
          </w:p>
        </w:tc>
        <w:tc>
          <w:tcPr>
            <w:tcW w:w="1800" w:type="dxa"/>
            <w:vMerge w:val="restart"/>
            <w:shd w:val="clear" w:color="auto" w:fill="auto"/>
          </w:tcPr>
          <w:p w:rsidR="00076B59" w:rsidRPr="005A505B" w:rsidRDefault="00076B59" w:rsidP="005A505B">
            <w:pPr>
              <w:rPr>
                <w:rFonts w:cs="Arial"/>
                <w:color w:val="auto"/>
                <w:sz w:val="20"/>
                <w:szCs w:val="20"/>
              </w:rPr>
            </w:pPr>
          </w:p>
          <w:p w:rsidR="00076B59" w:rsidRPr="005A505B" w:rsidRDefault="00076B59" w:rsidP="005A505B">
            <w:pPr>
              <w:rPr>
                <w:rFonts w:cs="Arial"/>
                <w:color w:val="auto"/>
                <w:sz w:val="20"/>
                <w:szCs w:val="20"/>
              </w:rPr>
            </w:pPr>
          </w:p>
          <w:p w:rsidR="00076B59" w:rsidRPr="005A505B" w:rsidRDefault="00076B59" w:rsidP="005A505B">
            <w:pPr>
              <w:rPr>
                <w:rFonts w:cs="Arial"/>
                <w:color w:val="auto"/>
                <w:sz w:val="20"/>
                <w:szCs w:val="20"/>
              </w:rPr>
            </w:pPr>
            <w:r w:rsidRPr="005A505B">
              <w:rPr>
                <w:rFonts w:cs="Arial"/>
                <w:color w:val="auto"/>
                <w:sz w:val="20"/>
                <w:szCs w:val="20"/>
              </w:rPr>
              <w:t>Facilitate achievement of compliance with the norms and standards regulations for different categories of health establishments</w:t>
            </w:r>
          </w:p>
          <w:p w:rsidR="00076B59" w:rsidRPr="005A505B" w:rsidRDefault="00076B59" w:rsidP="005A505B">
            <w:pPr>
              <w:rPr>
                <w:rFonts w:cs="Arial"/>
                <w:color w:val="auto"/>
                <w:sz w:val="20"/>
                <w:szCs w:val="20"/>
              </w:rPr>
            </w:pPr>
          </w:p>
        </w:tc>
        <w:tc>
          <w:tcPr>
            <w:tcW w:w="2997" w:type="dxa"/>
            <w:shd w:val="clear" w:color="auto" w:fill="auto"/>
          </w:tcPr>
          <w:p w:rsidR="00076B59" w:rsidRPr="005A505B" w:rsidRDefault="00076B59" w:rsidP="005A505B">
            <w:pPr>
              <w:rPr>
                <w:rFonts w:cs="Arial"/>
                <w:sz w:val="20"/>
                <w:szCs w:val="20"/>
              </w:rPr>
            </w:pPr>
            <w:r w:rsidRPr="005A505B">
              <w:rPr>
                <w:rFonts w:cs="Arial"/>
                <w:color w:val="auto"/>
                <w:sz w:val="20"/>
                <w:szCs w:val="20"/>
              </w:rPr>
              <w:t>Number of recommendations for improvement in the healthcare sector made to relevant authorities</w:t>
            </w:r>
          </w:p>
        </w:tc>
        <w:tc>
          <w:tcPr>
            <w:tcW w:w="1503" w:type="dxa"/>
            <w:shd w:val="clear" w:color="auto" w:fill="auto"/>
          </w:tcPr>
          <w:p w:rsidR="00076B59" w:rsidRPr="005A505B" w:rsidRDefault="00076B59" w:rsidP="005A505B">
            <w:pPr>
              <w:rPr>
                <w:rFonts w:cs="Arial"/>
                <w:color w:val="auto"/>
                <w:sz w:val="20"/>
                <w:szCs w:val="20"/>
              </w:rPr>
            </w:pPr>
            <w:r w:rsidRPr="005A505B">
              <w:rPr>
                <w:rFonts w:cs="Arial"/>
                <w:color w:val="auto"/>
                <w:sz w:val="20"/>
                <w:szCs w:val="20"/>
              </w:rPr>
              <w:t>3</w:t>
            </w:r>
          </w:p>
        </w:tc>
        <w:tc>
          <w:tcPr>
            <w:tcW w:w="1710" w:type="dxa"/>
            <w:shd w:val="clear" w:color="auto" w:fill="auto"/>
          </w:tcPr>
          <w:p w:rsidR="00076B59" w:rsidRPr="005A505B" w:rsidRDefault="00076B59" w:rsidP="005A505B">
            <w:pPr>
              <w:rPr>
                <w:rFonts w:cs="Arial"/>
                <w:color w:val="auto"/>
                <w:sz w:val="20"/>
                <w:szCs w:val="20"/>
              </w:rPr>
            </w:pPr>
            <w:r w:rsidRPr="005A505B">
              <w:rPr>
                <w:rFonts w:cs="Arial"/>
                <w:color w:val="auto"/>
                <w:sz w:val="20"/>
                <w:szCs w:val="20"/>
              </w:rPr>
              <w:t>3</w:t>
            </w:r>
          </w:p>
          <w:p w:rsidR="00076B59" w:rsidRPr="005A505B" w:rsidRDefault="00076B59" w:rsidP="005A505B">
            <w:pPr>
              <w:rPr>
                <w:rFonts w:cs="Arial"/>
                <w:color w:val="auto"/>
                <w:sz w:val="20"/>
                <w:szCs w:val="20"/>
              </w:rPr>
            </w:pPr>
          </w:p>
          <w:p w:rsidR="00076B59" w:rsidRPr="005A505B" w:rsidRDefault="00076B59" w:rsidP="005A505B">
            <w:pPr>
              <w:rPr>
                <w:rFonts w:cs="Arial"/>
                <w:sz w:val="20"/>
                <w:szCs w:val="20"/>
              </w:rPr>
            </w:pPr>
            <w:r w:rsidRPr="005A505B">
              <w:rPr>
                <w:rFonts w:cs="Arial"/>
                <w:color w:val="auto"/>
                <w:sz w:val="20"/>
                <w:szCs w:val="20"/>
              </w:rPr>
              <w:t>Target remains the same as in 2021/22 and is projected to remain so over the MTEF period</w:t>
            </w:r>
          </w:p>
        </w:tc>
      </w:tr>
      <w:tr w:rsidR="00076B59" w:rsidRPr="005A505B" w:rsidTr="00076B59">
        <w:tc>
          <w:tcPr>
            <w:tcW w:w="1890" w:type="dxa"/>
            <w:vMerge/>
            <w:shd w:val="clear" w:color="auto" w:fill="auto"/>
          </w:tcPr>
          <w:p w:rsidR="00076B59" w:rsidRPr="005A505B" w:rsidRDefault="00076B59" w:rsidP="005A505B">
            <w:pPr>
              <w:rPr>
                <w:rFonts w:cs="Arial"/>
                <w:color w:val="auto"/>
                <w:sz w:val="20"/>
                <w:szCs w:val="20"/>
              </w:rPr>
            </w:pPr>
          </w:p>
        </w:tc>
        <w:tc>
          <w:tcPr>
            <w:tcW w:w="1800" w:type="dxa"/>
            <w:vMerge/>
            <w:shd w:val="clear" w:color="auto" w:fill="auto"/>
          </w:tcPr>
          <w:p w:rsidR="00076B59" w:rsidRPr="005A505B" w:rsidRDefault="00076B59" w:rsidP="005A505B">
            <w:pPr>
              <w:rPr>
                <w:rFonts w:cs="Arial"/>
                <w:color w:val="auto"/>
                <w:sz w:val="20"/>
                <w:szCs w:val="20"/>
              </w:rPr>
            </w:pPr>
          </w:p>
        </w:tc>
        <w:tc>
          <w:tcPr>
            <w:tcW w:w="2997" w:type="dxa"/>
            <w:shd w:val="clear" w:color="auto" w:fill="auto"/>
          </w:tcPr>
          <w:p w:rsidR="00076B59" w:rsidRPr="005A505B" w:rsidRDefault="00076B59" w:rsidP="005A505B">
            <w:pPr>
              <w:rPr>
                <w:rFonts w:cs="Arial"/>
                <w:color w:val="auto"/>
                <w:sz w:val="20"/>
                <w:szCs w:val="20"/>
              </w:rPr>
            </w:pPr>
            <w:r w:rsidRPr="005A505B">
              <w:rPr>
                <w:rFonts w:cs="Arial"/>
                <w:color w:val="auto"/>
                <w:sz w:val="20"/>
                <w:szCs w:val="20"/>
              </w:rPr>
              <w:t>Number of guidance workshops conducted to facilitate implementation of the norms and standards regulations</w:t>
            </w:r>
          </w:p>
        </w:tc>
        <w:tc>
          <w:tcPr>
            <w:tcW w:w="1503" w:type="dxa"/>
            <w:shd w:val="clear" w:color="auto" w:fill="auto"/>
          </w:tcPr>
          <w:p w:rsidR="00076B59" w:rsidRPr="005A505B" w:rsidRDefault="00076B59" w:rsidP="005A505B">
            <w:pPr>
              <w:rPr>
                <w:rFonts w:cs="Arial"/>
                <w:color w:val="auto"/>
                <w:sz w:val="20"/>
                <w:szCs w:val="20"/>
              </w:rPr>
            </w:pPr>
            <w:r w:rsidRPr="005A505B">
              <w:rPr>
                <w:rFonts w:cs="Arial"/>
                <w:color w:val="auto"/>
                <w:sz w:val="20"/>
                <w:szCs w:val="20"/>
              </w:rPr>
              <w:t>24</w:t>
            </w:r>
          </w:p>
        </w:tc>
        <w:tc>
          <w:tcPr>
            <w:tcW w:w="1710" w:type="dxa"/>
            <w:shd w:val="clear" w:color="auto" w:fill="auto"/>
          </w:tcPr>
          <w:p w:rsidR="00076B59" w:rsidRPr="005A505B" w:rsidRDefault="00076B59" w:rsidP="005A505B">
            <w:pPr>
              <w:rPr>
                <w:rFonts w:cs="Arial"/>
                <w:color w:val="auto"/>
                <w:sz w:val="20"/>
                <w:szCs w:val="20"/>
              </w:rPr>
            </w:pPr>
            <w:r w:rsidRPr="005A505B">
              <w:rPr>
                <w:rFonts w:cs="Arial"/>
                <w:color w:val="auto"/>
                <w:sz w:val="20"/>
                <w:szCs w:val="20"/>
              </w:rPr>
              <w:t>24</w:t>
            </w:r>
          </w:p>
          <w:p w:rsidR="00076B59" w:rsidRPr="005A505B" w:rsidRDefault="00076B59" w:rsidP="005A505B">
            <w:pPr>
              <w:rPr>
                <w:rFonts w:cs="Arial"/>
                <w:color w:val="auto"/>
                <w:sz w:val="20"/>
                <w:szCs w:val="20"/>
              </w:rPr>
            </w:pPr>
          </w:p>
          <w:p w:rsidR="00076B59" w:rsidRPr="005A505B" w:rsidRDefault="00076B59" w:rsidP="005A505B">
            <w:pPr>
              <w:rPr>
                <w:rFonts w:cs="Arial"/>
                <w:color w:val="auto"/>
                <w:sz w:val="20"/>
                <w:szCs w:val="20"/>
              </w:rPr>
            </w:pPr>
            <w:r w:rsidRPr="005A505B">
              <w:rPr>
                <w:rFonts w:cs="Arial"/>
                <w:color w:val="auto"/>
                <w:sz w:val="20"/>
                <w:szCs w:val="20"/>
              </w:rPr>
              <w:t>Target remains the same as in 2021/22 and is projected to remain so over the MTEF period</w:t>
            </w:r>
          </w:p>
        </w:tc>
      </w:tr>
      <w:tr w:rsidR="00076B59" w:rsidRPr="005A505B" w:rsidTr="00076B59">
        <w:tc>
          <w:tcPr>
            <w:tcW w:w="1890" w:type="dxa"/>
            <w:vMerge w:val="restart"/>
            <w:shd w:val="clear" w:color="auto" w:fill="auto"/>
          </w:tcPr>
          <w:p w:rsidR="00076B59" w:rsidRPr="005A505B" w:rsidRDefault="00076B59" w:rsidP="005A505B">
            <w:pPr>
              <w:rPr>
                <w:rFonts w:cs="Arial"/>
                <w:color w:val="auto"/>
                <w:sz w:val="20"/>
                <w:szCs w:val="20"/>
              </w:rPr>
            </w:pPr>
            <w:r w:rsidRPr="005A505B">
              <w:rPr>
                <w:rFonts w:cs="Arial"/>
                <w:bCs/>
                <w:color w:val="auto"/>
                <w:sz w:val="20"/>
                <w:szCs w:val="20"/>
              </w:rPr>
              <w:t>Certification and Enforcement</w:t>
            </w:r>
          </w:p>
        </w:tc>
        <w:tc>
          <w:tcPr>
            <w:tcW w:w="1800" w:type="dxa"/>
            <w:vMerge w:val="restart"/>
            <w:shd w:val="clear" w:color="auto" w:fill="auto"/>
          </w:tcPr>
          <w:p w:rsidR="00076B59" w:rsidRPr="005A505B" w:rsidRDefault="00076B59" w:rsidP="005A505B">
            <w:pPr>
              <w:rPr>
                <w:rFonts w:cs="Arial"/>
                <w:color w:val="auto"/>
                <w:sz w:val="20"/>
                <w:szCs w:val="20"/>
              </w:rPr>
            </w:pPr>
          </w:p>
          <w:p w:rsidR="00076B59" w:rsidRPr="005A505B" w:rsidRDefault="00076B59" w:rsidP="005A505B">
            <w:pPr>
              <w:rPr>
                <w:rFonts w:cs="Arial"/>
                <w:color w:val="auto"/>
                <w:sz w:val="20"/>
                <w:szCs w:val="20"/>
              </w:rPr>
            </w:pPr>
            <w:r w:rsidRPr="005A505B">
              <w:rPr>
                <w:rFonts w:cs="Arial"/>
                <w:color w:val="auto"/>
                <w:sz w:val="20"/>
                <w:szCs w:val="20"/>
              </w:rPr>
              <w:t xml:space="preserve">Compliance with norms and standards increased </w:t>
            </w:r>
          </w:p>
          <w:p w:rsidR="00076B59" w:rsidRPr="005A505B" w:rsidRDefault="00076B59" w:rsidP="005A505B">
            <w:pPr>
              <w:rPr>
                <w:rFonts w:cs="Arial"/>
                <w:color w:val="auto"/>
                <w:sz w:val="20"/>
                <w:szCs w:val="20"/>
              </w:rPr>
            </w:pPr>
          </w:p>
          <w:p w:rsidR="00076B59" w:rsidRPr="005A505B" w:rsidRDefault="00076B59" w:rsidP="005A505B">
            <w:pPr>
              <w:rPr>
                <w:rFonts w:cs="Arial"/>
                <w:color w:val="auto"/>
                <w:sz w:val="20"/>
                <w:szCs w:val="20"/>
              </w:rPr>
            </w:pPr>
          </w:p>
          <w:p w:rsidR="00076B59" w:rsidRPr="005A505B" w:rsidRDefault="00076B59" w:rsidP="005A505B">
            <w:pPr>
              <w:rPr>
                <w:rFonts w:cs="Arial"/>
                <w:color w:val="auto"/>
                <w:sz w:val="20"/>
                <w:szCs w:val="20"/>
              </w:rPr>
            </w:pPr>
          </w:p>
        </w:tc>
        <w:tc>
          <w:tcPr>
            <w:tcW w:w="2997" w:type="dxa"/>
            <w:shd w:val="clear" w:color="auto" w:fill="auto"/>
          </w:tcPr>
          <w:p w:rsidR="00076B59" w:rsidRPr="005A505B" w:rsidRDefault="00076B59" w:rsidP="005A505B">
            <w:pPr>
              <w:rPr>
                <w:rFonts w:cs="Arial"/>
                <w:sz w:val="20"/>
                <w:szCs w:val="20"/>
              </w:rPr>
            </w:pPr>
            <w:r w:rsidRPr="005A505B">
              <w:rPr>
                <w:rFonts w:cs="Arial"/>
                <w:color w:val="auto"/>
                <w:sz w:val="20"/>
                <w:szCs w:val="20"/>
              </w:rPr>
              <w:t xml:space="preserve">Percentage of HEs issued with a certificate of compliance within 15 days from the date of the final inspection report and recommendations </w:t>
            </w:r>
          </w:p>
          <w:p w:rsidR="00076B59" w:rsidRPr="005A505B" w:rsidRDefault="00076B59" w:rsidP="005A505B">
            <w:pPr>
              <w:rPr>
                <w:rFonts w:cs="Arial"/>
                <w:color w:val="auto"/>
                <w:sz w:val="20"/>
                <w:szCs w:val="20"/>
              </w:rPr>
            </w:pPr>
          </w:p>
        </w:tc>
        <w:tc>
          <w:tcPr>
            <w:tcW w:w="1503" w:type="dxa"/>
            <w:shd w:val="clear" w:color="auto" w:fill="auto"/>
          </w:tcPr>
          <w:p w:rsidR="00076B59" w:rsidRPr="005A505B" w:rsidRDefault="00076B59" w:rsidP="005A505B">
            <w:pPr>
              <w:rPr>
                <w:rFonts w:cs="Arial"/>
                <w:color w:val="auto"/>
                <w:sz w:val="20"/>
                <w:szCs w:val="20"/>
              </w:rPr>
            </w:pPr>
            <w:r w:rsidRPr="005A505B">
              <w:rPr>
                <w:rFonts w:cs="Arial"/>
                <w:color w:val="auto"/>
                <w:sz w:val="20"/>
                <w:szCs w:val="20"/>
              </w:rPr>
              <w:t>100%</w:t>
            </w:r>
          </w:p>
        </w:tc>
        <w:tc>
          <w:tcPr>
            <w:tcW w:w="1710" w:type="dxa"/>
            <w:shd w:val="clear" w:color="auto" w:fill="auto"/>
          </w:tcPr>
          <w:p w:rsidR="00076B59" w:rsidRPr="005A505B" w:rsidRDefault="00076B59" w:rsidP="005A505B">
            <w:pPr>
              <w:rPr>
                <w:rFonts w:cs="Arial"/>
                <w:color w:val="auto"/>
                <w:sz w:val="20"/>
                <w:szCs w:val="20"/>
              </w:rPr>
            </w:pPr>
            <w:r w:rsidRPr="005A505B">
              <w:rPr>
                <w:rFonts w:cs="Arial"/>
                <w:color w:val="auto"/>
                <w:sz w:val="20"/>
                <w:szCs w:val="20"/>
              </w:rPr>
              <w:t>100%</w:t>
            </w:r>
          </w:p>
          <w:p w:rsidR="00076B59" w:rsidRPr="005A505B" w:rsidRDefault="00076B59" w:rsidP="005A505B">
            <w:pPr>
              <w:rPr>
                <w:rFonts w:cs="Arial"/>
                <w:color w:val="auto"/>
                <w:sz w:val="20"/>
                <w:szCs w:val="20"/>
              </w:rPr>
            </w:pPr>
          </w:p>
          <w:p w:rsidR="00076B59" w:rsidRPr="005A505B" w:rsidRDefault="00076B59" w:rsidP="005A505B">
            <w:pPr>
              <w:rPr>
                <w:rFonts w:cs="Arial"/>
                <w:color w:val="auto"/>
                <w:sz w:val="20"/>
                <w:szCs w:val="20"/>
              </w:rPr>
            </w:pPr>
            <w:r w:rsidRPr="005A505B">
              <w:rPr>
                <w:rFonts w:cs="Arial"/>
                <w:color w:val="auto"/>
                <w:sz w:val="20"/>
                <w:szCs w:val="20"/>
              </w:rPr>
              <w:t>Projected to remain the same over the MTEF period</w:t>
            </w:r>
          </w:p>
        </w:tc>
      </w:tr>
      <w:tr w:rsidR="00076B59" w:rsidRPr="005A505B" w:rsidTr="00076B59">
        <w:tc>
          <w:tcPr>
            <w:tcW w:w="1890" w:type="dxa"/>
            <w:vMerge/>
            <w:shd w:val="clear" w:color="auto" w:fill="auto"/>
          </w:tcPr>
          <w:p w:rsidR="00076B59" w:rsidRPr="005A505B" w:rsidRDefault="00076B59" w:rsidP="005A505B">
            <w:pPr>
              <w:rPr>
                <w:rFonts w:cs="Arial"/>
                <w:color w:val="auto"/>
                <w:sz w:val="20"/>
                <w:szCs w:val="20"/>
              </w:rPr>
            </w:pPr>
          </w:p>
        </w:tc>
        <w:tc>
          <w:tcPr>
            <w:tcW w:w="1800" w:type="dxa"/>
            <w:vMerge/>
            <w:shd w:val="clear" w:color="auto" w:fill="auto"/>
          </w:tcPr>
          <w:p w:rsidR="00076B59" w:rsidRPr="005A505B" w:rsidRDefault="00076B59" w:rsidP="005A505B">
            <w:pPr>
              <w:rPr>
                <w:rFonts w:cs="Arial"/>
                <w:color w:val="auto"/>
                <w:sz w:val="20"/>
                <w:szCs w:val="20"/>
              </w:rPr>
            </w:pPr>
          </w:p>
        </w:tc>
        <w:tc>
          <w:tcPr>
            <w:tcW w:w="2997" w:type="dxa"/>
            <w:shd w:val="clear" w:color="auto" w:fill="auto"/>
          </w:tcPr>
          <w:p w:rsidR="00076B59" w:rsidRPr="005A505B" w:rsidRDefault="00076B59" w:rsidP="005A505B">
            <w:pPr>
              <w:rPr>
                <w:rFonts w:cs="Arial"/>
                <w:sz w:val="20"/>
                <w:szCs w:val="20"/>
              </w:rPr>
            </w:pPr>
            <w:r w:rsidRPr="005A505B">
              <w:rPr>
                <w:rFonts w:cs="Arial"/>
                <w:color w:val="auto"/>
                <w:sz w:val="20"/>
                <w:szCs w:val="20"/>
              </w:rPr>
              <w:t xml:space="preserve">Percentage of HEs against which enforcement action has been initiated within 10 days from the date of the final inspection report and recommendations </w:t>
            </w:r>
          </w:p>
        </w:tc>
        <w:tc>
          <w:tcPr>
            <w:tcW w:w="1503" w:type="dxa"/>
            <w:shd w:val="clear" w:color="auto" w:fill="auto"/>
          </w:tcPr>
          <w:p w:rsidR="00076B59" w:rsidRPr="005A505B" w:rsidRDefault="00076B59" w:rsidP="005A505B">
            <w:pPr>
              <w:rPr>
                <w:rFonts w:cs="Arial"/>
                <w:color w:val="auto"/>
                <w:sz w:val="20"/>
                <w:szCs w:val="20"/>
              </w:rPr>
            </w:pPr>
            <w:r w:rsidRPr="005A505B">
              <w:rPr>
                <w:rFonts w:cs="Arial"/>
                <w:color w:val="auto"/>
                <w:sz w:val="20"/>
                <w:szCs w:val="20"/>
              </w:rPr>
              <w:t>100%</w:t>
            </w:r>
          </w:p>
        </w:tc>
        <w:tc>
          <w:tcPr>
            <w:tcW w:w="1710" w:type="dxa"/>
            <w:shd w:val="clear" w:color="auto" w:fill="auto"/>
          </w:tcPr>
          <w:p w:rsidR="00076B59" w:rsidRPr="005A505B" w:rsidRDefault="00076B59" w:rsidP="005A505B">
            <w:pPr>
              <w:rPr>
                <w:rFonts w:cs="Arial"/>
                <w:color w:val="auto"/>
                <w:sz w:val="20"/>
                <w:szCs w:val="20"/>
              </w:rPr>
            </w:pPr>
            <w:r w:rsidRPr="005A505B">
              <w:rPr>
                <w:rFonts w:cs="Arial"/>
                <w:color w:val="auto"/>
                <w:sz w:val="20"/>
                <w:szCs w:val="20"/>
              </w:rPr>
              <w:t>100%</w:t>
            </w:r>
          </w:p>
          <w:p w:rsidR="00076B59" w:rsidRPr="005A505B" w:rsidRDefault="00076B59" w:rsidP="005A505B">
            <w:pPr>
              <w:rPr>
                <w:rFonts w:cs="Arial"/>
                <w:color w:val="auto"/>
                <w:sz w:val="20"/>
                <w:szCs w:val="20"/>
              </w:rPr>
            </w:pPr>
          </w:p>
          <w:p w:rsidR="00076B59" w:rsidRPr="005A505B" w:rsidRDefault="00076B59" w:rsidP="005A505B">
            <w:pPr>
              <w:rPr>
                <w:rFonts w:cs="Arial"/>
                <w:color w:val="auto"/>
                <w:sz w:val="20"/>
                <w:szCs w:val="20"/>
              </w:rPr>
            </w:pPr>
            <w:r w:rsidRPr="005A505B">
              <w:rPr>
                <w:rFonts w:cs="Arial"/>
                <w:color w:val="auto"/>
                <w:sz w:val="20"/>
                <w:szCs w:val="20"/>
              </w:rPr>
              <w:t>Projected to remain the same over the MTEF period</w:t>
            </w:r>
          </w:p>
        </w:tc>
      </w:tr>
      <w:tr w:rsidR="00076B59" w:rsidRPr="005A505B" w:rsidTr="00076B59">
        <w:tc>
          <w:tcPr>
            <w:tcW w:w="1890" w:type="dxa"/>
            <w:vMerge/>
            <w:shd w:val="clear" w:color="auto" w:fill="auto"/>
          </w:tcPr>
          <w:p w:rsidR="00076B59" w:rsidRPr="005A505B" w:rsidRDefault="00076B59" w:rsidP="005A505B">
            <w:pPr>
              <w:rPr>
                <w:rFonts w:cs="Arial"/>
                <w:color w:val="auto"/>
                <w:sz w:val="20"/>
                <w:szCs w:val="20"/>
              </w:rPr>
            </w:pPr>
          </w:p>
        </w:tc>
        <w:tc>
          <w:tcPr>
            <w:tcW w:w="1800" w:type="dxa"/>
            <w:vMerge/>
            <w:shd w:val="clear" w:color="auto" w:fill="auto"/>
          </w:tcPr>
          <w:p w:rsidR="00076B59" w:rsidRPr="005A505B" w:rsidRDefault="00076B59" w:rsidP="005A505B">
            <w:pPr>
              <w:rPr>
                <w:rFonts w:cs="Arial"/>
                <w:color w:val="auto"/>
                <w:sz w:val="20"/>
                <w:szCs w:val="20"/>
              </w:rPr>
            </w:pPr>
          </w:p>
        </w:tc>
        <w:tc>
          <w:tcPr>
            <w:tcW w:w="2997" w:type="dxa"/>
            <w:shd w:val="clear" w:color="auto" w:fill="auto"/>
          </w:tcPr>
          <w:p w:rsidR="00076B59" w:rsidRPr="005A505B" w:rsidRDefault="00076B59" w:rsidP="005A505B">
            <w:pPr>
              <w:rPr>
                <w:rFonts w:cs="Arial"/>
                <w:sz w:val="20"/>
                <w:szCs w:val="20"/>
              </w:rPr>
            </w:pPr>
            <w:r w:rsidRPr="005A505B">
              <w:rPr>
                <w:rFonts w:cs="Arial"/>
                <w:color w:val="auto"/>
                <w:sz w:val="20"/>
                <w:szCs w:val="20"/>
              </w:rPr>
              <w:t>Number of bi-annual reports developed for publication on the OHSC website</w:t>
            </w:r>
          </w:p>
        </w:tc>
        <w:tc>
          <w:tcPr>
            <w:tcW w:w="1503" w:type="dxa"/>
            <w:shd w:val="clear" w:color="auto" w:fill="auto"/>
          </w:tcPr>
          <w:p w:rsidR="00076B59" w:rsidRPr="005A505B" w:rsidRDefault="00076B59" w:rsidP="005A505B">
            <w:pPr>
              <w:rPr>
                <w:rFonts w:cs="Arial"/>
                <w:color w:val="auto"/>
                <w:sz w:val="20"/>
                <w:szCs w:val="20"/>
              </w:rPr>
            </w:pPr>
            <w:r w:rsidRPr="005A505B">
              <w:rPr>
                <w:rFonts w:cs="Arial"/>
                <w:color w:val="auto"/>
                <w:sz w:val="20"/>
                <w:szCs w:val="20"/>
              </w:rPr>
              <w:t>2</w:t>
            </w:r>
          </w:p>
        </w:tc>
        <w:tc>
          <w:tcPr>
            <w:tcW w:w="1710" w:type="dxa"/>
            <w:shd w:val="clear" w:color="auto" w:fill="auto"/>
          </w:tcPr>
          <w:p w:rsidR="00076B59" w:rsidRPr="005A505B" w:rsidRDefault="00076B59" w:rsidP="005A505B">
            <w:pPr>
              <w:rPr>
                <w:rFonts w:cs="Arial"/>
                <w:color w:val="auto"/>
                <w:sz w:val="20"/>
                <w:szCs w:val="20"/>
              </w:rPr>
            </w:pPr>
            <w:r w:rsidRPr="005A505B">
              <w:rPr>
                <w:rFonts w:cs="Arial"/>
                <w:color w:val="auto"/>
                <w:sz w:val="20"/>
                <w:szCs w:val="20"/>
              </w:rPr>
              <w:t>2</w:t>
            </w:r>
          </w:p>
          <w:p w:rsidR="00076B59" w:rsidRPr="005A505B" w:rsidRDefault="00076B59" w:rsidP="005A505B">
            <w:pPr>
              <w:rPr>
                <w:rFonts w:cs="Arial"/>
                <w:color w:val="auto"/>
                <w:sz w:val="20"/>
                <w:szCs w:val="20"/>
              </w:rPr>
            </w:pPr>
          </w:p>
          <w:p w:rsidR="00076B59" w:rsidRPr="005A505B" w:rsidRDefault="00076B59" w:rsidP="005A505B">
            <w:pPr>
              <w:rPr>
                <w:rFonts w:cs="Arial"/>
                <w:color w:val="auto"/>
                <w:sz w:val="20"/>
                <w:szCs w:val="20"/>
              </w:rPr>
            </w:pPr>
            <w:r w:rsidRPr="005A505B">
              <w:rPr>
                <w:rFonts w:cs="Arial"/>
                <w:color w:val="auto"/>
                <w:sz w:val="20"/>
                <w:szCs w:val="20"/>
              </w:rPr>
              <w:t>Target remains the same as in 2021/22 and is projected to remain so over the MTEF period</w:t>
            </w:r>
          </w:p>
        </w:tc>
      </w:tr>
    </w:tbl>
    <w:p w:rsidR="00076B59" w:rsidRPr="005A505B" w:rsidRDefault="00076B59" w:rsidP="005A505B">
      <w:pPr>
        <w:rPr>
          <w:rFonts w:cs="Arial"/>
          <w:color w:val="auto"/>
          <w:sz w:val="20"/>
          <w:szCs w:val="20"/>
        </w:rPr>
      </w:pPr>
    </w:p>
    <w:p w:rsidR="00076B59" w:rsidRPr="005A505B" w:rsidRDefault="00076B59" w:rsidP="005A505B">
      <w:pPr>
        <w:rPr>
          <w:rFonts w:cs="Arial"/>
          <w:color w:val="auto"/>
          <w:sz w:val="20"/>
          <w:szCs w:val="20"/>
        </w:rPr>
      </w:pPr>
    </w:p>
    <w:p w:rsidR="00076B59" w:rsidRPr="005A505B" w:rsidRDefault="00076B59" w:rsidP="005A505B">
      <w:pPr>
        <w:jc w:val="both"/>
        <w:rPr>
          <w:rFonts w:cs="Arial"/>
          <w:color w:val="auto"/>
          <w:sz w:val="20"/>
          <w:szCs w:val="20"/>
        </w:rPr>
      </w:pPr>
      <w:r w:rsidRPr="005A505B">
        <w:rPr>
          <w:rFonts w:cs="Arial"/>
          <w:color w:val="auto"/>
          <w:sz w:val="20"/>
          <w:szCs w:val="20"/>
        </w:rPr>
        <w:t>As observed in the previous financial year, most targets are largely static with marginal increase</w:t>
      </w:r>
      <w:r w:rsidR="00E7232D" w:rsidRPr="005A505B">
        <w:rPr>
          <w:rFonts w:cs="Arial"/>
          <w:color w:val="auto"/>
          <w:sz w:val="20"/>
          <w:szCs w:val="20"/>
        </w:rPr>
        <w:t>s</w:t>
      </w:r>
      <w:r w:rsidRPr="005A505B">
        <w:rPr>
          <w:rFonts w:cs="Arial"/>
          <w:color w:val="auto"/>
          <w:sz w:val="20"/>
          <w:szCs w:val="20"/>
        </w:rPr>
        <w:t xml:space="preserve"> in some. In light of the challenges facing the healthcare system in South Africa, it is prudent that the OHSC, given its mandate in the health sector, increases its targets in order to improve the outlook and the quality of healthcare services.</w:t>
      </w:r>
    </w:p>
    <w:p w:rsidR="00076B59" w:rsidRPr="005A505B" w:rsidRDefault="00076B59" w:rsidP="005A505B">
      <w:pPr>
        <w:jc w:val="both"/>
        <w:rPr>
          <w:rFonts w:cs="Arial"/>
          <w:color w:val="auto"/>
          <w:sz w:val="20"/>
          <w:szCs w:val="20"/>
        </w:rPr>
      </w:pPr>
    </w:p>
    <w:p w:rsidR="00CF2C38" w:rsidRPr="005A505B" w:rsidRDefault="00CF2C38" w:rsidP="005A505B">
      <w:pPr>
        <w:jc w:val="both"/>
        <w:rPr>
          <w:rFonts w:cs="Arial"/>
          <w:color w:val="auto"/>
          <w:sz w:val="20"/>
          <w:szCs w:val="20"/>
        </w:rPr>
      </w:pPr>
    </w:p>
    <w:p w:rsidR="00076B59" w:rsidRPr="005A505B" w:rsidRDefault="00076B59" w:rsidP="005A505B">
      <w:pPr>
        <w:pStyle w:val="ListParagraph"/>
        <w:numPr>
          <w:ilvl w:val="2"/>
          <w:numId w:val="53"/>
        </w:numPr>
        <w:jc w:val="both"/>
        <w:rPr>
          <w:rFonts w:cs="Arial"/>
          <w:color w:val="auto"/>
          <w:sz w:val="20"/>
          <w:szCs w:val="20"/>
        </w:rPr>
      </w:pPr>
      <w:bookmarkStart w:id="472" w:name="_Toc99368119"/>
      <w:r w:rsidRPr="005A505B">
        <w:rPr>
          <w:rFonts w:cs="Arial"/>
          <w:b/>
          <w:color w:val="auto"/>
          <w:sz w:val="20"/>
          <w:szCs w:val="20"/>
        </w:rPr>
        <w:t xml:space="preserve">Budget for 2022/23 </w:t>
      </w:r>
      <w:bookmarkEnd w:id="472"/>
    </w:p>
    <w:p w:rsidR="00076B59" w:rsidRPr="005A505B" w:rsidRDefault="00076B59" w:rsidP="005A505B">
      <w:pPr>
        <w:jc w:val="both"/>
        <w:rPr>
          <w:rFonts w:cs="Arial"/>
          <w:color w:val="auto"/>
          <w:sz w:val="20"/>
          <w:szCs w:val="20"/>
        </w:rPr>
      </w:pPr>
    </w:p>
    <w:p w:rsidR="009623AB" w:rsidRPr="005A505B" w:rsidRDefault="009623AB" w:rsidP="005A505B">
      <w:pPr>
        <w:jc w:val="both"/>
        <w:rPr>
          <w:rFonts w:cs="Arial"/>
          <w:color w:val="auto"/>
          <w:sz w:val="20"/>
          <w:szCs w:val="20"/>
        </w:rPr>
      </w:pPr>
      <w:r w:rsidRPr="005A505B">
        <w:rPr>
          <w:rFonts w:cs="Arial"/>
          <w:color w:val="auto"/>
          <w:sz w:val="20"/>
          <w:szCs w:val="20"/>
        </w:rPr>
        <w:t xml:space="preserve">The overall proposed allocation for the entity is R157.5 million for 2022/23, which shows a nominal increase of R5.6 million from R10.4 million in 2021/22. The figures show a decrease on two programmes, namely; (4) </w:t>
      </w:r>
      <w:r w:rsidRPr="005A505B">
        <w:rPr>
          <w:rFonts w:cs="Arial"/>
          <w:i/>
          <w:color w:val="auto"/>
          <w:sz w:val="20"/>
          <w:szCs w:val="20"/>
        </w:rPr>
        <w:t>Health Standards Design, Analysis and Suppor</w:t>
      </w:r>
      <w:r w:rsidRPr="005A505B">
        <w:rPr>
          <w:rFonts w:cs="Arial"/>
          <w:color w:val="auto"/>
          <w:sz w:val="20"/>
          <w:szCs w:val="20"/>
        </w:rPr>
        <w:t xml:space="preserve">t and (5) </w:t>
      </w:r>
      <w:r w:rsidRPr="005A505B">
        <w:rPr>
          <w:rFonts w:cs="Arial"/>
          <w:i/>
          <w:color w:val="auto"/>
          <w:sz w:val="20"/>
          <w:szCs w:val="20"/>
        </w:rPr>
        <w:t>Certification and Enforcement</w:t>
      </w:r>
      <w:r w:rsidRPr="005A505B">
        <w:rPr>
          <w:rFonts w:cs="Arial"/>
          <w:color w:val="auto"/>
          <w:sz w:val="20"/>
          <w:szCs w:val="20"/>
        </w:rPr>
        <w:t>.  The decrease on Programme 5 is said to have a negative impact on the OHSC’s achievement of its certification and enforcement mandate as the function of this programme is largely dependent on the work of inspectors. There is a need for the entity to share with the plans it will put in place to ensure that its planned programmes would not be affected by the decrease in funding on these two programmes.</w:t>
      </w:r>
    </w:p>
    <w:p w:rsidR="009623AB" w:rsidRPr="005A505B" w:rsidRDefault="009623AB" w:rsidP="005A505B">
      <w:pPr>
        <w:rPr>
          <w:rFonts w:cs="Arial"/>
          <w:color w:val="auto"/>
          <w:sz w:val="20"/>
          <w:szCs w:val="20"/>
        </w:rPr>
      </w:pPr>
    </w:p>
    <w:p w:rsidR="003A0A44" w:rsidRPr="005A505B" w:rsidRDefault="003A0A44" w:rsidP="005A505B">
      <w:pPr>
        <w:rPr>
          <w:rFonts w:cs="Arial"/>
          <w:color w:val="auto"/>
          <w:sz w:val="20"/>
          <w:szCs w:val="20"/>
        </w:rPr>
      </w:pPr>
    </w:p>
    <w:p w:rsidR="00076B59" w:rsidRPr="005A505B" w:rsidRDefault="00076B59" w:rsidP="005A505B">
      <w:pPr>
        <w:rPr>
          <w:rFonts w:cs="Arial"/>
          <w:b/>
          <w:iCs/>
          <w:color w:val="auto"/>
          <w:sz w:val="20"/>
          <w:szCs w:val="20"/>
          <w:lang w:eastAsia="en-ZA"/>
        </w:rPr>
      </w:pPr>
      <w:r w:rsidRPr="005A505B">
        <w:rPr>
          <w:rFonts w:cs="Arial"/>
          <w:b/>
          <w:color w:val="auto"/>
          <w:sz w:val="20"/>
          <w:szCs w:val="20"/>
          <w:lang w:eastAsia="en-ZA"/>
        </w:rPr>
        <w:t xml:space="preserve">Table </w:t>
      </w:r>
      <w:r w:rsidR="00E7232D" w:rsidRPr="005A505B">
        <w:rPr>
          <w:rFonts w:cs="Arial"/>
          <w:b/>
          <w:color w:val="auto"/>
          <w:sz w:val="20"/>
          <w:szCs w:val="20"/>
          <w:lang w:eastAsia="en-ZA"/>
        </w:rPr>
        <w:t>9</w:t>
      </w:r>
      <w:r w:rsidRPr="005A505B">
        <w:rPr>
          <w:rFonts w:cs="Arial"/>
          <w:b/>
          <w:color w:val="auto"/>
          <w:sz w:val="20"/>
          <w:szCs w:val="20"/>
          <w:lang w:eastAsia="en-ZA"/>
        </w:rPr>
        <w:t xml:space="preserve">: </w:t>
      </w:r>
      <w:r w:rsidRPr="005A505B">
        <w:rPr>
          <w:rFonts w:cs="Arial"/>
          <w:b/>
          <w:iCs/>
          <w:color w:val="auto"/>
          <w:sz w:val="20"/>
          <w:szCs w:val="20"/>
          <w:lang w:eastAsia="en-ZA"/>
        </w:rPr>
        <w:t>Budget for 2022/23 as per programmes</w:t>
      </w:r>
    </w:p>
    <w:p w:rsidR="00076B59" w:rsidRPr="005A505B" w:rsidRDefault="00076B59" w:rsidP="005A505B">
      <w:pPr>
        <w:rPr>
          <w:rFonts w:cs="Arial"/>
          <w:b/>
          <w:color w:val="auto"/>
          <w:sz w:val="20"/>
          <w:szCs w:val="20"/>
        </w:rPr>
      </w:pPr>
    </w:p>
    <w:tbl>
      <w:tblPr>
        <w:tblStyle w:val="TableGrid"/>
        <w:tblW w:w="9090" w:type="dxa"/>
        <w:tblInd w:w="-5" w:type="dxa"/>
        <w:tblLook w:val="04A0"/>
      </w:tblPr>
      <w:tblGrid>
        <w:gridCol w:w="1696"/>
        <w:gridCol w:w="1106"/>
        <w:gridCol w:w="981"/>
        <w:gridCol w:w="990"/>
        <w:gridCol w:w="981"/>
        <w:gridCol w:w="1170"/>
        <w:gridCol w:w="1170"/>
        <w:gridCol w:w="1080"/>
      </w:tblGrid>
      <w:tr w:rsidR="00076B59" w:rsidRPr="005A505B" w:rsidTr="002E66DA">
        <w:trPr>
          <w:trHeight w:val="780"/>
        </w:trPr>
        <w:tc>
          <w:tcPr>
            <w:tcW w:w="1696" w:type="dxa"/>
            <w:shd w:val="clear" w:color="auto" w:fill="DAEEF3" w:themeFill="accent5" w:themeFillTint="33"/>
            <w:noWrap/>
            <w:hideMark/>
          </w:tcPr>
          <w:p w:rsidR="00076B59" w:rsidRPr="005A505B" w:rsidRDefault="00076B59" w:rsidP="005A505B">
            <w:pPr>
              <w:rPr>
                <w:rFonts w:cs="Arial"/>
                <w:b/>
                <w:bCs/>
                <w:color w:val="auto"/>
                <w:sz w:val="20"/>
                <w:szCs w:val="20"/>
              </w:rPr>
            </w:pPr>
            <w:r w:rsidRPr="005A505B">
              <w:rPr>
                <w:rFonts w:cs="Arial"/>
                <w:b/>
                <w:bCs/>
                <w:color w:val="auto"/>
                <w:sz w:val="20"/>
                <w:szCs w:val="20"/>
              </w:rPr>
              <w:t>Programme</w:t>
            </w:r>
          </w:p>
        </w:tc>
        <w:tc>
          <w:tcPr>
            <w:tcW w:w="3974" w:type="dxa"/>
            <w:gridSpan w:val="4"/>
            <w:shd w:val="clear" w:color="auto" w:fill="DAEEF3" w:themeFill="accent5" w:themeFillTint="33"/>
            <w:hideMark/>
          </w:tcPr>
          <w:p w:rsidR="00076B59" w:rsidRPr="005A505B" w:rsidRDefault="00076B59" w:rsidP="005A505B">
            <w:pPr>
              <w:rPr>
                <w:rFonts w:cs="Arial"/>
                <w:b/>
                <w:bCs/>
                <w:color w:val="auto"/>
                <w:sz w:val="20"/>
                <w:szCs w:val="20"/>
              </w:rPr>
            </w:pPr>
            <w:r w:rsidRPr="005A505B">
              <w:rPr>
                <w:rFonts w:cs="Arial"/>
                <w:b/>
                <w:bCs/>
                <w:color w:val="auto"/>
                <w:sz w:val="20"/>
                <w:szCs w:val="20"/>
              </w:rPr>
              <w:t>Budget</w:t>
            </w:r>
          </w:p>
        </w:tc>
        <w:tc>
          <w:tcPr>
            <w:tcW w:w="1170" w:type="dxa"/>
            <w:shd w:val="clear" w:color="auto" w:fill="DAEEF3" w:themeFill="accent5" w:themeFillTint="33"/>
            <w:hideMark/>
          </w:tcPr>
          <w:p w:rsidR="00076B59" w:rsidRPr="005A505B" w:rsidRDefault="00076B59" w:rsidP="005A505B">
            <w:pPr>
              <w:rPr>
                <w:rFonts w:cs="Arial"/>
                <w:b/>
                <w:bCs/>
                <w:color w:val="auto"/>
                <w:sz w:val="20"/>
                <w:szCs w:val="20"/>
              </w:rPr>
            </w:pPr>
            <w:r w:rsidRPr="005A505B">
              <w:rPr>
                <w:rFonts w:cs="Arial"/>
                <w:b/>
                <w:bCs/>
                <w:color w:val="auto"/>
                <w:sz w:val="20"/>
                <w:szCs w:val="20"/>
              </w:rPr>
              <w:t>Nominal Rand change</w:t>
            </w:r>
          </w:p>
        </w:tc>
        <w:tc>
          <w:tcPr>
            <w:tcW w:w="1170" w:type="dxa"/>
            <w:shd w:val="clear" w:color="auto" w:fill="DAEEF3" w:themeFill="accent5" w:themeFillTint="33"/>
            <w:hideMark/>
          </w:tcPr>
          <w:p w:rsidR="00076B59" w:rsidRPr="005A505B" w:rsidRDefault="00076B59" w:rsidP="005A505B">
            <w:pPr>
              <w:rPr>
                <w:rFonts w:cs="Arial"/>
                <w:b/>
                <w:bCs/>
                <w:color w:val="auto"/>
                <w:sz w:val="20"/>
                <w:szCs w:val="20"/>
              </w:rPr>
            </w:pPr>
            <w:r w:rsidRPr="005A505B">
              <w:rPr>
                <w:rFonts w:cs="Arial"/>
                <w:b/>
                <w:bCs/>
                <w:color w:val="auto"/>
                <w:sz w:val="20"/>
                <w:szCs w:val="20"/>
              </w:rPr>
              <w:t>Nominal % change</w:t>
            </w:r>
          </w:p>
        </w:tc>
        <w:tc>
          <w:tcPr>
            <w:tcW w:w="1080" w:type="dxa"/>
            <w:shd w:val="clear" w:color="auto" w:fill="DAEEF3" w:themeFill="accent5" w:themeFillTint="33"/>
            <w:hideMark/>
          </w:tcPr>
          <w:p w:rsidR="00076B59" w:rsidRPr="005A505B" w:rsidRDefault="00076B59" w:rsidP="005A505B">
            <w:pPr>
              <w:rPr>
                <w:rFonts w:cs="Arial"/>
                <w:b/>
                <w:bCs/>
                <w:color w:val="auto"/>
                <w:sz w:val="20"/>
                <w:szCs w:val="20"/>
              </w:rPr>
            </w:pPr>
            <w:r w:rsidRPr="005A505B">
              <w:rPr>
                <w:rFonts w:cs="Arial"/>
                <w:b/>
                <w:bCs/>
                <w:color w:val="auto"/>
                <w:sz w:val="20"/>
                <w:szCs w:val="20"/>
              </w:rPr>
              <w:t>Real % change</w:t>
            </w:r>
          </w:p>
        </w:tc>
      </w:tr>
      <w:tr w:rsidR="00076B59" w:rsidRPr="005A505B" w:rsidTr="002E66DA">
        <w:trPr>
          <w:trHeight w:val="404"/>
        </w:trPr>
        <w:tc>
          <w:tcPr>
            <w:tcW w:w="1696" w:type="dxa"/>
            <w:shd w:val="clear" w:color="auto" w:fill="DAEEF3" w:themeFill="accent5" w:themeFillTint="33"/>
            <w:noWrap/>
            <w:hideMark/>
          </w:tcPr>
          <w:p w:rsidR="00076B59" w:rsidRPr="005A505B" w:rsidRDefault="00076B59" w:rsidP="005A505B">
            <w:pPr>
              <w:rPr>
                <w:rFonts w:cs="Arial"/>
                <w:b/>
                <w:color w:val="auto"/>
                <w:sz w:val="20"/>
                <w:szCs w:val="20"/>
              </w:rPr>
            </w:pPr>
            <w:r w:rsidRPr="005A505B">
              <w:rPr>
                <w:rFonts w:cs="Arial"/>
                <w:b/>
                <w:color w:val="auto"/>
                <w:sz w:val="20"/>
                <w:szCs w:val="20"/>
              </w:rPr>
              <w:t>R’000 million</w:t>
            </w:r>
          </w:p>
        </w:tc>
        <w:tc>
          <w:tcPr>
            <w:tcW w:w="1106" w:type="dxa"/>
            <w:shd w:val="clear" w:color="auto" w:fill="DAEEF3" w:themeFill="accent5" w:themeFillTint="33"/>
            <w:noWrap/>
          </w:tcPr>
          <w:p w:rsidR="00076B59" w:rsidRPr="005A505B" w:rsidRDefault="00076B59" w:rsidP="005A505B">
            <w:pPr>
              <w:rPr>
                <w:rFonts w:cs="Arial"/>
                <w:b/>
                <w:bCs/>
                <w:color w:val="auto"/>
                <w:sz w:val="20"/>
                <w:szCs w:val="20"/>
              </w:rPr>
            </w:pPr>
            <w:r w:rsidRPr="005A505B">
              <w:rPr>
                <w:rFonts w:cs="Arial"/>
                <w:b/>
                <w:bCs/>
                <w:color w:val="auto"/>
                <w:sz w:val="20"/>
                <w:szCs w:val="20"/>
              </w:rPr>
              <w:t>2021/22</w:t>
            </w:r>
          </w:p>
        </w:tc>
        <w:tc>
          <w:tcPr>
            <w:tcW w:w="978" w:type="dxa"/>
            <w:shd w:val="clear" w:color="auto" w:fill="DAEEF3" w:themeFill="accent5" w:themeFillTint="33"/>
            <w:noWrap/>
          </w:tcPr>
          <w:p w:rsidR="00076B59" w:rsidRPr="005A505B" w:rsidRDefault="00076B59" w:rsidP="005A505B">
            <w:pPr>
              <w:rPr>
                <w:rFonts w:cs="Arial"/>
                <w:b/>
                <w:bCs/>
                <w:color w:val="auto"/>
                <w:sz w:val="20"/>
                <w:szCs w:val="20"/>
              </w:rPr>
            </w:pPr>
            <w:r w:rsidRPr="005A505B">
              <w:rPr>
                <w:rFonts w:cs="Arial"/>
                <w:b/>
                <w:bCs/>
                <w:color w:val="auto"/>
                <w:sz w:val="20"/>
                <w:szCs w:val="20"/>
              </w:rPr>
              <w:t>2022/23</w:t>
            </w:r>
          </w:p>
        </w:tc>
        <w:tc>
          <w:tcPr>
            <w:tcW w:w="990" w:type="dxa"/>
            <w:shd w:val="clear" w:color="auto" w:fill="DAEEF3" w:themeFill="accent5" w:themeFillTint="33"/>
            <w:noWrap/>
          </w:tcPr>
          <w:p w:rsidR="00076B59" w:rsidRPr="005A505B" w:rsidRDefault="00076B59" w:rsidP="005A505B">
            <w:pPr>
              <w:rPr>
                <w:rFonts w:cs="Arial"/>
                <w:b/>
                <w:bCs/>
                <w:color w:val="auto"/>
                <w:sz w:val="20"/>
                <w:szCs w:val="20"/>
              </w:rPr>
            </w:pPr>
            <w:r w:rsidRPr="005A505B">
              <w:rPr>
                <w:rFonts w:cs="Arial"/>
                <w:b/>
                <w:bCs/>
                <w:color w:val="auto"/>
                <w:sz w:val="20"/>
                <w:szCs w:val="20"/>
              </w:rPr>
              <w:t>2023/24</w:t>
            </w:r>
          </w:p>
        </w:tc>
        <w:tc>
          <w:tcPr>
            <w:tcW w:w="900" w:type="dxa"/>
            <w:shd w:val="clear" w:color="auto" w:fill="DAEEF3" w:themeFill="accent5" w:themeFillTint="33"/>
            <w:noWrap/>
          </w:tcPr>
          <w:p w:rsidR="00076B59" w:rsidRPr="005A505B" w:rsidRDefault="00076B59" w:rsidP="005A505B">
            <w:pPr>
              <w:rPr>
                <w:rFonts w:cs="Arial"/>
                <w:b/>
                <w:bCs/>
                <w:color w:val="auto"/>
                <w:sz w:val="20"/>
                <w:szCs w:val="20"/>
              </w:rPr>
            </w:pPr>
            <w:r w:rsidRPr="005A505B">
              <w:rPr>
                <w:rFonts w:cs="Arial"/>
                <w:b/>
                <w:bCs/>
                <w:color w:val="auto"/>
                <w:sz w:val="20"/>
                <w:szCs w:val="20"/>
              </w:rPr>
              <w:t>2024/25</w:t>
            </w:r>
          </w:p>
        </w:tc>
        <w:tc>
          <w:tcPr>
            <w:tcW w:w="3420" w:type="dxa"/>
            <w:gridSpan w:val="3"/>
            <w:shd w:val="clear" w:color="auto" w:fill="DAEEF3" w:themeFill="accent5" w:themeFillTint="33"/>
            <w:noWrap/>
            <w:hideMark/>
          </w:tcPr>
          <w:p w:rsidR="00076B59" w:rsidRPr="005A505B" w:rsidRDefault="00076B59" w:rsidP="005A505B">
            <w:pPr>
              <w:rPr>
                <w:rFonts w:cs="Arial"/>
                <w:b/>
                <w:bCs/>
                <w:color w:val="auto"/>
                <w:sz w:val="20"/>
                <w:szCs w:val="20"/>
              </w:rPr>
            </w:pPr>
            <w:r w:rsidRPr="005A505B">
              <w:rPr>
                <w:rFonts w:cs="Arial"/>
                <w:b/>
                <w:bCs/>
                <w:color w:val="auto"/>
                <w:sz w:val="20"/>
                <w:szCs w:val="20"/>
              </w:rPr>
              <w:t>2021/22-2022/23</w:t>
            </w:r>
          </w:p>
        </w:tc>
      </w:tr>
      <w:tr w:rsidR="00076B59" w:rsidRPr="005A505B" w:rsidTr="002E66DA">
        <w:trPr>
          <w:trHeight w:val="413"/>
        </w:trPr>
        <w:tc>
          <w:tcPr>
            <w:tcW w:w="1696" w:type="dxa"/>
            <w:noWrap/>
            <w:hideMark/>
          </w:tcPr>
          <w:p w:rsidR="00076B59" w:rsidRPr="005A505B" w:rsidRDefault="00076B59" w:rsidP="005A505B">
            <w:pPr>
              <w:rPr>
                <w:rFonts w:cs="Arial"/>
                <w:color w:val="auto"/>
                <w:sz w:val="20"/>
                <w:szCs w:val="20"/>
              </w:rPr>
            </w:pPr>
            <w:r w:rsidRPr="005A505B">
              <w:rPr>
                <w:rFonts w:cs="Arial"/>
                <w:color w:val="auto"/>
                <w:sz w:val="20"/>
                <w:szCs w:val="20"/>
              </w:rPr>
              <w:t>Administration</w:t>
            </w:r>
          </w:p>
        </w:tc>
        <w:tc>
          <w:tcPr>
            <w:tcW w:w="1106" w:type="dxa"/>
            <w:noWrap/>
          </w:tcPr>
          <w:p w:rsidR="00076B59" w:rsidRPr="005A505B" w:rsidRDefault="00076B59" w:rsidP="005A505B">
            <w:pPr>
              <w:rPr>
                <w:rFonts w:cs="Arial"/>
                <w:color w:val="auto"/>
                <w:sz w:val="20"/>
                <w:szCs w:val="20"/>
              </w:rPr>
            </w:pPr>
            <w:r w:rsidRPr="005A505B">
              <w:rPr>
                <w:rFonts w:cs="Arial"/>
                <w:color w:val="auto"/>
                <w:sz w:val="20"/>
                <w:szCs w:val="20"/>
              </w:rPr>
              <w:t xml:space="preserve">61 423 </w:t>
            </w:r>
          </w:p>
        </w:tc>
        <w:tc>
          <w:tcPr>
            <w:tcW w:w="978" w:type="dxa"/>
            <w:shd w:val="clear" w:color="auto" w:fill="DAEEF3" w:themeFill="accent5" w:themeFillTint="33"/>
            <w:noWrap/>
          </w:tcPr>
          <w:p w:rsidR="00076B59" w:rsidRPr="005A505B" w:rsidRDefault="00076B59" w:rsidP="005A505B">
            <w:pPr>
              <w:rPr>
                <w:rFonts w:cs="Arial"/>
                <w:color w:val="auto"/>
                <w:sz w:val="20"/>
                <w:szCs w:val="20"/>
              </w:rPr>
            </w:pPr>
            <w:r w:rsidRPr="005A505B">
              <w:rPr>
                <w:rFonts w:cs="Arial"/>
                <w:color w:val="auto"/>
                <w:sz w:val="20"/>
                <w:szCs w:val="20"/>
              </w:rPr>
              <w:t xml:space="preserve">64 680 </w:t>
            </w:r>
          </w:p>
        </w:tc>
        <w:tc>
          <w:tcPr>
            <w:tcW w:w="990" w:type="dxa"/>
            <w:noWrap/>
          </w:tcPr>
          <w:p w:rsidR="00076B59" w:rsidRPr="005A505B" w:rsidRDefault="00076B59" w:rsidP="005A505B">
            <w:pPr>
              <w:rPr>
                <w:rFonts w:cs="Arial"/>
                <w:color w:val="auto"/>
                <w:sz w:val="20"/>
                <w:szCs w:val="20"/>
              </w:rPr>
            </w:pPr>
            <w:r w:rsidRPr="005A505B">
              <w:rPr>
                <w:rFonts w:cs="Arial"/>
                <w:color w:val="auto"/>
                <w:sz w:val="20"/>
                <w:szCs w:val="20"/>
              </w:rPr>
              <w:t xml:space="preserve">65 228 </w:t>
            </w:r>
          </w:p>
        </w:tc>
        <w:tc>
          <w:tcPr>
            <w:tcW w:w="900" w:type="dxa"/>
            <w:noWrap/>
          </w:tcPr>
          <w:p w:rsidR="00076B59" w:rsidRPr="005A505B" w:rsidRDefault="00076B59" w:rsidP="005A505B">
            <w:pPr>
              <w:rPr>
                <w:rFonts w:cs="Arial"/>
                <w:color w:val="auto"/>
                <w:sz w:val="20"/>
                <w:szCs w:val="20"/>
              </w:rPr>
            </w:pPr>
            <w:r w:rsidRPr="005A505B">
              <w:rPr>
                <w:rFonts w:cs="Arial"/>
                <w:color w:val="auto"/>
                <w:sz w:val="20"/>
                <w:szCs w:val="20"/>
              </w:rPr>
              <w:t xml:space="preserve">68 674 </w:t>
            </w:r>
          </w:p>
        </w:tc>
        <w:tc>
          <w:tcPr>
            <w:tcW w:w="1170" w:type="dxa"/>
            <w:noWrap/>
            <w:hideMark/>
          </w:tcPr>
          <w:p w:rsidR="00076B59" w:rsidRPr="005A505B" w:rsidRDefault="00076B59" w:rsidP="005A505B">
            <w:pPr>
              <w:rPr>
                <w:rFonts w:cs="Arial"/>
                <w:color w:val="auto"/>
                <w:sz w:val="20"/>
                <w:szCs w:val="20"/>
              </w:rPr>
            </w:pPr>
            <w:r w:rsidRPr="005A505B">
              <w:rPr>
                <w:rFonts w:cs="Arial"/>
                <w:color w:val="auto"/>
                <w:sz w:val="20"/>
                <w:szCs w:val="20"/>
              </w:rPr>
              <w:t xml:space="preserve">3 257 </w:t>
            </w:r>
          </w:p>
        </w:tc>
        <w:tc>
          <w:tcPr>
            <w:tcW w:w="1170" w:type="dxa"/>
            <w:noWrap/>
          </w:tcPr>
          <w:p w:rsidR="00076B59" w:rsidRPr="005A505B" w:rsidRDefault="00076B59" w:rsidP="005A505B">
            <w:pPr>
              <w:rPr>
                <w:rFonts w:cs="Arial"/>
                <w:color w:val="auto"/>
                <w:sz w:val="20"/>
                <w:szCs w:val="20"/>
              </w:rPr>
            </w:pPr>
            <w:r w:rsidRPr="005A505B">
              <w:rPr>
                <w:rFonts w:cs="Arial"/>
                <w:color w:val="auto"/>
                <w:sz w:val="20"/>
                <w:szCs w:val="20"/>
              </w:rPr>
              <w:t>5.30%</w:t>
            </w:r>
          </w:p>
        </w:tc>
        <w:tc>
          <w:tcPr>
            <w:tcW w:w="1080" w:type="dxa"/>
            <w:noWrap/>
            <w:hideMark/>
          </w:tcPr>
          <w:p w:rsidR="00076B59" w:rsidRPr="005A505B" w:rsidRDefault="00076B59" w:rsidP="005A505B">
            <w:pPr>
              <w:rPr>
                <w:rFonts w:cs="Arial"/>
                <w:color w:val="auto"/>
                <w:sz w:val="20"/>
                <w:szCs w:val="20"/>
              </w:rPr>
            </w:pPr>
            <w:r w:rsidRPr="005A505B">
              <w:rPr>
                <w:rFonts w:cs="Arial"/>
                <w:color w:val="auto"/>
                <w:sz w:val="20"/>
                <w:szCs w:val="20"/>
              </w:rPr>
              <w:t>1.06%</w:t>
            </w:r>
          </w:p>
        </w:tc>
      </w:tr>
      <w:tr w:rsidR="00076B59" w:rsidRPr="005A505B" w:rsidTr="002E66DA">
        <w:trPr>
          <w:trHeight w:val="276"/>
        </w:trPr>
        <w:tc>
          <w:tcPr>
            <w:tcW w:w="1696" w:type="dxa"/>
            <w:noWrap/>
            <w:hideMark/>
          </w:tcPr>
          <w:p w:rsidR="00076B59" w:rsidRPr="005A505B" w:rsidRDefault="00076B59" w:rsidP="005A505B">
            <w:pPr>
              <w:rPr>
                <w:rFonts w:cs="Arial"/>
                <w:color w:val="auto"/>
                <w:sz w:val="20"/>
                <w:szCs w:val="20"/>
              </w:rPr>
            </w:pPr>
            <w:r w:rsidRPr="005A505B">
              <w:rPr>
                <w:rFonts w:cs="Arial"/>
                <w:color w:val="auto"/>
                <w:sz w:val="20"/>
                <w:szCs w:val="20"/>
              </w:rPr>
              <w:t>Compliance Inspectorate</w:t>
            </w:r>
          </w:p>
        </w:tc>
        <w:tc>
          <w:tcPr>
            <w:tcW w:w="1106" w:type="dxa"/>
            <w:noWrap/>
          </w:tcPr>
          <w:p w:rsidR="00076B59" w:rsidRPr="005A505B" w:rsidRDefault="00076B59" w:rsidP="005A505B">
            <w:pPr>
              <w:rPr>
                <w:rFonts w:cs="Arial"/>
                <w:color w:val="auto"/>
                <w:sz w:val="20"/>
                <w:szCs w:val="20"/>
              </w:rPr>
            </w:pPr>
            <w:r w:rsidRPr="005A505B">
              <w:rPr>
                <w:rFonts w:cs="Arial"/>
                <w:color w:val="auto"/>
                <w:sz w:val="20"/>
                <w:szCs w:val="20"/>
              </w:rPr>
              <w:t xml:space="preserve">53 989 </w:t>
            </w:r>
          </w:p>
        </w:tc>
        <w:tc>
          <w:tcPr>
            <w:tcW w:w="978" w:type="dxa"/>
            <w:shd w:val="clear" w:color="auto" w:fill="DAEEF3" w:themeFill="accent5" w:themeFillTint="33"/>
            <w:noWrap/>
          </w:tcPr>
          <w:p w:rsidR="00076B59" w:rsidRPr="005A505B" w:rsidRDefault="00076B59" w:rsidP="005A505B">
            <w:pPr>
              <w:rPr>
                <w:rFonts w:cs="Arial"/>
                <w:color w:val="auto"/>
                <w:sz w:val="20"/>
                <w:szCs w:val="20"/>
              </w:rPr>
            </w:pPr>
            <w:r w:rsidRPr="005A505B">
              <w:rPr>
                <w:rFonts w:cs="Arial"/>
                <w:color w:val="auto"/>
                <w:sz w:val="20"/>
                <w:szCs w:val="20"/>
              </w:rPr>
              <w:t xml:space="preserve">58 469 </w:t>
            </w:r>
          </w:p>
        </w:tc>
        <w:tc>
          <w:tcPr>
            <w:tcW w:w="990" w:type="dxa"/>
            <w:noWrap/>
          </w:tcPr>
          <w:p w:rsidR="00076B59" w:rsidRPr="005A505B" w:rsidRDefault="00076B59" w:rsidP="005A505B">
            <w:pPr>
              <w:rPr>
                <w:rFonts w:cs="Arial"/>
                <w:color w:val="auto"/>
                <w:sz w:val="20"/>
                <w:szCs w:val="20"/>
              </w:rPr>
            </w:pPr>
            <w:r w:rsidRPr="005A505B">
              <w:rPr>
                <w:rFonts w:cs="Arial"/>
                <w:color w:val="auto"/>
                <w:sz w:val="20"/>
                <w:szCs w:val="20"/>
              </w:rPr>
              <w:t xml:space="preserve">52 854 </w:t>
            </w:r>
          </w:p>
        </w:tc>
        <w:tc>
          <w:tcPr>
            <w:tcW w:w="900" w:type="dxa"/>
            <w:noWrap/>
          </w:tcPr>
          <w:p w:rsidR="00076B59" w:rsidRPr="005A505B" w:rsidRDefault="00076B59" w:rsidP="005A505B">
            <w:pPr>
              <w:rPr>
                <w:rFonts w:cs="Arial"/>
                <w:color w:val="auto"/>
                <w:sz w:val="20"/>
                <w:szCs w:val="20"/>
              </w:rPr>
            </w:pPr>
            <w:r w:rsidRPr="005A505B">
              <w:rPr>
                <w:rFonts w:cs="Arial"/>
                <w:color w:val="auto"/>
                <w:sz w:val="20"/>
                <w:szCs w:val="20"/>
              </w:rPr>
              <w:t xml:space="preserve">55 233 </w:t>
            </w:r>
          </w:p>
        </w:tc>
        <w:tc>
          <w:tcPr>
            <w:tcW w:w="1170" w:type="dxa"/>
            <w:noWrap/>
            <w:hideMark/>
          </w:tcPr>
          <w:p w:rsidR="00076B59" w:rsidRPr="005A505B" w:rsidRDefault="00076B59" w:rsidP="005A505B">
            <w:pPr>
              <w:rPr>
                <w:rFonts w:cs="Arial"/>
                <w:color w:val="auto"/>
                <w:sz w:val="20"/>
                <w:szCs w:val="20"/>
              </w:rPr>
            </w:pPr>
            <w:r w:rsidRPr="005A505B">
              <w:rPr>
                <w:rFonts w:cs="Arial"/>
                <w:color w:val="auto"/>
                <w:sz w:val="20"/>
                <w:szCs w:val="20"/>
              </w:rPr>
              <w:t xml:space="preserve">4 480 </w:t>
            </w:r>
          </w:p>
        </w:tc>
        <w:tc>
          <w:tcPr>
            <w:tcW w:w="1170" w:type="dxa"/>
            <w:noWrap/>
          </w:tcPr>
          <w:p w:rsidR="00076B59" w:rsidRPr="005A505B" w:rsidRDefault="00076B59" w:rsidP="005A505B">
            <w:pPr>
              <w:rPr>
                <w:rFonts w:cs="Arial"/>
                <w:color w:val="auto"/>
                <w:sz w:val="20"/>
                <w:szCs w:val="20"/>
              </w:rPr>
            </w:pPr>
            <w:r w:rsidRPr="005A505B">
              <w:rPr>
                <w:rFonts w:cs="Arial"/>
                <w:color w:val="auto"/>
                <w:sz w:val="20"/>
                <w:szCs w:val="20"/>
              </w:rPr>
              <w:t>8.31%</w:t>
            </w:r>
          </w:p>
        </w:tc>
        <w:tc>
          <w:tcPr>
            <w:tcW w:w="1080" w:type="dxa"/>
            <w:noWrap/>
            <w:hideMark/>
          </w:tcPr>
          <w:p w:rsidR="00076B59" w:rsidRPr="005A505B" w:rsidRDefault="00076B59" w:rsidP="005A505B">
            <w:pPr>
              <w:rPr>
                <w:rFonts w:cs="Arial"/>
                <w:color w:val="auto"/>
                <w:sz w:val="20"/>
                <w:szCs w:val="20"/>
              </w:rPr>
            </w:pPr>
            <w:r w:rsidRPr="005A505B">
              <w:rPr>
                <w:rFonts w:cs="Arial"/>
                <w:color w:val="auto"/>
                <w:sz w:val="20"/>
                <w:szCs w:val="20"/>
              </w:rPr>
              <w:t>3.95%</w:t>
            </w:r>
          </w:p>
        </w:tc>
      </w:tr>
      <w:tr w:rsidR="00076B59" w:rsidRPr="005A505B" w:rsidTr="002E66DA">
        <w:trPr>
          <w:trHeight w:val="276"/>
        </w:trPr>
        <w:tc>
          <w:tcPr>
            <w:tcW w:w="1696" w:type="dxa"/>
            <w:noWrap/>
            <w:hideMark/>
          </w:tcPr>
          <w:p w:rsidR="00076B59" w:rsidRPr="005A505B" w:rsidRDefault="00076B59" w:rsidP="005A505B">
            <w:pPr>
              <w:rPr>
                <w:rFonts w:cs="Arial"/>
                <w:color w:val="auto"/>
                <w:sz w:val="20"/>
                <w:szCs w:val="20"/>
              </w:rPr>
            </w:pPr>
            <w:r w:rsidRPr="005A505B">
              <w:rPr>
                <w:rFonts w:cs="Arial"/>
                <w:color w:val="auto"/>
                <w:sz w:val="20"/>
                <w:szCs w:val="20"/>
              </w:rPr>
              <w:t>Complaints Management and Ombud</w:t>
            </w:r>
          </w:p>
        </w:tc>
        <w:tc>
          <w:tcPr>
            <w:tcW w:w="1106" w:type="dxa"/>
            <w:noWrap/>
          </w:tcPr>
          <w:p w:rsidR="00076B59" w:rsidRPr="005A505B" w:rsidRDefault="00076B59" w:rsidP="005A505B">
            <w:pPr>
              <w:rPr>
                <w:rFonts w:cs="Arial"/>
                <w:color w:val="auto"/>
                <w:sz w:val="20"/>
                <w:szCs w:val="20"/>
              </w:rPr>
            </w:pPr>
            <w:r w:rsidRPr="005A505B">
              <w:rPr>
                <w:rFonts w:cs="Arial"/>
                <w:color w:val="auto"/>
                <w:sz w:val="20"/>
                <w:szCs w:val="20"/>
              </w:rPr>
              <w:t xml:space="preserve">20 389 </w:t>
            </w:r>
          </w:p>
        </w:tc>
        <w:tc>
          <w:tcPr>
            <w:tcW w:w="978" w:type="dxa"/>
            <w:shd w:val="clear" w:color="auto" w:fill="DAEEF3" w:themeFill="accent5" w:themeFillTint="33"/>
            <w:noWrap/>
          </w:tcPr>
          <w:p w:rsidR="00076B59" w:rsidRPr="005A505B" w:rsidRDefault="00076B59" w:rsidP="005A505B">
            <w:pPr>
              <w:rPr>
                <w:rFonts w:cs="Arial"/>
                <w:color w:val="auto"/>
                <w:sz w:val="20"/>
                <w:szCs w:val="20"/>
              </w:rPr>
            </w:pPr>
            <w:r w:rsidRPr="005A505B">
              <w:rPr>
                <w:rFonts w:cs="Arial"/>
                <w:color w:val="auto"/>
                <w:sz w:val="20"/>
                <w:szCs w:val="20"/>
              </w:rPr>
              <w:t xml:space="preserve">20 890 </w:t>
            </w:r>
          </w:p>
        </w:tc>
        <w:tc>
          <w:tcPr>
            <w:tcW w:w="990" w:type="dxa"/>
            <w:noWrap/>
          </w:tcPr>
          <w:p w:rsidR="00076B59" w:rsidRPr="005A505B" w:rsidRDefault="00076B59" w:rsidP="005A505B">
            <w:pPr>
              <w:rPr>
                <w:rFonts w:cs="Arial"/>
                <w:color w:val="auto"/>
                <w:sz w:val="20"/>
                <w:szCs w:val="20"/>
              </w:rPr>
            </w:pPr>
            <w:r w:rsidRPr="005A505B">
              <w:rPr>
                <w:rFonts w:cs="Arial"/>
                <w:color w:val="auto"/>
                <w:sz w:val="20"/>
                <w:szCs w:val="20"/>
              </w:rPr>
              <w:t xml:space="preserve">20 940 </w:t>
            </w:r>
          </w:p>
        </w:tc>
        <w:tc>
          <w:tcPr>
            <w:tcW w:w="900" w:type="dxa"/>
            <w:noWrap/>
          </w:tcPr>
          <w:p w:rsidR="00076B59" w:rsidRPr="005A505B" w:rsidRDefault="00076B59" w:rsidP="005A505B">
            <w:pPr>
              <w:rPr>
                <w:rFonts w:cs="Arial"/>
                <w:color w:val="auto"/>
                <w:sz w:val="20"/>
                <w:szCs w:val="20"/>
              </w:rPr>
            </w:pPr>
            <w:r w:rsidRPr="005A505B">
              <w:rPr>
                <w:rFonts w:cs="Arial"/>
                <w:color w:val="auto"/>
                <w:sz w:val="20"/>
                <w:szCs w:val="20"/>
              </w:rPr>
              <w:t xml:space="preserve">21 485 </w:t>
            </w:r>
          </w:p>
        </w:tc>
        <w:tc>
          <w:tcPr>
            <w:tcW w:w="1170" w:type="dxa"/>
            <w:noWrap/>
            <w:hideMark/>
          </w:tcPr>
          <w:p w:rsidR="00076B59" w:rsidRPr="005A505B" w:rsidRDefault="00076B59" w:rsidP="005A505B">
            <w:pPr>
              <w:rPr>
                <w:rFonts w:cs="Arial"/>
                <w:color w:val="auto"/>
                <w:sz w:val="20"/>
                <w:szCs w:val="20"/>
              </w:rPr>
            </w:pPr>
            <w:r w:rsidRPr="005A505B">
              <w:rPr>
                <w:rFonts w:cs="Arial"/>
                <w:color w:val="auto"/>
                <w:sz w:val="20"/>
                <w:szCs w:val="20"/>
              </w:rPr>
              <w:t xml:space="preserve"> 501 </w:t>
            </w:r>
          </w:p>
        </w:tc>
        <w:tc>
          <w:tcPr>
            <w:tcW w:w="1170" w:type="dxa"/>
            <w:noWrap/>
          </w:tcPr>
          <w:p w:rsidR="00076B59" w:rsidRPr="005A505B" w:rsidRDefault="00076B59" w:rsidP="005A505B">
            <w:pPr>
              <w:rPr>
                <w:rFonts w:cs="Arial"/>
                <w:color w:val="auto"/>
                <w:sz w:val="20"/>
                <w:szCs w:val="20"/>
              </w:rPr>
            </w:pPr>
            <w:r w:rsidRPr="005A505B">
              <w:rPr>
                <w:rFonts w:cs="Arial"/>
                <w:color w:val="auto"/>
                <w:sz w:val="20"/>
                <w:szCs w:val="20"/>
              </w:rPr>
              <w:t>2.46%</w:t>
            </w:r>
          </w:p>
        </w:tc>
        <w:tc>
          <w:tcPr>
            <w:tcW w:w="1080" w:type="dxa"/>
            <w:noWrap/>
            <w:hideMark/>
          </w:tcPr>
          <w:p w:rsidR="00076B59" w:rsidRPr="005A505B" w:rsidRDefault="00076B59" w:rsidP="005A505B">
            <w:pPr>
              <w:rPr>
                <w:rFonts w:cs="Arial"/>
                <w:color w:val="auto"/>
                <w:sz w:val="20"/>
                <w:szCs w:val="20"/>
              </w:rPr>
            </w:pPr>
            <w:r w:rsidRPr="005A505B">
              <w:rPr>
                <w:rFonts w:cs="Arial"/>
                <w:color w:val="auto"/>
                <w:sz w:val="20"/>
                <w:szCs w:val="20"/>
              </w:rPr>
              <w:t>-1.67%</w:t>
            </w:r>
          </w:p>
        </w:tc>
      </w:tr>
      <w:tr w:rsidR="00076B59" w:rsidRPr="005A505B" w:rsidTr="002E66DA">
        <w:trPr>
          <w:trHeight w:val="276"/>
        </w:trPr>
        <w:tc>
          <w:tcPr>
            <w:tcW w:w="1696" w:type="dxa"/>
            <w:noWrap/>
            <w:hideMark/>
          </w:tcPr>
          <w:p w:rsidR="00076B59" w:rsidRPr="005A505B" w:rsidRDefault="00076B59" w:rsidP="005A505B">
            <w:pPr>
              <w:rPr>
                <w:rFonts w:cs="Arial"/>
                <w:color w:val="auto"/>
                <w:sz w:val="20"/>
                <w:szCs w:val="20"/>
              </w:rPr>
            </w:pPr>
            <w:r w:rsidRPr="005A505B">
              <w:rPr>
                <w:rFonts w:cs="Arial"/>
                <w:color w:val="auto"/>
                <w:sz w:val="20"/>
                <w:szCs w:val="20"/>
              </w:rPr>
              <w:t>Health Standards Design, Analysis and Support</w:t>
            </w:r>
          </w:p>
        </w:tc>
        <w:tc>
          <w:tcPr>
            <w:tcW w:w="1106" w:type="dxa"/>
            <w:noWrap/>
          </w:tcPr>
          <w:p w:rsidR="00076B59" w:rsidRPr="005A505B" w:rsidRDefault="00076B59" w:rsidP="005A505B">
            <w:pPr>
              <w:rPr>
                <w:rFonts w:cs="Arial"/>
                <w:color w:val="auto"/>
                <w:sz w:val="20"/>
                <w:szCs w:val="20"/>
              </w:rPr>
            </w:pPr>
            <w:r w:rsidRPr="005A505B">
              <w:rPr>
                <w:rFonts w:cs="Arial"/>
                <w:color w:val="auto"/>
                <w:sz w:val="20"/>
                <w:szCs w:val="20"/>
              </w:rPr>
              <w:t>13 396</w:t>
            </w:r>
          </w:p>
        </w:tc>
        <w:tc>
          <w:tcPr>
            <w:tcW w:w="978" w:type="dxa"/>
            <w:shd w:val="clear" w:color="auto" w:fill="DAEEF3" w:themeFill="accent5" w:themeFillTint="33"/>
            <w:noWrap/>
          </w:tcPr>
          <w:p w:rsidR="00076B59" w:rsidRPr="005A505B" w:rsidRDefault="00076B59" w:rsidP="005A505B">
            <w:pPr>
              <w:rPr>
                <w:rFonts w:cs="Arial"/>
                <w:color w:val="auto"/>
                <w:sz w:val="20"/>
                <w:szCs w:val="20"/>
              </w:rPr>
            </w:pPr>
            <w:r w:rsidRPr="005A505B">
              <w:rPr>
                <w:rFonts w:cs="Arial"/>
                <w:color w:val="auto"/>
                <w:sz w:val="20"/>
                <w:szCs w:val="20"/>
              </w:rPr>
              <w:t xml:space="preserve">10 972 </w:t>
            </w:r>
          </w:p>
        </w:tc>
        <w:tc>
          <w:tcPr>
            <w:tcW w:w="990" w:type="dxa"/>
            <w:noWrap/>
          </w:tcPr>
          <w:p w:rsidR="00076B59" w:rsidRPr="005A505B" w:rsidRDefault="00076B59" w:rsidP="005A505B">
            <w:pPr>
              <w:rPr>
                <w:rFonts w:cs="Arial"/>
                <w:color w:val="auto"/>
                <w:sz w:val="20"/>
                <w:szCs w:val="20"/>
              </w:rPr>
            </w:pPr>
            <w:r w:rsidRPr="005A505B">
              <w:rPr>
                <w:rFonts w:cs="Arial"/>
                <w:color w:val="auto"/>
                <w:sz w:val="20"/>
                <w:szCs w:val="20"/>
              </w:rPr>
              <w:t xml:space="preserve">11 180 </w:t>
            </w:r>
          </w:p>
        </w:tc>
        <w:tc>
          <w:tcPr>
            <w:tcW w:w="900" w:type="dxa"/>
            <w:noWrap/>
          </w:tcPr>
          <w:p w:rsidR="00076B59" w:rsidRPr="005A505B" w:rsidRDefault="00076B59" w:rsidP="005A505B">
            <w:pPr>
              <w:rPr>
                <w:rFonts w:cs="Arial"/>
                <w:color w:val="auto"/>
                <w:sz w:val="20"/>
                <w:szCs w:val="20"/>
              </w:rPr>
            </w:pPr>
            <w:r w:rsidRPr="005A505B">
              <w:rPr>
                <w:rFonts w:cs="Arial"/>
                <w:color w:val="auto"/>
                <w:sz w:val="20"/>
                <w:szCs w:val="20"/>
              </w:rPr>
              <w:t xml:space="preserve">11 619 </w:t>
            </w:r>
          </w:p>
        </w:tc>
        <w:tc>
          <w:tcPr>
            <w:tcW w:w="1170" w:type="dxa"/>
            <w:noWrap/>
            <w:hideMark/>
          </w:tcPr>
          <w:p w:rsidR="00076B59" w:rsidRPr="005A505B" w:rsidRDefault="00076B59" w:rsidP="005A505B">
            <w:pPr>
              <w:rPr>
                <w:rFonts w:cs="Arial"/>
                <w:color w:val="auto"/>
                <w:sz w:val="20"/>
                <w:szCs w:val="20"/>
              </w:rPr>
            </w:pPr>
            <w:r w:rsidRPr="005A505B">
              <w:rPr>
                <w:rFonts w:cs="Arial"/>
                <w:color w:val="auto"/>
                <w:sz w:val="20"/>
                <w:szCs w:val="20"/>
              </w:rPr>
              <w:t xml:space="preserve"> -2 424 </w:t>
            </w:r>
          </w:p>
        </w:tc>
        <w:tc>
          <w:tcPr>
            <w:tcW w:w="1170" w:type="dxa"/>
            <w:noWrap/>
          </w:tcPr>
          <w:p w:rsidR="00076B59" w:rsidRPr="005A505B" w:rsidRDefault="00076B59" w:rsidP="005A505B">
            <w:pPr>
              <w:rPr>
                <w:rFonts w:cs="Arial"/>
                <w:color w:val="auto"/>
                <w:sz w:val="20"/>
                <w:szCs w:val="20"/>
              </w:rPr>
            </w:pPr>
            <w:r w:rsidRPr="005A505B">
              <w:rPr>
                <w:rFonts w:cs="Arial"/>
                <w:color w:val="auto"/>
                <w:sz w:val="20"/>
                <w:szCs w:val="20"/>
              </w:rPr>
              <w:t>-18.01%</w:t>
            </w:r>
          </w:p>
        </w:tc>
        <w:tc>
          <w:tcPr>
            <w:tcW w:w="1080" w:type="dxa"/>
            <w:noWrap/>
            <w:hideMark/>
          </w:tcPr>
          <w:p w:rsidR="00076B59" w:rsidRPr="005A505B" w:rsidRDefault="00076B59" w:rsidP="005A505B">
            <w:pPr>
              <w:rPr>
                <w:rFonts w:cs="Arial"/>
                <w:color w:val="auto"/>
                <w:sz w:val="20"/>
                <w:szCs w:val="20"/>
              </w:rPr>
            </w:pPr>
            <w:r w:rsidRPr="005A505B">
              <w:rPr>
                <w:rFonts w:cs="Arial"/>
                <w:color w:val="auto"/>
                <w:sz w:val="20"/>
                <w:szCs w:val="20"/>
              </w:rPr>
              <w:t>-13.26%</w:t>
            </w:r>
          </w:p>
        </w:tc>
      </w:tr>
      <w:tr w:rsidR="00076B59" w:rsidRPr="005A505B" w:rsidTr="002E66DA">
        <w:trPr>
          <w:trHeight w:val="276"/>
        </w:trPr>
        <w:tc>
          <w:tcPr>
            <w:tcW w:w="1696" w:type="dxa"/>
            <w:noWrap/>
            <w:hideMark/>
          </w:tcPr>
          <w:p w:rsidR="00076B59" w:rsidRPr="005A505B" w:rsidRDefault="00076B59" w:rsidP="005A505B">
            <w:pPr>
              <w:rPr>
                <w:rFonts w:cs="Arial"/>
                <w:color w:val="auto"/>
                <w:sz w:val="20"/>
                <w:szCs w:val="20"/>
              </w:rPr>
            </w:pPr>
            <w:r w:rsidRPr="005A505B">
              <w:rPr>
                <w:rFonts w:cs="Arial"/>
                <w:color w:val="auto"/>
                <w:sz w:val="20"/>
                <w:szCs w:val="20"/>
              </w:rPr>
              <w:t>Certification and Enforcement</w:t>
            </w:r>
          </w:p>
        </w:tc>
        <w:tc>
          <w:tcPr>
            <w:tcW w:w="1106" w:type="dxa"/>
            <w:noWrap/>
          </w:tcPr>
          <w:p w:rsidR="00076B59" w:rsidRPr="005A505B" w:rsidRDefault="00076B59" w:rsidP="005A505B">
            <w:pPr>
              <w:rPr>
                <w:rFonts w:cs="Arial"/>
                <w:color w:val="auto"/>
                <w:sz w:val="20"/>
                <w:szCs w:val="20"/>
              </w:rPr>
            </w:pPr>
            <w:r w:rsidRPr="005A505B">
              <w:rPr>
                <w:rFonts w:cs="Arial"/>
                <w:color w:val="auto"/>
                <w:sz w:val="20"/>
                <w:szCs w:val="20"/>
              </w:rPr>
              <w:t xml:space="preserve">2 692 </w:t>
            </w:r>
          </w:p>
        </w:tc>
        <w:tc>
          <w:tcPr>
            <w:tcW w:w="978" w:type="dxa"/>
            <w:shd w:val="clear" w:color="auto" w:fill="DAEEF3" w:themeFill="accent5" w:themeFillTint="33"/>
            <w:noWrap/>
          </w:tcPr>
          <w:p w:rsidR="00076B59" w:rsidRPr="005A505B" w:rsidRDefault="00076B59" w:rsidP="005A505B">
            <w:pPr>
              <w:rPr>
                <w:rFonts w:cs="Arial"/>
                <w:color w:val="auto"/>
                <w:sz w:val="20"/>
                <w:szCs w:val="20"/>
              </w:rPr>
            </w:pPr>
            <w:r w:rsidRPr="005A505B">
              <w:rPr>
                <w:rFonts w:cs="Arial"/>
                <w:color w:val="auto"/>
                <w:sz w:val="20"/>
                <w:szCs w:val="20"/>
              </w:rPr>
              <w:t>2 498</w:t>
            </w:r>
          </w:p>
        </w:tc>
        <w:tc>
          <w:tcPr>
            <w:tcW w:w="990" w:type="dxa"/>
            <w:noWrap/>
          </w:tcPr>
          <w:p w:rsidR="00076B59" w:rsidRPr="005A505B" w:rsidRDefault="00076B59" w:rsidP="005A505B">
            <w:pPr>
              <w:rPr>
                <w:rFonts w:cs="Arial"/>
                <w:color w:val="auto"/>
                <w:sz w:val="20"/>
                <w:szCs w:val="20"/>
              </w:rPr>
            </w:pPr>
            <w:r w:rsidRPr="005A505B">
              <w:rPr>
                <w:rFonts w:cs="Arial"/>
                <w:color w:val="auto"/>
                <w:sz w:val="20"/>
                <w:szCs w:val="20"/>
              </w:rPr>
              <w:t xml:space="preserve">2 523 </w:t>
            </w:r>
          </w:p>
        </w:tc>
        <w:tc>
          <w:tcPr>
            <w:tcW w:w="900" w:type="dxa"/>
            <w:noWrap/>
          </w:tcPr>
          <w:p w:rsidR="00076B59" w:rsidRPr="005A505B" w:rsidRDefault="00076B59" w:rsidP="005A505B">
            <w:pPr>
              <w:rPr>
                <w:rFonts w:cs="Arial"/>
                <w:color w:val="auto"/>
                <w:sz w:val="20"/>
                <w:szCs w:val="20"/>
              </w:rPr>
            </w:pPr>
            <w:r w:rsidRPr="005A505B">
              <w:rPr>
                <w:rFonts w:cs="Arial"/>
                <w:color w:val="auto"/>
                <w:sz w:val="20"/>
                <w:szCs w:val="20"/>
              </w:rPr>
              <w:t xml:space="preserve">2 587 </w:t>
            </w:r>
          </w:p>
        </w:tc>
        <w:tc>
          <w:tcPr>
            <w:tcW w:w="1170" w:type="dxa"/>
            <w:noWrap/>
            <w:hideMark/>
          </w:tcPr>
          <w:p w:rsidR="00076B59" w:rsidRPr="005A505B" w:rsidRDefault="00076B59" w:rsidP="005A505B">
            <w:pPr>
              <w:rPr>
                <w:rFonts w:cs="Arial"/>
                <w:color w:val="auto"/>
                <w:sz w:val="20"/>
                <w:szCs w:val="20"/>
              </w:rPr>
            </w:pPr>
            <w:r w:rsidRPr="005A505B">
              <w:rPr>
                <w:rFonts w:cs="Arial"/>
                <w:color w:val="auto"/>
                <w:sz w:val="20"/>
                <w:szCs w:val="20"/>
              </w:rPr>
              <w:t xml:space="preserve"> -194 </w:t>
            </w:r>
          </w:p>
        </w:tc>
        <w:tc>
          <w:tcPr>
            <w:tcW w:w="1170" w:type="dxa"/>
            <w:noWrap/>
          </w:tcPr>
          <w:p w:rsidR="00076B59" w:rsidRPr="005A505B" w:rsidRDefault="00076B59" w:rsidP="005A505B">
            <w:pPr>
              <w:rPr>
                <w:rFonts w:cs="Arial"/>
                <w:color w:val="auto"/>
                <w:sz w:val="20"/>
                <w:szCs w:val="20"/>
              </w:rPr>
            </w:pPr>
            <w:r w:rsidRPr="005A505B">
              <w:rPr>
                <w:rFonts w:cs="Arial"/>
                <w:color w:val="auto"/>
                <w:sz w:val="20"/>
                <w:szCs w:val="20"/>
              </w:rPr>
              <w:t>-7.21%</w:t>
            </w:r>
          </w:p>
        </w:tc>
        <w:tc>
          <w:tcPr>
            <w:tcW w:w="1080" w:type="dxa"/>
            <w:noWrap/>
            <w:hideMark/>
          </w:tcPr>
          <w:p w:rsidR="00076B59" w:rsidRPr="005A505B" w:rsidRDefault="00076B59" w:rsidP="005A505B">
            <w:pPr>
              <w:rPr>
                <w:rFonts w:cs="Arial"/>
                <w:color w:val="auto"/>
                <w:sz w:val="20"/>
                <w:szCs w:val="20"/>
              </w:rPr>
            </w:pPr>
            <w:r w:rsidRPr="005A505B">
              <w:rPr>
                <w:rFonts w:cs="Arial"/>
                <w:color w:val="auto"/>
                <w:sz w:val="20"/>
                <w:szCs w:val="20"/>
              </w:rPr>
              <w:t>-2.89%</w:t>
            </w:r>
          </w:p>
        </w:tc>
      </w:tr>
      <w:tr w:rsidR="00076B59" w:rsidRPr="005A505B" w:rsidTr="002E66DA">
        <w:trPr>
          <w:trHeight w:val="276"/>
        </w:trPr>
        <w:tc>
          <w:tcPr>
            <w:tcW w:w="1696" w:type="dxa"/>
            <w:shd w:val="clear" w:color="auto" w:fill="DAEEF3" w:themeFill="accent5" w:themeFillTint="33"/>
            <w:noWrap/>
            <w:hideMark/>
          </w:tcPr>
          <w:p w:rsidR="00076B59" w:rsidRPr="005A505B" w:rsidRDefault="00076B59" w:rsidP="005A505B">
            <w:pPr>
              <w:rPr>
                <w:rFonts w:cs="Arial"/>
                <w:b/>
                <w:bCs/>
                <w:color w:val="auto"/>
                <w:sz w:val="20"/>
                <w:szCs w:val="20"/>
              </w:rPr>
            </w:pPr>
            <w:r w:rsidRPr="005A505B">
              <w:rPr>
                <w:rFonts w:cs="Arial"/>
                <w:b/>
                <w:bCs/>
                <w:color w:val="auto"/>
                <w:sz w:val="20"/>
                <w:szCs w:val="20"/>
              </w:rPr>
              <w:t>TOTAL</w:t>
            </w:r>
          </w:p>
        </w:tc>
        <w:tc>
          <w:tcPr>
            <w:tcW w:w="1106" w:type="dxa"/>
            <w:shd w:val="clear" w:color="auto" w:fill="DAEEF3" w:themeFill="accent5" w:themeFillTint="33"/>
            <w:noWrap/>
          </w:tcPr>
          <w:p w:rsidR="00076B59" w:rsidRPr="005A505B" w:rsidRDefault="00076B59" w:rsidP="005A505B">
            <w:pPr>
              <w:rPr>
                <w:rFonts w:cs="Arial"/>
                <w:b/>
                <w:bCs/>
                <w:color w:val="auto"/>
                <w:sz w:val="20"/>
                <w:szCs w:val="20"/>
              </w:rPr>
            </w:pPr>
            <w:r w:rsidRPr="005A505B">
              <w:rPr>
                <w:rFonts w:cs="Arial"/>
                <w:b/>
                <w:bCs/>
                <w:color w:val="auto"/>
                <w:sz w:val="20"/>
                <w:szCs w:val="20"/>
              </w:rPr>
              <w:t xml:space="preserve">151 889 </w:t>
            </w:r>
          </w:p>
        </w:tc>
        <w:tc>
          <w:tcPr>
            <w:tcW w:w="978" w:type="dxa"/>
            <w:shd w:val="clear" w:color="auto" w:fill="DAEEF3" w:themeFill="accent5" w:themeFillTint="33"/>
            <w:noWrap/>
          </w:tcPr>
          <w:p w:rsidR="00076B59" w:rsidRPr="005A505B" w:rsidRDefault="00076B59" w:rsidP="005A505B">
            <w:pPr>
              <w:rPr>
                <w:rFonts w:cs="Arial"/>
                <w:b/>
                <w:bCs/>
                <w:color w:val="auto"/>
                <w:sz w:val="20"/>
                <w:szCs w:val="20"/>
              </w:rPr>
            </w:pPr>
            <w:r w:rsidRPr="005A505B">
              <w:rPr>
                <w:rFonts w:cs="Arial"/>
                <w:b/>
                <w:bCs/>
                <w:color w:val="auto"/>
                <w:sz w:val="20"/>
                <w:szCs w:val="20"/>
              </w:rPr>
              <w:t xml:space="preserve">157 509 </w:t>
            </w:r>
          </w:p>
        </w:tc>
        <w:tc>
          <w:tcPr>
            <w:tcW w:w="990" w:type="dxa"/>
            <w:shd w:val="clear" w:color="auto" w:fill="DAEEF3" w:themeFill="accent5" w:themeFillTint="33"/>
            <w:noWrap/>
          </w:tcPr>
          <w:p w:rsidR="00076B59" w:rsidRPr="005A505B" w:rsidRDefault="00076B59" w:rsidP="005A505B">
            <w:pPr>
              <w:rPr>
                <w:rFonts w:cs="Arial"/>
                <w:b/>
                <w:bCs/>
                <w:color w:val="auto"/>
                <w:sz w:val="20"/>
                <w:szCs w:val="20"/>
              </w:rPr>
            </w:pPr>
            <w:r w:rsidRPr="005A505B">
              <w:rPr>
                <w:rFonts w:cs="Arial"/>
                <w:b/>
                <w:bCs/>
                <w:color w:val="auto"/>
                <w:sz w:val="20"/>
                <w:szCs w:val="20"/>
              </w:rPr>
              <w:t xml:space="preserve">152 726 </w:t>
            </w:r>
          </w:p>
        </w:tc>
        <w:tc>
          <w:tcPr>
            <w:tcW w:w="900" w:type="dxa"/>
            <w:shd w:val="clear" w:color="auto" w:fill="DAEEF3" w:themeFill="accent5" w:themeFillTint="33"/>
            <w:noWrap/>
          </w:tcPr>
          <w:p w:rsidR="00076B59" w:rsidRPr="005A505B" w:rsidRDefault="00076B59" w:rsidP="005A505B">
            <w:pPr>
              <w:rPr>
                <w:rFonts w:cs="Arial"/>
                <w:b/>
                <w:bCs/>
                <w:color w:val="auto"/>
                <w:sz w:val="20"/>
                <w:szCs w:val="20"/>
              </w:rPr>
            </w:pPr>
            <w:r w:rsidRPr="005A505B">
              <w:rPr>
                <w:rFonts w:cs="Arial"/>
                <w:b/>
                <w:bCs/>
                <w:color w:val="auto"/>
                <w:sz w:val="20"/>
                <w:szCs w:val="20"/>
              </w:rPr>
              <w:t xml:space="preserve">159 599 </w:t>
            </w:r>
          </w:p>
        </w:tc>
        <w:tc>
          <w:tcPr>
            <w:tcW w:w="1170" w:type="dxa"/>
            <w:shd w:val="clear" w:color="auto" w:fill="DAEEF3" w:themeFill="accent5" w:themeFillTint="33"/>
            <w:noWrap/>
            <w:hideMark/>
          </w:tcPr>
          <w:p w:rsidR="00076B59" w:rsidRPr="005A505B" w:rsidRDefault="00076B59" w:rsidP="005A505B">
            <w:pPr>
              <w:rPr>
                <w:rFonts w:cs="Arial"/>
                <w:b/>
                <w:bCs/>
                <w:color w:val="auto"/>
                <w:sz w:val="20"/>
                <w:szCs w:val="20"/>
              </w:rPr>
            </w:pPr>
            <w:r w:rsidRPr="005A505B">
              <w:rPr>
                <w:rFonts w:cs="Arial"/>
                <w:b/>
                <w:bCs/>
                <w:color w:val="auto"/>
                <w:sz w:val="20"/>
                <w:szCs w:val="20"/>
              </w:rPr>
              <w:t>5 620</w:t>
            </w:r>
          </w:p>
        </w:tc>
        <w:tc>
          <w:tcPr>
            <w:tcW w:w="1170" w:type="dxa"/>
            <w:shd w:val="clear" w:color="auto" w:fill="DAEEF3" w:themeFill="accent5" w:themeFillTint="33"/>
            <w:noWrap/>
          </w:tcPr>
          <w:p w:rsidR="00076B59" w:rsidRPr="005A505B" w:rsidRDefault="00076B59" w:rsidP="005A505B">
            <w:pPr>
              <w:rPr>
                <w:rFonts w:cs="Arial"/>
                <w:b/>
                <w:bCs/>
                <w:color w:val="auto"/>
                <w:sz w:val="20"/>
                <w:szCs w:val="20"/>
              </w:rPr>
            </w:pPr>
            <w:r w:rsidRPr="005A505B">
              <w:rPr>
                <w:rFonts w:cs="Arial"/>
                <w:b/>
                <w:bCs/>
                <w:color w:val="auto"/>
                <w:sz w:val="20"/>
                <w:szCs w:val="20"/>
              </w:rPr>
              <w:t>3.7%</w:t>
            </w:r>
          </w:p>
        </w:tc>
        <w:tc>
          <w:tcPr>
            <w:tcW w:w="1080" w:type="dxa"/>
            <w:shd w:val="clear" w:color="auto" w:fill="DAEEF3" w:themeFill="accent5" w:themeFillTint="33"/>
            <w:noWrap/>
            <w:hideMark/>
          </w:tcPr>
          <w:p w:rsidR="00076B59" w:rsidRPr="005A505B" w:rsidRDefault="00076B59" w:rsidP="005A505B">
            <w:pPr>
              <w:rPr>
                <w:rFonts w:cs="Arial"/>
                <w:b/>
                <w:bCs/>
                <w:color w:val="auto"/>
                <w:sz w:val="20"/>
                <w:szCs w:val="20"/>
              </w:rPr>
            </w:pPr>
            <w:r w:rsidRPr="005A505B">
              <w:rPr>
                <w:rFonts w:cs="Arial"/>
                <w:color w:val="auto"/>
                <w:sz w:val="20"/>
                <w:szCs w:val="20"/>
              </w:rPr>
              <w:t>-0.48%</w:t>
            </w:r>
          </w:p>
        </w:tc>
      </w:tr>
    </w:tbl>
    <w:p w:rsidR="00076B59" w:rsidRPr="005A505B" w:rsidRDefault="00076B59" w:rsidP="005A505B">
      <w:pPr>
        <w:rPr>
          <w:rFonts w:cs="Arial"/>
          <w:i/>
          <w:color w:val="auto"/>
          <w:sz w:val="20"/>
          <w:szCs w:val="20"/>
        </w:rPr>
      </w:pPr>
    </w:p>
    <w:p w:rsidR="00076B59" w:rsidRPr="005A505B" w:rsidRDefault="00076B59" w:rsidP="005A505B">
      <w:pPr>
        <w:rPr>
          <w:rFonts w:cs="Arial"/>
          <w:color w:val="auto"/>
          <w:sz w:val="20"/>
          <w:szCs w:val="20"/>
        </w:rPr>
      </w:pPr>
    </w:p>
    <w:p w:rsidR="00A472C6" w:rsidRPr="005A505B" w:rsidRDefault="00A472C6" w:rsidP="005A505B">
      <w:pPr>
        <w:jc w:val="both"/>
        <w:rPr>
          <w:rFonts w:cs="Arial"/>
          <w:color w:val="auto"/>
          <w:sz w:val="20"/>
          <w:szCs w:val="20"/>
        </w:rPr>
      </w:pPr>
    </w:p>
    <w:p w:rsidR="00076B59" w:rsidRPr="005A505B" w:rsidRDefault="00076B59" w:rsidP="005A505B">
      <w:pPr>
        <w:jc w:val="both"/>
        <w:rPr>
          <w:rFonts w:cs="Arial"/>
          <w:color w:val="auto"/>
          <w:sz w:val="20"/>
          <w:szCs w:val="20"/>
        </w:rPr>
      </w:pPr>
    </w:p>
    <w:p w:rsidR="00076B59" w:rsidRPr="005A505B" w:rsidRDefault="003A0A44" w:rsidP="005A505B">
      <w:pPr>
        <w:pStyle w:val="Heading2"/>
        <w:numPr>
          <w:ilvl w:val="1"/>
          <w:numId w:val="53"/>
        </w:numPr>
        <w:rPr>
          <w:b w:val="0"/>
          <w:color w:val="auto"/>
          <w:sz w:val="20"/>
          <w:szCs w:val="20"/>
        </w:rPr>
      </w:pPr>
      <w:bookmarkStart w:id="473" w:name="_Toc102119903"/>
      <w:r w:rsidRPr="005A505B">
        <w:rPr>
          <w:color w:val="auto"/>
          <w:sz w:val="20"/>
          <w:szCs w:val="20"/>
        </w:rPr>
        <w:t>National Health Laboratory Services (NHLS)</w:t>
      </w:r>
      <w:bookmarkEnd w:id="473"/>
    </w:p>
    <w:p w:rsidR="003A0A44" w:rsidRPr="005A505B" w:rsidRDefault="003A0A44" w:rsidP="005A505B">
      <w:pPr>
        <w:pStyle w:val="Header"/>
        <w:jc w:val="both"/>
        <w:rPr>
          <w:rFonts w:cs="Arial"/>
          <w:b/>
          <w:color w:val="auto"/>
          <w:sz w:val="20"/>
          <w:szCs w:val="20"/>
        </w:rPr>
      </w:pPr>
    </w:p>
    <w:p w:rsidR="00837A73" w:rsidRPr="005A505B" w:rsidRDefault="00837A73" w:rsidP="005A505B">
      <w:pPr>
        <w:pStyle w:val="Default"/>
        <w:rPr>
          <w:color w:val="auto"/>
          <w:sz w:val="20"/>
          <w:szCs w:val="20"/>
        </w:rPr>
      </w:pPr>
    </w:p>
    <w:p w:rsidR="00E7232D" w:rsidRPr="005A505B" w:rsidRDefault="00E7232D" w:rsidP="005A505B">
      <w:pPr>
        <w:pStyle w:val="Default"/>
        <w:numPr>
          <w:ilvl w:val="2"/>
          <w:numId w:val="53"/>
        </w:numPr>
        <w:rPr>
          <w:b/>
          <w:color w:val="auto"/>
          <w:sz w:val="20"/>
          <w:szCs w:val="20"/>
        </w:rPr>
      </w:pPr>
      <w:r w:rsidRPr="005A505B">
        <w:rPr>
          <w:b/>
          <w:color w:val="auto"/>
          <w:sz w:val="20"/>
          <w:szCs w:val="20"/>
        </w:rPr>
        <w:t xml:space="preserve">Introduction </w:t>
      </w:r>
    </w:p>
    <w:p w:rsidR="00E7232D" w:rsidRPr="005A505B" w:rsidRDefault="00E7232D" w:rsidP="005A505B">
      <w:pPr>
        <w:pStyle w:val="Default"/>
        <w:rPr>
          <w:color w:val="auto"/>
          <w:sz w:val="20"/>
          <w:szCs w:val="20"/>
        </w:rPr>
      </w:pPr>
    </w:p>
    <w:p w:rsidR="00837A73" w:rsidRPr="005A505B" w:rsidRDefault="00837A73" w:rsidP="005A505B">
      <w:pPr>
        <w:pStyle w:val="Default"/>
        <w:jc w:val="both"/>
        <w:rPr>
          <w:color w:val="auto"/>
          <w:sz w:val="20"/>
          <w:szCs w:val="20"/>
        </w:rPr>
      </w:pPr>
      <w:r w:rsidRPr="005A505B">
        <w:rPr>
          <w:color w:val="auto"/>
          <w:sz w:val="20"/>
          <w:szCs w:val="20"/>
        </w:rPr>
        <w:t>The National Health Laboratory Service (NHLS) is a Schedule 3A Public entity, as provided for in the Public Finance Management Act (Act No.1 of 1999), governed by the Board and the Chief Executive Officer (CEO). It is established by the National Health Laboratory Act (Act No.37 of 2000) to provide quality, affordable and sustainable health laboratory and related public health services to all public healthcare providers, other government institutions and any private healthcare provider in need of service. In addition, NHLS is responsible for supporting health research and provision of training for health science education and also provides advisory services to the national Department of Health (NDOH) and other stakeholders.</w:t>
      </w:r>
    </w:p>
    <w:p w:rsidR="00CF2C38" w:rsidRPr="005A505B" w:rsidRDefault="00CF2C38" w:rsidP="005A505B">
      <w:pPr>
        <w:pStyle w:val="Default"/>
        <w:rPr>
          <w:b/>
          <w:bCs/>
          <w:color w:val="auto"/>
          <w:sz w:val="20"/>
          <w:szCs w:val="20"/>
        </w:rPr>
      </w:pPr>
    </w:p>
    <w:p w:rsidR="00837A73" w:rsidRPr="005A505B" w:rsidRDefault="00A54000" w:rsidP="005A505B">
      <w:pPr>
        <w:pStyle w:val="ListParagraph"/>
        <w:numPr>
          <w:ilvl w:val="2"/>
          <w:numId w:val="53"/>
        </w:numPr>
        <w:rPr>
          <w:rFonts w:cs="Arial"/>
          <w:color w:val="auto"/>
          <w:sz w:val="20"/>
          <w:szCs w:val="20"/>
        </w:rPr>
      </w:pPr>
      <w:r w:rsidRPr="005A505B">
        <w:rPr>
          <w:rFonts w:cs="Arial"/>
          <w:b/>
          <w:color w:val="auto"/>
          <w:sz w:val="20"/>
          <w:szCs w:val="20"/>
        </w:rPr>
        <w:t xml:space="preserve">Implementation of Strategic Plan </w:t>
      </w:r>
    </w:p>
    <w:p w:rsidR="00837A73" w:rsidRPr="005A505B" w:rsidRDefault="00837A73" w:rsidP="005A505B">
      <w:pPr>
        <w:pStyle w:val="Default"/>
        <w:jc w:val="both"/>
        <w:rPr>
          <w:color w:val="auto"/>
          <w:sz w:val="20"/>
          <w:szCs w:val="20"/>
        </w:rPr>
      </w:pPr>
    </w:p>
    <w:p w:rsidR="00837A73" w:rsidRPr="005A505B" w:rsidRDefault="00837A73" w:rsidP="005A505B">
      <w:pPr>
        <w:pStyle w:val="Default"/>
        <w:jc w:val="both"/>
        <w:rPr>
          <w:color w:val="auto"/>
          <w:sz w:val="20"/>
          <w:szCs w:val="20"/>
        </w:rPr>
      </w:pPr>
      <w:r w:rsidRPr="005A505B">
        <w:rPr>
          <w:color w:val="auto"/>
          <w:sz w:val="20"/>
          <w:szCs w:val="20"/>
        </w:rPr>
        <w:t>The NHLS is left with two years to execute its five-year Strategic Plan for 2020/21-2024/25. The Strategic Plan is a comprehensive document that incorporates key policy framework such as:</w:t>
      </w:r>
      <w:r w:rsidRPr="005A505B">
        <w:rPr>
          <w:color w:val="auto"/>
          <w:sz w:val="20"/>
          <w:szCs w:val="20"/>
          <w:vertAlign w:val="superscript"/>
        </w:rPr>
        <w:t xml:space="preserve"> </w:t>
      </w:r>
    </w:p>
    <w:p w:rsidR="00837A73" w:rsidRPr="005A505B" w:rsidRDefault="00837A73" w:rsidP="005A505B">
      <w:pPr>
        <w:pStyle w:val="Default"/>
        <w:numPr>
          <w:ilvl w:val="0"/>
          <w:numId w:val="72"/>
        </w:numPr>
        <w:jc w:val="both"/>
        <w:rPr>
          <w:color w:val="auto"/>
          <w:sz w:val="20"/>
          <w:szCs w:val="20"/>
        </w:rPr>
      </w:pPr>
      <w:r w:rsidRPr="005A505B">
        <w:rPr>
          <w:color w:val="auto"/>
          <w:sz w:val="20"/>
          <w:szCs w:val="20"/>
        </w:rPr>
        <w:t>National Development Plan 2030 (NDP);</w:t>
      </w:r>
    </w:p>
    <w:p w:rsidR="00837A73" w:rsidRPr="005A505B" w:rsidRDefault="00837A73" w:rsidP="005A505B">
      <w:pPr>
        <w:pStyle w:val="Default"/>
        <w:numPr>
          <w:ilvl w:val="0"/>
          <w:numId w:val="72"/>
        </w:numPr>
        <w:jc w:val="both"/>
        <w:rPr>
          <w:color w:val="auto"/>
          <w:sz w:val="20"/>
          <w:szCs w:val="20"/>
        </w:rPr>
      </w:pPr>
      <w:r w:rsidRPr="005A505B">
        <w:rPr>
          <w:color w:val="auto"/>
          <w:sz w:val="20"/>
          <w:szCs w:val="20"/>
        </w:rPr>
        <w:t>The Sustainable Development Goals (SDGs);</w:t>
      </w:r>
    </w:p>
    <w:p w:rsidR="00837A73" w:rsidRPr="005A505B" w:rsidRDefault="00837A73" w:rsidP="005A505B">
      <w:pPr>
        <w:pStyle w:val="Default"/>
        <w:numPr>
          <w:ilvl w:val="0"/>
          <w:numId w:val="72"/>
        </w:numPr>
        <w:jc w:val="both"/>
        <w:rPr>
          <w:color w:val="auto"/>
          <w:sz w:val="20"/>
          <w:szCs w:val="20"/>
        </w:rPr>
      </w:pPr>
      <w:r w:rsidRPr="005A505B">
        <w:rPr>
          <w:color w:val="auto"/>
          <w:sz w:val="20"/>
          <w:szCs w:val="20"/>
        </w:rPr>
        <w:lastRenderedPageBreak/>
        <w:t>The 2018 Presidential Health Summit Compact; and</w:t>
      </w:r>
    </w:p>
    <w:p w:rsidR="00837A73" w:rsidRPr="005A505B" w:rsidRDefault="00837A73" w:rsidP="005A505B">
      <w:pPr>
        <w:pStyle w:val="Default"/>
        <w:numPr>
          <w:ilvl w:val="0"/>
          <w:numId w:val="72"/>
        </w:numPr>
        <w:jc w:val="both"/>
        <w:rPr>
          <w:color w:val="auto"/>
          <w:sz w:val="20"/>
          <w:szCs w:val="20"/>
        </w:rPr>
      </w:pPr>
      <w:r w:rsidRPr="005A505B">
        <w:rPr>
          <w:color w:val="auto"/>
          <w:sz w:val="20"/>
          <w:szCs w:val="20"/>
        </w:rPr>
        <w:t>International Federation of Clinical Chemistry and Laboratory Medicine (IFCC).</w:t>
      </w:r>
    </w:p>
    <w:p w:rsidR="00837A73" w:rsidRPr="005A505B" w:rsidRDefault="00837A73" w:rsidP="005A505B">
      <w:pPr>
        <w:pStyle w:val="Default"/>
        <w:jc w:val="both"/>
        <w:rPr>
          <w:color w:val="auto"/>
          <w:sz w:val="20"/>
          <w:szCs w:val="20"/>
        </w:rPr>
      </w:pPr>
    </w:p>
    <w:p w:rsidR="00837A73" w:rsidRPr="005A505B" w:rsidRDefault="00837A73" w:rsidP="005A505B">
      <w:pPr>
        <w:pStyle w:val="Default"/>
        <w:jc w:val="both"/>
        <w:rPr>
          <w:color w:val="auto"/>
          <w:sz w:val="20"/>
          <w:szCs w:val="20"/>
        </w:rPr>
      </w:pPr>
      <w:r w:rsidRPr="005A505B">
        <w:rPr>
          <w:color w:val="auto"/>
          <w:sz w:val="20"/>
          <w:szCs w:val="20"/>
        </w:rPr>
        <w:t xml:space="preserve">Emanating from the Strategic Plan are the four outcomes through which NHLS executes the Plan i.e. clinical effectiveness and efficiency, high-quality service, cost-effective services, and good governance. These are discussed further in the performance targets on page four and five below. </w:t>
      </w:r>
    </w:p>
    <w:p w:rsidR="00837A73" w:rsidRPr="005A505B" w:rsidRDefault="00837A73" w:rsidP="005A505B">
      <w:pPr>
        <w:pStyle w:val="Default"/>
        <w:jc w:val="both"/>
        <w:rPr>
          <w:color w:val="auto"/>
          <w:sz w:val="20"/>
          <w:szCs w:val="20"/>
        </w:rPr>
      </w:pPr>
    </w:p>
    <w:p w:rsidR="00837A73" w:rsidRPr="005A505B" w:rsidRDefault="00A54000" w:rsidP="005A505B">
      <w:pPr>
        <w:pStyle w:val="ListParagraph"/>
        <w:numPr>
          <w:ilvl w:val="2"/>
          <w:numId w:val="53"/>
        </w:numPr>
        <w:rPr>
          <w:rFonts w:cs="Arial"/>
          <w:color w:val="auto"/>
          <w:sz w:val="20"/>
          <w:szCs w:val="20"/>
        </w:rPr>
      </w:pPr>
      <w:r w:rsidRPr="005A505B">
        <w:rPr>
          <w:rFonts w:cs="Arial"/>
          <w:b/>
          <w:color w:val="auto"/>
          <w:sz w:val="20"/>
          <w:szCs w:val="20"/>
        </w:rPr>
        <w:t xml:space="preserve">Situational Analysis </w:t>
      </w:r>
    </w:p>
    <w:p w:rsidR="00837A73" w:rsidRPr="005A505B" w:rsidRDefault="00837A73" w:rsidP="005A505B">
      <w:pPr>
        <w:pStyle w:val="Default"/>
        <w:rPr>
          <w:b/>
          <w:bCs/>
          <w:iCs/>
          <w:color w:val="auto"/>
          <w:sz w:val="20"/>
          <w:szCs w:val="20"/>
        </w:rPr>
      </w:pPr>
    </w:p>
    <w:p w:rsidR="00837A73" w:rsidRPr="005A505B" w:rsidRDefault="00837A73" w:rsidP="005A505B">
      <w:pPr>
        <w:pStyle w:val="Default"/>
        <w:jc w:val="both"/>
        <w:rPr>
          <w:b/>
          <w:bCs/>
          <w:color w:val="auto"/>
          <w:sz w:val="20"/>
          <w:szCs w:val="20"/>
        </w:rPr>
      </w:pPr>
      <w:r w:rsidRPr="005A505B">
        <w:rPr>
          <w:bCs/>
          <w:iCs/>
          <w:color w:val="auto"/>
          <w:sz w:val="20"/>
          <w:szCs w:val="20"/>
        </w:rPr>
        <w:t xml:space="preserve">In its situational analysis, NHLS focuses on two concepts i.e. </w:t>
      </w:r>
      <w:r w:rsidRPr="005A505B">
        <w:rPr>
          <w:bCs/>
          <w:i/>
          <w:iCs/>
          <w:color w:val="auto"/>
          <w:sz w:val="20"/>
          <w:szCs w:val="20"/>
        </w:rPr>
        <w:t xml:space="preserve">external and internal environment analysis. </w:t>
      </w:r>
      <w:r w:rsidRPr="005A505B">
        <w:rPr>
          <w:bCs/>
          <w:color w:val="auto"/>
          <w:sz w:val="20"/>
          <w:szCs w:val="20"/>
        </w:rPr>
        <w:t xml:space="preserve">On external environment analysis, it underscores that health is underpinned on pathology services, which serve as a </w:t>
      </w:r>
      <w:r w:rsidRPr="005A505B">
        <w:rPr>
          <w:color w:val="auto"/>
          <w:sz w:val="20"/>
          <w:szCs w:val="20"/>
        </w:rPr>
        <w:t xml:space="preserve">bridge between science and medicine. Emphasis is further made on safeguarding laboratory service for its significance in the process of ensuring complete health for health users. In reaching this outcome, NHLS highlights investment in laboratory service/infrastructure as critical particularly for clinical liaison and advice to clinicians for patient management, as well as triage testing. For greater pathology service, NHLS supplements the current brick and mortar spread through mobile units to peripheral areas. </w:t>
      </w:r>
      <w:r w:rsidRPr="005A505B">
        <w:rPr>
          <w:bCs/>
          <w:i/>
          <w:iCs/>
          <w:color w:val="auto"/>
          <w:sz w:val="20"/>
          <w:szCs w:val="20"/>
        </w:rPr>
        <w:t>Internal environment analysis</w:t>
      </w:r>
      <w:r w:rsidRPr="005A505B">
        <w:rPr>
          <w:bCs/>
          <w:iCs/>
          <w:color w:val="auto"/>
          <w:sz w:val="20"/>
          <w:szCs w:val="20"/>
        </w:rPr>
        <w:t xml:space="preserve"> states that NHLS has presence of 233 laboratories in many towns and cities, where its laboratories are strategically housed at carefully identified public health facilities to optimise delivery of health services.</w:t>
      </w:r>
      <w:r w:rsidRPr="005A505B">
        <w:rPr>
          <w:b/>
          <w:bCs/>
          <w:color w:val="auto"/>
          <w:sz w:val="20"/>
          <w:szCs w:val="20"/>
        </w:rPr>
        <w:t xml:space="preserve"> </w:t>
      </w:r>
    </w:p>
    <w:p w:rsidR="00837A73" w:rsidRPr="005A505B" w:rsidRDefault="00837A73" w:rsidP="005A505B">
      <w:pPr>
        <w:pStyle w:val="Default"/>
        <w:jc w:val="both"/>
        <w:rPr>
          <w:b/>
          <w:bCs/>
          <w:color w:val="auto"/>
          <w:sz w:val="20"/>
          <w:szCs w:val="20"/>
        </w:rPr>
      </w:pPr>
    </w:p>
    <w:p w:rsidR="00837A73" w:rsidRPr="005A505B" w:rsidRDefault="00837A73" w:rsidP="005A505B">
      <w:pPr>
        <w:pStyle w:val="ListParagraph"/>
        <w:numPr>
          <w:ilvl w:val="3"/>
          <w:numId w:val="53"/>
        </w:numPr>
        <w:ind w:left="1170" w:hanging="810"/>
        <w:rPr>
          <w:rFonts w:cs="Arial"/>
          <w:color w:val="auto"/>
          <w:sz w:val="20"/>
          <w:szCs w:val="20"/>
        </w:rPr>
      </w:pPr>
      <w:r w:rsidRPr="005A505B">
        <w:rPr>
          <w:rFonts w:cs="Arial"/>
          <w:b/>
          <w:color w:val="auto"/>
          <w:sz w:val="20"/>
          <w:szCs w:val="20"/>
        </w:rPr>
        <w:t xml:space="preserve">SWOT analysis </w:t>
      </w:r>
    </w:p>
    <w:p w:rsidR="00837A73" w:rsidRPr="005A505B" w:rsidRDefault="00837A73" w:rsidP="005A505B">
      <w:pPr>
        <w:pStyle w:val="Default"/>
        <w:jc w:val="both"/>
        <w:rPr>
          <w:color w:val="auto"/>
          <w:sz w:val="20"/>
          <w:szCs w:val="20"/>
        </w:rPr>
      </w:pPr>
    </w:p>
    <w:p w:rsidR="00837A73" w:rsidRPr="005A505B" w:rsidRDefault="00837A73" w:rsidP="005A505B">
      <w:pPr>
        <w:pStyle w:val="Default"/>
        <w:jc w:val="both"/>
        <w:rPr>
          <w:color w:val="auto"/>
          <w:sz w:val="20"/>
          <w:szCs w:val="20"/>
        </w:rPr>
      </w:pPr>
      <w:r w:rsidRPr="005A505B">
        <w:rPr>
          <w:color w:val="auto"/>
          <w:sz w:val="20"/>
          <w:szCs w:val="20"/>
        </w:rPr>
        <w:t xml:space="preserve">NHLS conducts SWOT analysis prior commencement of the financial year to ascertain its strengths, weaknesses, opportunities and threats (SWOT). In essence, SWOT analysis is pursued to understand the company’s existing situation and environmental aspects. Of the four letters of SWOT i.e. </w:t>
      </w:r>
      <w:r w:rsidRPr="005A505B">
        <w:rPr>
          <w:i/>
          <w:color w:val="auto"/>
          <w:sz w:val="20"/>
          <w:szCs w:val="20"/>
        </w:rPr>
        <w:t xml:space="preserve">Weaknesses and Threats – NHLS presents a situation of being </w:t>
      </w:r>
      <w:r w:rsidRPr="005A505B">
        <w:rPr>
          <w:color w:val="auto"/>
          <w:sz w:val="20"/>
          <w:szCs w:val="20"/>
        </w:rPr>
        <w:t>overwhelmed by the magnitude of the identified points listed below.</w:t>
      </w:r>
    </w:p>
    <w:p w:rsidR="00837A73" w:rsidRPr="005A505B" w:rsidRDefault="00837A73" w:rsidP="005A505B">
      <w:pPr>
        <w:pStyle w:val="Default"/>
        <w:jc w:val="both"/>
        <w:rPr>
          <w:color w:val="auto"/>
          <w:sz w:val="20"/>
          <w:szCs w:val="20"/>
        </w:rPr>
      </w:pPr>
    </w:p>
    <w:p w:rsidR="00837A73" w:rsidRPr="005A505B" w:rsidRDefault="00837A73" w:rsidP="005A505B">
      <w:pPr>
        <w:pStyle w:val="Default"/>
        <w:jc w:val="both"/>
        <w:rPr>
          <w:b/>
          <w:i/>
          <w:color w:val="auto"/>
          <w:sz w:val="20"/>
          <w:szCs w:val="20"/>
        </w:rPr>
      </w:pPr>
      <w:r w:rsidRPr="005A505B">
        <w:rPr>
          <w:b/>
          <w:i/>
          <w:color w:val="auto"/>
          <w:sz w:val="20"/>
          <w:szCs w:val="20"/>
        </w:rPr>
        <w:t>Weaknesses</w:t>
      </w:r>
    </w:p>
    <w:p w:rsidR="00837A73" w:rsidRPr="005A505B" w:rsidRDefault="00837A73" w:rsidP="005A505B">
      <w:pPr>
        <w:pStyle w:val="Default"/>
        <w:numPr>
          <w:ilvl w:val="0"/>
          <w:numId w:val="73"/>
        </w:numPr>
        <w:jc w:val="both"/>
        <w:rPr>
          <w:color w:val="auto"/>
          <w:sz w:val="20"/>
          <w:szCs w:val="20"/>
        </w:rPr>
      </w:pPr>
      <w:r w:rsidRPr="005A505B">
        <w:rPr>
          <w:color w:val="auto"/>
          <w:sz w:val="20"/>
          <w:szCs w:val="20"/>
        </w:rPr>
        <w:t>Inadequate ICT infrastructure capacity;</w:t>
      </w:r>
    </w:p>
    <w:p w:rsidR="00837A73" w:rsidRPr="005A505B" w:rsidRDefault="00837A73" w:rsidP="005A505B">
      <w:pPr>
        <w:pStyle w:val="Default"/>
        <w:numPr>
          <w:ilvl w:val="0"/>
          <w:numId w:val="73"/>
        </w:numPr>
        <w:jc w:val="both"/>
        <w:rPr>
          <w:color w:val="auto"/>
          <w:sz w:val="20"/>
          <w:szCs w:val="20"/>
        </w:rPr>
      </w:pPr>
      <w:r w:rsidRPr="005A505B">
        <w:rPr>
          <w:color w:val="auto"/>
          <w:sz w:val="20"/>
          <w:szCs w:val="20"/>
        </w:rPr>
        <w:t>Inadequate supply chain management capacity;</w:t>
      </w:r>
    </w:p>
    <w:p w:rsidR="00837A73" w:rsidRPr="005A505B" w:rsidRDefault="00837A73" w:rsidP="005A505B">
      <w:pPr>
        <w:pStyle w:val="Default"/>
        <w:numPr>
          <w:ilvl w:val="0"/>
          <w:numId w:val="73"/>
        </w:numPr>
        <w:jc w:val="both"/>
        <w:rPr>
          <w:color w:val="auto"/>
          <w:sz w:val="20"/>
          <w:szCs w:val="20"/>
        </w:rPr>
      </w:pPr>
      <w:r w:rsidRPr="005A505B">
        <w:rPr>
          <w:color w:val="auto"/>
          <w:sz w:val="20"/>
          <w:szCs w:val="20"/>
        </w:rPr>
        <w:t>Inequitable distribution of critical and scarce skills.</w:t>
      </w:r>
    </w:p>
    <w:p w:rsidR="00837A73" w:rsidRPr="005A505B" w:rsidRDefault="00837A73" w:rsidP="005A505B">
      <w:pPr>
        <w:pStyle w:val="Default"/>
        <w:jc w:val="both"/>
        <w:rPr>
          <w:color w:val="auto"/>
          <w:sz w:val="20"/>
          <w:szCs w:val="20"/>
        </w:rPr>
      </w:pPr>
    </w:p>
    <w:p w:rsidR="00837A73" w:rsidRPr="005A505B" w:rsidRDefault="00837A73" w:rsidP="005A505B">
      <w:pPr>
        <w:pStyle w:val="Default"/>
        <w:jc w:val="both"/>
        <w:rPr>
          <w:b/>
          <w:i/>
          <w:color w:val="auto"/>
          <w:sz w:val="20"/>
          <w:szCs w:val="20"/>
        </w:rPr>
      </w:pPr>
      <w:r w:rsidRPr="005A505B">
        <w:rPr>
          <w:b/>
          <w:i/>
          <w:color w:val="auto"/>
          <w:sz w:val="20"/>
          <w:szCs w:val="20"/>
        </w:rPr>
        <w:t>Threats</w:t>
      </w:r>
    </w:p>
    <w:p w:rsidR="00837A73" w:rsidRPr="005A505B" w:rsidRDefault="00837A73" w:rsidP="005A505B">
      <w:pPr>
        <w:pStyle w:val="Default"/>
        <w:numPr>
          <w:ilvl w:val="0"/>
          <w:numId w:val="73"/>
        </w:numPr>
        <w:jc w:val="both"/>
        <w:rPr>
          <w:color w:val="auto"/>
          <w:sz w:val="20"/>
          <w:szCs w:val="20"/>
        </w:rPr>
      </w:pPr>
      <w:r w:rsidRPr="005A505B">
        <w:rPr>
          <w:color w:val="auto"/>
          <w:sz w:val="20"/>
          <w:szCs w:val="20"/>
        </w:rPr>
        <w:t>Energy and water challenges;</w:t>
      </w:r>
    </w:p>
    <w:p w:rsidR="00837A73" w:rsidRPr="005A505B" w:rsidRDefault="00837A73" w:rsidP="005A505B">
      <w:pPr>
        <w:pStyle w:val="Default"/>
        <w:numPr>
          <w:ilvl w:val="0"/>
          <w:numId w:val="73"/>
        </w:numPr>
        <w:jc w:val="both"/>
        <w:rPr>
          <w:color w:val="auto"/>
          <w:sz w:val="20"/>
          <w:szCs w:val="20"/>
        </w:rPr>
      </w:pPr>
      <w:r w:rsidRPr="005A505B">
        <w:rPr>
          <w:color w:val="auto"/>
          <w:sz w:val="20"/>
          <w:szCs w:val="20"/>
        </w:rPr>
        <w:t>Operational costs exceed tariff increases;</w:t>
      </w:r>
    </w:p>
    <w:p w:rsidR="00837A73" w:rsidRPr="005A505B" w:rsidRDefault="00837A73" w:rsidP="005A505B">
      <w:pPr>
        <w:pStyle w:val="Default"/>
        <w:numPr>
          <w:ilvl w:val="0"/>
          <w:numId w:val="73"/>
        </w:numPr>
        <w:jc w:val="both"/>
        <w:rPr>
          <w:color w:val="auto"/>
          <w:sz w:val="20"/>
          <w:szCs w:val="20"/>
        </w:rPr>
      </w:pPr>
      <w:r w:rsidRPr="005A505B">
        <w:rPr>
          <w:color w:val="auto"/>
          <w:sz w:val="20"/>
          <w:szCs w:val="20"/>
        </w:rPr>
        <w:t>Insufficient throughput from the training platform;</w:t>
      </w:r>
    </w:p>
    <w:p w:rsidR="00837A73" w:rsidRPr="005A505B" w:rsidRDefault="00837A73" w:rsidP="005A505B">
      <w:pPr>
        <w:pStyle w:val="Default"/>
        <w:numPr>
          <w:ilvl w:val="0"/>
          <w:numId w:val="73"/>
        </w:numPr>
        <w:jc w:val="both"/>
        <w:rPr>
          <w:color w:val="auto"/>
          <w:sz w:val="20"/>
          <w:szCs w:val="20"/>
        </w:rPr>
      </w:pPr>
      <w:r w:rsidRPr="005A505B">
        <w:rPr>
          <w:color w:val="auto"/>
          <w:sz w:val="20"/>
          <w:szCs w:val="20"/>
        </w:rPr>
        <w:t>Challenge regarding the retention of professional staff;</w:t>
      </w:r>
    </w:p>
    <w:p w:rsidR="00837A73" w:rsidRPr="005A505B" w:rsidRDefault="00837A73" w:rsidP="005A505B">
      <w:pPr>
        <w:pStyle w:val="Default"/>
        <w:numPr>
          <w:ilvl w:val="0"/>
          <w:numId w:val="73"/>
        </w:numPr>
        <w:jc w:val="both"/>
        <w:rPr>
          <w:color w:val="auto"/>
          <w:sz w:val="20"/>
          <w:szCs w:val="20"/>
        </w:rPr>
      </w:pPr>
      <w:r w:rsidRPr="005A505B">
        <w:rPr>
          <w:color w:val="auto"/>
          <w:sz w:val="20"/>
          <w:szCs w:val="20"/>
        </w:rPr>
        <w:t>Increased competition with the implementation of the NHI.</w:t>
      </w:r>
    </w:p>
    <w:p w:rsidR="00837A73" w:rsidRPr="005A505B" w:rsidRDefault="00837A73" w:rsidP="005A505B">
      <w:pPr>
        <w:pStyle w:val="Default"/>
        <w:jc w:val="both"/>
        <w:rPr>
          <w:color w:val="auto"/>
          <w:sz w:val="20"/>
          <w:szCs w:val="20"/>
        </w:rPr>
      </w:pPr>
    </w:p>
    <w:p w:rsidR="00837A73" w:rsidRPr="005A505B" w:rsidRDefault="00837A73" w:rsidP="005A505B">
      <w:pPr>
        <w:pStyle w:val="Default"/>
        <w:jc w:val="both"/>
        <w:rPr>
          <w:color w:val="auto"/>
          <w:sz w:val="20"/>
          <w:szCs w:val="20"/>
          <w:highlight w:val="yellow"/>
        </w:rPr>
      </w:pPr>
      <w:r w:rsidRPr="005A505B">
        <w:rPr>
          <w:color w:val="auto"/>
          <w:sz w:val="20"/>
          <w:szCs w:val="20"/>
        </w:rPr>
        <w:t>The aforementioned presents a picture that NHLS faces a serious challenge that is difficult to overcome. However, there seems to be no clear-cut response plan to deal with the identified Threats and Weaknesses. Given the extent of identified challenges, it is essential for the Committee to be apprised of the entity’s response plan to address these challenges.</w:t>
      </w:r>
    </w:p>
    <w:p w:rsidR="00837A73" w:rsidRPr="005A505B" w:rsidRDefault="00837A73" w:rsidP="005A505B">
      <w:pPr>
        <w:pStyle w:val="Default"/>
        <w:jc w:val="both"/>
        <w:rPr>
          <w:color w:val="auto"/>
          <w:sz w:val="20"/>
          <w:szCs w:val="20"/>
          <w:highlight w:val="yellow"/>
        </w:rPr>
      </w:pPr>
    </w:p>
    <w:p w:rsidR="003A703E" w:rsidRPr="005A505B" w:rsidRDefault="003A703E" w:rsidP="005A505B">
      <w:pPr>
        <w:pStyle w:val="Default"/>
        <w:jc w:val="both"/>
        <w:rPr>
          <w:color w:val="auto"/>
          <w:sz w:val="20"/>
          <w:szCs w:val="20"/>
          <w:highlight w:val="yellow"/>
        </w:rPr>
      </w:pPr>
    </w:p>
    <w:p w:rsidR="00837A73" w:rsidRPr="005A505B" w:rsidRDefault="00837A73" w:rsidP="005A505B">
      <w:pPr>
        <w:pStyle w:val="ListParagraph"/>
        <w:numPr>
          <w:ilvl w:val="3"/>
          <w:numId w:val="53"/>
        </w:numPr>
        <w:ind w:left="1170" w:hanging="810"/>
        <w:rPr>
          <w:rFonts w:cs="Arial"/>
          <w:color w:val="auto"/>
          <w:sz w:val="20"/>
          <w:szCs w:val="20"/>
        </w:rPr>
      </w:pPr>
      <w:r w:rsidRPr="005A505B">
        <w:rPr>
          <w:rFonts w:cs="Arial"/>
          <w:b/>
          <w:color w:val="auto"/>
          <w:sz w:val="20"/>
          <w:szCs w:val="20"/>
        </w:rPr>
        <w:t>Forensic Chemistry Laboratory</w:t>
      </w:r>
    </w:p>
    <w:p w:rsidR="00837A73" w:rsidRPr="005A505B" w:rsidRDefault="00837A73" w:rsidP="005A505B">
      <w:pPr>
        <w:pStyle w:val="Default"/>
        <w:jc w:val="both"/>
        <w:rPr>
          <w:color w:val="auto"/>
          <w:sz w:val="20"/>
          <w:szCs w:val="20"/>
        </w:rPr>
      </w:pPr>
    </w:p>
    <w:p w:rsidR="00837A73" w:rsidRPr="005A505B" w:rsidRDefault="00837A73" w:rsidP="005A505B">
      <w:pPr>
        <w:pStyle w:val="Default"/>
        <w:jc w:val="both"/>
        <w:rPr>
          <w:color w:val="auto"/>
          <w:sz w:val="20"/>
          <w:szCs w:val="20"/>
        </w:rPr>
      </w:pPr>
      <w:r w:rsidRPr="005A505B">
        <w:rPr>
          <w:color w:val="auto"/>
          <w:sz w:val="20"/>
          <w:szCs w:val="20"/>
        </w:rPr>
        <w:t>In October 2021, the Forensic Chemistry Laboratory (FCL) was integrated within programme 1: Laboratory Service. With the integration, NHLS plans to improve efficiencies through modernisation of equipment and infrastructure. However, the transfer poses for the NHLS a serious financial burden for various aspects such as:</w:t>
      </w:r>
    </w:p>
    <w:p w:rsidR="00837A73" w:rsidRPr="005A505B" w:rsidRDefault="00837A73" w:rsidP="005A505B">
      <w:pPr>
        <w:pStyle w:val="Default"/>
        <w:jc w:val="both"/>
        <w:rPr>
          <w:color w:val="auto"/>
          <w:sz w:val="20"/>
          <w:szCs w:val="20"/>
        </w:rPr>
      </w:pPr>
    </w:p>
    <w:p w:rsidR="00837A73" w:rsidRPr="005A505B" w:rsidRDefault="00837A73" w:rsidP="005A505B">
      <w:pPr>
        <w:pStyle w:val="Default"/>
        <w:numPr>
          <w:ilvl w:val="0"/>
          <w:numId w:val="77"/>
        </w:numPr>
        <w:jc w:val="both"/>
        <w:rPr>
          <w:color w:val="auto"/>
          <w:sz w:val="20"/>
          <w:szCs w:val="20"/>
        </w:rPr>
      </w:pPr>
      <w:r w:rsidRPr="005A505B">
        <w:rPr>
          <w:color w:val="auto"/>
          <w:sz w:val="20"/>
          <w:szCs w:val="20"/>
        </w:rPr>
        <w:t>The operational costs;</w:t>
      </w:r>
    </w:p>
    <w:p w:rsidR="00837A73" w:rsidRPr="005A505B" w:rsidRDefault="00837A73" w:rsidP="005A505B">
      <w:pPr>
        <w:pStyle w:val="Default"/>
        <w:numPr>
          <w:ilvl w:val="0"/>
          <w:numId w:val="77"/>
        </w:numPr>
        <w:jc w:val="both"/>
        <w:rPr>
          <w:color w:val="auto"/>
          <w:sz w:val="20"/>
          <w:szCs w:val="20"/>
        </w:rPr>
      </w:pPr>
      <w:r w:rsidRPr="005A505B">
        <w:rPr>
          <w:color w:val="auto"/>
          <w:sz w:val="20"/>
          <w:szCs w:val="20"/>
        </w:rPr>
        <w:t xml:space="preserve">The non-transfer of budget; </w:t>
      </w:r>
    </w:p>
    <w:p w:rsidR="00837A73" w:rsidRPr="005A505B" w:rsidRDefault="00837A73" w:rsidP="005A505B">
      <w:pPr>
        <w:pStyle w:val="ListParagraph"/>
        <w:numPr>
          <w:ilvl w:val="0"/>
          <w:numId w:val="77"/>
        </w:numPr>
        <w:jc w:val="both"/>
        <w:rPr>
          <w:rFonts w:cs="Arial"/>
          <w:color w:val="auto"/>
          <w:spacing w:val="0"/>
          <w:sz w:val="20"/>
          <w:szCs w:val="20"/>
          <w:lang w:val="en-ZA" w:eastAsia="en-ZA"/>
        </w:rPr>
      </w:pPr>
      <w:r w:rsidRPr="005A505B">
        <w:rPr>
          <w:rFonts w:cs="Arial"/>
          <w:color w:val="auto"/>
          <w:spacing w:val="0"/>
          <w:sz w:val="20"/>
          <w:szCs w:val="20"/>
          <w:lang w:val="en-ZA" w:eastAsia="en-ZA"/>
        </w:rPr>
        <w:t>The repurposing of FCL; and</w:t>
      </w:r>
    </w:p>
    <w:p w:rsidR="00837A73" w:rsidRPr="005A505B" w:rsidRDefault="00837A73" w:rsidP="005A505B">
      <w:pPr>
        <w:pStyle w:val="Default"/>
        <w:numPr>
          <w:ilvl w:val="0"/>
          <w:numId w:val="77"/>
        </w:numPr>
        <w:jc w:val="both"/>
        <w:rPr>
          <w:color w:val="auto"/>
          <w:sz w:val="20"/>
          <w:szCs w:val="20"/>
        </w:rPr>
      </w:pPr>
      <w:r w:rsidRPr="005A505B">
        <w:rPr>
          <w:color w:val="auto"/>
          <w:sz w:val="20"/>
          <w:szCs w:val="20"/>
        </w:rPr>
        <w:t>The state of infrastructure at FCL.</w:t>
      </w:r>
    </w:p>
    <w:p w:rsidR="00837A73" w:rsidRPr="005A505B" w:rsidRDefault="00837A73" w:rsidP="005A505B">
      <w:pPr>
        <w:rPr>
          <w:rFonts w:cs="Arial"/>
          <w:color w:val="auto"/>
          <w:spacing w:val="0"/>
          <w:sz w:val="20"/>
          <w:szCs w:val="20"/>
          <w:lang w:val="en-ZA" w:eastAsia="en-ZA"/>
        </w:rPr>
      </w:pPr>
    </w:p>
    <w:p w:rsidR="00837A73" w:rsidRPr="005A505B" w:rsidRDefault="00837A73" w:rsidP="005A505B">
      <w:pPr>
        <w:pStyle w:val="ListParagraph"/>
        <w:numPr>
          <w:ilvl w:val="3"/>
          <w:numId w:val="53"/>
        </w:numPr>
        <w:ind w:left="1170" w:hanging="810"/>
        <w:rPr>
          <w:rFonts w:cs="Arial"/>
          <w:color w:val="auto"/>
          <w:sz w:val="20"/>
          <w:szCs w:val="20"/>
        </w:rPr>
      </w:pPr>
      <w:r w:rsidRPr="005A505B">
        <w:rPr>
          <w:rFonts w:cs="Arial"/>
          <w:b/>
          <w:color w:val="auto"/>
          <w:sz w:val="20"/>
          <w:szCs w:val="20"/>
        </w:rPr>
        <w:t xml:space="preserve">National Public Health Institute of South Africa </w:t>
      </w:r>
    </w:p>
    <w:p w:rsidR="00837A73" w:rsidRPr="005A505B" w:rsidRDefault="00837A73" w:rsidP="005A505B">
      <w:pPr>
        <w:pStyle w:val="Default"/>
        <w:rPr>
          <w:color w:val="auto"/>
          <w:sz w:val="20"/>
          <w:szCs w:val="20"/>
          <w:highlight w:val="yellow"/>
        </w:rPr>
      </w:pPr>
    </w:p>
    <w:p w:rsidR="00837A73" w:rsidRPr="005A505B" w:rsidRDefault="00837A73" w:rsidP="005A505B">
      <w:pPr>
        <w:pStyle w:val="Default"/>
        <w:jc w:val="both"/>
        <w:rPr>
          <w:color w:val="auto"/>
          <w:sz w:val="20"/>
          <w:szCs w:val="20"/>
        </w:rPr>
      </w:pPr>
      <w:r w:rsidRPr="005A505B">
        <w:rPr>
          <w:color w:val="auto"/>
          <w:sz w:val="20"/>
          <w:szCs w:val="20"/>
        </w:rPr>
        <w:t>On 5 August 2020, the NAPHISA Bill was assented to by the President, which establishes and adds another entity to the NDOH. Currently, Regulations are being finalised prior to the proclamation of the Act. NHLS underlines that NAPHISA will impact on its functions and roles as it will migrate the following divisions:</w:t>
      </w:r>
    </w:p>
    <w:p w:rsidR="00837A73" w:rsidRPr="005A505B" w:rsidRDefault="00837A73" w:rsidP="005A505B">
      <w:pPr>
        <w:pStyle w:val="Default"/>
        <w:jc w:val="both"/>
        <w:rPr>
          <w:color w:val="auto"/>
          <w:sz w:val="20"/>
          <w:szCs w:val="20"/>
        </w:rPr>
      </w:pPr>
      <w:r w:rsidRPr="005A505B">
        <w:rPr>
          <w:color w:val="auto"/>
          <w:sz w:val="20"/>
          <w:szCs w:val="20"/>
        </w:rPr>
        <w:t xml:space="preserve"> </w:t>
      </w:r>
    </w:p>
    <w:p w:rsidR="00837A73" w:rsidRPr="005A505B" w:rsidRDefault="00837A73" w:rsidP="005A505B">
      <w:pPr>
        <w:pStyle w:val="Default"/>
        <w:numPr>
          <w:ilvl w:val="0"/>
          <w:numId w:val="74"/>
        </w:numPr>
        <w:ind w:left="714" w:hanging="357"/>
        <w:jc w:val="both"/>
        <w:rPr>
          <w:color w:val="auto"/>
          <w:sz w:val="20"/>
          <w:szCs w:val="20"/>
        </w:rPr>
      </w:pPr>
      <w:r w:rsidRPr="005A505B">
        <w:rPr>
          <w:color w:val="auto"/>
          <w:sz w:val="20"/>
          <w:szCs w:val="20"/>
        </w:rPr>
        <w:t xml:space="preserve">Occupational health; </w:t>
      </w:r>
    </w:p>
    <w:p w:rsidR="00837A73" w:rsidRPr="005A505B" w:rsidRDefault="00837A73" w:rsidP="005A505B">
      <w:pPr>
        <w:pStyle w:val="Default"/>
        <w:numPr>
          <w:ilvl w:val="0"/>
          <w:numId w:val="74"/>
        </w:numPr>
        <w:ind w:left="714" w:hanging="357"/>
        <w:jc w:val="both"/>
        <w:rPr>
          <w:color w:val="auto"/>
          <w:sz w:val="20"/>
          <w:szCs w:val="20"/>
        </w:rPr>
      </w:pPr>
      <w:r w:rsidRPr="005A505B">
        <w:rPr>
          <w:color w:val="auto"/>
          <w:sz w:val="20"/>
          <w:szCs w:val="20"/>
        </w:rPr>
        <w:t xml:space="preserve">Cancer surveillance; </w:t>
      </w:r>
    </w:p>
    <w:p w:rsidR="00837A73" w:rsidRPr="005A505B" w:rsidRDefault="00837A73" w:rsidP="005A505B">
      <w:pPr>
        <w:pStyle w:val="Default"/>
        <w:numPr>
          <w:ilvl w:val="0"/>
          <w:numId w:val="74"/>
        </w:numPr>
        <w:ind w:left="714" w:hanging="357"/>
        <w:jc w:val="both"/>
        <w:rPr>
          <w:color w:val="auto"/>
          <w:sz w:val="20"/>
          <w:szCs w:val="20"/>
        </w:rPr>
      </w:pPr>
      <w:r w:rsidRPr="005A505B">
        <w:rPr>
          <w:color w:val="auto"/>
          <w:sz w:val="20"/>
          <w:szCs w:val="20"/>
        </w:rPr>
        <w:t xml:space="preserve">Environmental health; </w:t>
      </w:r>
    </w:p>
    <w:p w:rsidR="00837A73" w:rsidRPr="005A505B" w:rsidRDefault="00837A73" w:rsidP="005A505B">
      <w:pPr>
        <w:pStyle w:val="Default"/>
        <w:numPr>
          <w:ilvl w:val="0"/>
          <w:numId w:val="74"/>
        </w:numPr>
        <w:ind w:left="714" w:hanging="357"/>
        <w:jc w:val="both"/>
        <w:rPr>
          <w:color w:val="auto"/>
          <w:sz w:val="20"/>
          <w:szCs w:val="20"/>
        </w:rPr>
      </w:pPr>
      <w:r w:rsidRPr="005A505B">
        <w:rPr>
          <w:color w:val="auto"/>
          <w:sz w:val="20"/>
          <w:szCs w:val="20"/>
        </w:rPr>
        <w:t xml:space="preserve">Communicable diseases; </w:t>
      </w:r>
    </w:p>
    <w:p w:rsidR="00837A73" w:rsidRPr="005A505B" w:rsidRDefault="00837A73" w:rsidP="005A505B">
      <w:pPr>
        <w:pStyle w:val="ListParagraph"/>
        <w:numPr>
          <w:ilvl w:val="0"/>
          <w:numId w:val="74"/>
        </w:numPr>
        <w:ind w:left="714" w:hanging="357"/>
        <w:jc w:val="both"/>
        <w:rPr>
          <w:rFonts w:cs="Arial"/>
          <w:color w:val="auto"/>
          <w:spacing w:val="0"/>
          <w:sz w:val="20"/>
          <w:szCs w:val="20"/>
          <w:lang w:val="en-ZA" w:eastAsia="en-ZA"/>
        </w:rPr>
      </w:pPr>
      <w:r w:rsidRPr="005A505B">
        <w:rPr>
          <w:rFonts w:cs="Arial"/>
          <w:color w:val="auto"/>
          <w:spacing w:val="0"/>
          <w:sz w:val="20"/>
          <w:szCs w:val="20"/>
          <w:lang w:val="en-ZA" w:eastAsia="en-ZA"/>
        </w:rPr>
        <w:t>Non-communicable diseases;</w:t>
      </w:r>
    </w:p>
    <w:p w:rsidR="00837A73" w:rsidRPr="005A505B" w:rsidRDefault="00837A73" w:rsidP="005A505B">
      <w:pPr>
        <w:pStyle w:val="Default"/>
        <w:numPr>
          <w:ilvl w:val="0"/>
          <w:numId w:val="74"/>
        </w:numPr>
        <w:ind w:left="714" w:hanging="357"/>
        <w:jc w:val="both"/>
        <w:rPr>
          <w:color w:val="auto"/>
          <w:sz w:val="20"/>
          <w:szCs w:val="20"/>
        </w:rPr>
      </w:pPr>
      <w:r w:rsidRPr="005A505B">
        <w:rPr>
          <w:color w:val="auto"/>
          <w:sz w:val="20"/>
          <w:szCs w:val="20"/>
        </w:rPr>
        <w:t>Injury and violence prevention.</w:t>
      </w:r>
    </w:p>
    <w:p w:rsidR="00837A73" w:rsidRPr="005A505B" w:rsidRDefault="00837A73" w:rsidP="005A505B">
      <w:pPr>
        <w:pStyle w:val="Default"/>
        <w:jc w:val="both"/>
        <w:rPr>
          <w:color w:val="auto"/>
          <w:sz w:val="20"/>
          <w:szCs w:val="20"/>
          <w:highlight w:val="yellow"/>
        </w:rPr>
      </w:pPr>
    </w:p>
    <w:p w:rsidR="00837A73" w:rsidRPr="005A505B" w:rsidRDefault="00A54000" w:rsidP="005A505B">
      <w:pPr>
        <w:pStyle w:val="ListParagraph"/>
        <w:numPr>
          <w:ilvl w:val="2"/>
          <w:numId w:val="53"/>
        </w:numPr>
        <w:rPr>
          <w:rFonts w:cs="Arial"/>
          <w:color w:val="auto"/>
          <w:sz w:val="20"/>
          <w:szCs w:val="20"/>
        </w:rPr>
      </w:pPr>
      <w:r w:rsidRPr="005A505B">
        <w:rPr>
          <w:rFonts w:cs="Arial"/>
          <w:b/>
          <w:color w:val="auto"/>
          <w:sz w:val="20"/>
          <w:szCs w:val="20"/>
        </w:rPr>
        <w:t xml:space="preserve">Performance </w:t>
      </w:r>
      <w:r w:rsidR="0024631B" w:rsidRPr="005A505B">
        <w:rPr>
          <w:rFonts w:cs="Arial"/>
          <w:b/>
          <w:color w:val="auto"/>
          <w:sz w:val="20"/>
          <w:szCs w:val="20"/>
        </w:rPr>
        <w:t>Information</w:t>
      </w:r>
      <w:r w:rsidRPr="005A505B">
        <w:rPr>
          <w:rFonts w:cs="Arial"/>
          <w:b/>
          <w:color w:val="auto"/>
          <w:sz w:val="20"/>
          <w:szCs w:val="20"/>
        </w:rPr>
        <w:t xml:space="preserve"> </w:t>
      </w:r>
      <w:r w:rsidR="00CF2C38" w:rsidRPr="005A505B">
        <w:rPr>
          <w:rFonts w:cs="Arial"/>
          <w:b/>
          <w:color w:val="auto"/>
          <w:sz w:val="20"/>
          <w:szCs w:val="20"/>
        </w:rPr>
        <w:t>for 2022/23</w:t>
      </w:r>
    </w:p>
    <w:p w:rsidR="00837A73" w:rsidRPr="005A505B" w:rsidRDefault="00837A73" w:rsidP="005A505B">
      <w:pPr>
        <w:pStyle w:val="Default"/>
        <w:rPr>
          <w:color w:val="auto"/>
          <w:sz w:val="20"/>
          <w:szCs w:val="20"/>
        </w:rPr>
      </w:pPr>
    </w:p>
    <w:p w:rsidR="00837A73" w:rsidRPr="005A505B" w:rsidRDefault="00837A73" w:rsidP="005A505B">
      <w:pPr>
        <w:pStyle w:val="Default"/>
        <w:jc w:val="both"/>
        <w:rPr>
          <w:color w:val="auto"/>
          <w:sz w:val="20"/>
          <w:szCs w:val="20"/>
        </w:rPr>
      </w:pPr>
      <w:r w:rsidRPr="005A505B">
        <w:rPr>
          <w:color w:val="auto"/>
          <w:sz w:val="20"/>
          <w:szCs w:val="20"/>
        </w:rPr>
        <w:t>The NHLS has six programmes through which the APP is executed. These are: Laboratory Service; Academic Affairs, Research and Quality Assurance (AARQA); Surveillance of Communicable Diseases; Occupational and Environmental Health and Safety; National Institute for Occupational Health (NIOH) and Administration. Below are a few selected output indicators, outcomes and the estimated performance (targets) for the current fiscal year 2022/23:</w:t>
      </w:r>
    </w:p>
    <w:p w:rsidR="00837A73" w:rsidRPr="005A505B" w:rsidRDefault="00837A73" w:rsidP="005A505B">
      <w:pPr>
        <w:pStyle w:val="Default"/>
        <w:jc w:val="both"/>
        <w:rPr>
          <w:color w:val="auto"/>
          <w:sz w:val="20"/>
          <w:szCs w:val="20"/>
        </w:rPr>
      </w:pPr>
    </w:p>
    <w:p w:rsidR="00837A73" w:rsidRPr="005A505B" w:rsidRDefault="00837A73" w:rsidP="005A505B">
      <w:pPr>
        <w:pStyle w:val="Default"/>
        <w:jc w:val="both"/>
        <w:rPr>
          <w:b/>
          <w:color w:val="auto"/>
          <w:sz w:val="20"/>
          <w:szCs w:val="20"/>
        </w:rPr>
      </w:pPr>
      <w:r w:rsidRPr="005A505B">
        <w:rPr>
          <w:b/>
          <w:color w:val="auto"/>
          <w:sz w:val="20"/>
          <w:szCs w:val="20"/>
        </w:rPr>
        <w:t xml:space="preserve">Table </w:t>
      </w:r>
      <w:r w:rsidR="0024631B" w:rsidRPr="005A505B">
        <w:rPr>
          <w:b/>
          <w:color w:val="auto"/>
          <w:sz w:val="20"/>
          <w:szCs w:val="20"/>
        </w:rPr>
        <w:t>10</w:t>
      </w:r>
      <w:r w:rsidRPr="005A505B">
        <w:rPr>
          <w:b/>
          <w:color w:val="auto"/>
          <w:sz w:val="20"/>
          <w:szCs w:val="20"/>
        </w:rPr>
        <w:t>: Performance indicators 2022/23</w:t>
      </w:r>
    </w:p>
    <w:tbl>
      <w:tblPr>
        <w:tblStyle w:val="TableGrid"/>
        <w:tblW w:w="0" w:type="auto"/>
        <w:tblLook w:val="04A0"/>
      </w:tblPr>
      <w:tblGrid>
        <w:gridCol w:w="2442"/>
        <w:gridCol w:w="2168"/>
        <w:gridCol w:w="2456"/>
        <w:gridCol w:w="2176"/>
      </w:tblGrid>
      <w:tr w:rsidR="00510F2C" w:rsidRPr="005A505B" w:rsidTr="0024631B">
        <w:tc>
          <w:tcPr>
            <w:tcW w:w="2547" w:type="dxa"/>
            <w:shd w:val="clear" w:color="auto" w:fill="DAEEF3" w:themeFill="accent5" w:themeFillTint="33"/>
          </w:tcPr>
          <w:p w:rsidR="00837A73" w:rsidRPr="005A505B" w:rsidRDefault="00837A73" w:rsidP="005A505B">
            <w:pPr>
              <w:pStyle w:val="Default"/>
              <w:jc w:val="both"/>
              <w:rPr>
                <w:b/>
                <w:color w:val="auto"/>
                <w:sz w:val="20"/>
                <w:szCs w:val="20"/>
              </w:rPr>
            </w:pPr>
            <w:r w:rsidRPr="005A505B">
              <w:rPr>
                <w:b/>
                <w:color w:val="auto"/>
                <w:sz w:val="20"/>
                <w:szCs w:val="20"/>
              </w:rPr>
              <w:t xml:space="preserve">Outcome </w:t>
            </w:r>
          </w:p>
        </w:tc>
        <w:tc>
          <w:tcPr>
            <w:tcW w:w="2267" w:type="dxa"/>
            <w:shd w:val="clear" w:color="auto" w:fill="DAEEF3" w:themeFill="accent5" w:themeFillTint="33"/>
          </w:tcPr>
          <w:p w:rsidR="00837A73" w:rsidRPr="005A505B" w:rsidRDefault="00837A73" w:rsidP="005A505B">
            <w:pPr>
              <w:pStyle w:val="Default"/>
              <w:jc w:val="both"/>
              <w:rPr>
                <w:b/>
                <w:color w:val="auto"/>
                <w:sz w:val="20"/>
                <w:szCs w:val="20"/>
              </w:rPr>
            </w:pPr>
            <w:r w:rsidRPr="005A505B">
              <w:rPr>
                <w:b/>
                <w:color w:val="auto"/>
                <w:sz w:val="20"/>
                <w:szCs w:val="20"/>
              </w:rPr>
              <w:t>Output Indicator</w:t>
            </w:r>
          </w:p>
        </w:tc>
        <w:tc>
          <w:tcPr>
            <w:tcW w:w="2552" w:type="dxa"/>
            <w:shd w:val="clear" w:color="auto" w:fill="DAEEF3" w:themeFill="accent5" w:themeFillTint="33"/>
          </w:tcPr>
          <w:p w:rsidR="00837A73" w:rsidRPr="005A505B" w:rsidRDefault="00837A73" w:rsidP="005A505B">
            <w:pPr>
              <w:pStyle w:val="Default"/>
              <w:jc w:val="both"/>
              <w:rPr>
                <w:b/>
                <w:color w:val="auto"/>
                <w:sz w:val="20"/>
                <w:szCs w:val="20"/>
              </w:rPr>
            </w:pPr>
            <w:r w:rsidRPr="005A505B">
              <w:rPr>
                <w:b/>
                <w:color w:val="auto"/>
                <w:sz w:val="20"/>
                <w:szCs w:val="20"/>
              </w:rPr>
              <w:t>Estimated Performance for 2022/23 (Targets)</w:t>
            </w:r>
          </w:p>
          <w:p w:rsidR="00837A73" w:rsidRPr="005A505B" w:rsidRDefault="00837A73" w:rsidP="005A505B">
            <w:pPr>
              <w:pStyle w:val="Default"/>
              <w:jc w:val="both"/>
              <w:rPr>
                <w:b/>
                <w:color w:val="auto"/>
                <w:sz w:val="20"/>
                <w:szCs w:val="20"/>
              </w:rPr>
            </w:pPr>
          </w:p>
        </w:tc>
        <w:tc>
          <w:tcPr>
            <w:tcW w:w="2262" w:type="dxa"/>
            <w:shd w:val="clear" w:color="auto" w:fill="DAEEF3" w:themeFill="accent5" w:themeFillTint="33"/>
          </w:tcPr>
          <w:p w:rsidR="00837A73" w:rsidRPr="005A505B" w:rsidRDefault="00837A73" w:rsidP="005A505B">
            <w:pPr>
              <w:pStyle w:val="Default"/>
              <w:jc w:val="center"/>
              <w:rPr>
                <w:b/>
                <w:color w:val="auto"/>
                <w:sz w:val="20"/>
                <w:szCs w:val="20"/>
              </w:rPr>
            </w:pPr>
            <w:r w:rsidRPr="005A505B">
              <w:rPr>
                <w:b/>
                <w:color w:val="auto"/>
                <w:sz w:val="20"/>
                <w:szCs w:val="20"/>
              </w:rPr>
              <w:t>Observation</w:t>
            </w:r>
          </w:p>
        </w:tc>
      </w:tr>
      <w:tr w:rsidR="00510F2C" w:rsidRPr="005A505B" w:rsidTr="0024631B">
        <w:tc>
          <w:tcPr>
            <w:tcW w:w="2547" w:type="dxa"/>
            <w:vMerge w:val="restart"/>
            <w:shd w:val="clear" w:color="auto" w:fill="auto"/>
          </w:tcPr>
          <w:p w:rsidR="00837A73" w:rsidRPr="005A505B" w:rsidRDefault="00837A73" w:rsidP="005A505B">
            <w:pPr>
              <w:pStyle w:val="Default"/>
              <w:rPr>
                <w:color w:val="auto"/>
                <w:sz w:val="20"/>
                <w:szCs w:val="20"/>
              </w:rPr>
            </w:pPr>
            <w:r w:rsidRPr="005A505B">
              <w:rPr>
                <w:color w:val="auto"/>
                <w:sz w:val="20"/>
                <w:szCs w:val="20"/>
              </w:rPr>
              <w:t xml:space="preserve">Clinical Effectiveness and efficiency </w:t>
            </w:r>
          </w:p>
          <w:p w:rsidR="00837A73" w:rsidRPr="005A505B" w:rsidRDefault="00837A73" w:rsidP="005A505B">
            <w:pPr>
              <w:pStyle w:val="Default"/>
              <w:rPr>
                <w:color w:val="auto"/>
                <w:sz w:val="20"/>
                <w:szCs w:val="20"/>
              </w:rPr>
            </w:pPr>
          </w:p>
        </w:tc>
        <w:tc>
          <w:tcPr>
            <w:tcW w:w="2267" w:type="dxa"/>
            <w:shd w:val="clear" w:color="auto" w:fill="auto"/>
          </w:tcPr>
          <w:p w:rsidR="00837A73" w:rsidRPr="005A505B" w:rsidRDefault="00837A73" w:rsidP="005A505B">
            <w:pPr>
              <w:pStyle w:val="Default"/>
              <w:rPr>
                <w:color w:val="auto"/>
                <w:sz w:val="20"/>
                <w:szCs w:val="20"/>
              </w:rPr>
            </w:pPr>
            <w:r w:rsidRPr="005A505B">
              <w:rPr>
                <w:color w:val="auto"/>
                <w:sz w:val="20"/>
                <w:szCs w:val="20"/>
              </w:rPr>
              <w:t>Percentage of TB GeneXpert tests performed within 40 hours</w:t>
            </w:r>
          </w:p>
        </w:tc>
        <w:tc>
          <w:tcPr>
            <w:tcW w:w="2552" w:type="dxa"/>
            <w:shd w:val="clear" w:color="auto" w:fill="auto"/>
          </w:tcPr>
          <w:p w:rsidR="00837A73" w:rsidRPr="005A505B" w:rsidRDefault="00837A73" w:rsidP="005A505B">
            <w:pPr>
              <w:pStyle w:val="Default"/>
              <w:jc w:val="center"/>
              <w:rPr>
                <w:color w:val="auto"/>
                <w:sz w:val="20"/>
                <w:szCs w:val="20"/>
              </w:rPr>
            </w:pPr>
            <w:r w:rsidRPr="005A505B">
              <w:rPr>
                <w:color w:val="auto"/>
                <w:sz w:val="20"/>
                <w:szCs w:val="20"/>
              </w:rPr>
              <w:t>93%</w:t>
            </w:r>
          </w:p>
        </w:tc>
        <w:tc>
          <w:tcPr>
            <w:tcW w:w="2262" w:type="dxa"/>
            <w:shd w:val="clear" w:color="auto" w:fill="auto"/>
          </w:tcPr>
          <w:p w:rsidR="00837A73" w:rsidRPr="005A505B" w:rsidRDefault="00837A73" w:rsidP="005A505B">
            <w:pPr>
              <w:pStyle w:val="Default"/>
              <w:jc w:val="center"/>
              <w:rPr>
                <w:color w:val="auto"/>
                <w:sz w:val="20"/>
                <w:szCs w:val="20"/>
              </w:rPr>
            </w:pPr>
            <w:r w:rsidRPr="005A505B">
              <w:rPr>
                <w:color w:val="auto"/>
                <w:sz w:val="20"/>
                <w:szCs w:val="20"/>
              </w:rPr>
              <w:t>Decreased from 95% in 2020/21 fiscal year. It is projected to return to 95% in 2024/25 financial year.</w:t>
            </w:r>
          </w:p>
        </w:tc>
      </w:tr>
      <w:tr w:rsidR="00510F2C" w:rsidRPr="005A505B" w:rsidTr="0024631B">
        <w:tc>
          <w:tcPr>
            <w:tcW w:w="2547" w:type="dxa"/>
            <w:vMerge/>
            <w:shd w:val="clear" w:color="auto" w:fill="auto"/>
          </w:tcPr>
          <w:p w:rsidR="00837A73" w:rsidRPr="005A505B" w:rsidRDefault="00837A73" w:rsidP="005A505B">
            <w:pPr>
              <w:pStyle w:val="Default"/>
              <w:rPr>
                <w:color w:val="auto"/>
                <w:sz w:val="20"/>
                <w:szCs w:val="20"/>
              </w:rPr>
            </w:pPr>
          </w:p>
        </w:tc>
        <w:tc>
          <w:tcPr>
            <w:tcW w:w="2267" w:type="dxa"/>
            <w:shd w:val="clear" w:color="auto" w:fill="auto"/>
          </w:tcPr>
          <w:p w:rsidR="00837A73" w:rsidRPr="005A505B" w:rsidRDefault="00837A73" w:rsidP="005A505B">
            <w:pPr>
              <w:pStyle w:val="Default"/>
              <w:rPr>
                <w:color w:val="auto"/>
                <w:sz w:val="20"/>
                <w:szCs w:val="20"/>
              </w:rPr>
            </w:pPr>
            <w:r w:rsidRPr="005A505B">
              <w:rPr>
                <w:color w:val="auto"/>
                <w:sz w:val="20"/>
                <w:szCs w:val="20"/>
              </w:rPr>
              <w:t xml:space="preserve">Percentage of HIV viral load tests performed within 96 hours </w:t>
            </w:r>
          </w:p>
          <w:p w:rsidR="00837A73" w:rsidRPr="005A505B" w:rsidRDefault="00837A73" w:rsidP="005A505B">
            <w:pPr>
              <w:pStyle w:val="Default"/>
              <w:rPr>
                <w:color w:val="auto"/>
                <w:sz w:val="20"/>
                <w:szCs w:val="20"/>
              </w:rPr>
            </w:pPr>
          </w:p>
        </w:tc>
        <w:tc>
          <w:tcPr>
            <w:tcW w:w="2552" w:type="dxa"/>
            <w:shd w:val="clear" w:color="auto" w:fill="auto"/>
          </w:tcPr>
          <w:p w:rsidR="00837A73" w:rsidRPr="005A505B" w:rsidRDefault="00837A73" w:rsidP="005A505B">
            <w:pPr>
              <w:pStyle w:val="Default"/>
              <w:jc w:val="center"/>
              <w:rPr>
                <w:color w:val="auto"/>
                <w:sz w:val="20"/>
                <w:szCs w:val="20"/>
              </w:rPr>
            </w:pPr>
            <w:r w:rsidRPr="005A505B">
              <w:rPr>
                <w:color w:val="auto"/>
                <w:sz w:val="20"/>
                <w:szCs w:val="20"/>
              </w:rPr>
              <w:t>82%</w:t>
            </w:r>
          </w:p>
          <w:p w:rsidR="00837A73" w:rsidRPr="005A505B" w:rsidRDefault="00837A73" w:rsidP="005A505B">
            <w:pPr>
              <w:pStyle w:val="Default"/>
              <w:jc w:val="center"/>
              <w:rPr>
                <w:color w:val="auto"/>
                <w:sz w:val="20"/>
                <w:szCs w:val="20"/>
              </w:rPr>
            </w:pPr>
          </w:p>
        </w:tc>
        <w:tc>
          <w:tcPr>
            <w:tcW w:w="2262" w:type="dxa"/>
            <w:shd w:val="clear" w:color="auto" w:fill="auto"/>
          </w:tcPr>
          <w:p w:rsidR="00837A73" w:rsidRPr="005A505B" w:rsidRDefault="00837A73" w:rsidP="005A505B">
            <w:pPr>
              <w:pStyle w:val="Default"/>
              <w:jc w:val="center"/>
              <w:rPr>
                <w:color w:val="auto"/>
                <w:sz w:val="20"/>
                <w:szCs w:val="20"/>
              </w:rPr>
            </w:pPr>
            <w:r w:rsidRPr="005A505B">
              <w:rPr>
                <w:color w:val="auto"/>
                <w:sz w:val="20"/>
                <w:szCs w:val="20"/>
              </w:rPr>
              <w:t>This target has been marginally increased from 80% in 2021/22 to 82.%. It is projected to increase slightly to 86% in 2024/25</w:t>
            </w:r>
          </w:p>
        </w:tc>
      </w:tr>
      <w:tr w:rsidR="00510F2C" w:rsidRPr="005A505B" w:rsidTr="0024631B">
        <w:tc>
          <w:tcPr>
            <w:tcW w:w="2547" w:type="dxa"/>
            <w:vMerge w:val="restart"/>
            <w:shd w:val="clear" w:color="auto" w:fill="auto"/>
          </w:tcPr>
          <w:p w:rsidR="00837A73" w:rsidRPr="005A505B" w:rsidRDefault="00837A73" w:rsidP="005A505B">
            <w:pPr>
              <w:pStyle w:val="Default"/>
              <w:rPr>
                <w:color w:val="auto"/>
                <w:sz w:val="20"/>
                <w:szCs w:val="20"/>
              </w:rPr>
            </w:pPr>
            <w:r w:rsidRPr="005A505B">
              <w:rPr>
                <w:b/>
                <w:bCs/>
                <w:color w:val="auto"/>
                <w:sz w:val="20"/>
                <w:szCs w:val="20"/>
              </w:rPr>
              <w:t xml:space="preserve">Clinical effectiveness and efficiency </w:t>
            </w:r>
          </w:p>
          <w:p w:rsidR="00837A73" w:rsidRPr="005A505B" w:rsidRDefault="00837A73" w:rsidP="005A505B">
            <w:pPr>
              <w:pStyle w:val="Default"/>
              <w:rPr>
                <w:color w:val="auto"/>
                <w:sz w:val="20"/>
                <w:szCs w:val="20"/>
              </w:rPr>
            </w:pPr>
          </w:p>
        </w:tc>
        <w:tc>
          <w:tcPr>
            <w:tcW w:w="2267" w:type="dxa"/>
            <w:shd w:val="clear" w:color="auto" w:fill="auto"/>
          </w:tcPr>
          <w:p w:rsidR="00837A73" w:rsidRPr="005A505B" w:rsidRDefault="00837A73" w:rsidP="005A505B">
            <w:pPr>
              <w:pStyle w:val="Default"/>
              <w:rPr>
                <w:color w:val="auto"/>
                <w:sz w:val="20"/>
                <w:szCs w:val="20"/>
              </w:rPr>
            </w:pPr>
            <w:r w:rsidRPr="005A505B">
              <w:rPr>
                <w:color w:val="auto"/>
                <w:sz w:val="20"/>
                <w:szCs w:val="20"/>
              </w:rPr>
              <w:t xml:space="preserve">Develop and implement a POCT (Point-of-care testing) plan. </w:t>
            </w:r>
          </w:p>
        </w:tc>
        <w:tc>
          <w:tcPr>
            <w:tcW w:w="2552" w:type="dxa"/>
            <w:shd w:val="clear" w:color="auto" w:fill="auto"/>
          </w:tcPr>
          <w:p w:rsidR="00837A73" w:rsidRPr="005A505B" w:rsidRDefault="00837A73" w:rsidP="005A505B">
            <w:pPr>
              <w:pStyle w:val="Default"/>
              <w:jc w:val="center"/>
              <w:rPr>
                <w:color w:val="auto"/>
                <w:sz w:val="20"/>
                <w:szCs w:val="20"/>
              </w:rPr>
            </w:pPr>
            <w:r w:rsidRPr="005A505B">
              <w:rPr>
                <w:color w:val="auto"/>
                <w:sz w:val="20"/>
                <w:szCs w:val="20"/>
              </w:rPr>
              <w:t xml:space="preserve">Implement the pilot to assess feasibility and cost benefit </w:t>
            </w:r>
          </w:p>
          <w:p w:rsidR="00837A73" w:rsidRPr="005A505B" w:rsidRDefault="00837A73" w:rsidP="005A505B">
            <w:pPr>
              <w:pStyle w:val="Default"/>
              <w:jc w:val="center"/>
              <w:rPr>
                <w:color w:val="auto"/>
                <w:sz w:val="20"/>
                <w:szCs w:val="20"/>
              </w:rPr>
            </w:pPr>
          </w:p>
        </w:tc>
        <w:tc>
          <w:tcPr>
            <w:tcW w:w="2262" w:type="dxa"/>
            <w:shd w:val="clear" w:color="auto" w:fill="auto"/>
          </w:tcPr>
          <w:p w:rsidR="00837A73" w:rsidRPr="005A505B" w:rsidRDefault="00837A73" w:rsidP="005A505B">
            <w:pPr>
              <w:pStyle w:val="Default"/>
              <w:jc w:val="center"/>
              <w:rPr>
                <w:color w:val="auto"/>
                <w:sz w:val="20"/>
                <w:szCs w:val="20"/>
              </w:rPr>
            </w:pPr>
            <w:r w:rsidRPr="005A505B">
              <w:rPr>
                <w:color w:val="auto"/>
                <w:sz w:val="20"/>
                <w:szCs w:val="20"/>
              </w:rPr>
              <w:t>About 30% of the point of care (POCT) plan based on the pilot will be implemented in 2024/25</w:t>
            </w:r>
          </w:p>
        </w:tc>
      </w:tr>
      <w:tr w:rsidR="00510F2C" w:rsidRPr="005A505B" w:rsidTr="0024631B">
        <w:tc>
          <w:tcPr>
            <w:tcW w:w="2547" w:type="dxa"/>
            <w:vMerge/>
            <w:shd w:val="clear" w:color="auto" w:fill="auto"/>
          </w:tcPr>
          <w:p w:rsidR="00837A73" w:rsidRPr="005A505B" w:rsidRDefault="00837A73" w:rsidP="005A505B">
            <w:pPr>
              <w:pStyle w:val="Default"/>
              <w:rPr>
                <w:color w:val="auto"/>
                <w:sz w:val="20"/>
                <w:szCs w:val="20"/>
              </w:rPr>
            </w:pPr>
          </w:p>
        </w:tc>
        <w:tc>
          <w:tcPr>
            <w:tcW w:w="2267" w:type="dxa"/>
            <w:shd w:val="clear" w:color="auto" w:fill="auto"/>
          </w:tcPr>
          <w:p w:rsidR="00837A73" w:rsidRPr="005A505B" w:rsidRDefault="00837A73" w:rsidP="005A505B">
            <w:pPr>
              <w:pStyle w:val="Default"/>
              <w:rPr>
                <w:color w:val="auto"/>
                <w:sz w:val="20"/>
                <w:szCs w:val="20"/>
              </w:rPr>
            </w:pPr>
            <w:r w:rsidRPr="005A505B">
              <w:rPr>
                <w:color w:val="auto"/>
                <w:sz w:val="20"/>
                <w:szCs w:val="20"/>
              </w:rPr>
              <w:t xml:space="preserve">Implement digital pathology </w:t>
            </w:r>
          </w:p>
          <w:p w:rsidR="00837A73" w:rsidRPr="005A505B" w:rsidRDefault="00837A73" w:rsidP="005A505B">
            <w:pPr>
              <w:pStyle w:val="Default"/>
              <w:rPr>
                <w:color w:val="auto"/>
                <w:sz w:val="20"/>
                <w:szCs w:val="20"/>
              </w:rPr>
            </w:pPr>
          </w:p>
          <w:p w:rsidR="00837A73" w:rsidRPr="005A505B" w:rsidRDefault="00837A73" w:rsidP="005A505B">
            <w:pPr>
              <w:pStyle w:val="Default"/>
              <w:rPr>
                <w:color w:val="auto"/>
                <w:sz w:val="20"/>
                <w:szCs w:val="20"/>
              </w:rPr>
            </w:pPr>
          </w:p>
        </w:tc>
        <w:tc>
          <w:tcPr>
            <w:tcW w:w="2552" w:type="dxa"/>
            <w:shd w:val="clear" w:color="auto" w:fill="auto"/>
          </w:tcPr>
          <w:p w:rsidR="00837A73" w:rsidRPr="005A505B" w:rsidRDefault="00837A73" w:rsidP="005A505B">
            <w:pPr>
              <w:pStyle w:val="Default"/>
              <w:jc w:val="center"/>
              <w:rPr>
                <w:color w:val="auto"/>
                <w:sz w:val="20"/>
                <w:szCs w:val="20"/>
              </w:rPr>
            </w:pPr>
            <w:r w:rsidRPr="005A505B">
              <w:rPr>
                <w:color w:val="auto"/>
                <w:sz w:val="20"/>
                <w:szCs w:val="20"/>
              </w:rPr>
              <w:t xml:space="preserve">Prepare for implementation of the digital pathology. </w:t>
            </w:r>
          </w:p>
          <w:p w:rsidR="00837A73" w:rsidRPr="005A505B" w:rsidRDefault="00837A73" w:rsidP="005A505B">
            <w:pPr>
              <w:pStyle w:val="Default"/>
              <w:jc w:val="center"/>
              <w:rPr>
                <w:color w:val="auto"/>
                <w:sz w:val="20"/>
                <w:szCs w:val="20"/>
              </w:rPr>
            </w:pPr>
          </w:p>
        </w:tc>
        <w:tc>
          <w:tcPr>
            <w:tcW w:w="2262" w:type="dxa"/>
            <w:shd w:val="clear" w:color="auto" w:fill="auto"/>
          </w:tcPr>
          <w:p w:rsidR="00837A73" w:rsidRPr="005A505B" w:rsidRDefault="00837A73" w:rsidP="005A505B">
            <w:pPr>
              <w:pStyle w:val="Default"/>
              <w:jc w:val="center"/>
              <w:rPr>
                <w:color w:val="auto"/>
                <w:sz w:val="20"/>
                <w:szCs w:val="20"/>
              </w:rPr>
            </w:pPr>
            <w:r w:rsidRPr="005A505B">
              <w:rPr>
                <w:color w:val="auto"/>
                <w:sz w:val="20"/>
                <w:szCs w:val="20"/>
              </w:rPr>
              <w:t>In 2024/25 the roll out of 10% of identified laboratories based on the pilot is estimated</w:t>
            </w:r>
          </w:p>
        </w:tc>
      </w:tr>
      <w:tr w:rsidR="00510F2C" w:rsidRPr="005A505B" w:rsidTr="0024631B">
        <w:tc>
          <w:tcPr>
            <w:tcW w:w="2547" w:type="dxa"/>
            <w:shd w:val="clear" w:color="auto" w:fill="auto"/>
          </w:tcPr>
          <w:p w:rsidR="00837A73" w:rsidRPr="005A505B" w:rsidRDefault="00837A73" w:rsidP="005A505B">
            <w:pPr>
              <w:pStyle w:val="Default"/>
              <w:rPr>
                <w:color w:val="auto"/>
                <w:sz w:val="20"/>
                <w:szCs w:val="20"/>
              </w:rPr>
            </w:pPr>
            <w:r w:rsidRPr="005A505B">
              <w:rPr>
                <w:b/>
                <w:bCs/>
                <w:color w:val="auto"/>
                <w:sz w:val="20"/>
                <w:szCs w:val="20"/>
              </w:rPr>
              <w:t xml:space="preserve">High-quality services </w:t>
            </w:r>
          </w:p>
          <w:p w:rsidR="00837A73" w:rsidRPr="005A505B" w:rsidRDefault="00837A73" w:rsidP="005A505B">
            <w:pPr>
              <w:pStyle w:val="Default"/>
              <w:rPr>
                <w:color w:val="auto"/>
                <w:sz w:val="20"/>
                <w:szCs w:val="20"/>
              </w:rPr>
            </w:pPr>
          </w:p>
        </w:tc>
        <w:tc>
          <w:tcPr>
            <w:tcW w:w="2267" w:type="dxa"/>
            <w:shd w:val="clear" w:color="auto" w:fill="auto"/>
          </w:tcPr>
          <w:p w:rsidR="00837A73" w:rsidRPr="005A505B" w:rsidRDefault="00837A73" w:rsidP="005A505B">
            <w:pPr>
              <w:pStyle w:val="Default"/>
              <w:rPr>
                <w:color w:val="auto"/>
                <w:sz w:val="20"/>
                <w:szCs w:val="20"/>
              </w:rPr>
            </w:pPr>
            <w:r w:rsidRPr="005A505B">
              <w:rPr>
                <w:color w:val="auto"/>
                <w:sz w:val="20"/>
                <w:szCs w:val="20"/>
              </w:rPr>
              <w:t xml:space="preserve">Percentage compliance achieved by laboratories during annual quality compliance audits </w:t>
            </w:r>
          </w:p>
        </w:tc>
        <w:tc>
          <w:tcPr>
            <w:tcW w:w="2552" w:type="dxa"/>
            <w:shd w:val="clear" w:color="auto" w:fill="auto"/>
          </w:tcPr>
          <w:p w:rsidR="00837A73" w:rsidRPr="005A505B" w:rsidRDefault="00837A73" w:rsidP="005A505B">
            <w:pPr>
              <w:pStyle w:val="Default"/>
              <w:jc w:val="center"/>
              <w:rPr>
                <w:color w:val="auto"/>
                <w:sz w:val="20"/>
                <w:szCs w:val="20"/>
              </w:rPr>
            </w:pPr>
            <w:r w:rsidRPr="005A505B">
              <w:rPr>
                <w:color w:val="auto"/>
                <w:sz w:val="20"/>
                <w:szCs w:val="20"/>
              </w:rPr>
              <w:t>100%</w:t>
            </w:r>
          </w:p>
        </w:tc>
        <w:tc>
          <w:tcPr>
            <w:tcW w:w="2262" w:type="dxa"/>
            <w:shd w:val="clear" w:color="auto" w:fill="auto"/>
          </w:tcPr>
          <w:p w:rsidR="00837A73" w:rsidRPr="005A505B" w:rsidRDefault="00837A73" w:rsidP="005A505B">
            <w:pPr>
              <w:pStyle w:val="Default"/>
              <w:jc w:val="center"/>
              <w:rPr>
                <w:color w:val="auto"/>
                <w:sz w:val="20"/>
                <w:szCs w:val="20"/>
              </w:rPr>
            </w:pPr>
          </w:p>
        </w:tc>
      </w:tr>
      <w:tr w:rsidR="00510F2C" w:rsidRPr="005A505B" w:rsidTr="0024631B">
        <w:tc>
          <w:tcPr>
            <w:tcW w:w="2547" w:type="dxa"/>
            <w:vMerge w:val="restart"/>
            <w:shd w:val="clear" w:color="auto" w:fill="auto"/>
          </w:tcPr>
          <w:p w:rsidR="00837A73" w:rsidRPr="005A505B" w:rsidRDefault="00837A73" w:rsidP="005A505B">
            <w:pPr>
              <w:pStyle w:val="Default"/>
              <w:rPr>
                <w:color w:val="auto"/>
                <w:sz w:val="20"/>
                <w:szCs w:val="20"/>
              </w:rPr>
            </w:pPr>
            <w:r w:rsidRPr="005A505B">
              <w:rPr>
                <w:b/>
                <w:bCs/>
                <w:color w:val="auto"/>
                <w:sz w:val="20"/>
                <w:szCs w:val="20"/>
              </w:rPr>
              <w:t xml:space="preserve">Clinical effectiveness and efficiency </w:t>
            </w:r>
          </w:p>
          <w:p w:rsidR="00837A73" w:rsidRPr="005A505B" w:rsidRDefault="00837A73" w:rsidP="005A505B">
            <w:pPr>
              <w:pStyle w:val="Default"/>
              <w:rPr>
                <w:color w:val="auto"/>
                <w:sz w:val="20"/>
                <w:szCs w:val="20"/>
              </w:rPr>
            </w:pPr>
          </w:p>
          <w:p w:rsidR="00837A73" w:rsidRPr="005A505B" w:rsidRDefault="00837A73" w:rsidP="005A505B">
            <w:pPr>
              <w:pStyle w:val="Default"/>
              <w:rPr>
                <w:color w:val="auto"/>
                <w:sz w:val="20"/>
                <w:szCs w:val="20"/>
              </w:rPr>
            </w:pPr>
          </w:p>
        </w:tc>
        <w:tc>
          <w:tcPr>
            <w:tcW w:w="2267" w:type="dxa"/>
            <w:shd w:val="clear" w:color="auto" w:fill="auto"/>
          </w:tcPr>
          <w:p w:rsidR="00837A73" w:rsidRPr="005A505B" w:rsidRDefault="00837A73" w:rsidP="005A505B">
            <w:pPr>
              <w:pStyle w:val="Default"/>
              <w:rPr>
                <w:color w:val="auto"/>
                <w:sz w:val="20"/>
                <w:szCs w:val="20"/>
              </w:rPr>
            </w:pPr>
            <w:r w:rsidRPr="005A505B">
              <w:rPr>
                <w:color w:val="auto"/>
                <w:sz w:val="20"/>
                <w:szCs w:val="20"/>
              </w:rPr>
              <w:t xml:space="preserve">Number of pathology registrars admitted and trained in the NHLS </w:t>
            </w:r>
          </w:p>
        </w:tc>
        <w:tc>
          <w:tcPr>
            <w:tcW w:w="2552" w:type="dxa"/>
            <w:shd w:val="clear" w:color="auto" w:fill="auto"/>
          </w:tcPr>
          <w:p w:rsidR="00837A73" w:rsidRPr="005A505B" w:rsidRDefault="00837A73" w:rsidP="005A505B">
            <w:pPr>
              <w:pStyle w:val="Default"/>
              <w:jc w:val="center"/>
              <w:rPr>
                <w:color w:val="auto"/>
                <w:sz w:val="20"/>
                <w:szCs w:val="20"/>
              </w:rPr>
            </w:pPr>
            <w:r w:rsidRPr="005A505B">
              <w:rPr>
                <w:color w:val="auto"/>
                <w:sz w:val="20"/>
                <w:szCs w:val="20"/>
              </w:rPr>
              <w:t>40</w:t>
            </w:r>
          </w:p>
        </w:tc>
        <w:tc>
          <w:tcPr>
            <w:tcW w:w="2262" w:type="dxa"/>
            <w:shd w:val="clear" w:color="auto" w:fill="auto"/>
          </w:tcPr>
          <w:p w:rsidR="00837A73" w:rsidRPr="005A505B" w:rsidRDefault="00837A73" w:rsidP="005A505B">
            <w:pPr>
              <w:pStyle w:val="Default"/>
              <w:jc w:val="center"/>
              <w:rPr>
                <w:color w:val="auto"/>
                <w:sz w:val="20"/>
                <w:szCs w:val="20"/>
              </w:rPr>
            </w:pPr>
            <w:r w:rsidRPr="005A505B">
              <w:rPr>
                <w:color w:val="auto"/>
                <w:sz w:val="20"/>
                <w:szCs w:val="20"/>
              </w:rPr>
              <w:t>This target is projected to remain 40 until 2024/25</w:t>
            </w:r>
          </w:p>
        </w:tc>
      </w:tr>
      <w:tr w:rsidR="00510F2C" w:rsidRPr="005A505B" w:rsidTr="0024631B">
        <w:tc>
          <w:tcPr>
            <w:tcW w:w="2547" w:type="dxa"/>
            <w:vMerge/>
            <w:shd w:val="clear" w:color="auto" w:fill="auto"/>
          </w:tcPr>
          <w:p w:rsidR="00837A73" w:rsidRPr="005A505B" w:rsidRDefault="00837A73" w:rsidP="005A505B">
            <w:pPr>
              <w:pStyle w:val="Default"/>
              <w:rPr>
                <w:color w:val="auto"/>
                <w:sz w:val="20"/>
                <w:szCs w:val="20"/>
              </w:rPr>
            </w:pPr>
          </w:p>
        </w:tc>
        <w:tc>
          <w:tcPr>
            <w:tcW w:w="2267" w:type="dxa"/>
            <w:shd w:val="clear" w:color="auto" w:fill="auto"/>
          </w:tcPr>
          <w:p w:rsidR="00837A73" w:rsidRPr="005A505B" w:rsidRDefault="00837A73" w:rsidP="005A505B">
            <w:pPr>
              <w:pStyle w:val="Default"/>
              <w:rPr>
                <w:color w:val="auto"/>
                <w:sz w:val="20"/>
                <w:szCs w:val="20"/>
              </w:rPr>
            </w:pPr>
            <w:r w:rsidRPr="005A505B">
              <w:rPr>
                <w:color w:val="auto"/>
                <w:sz w:val="20"/>
                <w:szCs w:val="20"/>
              </w:rPr>
              <w:t xml:space="preserve">Number of intern medical scientists </w:t>
            </w:r>
            <w:r w:rsidRPr="005A505B">
              <w:rPr>
                <w:color w:val="auto"/>
                <w:sz w:val="20"/>
                <w:szCs w:val="20"/>
              </w:rPr>
              <w:lastRenderedPageBreak/>
              <w:t xml:space="preserve">admitted and trained in the NHLS </w:t>
            </w:r>
          </w:p>
          <w:p w:rsidR="00837A73" w:rsidRPr="005A505B" w:rsidRDefault="00837A73" w:rsidP="005A505B">
            <w:pPr>
              <w:pStyle w:val="Default"/>
              <w:rPr>
                <w:color w:val="auto"/>
                <w:sz w:val="20"/>
                <w:szCs w:val="20"/>
              </w:rPr>
            </w:pPr>
          </w:p>
        </w:tc>
        <w:tc>
          <w:tcPr>
            <w:tcW w:w="2552" w:type="dxa"/>
            <w:shd w:val="clear" w:color="auto" w:fill="auto"/>
          </w:tcPr>
          <w:p w:rsidR="00837A73" w:rsidRPr="005A505B" w:rsidRDefault="00837A73" w:rsidP="005A505B">
            <w:pPr>
              <w:pStyle w:val="Default"/>
              <w:jc w:val="center"/>
              <w:rPr>
                <w:color w:val="auto"/>
                <w:sz w:val="20"/>
                <w:szCs w:val="20"/>
              </w:rPr>
            </w:pPr>
            <w:r w:rsidRPr="005A505B">
              <w:rPr>
                <w:color w:val="auto"/>
                <w:sz w:val="20"/>
                <w:szCs w:val="20"/>
              </w:rPr>
              <w:lastRenderedPageBreak/>
              <w:t>50</w:t>
            </w:r>
          </w:p>
        </w:tc>
        <w:tc>
          <w:tcPr>
            <w:tcW w:w="2262" w:type="dxa"/>
            <w:shd w:val="clear" w:color="auto" w:fill="auto"/>
          </w:tcPr>
          <w:p w:rsidR="00837A73" w:rsidRPr="005A505B" w:rsidRDefault="00837A73" w:rsidP="005A505B">
            <w:pPr>
              <w:pStyle w:val="Default"/>
              <w:jc w:val="center"/>
              <w:rPr>
                <w:color w:val="auto"/>
                <w:sz w:val="20"/>
                <w:szCs w:val="20"/>
              </w:rPr>
            </w:pPr>
            <w:r w:rsidRPr="005A505B">
              <w:rPr>
                <w:color w:val="auto"/>
                <w:sz w:val="20"/>
                <w:szCs w:val="20"/>
              </w:rPr>
              <w:t xml:space="preserve">This target decreased from 55 in 2020/21 </w:t>
            </w:r>
            <w:r w:rsidRPr="005A505B">
              <w:rPr>
                <w:color w:val="auto"/>
                <w:sz w:val="20"/>
                <w:szCs w:val="20"/>
              </w:rPr>
              <w:lastRenderedPageBreak/>
              <w:t>and is projected to remain 50 until 2024/25</w:t>
            </w:r>
          </w:p>
        </w:tc>
      </w:tr>
      <w:tr w:rsidR="00510F2C" w:rsidRPr="005A505B" w:rsidTr="0024631B">
        <w:tc>
          <w:tcPr>
            <w:tcW w:w="2547" w:type="dxa"/>
            <w:shd w:val="clear" w:color="auto" w:fill="auto"/>
          </w:tcPr>
          <w:p w:rsidR="00837A73" w:rsidRPr="005A505B" w:rsidRDefault="00837A73" w:rsidP="005A505B">
            <w:pPr>
              <w:pStyle w:val="Default"/>
              <w:rPr>
                <w:color w:val="auto"/>
                <w:sz w:val="20"/>
                <w:szCs w:val="20"/>
              </w:rPr>
            </w:pPr>
            <w:r w:rsidRPr="005A505B">
              <w:rPr>
                <w:b/>
                <w:bCs/>
                <w:color w:val="auto"/>
                <w:sz w:val="20"/>
                <w:szCs w:val="20"/>
              </w:rPr>
              <w:lastRenderedPageBreak/>
              <w:t xml:space="preserve">High-quality services </w:t>
            </w:r>
          </w:p>
          <w:p w:rsidR="00837A73" w:rsidRPr="005A505B" w:rsidRDefault="00837A73" w:rsidP="005A505B">
            <w:pPr>
              <w:pStyle w:val="Default"/>
              <w:rPr>
                <w:color w:val="auto"/>
                <w:sz w:val="20"/>
                <w:szCs w:val="20"/>
              </w:rPr>
            </w:pPr>
          </w:p>
        </w:tc>
        <w:tc>
          <w:tcPr>
            <w:tcW w:w="2267" w:type="dxa"/>
            <w:shd w:val="clear" w:color="auto" w:fill="auto"/>
          </w:tcPr>
          <w:p w:rsidR="00837A73" w:rsidRPr="005A505B" w:rsidRDefault="00837A73" w:rsidP="005A505B">
            <w:pPr>
              <w:pStyle w:val="Default"/>
              <w:rPr>
                <w:color w:val="auto"/>
                <w:sz w:val="20"/>
                <w:szCs w:val="20"/>
              </w:rPr>
            </w:pPr>
            <w:r w:rsidRPr="005A505B">
              <w:rPr>
                <w:color w:val="auto"/>
                <w:sz w:val="20"/>
                <w:szCs w:val="20"/>
              </w:rPr>
              <w:t>Percentage</w:t>
            </w:r>
          </w:p>
        </w:tc>
        <w:tc>
          <w:tcPr>
            <w:tcW w:w="2552" w:type="dxa"/>
            <w:shd w:val="clear" w:color="auto" w:fill="auto"/>
          </w:tcPr>
          <w:p w:rsidR="00837A73" w:rsidRPr="005A505B" w:rsidRDefault="00837A73" w:rsidP="005A505B">
            <w:pPr>
              <w:pStyle w:val="Default"/>
              <w:jc w:val="center"/>
              <w:rPr>
                <w:color w:val="auto"/>
                <w:sz w:val="20"/>
                <w:szCs w:val="20"/>
              </w:rPr>
            </w:pPr>
            <w:r w:rsidRPr="005A505B">
              <w:rPr>
                <w:color w:val="auto"/>
                <w:sz w:val="20"/>
                <w:szCs w:val="20"/>
              </w:rPr>
              <w:t xml:space="preserve">100% </w:t>
            </w:r>
          </w:p>
          <w:p w:rsidR="00837A73" w:rsidRPr="005A505B" w:rsidRDefault="00837A73" w:rsidP="005A505B">
            <w:pPr>
              <w:pStyle w:val="Default"/>
              <w:jc w:val="center"/>
              <w:rPr>
                <w:color w:val="auto"/>
                <w:sz w:val="20"/>
                <w:szCs w:val="20"/>
              </w:rPr>
            </w:pPr>
          </w:p>
        </w:tc>
        <w:tc>
          <w:tcPr>
            <w:tcW w:w="2262" w:type="dxa"/>
            <w:shd w:val="clear" w:color="auto" w:fill="auto"/>
          </w:tcPr>
          <w:p w:rsidR="00837A73" w:rsidRPr="005A505B" w:rsidRDefault="00837A73" w:rsidP="005A505B">
            <w:pPr>
              <w:pStyle w:val="Default"/>
              <w:jc w:val="center"/>
              <w:rPr>
                <w:color w:val="auto"/>
                <w:sz w:val="20"/>
                <w:szCs w:val="20"/>
              </w:rPr>
            </w:pPr>
            <w:r w:rsidRPr="005A505B">
              <w:rPr>
                <w:color w:val="auto"/>
                <w:sz w:val="20"/>
                <w:szCs w:val="20"/>
              </w:rPr>
              <w:t>This target has been 100% since 2019/20 financial year. It is projected to remain 100% throughout the MTEF period</w:t>
            </w:r>
          </w:p>
        </w:tc>
      </w:tr>
      <w:tr w:rsidR="00510F2C" w:rsidRPr="005A505B" w:rsidTr="0024631B">
        <w:tc>
          <w:tcPr>
            <w:tcW w:w="2547" w:type="dxa"/>
            <w:vMerge w:val="restart"/>
            <w:shd w:val="clear" w:color="auto" w:fill="auto"/>
          </w:tcPr>
          <w:p w:rsidR="00837A73" w:rsidRPr="005A505B" w:rsidRDefault="00837A73" w:rsidP="005A505B">
            <w:pPr>
              <w:pStyle w:val="Default"/>
              <w:rPr>
                <w:b/>
                <w:bCs/>
                <w:color w:val="auto"/>
                <w:sz w:val="20"/>
                <w:szCs w:val="20"/>
              </w:rPr>
            </w:pPr>
            <w:r w:rsidRPr="005A505B">
              <w:rPr>
                <w:b/>
                <w:bCs/>
                <w:color w:val="auto"/>
                <w:sz w:val="20"/>
                <w:szCs w:val="20"/>
              </w:rPr>
              <w:t>Clinical effectiveness and efficiency</w:t>
            </w:r>
          </w:p>
        </w:tc>
        <w:tc>
          <w:tcPr>
            <w:tcW w:w="2267" w:type="dxa"/>
            <w:shd w:val="clear" w:color="auto" w:fill="auto"/>
          </w:tcPr>
          <w:p w:rsidR="00837A73" w:rsidRPr="005A505B" w:rsidRDefault="00837A73" w:rsidP="005A505B">
            <w:pPr>
              <w:pStyle w:val="Default"/>
              <w:rPr>
                <w:color w:val="auto"/>
                <w:sz w:val="20"/>
                <w:szCs w:val="20"/>
              </w:rPr>
            </w:pPr>
            <w:r w:rsidRPr="005A505B">
              <w:rPr>
                <w:color w:val="auto"/>
                <w:sz w:val="20"/>
                <w:szCs w:val="20"/>
              </w:rPr>
              <w:t>Percentage of blood alcohol tests completed within a normative period of 90 days</w:t>
            </w:r>
          </w:p>
        </w:tc>
        <w:tc>
          <w:tcPr>
            <w:tcW w:w="2552" w:type="dxa"/>
            <w:shd w:val="clear" w:color="auto" w:fill="auto"/>
          </w:tcPr>
          <w:p w:rsidR="00837A73" w:rsidRPr="005A505B" w:rsidRDefault="00837A73" w:rsidP="005A505B">
            <w:pPr>
              <w:pStyle w:val="Default"/>
              <w:jc w:val="center"/>
              <w:rPr>
                <w:color w:val="auto"/>
                <w:sz w:val="20"/>
                <w:szCs w:val="20"/>
              </w:rPr>
            </w:pPr>
            <w:r w:rsidRPr="005A505B">
              <w:rPr>
                <w:color w:val="auto"/>
                <w:sz w:val="20"/>
                <w:szCs w:val="20"/>
              </w:rPr>
              <w:t>60%</w:t>
            </w:r>
          </w:p>
        </w:tc>
        <w:tc>
          <w:tcPr>
            <w:tcW w:w="2262" w:type="dxa"/>
            <w:shd w:val="clear" w:color="auto" w:fill="auto"/>
          </w:tcPr>
          <w:p w:rsidR="00837A73" w:rsidRPr="005A505B" w:rsidRDefault="00837A73" w:rsidP="005A505B">
            <w:pPr>
              <w:pStyle w:val="Default"/>
              <w:jc w:val="center"/>
              <w:rPr>
                <w:color w:val="auto"/>
                <w:sz w:val="20"/>
                <w:szCs w:val="20"/>
              </w:rPr>
            </w:pPr>
            <w:r w:rsidRPr="005A505B">
              <w:rPr>
                <w:color w:val="auto"/>
                <w:sz w:val="20"/>
                <w:szCs w:val="20"/>
              </w:rPr>
              <w:t>This is a new target and is projected to increase to 80% in 2024/25.</w:t>
            </w:r>
          </w:p>
        </w:tc>
      </w:tr>
      <w:tr w:rsidR="00510F2C" w:rsidRPr="005A505B" w:rsidTr="0024631B">
        <w:tc>
          <w:tcPr>
            <w:tcW w:w="2547" w:type="dxa"/>
            <w:vMerge/>
            <w:shd w:val="clear" w:color="auto" w:fill="auto"/>
          </w:tcPr>
          <w:p w:rsidR="00837A73" w:rsidRPr="005A505B" w:rsidRDefault="00837A73" w:rsidP="005A505B">
            <w:pPr>
              <w:pStyle w:val="Default"/>
              <w:rPr>
                <w:b/>
                <w:bCs/>
                <w:color w:val="auto"/>
                <w:sz w:val="20"/>
                <w:szCs w:val="20"/>
              </w:rPr>
            </w:pPr>
          </w:p>
        </w:tc>
        <w:tc>
          <w:tcPr>
            <w:tcW w:w="2267" w:type="dxa"/>
            <w:shd w:val="clear" w:color="auto" w:fill="auto"/>
          </w:tcPr>
          <w:p w:rsidR="00837A73" w:rsidRPr="005A505B" w:rsidRDefault="00837A73" w:rsidP="005A505B">
            <w:pPr>
              <w:pStyle w:val="Default"/>
              <w:rPr>
                <w:color w:val="auto"/>
                <w:sz w:val="20"/>
                <w:szCs w:val="20"/>
              </w:rPr>
            </w:pPr>
            <w:r w:rsidRPr="005A505B">
              <w:rPr>
                <w:color w:val="auto"/>
                <w:sz w:val="20"/>
                <w:szCs w:val="20"/>
              </w:rPr>
              <w:t>Percentage reduction of backlogged toxicology cases</w:t>
            </w:r>
          </w:p>
        </w:tc>
        <w:tc>
          <w:tcPr>
            <w:tcW w:w="2552" w:type="dxa"/>
            <w:shd w:val="clear" w:color="auto" w:fill="auto"/>
          </w:tcPr>
          <w:p w:rsidR="00837A73" w:rsidRPr="005A505B" w:rsidRDefault="00837A73" w:rsidP="005A505B">
            <w:pPr>
              <w:pStyle w:val="Default"/>
              <w:jc w:val="center"/>
              <w:rPr>
                <w:color w:val="auto"/>
                <w:sz w:val="20"/>
                <w:szCs w:val="20"/>
              </w:rPr>
            </w:pPr>
            <w:r w:rsidRPr="005A505B">
              <w:rPr>
                <w:color w:val="auto"/>
                <w:sz w:val="20"/>
                <w:szCs w:val="20"/>
              </w:rPr>
              <w:t>20%</w:t>
            </w:r>
          </w:p>
        </w:tc>
        <w:tc>
          <w:tcPr>
            <w:tcW w:w="2262" w:type="dxa"/>
            <w:shd w:val="clear" w:color="auto" w:fill="auto"/>
          </w:tcPr>
          <w:p w:rsidR="00837A73" w:rsidRPr="005A505B" w:rsidRDefault="00837A73" w:rsidP="005A505B">
            <w:pPr>
              <w:pStyle w:val="Default"/>
              <w:jc w:val="center"/>
              <w:rPr>
                <w:color w:val="auto"/>
                <w:sz w:val="20"/>
                <w:szCs w:val="20"/>
              </w:rPr>
            </w:pPr>
            <w:r w:rsidRPr="005A505B">
              <w:rPr>
                <w:color w:val="auto"/>
                <w:sz w:val="20"/>
                <w:szCs w:val="20"/>
              </w:rPr>
              <w:t>This is a new target and is projected to increase to 60% in 2024/25.</w:t>
            </w:r>
          </w:p>
        </w:tc>
      </w:tr>
    </w:tbl>
    <w:p w:rsidR="00837A73" w:rsidRPr="005A505B" w:rsidRDefault="00837A73" w:rsidP="005A505B">
      <w:pPr>
        <w:pStyle w:val="Default"/>
        <w:jc w:val="both"/>
        <w:rPr>
          <w:color w:val="auto"/>
          <w:sz w:val="20"/>
          <w:szCs w:val="20"/>
        </w:rPr>
      </w:pPr>
    </w:p>
    <w:p w:rsidR="00837A73" w:rsidRPr="005A505B" w:rsidRDefault="00837A73" w:rsidP="005A505B">
      <w:pPr>
        <w:pStyle w:val="Default"/>
        <w:jc w:val="both"/>
        <w:rPr>
          <w:color w:val="auto"/>
          <w:sz w:val="20"/>
          <w:szCs w:val="20"/>
        </w:rPr>
      </w:pPr>
    </w:p>
    <w:p w:rsidR="00837A73" w:rsidRPr="005A505B" w:rsidRDefault="00837A73" w:rsidP="005A505B">
      <w:pPr>
        <w:pStyle w:val="Default"/>
        <w:jc w:val="both"/>
        <w:rPr>
          <w:b/>
          <w:bCs/>
          <w:color w:val="auto"/>
          <w:sz w:val="20"/>
          <w:szCs w:val="20"/>
        </w:rPr>
      </w:pPr>
      <w:r w:rsidRPr="005A505B">
        <w:rPr>
          <w:color w:val="auto"/>
          <w:sz w:val="20"/>
          <w:szCs w:val="20"/>
        </w:rPr>
        <w:t>With reference to Table 1</w:t>
      </w:r>
      <w:r w:rsidR="004B010D" w:rsidRPr="005A505B">
        <w:rPr>
          <w:color w:val="auto"/>
          <w:sz w:val="20"/>
          <w:szCs w:val="20"/>
        </w:rPr>
        <w:t>0</w:t>
      </w:r>
      <w:r w:rsidRPr="005A505B">
        <w:rPr>
          <w:color w:val="auto"/>
          <w:sz w:val="20"/>
          <w:szCs w:val="20"/>
        </w:rPr>
        <w:t xml:space="preserve">, a considerable number of performance targets are decreased and projected to further decrease by 2024/25. Similar to other entities, a trend is observed where targets remain the same, while others show insignificant increase over the MTEF period. With increased NHLS services, the decrease of performance targets is likely to have a negative impact on its mandate. </w:t>
      </w:r>
    </w:p>
    <w:p w:rsidR="00837A73" w:rsidRPr="005A505B" w:rsidRDefault="00837A73" w:rsidP="005A505B">
      <w:pPr>
        <w:pStyle w:val="Default"/>
        <w:rPr>
          <w:b/>
          <w:bCs/>
          <w:color w:val="auto"/>
          <w:sz w:val="20"/>
          <w:szCs w:val="20"/>
        </w:rPr>
      </w:pPr>
    </w:p>
    <w:p w:rsidR="00837A73" w:rsidRPr="005A505B" w:rsidRDefault="00837A73" w:rsidP="005A505B">
      <w:pPr>
        <w:pStyle w:val="Default"/>
        <w:rPr>
          <w:b/>
          <w:bCs/>
          <w:color w:val="auto"/>
          <w:sz w:val="20"/>
          <w:szCs w:val="20"/>
        </w:rPr>
      </w:pPr>
    </w:p>
    <w:p w:rsidR="00837A73" w:rsidRPr="005A505B" w:rsidRDefault="004B010D" w:rsidP="005A505B">
      <w:pPr>
        <w:pStyle w:val="ListParagraph"/>
        <w:numPr>
          <w:ilvl w:val="2"/>
          <w:numId w:val="53"/>
        </w:numPr>
        <w:rPr>
          <w:rFonts w:cs="Arial"/>
          <w:color w:val="auto"/>
          <w:sz w:val="20"/>
          <w:szCs w:val="20"/>
        </w:rPr>
      </w:pPr>
      <w:r w:rsidRPr="005A505B">
        <w:rPr>
          <w:rFonts w:cs="Arial"/>
          <w:b/>
          <w:color w:val="auto"/>
          <w:sz w:val="20"/>
          <w:szCs w:val="20"/>
        </w:rPr>
        <w:t>Budget</w:t>
      </w:r>
      <w:r w:rsidR="00A54000" w:rsidRPr="005A505B">
        <w:rPr>
          <w:rFonts w:cs="Arial"/>
          <w:b/>
          <w:color w:val="auto"/>
          <w:sz w:val="20"/>
          <w:szCs w:val="20"/>
        </w:rPr>
        <w:t xml:space="preserve"> </w:t>
      </w:r>
      <w:r w:rsidR="00493E82" w:rsidRPr="005A505B">
        <w:rPr>
          <w:rFonts w:cs="Arial"/>
          <w:b/>
          <w:color w:val="auto"/>
          <w:sz w:val="20"/>
          <w:szCs w:val="20"/>
        </w:rPr>
        <w:t>f</w:t>
      </w:r>
      <w:r w:rsidR="00A54000" w:rsidRPr="005A505B">
        <w:rPr>
          <w:rFonts w:cs="Arial"/>
          <w:b/>
          <w:color w:val="auto"/>
          <w:sz w:val="20"/>
          <w:szCs w:val="20"/>
        </w:rPr>
        <w:t xml:space="preserve">or 2022/23 </w:t>
      </w:r>
    </w:p>
    <w:p w:rsidR="00837A73" w:rsidRPr="005A505B" w:rsidRDefault="00837A73" w:rsidP="005A505B">
      <w:pPr>
        <w:pStyle w:val="Default"/>
        <w:jc w:val="both"/>
        <w:rPr>
          <w:color w:val="auto"/>
          <w:sz w:val="20"/>
          <w:szCs w:val="20"/>
        </w:rPr>
      </w:pPr>
    </w:p>
    <w:p w:rsidR="00493E82" w:rsidRPr="005A505B" w:rsidRDefault="00493E82" w:rsidP="005A505B">
      <w:pPr>
        <w:pStyle w:val="Default"/>
        <w:jc w:val="both"/>
        <w:rPr>
          <w:color w:val="auto"/>
          <w:sz w:val="20"/>
          <w:szCs w:val="20"/>
        </w:rPr>
      </w:pPr>
      <w:r w:rsidRPr="005A505B">
        <w:rPr>
          <w:color w:val="auto"/>
          <w:sz w:val="20"/>
          <w:szCs w:val="20"/>
        </w:rPr>
        <w:t xml:space="preserve">The proposed allocation to NHLS as shown in Table 11 reflects a significant deficit in Programme 1: Laboratory Service, which amounts to real decrease of R-531.1 million. This challenge is further compounded by the transfer of Forensic Chemistry Laboratories from the South African Police Service (SAPS) to NHLS with zero budget transfer. Currently, FCL faces an enormous backlog of test results, which is not clear how it will be cleared when resources are not reflected on the allocation. </w:t>
      </w:r>
    </w:p>
    <w:p w:rsidR="00837A73" w:rsidRPr="005A505B" w:rsidRDefault="00837A73" w:rsidP="005A505B">
      <w:pPr>
        <w:pStyle w:val="Default"/>
        <w:jc w:val="both"/>
        <w:rPr>
          <w:b/>
          <w:color w:val="auto"/>
          <w:sz w:val="20"/>
          <w:szCs w:val="20"/>
        </w:rPr>
      </w:pPr>
    </w:p>
    <w:p w:rsidR="00837A73" w:rsidRPr="005A505B" w:rsidRDefault="00837A73" w:rsidP="005A505B">
      <w:pPr>
        <w:pStyle w:val="Default"/>
        <w:jc w:val="both"/>
        <w:rPr>
          <w:b/>
          <w:color w:val="auto"/>
          <w:sz w:val="20"/>
          <w:szCs w:val="20"/>
        </w:rPr>
      </w:pPr>
      <w:r w:rsidRPr="005A505B">
        <w:rPr>
          <w:b/>
          <w:color w:val="auto"/>
          <w:sz w:val="20"/>
          <w:szCs w:val="20"/>
        </w:rPr>
        <w:t xml:space="preserve">Table </w:t>
      </w:r>
      <w:r w:rsidR="004B010D" w:rsidRPr="005A505B">
        <w:rPr>
          <w:b/>
          <w:color w:val="auto"/>
          <w:sz w:val="20"/>
          <w:szCs w:val="20"/>
        </w:rPr>
        <w:t>11</w:t>
      </w:r>
      <w:r w:rsidRPr="005A505B">
        <w:rPr>
          <w:b/>
          <w:color w:val="auto"/>
          <w:sz w:val="20"/>
          <w:szCs w:val="20"/>
        </w:rPr>
        <w:t xml:space="preserve">: Proposed Allocation to NHLS for 2022/23 fiscal year </w:t>
      </w:r>
    </w:p>
    <w:tbl>
      <w:tblPr>
        <w:tblStyle w:val="TableGrid1"/>
        <w:tblW w:w="9360" w:type="dxa"/>
        <w:tblInd w:w="-5" w:type="dxa"/>
        <w:tblLook w:val="04A0"/>
      </w:tblPr>
      <w:tblGrid>
        <w:gridCol w:w="2268"/>
        <w:gridCol w:w="1276"/>
        <w:gridCol w:w="1276"/>
        <w:gridCol w:w="1134"/>
        <w:gridCol w:w="1156"/>
        <w:gridCol w:w="1080"/>
        <w:gridCol w:w="1170"/>
      </w:tblGrid>
      <w:tr w:rsidR="00837A73" w:rsidRPr="005A505B" w:rsidTr="002E66DA">
        <w:trPr>
          <w:trHeight w:val="765"/>
        </w:trPr>
        <w:tc>
          <w:tcPr>
            <w:tcW w:w="2268" w:type="dxa"/>
            <w:shd w:val="clear" w:color="auto" w:fill="DAEEF3" w:themeFill="accent5" w:themeFillTint="33"/>
            <w:noWrap/>
            <w:hideMark/>
          </w:tcPr>
          <w:p w:rsidR="00837A73" w:rsidRPr="005A505B" w:rsidRDefault="00837A73" w:rsidP="005A505B">
            <w:pPr>
              <w:rPr>
                <w:rFonts w:cs="Arial"/>
                <w:b/>
                <w:bCs/>
                <w:color w:val="auto"/>
                <w:spacing w:val="0"/>
                <w:sz w:val="20"/>
                <w:szCs w:val="20"/>
                <w:lang w:val="en-ZA" w:eastAsia="en-US"/>
              </w:rPr>
            </w:pPr>
            <w:r w:rsidRPr="005A505B">
              <w:rPr>
                <w:rFonts w:cs="Arial"/>
                <w:b/>
                <w:bCs/>
                <w:color w:val="auto"/>
                <w:spacing w:val="0"/>
                <w:sz w:val="20"/>
                <w:szCs w:val="20"/>
                <w:lang w:val="en-ZA" w:eastAsia="en-US"/>
              </w:rPr>
              <w:t>Programme</w:t>
            </w:r>
          </w:p>
        </w:tc>
        <w:tc>
          <w:tcPr>
            <w:tcW w:w="2552" w:type="dxa"/>
            <w:gridSpan w:val="2"/>
            <w:shd w:val="clear" w:color="auto" w:fill="DAEEF3" w:themeFill="accent5" w:themeFillTint="33"/>
            <w:hideMark/>
          </w:tcPr>
          <w:p w:rsidR="00837A73" w:rsidRPr="005A505B" w:rsidRDefault="00837A73" w:rsidP="005A505B">
            <w:pPr>
              <w:rPr>
                <w:rFonts w:cs="Arial"/>
                <w:b/>
                <w:bCs/>
                <w:color w:val="auto"/>
                <w:spacing w:val="0"/>
                <w:sz w:val="20"/>
                <w:szCs w:val="20"/>
                <w:lang w:val="en-ZA" w:eastAsia="en-US"/>
              </w:rPr>
            </w:pPr>
            <w:r w:rsidRPr="005A505B">
              <w:rPr>
                <w:rFonts w:cs="Arial"/>
                <w:b/>
                <w:bCs/>
                <w:color w:val="auto"/>
                <w:spacing w:val="0"/>
                <w:sz w:val="20"/>
                <w:szCs w:val="20"/>
                <w:lang w:val="en-ZA" w:eastAsia="en-US"/>
              </w:rPr>
              <w:t>Budget</w:t>
            </w:r>
          </w:p>
        </w:tc>
        <w:tc>
          <w:tcPr>
            <w:tcW w:w="1134" w:type="dxa"/>
            <w:vMerge w:val="restart"/>
            <w:shd w:val="clear" w:color="auto" w:fill="DAEEF3" w:themeFill="accent5" w:themeFillTint="33"/>
            <w:hideMark/>
          </w:tcPr>
          <w:p w:rsidR="00837A73" w:rsidRPr="005A505B" w:rsidRDefault="00837A73" w:rsidP="005A505B">
            <w:pPr>
              <w:rPr>
                <w:rFonts w:cs="Arial"/>
                <w:b/>
                <w:bCs/>
                <w:color w:val="auto"/>
                <w:spacing w:val="0"/>
                <w:sz w:val="20"/>
                <w:szCs w:val="20"/>
                <w:lang w:val="en-ZA" w:eastAsia="en-US"/>
              </w:rPr>
            </w:pPr>
            <w:r w:rsidRPr="005A505B">
              <w:rPr>
                <w:rFonts w:cs="Arial"/>
                <w:b/>
                <w:bCs/>
                <w:color w:val="auto"/>
                <w:spacing w:val="0"/>
                <w:sz w:val="20"/>
                <w:szCs w:val="20"/>
                <w:lang w:val="en-ZA" w:eastAsia="en-US"/>
              </w:rPr>
              <w:t>Nominal Increase / Decrease in 2022/23</w:t>
            </w:r>
          </w:p>
        </w:tc>
        <w:tc>
          <w:tcPr>
            <w:tcW w:w="1156" w:type="dxa"/>
            <w:vMerge w:val="restart"/>
            <w:shd w:val="clear" w:color="auto" w:fill="DAEEF3" w:themeFill="accent5" w:themeFillTint="33"/>
            <w:hideMark/>
          </w:tcPr>
          <w:p w:rsidR="00837A73" w:rsidRPr="005A505B" w:rsidRDefault="00837A73" w:rsidP="005A505B">
            <w:pPr>
              <w:rPr>
                <w:rFonts w:cs="Arial"/>
                <w:b/>
                <w:bCs/>
                <w:color w:val="auto"/>
                <w:spacing w:val="0"/>
                <w:sz w:val="20"/>
                <w:szCs w:val="20"/>
                <w:lang w:val="en-ZA" w:eastAsia="en-US"/>
              </w:rPr>
            </w:pPr>
            <w:r w:rsidRPr="005A505B">
              <w:rPr>
                <w:rFonts w:cs="Arial"/>
                <w:b/>
                <w:bCs/>
                <w:color w:val="auto"/>
                <w:spacing w:val="0"/>
                <w:sz w:val="20"/>
                <w:szCs w:val="20"/>
                <w:lang w:val="en-ZA" w:eastAsia="en-US"/>
              </w:rPr>
              <w:t>Real Increase / Decrease in 2022/23</w:t>
            </w:r>
          </w:p>
        </w:tc>
        <w:tc>
          <w:tcPr>
            <w:tcW w:w="1080" w:type="dxa"/>
            <w:vMerge w:val="restart"/>
            <w:shd w:val="clear" w:color="auto" w:fill="DAEEF3" w:themeFill="accent5" w:themeFillTint="33"/>
            <w:hideMark/>
          </w:tcPr>
          <w:p w:rsidR="00837A73" w:rsidRPr="005A505B" w:rsidRDefault="00837A73" w:rsidP="005A505B">
            <w:pPr>
              <w:rPr>
                <w:rFonts w:cs="Arial"/>
                <w:b/>
                <w:bCs/>
                <w:color w:val="auto"/>
                <w:spacing w:val="0"/>
                <w:sz w:val="20"/>
                <w:szCs w:val="20"/>
                <w:lang w:val="en-ZA" w:eastAsia="en-US"/>
              </w:rPr>
            </w:pPr>
            <w:r w:rsidRPr="005A505B">
              <w:rPr>
                <w:rFonts w:cs="Arial"/>
                <w:b/>
                <w:bCs/>
                <w:color w:val="auto"/>
                <w:spacing w:val="0"/>
                <w:sz w:val="20"/>
                <w:szCs w:val="20"/>
                <w:lang w:val="en-ZA" w:eastAsia="en-US"/>
              </w:rPr>
              <w:t>Nominal Percent change in 2022/23</w:t>
            </w:r>
          </w:p>
        </w:tc>
        <w:tc>
          <w:tcPr>
            <w:tcW w:w="1170" w:type="dxa"/>
            <w:vMerge w:val="restart"/>
            <w:shd w:val="clear" w:color="auto" w:fill="DAEEF3" w:themeFill="accent5" w:themeFillTint="33"/>
            <w:hideMark/>
          </w:tcPr>
          <w:p w:rsidR="00837A73" w:rsidRPr="005A505B" w:rsidRDefault="00837A73" w:rsidP="005A505B">
            <w:pPr>
              <w:rPr>
                <w:rFonts w:cs="Arial"/>
                <w:b/>
                <w:bCs/>
                <w:color w:val="auto"/>
                <w:spacing w:val="0"/>
                <w:sz w:val="20"/>
                <w:szCs w:val="20"/>
                <w:lang w:val="en-ZA" w:eastAsia="en-US"/>
              </w:rPr>
            </w:pPr>
            <w:r w:rsidRPr="005A505B">
              <w:rPr>
                <w:rFonts w:cs="Arial"/>
                <w:b/>
                <w:bCs/>
                <w:color w:val="auto"/>
                <w:spacing w:val="0"/>
                <w:sz w:val="20"/>
                <w:szCs w:val="20"/>
                <w:lang w:val="en-ZA" w:eastAsia="en-US"/>
              </w:rPr>
              <w:t>Real Percent change in 2022/23</w:t>
            </w:r>
          </w:p>
        </w:tc>
      </w:tr>
      <w:tr w:rsidR="00837A73" w:rsidRPr="005A505B" w:rsidTr="002E66DA">
        <w:trPr>
          <w:trHeight w:val="264"/>
        </w:trPr>
        <w:tc>
          <w:tcPr>
            <w:tcW w:w="2268" w:type="dxa"/>
            <w:noWrap/>
            <w:hideMark/>
          </w:tcPr>
          <w:p w:rsidR="00837A73" w:rsidRPr="005A505B" w:rsidRDefault="00837A73" w:rsidP="005A505B">
            <w:pPr>
              <w:rPr>
                <w:rFonts w:cs="Arial"/>
                <w:b/>
                <w:bCs/>
                <w:color w:val="auto"/>
                <w:spacing w:val="0"/>
                <w:sz w:val="20"/>
                <w:szCs w:val="20"/>
                <w:lang w:val="en-ZA" w:eastAsia="en-US"/>
              </w:rPr>
            </w:pPr>
            <w:r w:rsidRPr="005A505B">
              <w:rPr>
                <w:rFonts w:cs="Arial"/>
                <w:b/>
                <w:bCs/>
                <w:color w:val="auto"/>
                <w:spacing w:val="0"/>
                <w:sz w:val="20"/>
                <w:szCs w:val="20"/>
                <w:lang w:val="en-ZA" w:eastAsia="en-US"/>
              </w:rPr>
              <w:t>R million</w:t>
            </w:r>
          </w:p>
        </w:tc>
        <w:tc>
          <w:tcPr>
            <w:tcW w:w="1276" w:type="dxa"/>
            <w:noWrap/>
            <w:hideMark/>
          </w:tcPr>
          <w:p w:rsidR="00837A73" w:rsidRPr="005A505B" w:rsidRDefault="00837A73" w:rsidP="005A505B">
            <w:pPr>
              <w:rPr>
                <w:rFonts w:cs="Arial"/>
                <w:b/>
                <w:bCs/>
                <w:color w:val="auto"/>
                <w:spacing w:val="0"/>
                <w:sz w:val="20"/>
                <w:szCs w:val="20"/>
                <w:lang w:val="en-ZA" w:eastAsia="en-US"/>
              </w:rPr>
            </w:pPr>
            <w:r w:rsidRPr="005A505B">
              <w:rPr>
                <w:rFonts w:cs="Arial"/>
                <w:b/>
                <w:bCs/>
                <w:color w:val="auto"/>
                <w:spacing w:val="0"/>
                <w:sz w:val="20"/>
                <w:szCs w:val="20"/>
                <w:lang w:val="en-ZA" w:eastAsia="en-US"/>
              </w:rPr>
              <w:t>2021/22</w:t>
            </w:r>
          </w:p>
        </w:tc>
        <w:tc>
          <w:tcPr>
            <w:tcW w:w="1276" w:type="dxa"/>
            <w:shd w:val="clear" w:color="auto" w:fill="DAEEF3" w:themeFill="accent5" w:themeFillTint="33"/>
            <w:noWrap/>
            <w:hideMark/>
          </w:tcPr>
          <w:p w:rsidR="00837A73" w:rsidRPr="005A505B" w:rsidRDefault="00837A73" w:rsidP="005A505B">
            <w:pPr>
              <w:rPr>
                <w:rFonts w:cs="Arial"/>
                <w:b/>
                <w:bCs/>
                <w:color w:val="auto"/>
                <w:spacing w:val="0"/>
                <w:sz w:val="20"/>
                <w:szCs w:val="20"/>
                <w:lang w:val="en-ZA" w:eastAsia="en-US"/>
              </w:rPr>
            </w:pPr>
            <w:r w:rsidRPr="005A505B">
              <w:rPr>
                <w:rFonts w:cs="Arial"/>
                <w:b/>
                <w:bCs/>
                <w:color w:val="auto"/>
                <w:spacing w:val="0"/>
                <w:sz w:val="20"/>
                <w:szCs w:val="20"/>
                <w:lang w:val="en-ZA" w:eastAsia="en-US"/>
              </w:rPr>
              <w:t>2022/23</w:t>
            </w:r>
          </w:p>
        </w:tc>
        <w:tc>
          <w:tcPr>
            <w:tcW w:w="1134" w:type="dxa"/>
            <w:vMerge/>
            <w:hideMark/>
          </w:tcPr>
          <w:p w:rsidR="00837A73" w:rsidRPr="005A505B" w:rsidRDefault="00837A73" w:rsidP="005A505B">
            <w:pPr>
              <w:rPr>
                <w:rFonts w:cs="Arial"/>
                <w:b/>
                <w:bCs/>
                <w:color w:val="auto"/>
                <w:spacing w:val="0"/>
                <w:sz w:val="20"/>
                <w:szCs w:val="20"/>
                <w:lang w:val="en-ZA" w:eastAsia="en-US"/>
              </w:rPr>
            </w:pPr>
          </w:p>
        </w:tc>
        <w:tc>
          <w:tcPr>
            <w:tcW w:w="1156" w:type="dxa"/>
            <w:vMerge/>
            <w:hideMark/>
          </w:tcPr>
          <w:p w:rsidR="00837A73" w:rsidRPr="005A505B" w:rsidRDefault="00837A73" w:rsidP="005A505B">
            <w:pPr>
              <w:rPr>
                <w:rFonts w:cs="Arial"/>
                <w:b/>
                <w:bCs/>
                <w:color w:val="auto"/>
                <w:spacing w:val="0"/>
                <w:sz w:val="20"/>
                <w:szCs w:val="20"/>
                <w:lang w:val="en-ZA" w:eastAsia="en-US"/>
              </w:rPr>
            </w:pPr>
          </w:p>
        </w:tc>
        <w:tc>
          <w:tcPr>
            <w:tcW w:w="1080" w:type="dxa"/>
            <w:vMerge/>
            <w:hideMark/>
          </w:tcPr>
          <w:p w:rsidR="00837A73" w:rsidRPr="005A505B" w:rsidRDefault="00837A73" w:rsidP="005A505B">
            <w:pPr>
              <w:rPr>
                <w:rFonts w:cs="Arial"/>
                <w:b/>
                <w:bCs/>
                <w:color w:val="auto"/>
                <w:spacing w:val="0"/>
                <w:sz w:val="20"/>
                <w:szCs w:val="20"/>
                <w:lang w:val="en-ZA" w:eastAsia="en-US"/>
              </w:rPr>
            </w:pPr>
          </w:p>
        </w:tc>
        <w:tc>
          <w:tcPr>
            <w:tcW w:w="1170" w:type="dxa"/>
            <w:vMerge/>
            <w:hideMark/>
          </w:tcPr>
          <w:p w:rsidR="00837A73" w:rsidRPr="005A505B" w:rsidRDefault="00837A73" w:rsidP="005A505B">
            <w:pPr>
              <w:rPr>
                <w:rFonts w:cs="Arial"/>
                <w:b/>
                <w:bCs/>
                <w:color w:val="auto"/>
                <w:spacing w:val="0"/>
                <w:sz w:val="20"/>
                <w:szCs w:val="20"/>
                <w:lang w:val="en-ZA" w:eastAsia="en-US"/>
              </w:rPr>
            </w:pPr>
          </w:p>
        </w:tc>
      </w:tr>
      <w:tr w:rsidR="00837A73" w:rsidRPr="005A505B" w:rsidTr="002E66DA">
        <w:trPr>
          <w:trHeight w:val="264"/>
        </w:trPr>
        <w:tc>
          <w:tcPr>
            <w:tcW w:w="2268" w:type="dxa"/>
            <w:noWrap/>
            <w:hideMark/>
          </w:tcPr>
          <w:p w:rsidR="00837A73" w:rsidRPr="005A505B" w:rsidRDefault="00837A73" w:rsidP="005A505B">
            <w:pPr>
              <w:rPr>
                <w:rFonts w:cs="Arial"/>
                <w:color w:val="auto"/>
                <w:spacing w:val="0"/>
                <w:sz w:val="20"/>
                <w:szCs w:val="20"/>
                <w:lang w:val="en-ZA" w:eastAsia="en-US"/>
              </w:rPr>
            </w:pPr>
            <w:r w:rsidRPr="005A505B">
              <w:rPr>
                <w:rFonts w:cs="Arial"/>
                <w:color w:val="auto"/>
                <w:spacing w:val="0"/>
                <w:sz w:val="20"/>
                <w:szCs w:val="20"/>
                <w:lang w:val="en-ZA" w:eastAsia="en-US"/>
              </w:rPr>
              <w:t>Laboratory Service</w:t>
            </w:r>
          </w:p>
        </w:tc>
        <w:tc>
          <w:tcPr>
            <w:tcW w:w="1276" w:type="dxa"/>
            <w:noWrap/>
            <w:hideMark/>
          </w:tcPr>
          <w:p w:rsidR="00837A73" w:rsidRPr="005A505B" w:rsidRDefault="00837A73" w:rsidP="005A505B">
            <w:pPr>
              <w:rPr>
                <w:rFonts w:cs="Arial"/>
                <w:color w:val="auto"/>
                <w:spacing w:val="0"/>
                <w:sz w:val="20"/>
                <w:szCs w:val="20"/>
                <w:lang w:val="en-ZA" w:eastAsia="en-US"/>
              </w:rPr>
            </w:pPr>
            <w:r w:rsidRPr="005A505B">
              <w:rPr>
                <w:rFonts w:cs="Arial"/>
                <w:color w:val="auto"/>
                <w:spacing w:val="0"/>
                <w:sz w:val="20"/>
                <w:szCs w:val="20"/>
                <w:lang w:val="en-ZA" w:eastAsia="en-US"/>
              </w:rPr>
              <w:t>8 964 389</w:t>
            </w:r>
          </w:p>
        </w:tc>
        <w:tc>
          <w:tcPr>
            <w:tcW w:w="1276" w:type="dxa"/>
            <w:shd w:val="clear" w:color="auto" w:fill="DAEEF3" w:themeFill="accent5" w:themeFillTint="33"/>
            <w:noWrap/>
            <w:hideMark/>
          </w:tcPr>
          <w:p w:rsidR="00837A73" w:rsidRPr="005A505B" w:rsidRDefault="00837A73" w:rsidP="005A505B">
            <w:pPr>
              <w:rPr>
                <w:rFonts w:cs="Arial"/>
                <w:color w:val="auto"/>
                <w:spacing w:val="0"/>
                <w:sz w:val="20"/>
                <w:szCs w:val="20"/>
                <w:lang w:val="en-ZA" w:eastAsia="en-US"/>
              </w:rPr>
            </w:pPr>
            <w:r w:rsidRPr="005A505B">
              <w:rPr>
                <w:rFonts w:cs="Arial"/>
                <w:color w:val="auto"/>
                <w:spacing w:val="0"/>
                <w:sz w:val="20"/>
                <w:szCs w:val="20"/>
                <w:lang w:val="en-ZA" w:eastAsia="en-US"/>
              </w:rPr>
              <w:t>8 812 761</w:t>
            </w:r>
          </w:p>
        </w:tc>
        <w:tc>
          <w:tcPr>
            <w:tcW w:w="1134" w:type="dxa"/>
            <w:noWrap/>
            <w:hideMark/>
          </w:tcPr>
          <w:p w:rsidR="00837A73" w:rsidRPr="005A505B" w:rsidRDefault="00837A73" w:rsidP="005A505B">
            <w:pPr>
              <w:rPr>
                <w:rFonts w:cs="Arial"/>
                <w:color w:val="auto"/>
                <w:spacing w:val="0"/>
                <w:sz w:val="20"/>
                <w:szCs w:val="20"/>
                <w:lang w:val="en-ZA" w:eastAsia="en-US"/>
              </w:rPr>
            </w:pPr>
            <w:r w:rsidRPr="005A505B">
              <w:rPr>
                <w:rFonts w:cs="Arial"/>
                <w:color w:val="auto"/>
                <w:spacing w:val="0"/>
                <w:sz w:val="20"/>
                <w:szCs w:val="20"/>
                <w:lang w:val="en-ZA" w:eastAsia="en-US"/>
              </w:rPr>
              <w:t>- 151 628</w:t>
            </w:r>
          </w:p>
        </w:tc>
        <w:tc>
          <w:tcPr>
            <w:tcW w:w="1156" w:type="dxa"/>
            <w:noWrap/>
            <w:hideMark/>
          </w:tcPr>
          <w:p w:rsidR="00837A73" w:rsidRPr="005A505B" w:rsidRDefault="00837A73" w:rsidP="005A505B">
            <w:pPr>
              <w:rPr>
                <w:rFonts w:cs="Arial"/>
                <w:color w:val="auto"/>
                <w:spacing w:val="0"/>
                <w:sz w:val="20"/>
                <w:szCs w:val="20"/>
                <w:lang w:val="en-ZA" w:eastAsia="en-US"/>
              </w:rPr>
            </w:pPr>
            <w:r w:rsidRPr="005A505B">
              <w:rPr>
                <w:rFonts w:cs="Arial"/>
                <w:color w:val="auto"/>
                <w:spacing w:val="0"/>
                <w:sz w:val="20"/>
                <w:szCs w:val="20"/>
                <w:lang w:val="en-ZA" w:eastAsia="en-US"/>
              </w:rPr>
              <w:t>- 531 12</w:t>
            </w:r>
            <w:r w:rsidR="004B010D" w:rsidRPr="005A505B">
              <w:rPr>
                <w:rFonts w:cs="Arial"/>
                <w:color w:val="auto"/>
                <w:spacing w:val="0"/>
                <w:sz w:val="20"/>
                <w:szCs w:val="20"/>
                <w:lang w:val="en-ZA" w:eastAsia="en-US"/>
              </w:rPr>
              <w:t>5</w:t>
            </w:r>
          </w:p>
        </w:tc>
        <w:tc>
          <w:tcPr>
            <w:tcW w:w="1080" w:type="dxa"/>
            <w:noWrap/>
            <w:hideMark/>
          </w:tcPr>
          <w:p w:rsidR="00837A73" w:rsidRPr="005A505B" w:rsidRDefault="00837A73" w:rsidP="005A505B">
            <w:pPr>
              <w:rPr>
                <w:rFonts w:cs="Arial"/>
                <w:color w:val="auto"/>
                <w:spacing w:val="0"/>
                <w:sz w:val="20"/>
                <w:szCs w:val="20"/>
                <w:lang w:val="en-ZA" w:eastAsia="en-US"/>
              </w:rPr>
            </w:pPr>
            <w:r w:rsidRPr="005A505B">
              <w:rPr>
                <w:rFonts w:cs="Arial"/>
                <w:color w:val="auto"/>
                <w:spacing w:val="0"/>
                <w:sz w:val="20"/>
                <w:szCs w:val="20"/>
                <w:lang w:val="en-ZA" w:eastAsia="en-US"/>
              </w:rPr>
              <w:t>-1</w:t>
            </w:r>
            <w:r w:rsidR="004B010D" w:rsidRPr="005A505B">
              <w:rPr>
                <w:rFonts w:cs="Arial"/>
                <w:color w:val="auto"/>
                <w:spacing w:val="0"/>
                <w:sz w:val="20"/>
                <w:szCs w:val="20"/>
                <w:lang w:val="en-ZA" w:eastAsia="en-US"/>
              </w:rPr>
              <w:t>.</w:t>
            </w:r>
            <w:r w:rsidRPr="005A505B">
              <w:rPr>
                <w:rFonts w:cs="Arial"/>
                <w:color w:val="auto"/>
                <w:spacing w:val="0"/>
                <w:sz w:val="20"/>
                <w:szCs w:val="20"/>
                <w:lang w:val="en-ZA" w:eastAsia="en-US"/>
              </w:rPr>
              <w:t xml:space="preserve">69 </w:t>
            </w:r>
            <w:r w:rsidR="0034021A" w:rsidRPr="005A505B">
              <w:rPr>
                <w:rFonts w:cs="Arial"/>
                <w:color w:val="auto"/>
                <w:spacing w:val="0"/>
                <w:sz w:val="20"/>
                <w:szCs w:val="20"/>
                <w:lang w:val="en-ZA" w:eastAsia="en-US"/>
              </w:rPr>
              <w:t>%</w:t>
            </w:r>
          </w:p>
        </w:tc>
        <w:tc>
          <w:tcPr>
            <w:tcW w:w="1170" w:type="dxa"/>
            <w:noWrap/>
            <w:hideMark/>
          </w:tcPr>
          <w:p w:rsidR="00837A73" w:rsidRPr="005A505B" w:rsidRDefault="00837A73" w:rsidP="005A505B">
            <w:pPr>
              <w:rPr>
                <w:rFonts w:cs="Arial"/>
                <w:color w:val="auto"/>
                <w:spacing w:val="0"/>
                <w:sz w:val="20"/>
                <w:szCs w:val="20"/>
                <w:lang w:val="en-ZA" w:eastAsia="en-US"/>
              </w:rPr>
            </w:pPr>
            <w:r w:rsidRPr="005A505B">
              <w:rPr>
                <w:rFonts w:cs="Arial"/>
                <w:color w:val="auto"/>
                <w:spacing w:val="0"/>
                <w:sz w:val="20"/>
                <w:szCs w:val="20"/>
                <w:lang w:val="en-ZA" w:eastAsia="en-US"/>
              </w:rPr>
              <w:t>-5</w:t>
            </w:r>
            <w:r w:rsidR="004B010D" w:rsidRPr="005A505B">
              <w:rPr>
                <w:rFonts w:cs="Arial"/>
                <w:color w:val="auto"/>
                <w:spacing w:val="0"/>
                <w:sz w:val="20"/>
                <w:szCs w:val="20"/>
                <w:lang w:val="en-ZA" w:eastAsia="en-US"/>
              </w:rPr>
              <w:t>.</w:t>
            </w:r>
            <w:r w:rsidRPr="005A505B">
              <w:rPr>
                <w:rFonts w:cs="Arial"/>
                <w:color w:val="auto"/>
                <w:spacing w:val="0"/>
                <w:sz w:val="20"/>
                <w:szCs w:val="20"/>
                <w:lang w:val="en-ZA" w:eastAsia="en-US"/>
              </w:rPr>
              <w:t>92</w:t>
            </w:r>
            <w:r w:rsidR="0034021A" w:rsidRPr="005A505B">
              <w:rPr>
                <w:rFonts w:cs="Arial"/>
                <w:color w:val="auto"/>
                <w:spacing w:val="0"/>
                <w:sz w:val="20"/>
                <w:szCs w:val="20"/>
                <w:lang w:val="en-ZA" w:eastAsia="en-US"/>
              </w:rPr>
              <w:t>%</w:t>
            </w:r>
          </w:p>
        </w:tc>
      </w:tr>
      <w:tr w:rsidR="00837A73" w:rsidRPr="005A505B" w:rsidTr="002E66DA">
        <w:trPr>
          <w:trHeight w:val="264"/>
        </w:trPr>
        <w:tc>
          <w:tcPr>
            <w:tcW w:w="2268" w:type="dxa"/>
            <w:noWrap/>
            <w:hideMark/>
          </w:tcPr>
          <w:p w:rsidR="00837A73" w:rsidRPr="005A505B" w:rsidRDefault="00837A73" w:rsidP="005A505B">
            <w:pPr>
              <w:rPr>
                <w:rFonts w:cs="Arial"/>
                <w:color w:val="auto"/>
                <w:spacing w:val="0"/>
                <w:sz w:val="20"/>
                <w:szCs w:val="20"/>
                <w:lang w:val="en-ZA" w:eastAsia="en-US"/>
              </w:rPr>
            </w:pPr>
            <w:r w:rsidRPr="005A505B">
              <w:rPr>
                <w:rFonts w:cs="Arial"/>
                <w:color w:val="auto"/>
                <w:spacing w:val="0"/>
                <w:sz w:val="20"/>
                <w:szCs w:val="20"/>
                <w:lang w:val="en-ZA" w:eastAsia="en-US"/>
              </w:rPr>
              <w:t>Academic Affairs, Research and Quality Assurance</w:t>
            </w:r>
          </w:p>
        </w:tc>
        <w:tc>
          <w:tcPr>
            <w:tcW w:w="1276" w:type="dxa"/>
            <w:noWrap/>
            <w:hideMark/>
          </w:tcPr>
          <w:p w:rsidR="00837A73" w:rsidRPr="005A505B" w:rsidRDefault="00837A73" w:rsidP="005A505B">
            <w:pPr>
              <w:rPr>
                <w:rFonts w:cs="Arial"/>
                <w:color w:val="auto"/>
                <w:spacing w:val="0"/>
                <w:sz w:val="20"/>
                <w:szCs w:val="20"/>
                <w:lang w:val="en-ZA" w:eastAsia="en-US"/>
              </w:rPr>
            </w:pPr>
            <w:r w:rsidRPr="005A505B">
              <w:rPr>
                <w:rFonts w:cs="Arial"/>
                <w:color w:val="auto"/>
                <w:spacing w:val="0"/>
                <w:sz w:val="20"/>
                <w:szCs w:val="20"/>
                <w:lang w:val="en-ZA" w:eastAsia="en-US"/>
              </w:rPr>
              <w:t xml:space="preserve"> 343 190</w:t>
            </w:r>
          </w:p>
        </w:tc>
        <w:tc>
          <w:tcPr>
            <w:tcW w:w="1276" w:type="dxa"/>
            <w:shd w:val="clear" w:color="auto" w:fill="DAEEF3" w:themeFill="accent5" w:themeFillTint="33"/>
            <w:noWrap/>
            <w:hideMark/>
          </w:tcPr>
          <w:p w:rsidR="00837A73" w:rsidRPr="005A505B" w:rsidRDefault="00837A73" w:rsidP="005A505B">
            <w:pPr>
              <w:rPr>
                <w:rFonts w:cs="Arial"/>
                <w:color w:val="auto"/>
                <w:spacing w:val="0"/>
                <w:sz w:val="20"/>
                <w:szCs w:val="20"/>
                <w:lang w:val="en-ZA" w:eastAsia="en-US"/>
              </w:rPr>
            </w:pPr>
            <w:r w:rsidRPr="005A505B">
              <w:rPr>
                <w:rFonts w:cs="Arial"/>
                <w:color w:val="auto"/>
                <w:spacing w:val="0"/>
                <w:sz w:val="20"/>
                <w:szCs w:val="20"/>
                <w:lang w:val="en-ZA" w:eastAsia="en-US"/>
              </w:rPr>
              <w:t xml:space="preserve"> 355 022</w:t>
            </w:r>
          </w:p>
        </w:tc>
        <w:tc>
          <w:tcPr>
            <w:tcW w:w="1134" w:type="dxa"/>
            <w:noWrap/>
            <w:hideMark/>
          </w:tcPr>
          <w:p w:rsidR="00837A73" w:rsidRPr="005A505B" w:rsidRDefault="00837A73" w:rsidP="005A505B">
            <w:pPr>
              <w:rPr>
                <w:rFonts w:cs="Arial"/>
                <w:color w:val="auto"/>
                <w:spacing w:val="0"/>
                <w:sz w:val="20"/>
                <w:szCs w:val="20"/>
                <w:lang w:val="en-ZA" w:eastAsia="en-US"/>
              </w:rPr>
            </w:pPr>
            <w:r w:rsidRPr="005A505B">
              <w:rPr>
                <w:rFonts w:cs="Arial"/>
                <w:color w:val="auto"/>
                <w:spacing w:val="0"/>
                <w:sz w:val="20"/>
                <w:szCs w:val="20"/>
                <w:lang w:val="en-ZA" w:eastAsia="en-US"/>
              </w:rPr>
              <w:t xml:space="preserve"> 11 832</w:t>
            </w:r>
          </w:p>
        </w:tc>
        <w:tc>
          <w:tcPr>
            <w:tcW w:w="1156" w:type="dxa"/>
            <w:noWrap/>
            <w:hideMark/>
          </w:tcPr>
          <w:p w:rsidR="00837A73" w:rsidRPr="005A505B" w:rsidRDefault="00837A73" w:rsidP="005A505B">
            <w:pPr>
              <w:rPr>
                <w:rFonts w:cs="Arial"/>
                <w:color w:val="auto"/>
                <w:spacing w:val="0"/>
                <w:sz w:val="20"/>
                <w:szCs w:val="20"/>
                <w:lang w:val="en-ZA" w:eastAsia="en-US"/>
              </w:rPr>
            </w:pPr>
            <w:r w:rsidRPr="005A505B">
              <w:rPr>
                <w:rFonts w:cs="Arial"/>
                <w:color w:val="auto"/>
                <w:spacing w:val="0"/>
                <w:sz w:val="20"/>
                <w:szCs w:val="20"/>
                <w:lang w:val="en-ZA" w:eastAsia="en-US"/>
              </w:rPr>
              <w:t>- 3 456</w:t>
            </w:r>
          </w:p>
        </w:tc>
        <w:tc>
          <w:tcPr>
            <w:tcW w:w="1080" w:type="dxa"/>
            <w:noWrap/>
            <w:hideMark/>
          </w:tcPr>
          <w:p w:rsidR="00837A73" w:rsidRPr="005A505B" w:rsidRDefault="00837A73" w:rsidP="005A505B">
            <w:pPr>
              <w:rPr>
                <w:rFonts w:cs="Arial"/>
                <w:color w:val="auto"/>
                <w:spacing w:val="0"/>
                <w:sz w:val="20"/>
                <w:szCs w:val="20"/>
                <w:lang w:val="en-ZA" w:eastAsia="en-US"/>
              </w:rPr>
            </w:pPr>
            <w:r w:rsidRPr="005A505B">
              <w:rPr>
                <w:rFonts w:cs="Arial"/>
                <w:color w:val="auto"/>
                <w:spacing w:val="0"/>
                <w:sz w:val="20"/>
                <w:szCs w:val="20"/>
                <w:lang w:val="en-ZA" w:eastAsia="en-US"/>
              </w:rPr>
              <w:t>3</w:t>
            </w:r>
            <w:r w:rsidR="004B010D" w:rsidRPr="005A505B">
              <w:rPr>
                <w:rFonts w:cs="Arial"/>
                <w:color w:val="auto"/>
                <w:spacing w:val="0"/>
                <w:sz w:val="20"/>
                <w:szCs w:val="20"/>
                <w:lang w:val="en-ZA" w:eastAsia="en-US"/>
              </w:rPr>
              <w:t>.</w:t>
            </w:r>
            <w:r w:rsidRPr="005A505B">
              <w:rPr>
                <w:rFonts w:cs="Arial"/>
                <w:color w:val="auto"/>
                <w:spacing w:val="0"/>
                <w:sz w:val="20"/>
                <w:szCs w:val="20"/>
                <w:lang w:val="en-ZA" w:eastAsia="en-US"/>
              </w:rPr>
              <w:t xml:space="preserve">45 </w:t>
            </w:r>
            <w:r w:rsidR="0034021A" w:rsidRPr="005A505B">
              <w:rPr>
                <w:rFonts w:cs="Arial"/>
                <w:color w:val="auto"/>
                <w:spacing w:val="0"/>
                <w:sz w:val="20"/>
                <w:szCs w:val="20"/>
                <w:lang w:val="en-ZA" w:eastAsia="en-US"/>
              </w:rPr>
              <w:t>%</w:t>
            </w:r>
          </w:p>
        </w:tc>
        <w:tc>
          <w:tcPr>
            <w:tcW w:w="1170" w:type="dxa"/>
            <w:noWrap/>
            <w:hideMark/>
          </w:tcPr>
          <w:p w:rsidR="00837A73" w:rsidRPr="005A505B" w:rsidRDefault="00837A73" w:rsidP="005A505B">
            <w:pPr>
              <w:rPr>
                <w:rFonts w:cs="Arial"/>
                <w:color w:val="auto"/>
                <w:spacing w:val="0"/>
                <w:sz w:val="20"/>
                <w:szCs w:val="20"/>
                <w:lang w:val="en-ZA" w:eastAsia="en-US"/>
              </w:rPr>
            </w:pPr>
            <w:r w:rsidRPr="005A505B">
              <w:rPr>
                <w:rFonts w:cs="Arial"/>
                <w:color w:val="auto"/>
                <w:spacing w:val="0"/>
                <w:sz w:val="20"/>
                <w:szCs w:val="20"/>
                <w:lang w:val="en-ZA" w:eastAsia="en-US"/>
              </w:rPr>
              <w:t>-1</w:t>
            </w:r>
            <w:r w:rsidR="004B010D" w:rsidRPr="005A505B">
              <w:rPr>
                <w:rFonts w:cs="Arial"/>
                <w:color w:val="auto"/>
                <w:spacing w:val="0"/>
                <w:sz w:val="20"/>
                <w:szCs w:val="20"/>
                <w:lang w:val="en-ZA" w:eastAsia="en-US"/>
              </w:rPr>
              <w:t>.</w:t>
            </w:r>
            <w:r w:rsidRPr="005A505B">
              <w:rPr>
                <w:rFonts w:cs="Arial"/>
                <w:color w:val="auto"/>
                <w:spacing w:val="0"/>
                <w:sz w:val="20"/>
                <w:szCs w:val="20"/>
                <w:lang w:val="en-ZA" w:eastAsia="en-US"/>
              </w:rPr>
              <w:t>01</w:t>
            </w:r>
            <w:r w:rsidR="0034021A" w:rsidRPr="005A505B">
              <w:rPr>
                <w:rFonts w:cs="Arial"/>
                <w:color w:val="auto"/>
                <w:spacing w:val="0"/>
                <w:sz w:val="20"/>
                <w:szCs w:val="20"/>
                <w:lang w:val="en-ZA" w:eastAsia="en-US"/>
              </w:rPr>
              <w:t>%</w:t>
            </w:r>
          </w:p>
        </w:tc>
      </w:tr>
      <w:tr w:rsidR="00837A73" w:rsidRPr="005A505B" w:rsidTr="002E66DA">
        <w:trPr>
          <w:trHeight w:val="264"/>
        </w:trPr>
        <w:tc>
          <w:tcPr>
            <w:tcW w:w="2268" w:type="dxa"/>
            <w:noWrap/>
            <w:hideMark/>
          </w:tcPr>
          <w:p w:rsidR="00837A73" w:rsidRPr="005A505B" w:rsidRDefault="00837A73" w:rsidP="005A505B">
            <w:pPr>
              <w:rPr>
                <w:rFonts w:cs="Arial"/>
                <w:color w:val="auto"/>
                <w:spacing w:val="0"/>
                <w:sz w:val="20"/>
                <w:szCs w:val="20"/>
                <w:lang w:val="en-ZA" w:eastAsia="en-US"/>
              </w:rPr>
            </w:pPr>
            <w:r w:rsidRPr="005A505B">
              <w:rPr>
                <w:rFonts w:cs="Arial"/>
                <w:color w:val="auto"/>
                <w:spacing w:val="0"/>
                <w:sz w:val="20"/>
                <w:szCs w:val="20"/>
                <w:lang w:val="en-ZA" w:eastAsia="en-US"/>
              </w:rPr>
              <w:t>Surveillance of Communicable Diseases</w:t>
            </w:r>
          </w:p>
        </w:tc>
        <w:tc>
          <w:tcPr>
            <w:tcW w:w="1276" w:type="dxa"/>
            <w:noWrap/>
            <w:hideMark/>
          </w:tcPr>
          <w:p w:rsidR="00837A73" w:rsidRPr="005A505B" w:rsidRDefault="00837A73" w:rsidP="005A505B">
            <w:pPr>
              <w:rPr>
                <w:rFonts w:cs="Arial"/>
                <w:color w:val="auto"/>
                <w:spacing w:val="0"/>
                <w:sz w:val="20"/>
                <w:szCs w:val="20"/>
                <w:lang w:val="en-ZA" w:eastAsia="en-US"/>
              </w:rPr>
            </w:pPr>
            <w:r w:rsidRPr="005A505B">
              <w:rPr>
                <w:rFonts w:cs="Arial"/>
                <w:color w:val="auto"/>
                <w:spacing w:val="0"/>
                <w:sz w:val="20"/>
                <w:szCs w:val="20"/>
                <w:lang w:val="en-ZA" w:eastAsia="en-US"/>
              </w:rPr>
              <w:t xml:space="preserve"> 443 244</w:t>
            </w:r>
          </w:p>
        </w:tc>
        <w:tc>
          <w:tcPr>
            <w:tcW w:w="1276" w:type="dxa"/>
            <w:shd w:val="clear" w:color="auto" w:fill="DAEEF3" w:themeFill="accent5" w:themeFillTint="33"/>
            <w:noWrap/>
            <w:hideMark/>
          </w:tcPr>
          <w:p w:rsidR="00837A73" w:rsidRPr="005A505B" w:rsidRDefault="00837A73" w:rsidP="005A505B">
            <w:pPr>
              <w:rPr>
                <w:rFonts w:cs="Arial"/>
                <w:color w:val="auto"/>
                <w:spacing w:val="0"/>
                <w:sz w:val="20"/>
                <w:szCs w:val="20"/>
                <w:lang w:val="en-ZA" w:eastAsia="en-US"/>
              </w:rPr>
            </w:pPr>
            <w:r w:rsidRPr="005A505B">
              <w:rPr>
                <w:rFonts w:cs="Arial"/>
                <w:color w:val="auto"/>
                <w:spacing w:val="0"/>
                <w:sz w:val="20"/>
                <w:szCs w:val="20"/>
                <w:lang w:val="en-ZA" w:eastAsia="en-US"/>
              </w:rPr>
              <w:t xml:space="preserve"> 459 886</w:t>
            </w:r>
          </w:p>
        </w:tc>
        <w:tc>
          <w:tcPr>
            <w:tcW w:w="1134" w:type="dxa"/>
            <w:noWrap/>
            <w:hideMark/>
          </w:tcPr>
          <w:p w:rsidR="00837A73" w:rsidRPr="005A505B" w:rsidRDefault="00837A73" w:rsidP="005A505B">
            <w:pPr>
              <w:rPr>
                <w:rFonts w:cs="Arial"/>
                <w:color w:val="auto"/>
                <w:spacing w:val="0"/>
                <w:sz w:val="20"/>
                <w:szCs w:val="20"/>
                <w:lang w:val="en-ZA" w:eastAsia="en-US"/>
              </w:rPr>
            </w:pPr>
            <w:r w:rsidRPr="005A505B">
              <w:rPr>
                <w:rFonts w:cs="Arial"/>
                <w:color w:val="auto"/>
                <w:spacing w:val="0"/>
                <w:sz w:val="20"/>
                <w:szCs w:val="20"/>
                <w:lang w:val="en-ZA" w:eastAsia="en-US"/>
              </w:rPr>
              <w:t xml:space="preserve"> 16 642</w:t>
            </w:r>
          </w:p>
        </w:tc>
        <w:tc>
          <w:tcPr>
            <w:tcW w:w="1156" w:type="dxa"/>
            <w:noWrap/>
            <w:hideMark/>
          </w:tcPr>
          <w:p w:rsidR="00837A73" w:rsidRPr="005A505B" w:rsidRDefault="00837A73" w:rsidP="005A505B">
            <w:pPr>
              <w:rPr>
                <w:rFonts w:cs="Arial"/>
                <w:color w:val="auto"/>
                <w:spacing w:val="0"/>
                <w:sz w:val="20"/>
                <w:szCs w:val="20"/>
                <w:lang w:val="en-ZA" w:eastAsia="en-US"/>
              </w:rPr>
            </w:pPr>
            <w:r w:rsidRPr="005A505B">
              <w:rPr>
                <w:rFonts w:cs="Arial"/>
                <w:color w:val="auto"/>
                <w:spacing w:val="0"/>
                <w:sz w:val="20"/>
                <w:szCs w:val="20"/>
                <w:lang w:val="en-ZA" w:eastAsia="en-US"/>
              </w:rPr>
              <w:t>- 3 16</w:t>
            </w:r>
            <w:r w:rsidR="004B010D" w:rsidRPr="005A505B">
              <w:rPr>
                <w:rFonts w:cs="Arial"/>
                <w:color w:val="auto"/>
                <w:spacing w:val="0"/>
                <w:sz w:val="20"/>
                <w:szCs w:val="20"/>
                <w:lang w:val="en-ZA" w:eastAsia="en-US"/>
              </w:rPr>
              <w:t>2</w:t>
            </w:r>
          </w:p>
        </w:tc>
        <w:tc>
          <w:tcPr>
            <w:tcW w:w="1080" w:type="dxa"/>
            <w:noWrap/>
            <w:hideMark/>
          </w:tcPr>
          <w:p w:rsidR="00837A73" w:rsidRPr="005A505B" w:rsidRDefault="00837A73" w:rsidP="005A505B">
            <w:pPr>
              <w:rPr>
                <w:rFonts w:cs="Arial"/>
                <w:color w:val="auto"/>
                <w:spacing w:val="0"/>
                <w:sz w:val="20"/>
                <w:szCs w:val="20"/>
                <w:lang w:val="en-ZA" w:eastAsia="en-US"/>
              </w:rPr>
            </w:pPr>
            <w:r w:rsidRPr="005A505B">
              <w:rPr>
                <w:rFonts w:cs="Arial"/>
                <w:color w:val="auto"/>
                <w:spacing w:val="0"/>
                <w:sz w:val="20"/>
                <w:szCs w:val="20"/>
                <w:lang w:val="en-ZA" w:eastAsia="en-US"/>
              </w:rPr>
              <w:t>3</w:t>
            </w:r>
            <w:r w:rsidR="004B010D" w:rsidRPr="005A505B">
              <w:rPr>
                <w:rFonts w:cs="Arial"/>
                <w:color w:val="auto"/>
                <w:spacing w:val="0"/>
                <w:sz w:val="20"/>
                <w:szCs w:val="20"/>
                <w:lang w:val="en-ZA" w:eastAsia="en-US"/>
              </w:rPr>
              <w:t>.</w:t>
            </w:r>
            <w:r w:rsidRPr="005A505B">
              <w:rPr>
                <w:rFonts w:cs="Arial"/>
                <w:color w:val="auto"/>
                <w:spacing w:val="0"/>
                <w:sz w:val="20"/>
                <w:szCs w:val="20"/>
                <w:lang w:val="en-ZA" w:eastAsia="en-US"/>
              </w:rPr>
              <w:t>75</w:t>
            </w:r>
            <w:r w:rsidR="0034021A" w:rsidRPr="005A505B">
              <w:rPr>
                <w:rFonts w:cs="Arial"/>
                <w:color w:val="auto"/>
                <w:spacing w:val="0"/>
                <w:sz w:val="20"/>
                <w:szCs w:val="20"/>
                <w:lang w:val="en-ZA" w:eastAsia="en-US"/>
              </w:rPr>
              <w:t>%</w:t>
            </w:r>
          </w:p>
        </w:tc>
        <w:tc>
          <w:tcPr>
            <w:tcW w:w="1170" w:type="dxa"/>
            <w:noWrap/>
            <w:hideMark/>
          </w:tcPr>
          <w:p w:rsidR="00837A73" w:rsidRPr="005A505B" w:rsidRDefault="00837A73" w:rsidP="005A505B">
            <w:pPr>
              <w:rPr>
                <w:rFonts w:cs="Arial"/>
                <w:color w:val="auto"/>
                <w:spacing w:val="0"/>
                <w:sz w:val="20"/>
                <w:szCs w:val="20"/>
                <w:lang w:val="en-ZA" w:eastAsia="en-US"/>
              </w:rPr>
            </w:pPr>
            <w:r w:rsidRPr="005A505B">
              <w:rPr>
                <w:rFonts w:cs="Arial"/>
                <w:color w:val="auto"/>
                <w:spacing w:val="0"/>
                <w:sz w:val="20"/>
                <w:szCs w:val="20"/>
                <w:lang w:val="en-ZA" w:eastAsia="en-US"/>
              </w:rPr>
              <w:t>-0</w:t>
            </w:r>
            <w:r w:rsidR="004B010D" w:rsidRPr="005A505B">
              <w:rPr>
                <w:rFonts w:cs="Arial"/>
                <w:color w:val="auto"/>
                <w:spacing w:val="0"/>
                <w:sz w:val="20"/>
                <w:szCs w:val="20"/>
                <w:lang w:val="en-ZA" w:eastAsia="en-US"/>
              </w:rPr>
              <w:t>.</w:t>
            </w:r>
            <w:r w:rsidRPr="005A505B">
              <w:rPr>
                <w:rFonts w:cs="Arial"/>
                <w:color w:val="auto"/>
                <w:spacing w:val="0"/>
                <w:sz w:val="20"/>
                <w:szCs w:val="20"/>
                <w:lang w:val="en-ZA" w:eastAsia="en-US"/>
              </w:rPr>
              <w:t>71</w:t>
            </w:r>
            <w:r w:rsidR="0034021A" w:rsidRPr="005A505B">
              <w:rPr>
                <w:rFonts w:cs="Arial"/>
                <w:color w:val="auto"/>
                <w:spacing w:val="0"/>
                <w:sz w:val="20"/>
                <w:szCs w:val="20"/>
                <w:lang w:val="en-ZA" w:eastAsia="en-US"/>
              </w:rPr>
              <w:t>%</w:t>
            </w:r>
          </w:p>
        </w:tc>
      </w:tr>
      <w:tr w:rsidR="00837A73" w:rsidRPr="005A505B" w:rsidTr="002E66DA">
        <w:trPr>
          <w:trHeight w:val="264"/>
        </w:trPr>
        <w:tc>
          <w:tcPr>
            <w:tcW w:w="2268" w:type="dxa"/>
            <w:noWrap/>
            <w:hideMark/>
          </w:tcPr>
          <w:p w:rsidR="00837A73" w:rsidRPr="005A505B" w:rsidRDefault="00837A73" w:rsidP="005A505B">
            <w:pPr>
              <w:rPr>
                <w:rFonts w:cs="Arial"/>
                <w:color w:val="auto"/>
                <w:spacing w:val="0"/>
                <w:sz w:val="20"/>
                <w:szCs w:val="20"/>
                <w:lang w:val="en-ZA" w:eastAsia="en-US"/>
              </w:rPr>
            </w:pPr>
            <w:r w:rsidRPr="005A505B">
              <w:rPr>
                <w:rFonts w:cs="Arial"/>
                <w:color w:val="auto"/>
                <w:spacing w:val="0"/>
                <w:sz w:val="20"/>
                <w:szCs w:val="20"/>
                <w:lang w:val="en-ZA" w:eastAsia="en-US"/>
              </w:rPr>
              <w:t xml:space="preserve">Occupational and Environmental Health and Safety </w:t>
            </w:r>
          </w:p>
        </w:tc>
        <w:tc>
          <w:tcPr>
            <w:tcW w:w="1276" w:type="dxa"/>
            <w:noWrap/>
            <w:hideMark/>
          </w:tcPr>
          <w:p w:rsidR="00837A73" w:rsidRPr="005A505B" w:rsidRDefault="00837A73" w:rsidP="005A505B">
            <w:pPr>
              <w:rPr>
                <w:rFonts w:cs="Arial"/>
                <w:color w:val="auto"/>
                <w:spacing w:val="0"/>
                <w:sz w:val="20"/>
                <w:szCs w:val="20"/>
                <w:lang w:val="en-ZA" w:eastAsia="en-US"/>
              </w:rPr>
            </w:pPr>
            <w:r w:rsidRPr="005A505B">
              <w:rPr>
                <w:rFonts w:cs="Arial"/>
                <w:color w:val="auto"/>
                <w:spacing w:val="0"/>
                <w:sz w:val="20"/>
                <w:szCs w:val="20"/>
                <w:lang w:val="en-ZA" w:eastAsia="en-US"/>
              </w:rPr>
              <w:t xml:space="preserve"> 157 717</w:t>
            </w:r>
          </w:p>
        </w:tc>
        <w:tc>
          <w:tcPr>
            <w:tcW w:w="1276" w:type="dxa"/>
            <w:shd w:val="clear" w:color="auto" w:fill="DAEEF3" w:themeFill="accent5" w:themeFillTint="33"/>
            <w:noWrap/>
            <w:hideMark/>
          </w:tcPr>
          <w:p w:rsidR="00837A73" w:rsidRPr="005A505B" w:rsidRDefault="00837A73" w:rsidP="005A505B">
            <w:pPr>
              <w:rPr>
                <w:rFonts w:cs="Arial"/>
                <w:color w:val="auto"/>
                <w:spacing w:val="0"/>
                <w:sz w:val="20"/>
                <w:szCs w:val="20"/>
                <w:lang w:val="en-ZA" w:eastAsia="en-US"/>
              </w:rPr>
            </w:pPr>
            <w:r w:rsidRPr="005A505B">
              <w:rPr>
                <w:rFonts w:cs="Arial"/>
                <w:color w:val="auto"/>
                <w:spacing w:val="0"/>
                <w:sz w:val="20"/>
                <w:szCs w:val="20"/>
                <w:lang w:val="en-ZA" w:eastAsia="en-US"/>
              </w:rPr>
              <w:t xml:space="preserve"> 166 009</w:t>
            </w:r>
          </w:p>
        </w:tc>
        <w:tc>
          <w:tcPr>
            <w:tcW w:w="1134" w:type="dxa"/>
            <w:noWrap/>
            <w:hideMark/>
          </w:tcPr>
          <w:p w:rsidR="00837A73" w:rsidRPr="005A505B" w:rsidRDefault="00837A73" w:rsidP="005A505B">
            <w:pPr>
              <w:rPr>
                <w:rFonts w:cs="Arial"/>
                <w:color w:val="auto"/>
                <w:spacing w:val="0"/>
                <w:sz w:val="20"/>
                <w:szCs w:val="20"/>
                <w:lang w:val="en-ZA" w:eastAsia="en-US"/>
              </w:rPr>
            </w:pPr>
            <w:r w:rsidRPr="005A505B">
              <w:rPr>
                <w:rFonts w:cs="Arial"/>
                <w:color w:val="auto"/>
                <w:spacing w:val="0"/>
                <w:sz w:val="20"/>
                <w:szCs w:val="20"/>
                <w:lang w:val="en-ZA" w:eastAsia="en-US"/>
              </w:rPr>
              <w:t xml:space="preserve"> 8 292</w:t>
            </w:r>
          </w:p>
        </w:tc>
        <w:tc>
          <w:tcPr>
            <w:tcW w:w="1156" w:type="dxa"/>
            <w:noWrap/>
            <w:hideMark/>
          </w:tcPr>
          <w:p w:rsidR="00837A73" w:rsidRPr="005A505B" w:rsidRDefault="00837A73" w:rsidP="005A505B">
            <w:pPr>
              <w:rPr>
                <w:rFonts w:cs="Arial"/>
                <w:color w:val="auto"/>
                <w:spacing w:val="0"/>
                <w:sz w:val="20"/>
                <w:szCs w:val="20"/>
                <w:lang w:val="en-ZA" w:eastAsia="en-US"/>
              </w:rPr>
            </w:pPr>
            <w:r w:rsidRPr="005A505B">
              <w:rPr>
                <w:rFonts w:cs="Arial"/>
                <w:color w:val="auto"/>
                <w:spacing w:val="0"/>
                <w:sz w:val="20"/>
                <w:szCs w:val="20"/>
                <w:lang w:val="en-ZA" w:eastAsia="en-US"/>
              </w:rPr>
              <w:t xml:space="preserve"> 1 143</w:t>
            </w:r>
          </w:p>
        </w:tc>
        <w:tc>
          <w:tcPr>
            <w:tcW w:w="1080" w:type="dxa"/>
            <w:noWrap/>
            <w:hideMark/>
          </w:tcPr>
          <w:p w:rsidR="00837A73" w:rsidRPr="005A505B" w:rsidRDefault="00837A73" w:rsidP="005A505B">
            <w:pPr>
              <w:rPr>
                <w:rFonts w:cs="Arial"/>
                <w:color w:val="auto"/>
                <w:spacing w:val="0"/>
                <w:sz w:val="20"/>
                <w:szCs w:val="20"/>
                <w:lang w:val="en-ZA" w:eastAsia="en-US"/>
              </w:rPr>
            </w:pPr>
            <w:r w:rsidRPr="005A505B">
              <w:rPr>
                <w:rFonts w:cs="Arial"/>
                <w:color w:val="auto"/>
                <w:spacing w:val="0"/>
                <w:sz w:val="20"/>
                <w:szCs w:val="20"/>
                <w:lang w:val="en-ZA" w:eastAsia="en-US"/>
              </w:rPr>
              <w:t>5</w:t>
            </w:r>
            <w:r w:rsidR="004B010D" w:rsidRPr="005A505B">
              <w:rPr>
                <w:rFonts w:cs="Arial"/>
                <w:color w:val="auto"/>
                <w:spacing w:val="0"/>
                <w:sz w:val="20"/>
                <w:szCs w:val="20"/>
                <w:lang w:val="en-ZA" w:eastAsia="en-US"/>
              </w:rPr>
              <w:t>.</w:t>
            </w:r>
            <w:r w:rsidRPr="005A505B">
              <w:rPr>
                <w:rFonts w:cs="Arial"/>
                <w:color w:val="auto"/>
                <w:spacing w:val="0"/>
                <w:sz w:val="20"/>
                <w:szCs w:val="20"/>
                <w:lang w:val="en-ZA" w:eastAsia="en-US"/>
              </w:rPr>
              <w:t>26</w:t>
            </w:r>
            <w:r w:rsidR="0034021A" w:rsidRPr="005A505B">
              <w:rPr>
                <w:rFonts w:cs="Arial"/>
                <w:color w:val="auto"/>
                <w:spacing w:val="0"/>
                <w:sz w:val="20"/>
                <w:szCs w:val="20"/>
                <w:lang w:val="en-ZA" w:eastAsia="en-US"/>
              </w:rPr>
              <w:t>%</w:t>
            </w:r>
          </w:p>
        </w:tc>
        <w:tc>
          <w:tcPr>
            <w:tcW w:w="1170" w:type="dxa"/>
            <w:noWrap/>
            <w:hideMark/>
          </w:tcPr>
          <w:p w:rsidR="00837A73" w:rsidRPr="005A505B" w:rsidRDefault="00837A73" w:rsidP="005A505B">
            <w:pPr>
              <w:rPr>
                <w:rFonts w:cs="Arial"/>
                <w:color w:val="auto"/>
                <w:spacing w:val="0"/>
                <w:sz w:val="20"/>
                <w:szCs w:val="20"/>
                <w:lang w:val="en-ZA" w:eastAsia="en-US"/>
              </w:rPr>
            </w:pPr>
            <w:r w:rsidRPr="005A505B">
              <w:rPr>
                <w:rFonts w:cs="Arial"/>
                <w:color w:val="auto"/>
                <w:spacing w:val="0"/>
                <w:sz w:val="20"/>
                <w:szCs w:val="20"/>
                <w:lang w:val="en-ZA" w:eastAsia="en-US"/>
              </w:rPr>
              <w:t>0</w:t>
            </w:r>
            <w:r w:rsidR="004B010D" w:rsidRPr="005A505B">
              <w:rPr>
                <w:rFonts w:cs="Arial"/>
                <w:color w:val="auto"/>
                <w:spacing w:val="0"/>
                <w:sz w:val="20"/>
                <w:szCs w:val="20"/>
                <w:lang w:val="en-ZA" w:eastAsia="en-US"/>
              </w:rPr>
              <w:t>.</w:t>
            </w:r>
            <w:r w:rsidRPr="005A505B">
              <w:rPr>
                <w:rFonts w:cs="Arial"/>
                <w:color w:val="auto"/>
                <w:spacing w:val="0"/>
                <w:sz w:val="20"/>
                <w:szCs w:val="20"/>
                <w:lang w:val="en-ZA" w:eastAsia="en-US"/>
              </w:rPr>
              <w:t>72</w:t>
            </w:r>
            <w:r w:rsidR="0034021A" w:rsidRPr="005A505B">
              <w:rPr>
                <w:rFonts w:cs="Arial"/>
                <w:color w:val="auto"/>
                <w:spacing w:val="0"/>
                <w:sz w:val="20"/>
                <w:szCs w:val="20"/>
                <w:lang w:val="en-ZA" w:eastAsia="en-US"/>
              </w:rPr>
              <w:t>%</w:t>
            </w:r>
          </w:p>
        </w:tc>
      </w:tr>
      <w:tr w:rsidR="00837A73" w:rsidRPr="005A505B" w:rsidTr="002E66DA">
        <w:trPr>
          <w:trHeight w:val="264"/>
        </w:trPr>
        <w:tc>
          <w:tcPr>
            <w:tcW w:w="2268" w:type="dxa"/>
            <w:noWrap/>
            <w:hideMark/>
          </w:tcPr>
          <w:p w:rsidR="00837A73" w:rsidRPr="005A505B" w:rsidRDefault="00837A73" w:rsidP="005A505B">
            <w:pPr>
              <w:rPr>
                <w:rFonts w:cs="Arial"/>
                <w:color w:val="auto"/>
                <w:spacing w:val="0"/>
                <w:sz w:val="20"/>
                <w:szCs w:val="20"/>
                <w:lang w:val="en-ZA" w:eastAsia="en-US"/>
              </w:rPr>
            </w:pPr>
            <w:r w:rsidRPr="005A505B">
              <w:rPr>
                <w:rFonts w:cs="Arial"/>
                <w:color w:val="auto"/>
                <w:spacing w:val="0"/>
                <w:sz w:val="20"/>
                <w:szCs w:val="20"/>
                <w:lang w:val="en-ZA" w:eastAsia="en-US"/>
              </w:rPr>
              <w:t>Forensic Chemistry Laboratory Service</w:t>
            </w:r>
          </w:p>
        </w:tc>
        <w:tc>
          <w:tcPr>
            <w:tcW w:w="1276" w:type="dxa"/>
            <w:noWrap/>
            <w:hideMark/>
          </w:tcPr>
          <w:p w:rsidR="00837A73" w:rsidRPr="005A505B" w:rsidRDefault="004B010D" w:rsidP="005A505B">
            <w:pPr>
              <w:rPr>
                <w:rFonts w:cs="Arial"/>
                <w:color w:val="auto"/>
                <w:spacing w:val="0"/>
                <w:sz w:val="20"/>
                <w:szCs w:val="20"/>
                <w:lang w:val="en-ZA" w:eastAsia="en-US"/>
              </w:rPr>
            </w:pPr>
            <w:r w:rsidRPr="005A505B">
              <w:rPr>
                <w:rFonts w:cs="Arial"/>
                <w:color w:val="auto"/>
                <w:spacing w:val="0"/>
                <w:sz w:val="20"/>
                <w:szCs w:val="20"/>
                <w:lang w:val="en-ZA" w:eastAsia="en-US"/>
              </w:rPr>
              <w:t>0</w:t>
            </w:r>
          </w:p>
        </w:tc>
        <w:tc>
          <w:tcPr>
            <w:tcW w:w="1276" w:type="dxa"/>
            <w:shd w:val="clear" w:color="auto" w:fill="DAEEF3" w:themeFill="accent5" w:themeFillTint="33"/>
            <w:noWrap/>
            <w:hideMark/>
          </w:tcPr>
          <w:p w:rsidR="00837A73" w:rsidRPr="005A505B" w:rsidRDefault="00837A73" w:rsidP="005A505B">
            <w:pPr>
              <w:rPr>
                <w:rFonts w:cs="Arial"/>
                <w:color w:val="auto"/>
                <w:spacing w:val="0"/>
                <w:sz w:val="20"/>
                <w:szCs w:val="20"/>
                <w:lang w:val="en-ZA" w:eastAsia="en-US"/>
              </w:rPr>
            </w:pPr>
            <w:r w:rsidRPr="005A505B">
              <w:rPr>
                <w:rFonts w:cs="Arial"/>
                <w:color w:val="auto"/>
                <w:spacing w:val="0"/>
                <w:sz w:val="20"/>
                <w:szCs w:val="20"/>
                <w:lang w:val="en-ZA" w:eastAsia="en-US"/>
              </w:rPr>
              <w:t xml:space="preserve">  0</w:t>
            </w:r>
          </w:p>
        </w:tc>
        <w:tc>
          <w:tcPr>
            <w:tcW w:w="1134" w:type="dxa"/>
            <w:noWrap/>
            <w:hideMark/>
          </w:tcPr>
          <w:p w:rsidR="00837A73" w:rsidRPr="005A505B" w:rsidRDefault="00837A73" w:rsidP="005A505B">
            <w:pPr>
              <w:rPr>
                <w:rFonts w:cs="Arial"/>
                <w:color w:val="auto"/>
                <w:spacing w:val="0"/>
                <w:sz w:val="20"/>
                <w:szCs w:val="20"/>
                <w:lang w:val="en-ZA" w:eastAsia="en-US"/>
              </w:rPr>
            </w:pPr>
            <w:r w:rsidRPr="005A505B">
              <w:rPr>
                <w:rFonts w:cs="Arial"/>
                <w:color w:val="auto"/>
                <w:spacing w:val="0"/>
                <w:sz w:val="20"/>
                <w:szCs w:val="20"/>
                <w:lang w:val="en-ZA" w:eastAsia="en-US"/>
              </w:rPr>
              <w:t xml:space="preserve">  0</w:t>
            </w:r>
          </w:p>
        </w:tc>
        <w:tc>
          <w:tcPr>
            <w:tcW w:w="1156" w:type="dxa"/>
            <w:noWrap/>
            <w:hideMark/>
          </w:tcPr>
          <w:p w:rsidR="00837A73" w:rsidRPr="005A505B" w:rsidRDefault="00837A73" w:rsidP="005A505B">
            <w:pPr>
              <w:rPr>
                <w:rFonts w:cs="Arial"/>
                <w:color w:val="auto"/>
                <w:spacing w:val="0"/>
                <w:sz w:val="20"/>
                <w:szCs w:val="20"/>
                <w:lang w:val="en-ZA" w:eastAsia="en-US"/>
              </w:rPr>
            </w:pPr>
            <w:r w:rsidRPr="005A505B">
              <w:rPr>
                <w:rFonts w:cs="Arial"/>
                <w:color w:val="auto"/>
                <w:spacing w:val="0"/>
                <w:sz w:val="20"/>
                <w:szCs w:val="20"/>
                <w:lang w:val="en-ZA" w:eastAsia="en-US"/>
              </w:rPr>
              <w:t xml:space="preserve">  0</w:t>
            </w:r>
          </w:p>
        </w:tc>
        <w:tc>
          <w:tcPr>
            <w:tcW w:w="1080" w:type="dxa"/>
            <w:noWrap/>
            <w:hideMark/>
          </w:tcPr>
          <w:p w:rsidR="00837A73" w:rsidRPr="005A505B" w:rsidRDefault="00837A73" w:rsidP="005A505B">
            <w:pPr>
              <w:rPr>
                <w:rFonts w:cs="Arial"/>
                <w:color w:val="auto"/>
                <w:spacing w:val="0"/>
                <w:sz w:val="20"/>
                <w:szCs w:val="20"/>
                <w:lang w:val="en-ZA" w:eastAsia="en-US"/>
              </w:rPr>
            </w:pPr>
            <w:r w:rsidRPr="005A505B">
              <w:rPr>
                <w:rFonts w:cs="Arial"/>
                <w:color w:val="auto"/>
                <w:spacing w:val="0"/>
                <w:sz w:val="20"/>
                <w:szCs w:val="20"/>
                <w:lang w:val="en-ZA" w:eastAsia="en-US"/>
              </w:rPr>
              <w:t>0</w:t>
            </w:r>
          </w:p>
        </w:tc>
        <w:tc>
          <w:tcPr>
            <w:tcW w:w="1170" w:type="dxa"/>
            <w:noWrap/>
            <w:hideMark/>
          </w:tcPr>
          <w:p w:rsidR="00837A73" w:rsidRPr="005A505B" w:rsidRDefault="00837A73" w:rsidP="005A505B">
            <w:pPr>
              <w:rPr>
                <w:rFonts w:cs="Arial"/>
                <w:color w:val="auto"/>
                <w:spacing w:val="0"/>
                <w:sz w:val="20"/>
                <w:szCs w:val="20"/>
                <w:lang w:val="en-ZA" w:eastAsia="en-US"/>
              </w:rPr>
            </w:pPr>
            <w:r w:rsidRPr="005A505B">
              <w:rPr>
                <w:rFonts w:cs="Arial"/>
                <w:color w:val="auto"/>
                <w:spacing w:val="0"/>
                <w:sz w:val="20"/>
                <w:szCs w:val="20"/>
                <w:lang w:val="en-ZA" w:eastAsia="en-US"/>
              </w:rPr>
              <w:t>0</w:t>
            </w:r>
          </w:p>
        </w:tc>
      </w:tr>
      <w:tr w:rsidR="00837A73" w:rsidRPr="005A505B" w:rsidTr="002E66DA">
        <w:trPr>
          <w:trHeight w:val="264"/>
        </w:trPr>
        <w:tc>
          <w:tcPr>
            <w:tcW w:w="2268" w:type="dxa"/>
            <w:noWrap/>
            <w:hideMark/>
          </w:tcPr>
          <w:p w:rsidR="00837A73" w:rsidRPr="005A505B" w:rsidRDefault="00837A73" w:rsidP="005A505B">
            <w:pPr>
              <w:rPr>
                <w:rFonts w:cs="Arial"/>
                <w:color w:val="auto"/>
                <w:spacing w:val="0"/>
                <w:sz w:val="20"/>
                <w:szCs w:val="20"/>
                <w:lang w:val="en-ZA" w:eastAsia="en-US"/>
              </w:rPr>
            </w:pPr>
            <w:r w:rsidRPr="005A505B">
              <w:rPr>
                <w:rFonts w:cs="Arial"/>
                <w:color w:val="auto"/>
                <w:spacing w:val="0"/>
                <w:sz w:val="20"/>
                <w:szCs w:val="20"/>
                <w:lang w:val="en-ZA" w:eastAsia="en-US"/>
              </w:rPr>
              <w:t>Administration</w:t>
            </w:r>
          </w:p>
        </w:tc>
        <w:tc>
          <w:tcPr>
            <w:tcW w:w="1276" w:type="dxa"/>
            <w:noWrap/>
            <w:hideMark/>
          </w:tcPr>
          <w:p w:rsidR="00837A73" w:rsidRPr="005A505B" w:rsidRDefault="00837A73" w:rsidP="005A505B">
            <w:pPr>
              <w:rPr>
                <w:rFonts w:cs="Arial"/>
                <w:color w:val="auto"/>
                <w:spacing w:val="0"/>
                <w:sz w:val="20"/>
                <w:szCs w:val="20"/>
                <w:lang w:val="en-ZA" w:eastAsia="en-US"/>
              </w:rPr>
            </w:pPr>
            <w:r w:rsidRPr="005A505B">
              <w:rPr>
                <w:rFonts w:cs="Arial"/>
                <w:color w:val="auto"/>
                <w:spacing w:val="0"/>
                <w:sz w:val="20"/>
                <w:szCs w:val="20"/>
                <w:lang w:val="en-ZA" w:eastAsia="en-US"/>
              </w:rPr>
              <w:t>1 006 670</w:t>
            </w:r>
          </w:p>
        </w:tc>
        <w:tc>
          <w:tcPr>
            <w:tcW w:w="1276" w:type="dxa"/>
            <w:shd w:val="clear" w:color="auto" w:fill="DAEEF3" w:themeFill="accent5" w:themeFillTint="33"/>
            <w:noWrap/>
            <w:hideMark/>
          </w:tcPr>
          <w:p w:rsidR="00837A73" w:rsidRPr="005A505B" w:rsidRDefault="00837A73" w:rsidP="005A505B">
            <w:pPr>
              <w:rPr>
                <w:rFonts w:cs="Arial"/>
                <w:color w:val="auto"/>
                <w:spacing w:val="0"/>
                <w:sz w:val="20"/>
                <w:szCs w:val="20"/>
                <w:lang w:val="en-ZA" w:eastAsia="en-US"/>
              </w:rPr>
            </w:pPr>
            <w:r w:rsidRPr="005A505B">
              <w:rPr>
                <w:rFonts w:cs="Arial"/>
                <w:color w:val="auto"/>
                <w:spacing w:val="0"/>
                <w:sz w:val="20"/>
                <w:szCs w:val="20"/>
                <w:lang w:val="en-ZA" w:eastAsia="en-US"/>
              </w:rPr>
              <w:t>1 805 381</w:t>
            </w:r>
          </w:p>
        </w:tc>
        <w:tc>
          <w:tcPr>
            <w:tcW w:w="1134" w:type="dxa"/>
            <w:noWrap/>
            <w:hideMark/>
          </w:tcPr>
          <w:p w:rsidR="00837A73" w:rsidRPr="005A505B" w:rsidRDefault="00837A73" w:rsidP="005A505B">
            <w:pPr>
              <w:rPr>
                <w:rFonts w:cs="Arial"/>
                <w:color w:val="auto"/>
                <w:spacing w:val="0"/>
                <w:sz w:val="20"/>
                <w:szCs w:val="20"/>
                <w:lang w:val="en-ZA" w:eastAsia="en-US"/>
              </w:rPr>
            </w:pPr>
            <w:r w:rsidRPr="005A505B">
              <w:rPr>
                <w:rFonts w:cs="Arial"/>
                <w:color w:val="auto"/>
                <w:spacing w:val="0"/>
                <w:sz w:val="20"/>
                <w:szCs w:val="20"/>
                <w:lang w:val="en-ZA" w:eastAsia="en-US"/>
              </w:rPr>
              <w:t xml:space="preserve"> 798 711</w:t>
            </w:r>
          </w:p>
        </w:tc>
        <w:tc>
          <w:tcPr>
            <w:tcW w:w="1156" w:type="dxa"/>
            <w:noWrap/>
            <w:hideMark/>
          </w:tcPr>
          <w:p w:rsidR="00837A73" w:rsidRPr="005A505B" w:rsidRDefault="00837A73" w:rsidP="005A505B">
            <w:pPr>
              <w:rPr>
                <w:rFonts w:cs="Arial"/>
                <w:color w:val="auto"/>
                <w:spacing w:val="0"/>
                <w:sz w:val="20"/>
                <w:szCs w:val="20"/>
                <w:lang w:val="en-ZA" w:eastAsia="en-US"/>
              </w:rPr>
            </w:pPr>
            <w:r w:rsidRPr="005A505B">
              <w:rPr>
                <w:rFonts w:cs="Arial"/>
                <w:color w:val="auto"/>
                <w:spacing w:val="0"/>
                <w:sz w:val="20"/>
                <w:szCs w:val="20"/>
                <w:lang w:val="en-ZA" w:eastAsia="en-US"/>
              </w:rPr>
              <w:t xml:space="preserve"> 720 967</w:t>
            </w:r>
          </w:p>
        </w:tc>
        <w:tc>
          <w:tcPr>
            <w:tcW w:w="1080" w:type="dxa"/>
            <w:noWrap/>
            <w:hideMark/>
          </w:tcPr>
          <w:p w:rsidR="00837A73" w:rsidRPr="005A505B" w:rsidRDefault="00837A73" w:rsidP="005A505B">
            <w:pPr>
              <w:rPr>
                <w:rFonts w:cs="Arial"/>
                <w:color w:val="auto"/>
                <w:spacing w:val="0"/>
                <w:sz w:val="20"/>
                <w:szCs w:val="20"/>
                <w:lang w:val="en-ZA" w:eastAsia="en-US"/>
              </w:rPr>
            </w:pPr>
            <w:r w:rsidRPr="005A505B">
              <w:rPr>
                <w:rFonts w:cs="Arial"/>
                <w:color w:val="auto"/>
                <w:spacing w:val="0"/>
                <w:sz w:val="20"/>
                <w:szCs w:val="20"/>
                <w:lang w:val="en-ZA" w:eastAsia="en-US"/>
              </w:rPr>
              <w:t>79</w:t>
            </w:r>
            <w:r w:rsidR="004B010D" w:rsidRPr="005A505B">
              <w:rPr>
                <w:rFonts w:cs="Arial"/>
                <w:color w:val="auto"/>
                <w:spacing w:val="0"/>
                <w:sz w:val="20"/>
                <w:szCs w:val="20"/>
                <w:lang w:val="en-ZA" w:eastAsia="en-US"/>
              </w:rPr>
              <w:t>.</w:t>
            </w:r>
            <w:r w:rsidRPr="005A505B">
              <w:rPr>
                <w:rFonts w:cs="Arial"/>
                <w:color w:val="auto"/>
                <w:spacing w:val="0"/>
                <w:sz w:val="20"/>
                <w:szCs w:val="20"/>
                <w:lang w:val="en-ZA" w:eastAsia="en-US"/>
              </w:rPr>
              <w:t>34</w:t>
            </w:r>
            <w:r w:rsidR="0034021A" w:rsidRPr="005A505B">
              <w:rPr>
                <w:rFonts w:cs="Arial"/>
                <w:color w:val="auto"/>
                <w:spacing w:val="0"/>
                <w:sz w:val="20"/>
                <w:szCs w:val="20"/>
                <w:lang w:val="en-ZA" w:eastAsia="en-US"/>
              </w:rPr>
              <w:t>%</w:t>
            </w:r>
          </w:p>
        </w:tc>
        <w:tc>
          <w:tcPr>
            <w:tcW w:w="1170" w:type="dxa"/>
            <w:noWrap/>
            <w:hideMark/>
          </w:tcPr>
          <w:p w:rsidR="00837A73" w:rsidRPr="005A505B" w:rsidRDefault="00837A73" w:rsidP="005A505B">
            <w:pPr>
              <w:rPr>
                <w:rFonts w:cs="Arial"/>
                <w:color w:val="auto"/>
                <w:spacing w:val="0"/>
                <w:sz w:val="20"/>
                <w:szCs w:val="20"/>
                <w:lang w:val="en-ZA" w:eastAsia="en-US"/>
              </w:rPr>
            </w:pPr>
            <w:r w:rsidRPr="005A505B">
              <w:rPr>
                <w:rFonts w:cs="Arial"/>
                <w:color w:val="auto"/>
                <w:spacing w:val="0"/>
                <w:sz w:val="20"/>
                <w:szCs w:val="20"/>
                <w:lang w:val="en-ZA" w:eastAsia="en-US"/>
              </w:rPr>
              <w:t>71</w:t>
            </w:r>
            <w:r w:rsidR="004B010D" w:rsidRPr="005A505B">
              <w:rPr>
                <w:rFonts w:cs="Arial"/>
                <w:color w:val="auto"/>
                <w:spacing w:val="0"/>
                <w:sz w:val="20"/>
                <w:szCs w:val="20"/>
                <w:lang w:val="en-ZA" w:eastAsia="en-US"/>
              </w:rPr>
              <w:t>.</w:t>
            </w:r>
            <w:r w:rsidRPr="005A505B">
              <w:rPr>
                <w:rFonts w:cs="Arial"/>
                <w:color w:val="auto"/>
                <w:spacing w:val="0"/>
                <w:sz w:val="20"/>
                <w:szCs w:val="20"/>
                <w:lang w:val="en-ZA" w:eastAsia="en-US"/>
              </w:rPr>
              <w:t>62</w:t>
            </w:r>
            <w:r w:rsidR="0034021A" w:rsidRPr="005A505B">
              <w:rPr>
                <w:rFonts w:cs="Arial"/>
                <w:color w:val="auto"/>
                <w:spacing w:val="0"/>
                <w:sz w:val="20"/>
                <w:szCs w:val="20"/>
                <w:lang w:val="en-ZA" w:eastAsia="en-US"/>
              </w:rPr>
              <w:t>%</w:t>
            </w:r>
          </w:p>
        </w:tc>
      </w:tr>
      <w:tr w:rsidR="00837A73" w:rsidRPr="005A505B" w:rsidTr="002E66DA">
        <w:trPr>
          <w:trHeight w:val="264"/>
        </w:trPr>
        <w:tc>
          <w:tcPr>
            <w:tcW w:w="2268" w:type="dxa"/>
            <w:shd w:val="clear" w:color="auto" w:fill="DAEEF3" w:themeFill="accent5" w:themeFillTint="33"/>
            <w:noWrap/>
            <w:hideMark/>
          </w:tcPr>
          <w:p w:rsidR="00837A73" w:rsidRPr="005A505B" w:rsidRDefault="00837A73" w:rsidP="005A505B">
            <w:pPr>
              <w:rPr>
                <w:rFonts w:cs="Arial"/>
                <w:b/>
                <w:color w:val="auto"/>
                <w:spacing w:val="0"/>
                <w:sz w:val="20"/>
                <w:szCs w:val="20"/>
                <w:lang w:val="en-ZA" w:eastAsia="en-US"/>
              </w:rPr>
            </w:pPr>
            <w:r w:rsidRPr="005A505B">
              <w:rPr>
                <w:rFonts w:cs="Arial"/>
                <w:b/>
                <w:color w:val="auto"/>
                <w:spacing w:val="0"/>
                <w:sz w:val="20"/>
                <w:szCs w:val="20"/>
                <w:lang w:val="en-ZA" w:eastAsia="en-US"/>
              </w:rPr>
              <w:t>TOTAL</w:t>
            </w:r>
          </w:p>
        </w:tc>
        <w:tc>
          <w:tcPr>
            <w:tcW w:w="1276" w:type="dxa"/>
            <w:shd w:val="clear" w:color="auto" w:fill="DAEEF3" w:themeFill="accent5" w:themeFillTint="33"/>
            <w:noWrap/>
            <w:hideMark/>
          </w:tcPr>
          <w:p w:rsidR="00837A73" w:rsidRPr="005A505B" w:rsidRDefault="00837A73" w:rsidP="005A505B">
            <w:pPr>
              <w:rPr>
                <w:rFonts w:cs="Arial"/>
                <w:b/>
                <w:color w:val="auto"/>
                <w:spacing w:val="0"/>
                <w:sz w:val="20"/>
                <w:szCs w:val="20"/>
                <w:lang w:val="en-ZA" w:eastAsia="en-US"/>
              </w:rPr>
            </w:pPr>
            <w:r w:rsidRPr="005A505B">
              <w:rPr>
                <w:rFonts w:cs="Arial"/>
                <w:b/>
                <w:color w:val="auto"/>
                <w:spacing w:val="0"/>
                <w:sz w:val="20"/>
                <w:szCs w:val="20"/>
                <w:lang w:val="en-ZA" w:eastAsia="en-US"/>
              </w:rPr>
              <w:t>10 915 210</w:t>
            </w:r>
          </w:p>
        </w:tc>
        <w:tc>
          <w:tcPr>
            <w:tcW w:w="1276" w:type="dxa"/>
            <w:shd w:val="clear" w:color="auto" w:fill="DAEEF3" w:themeFill="accent5" w:themeFillTint="33"/>
            <w:noWrap/>
            <w:hideMark/>
          </w:tcPr>
          <w:p w:rsidR="00837A73" w:rsidRPr="005A505B" w:rsidRDefault="00837A73" w:rsidP="005A505B">
            <w:pPr>
              <w:rPr>
                <w:rFonts w:cs="Arial"/>
                <w:b/>
                <w:color w:val="auto"/>
                <w:spacing w:val="0"/>
                <w:sz w:val="20"/>
                <w:szCs w:val="20"/>
                <w:lang w:val="en-ZA" w:eastAsia="en-US"/>
              </w:rPr>
            </w:pPr>
            <w:r w:rsidRPr="005A505B">
              <w:rPr>
                <w:rFonts w:cs="Arial"/>
                <w:b/>
                <w:color w:val="auto"/>
                <w:spacing w:val="0"/>
                <w:sz w:val="20"/>
                <w:szCs w:val="20"/>
                <w:lang w:val="en-ZA" w:eastAsia="en-US"/>
              </w:rPr>
              <w:t>11 599 059</w:t>
            </w:r>
          </w:p>
        </w:tc>
        <w:tc>
          <w:tcPr>
            <w:tcW w:w="1134" w:type="dxa"/>
            <w:shd w:val="clear" w:color="auto" w:fill="DAEEF3" w:themeFill="accent5" w:themeFillTint="33"/>
            <w:noWrap/>
            <w:hideMark/>
          </w:tcPr>
          <w:p w:rsidR="00837A73" w:rsidRPr="005A505B" w:rsidRDefault="00837A73" w:rsidP="005A505B">
            <w:pPr>
              <w:rPr>
                <w:rFonts w:cs="Arial"/>
                <w:b/>
                <w:color w:val="auto"/>
                <w:spacing w:val="0"/>
                <w:sz w:val="20"/>
                <w:szCs w:val="20"/>
                <w:lang w:val="en-ZA" w:eastAsia="en-US"/>
              </w:rPr>
            </w:pPr>
            <w:r w:rsidRPr="005A505B">
              <w:rPr>
                <w:rFonts w:cs="Arial"/>
                <w:b/>
                <w:color w:val="auto"/>
                <w:spacing w:val="0"/>
                <w:sz w:val="20"/>
                <w:szCs w:val="20"/>
                <w:lang w:val="en-ZA" w:eastAsia="en-US"/>
              </w:rPr>
              <w:t xml:space="preserve"> 683 849</w:t>
            </w:r>
          </w:p>
        </w:tc>
        <w:tc>
          <w:tcPr>
            <w:tcW w:w="1156" w:type="dxa"/>
            <w:shd w:val="clear" w:color="auto" w:fill="DAEEF3" w:themeFill="accent5" w:themeFillTint="33"/>
            <w:noWrap/>
            <w:hideMark/>
          </w:tcPr>
          <w:p w:rsidR="00837A73" w:rsidRPr="005A505B" w:rsidRDefault="00837A73" w:rsidP="005A505B">
            <w:pPr>
              <w:rPr>
                <w:rFonts w:cs="Arial"/>
                <w:b/>
                <w:color w:val="auto"/>
                <w:spacing w:val="0"/>
                <w:sz w:val="20"/>
                <w:szCs w:val="20"/>
                <w:lang w:val="en-ZA" w:eastAsia="en-US"/>
              </w:rPr>
            </w:pPr>
            <w:r w:rsidRPr="005A505B">
              <w:rPr>
                <w:rFonts w:cs="Arial"/>
                <w:b/>
                <w:color w:val="auto"/>
                <w:spacing w:val="0"/>
                <w:sz w:val="20"/>
                <w:szCs w:val="20"/>
                <w:lang w:val="en-ZA" w:eastAsia="en-US"/>
              </w:rPr>
              <w:t xml:space="preserve"> 184 368</w:t>
            </w:r>
          </w:p>
        </w:tc>
        <w:tc>
          <w:tcPr>
            <w:tcW w:w="1080" w:type="dxa"/>
            <w:shd w:val="clear" w:color="auto" w:fill="DAEEF3" w:themeFill="accent5" w:themeFillTint="33"/>
            <w:noWrap/>
            <w:hideMark/>
          </w:tcPr>
          <w:p w:rsidR="00837A73" w:rsidRPr="005A505B" w:rsidRDefault="00837A73" w:rsidP="005A505B">
            <w:pPr>
              <w:rPr>
                <w:rFonts w:cs="Arial"/>
                <w:b/>
                <w:color w:val="auto"/>
                <w:spacing w:val="0"/>
                <w:sz w:val="20"/>
                <w:szCs w:val="20"/>
                <w:lang w:val="en-ZA" w:eastAsia="en-US"/>
              </w:rPr>
            </w:pPr>
            <w:r w:rsidRPr="005A505B">
              <w:rPr>
                <w:rFonts w:cs="Arial"/>
                <w:b/>
                <w:color w:val="auto"/>
                <w:spacing w:val="0"/>
                <w:sz w:val="20"/>
                <w:szCs w:val="20"/>
                <w:lang w:val="en-ZA" w:eastAsia="en-US"/>
              </w:rPr>
              <w:t>6</w:t>
            </w:r>
            <w:r w:rsidR="004B010D" w:rsidRPr="005A505B">
              <w:rPr>
                <w:rFonts w:cs="Arial"/>
                <w:b/>
                <w:color w:val="auto"/>
                <w:spacing w:val="0"/>
                <w:sz w:val="20"/>
                <w:szCs w:val="20"/>
                <w:lang w:val="en-ZA" w:eastAsia="en-US"/>
              </w:rPr>
              <w:t>.</w:t>
            </w:r>
            <w:r w:rsidRPr="005A505B">
              <w:rPr>
                <w:rFonts w:cs="Arial"/>
                <w:b/>
                <w:color w:val="auto"/>
                <w:spacing w:val="0"/>
                <w:sz w:val="20"/>
                <w:szCs w:val="20"/>
                <w:lang w:val="en-ZA" w:eastAsia="en-US"/>
              </w:rPr>
              <w:t xml:space="preserve">3 </w:t>
            </w:r>
            <w:r w:rsidR="0034021A" w:rsidRPr="005A505B">
              <w:rPr>
                <w:rFonts w:cs="Arial"/>
                <w:b/>
                <w:color w:val="auto"/>
                <w:spacing w:val="0"/>
                <w:sz w:val="20"/>
                <w:szCs w:val="20"/>
                <w:lang w:val="en-ZA" w:eastAsia="en-US"/>
              </w:rPr>
              <w:t>%</w:t>
            </w:r>
          </w:p>
        </w:tc>
        <w:tc>
          <w:tcPr>
            <w:tcW w:w="1170" w:type="dxa"/>
            <w:shd w:val="clear" w:color="auto" w:fill="DAEEF3" w:themeFill="accent5" w:themeFillTint="33"/>
            <w:noWrap/>
            <w:hideMark/>
          </w:tcPr>
          <w:p w:rsidR="00837A73" w:rsidRPr="005A505B" w:rsidRDefault="00837A73" w:rsidP="005A505B">
            <w:pPr>
              <w:rPr>
                <w:rFonts w:cs="Arial"/>
                <w:b/>
                <w:color w:val="auto"/>
                <w:spacing w:val="0"/>
                <w:sz w:val="20"/>
                <w:szCs w:val="20"/>
                <w:lang w:val="en-ZA" w:eastAsia="en-US"/>
              </w:rPr>
            </w:pPr>
            <w:r w:rsidRPr="005A505B">
              <w:rPr>
                <w:rFonts w:cs="Arial"/>
                <w:b/>
                <w:color w:val="auto"/>
                <w:spacing w:val="0"/>
                <w:sz w:val="20"/>
                <w:szCs w:val="20"/>
                <w:lang w:val="en-ZA" w:eastAsia="en-US"/>
              </w:rPr>
              <w:t>1</w:t>
            </w:r>
            <w:r w:rsidR="004B010D" w:rsidRPr="005A505B">
              <w:rPr>
                <w:rFonts w:cs="Arial"/>
                <w:b/>
                <w:color w:val="auto"/>
                <w:spacing w:val="0"/>
                <w:sz w:val="20"/>
                <w:szCs w:val="20"/>
                <w:lang w:val="en-ZA" w:eastAsia="en-US"/>
              </w:rPr>
              <w:t>.</w:t>
            </w:r>
            <w:r w:rsidRPr="005A505B">
              <w:rPr>
                <w:rFonts w:cs="Arial"/>
                <w:b/>
                <w:color w:val="auto"/>
                <w:spacing w:val="0"/>
                <w:sz w:val="20"/>
                <w:szCs w:val="20"/>
                <w:lang w:val="en-ZA" w:eastAsia="en-US"/>
              </w:rPr>
              <w:t>69</w:t>
            </w:r>
            <w:r w:rsidR="0034021A" w:rsidRPr="005A505B">
              <w:rPr>
                <w:rFonts w:cs="Arial"/>
                <w:b/>
                <w:color w:val="auto"/>
                <w:spacing w:val="0"/>
                <w:sz w:val="20"/>
                <w:szCs w:val="20"/>
                <w:lang w:val="en-ZA" w:eastAsia="en-US"/>
              </w:rPr>
              <w:t>%</w:t>
            </w:r>
          </w:p>
        </w:tc>
      </w:tr>
    </w:tbl>
    <w:p w:rsidR="00837A73" w:rsidRPr="005A505B" w:rsidRDefault="00837A73" w:rsidP="005A505B">
      <w:pPr>
        <w:pStyle w:val="Default"/>
        <w:jc w:val="both"/>
        <w:rPr>
          <w:color w:val="auto"/>
          <w:sz w:val="20"/>
          <w:szCs w:val="20"/>
        </w:rPr>
      </w:pPr>
    </w:p>
    <w:p w:rsidR="00837A73" w:rsidRPr="005A505B" w:rsidRDefault="00837A73" w:rsidP="005A505B">
      <w:pPr>
        <w:pStyle w:val="Default"/>
        <w:jc w:val="both"/>
        <w:rPr>
          <w:color w:val="auto"/>
          <w:sz w:val="20"/>
          <w:szCs w:val="20"/>
        </w:rPr>
      </w:pPr>
      <w:r w:rsidRPr="005A505B">
        <w:rPr>
          <w:color w:val="auto"/>
          <w:sz w:val="20"/>
          <w:szCs w:val="20"/>
        </w:rPr>
        <w:t xml:space="preserve">Of all six programmes, programme 6 shows a significant real percentage change of 71,62 </w:t>
      </w:r>
      <w:r w:rsidR="0034021A" w:rsidRPr="005A505B">
        <w:rPr>
          <w:color w:val="auto"/>
          <w:sz w:val="20"/>
          <w:szCs w:val="20"/>
        </w:rPr>
        <w:t>%</w:t>
      </w:r>
      <w:r w:rsidRPr="005A505B">
        <w:rPr>
          <w:color w:val="auto"/>
          <w:sz w:val="20"/>
          <w:szCs w:val="20"/>
        </w:rPr>
        <w:t xml:space="preserve">. Though the increase is commendable but questions should arise on why Administration, not other five </w:t>
      </w:r>
      <w:r w:rsidRPr="005A505B">
        <w:rPr>
          <w:color w:val="auto"/>
          <w:sz w:val="20"/>
          <w:szCs w:val="20"/>
        </w:rPr>
        <w:lastRenderedPageBreak/>
        <w:t>programmes which are at the cold face of the implementation of the APP. Table 2 further presents a real decrease for programme 2 and 3 with R-3.4 million and R-3.1 million respectively. NHLS states that the total expenditure estimate for 2022/23 fiscal year will be comprised of the following cost items:</w:t>
      </w:r>
    </w:p>
    <w:p w:rsidR="00837A73" w:rsidRPr="005A505B" w:rsidRDefault="00837A73" w:rsidP="005A505B">
      <w:pPr>
        <w:pStyle w:val="Default"/>
        <w:jc w:val="both"/>
        <w:rPr>
          <w:color w:val="auto"/>
          <w:sz w:val="20"/>
          <w:szCs w:val="20"/>
        </w:rPr>
      </w:pPr>
    </w:p>
    <w:p w:rsidR="00837A73" w:rsidRPr="005A505B" w:rsidRDefault="00837A73" w:rsidP="005A505B">
      <w:pPr>
        <w:pStyle w:val="Default"/>
        <w:numPr>
          <w:ilvl w:val="0"/>
          <w:numId w:val="76"/>
        </w:numPr>
        <w:jc w:val="both"/>
        <w:rPr>
          <w:color w:val="auto"/>
          <w:sz w:val="20"/>
          <w:szCs w:val="20"/>
        </w:rPr>
      </w:pPr>
      <w:r w:rsidRPr="005A505B">
        <w:rPr>
          <w:color w:val="auto"/>
          <w:sz w:val="20"/>
          <w:szCs w:val="20"/>
        </w:rPr>
        <w:t>Compensation of employees</w:t>
      </w:r>
      <w:r w:rsidRPr="005A505B">
        <w:rPr>
          <w:color w:val="auto"/>
          <w:sz w:val="20"/>
          <w:szCs w:val="20"/>
        </w:rPr>
        <w:tab/>
        <w:t>: R5.5 billion;</w:t>
      </w:r>
    </w:p>
    <w:p w:rsidR="00837A73" w:rsidRPr="005A505B" w:rsidRDefault="00837A73" w:rsidP="005A505B">
      <w:pPr>
        <w:pStyle w:val="Default"/>
        <w:numPr>
          <w:ilvl w:val="0"/>
          <w:numId w:val="76"/>
        </w:numPr>
        <w:jc w:val="both"/>
        <w:rPr>
          <w:color w:val="auto"/>
          <w:sz w:val="20"/>
          <w:szCs w:val="20"/>
        </w:rPr>
      </w:pPr>
      <w:r w:rsidRPr="005A505B">
        <w:rPr>
          <w:color w:val="auto"/>
          <w:sz w:val="20"/>
          <w:szCs w:val="20"/>
        </w:rPr>
        <w:t xml:space="preserve">Goods and services </w:t>
      </w:r>
      <w:r w:rsidRPr="005A505B">
        <w:rPr>
          <w:color w:val="auto"/>
          <w:sz w:val="20"/>
          <w:szCs w:val="20"/>
        </w:rPr>
        <w:tab/>
      </w:r>
      <w:r w:rsidRPr="005A505B">
        <w:rPr>
          <w:color w:val="auto"/>
          <w:sz w:val="20"/>
          <w:szCs w:val="20"/>
        </w:rPr>
        <w:tab/>
        <w:t xml:space="preserve">: R6.1 billion. </w:t>
      </w:r>
    </w:p>
    <w:p w:rsidR="00837A73" w:rsidRPr="005A505B" w:rsidRDefault="00837A73" w:rsidP="005A505B">
      <w:pPr>
        <w:pStyle w:val="Default"/>
        <w:jc w:val="both"/>
        <w:rPr>
          <w:color w:val="auto"/>
          <w:sz w:val="20"/>
          <w:szCs w:val="20"/>
        </w:rPr>
      </w:pPr>
    </w:p>
    <w:p w:rsidR="00837A73" w:rsidRPr="005A505B" w:rsidRDefault="00837A73" w:rsidP="005A505B">
      <w:pPr>
        <w:pStyle w:val="Default"/>
        <w:jc w:val="both"/>
        <w:rPr>
          <w:color w:val="auto"/>
          <w:sz w:val="20"/>
          <w:szCs w:val="20"/>
        </w:rPr>
      </w:pPr>
      <w:r w:rsidRPr="005A505B">
        <w:rPr>
          <w:color w:val="auto"/>
          <w:sz w:val="20"/>
          <w:szCs w:val="20"/>
        </w:rPr>
        <w:t>Over the MTEF period, NHLS forecasts a total revenue of R12.8 billion, which is a jump from R11.7 billion. However, this raises a concern around the decrease of allocation on the activities of the National Institute of Communicable Diseases (NICD) and the National Institute of Occupational Health (NIOH), which are essential for healthcare delivery in the country.</w:t>
      </w:r>
    </w:p>
    <w:p w:rsidR="00F22901" w:rsidRPr="005A505B" w:rsidRDefault="00F22901" w:rsidP="005A505B">
      <w:pPr>
        <w:pStyle w:val="Default"/>
        <w:jc w:val="both"/>
        <w:rPr>
          <w:color w:val="auto"/>
          <w:sz w:val="20"/>
          <w:szCs w:val="20"/>
        </w:rPr>
      </w:pPr>
    </w:p>
    <w:p w:rsidR="000E5422" w:rsidRPr="005A505B" w:rsidRDefault="000E5422" w:rsidP="005A505B">
      <w:pPr>
        <w:pStyle w:val="Default"/>
        <w:jc w:val="both"/>
        <w:rPr>
          <w:color w:val="auto"/>
          <w:sz w:val="20"/>
          <w:szCs w:val="20"/>
        </w:rPr>
      </w:pPr>
    </w:p>
    <w:p w:rsidR="000E5422" w:rsidRPr="005A505B" w:rsidRDefault="000E5422" w:rsidP="005A505B">
      <w:pPr>
        <w:pStyle w:val="Heading2"/>
        <w:numPr>
          <w:ilvl w:val="1"/>
          <w:numId w:val="53"/>
        </w:numPr>
        <w:rPr>
          <w:b w:val="0"/>
          <w:color w:val="auto"/>
          <w:sz w:val="20"/>
          <w:szCs w:val="20"/>
        </w:rPr>
      </w:pPr>
      <w:bookmarkStart w:id="474" w:name="_Toc102119904"/>
      <w:r w:rsidRPr="005A505B">
        <w:rPr>
          <w:color w:val="auto"/>
          <w:sz w:val="20"/>
          <w:szCs w:val="20"/>
        </w:rPr>
        <w:t xml:space="preserve">Council for Medical Schemes </w:t>
      </w:r>
      <w:r w:rsidR="00612DDB" w:rsidRPr="005A505B">
        <w:rPr>
          <w:color w:val="auto"/>
          <w:sz w:val="20"/>
          <w:szCs w:val="20"/>
        </w:rPr>
        <w:t>(CMS)</w:t>
      </w:r>
      <w:bookmarkEnd w:id="474"/>
    </w:p>
    <w:p w:rsidR="00A54000" w:rsidRPr="005A505B" w:rsidRDefault="00A54000" w:rsidP="005A505B">
      <w:pPr>
        <w:rPr>
          <w:rFonts w:cs="Arial"/>
          <w:color w:val="auto"/>
          <w:sz w:val="20"/>
          <w:szCs w:val="20"/>
          <w:lang w:val="en-ZA" w:eastAsia="en-ZA"/>
        </w:rPr>
      </w:pPr>
      <w:bookmarkStart w:id="475" w:name="_Toc100823259"/>
    </w:p>
    <w:p w:rsidR="00A54000" w:rsidRPr="005A505B" w:rsidRDefault="00A54000" w:rsidP="005A505B">
      <w:pPr>
        <w:rPr>
          <w:rFonts w:cs="Arial"/>
          <w:color w:val="auto"/>
          <w:sz w:val="20"/>
          <w:szCs w:val="20"/>
          <w:lang w:val="en-ZA" w:eastAsia="en-ZA"/>
        </w:rPr>
      </w:pPr>
    </w:p>
    <w:p w:rsidR="00BA7B5E" w:rsidRPr="005A505B" w:rsidRDefault="00BA7B5E" w:rsidP="005A505B">
      <w:pPr>
        <w:pStyle w:val="ListParagraph"/>
        <w:numPr>
          <w:ilvl w:val="2"/>
          <w:numId w:val="53"/>
        </w:numPr>
        <w:rPr>
          <w:rFonts w:cs="Arial"/>
          <w:bCs/>
          <w:color w:val="auto"/>
          <w:sz w:val="20"/>
          <w:szCs w:val="20"/>
          <w:lang w:val="en-ZA" w:eastAsia="en-ZA"/>
        </w:rPr>
      </w:pPr>
      <w:r w:rsidRPr="005A505B">
        <w:rPr>
          <w:rFonts w:cs="Arial"/>
          <w:b/>
          <w:color w:val="auto"/>
          <w:sz w:val="20"/>
          <w:szCs w:val="20"/>
          <w:lang w:val="en-ZA" w:eastAsia="en-ZA"/>
        </w:rPr>
        <w:t xml:space="preserve">Introduction </w:t>
      </w:r>
      <w:bookmarkEnd w:id="475"/>
    </w:p>
    <w:p w:rsidR="00BA7B5E" w:rsidRPr="005A505B" w:rsidRDefault="00BA7B5E" w:rsidP="005A505B">
      <w:pPr>
        <w:rPr>
          <w:rFonts w:cs="Arial"/>
          <w:color w:val="auto"/>
          <w:sz w:val="20"/>
          <w:szCs w:val="20"/>
          <w:lang w:val="en-ZA" w:eastAsia="en-ZA"/>
        </w:rPr>
      </w:pPr>
    </w:p>
    <w:p w:rsidR="00BA7B5E" w:rsidRPr="005A505B" w:rsidRDefault="00BA7B5E" w:rsidP="005A505B">
      <w:pPr>
        <w:jc w:val="both"/>
        <w:rPr>
          <w:rFonts w:cs="Arial"/>
          <w:color w:val="auto"/>
          <w:sz w:val="20"/>
          <w:szCs w:val="20"/>
        </w:rPr>
      </w:pPr>
      <w:r w:rsidRPr="005A505B">
        <w:rPr>
          <w:rFonts w:cs="Arial"/>
          <w:color w:val="auto"/>
          <w:sz w:val="20"/>
          <w:szCs w:val="20"/>
        </w:rPr>
        <w:t xml:space="preserve">The Council for Medical Schemes (CMS) is the national medical schemes regulatory authority. It is the public entity responsible for regulating the medical schemes industry to protect the interests of members and beneficiaries, “controlling and co-ordinating the functioning of medical schemes, collecting and disseminating information about private health care, and advising the Minister of Health on any matter concerning medical schemes. </w:t>
      </w:r>
    </w:p>
    <w:p w:rsidR="00BA7B5E" w:rsidRPr="005A505B" w:rsidRDefault="00BA7B5E" w:rsidP="005A505B">
      <w:pPr>
        <w:jc w:val="both"/>
        <w:rPr>
          <w:rFonts w:cs="Arial"/>
          <w:color w:val="auto"/>
          <w:sz w:val="20"/>
          <w:szCs w:val="20"/>
        </w:rPr>
      </w:pPr>
    </w:p>
    <w:p w:rsidR="00BA7B5E" w:rsidRPr="005A505B" w:rsidRDefault="00BA7B5E" w:rsidP="005A505B">
      <w:pPr>
        <w:jc w:val="both"/>
        <w:rPr>
          <w:rFonts w:cs="Arial"/>
          <w:color w:val="auto"/>
          <w:sz w:val="20"/>
          <w:szCs w:val="20"/>
        </w:rPr>
      </w:pPr>
      <w:r w:rsidRPr="005A505B">
        <w:rPr>
          <w:rFonts w:cs="Arial"/>
          <w:color w:val="auto"/>
          <w:sz w:val="20"/>
          <w:szCs w:val="20"/>
        </w:rPr>
        <w:t>CMS Annual Performance Plan indicates that as at 31 March 2021, the Council regulates (74 (down from 76) medical schemes, 19 administrators (including self-administered schemes), 41 managed care organisations and 2 231 broker organisations and 7 872 individual brokers. CMS regulate these entities utilising the Medical Schemes Act (No. 131 of 1998) and Regulations to ensure that all the 8.9 million scheme beneficiaries’ interests are protected. This means that the CMS should ensure that all the regulated entities are at all times compliant with the Act and its provisions.</w:t>
      </w:r>
    </w:p>
    <w:p w:rsidR="00BA7B5E" w:rsidRPr="005A505B" w:rsidRDefault="00BA7B5E" w:rsidP="005A505B">
      <w:pPr>
        <w:jc w:val="both"/>
        <w:rPr>
          <w:rFonts w:cs="Arial"/>
          <w:color w:val="auto"/>
          <w:sz w:val="20"/>
          <w:szCs w:val="20"/>
        </w:rPr>
      </w:pPr>
    </w:p>
    <w:p w:rsidR="00BA7B5E" w:rsidRPr="005A505B" w:rsidRDefault="00BA7B5E" w:rsidP="005A505B">
      <w:pPr>
        <w:jc w:val="both"/>
        <w:rPr>
          <w:rFonts w:cs="Arial"/>
          <w:color w:val="auto"/>
          <w:sz w:val="20"/>
          <w:szCs w:val="20"/>
        </w:rPr>
      </w:pPr>
      <w:r w:rsidRPr="005A505B">
        <w:rPr>
          <w:rFonts w:cs="Arial"/>
          <w:color w:val="auto"/>
          <w:sz w:val="20"/>
          <w:szCs w:val="20"/>
        </w:rPr>
        <w:t>In the previous financial years, the health sector has seen the release of the Medical Schemes Amendment and National Health Insurance Bills, as well as the Health Market Inquiry final report. The process of finalising and implementing these three policy initiatives will provide a basis for all the key initiatives that the Council will focus on within the next five years.</w:t>
      </w:r>
    </w:p>
    <w:p w:rsidR="00BA7B5E" w:rsidRPr="005A505B" w:rsidRDefault="00BA7B5E" w:rsidP="005A505B">
      <w:pPr>
        <w:jc w:val="both"/>
        <w:rPr>
          <w:rFonts w:cs="Arial"/>
          <w:color w:val="auto"/>
          <w:sz w:val="20"/>
          <w:szCs w:val="20"/>
        </w:rPr>
      </w:pPr>
    </w:p>
    <w:p w:rsidR="00BA7B5E" w:rsidRPr="005A505B" w:rsidRDefault="00BA7B5E" w:rsidP="005A505B">
      <w:pPr>
        <w:jc w:val="both"/>
        <w:rPr>
          <w:rFonts w:cs="Arial"/>
          <w:color w:val="auto"/>
          <w:sz w:val="20"/>
          <w:szCs w:val="20"/>
        </w:rPr>
      </w:pPr>
      <w:r w:rsidRPr="005A505B">
        <w:rPr>
          <w:rFonts w:cs="Arial"/>
          <w:color w:val="auto"/>
          <w:sz w:val="20"/>
          <w:szCs w:val="20"/>
        </w:rPr>
        <w:t>The strategic objectives for the CMS for the next three years are to ensure effective regulation of the medical schemes industry and playing a significant role in the implementation of Universal Health Coverage, known in South Africa as the National Health Insurance (NHI). The CMS aims to make significant contributions in the following key areas:</w:t>
      </w:r>
    </w:p>
    <w:p w:rsidR="00BA7B5E" w:rsidRPr="005A505B" w:rsidRDefault="00BA7B5E" w:rsidP="005A505B">
      <w:pPr>
        <w:numPr>
          <w:ilvl w:val="0"/>
          <w:numId w:val="78"/>
        </w:numPr>
        <w:jc w:val="both"/>
        <w:rPr>
          <w:rFonts w:cs="Arial"/>
          <w:color w:val="auto"/>
          <w:sz w:val="20"/>
          <w:szCs w:val="20"/>
        </w:rPr>
      </w:pPr>
      <w:r w:rsidRPr="005A505B">
        <w:rPr>
          <w:rFonts w:cs="Arial"/>
          <w:color w:val="auto"/>
          <w:sz w:val="20"/>
          <w:szCs w:val="20"/>
        </w:rPr>
        <w:t>Policy development and research;</w:t>
      </w:r>
    </w:p>
    <w:p w:rsidR="00BA7B5E" w:rsidRPr="005A505B" w:rsidRDefault="00BA7B5E" w:rsidP="005A505B">
      <w:pPr>
        <w:numPr>
          <w:ilvl w:val="0"/>
          <w:numId w:val="78"/>
        </w:numPr>
        <w:jc w:val="both"/>
        <w:rPr>
          <w:rFonts w:cs="Arial"/>
          <w:color w:val="auto"/>
          <w:sz w:val="20"/>
          <w:szCs w:val="20"/>
        </w:rPr>
      </w:pPr>
      <w:r w:rsidRPr="005A505B">
        <w:rPr>
          <w:rFonts w:cs="Arial"/>
          <w:color w:val="auto"/>
          <w:sz w:val="20"/>
          <w:szCs w:val="20"/>
        </w:rPr>
        <w:t xml:space="preserve">Reduction of costs and quality improvement </w:t>
      </w:r>
    </w:p>
    <w:p w:rsidR="00BA7B5E" w:rsidRPr="005A505B" w:rsidRDefault="00BA7B5E" w:rsidP="005A505B">
      <w:pPr>
        <w:numPr>
          <w:ilvl w:val="0"/>
          <w:numId w:val="78"/>
        </w:numPr>
        <w:jc w:val="both"/>
        <w:rPr>
          <w:rFonts w:cs="Arial"/>
          <w:color w:val="auto"/>
          <w:sz w:val="20"/>
          <w:szCs w:val="20"/>
        </w:rPr>
      </w:pPr>
      <w:r w:rsidRPr="005A505B">
        <w:rPr>
          <w:rFonts w:cs="Arial"/>
          <w:color w:val="auto"/>
          <w:sz w:val="20"/>
          <w:szCs w:val="20"/>
        </w:rPr>
        <w:t>Reduction of fraud, waste and abuse;</w:t>
      </w:r>
    </w:p>
    <w:p w:rsidR="00BA7B5E" w:rsidRPr="005A505B" w:rsidRDefault="00BA7B5E" w:rsidP="005A505B">
      <w:pPr>
        <w:numPr>
          <w:ilvl w:val="0"/>
          <w:numId w:val="78"/>
        </w:numPr>
        <w:jc w:val="both"/>
        <w:rPr>
          <w:rFonts w:cs="Arial"/>
          <w:color w:val="auto"/>
          <w:sz w:val="20"/>
          <w:szCs w:val="20"/>
        </w:rPr>
      </w:pPr>
      <w:r w:rsidRPr="005A505B">
        <w:rPr>
          <w:rFonts w:cs="Arial"/>
          <w:color w:val="auto"/>
          <w:sz w:val="20"/>
          <w:szCs w:val="20"/>
        </w:rPr>
        <w:t>Support establishment of a coding authority;</w:t>
      </w:r>
    </w:p>
    <w:p w:rsidR="00BA7B5E" w:rsidRPr="005A505B" w:rsidRDefault="00BA7B5E" w:rsidP="005A505B">
      <w:pPr>
        <w:numPr>
          <w:ilvl w:val="0"/>
          <w:numId w:val="78"/>
        </w:numPr>
        <w:jc w:val="both"/>
        <w:rPr>
          <w:rFonts w:cs="Arial"/>
          <w:color w:val="auto"/>
          <w:sz w:val="20"/>
          <w:szCs w:val="20"/>
        </w:rPr>
      </w:pPr>
      <w:r w:rsidRPr="005A505B">
        <w:rPr>
          <w:rFonts w:cs="Arial"/>
          <w:color w:val="auto"/>
          <w:sz w:val="20"/>
          <w:szCs w:val="20"/>
        </w:rPr>
        <w:t xml:space="preserve">Harmonise the medical schemes regulatory frameworks in the SADC  </w:t>
      </w:r>
    </w:p>
    <w:p w:rsidR="00BA7B5E" w:rsidRPr="005A505B" w:rsidRDefault="00BA7B5E" w:rsidP="005A505B">
      <w:pPr>
        <w:numPr>
          <w:ilvl w:val="0"/>
          <w:numId w:val="78"/>
        </w:numPr>
        <w:jc w:val="both"/>
        <w:rPr>
          <w:rFonts w:cs="Arial"/>
          <w:color w:val="auto"/>
          <w:sz w:val="20"/>
          <w:szCs w:val="20"/>
        </w:rPr>
      </w:pPr>
      <w:r w:rsidRPr="005A505B">
        <w:rPr>
          <w:rFonts w:cs="Arial"/>
          <w:color w:val="auto"/>
          <w:sz w:val="20"/>
          <w:szCs w:val="20"/>
        </w:rPr>
        <w:t xml:space="preserve">Consolidation of options and medical schemes; </w:t>
      </w:r>
    </w:p>
    <w:p w:rsidR="00BA7B5E" w:rsidRPr="005A505B" w:rsidRDefault="00BA7B5E" w:rsidP="005A505B">
      <w:pPr>
        <w:numPr>
          <w:ilvl w:val="0"/>
          <w:numId w:val="78"/>
        </w:numPr>
        <w:jc w:val="both"/>
        <w:rPr>
          <w:rFonts w:cs="Arial"/>
          <w:color w:val="auto"/>
          <w:sz w:val="20"/>
          <w:szCs w:val="20"/>
        </w:rPr>
      </w:pPr>
      <w:r w:rsidRPr="005A505B">
        <w:rPr>
          <w:rFonts w:cs="Arial"/>
          <w:color w:val="auto"/>
          <w:sz w:val="20"/>
          <w:szCs w:val="20"/>
        </w:rPr>
        <w:t xml:space="preserve">Primary Health Care package as part of the Prescribed Minimum Benefits (PMBs); and </w:t>
      </w:r>
    </w:p>
    <w:p w:rsidR="00BA7B5E" w:rsidRPr="005A505B" w:rsidRDefault="00BA7B5E" w:rsidP="005A505B">
      <w:pPr>
        <w:numPr>
          <w:ilvl w:val="0"/>
          <w:numId w:val="78"/>
        </w:numPr>
        <w:jc w:val="both"/>
        <w:rPr>
          <w:rFonts w:cs="Arial"/>
          <w:color w:val="auto"/>
          <w:sz w:val="20"/>
          <w:szCs w:val="20"/>
        </w:rPr>
      </w:pPr>
      <w:r w:rsidRPr="005A505B">
        <w:rPr>
          <w:rFonts w:cs="Arial"/>
          <w:color w:val="auto"/>
          <w:sz w:val="20"/>
          <w:szCs w:val="20"/>
        </w:rPr>
        <w:t>Presidential Health Compact.</w:t>
      </w:r>
    </w:p>
    <w:p w:rsidR="00BA7B5E" w:rsidRPr="005A505B" w:rsidRDefault="00BA7B5E" w:rsidP="005A505B">
      <w:pPr>
        <w:rPr>
          <w:rFonts w:cs="Arial"/>
          <w:color w:val="auto"/>
          <w:sz w:val="20"/>
          <w:szCs w:val="20"/>
        </w:rPr>
      </w:pPr>
    </w:p>
    <w:p w:rsidR="00BA7B5E" w:rsidRPr="005A505B" w:rsidRDefault="00A54000" w:rsidP="005A505B">
      <w:pPr>
        <w:pStyle w:val="ListParagraph"/>
        <w:numPr>
          <w:ilvl w:val="2"/>
          <w:numId w:val="53"/>
        </w:numPr>
        <w:rPr>
          <w:rFonts w:cs="Arial"/>
          <w:color w:val="auto"/>
          <w:sz w:val="20"/>
          <w:szCs w:val="20"/>
        </w:rPr>
      </w:pPr>
      <w:bookmarkStart w:id="476" w:name="_Toc100823260"/>
      <w:r w:rsidRPr="005A505B">
        <w:rPr>
          <w:rFonts w:cs="Arial"/>
          <w:b/>
          <w:color w:val="auto"/>
          <w:sz w:val="20"/>
          <w:szCs w:val="20"/>
        </w:rPr>
        <w:t>Internal Environment Analysis</w:t>
      </w:r>
      <w:bookmarkEnd w:id="476"/>
    </w:p>
    <w:p w:rsidR="00BA7B5E" w:rsidRPr="005A505B" w:rsidRDefault="00BA7B5E" w:rsidP="005A505B">
      <w:pPr>
        <w:autoSpaceDE w:val="0"/>
        <w:autoSpaceDN w:val="0"/>
        <w:adjustRightInd w:val="0"/>
        <w:rPr>
          <w:rFonts w:cs="Arial"/>
          <w:iCs/>
          <w:color w:val="auto"/>
          <w:sz w:val="20"/>
          <w:szCs w:val="20"/>
          <w:lang w:val="en-ZA" w:eastAsia="en-ZA"/>
        </w:rPr>
      </w:pPr>
    </w:p>
    <w:p w:rsidR="00BA7B5E" w:rsidRPr="005A505B" w:rsidRDefault="00BA7B5E" w:rsidP="005A505B">
      <w:pPr>
        <w:autoSpaceDE w:val="0"/>
        <w:autoSpaceDN w:val="0"/>
        <w:adjustRightInd w:val="0"/>
        <w:jc w:val="both"/>
        <w:rPr>
          <w:rFonts w:cs="Arial"/>
          <w:iCs/>
          <w:color w:val="auto"/>
          <w:sz w:val="20"/>
          <w:szCs w:val="20"/>
          <w:lang w:val="en-ZA" w:eastAsia="en-ZA"/>
        </w:rPr>
      </w:pPr>
      <w:r w:rsidRPr="005A505B">
        <w:rPr>
          <w:rFonts w:cs="Arial"/>
          <w:iCs/>
          <w:color w:val="auto"/>
          <w:sz w:val="20"/>
          <w:szCs w:val="20"/>
          <w:lang w:val="en-ZA" w:eastAsia="en-ZA"/>
        </w:rPr>
        <w:t xml:space="preserve">The CMS identified a number of threats, weaknesses, opportunities and strengths in its APP. As it did in last year’s APP, the CMS reports a: “fairly stable environment, despite the fact that there has been an increased staff turn-over during the past year due to non-renewal of contracts and employees moving to “greener pastures,” as well as identifying the need to restructure the organisation. It further notes that employer/employee relations continue to be a challenge. </w:t>
      </w:r>
    </w:p>
    <w:p w:rsidR="00BA7B5E" w:rsidRPr="005A505B" w:rsidRDefault="00BA7B5E" w:rsidP="005A505B">
      <w:pPr>
        <w:autoSpaceDE w:val="0"/>
        <w:autoSpaceDN w:val="0"/>
        <w:adjustRightInd w:val="0"/>
        <w:jc w:val="both"/>
        <w:rPr>
          <w:rFonts w:cs="Arial"/>
          <w:iCs/>
          <w:color w:val="auto"/>
          <w:sz w:val="20"/>
          <w:szCs w:val="20"/>
          <w:lang w:val="en-ZA" w:eastAsia="en-ZA"/>
        </w:rPr>
      </w:pPr>
    </w:p>
    <w:p w:rsidR="0073170C" w:rsidRPr="005A505B" w:rsidRDefault="0073170C" w:rsidP="005A505B">
      <w:pPr>
        <w:pStyle w:val="ListParagraph"/>
        <w:numPr>
          <w:ilvl w:val="2"/>
          <w:numId w:val="53"/>
        </w:numPr>
        <w:rPr>
          <w:rFonts w:cs="Arial"/>
          <w:color w:val="auto"/>
          <w:sz w:val="20"/>
          <w:szCs w:val="20"/>
        </w:rPr>
      </w:pPr>
      <w:r w:rsidRPr="005A505B">
        <w:rPr>
          <w:rFonts w:cs="Arial"/>
          <w:b/>
          <w:color w:val="auto"/>
          <w:sz w:val="20"/>
          <w:szCs w:val="20"/>
        </w:rPr>
        <w:lastRenderedPageBreak/>
        <w:t>Performance Information</w:t>
      </w:r>
      <w:r w:rsidR="00D46D71" w:rsidRPr="005A505B">
        <w:rPr>
          <w:rFonts w:cs="Arial"/>
          <w:b/>
          <w:color w:val="auto"/>
          <w:sz w:val="20"/>
          <w:szCs w:val="20"/>
        </w:rPr>
        <w:t xml:space="preserve"> for 2022/23</w:t>
      </w:r>
    </w:p>
    <w:p w:rsidR="00BA7B5E" w:rsidRPr="005A505B" w:rsidRDefault="00BA7B5E" w:rsidP="005A505B">
      <w:pPr>
        <w:rPr>
          <w:rFonts w:cs="Arial"/>
          <w:b/>
          <w:bCs/>
          <w:color w:val="auto"/>
          <w:sz w:val="20"/>
          <w:szCs w:val="20"/>
          <w:lang w:val="en-ZA" w:eastAsia="en-ZA"/>
        </w:rPr>
      </w:pPr>
    </w:p>
    <w:p w:rsidR="00BA7B5E" w:rsidRPr="005A505B" w:rsidRDefault="00BA7B5E" w:rsidP="005A505B">
      <w:pPr>
        <w:autoSpaceDE w:val="0"/>
        <w:autoSpaceDN w:val="0"/>
        <w:adjustRightInd w:val="0"/>
        <w:jc w:val="both"/>
        <w:rPr>
          <w:rFonts w:cs="Arial"/>
          <w:bCs/>
          <w:color w:val="auto"/>
          <w:sz w:val="20"/>
          <w:szCs w:val="20"/>
          <w:lang w:val="en-ZA" w:eastAsia="en-ZA"/>
        </w:rPr>
      </w:pPr>
      <w:r w:rsidRPr="005A505B">
        <w:rPr>
          <w:rFonts w:cs="Arial"/>
          <w:bCs/>
          <w:color w:val="auto"/>
          <w:sz w:val="20"/>
          <w:szCs w:val="20"/>
          <w:lang w:val="en-ZA" w:eastAsia="en-ZA"/>
        </w:rPr>
        <w:t>The table below highlights some of the annual and quarterly performance indicators for the CMS. The CMS has restructured its programmes, from nine to five programmes as outlined below.</w:t>
      </w:r>
    </w:p>
    <w:p w:rsidR="00BA7B5E" w:rsidRPr="005A505B" w:rsidRDefault="00BA7B5E" w:rsidP="005A505B">
      <w:pPr>
        <w:autoSpaceDE w:val="0"/>
        <w:autoSpaceDN w:val="0"/>
        <w:adjustRightInd w:val="0"/>
        <w:jc w:val="both"/>
        <w:rPr>
          <w:rFonts w:cs="Arial"/>
          <w:bCs/>
          <w:color w:val="auto"/>
          <w:sz w:val="20"/>
          <w:szCs w:val="20"/>
          <w:lang w:val="en-ZA" w:eastAsia="en-ZA"/>
        </w:rPr>
      </w:pPr>
    </w:p>
    <w:p w:rsidR="003A703E" w:rsidRPr="005A505B" w:rsidRDefault="003A703E" w:rsidP="005A505B">
      <w:pPr>
        <w:autoSpaceDE w:val="0"/>
        <w:autoSpaceDN w:val="0"/>
        <w:adjustRightInd w:val="0"/>
        <w:jc w:val="both"/>
        <w:rPr>
          <w:rFonts w:cs="Arial"/>
          <w:bCs/>
          <w:color w:val="auto"/>
          <w:sz w:val="20"/>
          <w:szCs w:val="20"/>
          <w:lang w:val="en-ZA" w:eastAsia="en-ZA"/>
        </w:rPr>
      </w:pPr>
    </w:p>
    <w:p w:rsidR="003A703E" w:rsidRPr="005A505B" w:rsidRDefault="003A703E" w:rsidP="005A505B">
      <w:pPr>
        <w:autoSpaceDE w:val="0"/>
        <w:autoSpaceDN w:val="0"/>
        <w:adjustRightInd w:val="0"/>
        <w:jc w:val="both"/>
        <w:rPr>
          <w:rFonts w:cs="Arial"/>
          <w:bCs/>
          <w:color w:val="auto"/>
          <w:sz w:val="20"/>
          <w:szCs w:val="20"/>
          <w:lang w:val="en-ZA" w:eastAsia="en-ZA"/>
        </w:rPr>
      </w:pPr>
    </w:p>
    <w:p w:rsidR="003A703E" w:rsidRPr="005A505B" w:rsidRDefault="003A703E" w:rsidP="005A505B">
      <w:pPr>
        <w:autoSpaceDE w:val="0"/>
        <w:autoSpaceDN w:val="0"/>
        <w:adjustRightInd w:val="0"/>
        <w:jc w:val="both"/>
        <w:rPr>
          <w:rFonts w:cs="Arial"/>
          <w:bCs/>
          <w:color w:val="auto"/>
          <w:sz w:val="20"/>
          <w:szCs w:val="20"/>
          <w:lang w:val="en-ZA" w:eastAsia="en-ZA"/>
        </w:rPr>
      </w:pPr>
    </w:p>
    <w:p w:rsidR="003A703E" w:rsidRPr="005A505B" w:rsidRDefault="003A703E" w:rsidP="005A505B">
      <w:pPr>
        <w:autoSpaceDE w:val="0"/>
        <w:autoSpaceDN w:val="0"/>
        <w:adjustRightInd w:val="0"/>
        <w:jc w:val="both"/>
        <w:rPr>
          <w:rFonts w:cs="Arial"/>
          <w:bCs/>
          <w:color w:val="auto"/>
          <w:sz w:val="20"/>
          <w:szCs w:val="20"/>
          <w:lang w:val="en-ZA" w:eastAsia="en-ZA"/>
        </w:rPr>
      </w:pPr>
    </w:p>
    <w:p w:rsidR="00BA7B5E" w:rsidRPr="005A505B" w:rsidRDefault="00BA7B5E" w:rsidP="005A505B">
      <w:pPr>
        <w:autoSpaceDE w:val="0"/>
        <w:autoSpaceDN w:val="0"/>
        <w:adjustRightInd w:val="0"/>
        <w:jc w:val="both"/>
        <w:rPr>
          <w:rFonts w:cs="Arial"/>
          <w:b/>
          <w:color w:val="auto"/>
          <w:sz w:val="20"/>
          <w:szCs w:val="20"/>
        </w:rPr>
      </w:pPr>
      <w:r w:rsidRPr="005A505B">
        <w:rPr>
          <w:rFonts w:cs="Arial"/>
          <w:b/>
          <w:color w:val="auto"/>
          <w:sz w:val="20"/>
          <w:szCs w:val="20"/>
        </w:rPr>
        <w:t xml:space="preserve">Table </w:t>
      </w:r>
      <w:r w:rsidR="0073170C" w:rsidRPr="005A505B">
        <w:rPr>
          <w:rFonts w:cs="Arial"/>
          <w:b/>
          <w:color w:val="auto"/>
          <w:sz w:val="20"/>
          <w:szCs w:val="20"/>
        </w:rPr>
        <w:t>12</w:t>
      </w:r>
      <w:r w:rsidRPr="005A505B">
        <w:rPr>
          <w:rFonts w:cs="Arial"/>
          <w:b/>
          <w:color w:val="auto"/>
          <w:sz w:val="20"/>
          <w:szCs w:val="20"/>
        </w:rPr>
        <w:t>: Strategic Objectives and Performance Plan Indicators for 2022/23</w:t>
      </w: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66"/>
        <w:gridCol w:w="3313"/>
        <w:gridCol w:w="3566"/>
      </w:tblGrid>
      <w:tr w:rsidR="00BA7B5E" w:rsidRPr="005A505B" w:rsidTr="002E66DA">
        <w:trPr>
          <w:trHeight w:val="285"/>
          <w:tblHeader/>
        </w:trPr>
        <w:tc>
          <w:tcPr>
            <w:tcW w:w="2306" w:type="dxa"/>
            <w:tcBorders>
              <w:top w:val="single" w:sz="4" w:space="0" w:color="000000"/>
              <w:left w:val="single" w:sz="4" w:space="0" w:color="000000"/>
              <w:bottom w:val="single" w:sz="4" w:space="0" w:color="auto"/>
              <w:right w:val="single" w:sz="4" w:space="0" w:color="000000"/>
            </w:tcBorders>
            <w:shd w:val="clear" w:color="auto" w:fill="DAEEF3" w:themeFill="accent5" w:themeFillTint="33"/>
          </w:tcPr>
          <w:p w:rsidR="00BA7B5E" w:rsidRPr="005A505B" w:rsidRDefault="00BA7B5E" w:rsidP="005A505B">
            <w:pPr>
              <w:jc w:val="both"/>
              <w:rPr>
                <w:rFonts w:eastAsia="Calibri" w:cs="Arial"/>
                <w:b/>
                <w:color w:val="auto"/>
                <w:sz w:val="20"/>
                <w:szCs w:val="20"/>
              </w:rPr>
            </w:pPr>
            <w:r w:rsidRPr="005A505B">
              <w:rPr>
                <w:rFonts w:eastAsia="Calibri" w:cs="Arial"/>
                <w:b/>
                <w:color w:val="auto"/>
                <w:sz w:val="20"/>
                <w:szCs w:val="20"/>
              </w:rPr>
              <w:t>PROGRAMME</w:t>
            </w:r>
          </w:p>
          <w:p w:rsidR="00BA7B5E" w:rsidRPr="005A505B" w:rsidRDefault="00BA7B5E" w:rsidP="005A505B">
            <w:pPr>
              <w:jc w:val="both"/>
              <w:rPr>
                <w:rFonts w:eastAsia="Calibri" w:cs="Arial"/>
                <w:b/>
                <w:color w:val="auto"/>
                <w:sz w:val="20"/>
                <w:szCs w:val="20"/>
              </w:rPr>
            </w:pPr>
          </w:p>
        </w:tc>
        <w:tc>
          <w:tcPr>
            <w:tcW w:w="3449"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BA7B5E" w:rsidRPr="005A505B" w:rsidRDefault="00BA7B5E" w:rsidP="005A505B">
            <w:pPr>
              <w:jc w:val="both"/>
              <w:rPr>
                <w:rFonts w:eastAsia="Calibri" w:cs="Arial"/>
                <w:b/>
                <w:color w:val="auto"/>
                <w:sz w:val="20"/>
                <w:szCs w:val="20"/>
              </w:rPr>
            </w:pPr>
            <w:r w:rsidRPr="005A505B">
              <w:rPr>
                <w:rFonts w:eastAsia="Calibri" w:cs="Arial"/>
                <w:b/>
                <w:color w:val="auto"/>
                <w:sz w:val="20"/>
                <w:szCs w:val="20"/>
              </w:rPr>
              <w:t>STRATEGIC OBJECTIVE</w:t>
            </w:r>
          </w:p>
        </w:tc>
        <w:tc>
          <w:tcPr>
            <w:tcW w:w="369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BA7B5E" w:rsidRPr="005A505B" w:rsidRDefault="00BA7B5E" w:rsidP="005A505B">
            <w:pPr>
              <w:jc w:val="both"/>
              <w:rPr>
                <w:rFonts w:eastAsia="Calibri" w:cs="Arial"/>
                <w:b/>
                <w:color w:val="auto"/>
                <w:sz w:val="20"/>
                <w:szCs w:val="20"/>
              </w:rPr>
            </w:pPr>
            <w:r w:rsidRPr="005A505B">
              <w:rPr>
                <w:rFonts w:eastAsia="Calibri" w:cs="Arial"/>
                <w:b/>
                <w:color w:val="auto"/>
                <w:sz w:val="20"/>
                <w:szCs w:val="20"/>
              </w:rPr>
              <w:t>PLANNED TARGET 2022/23</w:t>
            </w:r>
          </w:p>
        </w:tc>
      </w:tr>
      <w:tr w:rsidR="00BA7B5E" w:rsidRPr="005A505B" w:rsidTr="002E66DA">
        <w:trPr>
          <w:trHeight w:val="676"/>
        </w:trPr>
        <w:tc>
          <w:tcPr>
            <w:tcW w:w="2306" w:type="dxa"/>
            <w:vMerge w:val="restart"/>
            <w:tcBorders>
              <w:top w:val="single" w:sz="4" w:space="0" w:color="000000"/>
              <w:left w:val="single" w:sz="4" w:space="0" w:color="000000"/>
              <w:right w:val="single" w:sz="4" w:space="0" w:color="000000"/>
            </w:tcBorders>
            <w:shd w:val="clear" w:color="auto" w:fill="auto"/>
          </w:tcPr>
          <w:p w:rsidR="00BA7B5E" w:rsidRPr="005A505B" w:rsidRDefault="00BA7B5E" w:rsidP="005A505B">
            <w:pPr>
              <w:numPr>
                <w:ilvl w:val="0"/>
                <w:numId w:val="25"/>
              </w:numPr>
              <w:ind w:left="446"/>
              <w:jc w:val="both"/>
              <w:rPr>
                <w:rFonts w:eastAsia="Calibri" w:cs="Arial"/>
                <w:b/>
                <w:color w:val="auto"/>
                <w:sz w:val="20"/>
                <w:szCs w:val="20"/>
              </w:rPr>
            </w:pPr>
            <w:r w:rsidRPr="005A505B">
              <w:rPr>
                <w:rFonts w:eastAsia="Calibri" w:cs="Arial"/>
                <w:b/>
                <w:color w:val="auto"/>
                <w:sz w:val="20"/>
                <w:szCs w:val="20"/>
              </w:rPr>
              <w:t>ADMINISTRATION</w:t>
            </w:r>
          </w:p>
          <w:p w:rsidR="00BA7B5E" w:rsidRPr="005A505B" w:rsidRDefault="00BA7B5E" w:rsidP="005A505B">
            <w:pPr>
              <w:ind w:left="450"/>
              <w:jc w:val="both"/>
              <w:rPr>
                <w:rFonts w:eastAsia="Calibri" w:cs="Arial"/>
                <w:b/>
                <w:color w:val="auto"/>
                <w:sz w:val="20"/>
                <w:szCs w:val="20"/>
              </w:rPr>
            </w:pPr>
          </w:p>
        </w:tc>
        <w:tc>
          <w:tcPr>
            <w:tcW w:w="3449" w:type="dxa"/>
            <w:vMerge w:val="restart"/>
            <w:tcBorders>
              <w:top w:val="single" w:sz="4" w:space="0" w:color="000000"/>
              <w:left w:val="single" w:sz="4" w:space="0" w:color="000000"/>
              <w:right w:val="single" w:sz="4" w:space="0" w:color="000000"/>
            </w:tcBorders>
            <w:shd w:val="clear" w:color="auto" w:fill="auto"/>
          </w:tcPr>
          <w:p w:rsidR="00BA7B5E" w:rsidRPr="005A505B" w:rsidRDefault="00BA7B5E" w:rsidP="005A505B">
            <w:pPr>
              <w:jc w:val="both"/>
              <w:rPr>
                <w:rFonts w:eastAsia="Calibri" w:cs="Arial"/>
                <w:color w:val="auto"/>
                <w:sz w:val="20"/>
                <w:szCs w:val="20"/>
              </w:rPr>
            </w:pPr>
            <w:r w:rsidRPr="005A505B">
              <w:rPr>
                <w:rFonts w:eastAsia="Calibri" w:cs="Arial"/>
                <w:color w:val="auto"/>
                <w:sz w:val="20"/>
                <w:szCs w:val="20"/>
              </w:rPr>
              <w:t>Ensure that reported performance information is in accordance with the Framework for Strategic and Annual Performance Plans</w:t>
            </w:r>
          </w:p>
        </w:tc>
        <w:tc>
          <w:tcPr>
            <w:tcW w:w="3690" w:type="dxa"/>
            <w:tcBorders>
              <w:top w:val="single" w:sz="4" w:space="0" w:color="000000"/>
              <w:left w:val="single" w:sz="4" w:space="0" w:color="000000"/>
              <w:bottom w:val="single" w:sz="4" w:space="0" w:color="000000"/>
              <w:right w:val="single" w:sz="4" w:space="0" w:color="000000"/>
            </w:tcBorders>
            <w:shd w:val="clear" w:color="auto" w:fill="auto"/>
          </w:tcPr>
          <w:p w:rsidR="00BA7B5E" w:rsidRPr="005A505B" w:rsidRDefault="00BA7B5E" w:rsidP="005A505B">
            <w:pPr>
              <w:jc w:val="both"/>
              <w:rPr>
                <w:rFonts w:eastAsia="Calibri" w:cs="Arial"/>
                <w:color w:val="auto"/>
                <w:sz w:val="20"/>
                <w:szCs w:val="20"/>
              </w:rPr>
            </w:pPr>
            <w:r w:rsidRPr="005A505B">
              <w:rPr>
                <w:rFonts w:eastAsia="Calibri" w:cs="Arial"/>
                <w:color w:val="auto"/>
                <w:sz w:val="20"/>
                <w:szCs w:val="20"/>
              </w:rPr>
              <w:t>Ensure that overall performance of the entity is maintained above 80%</w:t>
            </w:r>
          </w:p>
        </w:tc>
      </w:tr>
      <w:tr w:rsidR="00BA7B5E" w:rsidRPr="005A505B" w:rsidTr="002E66DA">
        <w:trPr>
          <w:trHeight w:val="676"/>
        </w:trPr>
        <w:tc>
          <w:tcPr>
            <w:tcW w:w="2306" w:type="dxa"/>
            <w:vMerge/>
            <w:tcBorders>
              <w:left w:val="single" w:sz="4" w:space="0" w:color="000000"/>
              <w:right w:val="single" w:sz="4" w:space="0" w:color="000000"/>
            </w:tcBorders>
            <w:shd w:val="clear" w:color="auto" w:fill="auto"/>
          </w:tcPr>
          <w:p w:rsidR="00BA7B5E" w:rsidRPr="005A505B" w:rsidRDefault="00BA7B5E" w:rsidP="005A505B">
            <w:pPr>
              <w:ind w:left="450"/>
              <w:jc w:val="both"/>
              <w:rPr>
                <w:rFonts w:eastAsia="Calibri" w:cs="Arial"/>
                <w:b/>
                <w:color w:val="auto"/>
                <w:sz w:val="20"/>
                <w:szCs w:val="20"/>
              </w:rPr>
            </w:pPr>
          </w:p>
        </w:tc>
        <w:tc>
          <w:tcPr>
            <w:tcW w:w="3449" w:type="dxa"/>
            <w:vMerge/>
            <w:tcBorders>
              <w:left w:val="single" w:sz="4" w:space="0" w:color="000000"/>
              <w:right w:val="single" w:sz="4" w:space="0" w:color="000000"/>
            </w:tcBorders>
            <w:shd w:val="clear" w:color="auto" w:fill="auto"/>
          </w:tcPr>
          <w:p w:rsidR="00BA7B5E" w:rsidRPr="005A505B" w:rsidRDefault="00BA7B5E" w:rsidP="005A505B">
            <w:pPr>
              <w:jc w:val="both"/>
              <w:rPr>
                <w:rFonts w:eastAsia="Calibri" w:cs="Arial"/>
                <w:color w:val="auto"/>
                <w:sz w:val="20"/>
                <w:szCs w:val="20"/>
              </w:rPr>
            </w:pPr>
          </w:p>
        </w:tc>
        <w:tc>
          <w:tcPr>
            <w:tcW w:w="3690" w:type="dxa"/>
            <w:tcBorders>
              <w:top w:val="single" w:sz="4" w:space="0" w:color="000000"/>
              <w:left w:val="single" w:sz="4" w:space="0" w:color="000000"/>
              <w:bottom w:val="single" w:sz="4" w:space="0" w:color="000000"/>
              <w:right w:val="single" w:sz="4" w:space="0" w:color="000000"/>
            </w:tcBorders>
            <w:shd w:val="clear" w:color="auto" w:fill="auto"/>
          </w:tcPr>
          <w:p w:rsidR="00BA7B5E" w:rsidRPr="005A505B" w:rsidRDefault="00BA7B5E" w:rsidP="005A505B">
            <w:pPr>
              <w:jc w:val="both"/>
              <w:rPr>
                <w:rFonts w:eastAsia="Calibri" w:cs="Arial"/>
                <w:color w:val="auto"/>
                <w:sz w:val="20"/>
                <w:szCs w:val="20"/>
              </w:rPr>
            </w:pPr>
            <w:r w:rsidRPr="005A505B">
              <w:rPr>
                <w:rFonts w:eastAsia="Calibri" w:cs="Arial"/>
                <w:color w:val="auto"/>
                <w:sz w:val="20"/>
                <w:szCs w:val="20"/>
              </w:rPr>
              <w:t xml:space="preserve">Produce an Annual Performance Information report that is reliable, accurate and complete by 31 July each year. </w:t>
            </w:r>
          </w:p>
        </w:tc>
      </w:tr>
      <w:tr w:rsidR="00BA7B5E" w:rsidRPr="005A505B" w:rsidTr="002E66DA">
        <w:trPr>
          <w:trHeight w:val="285"/>
        </w:trPr>
        <w:tc>
          <w:tcPr>
            <w:tcW w:w="2306" w:type="dxa"/>
            <w:vMerge/>
            <w:tcBorders>
              <w:left w:val="single" w:sz="4" w:space="0" w:color="000000"/>
              <w:right w:val="single" w:sz="4" w:space="0" w:color="000000"/>
            </w:tcBorders>
            <w:shd w:val="clear" w:color="auto" w:fill="auto"/>
          </w:tcPr>
          <w:p w:rsidR="00BA7B5E" w:rsidRPr="005A505B" w:rsidRDefault="00BA7B5E" w:rsidP="005A505B">
            <w:pPr>
              <w:ind w:left="450"/>
              <w:jc w:val="both"/>
              <w:rPr>
                <w:rFonts w:eastAsia="Calibri" w:cs="Arial"/>
                <w:b/>
                <w:color w:val="auto"/>
                <w:sz w:val="20"/>
                <w:szCs w:val="20"/>
              </w:rPr>
            </w:pPr>
          </w:p>
        </w:tc>
        <w:tc>
          <w:tcPr>
            <w:tcW w:w="3449" w:type="dxa"/>
            <w:vMerge w:val="restart"/>
            <w:tcBorders>
              <w:top w:val="single" w:sz="4" w:space="0" w:color="000000"/>
              <w:left w:val="single" w:sz="4" w:space="0" w:color="000000"/>
              <w:right w:val="single" w:sz="4" w:space="0" w:color="000000"/>
            </w:tcBorders>
            <w:shd w:val="clear" w:color="auto" w:fill="auto"/>
          </w:tcPr>
          <w:p w:rsidR="00BA7B5E" w:rsidRPr="005A505B" w:rsidRDefault="00BA7B5E" w:rsidP="005A505B">
            <w:pPr>
              <w:rPr>
                <w:rFonts w:eastAsia="Calibri" w:cs="Arial"/>
                <w:color w:val="auto"/>
                <w:sz w:val="20"/>
                <w:szCs w:val="20"/>
              </w:rPr>
            </w:pPr>
            <w:r w:rsidRPr="005A505B">
              <w:rPr>
                <w:rFonts w:eastAsia="Calibri" w:cs="Arial"/>
                <w:color w:val="auto"/>
                <w:sz w:val="20"/>
                <w:szCs w:val="20"/>
              </w:rPr>
              <w:t>Ensure effective financial management and alignment of budget allocation with strategic priorities</w:t>
            </w:r>
          </w:p>
        </w:tc>
        <w:tc>
          <w:tcPr>
            <w:tcW w:w="3690" w:type="dxa"/>
            <w:tcBorders>
              <w:top w:val="single" w:sz="4" w:space="0" w:color="000000"/>
              <w:left w:val="single" w:sz="4" w:space="0" w:color="000000"/>
              <w:bottom w:val="single" w:sz="4" w:space="0" w:color="000000"/>
              <w:right w:val="single" w:sz="4" w:space="0" w:color="000000"/>
            </w:tcBorders>
            <w:shd w:val="clear" w:color="auto" w:fill="auto"/>
          </w:tcPr>
          <w:p w:rsidR="00BA7B5E" w:rsidRPr="005A505B" w:rsidRDefault="00BA7B5E" w:rsidP="005A505B">
            <w:pPr>
              <w:jc w:val="both"/>
              <w:rPr>
                <w:rFonts w:eastAsia="Calibri" w:cs="Arial"/>
                <w:color w:val="auto"/>
                <w:sz w:val="20"/>
                <w:szCs w:val="20"/>
              </w:rPr>
            </w:pPr>
            <w:r w:rsidRPr="005A505B">
              <w:rPr>
                <w:rFonts w:eastAsia="Calibri" w:cs="Arial"/>
                <w:color w:val="auto"/>
                <w:sz w:val="20"/>
                <w:szCs w:val="20"/>
              </w:rPr>
              <w:t xml:space="preserve">Obtain an unqualified opinion issued by the Auditor General of South Africa </w:t>
            </w:r>
          </w:p>
        </w:tc>
      </w:tr>
      <w:tr w:rsidR="00BA7B5E" w:rsidRPr="005A505B" w:rsidTr="002E66DA">
        <w:trPr>
          <w:trHeight w:val="285"/>
        </w:trPr>
        <w:tc>
          <w:tcPr>
            <w:tcW w:w="2306" w:type="dxa"/>
            <w:vMerge/>
            <w:tcBorders>
              <w:left w:val="single" w:sz="4" w:space="0" w:color="000000"/>
              <w:right w:val="single" w:sz="4" w:space="0" w:color="000000"/>
            </w:tcBorders>
            <w:shd w:val="clear" w:color="auto" w:fill="auto"/>
          </w:tcPr>
          <w:p w:rsidR="00BA7B5E" w:rsidRPr="005A505B" w:rsidRDefault="00BA7B5E" w:rsidP="005A505B">
            <w:pPr>
              <w:ind w:left="450"/>
              <w:jc w:val="both"/>
              <w:rPr>
                <w:rFonts w:eastAsia="Calibri" w:cs="Arial"/>
                <w:b/>
                <w:color w:val="auto"/>
                <w:sz w:val="20"/>
                <w:szCs w:val="20"/>
              </w:rPr>
            </w:pPr>
          </w:p>
        </w:tc>
        <w:tc>
          <w:tcPr>
            <w:tcW w:w="3449" w:type="dxa"/>
            <w:vMerge/>
            <w:tcBorders>
              <w:left w:val="single" w:sz="4" w:space="0" w:color="000000"/>
              <w:bottom w:val="single" w:sz="4" w:space="0" w:color="000000"/>
              <w:right w:val="single" w:sz="4" w:space="0" w:color="000000"/>
            </w:tcBorders>
            <w:shd w:val="clear" w:color="auto" w:fill="auto"/>
          </w:tcPr>
          <w:p w:rsidR="00BA7B5E" w:rsidRPr="005A505B" w:rsidRDefault="00BA7B5E" w:rsidP="005A505B">
            <w:pPr>
              <w:jc w:val="both"/>
              <w:rPr>
                <w:rFonts w:eastAsia="Calibri" w:cs="Arial"/>
                <w:color w:val="auto"/>
                <w:sz w:val="20"/>
                <w:szCs w:val="20"/>
              </w:rPr>
            </w:pPr>
          </w:p>
        </w:tc>
        <w:tc>
          <w:tcPr>
            <w:tcW w:w="3690" w:type="dxa"/>
            <w:tcBorders>
              <w:top w:val="single" w:sz="4" w:space="0" w:color="000000"/>
              <w:left w:val="single" w:sz="4" w:space="0" w:color="000000"/>
              <w:bottom w:val="single" w:sz="4" w:space="0" w:color="000000"/>
              <w:right w:val="single" w:sz="4" w:space="0" w:color="000000"/>
            </w:tcBorders>
            <w:shd w:val="clear" w:color="auto" w:fill="auto"/>
          </w:tcPr>
          <w:p w:rsidR="00BA7B5E" w:rsidRPr="005A505B" w:rsidRDefault="00BA7B5E" w:rsidP="005A505B">
            <w:pPr>
              <w:jc w:val="both"/>
              <w:rPr>
                <w:rFonts w:eastAsia="Calibri" w:cs="Arial"/>
                <w:color w:val="auto"/>
                <w:sz w:val="20"/>
                <w:szCs w:val="20"/>
              </w:rPr>
            </w:pPr>
            <w:r w:rsidRPr="005A505B">
              <w:rPr>
                <w:rFonts w:eastAsia="Calibri" w:cs="Arial"/>
                <w:color w:val="auto"/>
                <w:sz w:val="20"/>
                <w:szCs w:val="20"/>
              </w:rPr>
              <w:t>Produce a budget that is approved by Council by 31 January each year</w:t>
            </w:r>
          </w:p>
        </w:tc>
      </w:tr>
      <w:tr w:rsidR="00BA7B5E" w:rsidRPr="005A505B" w:rsidTr="002E66DA">
        <w:trPr>
          <w:trHeight w:val="285"/>
        </w:trPr>
        <w:tc>
          <w:tcPr>
            <w:tcW w:w="2306" w:type="dxa"/>
            <w:vMerge/>
            <w:tcBorders>
              <w:left w:val="single" w:sz="4" w:space="0" w:color="000000"/>
              <w:right w:val="single" w:sz="4" w:space="0" w:color="000000"/>
            </w:tcBorders>
            <w:shd w:val="clear" w:color="auto" w:fill="auto"/>
          </w:tcPr>
          <w:p w:rsidR="00BA7B5E" w:rsidRPr="005A505B" w:rsidRDefault="00BA7B5E" w:rsidP="005A505B">
            <w:pPr>
              <w:ind w:left="450"/>
              <w:jc w:val="both"/>
              <w:rPr>
                <w:rFonts w:eastAsia="Calibri" w:cs="Arial"/>
                <w:color w:val="auto"/>
                <w:sz w:val="20"/>
                <w:szCs w:val="20"/>
              </w:rPr>
            </w:pPr>
          </w:p>
        </w:tc>
        <w:tc>
          <w:tcPr>
            <w:tcW w:w="3449" w:type="dxa"/>
            <w:vMerge w:val="restart"/>
            <w:tcBorders>
              <w:top w:val="single" w:sz="4" w:space="0" w:color="000000"/>
              <w:left w:val="single" w:sz="4" w:space="0" w:color="000000"/>
              <w:right w:val="single" w:sz="4" w:space="0" w:color="000000"/>
            </w:tcBorders>
            <w:shd w:val="clear" w:color="auto" w:fill="auto"/>
          </w:tcPr>
          <w:p w:rsidR="00BA7B5E" w:rsidRPr="005A505B" w:rsidRDefault="00BA7B5E" w:rsidP="005A505B">
            <w:pPr>
              <w:jc w:val="both"/>
              <w:rPr>
                <w:rFonts w:eastAsia="Calibri" w:cs="Arial"/>
                <w:color w:val="auto"/>
                <w:sz w:val="20"/>
                <w:szCs w:val="20"/>
              </w:rPr>
            </w:pPr>
            <w:r w:rsidRPr="005A505B">
              <w:rPr>
                <w:rFonts w:eastAsia="Calibri" w:cs="Arial"/>
                <w:color w:val="auto"/>
                <w:sz w:val="20"/>
                <w:szCs w:val="20"/>
              </w:rPr>
              <w:t>An established ICT Infrastructure that ensures information is available, accessible and protected</w:t>
            </w:r>
          </w:p>
        </w:tc>
        <w:tc>
          <w:tcPr>
            <w:tcW w:w="3690" w:type="dxa"/>
            <w:tcBorders>
              <w:top w:val="single" w:sz="4" w:space="0" w:color="000000"/>
              <w:left w:val="single" w:sz="4" w:space="0" w:color="000000"/>
              <w:bottom w:val="single" w:sz="4" w:space="0" w:color="000000"/>
              <w:right w:val="single" w:sz="4" w:space="0" w:color="000000"/>
            </w:tcBorders>
            <w:shd w:val="clear" w:color="auto" w:fill="auto"/>
          </w:tcPr>
          <w:p w:rsidR="00BA7B5E" w:rsidRPr="005A505B" w:rsidRDefault="00BA7B5E" w:rsidP="005A505B">
            <w:pPr>
              <w:jc w:val="both"/>
              <w:rPr>
                <w:rFonts w:eastAsia="Calibri" w:cs="Arial"/>
                <w:color w:val="auto"/>
                <w:sz w:val="20"/>
                <w:szCs w:val="20"/>
              </w:rPr>
            </w:pPr>
            <w:r w:rsidRPr="005A505B">
              <w:rPr>
                <w:rFonts w:eastAsia="Calibri" w:cs="Arial"/>
                <w:color w:val="auto"/>
                <w:sz w:val="20"/>
                <w:szCs w:val="20"/>
              </w:rPr>
              <w:t xml:space="preserve">Achieve 99% in network uptime </w:t>
            </w:r>
          </w:p>
        </w:tc>
      </w:tr>
      <w:tr w:rsidR="00BA7B5E" w:rsidRPr="005A505B" w:rsidTr="002E66DA">
        <w:trPr>
          <w:trHeight w:val="287"/>
        </w:trPr>
        <w:tc>
          <w:tcPr>
            <w:tcW w:w="2306" w:type="dxa"/>
            <w:vMerge/>
            <w:tcBorders>
              <w:left w:val="single" w:sz="4" w:space="0" w:color="000000"/>
              <w:right w:val="single" w:sz="4" w:space="0" w:color="000000"/>
            </w:tcBorders>
            <w:shd w:val="clear" w:color="auto" w:fill="auto"/>
          </w:tcPr>
          <w:p w:rsidR="00BA7B5E" w:rsidRPr="005A505B" w:rsidRDefault="00BA7B5E" w:rsidP="005A505B">
            <w:pPr>
              <w:ind w:left="450"/>
              <w:jc w:val="both"/>
              <w:rPr>
                <w:rFonts w:eastAsia="Calibri" w:cs="Arial"/>
                <w:color w:val="auto"/>
                <w:sz w:val="20"/>
                <w:szCs w:val="20"/>
              </w:rPr>
            </w:pPr>
          </w:p>
        </w:tc>
        <w:tc>
          <w:tcPr>
            <w:tcW w:w="3449" w:type="dxa"/>
            <w:vMerge/>
            <w:tcBorders>
              <w:left w:val="single" w:sz="4" w:space="0" w:color="000000"/>
              <w:bottom w:val="single" w:sz="4" w:space="0" w:color="000000"/>
              <w:right w:val="single" w:sz="4" w:space="0" w:color="000000"/>
            </w:tcBorders>
            <w:shd w:val="clear" w:color="auto" w:fill="auto"/>
          </w:tcPr>
          <w:p w:rsidR="00BA7B5E" w:rsidRPr="005A505B" w:rsidRDefault="00BA7B5E" w:rsidP="005A505B">
            <w:pPr>
              <w:jc w:val="both"/>
              <w:rPr>
                <w:rFonts w:eastAsia="Calibri" w:cs="Arial"/>
                <w:color w:val="auto"/>
                <w:sz w:val="20"/>
                <w:szCs w:val="20"/>
              </w:rPr>
            </w:pPr>
          </w:p>
        </w:tc>
        <w:tc>
          <w:tcPr>
            <w:tcW w:w="3690" w:type="dxa"/>
            <w:tcBorders>
              <w:top w:val="single" w:sz="4" w:space="0" w:color="000000"/>
              <w:left w:val="single" w:sz="4" w:space="0" w:color="000000"/>
              <w:bottom w:val="single" w:sz="4" w:space="0" w:color="000000"/>
              <w:right w:val="single" w:sz="4" w:space="0" w:color="000000"/>
            </w:tcBorders>
            <w:shd w:val="clear" w:color="auto" w:fill="auto"/>
          </w:tcPr>
          <w:p w:rsidR="00BA7B5E" w:rsidRPr="005A505B" w:rsidRDefault="00BA7B5E" w:rsidP="005A505B">
            <w:pPr>
              <w:jc w:val="both"/>
              <w:rPr>
                <w:rFonts w:eastAsia="Calibri" w:cs="Arial"/>
                <w:color w:val="auto"/>
                <w:sz w:val="20"/>
                <w:szCs w:val="20"/>
              </w:rPr>
            </w:pPr>
            <w:r w:rsidRPr="005A505B">
              <w:rPr>
                <w:rFonts w:eastAsia="Calibri" w:cs="Arial"/>
                <w:color w:val="auto"/>
                <w:sz w:val="20"/>
                <w:szCs w:val="20"/>
              </w:rPr>
              <w:t xml:space="preserve">Ensure 5% of IT security incidents </w:t>
            </w:r>
          </w:p>
        </w:tc>
      </w:tr>
      <w:tr w:rsidR="00BA7B5E" w:rsidRPr="005A505B" w:rsidTr="002E66DA">
        <w:trPr>
          <w:trHeight w:val="285"/>
        </w:trPr>
        <w:tc>
          <w:tcPr>
            <w:tcW w:w="2306" w:type="dxa"/>
            <w:vMerge/>
            <w:tcBorders>
              <w:left w:val="single" w:sz="4" w:space="0" w:color="000000"/>
              <w:right w:val="single" w:sz="4" w:space="0" w:color="000000"/>
            </w:tcBorders>
            <w:shd w:val="clear" w:color="auto" w:fill="auto"/>
          </w:tcPr>
          <w:p w:rsidR="00BA7B5E" w:rsidRPr="005A505B" w:rsidRDefault="00BA7B5E" w:rsidP="005A505B">
            <w:pPr>
              <w:ind w:left="450"/>
              <w:jc w:val="both"/>
              <w:rPr>
                <w:rFonts w:eastAsia="Calibri" w:cs="Arial"/>
                <w:color w:val="auto"/>
                <w:sz w:val="20"/>
                <w:szCs w:val="20"/>
              </w:rPr>
            </w:pPr>
          </w:p>
        </w:tc>
        <w:tc>
          <w:tcPr>
            <w:tcW w:w="3449" w:type="dxa"/>
            <w:tcBorders>
              <w:top w:val="single" w:sz="4" w:space="0" w:color="000000"/>
              <w:left w:val="single" w:sz="4" w:space="0" w:color="000000"/>
              <w:bottom w:val="single" w:sz="4" w:space="0" w:color="000000"/>
              <w:right w:val="single" w:sz="4" w:space="0" w:color="000000"/>
            </w:tcBorders>
            <w:shd w:val="clear" w:color="auto" w:fill="auto"/>
          </w:tcPr>
          <w:p w:rsidR="00BA7B5E" w:rsidRPr="005A505B" w:rsidRDefault="00BA7B5E" w:rsidP="005A505B">
            <w:pPr>
              <w:jc w:val="both"/>
              <w:rPr>
                <w:rFonts w:eastAsia="Calibri" w:cs="Arial"/>
                <w:color w:val="auto"/>
                <w:sz w:val="20"/>
                <w:szCs w:val="20"/>
              </w:rPr>
            </w:pPr>
            <w:r w:rsidRPr="005A505B">
              <w:rPr>
                <w:rFonts w:eastAsia="Calibri" w:cs="Arial"/>
                <w:color w:val="auto"/>
                <w:sz w:val="20"/>
                <w:szCs w:val="20"/>
              </w:rPr>
              <w:t>Provide software applications that serve both internal as well as external stakeholders, that improve business operations and performance</w:t>
            </w:r>
          </w:p>
        </w:tc>
        <w:tc>
          <w:tcPr>
            <w:tcW w:w="3690" w:type="dxa"/>
            <w:tcBorders>
              <w:top w:val="single" w:sz="4" w:space="0" w:color="000000"/>
              <w:left w:val="single" w:sz="4" w:space="0" w:color="000000"/>
              <w:bottom w:val="single" w:sz="4" w:space="0" w:color="000000"/>
              <w:right w:val="single" w:sz="4" w:space="0" w:color="000000"/>
            </w:tcBorders>
            <w:shd w:val="clear" w:color="auto" w:fill="auto"/>
          </w:tcPr>
          <w:p w:rsidR="00BA7B5E" w:rsidRPr="005A505B" w:rsidRDefault="00BA7B5E" w:rsidP="005A505B">
            <w:pPr>
              <w:jc w:val="both"/>
              <w:rPr>
                <w:rFonts w:eastAsia="Calibri" w:cs="Arial"/>
                <w:color w:val="auto"/>
                <w:sz w:val="20"/>
                <w:szCs w:val="20"/>
              </w:rPr>
            </w:pPr>
            <w:r w:rsidRPr="005A505B">
              <w:rPr>
                <w:rFonts w:eastAsia="Calibri" w:cs="Arial"/>
                <w:color w:val="auto"/>
                <w:sz w:val="20"/>
                <w:szCs w:val="20"/>
              </w:rPr>
              <w:t>Achieve 95% in uptime of business critical application systems</w:t>
            </w:r>
          </w:p>
        </w:tc>
      </w:tr>
      <w:tr w:rsidR="00BA7B5E" w:rsidRPr="005A505B" w:rsidTr="002E66DA">
        <w:trPr>
          <w:trHeight w:val="285"/>
        </w:trPr>
        <w:tc>
          <w:tcPr>
            <w:tcW w:w="2306" w:type="dxa"/>
            <w:vMerge/>
            <w:tcBorders>
              <w:left w:val="single" w:sz="4" w:space="0" w:color="000000"/>
              <w:right w:val="single" w:sz="4" w:space="0" w:color="000000"/>
            </w:tcBorders>
            <w:shd w:val="clear" w:color="auto" w:fill="auto"/>
          </w:tcPr>
          <w:p w:rsidR="00BA7B5E" w:rsidRPr="005A505B" w:rsidRDefault="00BA7B5E" w:rsidP="005A505B">
            <w:pPr>
              <w:ind w:left="450"/>
              <w:jc w:val="both"/>
              <w:rPr>
                <w:rFonts w:eastAsia="Calibri" w:cs="Arial"/>
                <w:color w:val="auto"/>
                <w:sz w:val="20"/>
                <w:szCs w:val="20"/>
              </w:rPr>
            </w:pPr>
          </w:p>
        </w:tc>
        <w:tc>
          <w:tcPr>
            <w:tcW w:w="3449" w:type="dxa"/>
            <w:tcBorders>
              <w:top w:val="single" w:sz="4" w:space="0" w:color="000000"/>
              <w:left w:val="single" w:sz="4" w:space="0" w:color="000000"/>
              <w:bottom w:val="single" w:sz="4" w:space="0" w:color="000000"/>
              <w:right w:val="single" w:sz="4" w:space="0" w:color="000000"/>
            </w:tcBorders>
            <w:shd w:val="clear" w:color="auto" w:fill="auto"/>
          </w:tcPr>
          <w:p w:rsidR="00BA7B5E" w:rsidRPr="005A505B" w:rsidRDefault="00BA7B5E" w:rsidP="005A505B">
            <w:pPr>
              <w:jc w:val="both"/>
              <w:rPr>
                <w:rFonts w:eastAsia="Calibri" w:cs="Arial"/>
                <w:color w:val="auto"/>
                <w:sz w:val="20"/>
                <w:szCs w:val="20"/>
              </w:rPr>
            </w:pPr>
            <w:r w:rsidRPr="005A505B">
              <w:rPr>
                <w:rFonts w:eastAsia="Calibri" w:cs="Arial"/>
                <w:color w:val="auto"/>
                <w:sz w:val="20"/>
                <w:szCs w:val="20"/>
              </w:rPr>
              <w:t>Effectively provide information management services and organise and management organisational knowledge with a view to enhance knowledge sharing</w:t>
            </w:r>
          </w:p>
        </w:tc>
        <w:tc>
          <w:tcPr>
            <w:tcW w:w="3690" w:type="dxa"/>
            <w:tcBorders>
              <w:top w:val="single" w:sz="4" w:space="0" w:color="000000"/>
              <w:left w:val="single" w:sz="4" w:space="0" w:color="000000"/>
              <w:bottom w:val="single" w:sz="4" w:space="0" w:color="000000"/>
              <w:right w:val="single" w:sz="4" w:space="0" w:color="000000"/>
            </w:tcBorders>
            <w:shd w:val="clear" w:color="auto" w:fill="auto"/>
          </w:tcPr>
          <w:p w:rsidR="00BA7B5E" w:rsidRPr="005A505B" w:rsidRDefault="00BA7B5E" w:rsidP="005A505B">
            <w:pPr>
              <w:jc w:val="both"/>
              <w:rPr>
                <w:rFonts w:eastAsia="Calibri" w:cs="Arial"/>
                <w:color w:val="auto"/>
                <w:sz w:val="20"/>
                <w:szCs w:val="20"/>
              </w:rPr>
            </w:pPr>
            <w:r w:rsidRPr="005A505B">
              <w:rPr>
                <w:rFonts w:eastAsia="Calibri" w:cs="Arial"/>
                <w:color w:val="auto"/>
                <w:sz w:val="20"/>
                <w:szCs w:val="20"/>
              </w:rPr>
              <w:t>Ensure that 95% of physical requests for information are responded to within 30 days</w:t>
            </w:r>
          </w:p>
        </w:tc>
      </w:tr>
      <w:tr w:rsidR="00BA7B5E" w:rsidRPr="005A505B" w:rsidTr="002E66DA">
        <w:trPr>
          <w:trHeight w:val="285"/>
        </w:trPr>
        <w:tc>
          <w:tcPr>
            <w:tcW w:w="2306" w:type="dxa"/>
            <w:vMerge/>
            <w:tcBorders>
              <w:left w:val="single" w:sz="4" w:space="0" w:color="000000"/>
              <w:right w:val="single" w:sz="4" w:space="0" w:color="000000"/>
            </w:tcBorders>
            <w:shd w:val="clear" w:color="auto" w:fill="auto"/>
          </w:tcPr>
          <w:p w:rsidR="00BA7B5E" w:rsidRPr="005A505B" w:rsidRDefault="00BA7B5E" w:rsidP="005A505B">
            <w:pPr>
              <w:ind w:left="450"/>
              <w:jc w:val="both"/>
              <w:rPr>
                <w:rFonts w:eastAsia="Calibri" w:cs="Arial"/>
                <w:color w:val="auto"/>
                <w:sz w:val="20"/>
                <w:szCs w:val="20"/>
              </w:rPr>
            </w:pPr>
          </w:p>
        </w:tc>
        <w:tc>
          <w:tcPr>
            <w:tcW w:w="3449" w:type="dxa"/>
            <w:vMerge w:val="restart"/>
            <w:tcBorders>
              <w:top w:val="single" w:sz="4" w:space="0" w:color="000000"/>
              <w:left w:val="single" w:sz="4" w:space="0" w:color="000000"/>
              <w:right w:val="single" w:sz="4" w:space="0" w:color="000000"/>
            </w:tcBorders>
            <w:shd w:val="clear" w:color="auto" w:fill="auto"/>
          </w:tcPr>
          <w:p w:rsidR="00BA7B5E" w:rsidRPr="005A505B" w:rsidRDefault="00BA7B5E" w:rsidP="005A505B">
            <w:pPr>
              <w:jc w:val="both"/>
              <w:rPr>
                <w:rFonts w:eastAsia="Calibri" w:cs="Arial"/>
                <w:color w:val="auto"/>
                <w:sz w:val="20"/>
                <w:szCs w:val="20"/>
              </w:rPr>
            </w:pPr>
            <w:r w:rsidRPr="005A505B">
              <w:rPr>
                <w:rFonts w:eastAsia="Calibri" w:cs="Arial"/>
                <w:color w:val="auto"/>
                <w:sz w:val="20"/>
                <w:szCs w:val="20"/>
              </w:rPr>
              <w:t>Build competencies and retain skilled employees</w:t>
            </w:r>
          </w:p>
        </w:tc>
        <w:tc>
          <w:tcPr>
            <w:tcW w:w="3690" w:type="dxa"/>
            <w:tcBorders>
              <w:top w:val="single" w:sz="4" w:space="0" w:color="000000"/>
              <w:left w:val="single" w:sz="4" w:space="0" w:color="000000"/>
              <w:bottom w:val="single" w:sz="4" w:space="0" w:color="000000"/>
              <w:right w:val="single" w:sz="4" w:space="0" w:color="000000"/>
            </w:tcBorders>
            <w:shd w:val="clear" w:color="auto" w:fill="auto"/>
          </w:tcPr>
          <w:p w:rsidR="00BA7B5E" w:rsidRPr="005A505B" w:rsidRDefault="00BA7B5E" w:rsidP="005A505B">
            <w:pPr>
              <w:jc w:val="both"/>
              <w:rPr>
                <w:rFonts w:eastAsia="Calibri" w:cs="Arial"/>
                <w:color w:val="auto"/>
                <w:sz w:val="20"/>
                <w:szCs w:val="20"/>
              </w:rPr>
            </w:pPr>
            <w:r w:rsidRPr="005A505B">
              <w:rPr>
                <w:rFonts w:eastAsia="Calibri" w:cs="Arial"/>
                <w:color w:val="auto"/>
                <w:sz w:val="20"/>
                <w:szCs w:val="20"/>
              </w:rPr>
              <w:t>Minimise staff turnover to less than 15% per annum</w:t>
            </w:r>
          </w:p>
        </w:tc>
      </w:tr>
      <w:tr w:rsidR="00BA7B5E" w:rsidRPr="005A505B" w:rsidTr="002E66DA">
        <w:trPr>
          <w:trHeight w:val="288"/>
        </w:trPr>
        <w:tc>
          <w:tcPr>
            <w:tcW w:w="2306" w:type="dxa"/>
            <w:vMerge/>
            <w:tcBorders>
              <w:left w:val="single" w:sz="4" w:space="0" w:color="000000"/>
              <w:right w:val="single" w:sz="4" w:space="0" w:color="000000"/>
            </w:tcBorders>
            <w:shd w:val="clear" w:color="auto" w:fill="auto"/>
          </w:tcPr>
          <w:p w:rsidR="00BA7B5E" w:rsidRPr="005A505B" w:rsidRDefault="00BA7B5E" w:rsidP="005A505B">
            <w:pPr>
              <w:ind w:left="450"/>
              <w:jc w:val="both"/>
              <w:rPr>
                <w:rFonts w:eastAsia="Calibri" w:cs="Arial"/>
                <w:color w:val="auto"/>
                <w:sz w:val="20"/>
                <w:szCs w:val="20"/>
              </w:rPr>
            </w:pPr>
          </w:p>
        </w:tc>
        <w:tc>
          <w:tcPr>
            <w:tcW w:w="3449" w:type="dxa"/>
            <w:vMerge/>
            <w:tcBorders>
              <w:left w:val="single" w:sz="4" w:space="0" w:color="000000"/>
              <w:right w:val="single" w:sz="4" w:space="0" w:color="000000"/>
            </w:tcBorders>
            <w:shd w:val="clear" w:color="auto" w:fill="auto"/>
          </w:tcPr>
          <w:p w:rsidR="00BA7B5E" w:rsidRPr="005A505B" w:rsidRDefault="00BA7B5E" w:rsidP="005A505B">
            <w:pPr>
              <w:jc w:val="both"/>
              <w:rPr>
                <w:rFonts w:eastAsia="Calibri" w:cs="Arial"/>
                <w:color w:val="auto"/>
                <w:sz w:val="20"/>
                <w:szCs w:val="20"/>
              </w:rPr>
            </w:pPr>
          </w:p>
        </w:tc>
        <w:tc>
          <w:tcPr>
            <w:tcW w:w="3690" w:type="dxa"/>
            <w:tcBorders>
              <w:top w:val="single" w:sz="4" w:space="0" w:color="000000"/>
              <w:left w:val="single" w:sz="4" w:space="0" w:color="000000"/>
              <w:bottom w:val="single" w:sz="4" w:space="0" w:color="000000"/>
              <w:right w:val="single" w:sz="4" w:space="0" w:color="000000"/>
            </w:tcBorders>
            <w:shd w:val="clear" w:color="auto" w:fill="auto"/>
          </w:tcPr>
          <w:p w:rsidR="00BA7B5E" w:rsidRPr="005A505B" w:rsidRDefault="00BA7B5E" w:rsidP="005A505B">
            <w:pPr>
              <w:jc w:val="both"/>
              <w:rPr>
                <w:rFonts w:eastAsia="Calibri" w:cs="Arial"/>
                <w:color w:val="auto"/>
                <w:sz w:val="20"/>
                <w:szCs w:val="20"/>
              </w:rPr>
            </w:pPr>
            <w:r w:rsidRPr="005A505B">
              <w:rPr>
                <w:rFonts w:eastAsia="Calibri" w:cs="Arial"/>
                <w:color w:val="auto"/>
                <w:sz w:val="20"/>
                <w:szCs w:val="20"/>
              </w:rPr>
              <w:t>Average turnaround time of 120 working days to fill a vacancy</w:t>
            </w:r>
          </w:p>
        </w:tc>
      </w:tr>
      <w:tr w:rsidR="00BA7B5E" w:rsidRPr="005A505B" w:rsidTr="002E66DA">
        <w:trPr>
          <w:trHeight w:val="288"/>
        </w:trPr>
        <w:tc>
          <w:tcPr>
            <w:tcW w:w="2306" w:type="dxa"/>
            <w:vMerge/>
            <w:tcBorders>
              <w:left w:val="single" w:sz="4" w:space="0" w:color="000000"/>
              <w:right w:val="single" w:sz="4" w:space="0" w:color="000000"/>
            </w:tcBorders>
            <w:shd w:val="clear" w:color="auto" w:fill="auto"/>
          </w:tcPr>
          <w:p w:rsidR="00BA7B5E" w:rsidRPr="005A505B" w:rsidRDefault="00BA7B5E" w:rsidP="005A505B">
            <w:pPr>
              <w:ind w:left="450"/>
              <w:jc w:val="both"/>
              <w:rPr>
                <w:rFonts w:eastAsia="Calibri" w:cs="Arial"/>
                <w:color w:val="auto"/>
                <w:sz w:val="20"/>
                <w:szCs w:val="20"/>
              </w:rPr>
            </w:pPr>
          </w:p>
        </w:tc>
        <w:tc>
          <w:tcPr>
            <w:tcW w:w="3449" w:type="dxa"/>
            <w:vMerge/>
            <w:tcBorders>
              <w:left w:val="single" w:sz="4" w:space="0" w:color="000000"/>
              <w:right w:val="single" w:sz="4" w:space="0" w:color="000000"/>
            </w:tcBorders>
            <w:shd w:val="clear" w:color="auto" w:fill="auto"/>
          </w:tcPr>
          <w:p w:rsidR="00BA7B5E" w:rsidRPr="005A505B" w:rsidRDefault="00BA7B5E" w:rsidP="005A505B">
            <w:pPr>
              <w:jc w:val="both"/>
              <w:rPr>
                <w:rFonts w:eastAsia="Calibri" w:cs="Arial"/>
                <w:color w:val="auto"/>
                <w:sz w:val="20"/>
                <w:szCs w:val="20"/>
              </w:rPr>
            </w:pPr>
          </w:p>
        </w:tc>
        <w:tc>
          <w:tcPr>
            <w:tcW w:w="3690" w:type="dxa"/>
            <w:tcBorders>
              <w:top w:val="single" w:sz="4" w:space="0" w:color="000000"/>
              <w:left w:val="single" w:sz="4" w:space="0" w:color="000000"/>
              <w:bottom w:val="single" w:sz="4" w:space="0" w:color="000000"/>
              <w:right w:val="single" w:sz="4" w:space="0" w:color="000000"/>
            </w:tcBorders>
            <w:shd w:val="clear" w:color="auto" w:fill="auto"/>
          </w:tcPr>
          <w:p w:rsidR="00BA7B5E" w:rsidRPr="005A505B" w:rsidRDefault="00BA7B5E" w:rsidP="005A505B">
            <w:pPr>
              <w:jc w:val="both"/>
              <w:rPr>
                <w:rFonts w:eastAsia="Calibri" w:cs="Arial"/>
                <w:color w:val="auto"/>
                <w:sz w:val="20"/>
                <w:szCs w:val="20"/>
              </w:rPr>
            </w:pPr>
            <w:r w:rsidRPr="005A505B">
              <w:rPr>
                <w:rFonts w:eastAsia="Calibri" w:cs="Arial"/>
                <w:color w:val="auto"/>
                <w:sz w:val="20"/>
                <w:szCs w:val="20"/>
              </w:rPr>
              <w:t>Achievement of employment equity targets (BBBEE)</w:t>
            </w:r>
          </w:p>
        </w:tc>
      </w:tr>
      <w:tr w:rsidR="00BA7B5E" w:rsidRPr="005A505B" w:rsidTr="002E66DA">
        <w:trPr>
          <w:trHeight w:val="288"/>
        </w:trPr>
        <w:tc>
          <w:tcPr>
            <w:tcW w:w="2306" w:type="dxa"/>
            <w:vMerge/>
            <w:tcBorders>
              <w:left w:val="single" w:sz="4" w:space="0" w:color="000000"/>
              <w:right w:val="single" w:sz="4" w:space="0" w:color="000000"/>
            </w:tcBorders>
            <w:shd w:val="clear" w:color="auto" w:fill="auto"/>
          </w:tcPr>
          <w:p w:rsidR="00BA7B5E" w:rsidRPr="005A505B" w:rsidRDefault="00BA7B5E" w:rsidP="005A505B">
            <w:pPr>
              <w:ind w:left="450"/>
              <w:jc w:val="both"/>
              <w:rPr>
                <w:rFonts w:eastAsia="Calibri" w:cs="Arial"/>
                <w:color w:val="auto"/>
                <w:sz w:val="20"/>
                <w:szCs w:val="20"/>
              </w:rPr>
            </w:pPr>
          </w:p>
        </w:tc>
        <w:tc>
          <w:tcPr>
            <w:tcW w:w="3449" w:type="dxa"/>
            <w:vMerge/>
            <w:tcBorders>
              <w:left w:val="single" w:sz="4" w:space="0" w:color="000000"/>
              <w:bottom w:val="single" w:sz="4" w:space="0" w:color="000000"/>
              <w:right w:val="single" w:sz="4" w:space="0" w:color="000000"/>
            </w:tcBorders>
            <w:shd w:val="clear" w:color="auto" w:fill="auto"/>
          </w:tcPr>
          <w:p w:rsidR="00BA7B5E" w:rsidRPr="005A505B" w:rsidRDefault="00BA7B5E" w:rsidP="005A505B">
            <w:pPr>
              <w:jc w:val="both"/>
              <w:rPr>
                <w:rFonts w:eastAsia="Calibri" w:cs="Arial"/>
                <w:color w:val="auto"/>
                <w:sz w:val="20"/>
                <w:szCs w:val="20"/>
              </w:rPr>
            </w:pPr>
          </w:p>
        </w:tc>
        <w:tc>
          <w:tcPr>
            <w:tcW w:w="3690" w:type="dxa"/>
            <w:tcBorders>
              <w:top w:val="single" w:sz="4" w:space="0" w:color="000000"/>
              <w:left w:val="single" w:sz="4" w:space="0" w:color="000000"/>
              <w:bottom w:val="single" w:sz="4" w:space="0" w:color="000000"/>
              <w:right w:val="single" w:sz="4" w:space="0" w:color="000000"/>
            </w:tcBorders>
            <w:shd w:val="clear" w:color="auto" w:fill="auto"/>
          </w:tcPr>
          <w:p w:rsidR="00BA7B5E" w:rsidRPr="005A505B" w:rsidRDefault="00BA7B5E" w:rsidP="005A505B">
            <w:pPr>
              <w:jc w:val="both"/>
              <w:rPr>
                <w:rFonts w:eastAsia="Calibri" w:cs="Arial"/>
                <w:color w:val="auto"/>
                <w:sz w:val="20"/>
                <w:szCs w:val="20"/>
              </w:rPr>
            </w:pPr>
            <w:r w:rsidRPr="005A505B">
              <w:rPr>
                <w:rFonts w:eastAsia="Calibri" w:cs="Arial"/>
                <w:color w:val="auto"/>
                <w:sz w:val="20"/>
                <w:szCs w:val="20"/>
              </w:rPr>
              <w:t>Develop and maintain talent management Policy Framework by implementing a career path and succession plan</w:t>
            </w:r>
          </w:p>
        </w:tc>
      </w:tr>
      <w:tr w:rsidR="00BA7B5E" w:rsidRPr="005A505B" w:rsidTr="002E66DA">
        <w:trPr>
          <w:trHeight w:val="356"/>
        </w:trPr>
        <w:tc>
          <w:tcPr>
            <w:tcW w:w="2306" w:type="dxa"/>
            <w:vMerge/>
            <w:tcBorders>
              <w:left w:val="single" w:sz="4" w:space="0" w:color="000000"/>
              <w:right w:val="single" w:sz="4" w:space="0" w:color="000000"/>
            </w:tcBorders>
            <w:shd w:val="clear" w:color="auto" w:fill="auto"/>
          </w:tcPr>
          <w:p w:rsidR="00BA7B5E" w:rsidRPr="005A505B" w:rsidRDefault="00BA7B5E" w:rsidP="005A505B">
            <w:pPr>
              <w:ind w:left="450"/>
              <w:jc w:val="both"/>
              <w:rPr>
                <w:rFonts w:eastAsia="Calibri" w:cs="Arial"/>
                <w:color w:val="auto"/>
                <w:sz w:val="20"/>
                <w:szCs w:val="20"/>
              </w:rPr>
            </w:pPr>
          </w:p>
        </w:tc>
        <w:tc>
          <w:tcPr>
            <w:tcW w:w="3449" w:type="dxa"/>
            <w:vMerge w:val="restart"/>
            <w:tcBorders>
              <w:top w:val="single" w:sz="4" w:space="0" w:color="000000"/>
              <w:left w:val="single" w:sz="4" w:space="0" w:color="000000"/>
              <w:right w:val="single" w:sz="4" w:space="0" w:color="000000"/>
            </w:tcBorders>
            <w:shd w:val="clear" w:color="auto" w:fill="auto"/>
          </w:tcPr>
          <w:p w:rsidR="00BA7B5E" w:rsidRPr="005A505B" w:rsidRDefault="00BA7B5E" w:rsidP="005A505B">
            <w:pPr>
              <w:rPr>
                <w:rFonts w:eastAsia="Calibri" w:cs="Arial"/>
                <w:color w:val="auto"/>
                <w:sz w:val="20"/>
                <w:szCs w:val="20"/>
              </w:rPr>
            </w:pPr>
            <w:r w:rsidRPr="005A505B">
              <w:rPr>
                <w:rFonts w:eastAsia="Calibri" w:cs="Arial"/>
                <w:color w:val="auto"/>
                <w:sz w:val="20"/>
                <w:szCs w:val="20"/>
              </w:rPr>
              <w:t xml:space="preserve">Maximise performance to improve organisational efficiency and maintain high performance culture </w:t>
            </w:r>
          </w:p>
        </w:tc>
        <w:tc>
          <w:tcPr>
            <w:tcW w:w="3690" w:type="dxa"/>
            <w:tcBorders>
              <w:top w:val="single" w:sz="4" w:space="0" w:color="000000"/>
              <w:left w:val="single" w:sz="4" w:space="0" w:color="000000"/>
              <w:bottom w:val="single" w:sz="4" w:space="0" w:color="000000"/>
              <w:right w:val="single" w:sz="4" w:space="0" w:color="000000"/>
            </w:tcBorders>
            <w:shd w:val="clear" w:color="auto" w:fill="auto"/>
          </w:tcPr>
          <w:p w:rsidR="00BA7B5E" w:rsidRPr="005A505B" w:rsidRDefault="00BA7B5E" w:rsidP="005A505B">
            <w:pPr>
              <w:jc w:val="both"/>
              <w:rPr>
                <w:rFonts w:eastAsia="Calibri" w:cs="Arial"/>
                <w:color w:val="auto"/>
                <w:sz w:val="20"/>
                <w:szCs w:val="20"/>
              </w:rPr>
            </w:pPr>
            <w:r w:rsidRPr="005A505B">
              <w:rPr>
                <w:rFonts w:eastAsia="Calibri" w:cs="Arial"/>
                <w:color w:val="auto"/>
                <w:sz w:val="20"/>
                <w:szCs w:val="20"/>
              </w:rPr>
              <w:t>95% of employee performance agreements are signed no later than 31 May each year</w:t>
            </w:r>
          </w:p>
        </w:tc>
      </w:tr>
      <w:tr w:rsidR="00BA7B5E" w:rsidRPr="005A505B" w:rsidTr="002E66DA">
        <w:trPr>
          <w:trHeight w:val="285"/>
        </w:trPr>
        <w:tc>
          <w:tcPr>
            <w:tcW w:w="2306" w:type="dxa"/>
            <w:vMerge/>
            <w:tcBorders>
              <w:left w:val="single" w:sz="4" w:space="0" w:color="000000"/>
              <w:right w:val="single" w:sz="4" w:space="0" w:color="000000"/>
            </w:tcBorders>
            <w:shd w:val="clear" w:color="auto" w:fill="auto"/>
          </w:tcPr>
          <w:p w:rsidR="00BA7B5E" w:rsidRPr="005A505B" w:rsidRDefault="00BA7B5E" w:rsidP="005A505B">
            <w:pPr>
              <w:ind w:left="450"/>
              <w:jc w:val="both"/>
              <w:rPr>
                <w:rFonts w:eastAsia="Calibri" w:cs="Arial"/>
                <w:color w:val="auto"/>
                <w:sz w:val="20"/>
                <w:szCs w:val="20"/>
              </w:rPr>
            </w:pPr>
          </w:p>
        </w:tc>
        <w:tc>
          <w:tcPr>
            <w:tcW w:w="3449" w:type="dxa"/>
            <w:vMerge/>
            <w:tcBorders>
              <w:left w:val="single" w:sz="4" w:space="0" w:color="000000"/>
              <w:bottom w:val="single" w:sz="4" w:space="0" w:color="000000"/>
              <w:right w:val="single" w:sz="4" w:space="0" w:color="000000"/>
            </w:tcBorders>
            <w:shd w:val="clear" w:color="auto" w:fill="auto"/>
          </w:tcPr>
          <w:p w:rsidR="00BA7B5E" w:rsidRPr="005A505B" w:rsidRDefault="00BA7B5E" w:rsidP="005A505B">
            <w:pPr>
              <w:jc w:val="both"/>
              <w:rPr>
                <w:rFonts w:eastAsia="Calibri" w:cs="Arial"/>
                <w:b/>
                <w:color w:val="auto"/>
                <w:sz w:val="20"/>
                <w:szCs w:val="20"/>
              </w:rPr>
            </w:pPr>
          </w:p>
        </w:tc>
        <w:tc>
          <w:tcPr>
            <w:tcW w:w="3690" w:type="dxa"/>
            <w:tcBorders>
              <w:top w:val="single" w:sz="4" w:space="0" w:color="000000"/>
              <w:left w:val="single" w:sz="4" w:space="0" w:color="000000"/>
              <w:bottom w:val="single" w:sz="4" w:space="0" w:color="000000"/>
              <w:right w:val="single" w:sz="4" w:space="0" w:color="000000"/>
            </w:tcBorders>
            <w:shd w:val="clear" w:color="auto" w:fill="auto"/>
          </w:tcPr>
          <w:p w:rsidR="00BA7B5E" w:rsidRPr="005A505B" w:rsidRDefault="00BA7B5E" w:rsidP="005A505B">
            <w:pPr>
              <w:jc w:val="both"/>
              <w:rPr>
                <w:rFonts w:eastAsia="Calibri" w:cs="Arial"/>
                <w:b/>
                <w:color w:val="auto"/>
                <w:sz w:val="20"/>
                <w:szCs w:val="20"/>
              </w:rPr>
            </w:pPr>
            <w:r w:rsidRPr="005A505B">
              <w:rPr>
                <w:rFonts w:eastAsia="Calibri" w:cs="Arial"/>
                <w:color w:val="auto"/>
                <w:sz w:val="20"/>
                <w:szCs w:val="20"/>
              </w:rPr>
              <w:t>95% of employee performance assessments are concluded bi-annually</w:t>
            </w:r>
          </w:p>
        </w:tc>
      </w:tr>
      <w:tr w:rsidR="00BA7B5E" w:rsidRPr="005A505B" w:rsidTr="002E66DA">
        <w:trPr>
          <w:trHeight w:val="285"/>
        </w:trPr>
        <w:tc>
          <w:tcPr>
            <w:tcW w:w="2306" w:type="dxa"/>
            <w:vMerge/>
            <w:tcBorders>
              <w:left w:val="single" w:sz="4" w:space="0" w:color="000000"/>
              <w:right w:val="single" w:sz="4" w:space="0" w:color="000000"/>
            </w:tcBorders>
            <w:shd w:val="clear" w:color="auto" w:fill="auto"/>
          </w:tcPr>
          <w:p w:rsidR="00BA7B5E" w:rsidRPr="005A505B" w:rsidRDefault="00BA7B5E" w:rsidP="005A505B">
            <w:pPr>
              <w:ind w:left="450"/>
              <w:jc w:val="both"/>
              <w:rPr>
                <w:rFonts w:eastAsia="Calibri" w:cs="Arial"/>
                <w:color w:val="auto"/>
                <w:sz w:val="20"/>
                <w:szCs w:val="20"/>
              </w:rPr>
            </w:pPr>
          </w:p>
        </w:tc>
        <w:tc>
          <w:tcPr>
            <w:tcW w:w="3449" w:type="dxa"/>
            <w:tcBorders>
              <w:top w:val="single" w:sz="4" w:space="0" w:color="000000"/>
              <w:left w:val="single" w:sz="4" w:space="0" w:color="000000"/>
              <w:bottom w:val="single" w:sz="4" w:space="0" w:color="000000"/>
              <w:right w:val="single" w:sz="4" w:space="0" w:color="000000"/>
            </w:tcBorders>
            <w:shd w:val="clear" w:color="auto" w:fill="auto"/>
          </w:tcPr>
          <w:p w:rsidR="00BA7B5E" w:rsidRPr="005A505B" w:rsidRDefault="00BA7B5E" w:rsidP="005A505B">
            <w:pPr>
              <w:jc w:val="both"/>
              <w:rPr>
                <w:rFonts w:eastAsia="Calibri" w:cs="Arial"/>
                <w:color w:val="auto"/>
                <w:sz w:val="20"/>
                <w:szCs w:val="20"/>
              </w:rPr>
            </w:pPr>
            <w:r w:rsidRPr="005A505B">
              <w:rPr>
                <w:rFonts w:eastAsia="Calibri" w:cs="Arial"/>
                <w:color w:val="auto"/>
                <w:sz w:val="20"/>
                <w:szCs w:val="20"/>
              </w:rPr>
              <w:t xml:space="preserve">Legal advisory and support service for effective regulation of the industry and operations of </w:t>
            </w:r>
            <w:r w:rsidRPr="005A505B">
              <w:rPr>
                <w:rFonts w:eastAsia="Calibri" w:cs="Arial"/>
                <w:color w:val="auto"/>
                <w:sz w:val="20"/>
                <w:szCs w:val="20"/>
              </w:rPr>
              <w:lastRenderedPageBreak/>
              <w:t>the office</w:t>
            </w:r>
          </w:p>
        </w:tc>
        <w:tc>
          <w:tcPr>
            <w:tcW w:w="3690" w:type="dxa"/>
            <w:tcBorders>
              <w:top w:val="single" w:sz="4" w:space="0" w:color="000000"/>
              <w:left w:val="single" w:sz="4" w:space="0" w:color="000000"/>
              <w:bottom w:val="single" w:sz="4" w:space="0" w:color="000000"/>
              <w:right w:val="single" w:sz="4" w:space="0" w:color="000000"/>
            </w:tcBorders>
            <w:shd w:val="clear" w:color="auto" w:fill="auto"/>
          </w:tcPr>
          <w:p w:rsidR="00BA7B5E" w:rsidRPr="005A505B" w:rsidRDefault="00BA7B5E" w:rsidP="005A505B">
            <w:pPr>
              <w:jc w:val="both"/>
              <w:rPr>
                <w:rFonts w:eastAsia="Calibri" w:cs="Arial"/>
                <w:color w:val="auto"/>
                <w:sz w:val="20"/>
                <w:szCs w:val="20"/>
              </w:rPr>
            </w:pPr>
            <w:r w:rsidRPr="005A505B">
              <w:rPr>
                <w:rFonts w:eastAsia="Calibri" w:cs="Arial"/>
                <w:color w:val="auto"/>
                <w:sz w:val="20"/>
                <w:szCs w:val="20"/>
              </w:rPr>
              <w:lastRenderedPageBreak/>
              <w:t xml:space="preserve">90%* written and verbal legal opinions provided to internal and external stakeholders, attended to </w:t>
            </w:r>
            <w:r w:rsidRPr="005A505B">
              <w:rPr>
                <w:rFonts w:eastAsia="Calibri" w:cs="Arial"/>
                <w:color w:val="auto"/>
                <w:sz w:val="20"/>
                <w:szCs w:val="20"/>
              </w:rPr>
              <w:lastRenderedPageBreak/>
              <w:t>within 14 days (*previously a numerical value not percentage)</w:t>
            </w:r>
          </w:p>
        </w:tc>
      </w:tr>
      <w:tr w:rsidR="00BA7B5E" w:rsidRPr="005A505B" w:rsidTr="002E66DA">
        <w:trPr>
          <w:trHeight w:val="285"/>
        </w:trPr>
        <w:tc>
          <w:tcPr>
            <w:tcW w:w="2306" w:type="dxa"/>
            <w:vMerge/>
            <w:tcBorders>
              <w:left w:val="single" w:sz="4" w:space="0" w:color="000000"/>
              <w:right w:val="single" w:sz="4" w:space="0" w:color="000000"/>
            </w:tcBorders>
            <w:shd w:val="clear" w:color="auto" w:fill="auto"/>
          </w:tcPr>
          <w:p w:rsidR="00BA7B5E" w:rsidRPr="005A505B" w:rsidRDefault="00BA7B5E" w:rsidP="005A505B">
            <w:pPr>
              <w:ind w:left="450"/>
              <w:jc w:val="both"/>
              <w:rPr>
                <w:rFonts w:eastAsia="Calibri" w:cs="Arial"/>
                <w:color w:val="auto"/>
                <w:sz w:val="20"/>
                <w:szCs w:val="20"/>
              </w:rPr>
            </w:pPr>
          </w:p>
        </w:tc>
        <w:tc>
          <w:tcPr>
            <w:tcW w:w="3449" w:type="dxa"/>
            <w:tcBorders>
              <w:top w:val="single" w:sz="4" w:space="0" w:color="000000"/>
              <w:left w:val="single" w:sz="4" w:space="0" w:color="000000"/>
              <w:bottom w:val="single" w:sz="4" w:space="0" w:color="000000"/>
              <w:right w:val="single" w:sz="4" w:space="0" w:color="000000"/>
            </w:tcBorders>
            <w:shd w:val="clear" w:color="auto" w:fill="auto"/>
          </w:tcPr>
          <w:p w:rsidR="00BA7B5E" w:rsidRPr="005A505B" w:rsidRDefault="00BA7B5E" w:rsidP="005A505B">
            <w:pPr>
              <w:jc w:val="both"/>
              <w:rPr>
                <w:rFonts w:eastAsia="Calibri" w:cs="Arial"/>
                <w:color w:val="auto"/>
                <w:sz w:val="20"/>
                <w:szCs w:val="20"/>
              </w:rPr>
            </w:pPr>
            <w:r w:rsidRPr="005A505B">
              <w:rPr>
                <w:rFonts w:eastAsia="Calibri" w:cs="Arial"/>
                <w:color w:val="auto"/>
                <w:sz w:val="20"/>
                <w:szCs w:val="20"/>
              </w:rPr>
              <w:t>Defending decisions of the Council and the Registrar</w:t>
            </w:r>
          </w:p>
        </w:tc>
        <w:tc>
          <w:tcPr>
            <w:tcW w:w="3690" w:type="dxa"/>
            <w:tcBorders>
              <w:top w:val="single" w:sz="4" w:space="0" w:color="000000"/>
              <w:left w:val="single" w:sz="4" w:space="0" w:color="000000"/>
              <w:bottom w:val="single" w:sz="4" w:space="0" w:color="000000"/>
              <w:right w:val="single" w:sz="4" w:space="0" w:color="000000"/>
            </w:tcBorders>
            <w:shd w:val="clear" w:color="auto" w:fill="auto"/>
          </w:tcPr>
          <w:p w:rsidR="00BA7B5E" w:rsidRPr="005A505B" w:rsidRDefault="00BA7B5E" w:rsidP="005A505B">
            <w:pPr>
              <w:jc w:val="both"/>
              <w:rPr>
                <w:rFonts w:eastAsia="Calibri" w:cs="Arial"/>
                <w:color w:val="auto"/>
                <w:sz w:val="20"/>
                <w:szCs w:val="20"/>
              </w:rPr>
            </w:pPr>
            <w:r w:rsidRPr="005A505B">
              <w:rPr>
                <w:rFonts w:eastAsia="Calibri" w:cs="Arial"/>
                <w:color w:val="auto"/>
                <w:sz w:val="20"/>
                <w:szCs w:val="20"/>
              </w:rPr>
              <w:t>100% of court and tribunal appearance in legal matters received and action initiated by the Unit within 14 days</w:t>
            </w:r>
          </w:p>
        </w:tc>
      </w:tr>
      <w:tr w:rsidR="00BA7B5E" w:rsidRPr="005A505B" w:rsidTr="002E66DA">
        <w:trPr>
          <w:trHeight w:val="576"/>
        </w:trPr>
        <w:tc>
          <w:tcPr>
            <w:tcW w:w="2306" w:type="dxa"/>
            <w:vMerge/>
            <w:tcBorders>
              <w:left w:val="single" w:sz="4" w:space="0" w:color="000000"/>
              <w:right w:val="single" w:sz="4" w:space="0" w:color="000000"/>
            </w:tcBorders>
            <w:shd w:val="clear" w:color="auto" w:fill="auto"/>
          </w:tcPr>
          <w:p w:rsidR="00BA7B5E" w:rsidRPr="005A505B" w:rsidRDefault="00BA7B5E" w:rsidP="005A505B">
            <w:pPr>
              <w:ind w:left="450"/>
              <w:jc w:val="both"/>
              <w:rPr>
                <w:rFonts w:eastAsia="Calibri" w:cs="Arial"/>
                <w:color w:val="auto"/>
                <w:sz w:val="20"/>
                <w:szCs w:val="20"/>
              </w:rPr>
            </w:pPr>
          </w:p>
        </w:tc>
        <w:tc>
          <w:tcPr>
            <w:tcW w:w="3449" w:type="dxa"/>
            <w:vMerge w:val="restart"/>
            <w:tcBorders>
              <w:top w:val="single" w:sz="4" w:space="0" w:color="000000"/>
              <w:left w:val="single" w:sz="4" w:space="0" w:color="000000"/>
              <w:right w:val="single" w:sz="4" w:space="0" w:color="000000"/>
            </w:tcBorders>
            <w:shd w:val="clear" w:color="auto" w:fill="auto"/>
          </w:tcPr>
          <w:p w:rsidR="00BA7B5E" w:rsidRPr="005A505B" w:rsidRDefault="00BA7B5E" w:rsidP="005A505B">
            <w:pPr>
              <w:jc w:val="both"/>
              <w:rPr>
                <w:rFonts w:eastAsia="Calibri" w:cs="Arial"/>
                <w:color w:val="auto"/>
                <w:sz w:val="20"/>
                <w:szCs w:val="20"/>
              </w:rPr>
            </w:pPr>
            <w:r w:rsidRPr="005A505B">
              <w:rPr>
                <w:rFonts w:eastAsia="Calibri" w:cs="Arial"/>
                <w:color w:val="auto"/>
                <w:sz w:val="20"/>
                <w:szCs w:val="20"/>
              </w:rPr>
              <w:t>Corporate governance, Secretariat &amp; Board administration Support and Legal Services for effective governance by the Accounting Authority</w:t>
            </w:r>
          </w:p>
        </w:tc>
        <w:tc>
          <w:tcPr>
            <w:tcW w:w="3690" w:type="dxa"/>
            <w:tcBorders>
              <w:top w:val="single" w:sz="4" w:space="0" w:color="000000"/>
              <w:left w:val="single" w:sz="4" w:space="0" w:color="000000"/>
              <w:bottom w:val="single" w:sz="4" w:space="0" w:color="000000"/>
              <w:right w:val="single" w:sz="4" w:space="0" w:color="000000"/>
            </w:tcBorders>
            <w:shd w:val="clear" w:color="auto" w:fill="auto"/>
          </w:tcPr>
          <w:p w:rsidR="00BA7B5E" w:rsidRPr="005A505B" w:rsidRDefault="00BA7B5E" w:rsidP="005A505B">
            <w:pPr>
              <w:jc w:val="both"/>
              <w:rPr>
                <w:rFonts w:eastAsia="Calibri" w:cs="Arial"/>
                <w:color w:val="auto"/>
                <w:sz w:val="20"/>
                <w:szCs w:val="20"/>
              </w:rPr>
            </w:pPr>
            <w:r w:rsidRPr="005A505B">
              <w:rPr>
                <w:rFonts w:eastAsia="Calibri" w:cs="Arial"/>
                <w:color w:val="auto"/>
                <w:sz w:val="20"/>
                <w:szCs w:val="20"/>
              </w:rPr>
              <w:t>Develop an Annual Council Work Plan for Council and its committees by 31 March</w:t>
            </w:r>
          </w:p>
        </w:tc>
      </w:tr>
      <w:tr w:rsidR="00BA7B5E" w:rsidRPr="005A505B" w:rsidTr="002E66DA">
        <w:trPr>
          <w:trHeight w:val="576"/>
        </w:trPr>
        <w:tc>
          <w:tcPr>
            <w:tcW w:w="2306" w:type="dxa"/>
            <w:vMerge/>
            <w:tcBorders>
              <w:left w:val="single" w:sz="4" w:space="0" w:color="000000"/>
              <w:bottom w:val="single" w:sz="4" w:space="0" w:color="auto"/>
              <w:right w:val="single" w:sz="4" w:space="0" w:color="000000"/>
            </w:tcBorders>
            <w:shd w:val="clear" w:color="auto" w:fill="auto"/>
          </w:tcPr>
          <w:p w:rsidR="00BA7B5E" w:rsidRPr="005A505B" w:rsidRDefault="00BA7B5E" w:rsidP="005A505B">
            <w:pPr>
              <w:ind w:left="450"/>
              <w:jc w:val="both"/>
              <w:rPr>
                <w:rFonts w:eastAsia="Calibri" w:cs="Arial"/>
                <w:color w:val="auto"/>
                <w:sz w:val="20"/>
                <w:szCs w:val="20"/>
              </w:rPr>
            </w:pPr>
          </w:p>
        </w:tc>
        <w:tc>
          <w:tcPr>
            <w:tcW w:w="3449" w:type="dxa"/>
            <w:vMerge/>
            <w:tcBorders>
              <w:left w:val="single" w:sz="4" w:space="0" w:color="000000"/>
              <w:bottom w:val="single" w:sz="4" w:space="0" w:color="000000"/>
              <w:right w:val="single" w:sz="4" w:space="0" w:color="000000"/>
            </w:tcBorders>
            <w:shd w:val="clear" w:color="auto" w:fill="auto"/>
          </w:tcPr>
          <w:p w:rsidR="00BA7B5E" w:rsidRPr="005A505B" w:rsidRDefault="00BA7B5E" w:rsidP="005A505B">
            <w:pPr>
              <w:jc w:val="both"/>
              <w:rPr>
                <w:rFonts w:eastAsia="Calibri" w:cs="Arial"/>
                <w:color w:val="auto"/>
                <w:sz w:val="20"/>
                <w:szCs w:val="20"/>
              </w:rPr>
            </w:pPr>
          </w:p>
        </w:tc>
        <w:tc>
          <w:tcPr>
            <w:tcW w:w="3690" w:type="dxa"/>
            <w:tcBorders>
              <w:top w:val="single" w:sz="4" w:space="0" w:color="000000"/>
              <w:left w:val="single" w:sz="4" w:space="0" w:color="000000"/>
              <w:bottom w:val="single" w:sz="4" w:space="0" w:color="000000"/>
              <w:right w:val="single" w:sz="4" w:space="0" w:color="000000"/>
            </w:tcBorders>
            <w:shd w:val="clear" w:color="auto" w:fill="auto"/>
          </w:tcPr>
          <w:p w:rsidR="00BA7B5E" w:rsidRPr="005A505B" w:rsidRDefault="00BA7B5E" w:rsidP="005A505B">
            <w:pPr>
              <w:jc w:val="both"/>
              <w:rPr>
                <w:rFonts w:eastAsia="Calibri" w:cs="Arial"/>
                <w:color w:val="auto"/>
                <w:sz w:val="20"/>
                <w:szCs w:val="20"/>
              </w:rPr>
            </w:pPr>
            <w:r w:rsidRPr="005A505B">
              <w:rPr>
                <w:rFonts w:eastAsia="Calibri" w:cs="Arial"/>
                <w:color w:val="auto"/>
                <w:sz w:val="20"/>
                <w:szCs w:val="20"/>
              </w:rPr>
              <w:t>Develop and Review Council and Committees Governance Charters</w:t>
            </w:r>
          </w:p>
        </w:tc>
      </w:tr>
      <w:tr w:rsidR="00BA7B5E" w:rsidRPr="005A505B" w:rsidTr="002E66DA">
        <w:trPr>
          <w:trHeight w:val="285"/>
        </w:trPr>
        <w:tc>
          <w:tcPr>
            <w:tcW w:w="2306" w:type="dxa"/>
            <w:vMerge w:val="restart"/>
            <w:tcBorders>
              <w:top w:val="single" w:sz="4" w:space="0" w:color="000000"/>
              <w:left w:val="single" w:sz="4" w:space="0" w:color="000000"/>
              <w:right w:val="single" w:sz="4" w:space="0" w:color="000000"/>
            </w:tcBorders>
            <w:shd w:val="clear" w:color="auto" w:fill="auto"/>
          </w:tcPr>
          <w:p w:rsidR="00BA7B5E" w:rsidRPr="005A505B" w:rsidRDefault="00BA7B5E" w:rsidP="005A505B">
            <w:pPr>
              <w:numPr>
                <w:ilvl w:val="0"/>
                <w:numId w:val="25"/>
              </w:numPr>
              <w:jc w:val="both"/>
              <w:rPr>
                <w:rFonts w:eastAsia="Calibri" w:cs="Arial"/>
                <w:b/>
                <w:color w:val="auto"/>
                <w:sz w:val="20"/>
                <w:szCs w:val="20"/>
              </w:rPr>
            </w:pPr>
            <w:r w:rsidRPr="005A505B">
              <w:rPr>
                <w:rFonts w:eastAsia="Calibri" w:cs="Arial"/>
                <w:b/>
                <w:color w:val="auto"/>
                <w:sz w:val="20"/>
                <w:szCs w:val="20"/>
              </w:rPr>
              <w:t>STRATEGY PERFORMANCE AND RISK</w:t>
            </w:r>
          </w:p>
        </w:tc>
        <w:tc>
          <w:tcPr>
            <w:tcW w:w="3449" w:type="dxa"/>
            <w:tcBorders>
              <w:top w:val="single" w:sz="4" w:space="0" w:color="000000"/>
              <w:left w:val="single" w:sz="4" w:space="0" w:color="000000"/>
              <w:bottom w:val="single" w:sz="4" w:space="0" w:color="000000"/>
              <w:right w:val="single" w:sz="4" w:space="0" w:color="000000"/>
            </w:tcBorders>
            <w:shd w:val="clear" w:color="auto" w:fill="auto"/>
          </w:tcPr>
          <w:p w:rsidR="00BA7B5E" w:rsidRPr="005A505B" w:rsidRDefault="00BA7B5E" w:rsidP="005A505B">
            <w:pPr>
              <w:jc w:val="both"/>
              <w:rPr>
                <w:rFonts w:eastAsia="Calibri" w:cs="Arial"/>
                <w:color w:val="auto"/>
                <w:sz w:val="20"/>
                <w:szCs w:val="20"/>
              </w:rPr>
            </w:pPr>
            <w:r w:rsidRPr="005A505B">
              <w:rPr>
                <w:rFonts w:eastAsia="Calibri" w:cs="Arial"/>
                <w:color w:val="auto"/>
                <w:sz w:val="20"/>
                <w:szCs w:val="20"/>
              </w:rPr>
              <w:t>Formulate prescribed minimum benefits (PMB) definitions to ensure members are adequately protected</w:t>
            </w:r>
          </w:p>
        </w:tc>
        <w:tc>
          <w:tcPr>
            <w:tcW w:w="3690" w:type="dxa"/>
            <w:tcBorders>
              <w:top w:val="single" w:sz="4" w:space="0" w:color="000000"/>
              <w:left w:val="single" w:sz="4" w:space="0" w:color="000000"/>
              <w:bottom w:val="single" w:sz="4" w:space="0" w:color="000000"/>
              <w:right w:val="single" w:sz="4" w:space="0" w:color="000000"/>
            </w:tcBorders>
            <w:shd w:val="clear" w:color="auto" w:fill="auto"/>
          </w:tcPr>
          <w:p w:rsidR="00BA7B5E" w:rsidRPr="005A505B" w:rsidRDefault="00BA7B5E" w:rsidP="005A505B">
            <w:pPr>
              <w:jc w:val="both"/>
              <w:rPr>
                <w:rFonts w:eastAsia="Calibri" w:cs="Arial"/>
                <w:color w:val="auto"/>
                <w:sz w:val="20"/>
                <w:szCs w:val="20"/>
              </w:rPr>
            </w:pPr>
            <w:r w:rsidRPr="005A505B">
              <w:rPr>
                <w:rFonts w:eastAsia="Calibri" w:cs="Arial"/>
                <w:color w:val="auto"/>
                <w:sz w:val="20"/>
                <w:szCs w:val="20"/>
              </w:rPr>
              <w:t>10 PMB definitions published, per year</w:t>
            </w:r>
          </w:p>
        </w:tc>
      </w:tr>
      <w:tr w:rsidR="00BA7B5E" w:rsidRPr="005A505B" w:rsidTr="002E66DA">
        <w:trPr>
          <w:trHeight w:val="285"/>
        </w:trPr>
        <w:tc>
          <w:tcPr>
            <w:tcW w:w="2306" w:type="dxa"/>
            <w:vMerge/>
            <w:tcBorders>
              <w:top w:val="single" w:sz="4" w:space="0" w:color="000000"/>
              <w:left w:val="single" w:sz="4" w:space="0" w:color="000000"/>
              <w:right w:val="single" w:sz="4" w:space="0" w:color="000000"/>
            </w:tcBorders>
            <w:shd w:val="clear" w:color="auto" w:fill="auto"/>
          </w:tcPr>
          <w:p w:rsidR="00BA7B5E" w:rsidRPr="005A505B" w:rsidRDefault="00BA7B5E" w:rsidP="005A505B">
            <w:pPr>
              <w:numPr>
                <w:ilvl w:val="0"/>
                <w:numId w:val="25"/>
              </w:numPr>
              <w:jc w:val="both"/>
              <w:rPr>
                <w:rFonts w:eastAsia="Calibri" w:cs="Arial"/>
                <w:b/>
                <w:color w:val="auto"/>
                <w:sz w:val="20"/>
                <w:szCs w:val="20"/>
              </w:rPr>
            </w:pPr>
          </w:p>
        </w:tc>
        <w:tc>
          <w:tcPr>
            <w:tcW w:w="3449" w:type="dxa"/>
            <w:tcBorders>
              <w:top w:val="single" w:sz="4" w:space="0" w:color="000000"/>
              <w:left w:val="single" w:sz="4" w:space="0" w:color="000000"/>
              <w:bottom w:val="single" w:sz="4" w:space="0" w:color="000000"/>
              <w:right w:val="single" w:sz="4" w:space="0" w:color="000000"/>
            </w:tcBorders>
            <w:shd w:val="clear" w:color="auto" w:fill="auto"/>
          </w:tcPr>
          <w:p w:rsidR="00BA7B5E" w:rsidRPr="005A505B" w:rsidRDefault="00BA7B5E" w:rsidP="005A505B">
            <w:pPr>
              <w:jc w:val="both"/>
              <w:rPr>
                <w:rFonts w:eastAsia="Calibri" w:cs="Arial"/>
                <w:color w:val="auto"/>
                <w:sz w:val="20"/>
                <w:szCs w:val="20"/>
              </w:rPr>
            </w:pPr>
            <w:r w:rsidRPr="005A505B">
              <w:rPr>
                <w:rFonts w:eastAsia="Calibri" w:cs="Arial"/>
                <w:color w:val="auto"/>
                <w:sz w:val="20"/>
                <w:szCs w:val="20"/>
              </w:rPr>
              <w:t>Develop primary health care package to incorporate into the PMBs</w:t>
            </w:r>
          </w:p>
        </w:tc>
        <w:tc>
          <w:tcPr>
            <w:tcW w:w="3690" w:type="dxa"/>
            <w:tcBorders>
              <w:top w:val="single" w:sz="4" w:space="0" w:color="000000"/>
              <w:left w:val="single" w:sz="4" w:space="0" w:color="000000"/>
              <w:bottom w:val="single" w:sz="4" w:space="0" w:color="000000"/>
              <w:right w:val="single" w:sz="4" w:space="0" w:color="000000"/>
            </w:tcBorders>
            <w:shd w:val="clear" w:color="auto" w:fill="auto"/>
          </w:tcPr>
          <w:p w:rsidR="00BA7B5E" w:rsidRPr="005A505B" w:rsidRDefault="00BA7B5E" w:rsidP="005A505B">
            <w:pPr>
              <w:jc w:val="both"/>
              <w:rPr>
                <w:rFonts w:eastAsia="Calibri" w:cs="Arial"/>
                <w:color w:val="auto"/>
                <w:sz w:val="20"/>
                <w:szCs w:val="20"/>
              </w:rPr>
            </w:pPr>
            <w:r w:rsidRPr="005A505B">
              <w:rPr>
                <w:rFonts w:eastAsia="Calibri" w:cs="Arial"/>
                <w:color w:val="auto"/>
                <w:sz w:val="20"/>
                <w:szCs w:val="20"/>
              </w:rPr>
              <w:t>Develop primary health care package to incorporate into the PMBs</w:t>
            </w:r>
          </w:p>
        </w:tc>
      </w:tr>
      <w:tr w:rsidR="00BA7B5E" w:rsidRPr="005A505B" w:rsidTr="002E66DA">
        <w:trPr>
          <w:trHeight w:val="285"/>
        </w:trPr>
        <w:tc>
          <w:tcPr>
            <w:tcW w:w="2306" w:type="dxa"/>
            <w:vMerge/>
            <w:tcBorders>
              <w:left w:val="single" w:sz="4" w:space="0" w:color="000000"/>
              <w:right w:val="single" w:sz="4" w:space="0" w:color="000000"/>
            </w:tcBorders>
            <w:shd w:val="clear" w:color="auto" w:fill="auto"/>
          </w:tcPr>
          <w:p w:rsidR="00BA7B5E" w:rsidRPr="005A505B" w:rsidRDefault="00BA7B5E" w:rsidP="005A505B">
            <w:pPr>
              <w:ind w:left="450"/>
              <w:jc w:val="both"/>
              <w:rPr>
                <w:rFonts w:eastAsia="Calibri" w:cs="Arial"/>
                <w:color w:val="auto"/>
                <w:sz w:val="20"/>
                <w:szCs w:val="20"/>
              </w:rPr>
            </w:pPr>
          </w:p>
        </w:tc>
        <w:tc>
          <w:tcPr>
            <w:tcW w:w="3449" w:type="dxa"/>
            <w:vMerge w:val="restart"/>
            <w:tcBorders>
              <w:top w:val="single" w:sz="4" w:space="0" w:color="000000"/>
              <w:left w:val="single" w:sz="4" w:space="0" w:color="000000"/>
              <w:right w:val="single" w:sz="4" w:space="0" w:color="000000"/>
            </w:tcBorders>
            <w:shd w:val="clear" w:color="auto" w:fill="auto"/>
          </w:tcPr>
          <w:p w:rsidR="00BA7B5E" w:rsidRPr="005A505B" w:rsidRDefault="00BA7B5E" w:rsidP="005A505B">
            <w:pPr>
              <w:jc w:val="both"/>
              <w:rPr>
                <w:rFonts w:eastAsia="Calibri" w:cs="Arial"/>
                <w:color w:val="auto"/>
                <w:sz w:val="20"/>
                <w:szCs w:val="20"/>
              </w:rPr>
            </w:pPr>
            <w:r w:rsidRPr="005A505B">
              <w:rPr>
                <w:rFonts w:eastAsia="Calibri" w:cs="Arial"/>
                <w:color w:val="auto"/>
                <w:sz w:val="20"/>
                <w:szCs w:val="20"/>
              </w:rPr>
              <w:t>Provide clinical opinions with a view to resolve complaints and enquiries</w:t>
            </w:r>
          </w:p>
        </w:tc>
        <w:tc>
          <w:tcPr>
            <w:tcW w:w="3690" w:type="dxa"/>
            <w:tcBorders>
              <w:top w:val="single" w:sz="4" w:space="0" w:color="000000"/>
              <w:left w:val="single" w:sz="4" w:space="0" w:color="000000"/>
              <w:bottom w:val="single" w:sz="4" w:space="0" w:color="000000"/>
              <w:right w:val="single" w:sz="4" w:space="0" w:color="000000"/>
            </w:tcBorders>
            <w:shd w:val="clear" w:color="auto" w:fill="auto"/>
          </w:tcPr>
          <w:p w:rsidR="00BA7B5E" w:rsidRPr="005A505B" w:rsidRDefault="00BA7B5E" w:rsidP="005A505B">
            <w:pPr>
              <w:jc w:val="both"/>
              <w:rPr>
                <w:rFonts w:eastAsia="Calibri" w:cs="Arial"/>
                <w:color w:val="auto"/>
                <w:sz w:val="20"/>
                <w:szCs w:val="20"/>
              </w:rPr>
            </w:pPr>
            <w:r w:rsidRPr="005A505B">
              <w:rPr>
                <w:rFonts w:eastAsia="Calibri" w:cs="Arial"/>
                <w:color w:val="auto"/>
                <w:sz w:val="20"/>
                <w:szCs w:val="20"/>
              </w:rPr>
              <w:t>90% of category 1 clinical opinions provided within 30 working days of receipt from Complaints Adjudication Unit</w:t>
            </w:r>
          </w:p>
        </w:tc>
      </w:tr>
      <w:tr w:rsidR="00BA7B5E" w:rsidRPr="005A505B" w:rsidTr="002E66DA">
        <w:trPr>
          <w:trHeight w:val="285"/>
        </w:trPr>
        <w:tc>
          <w:tcPr>
            <w:tcW w:w="2306" w:type="dxa"/>
            <w:vMerge/>
            <w:tcBorders>
              <w:left w:val="single" w:sz="4" w:space="0" w:color="000000"/>
              <w:right w:val="single" w:sz="4" w:space="0" w:color="000000"/>
            </w:tcBorders>
            <w:shd w:val="clear" w:color="auto" w:fill="auto"/>
          </w:tcPr>
          <w:p w:rsidR="00BA7B5E" w:rsidRPr="005A505B" w:rsidRDefault="00BA7B5E" w:rsidP="005A505B">
            <w:pPr>
              <w:ind w:left="450"/>
              <w:jc w:val="both"/>
              <w:rPr>
                <w:rFonts w:eastAsia="Calibri" w:cs="Arial"/>
                <w:color w:val="auto"/>
                <w:sz w:val="20"/>
                <w:szCs w:val="20"/>
              </w:rPr>
            </w:pPr>
          </w:p>
        </w:tc>
        <w:tc>
          <w:tcPr>
            <w:tcW w:w="3449" w:type="dxa"/>
            <w:vMerge/>
            <w:tcBorders>
              <w:left w:val="single" w:sz="4" w:space="0" w:color="000000"/>
              <w:right w:val="single" w:sz="4" w:space="0" w:color="000000"/>
            </w:tcBorders>
            <w:shd w:val="clear" w:color="auto" w:fill="auto"/>
          </w:tcPr>
          <w:p w:rsidR="00BA7B5E" w:rsidRPr="005A505B" w:rsidRDefault="00BA7B5E" w:rsidP="005A505B">
            <w:pPr>
              <w:jc w:val="both"/>
              <w:rPr>
                <w:rFonts w:eastAsia="Calibri" w:cs="Arial"/>
                <w:color w:val="auto"/>
                <w:sz w:val="20"/>
                <w:szCs w:val="20"/>
              </w:rPr>
            </w:pPr>
          </w:p>
        </w:tc>
        <w:tc>
          <w:tcPr>
            <w:tcW w:w="3690" w:type="dxa"/>
            <w:tcBorders>
              <w:top w:val="single" w:sz="4" w:space="0" w:color="000000"/>
              <w:left w:val="single" w:sz="4" w:space="0" w:color="000000"/>
              <w:bottom w:val="single" w:sz="4" w:space="0" w:color="000000"/>
              <w:right w:val="single" w:sz="4" w:space="0" w:color="000000"/>
            </w:tcBorders>
            <w:shd w:val="clear" w:color="auto" w:fill="auto"/>
          </w:tcPr>
          <w:p w:rsidR="00BA7B5E" w:rsidRPr="005A505B" w:rsidRDefault="00BA7B5E" w:rsidP="005A505B">
            <w:pPr>
              <w:jc w:val="both"/>
              <w:rPr>
                <w:rFonts w:eastAsia="Calibri" w:cs="Arial"/>
                <w:color w:val="auto"/>
                <w:sz w:val="20"/>
                <w:szCs w:val="20"/>
              </w:rPr>
            </w:pPr>
            <w:r w:rsidRPr="005A505B">
              <w:rPr>
                <w:rFonts w:eastAsia="Calibri" w:cs="Arial"/>
                <w:color w:val="auto"/>
                <w:sz w:val="20"/>
                <w:szCs w:val="20"/>
              </w:rPr>
              <w:t>98% of clinical enquiries received via e-mail or telephone and responded to within 7 days</w:t>
            </w:r>
          </w:p>
        </w:tc>
      </w:tr>
      <w:tr w:rsidR="00BA7B5E" w:rsidRPr="005A505B" w:rsidTr="002E66DA">
        <w:trPr>
          <w:trHeight w:val="778"/>
        </w:trPr>
        <w:tc>
          <w:tcPr>
            <w:tcW w:w="2306" w:type="dxa"/>
            <w:vMerge/>
            <w:tcBorders>
              <w:left w:val="single" w:sz="4" w:space="0" w:color="000000"/>
              <w:right w:val="single" w:sz="4" w:space="0" w:color="000000"/>
            </w:tcBorders>
            <w:shd w:val="clear" w:color="auto" w:fill="auto"/>
          </w:tcPr>
          <w:p w:rsidR="00BA7B5E" w:rsidRPr="005A505B" w:rsidRDefault="00BA7B5E" w:rsidP="005A505B">
            <w:pPr>
              <w:ind w:left="450"/>
              <w:jc w:val="both"/>
              <w:rPr>
                <w:rFonts w:eastAsia="Calibri" w:cs="Arial"/>
                <w:color w:val="auto"/>
                <w:sz w:val="20"/>
                <w:szCs w:val="20"/>
              </w:rPr>
            </w:pPr>
          </w:p>
        </w:tc>
        <w:tc>
          <w:tcPr>
            <w:tcW w:w="3449" w:type="dxa"/>
            <w:tcBorders>
              <w:top w:val="single" w:sz="4" w:space="0" w:color="000000"/>
              <w:left w:val="single" w:sz="4" w:space="0" w:color="000000"/>
              <w:right w:val="single" w:sz="4" w:space="0" w:color="000000"/>
            </w:tcBorders>
            <w:shd w:val="clear" w:color="auto" w:fill="auto"/>
          </w:tcPr>
          <w:p w:rsidR="00BA7B5E" w:rsidRPr="005A505B" w:rsidRDefault="00BA7B5E" w:rsidP="005A505B">
            <w:pPr>
              <w:jc w:val="both"/>
              <w:rPr>
                <w:rFonts w:eastAsia="Calibri" w:cs="Arial"/>
                <w:color w:val="auto"/>
                <w:sz w:val="20"/>
                <w:szCs w:val="20"/>
              </w:rPr>
            </w:pPr>
            <w:r w:rsidRPr="005A505B">
              <w:rPr>
                <w:rFonts w:eastAsia="Calibri" w:cs="Arial"/>
                <w:color w:val="auto"/>
                <w:sz w:val="20"/>
                <w:szCs w:val="20"/>
              </w:rPr>
              <w:t xml:space="preserve">Conduct research to inform national health policy interventions </w:t>
            </w:r>
          </w:p>
        </w:tc>
        <w:tc>
          <w:tcPr>
            <w:tcW w:w="3690" w:type="dxa"/>
            <w:tcBorders>
              <w:top w:val="single" w:sz="4" w:space="0" w:color="000000"/>
              <w:left w:val="single" w:sz="4" w:space="0" w:color="000000"/>
              <w:right w:val="single" w:sz="4" w:space="0" w:color="000000"/>
            </w:tcBorders>
            <w:shd w:val="clear" w:color="auto" w:fill="auto"/>
          </w:tcPr>
          <w:p w:rsidR="00BA7B5E" w:rsidRPr="005A505B" w:rsidRDefault="00BA7B5E" w:rsidP="005A505B">
            <w:pPr>
              <w:jc w:val="both"/>
              <w:rPr>
                <w:rFonts w:eastAsia="Calibri" w:cs="Arial"/>
                <w:color w:val="auto"/>
                <w:sz w:val="20"/>
                <w:szCs w:val="20"/>
              </w:rPr>
            </w:pPr>
            <w:r w:rsidRPr="005A505B">
              <w:rPr>
                <w:rFonts w:eastAsia="Calibri" w:cs="Arial"/>
                <w:color w:val="auto"/>
                <w:sz w:val="20"/>
                <w:szCs w:val="20"/>
              </w:rPr>
              <w:t>5 Research projects and support projects published in support of national health policy</w:t>
            </w:r>
          </w:p>
        </w:tc>
      </w:tr>
      <w:tr w:rsidR="00BA7B5E" w:rsidRPr="005A505B" w:rsidTr="002E66DA">
        <w:trPr>
          <w:trHeight w:val="285"/>
        </w:trPr>
        <w:tc>
          <w:tcPr>
            <w:tcW w:w="2306" w:type="dxa"/>
            <w:vMerge w:val="restart"/>
            <w:tcBorders>
              <w:top w:val="single" w:sz="4" w:space="0" w:color="000000"/>
              <w:left w:val="single" w:sz="4" w:space="0" w:color="000000"/>
              <w:right w:val="single" w:sz="4" w:space="0" w:color="000000"/>
            </w:tcBorders>
            <w:shd w:val="clear" w:color="auto" w:fill="auto"/>
          </w:tcPr>
          <w:p w:rsidR="00BA7B5E" w:rsidRPr="005A505B" w:rsidRDefault="00BA7B5E" w:rsidP="005A505B">
            <w:pPr>
              <w:numPr>
                <w:ilvl w:val="0"/>
                <w:numId w:val="25"/>
              </w:numPr>
              <w:jc w:val="both"/>
              <w:rPr>
                <w:rFonts w:eastAsia="Calibri" w:cs="Arial"/>
                <w:b/>
                <w:color w:val="auto"/>
                <w:sz w:val="20"/>
                <w:szCs w:val="20"/>
              </w:rPr>
            </w:pPr>
            <w:r w:rsidRPr="005A505B">
              <w:rPr>
                <w:rFonts w:eastAsia="Calibri" w:cs="Arial"/>
                <w:b/>
                <w:color w:val="auto"/>
                <w:sz w:val="20"/>
                <w:szCs w:val="20"/>
              </w:rPr>
              <w:t xml:space="preserve">REGULATION* </w:t>
            </w:r>
          </w:p>
          <w:p w:rsidR="00BA7B5E" w:rsidRPr="005A505B" w:rsidRDefault="00BA7B5E" w:rsidP="005A505B">
            <w:pPr>
              <w:ind w:left="90"/>
              <w:rPr>
                <w:rFonts w:eastAsia="Calibri" w:cs="Arial"/>
                <w:color w:val="auto"/>
                <w:sz w:val="20"/>
                <w:szCs w:val="20"/>
                <w:lang w:val="en-ZA"/>
              </w:rPr>
            </w:pPr>
            <w:r w:rsidRPr="005A505B">
              <w:rPr>
                <w:rFonts w:eastAsia="Calibri" w:cs="Arial"/>
                <w:color w:val="auto"/>
                <w:sz w:val="20"/>
                <w:szCs w:val="20"/>
              </w:rPr>
              <w:t xml:space="preserve">(This programme appears to subsume programmes previously known as Compliance </w:t>
            </w:r>
            <w:r w:rsidRPr="005A505B">
              <w:rPr>
                <w:rFonts w:eastAsia="Calibri" w:cs="Arial"/>
                <w:color w:val="auto"/>
                <w:sz w:val="20"/>
                <w:szCs w:val="20"/>
                <w:lang w:val="en-ZA"/>
              </w:rPr>
              <w:t>and Investigations; Benefits Management; and Financial Supervision Programmes)</w:t>
            </w:r>
          </w:p>
        </w:tc>
        <w:tc>
          <w:tcPr>
            <w:tcW w:w="3449" w:type="dxa"/>
            <w:tcBorders>
              <w:top w:val="single" w:sz="4" w:space="0" w:color="000000"/>
              <w:left w:val="single" w:sz="4" w:space="0" w:color="000000"/>
              <w:bottom w:val="single" w:sz="4" w:space="0" w:color="000000"/>
              <w:right w:val="single" w:sz="4" w:space="0" w:color="000000"/>
            </w:tcBorders>
            <w:shd w:val="clear" w:color="auto" w:fill="auto"/>
          </w:tcPr>
          <w:p w:rsidR="00BA7B5E" w:rsidRPr="005A505B" w:rsidRDefault="00BA7B5E" w:rsidP="005A505B">
            <w:pPr>
              <w:jc w:val="both"/>
              <w:rPr>
                <w:rFonts w:eastAsia="Calibri" w:cs="Arial"/>
                <w:color w:val="auto"/>
                <w:sz w:val="20"/>
                <w:szCs w:val="20"/>
              </w:rPr>
            </w:pPr>
            <w:r w:rsidRPr="005A505B">
              <w:rPr>
                <w:rFonts w:eastAsia="Calibri" w:cs="Arial"/>
                <w:color w:val="auto"/>
                <w:sz w:val="20"/>
                <w:szCs w:val="20"/>
              </w:rPr>
              <w:t xml:space="preserve">Percentage of broker and broker organisation applications accredited within 30 working days on receipt of complete information </w:t>
            </w:r>
          </w:p>
        </w:tc>
        <w:tc>
          <w:tcPr>
            <w:tcW w:w="3690" w:type="dxa"/>
            <w:tcBorders>
              <w:top w:val="single" w:sz="4" w:space="0" w:color="000000"/>
              <w:left w:val="single" w:sz="4" w:space="0" w:color="000000"/>
              <w:bottom w:val="single" w:sz="4" w:space="0" w:color="000000"/>
              <w:right w:val="single" w:sz="4" w:space="0" w:color="000000"/>
            </w:tcBorders>
            <w:shd w:val="clear" w:color="auto" w:fill="auto"/>
          </w:tcPr>
          <w:p w:rsidR="00BA7B5E" w:rsidRPr="005A505B" w:rsidRDefault="00BA7B5E" w:rsidP="005A505B">
            <w:pPr>
              <w:jc w:val="both"/>
              <w:rPr>
                <w:rFonts w:eastAsia="Calibri" w:cs="Arial"/>
                <w:color w:val="auto"/>
                <w:sz w:val="20"/>
                <w:szCs w:val="20"/>
              </w:rPr>
            </w:pPr>
            <w:r w:rsidRPr="005A505B">
              <w:rPr>
                <w:rFonts w:eastAsia="Calibri" w:cs="Arial"/>
                <w:color w:val="auto"/>
                <w:sz w:val="20"/>
                <w:szCs w:val="20"/>
              </w:rPr>
              <w:t xml:space="preserve">80% </w:t>
            </w:r>
          </w:p>
        </w:tc>
      </w:tr>
      <w:tr w:rsidR="00BA7B5E" w:rsidRPr="005A505B" w:rsidTr="002E66DA">
        <w:trPr>
          <w:trHeight w:val="285"/>
        </w:trPr>
        <w:tc>
          <w:tcPr>
            <w:tcW w:w="2306" w:type="dxa"/>
            <w:vMerge/>
            <w:tcBorders>
              <w:left w:val="single" w:sz="4" w:space="0" w:color="000000"/>
              <w:right w:val="single" w:sz="4" w:space="0" w:color="000000"/>
            </w:tcBorders>
            <w:shd w:val="clear" w:color="auto" w:fill="auto"/>
          </w:tcPr>
          <w:p w:rsidR="00BA7B5E" w:rsidRPr="005A505B" w:rsidRDefault="00BA7B5E" w:rsidP="005A505B">
            <w:pPr>
              <w:ind w:left="450"/>
              <w:jc w:val="both"/>
              <w:rPr>
                <w:rFonts w:eastAsia="Calibri" w:cs="Arial"/>
                <w:b/>
                <w:color w:val="auto"/>
                <w:sz w:val="20"/>
                <w:szCs w:val="20"/>
              </w:rPr>
            </w:pPr>
          </w:p>
        </w:tc>
        <w:tc>
          <w:tcPr>
            <w:tcW w:w="3449" w:type="dxa"/>
            <w:tcBorders>
              <w:top w:val="single" w:sz="4" w:space="0" w:color="000000"/>
              <w:left w:val="single" w:sz="4" w:space="0" w:color="000000"/>
              <w:bottom w:val="single" w:sz="4" w:space="0" w:color="000000"/>
              <w:right w:val="single" w:sz="4" w:space="0" w:color="000000"/>
            </w:tcBorders>
            <w:shd w:val="clear" w:color="auto" w:fill="auto"/>
          </w:tcPr>
          <w:p w:rsidR="00BA7B5E" w:rsidRPr="005A505B" w:rsidRDefault="00BA7B5E" w:rsidP="005A505B">
            <w:pPr>
              <w:jc w:val="both"/>
              <w:rPr>
                <w:rFonts w:eastAsia="Calibri" w:cs="Arial"/>
                <w:color w:val="auto"/>
                <w:sz w:val="20"/>
                <w:szCs w:val="20"/>
              </w:rPr>
            </w:pPr>
            <w:r w:rsidRPr="005A505B">
              <w:rPr>
                <w:rFonts w:eastAsia="Calibri" w:cs="Arial"/>
                <w:color w:val="auto"/>
                <w:sz w:val="20"/>
                <w:szCs w:val="20"/>
              </w:rPr>
              <w:t>Percentage of managed care organisation applications analysis completed within three months of receipt of complete information</w:t>
            </w:r>
          </w:p>
        </w:tc>
        <w:tc>
          <w:tcPr>
            <w:tcW w:w="3690" w:type="dxa"/>
            <w:tcBorders>
              <w:top w:val="single" w:sz="4" w:space="0" w:color="000000"/>
              <w:left w:val="single" w:sz="4" w:space="0" w:color="000000"/>
              <w:bottom w:val="single" w:sz="4" w:space="0" w:color="000000"/>
              <w:right w:val="single" w:sz="4" w:space="0" w:color="000000"/>
            </w:tcBorders>
            <w:shd w:val="clear" w:color="auto" w:fill="auto"/>
          </w:tcPr>
          <w:p w:rsidR="00BA7B5E" w:rsidRPr="005A505B" w:rsidRDefault="00BA7B5E" w:rsidP="005A505B">
            <w:pPr>
              <w:jc w:val="both"/>
              <w:rPr>
                <w:rFonts w:eastAsia="Calibri" w:cs="Arial"/>
                <w:color w:val="auto"/>
                <w:sz w:val="20"/>
                <w:szCs w:val="20"/>
              </w:rPr>
            </w:pPr>
            <w:r w:rsidRPr="005A505B">
              <w:rPr>
                <w:rFonts w:eastAsia="Calibri" w:cs="Arial"/>
                <w:color w:val="auto"/>
                <w:sz w:val="20"/>
                <w:szCs w:val="20"/>
              </w:rPr>
              <w:t>100%</w:t>
            </w:r>
          </w:p>
        </w:tc>
      </w:tr>
      <w:tr w:rsidR="00BA7B5E" w:rsidRPr="005A505B" w:rsidTr="002E66DA">
        <w:trPr>
          <w:trHeight w:val="285"/>
        </w:trPr>
        <w:tc>
          <w:tcPr>
            <w:tcW w:w="2306" w:type="dxa"/>
            <w:vMerge/>
            <w:tcBorders>
              <w:left w:val="single" w:sz="4" w:space="0" w:color="000000"/>
              <w:right w:val="single" w:sz="4" w:space="0" w:color="000000"/>
            </w:tcBorders>
            <w:shd w:val="clear" w:color="auto" w:fill="auto"/>
          </w:tcPr>
          <w:p w:rsidR="00BA7B5E" w:rsidRPr="005A505B" w:rsidRDefault="00BA7B5E" w:rsidP="005A505B">
            <w:pPr>
              <w:ind w:left="450"/>
              <w:jc w:val="both"/>
              <w:rPr>
                <w:rFonts w:eastAsia="Calibri" w:cs="Arial"/>
                <w:b/>
                <w:color w:val="auto"/>
                <w:sz w:val="20"/>
                <w:szCs w:val="20"/>
              </w:rPr>
            </w:pPr>
          </w:p>
        </w:tc>
        <w:tc>
          <w:tcPr>
            <w:tcW w:w="3449" w:type="dxa"/>
            <w:tcBorders>
              <w:top w:val="single" w:sz="4" w:space="0" w:color="000000"/>
              <w:left w:val="single" w:sz="4" w:space="0" w:color="000000"/>
              <w:bottom w:val="single" w:sz="4" w:space="0" w:color="000000"/>
              <w:right w:val="single" w:sz="4" w:space="0" w:color="000000"/>
            </w:tcBorders>
            <w:shd w:val="clear" w:color="auto" w:fill="auto"/>
          </w:tcPr>
          <w:p w:rsidR="00BA7B5E" w:rsidRPr="005A505B" w:rsidRDefault="00BA7B5E" w:rsidP="005A505B">
            <w:pPr>
              <w:jc w:val="both"/>
              <w:rPr>
                <w:rFonts w:eastAsia="Calibri" w:cs="Arial"/>
                <w:color w:val="auto"/>
                <w:sz w:val="20"/>
                <w:szCs w:val="20"/>
              </w:rPr>
            </w:pPr>
            <w:r w:rsidRPr="005A505B">
              <w:rPr>
                <w:rFonts w:eastAsia="Calibri" w:cs="Arial"/>
                <w:color w:val="auto"/>
                <w:sz w:val="20"/>
                <w:szCs w:val="20"/>
              </w:rPr>
              <w:t>Percentage of administrators and self-administered schemes’ applications analysis completed within three months of receipt of complete information</w:t>
            </w:r>
          </w:p>
        </w:tc>
        <w:tc>
          <w:tcPr>
            <w:tcW w:w="3690" w:type="dxa"/>
            <w:tcBorders>
              <w:top w:val="single" w:sz="4" w:space="0" w:color="000000"/>
              <w:left w:val="single" w:sz="4" w:space="0" w:color="000000"/>
              <w:bottom w:val="single" w:sz="4" w:space="0" w:color="000000"/>
              <w:right w:val="single" w:sz="4" w:space="0" w:color="000000"/>
            </w:tcBorders>
            <w:shd w:val="clear" w:color="auto" w:fill="auto"/>
          </w:tcPr>
          <w:p w:rsidR="00BA7B5E" w:rsidRPr="005A505B" w:rsidRDefault="00BA7B5E" w:rsidP="005A505B">
            <w:pPr>
              <w:jc w:val="both"/>
              <w:rPr>
                <w:rFonts w:eastAsia="Calibri" w:cs="Arial"/>
                <w:color w:val="auto"/>
                <w:sz w:val="20"/>
                <w:szCs w:val="20"/>
              </w:rPr>
            </w:pPr>
            <w:r w:rsidRPr="005A505B">
              <w:rPr>
                <w:rFonts w:eastAsia="Calibri" w:cs="Arial"/>
                <w:color w:val="auto"/>
                <w:sz w:val="20"/>
                <w:szCs w:val="20"/>
              </w:rPr>
              <w:t>100%</w:t>
            </w:r>
          </w:p>
        </w:tc>
      </w:tr>
      <w:tr w:rsidR="00BA7B5E" w:rsidRPr="005A505B" w:rsidTr="002E66DA">
        <w:trPr>
          <w:trHeight w:val="285"/>
        </w:trPr>
        <w:tc>
          <w:tcPr>
            <w:tcW w:w="2306" w:type="dxa"/>
            <w:vMerge/>
            <w:tcBorders>
              <w:left w:val="single" w:sz="4" w:space="0" w:color="000000"/>
              <w:right w:val="single" w:sz="4" w:space="0" w:color="000000"/>
            </w:tcBorders>
            <w:shd w:val="clear" w:color="auto" w:fill="auto"/>
          </w:tcPr>
          <w:p w:rsidR="00BA7B5E" w:rsidRPr="005A505B" w:rsidRDefault="00BA7B5E" w:rsidP="005A505B">
            <w:pPr>
              <w:ind w:left="450"/>
              <w:jc w:val="both"/>
              <w:rPr>
                <w:rFonts w:eastAsia="Calibri" w:cs="Arial"/>
                <w:b/>
                <w:color w:val="auto"/>
                <w:sz w:val="20"/>
                <w:szCs w:val="20"/>
              </w:rPr>
            </w:pPr>
          </w:p>
        </w:tc>
        <w:tc>
          <w:tcPr>
            <w:tcW w:w="3449" w:type="dxa"/>
            <w:shd w:val="clear" w:color="auto" w:fill="auto"/>
          </w:tcPr>
          <w:p w:rsidR="00BA7B5E" w:rsidRPr="005A505B" w:rsidRDefault="00BA7B5E" w:rsidP="005A505B">
            <w:pPr>
              <w:jc w:val="both"/>
              <w:rPr>
                <w:rFonts w:eastAsia="Calibri" w:cs="Arial"/>
                <w:color w:val="auto"/>
                <w:sz w:val="20"/>
                <w:szCs w:val="20"/>
              </w:rPr>
            </w:pPr>
            <w:r w:rsidRPr="005A505B">
              <w:rPr>
                <w:rFonts w:eastAsia="Calibri" w:cs="Arial"/>
                <w:color w:val="auto"/>
                <w:sz w:val="20"/>
                <w:szCs w:val="20"/>
              </w:rPr>
              <w:t xml:space="preserve">Inspect regulated entities for routine monitoring of compliance with the prescribed legislation </w:t>
            </w:r>
          </w:p>
        </w:tc>
        <w:tc>
          <w:tcPr>
            <w:tcW w:w="3690" w:type="dxa"/>
            <w:shd w:val="clear" w:color="auto" w:fill="auto"/>
          </w:tcPr>
          <w:p w:rsidR="00BA7B5E" w:rsidRPr="005A505B" w:rsidRDefault="00BA7B5E" w:rsidP="005A505B">
            <w:pPr>
              <w:jc w:val="both"/>
              <w:rPr>
                <w:rFonts w:eastAsia="Calibri" w:cs="Arial"/>
                <w:color w:val="auto"/>
                <w:sz w:val="20"/>
                <w:szCs w:val="20"/>
              </w:rPr>
            </w:pPr>
            <w:r w:rsidRPr="005A505B">
              <w:rPr>
                <w:rFonts w:eastAsia="Calibri" w:cs="Arial"/>
                <w:color w:val="auto"/>
                <w:sz w:val="20"/>
                <w:szCs w:val="20"/>
              </w:rPr>
              <w:t>15 Routine inspections undertaken if applicable</w:t>
            </w:r>
          </w:p>
        </w:tc>
      </w:tr>
      <w:tr w:rsidR="00BA7B5E" w:rsidRPr="005A505B" w:rsidTr="002E66DA">
        <w:trPr>
          <w:trHeight w:val="285"/>
        </w:trPr>
        <w:tc>
          <w:tcPr>
            <w:tcW w:w="2306" w:type="dxa"/>
            <w:vMerge/>
            <w:tcBorders>
              <w:left w:val="single" w:sz="4" w:space="0" w:color="000000"/>
              <w:right w:val="single" w:sz="4" w:space="0" w:color="000000"/>
            </w:tcBorders>
            <w:shd w:val="clear" w:color="auto" w:fill="auto"/>
          </w:tcPr>
          <w:p w:rsidR="00BA7B5E" w:rsidRPr="005A505B" w:rsidRDefault="00BA7B5E" w:rsidP="005A505B">
            <w:pPr>
              <w:ind w:left="450"/>
              <w:jc w:val="both"/>
              <w:rPr>
                <w:rFonts w:eastAsia="Calibri" w:cs="Arial"/>
                <w:b/>
                <w:color w:val="auto"/>
                <w:sz w:val="20"/>
                <w:szCs w:val="20"/>
              </w:rPr>
            </w:pPr>
          </w:p>
        </w:tc>
        <w:tc>
          <w:tcPr>
            <w:tcW w:w="3449" w:type="dxa"/>
            <w:shd w:val="clear" w:color="auto" w:fill="auto"/>
          </w:tcPr>
          <w:p w:rsidR="00BA7B5E" w:rsidRPr="005A505B" w:rsidRDefault="00BA7B5E" w:rsidP="005A505B">
            <w:pPr>
              <w:jc w:val="both"/>
              <w:rPr>
                <w:rFonts w:eastAsia="Calibri" w:cs="Arial"/>
                <w:color w:val="auto"/>
                <w:sz w:val="20"/>
                <w:szCs w:val="20"/>
              </w:rPr>
            </w:pPr>
            <w:r w:rsidRPr="005A505B">
              <w:rPr>
                <w:rFonts w:eastAsia="Calibri" w:cs="Arial"/>
                <w:color w:val="auto"/>
                <w:sz w:val="20"/>
                <w:szCs w:val="20"/>
              </w:rPr>
              <w:t xml:space="preserve">Strengthen and monitor governance systems medical schemes and other regulated entities </w:t>
            </w:r>
          </w:p>
        </w:tc>
        <w:tc>
          <w:tcPr>
            <w:tcW w:w="3690" w:type="dxa"/>
            <w:shd w:val="clear" w:color="auto" w:fill="auto"/>
          </w:tcPr>
          <w:p w:rsidR="00BA7B5E" w:rsidRPr="005A505B" w:rsidRDefault="00BA7B5E" w:rsidP="005A505B">
            <w:pPr>
              <w:jc w:val="both"/>
              <w:rPr>
                <w:rFonts w:eastAsia="Calibri" w:cs="Arial"/>
                <w:color w:val="auto"/>
                <w:sz w:val="20"/>
                <w:szCs w:val="20"/>
              </w:rPr>
            </w:pPr>
            <w:r w:rsidRPr="005A505B">
              <w:rPr>
                <w:rFonts w:eastAsia="Calibri" w:cs="Arial"/>
                <w:color w:val="auto"/>
                <w:sz w:val="20"/>
                <w:szCs w:val="20"/>
              </w:rPr>
              <w:t>100% of Governance interventions implemented</w:t>
            </w:r>
          </w:p>
        </w:tc>
      </w:tr>
      <w:tr w:rsidR="00BA7B5E" w:rsidRPr="005A505B" w:rsidTr="002E66DA">
        <w:trPr>
          <w:trHeight w:val="285"/>
        </w:trPr>
        <w:tc>
          <w:tcPr>
            <w:tcW w:w="2306" w:type="dxa"/>
            <w:vMerge/>
            <w:tcBorders>
              <w:left w:val="single" w:sz="4" w:space="0" w:color="000000"/>
              <w:right w:val="single" w:sz="4" w:space="0" w:color="000000"/>
            </w:tcBorders>
            <w:shd w:val="clear" w:color="auto" w:fill="auto"/>
          </w:tcPr>
          <w:p w:rsidR="00BA7B5E" w:rsidRPr="005A505B" w:rsidRDefault="00BA7B5E" w:rsidP="005A505B">
            <w:pPr>
              <w:ind w:left="450"/>
              <w:jc w:val="both"/>
              <w:rPr>
                <w:rFonts w:eastAsia="Calibri" w:cs="Arial"/>
                <w:b/>
                <w:color w:val="auto"/>
                <w:sz w:val="20"/>
                <w:szCs w:val="20"/>
              </w:rPr>
            </w:pPr>
          </w:p>
        </w:tc>
        <w:tc>
          <w:tcPr>
            <w:tcW w:w="3449" w:type="dxa"/>
            <w:shd w:val="clear" w:color="auto" w:fill="auto"/>
          </w:tcPr>
          <w:p w:rsidR="00BA7B5E" w:rsidRPr="005A505B" w:rsidRDefault="00BA7B5E" w:rsidP="005A505B">
            <w:pPr>
              <w:jc w:val="both"/>
              <w:rPr>
                <w:rFonts w:eastAsia="Calibri" w:cs="Arial"/>
                <w:color w:val="auto"/>
                <w:sz w:val="20"/>
                <w:szCs w:val="20"/>
              </w:rPr>
            </w:pPr>
            <w:r w:rsidRPr="005A505B">
              <w:rPr>
                <w:rFonts w:eastAsia="Calibri" w:cs="Arial"/>
                <w:color w:val="auto"/>
                <w:sz w:val="20"/>
                <w:szCs w:val="20"/>
              </w:rPr>
              <w:t>Ensure that rules of the schemes are simplified, standardised, fair and compliant with the Medical Schemes Act (1998)</w:t>
            </w:r>
          </w:p>
        </w:tc>
        <w:tc>
          <w:tcPr>
            <w:tcW w:w="3690" w:type="dxa"/>
            <w:shd w:val="clear" w:color="auto" w:fill="auto"/>
          </w:tcPr>
          <w:p w:rsidR="00BA7B5E" w:rsidRPr="005A505B" w:rsidRDefault="00BA7B5E" w:rsidP="005A505B">
            <w:pPr>
              <w:jc w:val="both"/>
              <w:rPr>
                <w:rFonts w:eastAsia="Calibri" w:cs="Arial"/>
                <w:color w:val="auto"/>
                <w:sz w:val="20"/>
                <w:szCs w:val="20"/>
              </w:rPr>
            </w:pPr>
            <w:r w:rsidRPr="005A505B">
              <w:rPr>
                <w:rFonts w:eastAsia="Calibri" w:cs="Arial"/>
                <w:color w:val="auto"/>
                <w:sz w:val="20"/>
                <w:szCs w:val="20"/>
              </w:rPr>
              <w:t>80% Interim rule amendments are processed within 14 days of receipt of all information</w:t>
            </w:r>
          </w:p>
        </w:tc>
      </w:tr>
      <w:tr w:rsidR="00BA7B5E" w:rsidRPr="005A505B" w:rsidTr="002E66DA">
        <w:trPr>
          <w:trHeight w:val="285"/>
        </w:trPr>
        <w:tc>
          <w:tcPr>
            <w:tcW w:w="2306" w:type="dxa"/>
            <w:vMerge/>
            <w:tcBorders>
              <w:left w:val="single" w:sz="4" w:space="0" w:color="000000"/>
              <w:right w:val="single" w:sz="4" w:space="0" w:color="000000"/>
            </w:tcBorders>
            <w:shd w:val="clear" w:color="auto" w:fill="auto"/>
          </w:tcPr>
          <w:p w:rsidR="00BA7B5E" w:rsidRPr="005A505B" w:rsidRDefault="00BA7B5E" w:rsidP="005A505B">
            <w:pPr>
              <w:ind w:left="450"/>
              <w:jc w:val="both"/>
              <w:rPr>
                <w:rFonts w:eastAsia="Calibri" w:cs="Arial"/>
                <w:b/>
                <w:color w:val="auto"/>
                <w:sz w:val="20"/>
                <w:szCs w:val="20"/>
              </w:rPr>
            </w:pPr>
          </w:p>
        </w:tc>
        <w:tc>
          <w:tcPr>
            <w:tcW w:w="3449" w:type="dxa"/>
            <w:shd w:val="clear" w:color="auto" w:fill="auto"/>
          </w:tcPr>
          <w:p w:rsidR="00BA7B5E" w:rsidRPr="005A505B" w:rsidRDefault="00BA7B5E" w:rsidP="005A505B">
            <w:pPr>
              <w:jc w:val="both"/>
              <w:rPr>
                <w:rFonts w:eastAsia="Calibri" w:cs="Arial"/>
                <w:color w:val="auto"/>
                <w:sz w:val="20"/>
                <w:szCs w:val="20"/>
              </w:rPr>
            </w:pPr>
            <w:r w:rsidRPr="005A505B">
              <w:rPr>
                <w:rFonts w:eastAsia="Calibri" w:cs="Arial"/>
                <w:color w:val="auto"/>
                <w:sz w:val="20"/>
                <w:szCs w:val="20"/>
              </w:rPr>
              <w:t xml:space="preserve">Monitor and promote financial </w:t>
            </w:r>
            <w:r w:rsidRPr="005A505B">
              <w:rPr>
                <w:rFonts w:eastAsia="Calibri" w:cs="Arial"/>
                <w:color w:val="auto"/>
                <w:sz w:val="20"/>
                <w:szCs w:val="20"/>
              </w:rPr>
              <w:lastRenderedPageBreak/>
              <w:t>soundness of medical schemes</w:t>
            </w:r>
          </w:p>
        </w:tc>
        <w:tc>
          <w:tcPr>
            <w:tcW w:w="3690" w:type="dxa"/>
            <w:shd w:val="clear" w:color="auto" w:fill="auto"/>
          </w:tcPr>
          <w:p w:rsidR="00BA7B5E" w:rsidRPr="005A505B" w:rsidRDefault="00BA7B5E" w:rsidP="005A505B">
            <w:pPr>
              <w:jc w:val="both"/>
              <w:rPr>
                <w:rFonts w:eastAsia="Calibri" w:cs="Arial"/>
                <w:color w:val="auto"/>
                <w:sz w:val="20"/>
                <w:szCs w:val="20"/>
              </w:rPr>
            </w:pPr>
            <w:r w:rsidRPr="005A505B">
              <w:rPr>
                <w:rFonts w:eastAsia="Calibri" w:cs="Arial"/>
                <w:color w:val="auto"/>
                <w:sz w:val="20"/>
                <w:szCs w:val="20"/>
              </w:rPr>
              <w:lastRenderedPageBreak/>
              <w:t xml:space="preserve">100% of business plans processed </w:t>
            </w:r>
            <w:r w:rsidRPr="005A505B">
              <w:rPr>
                <w:rFonts w:eastAsia="Calibri" w:cs="Arial"/>
                <w:color w:val="auto"/>
                <w:sz w:val="20"/>
                <w:szCs w:val="20"/>
              </w:rPr>
              <w:lastRenderedPageBreak/>
              <w:t xml:space="preserve">in respect of Regulation 29 </w:t>
            </w:r>
          </w:p>
        </w:tc>
      </w:tr>
      <w:tr w:rsidR="00BA7B5E" w:rsidRPr="005A505B" w:rsidTr="002E66DA">
        <w:trPr>
          <w:trHeight w:val="285"/>
        </w:trPr>
        <w:tc>
          <w:tcPr>
            <w:tcW w:w="2306" w:type="dxa"/>
            <w:vMerge/>
            <w:tcBorders>
              <w:left w:val="single" w:sz="4" w:space="0" w:color="000000"/>
              <w:right w:val="single" w:sz="4" w:space="0" w:color="000000"/>
            </w:tcBorders>
            <w:shd w:val="clear" w:color="auto" w:fill="auto"/>
          </w:tcPr>
          <w:p w:rsidR="00BA7B5E" w:rsidRPr="005A505B" w:rsidRDefault="00BA7B5E" w:rsidP="005A505B">
            <w:pPr>
              <w:ind w:left="450"/>
              <w:jc w:val="both"/>
              <w:rPr>
                <w:rFonts w:eastAsia="Calibri" w:cs="Arial"/>
                <w:b/>
                <w:color w:val="auto"/>
                <w:sz w:val="20"/>
                <w:szCs w:val="20"/>
              </w:rPr>
            </w:pPr>
          </w:p>
        </w:tc>
        <w:tc>
          <w:tcPr>
            <w:tcW w:w="3449" w:type="dxa"/>
            <w:shd w:val="clear" w:color="auto" w:fill="auto"/>
          </w:tcPr>
          <w:p w:rsidR="00BA7B5E" w:rsidRPr="005A505B" w:rsidRDefault="00BA7B5E" w:rsidP="005A505B">
            <w:pPr>
              <w:jc w:val="both"/>
              <w:rPr>
                <w:rFonts w:eastAsia="Calibri" w:cs="Arial"/>
                <w:color w:val="auto"/>
                <w:sz w:val="20"/>
                <w:szCs w:val="20"/>
              </w:rPr>
            </w:pPr>
            <w:r w:rsidRPr="005A505B">
              <w:rPr>
                <w:rFonts w:eastAsia="Calibri" w:cs="Arial"/>
                <w:color w:val="auto"/>
                <w:sz w:val="20"/>
                <w:szCs w:val="20"/>
              </w:rPr>
              <w:t xml:space="preserve">Strengthen and monitor governance systems medical schemes and other regulated entities </w:t>
            </w:r>
          </w:p>
        </w:tc>
        <w:tc>
          <w:tcPr>
            <w:tcW w:w="3690" w:type="dxa"/>
            <w:shd w:val="clear" w:color="auto" w:fill="auto"/>
          </w:tcPr>
          <w:p w:rsidR="00BA7B5E" w:rsidRPr="005A505B" w:rsidRDefault="00BA7B5E" w:rsidP="005A505B">
            <w:pPr>
              <w:jc w:val="both"/>
              <w:rPr>
                <w:rFonts w:eastAsia="Calibri" w:cs="Arial"/>
                <w:color w:val="auto"/>
                <w:sz w:val="20"/>
                <w:szCs w:val="20"/>
              </w:rPr>
            </w:pPr>
            <w:r w:rsidRPr="005A505B">
              <w:rPr>
                <w:rFonts w:eastAsia="Calibri" w:cs="Arial"/>
                <w:color w:val="auto"/>
                <w:sz w:val="20"/>
                <w:szCs w:val="20"/>
              </w:rPr>
              <w:t xml:space="preserve">100% Recommendations on action plans for schemes with rapidly reducing solvency (but above statutory minimum) for 100% of schemes identified </w:t>
            </w:r>
          </w:p>
        </w:tc>
      </w:tr>
      <w:tr w:rsidR="00BA7B5E" w:rsidRPr="005A505B" w:rsidTr="002E66DA">
        <w:trPr>
          <w:trHeight w:val="285"/>
        </w:trPr>
        <w:tc>
          <w:tcPr>
            <w:tcW w:w="2306" w:type="dxa"/>
            <w:vMerge/>
            <w:tcBorders>
              <w:left w:val="single" w:sz="4" w:space="0" w:color="000000"/>
              <w:right w:val="single" w:sz="4" w:space="0" w:color="000000"/>
            </w:tcBorders>
            <w:shd w:val="clear" w:color="auto" w:fill="auto"/>
          </w:tcPr>
          <w:p w:rsidR="00BA7B5E" w:rsidRPr="005A505B" w:rsidRDefault="00BA7B5E" w:rsidP="005A505B">
            <w:pPr>
              <w:ind w:left="450"/>
              <w:jc w:val="both"/>
              <w:rPr>
                <w:rFonts w:eastAsia="Calibri" w:cs="Arial"/>
                <w:b/>
                <w:color w:val="auto"/>
                <w:sz w:val="20"/>
                <w:szCs w:val="20"/>
              </w:rPr>
            </w:pPr>
          </w:p>
        </w:tc>
        <w:tc>
          <w:tcPr>
            <w:tcW w:w="3449" w:type="dxa"/>
            <w:vMerge w:val="restart"/>
            <w:shd w:val="clear" w:color="auto" w:fill="auto"/>
          </w:tcPr>
          <w:p w:rsidR="00BA7B5E" w:rsidRPr="005A505B" w:rsidRDefault="00BA7B5E" w:rsidP="005A505B">
            <w:pPr>
              <w:jc w:val="both"/>
              <w:rPr>
                <w:rFonts w:eastAsia="Calibri" w:cs="Arial"/>
                <w:color w:val="auto"/>
                <w:sz w:val="20"/>
                <w:szCs w:val="20"/>
              </w:rPr>
            </w:pPr>
            <w:r w:rsidRPr="005A505B">
              <w:rPr>
                <w:rFonts w:eastAsia="Calibri" w:cs="Arial"/>
                <w:color w:val="auto"/>
                <w:sz w:val="20"/>
                <w:szCs w:val="20"/>
              </w:rPr>
              <w:t>Ensure that rules of the schemes are simplified, standardised, fair and compliant with the Medical Schemes Act (1998)</w:t>
            </w:r>
          </w:p>
        </w:tc>
        <w:tc>
          <w:tcPr>
            <w:tcW w:w="3690" w:type="dxa"/>
            <w:shd w:val="clear" w:color="auto" w:fill="auto"/>
          </w:tcPr>
          <w:p w:rsidR="00BA7B5E" w:rsidRPr="005A505B" w:rsidRDefault="00BA7B5E" w:rsidP="005A505B">
            <w:pPr>
              <w:jc w:val="both"/>
              <w:rPr>
                <w:rFonts w:eastAsia="Calibri" w:cs="Arial"/>
                <w:color w:val="auto"/>
                <w:sz w:val="20"/>
                <w:szCs w:val="20"/>
              </w:rPr>
            </w:pPr>
            <w:r w:rsidRPr="005A505B">
              <w:rPr>
                <w:rFonts w:eastAsia="Calibri" w:cs="Arial"/>
                <w:color w:val="auto"/>
                <w:sz w:val="20"/>
                <w:szCs w:val="20"/>
              </w:rPr>
              <w:t xml:space="preserve">80% </w:t>
            </w:r>
            <w:r w:rsidRPr="005A505B">
              <w:rPr>
                <w:rFonts w:cs="Arial"/>
                <w:color w:val="auto"/>
                <w:sz w:val="20"/>
                <w:szCs w:val="20"/>
              </w:rPr>
              <w:t>of interim rule amendments processed within 14 working days of receipt of all information</w:t>
            </w:r>
          </w:p>
        </w:tc>
      </w:tr>
      <w:tr w:rsidR="00BA7B5E" w:rsidRPr="005A505B" w:rsidTr="002E66DA">
        <w:trPr>
          <w:trHeight w:val="285"/>
        </w:trPr>
        <w:tc>
          <w:tcPr>
            <w:tcW w:w="2306" w:type="dxa"/>
            <w:vMerge/>
            <w:tcBorders>
              <w:left w:val="single" w:sz="4" w:space="0" w:color="000000"/>
              <w:right w:val="single" w:sz="4" w:space="0" w:color="000000"/>
            </w:tcBorders>
            <w:shd w:val="clear" w:color="auto" w:fill="auto"/>
          </w:tcPr>
          <w:p w:rsidR="00BA7B5E" w:rsidRPr="005A505B" w:rsidRDefault="00BA7B5E" w:rsidP="005A505B">
            <w:pPr>
              <w:ind w:left="450"/>
              <w:jc w:val="both"/>
              <w:rPr>
                <w:rFonts w:eastAsia="Calibri" w:cs="Arial"/>
                <w:b/>
                <w:color w:val="auto"/>
                <w:sz w:val="20"/>
                <w:szCs w:val="20"/>
              </w:rPr>
            </w:pPr>
          </w:p>
        </w:tc>
        <w:tc>
          <w:tcPr>
            <w:tcW w:w="3449" w:type="dxa"/>
            <w:vMerge/>
            <w:shd w:val="clear" w:color="auto" w:fill="auto"/>
          </w:tcPr>
          <w:p w:rsidR="00BA7B5E" w:rsidRPr="005A505B" w:rsidRDefault="00BA7B5E" w:rsidP="005A505B">
            <w:pPr>
              <w:jc w:val="both"/>
              <w:rPr>
                <w:rFonts w:eastAsia="Calibri" w:cs="Arial"/>
                <w:color w:val="auto"/>
                <w:sz w:val="20"/>
                <w:szCs w:val="20"/>
              </w:rPr>
            </w:pPr>
          </w:p>
        </w:tc>
        <w:tc>
          <w:tcPr>
            <w:tcW w:w="3690" w:type="dxa"/>
            <w:shd w:val="clear" w:color="auto" w:fill="auto"/>
          </w:tcPr>
          <w:p w:rsidR="00BA7B5E" w:rsidRPr="005A505B" w:rsidRDefault="00BA7B5E" w:rsidP="005A505B">
            <w:pPr>
              <w:jc w:val="both"/>
              <w:rPr>
                <w:rFonts w:eastAsia="Calibri" w:cs="Arial"/>
                <w:color w:val="auto"/>
                <w:sz w:val="20"/>
                <w:szCs w:val="20"/>
              </w:rPr>
            </w:pPr>
            <w:r w:rsidRPr="005A505B">
              <w:rPr>
                <w:rFonts w:cs="Arial"/>
                <w:color w:val="auto"/>
                <w:sz w:val="20"/>
                <w:szCs w:val="20"/>
              </w:rPr>
              <w:t>90%of annual rule amendments processed before 31 December of each year</w:t>
            </w:r>
          </w:p>
        </w:tc>
      </w:tr>
      <w:tr w:rsidR="00BA7B5E" w:rsidRPr="005A505B" w:rsidTr="002E66DA">
        <w:trPr>
          <w:trHeight w:val="285"/>
        </w:trPr>
        <w:tc>
          <w:tcPr>
            <w:tcW w:w="2306" w:type="dxa"/>
            <w:vMerge/>
            <w:tcBorders>
              <w:left w:val="single" w:sz="4" w:space="0" w:color="000000"/>
              <w:right w:val="single" w:sz="4" w:space="0" w:color="000000"/>
            </w:tcBorders>
            <w:shd w:val="clear" w:color="auto" w:fill="auto"/>
          </w:tcPr>
          <w:p w:rsidR="00BA7B5E" w:rsidRPr="005A505B" w:rsidRDefault="00BA7B5E" w:rsidP="005A505B">
            <w:pPr>
              <w:ind w:left="450"/>
              <w:jc w:val="both"/>
              <w:rPr>
                <w:rFonts w:eastAsia="Calibri" w:cs="Arial"/>
                <w:b/>
                <w:color w:val="auto"/>
                <w:sz w:val="20"/>
                <w:szCs w:val="20"/>
              </w:rPr>
            </w:pPr>
          </w:p>
        </w:tc>
        <w:tc>
          <w:tcPr>
            <w:tcW w:w="3449" w:type="dxa"/>
            <w:shd w:val="clear" w:color="auto" w:fill="auto"/>
          </w:tcPr>
          <w:p w:rsidR="00BA7B5E" w:rsidRPr="005A505B" w:rsidRDefault="00BA7B5E" w:rsidP="005A505B">
            <w:pPr>
              <w:jc w:val="both"/>
              <w:rPr>
                <w:rFonts w:cs="Arial"/>
                <w:color w:val="auto"/>
                <w:sz w:val="20"/>
                <w:szCs w:val="20"/>
              </w:rPr>
            </w:pPr>
            <w:r w:rsidRPr="005A505B">
              <w:rPr>
                <w:rFonts w:cs="Arial"/>
                <w:color w:val="auto"/>
                <w:sz w:val="20"/>
                <w:szCs w:val="20"/>
              </w:rPr>
              <w:t>Monitor and promote financial soundness of medical schemes</w:t>
            </w:r>
          </w:p>
        </w:tc>
        <w:tc>
          <w:tcPr>
            <w:tcW w:w="3690" w:type="dxa"/>
            <w:shd w:val="clear" w:color="auto" w:fill="auto"/>
          </w:tcPr>
          <w:p w:rsidR="00BA7B5E" w:rsidRPr="005A505B" w:rsidRDefault="00BA7B5E" w:rsidP="005A505B">
            <w:pPr>
              <w:jc w:val="both"/>
              <w:rPr>
                <w:rFonts w:cs="Arial"/>
                <w:color w:val="auto"/>
                <w:sz w:val="20"/>
                <w:szCs w:val="20"/>
              </w:rPr>
            </w:pPr>
            <w:r w:rsidRPr="005A505B">
              <w:rPr>
                <w:rFonts w:cs="Arial"/>
                <w:color w:val="auto"/>
                <w:sz w:val="20"/>
                <w:szCs w:val="20"/>
              </w:rPr>
              <w:t>1 Financial section prepared for the Annual Report</w:t>
            </w:r>
          </w:p>
        </w:tc>
      </w:tr>
      <w:tr w:rsidR="00BA7B5E" w:rsidRPr="005A505B" w:rsidTr="002E66DA">
        <w:trPr>
          <w:trHeight w:val="285"/>
        </w:trPr>
        <w:tc>
          <w:tcPr>
            <w:tcW w:w="2306" w:type="dxa"/>
            <w:vMerge/>
            <w:tcBorders>
              <w:left w:val="single" w:sz="4" w:space="0" w:color="000000"/>
              <w:bottom w:val="single" w:sz="4" w:space="0" w:color="auto"/>
              <w:right w:val="single" w:sz="4" w:space="0" w:color="000000"/>
            </w:tcBorders>
            <w:shd w:val="clear" w:color="auto" w:fill="auto"/>
          </w:tcPr>
          <w:p w:rsidR="00BA7B5E" w:rsidRPr="005A505B" w:rsidRDefault="00BA7B5E" w:rsidP="005A505B">
            <w:pPr>
              <w:ind w:left="450"/>
              <w:jc w:val="both"/>
              <w:rPr>
                <w:rFonts w:eastAsia="Calibri" w:cs="Arial"/>
                <w:b/>
                <w:color w:val="auto"/>
                <w:sz w:val="20"/>
                <w:szCs w:val="20"/>
              </w:rPr>
            </w:pPr>
          </w:p>
        </w:tc>
        <w:tc>
          <w:tcPr>
            <w:tcW w:w="3449" w:type="dxa"/>
            <w:shd w:val="clear" w:color="auto" w:fill="auto"/>
          </w:tcPr>
          <w:p w:rsidR="00BA7B5E" w:rsidRPr="005A505B" w:rsidRDefault="00BA7B5E" w:rsidP="005A505B">
            <w:pPr>
              <w:jc w:val="both"/>
              <w:rPr>
                <w:rFonts w:cs="Arial"/>
                <w:color w:val="auto"/>
                <w:sz w:val="20"/>
                <w:szCs w:val="20"/>
              </w:rPr>
            </w:pPr>
          </w:p>
        </w:tc>
        <w:tc>
          <w:tcPr>
            <w:tcW w:w="3690" w:type="dxa"/>
            <w:shd w:val="clear" w:color="auto" w:fill="auto"/>
          </w:tcPr>
          <w:p w:rsidR="00BA7B5E" w:rsidRPr="005A505B" w:rsidRDefault="00BA7B5E" w:rsidP="005A505B">
            <w:pPr>
              <w:rPr>
                <w:rFonts w:cs="Arial"/>
                <w:color w:val="auto"/>
                <w:sz w:val="20"/>
                <w:szCs w:val="20"/>
              </w:rPr>
            </w:pPr>
            <w:r w:rsidRPr="005A505B">
              <w:rPr>
                <w:rFonts w:cs="Arial"/>
                <w:color w:val="auto"/>
                <w:sz w:val="20"/>
                <w:szCs w:val="20"/>
              </w:rPr>
              <w:t xml:space="preserve">70% of category 4 complaints adjudicated within 120 working days and in accordance with complaints procedure </w:t>
            </w:r>
          </w:p>
        </w:tc>
      </w:tr>
      <w:tr w:rsidR="00BA7B5E" w:rsidRPr="005A505B" w:rsidTr="002E66DA">
        <w:trPr>
          <w:trHeight w:val="285"/>
        </w:trPr>
        <w:tc>
          <w:tcPr>
            <w:tcW w:w="2306" w:type="dxa"/>
            <w:vMerge w:val="restart"/>
            <w:tcBorders>
              <w:top w:val="single" w:sz="4" w:space="0" w:color="000000"/>
              <w:left w:val="single" w:sz="4" w:space="0" w:color="000000"/>
              <w:right w:val="single" w:sz="4" w:space="0" w:color="000000"/>
            </w:tcBorders>
            <w:shd w:val="clear" w:color="auto" w:fill="auto"/>
          </w:tcPr>
          <w:p w:rsidR="00BA7B5E" w:rsidRPr="005A505B" w:rsidRDefault="00BA7B5E" w:rsidP="005A505B">
            <w:pPr>
              <w:numPr>
                <w:ilvl w:val="0"/>
                <w:numId w:val="25"/>
              </w:numPr>
              <w:jc w:val="both"/>
              <w:rPr>
                <w:rFonts w:eastAsia="Calibri" w:cs="Arial"/>
                <w:b/>
                <w:color w:val="auto"/>
                <w:sz w:val="20"/>
                <w:szCs w:val="20"/>
              </w:rPr>
            </w:pPr>
            <w:r w:rsidRPr="005A505B">
              <w:rPr>
                <w:rFonts w:eastAsia="Calibri" w:cs="Arial"/>
                <w:b/>
                <w:color w:val="auto"/>
                <w:sz w:val="20"/>
                <w:szCs w:val="20"/>
              </w:rPr>
              <w:t>POLICY, RESEARCH AND MONITORING</w:t>
            </w:r>
          </w:p>
        </w:tc>
        <w:tc>
          <w:tcPr>
            <w:tcW w:w="3449" w:type="dxa"/>
            <w:tcBorders>
              <w:top w:val="single" w:sz="4" w:space="0" w:color="000000"/>
              <w:left w:val="single" w:sz="4" w:space="0" w:color="000000"/>
              <w:bottom w:val="single" w:sz="4" w:space="0" w:color="000000"/>
              <w:right w:val="single" w:sz="4" w:space="0" w:color="000000"/>
            </w:tcBorders>
            <w:shd w:val="clear" w:color="auto" w:fill="auto"/>
          </w:tcPr>
          <w:p w:rsidR="00BA7B5E" w:rsidRPr="005A505B" w:rsidRDefault="00BA7B5E" w:rsidP="005A505B">
            <w:pPr>
              <w:jc w:val="both"/>
              <w:rPr>
                <w:rFonts w:eastAsia="Calibri" w:cs="Arial"/>
                <w:color w:val="auto"/>
                <w:sz w:val="20"/>
                <w:szCs w:val="20"/>
              </w:rPr>
            </w:pPr>
            <w:r w:rsidRPr="005A505B">
              <w:rPr>
                <w:rFonts w:eastAsia="Calibri" w:cs="Arial"/>
                <w:color w:val="auto"/>
                <w:sz w:val="20"/>
                <w:szCs w:val="20"/>
              </w:rPr>
              <w:t>Conduct research to inform appropriate national health policy interventions</w:t>
            </w:r>
          </w:p>
        </w:tc>
        <w:tc>
          <w:tcPr>
            <w:tcW w:w="3690" w:type="dxa"/>
            <w:tcBorders>
              <w:top w:val="single" w:sz="4" w:space="0" w:color="000000"/>
              <w:left w:val="single" w:sz="4" w:space="0" w:color="000000"/>
              <w:bottom w:val="single" w:sz="4" w:space="0" w:color="000000"/>
              <w:right w:val="single" w:sz="4" w:space="0" w:color="000000"/>
            </w:tcBorders>
            <w:shd w:val="clear" w:color="auto" w:fill="auto"/>
          </w:tcPr>
          <w:p w:rsidR="00BA7B5E" w:rsidRPr="005A505B" w:rsidRDefault="00BA7B5E" w:rsidP="005A505B">
            <w:pPr>
              <w:jc w:val="both"/>
              <w:rPr>
                <w:rFonts w:eastAsia="Calibri" w:cs="Arial"/>
                <w:color w:val="auto"/>
                <w:sz w:val="20"/>
                <w:szCs w:val="20"/>
              </w:rPr>
            </w:pPr>
            <w:r w:rsidRPr="005A505B">
              <w:rPr>
                <w:rFonts w:eastAsia="Calibri" w:cs="Arial"/>
                <w:color w:val="auto"/>
                <w:sz w:val="20"/>
                <w:szCs w:val="20"/>
              </w:rPr>
              <w:t>17 Research projects finalised, per year</w:t>
            </w:r>
          </w:p>
        </w:tc>
      </w:tr>
      <w:tr w:rsidR="00BA7B5E" w:rsidRPr="005A505B" w:rsidTr="002E66DA">
        <w:trPr>
          <w:trHeight w:val="285"/>
        </w:trPr>
        <w:tc>
          <w:tcPr>
            <w:tcW w:w="2306" w:type="dxa"/>
            <w:vMerge/>
            <w:tcBorders>
              <w:left w:val="single" w:sz="4" w:space="0" w:color="000000"/>
              <w:bottom w:val="single" w:sz="4" w:space="0" w:color="auto"/>
              <w:right w:val="single" w:sz="4" w:space="0" w:color="000000"/>
            </w:tcBorders>
            <w:shd w:val="clear" w:color="auto" w:fill="auto"/>
          </w:tcPr>
          <w:p w:rsidR="00BA7B5E" w:rsidRPr="005A505B" w:rsidRDefault="00BA7B5E" w:rsidP="005A505B">
            <w:pPr>
              <w:ind w:left="450"/>
              <w:jc w:val="both"/>
              <w:rPr>
                <w:rFonts w:eastAsia="Calibri" w:cs="Arial"/>
                <w:color w:val="auto"/>
                <w:sz w:val="20"/>
                <w:szCs w:val="20"/>
              </w:rPr>
            </w:pPr>
          </w:p>
        </w:tc>
        <w:tc>
          <w:tcPr>
            <w:tcW w:w="3449" w:type="dxa"/>
            <w:tcBorders>
              <w:top w:val="single" w:sz="4" w:space="0" w:color="000000"/>
              <w:left w:val="single" w:sz="4" w:space="0" w:color="000000"/>
              <w:bottom w:val="single" w:sz="4" w:space="0" w:color="000000"/>
              <w:right w:val="single" w:sz="4" w:space="0" w:color="000000"/>
            </w:tcBorders>
            <w:shd w:val="clear" w:color="auto" w:fill="auto"/>
          </w:tcPr>
          <w:p w:rsidR="00BA7B5E" w:rsidRPr="005A505B" w:rsidRDefault="00BA7B5E" w:rsidP="005A505B">
            <w:pPr>
              <w:jc w:val="both"/>
              <w:rPr>
                <w:rFonts w:eastAsia="Calibri" w:cs="Arial"/>
                <w:color w:val="auto"/>
                <w:sz w:val="20"/>
                <w:szCs w:val="20"/>
              </w:rPr>
            </w:pPr>
            <w:r w:rsidRPr="005A505B">
              <w:rPr>
                <w:rFonts w:eastAsia="Calibri" w:cs="Arial"/>
                <w:color w:val="auto"/>
                <w:sz w:val="20"/>
                <w:szCs w:val="20"/>
              </w:rPr>
              <w:t>Monitoring trends to improve regulatory policy and practice</w:t>
            </w:r>
          </w:p>
        </w:tc>
        <w:tc>
          <w:tcPr>
            <w:tcW w:w="3690" w:type="dxa"/>
            <w:tcBorders>
              <w:top w:val="single" w:sz="4" w:space="0" w:color="000000"/>
              <w:left w:val="single" w:sz="4" w:space="0" w:color="000000"/>
              <w:bottom w:val="single" w:sz="4" w:space="0" w:color="000000"/>
              <w:right w:val="single" w:sz="4" w:space="0" w:color="000000"/>
            </w:tcBorders>
            <w:shd w:val="clear" w:color="auto" w:fill="auto"/>
          </w:tcPr>
          <w:p w:rsidR="00BA7B5E" w:rsidRPr="005A505B" w:rsidRDefault="00BA7B5E" w:rsidP="005A505B">
            <w:pPr>
              <w:jc w:val="both"/>
              <w:rPr>
                <w:rFonts w:eastAsia="Calibri" w:cs="Arial"/>
                <w:color w:val="auto"/>
                <w:sz w:val="20"/>
                <w:szCs w:val="20"/>
              </w:rPr>
            </w:pPr>
            <w:r w:rsidRPr="005A505B">
              <w:rPr>
                <w:rFonts w:eastAsia="Calibri" w:cs="Arial"/>
                <w:color w:val="auto"/>
                <w:sz w:val="20"/>
                <w:szCs w:val="20"/>
              </w:rPr>
              <w:t>1 Non-financial report submitted for inclusion in the Annual Report</w:t>
            </w:r>
          </w:p>
        </w:tc>
      </w:tr>
      <w:tr w:rsidR="00BA7B5E" w:rsidRPr="005A505B" w:rsidTr="002E66DA">
        <w:tc>
          <w:tcPr>
            <w:tcW w:w="2306" w:type="dxa"/>
            <w:vMerge w:val="restart"/>
            <w:shd w:val="clear" w:color="auto" w:fill="auto"/>
          </w:tcPr>
          <w:p w:rsidR="00BA7B5E" w:rsidRPr="005A505B" w:rsidRDefault="00BA7B5E" w:rsidP="005A505B">
            <w:pPr>
              <w:numPr>
                <w:ilvl w:val="0"/>
                <w:numId w:val="25"/>
              </w:numPr>
              <w:jc w:val="both"/>
              <w:rPr>
                <w:rFonts w:eastAsia="Calibri" w:cs="Arial"/>
                <w:b/>
                <w:color w:val="auto"/>
                <w:sz w:val="20"/>
                <w:szCs w:val="20"/>
              </w:rPr>
            </w:pPr>
            <w:r w:rsidRPr="005A505B">
              <w:rPr>
                <w:rFonts w:eastAsia="Calibri" w:cs="Arial"/>
                <w:b/>
                <w:color w:val="auto"/>
                <w:sz w:val="20"/>
                <w:szCs w:val="20"/>
              </w:rPr>
              <w:t>MEMBER PROTECTION*</w:t>
            </w:r>
          </w:p>
          <w:p w:rsidR="00BA7B5E" w:rsidRPr="005A505B" w:rsidRDefault="00BA7B5E" w:rsidP="005A505B">
            <w:pPr>
              <w:rPr>
                <w:rFonts w:eastAsia="Calibri" w:cs="Arial"/>
                <w:color w:val="auto"/>
                <w:sz w:val="20"/>
                <w:szCs w:val="20"/>
                <w:lang w:val="en-ZA"/>
              </w:rPr>
            </w:pPr>
            <w:r w:rsidRPr="005A505B">
              <w:rPr>
                <w:rFonts w:eastAsia="Calibri" w:cs="Arial"/>
                <w:color w:val="auto"/>
                <w:sz w:val="20"/>
                <w:szCs w:val="20"/>
              </w:rPr>
              <w:t xml:space="preserve">(*It appears </w:t>
            </w:r>
            <w:r w:rsidRPr="005A505B">
              <w:rPr>
                <w:rFonts w:eastAsia="Calibri" w:cs="Arial"/>
                <w:color w:val="auto"/>
                <w:sz w:val="20"/>
                <w:szCs w:val="20"/>
                <w:lang w:val="en-ZA"/>
              </w:rPr>
              <w:t>Complaints Adjudication and Stakeholder Relations are now subsumed under this programme)</w:t>
            </w:r>
          </w:p>
          <w:p w:rsidR="00BA7B5E" w:rsidRPr="005A505B" w:rsidRDefault="00BA7B5E" w:rsidP="005A505B">
            <w:pPr>
              <w:jc w:val="both"/>
              <w:rPr>
                <w:rFonts w:eastAsia="Calibri" w:cs="Arial"/>
                <w:b/>
                <w:color w:val="auto"/>
                <w:sz w:val="20"/>
                <w:szCs w:val="20"/>
              </w:rPr>
            </w:pPr>
          </w:p>
          <w:p w:rsidR="00BA7B5E" w:rsidRPr="005A505B" w:rsidRDefault="00BA7B5E" w:rsidP="005A505B">
            <w:pPr>
              <w:ind w:left="450"/>
              <w:jc w:val="both"/>
              <w:rPr>
                <w:rFonts w:eastAsia="Calibri" w:cs="Arial"/>
                <w:b/>
                <w:color w:val="auto"/>
                <w:sz w:val="20"/>
                <w:szCs w:val="20"/>
              </w:rPr>
            </w:pPr>
          </w:p>
        </w:tc>
        <w:tc>
          <w:tcPr>
            <w:tcW w:w="3449" w:type="dxa"/>
            <w:shd w:val="clear" w:color="auto" w:fill="auto"/>
          </w:tcPr>
          <w:p w:rsidR="00BA7B5E" w:rsidRPr="005A505B" w:rsidRDefault="00BA7B5E" w:rsidP="005A505B">
            <w:pPr>
              <w:jc w:val="both"/>
              <w:rPr>
                <w:rFonts w:eastAsia="Calibri" w:cs="Arial"/>
                <w:color w:val="auto"/>
                <w:sz w:val="20"/>
                <w:szCs w:val="20"/>
              </w:rPr>
            </w:pPr>
            <w:r w:rsidRPr="005A505B">
              <w:rPr>
                <w:rFonts w:eastAsia="Calibri" w:cs="Arial"/>
                <w:bCs/>
                <w:color w:val="auto"/>
                <w:sz w:val="20"/>
                <w:szCs w:val="20"/>
                <w:lang w:val="en-ZA"/>
              </w:rPr>
              <w:t>To enhance knowledge and skills among stakeholders in order to create an in-depth understanding of governance and compliance with the Medical Schemes Act through education and training interventions</w:t>
            </w:r>
          </w:p>
        </w:tc>
        <w:tc>
          <w:tcPr>
            <w:tcW w:w="3690" w:type="dxa"/>
            <w:shd w:val="clear" w:color="auto" w:fill="auto"/>
          </w:tcPr>
          <w:p w:rsidR="00BA7B5E" w:rsidRPr="005A505B" w:rsidRDefault="00BA7B5E" w:rsidP="005A505B">
            <w:pPr>
              <w:jc w:val="both"/>
              <w:rPr>
                <w:rFonts w:eastAsia="Calibri" w:cs="Arial"/>
                <w:color w:val="auto"/>
                <w:sz w:val="20"/>
                <w:szCs w:val="20"/>
              </w:rPr>
            </w:pPr>
            <w:r w:rsidRPr="005A505B">
              <w:rPr>
                <w:rFonts w:eastAsia="Calibri" w:cs="Arial"/>
                <w:color w:val="auto"/>
                <w:sz w:val="20"/>
                <w:szCs w:val="20"/>
                <w:lang w:val="en-ZA"/>
              </w:rPr>
              <w:t>50 Stakeholder education and training sessions</w:t>
            </w:r>
          </w:p>
        </w:tc>
      </w:tr>
      <w:tr w:rsidR="00BA7B5E" w:rsidRPr="005A505B" w:rsidTr="002E66DA">
        <w:tc>
          <w:tcPr>
            <w:tcW w:w="2306" w:type="dxa"/>
            <w:vMerge/>
            <w:shd w:val="clear" w:color="auto" w:fill="auto"/>
          </w:tcPr>
          <w:p w:rsidR="00BA7B5E" w:rsidRPr="005A505B" w:rsidRDefault="00BA7B5E" w:rsidP="005A505B">
            <w:pPr>
              <w:numPr>
                <w:ilvl w:val="0"/>
                <w:numId w:val="25"/>
              </w:numPr>
              <w:jc w:val="both"/>
              <w:rPr>
                <w:rFonts w:eastAsia="Calibri" w:cs="Arial"/>
                <w:color w:val="auto"/>
                <w:sz w:val="20"/>
                <w:szCs w:val="20"/>
              </w:rPr>
            </w:pPr>
          </w:p>
        </w:tc>
        <w:tc>
          <w:tcPr>
            <w:tcW w:w="3449" w:type="dxa"/>
            <w:shd w:val="clear" w:color="auto" w:fill="auto"/>
          </w:tcPr>
          <w:p w:rsidR="00BA7B5E" w:rsidRPr="005A505B" w:rsidRDefault="00BA7B5E" w:rsidP="005A505B">
            <w:pPr>
              <w:jc w:val="both"/>
              <w:rPr>
                <w:rFonts w:eastAsia="Calibri" w:cs="Arial"/>
                <w:bCs/>
                <w:color w:val="auto"/>
                <w:sz w:val="20"/>
                <w:szCs w:val="20"/>
                <w:lang w:val="en-ZA"/>
              </w:rPr>
            </w:pPr>
            <w:r w:rsidRPr="005A505B">
              <w:rPr>
                <w:rFonts w:eastAsia="Calibri" w:cs="Arial"/>
                <w:bCs/>
                <w:color w:val="auto"/>
                <w:sz w:val="20"/>
                <w:szCs w:val="20"/>
                <w:lang w:val="en-ZA"/>
              </w:rPr>
              <w:t>Resolve complaints with the aim of protecting beneficiaries of medical schemes</w:t>
            </w:r>
          </w:p>
          <w:p w:rsidR="00BA7B5E" w:rsidRPr="005A505B" w:rsidRDefault="00BA7B5E" w:rsidP="005A505B">
            <w:pPr>
              <w:jc w:val="both"/>
              <w:rPr>
                <w:rFonts w:eastAsia="Calibri" w:cs="Arial"/>
                <w:color w:val="auto"/>
                <w:sz w:val="20"/>
                <w:szCs w:val="20"/>
              </w:rPr>
            </w:pPr>
          </w:p>
        </w:tc>
        <w:tc>
          <w:tcPr>
            <w:tcW w:w="3690" w:type="dxa"/>
            <w:shd w:val="clear" w:color="auto" w:fill="auto"/>
          </w:tcPr>
          <w:p w:rsidR="00BA7B5E" w:rsidRPr="005A505B" w:rsidRDefault="00BA7B5E" w:rsidP="005A505B">
            <w:pPr>
              <w:rPr>
                <w:rFonts w:eastAsia="Calibri" w:cs="Arial"/>
                <w:color w:val="auto"/>
                <w:sz w:val="20"/>
                <w:szCs w:val="20"/>
              </w:rPr>
            </w:pPr>
            <w:r w:rsidRPr="005A505B">
              <w:rPr>
                <w:rFonts w:eastAsia="Calibri" w:cs="Arial"/>
                <w:color w:val="auto"/>
                <w:sz w:val="20"/>
                <w:szCs w:val="20"/>
              </w:rPr>
              <w:t xml:space="preserve">75% </w:t>
            </w:r>
            <w:r w:rsidRPr="005A505B">
              <w:rPr>
                <w:rFonts w:eastAsia="Calibri" w:cs="Arial"/>
                <w:color w:val="auto"/>
                <w:sz w:val="20"/>
                <w:szCs w:val="20"/>
                <w:lang w:val="en-ZA"/>
              </w:rPr>
              <w:t>of complaints older than 120 calendar days adjudicated during the reporting period in accordance with complaints standard operating procedures</w:t>
            </w:r>
          </w:p>
        </w:tc>
      </w:tr>
      <w:tr w:rsidR="00BA7B5E" w:rsidRPr="005A505B" w:rsidTr="002E66DA">
        <w:tc>
          <w:tcPr>
            <w:tcW w:w="2306" w:type="dxa"/>
            <w:vMerge/>
            <w:shd w:val="clear" w:color="auto" w:fill="auto"/>
          </w:tcPr>
          <w:p w:rsidR="00BA7B5E" w:rsidRPr="005A505B" w:rsidRDefault="00BA7B5E" w:rsidP="005A505B">
            <w:pPr>
              <w:numPr>
                <w:ilvl w:val="0"/>
                <w:numId w:val="25"/>
              </w:numPr>
              <w:jc w:val="both"/>
              <w:rPr>
                <w:rFonts w:eastAsia="Calibri" w:cs="Arial"/>
                <w:b/>
                <w:color w:val="auto"/>
                <w:sz w:val="20"/>
                <w:szCs w:val="20"/>
              </w:rPr>
            </w:pPr>
          </w:p>
        </w:tc>
        <w:tc>
          <w:tcPr>
            <w:tcW w:w="3449" w:type="dxa"/>
            <w:shd w:val="clear" w:color="auto" w:fill="auto"/>
          </w:tcPr>
          <w:p w:rsidR="00BA7B5E" w:rsidRPr="005A505B" w:rsidRDefault="00BA7B5E" w:rsidP="005A505B">
            <w:pPr>
              <w:rPr>
                <w:rFonts w:eastAsia="Calibri" w:cs="Arial"/>
                <w:color w:val="auto"/>
                <w:sz w:val="20"/>
                <w:szCs w:val="20"/>
              </w:rPr>
            </w:pPr>
            <w:r w:rsidRPr="005A505B">
              <w:rPr>
                <w:rFonts w:eastAsia="Calibri" w:cs="Arial"/>
                <w:color w:val="auto"/>
                <w:sz w:val="20"/>
                <w:szCs w:val="20"/>
              </w:rPr>
              <w:t>Resolve complaints with the aim of protecting beneficiaries of medical schemes</w:t>
            </w:r>
          </w:p>
        </w:tc>
        <w:tc>
          <w:tcPr>
            <w:tcW w:w="3690" w:type="dxa"/>
            <w:shd w:val="clear" w:color="auto" w:fill="auto"/>
          </w:tcPr>
          <w:p w:rsidR="00BA7B5E" w:rsidRPr="005A505B" w:rsidRDefault="00BA7B5E" w:rsidP="005A505B">
            <w:pPr>
              <w:rPr>
                <w:rFonts w:eastAsia="Calibri" w:cs="Arial"/>
                <w:color w:val="auto"/>
                <w:sz w:val="20"/>
                <w:szCs w:val="20"/>
              </w:rPr>
            </w:pPr>
            <w:r w:rsidRPr="005A505B">
              <w:rPr>
                <w:rFonts w:eastAsia="Calibri" w:cs="Arial"/>
                <w:color w:val="auto"/>
                <w:sz w:val="20"/>
                <w:szCs w:val="20"/>
              </w:rPr>
              <w:t>100% of Rulings published on the CMS website within 14 days of issuing the ruling</w:t>
            </w:r>
          </w:p>
        </w:tc>
      </w:tr>
      <w:tr w:rsidR="00BA7B5E" w:rsidRPr="005A505B" w:rsidTr="002E66DA">
        <w:tc>
          <w:tcPr>
            <w:tcW w:w="2306" w:type="dxa"/>
            <w:vMerge/>
            <w:shd w:val="clear" w:color="auto" w:fill="auto"/>
          </w:tcPr>
          <w:p w:rsidR="00BA7B5E" w:rsidRPr="005A505B" w:rsidRDefault="00BA7B5E" w:rsidP="005A505B">
            <w:pPr>
              <w:numPr>
                <w:ilvl w:val="0"/>
                <w:numId w:val="25"/>
              </w:numPr>
              <w:jc w:val="both"/>
              <w:rPr>
                <w:rFonts w:eastAsia="Calibri" w:cs="Arial"/>
                <w:b/>
                <w:color w:val="auto"/>
                <w:sz w:val="20"/>
                <w:szCs w:val="20"/>
              </w:rPr>
            </w:pPr>
          </w:p>
        </w:tc>
        <w:tc>
          <w:tcPr>
            <w:tcW w:w="3449" w:type="dxa"/>
            <w:vMerge w:val="restart"/>
            <w:shd w:val="clear" w:color="auto" w:fill="auto"/>
          </w:tcPr>
          <w:p w:rsidR="00BA7B5E" w:rsidRPr="005A505B" w:rsidRDefault="00BA7B5E" w:rsidP="005A505B">
            <w:pPr>
              <w:rPr>
                <w:rFonts w:eastAsia="Calibri" w:cs="Arial"/>
                <w:color w:val="auto"/>
                <w:sz w:val="20"/>
                <w:szCs w:val="20"/>
              </w:rPr>
            </w:pPr>
            <w:r w:rsidRPr="005A505B">
              <w:rPr>
                <w:rFonts w:eastAsia="Calibri" w:cs="Arial"/>
                <w:color w:val="auto"/>
                <w:sz w:val="20"/>
                <w:szCs w:val="20"/>
              </w:rPr>
              <w:t>Monitor and promote financial soundness of medical schemes</w:t>
            </w:r>
          </w:p>
          <w:p w:rsidR="00BA7B5E" w:rsidRPr="005A505B" w:rsidRDefault="00BA7B5E" w:rsidP="005A505B">
            <w:pPr>
              <w:rPr>
                <w:rFonts w:eastAsia="Calibri" w:cs="Arial"/>
                <w:color w:val="auto"/>
                <w:sz w:val="20"/>
                <w:szCs w:val="20"/>
              </w:rPr>
            </w:pPr>
            <w:r w:rsidRPr="005A505B">
              <w:rPr>
                <w:rFonts w:eastAsia="Calibri" w:cs="Arial"/>
                <w:color w:val="auto"/>
                <w:sz w:val="20"/>
                <w:szCs w:val="20"/>
              </w:rPr>
              <w:t>Resolve complaints with the aim of protecting beneficiaries of medical schemes</w:t>
            </w:r>
          </w:p>
        </w:tc>
        <w:tc>
          <w:tcPr>
            <w:tcW w:w="3690" w:type="dxa"/>
            <w:shd w:val="clear" w:color="auto" w:fill="auto"/>
          </w:tcPr>
          <w:p w:rsidR="00BA7B5E" w:rsidRPr="005A505B" w:rsidRDefault="00BA7B5E" w:rsidP="005A505B">
            <w:pPr>
              <w:rPr>
                <w:rFonts w:eastAsia="Calibri" w:cs="Arial"/>
                <w:color w:val="auto"/>
                <w:sz w:val="20"/>
                <w:szCs w:val="20"/>
              </w:rPr>
            </w:pPr>
            <w:r w:rsidRPr="005A505B">
              <w:rPr>
                <w:rFonts w:eastAsia="Calibri" w:cs="Arial"/>
                <w:color w:val="auto"/>
                <w:sz w:val="20"/>
                <w:szCs w:val="20"/>
              </w:rPr>
              <w:t xml:space="preserve">1 Financial section prepared for the Annual Report </w:t>
            </w:r>
          </w:p>
        </w:tc>
      </w:tr>
      <w:tr w:rsidR="00BA7B5E" w:rsidRPr="005A505B" w:rsidTr="002E66DA">
        <w:tc>
          <w:tcPr>
            <w:tcW w:w="2306" w:type="dxa"/>
            <w:vMerge/>
            <w:shd w:val="clear" w:color="auto" w:fill="auto"/>
          </w:tcPr>
          <w:p w:rsidR="00BA7B5E" w:rsidRPr="005A505B" w:rsidRDefault="00BA7B5E" w:rsidP="005A505B">
            <w:pPr>
              <w:numPr>
                <w:ilvl w:val="0"/>
                <w:numId w:val="25"/>
              </w:numPr>
              <w:jc w:val="both"/>
              <w:rPr>
                <w:rFonts w:eastAsia="Calibri" w:cs="Arial"/>
                <w:color w:val="auto"/>
                <w:sz w:val="20"/>
                <w:szCs w:val="20"/>
              </w:rPr>
            </w:pPr>
          </w:p>
        </w:tc>
        <w:tc>
          <w:tcPr>
            <w:tcW w:w="3449" w:type="dxa"/>
            <w:vMerge/>
            <w:shd w:val="clear" w:color="auto" w:fill="auto"/>
          </w:tcPr>
          <w:p w:rsidR="00BA7B5E" w:rsidRPr="005A505B" w:rsidRDefault="00BA7B5E" w:rsidP="005A505B">
            <w:pPr>
              <w:jc w:val="both"/>
              <w:rPr>
                <w:rFonts w:eastAsia="Calibri" w:cs="Arial"/>
                <w:color w:val="auto"/>
                <w:sz w:val="20"/>
                <w:szCs w:val="20"/>
              </w:rPr>
            </w:pPr>
          </w:p>
        </w:tc>
        <w:tc>
          <w:tcPr>
            <w:tcW w:w="3690" w:type="dxa"/>
            <w:shd w:val="clear" w:color="auto" w:fill="auto"/>
          </w:tcPr>
          <w:p w:rsidR="00BA7B5E" w:rsidRPr="005A505B" w:rsidRDefault="00BA7B5E" w:rsidP="005A505B">
            <w:pPr>
              <w:rPr>
                <w:rFonts w:eastAsia="Calibri" w:cs="Arial"/>
                <w:color w:val="auto"/>
                <w:sz w:val="20"/>
                <w:szCs w:val="20"/>
              </w:rPr>
            </w:pPr>
            <w:r w:rsidRPr="005A505B">
              <w:rPr>
                <w:rFonts w:eastAsia="Calibri" w:cs="Arial"/>
                <w:color w:val="auto"/>
                <w:sz w:val="20"/>
                <w:szCs w:val="20"/>
              </w:rPr>
              <w:t xml:space="preserve">70% of category 4 complaints adjudicated within 120 working days and in accordance with complaints procedure </w:t>
            </w:r>
          </w:p>
        </w:tc>
      </w:tr>
      <w:tr w:rsidR="00BA7B5E" w:rsidRPr="005A505B" w:rsidTr="002E66DA">
        <w:trPr>
          <w:trHeight w:val="1170"/>
        </w:trPr>
        <w:tc>
          <w:tcPr>
            <w:tcW w:w="2306" w:type="dxa"/>
            <w:vMerge/>
            <w:shd w:val="clear" w:color="auto" w:fill="auto"/>
          </w:tcPr>
          <w:p w:rsidR="00BA7B5E" w:rsidRPr="005A505B" w:rsidRDefault="00BA7B5E" w:rsidP="005A505B">
            <w:pPr>
              <w:numPr>
                <w:ilvl w:val="0"/>
                <w:numId w:val="25"/>
              </w:numPr>
              <w:jc w:val="both"/>
              <w:rPr>
                <w:rFonts w:eastAsia="Calibri" w:cs="Arial"/>
                <w:color w:val="auto"/>
                <w:sz w:val="20"/>
                <w:szCs w:val="20"/>
              </w:rPr>
            </w:pPr>
          </w:p>
        </w:tc>
        <w:tc>
          <w:tcPr>
            <w:tcW w:w="3449" w:type="dxa"/>
            <w:vMerge/>
            <w:shd w:val="clear" w:color="auto" w:fill="auto"/>
          </w:tcPr>
          <w:p w:rsidR="00BA7B5E" w:rsidRPr="005A505B" w:rsidRDefault="00BA7B5E" w:rsidP="005A505B">
            <w:pPr>
              <w:jc w:val="both"/>
              <w:rPr>
                <w:rFonts w:eastAsia="Calibri" w:cs="Arial"/>
                <w:color w:val="auto"/>
                <w:sz w:val="20"/>
                <w:szCs w:val="20"/>
              </w:rPr>
            </w:pPr>
          </w:p>
        </w:tc>
        <w:tc>
          <w:tcPr>
            <w:tcW w:w="3690" w:type="dxa"/>
            <w:shd w:val="clear" w:color="auto" w:fill="auto"/>
          </w:tcPr>
          <w:p w:rsidR="00BA7B5E" w:rsidRPr="005A505B" w:rsidRDefault="00BA7B5E" w:rsidP="005A505B">
            <w:pPr>
              <w:jc w:val="both"/>
              <w:rPr>
                <w:rFonts w:eastAsia="Calibri" w:cs="Arial"/>
                <w:color w:val="auto"/>
                <w:sz w:val="20"/>
                <w:szCs w:val="20"/>
              </w:rPr>
            </w:pPr>
            <w:r w:rsidRPr="005A505B">
              <w:rPr>
                <w:rFonts w:eastAsia="Calibri" w:cs="Arial"/>
                <w:color w:val="auto"/>
                <w:sz w:val="20"/>
                <w:szCs w:val="20"/>
              </w:rPr>
              <w:t>80% of Rulings submitted to Corporate Services for publication on the CMS website within 30 calendar days following the lapse of 3 months within which an appeal must be filed</w:t>
            </w:r>
          </w:p>
        </w:tc>
      </w:tr>
    </w:tbl>
    <w:p w:rsidR="00BA7B5E" w:rsidRPr="005A505B" w:rsidRDefault="00BA7B5E" w:rsidP="005A505B">
      <w:pPr>
        <w:autoSpaceDE w:val="0"/>
        <w:autoSpaceDN w:val="0"/>
        <w:adjustRightInd w:val="0"/>
        <w:jc w:val="both"/>
        <w:rPr>
          <w:rFonts w:cs="Arial"/>
          <w:b/>
          <w:bCs/>
          <w:color w:val="auto"/>
          <w:sz w:val="20"/>
          <w:szCs w:val="20"/>
          <w:lang w:val="en-ZA" w:eastAsia="en-ZA"/>
        </w:rPr>
      </w:pPr>
    </w:p>
    <w:p w:rsidR="00BA7B5E" w:rsidRPr="005A505B" w:rsidRDefault="00BA7B5E" w:rsidP="005A505B">
      <w:pPr>
        <w:autoSpaceDE w:val="0"/>
        <w:autoSpaceDN w:val="0"/>
        <w:adjustRightInd w:val="0"/>
        <w:jc w:val="both"/>
        <w:rPr>
          <w:rFonts w:cs="Arial"/>
          <w:b/>
          <w:bCs/>
          <w:color w:val="auto"/>
          <w:sz w:val="20"/>
          <w:szCs w:val="20"/>
          <w:lang w:val="en-ZA" w:eastAsia="en-ZA"/>
        </w:rPr>
      </w:pPr>
    </w:p>
    <w:p w:rsidR="00BA7B5E" w:rsidRPr="005A505B" w:rsidRDefault="00A54000" w:rsidP="005A505B">
      <w:pPr>
        <w:pStyle w:val="ListParagraph"/>
        <w:numPr>
          <w:ilvl w:val="2"/>
          <w:numId w:val="53"/>
        </w:numPr>
        <w:rPr>
          <w:rFonts w:cs="Arial"/>
          <w:color w:val="auto"/>
          <w:sz w:val="20"/>
          <w:szCs w:val="20"/>
        </w:rPr>
      </w:pPr>
      <w:bookmarkStart w:id="477" w:name="_Toc100823262"/>
      <w:r w:rsidRPr="005A505B">
        <w:rPr>
          <w:rFonts w:cs="Arial"/>
          <w:b/>
          <w:color w:val="auto"/>
          <w:sz w:val="20"/>
          <w:szCs w:val="20"/>
          <w:lang w:val="en-ZA" w:eastAsia="en-ZA"/>
        </w:rPr>
        <w:t xml:space="preserve">Budget </w:t>
      </w:r>
      <w:bookmarkEnd w:id="477"/>
      <w:r w:rsidR="006513A9" w:rsidRPr="005A505B">
        <w:rPr>
          <w:rFonts w:cs="Arial"/>
          <w:b/>
          <w:color w:val="auto"/>
          <w:sz w:val="20"/>
          <w:szCs w:val="20"/>
          <w:lang w:val="en-ZA" w:eastAsia="en-ZA"/>
        </w:rPr>
        <w:t>for 2022/23</w:t>
      </w:r>
    </w:p>
    <w:p w:rsidR="00BA7B5E" w:rsidRPr="005A505B" w:rsidRDefault="00BA7B5E" w:rsidP="005A505B">
      <w:pPr>
        <w:autoSpaceDE w:val="0"/>
        <w:autoSpaceDN w:val="0"/>
        <w:adjustRightInd w:val="0"/>
        <w:jc w:val="both"/>
        <w:rPr>
          <w:rFonts w:cs="Arial"/>
          <w:bCs/>
          <w:color w:val="auto"/>
          <w:sz w:val="20"/>
          <w:szCs w:val="20"/>
          <w:lang w:val="en-ZA" w:eastAsia="en-ZA"/>
        </w:rPr>
      </w:pPr>
    </w:p>
    <w:p w:rsidR="00BA7B5E" w:rsidRPr="005A505B" w:rsidRDefault="004E40E7" w:rsidP="005A505B">
      <w:pPr>
        <w:autoSpaceDE w:val="0"/>
        <w:autoSpaceDN w:val="0"/>
        <w:adjustRightInd w:val="0"/>
        <w:jc w:val="both"/>
        <w:rPr>
          <w:rFonts w:cs="Arial"/>
          <w:bCs/>
          <w:color w:val="auto"/>
          <w:sz w:val="20"/>
          <w:szCs w:val="20"/>
          <w:lang w:val="en-ZA" w:eastAsia="en-ZA"/>
        </w:rPr>
      </w:pPr>
      <w:r w:rsidRPr="005A505B">
        <w:rPr>
          <w:rFonts w:cs="Arial"/>
          <w:bCs/>
          <w:color w:val="auto"/>
          <w:sz w:val="20"/>
          <w:szCs w:val="20"/>
          <w:lang w:val="en-ZA" w:eastAsia="en-ZA"/>
        </w:rPr>
        <w:t xml:space="preserve">CMS receives a Government Grant of R6.3 million from the National Department of Health and the bulk of its budget is from the principal medical scheme members to the value of R178.6 million. </w:t>
      </w:r>
      <w:r w:rsidR="00BA7B5E" w:rsidRPr="005A505B">
        <w:rPr>
          <w:rFonts w:cs="Arial"/>
          <w:bCs/>
          <w:color w:val="auto"/>
          <w:sz w:val="20"/>
          <w:szCs w:val="20"/>
          <w:lang w:val="en-ZA" w:eastAsia="en-ZA"/>
        </w:rPr>
        <w:t xml:space="preserve">Table </w:t>
      </w:r>
      <w:r w:rsidRPr="005A505B">
        <w:rPr>
          <w:rFonts w:cs="Arial"/>
          <w:bCs/>
          <w:color w:val="auto"/>
          <w:sz w:val="20"/>
          <w:szCs w:val="20"/>
          <w:lang w:val="en-ZA" w:eastAsia="en-ZA"/>
        </w:rPr>
        <w:t>13</w:t>
      </w:r>
      <w:r w:rsidR="00BA7B5E" w:rsidRPr="005A505B">
        <w:rPr>
          <w:rFonts w:cs="Arial"/>
          <w:bCs/>
          <w:color w:val="auto"/>
          <w:sz w:val="20"/>
          <w:szCs w:val="20"/>
          <w:lang w:val="en-ZA" w:eastAsia="en-ZA"/>
        </w:rPr>
        <w:t>, below provides an overview of the CMS’s budget for 2022/23:</w:t>
      </w:r>
    </w:p>
    <w:p w:rsidR="00BA7B5E" w:rsidRPr="005A505B" w:rsidRDefault="00BA7B5E" w:rsidP="005A505B">
      <w:pPr>
        <w:autoSpaceDE w:val="0"/>
        <w:autoSpaceDN w:val="0"/>
        <w:adjustRightInd w:val="0"/>
        <w:jc w:val="both"/>
        <w:rPr>
          <w:rFonts w:cs="Arial"/>
          <w:bCs/>
          <w:color w:val="auto"/>
          <w:sz w:val="20"/>
          <w:szCs w:val="20"/>
          <w:lang w:val="en-ZA" w:eastAsia="en-ZA"/>
        </w:rPr>
      </w:pPr>
    </w:p>
    <w:p w:rsidR="00BA7B5E" w:rsidRPr="005A505B" w:rsidRDefault="00BA7B5E" w:rsidP="005A505B">
      <w:pPr>
        <w:pStyle w:val="Caption"/>
        <w:keepNext/>
        <w:jc w:val="both"/>
        <w:rPr>
          <w:rFonts w:cs="Arial"/>
          <w:color w:val="auto"/>
        </w:rPr>
      </w:pPr>
      <w:r w:rsidRPr="005A505B">
        <w:rPr>
          <w:rFonts w:cs="Arial"/>
          <w:color w:val="auto"/>
        </w:rPr>
        <w:t xml:space="preserve">Table </w:t>
      </w:r>
      <w:r w:rsidR="004E40E7" w:rsidRPr="005A505B">
        <w:rPr>
          <w:rFonts w:cs="Arial"/>
          <w:color w:val="auto"/>
        </w:rPr>
        <w:t>13</w:t>
      </w:r>
      <w:r w:rsidRPr="005A505B">
        <w:rPr>
          <w:rFonts w:cs="Arial"/>
          <w:color w:val="auto"/>
        </w:rPr>
        <w:t>: CMS Budget 2022/23</w:t>
      </w:r>
    </w:p>
    <w:p w:rsidR="00BA7B5E" w:rsidRPr="005A505B" w:rsidRDefault="00BA7B5E" w:rsidP="005A505B">
      <w:pPr>
        <w:autoSpaceDE w:val="0"/>
        <w:autoSpaceDN w:val="0"/>
        <w:adjustRightInd w:val="0"/>
        <w:jc w:val="both"/>
        <w:rPr>
          <w:rFonts w:cs="Arial"/>
          <w:bCs/>
          <w:color w:val="auto"/>
          <w:sz w:val="20"/>
          <w:szCs w:val="20"/>
          <w:lang w:val="en-ZA" w:eastAsia="en-ZA"/>
        </w:rPr>
      </w:pPr>
      <w:r w:rsidRPr="005A505B">
        <w:rPr>
          <w:rFonts w:cs="Arial"/>
          <w:bCs/>
          <w:noProof/>
          <w:color w:val="auto"/>
          <w:sz w:val="20"/>
          <w:szCs w:val="20"/>
          <w:lang w:val="en-US" w:eastAsia="en-US"/>
        </w:rPr>
        <w:drawing>
          <wp:inline distT="0" distB="0" distL="0" distR="0">
            <wp:extent cx="5730875" cy="1657350"/>
            <wp:effectExtent l="0" t="0" r="317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30875" cy="1657350"/>
                    </a:xfrm>
                    <a:prstGeom prst="rect">
                      <a:avLst/>
                    </a:prstGeom>
                    <a:noFill/>
                  </pic:spPr>
                </pic:pic>
              </a:graphicData>
            </a:graphic>
          </wp:inline>
        </w:drawing>
      </w:r>
    </w:p>
    <w:p w:rsidR="00BA7B5E" w:rsidRPr="005A505B" w:rsidRDefault="00BA7B5E" w:rsidP="005A505B">
      <w:pPr>
        <w:autoSpaceDE w:val="0"/>
        <w:autoSpaceDN w:val="0"/>
        <w:adjustRightInd w:val="0"/>
        <w:jc w:val="both"/>
        <w:rPr>
          <w:rFonts w:cs="Arial"/>
          <w:bCs/>
          <w:color w:val="auto"/>
          <w:sz w:val="20"/>
          <w:szCs w:val="20"/>
          <w:lang w:val="en-ZA" w:eastAsia="en-ZA"/>
        </w:rPr>
      </w:pPr>
    </w:p>
    <w:p w:rsidR="00BA7B5E" w:rsidRPr="005A505B" w:rsidRDefault="00BA7B5E" w:rsidP="005A505B">
      <w:pPr>
        <w:autoSpaceDE w:val="0"/>
        <w:autoSpaceDN w:val="0"/>
        <w:adjustRightInd w:val="0"/>
        <w:jc w:val="both"/>
        <w:rPr>
          <w:rFonts w:cs="Arial"/>
          <w:bCs/>
          <w:color w:val="auto"/>
          <w:sz w:val="20"/>
          <w:szCs w:val="20"/>
          <w:lang w:val="en-ZA" w:eastAsia="en-ZA"/>
        </w:rPr>
      </w:pPr>
      <w:r w:rsidRPr="005A505B">
        <w:rPr>
          <w:rFonts w:cs="Arial"/>
          <w:bCs/>
          <w:color w:val="auto"/>
          <w:sz w:val="20"/>
          <w:szCs w:val="20"/>
          <w:lang w:val="en-ZA" w:eastAsia="en-ZA"/>
        </w:rPr>
        <w:t>CMS is set to spend R193.4 million in 2022/23, up by 4.3</w:t>
      </w:r>
      <w:r w:rsidR="0073718D" w:rsidRPr="005A505B">
        <w:rPr>
          <w:rFonts w:cs="Arial"/>
          <w:bCs/>
          <w:color w:val="auto"/>
          <w:sz w:val="20"/>
          <w:szCs w:val="20"/>
          <w:lang w:val="en-ZA" w:eastAsia="en-ZA"/>
        </w:rPr>
        <w:t xml:space="preserve">% </w:t>
      </w:r>
      <w:r w:rsidRPr="005A505B">
        <w:rPr>
          <w:rFonts w:cs="Arial"/>
          <w:bCs/>
          <w:color w:val="auto"/>
          <w:sz w:val="20"/>
          <w:szCs w:val="20"/>
          <w:lang w:val="en-ZA" w:eastAsia="en-ZA"/>
        </w:rPr>
        <w:t xml:space="preserve">in nominal terms and down 0.2 percent in real terms from the adjusted budget of R185.6 million of 2021/22.  </w:t>
      </w:r>
    </w:p>
    <w:p w:rsidR="00BA7B5E" w:rsidRPr="005A505B" w:rsidRDefault="00BA7B5E" w:rsidP="005A505B">
      <w:pPr>
        <w:autoSpaceDE w:val="0"/>
        <w:autoSpaceDN w:val="0"/>
        <w:adjustRightInd w:val="0"/>
        <w:jc w:val="both"/>
        <w:rPr>
          <w:rFonts w:cs="Arial"/>
          <w:bCs/>
          <w:color w:val="auto"/>
          <w:sz w:val="20"/>
          <w:szCs w:val="20"/>
          <w:lang w:val="en-ZA" w:eastAsia="en-ZA"/>
        </w:rPr>
      </w:pPr>
    </w:p>
    <w:p w:rsidR="00BA7B5E" w:rsidRPr="005A505B" w:rsidRDefault="00BA7B5E" w:rsidP="005A505B">
      <w:pPr>
        <w:tabs>
          <w:tab w:val="left" w:pos="720"/>
        </w:tabs>
        <w:jc w:val="both"/>
        <w:rPr>
          <w:rFonts w:cs="Arial"/>
          <w:color w:val="auto"/>
          <w:sz w:val="20"/>
          <w:szCs w:val="20"/>
        </w:rPr>
      </w:pPr>
      <w:r w:rsidRPr="005A505B">
        <w:rPr>
          <w:rFonts w:cs="Arial"/>
          <w:color w:val="auto"/>
          <w:sz w:val="20"/>
          <w:szCs w:val="20"/>
        </w:rPr>
        <w:t xml:space="preserve">In terms of allocation per programme, programme 1: Administration receives the biggest allocation of R110.5 million in </w:t>
      </w:r>
      <w:r w:rsidRPr="005A505B">
        <w:rPr>
          <w:rFonts w:cs="Arial"/>
          <w:bCs/>
          <w:color w:val="auto"/>
          <w:sz w:val="20"/>
          <w:szCs w:val="20"/>
          <w:lang w:val="en-ZA" w:eastAsia="en-ZA"/>
        </w:rPr>
        <w:t>2022/23 or 57.</w:t>
      </w:r>
      <w:r w:rsidR="0073718D" w:rsidRPr="005A505B">
        <w:rPr>
          <w:rFonts w:cs="Arial"/>
          <w:bCs/>
          <w:color w:val="auto"/>
          <w:sz w:val="20"/>
          <w:szCs w:val="20"/>
          <w:lang w:val="en-ZA" w:eastAsia="en-ZA"/>
        </w:rPr>
        <w:t>1%</w:t>
      </w:r>
      <w:r w:rsidRPr="005A505B">
        <w:rPr>
          <w:rFonts w:cs="Arial"/>
          <w:bCs/>
          <w:color w:val="auto"/>
          <w:sz w:val="20"/>
          <w:szCs w:val="20"/>
          <w:lang w:val="en-ZA" w:eastAsia="en-ZA"/>
        </w:rPr>
        <w:t xml:space="preserve"> of the budget</w:t>
      </w:r>
      <w:r w:rsidRPr="005A505B">
        <w:rPr>
          <w:rFonts w:cs="Arial"/>
          <w:color w:val="auto"/>
          <w:sz w:val="20"/>
          <w:szCs w:val="20"/>
        </w:rPr>
        <w:t>.  This is a 3.9</w:t>
      </w:r>
      <w:r w:rsidR="0073718D" w:rsidRPr="005A505B">
        <w:rPr>
          <w:rFonts w:cs="Arial"/>
          <w:color w:val="auto"/>
          <w:sz w:val="20"/>
          <w:szCs w:val="20"/>
        </w:rPr>
        <w:t xml:space="preserve">% </w:t>
      </w:r>
      <w:r w:rsidRPr="005A505B">
        <w:rPr>
          <w:rFonts w:cs="Arial"/>
          <w:color w:val="auto"/>
          <w:sz w:val="20"/>
          <w:szCs w:val="20"/>
        </w:rPr>
        <w:t>nominal increase, and 0.6</w:t>
      </w:r>
      <w:r w:rsidR="0073718D" w:rsidRPr="005A505B">
        <w:rPr>
          <w:rFonts w:cs="Arial"/>
          <w:color w:val="auto"/>
          <w:sz w:val="20"/>
          <w:szCs w:val="20"/>
        </w:rPr>
        <w:t xml:space="preserve">% </w:t>
      </w:r>
      <w:r w:rsidRPr="005A505B">
        <w:rPr>
          <w:rFonts w:cs="Arial"/>
          <w:color w:val="auto"/>
          <w:sz w:val="20"/>
          <w:szCs w:val="20"/>
        </w:rPr>
        <w:t xml:space="preserve">real decrease from </w:t>
      </w:r>
      <w:r w:rsidRPr="005A505B">
        <w:rPr>
          <w:rFonts w:cs="Arial"/>
          <w:bCs/>
          <w:color w:val="auto"/>
          <w:sz w:val="20"/>
          <w:szCs w:val="20"/>
          <w:lang w:val="en-ZA" w:eastAsia="en-ZA"/>
        </w:rPr>
        <w:t>the previous year</w:t>
      </w:r>
      <w:r w:rsidRPr="005A505B">
        <w:rPr>
          <w:rFonts w:cs="Arial"/>
          <w:color w:val="auto"/>
          <w:sz w:val="20"/>
          <w:szCs w:val="20"/>
        </w:rPr>
        <w:t>. This programme is divided into 6 sub-programmes, namely:</w:t>
      </w:r>
    </w:p>
    <w:p w:rsidR="00BA7B5E" w:rsidRPr="005A505B" w:rsidRDefault="00BA7B5E" w:rsidP="005A505B">
      <w:pPr>
        <w:tabs>
          <w:tab w:val="left" w:pos="720"/>
        </w:tabs>
        <w:jc w:val="both"/>
        <w:rPr>
          <w:rFonts w:cs="Arial"/>
          <w:color w:val="auto"/>
          <w:sz w:val="20"/>
          <w:szCs w:val="20"/>
        </w:rPr>
      </w:pPr>
    </w:p>
    <w:p w:rsidR="00BA7B5E" w:rsidRPr="005A505B" w:rsidRDefault="00BA7B5E" w:rsidP="005A505B">
      <w:pPr>
        <w:pStyle w:val="Caption"/>
        <w:keepNext/>
        <w:jc w:val="both"/>
        <w:rPr>
          <w:rFonts w:cs="Arial"/>
          <w:color w:val="auto"/>
        </w:rPr>
      </w:pPr>
      <w:r w:rsidRPr="005A505B">
        <w:rPr>
          <w:rFonts w:cs="Arial"/>
          <w:color w:val="auto"/>
        </w:rPr>
        <w:t xml:space="preserve">Table </w:t>
      </w:r>
      <w:r w:rsidR="00A66918" w:rsidRPr="005A505B">
        <w:rPr>
          <w:rFonts w:cs="Arial"/>
          <w:color w:val="auto"/>
        </w:rPr>
        <w:t>14</w:t>
      </w:r>
      <w:r w:rsidRPr="005A505B">
        <w:rPr>
          <w:rFonts w:cs="Arial"/>
          <w:color w:val="auto"/>
        </w:rPr>
        <w:t>: Administration Budget</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8"/>
        <w:gridCol w:w="3402"/>
        <w:gridCol w:w="2920"/>
      </w:tblGrid>
      <w:tr w:rsidR="00BA7B5E" w:rsidRPr="005A505B" w:rsidTr="002E66DA">
        <w:tc>
          <w:tcPr>
            <w:tcW w:w="2948" w:type="dxa"/>
            <w:shd w:val="clear" w:color="auto" w:fill="DAEEF3" w:themeFill="accent5" w:themeFillTint="33"/>
            <w:vAlign w:val="center"/>
          </w:tcPr>
          <w:p w:rsidR="00BA7B5E" w:rsidRPr="005A505B" w:rsidRDefault="00BA7B5E" w:rsidP="005A505B">
            <w:pPr>
              <w:tabs>
                <w:tab w:val="left" w:pos="720"/>
              </w:tabs>
              <w:jc w:val="both"/>
              <w:rPr>
                <w:rFonts w:cs="Arial"/>
                <w:b/>
                <w:color w:val="auto"/>
                <w:sz w:val="20"/>
                <w:szCs w:val="20"/>
                <w:lang w:val="en-ZA"/>
              </w:rPr>
            </w:pPr>
            <w:r w:rsidRPr="005A505B">
              <w:rPr>
                <w:rFonts w:cs="Arial"/>
                <w:b/>
                <w:color w:val="auto"/>
                <w:sz w:val="20"/>
                <w:szCs w:val="20"/>
                <w:lang w:val="en-ZA"/>
              </w:rPr>
              <w:t xml:space="preserve">Sub-programme </w:t>
            </w:r>
          </w:p>
        </w:tc>
        <w:tc>
          <w:tcPr>
            <w:tcW w:w="3402" w:type="dxa"/>
            <w:shd w:val="clear" w:color="auto" w:fill="DAEEF3" w:themeFill="accent5" w:themeFillTint="33"/>
            <w:vAlign w:val="center"/>
          </w:tcPr>
          <w:p w:rsidR="00BA7B5E" w:rsidRPr="005A505B" w:rsidRDefault="00BA7B5E" w:rsidP="005A505B">
            <w:pPr>
              <w:jc w:val="both"/>
              <w:rPr>
                <w:rFonts w:cs="Arial"/>
                <w:b/>
                <w:color w:val="auto"/>
                <w:sz w:val="20"/>
                <w:szCs w:val="20"/>
                <w:lang w:val="en-ZA"/>
              </w:rPr>
            </w:pPr>
            <w:r w:rsidRPr="005A505B">
              <w:rPr>
                <w:rFonts w:cs="Arial"/>
                <w:b/>
                <w:color w:val="auto"/>
                <w:sz w:val="20"/>
                <w:szCs w:val="20"/>
                <w:lang w:val="en-ZA"/>
              </w:rPr>
              <w:t>Appropriated budget for 2021/22</w:t>
            </w:r>
          </w:p>
        </w:tc>
        <w:tc>
          <w:tcPr>
            <w:tcW w:w="2920" w:type="dxa"/>
            <w:shd w:val="clear" w:color="auto" w:fill="DAEEF3" w:themeFill="accent5" w:themeFillTint="33"/>
            <w:vAlign w:val="center"/>
          </w:tcPr>
          <w:p w:rsidR="00BA7B5E" w:rsidRPr="005A505B" w:rsidRDefault="00BA7B5E" w:rsidP="005A505B">
            <w:pPr>
              <w:tabs>
                <w:tab w:val="left" w:pos="720"/>
              </w:tabs>
              <w:jc w:val="both"/>
              <w:rPr>
                <w:rFonts w:cs="Arial"/>
                <w:b/>
                <w:color w:val="auto"/>
                <w:sz w:val="20"/>
                <w:szCs w:val="20"/>
                <w:lang w:val="en-ZA"/>
              </w:rPr>
            </w:pPr>
            <w:r w:rsidRPr="005A505B">
              <w:rPr>
                <w:rFonts w:cs="Arial"/>
                <w:b/>
                <w:color w:val="auto"/>
                <w:sz w:val="20"/>
                <w:szCs w:val="20"/>
                <w:lang w:val="en-ZA"/>
              </w:rPr>
              <w:t>Appropriated budget for 2022/23</w:t>
            </w:r>
          </w:p>
        </w:tc>
      </w:tr>
      <w:tr w:rsidR="00BA7B5E" w:rsidRPr="005A505B" w:rsidTr="002E66DA">
        <w:tc>
          <w:tcPr>
            <w:tcW w:w="2948" w:type="dxa"/>
            <w:shd w:val="clear" w:color="auto" w:fill="auto"/>
          </w:tcPr>
          <w:p w:rsidR="00BA7B5E" w:rsidRPr="005A505B" w:rsidRDefault="00BA7B5E" w:rsidP="005A505B">
            <w:pPr>
              <w:tabs>
                <w:tab w:val="left" w:pos="720"/>
              </w:tabs>
              <w:rPr>
                <w:rFonts w:cs="Arial"/>
                <w:color w:val="auto"/>
                <w:sz w:val="20"/>
                <w:szCs w:val="20"/>
                <w:lang w:val="en-ZA"/>
              </w:rPr>
            </w:pPr>
            <w:r w:rsidRPr="005A505B">
              <w:rPr>
                <w:rFonts w:cs="Arial"/>
                <w:color w:val="auto"/>
                <w:sz w:val="20"/>
                <w:szCs w:val="20"/>
                <w:lang w:val="en-ZA"/>
              </w:rPr>
              <w:t xml:space="preserve">Office of the CEO and Registrar </w:t>
            </w:r>
          </w:p>
        </w:tc>
        <w:tc>
          <w:tcPr>
            <w:tcW w:w="3402" w:type="dxa"/>
          </w:tcPr>
          <w:p w:rsidR="00BA7B5E" w:rsidRPr="005A505B" w:rsidRDefault="00BA7B5E" w:rsidP="005A505B">
            <w:pPr>
              <w:jc w:val="both"/>
              <w:rPr>
                <w:rFonts w:cs="Arial"/>
                <w:color w:val="auto"/>
                <w:sz w:val="20"/>
                <w:szCs w:val="20"/>
                <w:lang w:val="en-ZA"/>
              </w:rPr>
            </w:pPr>
            <w:r w:rsidRPr="005A505B">
              <w:rPr>
                <w:rFonts w:cs="Arial"/>
                <w:color w:val="auto"/>
                <w:sz w:val="20"/>
                <w:szCs w:val="20"/>
                <w:lang w:val="en-ZA"/>
              </w:rPr>
              <w:t>R7.7 million</w:t>
            </w:r>
          </w:p>
        </w:tc>
        <w:tc>
          <w:tcPr>
            <w:tcW w:w="2920" w:type="dxa"/>
            <w:shd w:val="clear" w:color="auto" w:fill="auto"/>
          </w:tcPr>
          <w:p w:rsidR="00BA7B5E" w:rsidRPr="005A505B" w:rsidRDefault="00BA7B5E" w:rsidP="005A505B">
            <w:pPr>
              <w:tabs>
                <w:tab w:val="left" w:pos="720"/>
              </w:tabs>
              <w:jc w:val="both"/>
              <w:rPr>
                <w:rFonts w:cs="Arial"/>
                <w:color w:val="auto"/>
                <w:sz w:val="20"/>
                <w:szCs w:val="20"/>
                <w:lang w:val="en-ZA"/>
              </w:rPr>
            </w:pPr>
            <w:r w:rsidRPr="005A505B">
              <w:rPr>
                <w:rFonts w:cs="Arial"/>
                <w:color w:val="auto"/>
                <w:sz w:val="20"/>
                <w:szCs w:val="20"/>
                <w:lang w:val="en-ZA"/>
              </w:rPr>
              <w:t>R9.6 million</w:t>
            </w:r>
          </w:p>
        </w:tc>
      </w:tr>
      <w:tr w:rsidR="00BA7B5E" w:rsidRPr="005A505B" w:rsidTr="002E66DA">
        <w:tc>
          <w:tcPr>
            <w:tcW w:w="2948" w:type="dxa"/>
            <w:shd w:val="clear" w:color="auto" w:fill="auto"/>
          </w:tcPr>
          <w:p w:rsidR="00BA7B5E" w:rsidRPr="005A505B" w:rsidRDefault="00BA7B5E" w:rsidP="005A505B">
            <w:pPr>
              <w:tabs>
                <w:tab w:val="left" w:pos="720"/>
              </w:tabs>
              <w:rPr>
                <w:rFonts w:cs="Arial"/>
                <w:color w:val="auto"/>
                <w:sz w:val="20"/>
                <w:szCs w:val="20"/>
                <w:lang w:val="en-ZA"/>
              </w:rPr>
            </w:pPr>
            <w:r w:rsidRPr="005A505B">
              <w:rPr>
                <w:rFonts w:cs="Arial"/>
                <w:color w:val="auto"/>
                <w:sz w:val="20"/>
                <w:szCs w:val="20"/>
                <w:lang w:val="en-ZA"/>
              </w:rPr>
              <w:t>Office of the CFO</w:t>
            </w:r>
          </w:p>
        </w:tc>
        <w:tc>
          <w:tcPr>
            <w:tcW w:w="3402" w:type="dxa"/>
          </w:tcPr>
          <w:p w:rsidR="00BA7B5E" w:rsidRPr="005A505B" w:rsidRDefault="00BA7B5E" w:rsidP="005A505B">
            <w:pPr>
              <w:jc w:val="both"/>
              <w:rPr>
                <w:rFonts w:cs="Arial"/>
                <w:color w:val="auto"/>
                <w:sz w:val="20"/>
                <w:szCs w:val="20"/>
                <w:lang w:val="en-ZA"/>
              </w:rPr>
            </w:pPr>
            <w:r w:rsidRPr="005A505B">
              <w:rPr>
                <w:rFonts w:cs="Arial"/>
                <w:color w:val="auto"/>
                <w:sz w:val="20"/>
                <w:szCs w:val="20"/>
                <w:lang w:val="en-ZA"/>
              </w:rPr>
              <w:t>R14.9 million</w:t>
            </w:r>
          </w:p>
        </w:tc>
        <w:tc>
          <w:tcPr>
            <w:tcW w:w="2920" w:type="dxa"/>
            <w:shd w:val="clear" w:color="auto" w:fill="auto"/>
          </w:tcPr>
          <w:p w:rsidR="00BA7B5E" w:rsidRPr="005A505B" w:rsidRDefault="00BA7B5E" w:rsidP="005A505B">
            <w:pPr>
              <w:tabs>
                <w:tab w:val="left" w:pos="720"/>
              </w:tabs>
              <w:jc w:val="both"/>
              <w:rPr>
                <w:rFonts w:cs="Arial"/>
                <w:color w:val="auto"/>
                <w:sz w:val="20"/>
                <w:szCs w:val="20"/>
                <w:lang w:val="en-ZA"/>
              </w:rPr>
            </w:pPr>
            <w:r w:rsidRPr="005A505B">
              <w:rPr>
                <w:rFonts w:cs="Arial"/>
                <w:color w:val="auto"/>
                <w:sz w:val="20"/>
                <w:szCs w:val="20"/>
                <w:lang w:val="en-ZA"/>
              </w:rPr>
              <w:t>R15.8 million</w:t>
            </w:r>
          </w:p>
        </w:tc>
      </w:tr>
      <w:tr w:rsidR="00BA7B5E" w:rsidRPr="005A505B" w:rsidTr="002E66DA">
        <w:tc>
          <w:tcPr>
            <w:tcW w:w="2948" w:type="dxa"/>
            <w:shd w:val="clear" w:color="auto" w:fill="auto"/>
          </w:tcPr>
          <w:p w:rsidR="00BA7B5E" w:rsidRPr="005A505B" w:rsidRDefault="00BA7B5E" w:rsidP="005A505B">
            <w:pPr>
              <w:tabs>
                <w:tab w:val="left" w:pos="720"/>
              </w:tabs>
              <w:rPr>
                <w:rFonts w:cs="Arial"/>
                <w:color w:val="auto"/>
                <w:sz w:val="20"/>
                <w:szCs w:val="20"/>
                <w:lang w:val="en-ZA"/>
              </w:rPr>
            </w:pPr>
            <w:r w:rsidRPr="005A505B">
              <w:rPr>
                <w:rFonts w:cs="Arial"/>
                <w:color w:val="auto"/>
                <w:sz w:val="20"/>
                <w:szCs w:val="20"/>
                <w:lang w:val="en-ZA"/>
              </w:rPr>
              <w:t>Information Systems and Knowledge Management</w:t>
            </w:r>
          </w:p>
        </w:tc>
        <w:tc>
          <w:tcPr>
            <w:tcW w:w="3402" w:type="dxa"/>
          </w:tcPr>
          <w:p w:rsidR="00BA7B5E" w:rsidRPr="005A505B" w:rsidRDefault="00BA7B5E" w:rsidP="005A505B">
            <w:pPr>
              <w:jc w:val="both"/>
              <w:rPr>
                <w:rFonts w:cs="Arial"/>
                <w:color w:val="auto"/>
                <w:sz w:val="20"/>
                <w:szCs w:val="20"/>
                <w:lang w:val="en-ZA"/>
              </w:rPr>
            </w:pPr>
            <w:r w:rsidRPr="005A505B">
              <w:rPr>
                <w:rFonts w:cs="Arial"/>
                <w:color w:val="auto"/>
                <w:sz w:val="20"/>
                <w:szCs w:val="20"/>
                <w:lang w:val="en-ZA"/>
              </w:rPr>
              <w:t>R25.2 million</w:t>
            </w:r>
          </w:p>
        </w:tc>
        <w:tc>
          <w:tcPr>
            <w:tcW w:w="2920" w:type="dxa"/>
            <w:shd w:val="clear" w:color="auto" w:fill="auto"/>
          </w:tcPr>
          <w:p w:rsidR="00BA7B5E" w:rsidRPr="005A505B" w:rsidRDefault="00BA7B5E" w:rsidP="005A505B">
            <w:pPr>
              <w:tabs>
                <w:tab w:val="left" w:pos="720"/>
              </w:tabs>
              <w:jc w:val="both"/>
              <w:rPr>
                <w:rFonts w:cs="Arial"/>
                <w:color w:val="auto"/>
                <w:sz w:val="20"/>
                <w:szCs w:val="20"/>
                <w:lang w:val="en-ZA"/>
              </w:rPr>
            </w:pPr>
            <w:r w:rsidRPr="005A505B">
              <w:rPr>
                <w:rFonts w:cs="Arial"/>
                <w:color w:val="auto"/>
                <w:sz w:val="20"/>
                <w:szCs w:val="20"/>
                <w:lang w:val="en-ZA"/>
              </w:rPr>
              <w:t>R25.9 million</w:t>
            </w:r>
          </w:p>
        </w:tc>
      </w:tr>
      <w:tr w:rsidR="00BA7B5E" w:rsidRPr="005A505B" w:rsidTr="002E66DA">
        <w:tc>
          <w:tcPr>
            <w:tcW w:w="2948" w:type="dxa"/>
            <w:shd w:val="clear" w:color="auto" w:fill="auto"/>
          </w:tcPr>
          <w:p w:rsidR="00BA7B5E" w:rsidRPr="005A505B" w:rsidRDefault="00BA7B5E" w:rsidP="005A505B">
            <w:pPr>
              <w:tabs>
                <w:tab w:val="left" w:pos="720"/>
              </w:tabs>
              <w:jc w:val="both"/>
              <w:rPr>
                <w:rFonts w:cs="Arial"/>
                <w:color w:val="auto"/>
                <w:sz w:val="20"/>
                <w:szCs w:val="20"/>
                <w:lang w:val="en-ZA"/>
              </w:rPr>
            </w:pPr>
            <w:r w:rsidRPr="005A505B">
              <w:rPr>
                <w:rFonts w:cs="Arial"/>
                <w:color w:val="auto"/>
                <w:sz w:val="20"/>
                <w:szCs w:val="20"/>
                <w:lang w:val="en-ZA"/>
              </w:rPr>
              <w:t>Corporate Services</w:t>
            </w:r>
          </w:p>
        </w:tc>
        <w:tc>
          <w:tcPr>
            <w:tcW w:w="3402" w:type="dxa"/>
          </w:tcPr>
          <w:p w:rsidR="00BA7B5E" w:rsidRPr="005A505B" w:rsidRDefault="00BA7B5E" w:rsidP="005A505B">
            <w:pPr>
              <w:jc w:val="both"/>
              <w:rPr>
                <w:rFonts w:cs="Arial"/>
                <w:color w:val="auto"/>
                <w:sz w:val="20"/>
                <w:szCs w:val="20"/>
                <w:lang w:val="en-ZA"/>
              </w:rPr>
            </w:pPr>
            <w:r w:rsidRPr="005A505B">
              <w:rPr>
                <w:rFonts w:cs="Arial"/>
                <w:color w:val="auto"/>
                <w:sz w:val="20"/>
                <w:szCs w:val="20"/>
                <w:lang w:val="en-ZA"/>
              </w:rPr>
              <w:t>R51.3 million</w:t>
            </w:r>
          </w:p>
        </w:tc>
        <w:tc>
          <w:tcPr>
            <w:tcW w:w="2920" w:type="dxa"/>
            <w:shd w:val="clear" w:color="auto" w:fill="auto"/>
          </w:tcPr>
          <w:p w:rsidR="00BA7B5E" w:rsidRPr="005A505B" w:rsidRDefault="00BA7B5E" w:rsidP="005A505B">
            <w:pPr>
              <w:tabs>
                <w:tab w:val="left" w:pos="720"/>
              </w:tabs>
              <w:jc w:val="both"/>
              <w:rPr>
                <w:rFonts w:cs="Arial"/>
                <w:color w:val="auto"/>
                <w:sz w:val="20"/>
                <w:szCs w:val="20"/>
                <w:lang w:val="en-ZA"/>
              </w:rPr>
            </w:pPr>
            <w:r w:rsidRPr="005A505B">
              <w:rPr>
                <w:rFonts w:cs="Arial"/>
                <w:color w:val="auto"/>
                <w:sz w:val="20"/>
                <w:szCs w:val="20"/>
                <w:lang w:val="en-ZA"/>
              </w:rPr>
              <w:t>R51.5 million</w:t>
            </w:r>
          </w:p>
        </w:tc>
      </w:tr>
      <w:tr w:rsidR="00BA7B5E" w:rsidRPr="005A505B" w:rsidTr="002E66DA">
        <w:tc>
          <w:tcPr>
            <w:tcW w:w="2948" w:type="dxa"/>
            <w:tcBorders>
              <w:bottom w:val="single" w:sz="4" w:space="0" w:color="auto"/>
            </w:tcBorders>
            <w:shd w:val="clear" w:color="auto" w:fill="auto"/>
          </w:tcPr>
          <w:p w:rsidR="00BA7B5E" w:rsidRPr="005A505B" w:rsidRDefault="00BA7B5E" w:rsidP="005A505B">
            <w:pPr>
              <w:tabs>
                <w:tab w:val="left" w:pos="720"/>
              </w:tabs>
              <w:jc w:val="both"/>
              <w:rPr>
                <w:rFonts w:cs="Arial"/>
                <w:color w:val="auto"/>
                <w:sz w:val="20"/>
                <w:szCs w:val="20"/>
                <w:lang w:val="en-ZA"/>
              </w:rPr>
            </w:pPr>
            <w:r w:rsidRPr="005A505B">
              <w:rPr>
                <w:rFonts w:cs="Arial"/>
                <w:color w:val="auto"/>
                <w:sz w:val="20"/>
                <w:szCs w:val="20"/>
                <w:lang w:val="en-ZA"/>
              </w:rPr>
              <w:t>Council Secretariat</w:t>
            </w:r>
          </w:p>
        </w:tc>
        <w:tc>
          <w:tcPr>
            <w:tcW w:w="3402" w:type="dxa"/>
            <w:tcBorders>
              <w:bottom w:val="single" w:sz="4" w:space="0" w:color="auto"/>
            </w:tcBorders>
          </w:tcPr>
          <w:p w:rsidR="00BA7B5E" w:rsidRPr="005A505B" w:rsidRDefault="00BA7B5E" w:rsidP="005A505B">
            <w:pPr>
              <w:jc w:val="both"/>
              <w:rPr>
                <w:rFonts w:cs="Arial"/>
                <w:b/>
                <w:color w:val="auto"/>
                <w:sz w:val="20"/>
                <w:szCs w:val="20"/>
                <w:lang w:val="en-ZA"/>
              </w:rPr>
            </w:pPr>
            <w:r w:rsidRPr="005A505B">
              <w:rPr>
                <w:rFonts w:cs="Arial"/>
                <w:b/>
                <w:color w:val="auto"/>
                <w:sz w:val="20"/>
                <w:szCs w:val="20"/>
                <w:lang w:val="en-ZA"/>
              </w:rPr>
              <w:t>R7.3 million</w:t>
            </w:r>
          </w:p>
        </w:tc>
        <w:tc>
          <w:tcPr>
            <w:tcW w:w="2920" w:type="dxa"/>
            <w:tcBorders>
              <w:bottom w:val="single" w:sz="4" w:space="0" w:color="auto"/>
            </w:tcBorders>
            <w:shd w:val="clear" w:color="auto" w:fill="auto"/>
          </w:tcPr>
          <w:p w:rsidR="00BA7B5E" w:rsidRPr="005A505B" w:rsidRDefault="00BA7B5E" w:rsidP="005A505B">
            <w:pPr>
              <w:tabs>
                <w:tab w:val="left" w:pos="720"/>
              </w:tabs>
              <w:jc w:val="both"/>
              <w:rPr>
                <w:rFonts w:cs="Arial"/>
                <w:color w:val="auto"/>
                <w:sz w:val="20"/>
                <w:szCs w:val="20"/>
                <w:lang w:val="en-ZA"/>
              </w:rPr>
            </w:pPr>
            <w:r w:rsidRPr="005A505B">
              <w:rPr>
                <w:rFonts w:cs="Arial"/>
                <w:color w:val="auto"/>
                <w:sz w:val="20"/>
                <w:szCs w:val="20"/>
                <w:lang w:val="en-ZA"/>
              </w:rPr>
              <w:t>R 7.7 million</w:t>
            </w:r>
          </w:p>
        </w:tc>
      </w:tr>
      <w:tr w:rsidR="00BA7B5E" w:rsidRPr="005A505B" w:rsidTr="002E66DA">
        <w:tc>
          <w:tcPr>
            <w:tcW w:w="2948" w:type="dxa"/>
            <w:shd w:val="clear" w:color="auto" w:fill="DAEEF3" w:themeFill="accent5" w:themeFillTint="33"/>
          </w:tcPr>
          <w:p w:rsidR="00BA7B5E" w:rsidRPr="005A505B" w:rsidRDefault="00BA7B5E" w:rsidP="005A505B">
            <w:pPr>
              <w:tabs>
                <w:tab w:val="left" w:pos="720"/>
              </w:tabs>
              <w:jc w:val="both"/>
              <w:rPr>
                <w:rFonts w:cs="Arial"/>
                <w:b/>
                <w:color w:val="auto"/>
                <w:sz w:val="20"/>
                <w:szCs w:val="20"/>
                <w:lang w:val="en-ZA"/>
              </w:rPr>
            </w:pPr>
            <w:r w:rsidRPr="005A505B">
              <w:rPr>
                <w:rFonts w:cs="Arial"/>
                <w:b/>
                <w:color w:val="auto"/>
                <w:sz w:val="20"/>
                <w:szCs w:val="20"/>
                <w:lang w:val="en-ZA"/>
              </w:rPr>
              <w:t xml:space="preserve">Total </w:t>
            </w:r>
          </w:p>
        </w:tc>
        <w:tc>
          <w:tcPr>
            <w:tcW w:w="3402" w:type="dxa"/>
            <w:shd w:val="clear" w:color="auto" w:fill="DAEEF3" w:themeFill="accent5" w:themeFillTint="33"/>
          </w:tcPr>
          <w:p w:rsidR="00BA7B5E" w:rsidRPr="005A505B" w:rsidRDefault="00BA7B5E" w:rsidP="005A505B">
            <w:pPr>
              <w:tabs>
                <w:tab w:val="left" w:pos="720"/>
              </w:tabs>
              <w:jc w:val="both"/>
              <w:rPr>
                <w:rFonts w:cs="Arial"/>
                <w:b/>
                <w:color w:val="auto"/>
                <w:sz w:val="20"/>
                <w:szCs w:val="20"/>
              </w:rPr>
            </w:pPr>
            <w:r w:rsidRPr="005A505B">
              <w:rPr>
                <w:rFonts w:cs="Arial"/>
                <w:b/>
                <w:color w:val="auto"/>
                <w:sz w:val="20"/>
                <w:szCs w:val="20"/>
              </w:rPr>
              <w:t>R106.4 million</w:t>
            </w:r>
          </w:p>
        </w:tc>
        <w:tc>
          <w:tcPr>
            <w:tcW w:w="2920" w:type="dxa"/>
            <w:shd w:val="clear" w:color="auto" w:fill="DAEEF3" w:themeFill="accent5" w:themeFillTint="33"/>
          </w:tcPr>
          <w:p w:rsidR="00BA7B5E" w:rsidRPr="005A505B" w:rsidRDefault="00BA7B5E" w:rsidP="005A505B">
            <w:pPr>
              <w:tabs>
                <w:tab w:val="left" w:pos="720"/>
              </w:tabs>
              <w:jc w:val="both"/>
              <w:rPr>
                <w:rFonts w:cs="Arial"/>
                <w:b/>
                <w:color w:val="auto"/>
                <w:sz w:val="20"/>
                <w:szCs w:val="20"/>
                <w:lang w:val="en-ZA"/>
              </w:rPr>
            </w:pPr>
            <w:r w:rsidRPr="005A505B">
              <w:rPr>
                <w:rFonts w:cs="Arial"/>
                <w:b/>
                <w:color w:val="auto"/>
                <w:sz w:val="20"/>
                <w:szCs w:val="20"/>
                <w:lang w:val="en-ZA"/>
              </w:rPr>
              <w:t>R110.5 million</w:t>
            </w:r>
          </w:p>
        </w:tc>
      </w:tr>
    </w:tbl>
    <w:p w:rsidR="00BA7B5E" w:rsidRPr="005A505B" w:rsidRDefault="00BA7B5E" w:rsidP="005A505B">
      <w:pPr>
        <w:tabs>
          <w:tab w:val="left" w:pos="720"/>
        </w:tabs>
        <w:jc w:val="both"/>
        <w:rPr>
          <w:rFonts w:cs="Arial"/>
          <w:color w:val="auto"/>
          <w:sz w:val="20"/>
          <w:szCs w:val="20"/>
        </w:rPr>
      </w:pPr>
    </w:p>
    <w:p w:rsidR="00BA7B5E" w:rsidRPr="005A505B" w:rsidRDefault="00BA7B5E" w:rsidP="005A505B">
      <w:pPr>
        <w:tabs>
          <w:tab w:val="left" w:pos="720"/>
        </w:tabs>
        <w:jc w:val="both"/>
        <w:rPr>
          <w:rFonts w:cs="Arial"/>
          <w:color w:val="auto"/>
          <w:sz w:val="20"/>
          <w:szCs w:val="20"/>
        </w:rPr>
      </w:pPr>
      <w:r w:rsidRPr="005A505B">
        <w:rPr>
          <w:rFonts w:cs="Arial"/>
          <w:color w:val="auto"/>
          <w:sz w:val="20"/>
          <w:szCs w:val="20"/>
        </w:rPr>
        <w:t xml:space="preserve">Corporate Services receives the largest share of the Administration budget at R51.5 million. Information Systems and Knowledge Management is the second biggest budget item receiving nearly R26 million (R25.9 million); while the Council Secretariat receives the smallest amount with R7.7 million. </w:t>
      </w:r>
    </w:p>
    <w:p w:rsidR="00BA7B5E" w:rsidRPr="005A505B" w:rsidRDefault="00BA7B5E" w:rsidP="005A505B">
      <w:pPr>
        <w:tabs>
          <w:tab w:val="left" w:pos="720"/>
        </w:tabs>
        <w:jc w:val="both"/>
        <w:rPr>
          <w:rFonts w:cs="Arial"/>
          <w:color w:val="auto"/>
          <w:sz w:val="20"/>
          <w:szCs w:val="20"/>
        </w:rPr>
      </w:pPr>
    </w:p>
    <w:p w:rsidR="00BA7B5E" w:rsidRPr="005A505B" w:rsidRDefault="00BA7B5E" w:rsidP="005A505B">
      <w:pPr>
        <w:tabs>
          <w:tab w:val="left" w:pos="720"/>
        </w:tabs>
        <w:jc w:val="both"/>
        <w:rPr>
          <w:rFonts w:cs="Arial"/>
          <w:color w:val="auto"/>
          <w:sz w:val="20"/>
          <w:szCs w:val="20"/>
        </w:rPr>
      </w:pPr>
      <w:r w:rsidRPr="005A505B">
        <w:rPr>
          <w:rFonts w:cs="Arial"/>
          <w:color w:val="auto"/>
          <w:sz w:val="20"/>
          <w:szCs w:val="20"/>
        </w:rPr>
        <w:t>Programme 5: Member Protection receives the largest nominal percentage increase of 6.8</w:t>
      </w:r>
      <w:r w:rsidR="0073718D" w:rsidRPr="005A505B">
        <w:rPr>
          <w:rFonts w:cs="Arial"/>
          <w:color w:val="auto"/>
          <w:sz w:val="20"/>
          <w:szCs w:val="20"/>
        </w:rPr>
        <w:t>%</w:t>
      </w:r>
      <w:r w:rsidRPr="005A505B">
        <w:rPr>
          <w:rFonts w:cs="Arial"/>
          <w:color w:val="auto"/>
          <w:sz w:val="20"/>
          <w:szCs w:val="20"/>
        </w:rPr>
        <w:t xml:space="preserve"> increasing from R24.4 million in</w:t>
      </w:r>
      <w:r w:rsidRPr="005A505B">
        <w:rPr>
          <w:rFonts w:cs="Arial"/>
          <w:bCs/>
          <w:color w:val="auto"/>
          <w:sz w:val="20"/>
          <w:szCs w:val="20"/>
          <w:lang w:val="en-ZA" w:eastAsia="en-ZA"/>
        </w:rPr>
        <w:t xml:space="preserve"> 2021/22 </w:t>
      </w:r>
      <w:r w:rsidRPr="005A505B">
        <w:rPr>
          <w:rFonts w:cs="Arial"/>
          <w:color w:val="auto"/>
          <w:sz w:val="20"/>
          <w:szCs w:val="20"/>
        </w:rPr>
        <w:t>to R26.1 million in</w:t>
      </w:r>
      <w:r w:rsidRPr="005A505B">
        <w:rPr>
          <w:rFonts w:cs="Arial"/>
          <w:bCs/>
          <w:color w:val="auto"/>
          <w:sz w:val="20"/>
          <w:szCs w:val="20"/>
          <w:lang w:val="en-ZA" w:eastAsia="en-ZA"/>
        </w:rPr>
        <w:t xml:space="preserve"> 2022/23</w:t>
      </w:r>
      <w:r w:rsidRPr="005A505B">
        <w:rPr>
          <w:rFonts w:cs="Arial"/>
          <w:color w:val="auto"/>
          <w:sz w:val="20"/>
          <w:szCs w:val="20"/>
        </w:rPr>
        <w:t>. Programme 3: Regulation receives a 4.3</w:t>
      </w:r>
      <w:r w:rsidR="0073718D" w:rsidRPr="005A505B">
        <w:rPr>
          <w:rFonts w:cs="Arial"/>
          <w:color w:val="auto"/>
          <w:sz w:val="20"/>
          <w:szCs w:val="20"/>
        </w:rPr>
        <w:t xml:space="preserve">% </w:t>
      </w:r>
      <w:r w:rsidRPr="005A505B">
        <w:rPr>
          <w:rFonts w:cs="Arial"/>
          <w:color w:val="auto"/>
          <w:sz w:val="20"/>
          <w:szCs w:val="20"/>
        </w:rPr>
        <w:t>nominal increase from R39.7 million in</w:t>
      </w:r>
      <w:r w:rsidRPr="005A505B">
        <w:rPr>
          <w:rFonts w:cs="Arial"/>
          <w:bCs/>
          <w:color w:val="auto"/>
          <w:sz w:val="20"/>
          <w:szCs w:val="20"/>
          <w:lang w:val="en-ZA" w:eastAsia="en-ZA"/>
        </w:rPr>
        <w:t xml:space="preserve"> 2021/22 </w:t>
      </w:r>
      <w:r w:rsidRPr="005A505B">
        <w:rPr>
          <w:rFonts w:cs="Arial"/>
          <w:color w:val="auto"/>
          <w:sz w:val="20"/>
          <w:szCs w:val="20"/>
        </w:rPr>
        <w:t>to R41.4 million in</w:t>
      </w:r>
      <w:r w:rsidRPr="005A505B">
        <w:rPr>
          <w:rFonts w:cs="Arial"/>
          <w:bCs/>
          <w:color w:val="auto"/>
          <w:sz w:val="20"/>
          <w:szCs w:val="20"/>
          <w:lang w:val="en-ZA" w:eastAsia="en-ZA"/>
        </w:rPr>
        <w:t xml:space="preserve"> 2022/23.</w:t>
      </w:r>
    </w:p>
    <w:p w:rsidR="00BA7B5E" w:rsidRPr="005A505B" w:rsidRDefault="00BA7B5E" w:rsidP="005A505B">
      <w:pPr>
        <w:tabs>
          <w:tab w:val="left" w:pos="720"/>
        </w:tabs>
        <w:jc w:val="both"/>
        <w:rPr>
          <w:rFonts w:cs="Arial"/>
          <w:color w:val="auto"/>
          <w:sz w:val="20"/>
          <w:szCs w:val="20"/>
        </w:rPr>
      </w:pPr>
    </w:p>
    <w:p w:rsidR="00BA7B5E" w:rsidRPr="005A505B" w:rsidRDefault="00BA7B5E" w:rsidP="005A505B">
      <w:pPr>
        <w:tabs>
          <w:tab w:val="left" w:pos="720"/>
        </w:tabs>
        <w:jc w:val="both"/>
        <w:rPr>
          <w:rFonts w:cs="Arial"/>
          <w:color w:val="auto"/>
          <w:sz w:val="20"/>
          <w:szCs w:val="20"/>
        </w:rPr>
      </w:pPr>
      <w:r w:rsidRPr="005A505B">
        <w:rPr>
          <w:rFonts w:cs="Arial"/>
          <w:color w:val="auto"/>
          <w:sz w:val="20"/>
          <w:szCs w:val="20"/>
        </w:rPr>
        <w:t>The key cost drivers per economic classification are as follows: 62.7</w:t>
      </w:r>
      <w:r w:rsidR="0073718D" w:rsidRPr="005A505B">
        <w:rPr>
          <w:rFonts w:cs="Arial"/>
          <w:color w:val="auto"/>
          <w:sz w:val="20"/>
          <w:szCs w:val="20"/>
        </w:rPr>
        <w:t xml:space="preserve">% </w:t>
      </w:r>
      <w:r w:rsidRPr="005A505B">
        <w:rPr>
          <w:rFonts w:cs="Arial"/>
          <w:color w:val="auto"/>
          <w:sz w:val="20"/>
          <w:szCs w:val="20"/>
        </w:rPr>
        <w:t>(R121.4 million) of CMS operating budget (R193.4 million) is allocated for compensation of employees (COE) and 37.2% (R72.1 million) is allocated for goods and services. In terms of spending under goods and services, the main cost drivers are lease payments (R14.8 million), legal fees (R6.0 million), consultants (R1.2) million), and property payments (R4.9 million).</w:t>
      </w:r>
    </w:p>
    <w:p w:rsidR="00C4265F" w:rsidRPr="005A505B" w:rsidRDefault="00C4265F" w:rsidP="005A505B">
      <w:pPr>
        <w:tabs>
          <w:tab w:val="left" w:pos="720"/>
        </w:tabs>
        <w:jc w:val="both"/>
        <w:rPr>
          <w:rFonts w:cs="Arial"/>
          <w:color w:val="auto"/>
          <w:sz w:val="20"/>
          <w:szCs w:val="20"/>
        </w:rPr>
      </w:pPr>
    </w:p>
    <w:p w:rsidR="00BA7B5E" w:rsidRPr="005A505B" w:rsidRDefault="00BA7B5E" w:rsidP="005A505B">
      <w:pPr>
        <w:tabs>
          <w:tab w:val="left" w:pos="720"/>
        </w:tabs>
        <w:jc w:val="both"/>
        <w:rPr>
          <w:rFonts w:cs="Arial"/>
          <w:color w:val="auto"/>
          <w:sz w:val="20"/>
          <w:szCs w:val="20"/>
        </w:rPr>
      </w:pPr>
    </w:p>
    <w:p w:rsidR="00E43FDD" w:rsidRPr="005A505B" w:rsidRDefault="00BA7B5E" w:rsidP="005A505B">
      <w:pPr>
        <w:pStyle w:val="Heading2"/>
        <w:numPr>
          <w:ilvl w:val="1"/>
          <w:numId w:val="53"/>
        </w:numPr>
        <w:rPr>
          <w:b w:val="0"/>
          <w:color w:val="auto"/>
          <w:sz w:val="20"/>
          <w:szCs w:val="20"/>
        </w:rPr>
      </w:pPr>
      <w:bookmarkStart w:id="478" w:name="_Toc102119905"/>
      <w:r w:rsidRPr="005A505B">
        <w:rPr>
          <w:color w:val="auto"/>
          <w:sz w:val="20"/>
          <w:szCs w:val="20"/>
        </w:rPr>
        <w:t xml:space="preserve">South African Health Products Regulatory Authority </w:t>
      </w:r>
      <w:r w:rsidR="00B510E5" w:rsidRPr="005A505B">
        <w:rPr>
          <w:color w:val="auto"/>
          <w:sz w:val="20"/>
          <w:szCs w:val="20"/>
        </w:rPr>
        <w:t>(SAHPRA)</w:t>
      </w:r>
      <w:bookmarkEnd w:id="478"/>
    </w:p>
    <w:p w:rsidR="00A54000" w:rsidRPr="005A505B" w:rsidRDefault="00A54000" w:rsidP="005A505B">
      <w:pPr>
        <w:rPr>
          <w:rFonts w:cs="Arial"/>
          <w:color w:val="auto"/>
          <w:sz w:val="20"/>
          <w:szCs w:val="20"/>
        </w:rPr>
      </w:pPr>
      <w:bookmarkStart w:id="479" w:name="_Toc100916580"/>
    </w:p>
    <w:p w:rsidR="00A54000" w:rsidRPr="005A505B" w:rsidRDefault="00A54000" w:rsidP="005A505B">
      <w:pPr>
        <w:rPr>
          <w:rFonts w:cs="Arial"/>
          <w:color w:val="auto"/>
          <w:sz w:val="20"/>
          <w:szCs w:val="20"/>
        </w:rPr>
      </w:pPr>
    </w:p>
    <w:p w:rsidR="00E43FDD" w:rsidRPr="005A505B" w:rsidRDefault="00A54000" w:rsidP="005A505B">
      <w:pPr>
        <w:pStyle w:val="ListParagraph"/>
        <w:numPr>
          <w:ilvl w:val="2"/>
          <w:numId w:val="53"/>
        </w:numPr>
        <w:rPr>
          <w:rFonts w:cs="Arial"/>
          <w:color w:val="auto"/>
          <w:sz w:val="20"/>
          <w:szCs w:val="20"/>
        </w:rPr>
      </w:pPr>
      <w:r w:rsidRPr="005A505B">
        <w:rPr>
          <w:rFonts w:cs="Arial"/>
          <w:b/>
          <w:color w:val="auto"/>
          <w:sz w:val="20"/>
          <w:szCs w:val="20"/>
        </w:rPr>
        <w:t>Introduction</w:t>
      </w:r>
      <w:bookmarkEnd w:id="479"/>
      <w:r w:rsidRPr="005A505B">
        <w:rPr>
          <w:rFonts w:cs="Arial"/>
          <w:b/>
          <w:color w:val="auto"/>
          <w:sz w:val="20"/>
          <w:szCs w:val="20"/>
        </w:rPr>
        <w:t xml:space="preserve">  </w:t>
      </w:r>
    </w:p>
    <w:p w:rsidR="00E43FDD" w:rsidRPr="005A505B" w:rsidRDefault="00E43FDD" w:rsidP="005A505B">
      <w:pPr>
        <w:rPr>
          <w:rFonts w:cs="Arial"/>
          <w:color w:val="auto"/>
          <w:sz w:val="20"/>
          <w:szCs w:val="20"/>
        </w:rPr>
      </w:pPr>
    </w:p>
    <w:p w:rsidR="00E43FDD" w:rsidRPr="005A505B" w:rsidRDefault="00E43FDD" w:rsidP="005A505B">
      <w:pPr>
        <w:jc w:val="both"/>
        <w:rPr>
          <w:rFonts w:cs="Arial"/>
          <w:color w:val="auto"/>
          <w:sz w:val="20"/>
          <w:szCs w:val="20"/>
        </w:rPr>
      </w:pPr>
      <w:r w:rsidRPr="005A505B">
        <w:rPr>
          <w:rFonts w:cs="Arial"/>
          <w:color w:val="auto"/>
          <w:sz w:val="20"/>
          <w:szCs w:val="20"/>
        </w:rPr>
        <w:t xml:space="preserve">The South African Health Products Regulatory Authority (hereafter, SAHPRA) was established in terms of the Medicines and Related Substance Act (Act No. 101 of 1965) (as amended by Act No. 72 of 2008, together with Act No. 14 of 2015). This was in order to regulate and control registration, licensing, manufacturing, import and all other aspects pertaining to active </w:t>
      </w:r>
      <w:r w:rsidRPr="005A505B">
        <w:rPr>
          <w:rFonts w:cs="Arial"/>
          <w:color w:val="auto"/>
          <w:sz w:val="20"/>
          <w:szCs w:val="20"/>
        </w:rPr>
        <w:lastRenderedPageBreak/>
        <w:t>pharmaceutical ingredients, medical devices, and for conducting clinical trials in a manner compatible with the national medicines policy.</w:t>
      </w:r>
    </w:p>
    <w:p w:rsidR="00E43FDD" w:rsidRPr="005A505B" w:rsidRDefault="00E43FDD" w:rsidP="005A505B">
      <w:pPr>
        <w:jc w:val="both"/>
        <w:rPr>
          <w:rFonts w:cs="Arial"/>
          <w:color w:val="auto"/>
          <w:sz w:val="20"/>
          <w:szCs w:val="20"/>
        </w:rPr>
      </w:pPr>
    </w:p>
    <w:p w:rsidR="00E43FDD" w:rsidRPr="005A505B" w:rsidRDefault="00E43FDD" w:rsidP="005A505B">
      <w:pPr>
        <w:jc w:val="both"/>
        <w:rPr>
          <w:rFonts w:cs="Arial"/>
          <w:color w:val="auto"/>
          <w:sz w:val="20"/>
          <w:szCs w:val="20"/>
        </w:rPr>
      </w:pPr>
      <w:r w:rsidRPr="005A505B">
        <w:rPr>
          <w:rFonts w:cs="Arial"/>
          <w:color w:val="auto"/>
          <w:sz w:val="20"/>
          <w:szCs w:val="20"/>
        </w:rPr>
        <w:t xml:space="preserve">SAHPRA is a Schedule 3A public entity operating as a separate juristic entity, independent of the National Department of Health (NDoH). It replaced South Africa’s previous medicine regulatory authority, the Medicines Control Council (MCC), with the objective of creating an effective regulator that is responsive and publicly accountable and able to make timeous regulatory decisions. One of the critical priorities of SAHPRA, since its launch in February 2018, has been the clearance of approving new medicines and clinical trials backlogs. </w:t>
      </w:r>
    </w:p>
    <w:p w:rsidR="00E43FDD" w:rsidRPr="005A505B" w:rsidRDefault="00E43FDD" w:rsidP="005A505B">
      <w:pPr>
        <w:jc w:val="both"/>
        <w:rPr>
          <w:rFonts w:cs="Arial"/>
          <w:color w:val="auto"/>
          <w:sz w:val="20"/>
          <w:szCs w:val="20"/>
        </w:rPr>
      </w:pPr>
    </w:p>
    <w:p w:rsidR="00E43FDD" w:rsidRPr="005A505B" w:rsidRDefault="00E43FDD" w:rsidP="005A505B">
      <w:pPr>
        <w:jc w:val="both"/>
        <w:rPr>
          <w:rFonts w:cs="Arial"/>
          <w:color w:val="auto"/>
          <w:sz w:val="20"/>
          <w:szCs w:val="20"/>
        </w:rPr>
      </w:pPr>
      <w:r w:rsidRPr="005A505B">
        <w:rPr>
          <w:rFonts w:cs="Arial"/>
          <w:color w:val="auto"/>
          <w:sz w:val="20"/>
          <w:szCs w:val="20"/>
        </w:rPr>
        <w:t xml:space="preserve">The Authority inherited many historical challenges that plagued the MCC, including slow regulatory decision times, and an extensive backlog of pending regulatory applications. The SAHPRA Annual Performance Plan (APP) for the 2022/23 financial year outlines a range of outcomes and indicators aimed at overcoming these historical challenges as well as positioning SAHPRA in a way to serve the proposed National Health Insurance (NHI) effectively. </w:t>
      </w:r>
    </w:p>
    <w:p w:rsidR="00E43FDD" w:rsidRPr="005A505B" w:rsidRDefault="00E43FDD" w:rsidP="005A505B">
      <w:pPr>
        <w:rPr>
          <w:rFonts w:cs="Arial"/>
          <w:color w:val="auto"/>
          <w:sz w:val="20"/>
          <w:szCs w:val="20"/>
        </w:rPr>
      </w:pPr>
    </w:p>
    <w:p w:rsidR="00E43FDD" w:rsidRPr="005A505B" w:rsidRDefault="00E43FDD" w:rsidP="005A505B">
      <w:pPr>
        <w:jc w:val="both"/>
        <w:rPr>
          <w:rFonts w:cs="Arial"/>
          <w:color w:val="auto"/>
          <w:sz w:val="20"/>
          <w:szCs w:val="20"/>
        </w:rPr>
      </w:pPr>
      <w:r w:rsidRPr="005A505B">
        <w:rPr>
          <w:rFonts w:cs="Arial"/>
          <w:color w:val="auto"/>
          <w:sz w:val="20"/>
          <w:szCs w:val="20"/>
        </w:rPr>
        <w:t>Information on its Vision, Mission and Values is gleaned from last year’s presentation to the Committee. SAHPRA’s Vision is to be an “agile and responsive African health products regulator that is globally recognised as an enabler of access to safe, effective and quality health products in South Africa.” Its Mission is to “promote access to health products and protect human and animal health in South Africa through making science-based regulatory decisions.” SAHPRA’s impact statement is that: All health products in South Africa meet world-class safety, quality, efficacy and performance standards. To achieve its impact, SAHPRA identified the following seven (7) outcomes:</w:t>
      </w:r>
    </w:p>
    <w:p w:rsidR="00E43FDD" w:rsidRPr="005A505B" w:rsidRDefault="00E43FDD" w:rsidP="005A505B">
      <w:pPr>
        <w:rPr>
          <w:rFonts w:cs="Arial"/>
          <w:color w:val="auto"/>
          <w:sz w:val="20"/>
          <w:szCs w:val="20"/>
        </w:rPr>
      </w:pPr>
    </w:p>
    <w:p w:rsidR="00E43FDD" w:rsidRPr="005A505B" w:rsidRDefault="00E43FDD" w:rsidP="005A505B">
      <w:pPr>
        <w:numPr>
          <w:ilvl w:val="0"/>
          <w:numId w:val="28"/>
        </w:numPr>
        <w:jc w:val="both"/>
        <w:rPr>
          <w:rFonts w:cs="Arial"/>
          <w:color w:val="auto"/>
          <w:sz w:val="20"/>
          <w:szCs w:val="20"/>
        </w:rPr>
      </w:pPr>
      <w:r w:rsidRPr="005A505B">
        <w:rPr>
          <w:rFonts w:cs="Arial"/>
          <w:color w:val="auto"/>
          <w:sz w:val="20"/>
          <w:szCs w:val="20"/>
        </w:rPr>
        <w:t>Effective financial management;</w:t>
      </w:r>
    </w:p>
    <w:p w:rsidR="00E43FDD" w:rsidRPr="005A505B" w:rsidRDefault="00E43FDD" w:rsidP="005A505B">
      <w:pPr>
        <w:numPr>
          <w:ilvl w:val="0"/>
          <w:numId w:val="28"/>
        </w:numPr>
        <w:jc w:val="both"/>
        <w:rPr>
          <w:rFonts w:cs="Arial"/>
          <w:color w:val="auto"/>
          <w:sz w:val="20"/>
          <w:szCs w:val="20"/>
        </w:rPr>
      </w:pPr>
      <w:r w:rsidRPr="005A505B">
        <w:rPr>
          <w:rFonts w:cs="Arial"/>
          <w:color w:val="auto"/>
          <w:sz w:val="20"/>
          <w:szCs w:val="20"/>
        </w:rPr>
        <w:t>Financial sustainability achieved through revenue generated and enhanced operational efficiencies;</w:t>
      </w:r>
    </w:p>
    <w:p w:rsidR="00E43FDD" w:rsidRPr="005A505B" w:rsidRDefault="00E43FDD" w:rsidP="005A505B">
      <w:pPr>
        <w:numPr>
          <w:ilvl w:val="0"/>
          <w:numId w:val="28"/>
        </w:numPr>
        <w:jc w:val="both"/>
        <w:rPr>
          <w:rFonts w:cs="Arial"/>
          <w:color w:val="auto"/>
          <w:sz w:val="20"/>
          <w:szCs w:val="20"/>
        </w:rPr>
      </w:pPr>
      <w:r w:rsidRPr="005A505B">
        <w:rPr>
          <w:rFonts w:cs="Arial"/>
          <w:color w:val="auto"/>
          <w:sz w:val="20"/>
          <w:szCs w:val="20"/>
          <w:lang w:val="en-US"/>
        </w:rPr>
        <w:t>The needs and expectations of all SAHPRA stakeholders continuously met;</w:t>
      </w:r>
    </w:p>
    <w:p w:rsidR="00E43FDD" w:rsidRPr="005A505B" w:rsidRDefault="00E43FDD" w:rsidP="005A505B">
      <w:pPr>
        <w:numPr>
          <w:ilvl w:val="0"/>
          <w:numId w:val="28"/>
        </w:numPr>
        <w:jc w:val="both"/>
        <w:rPr>
          <w:rFonts w:cs="Arial"/>
          <w:color w:val="auto"/>
          <w:sz w:val="20"/>
          <w:szCs w:val="20"/>
        </w:rPr>
      </w:pPr>
      <w:r w:rsidRPr="005A505B">
        <w:rPr>
          <w:rFonts w:cs="Arial"/>
          <w:color w:val="auto"/>
          <w:sz w:val="20"/>
          <w:szCs w:val="20"/>
          <w:lang w:val="en-US"/>
        </w:rPr>
        <w:t>A positive and enabling working culture created;</w:t>
      </w:r>
    </w:p>
    <w:p w:rsidR="00E43FDD" w:rsidRPr="005A505B" w:rsidRDefault="00E43FDD" w:rsidP="005A505B">
      <w:pPr>
        <w:numPr>
          <w:ilvl w:val="0"/>
          <w:numId w:val="28"/>
        </w:numPr>
        <w:jc w:val="both"/>
        <w:rPr>
          <w:rFonts w:cs="Arial"/>
          <w:color w:val="auto"/>
          <w:sz w:val="20"/>
          <w:szCs w:val="20"/>
        </w:rPr>
      </w:pPr>
      <w:r w:rsidRPr="005A505B">
        <w:rPr>
          <w:rFonts w:cs="Arial"/>
          <w:color w:val="auto"/>
          <w:sz w:val="20"/>
          <w:szCs w:val="20"/>
          <w:lang w:val="en-US"/>
        </w:rPr>
        <w:t>Attract and retain superior talent;</w:t>
      </w:r>
    </w:p>
    <w:p w:rsidR="00E43FDD" w:rsidRPr="005A505B" w:rsidRDefault="00E43FDD" w:rsidP="005A505B">
      <w:pPr>
        <w:numPr>
          <w:ilvl w:val="0"/>
          <w:numId w:val="28"/>
        </w:numPr>
        <w:jc w:val="both"/>
        <w:rPr>
          <w:rFonts w:cs="Arial"/>
          <w:color w:val="auto"/>
          <w:sz w:val="20"/>
          <w:szCs w:val="20"/>
        </w:rPr>
      </w:pPr>
      <w:r w:rsidRPr="005A505B">
        <w:rPr>
          <w:rFonts w:cs="Arial"/>
          <w:color w:val="auto"/>
          <w:sz w:val="20"/>
          <w:szCs w:val="20"/>
          <w:lang w:val="en-US"/>
        </w:rPr>
        <w:t xml:space="preserve">Strengthened Information and Communication Technology and digitization; and </w:t>
      </w:r>
    </w:p>
    <w:p w:rsidR="00E43FDD" w:rsidRPr="005A505B" w:rsidRDefault="00E43FDD" w:rsidP="005A505B">
      <w:pPr>
        <w:numPr>
          <w:ilvl w:val="0"/>
          <w:numId w:val="28"/>
        </w:numPr>
        <w:jc w:val="both"/>
        <w:rPr>
          <w:rFonts w:cs="Arial"/>
          <w:color w:val="auto"/>
          <w:sz w:val="20"/>
          <w:szCs w:val="20"/>
        </w:rPr>
      </w:pPr>
      <w:r w:rsidRPr="005A505B">
        <w:rPr>
          <w:rFonts w:cs="Arial"/>
          <w:color w:val="auto"/>
          <w:sz w:val="20"/>
          <w:szCs w:val="20"/>
        </w:rPr>
        <w:t>High levels of organisational operational efficiency and effectiveness in the regulatory function maintained</w:t>
      </w:r>
    </w:p>
    <w:p w:rsidR="00E43FDD" w:rsidRPr="005A505B" w:rsidRDefault="00E43FDD" w:rsidP="005A505B">
      <w:pPr>
        <w:jc w:val="both"/>
        <w:rPr>
          <w:rFonts w:cs="Arial"/>
          <w:color w:val="auto"/>
          <w:sz w:val="20"/>
          <w:szCs w:val="20"/>
        </w:rPr>
      </w:pPr>
    </w:p>
    <w:p w:rsidR="00E43FDD" w:rsidRPr="005A505B" w:rsidRDefault="00E43FDD" w:rsidP="005A505B">
      <w:pPr>
        <w:jc w:val="both"/>
        <w:rPr>
          <w:rFonts w:cs="Arial"/>
          <w:color w:val="auto"/>
          <w:sz w:val="20"/>
          <w:szCs w:val="20"/>
        </w:rPr>
      </w:pPr>
      <w:r w:rsidRPr="005A505B">
        <w:rPr>
          <w:rFonts w:cs="Arial"/>
          <w:color w:val="auto"/>
          <w:sz w:val="20"/>
          <w:szCs w:val="20"/>
        </w:rPr>
        <w:t>SAHPRA’s focus in its Strategic Plan 2020/21 – 2024/25 is on achieving stabilisation and momentum out of the transition phase towards greater autonomy, effective governance and operational efficiency. The number of outcomes were reduced from nine (9) to seven (7), to ensure that the focus is on core business. The 5-year targets linked to the outcomes have been revised to support SAHPRA’s approach towards the incremental reduction of the time taken to finalise its regulatory activities such as the approval time taken to register new medicines.</w:t>
      </w:r>
    </w:p>
    <w:p w:rsidR="00E43FDD" w:rsidRPr="005A505B" w:rsidRDefault="00E43FDD" w:rsidP="005A505B">
      <w:pPr>
        <w:jc w:val="both"/>
        <w:rPr>
          <w:rFonts w:cs="Arial"/>
          <w:color w:val="auto"/>
          <w:sz w:val="20"/>
          <w:szCs w:val="20"/>
        </w:rPr>
      </w:pPr>
    </w:p>
    <w:p w:rsidR="00E43FDD" w:rsidRPr="005A505B" w:rsidRDefault="00E43FDD" w:rsidP="005A505B">
      <w:pPr>
        <w:jc w:val="both"/>
        <w:rPr>
          <w:rFonts w:cs="Arial"/>
          <w:color w:val="auto"/>
          <w:sz w:val="20"/>
          <w:szCs w:val="20"/>
        </w:rPr>
      </w:pPr>
      <w:r w:rsidRPr="005A505B">
        <w:rPr>
          <w:rFonts w:cs="Arial"/>
          <w:color w:val="auto"/>
          <w:sz w:val="20"/>
          <w:szCs w:val="20"/>
        </w:rPr>
        <w:t xml:space="preserve">During the current COVID-19 pandemic, SAHPRA’s role has been thrust into the limelight as it has the authority to approve or not approve vaccines, tests and treatment for the virus. This paper will provide an overview of the SAHPRA’s budget and planned performance targets for the 2022/23 financial year. </w:t>
      </w:r>
    </w:p>
    <w:p w:rsidR="00E43FDD" w:rsidRPr="005A505B" w:rsidRDefault="00E43FDD" w:rsidP="005A505B">
      <w:pPr>
        <w:pStyle w:val="ListParagraph"/>
        <w:rPr>
          <w:rFonts w:cs="Arial"/>
          <w:b/>
          <w:color w:val="auto"/>
          <w:sz w:val="20"/>
          <w:szCs w:val="20"/>
        </w:rPr>
      </w:pPr>
    </w:p>
    <w:p w:rsidR="00E43FDD" w:rsidRPr="005A505B" w:rsidRDefault="006513A9" w:rsidP="005A505B">
      <w:pPr>
        <w:pStyle w:val="ListParagraph"/>
        <w:numPr>
          <w:ilvl w:val="2"/>
          <w:numId w:val="53"/>
        </w:numPr>
        <w:rPr>
          <w:rFonts w:cs="Arial"/>
          <w:b/>
          <w:color w:val="auto"/>
          <w:sz w:val="20"/>
          <w:szCs w:val="20"/>
        </w:rPr>
      </w:pPr>
      <w:r w:rsidRPr="005A505B">
        <w:rPr>
          <w:rFonts w:cs="Arial"/>
          <w:b/>
          <w:color w:val="auto"/>
          <w:sz w:val="20"/>
          <w:szCs w:val="20"/>
        </w:rPr>
        <w:t>Performance Information</w:t>
      </w:r>
      <w:r w:rsidR="00A54000" w:rsidRPr="005A505B">
        <w:rPr>
          <w:rFonts w:cs="Arial"/>
          <w:b/>
          <w:color w:val="auto"/>
          <w:sz w:val="20"/>
          <w:szCs w:val="20"/>
        </w:rPr>
        <w:t xml:space="preserve"> </w:t>
      </w:r>
      <w:r w:rsidR="00BD4D9A" w:rsidRPr="005A505B">
        <w:rPr>
          <w:rFonts w:cs="Arial"/>
          <w:b/>
          <w:color w:val="auto"/>
          <w:sz w:val="20"/>
          <w:szCs w:val="20"/>
        </w:rPr>
        <w:t>for 2022/23</w:t>
      </w:r>
    </w:p>
    <w:p w:rsidR="00E43FDD" w:rsidRPr="005A505B" w:rsidRDefault="00E43FDD" w:rsidP="005A505B">
      <w:pPr>
        <w:rPr>
          <w:rFonts w:cs="Arial"/>
          <w:b/>
          <w:caps/>
          <w:color w:val="auto"/>
          <w:sz w:val="20"/>
          <w:szCs w:val="20"/>
        </w:rPr>
      </w:pPr>
    </w:p>
    <w:p w:rsidR="00E43FDD" w:rsidRPr="005A505B" w:rsidRDefault="00E43FDD" w:rsidP="005A505B">
      <w:pPr>
        <w:jc w:val="both"/>
        <w:rPr>
          <w:rFonts w:cs="Arial"/>
          <w:color w:val="auto"/>
          <w:sz w:val="20"/>
          <w:szCs w:val="20"/>
        </w:rPr>
      </w:pPr>
      <w:r w:rsidRPr="005A505B">
        <w:rPr>
          <w:rFonts w:cs="Arial"/>
          <w:color w:val="auto"/>
          <w:sz w:val="20"/>
          <w:szCs w:val="20"/>
        </w:rPr>
        <w:t xml:space="preserve">SAHPRA executes its mandate through five (5) programme areas, namely, Leadership and Support, Health Products Authorisation, Inspectorate and Regulatory Compliance, Clinical and Pharmaceutical Evaluation Medicines and Medical Devices and Radiation Control. The ensuing sub-section provides a synopsis of SAHPRA’s performance plans/targets, per programme, for the 2022/23 financial year. </w:t>
      </w:r>
    </w:p>
    <w:p w:rsidR="00E43FDD" w:rsidRPr="005A505B" w:rsidRDefault="00E43FDD" w:rsidP="005A505B">
      <w:pPr>
        <w:jc w:val="both"/>
        <w:rPr>
          <w:rFonts w:cs="Arial"/>
          <w:color w:val="auto"/>
          <w:sz w:val="20"/>
          <w:szCs w:val="20"/>
        </w:rPr>
      </w:pPr>
    </w:p>
    <w:p w:rsidR="00E43FDD" w:rsidRPr="005A505B" w:rsidRDefault="00E43FDD" w:rsidP="005A505B">
      <w:pPr>
        <w:ind w:left="720"/>
        <w:rPr>
          <w:rFonts w:cs="Arial"/>
          <w:color w:val="auto"/>
          <w:sz w:val="20"/>
          <w:szCs w:val="20"/>
        </w:rPr>
      </w:pPr>
      <w:bookmarkStart w:id="480" w:name="_Toc100916582"/>
      <w:r w:rsidRPr="005A505B">
        <w:rPr>
          <w:rFonts w:cs="Arial"/>
          <w:b/>
          <w:color w:val="auto"/>
          <w:sz w:val="20"/>
          <w:szCs w:val="20"/>
        </w:rPr>
        <w:t>Programme 1: Leadership and Support</w:t>
      </w:r>
      <w:bookmarkEnd w:id="480"/>
      <w:r w:rsidRPr="005A505B">
        <w:rPr>
          <w:rFonts w:cs="Arial"/>
          <w:b/>
          <w:color w:val="auto"/>
          <w:sz w:val="20"/>
          <w:szCs w:val="20"/>
        </w:rPr>
        <w:t xml:space="preserve"> </w:t>
      </w:r>
    </w:p>
    <w:p w:rsidR="00E43FDD" w:rsidRPr="005A505B" w:rsidRDefault="00E43FDD" w:rsidP="005A505B">
      <w:pPr>
        <w:jc w:val="both"/>
        <w:rPr>
          <w:rFonts w:cs="Arial"/>
          <w:color w:val="auto"/>
          <w:sz w:val="20"/>
          <w:szCs w:val="20"/>
        </w:rPr>
      </w:pPr>
    </w:p>
    <w:p w:rsidR="00E43FDD" w:rsidRPr="005A505B" w:rsidRDefault="00E43FDD" w:rsidP="005A505B">
      <w:pPr>
        <w:jc w:val="both"/>
        <w:rPr>
          <w:rFonts w:cs="Arial"/>
          <w:color w:val="auto"/>
          <w:sz w:val="20"/>
          <w:szCs w:val="20"/>
        </w:rPr>
      </w:pPr>
      <w:r w:rsidRPr="005A505B">
        <w:rPr>
          <w:rFonts w:cs="Arial"/>
          <w:color w:val="auto"/>
          <w:sz w:val="20"/>
          <w:szCs w:val="20"/>
        </w:rPr>
        <w:t>This programme, previously known as Administration, is responsible for providing leadership and administrative support in order to deliver on its mandate and comply with all relevant legislative requirements. It is important to note that, Programme 1 has four (4) sub-</w:t>
      </w:r>
      <w:r w:rsidRPr="005A505B">
        <w:rPr>
          <w:rFonts w:cs="Arial"/>
          <w:color w:val="auto"/>
          <w:sz w:val="20"/>
          <w:szCs w:val="20"/>
        </w:rPr>
        <w:lastRenderedPageBreak/>
        <w:t xml:space="preserve">programmes, namely, Financial and Supply Chain Management; Governance and Compliance; Information Technology and Communication (ICT); and Human Resource Management.   </w:t>
      </w:r>
    </w:p>
    <w:p w:rsidR="00E43FDD" w:rsidRPr="005A505B" w:rsidRDefault="00E43FDD" w:rsidP="005A505B">
      <w:pPr>
        <w:jc w:val="both"/>
        <w:rPr>
          <w:rFonts w:cs="Arial"/>
          <w:color w:val="auto"/>
          <w:sz w:val="20"/>
          <w:szCs w:val="20"/>
        </w:rPr>
      </w:pPr>
    </w:p>
    <w:p w:rsidR="00E43FDD" w:rsidRPr="005A505B" w:rsidRDefault="00E43FDD" w:rsidP="005A505B">
      <w:pPr>
        <w:jc w:val="both"/>
        <w:rPr>
          <w:rFonts w:cs="Arial"/>
          <w:color w:val="auto"/>
          <w:sz w:val="20"/>
          <w:szCs w:val="20"/>
        </w:rPr>
      </w:pPr>
      <w:r w:rsidRPr="005A505B">
        <w:rPr>
          <w:rFonts w:cs="Arial"/>
          <w:color w:val="auto"/>
          <w:sz w:val="20"/>
          <w:szCs w:val="20"/>
        </w:rPr>
        <w:t xml:space="preserve">For the 2022/23 financial year, this programme has set itself eight (8) performance targets, down from 14 targets in the previous year, and equal to the eight (8) targets set in 2019/20 financial year. </w:t>
      </w:r>
    </w:p>
    <w:p w:rsidR="00E43FDD" w:rsidRPr="005A505B" w:rsidRDefault="00E43FDD" w:rsidP="005A505B">
      <w:pPr>
        <w:jc w:val="both"/>
        <w:rPr>
          <w:rFonts w:cs="Arial"/>
          <w:color w:val="auto"/>
          <w:sz w:val="20"/>
          <w:szCs w:val="20"/>
        </w:rPr>
      </w:pPr>
    </w:p>
    <w:p w:rsidR="00E43FDD" w:rsidRPr="005A505B" w:rsidRDefault="00E43FDD" w:rsidP="005A505B">
      <w:pPr>
        <w:jc w:val="both"/>
        <w:rPr>
          <w:rFonts w:cs="Arial"/>
          <w:color w:val="auto"/>
          <w:sz w:val="20"/>
          <w:szCs w:val="20"/>
        </w:rPr>
      </w:pPr>
      <w:r w:rsidRPr="005A505B">
        <w:rPr>
          <w:rFonts w:cs="Arial"/>
          <w:color w:val="auto"/>
          <w:sz w:val="20"/>
          <w:szCs w:val="20"/>
        </w:rPr>
        <w:t>The eight (8) performance targets in this programme for the year under review are as follows:</w:t>
      </w:r>
    </w:p>
    <w:p w:rsidR="00E43FDD" w:rsidRPr="005A505B" w:rsidRDefault="00E43FDD" w:rsidP="005A505B">
      <w:pPr>
        <w:jc w:val="both"/>
        <w:rPr>
          <w:rFonts w:cs="Arial"/>
          <w:color w:val="auto"/>
          <w:sz w:val="20"/>
          <w:szCs w:val="20"/>
        </w:rPr>
      </w:pPr>
    </w:p>
    <w:p w:rsidR="00E43FDD" w:rsidRPr="005A505B" w:rsidRDefault="00E43FDD" w:rsidP="005A505B">
      <w:pPr>
        <w:numPr>
          <w:ilvl w:val="0"/>
          <w:numId w:val="34"/>
        </w:numPr>
        <w:jc w:val="both"/>
        <w:rPr>
          <w:rFonts w:cs="Arial"/>
          <w:color w:val="auto"/>
          <w:sz w:val="20"/>
          <w:szCs w:val="20"/>
        </w:rPr>
      </w:pPr>
      <w:r w:rsidRPr="005A505B">
        <w:rPr>
          <w:rFonts w:cs="Arial"/>
          <w:color w:val="auto"/>
          <w:sz w:val="20"/>
          <w:szCs w:val="20"/>
        </w:rPr>
        <w:t>Attaining and maintaining an unqualified audit.</w:t>
      </w:r>
    </w:p>
    <w:p w:rsidR="00E43FDD" w:rsidRPr="005A505B" w:rsidRDefault="00E43FDD" w:rsidP="005A505B">
      <w:pPr>
        <w:numPr>
          <w:ilvl w:val="0"/>
          <w:numId w:val="34"/>
        </w:numPr>
        <w:jc w:val="both"/>
        <w:rPr>
          <w:rFonts w:cs="Arial"/>
          <w:color w:val="auto"/>
          <w:sz w:val="20"/>
          <w:szCs w:val="20"/>
        </w:rPr>
      </w:pPr>
      <w:r w:rsidRPr="005A505B">
        <w:rPr>
          <w:rFonts w:cs="Arial"/>
          <w:color w:val="auto"/>
          <w:sz w:val="20"/>
          <w:szCs w:val="20"/>
        </w:rPr>
        <w:t>R170 million total revenue generated from fees.</w:t>
      </w:r>
    </w:p>
    <w:p w:rsidR="00E43FDD" w:rsidRPr="005A505B" w:rsidRDefault="00E43FDD" w:rsidP="005A505B">
      <w:pPr>
        <w:numPr>
          <w:ilvl w:val="0"/>
          <w:numId w:val="34"/>
        </w:numPr>
        <w:jc w:val="both"/>
        <w:rPr>
          <w:rFonts w:cs="Arial"/>
          <w:color w:val="auto"/>
          <w:sz w:val="20"/>
          <w:szCs w:val="20"/>
        </w:rPr>
      </w:pPr>
      <w:r w:rsidRPr="005A505B">
        <w:rPr>
          <w:rFonts w:cs="Arial"/>
          <w:color w:val="auto"/>
          <w:sz w:val="20"/>
          <w:szCs w:val="20"/>
        </w:rPr>
        <w:t>Break-even of expenses and revenue by 31 March</w:t>
      </w:r>
    </w:p>
    <w:p w:rsidR="00E43FDD" w:rsidRPr="005A505B" w:rsidRDefault="00E43FDD" w:rsidP="005A505B">
      <w:pPr>
        <w:numPr>
          <w:ilvl w:val="0"/>
          <w:numId w:val="34"/>
        </w:numPr>
        <w:jc w:val="both"/>
        <w:rPr>
          <w:rFonts w:cs="Arial"/>
          <w:color w:val="auto"/>
          <w:sz w:val="20"/>
          <w:szCs w:val="20"/>
        </w:rPr>
      </w:pPr>
      <w:r w:rsidRPr="005A505B">
        <w:rPr>
          <w:rFonts w:cs="Arial"/>
          <w:color w:val="auto"/>
          <w:sz w:val="20"/>
          <w:szCs w:val="20"/>
        </w:rPr>
        <w:t>60% accepted recommendations from the 2022/23 stakeholder perception survey implemented</w:t>
      </w:r>
    </w:p>
    <w:p w:rsidR="00E43FDD" w:rsidRPr="005A505B" w:rsidRDefault="00E43FDD" w:rsidP="005A505B">
      <w:pPr>
        <w:numPr>
          <w:ilvl w:val="0"/>
          <w:numId w:val="34"/>
        </w:numPr>
        <w:jc w:val="both"/>
        <w:rPr>
          <w:rFonts w:cs="Arial"/>
          <w:color w:val="auto"/>
          <w:sz w:val="20"/>
          <w:szCs w:val="20"/>
        </w:rPr>
      </w:pPr>
      <w:r w:rsidRPr="005A505B">
        <w:rPr>
          <w:rFonts w:cs="Arial"/>
          <w:color w:val="auto"/>
          <w:sz w:val="20"/>
          <w:szCs w:val="20"/>
        </w:rPr>
        <w:t>Eighty percent (80%) of change management interventions implemented.</w:t>
      </w:r>
    </w:p>
    <w:p w:rsidR="00E43FDD" w:rsidRPr="005A505B" w:rsidRDefault="00E43FDD" w:rsidP="005A505B">
      <w:pPr>
        <w:numPr>
          <w:ilvl w:val="0"/>
          <w:numId w:val="34"/>
        </w:numPr>
        <w:jc w:val="both"/>
        <w:rPr>
          <w:rFonts w:cs="Arial"/>
          <w:color w:val="auto"/>
          <w:sz w:val="20"/>
          <w:szCs w:val="20"/>
        </w:rPr>
      </w:pPr>
      <w:r w:rsidRPr="005A505B">
        <w:rPr>
          <w:rFonts w:cs="Arial"/>
          <w:color w:val="auto"/>
          <w:sz w:val="20"/>
          <w:szCs w:val="20"/>
        </w:rPr>
        <w:t>Fifty percent (50%) of the Workplace Skills Plan implemented.</w:t>
      </w:r>
    </w:p>
    <w:p w:rsidR="00E43FDD" w:rsidRPr="005A505B" w:rsidRDefault="00E43FDD" w:rsidP="005A505B">
      <w:pPr>
        <w:numPr>
          <w:ilvl w:val="0"/>
          <w:numId w:val="34"/>
        </w:numPr>
        <w:jc w:val="both"/>
        <w:rPr>
          <w:rFonts w:cs="Arial"/>
          <w:color w:val="auto"/>
          <w:sz w:val="20"/>
          <w:szCs w:val="20"/>
        </w:rPr>
      </w:pPr>
      <w:r w:rsidRPr="005A505B">
        <w:rPr>
          <w:rFonts w:cs="Arial"/>
          <w:color w:val="auto"/>
          <w:sz w:val="20"/>
          <w:szCs w:val="20"/>
        </w:rPr>
        <w:t>Ninety-five percent (95%) of budgeted positions filled.</w:t>
      </w:r>
    </w:p>
    <w:p w:rsidR="00E43FDD" w:rsidRPr="005A505B" w:rsidRDefault="00E43FDD" w:rsidP="005A505B">
      <w:pPr>
        <w:numPr>
          <w:ilvl w:val="0"/>
          <w:numId w:val="34"/>
        </w:numPr>
        <w:jc w:val="both"/>
        <w:rPr>
          <w:rFonts w:cs="Arial"/>
          <w:color w:val="auto"/>
          <w:sz w:val="20"/>
          <w:szCs w:val="20"/>
        </w:rPr>
      </w:pPr>
      <w:r w:rsidRPr="005A505B">
        <w:rPr>
          <w:rFonts w:cs="Arial"/>
          <w:color w:val="auto"/>
          <w:sz w:val="20"/>
          <w:szCs w:val="20"/>
        </w:rPr>
        <w:t>Enterprise Architecture approved by the Board</w:t>
      </w:r>
    </w:p>
    <w:p w:rsidR="00E43FDD" w:rsidRPr="005A505B" w:rsidRDefault="00E43FDD" w:rsidP="005A505B">
      <w:pPr>
        <w:jc w:val="both"/>
        <w:rPr>
          <w:rFonts w:cs="Arial"/>
          <w:color w:val="auto"/>
          <w:sz w:val="20"/>
          <w:szCs w:val="20"/>
        </w:rPr>
      </w:pPr>
    </w:p>
    <w:p w:rsidR="00E43FDD" w:rsidRPr="005A505B" w:rsidRDefault="00E43FDD" w:rsidP="005A505B">
      <w:pPr>
        <w:ind w:left="720"/>
        <w:rPr>
          <w:rFonts w:cs="Arial"/>
          <w:color w:val="auto"/>
          <w:sz w:val="20"/>
          <w:szCs w:val="20"/>
        </w:rPr>
      </w:pPr>
      <w:bookmarkStart w:id="481" w:name="_Toc100916583"/>
      <w:r w:rsidRPr="005A505B">
        <w:rPr>
          <w:rFonts w:cs="Arial"/>
          <w:b/>
          <w:color w:val="auto"/>
          <w:sz w:val="20"/>
          <w:szCs w:val="20"/>
        </w:rPr>
        <w:t>Programme 2: Health Products Authorisation</w:t>
      </w:r>
      <w:bookmarkEnd w:id="481"/>
    </w:p>
    <w:p w:rsidR="00E43FDD" w:rsidRPr="005A505B" w:rsidRDefault="00E43FDD" w:rsidP="005A505B">
      <w:pPr>
        <w:jc w:val="both"/>
        <w:rPr>
          <w:rFonts w:cs="Arial"/>
          <w:color w:val="auto"/>
          <w:sz w:val="20"/>
          <w:szCs w:val="20"/>
        </w:rPr>
      </w:pPr>
    </w:p>
    <w:p w:rsidR="00E43FDD" w:rsidRPr="005A505B" w:rsidRDefault="00E43FDD" w:rsidP="005A505B">
      <w:pPr>
        <w:jc w:val="both"/>
        <w:rPr>
          <w:rFonts w:cs="Arial"/>
          <w:color w:val="auto"/>
          <w:sz w:val="20"/>
          <w:szCs w:val="20"/>
        </w:rPr>
      </w:pPr>
      <w:r w:rsidRPr="005A505B">
        <w:rPr>
          <w:rFonts w:cs="Arial"/>
          <w:color w:val="auto"/>
          <w:sz w:val="20"/>
          <w:szCs w:val="20"/>
        </w:rPr>
        <w:t xml:space="preserve">This programme, previously known as Authorisation Management, aims to coordinate the process of registration and/or licensing or amendment of applications for medicines. It aims to provide specialised administration support necessary for core functional programmes to enable the entity to deliver on its roles in specific reference to processing licences and permits. </w:t>
      </w:r>
    </w:p>
    <w:p w:rsidR="00E43FDD" w:rsidRPr="005A505B" w:rsidRDefault="00E43FDD" w:rsidP="005A505B">
      <w:pPr>
        <w:jc w:val="both"/>
        <w:rPr>
          <w:rFonts w:cs="Arial"/>
          <w:color w:val="auto"/>
          <w:sz w:val="20"/>
          <w:szCs w:val="20"/>
        </w:rPr>
      </w:pPr>
    </w:p>
    <w:p w:rsidR="00E43FDD" w:rsidRPr="005A505B" w:rsidRDefault="00E43FDD" w:rsidP="005A505B">
      <w:pPr>
        <w:jc w:val="both"/>
        <w:rPr>
          <w:rFonts w:cs="Arial"/>
          <w:color w:val="auto"/>
          <w:sz w:val="20"/>
          <w:szCs w:val="20"/>
        </w:rPr>
      </w:pPr>
      <w:r w:rsidRPr="005A505B">
        <w:rPr>
          <w:rFonts w:cs="Arial"/>
          <w:color w:val="auto"/>
          <w:sz w:val="20"/>
          <w:szCs w:val="20"/>
        </w:rPr>
        <w:t>The programme has a total number of six (6) targets the same as in the previous financial year. The targets for the programme are as follows:</w:t>
      </w:r>
    </w:p>
    <w:p w:rsidR="00E43FDD" w:rsidRPr="005A505B" w:rsidRDefault="00E43FDD" w:rsidP="005A505B">
      <w:pPr>
        <w:jc w:val="both"/>
        <w:rPr>
          <w:rFonts w:cs="Arial"/>
          <w:color w:val="auto"/>
          <w:sz w:val="20"/>
          <w:szCs w:val="20"/>
        </w:rPr>
      </w:pPr>
    </w:p>
    <w:p w:rsidR="00E43FDD" w:rsidRPr="005A505B" w:rsidRDefault="00E43FDD" w:rsidP="005A505B">
      <w:pPr>
        <w:numPr>
          <w:ilvl w:val="0"/>
          <w:numId w:val="30"/>
        </w:numPr>
        <w:jc w:val="both"/>
        <w:rPr>
          <w:rFonts w:cs="Arial"/>
          <w:color w:val="auto"/>
          <w:sz w:val="20"/>
          <w:szCs w:val="20"/>
        </w:rPr>
      </w:pPr>
      <w:r w:rsidRPr="005A505B">
        <w:rPr>
          <w:rFonts w:cs="Arial"/>
          <w:color w:val="auto"/>
          <w:sz w:val="20"/>
          <w:szCs w:val="20"/>
        </w:rPr>
        <w:t xml:space="preserve">One hundred percent (100%) of medicine registration backlog cleared. </w:t>
      </w:r>
    </w:p>
    <w:p w:rsidR="00E43FDD" w:rsidRPr="005A505B" w:rsidRDefault="00E43FDD" w:rsidP="005A505B">
      <w:pPr>
        <w:numPr>
          <w:ilvl w:val="0"/>
          <w:numId w:val="30"/>
        </w:numPr>
        <w:jc w:val="both"/>
        <w:rPr>
          <w:rFonts w:cs="Arial"/>
          <w:color w:val="auto"/>
          <w:sz w:val="20"/>
          <w:szCs w:val="20"/>
        </w:rPr>
      </w:pPr>
      <w:r w:rsidRPr="005A505B">
        <w:rPr>
          <w:rFonts w:cs="Arial"/>
          <w:color w:val="auto"/>
          <w:sz w:val="20"/>
          <w:szCs w:val="20"/>
        </w:rPr>
        <w:t xml:space="preserve">One hundred percent (100%) of variation applications backlog cleared. </w:t>
      </w:r>
    </w:p>
    <w:p w:rsidR="00E43FDD" w:rsidRPr="005A505B" w:rsidRDefault="00E43FDD" w:rsidP="005A505B">
      <w:pPr>
        <w:numPr>
          <w:ilvl w:val="0"/>
          <w:numId w:val="30"/>
        </w:numPr>
        <w:jc w:val="both"/>
        <w:rPr>
          <w:rFonts w:cs="Arial"/>
          <w:color w:val="auto"/>
          <w:sz w:val="20"/>
          <w:szCs w:val="20"/>
        </w:rPr>
      </w:pPr>
      <w:r w:rsidRPr="005A505B">
        <w:rPr>
          <w:rFonts w:cs="Arial"/>
          <w:color w:val="auto"/>
          <w:sz w:val="20"/>
          <w:szCs w:val="20"/>
        </w:rPr>
        <w:t>Eighty percent (80%) of New Chemical Entities finalised within 490 working days (approximately 2 years) down from 590 working days.</w:t>
      </w:r>
    </w:p>
    <w:p w:rsidR="00E43FDD" w:rsidRPr="005A505B" w:rsidRDefault="00E43FDD" w:rsidP="005A505B">
      <w:pPr>
        <w:numPr>
          <w:ilvl w:val="0"/>
          <w:numId w:val="30"/>
        </w:numPr>
        <w:jc w:val="both"/>
        <w:rPr>
          <w:rFonts w:cs="Arial"/>
          <w:color w:val="auto"/>
          <w:sz w:val="20"/>
          <w:szCs w:val="20"/>
        </w:rPr>
      </w:pPr>
      <w:r w:rsidRPr="005A505B">
        <w:rPr>
          <w:rFonts w:cs="Arial"/>
          <w:color w:val="auto"/>
          <w:sz w:val="20"/>
          <w:szCs w:val="20"/>
        </w:rPr>
        <w:t>Seventy-five percent (75%) of generic medicines finalised within 250 working days.</w:t>
      </w:r>
    </w:p>
    <w:p w:rsidR="00E43FDD" w:rsidRPr="005A505B" w:rsidRDefault="00E43FDD" w:rsidP="005A505B">
      <w:pPr>
        <w:numPr>
          <w:ilvl w:val="0"/>
          <w:numId w:val="30"/>
        </w:numPr>
        <w:jc w:val="both"/>
        <w:rPr>
          <w:rFonts w:cs="Arial"/>
          <w:color w:val="auto"/>
          <w:sz w:val="20"/>
          <w:szCs w:val="20"/>
        </w:rPr>
      </w:pPr>
      <w:r w:rsidRPr="005A505B">
        <w:rPr>
          <w:rFonts w:cs="Arial"/>
          <w:color w:val="auto"/>
          <w:sz w:val="20"/>
          <w:szCs w:val="20"/>
        </w:rPr>
        <w:t>International Organisation for Standardisation 9001: 2015 certified.</w:t>
      </w:r>
    </w:p>
    <w:p w:rsidR="00E43FDD" w:rsidRPr="005A505B" w:rsidRDefault="00E43FDD" w:rsidP="005A505B">
      <w:pPr>
        <w:numPr>
          <w:ilvl w:val="0"/>
          <w:numId w:val="30"/>
        </w:numPr>
        <w:jc w:val="both"/>
        <w:rPr>
          <w:rFonts w:cs="Arial"/>
          <w:color w:val="auto"/>
          <w:sz w:val="20"/>
          <w:szCs w:val="20"/>
        </w:rPr>
      </w:pPr>
      <w:r w:rsidRPr="005A505B">
        <w:rPr>
          <w:rFonts w:cs="Arial"/>
          <w:color w:val="auto"/>
          <w:sz w:val="20"/>
          <w:szCs w:val="20"/>
        </w:rPr>
        <w:t xml:space="preserve">WHO maturity level 3 obtained. </w:t>
      </w:r>
    </w:p>
    <w:p w:rsidR="00E43FDD" w:rsidRPr="005A505B" w:rsidRDefault="00E43FDD" w:rsidP="005A505B">
      <w:pPr>
        <w:jc w:val="both"/>
        <w:rPr>
          <w:rFonts w:cs="Arial"/>
          <w:color w:val="auto"/>
          <w:sz w:val="20"/>
          <w:szCs w:val="20"/>
        </w:rPr>
      </w:pPr>
    </w:p>
    <w:p w:rsidR="00E43FDD" w:rsidRPr="005A505B" w:rsidRDefault="00E43FDD" w:rsidP="005A505B">
      <w:pPr>
        <w:ind w:left="360"/>
        <w:rPr>
          <w:rFonts w:cs="Arial"/>
          <w:color w:val="auto"/>
          <w:sz w:val="20"/>
          <w:szCs w:val="20"/>
        </w:rPr>
      </w:pPr>
      <w:bookmarkStart w:id="482" w:name="_Toc100916584"/>
      <w:r w:rsidRPr="005A505B">
        <w:rPr>
          <w:rFonts w:cs="Arial"/>
          <w:b/>
          <w:color w:val="auto"/>
          <w:sz w:val="20"/>
          <w:szCs w:val="20"/>
        </w:rPr>
        <w:t>Programme 3: Inspectorate and Regulatory Compliance</w:t>
      </w:r>
      <w:bookmarkEnd w:id="482"/>
    </w:p>
    <w:p w:rsidR="00E43FDD" w:rsidRPr="005A505B" w:rsidRDefault="00E43FDD" w:rsidP="005A505B">
      <w:pPr>
        <w:jc w:val="both"/>
        <w:rPr>
          <w:rFonts w:cs="Arial"/>
          <w:color w:val="auto"/>
          <w:sz w:val="20"/>
          <w:szCs w:val="20"/>
        </w:rPr>
      </w:pPr>
    </w:p>
    <w:p w:rsidR="00E43FDD" w:rsidRPr="005A505B" w:rsidRDefault="00E43FDD" w:rsidP="005A505B">
      <w:pPr>
        <w:jc w:val="both"/>
        <w:rPr>
          <w:rFonts w:cs="Arial"/>
          <w:color w:val="auto"/>
          <w:sz w:val="20"/>
          <w:szCs w:val="20"/>
        </w:rPr>
      </w:pPr>
      <w:r w:rsidRPr="005A505B">
        <w:rPr>
          <w:rFonts w:cs="Arial"/>
          <w:color w:val="auto"/>
          <w:sz w:val="20"/>
          <w:szCs w:val="20"/>
        </w:rPr>
        <w:t>Programme 3 is responsible for ensuring public access to safe and quality health products through conducting inspections and regulatory compliance. The focus of this programme includes assessment of site compliance, with good regulatory and vigilance practices, including facilitating Good Manufacturing Practice (GMP), Good Warehousing Practice (GWP), Good Distribution Practice (GDP), Good Clinical Practice (GCP), Good Vigilance Practice and Good Laboratory Practice (GLP) compliance.</w:t>
      </w:r>
    </w:p>
    <w:p w:rsidR="00E43FDD" w:rsidRPr="005A505B" w:rsidRDefault="00E43FDD" w:rsidP="005A505B">
      <w:pPr>
        <w:jc w:val="both"/>
        <w:rPr>
          <w:rFonts w:cs="Arial"/>
          <w:color w:val="auto"/>
          <w:sz w:val="20"/>
          <w:szCs w:val="20"/>
        </w:rPr>
      </w:pPr>
    </w:p>
    <w:p w:rsidR="00E43FDD" w:rsidRPr="005A505B" w:rsidRDefault="00E43FDD" w:rsidP="005A505B">
      <w:pPr>
        <w:jc w:val="both"/>
        <w:rPr>
          <w:rFonts w:cs="Arial"/>
          <w:color w:val="auto"/>
          <w:sz w:val="20"/>
          <w:szCs w:val="20"/>
        </w:rPr>
      </w:pPr>
      <w:r w:rsidRPr="005A505B">
        <w:rPr>
          <w:rFonts w:cs="Arial"/>
          <w:color w:val="auto"/>
          <w:sz w:val="20"/>
          <w:szCs w:val="20"/>
        </w:rPr>
        <w:t>The programme, as it did in the previous financial year, has only three (3) targets for 2022/23 financial year. The key targets for the programme include:</w:t>
      </w:r>
    </w:p>
    <w:p w:rsidR="00E43FDD" w:rsidRPr="005A505B" w:rsidRDefault="00E43FDD" w:rsidP="005A505B">
      <w:pPr>
        <w:jc w:val="both"/>
        <w:rPr>
          <w:rFonts w:cs="Arial"/>
          <w:color w:val="auto"/>
          <w:sz w:val="20"/>
          <w:szCs w:val="20"/>
        </w:rPr>
      </w:pPr>
    </w:p>
    <w:p w:rsidR="00E43FDD" w:rsidRPr="005A505B" w:rsidRDefault="00E43FDD" w:rsidP="005A505B">
      <w:pPr>
        <w:numPr>
          <w:ilvl w:val="0"/>
          <w:numId w:val="31"/>
        </w:numPr>
        <w:jc w:val="both"/>
        <w:rPr>
          <w:rFonts w:cs="Arial"/>
          <w:color w:val="auto"/>
          <w:sz w:val="20"/>
          <w:szCs w:val="20"/>
        </w:rPr>
      </w:pPr>
      <w:r w:rsidRPr="005A505B">
        <w:rPr>
          <w:rFonts w:cs="Arial"/>
          <w:color w:val="auto"/>
          <w:sz w:val="20"/>
          <w:szCs w:val="20"/>
        </w:rPr>
        <w:t xml:space="preserve">Sixty percent (60%) of new GMP and GWP related licences finalised within 125 working days. </w:t>
      </w:r>
    </w:p>
    <w:p w:rsidR="00E43FDD" w:rsidRPr="005A505B" w:rsidRDefault="00E43FDD" w:rsidP="005A505B">
      <w:pPr>
        <w:numPr>
          <w:ilvl w:val="0"/>
          <w:numId w:val="31"/>
        </w:numPr>
        <w:jc w:val="both"/>
        <w:rPr>
          <w:rFonts w:cs="Arial"/>
          <w:color w:val="auto"/>
          <w:sz w:val="20"/>
          <w:szCs w:val="20"/>
        </w:rPr>
      </w:pPr>
      <w:r w:rsidRPr="005A505B">
        <w:rPr>
          <w:rFonts w:cs="Arial"/>
          <w:color w:val="auto"/>
          <w:sz w:val="20"/>
          <w:szCs w:val="20"/>
        </w:rPr>
        <w:t xml:space="preserve">Seventy percent (70%) of permits finalised within 20 working days. </w:t>
      </w:r>
    </w:p>
    <w:p w:rsidR="00E43FDD" w:rsidRPr="005A505B" w:rsidRDefault="00E43FDD" w:rsidP="005A505B">
      <w:pPr>
        <w:numPr>
          <w:ilvl w:val="0"/>
          <w:numId w:val="31"/>
        </w:numPr>
        <w:jc w:val="both"/>
        <w:rPr>
          <w:rFonts w:cs="Arial"/>
          <w:color w:val="auto"/>
          <w:sz w:val="20"/>
          <w:szCs w:val="20"/>
        </w:rPr>
      </w:pPr>
      <w:r w:rsidRPr="005A505B">
        <w:rPr>
          <w:rFonts w:cs="Arial"/>
          <w:color w:val="auto"/>
          <w:sz w:val="20"/>
          <w:szCs w:val="20"/>
        </w:rPr>
        <w:t xml:space="preserve">Seventy percent (70%) of health product quality complaints reports produced within 30 working days. </w:t>
      </w:r>
    </w:p>
    <w:p w:rsidR="00E43FDD" w:rsidRPr="005A505B" w:rsidRDefault="00E43FDD" w:rsidP="005A505B">
      <w:pPr>
        <w:jc w:val="both"/>
        <w:rPr>
          <w:rFonts w:cs="Arial"/>
          <w:color w:val="auto"/>
          <w:sz w:val="20"/>
          <w:szCs w:val="20"/>
        </w:rPr>
      </w:pPr>
    </w:p>
    <w:p w:rsidR="00E43FDD" w:rsidRPr="005A505B" w:rsidRDefault="00E43FDD" w:rsidP="005A505B">
      <w:pPr>
        <w:ind w:left="360"/>
        <w:rPr>
          <w:rFonts w:cs="Arial"/>
          <w:color w:val="auto"/>
          <w:sz w:val="20"/>
          <w:szCs w:val="20"/>
        </w:rPr>
      </w:pPr>
      <w:bookmarkStart w:id="483" w:name="_Toc100916585"/>
      <w:r w:rsidRPr="005A505B">
        <w:rPr>
          <w:rFonts w:cs="Arial"/>
          <w:b/>
          <w:color w:val="auto"/>
          <w:sz w:val="20"/>
          <w:szCs w:val="20"/>
        </w:rPr>
        <w:t>Programme 4: Clinical and Pharmaceutical Evaluation Medicines</w:t>
      </w:r>
      <w:bookmarkEnd w:id="483"/>
      <w:r w:rsidRPr="005A505B">
        <w:rPr>
          <w:rFonts w:cs="Arial"/>
          <w:b/>
          <w:color w:val="auto"/>
          <w:sz w:val="20"/>
          <w:szCs w:val="20"/>
        </w:rPr>
        <w:t xml:space="preserve"> </w:t>
      </w:r>
    </w:p>
    <w:p w:rsidR="00E43FDD" w:rsidRPr="005A505B" w:rsidRDefault="00E43FDD" w:rsidP="005A505B">
      <w:pPr>
        <w:jc w:val="both"/>
        <w:rPr>
          <w:rFonts w:cs="Arial"/>
          <w:color w:val="auto"/>
          <w:sz w:val="20"/>
          <w:szCs w:val="20"/>
        </w:rPr>
      </w:pPr>
    </w:p>
    <w:p w:rsidR="00E43FDD" w:rsidRPr="005A505B" w:rsidRDefault="00E43FDD" w:rsidP="005A505B">
      <w:pPr>
        <w:jc w:val="both"/>
        <w:rPr>
          <w:rFonts w:cs="Arial"/>
          <w:color w:val="auto"/>
          <w:sz w:val="20"/>
          <w:szCs w:val="20"/>
        </w:rPr>
      </w:pPr>
      <w:r w:rsidRPr="005A505B">
        <w:rPr>
          <w:rFonts w:cs="Arial"/>
          <w:color w:val="auto"/>
          <w:sz w:val="20"/>
          <w:szCs w:val="20"/>
        </w:rPr>
        <w:t xml:space="preserve">This programme, previously known as Evaluation and Registration, is responsible for conducting evaluation of safety, quality and therapeutic efficacy of medicines and register them </w:t>
      </w:r>
      <w:r w:rsidRPr="005A505B">
        <w:rPr>
          <w:rFonts w:cs="Arial"/>
          <w:color w:val="auto"/>
          <w:sz w:val="20"/>
          <w:szCs w:val="20"/>
        </w:rPr>
        <w:lastRenderedPageBreak/>
        <w:t xml:space="preserve">for use as per delegated authority in terms of relevant legislation. The programme has seven (7) sub-programmes, namely, Clinical Evaluation, Clinical Trials, Pharmaceutical Evaluations, Authorisation of the Sale of Unregistered Medicines, Vigilance and Post-Marketing Surveillance, Complementary and Alternative Medicines and Veterinary Medicines. </w:t>
      </w:r>
    </w:p>
    <w:p w:rsidR="00E43FDD" w:rsidRPr="005A505B" w:rsidRDefault="00E43FDD" w:rsidP="005A505B">
      <w:pPr>
        <w:jc w:val="both"/>
        <w:rPr>
          <w:rFonts w:cs="Arial"/>
          <w:color w:val="auto"/>
          <w:sz w:val="20"/>
          <w:szCs w:val="20"/>
        </w:rPr>
      </w:pPr>
    </w:p>
    <w:p w:rsidR="00E43FDD" w:rsidRPr="005A505B" w:rsidRDefault="00E43FDD" w:rsidP="005A505B">
      <w:pPr>
        <w:jc w:val="both"/>
        <w:rPr>
          <w:rFonts w:cs="Arial"/>
          <w:color w:val="auto"/>
          <w:sz w:val="20"/>
          <w:szCs w:val="20"/>
        </w:rPr>
      </w:pPr>
      <w:r w:rsidRPr="005A505B">
        <w:rPr>
          <w:rFonts w:cs="Arial"/>
          <w:color w:val="auto"/>
          <w:sz w:val="20"/>
          <w:szCs w:val="20"/>
        </w:rPr>
        <w:t>Whilst the programme has seven (7) sub-programmes, it has only five targets that it plans to achieve during the year under review. The five targets are as follows:</w:t>
      </w:r>
    </w:p>
    <w:p w:rsidR="00E43FDD" w:rsidRPr="005A505B" w:rsidRDefault="00E43FDD" w:rsidP="005A505B">
      <w:pPr>
        <w:jc w:val="both"/>
        <w:rPr>
          <w:rFonts w:cs="Arial"/>
          <w:color w:val="auto"/>
          <w:sz w:val="20"/>
          <w:szCs w:val="20"/>
        </w:rPr>
      </w:pPr>
    </w:p>
    <w:p w:rsidR="00E43FDD" w:rsidRPr="005A505B" w:rsidRDefault="00E43FDD" w:rsidP="005A505B">
      <w:pPr>
        <w:numPr>
          <w:ilvl w:val="0"/>
          <w:numId w:val="32"/>
        </w:numPr>
        <w:jc w:val="both"/>
        <w:rPr>
          <w:rFonts w:cs="Arial"/>
          <w:color w:val="auto"/>
          <w:sz w:val="20"/>
          <w:szCs w:val="20"/>
        </w:rPr>
      </w:pPr>
      <w:r w:rsidRPr="005A505B">
        <w:rPr>
          <w:rFonts w:cs="Arial"/>
          <w:color w:val="auto"/>
          <w:sz w:val="20"/>
          <w:szCs w:val="20"/>
        </w:rPr>
        <w:t>Eighty-five percent (85%) applications for the sale of unregistered Category A (human) medicines finalised within 24 working hours.</w:t>
      </w:r>
    </w:p>
    <w:p w:rsidR="00E43FDD" w:rsidRPr="005A505B" w:rsidRDefault="00E43FDD" w:rsidP="005A505B">
      <w:pPr>
        <w:numPr>
          <w:ilvl w:val="0"/>
          <w:numId w:val="32"/>
        </w:numPr>
        <w:jc w:val="both"/>
        <w:rPr>
          <w:rFonts w:cs="Arial"/>
          <w:color w:val="auto"/>
          <w:sz w:val="20"/>
          <w:szCs w:val="20"/>
        </w:rPr>
      </w:pPr>
      <w:r w:rsidRPr="005A505B">
        <w:rPr>
          <w:rFonts w:cs="Arial"/>
          <w:color w:val="auto"/>
          <w:sz w:val="20"/>
          <w:szCs w:val="20"/>
        </w:rPr>
        <w:t>Eighty percent (80%) rate of human clinical trial applications finalised within 90 working days (down from 120 working days).</w:t>
      </w:r>
    </w:p>
    <w:p w:rsidR="00E43FDD" w:rsidRPr="005A505B" w:rsidRDefault="00E43FDD" w:rsidP="005A505B">
      <w:pPr>
        <w:numPr>
          <w:ilvl w:val="0"/>
          <w:numId w:val="32"/>
        </w:numPr>
        <w:jc w:val="both"/>
        <w:rPr>
          <w:rFonts w:cs="Arial"/>
          <w:color w:val="auto"/>
          <w:sz w:val="20"/>
          <w:szCs w:val="20"/>
        </w:rPr>
      </w:pPr>
      <w:r w:rsidRPr="005A505B">
        <w:rPr>
          <w:rFonts w:cs="Arial"/>
          <w:color w:val="auto"/>
          <w:sz w:val="20"/>
          <w:szCs w:val="20"/>
        </w:rPr>
        <w:t>Seventy percent (70%) reports on health product safety signals issued within 40 working days after receipt.</w:t>
      </w:r>
    </w:p>
    <w:p w:rsidR="00E43FDD" w:rsidRPr="005A505B" w:rsidRDefault="00E43FDD" w:rsidP="005A505B">
      <w:pPr>
        <w:numPr>
          <w:ilvl w:val="0"/>
          <w:numId w:val="32"/>
        </w:numPr>
        <w:jc w:val="both"/>
        <w:rPr>
          <w:rFonts w:cs="Arial"/>
          <w:color w:val="auto"/>
          <w:sz w:val="20"/>
          <w:szCs w:val="20"/>
        </w:rPr>
      </w:pPr>
      <w:r w:rsidRPr="005A505B">
        <w:rPr>
          <w:rFonts w:cs="Arial"/>
          <w:color w:val="auto"/>
          <w:sz w:val="20"/>
          <w:szCs w:val="20"/>
        </w:rPr>
        <w:t>Four (4) safety awareness webinars held.</w:t>
      </w:r>
    </w:p>
    <w:p w:rsidR="00E43FDD" w:rsidRPr="005A505B" w:rsidRDefault="00E43FDD" w:rsidP="005A505B">
      <w:pPr>
        <w:numPr>
          <w:ilvl w:val="0"/>
          <w:numId w:val="32"/>
        </w:numPr>
        <w:jc w:val="both"/>
        <w:rPr>
          <w:rFonts w:cs="Arial"/>
          <w:color w:val="auto"/>
          <w:sz w:val="20"/>
          <w:szCs w:val="20"/>
        </w:rPr>
      </w:pPr>
      <w:r w:rsidRPr="005A505B">
        <w:rPr>
          <w:rFonts w:cs="Arial"/>
          <w:color w:val="auto"/>
          <w:sz w:val="20"/>
          <w:szCs w:val="20"/>
        </w:rPr>
        <w:t>95% of lot release requests finalised within 30 working days</w:t>
      </w:r>
    </w:p>
    <w:p w:rsidR="00E43FDD" w:rsidRPr="005A505B" w:rsidRDefault="00E43FDD" w:rsidP="005A505B">
      <w:pPr>
        <w:jc w:val="both"/>
        <w:rPr>
          <w:rFonts w:cs="Arial"/>
          <w:color w:val="auto"/>
          <w:sz w:val="20"/>
          <w:szCs w:val="20"/>
        </w:rPr>
      </w:pPr>
    </w:p>
    <w:p w:rsidR="00E43FDD" w:rsidRPr="005A505B" w:rsidRDefault="00E43FDD" w:rsidP="005A505B">
      <w:pPr>
        <w:ind w:left="360"/>
        <w:rPr>
          <w:rFonts w:cs="Arial"/>
          <w:color w:val="auto"/>
          <w:sz w:val="20"/>
          <w:szCs w:val="20"/>
        </w:rPr>
      </w:pPr>
      <w:bookmarkStart w:id="484" w:name="_Toc100916586"/>
      <w:r w:rsidRPr="005A505B">
        <w:rPr>
          <w:rFonts w:cs="Arial"/>
          <w:b/>
          <w:color w:val="auto"/>
          <w:sz w:val="20"/>
          <w:szCs w:val="20"/>
        </w:rPr>
        <w:t>Programme 5: Medical Devices and Radiation Control</w:t>
      </w:r>
      <w:bookmarkEnd w:id="484"/>
    </w:p>
    <w:p w:rsidR="00E43FDD" w:rsidRPr="005A505B" w:rsidRDefault="00E43FDD" w:rsidP="005A505B">
      <w:pPr>
        <w:rPr>
          <w:rFonts w:cs="Arial"/>
          <w:color w:val="auto"/>
          <w:sz w:val="20"/>
          <w:szCs w:val="20"/>
        </w:rPr>
      </w:pPr>
    </w:p>
    <w:p w:rsidR="00E43FDD" w:rsidRPr="005A505B" w:rsidRDefault="00E43FDD" w:rsidP="005A505B">
      <w:pPr>
        <w:jc w:val="both"/>
        <w:rPr>
          <w:rFonts w:cs="Arial"/>
          <w:color w:val="auto"/>
          <w:sz w:val="20"/>
          <w:szCs w:val="20"/>
        </w:rPr>
      </w:pPr>
      <w:r w:rsidRPr="005A505B">
        <w:rPr>
          <w:rFonts w:cs="Arial"/>
          <w:color w:val="auto"/>
          <w:sz w:val="20"/>
          <w:szCs w:val="20"/>
        </w:rPr>
        <w:t xml:space="preserve">This programme is responsible for developing and maintaining regulations and guidelines relating to the regulatory oversight of medical devices, and listed electronic devices. </w:t>
      </w:r>
    </w:p>
    <w:p w:rsidR="00E43FDD" w:rsidRPr="005A505B" w:rsidRDefault="00E43FDD" w:rsidP="005A505B">
      <w:pPr>
        <w:jc w:val="both"/>
        <w:rPr>
          <w:rFonts w:cs="Arial"/>
          <w:color w:val="auto"/>
          <w:sz w:val="20"/>
          <w:szCs w:val="20"/>
        </w:rPr>
      </w:pPr>
    </w:p>
    <w:p w:rsidR="00E43FDD" w:rsidRPr="005A505B" w:rsidRDefault="00E43FDD" w:rsidP="005A505B">
      <w:pPr>
        <w:jc w:val="both"/>
        <w:rPr>
          <w:rFonts w:cs="Arial"/>
          <w:color w:val="auto"/>
          <w:sz w:val="20"/>
          <w:szCs w:val="20"/>
        </w:rPr>
      </w:pPr>
      <w:r w:rsidRPr="005A505B">
        <w:rPr>
          <w:rFonts w:cs="Arial"/>
          <w:color w:val="auto"/>
          <w:sz w:val="20"/>
          <w:szCs w:val="20"/>
        </w:rPr>
        <w:t>The programme has five targets for 2022/23. During the year under review, the Authority plans to achieve:</w:t>
      </w:r>
    </w:p>
    <w:p w:rsidR="00E43FDD" w:rsidRPr="005A505B" w:rsidRDefault="00E43FDD" w:rsidP="005A505B">
      <w:pPr>
        <w:jc w:val="both"/>
        <w:rPr>
          <w:rFonts w:cs="Arial"/>
          <w:color w:val="auto"/>
          <w:sz w:val="20"/>
          <w:szCs w:val="20"/>
        </w:rPr>
      </w:pPr>
      <w:r w:rsidRPr="005A505B">
        <w:rPr>
          <w:rFonts w:cs="Arial"/>
          <w:color w:val="auto"/>
          <w:sz w:val="20"/>
          <w:szCs w:val="20"/>
        </w:rPr>
        <w:t xml:space="preserve"> </w:t>
      </w:r>
    </w:p>
    <w:p w:rsidR="00E43FDD" w:rsidRPr="005A505B" w:rsidRDefault="00E43FDD" w:rsidP="005A505B">
      <w:pPr>
        <w:numPr>
          <w:ilvl w:val="0"/>
          <w:numId w:val="33"/>
        </w:numPr>
        <w:jc w:val="both"/>
        <w:rPr>
          <w:rFonts w:cs="Arial"/>
          <w:color w:val="auto"/>
          <w:sz w:val="20"/>
          <w:szCs w:val="20"/>
        </w:rPr>
      </w:pPr>
      <w:r w:rsidRPr="005A505B">
        <w:rPr>
          <w:rFonts w:cs="Arial"/>
          <w:color w:val="auto"/>
          <w:sz w:val="20"/>
          <w:szCs w:val="20"/>
        </w:rPr>
        <w:t>Seventy percent (70%) medical device establishment licence applications finalised within 90 days.</w:t>
      </w:r>
    </w:p>
    <w:p w:rsidR="00E43FDD" w:rsidRPr="005A505B" w:rsidRDefault="00E43FDD" w:rsidP="005A505B">
      <w:pPr>
        <w:numPr>
          <w:ilvl w:val="0"/>
          <w:numId w:val="33"/>
        </w:numPr>
        <w:jc w:val="both"/>
        <w:rPr>
          <w:rFonts w:cs="Arial"/>
          <w:color w:val="auto"/>
          <w:sz w:val="20"/>
          <w:szCs w:val="20"/>
        </w:rPr>
      </w:pPr>
      <w:r w:rsidRPr="005A505B">
        <w:rPr>
          <w:rFonts w:cs="Arial"/>
          <w:color w:val="auto"/>
          <w:sz w:val="20"/>
          <w:szCs w:val="20"/>
        </w:rPr>
        <w:t xml:space="preserve">Seven (7) Guidelines to support the medical device registration regulations approved by the Executive Authority. </w:t>
      </w:r>
    </w:p>
    <w:p w:rsidR="00E43FDD" w:rsidRPr="005A505B" w:rsidRDefault="00E43FDD" w:rsidP="005A505B">
      <w:pPr>
        <w:numPr>
          <w:ilvl w:val="0"/>
          <w:numId w:val="33"/>
        </w:numPr>
        <w:jc w:val="both"/>
        <w:rPr>
          <w:rFonts w:cs="Arial"/>
          <w:color w:val="auto"/>
          <w:sz w:val="20"/>
          <w:szCs w:val="20"/>
        </w:rPr>
      </w:pPr>
      <w:r w:rsidRPr="005A505B">
        <w:rPr>
          <w:rFonts w:cs="Arial"/>
          <w:color w:val="auto"/>
          <w:sz w:val="20"/>
          <w:szCs w:val="20"/>
        </w:rPr>
        <w:t xml:space="preserve">Seventy percent (70%) licence applications for listed-electronic products finalised within 30 working days. </w:t>
      </w:r>
    </w:p>
    <w:p w:rsidR="00E43FDD" w:rsidRPr="005A505B" w:rsidRDefault="00E43FDD" w:rsidP="005A505B">
      <w:pPr>
        <w:numPr>
          <w:ilvl w:val="0"/>
          <w:numId w:val="33"/>
        </w:numPr>
        <w:jc w:val="both"/>
        <w:rPr>
          <w:rFonts w:cs="Arial"/>
          <w:color w:val="auto"/>
          <w:sz w:val="20"/>
          <w:szCs w:val="20"/>
        </w:rPr>
      </w:pPr>
      <w:r w:rsidRPr="005A505B">
        <w:rPr>
          <w:rFonts w:cs="Arial"/>
          <w:color w:val="auto"/>
          <w:sz w:val="20"/>
          <w:szCs w:val="20"/>
        </w:rPr>
        <w:t xml:space="preserve">Fifty percent 50% (down from seventy percent (70%) of new application licenses for radionuclide authorities issued within 30 working days. </w:t>
      </w:r>
    </w:p>
    <w:p w:rsidR="00E43FDD" w:rsidRPr="005A505B" w:rsidRDefault="00E43FDD" w:rsidP="005A505B">
      <w:pPr>
        <w:numPr>
          <w:ilvl w:val="0"/>
          <w:numId w:val="33"/>
        </w:numPr>
        <w:jc w:val="both"/>
        <w:rPr>
          <w:rFonts w:cs="Arial"/>
          <w:color w:val="auto"/>
          <w:sz w:val="20"/>
          <w:szCs w:val="20"/>
        </w:rPr>
      </w:pPr>
      <w:r w:rsidRPr="005A505B">
        <w:rPr>
          <w:rFonts w:cs="Arial"/>
          <w:color w:val="auto"/>
          <w:sz w:val="20"/>
          <w:szCs w:val="20"/>
        </w:rPr>
        <w:t xml:space="preserve">Board approved Co-Regulation Model with the National Nuclear Regulator. </w:t>
      </w:r>
    </w:p>
    <w:p w:rsidR="00E43FDD" w:rsidRPr="005A505B" w:rsidRDefault="00E43FDD" w:rsidP="005A505B">
      <w:pPr>
        <w:jc w:val="both"/>
        <w:rPr>
          <w:rFonts w:cs="Arial"/>
          <w:color w:val="auto"/>
          <w:sz w:val="20"/>
          <w:szCs w:val="20"/>
        </w:rPr>
      </w:pPr>
    </w:p>
    <w:p w:rsidR="00E43FDD" w:rsidRPr="005A505B" w:rsidRDefault="00E43FDD" w:rsidP="005A505B">
      <w:pPr>
        <w:pStyle w:val="ListParagraph"/>
        <w:numPr>
          <w:ilvl w:val="2"/>
          <w:numId w:val="53"/>
        </w:numPr>
        <w:rPr>
          <w:rFonts w:cs="Arial"/>
          <w:color w:val="auto"/>
          <w:sz w:val="20"/>
          <w:szCs w:val="20"/>
        </w:rPr>
      </w:pPr>
      <w:bookmarkStart w:id="485" w:name="_Toc100916587"/>
      <w:r w:rsidRPr="005A505B">
        <w:rPr>
          <w:rFonts w:cs="Arial"/>
          <w:b/>
          <w:color w:val="auto"/>
          <w:sz w:val="20"/>
          <w:szCs w:val="20"/>
        </w:rPr>
        <w:t xml:space="preserve">Budget for 2022/23 </w:t>
      </w:r>
      <w:bookmarkEnd w:id="485"/>
    </w:p>
    <w:p w:rsidR="00E43FDD" w:rsidRPr="005A505B" w:rsidRDefault="00E43FDD" w:rsidP="005A505B">
      <w:pPr>
        <w:jc w:val="both"/>
        <w:rPr>
          <w:rFonts w:cs="Arial"/>
          <w:color w:val="auto"/>
          <w:sz w:val="20"/>
          <w:szCs w:val="20"/>
        </w:rPr>
      </w:pPr>
    </w:p>
    <w:p w:rsidR="00E97D7E" w:rsidRPr="005A505B" w:rsidRDefault="00E43FDD" w:rsidP="005A505B">
      <w:pPr>
        <w:jc w:val="both"/>
        <w:rPr>
          <w:rFonts w:cs="Arial"/>
          <w:color w:val="auto"/>
          <w:sz w:val="20"/>
          <w:szCs w:val="20"/>
        </w:rPr>
      </w:pPr>
      <w:r w:rsidRPr="005A505B">
        <w:rPr>
          <w:rFonts w:cs="Arial"/>
          <w:color w:val="auto"/>
          <w:sz w:val="20"/>
          <w:szCs w:val="20"/>
        </w:rPr>
        <w:t xml:space="preserve">Information in this section is derived from National Treasury documents. </w:t>
      </w:r>
    </w:p>
    <w:p w:rsidR="00E97D7E" w:rsidRPr="005A505B" w:rsidRDefault="00E97D7E" w:rsidP="005A505B">
      <w:pPr>
        <w:jc w:val="both"/>
        <w:rPr>
          <w:rFonts w:cs="Arial"/>
          <w:color w:val="auto"/>
          <w:sz w:val="20"/>
          <w:szCs w:val="20"/>
        </w:rPr>
      </w:pPr>
    </w:p>
    <w:p w:rsidR="00E43FDD" w:rsidRPr="005A505B" w:rsidRDefault="00290653" w:rsidP="005A505B">
      <w:pPr>
        <w:jc w:val="both"/>
        <w:rPr>
          <w:rFonts w:cs="Arial"/>
          <w:color w:val="auto"/>
          <w:sz w:val="20"/>
          <w:szCs w:val="20"/>
        </w:rPr>
      </w:pPr>
      <w:r w:rsidRPr="005A505B">
        <w:rPr>
          <w:rFonts w:cs="Arial"/>
          <w:color w:val="auto"/>
          <w:sz w:val="20"/>
          <w:szCs w:val="20"/>
        </w:rPr>
        <w:t>A</w:t>
      </w:r>
      <w:r w:rsidR="00E43FDD" w:rsidRPr="005A505B">
        <w:rPr>
          <w:rFonts w:cs="Arial"/>
          <w:color w:val="auto"/>
          <w:sz w:val="20"/>
          <w:szCs w:val="20"/>
        </w:rPr>
        <w:t xml:space="preserve">s in the previous financial year, SAHPRA </w:t>
      </w:r>
      <w:r w:rsidR="00E97D7E" w:rsidRPr="005A505B">
        <w:rPr>
          <w:rFonts w:cs="Arial"/>
          <w:color w:val="auto"/>
          <w:sz w:val="20"/>
          <w:szCs w:val="20"/>
        </w:rPr>
        <w:t xml:space="preserve">faced </w:t>
      </w:r>
      <w:r w:rsidR="00E43FDD" w:rsidRPr="005A505B">
        <w:rPr>
          <w:rFonts w:cs="Arial"/>
          <w:color w:val="auto"/>
          <w:sz w:val="20"/>
          <w:szCs w:val="20"/>
        </w:rPr>
        <w:t>a reduction in its budget. SAHPRA is set to spend R349.4 million in 2022/23, down 7</w:t>
      </w:r>
      <w:r w:rsidRPr="005A505B">
        <w:rPr>
          <w:rFonts w:cs="Arial"/>
          <w:color w:val="auto"/>
          <w:sz w:val="20"/>
          <w:szCs w:val="20"/>
        </w:rPr>
        <w:t xml:space="preserve">% </w:t>
      </w:r>
      <w:r w:rsidR="00E43FDD" w:rsidRPr="005A505B">
        <w:rPr>
          <w:rFonts w:cs="Arial"/>
          <w:color w:val="auto"/>
          <w:sz w:val="20"/>
          <w:szCs w:val="20"/>
        </w:rPr>
        <w:t>in nominal terms and 11</w:t>
      </w:r>
      <w:r w:rsidRPr="005A505B">
        <w:rPr>
          <w:rFonts w:cs="Arial"/>
          <w:color w:val="auto"/>
          <w:sz w:val="20"/>
          <w:szCs w:val="20"/>
        </w:rPr>
        <w:t>%</w:t>
      </w:r>
      <w:r w:rsidR="00E43FDD" w:rsidRPr="005A505B">
        <w:rPr>
          <w:rFonts w:cs="Arial"/>
          <w:color w:val="auto"/>
          <w:sz w:val="20"/>
          <w:szCs w:val="20"/>
        </w:rPr>
        <w:t xml:space="preserve"> in real terms from the 2021/22 financial year when it spent R357.6 million. </w:t>
      </w:r>
    </w:p>
    <w:p w:rsidR="00E43FDD" w:rsidRPr="005A505B" w:rsidRDefault="00E43FDD" w:rsidP="005A505B">
      <w:pPr>
        <w:jc w:val="both"/>
        <w:rPr>
          <w:rFonts w:cs="Arial"/>
          <w:color w:val="auto"/>
          <w:sz w:val="20"/>
          <w:szCs w:val="20"/>
        </w:rPr>
      </w:pPr>
    </w:p>
    <w:p w:rsidR="00E43FDD" w:rsidRPr="005A505B" w:rsidRDefault="00E43FDD" w:rsidP="005A505B">
      <w:pPr>
        <w:jc w:val="both"/>
        <w:rPr>
          <w:rFonts w:cs="Arial"/>
          <w:color w:val="auto"/>
          <w:sz w:val="20"/>
          <w:szCs w:val="20"/>
        </w:rPr>
      </w:pPr>
      <w:r w:rsidRPr="005A505B">
        <w:rPr>
          <w:rFonts w:cs="Arial"/>
          <w:color w:val="auto"/>
          <w:sz w:val="20"/>
          <w:szCs w:val="20"/>
        </w:rPr>
        <w:t xml:space="preserve">This will likely put the entity under strain as it deals with the continued demands of the COVID-19 pandemic, as well as implement new technology and innovations in improving its processes in order to meet its goals of improved average registration times of products as well as reducing the substantial backlog it carries. </w:t>
      </w:r>
    </w:p>
    <w:p w:rsidR="00E43FDD" w:rsidRPr="005A505B" w:rsidRDefault="00E43FDD" w:rsidP="005A505B">
      <w:pPr>
        <w:jc w:val="both"/>
        <w:rPr>
          <w:rFonts w:cs="Arial"/>
          <w:color w:val="auto"/>
          <w:sz w:val="20"/>
          <w:szCs w:val="20"/>
        </w:rPr>
      </w:pPr>
    </w:p>
    <w:p w:rsidR="00E43FDD" w:rsidRPr="005A505B" w:rsidRDefault="00E43FDD" w:rsidP="005A505B">
      <w:pPr>
        <w:jc w:val="both"/>
        <w:rPr>
          <w:rFonts w:cs="Arial"/>
          <w:color w:val="auto"/>
          <w:sz w:val="20"/>
          <w:szCs w:val="20"/>
        </w:rPr>
      </w:pPr>
      <w:r w:rsidRPr="005A505B">
        <w:rPr>
          <w:rFonts w:cs="Arial"/>
          <w:color w:val="auto"/>
          <w:sz w:val="20"/>
          <w:szCs w:val="20"/>
        </w:rPr>
        <w:t>The largest reduction in budget allocation in terms of percentage and amount is in Programme 2: Authorisation Management</w:t>
      </w:r>
      <w:r w:rsidR="00290653" w:rsidRPr="005A505B">
        <w:rPr>
          <w:rFonts w:cs="Arial"/>
          <w:color w:val="auto"/>
          <w:sz w:val="20"/>
          <w:szCs w:val="20"/>
        </w:rPr>
        <w:t>,</w:t>
      </w:r>
      <w:r w:rsidRPr="005A505B">
        <w:rPr>
          <w:rFonts w:cs="Arial"/>
          <w:color w:val="auto"/>
          <w:sz w:val="20"/>
          <w:szCs w:val="20"/>
        </w:rPr>
        <w:t xml:space="preserve"> which declines from R72.5 million in 2021/22, to R51.6 million in 2022/23, a 28.8</w:t>
      </w:r>
      <w:r w:rsidR="0034021A" w:rsidRPr="005A505B">
        <w:rPr>
          <w:rFonts w:cs="Arial"/>
          <w:color w:val="auto"/>
          <w:sz w:val="20"/>
          <w:szCs w:val="20"/>
        </w:rPr>
        <w:t>%</w:t>
      </w:r>
      <w:r w:rsidRPr="005A505B">
        <w:rPr>
          <w:rFonts w:cs="Arial"/>
          <w:color w:val="auto"/>
          <w:sz w:val="20"/>
          <w:szCs w:val="20"/>
        </w:rPr>
        <w:t xml:space="preserve"> nominal and 31.9</w:t>
      </w:r>
      <w:r w:rsidR="0034021A" w:rsidRPr="005A505B">
        <w:rPr>
          <w:rFonts w:cs="Arial"/>
          <w:color w:val="auto"/>
          <w:sz w:val="20"/>
          <w:szCs w:val="20"/>
        </w:rPr>
        <w:t>%</w:t>
      </w:r>
      <w:r w:rsidRPr="005A505B">
        <w:rPr>
          <w:rFonts w:cs="Arial"/>
          <w:color w:val="auto"/>
          <w:sz w:val="20"/>
          <w:szCs w:val="20"/>
        </w:rPr>
        <w:t xml:space="preserve"> real reduction. </w:t>
      </w:r>
    </w:p>
    <w:p w:rsidR="00E43FDD" w:rsidRPr="005A505B" w:rsidRDefault="00E43FDD" w:rsidP="005A505B">
      <w:pPr>
        <w:jc w:val="both"/>
        <w:rPr>
          <w:rFonts w:cs="Arial"/>
          <w:color w:val="auto"/>
          <w:sz w:val="20"/>
          <w:szCs w:val="20"/>
        </w:rPr>
      </w:pPr>
    </w:p>
    <w:p w:rsidR="00E43FDD" w:rsidRPr="005A505B" w:rsidRDefault="00E43FDD" w:rsidP="005A505B">
      <w:pPr>
        <w:jc w:val="both"/>
        <w:rPr>
          <w:rFonts w:cs="Arial"/>
          <w:color w:val="auto"/>
          <w:sz w:val="20"/>
          <w:szCs w:val="20"/>
        </w:rPr>
      </w:pPr>
      <w:r w:rsidRPr="005A505B">
        <w:rPr>
          <w:rFonts w:cs="Arial"/>
          <w:color w:val="auto"/>
          <w:sz w:val="20"/>
          <w:szCs w:val="20"/>
        </w:rPr>
        <w:t>The next biggest reduction is in Programme 5: Devices and radiation. It declines from R39.7 million in 2021/22, to R32.4 million in 2022/23 a reduction of R7.3 million. This represents an 18.4</w:t>
      </w:r>
      <w:r w:rsidR="00290653" w:rsidRPr="005A505B">
        <w:rPr>
          <w:rFonts w:cs="Arial"/>
          <w:color w:val="auto"/>
          <w:sz w:val="20"/>
          <w:szCs w:val="20"/>
        </w:rPr>
        <w:t>%</w:t>
      </w:r>
      <w:r w:rsidRPr="005A505B">
        <w:rPr>
          <w:rFonts w:cs="Arial"/>
          <w:color w:val="auto"/>
          <w:sz w:val="20"/>
          <w:szCs w:val="20"/>
        </w:rPr>
        <w:t xml:space="preserve"> nominal and 21.9</w:t>
      </w:r>
      <w:r w:rsidR="00290653" w:rsidRPr="005A505B">
        <w:rPr>
          <w:rFonts w:cs="Arial"/>
          <w:color w:val="auto"/>
          <w:sz w:val="20"/>
          <w:szCs w:val="20"/>
        </w:rPr>
        <w:t>%</w:t>
      </w:r>
      <w:r w:rsidRPr="005A505B">
        <w:rPr>
          <w:rFonts w:cs="Arial"/>
          <w:color w:val="auto"/>
          <w:sz w:val="20"/>
          <w:szCs w:val="20"/>
        </w:rPr>
        <w:t xml:space="preserve"> real decrease year on year. </w:t>
      </w:r>
    </w:p>
    <w:p w:rsidR="00E43FDD" w:rsidRPr="005A505B" w:rsidRDefault="00E43FDD" w:rsidP="005A505B">
      <w:pPr>
        <w:jc w:val="both"/>
        <w:rPr>
          <w:rFonts w:cs="Arial"/>
          <w:color w:val="auto"/>
          <w:sz w:val="20"/>
          <w:szCs w:val="20"/>
        </w:rPr>
      </w:pPr>
    </w:p>
    <w:p w:rsidR="00E43FDD" w:rsidRPr="005A505B" w:rsidRDefault="00E43FDD" w:rsidP="005A505B">
      <w:pPr>
        <w:jc w:val="both"/>
        <w:rPr>
          <w:rFonts w:cs="Arial"/>
          <w:color w:val="auto"/>
          <w:sz w:val="20"/>
          <w:szCs w:val="20"/>
        </w:rPr>
      </w:pPr>
      <w:r w:rsidRPr="005A505B">
        <w:rPr>
          <w:rFonts w:cs="Arial"/>
          <w:color w:val="auto"/>
          <w:sz w:val="20"/>
          <w:szCs w:val="20"/>
        </w:rPr>
        <w:t>Administration (Programme 1)</w:t>
      </w:r>
      <w:r w:rsidR="00290653" w:rsidRPr="005A505B">
        <w:rPr>
          <w:rFonts w:cs="Arial"/>
          <w:color w:val="auto"/>
          <w:sz w:val="20"/>
          <w:szCs w:val="20"/>
        </w:rPr>
        <w:t>,</w:t>
      </w:r>
      <w:r w:rsidRPr="005A505B">
        <w:rPr>
          <w:rFonts w:cs="Arial"/>
          <w:color w:val="auto"/>
          <w:sz w:val="20"/>
          <w:szCs w:val="20"/>
        </w:rPr>
        <w:t xml:space="preserve"> remains the largest programme in terms of allocation and increases from R116.5 million in 2021/22 to R132.0 million in 2022/23, an increase of R15.5 million or 13.3</w:t>
      </w:r>
      <w:r w:rsidR="00290653" w:rsidRPr="005A505B">
        <w:rPr>
          <w:rFonts w:cs="Arial"/>
          <w:color w:val="auto"/>
          <w:sz w:val="20"/>
          <w:szCs w:val="20"/>
        </w:rPr>
        <w:t xml:space="preserve">% </w:t>
      </w:r>
      <w:r w:rsidRPr="005A505B">
        <w:rPr>
          <w:rFonts w:cs="Arial"/>
          <w:color w:val="auto"/>
          <w:sz w:val="20"/>
          <w:szCs w:val="20"/>
        </w:rPr>
        <w:t>in nominal terms (8.4</w:t>
      </w:r>
      <w:r w:rsidR="00290653" w:rsidRPr="005A505B">
        <w:rPr>
          <w:rFonts w:cs="Arial"/>
          <w:color w:val="auto"/>
          <w:sz w:val="20"/>
          <w:szCs w:val="20"/>
        </w:rPr>
        <w:t>%</w:t>
      </w:r>
      <w:r w:rsidRPr="005A505B">
        <w:rPr>
          <w:rFonts w:cs="Arial"/>
          <w:color w:val="auto"/>
          <w:sz w:val="20"/>
          <w:szCs w:val="20"/>
        </w:rPr>
        <w:t xml:space="preserve"> increase in real terms). </w:t>
      </w:r>
    </w:p>
    <w:p w:rsidR="00E43FDD" w:rsidRPr="005A505B" w:rsidRDefault="00E43FDD" w:rsidP="005A505B">
      <w:pPr>
        <w:jc w:val="both"/>
        <w:rPr>
          <w:rFonts w:cs="Arial"/>
          <w:color w:val="auto"/>
          <w:sz w:val="20"/>
          <w:szCs w:val="20"/>
        </w:rPr>
      </w:pPr>
    </w:p>
    <w:p w:rsidR="00E43FDD" w:rsidRPr="005A505B" w:rsidRDefault="00E43FDD" w:rsidP="005A505B">
      <w:pPr>
        <w:jc w:val="both"/>
        <w:rPr>
          <w:rFonts w:cs="Arial"/>
          <w:color w:val="auto"/>
          <w:sz w:val="20"/>
          <w:szCs w:val="20"/>
        </w:rPr>
      </w:pPr>
      <w:r w:rsidRPr="005A505B">
        <w:rPr>
          <w:rFonts w:cs="Arial"/>
          <w:color w:val="auto"/>
          <w:sz w:val="20"/>
          <w:szCs w:val="20"/>
        </w:rPr>
        <w:lastRenderedPageBreak/>
        <w:t>Programme 3: Inspectorate and regulatory compliance</w:t>
      </w:r>
      <w:r w:rsidR="002B40E1" w:rsidRPr="005A505B">
        <w:rPr>
          <w:rFonts w:cs="Arial"/>
          <w:color w:val="auto"/>
          <w:sz w:val="20"/>
          <w:szCs w:val="20"/>
        </w:rPr>
        <w:t>,</w:t>
      </w:r>
      <w:r w:rsidRPr="005A505B">
        <w:rPr>
          <w:rFonts w:cs="Arial"/>
          <w:color w:val="auto"/>
          <w:sz w:val="20"/>
          <w:szCs w:val="20"/>
        </w:rPr>
        <w:t xml:space="preserve"> </w:t>
      </w:r>
      <w:r w:rsidR="002B40E1" w:rsidRPr="005A505B">
        <w:rPr>
          <w:rFonts w:cs="Arial"/>
          <w:color w:val="auto"/>
          <w:sz w:val="20"/>
          <w:szCs w:val="20"/>
        </w:rPr>
        <w:t xml:space="preserve">its </w:t>
      </w:r>
      <w:r w:rsidRPr="005A505B">
        <w:rPr>
          <w:rFonts w:cs="Arial"/>
          <w:color w:val="auto"/>
          <w:sz w:val="20"/>
          <w:szCs w:val="20"/>
        </w:rPr>
        <w:t>budget increases from R35.8 million in 2021/22 to R37.3 million in 2022/23. This represents a nominal increase of 4.2</w:t>
      </w:r>
      <w:r w:rsidR="002B40E1" w:rsidRPr="005A505B">
        <w:rPr>
          <w:rFonts w:cs="Arial"/>
          <w:color w:val="auto"/>
          <w:sz w:val="20"/>
          <w:szCs w:val="20"/>
        </w:rPr>
        <w:t xml:space="preserve">% </w:t>
      </w:r>
      <w:r w:rsidRPr="005A505B">
        <w:rPr>
          <w:rFonts w:cs="Arial"/>
          <w:color w:val="auto"/>
          <w:sz w:val="20"/>
          <w:szCs w:val="20"/>
        </w:rPr>
        <w:t>(0.3</w:t>
      </w:r>
      <w:r w:rsidR="002B40E1" w:rsidRPr="005A505B">
        <w:rPr>
          <w:rFonts w:cs="Arial"/>
          <w:color w:val="auto"/>
          <w:sz w:val="20"/>
          <w:szCs w:val="20"/>
        </w:rPr>
        <w:t xml:space="preserve">% </w:t>
      </w:r>
      <w:r w:rsidRPr="005A505B">
        <w:rPr>
          <w:rFonts w:cs="Arial"/>
          <w:color w:val="auto"/>
          <w:sz w:val="20"/>
          <w:szCs w:val="20"/>
        </w:rPr>
        <w:t>real reduction).</w:t>
      </w:r>
    </w:p>
    <w:p w:rsidR="00E43FDD" w:rsidRPr="005A505B" w:rsidRDefault="00E43FDD" w:rsidP="005A505B">
      <w:pPr>
        <w:jc w:val="both"/>
        <w:rPr>
          <w:rFonts w:cs="Arial"/>
          <w:color w:val="auto"/>
          <w:sz w:val="20"/>
          <w:szCs w:val="20"/>
        </w:rPr>
      </w:pPr>
    </w:p>
    <w:p w:rsidR="00CD1BA0" w:rsidRPr="005A505B" w:rsidRDefault="00E43FDD" w:rsidP="005A505B">
      <w:pPr>
        <w:jc w:val="both"/>
        <w:rPr>
          <w:rFonts w:cs="Arial"/>
          <w:color w:val="auto"/>
          <w:sz w:val="20"/>
          <w:szCs w:val="20"/>
        </w:rPr>
      </w:pPr>
      <w:r w:rsidRPr="005A505B">
        <w:rPr>
          <w:rFonts w:cs="Arial"/>
          <w:color w:val="auto"/>
          <w:sz w:val="20"/>
          <w:szCs w:val="20"/>
        </w:rPr>
        <w:t>Programme 4: Medicine evaluation and registration receives a R3.0 million increase from R93.0 million in 2021/22 to R96.0 million in 2022/23. This is a 3.2</w:t>
      </w:r>
      <w:r w:rsidR="002B40E1" w:rsidRPr="005A505B">
        <w:rPr>
          <w:rFonts w:cs="Arial"/>
          <w:color w:val="auto"/>
          <w:sz w:val="20"/>
          <w:szCs w:val="20"/>
        </w:rPr>
        <w:t>%</w:t>
      </w:r>
      <w:r w:rsidRPr="005A505B">
        <w:rPr>
          <w:rFonts w:cs="Arial"/>
          <w:color w:val="auto"/>
          <w:sz w:val="20"/>
          <w:szCs w:val="20"/>
        </w:rPr>
        <w:t xml:space="preserve"> nominal increase and a 1.2</w:t>
      </w:r>
      <w:r w:rsidR="002B40E1" w:rsidRPr="005A505B">
        <w:rPr>
          <w:rFonts w:cs="Arial"/>
          <w:color w:val="auto"/>
          <w:sz w:val="20"/>
          <w:szCs w:val="20"/>
        </w:rPr>
        <w:t>%</w:t>
      </w:r>
      <w:r w:rsidRPr="005A505B">
        <w:rPr>
          <w:rFonts w:cs="Arial"/>
          <w:color w:val="auto"/>
          <w:sz w:val="20"/>
          <w:szCs w:val="20"/>
        </w:rPr>
        <w:t xml:space="preserve"> real decrease year on year. </w:t>
      </w:r>
    </w:p>
    <w:p w:rsidR="00E43FDD" w:rsidRPr="005A505B" w:rsidRDefault="00E43FDD" w:rsidP="005A505B">
      <w:pPr>
        <w:jc w:val="both"/>
        <w:rPr>
          <w:rFonts w:cs="Arial"/>
          <w:color w:val="auto"/>
          <w:sz w:val="20"/>
          <w:szCs w:val="20"/>
        </w:rPr>
      </w:pPr>
      <w:r w:rsidRPr="005A505B">
        <w:rPr>
          <w:rFonts w:cs="Arial"/>
          <w:b/>
          <w:bCs/>
          <w:color w:val="auto"/>
          <w:sz w:val="20"/>
          <w:szCs w:val="20"/>
        </w:rPr>
        <w:tab/>
      </w:r>
    </w:p>
    <w:p w:rsidR="002B40E1" w:rsidRPr="005A505B" w:rsidRDefault="002B40E1" w:rsidP="005A505B">
      <w:pPr>
        <w:jc w:val="both"/>
        <w:rPr>
          <w:rFonts w:cs="Arial"/>
          <w:color w:val="auto"/>
          <w:sz w:val="20"/>
          <w:szCs w:val="20"/>
        </w:rPr>
      </w:pPr>
      <w:r w:rsidRPr="005A505B">
        <w:rPr>
          <w:rFonts w:cs="Arial"/>
          <w:bCs/>
          <w:color w:val="auto"/>
          <w:sz w:val="20"/>
          <w:szCs w:val="20"/>
        </w:rPr>
        <w:t>I</w:t>
      </w:r>
      <w:r w:rsidR="00E43FDD" w:rsidRPr="005A505B">
        <w:rPr>
          <w:rFonts w:cs="Arial"/>
          <w:bCs/>
          <w:color w:val="auto"/>
          <w:sz w:val="20"/>
          <w:szCs w:val="20"/>
        </w:rPr>
        <w:t>n terms of budget allocation according to economic classification</w:t>
      </w:r>
      <w:r w:rsidR="00E43FDD" w:rsidRPr="005A505B">
        <w:rPr>
          <w:rFonts w:cs="Arial"/>
          <w:color w:val="auto"/>
          <w:sz w:val="20"/>
          <w:szCs w:val="20"/>
        </w:rPr>
        <w:t>, the biggest cost drivers of the Authority’s total budget include Compensation of Employees (COE) with an allocation of R206.3 million or 59</w:t>
      </w:r>
      <w:r w:rsidR="0034021A" w:rsidRPr="005A505B">
        <w:rPr>
          <w:rFonts w:cs="Arial"/>
          <w:color w:val="auto"/>
          <w:sz w:val="20"/>
          <w:szCs w:val="20"/>
        </w:rPr>
        <w:t>%</w:t>
      </w:r>
      <w:r w:rsidR="00E43FDD" w:rsidRPr="005A505B">
        <w:rPr>
          <w:rFonts w:cs="Arial"/>
          <w:color w:val="auto"/>
          <w:sz w:val="20"/>
          <w:szCs w:val="20"/>
        </w:rPr>
        <w:t xml:space="preserve"> of the total budget, up from R185.2 million in the 2020/21 financial year. </w:t>
      </w:r>
    </w:p>
    <w:p w:rsidR="002B40E1" w:rsidRPr="005A505B" w:rsidRDefault="002B40E1" w:rsidP="005A505B">
      <w:pPr>
        <w:jc w:val="both"/>
        <w:rPr>
          <w:rFonts w:cs="Arial"/>
          <w:color w:val="auto"/>
          <w:sz w:val="20"/>
          <w:szCs w:val="20"/>
        </w:rPr>
      </w:pPr>
    </w:p>
    <w:p w:rsidR="00E43FDD" w:rsidRPr="005A505B" w:rsidRDefault="00E43FDD" w:rsidP="005A505B">
      <w:pPr>
        <w:jc w:val="both"/>
        <w:rPr>
          <w:rFonts w:cs="Arial"/>
          <w:color w:val="auto"/>
          <w:sz w:val="20"/>
          <w:szCs w:val="20"/>
        </w:rPr>
      </w:pPr>
      <w:r w:rsidRPr="005A505B">
        <w:rPr>
          <w:rFonts w:cs="Arial"/>
          <w:color w:val="auto"/>
          <w:sz w:val="20"/>
          <w:szCs w:val="20"/>
        </w:rPr>
        <w:t>Goods and Services with an allocation R143.1 million in 2022/23 down from R172.4 million in 2021/22, consumes 41</w:t>
      </w:r>
      <w:r w:rsidR="00E8385A" w:rsidRPr="005A505B">
        <w:rPr>
          <w:rFonts w:cs="Arial"/>
          <w:color w:val="auto"/>
          <w:sz w:val="20"/>
          <w:szCs w:val="20"/>
        </w:rPr>
        <w:t xml:space="preserve">% </w:t>
      </w:r>
      <w:r w:rsidRPr="005A505B">
        <w:rPr>
          <w:rFonts w:cs="Arial"/>
          <w:color w:val="auto"/>
          <w:sz w:val="20"/>
          <w:szCs w:val="20"/>
        </w:rPr>
        <w:t xml:space="preserve">of the budget for the year under review. It receives a significant nominal reduction of R33.8 million. </w:t>
      </w:r>
    </w:p>
    <w:p w:rsidR="003A703E" w:rsidRPr="005A505B" w:rsidRDefault="003A703E" w:rsidP="005A505B">
      <w:pPr>
        <w:rPr>
          <w:rFonts w:cs="Arial"/>
          <w:color w:val="auto"/>
          <w:sz w:val="20"/>
          <w:szCs w:val="20"/>
        </w:rPr>
      </w:pPr>
    </w:p>
    <w:p w:rsidR="003A703E" w:rsidRPr="005A505B" w:rsidRDefault="003A703E" w:rsidP="005A505B">
      <w:pPr>
        <w:rPr>
          <w:rFonts w:cs="Arial"/>
          <w:color w:val="auto"/>
          <w:sz w:val="20"/>
          <w:szCs w:val="20"/>
        </w:rPr>
      </w:pPr>
    </w:p>
    <w:p w:rsidR="00B510E5" w:rsidRPr="005A505B" w:rsidRDefault="00B510E5" w:rsidP="005A505B">
      <w:pPr>
        <w:tabs>
          <w:tab w:val="left" w:pos="720"/>
        </w:tabs>
        <w:jc w:val="both"/>
        <w:rPr>
          <w:rFonts w:cs="Arial"/>
          <w:b/>
          <w:color w:val="auto"/>
          <w:sz w:val="20"/>
          <w:szCs w:val="20"/>
        </w:rPr>
      </w:pPr>
    </w:p>
    <w:p w:rsidR="00B510E5" w:rsidRPr="005A505B" w:rsidRDefault="00B510E5" w:rsidP="005A505B">
      <w:pPr>
        <w:pStyle w:val="Heading2"/>
        <w:numPr>
          <w:ilvl w:val="1"/>
          <w:numId w:val="53"/>
        </w:numPr>
        <w:rPr>
          <w:color w:val="auto"/>
          <w:sz w:val="20"/>
          <w:szCs w:val="20"/>
        </w:rPr>
      </w:pPr>
      <w:bookmarkStart w:id="486" w:name="_Toc102064535"/>
      <w:bookmarkStart w:id="487" w:name="_Toc102119802"/>
      <w:bookmarkStart w:id="488" w:name="_Toc102119906"/>
      <w:bookmarkStart w:id="489" w:name="_Toc102064536"/>
      <w:bookmarkStart w:id="490" w:name="_Toc102119803"/>
      <w:bookmarkStart w:id="491" w:name="_Toc102119907"/>
      <w:bookmarkStart w:id="492" w:name="_Toc102064537"/>
      <w:bookmarkStart w:id="493" w:name="_Toc102119804"/>
      <w:bookmarkStart w:id="494" w:name="_Toc102119908"/>
      <w:bookmarkStart w:id="495" w:name="_Toc102064555"/>
      <w:bookmarkStart w:id="496" w:name="_Toc102119822"/>
      <w:bookmarkStart w:id="497" w:name="_Toc102119926"/>
      <w:bookmarkStart w:id="498" w:name="_Toc102119927"/>
      <w:bookmarkEnd w:id="486"/>
      <w:bookmarkEnd w:id="487"/>
      <w:bookmarkEnd w:id="488"/>
      <w:bookmarkEnd w:id="489"/>
      <w:bookmarkEnd w:id="490"/>
      <w:bookmarkEnd w:id="491"/>
      <w:bookmarkEnd w:id="492"/>
      <w:bookmarkEnd w:id="493"/>
      <w:bookmarkEnd w:id="494"/>
      <w:bookmarkEnd w:id="495"/>
      <w:bookmarkEnd w:id="496"/>
      <w:bookmarkEnd w:id="497"/>
      <w:r w:rsidRPr="005A505B">
        <w:rPr>
          <w:color w:val="auto"/>
          <w:sz w:val="20"/>
          <w:szCs w:val="20"/>
        </w:rPr>
        <w:t>South African Medical Research Council (SAMRC)</w:t>
      </w:r>
      <w:bookmarkEnd w:id="498"/>
    </w:p>
    <w:p w:rsidR="00B510E5" w:rsidRPr="005A505B" w:rsidRDefault="00B510E5" w:rsidP="005A505B">
      <w:pPr>
        <w:jc w:val="both"/>
        <w:rPr>
          <w:rFonts w:cs="Arial"/>
          <w:color w:val="auto"/>
          <w:sz w:val="20"/>
          <w:szCs w:val="20"/>
        </w:rPr>
      </w:pPr>
    </w:p>
    <w:p w:rsidR="00B510E5" w:rsidRPr="005A505B" w:rsidRDefault="00A54000" w:rsidP="005A505B">
      <w:pPr>
        <w:pStyle w:val="ListParagraph"/>
        <w:numPr>
          <w:ilvl w:val="2"/>
          <w:numId w:val="53"/>
        </w:numPr>
        <w:rPr>
          <w:rFonts w:cs="Arial"/>
          <w:color w:val="auto"/>
          <w:sz w:val="20"/>
          <w:szCs w:val="20"/>
        </w:rPr>
      </w:pPr>
      <w:r w:rsidRPr="005A505B">
        <w:rPr>
          <w:rFonts w:cs="Arial"/>
          <w:b/>
          <w:color w:val="auto"/>
          <w:sz w:val="20"/>
          <w:szCs w:val="20"/>
        </w:rPr>
        <w:t xml:space="preserve">Introduction </w:t>
      </w:r>
    </w:p>
    <w:p w:rsidR="00B510E5" w:rsidRPr="005A505B" w:rsidRDefault="00B510E5" w:rsidP="005A505B">
      <w:pPr>
        <w:jc w:val="both"/>
        <w:rPr>
          <w:rFonts w:cs="Arial"/>
          <w:color w:val="auto"/>
          <w:sz w:val="20"/>
          <w:szCs w:val="20"/>
        </w:rPr>
      </w:pPr>
    </w:p>
    <w:p w:rsidR="00B510E5" w:rsidRPr="005A505B" w:rsidRDefault="00B510E5" w:rsidP="005A505B">
      <w:pPr>
        <w:pStyle w:val="Default"/>
        <w:jc w:val="both"/>
        <w:rPr>
          <w:color w:val="auto"/>
          <w:sz w:val="20"/>
          <w:szCs w:val="20"/>
          <w:highlight w:val="yellow"/>
        </w:rPr>
      </w:pPr>
      <w:r w:rsidRPr="005A505B">
        <w:rPr>
          <w:color w:val="auto"/>
          <w:sz w:val="20"/>
          <w:szCs w:val="20"/>
        </w:rPr>
        <w:t xml:space="preserve">The mandate of the South African Medical Research Council is legislated in terms of the South African Medical Research Council Act (Act No.58, 1991) (henceforth, the Act). The </w:t>
      </w:r>
      <w:r w:rsidR="00E8385A" w:rsidRPr="005A505B">
        <w:rPr>
          <w:color w:val="auto"/>
          <w:sz w:val="20"/>
          <w:szCs w:val="20"/>
        </w:rPr>
        <w:t>Act establishes</w:t>
      </w:r>
      <w:r w:rsidRPr="005A505B">
        <w:rPr>
          <w:color w:val="auto"/>
          <w:sz w:val="20"/>
          <w:szCs w:val="20"/>
        </w:rPr>
        <w:t xml:space="preserve"> the South African Medical Research Council (SAMRC) as a Schedule 3A Public Entity that functions under the directives of the Public Finance Management Act (Act No.1 of 1999). Its vision is to build a healthy nation through research, innovation and transformation. SAMRC’s mission is to advance the nation’s health and quality of life and address inequity by conducting and funding relevant and responsive health research, capacity development, innovation and research translation. </w:t>
      </w:r>
    </w:p>
    <w:p w:rsidR="00A54000" w:rsidRPr="005A505B" w:rsidRDefault="00A54000" w:rsidP="005A505B">
      <w:pPr>
        <w:jc w:val="both"/>
        <w:rPr>
          <w:rFonts w:cs="Arial"/>
          <w:color w:val="auto"/>
          <w:sz w:val="20"/>
          <w:szCs w:val="20"/>
        </w:rPr>
      </w:pPr>
    </w:p>
    <w:p w:rsidR="00B510E5" w:rsidRPr="005A505B" w:rsidRDefault="00B510E5" w:rsidP="005A505B">
      <w:pPr>
        <w:jc w:val="both"/>
        <w:rPr>
          <w:rFonts w:cs="Arial"/>
          <w:color w:val="auto"/>
          <w:sz w:val="20"/>
          <w:szCs w:val="20"/>
        </w:rPr>
      </w:pPr>
      <w:r w:rsidRPr="005A505B">
        <w:rPr>
          <w:rFonts w:cs="Arial"/>
          <w:color w:val="auto"/>
          <w:sz w:val="20"/>
          <w:szCs w:val="20"/>
        </w:rPr>
        <w:t>Since the Board took office in 1 November 2019, it has executed its mandate through the 5-year strategic plan and the subsequent APPs. However, the Board’s 3-year term ends in 31 October 2022.</w:t>
      </w:r>
      <w:r w:rsidRPr="005A505B">
        <w:rPr>
          <w:rFonts w:cs="Arial"/>
          <w:b/>
          <w:color w:val="auto"/>
          <w:sz w:val="20"/>
          <w:szCs w:val="20"/>
        </w:rPr>
        <w:t xml:space="preserve"> </w:t>
      </w:r>
      <w:r w:rsidRPr="005A505B">
        <w:rPr>
          <w:rFonts w:cs="Arial"/>
          <w:color w:val="auto"/>
          <w:sz w:val="20"/>
          <w:szCs w:val="20"/>
        </w:rPr>
        <w:t>The Act empowers the national Minister of Health to appoint members of the Board who meet the required prerequisite. Given that the Board has six months left in its term of office, it will be interesting to know whether - the Minister will retain or replace it. If it is the latter, how far is the process for the new Board.</w:t>
      </w:r>
    </w:p>
    <w:p w:rsidR="00B510E5" w:rsidRPr="005A505B" w:rsidRDefault="00B510E5" w:rsidP="005A505B">
      <w:pPr>
        <w:pStyle w:val="Default"/>
        <w:jc w:val="both"/>
        <w:rPr>
          <w:color w:val="auto"/>
          <w:sz w:val="20"/>
          <w:szCs w:val="20"/>
          <w:highlight w:val="yellow"/>
        </w:rPr>
      </w:pPr>
    </w:p>
    <w:p w:rsidR="00B510E5" w:rsidRPr="005A505B" w:rsidRDefault="00B510E5" w:rsidP="005A505B">
      <w:pPr>
        <w:pStyle w:val="ListParagraph"/>
        <w:numPr>
          <w:ilvl w:val="2"/>
          <w:numId w:val="53"/>
        </w:numPr>
        <w:rPr>
          <w:rFonts w:cs="Arial"/>
          <w:color w:val="auto"/>
          <w:sz w:val="20"/>
          <w:szCs w:val="20"/>
        </w:rPr>
      </w:pPr>
      <w:r w:rsidRPr="005A505B">
        <w:rPr>
          <w:rFonts w:cs="Arial"/>
          <w:b/>
          <w:color w:val="auto"/>
          <w:sz w:val="20"/>
          <w:szCs w:val="20"/>
        </w:rPr>
        <w:t xml:space="preserve">Situational Analysis </w:t>
      </w:r>
    </w:p>
    <w:p w:rsidR="00B510E5" w:rsidRPr="005A505B" w:rsidRDefault="00B510E5" w:rsidP="005A505B">
      <w:pPr>
        <w:pStyle w:val="Default"/>
        <w:jc w:val="both"/>
        <w:rPr>
          <w:iCs/>
          <w:color w:val="auto"/>
          <w:sz w:val="20"/>
          <w:szCs w:val="20"/>
        </w:rPr>
      </w:pPr>
    </w:p>
    <w:p w:rsidR="00B510E5" w:rsidRPr="005A505B" w:rsidRDefault="00B510E5" w:rsidP="005A505B">
      <w:pPr>
        <w:pStyle w:val="Default"/>
        <w:jc w:val="both"/>
        <w:rPr>
          <w:iCs/>
          <w:color w:val="auto"/>
          <w:sz w:val="20"/>
          <w:szCs w:val="20"/>
        </w:rPr>
      </w:pPr>
      <w:r w:rsidRPr="005A505B">
        <w:rPr>
          <w:iCs/>
          <w:color w:val="auto"/>
          <w:sz w:val="20"/>
          <w:szCs w:val="20"/>
        </w:rPr>
        <w:t>South Africa continues to face the quadruple burden of disease that threaten public health and socioeconomic factors essential for the public to thrive. These quadruple burden of disease include communicable epidemics such as the HIV and TB</w:t>
      </w:r>
      <w:r w:rsidR="00E8385A" w:rsidRPr="005A505B">
        <w:rPr>
          <w:iCs/>
          <w:color w:val="auto"/>
          <w:sz w:val="20"/>
          <w:szCs w:val="20"/>
        </w:rPr>
        <w:t xml:space="preserve"> and </w:t>
      </w:r>
      <w:r w:rsidRPr="005A505B">
        <w:rPr>
          <w:iCs/>
          <w:color w:val="auto"/>
          <w:sz w:val="20"/>
          <w:szCs w:val="20"/>
        </w:rPr>
        <w:t>COVID-19. In the past 5-years, non-communicable diseases have become the major threat for South Africa particularly; obesity, diabetes, hypertension and cardiovascular diseases.</w:t>
      </w:r>
      <w:r w:rsidRPr="005A505B">
        <w:rPr>
          <w:b/>
          <w:color w:val="auto"/>
          <w:sz w:val="20"/>
          <w:szCs w:val="20"/>
        </w:rPr>
        <w:t xml:space="preserve"> </w:t>
      </w:r>
      <w:r w:rsidRPr="005A505B">
        <w:rPr>
          <w:iCs/>
          <w:color w:val="auto"/>
          <w:sz w:val="20"/>
          <w:szCs w:val="20"/>
        </w:rPr>
        <w:t xml:space="preserve">Violence and injuries also form part of the quadruple burden of disease. Also reported is that neonatal mortality continues to be difficult to overcome, despite interventions that are being made by the </w:t>
      </w:r>
      <w:r w:rsidR="00E8385A" w:rsidRPr="005A505B">
        <w:rPr>
          <w:iCs/>
          <w:color w:val="auto"/>
          <w:sz w:val="20"/>
          <w:szCs w:val="20"/>
        </w:rPr>
        <w:t>NDoH</w:t>
      </w:r>
      <w:r w:rsidRPr="005A505B">
        <w:rPr>
          <w:iCs/>
          <w:color w:val="auto"/>
          <w:sz w:val="20"/>
          <w:szCs w:val="20"/>
        </w:rPr>
        <w:t xml:space="preserve">, </w:t>
      </w:r>
      <w:r w:rsidR="00E8385A" w:rsidRPr="005A505B">
        <w:rPr>
          <w:iCs/>
          <w:color w:val="auto"/>
          <w:sz w:val="20"/>
          <w:szCs w:val="20"/>
        </w:rPr>
        <w:t xml:space="preserve">the </w:t>
      </w:r>
      <w:r w:rsidRPr="005A505B">
        <w:rPr>
          <w:iCs/>
          <w:color w:val="auto"/>
          <w:sz w:val="20"/>
          <w:szCs w:val="20"/>
        </w:rPr>
        <w:t>SAMRC and other health entities.</w:t>
      </w:r>
    </w:p>
    <w:p w:rsidR="00B510E5" w:rsidRPr="005A505B" w:rsidRDefault="00B510E5" w:rsidP="005A505B">
      <w:pPr>
        <w:pStyle w:val="Default"/>
        <w:jc w:val="both"/>
        <w:rPr>
          <w:iCs/>
          <w:color w:val="auto"/>
          <w:sz w:val="20"/>
          <w:szCs w:val="20"/>
        </w:rPr>
      </w:pPr>
    </w:p>
    <w:p w:rsidR="00B510E5" w:rsidRPr="005A505B" w:rsidRDefault="00E01A1F" w:rsidP="005A505B">
      <w:pPr>
        <w:ind w:left="720"/>
        <w:rPr>
          <w:rFonts w:cs="Arial"/>
          <w:b/>
          <w:color w:val="auto"/>
          <w:sz w:val="20"/>
          <w:szCs w:val="20"/>
        </w:rPr>
      </w:pPr>
      <w:r w:rsidRPr="005A505B">
        <w:rPr>
          <w:rFonts w:cs="Arial"/>
          <w:b/>
          <w:color w:val="auto"/>
          <w:sz w:val="20"/>
          <w:szCs w:val="20"/>
        </w:rPr>
        <w:t xml:space="preserve">3.6.2.1. </w:t>
      </w:r>
      <w:r w:rsidR="00B510E5" w:rsidRPr="005A505B">
        <w:rPr>
          <w:rFonts w:cs="Arial"/>
          <w:b/>
          <w:color w:val="auto"/>
          <w:sz w:val="20"/>
          <w:szCs w:val="20"/>
        </w:rPr>
        <w:t xml:space="preserve">SWOT Analysis </w:t>
      </w:r>
    </w:p>
    <w:p w:rsidR="00B510E5" w:rsidRPr="005A505B" w:rsidRDefault="00B510E5" w:rsidP="005A505B">
      <w:pPr>
        <w:pStyle w:val="Default"/>
        <w:jc w:val="both"/>
        <w:rPr>
          <w:color w:val="auto"/>
          <w:sz w:val="20"/>
          <w:szCs w:val="20"/>
        </w:rPr>
      </w:pPr>
    </w:p>
    <w:p w:rsidR="00B510E5" w:rsidRPr="005A505B" w:rsidRDefault="00B510E5" w:rsidP="005A505B">
      <w:pPr>
        <w:pStyle w:val="Default"/>
        <w:jc w:val="both"/>
        <w:rPr>
          <w:color w:val="auto"/>
          <w:sz w:val="20"/>
          <w:szCs w:val="20"/>
        </w:rPr>
      </w:pPr>
      <w:r w:rsidRPr="005A505B">
        <w:rPr>
          <w:color w:val="auto"/>
          <w:sz w:val="20"/>
          <w:szCs w:val="20"/>
        </w:rPr>
        <w:t xml:space="preserve">In the past three financial years i.e. 2019/20, 2020/21 and 2021/22, SAMRC compiled a swot analysis to determine its strengths and weaknesses, this also includes the current fiscal year (2022/23). However, what is conspicuous is that this exercise presents more weight for threats and weaknesses compared to the strengths and opportunities. For example, the following challenges have been identified as </w:t>
      </w:r>
      <w:r w:rsidRPr="005A505B">
        <w:rPr>
          <w:i/>
          <w:color w:val="auto"/>
          <w:sz w:val="20"/>
          <w:szCs w:val="20"/>
        </w:rPr>
        <w:t>threats</w:t>
      </w:r>
      <w:r w:rsidRPr="005A505B">
        <w:rPr>
          <w:color w:val="auto"/>
          <w:sz w:val="20"/>
          <w:szCs w:val="20"/>
        </w:rPr>
        <w:t xml:space="preserve"> - diminishing funding for research, research classified as low priority on the political agenda and scientific misconduct. With regards to </w:t>
      </w:r>
      <w:r w:rsidRPr="005A505B">
        <w:rPr>
          <w:i/>
          <w:color w:val="auto"/>
          <w:sz w:val="20"/>
          <w:szCs w:val="20"/>
        </w:rPr>
        <w:t>weaknesses</w:t>
      </w:r>
      <w:r w:rsidRPr="005A505B">
        <w:rPr>
          <w:color w:val="auto"/>
          <w:sz w:val="20"/>
          <w:szCs w:val="20"/>
        </w:rPr>
        <w:t xml:space="preserve"> these are some of the identified concerns - lack of research translation, poor diversity in management, bureaucratic environment as well as lack of knowledge sharing.</w:t>
      </w:r>
      <w:r w:rsidRPr="005A505B">
        <w:rPr>
          <w:b/>
          <w:color w:val="auto"/>
          <w:sz w:val="20"/>
          <w:szCs w:val="20"/>
        </w:rPr>
        <w:t xml:space="preserve"> </w:t>
      </w:r>
      <w:r w:rsidRPr="005A505B">
        <w:rPr>
          <w:color w:val="auto"/>
          <w:sz w:val="20"/>
          <w:szCs w:val="20"/>
        </w:rPr>
        <w:t xml:space="preserve">Importantly some of these are recurring as they were identified in 2021/22 fiscal year. </w:t>
      </w:r>
    </w:p>
    <w:p w:rsidR="00B510E5" w:rsidRPr="005A505B" w:rsidRDefault="00B510E5" w:rsidP="005A505B">
      <w:pPr>
        <w:pStyle w:val="Default"/>
        <w:jc w:val="both"/>
        <w:rPr>
          <w:color w:val="auto"/>
          <w:sz w:val="20"/>
          <w:szCs w:val="20"/>
        </w:rPr>
      </w:pPr>
    </w:p>
    <w:p w:rsidR="00B510E5" w:rsidRPr="005A505B" w:rsidRDefault="00E01A1F" w:rsidP="005A505B">
      <w:pPr>
        <w:ind w:left="720"/>
        <w:rPr>
          <w:rFonts w:cs="Arial"/>
          <w:color w:val="auto"/>
          <w:sz w:val="20"/>
          <w:szCs w:val="20"/>
        </w:rPr>
      </w:pPr>
      <w:r w:rsidRPr="005A505B">
        <w:rPr>
          <w:rFonts w:cs="Arial"/>
          <w:b/>
          <w:color w:val="auto"/>
          <w:sz w:val="20"/>
          <w:szCs w:val="20"/>
        </w:rPr>
        <w:t xml:space="preserve">3.6.2.2. </w:t>
      </w:r>
      <w:r w:rsidR="00B510E5" w:rsidRPr="005A505B">
        <w:rPr>
          <w:rFonts w:cs="Arial"/>
          <w:b/>
          <w:color w:val="auto"/>
          <w:sz w:val="20"/>
          <w:szCs w:val="20"/>
        </w:rPr>
        <w:t>Focused Priorities over the Medium Term Strategic Framework (MTSF)</w:t>
      </w:r>
    </w:p>
    <w:p w:rsidR="00B510E5" w:rsidRPr="005A505B" w:rsidRDefault="00B510E5" w:rsidP="005A505B">
      <w:pPr>
        <w:jc w:val="both"/>
        <w:rPr>
          <w:rFonts w:cs="Arial"/>
          <w:color w:val="auto"/>
          <w:sz w:val="20"/>
          <w:szCs w:val="20"/>
        </w:rPr>
      </w:pPr>
    </w:p>
    <w:p w:rsidR="00B510E5" w:rsidRPr="005A505B" w:rsidRDefault="00B510E5" w:rsidP="005A505B">
      <w:pPr>
        <w:jc w:val="both"/>
        <w:rPr>
          <w:rFonts w:cs="Arial"/>
          <w:color w:val="auto"/>
          <w:sz w:val="20"/>
          <w:szCs w:val="20"/>
        </w:rPr>
      </w:pPr>
      <w:r w:rsidRPr="005A505B">
        <w:rPr>
          <w:rFonts w:cs="Arial"/>
          <w:color w:val="auto"/>
          <w:sz w:val="20"/>
          <w:szCs w:val="20"/>
        </w:rPr>
        <w:t>In executing its mandate, the SAMRC has aligned its APP for 2022/23 fiscal year with the 5-year strategic plan and with the MTSF to ensure greater impact. Since 2020/21, SAMRC undertook to make a meaningful impact through the implementation of the following priorities:</w:t>
      </w:r>
    </w:p>
    <w:p w:rsidR="00B510E5" w:rsidRPr="005A505B" w:rsidRDefault="00B510E5" w:rsidP="005A505B">
      <w:pPr>
        <w:jc w:val="both"/>
        <w:rPr>
          <w:rFonts w:cs="Arial"/>
          <w:color w:val="auto"/>
          <w:sz w:val="20"/>
          <w:szCs w:val="20"/>
        </w:rPr>
      </w:pPr>
    </w:p>
    <w:p w:rsidR="00B510E5" w:rsidRPr="005A505B" w:rsidRDefault="00B510E5" w:rsidP="005A505B">
      <w:pPr>
        <w:jc w:val="both"/>
        <w:rPr>
          <w:rFonts w:cs="Arial"/>
          <w:b/>
          <w:color w:val="auto"/>
          <w:sz w:val="20"/>
          <w:szCs w:val="20"/>
          <w:highlight w:val="yellow"/>
        </w:rPr>
      </w:pPr>
      <w:r w:rsidRPr="005A505B">
        <w:rPr>
          <w:rFonts w:cs="Arial"/>
          <w:b/>
          <w:color w:val="auto"/>
          <w:sz w:val="20"/>
          <w:szCs w:val="20"/>
        </w:rPr>
        <w:t>Table</w:t>
      </w:r>
      <w:r w:rsidR="00282EB3" w:rsidRPr="005A505B">
        <w:rPr>
          <w:rFonts w:cs="Arial"/>
          <w:b/>
          <w:color w:val="auto"/>
          <w:sz w:val="20"/>
          <w:szCs w:val="20"/>
        </w:rPr>
        <w:t xml:space="preserve"> </w:t>
      </w:r>
      <w:r w:rsidRPr="005A505B">
        <w:rPr>
          <w:rFonts w:cs="Arial"/>
          <w:b/>
          <w:color w:val="auto"/>
          <w:sz w:val="20"/>
          <w:szCs w:val="20"/>
        </w:rPr>
        <w:t>1</w:t>
      </w:r>
      <w:r w:rsidR="00E01A1F" w:rsidRPr="005A505B">
        <w:rPr>
          <w:rFonts w:cs="Arial"/>
          <w:b/>
          <w:color w:val="auto"/>
          <w:sz w:val="20"/>
          <w:szCs w:val="20"/>
        </w:rPr>
        <w:t>5</w:t>
      </w:r>
      <w:r w:rsidRPr="005A505B">
        <w:rPr>
          <w:rFonts w:cs="Arial"/>
          <w:b/>
          <w:color w:val="auto"/>
          <w:sz w:val="20"/>
          <w:szCs w:val="20"/>
        </w:rPr>
        <w:t xml:space="preserve">: SAMRC’s 5 year priorities </w:t>
      </w:r>
    </w:p>
    <w:tbl>
      <w:tblPr>
        <w:tblStyle w:val="TableGrid"/>
        <w:tblW w:w="0" w:type="auto"/>
        <w:tblLook w:val="04A0"/>
      </w:tblPr>
      <w:tblGrid>
        <w:gridCol w:w="3698"/>
        <w:gridCol w:w="5544"/>
      </w:tblGrid>
      <w:tr w:rsidR="00B510E5" w:rsidRPr="005A505B" w:rsidTr="005C5BFF">
        <w:tc>
          <w:tcPr>
            <w:tcW w:w="3823" w:type="dxa"/>
          </w:tcPr>
          <w:p w:rsidR="00B510E5" w:rsidRPr="005A505B" w:rsidRDefault="00B510E5" w:rsidP="005A505B">
            <w:pPr>
              <w:jc w:val="both"/>
              <w:rPr>
                <w:rFonts w:cs="Arial"/>
                <w:color w:val="auto"/>
                <w:sz w:val="20"/>
                <w:szCs w:val="20"/>
                <w:highlight w:val="yellow"/>
              </w:rPr>
            </w:pPr>
            <w:r w:rsidRPr="005A505B">
              <w:rPr>
                <w:rFonts w:cs="Arial"/>
                <w:color w:val="auto"/>
                <w:sz w:val="20"/>
                <w:szCs w:val="20"/>
              </w:rPr>
              <w:t xml:space="preserve">Innovation, </w:t>
            </w:r>
          </w:p>
        </w:tc>
        <w:tc>
          <w:tcPr>
            <w:tcW w:w="5805" w:type="dxa"/>
          </w:tcPr>
          <w:p w:rsidR="00B510E5" w:rsidRPr="005A505B" w:rsidRDefault="00B510E5" w:rsidP="005A505B">
            <w:pPr>
              <w:jc w:val="both"/>
              <w:rPr>
                <w:rFonts w:cs="Arial"/>
                <w:color w:val="auto"/>
                <w:sz w:val="20"/>
                <w:szCs w:val="20"/>
                <w:highlight w:val="yellow"/>
              </w:rPr>
            </w:pPr>
            <w:r w:rsidRPr="005A505B">
              <w:rPr>
                <w:rFonts w:cs="Arial"/>
                <w:color w:val="auto"/>
                <w:sz w:val="20"/>
                <w:szCs w:val="20"/>
              </w:rPr>
              <w:t xml:space="preserve">Mental health, </w:t>
            </w:r>
          </w:p>
        </w:tc>
      </w:tr>
      <w:tr w:rsidR="00B510E5" w:rsidRPr="005A505B" w:rsidTr="005C5BFF">
        <w:tc>
          <w:tcPr>
            <w:tcW w:w="3823" w:type="dxa"/>
          </w:tcPr>
          <w:p w:rsidR="00B510E5" w:rsidRPr="005A505B" w:rsidRDefault="00B510E5" w:rsidP="005A505B">
            <w:pPr>
              <w:jc w:val="both"/>
              <w:rPr>
                <w:rFonts w:cs="Arial"/>
                <w:color w:val="auto"/>
                <w:sz w:val="20"/>
                <w:szCs w:val="20"/>
                <w:highlight w:val="yellow"/>
              </w:rPr>
            </w:pPr>
            <w:r w:rsidRPr="005A505B">
              <w:rPr>
                <w:rFonts w:cs="Arial"/>
                <w:color w:val="auto"/>
                <w:sz w:val="20"/>
                <w:szCs w:val="20"/>
              </w:rPr>
              <w:t>Transformation,</w:t>
            </w:r>
          </w:p>
        </w:tc>
        <w:tc>
          <w:tcPr>
            <w:tcW w:w="5805" w:type="dxa"/>
          </w:tcPr>
          <w:p w:rsidR="00B510E5" w:rsidRPr="005A505B" w:rsidRDefault="00B510E5" w:rsidP="005A505B">
            <w:pPr>
              <w:jc w:val="both"/>
              <w:rPr>
                <w:rFonts w:cs="Arial"/>
                <w:color w:val="auto"/>
                <w:sz w:val="20"/>
                <w:szCs w:val="20"/>
                <w:highlight w:val="yellow"/>
              </w:rPr>
            </w:pPr>
            <w:r w:rsidRPr="005A505B">
              <w:rPr>
                <w:rFonts w:cs="Arial"/>
                <w:color w:val="auto"/>
                <w:sz w:val="20"/>
                <w:szCs w:val="20"/>
              </w:rPr>
              <w:t>Maternal and child health,</w:t>
            </w:r>
          </w:p>
        </w:tc>
      </w:tr>
      <w:tr w:rsidR="00B510E5" w:rsidRPr="005A505B" w:rsidTr="005C5BFF">
        <w:tc>
          <w:tcPr>
            <w:tcW w:w="3823" w:type="dxa"/>
          </w:tcPr>
          <w:p w:rsidR="00B510E5" w:rsidRPr="005A505B" w:rsidRDefault="00B510E5" w:rsidP="005A505B">
            <w:pPr>
              <w:jc w:val="both"/>
              <w:rPr>
                <w:rFonts w:cs="Arial"/>
                <w:color w:val="auto"/>
                <w:sz w:val="20"/>
                <w:szCs w:val="20"/>
              </w:rPr>
            </w:pPr>
            <w:r w:rsidRPr="005A505B">
              <w:rPr>
                <w:rFonts w:cs="Arial"/>
                <w:color w:val="auto"/>
                <w:sz w:val="20"/>
                <w:szCs w:val="20"/>
              </w:rPr>
              <w:t>Research Translation,</w:t>
            </w:r>
          </w:p>
        </w:tc>
        <w:tc>
          <w:tcPr>
            <w:tcW w:w="5805" w:type="dxa"/>
          </w:tcPr>
          <w:p w:rsidR="00B510E5" w:rsidRPr="005A505B" w:rsidRDefault="00B510E5" w:rsidP="005A505B">
            <w:pPr>
              <w:jc w:val="both"/>
              <w:rPr>
                <w:rFonts w:cs="Arial"/>
                <w:color w:val="auto"/>
                <w:sz w:val="20"/>
                <w:szCs w:val="20"/>
              </w:rPr>
            </w:pPr>
            <w:r w:rsidRPr="005A505B">
              <w:rPr>
                <w:rFonts w:cs="Arial"/>
                <w:color w:val="auto"/>
                <w:sz w:val="20"/>
                <w:szCs w:val="20"/>
              </w:rPr>
              <w:t>Foster ethical research conduct and integrity,</w:t>
            </w:r>
          </w:p>
        </w:tc>
      </w:tr>
      <w:tr w:rsidR="00B510E5" w:rsidRPr="005A505B" w:rsidTr="005C5BFF">
        <w:tc>
          <w:tcPr>
            <w:tcW w:w="3823" w:type="dxa"/>
          </w:tcPr>
          <w:p w:rsidR="00B510E5" w:rsidRPr="005A505B" w:rsidRDefault="00B510E5" w:rsidP="005A505B">
            <w:pPr>
              <w:jc w:val="both"/>
              <w:rPr>
                <w:rFonts w:cs="Arial"/>
                <w:color w:val="auto"/>
                <w:sz w:val="20"/>
                <w:szCs w:val="20"/>
                <w:highlight w:val="yellow"/>
              </w:rPr>
            </w:pPr>
            <w:r w:rsidRPr="005A505B">
              <w:rPr>
                <w:rFonts w:cs="Arial"/>
                <w:color w:val="auto"/>
                <w:sz w:val="20"/>
                <w:szCs w:val="20"/>
              </w:rPr>
              <w:t>Environmental health,</w:t>
            </w:r>
          </w:p>
        </w:tc>
        <w:tc>
          <w:tcPr>
            <w:tcW w:w="5805" w:type="dxa"/>
          </w:tcPr>
          <w:p w:rsidR="00B510E5" w:rsidRPr="005A505B" w:rsidRDefault="00B510E5" w:rsidP="005A505B">
            <w:pPr>
              <w:jc w:val="both"/>
              <w:rPr>
                <w:rFonts w:cs="Arial"/>
                <w:color w:val="auto"/>
                <w:sz w:val="20"/>
                <w:szCs w:val="20"/>
                <w:highlight w:val="yellow"/>
              </w:rPr>
            </w:pPr>
            <w:r w:rsidRPr="005A505B">
              <w:rPr>
                <w:rFonts w:cs="Arial"/>
                <w:color w:val="auto"/>
                <w:sz w:val="20"/>
                <w:szCs w:val="20"/>
              </w:rPr>
              <w:t xml:space="preserve">New and emerging threats such as COVID-19, </w:t>
            </w:r>
          </w:p>
        </w:tc>
      </w:tr>
      <w:tr w:rsidR="00B510E5" w:rsidRPr="005A505B" w:rsidTr="005C5BFF">
        <w:tc>
          <w:tcPr>
            <w:tcW w:w="3823" w:type="dxa"/>
          </w:tcPr>
          <w:p w:rsidR="00B510E5" w:rsidRPr="005A505B" w:rsidRDefault="00B510E5" w:rsidP="005A505B">
            <w:pPr>
              <w:jc w:val="both"/>
              <w:rPr>
                <w:rFonts w:cs="Arial"/>
                <w:color w:val="auto"/>
                <w:sz w:val="20"/>
                <w:szCs w:val="20"/>
              </w:rPr>
            </w:pPr>
            <w:r w:rsidRPr="005A505B">
              <w:rPr>
                <w:rFonts w:cs="Arial"/>
                <w:color w:val="auto"/>
                <w:sz w:val="20"/>
                <w:szCs w:val="20"/>
              </w:rPr>
              <w:t xml:space="preserve">Open Science/Source, </w:t>
            </w:r>
          </w:p>
        </w:tc>
        <w:tc>
          <w:tcPr>
            <w:tcW w:w="5805" w:type="dxa"/>
          </w:tcPr>
          <w:p w:rsidR="00B510E5" w:rsidRPr="005A505B" w:rsidRDefault="00B510E5" w:rsidP="005A505B">
            <w:pPr>
              <w:jc w:val="both"/>
              <w:rPr>
                <w:rFonts w:cs="Arial"/>
                <w:color w:val="auto"/>
                <w:sz w:val="20"/>
                <w:szCs w:val="20"/>
              </w:rPr>
            </w:pPr>
            <w:r w:rsidRPr="005A505B">
              <w:rPr>
                <w:rFonts w:cs="Arial"/>
                <w:color w:val="auto"/>
                <w:sz w:val="20"/>
                <w:szCs w:val="20"/>
              </w:rPr>
              <w:t>Ensure strategic investments in NCDs research,</w:t>
            </w:r>
          </w:p>
        </w:tc>
      </w:tr>
      <w:tr w:rsidR="00B510E5" w:rsidRPr="005A505B" w:rsidTr="005C5BFF">
        <w:tc>
          <w:tcPr>
            <w:tcW w:w="3823" w:type="dxa"/>
          </w:tcPr>
          <w:p w:rsidR="00B510E5" w:rsidRPr="005A505B" w:rsidRDefault="00B510E5" w:rsidP="005A505B">
            <w:pPr>
              <w:jc w:val="both"/>
              <w:rPr>
                <w:rFonts w:cs="Arial"/>
                <w:color w:val="auto"/>
                <w:sz w:val="20"/>
                <w:szCs w:val="20"/>
              </w:rPr>
            </w:pPr>
            <w:r w:rsidRPr="005A505B">
              <w:rPr>
                <w:rFonts w:cs="Arial"/>
                <w:color w:val="auto"/>
                <w:sz w:val="20"/>
                <w:szCs w:val="20"/>
              </w:rPr>
              <w:t>Diversity Management,</w:t>
            </w:r>
          </w:p>
        </w:tc>
        <w:tc>
          <w:tcPr>
            <w:tcW w:w="5805" w:type="dxa"/>
          </w:tcPr>
          <w:p w:rsidR="00B510E5" w:rsidRPr="005A505B" w:rsidRDefault="00B510E5" w:rsidP="005A505B">
            <w:pPr>
              <w:jc w:val="both"/>
              <w:rPr>
                <w:rFonts w:cs="Arial"/>
                <w:color w:val="auto"/>
                <w:sz w:val="20"/>
                <w:szCs w:val="20"/>
              </w:rPr>
            </w:pPr>
            <w:r w:rsidRPr="005A505B">
              <w:rPr>
                <w:rFonts w:cs="Arial"/>
                <w:color w:val="auto"/>
                <w:sz w:val="20"/>
                <w:szCs w:val="20"/>
              </w:rPr>
              <w:t>Continue to invest in infrastructure development,</w:t>
            </w:r>
          </w:p>
        </w:tc>
      </w:tr>
      <w:tr w:rsidR="00B510E5" w:rsidRPr="005A505B" w:rsidTr="005C5BFF">
        <w:tc>
          <w:tcPr>
            <w:tcW w:w="3823" w:type="dxa"/>
          </w:tcPr>
          <w:p w:rsidR="00B510E5" w:rsidRPr="005A505B" w:rsidRDefault="00B510E5" w:rsidP="005A505B">
            <w:pPr>
              <w:jc w:val="both"/>
              <w:rPr>
                <w:rFonts w:cs="Arial"/>
                <w:color w:val="auto"/>
                <w:sz w:val="20"/>
                <w:szCs w:val="20"/>
              </w:rPr>
            </w:pPr>
            <w:r w:rsidRPr="005A505B">
              <w:rPr>
                <w:rFonts w:cs="Arial"/>
                <w:color w:val="auto"/>
                <w:sz w:val="20"/>
                <w:szCs w:val="20"/>
              </w:rPr>
              <w:t>Capacity Development,</w:t>
            </w:r>
          </w:p>
        </w:tc>
        <w:tc>
          <w:tcPr>
            <w:tcW w:w="5805" w:type="dxa"/>
          </w:tcPr>
          <w:p w:rsidR="00B510E5" w:rsidRPr="005A505B" w:rsidRDefault="00B510E5" w:rsidP="005A505B">
            <w:pPr>
              <w:jc w:val="both"/>
              <w:rPr>
                <w:rFonts w:cs="Arial"/>
                <w:color w:val="auto"/>
                <w:sz w:val="20"/>
                <w:szCs w:val="20"/>
              </w:rPr>
            </w:pPr>
            <w:r w:rsidRPr="005A505B">
              <w:rPr>
                <w:rFonts w:cs="Arial"/>
                <w:color w:val="auto"/>
                <w:sz w:val="20"/>
                <w:szCs w:val="20"/>
              </w:rPr>
              <w:t>Continue a search for efficacious HIV and TB vaccines,</w:t>
            </w:r>
          </w:p>
        </w:tc>
      </w:tr>
      <w:tr w:rsidR="00B510E5" w:rsidRPr="005A505B" w:rsidTr="005C5BFF">
        <w:tc>
          <w:tcPr>
            <w:tcW w:w="3823" w:type="dxa"/>
          </w:tcPr>
          <w:p w:rsidR="00B510E5" w:rsidRPr="005A505B" w:rsidRDefault="00B510E5" w:rsidP="005A505B">
            <w:pPr>
              <w:jc w:val="both"/>
              <w:rPr>
                <w:rFonts w:cs="Arial"/>
                <w:color w:val="auto"/>
                <w:sz w:val="20"/>
                <w:szCs w:val="20"/>
                <w:highlight w:val="yellow"/>
              </w:rPr>
            </w:pPr>
            <w:r w:rsidRPr="005A505B">
              <w:rPr>
                <w:rFonts w:cs="Arial"/>
                <w:color w:val="auto"/>
                <w:sz w:val="20"/>
                <w:szCs w:val="20"/>
              </w:rPr>
              <w:t>Knowledge Management,</w:t>
            </w:r>
          </w:p>
        </w:tc>
        <w:tc>
          <w:tcPr>
            <w:tcW w:w="5805" w:type="dxa"/>
          </w:tcPr>
          <w:p w:rsidR="00B510E5" w:rsidRPr="005A505B" w:rsidRDefault="00B510E5" w:rsidP="005A505B">
            <w:pPr>
              <w:jc w:val="both"/>
              <w:rPr>
                <w:rFonts w:cs="Arial"/>
                <w:color w:val="auto"/>
                <w:sz w:val="20"/>
                <w:szCs w:val="20"/>
                <w:highlight w:val="yellow"/>
              </w:rPr>
            </w:pPr>
            <w:r w:rsidRPr="005A505B">
              <w:rPr>
                <w:rFonts w:cs="Arial"/>
                <w:color w:val="auto"/>
                <w:sz w:val="20"/>
                <w:szCs w:val="20"/>
              </w:rPr>
              <w:t>NHI and UHC: Focus on key areas to support roll out of NHI,</w:t>
            </w:r>
          </w:p>
        </w:tc>
      </w:tr>
      <w:tr w:rsidR="00B510E5" w:rsidRPr="005A505B" w:rsidTr="005C5BFF">
        <w:tc>
          <w:tcPr>
            <w:tcW w:w="3823" w:type="dxa"/>
          </w:tcPr>
          <w:p w:rsidR="00B510E5" w:rsidRPr="005A505B" w:rsidRDefault="00B510E5" w:rsidP="005A505B">
            <w:pPr>
              <w:jc w:val="both"/>
              <w:rPr>
                <w:rFonts w:cs="Arial"/>
                <w:color w:val="auto"/>
                <w:sz w:val="20"/>
                <w:szCs w:val="20"/>
                <w:highlight w:val="yellow"/>
              </w:rPr>
            </w:pPr>
            <w:r w:rsidRPr="005A505B">
              <w:rPr>
                <w:rFonts w:cs="Arial"/>
                <w:color w:val="auto"/>
                <w:sz w:val="20"/>
                <w:szCs w:val="20"/>
              </w:rPr>
              <w:t>Data security and sharing,</w:t>
            </w:r>
          </w:p>
        </w:tc>
        <w:tc>
          <w:tcPr>
            <w:tcW w:w="5805" w:type="dxa"/>
          </w:tcPr>
          <w:p w:rsidR="00B510E5" w:rsidRPr="005A505B" w:rsidRDefault="00B510E5" w:rsidP="005A505B">
            <w:pPr>
              <w:jc w:val="both"/>
              <w:rPr>
                <w:rFonts w:cs="Arial"/>
                <w:color w:val="auto"/>
                <w:sz w:val="20"/>
                <w:szCs w:val="20"/>
                <w:highlight w:val="yellow"/>
              </w:rPr>
            </w:pPr>
            <w:r w:rsidRPr="005A505B">
              <w:rPr>
                <w:rFonts w:cs="Arial"/>
                <w:color w:val="auto"/>
                <w:sz w:val="20"/>
                <w:szCs w:val="20"/>
              </w:rPr>
              <w:t xml:space="preserve">Explore the possibility of establishing a SAMRC Foundation, </w:t>
            </w:r>
          </w:p>
        </w:tc>
      </w:tr>
      <w:tr w:rsidR="00B510E5" w:rsidRPr="005A505B" w:rsidTr="005C5BFF">
        <w:tc>
          <w:tcPr>
            <w:tcW w:w="3823" w:type="dxa"/>
          </w:tcPr>
          <w:p w:rsidR="00B510E5" w:rsidRPr="005A505B" w:rsidRDefault="00B510E5" w:rsidP="005A505B">
            <w:pPr>
              <w:jc w:val="both"/>
              <w:rPr>
                <w:rFonts w:cs="Arial"/>
                <w:color w:val="auto"/>
                <w:sz w:val="20"/>
                <w:szCs w:val="20"/>
                <w:highlight w:val="yellow"/>
              </w:rPr>
            </w:pPr>
            <w:r w:rsidRPr="005A505B">
              <w:rPr>
                <w:rFonts w:cs="Arial"/>
                <w:color w:val="auto"/>
                <w:sz w:val="20"/>
                <w:szCs w:val="20"/>
              </w:rPr>
              <w:t>Balance academic and social impact of research,</w:t>
            </w:r>
          </w:p>
        </w:tc>
        <w:tc>
          <w:tcPr>
            <w:tcW w:w="5805" w:type="dxa"/>
          </w:tcPr>
          <w:p w:rsidR="00B510E5" w:rsidRPr="005A505B" w:rsidRDefault="00B510E5" w:rsidP="005A505B">
            <w:pPr>
              <w:jc w:val="both"/>
              <w:rPr>
                <w:rFonts w:cs="Arial"/>
                <w:color w:val="auto"/>
                <w:sz w:val="20"/>
                <w:szCs w:val="20"/>
                <w:highlight w:val="yellow"/>
              </w:rPr>
            </w:pPr>
            <w:r w:rsidRPr="005A505B">
              <w:rPr>
                <w:rFonts w:cs="Arial"/>
                <w:color w:val="auto"/>
                <w:sz w:val="20"/>
                <w:szCs w:val="20"/>
              </w:rPr>
              <w:t>Responding to emerging national health needs and global trends.</w:t>
            </w:r>
          </w:p>
        </w:tc>
      </w:tr>
    </w:tbl>
    <w:p w:rsidR="00B510E5" w:rsidRPr="005A505B" w:rsidRDefault="00B510E5" w:rsidP="005A505B">
      <w:pPr>
        <w:pStyle w:val="Default"/>
        <w:jc w:val="both"/>
        <w:rPr>
          <w:color w:val="auto"/>
          <w:sz w:val="20"/>
          <w:szCs w:val="20"/>
          <w:lang w:eastAsia="en-US"/>
        </w:rPr>
      </w:pPr>
    </w:p>
    <w:p w:rsidR="00B510E5" w:rsidRPr="005A505B" w:rsidRDefault="00B510E5" w:rsidP="005A505B">
      <w:pPr>
        <w:pStyle w:val="Default"/>
        <w:rPr>
          <w:b/>
          <w:bCs/>
          <w:color w:val="auto"/>
          <w:sz w:val="20"/>
          <w:szCs w:val="20"/>
        </w:rPr>
      </w:pPr>
    </w:p>
    <w:p w:rsidR="00B510E5" w:rsidRPr="005A505B" w:rsidRDefault="00B510E5" w:rsidP="005A505B">
      <w:pPr>
        <w:pStyle w:val="ListParagraph"/>
        <w:numPr>
          <w:ilvl w:val="2"/>
          <w:numId w:val="53"/>
        </w:numPr>
        <w:rPr>
          <w:rFonts w:cs="Arial"/>
          <w:color w:val="auto"/>
          <w:sz w:val="20"/>
          <w:szCs w:val="20"/>
        </w:rPr>
      </w:pPr>
      <w:r w:rsidRPr="005A505B">
        <w:rPr>
          <w:rFonts w:cs="Arial"/>
          <w:b/>
          <w:color w:val="auto"/>
          <w:sz w:val="20"/>
          <w:szCs w:val="20"/>
        </w:rPr>
        <w:t xml:space="preserve">Performance Information for 2022/23 </w:t>
      </w:r>
    </w:p>
    <w:p w:rsidR="00B510E5" w:rsidRPr="005A505B" w:rsidRDefault="00B510E5" w:rsidP="005A505B">
      <w:pPr>
        <w:pStyle w:val="Default"/>
        <w:jc w:val="both"/>
        <w:rPr>
          <w:color w:val="auto"/>
          <w:sz w:val="20"/>
          <w:szCs w:val="20"/>
        </w:rPr>
      </w:pPr>
    </w:p>
    <w:p w:rsidR="00B510E5" w:rsidRPr="005A505B" w:rsidRDefault="00B510E5" w:rsidP="005A505B">
      <w:pPr>
        <w:pStyle w:val="Default"/>
        <w:jc w:val="both"/>
        <w:rPr>
          <w:color w:val="auto"/>
          <w:sz w:val="20"/>
          <w:szCs w:val="20"/>
        </w:rPr>
      </w:pPr>
      <w:r w:rsidRPr="005A505B">
        <w:rPr>
          <w:color w:val="auto"/>
          <w:sz w:val="20"/>
          <w:szCs w:val="20"/>
        </w:rPr>
        <w:t xml:space="preserve">SAMRC has five (5) programmes, namely Administration, Core Research, Innovation and Technology, Capacity Development and Research Translation. These are the programmes that serve as a vehicle for SAMRC to execute its mandate. Below is a cohort of performance indicators and the estimated performance (targets) for the current fiscal year (2022/23): </w:t>
      </w:r>
    </w:p>
    <w:p w:rsidR="00B510E5" w:rsidRPr="005A505B" w:rsidRDefault="00B510E5" w:rsidP="005A505B">
      <w:pPr>
        <w:pStyle w:val="Default"/>
        <w:jc w:val="both"/>
        <w:rPr>
          <w:color w:val="auto"/>
          <w:sz w:val="20"/>
          <w:szCs w:val="20"/>
        </w:rPr>
      </w:pPr>
    </w:p>
    <w:p w:rsidR="00B510E5" w:rsidRPr="005A505B" w:rsidRDefault="00B510E5" w:rsidP="005A505B">
      <w:pPr>
        <w:pStyle w:val="Default"/>
        <w:jc w:val="both"/>
        <w:rPr>
          <w:b/>
          <w:color w:val="auto"/>
          <w:sz w:val="20"/>
          <w:szCs w:val="20"/>
        </w:rPr>
      </w:pPr>
      <w:r w:rsidRPr="005A505B">
        <w:rPr>
          <w:b/>
          <w:color w:val="auto"/>
          <w:sz w:val="20"/>
          <w:szCs w:val="20"/>
        </w:rPr>
        <w:t xml:space="preserve">Table </w:t>
      </w:r>
      <w:r w:rsidR="00282EB3" w:rsidRPr="005A505B">
        <w:rPr>
          <w:b/>
          <w:color w:val="auto"/>
          <w:sz w:val="20"/>
          <w:szCs w:val="20"/>
        </w:rPr>
        <w:t>16</w:t>
      </w:r>
      <w:r w:rsidRPr="005A505B">
        <w:rPr>
          <w:b/>
          <w:color w:val="auto"/>
          <w:sz w:val="20"/>
          <w:szCs w:val="20"/>
        </w:rPr>
        <w:t>: Performance indicators 2022/23</w:t>
      </w:r>
    </w:p>
    <w:tbl>
      <w:tblPr>
        <w:tblStyle w:val="TableGrid"/>
        <w:tblW w:w="0" w:type="auto"/>
        <w:tblLook w:val="04A0"/>
      </w:tblPr>
      <w:tblGrid>
        <w:gridCol w:w="2432"/>
        <w:gridCol w:w="2223"/>
        <w:gridCol w:w="2425"/>
        <w:gridCol w:w="2162"/>
      </w:tblGrid>
      <w:tr w:rsidR="00B510E5" w:rsidRPr="005A505B" w:rsidTr="002E66DA">
        <w:tc>
          <w:tcPr>
            <w:tcW w:w="2547" w:type="dxa"/>
            <w:shd w:val="clear" w:color="auto" w:fill="DAEEF3" w:themeFill="accent5" w:themeFillTint="33"/>
          </w:tcPr>
          <w:p w:rsidR="00B510E5" w:rsidRPr="005A505B" w:rsidRDefault="00B510E5" w:rsidP="005A505B">
            <w:pPr>
              <w:pStyle w:val="Default"/>
              <w:jc w:val="both"/>
              <w:rPr>
                <w:b/>
                <w:color w:val="auto"/>
                <w:sz w:val="20"/>
                <w:szCs w:val="20"/>
              </w:rPr>
            </w:pPr>
            <w:r w:rsidRPr="005A505B">
              <w:rPr>
                <w:b/>
                <w:color w:val="auto"/>
                <w:sz w:val="20"/>
                <w:szCs w:val="20"/>
              </w:rPr>
              <w:t xml:space="preserve">Outcome </w:t>
            </w:r>
          </w:p>
        </w:tc>
        <w:tc>
          <w:tcPr>
            <w:tcW w:w="2267" w:type="dxa"/>
            <w:shd w:val="clear" w:color="auto" w:fill="DAEEF3" w:themeFill="accent5" w:themeFillTint="33"/>
          </w:tcPr>
          <w:p w:rsidR="00B510E5" w:rsidRPr="005A505B" w:rsidRDefault="00B510E5" w:rsidP="005A505B">
            <w:pPr>
              <w:pStyle w:val="Default"/>
              <w:jc w:val="both"/>
              <w:rPr>
                <w:b/>
                <w:color w:val="auto"/>
                <w:sz w:val="20"/>
                <w:szCs w:val="20"/>
              </w:rPr>
            </w:pPr>
            <w:r w:rsidRPr="005A505B">
              <w:rPr>
                <w:b/>
                <w:color w:val="auto"/>
                <w:sz w:val="20"/>
                <w:szCs w:val="20"/>
              </w:rPr>
              <w:t>Output Indicator</w:t>
            </w:r>
          </w:p>
        </w:tc>
        <w:tc>
          <w:tcPr>
            <w:tcW w:w="2552" w:type="dxa"/>
            <w:shd w:val="clear" w:color="auto" w:fill="DAEEF3" w:themeFill="accent5" w:themeFillTint="33"/>
          </w:tcPr>
          <w:p w:rsidR="00B510E5" w:rsidRPr="005A505B" w:rsidRDefault="00B510E5" w:rsidP="005A505B">
            <w:pPr>
              <w:pStyle w:val="Default"/>
              <w:jc w:val="both"/>
              <w:rPr>
                <w:b/>
                <w:color w:val="auto"/>
                <w:sz w:val="20"/>
                <w:szCs w:val="20"/>
              </w:rPr>
            </w:pPr>
            <w:r w:rsidRPr="005A505B">
              <w:rPr>
                <w:b/>
                <w:color w:val="auto"/>
                <w:sz w:val="20"/>
                <w:szCs w:val="20"/>
              </w:rPr>
              <w:t>Estimated Performance for 2022/23 (Targets)</w:t>
            </w:r>
          </w:p>
          <w:p w:rsidR="00B510E5" w:rsidRPr="005A505B" w:rsidRDefault="00B510E5" w:rsidP="005A505B">
            <w:pPr>
              <w:pStyle w:val="Default"/>
              <w:jc w:val="both"/>
              <w:rPr>
                <w:b/>
                <w:color w:val="auto"/>
                <w:sz w:val="20"/>
                <w:szCs w:val="20"/>
              </w:rPr>
            </w:pPr>
          </w:p>
        </w:tc>
        <w:tc>
          <w:tcPr>
            <w:tcW w:w="2262" w:type="dxa"/>
            <w:shd w:val="clear" w:color="auto" w:fill="DAEEF3" w:themeFill="accent5" w:themeFillTint="33"/>
          </w:tcPr>
          <w:p w:rsidR="00B510E5" w:rsidRPr="005A505B" w:rsidRDefault="00B510E5" w:rsidP="005A505B">
            <w:pPr>
              <w:pStyle w:val="Default"/>
              <w:jc w:val="center"/>
              <w:rPr>
                <w:b/>
                <w:color w:val="auto"/>
                <w:sz w:val="20"/>
                <w:szCs w:val="20"/>
              </w:rPr>
            </w:pPr>
            <w:r w:rsidRPr="005A505B">
              <w:rPr>
                <w:b/>
                <w:color w:val="auto"/>
                <w:sz w:val="20"/>
                <w:szCs w:val="20"/>
              </w:rPr>
              <w:t>Observation</w:t>
            </w:r>
          </w:p>
        </w:tc>
      </w:tr>
      <w:tr w:rsidR="00B510E5" w:rsidRPr="005A505B" w:rsidTr="002E66DA">
        <w:tc>
          <w:tcPr>
            <w:tcW w:w="2547" w:type="dxa"/>
            <w:shd w:val="clear" w:color="auto" w:fill="auto"/>
          </w:tcPr>
          <w:p w:rsidR="00B510E5" w:rsidRPr="005A505B" w:rsidRDefault="00B510E5" w:rsidP="005A505B">
            <w:pPr>
              <w:pStyle w:val="Default"/>
              <w:rPr>
                <w:color w:val="auto"/>
                <w:sz w:val="20"/>
                <w:szCs w:val="20"/>
              </w:rPr>
            </w:pPr>
            <w:r w:rsidRPr="005A505B">
              <w:rPr>
                <w:color w:val="auto"/>
                <w:sz w:val="20"/>
                <w:szCs w:val="20"/>
              </w:rPr>
              <w:t>To ensure good governance, effective administration and compliance with government regulations.</w:t>
            </w:r>
          </w:p>
          <w:p w:rsidR="00B510E5" w:rsidRPr="005A505B" w:rsidRDefault="00B510E5" w:rsidP="005A505B">
            <w:pPr>
              <w:pStyle w:val="Default"/>
              <w:rPr>
                <w:color w:val="auto"/>
                <w:sz w:val="20"/>
                <w:szCs w:val="20"/>
              </w:rPr>
            </w:pPr>
          </w:p>
        </w:tc>
        <w:tc>
          <w:tcPr>
            <w:tcW w:w="2267" w:type="dxa"/>
            <w:shd w:val="clear" w:color="auto" w:fill="auto"/>
          </w:tcPr>
          <w:p w:rsidR="00B510E5" w:rsidRPr="005A505B" w:rsidRDefault="00B510E5" w:rsidP="005A505B">
            <w:pPr>
              <w:pStyle w:val="Default"/>
              <w:rPr>
                <w:color w:val="auto"/>
                <w:sz w:val="20"/>
                <w:szCs w:val="20"/>
              </w:rPr>
            </w:pPr>
            <w:r w:rsidRPr="005A505B">
              <w:rPr>
                <w:color w:val="auto"/>
                <w:sz w:val="20"/>
                <w:szCs w:val="20"/>
              </w:rPr>
              <w:t xml:space="preserve">A clean audit opinion on the SAMRC from the Auditor-General. </w:t>
            </w:r>
          </w:p>
        </w:tc>
        <w:tc>
          <w:tcPr>
            <w:tcW w:w="2552" w:type="dxa"/>
            <w:shd w:val="clear" w:color="auto" w:fill="auto"/>
          </w:tcPr>
          <w:p w:rsidR="00B510E5" w:rsidRPr="005A505B" w:rsidRDefault="00B510E5" w:rsidP="005A505B">
            <w:pPr>
              <w:pStyle w:val="Default"/>
              <w:jc w:val="center"/>
              <w:rPr>
                <w:color w:val="auto"/>
                <w:sz w:val="20"/>
                <w:szCs w:val="20"/>
              </w:rPr>
            </w:pPr>
            <w:r w:rsidRPr="005A505B">
              <w:rPr>
                <w:color w:val="auto"/>
                <w:sz w:val="20"/>
                <w:szCs w:val="20"/>
              </w:rPr>
              <w:t>Clean audit</w:t>
            </w:r>
          </w:p>
        </w:tc>
        <w:tc>
          <w:tcPr>
            <w:tcW w:w="2262" w:type="dxa"/>
            <w:shd w:val="clear" w:color="auto" w:fill="auto"/>
          </w:tcPr>
          <w:p w:rsidR="00B510E5" w:rsidRPr="005A505B" w:rsidRDefault="00B510E5" w:rsidP="005A505B">
            <w:pPr>
              <w:pStyle w:val="Default"/>
              <w:jc w:val="center"/>
              <w:rPr>
                <w:color w:val="auto"/>
                <w:sz w:val="20"/>
                <w:szCs w:val="20"/>
              </w:rPr>
            </w:pPr>
            <w:r w:rsidRPr="005A505B">
              <w:rPr>
                <w:color w:val="auto"/>
                <w:sz w:val="20"/>
                <w:szCs w:val="20"/>
              </w:rPr>
              <w:t>Over the years, the SAMRC has excelled in achieving this target.</w:t>
            </w:r>
          </w:p>
        </w:tc>
      </w:tr>
      <w:tr w:rsidR="00B510E5" w:rsidRPr="005A505B" w:rsidTr="002E66DA">
        <w:tc>
          <w:tcPr>
            <w:tcW w:w="2547" w:type="dxa"/>
            <w:shd w:val="clear" w:color="auto" w:fill="auto"/>
          </w:tcPr>
          <w:p w:rsidR="00B510E5" w:rsidRPr="005A505B" w:rsidRDefault="00B510E5" w:rsidP="005A505B">
            <w:pPr>
              <w:pStyle w:val="Default"/>
              <w:rPr>
                <w:color w:val="auto"/>
                <w:sz w:val="20"/>
                <w:szCs w:val="20"/>
              </w:rPr>
            </w:pPr>
            <w:r w:rsidRPr="005A505B">
              <w:rPr>
                <w:color w:val="auto"/>
                <w:sz w:val="20"/>
                <w:szCs w:val="20"/>
              </w:rPr>
              <w:t xml:space="preserve">To promote the organisation’s administrative efficiency to maximise the funds available for research. </w:t>
            </w:r>
          </w:p>
          <w:p w:rsidR="00B510E5" w:rsidRPr="005A505B" w:rsidRDefault="00B510E5" w:rsidP="005A505B">
            <w:pPr>
              <w:pStyle w:val="Default"/>
              <w:rPr>
                <w:color w:val="auto"/>
                <w:sz w:val="20"/>
                <w:szCs w:val="20"/>
              </w:rPr>
            </w:pPr>
          </w:p>
        </w:tc>
        <w:tc>
          <w:tcPr>
            <w:tcW w:w="2267" w:type="dxa"/>
            <w:shd w:val="clear" w:color="auto" w:fill="auto"/>
          </w:tcPr>
          <w:p w:rsidR="00B510E5" w:rsidRPr="005A505B" w:rsidRDefault="00B510E5" w:rsidP="005A505B">
            <w:pPr>
              <w:pStyle w:val="Default"/>
              <w:rPr>
                <w:color w:val="auto"/>
                <w:sz w:val="20"/>
                <w:szCs w:val="20"/>
              </w:rPr>
            </w:pPr>
            <w:r w:rsidRPr="005A505B">
              <w:rPr>
                <w:color w:val="auto"/>
                <w:sz w:val="20"/>
                <w:szCs w:val="20"/>
              </w:rPr>
              <w:t xml:space="preserve">Percentage of the SAMRC total budget spent on administration. </w:t>
            </w:r>
          </w:p>
        </w:tc>
        <w:tc>
          <w:tcPr>
            <w:tcW w:w="2552" w:type="dxa"/>
            <w:shd w:val="clear" w:color="auto" w:fill="auto"/>
          </w:tcPr>
          <w:p w:rsidR="00B510E5" w:rsidRPr="005A505B" w:rsidRDefault="00B510E5" w:rsidP="005A505B">
            <w:pPr>
              <w:pStyle w:val="Default"/>
              <w:jc w:val="center"/>
              <w:rPr>
                <w:color w:val="auto"/>
                <w:sz w:val="20"/>
                <w:szCs w:val="20"/>
              </w:rPr>
            </w:pPr>
            <w:r w:rsidRPr="005A505B">
              <w:rPr>
                <w:color w:val="auto"/>
                <w:sz w:val="20"/>
                <w:szCs w:val="20"/>
              </w:rPr>
              <w:t>20%</w:t>
            </w:r>
          </w:p>
          <w:p w:rsidR="00B510E5" w:rsidRPr="005A505B" w:rsidRDefault="00B510E5" w:rsidP="005A505B">
            <w:pPr>
              <w:pStyle w:val="Default"/>
              <w:jc w:val="center"/>
              <w:rPr>
                <w:color w:val="auto"/>
                <w:sz w:val="20"/>
                <w:szCs w:val="20"/>
              </w:rPr>
            </w:pPr>
          </w:p>
        </w:tc>
        <w:tc>
          <w:tcPr>
            <w:tcW w:w="2262" w:type="dxa"/>
            <w:shd w:val="clear" w:color="auto" w:fill="auto"/>
          </w:tcPr>
          <w:p w:rsidR="00B510E5" w:rsidRPr="005A505B" w:rsidRDefault="00B510E5" w:rsidP="005A505B">
            <w:pPr>
              <w:pStyle w:val="Default"/>
              <w:jc w:val="center"/>
              <w:rPr>
                <w:color w:val="auto"/>
                <w:sz w:val="20"/>
                <w:szCs w:val="20"/>
              </w:rPr>
            </w:pPr>
            <w:r w:rsidRPr="005A505B">
              <w:rPr>
                <w:color w:val="auto"/>
                <w:sz w:val="20"/>
                <w:szCs w:val="20"/>
              </w:rPr>
              <w:t>This target is projected to remain 20% throughout the MTEF period. It was increased from 16% in 2020/21.</w:t>
            </w:r>
          </w:p>
          <w:p w:rsidR="00B510E5" w:rsidRPr="005A505B" w:rsidRDefault="00B510E5" w:rsidP="005A505B">
            <w:pPr>
              <w:pStyle w:val="Default"/>
              <w:jc w:val="both"/>
              <w:rPr>
                <w:color w:val="auto"/>
                <w:sz w:val="20"/>
                <w:szCs w:val="20"/>
              </w:rPr>
            </w:pPr>
          </w:p>
        </w:tc>
      </w:tr>
      <w:tr w:rsidR="00B510E5" w:rsidRPr="005A505B" w:rsidTr="002E66DA">
        <w:tc>
          <w:tcPr>
            <w:tcW w:w="2547" w:type="dxa"/>
            <w:vMerge w:val="restart"/>
            <w:shd w:val="clear" w:color="auto" w:fill="auto"/>
          </w:tcPr>
          <w:p w:rsidR="00B510E5" w:rsidRPr="005A505B" w:rsidRDefault="00B510E5" w:rsidP="005A505B">
            <w:pPr>
              <w:pStyle w:val="Default"/>
              <w:rPr>
                <w:color w:val="auto"/>
                <w:sz w:val="20"/>
                <w:szCs w:val="20"/>
              </w:rPr>
            </w:pPr>
            <w:r w:rsidRPr="005A505B">
              <w:rPr>
                <w:color w:val="auto"/>
                <w:sz w:val="20"/>
                <w:szCs w:val="20"/>
              </w:rPr>
              <w:t>To produce and promote scientific excellence and the reputation of South African health research.</w:t>
            </w:r>
          </w:p>
          <w:p w:rsidR="00B510E5" w:rsidRPr="005A505B" w:rsidRDefault="00B510E5" w:rsidP="005A505B">
            <w:pPr>
              <w:pStyle w:val="Default"/>
              <w:rPr>
                <w:color w:val="auto"/>
                <w:sz w:val="20"/>
                <w:szCs w:val="20"/>
              </w:rPr>
            </w:pPr>
          </w:p>
        </w:tc>
        <w:tc>
          <w:tcPr>
            <w:tcW w:w="2267" w:type="dxa"/>
            <w:shd w:val="clear" w:color="auto" w:fill="auto"/>
          </w:tcPr>
          <w:p w:rsidR="00B510E5" w:rsidRPr="005A505B" w:rsidRDefault="00B510E5" w:rsidP="005A505B">
            <w:pPr>
              <w:pStyle w:val="Default"/>
              <w:rPr>
                <w:color w:val="auto"/>
                <w:sz w:val="20"/>
                <w:szCs w:val="20"/>
              </w:rPr>
            </w:pPr>
            <w:r w:rsidRPr="005A505B">
              <w:rPr>
                <w:color w:val="auto"/>
                <w:sz w:val="20"/>
                <w:szCs w:val="20"/>
              </w:rPr>
              <w:t>Number of accepted and published journal articles, book chapters and books by SAMRC affiliated and funded authors.</w:t>
            </w:r>
          </w:p>
          <w:p w:rsidR="00B510E5" w:rsidRPr="005A505B" w:rsidRDefault="00B510E5" w:rsidP="005A505B">
            <w:pPr>
              <w:pStyle w:val="Default"/>
              <w:rPr>
                <w:color w:val="auto"/>
                <w:sz w:val="20"/>
                <w:szCs w:val="20"/>
              </w:rPr>
            </w:pPr>
          </w:p>
        </w:tc>
        <w:tc>
          <w:tcPr>
            <w:tcW w:w="2552" w:type="dxa"/>
            <w:shd w:val="clear" w:color="auto" w:fill="auto"/>
          </w:tcPr>
          <w:p w:rsidR="00B510E5" w:rsidRPr="005A505B" w:rsidRDefault="00B510E5" w:rsidP="005A505B">
            <w:pPr>
              <w:pStyle w:val="Default"/>
              <w:jc w:val="center"/>
              <w:rPr>
                <w:color w:val="auto"/>
                <w:sz w:val="20"/>
                <w:szCs w:val="20"/>
              </w:rPr>
            </w:pPr>
            <w:r w:rsidRPr="005A505B">
              <w:rPr>
                <w:color w:val="auto"/>
                <w:sz w:val="20"/>
                <w:szCs w:val="20"/>
              </w:rPr>
              <w:t>700</w:t>
            </w:r>
          </w:p>
        </w:tc>
        <w:tc>
          <w:tcPr>
            <w:tcW w:w="2262" w:type="dxa"/>
            <w:shd w:val="clear" w:color="auto" w:fill="auto"/>
          </w:tcPr>
          <w:p w:rsidR="00B510E5" w:rsidRPr="005A505B" w:rsidRDefault="00B510E5" w:rsidP="005A505B">
            <w:pPr>
              <w:pStyle w:val="Default"/>
              <w:jc w:val="center"/>
              <w:rPr>
                <w:color w:val="auto"/>
                <w:sz w:val="20"/>
                <w:szCs w:val="20"/>
              </w:rPr>
            </w:pPr>
            <w:r w:rsidRPr="005A505B">
              <w:rPr>
                <w:color w:val="auto"/>
                <w:sz w:val="20"/>
                <w:szCs w:val="20"/>
              </w:rPr>
              <w:t>This target decreased from 750 in 2021/22. It is projected to further decrease to 600 in  2024/25.</w:t>
            </w:r>
          </w:p>
        </w:tc>
      </w:tr>
      <w:tr w:rsidR="00510F2C" w:rsidRPr="005A505B" w:rsidTr="002E66DA">
        <w:tc>
          <w:tcPr>
            <w:tcW w:w="2547" w:type="dxa"/>
            <w:vMerge/>
            <w:shd w:val="clear" w:color="auto" w:fill="auto"/>
          </w:tcPr>
          <w:p w:rsidR="00B510E5" w:rsidRPr="005A505B" w:rsidRDefault="00B510E5" w:rsidP="005A505B">
            <w:pPr>
              <w:pStyle w:val="Default"/>
              <w:rPr>
                <w:color w:val="auto"/>
                <w:sz w:val="20"/>
                <w:szCs w:val="20"/>
              </w:rPr>
            </w:pPr>
          </w:p>
        </w:tc>
        <w:tc>
          <w:tcPr>
            <w:tcW w:w="2267" w:type="dxa"/>
            <w:shd w:val="clear" w:color="auto" w:fill="auto"/>
          </w:tcPr>
          <w:p w:rsidR="00B510E5" w:rsidRPr="005A505B" w:rsidRDefault="00B510E5" w:rsidP="005A505B">
            <w:pPr>
              <w:pStyle w:val="Default"/>
              <w:rPr>
                <w:color w:val="auto"/>
                <w:sz w:val="20"/>
                <w:szCs w:val="20"/>
              </w:rPr>
            </w:pPr>
            <w:r w:rsidRPr="005A505B">
              <w:rPr>
                <w:color w:val="auto"/>
                <w:sz w:val="20"/>
                <w:szCs w:val="20"/>
              </w:rPr>
              <w:t xml:space="preserve">Number of accepted and published journal articles by SAMRC grant-holders with acknowledgement of the SAMRC. </w:t>
            </w:r>
          </w:p>
          <w:p w:rsidR="00B510E5" w:rsidRPr="005A505B" w:rsidRDefault="00B510E5" w:rsidP="005A505B">
            <w:pPr>
              <w:pStyle w:val="Default"/>
              <w:rPr>
                <w:color w:val="auto"/>
                <w:sz w:val="20"/>
                <w:szCs w:val="20"/>
              </w:rPr>
            </w:pPr>
          </w:p>
        </w:tc>
        <w:tc>
          <w:tcPr>
            <w:tcW w:w="2552" w:type="dxa"/>
            <w:shd w:val="clear" w:color="auto" w:fill="auto"/>
          </w:tcPr>
          <w:p w:rsidR="00B510E5" w:rsidRPr="005A505B" w:rsidRDefault="00B510E5" w:rsidP="005A505B">
            <w:pPr>
              <w:pStyle w:val="Default"/>
              <w:jc w:val="center"/>
              <w:rPr>
                <w:color w:val="auto"/>
                <w:sz w:val="20"/>
                <w:szCs w:val="20"/>
              </w:rPr>
            </w:pPr>
            <w:r w:rsidRPr="005A505B">
              <w:rPr>
                <w:color w:val="auto"/>
                <w:sz w:val="20"/>
                <w:szCs w:val="20"/>
              </w:rPr>
              <w:lastRenderedPageBreak/>
              <w:t>180</w:t>
            </w:r>
          </w:p>
        </w:tc>
        <w:tc>
          <w:tcPr>
            <w:tcW w:w="2262" w:type="dxa"/>
            <w:shd w:val="clear" w:color="auto" w:fill="auto"/>
          </w:tcPr>
          <w:p w:rsidR="00B510E5" w:rsidRPr="005A505B" w:rsidRDefault="00B510E5" w:rsidP="005A505B">
            <w:pPr>
              <w:pStyle w:val="Default"/>
              <w:jc w:val="center"/>
              <w:rPr>
                <w:color w:val="auto"/>
                <w:sz w:val="20"/>
                <w:szCs w:val="20"/>
              </w:rPr>
            </w:pPr>
            <w:r w:rsidRPr="005A505B">
              <w:rPr>
                <w:color w:val="auto"/>
                <w:sz w:val="20"/>
                <w:szCs w:val="20"/>
              </w:rPr>
              <w:t>This target decreased from 200 in 2021/22. It is projected to further decrease to 170 in 2024/25.</w:t>
            </w:r>
          </w:p>
        </w:tc>
      </w:tr>
      <w:tr w:rsidR="00510F2C" w:rsidRPr="005A505B" w:rsidTr="002E66DA">
        <w:tc>
          <w:tcPr>
            <w:tcW w:w="2547" w:type="dxa"/>
            <w:shd w:val="clear" w:color="auto" w:fill="auto"/>
          </w:tcPr>
          <w:p w:rsidR="00B510E5" w:rsidRPr="005A505B" w:rsidRDefault="00B510E5" w:rsidP="005A505B">
            <w:pPr>
              <w:pStyle w:val="Default"/>
              <w:rPr>
                <w:color w:val="auto"/>
                <w:sz w:val="20"/>
                <w:szCs w:val="20"/>
              </w:rPr>
            </w:pPr>
            <w:r w:rsidRPr="005A505B">
              <w:rPr>
                <w:color w:val="auto"/>
                <w:sz w:val="20"/>
                <w:szCs w:val="20"/>
              </w:rPr>
              <w:lastRenderedPageBreak/>
              <w:t xml:space="preserve">To provide funding for the conduct of health research. </w:t>
            </w:r>
          </w:p>
        </w:tc>
        <w:tc>
          <w:tcPr>
            <w:tcW w:w="2267" w:type="dxa"/>
            <w:shd w:val="clear" w:color="auto" w:fill="auto"/>
          </w:tcPr>
          <w:p w:rsidR="00B510E5" w:rsidRPr="005A505B" w:rsidRDefault="00B510E5" w:rsidP="005A505B">
            <w:pPr>
              <w:pStyle w:val="Default"/>
              <w:rPr>
                <w:color w:val="auto"/>
                <w:sz w:val="20"/>
                <w:szCs w:val="20"/>
              </w:rPr>
            </w:pPr>
            <w:r w:rsidRPr="005A505B">
              <w:rPr>
                <w:color w:val="auto"/>
                <w:sz w:val="20"/>
                <w:szCs w:val="20"/>
              </w:rPr>
              <w:t xml:space="preserve">Number of research grants awarded by the SAMRC. </w:t>
            </w:r>
          </w:p>
          <w:p w:rsidR="00B510E5" w:rsidRPr="005A505B" w:rsidRDefault="00B510E5" w:rsidP="005A505B">
            <w:pPr>
              <w:pStyle w:val="Default"/>
              <w:rPr>
                <w:color w:val="auto"/>
                <w:sz w:val="20"/>
                <w:szCs w:val="20"/>
              </w:rPr>
            </w:pPr>
          </w:p>
        </w:tc>
        <w:tc>
          <w:tcPr>
            <w:tcW w:w="2552" w:type="dxa"/>
            <w:shd w:val="clear" w:color="auto" w:fill="auto"/>
          </w:tcPr>
          <w:p w:rsidR="00B510E5" w:rsidRPr="005A505B" w:rsidRDefault="00B510E5" w:rsidP="005A505B">
            <w:pPr>
              <w:pStyle w:val="Default"/>
              <w:jc w:val="center"/>
              <w:rPr>
                <w:color w:val="auto"/>
                <w:sz w:val="20"/>
                <w:szCs w:val="20"/>
              </w:rPr>
            </w:pPr>
            <w:r w:rsidRPr="005A505B">
              <w:rPr>
                <w:color w:val="auto"/>
                <w:sz w:val="20"/>
                <w:szCs w:val="20"/>
              </w:rPr>
              <w:t>420</w:t>
            </w:r>
          </w:p>
        </w:tc>
        <w:tc>
          <w:tcPr>
            <w:tcW w:w="2262" w:type="dxa"/>
            <w:shd w:val="clear" w:color="auto" w:fill="auto"/>
          </w:tcPr>
          <w:p w:rsidR="00B510E5" w:rsidRPr="005A505B" w:rsidRDefault="00B510E5" w:rsidP="005A505B">
            <w:pPr>
              <w:pStyle w:val="Default"/>
              <w:jc w:val="center"/>
              <w:rPr>
                <w:color w:val="auto"/>
                <w:sz w:val="20"/>
                <w:szCs w:val="20"/>
              </w:rPr>
            </w:pPr>
            <w:r w:rsidRPr="005A505B">
              <w:rPr>
                <w:color w:val="auto"/>
                <w:sz w:val="20"/>
                <w:szCs w:val="20"/>
              </w:rPr>
              <w:t>There is also a decrease from 450 in 2021/22. A significant projected decrease on this target to</w:t>
            </w:r>
          </w:p>
          <w:p w:rsidR="00B510E5" w:rsidRPr="005A505B" w:rsidRDefault="00B510E5" w:rsidP="005A505B">
            <w:pPr>
              <w:pStyle w:val="Default"/>
              <w:jc w:val="center"/>
              <w:rPr>
                <w:color w:val="auto"/>
                <w:sz w:val="20"/>
                <w:szCs w:val="20"/>
              </w:rPr>
            </w:pPr>
            <w:r w:rsidRPr="005A505B">
              <w:rPr>
                <w:color w:val="auto"/>
                <w:sz w:val="20"/>
                <w:szCs w:val="20"/>
              </w:rPr>
              <w:t>255 in 2024/25 is observed.</w:t>
            </w:r>
          </w:p>
          <w:p w:rsidR="00B510E5" w:rsidRPr="005A505B" w:rsidRDefault="00B510E5" w:rsidP="005A505B">
            <w:pPr>
              <w:pStyle w:val="Default"/>
              <w:jc w:val="both"/>
              <w:rPr>
                <w:color w:val="auto"/>
                <w:sz w:val="20"/>
                <w:szCs w:val="20"/>
              </w:rPr>
            </w:pPr>
          </w:p>
        </w:tc>
      </w:tr>
      <w:tr w:rsidR="00B510E5" w:rsidRPr="005A505B" w:rsidTr="002E66DA">
        <w:tc>
          <w:tcPr>
            <w:tcW w:w="2547" w:type="dxa"/>
            <w:shd w:val="clear" w:color="auto" w:fill="auto"/>
          </w:tcPr>
          <w:p w:rsidR="00B510E5" w:rsidRPr="005A505B" w:rsidRDefault="00B510E5" w:rsidP="005A505B">
            <w:pPr>
              <w:pStyle w:val="Default"/>
              <w:rPr>
                <w:color w:val="auto"/>
                <w:sz w:val="20"/>
                <w:szCs w:val="20"/>
              </w:rPr>
            </w:pPr>
            <w:r w:rsidRPr="005A505B">
              <w:rPr>
                <w:color w:val="auto"/>
                <w:sz w:val="20"/>
                <w:szCs w:val="20"/>
              </w:rPr>
              <w:t>Innovation projects and platforms funded by the SAMRC.</w:t>
            </w:r>
          </w:p>
        </w:tc>
        <w:tc>
          <w:tcPr>
            <w:tcW w:w="2267" w:type="dxa"/>
            <w:shd w:val="clear" w:color="auto" w:fill="auto"/>
          </w:tcPr>
          <w:p w:rsidR="00B510E5" w:rsidRPr="005A505B" w:rsidRDefault="00B510E5" w:rsidP="005A505B">
            <w:pPr>
              <w:pStyle w:val="Default"/>
              <w:rPr>
                <w:color w:val="auto"/>
                <w:sz w:val="20"/>
                <w:szCs w:val="20"/>
              </w:rPr>
            </w:pPr>
            <w:r w:rsidRPr="005A505B">
              <w:rPr>
                <w:color w:val="auto"/>
                <w:sz w:val="20"/>
                <w:szCs w:val="20"/>
              </w:rPr>
              <w:t>Number of new innovation and technology projects funded by the SAMRC aimed at developing, testing and/or implementing new or improved health solutions.</w:t>
            </w:r>
          </w:p>
          <w:p w:rsidR="00B510E5" w:rsidRPr="005A505B" w:rsidRDefault="00B510E5" w:rsidP="005A505B">
            <w:pPr>
              <w:pStyle w:val="Default"/>
              <w:rPr>
                <w:color w:val="auto"/>
                <w:sz w:val="20"/>
                <w:szCs w:val="20"/>
              </w:rPr>
            </w:pPr>
          </w:p>
        </w:tc>
        <w:tc>
          <w:tcPr>
            <w:tcW w:w="2552" w:type="dxa"/>
            <w:shd w:val="clear" w:color="auto" w:fill="auto"/>
          </w:tcPr>
          <w:p w:rsidR="00B510E5" w:rsidRPr="005A505B" w:rsidRDefault="00B510E5" w:rsidP="005A505B">
            <w:pPr>
              <w:pStyle w:val="Default"/>
              <w:jc w:val="center"/>
              <w:rPr>
                <w:color w:val="auto"/>
                <w:sz w:val="20"/>
                <w:szCs w:val="20"/>
              </w:rPr>
            </w:pPr>
            <w:r w:rsidRPr="005A505B">
              <w:rPr>
                <w:color w:val="auto"/>
                <w:sz w:val="20"/>
                <w:szCs w:val="20"/>
              </w:rPr>
              <w:t>4</w:t>
            </w:r>
          </w:p>
        </w:tc>
        <w:tc>
          <w:tcPr>
            <w:tcW w:w="2262" w:type="dxa"/>
            <w:shd w:val="clear" w:color="auto" w:fill="auto"/>
          </w:tcPr>
          <w:p w:rsidR="00B510E5" w:rsidRPr="005A505B" w:rsidRDefault="00B510E5" w:rsidP="005A505B">
            <w:pPr>
              <w:pStyle w:val="Default"/>
              <w:jc w:val="center"/>
              <w:rPr>
                <w:color w:val="auto"/>
                <w:sz w:val="20"/>
                <w:szCs w:val="20"/>
              </w:rPr>
            </w:pPr>
            <w:r w:rsidRPr="005A505B">
              <w:rPr>
                <w:color w:val="auto"/>
                <w:sz w:val="20"/>
                <w:szCs w:val="20"/>
              </w:rPr>
              <w:t>This target decreased significantly from 29 in 2020/21. It is projected to remain 4 throughout the MTEF period.</w:t>
            </w:r>
          </w:p>
        </w:tc>
      </w:tr>
      <w:tr w:rsidR="00B510E5" w:rsidRPr="005A505B" w:rsidTr="002E66DA">
        <w:tc>
          <w:tcPr>
            <w:tcW w:w="2547" w:type="dxa"/>
            <w:shd w:val="clear" w:color="auto" w:fill="auto"/>
          </w:tcPr>
          <w:p w:rsidR="00B510E5" w:rsidRPr="005A505B" w:rsidRDefault="00B510E5" w:rsidP="005A505B">
            <w:pPr>
              <w:pStyle w:val="Default"/>
              <w:rPr>
                <w:color w:val="auto"/>
                <w:sz w:val="20"/>
                <w:szCs w:val="20"/>
              </w:rPr>
            </w:pPr>
            <w:r w:rsidRPr="005A505B">
              <w:rPr>
                <w:color w:val="auto"/>
                <w:sz w:val="20"/>
                <w:szCs w:val="20"/>
              </w:rPr>
              <w:t>To enhance the long-term sustainability of health research in South Africa by providing funding for the next generation of health researchers.</w:t>
            </w:r>
          </w:p>
          <w:p w:rsidR="00B510E5" w:rsidRPr="005A505B" w:rsidRDefault="00B510E5" w:rsidP="005A505B">
            <w:pPr>
              <w:pStyle w:val="Default"/>
              <w:rPr>
                <w:color w:val="auto"/>
                <w:sz w:val="20"/>
                <w:szCs w:val="20"/>
              </w:rPr>
            </w:pPr>
          </w:p>
        </w:tc>
        <w:tc>
          <w:tcPr>
            <w:tcW w:w="2267" w:type="dxa"/>
            <w:shd w:val="clear" w:color="auto" w:fill="auto"/>
          </w:tcPr>
          <w:p w:rsidR="00B510E5" w:rsidRPr="005A505B" w:rsidRDefault="00B510E5" w:rsidP="005A505B">
            <w:pPr>
              <w:pStyle w:val="Default"/>
              <w:rPr>
                <w:color w:val="auto"/>
                <w:sz w:val="20"/>
                <w:szCs w:val="20"/>
              </w:rPr>
            </w:pPr>
            <w:r w:rsidRPr="005A505B">
              <w:rPr>
                <w:color w:val="auto"/>
                <w:sz w:val="20"/>
                <w:szCs w:val="20"/>
              </w:rPr>
              <w:t>Number of awards (scholarships, fellowships and grants) by the SAMRC for MSc, PhD, Postdocs and Early Career Scientists.</w:t>
            </w:r>
          </w:p>
          <w:p w:rsidR="00B510E5" w:rsidRPr="005A505B" w:rsidRDefault="00B510E5" w:rsidP="005A505B">
            <w:pPr>
              <w:pStyle w:val="Default"/>
              <w:rPr>
                <w:color w:val="auto"/>
                <w:sz w:val="20"/>
                <w:szCs w:val="20"/>
              </w:rPr>
            </w:pPr>
          </w:p>
        </w:tc>
        <w:tc>
          <w:tcPr>
            <w:tcW w:w="2552" w:type="dxa"/>
            <w:shd w:val="clear" w:color="auto" w:fill="auto"/>
          </w:tcPr>
          <w:p w:rsidR="00B510E5" w:rsidRPr="005A505B" w:rsidRDefault="00B510E5" w:rsidP="005A505B">
            <w:pPr>
              <w:pStyle w:val="Default"/>
              <w:jc w:val="center"/>
              <w:rPr>
                <w:color w:val="auto"/>
                <w:sz w:val="20"/>
                <w:szCs w:val="20"/>
              </w:rPr>
            </w:pPr>
            <w:r w:rsidRPr="005A505B">
              <w:rPr>
                <w:color w:val="auto"/>
                <w:sz w:val="20"/>
                <w:szCs w:val="20"/>
              </w:rPr>
              <w:t>140</w:t>
            </w:r>
          </w:p>
        </w:tc>
        <w:tc>
          <w:tcPr>
            <w:tcW w:w="2262" w:type="dxa"/>
            <w:shd w:val="clear" w:color="auto" w:fill="auto"/>
          </w:tcPr>
          <w:p w:rsidR="00B510E5" w:rsidRPr="005A505B" w:rsidRDefault="00B510E5" w:rsidP="005A505B">
            <w:pPr>
              <w:pStyle w:val="Default"/>
              <w:jc w:val="center"/>
              <w:rPr>
                <w:color w:val="auto"/>
                <w:sz w:val="20"/>
                <w:szCs w:val="20"/>
              </w:rPr>
            </w:pPr>
            <w:r w:rsidRPr="005A505B">
              <w:rPr>
                <w:color w:val="auto"/>
                <w:sz w:val="20"/>
                <w:szCs w:val="20"/>
              </w:rPr>
              <w:t>This target increased slightly from 130 in 2021/22. It is projected to decrease again to 130 in 2024/25.</w:t>
            </w:r>
          </w:p>
        </w:tc>
      </w:tr>
      <w:tr w:rsidR="00B510E5" w:rsidRPr="005A505B" w:rsidTr="002E66DA">
        <w:tc>
          <w:tcPr>
            <w:tcW w:w="2547" w:type="dxa"/>
            <w:shd w:val="clear" w:color="auto" w:fill="auto"/>
          </w:tcPr>
          <w:p w:rsidR="00B510E5" w:rsidRPr="005A505B" w:rsidRDefault="00B510E5" w:rsidP="005A505B">
            <w:pPr>
              <w:pStyle w:val="Default"/>
              <w:rPr>
                <w:color w:val="auto"/>
                <w:sz w:val="20"/>
                <w:szCs w:val="20"/>
              </w:rPr>
            </w:pPr>
            <w:r w:rsidRPr="005A505B">
              <w:rPr>
                <w:color w:val="auto"/>
                <w:sz w:val="20"/>
                <w:szCs w:val="20"/>
              </w:rPr>
              <w:t>To facilitate the translation of SAMRC research findings into public understanding, policy and practice.</w:t>
            </w:r>
          </w:p>
        </w:tc>
        <w:tc>
          <w:tcPr>
            <w:tcW w:w="2267" w:type="dxa"/>
            <w:shd w:val="clear" w:color="auto" w:fill="auto"/>
          </w:tcPr>
          <w:p w:rsidR="00B510E5" w:rsidRPr="005A505B" w:rsidRDefault="00B510E5" w:rsidP="005A505B">
            <w:pPr>
              <w:pStyle w:val="Default"/>
              <w:rPr>
                <w:color w:val="auto"/>
                <w:sz w:val="20"/>
                <w:szCs w:val="20"/>
              </w:rPr>
            </w:pPr>
            <w:r w:rsidRPr="005A505B">
              <w:rPr>
                <w:color w:val="auto"/>
                <w:sz w:val="20"/>
                <w:szCs w:val="20"/>
              </w:rPr>
              <w:t>Number of national or international bodies/committees SAMRC employees serve on.</w:t>
            </w:r>
          </w:p>
        </w:tc>
        <w:tc>
          <w:tcPr>
            <w:tcW w:w="2552" w:type="dxa"/>
            <w:shd w:val="clear" w:color="auto" w:fill="auto"/>
          </w:tcPr>
          <w:p w:rsidR="00B510E5" w:rsidRPr="005A505B" w:rsidRDefault="00B510E5" w:rsidP="005A505B">
            <w:pPr>
              <w:pStyle w:val="Default"/>
              <w:jc w:val="center"/>
              <w:rPr>
                <w:color w:val="auto"/>
                <w:sz w:val="20"/>
                <w:szCs w:val="20"/>
              </w:rPr>
            </w:pPr>
            <w:r w:rsidRPr="005A505B">
              <w:rPr>
                <w:color w:val="auto"/>
                <w:sz w:val="20"/>
                <w:szCs w:val="20"/>
              </w:rPr>
              <w:t>50</w:t>
            </w:r>
          </w:p>
        </w:tc>
        <w:tc>
          <w:tcPr>
            <w:tcW w:w="2262" w:type="dxa"/>
            <w:shd w:val="clear" w:color="auto" w:fill="auto"/>
          </w:tcPr>
          <w:p w:rsidR="00B510E5" w:rsidRPr="005A505B" w:rsidRDefault="00B510E5" w:rsidP="005A505B">
            <w:pPr>
              <w:pStyle w:val="Default"/>
              <w:jc w:val="center"/>
              <w:rPr>
                <w:color w:val="auto"/>
                <w:sz w:val="20"/>
                <w:szCs w:val="20"/>
              </w:rPr>
            </w:pPr>
            <w:r w:rsidRPr="005A505B">
              <w:rPr>
                <w:color w:val="auto"/>
                <w:sz w:val="20"/>
                <w:szCs w:val="20"/>
              </w:rPr>
              <w:t>This target decreased from 90 in 2021/22. It is projected to remain 50 throughout the MTEF period.</w:t>
            </w:r>
          </w:p>
        </w:tc>
      </w:tr>
    </w:tbl>
    <w:p w:rsidR="00B510E5" w:rsidRPr="005A505B" w:rsidRDefault="00B510E5" w:rsidP="005A505B">
      <w:pPr>
        <w:pStyle w:val="Default"/>
        <w:jc w:val="both"/>
        <w:rPr>
          <w:color w:val="auto"/>
          <w:sz w:val="20"/>
          <w:szCs w:val="20"/>
        </w:rPr>
      </w:pPr>
    </w:p>
    <w:p w:rsidR="00B510E5" w:rsidRPr="005A505B" w:rsidRDefault="00B510E5" w:rsidP="005A505B">
      <w:pPr>
        <w:pStyle w:val="Default"/>
        <w:jc w:val="both"/>
        <w:rPr>
          <w:b/>
          <w:bCs/>
          <w:color w:val="auto"/>
          <w:sz w:val="20"/>
          <w:szCs w:val="20"/>
        </w:rPr>
      </w:pPr>
      <w:r w:rsidRPr="005A505B">
        <w:rPr>
          <w:color w:val="auto"/>
          <w:sz w:val="20"/>
          <w:szCs w:val="20"/>
        </w:rPr>
        <w:t xml:space="preserve">The majority of the performance targets have been decreased and projected to further decrease by 2024/25 as earlier stated. The trend of decrease in performance targets continues from the previous fiscal year. A few of the targets are static, which is concerning given the mandate of the SAMRC in the country and beyond. In some instances, there is an insignificant increase in targets but still worrisome as allocation seems to be higher than the decreased performance targets. </w:t>
      </w:r>
    </w:p>
    <w:p w:rsidR="00B510E5" w:rsidRPr="005A505B" w:rsidRDefault="00B510E5" w:rsidP="005A505B">
      <w:pPr>
        <w:pStyle w:val="Default"/>
        <w:rPr>
          <w:b/>
          <w:bCs/>
          <w:color w:val="auto"/>
          <w:sz w:val="20"/>
          <w:szCs w:val="20"/>
        </w:rPr>
      </w:pPr>
    </w:p>
    <w:p w:rsidR="00B510E5" w:rsidRPr="005A505B" w:rsidRDefault="00282EB3" w:rsidP="005A505B">
      <w:pPr>
        <w:pStyle w:val="ListParagraph"/>
        <w:numPr>
          <w:ilvl w:val="2"/>
          <w:numId w:val="53"/>
        </w:numPr>
        <w:rPr>
          <w:rFonts w:cs="Arial"/>
          <w:color w:val="auto"/>
          <w:sz w:val="20"/>
          <w:szCs w:val="20"/>
        </w:rPr>
      </w:pPr>
      <w:r w:rsidRPr="005A505B">
        <w:rPr>
          <w:rFonts w:cs="Arial"/>
          <w:b/>
          <w:color w:val="auto"/>
          <w:sz w:val="20"/>
          <w:szCs w:val="20"/>
        </w:rPr>
        <w:t>Budget</w:t>
      </w:r>
      <w:r w:rsidR="00062633" w:rsidRPr="005A505B">
        <w:rPr>
          <w:rFonts w:cs="Arial"/>
          <w:b/>
          <w:color w:val="auto"/>
          <w:sz w:val="20"/>
          <w:szCs w:val="20"/>
        </w:rPr>
        <w:t xml:space="preserve"> for </w:t>
      </w:r>
      <w:r w:rsidR="00B510E5" w:rsidRPr="005A505B">
        <w:rPr>
          <w:rFonts w:cs="Arial"/>
          <w:b/>
          <w:color w:val="auto"/>
          <w:sz w:val="20"/>
          <w:szCs w:val="20"/>
        </w:rPr>
        <w:t xml:space="preserve">2022/23 </w:t>
      </w:r>
    </w:p>
    <w:p w:rsidR="00B510E5" w:rsidRPr="005A505B" w:rsidRDefault="00B510E5" w:rsidP="005A505B">
      <w:pPr>
        <w:pStyle w:val="Default"/>
        <w:rPr>
          <w:color w:val="auto"/>
          <w:sz w:val="20"/>
          <w:szCs w:val="20"/>
        </w:rPr>
      </w:pPr>
    </w:p>
    <w:p w:rsidR="00B86C37" w:rsidRPr="005A505B" w:rsidRDefault="00B86C37" w:rsidP="005A505B">
      <w:pPr>
        <w:pStyle w:val="Default"/>
        <w:jc w:val="both"/>
        <w:rPr>
          <w:color w:val="auto"/>
          <w:sz w:val="20"/>
          <w:szCs w:val="20"/>
        </w:rPr>
      </w:pPr>
      <w:r w:rsidRPr="005A505B">
        <w:rPr>
          <w:color w:val="auto"/>
          <w:sz w:val="20"/>
          <w:szCs w:val="20"/>
        </w:rPr>
        <w:t>With reference to the proposed allocation for 2022/23, the real decrease amounts to R-219.4 million. The bulk of the aforementioned real decrease come from Programme 2: Core Research (R-206.1 million) and Programme 3: Innovation and Technology (R-16.1 million). Of all the five programmes, the less prominent real decrease is on Programme 4: Capacity Development, where the deficit is R-4 million. In cushioning the effects of inflation, the SAMRC has identified key areas of reprioritisation</w:t>
      </w:r>
      <w:r w:rsidRPr="005A505B">
        <w:rPr>
          <w:b/>
          <w:i/>
          <w:color w:val="auto"/>
          <w:sz w:val="20"/>
          <w:szCs w:val="20"/>
        </w:rPr>
        <w:t xml:space="preserve"> </w:t>
      </w:r>
      <w:r w:rsidRPr="005A505B">
        <w:rPr>
          <w:color w:val="auto"/>
          <w:sz w:val="20"/>
          <w:szCs w:val="20"/>
        </w:rPr>
        <w:t xml:space="preserve">over the MTEF period to the amount of R10 million per annum to assist with COVID-19 mRNA vaccine development and R13 million for other COVID-19 research in 2022/23. This reprioritisation is projected to be R13 million in 2023/24 and R19 million in 2024/25. A further R13.5 million per annum over the MTEF has been ring-fenced to fund projects that will generate leverage funding of at least the equivalent amount from collaboration partners and funders. </w:t>
      </w:r>
    </w:p>
    <w:p w:rsidR="00B86C37" w:rsidRPr="005A505B" w:rsidRDefault="00B86C37" w:rsidP="005A505B">
      <w:pPr>
        <w:pStyle w:val="Default"/>
        <w:jc w:val="both"/>
        <w:rPr>
          <w:b/>
          <w:color w:val="auto"/>
          <w:sz w:val="20"/>
          <w:szCs w:val="20"/>
        </w:rPr>
      </w:pPr>
    </w:p>
    <w:p w:rsidR="00B510E5" w:rsidRPr="005A505B" w:rsidRDefault="00B510E5" w:rsidP="005A505B">
      <w:pPr>
        <w:pStyle w:val="Default"/>
        <w:jc w:val="both"/>
        <w:rPr>
          <w:b/>
          <w:color w:val="auto"/>
          <w:sz w:val="20"/>
          <w:szCs w:val="20"/>
        </w:rPr>
      </w:pPr>
      <w:r w:rsidRPr="005A505B">
        <w:rPr>
          <w:b/>
          <w:color w:val="auto"/>
          <w:sz w:val="20"/>
          <w:szCs w:val="20"/>
        </w:rPr>
        <w:t xml:space="preserve">Table </w:t>
      </w:r>
      <w:r w:rsidR="00282EB3" w:rsidRPr="005A505B">
        <w:rPr>
          <w:b/>
          <w:color w:val="auto"/>
          <w:sz w:val="20"/>
          <w:szCs w:val="20"/>
        </w:rPr>
        <w:t>17</w:t>
      </w:r>
      <w:r w:rsidRPr="005A505B">
        <w:rPr>
          <w:b/>
          <w:color w:val="auto"/>
          <w:sz w:val="20"/>
          <w:szCs w:val="20"/>
        </w:rPr>
        <w:t xml:space="preserve">: Proposed allocation for 2022/23 fiscal year </w:t>
      </w:r>
    </w:p>
    <w:tbl>
      <w:tblPr>
        <w:tblStyle w:val="TableGrid"/>
        <w:tblW w:w="9535" w:type="dxa"/>
        <w:tblLook w:val="04A0"/>
      </w:tblPr>
      <w:tblGrid>
        <w:gridCol w:w="2093"/>
        <w:gridCol w:w="1163"/>
        <w:gridCol w:w="1275"/>
        <w:gridCol w:w="1134"/>
        <w:gridCol w:w="1134"/>
        <w:gridCol w:w="1418"/>
        <w:gridCol w:w="1318"/>
      </w:tblGrid>
      <w:tr w:rsidR="00B510E5" w:rsidRPr="005A505B" w:rsidTr="002E66DA">
        <w:trPr>
          <w:trHeight w:val="765"/>
        </w:trPr>
        <w:tc>
          <w:tcPr>
            <w:tcW w:w="2093" w:type="dxa"/>
            <w:shd w:val="clear" w:color="auto" w:fill="DBE5F1" w:themeFill="accent1" w:themeFillTint="33"/>
            <w:noWrap/>
            <w:hideMark/>
          </w:tcPr>
          <w:p w:rsidR="00B510E5" w:rsidRPr="005A505B" w:rsidRDefault="00B510E5" w:rsidP="005A505B">
            <w:pPr>
              <w:pStyle w:val="Default"/>
              <w:jc w:val="both"/>
              <w:rPr>
                <w:b/>
                <w:bCs/>
                <w:color w:val="auto"/>
                <w:sz w:val="20"/>
                <w:szCs w:val="20"/>
                <w:lang w:val="en-GB"/>
              </w:rPr>
            </w:pPr>
            <w:r w:rsidRPr="005A505B">
              <w:rPr>
                <w:b/>
                <w:bCs/>
                <w:color w:val="auto"/>
                <w:sz w:val="20"/>
                <w:szCs w:val="20"/>
                <w:lang w:val="en-GB"/>
              </w:rPr>
              <w:t>Programme</w:t>
            </w:r>
          </w:p>
        </w:tc>
        <w:tc>
          <w:tcPr>
            <w:tcW w:w="2438" w:type="dxa"/>
            <w:gridSpan w:val="2"/>
            <w:shd w:val="clear" w:color="auto" w:fill="DBE5F1" w:themeFill="accent1" w:themeFillTint="33"/>
            <w:hideMark/>
          </w:tcPr>
          <w:p w:rsidR="00B510E5" w:rsidRPr="005A505B" w:rsidRDefault="00B510E5" w:rsidP="005A505B">
            <w:pPr>
              <w:pStyle w:val="Default"/>
              <w:jc w:val="both"/>
              <w:rPr>
                <w:b/>
                <w:bCs/>
                <w:color w:val="auto"/>
                <w:sz w:val="20"/>
                <w:szCs w:val="20"/>
                <w:lang w:val="en-GB"/>
              </w:rPr>
            </w:pPr>
            <w:r w:rsidRPr="005A505B">
              <w:rPr>
                <w:b/>
                <w:bCs/>
                <w:color w:val="auto"/>
                <w:sz w:val="20"/>
                <w:szCs w:val="20"/>
                <w:lang w:val="en-GB"/>
              </w:rPr>
              <w:t>Budget</w:t>
            </w:r>
          </w:p>
        </w:tc>
        <w:tc>
          <w:tcPr>
            <w:tcW w:w="1134" w:type="dxa"/>
            <w:vMerge w:val="restart"/>
            <w:shd w:val="clear" w:color="auto" w:fill="DBE5F1" w:themeFill="accent1" w:themeFillTint="33"/>
            <w:hideMark/>
          </w:tcPr>
          <w:p w:rsidR="00B510E5" w:rsidRPr="005A505B" w:rsidRDefault="00B510E5" w:rsidP="005A505B">
            <w:pPr>
              <w:pStyle w:val="Default"/>
              <w:jc w:val="both"/>
              <w:rPr>
                <w:b/>
                <w:bCs/>
                <w:color w:val="auto"/>
                <w:sz w:val="20"/>
                <w:szCs w:val="20"/>
                <w:lang w:val="en-GB"/>
              </w:rPr>
            </w:pPr>
            <w:r w:rsidRPr="005A505B">
              <w:rPr>
                <w:b/>
                <w:bCs/>
                <w:color w:val="auto"/>
                <w:sz w:val="20"/>
                <w:szCs w:val="20"/>
                <w:lang w:val="en-GB"/>
              </w:rPr>
              <w:t>Nominal Increase / Decrease in 2022/23</w:t>
            </w:r>
          </w:p>
        </w:tc>
        <w:tc>
          <w:tcPr>
            <w:tcW w:w="1134" w:type="dxa"/>
            <w:vMerge w:val="restart"/>
            <w:shd w:val="clear" w:color="auto" w:fill="DBE5F1" w:themeFill="accent1" w:themeFillTint="33"/>
            <w:hideMark/>
          </w:tcPr>
          <w:p w:rsidR="00B510E5" w:rsidRPr="005A505B" w:rsidRDefault="00B510E5" w:rsidP="005A505B">
            <w:pPr>
              <w:pStyle w:val="Default"/>
              <w:jc w:val="both"/>
              <w:rPr>
                <w:b/>
                <w:bCs/>
                <w:color w:val="auto"/>
                <w:sz w:val="20"/>
                <w:szCs w:val="20"/>
                <w:lang w:val="en-GB"/>
              </w:rPr>
            </w:pPr>
            <w:r w:rsidRPr="005A505B">
              <w:rPr>
                <w:b/>
                <w:bCs/>
                <w:color w:val="auto"/>
                <w:sz w:val="20"/>
                <w:szCs w:val="20"/>
                <w:lang w:val="en-GB"/>
              </w:rPr>
              <w:t>Real Increase / Decrease in 2022/23</w:t>
            </w:r>
          </w:p>
        </w:tc>
        <w:tc>
          <w:tcPr>
            <w:tcW w:w="1418" w:type="dxa"/>
            <w:vMerge w:val="restart"/>
            <w:shd w:val="clear" w:color="auto" w:fill="DBE5F1" w:themeFill="accent1" w:themeFillTint="33"/>
            <w:hideMark/>
          </w:tcPr>
          <w:p w:rsidR="00B510E5" w:rsidRPr="005A505B" w:rsidRDefault="00B510E5" w:rsidP="005A505B">
            <w:pPr>
              <w:pStyle w:val="Default"/>
              <w:rPr>
                <w:b/>
                <w:bCs/>
                <w:color w:val="auto"/>
                <w:sz w:val="20"/>
                <w:szCs w:val="20"/>
                <w:lang w:val="en-GB"/>
              </w:rPr>
            </w:pPr>
            <w:r w:rsidRPr="005A505B">
              <w:rPr>
                <w:b/>
                <w:bCs/>
                <w:color w:val="auto"/>
                <w:sz w:val="20"/>
                <w:szCs w:val="20"/>
                <w:lang w:val="en-GB"/>
              </w:rPr>
              <w:t>Nominal Percent change in 2022/23</w:t>
            </w:r>
          </w:p>
        </w:tc>
        <w:tc>
          <w:tcPr>
            <w:tcW w:w="1318" w:type="dxa"/>
            <w:vMerge w:val="restart"/>
            <w:shd w:val="clear" w:color="auto" w:fill="DBE5F1" w:themeFill="accent1" w:themeFillTint="33"/>
            <w:hideMark/>
          </w:tcPr>
          <w:p w:rsidR="00B510E5" w:rsidRPr="005A505B" w:rsidRDefault="00B510E5" w:rsidP="005A505B">
            <w:pPr>
              <w:pStyle w:val="Default"/>
              <w:rPr>
                <w:b/>
                <w:bCs/>
                <w:color w:val="auto"/>
                <w:sz w:val="20"/>
                <w:szCs w:val="20"/>
                <w:lang w:val="en-GB"/>
              </w:rPr>
            </w:pPr>
            <w:r w:rsidRPr="005A505B">
              <w:rPr>
                <w:b/>
                <w:bCs/>
                <w:color w:val="auto"/>
                <w:sz w:val="20"/>
                <w:szCs w:val="20"/>
                <w:lang w:val="en-GB"/>
              </w:rPr>
              <w:t>Real Percent change in 2022/23</w:t>
            </w:r>
          </w:p>
        </w:tc>
      </w:tr>
      <w:tr w:rsidR="00B510E5" w:rsidRPr="005A505B" w:rsidTr="002E66DA">
        <w:trPr>
          <w:trHeight w:val="264"/>
        </w:trPr>
        <w:tc>
          <w:tcPr>
            <w:tcW w:w="2093" w:type="dxa"/>
            <w:shd w:val="clear" w:color="auto" w:fill="DBE5F1" w:themeFill="accent1" w:themeFillTint="33"/>
            <w:noWrap/>
            <w:hideMark/>
          </w:tcPr>
          <w:p w:rsidR="00B510E5" w:rsidRPr="005A505B" w:rsidRDefault="00B510E5" w:rsidP="005A505B">
            <w:pPr>
              <w:pStyle w:val="Default"/>
              <w:jc w:val="both"/>
              <w:rPr>
                <w:b/>
                <w:bCs/>
                <w:color w:val="auto"/>
                <w:sz w:val="20"/>
                <w:szCs w:val="20"/>
                <w:lang w:val="en-GB"/>
              </w:rPr>
            </w:pPr>
            <w:r w:rsidRPr="005A505B">
              <w:rPr>
                <w:b/>
                <w:bCs/>
                <w:color w:val="auto"/>
                <w:sz w:val="20"/>
                <w:szCs w:val="20"/>
                <w:lang w:val="en-GB"/>
              </w:rPr>
              <w:t>R million</w:t>
            </w:r>
          </w:p>
        </w:tc>
        <w:tc>
          <w:tcPr>
            <w:tcW w:w="1163" w:type="dxa"/>
            <w:shd w:val="clear" w:color="auto" w:fill="DBE5F1" w:themeFill="accent1" w:themeFillTint="33"/>
            <w:noWrap/>
            <w:hideMark/>
          </w:tcPr>
          <w:p w:rsidR="00B510E5" w:rsidRPr="005A505B" w:rsidRDefault="00B510E5" w:rsidP="005A505B">
            <w:pPr>
              <w:pStyle w:val="Default"/>
              <w:jc w:val="both"/>
              <w:rPr>
                <w:b/>
                <w:bCs/>
                <w:color w:val="auto"/>
                <w:sz w:val="20"/>
                <w:szCs w:val="20"/>
                <w:lang w:val="en-GB"/>
              </w:rPr>
            </w:pPr>
            <w:r w:rsidRPr="005A505B">
              <w:rPr>
                <w:b/>
                <w:bCs/>
                <w:color w:val="auto"/>
                <w:sz w:val="20"/>
                <w:szCs w:val="20"/>
                <w:lang w:val="en-GB"/>
              </w:rPr>
              <w:t>2021/22</w:t>
            </w:r>
          </w:p>
        </w:tc>
        <w:tc>
          <w:tcPr>
            <w:tcW w:w="1275" w:type="dxa"/>
            <w:shd w:val="clear" w:color="auto" w:fill="DBE5F1" w:themeFill="accent1" w:themeFillTint="33"/>
            <w:noWrap/>
            <w:hideMark/>
          </w:tcPr>
          <w:p w:rsidR="00B510E5" w:rsidRPr="005A505B" w:rsidRDefault="00B510E5" w:rsidP="005A505B">
            <w:pPr>
              <w:pStyle w:val="Default"/>
              <w:jc w:val="both"/>
              <w:rPr>
                <w:b/>
                <w:bCs/>
                <w:color w:val="auto"/>
                <w:sz w:val="20"/>
                <w:szCs w:val="20"/>
                <w:lang w:val="en-GB"/>
              </w:rPr>
            </w:pPr>
            <w:r w:rsidRPr="005A505B">
              <w:rPr>
                <w:b/>
                <w:bCs/>
                <w:color w:val="auto"/>
                <w:sz w:val="20"/>
                <w:szCs w:val="20"/>
                <w:lang w:val="en-GB"/>
              </w:rPr>
              <w:t>2022/23</w:t>
            </w:r>
          </w:p>
        </w:tc>
        <w:tc>
          <w:tcPr>
            <w:tcW w:w="1134" w:type="dxa"/>
            <w:vMerge/>
            <w:shd w:val="clear" w:color="auto" w:fill="DBE5F1" w:themeFill="accent1" w:themeFillTint="33"/>
            <w:hideMark/>
          </w:tcPr>
          <w:p w:rsidR="00B510E5" w:rsidRPr="005A505B" w:rsidRDefault="00B510E5" w:rsidP="005A505B">
            <w:pPr>
              <w:pStyle w:val="Default"/>
              <w:jc w:val="both"/>
              <w:rPr>
                <w:b/>
                <w:bCs/>
                <w:color w:val="auto"/>
                <w:sz w:val="20"/>
                <w:szCs w:val="20"/>
                <w:lang w:val="en-GB"/>
              </w:rPr>
            </w:pPr>
          </w:p>
        </w:tc>
        <w:tc>
          <w:tcPr>
            <w:tcW w:w="1134" w:type="dxa"/>
            <w:vMerge/>
            <w:shd w:val="clear" w:color="auto" w:fill="DBE5F1" w:themeFill="accent1" w:themeFillTint="33"/>
            <w:hideMark/>
          </w:tcPr>
          <w:p w:rsidR="00B510E5" w:rsidRPr="005A505B" w:rsidRDefault="00B510E5" w:rsidP="005A505B">
            <w:pPr>
              <w:pStyle w:val="Default"/>
              <w:jc w:val="both"/>
              <w:rPr>
                <w:b/>
                <w:bCs/>
                <w:color w:val="auto"/>
                <w:sz w:val="20"/>
                <w:szCs w:val="20"/>
                <w:lang w:val="en-GB"/>
              </w:rPr>
            </w:pPr>
          </w:p>
        </w:tc>
        <w:tc>
          <w:tcPr>
            <w:tcW w:w="1418" w:type="dxa"/>
            <w:vMerge/>
            <w:shd w:val="clear" w:color="auto" w:fill="DBE5F1" w:themeFill="accent1" w:themeFillTint="33"/>
            <w:hideMark/>
          </w:tcPr>
          <w:p w:rsidR="00B510E5" w:rsidRPr="005A505B" w:rsidRDefault="00B510E5" w:rsidP="005A505B">
            <w:pPr>
              <w:pStyle w:val="Default"/>
              <w:jc w:val="both"/>
              <w:rPr>
                <w:b/>
                <w:bCs/>
                <w:color w:val="auto"/>
                <w:sz w:val="20"/>
                <w:szCs w:val="20"/>
                <w:lang w:val="en-GB"/>
              </w:rPr>
            </w:pPr>
          </w:p>
        </w:tc>
        <w:tc>
          <w:tcPr>
            <w:tcW w:w="1318" w:type="dxa"/>
            <w:vMerge/>
            <w:shd w:val="clear" w:color="auto" w:fill="DBE5F1" w:themeFill="accent1" w:themeFillTint="33"/>
            <w:hideMark/>
          </w:tcPr>
          <w:p w:rsidR="00B510E5" w:rsidRPr="005A505B" w:rsidRDefault="00B510E5" w:rsidP="005A505B">
            <w:pPr>
              <w:pStyle w:val="Default"/>
              <w:jc w:val="both"/>
              <w:rPr>
                <w:b/>
                <w:bCs/>
                <w:color w:val="auto"/>
                <w:sz w:val="20"/>
                <w:szCs w:val="20"/>
                <w:lang w:val="en-GB"/>
              </w:rPr>
            </w:pPr>
          </w:p>
        </w:tc>
      </w:tr>
      <w:tr w:rsidR="00B510E5" w:rsidRPr="005A505B" w:rsidTr="002E66DA">
        <w:trPr>
          <w:trHeight w:val="264"/>
        </w:trPr>
        <w:tc>
          <w:tcPr>
            <w:tcW w:w="2093" w:type="dxa"/>
            <w:noWrap/>
            <w:hideMark/>
          </w:tcPr>
          <w:p w:rsidR="00B510E5" w:rsidRPr="005A505B" w:rsidRDefault="00B510E5" w:rsidP="005A505B">
            <w:pPr>
              <w:pStyle w:val="Default"/>
              <w:jc w:val="both"/>
              <w:rPr>
                <w:color w:val="auto"/>
                <w:sz w:val="20"/>
                <w:szCs w:val="20"/>
                <w:lang w:val="en-GB"/>
              </w:rPr>
            </w:pPr>
            <w:r w:rsidRPr="005A505B">
              <w:rPr>
                <w:color w:val="auto"/>
                <w:sz w:val="20"/>
                <w:szCs w:val="20"/>
                <w:lang w:val="en-GB"/>
              </w:rPr>
              <w:t>Administration</w:t>
            </w:r>
          </w:p>
        </w:tc>
        <w:tc>
          <w:tcPr>
            <w:tcW w:w="1163" w:type="dxa"/>
            <w:noWrap/>
            <w:hideMark/>
          </w:tcPr>
          <w:p w:rsidR="00B510E5" w:rsidRPr="005A505B" w:rsidRDefault="00B510E5" w:rsidP="005A505B">
            <w:pPr>
              <w:pStyle w:val="Default"/>
              <w:jc w:val="both"/>
              <w:rPr>
                <w:color w:val="auto"/>
                <w:sz w:val="20"/>
                <w:szCs w:val="20"/>
                <w:lang w:val="en-GB"/>
              </w:rPr>
            </w:pPr>
            <w:r w:rsidRPr="005A505B">
              <w:rPr>
                <w:color w:val="auto"/>
                <w:sz w:val="20"/>
                <w:szCs w:val="20"/>
                <w:lang w:val="en-GB"/>
              </w:rPr>
              <w:t xml:space="preserve"> 209 275</w:t>
            </w:r>
          </w:p>
        </w:tc>
        <w:tc>
          <w:tcPr>
            <w:tcW w:w="1275" w:type="dxa"/>
            <w:shd w:val="clear" w:color="auto" w:fill="DBE5F1" w:themeFill="accent1" w:themeFillTint="33"/>
            <w:noWrap/>
            <w:hideMark/>
          </w:tcPr>
          <w:p w:rsidR="00B510E5" w:rsidRPr="005A505B" w:rsidRDefault="00B510E5" w:rsidP="005A505B">
            <w:pPr>
              <w:pStyle w:val="Default"/>
              <w:jc w:val="both"/>
              <w:rPr>
                <w:color w:val="auto"/>
                <w:sz w:val="20"/>
                <w:szCs w:val="20"/>
                <w:lang w:val="en-GB"/>
              </w:rPr>
            </w:pPr>
            <w:r w:rsidRPr="005A505B">
              <w:rPr>
                <w:color w:val="auto"/>
                <w:sz w:val="20"/>
                <w:szCs w:val="20"/>
                <w:lang w:val="en-GB"/>
              </w:rPr>
              <w:t xml:space="preserve"> 224 881</w:t>
            </w:r>
          </w:p>
        </w:tc>
        <w:tc>
          <w:tcPr>
            <w:tcW w:w="1134" w:type="dxa"/>
            <w:noWrap/>
            <w:hideMark/>
          </w:tcPr>
          <w:p w:rsidR="00B510E5" w:rsidRPr="005A505B" w:rsidRDefault="00B510E5" w:rsidP="005A505B">
            <w:pPr>
              <w:pStyle w:val="Default"/>
              <w:jc w:val="both"/>
              <w:rPr>
                <w:color w:val="auto"/>
                <w:sz w:val="20"/>
                <w:szCs w:val="20"/>
                <w:lang w:val="en-GB"/>
              </w:rPr>
            </w:pPr>
            <w:r w:rsidRPr="005A505B">
              <w:rPr>
                <w:color w:val="auto"/>
                <w:sz w:val="20"/>
                <w:szCs w:val="20"/>
                <w:lang w:val="en-GB"/>
              </w:rPr>
              <w:t xml:space="preserve"> 15 606</w:t>
            </w:r>
          </w:p>
        </w:tc>
        <w:tc>
          <w:tcPr>
            <w:tcW w:w="1134" w:type="dxa"/>
            <w:noWrap/>
            <w:hideMark/>
          </w:tcPr>
          <w:p w:rsidR="00B510E5" w:rsidRPr="005A505B" w:rsidRDefault="00B510E5" w:rsidP="005A505B">
            <w:pPr>
              <w:pStyle w:val="Default"/>
              <w:jc w:val="both"/>
              <w:rPr>
                <w:color w:val="auto"/>
                <w:sz w:val="20"/>
                <w:szCs w:val="20"/>
                <w:lang w:val="en-GB"/>
              </w:rPr>
            </w:pPr>
            <w:r w:rsidRPr="005A505B">
              <w:rPr>
                <w:color w:val="auto"/>
                <w:sz w:val="20"/>
                <w:szCs w:val="20"/>
                <w:lang w:val="en-GB"/>
              </w:rPr>
              <w:t xml:space="preserve"> 5 922</w:t>
            </w:r>
          </w:p>
        </w:tc>
        <w:tc>
          <w:tcPr>
            <w:tcW w:w="1418" w:type="dxa"/>
            <w:noWrap/>
            <w:hideMark/>
          </w:tcPr>
          <w:p w:rsidR="00B510E5" w:rsidRPr="005A505B" w:rsidRDefault="00B510E5" w:rsidP="005A505B">
            <w:pPr>
              <w:pStyle w:val="Default"/>
              <w:jc w:val="both"/>
              <w:rPr>
                <w:color w:val="auto"/>
                <w:sz w:val="20"/>
                <w:szCs w:val="20"/>
                <w:lang w:val="en-GB"/>
              </w:rPr>
            </w:pPr>
            <w:r w:rsidRPr="005A505B">
              <w:rPr>
                <w:color w:val="auto"/>
                <w:sz w:val="20"/>
                <w:szCs w:val="20"/>
                <w:lang w:val="en-GB"/>
              </w:rPr>
              <w:t>7</w:t>
            </w:r>
            <w:r w:rsidR="00282EB3" w:rsidRPr="005A505B">
              <w:rPr>
                <w:color w:val="auto"/>
                <w:sz w:val="20"/>
                <w:szCs w:val="20"/>
                <w:lang w:val="en-GB"/>
              </w:rPr>
              <w:t>.</w:t>
            </w:r>
            <w:r w:rsidRPr="005A505B">
              <w:rPr>
                <w:color w:val="auto"/>
                <w:sz w:val="20"/>
                <w:szCs w:val="20"/>
                <w:lang w:val="en-GB"/>
              </w:rPr>
              <w:t>46</w:t>
            </w:r>
            <w:r w:rsidR="0034021A" w:rsidRPr="005A505B">
              <w:rPr>
                <w:color w:val="auto"/>
                <w:sz w:val="20"/>
                <w:szCs w:val="20"/>
                <w:lang w:val="en-GB"/>
              </w:rPr>
              <w:t>%</w:t>
            </w:r>
          </w:p>
        </w:tc>
        <w:tc>
          <w:tcPr>
            <w:tcW w:w="1318" w:type="dxa"/>
            <w:noWrap/>
            <w:hideMark/>
          </w:tcPr>
          <w:p w:rsidR="00B510E5" w:rsidRPr="005A505B" w:rsidRDefault="00B510E5" w:rsidP="005A505B">
            <w:pPr>
              <w:pStyle w:val="Default"/>
              <w:jc w:val="both"/>
              <w:rPr>
                <w:color w:val="auto"/>
                <w:sz w:val="20"/>
                <w:szCs w:val="20"/>
                <w:lang w:val="en-GB"/>
              </w:rPr>
            </w:pPr>
            <w:r w:rsidRPr="005A505B">
              <w:rPr>
                <w:color w:val="auto"/>
                <w:sz w:val="20"/>
                <w:szCs w:val="20"/>
                <w:lang w:val="en-GB"/>
              </w:rPr>
              <w:t>2</w:t>
            </w:r>
            <w:r w:rsidR="00282EB3" w:rsidRPr="005A505B">
              <w:rPr>
                <w:color w:val="auto"/>
                <w:sz w:val="20"/>
                <w:szCs w:val="20"/>
                <w:lang w:val="en-GB"/>
              </w:rPr>
              <w:t>.</w:t>
            </w:r>
            <w:r w:rsidRPr="005A505B">
              <w:rPr>
                <w:color w:val="auto"/>
                <w:sz w:val="20"/>
                <w:szCs w:val="20"/>
                <w:lang w:val="en-GB"/>
              </w:rPr>
              <w:t>83</w:t>
            </w:r>
            <w:r w:rsidR="0034021A" w:rsidRPr="005A505B">
              <w:rPr>
                <w:color w:val="auto"/>
                <w:sz w:val="20"/>
                <w:szCs w:val="20"/>
                <w:lang w:val="en-GB"/>
              </w:rPr>
              <w:t>%</w:t>
            </w:r>
          </w:p>
        </w:tc>
      </w:tr>
      <w:tr w:rsidR="00B510E5" w:rsidRPr="005A505B" w:rsidTr="002E66DA">
        <w:trPr>
          <w:trHeight w:val="264"/>
        </w:trPr>
        <w:tc>
          <w:tcPr>
            <w:tcW w:w="2093" w:type="dxa"/>
            <w:noWrap/>
            <w:hideMark/>
          </w:tcPr>
          <w:p w:rsidR="00B510E5" w:rsidRPr="005A505B" w:rsidRDefault="00B510E5" w:rsidP="005A505B">
            <w:pPr>
              <w:pStyle w:val="Default"/>
              <w:jc w:val="both"/>
              <w:rPr>
                <w:color w:val="auto"/>
                <w:sz w:val="20"/>
                <w:szCs w:val="20"/>
                <w:lang w:val="en-GB"/>
              </w:rPr>
            </w:pPr>
            <w:r w:rsidRPr="005A505B">
              <w:rPr>
                <w:color w:val="auto"/>
                <w:sz w:val="20"/>
                <w:szCs w:val="20"/>
                <w:lang w:val="en-GB"/>
              </w:rPr>
              <w:lastRenderedPageBreak/>
              <w:t>Core Research</w:t>
            </w:r>
          </w:p>
        </w:tc>
        <w:tc>
          <w:tcPr>
            <w:tcW w:w="1163" w:type="dxa"/>
            <w:noWrap/>
            <w:hideMark/>
          </w:tcPr>
          <w:p w:rsidR="00B510E5" w:rsidRPr="005A505B" w:rsidRDefault="00B510E5" w:rsidP="005A505B">
            <w:pPr>
              <w:pStyle w:val="Default"/>
              <w:jc w:val="both"/>
              <w:rPr>
                <w:color w:val="auto"/>
                <w:sz w:val="20"/>
                <w:szCs w:val="20"/>
                <w:lang w:val="en-GB"/>
              </w:rPr>
            </w:pPr>
            <w:r w:rsidRPr="005A505B">
              <w:rPr>
                <w:color w:val="auto"/>
                <w:sz w:val="20"/>
                <w:szCs w:val="20"/>
                <w:lang w:val="en-GB"/>
              </w:rPr>
              <w:t xml:space="preserve"> 896 232</w:t>
            </w:r>
          </w:p>
        </w:tc>
        <w:tc>
          <w:tcPr>
            <w:tcW w:w="1275" w:type="dxa"/>
            <w:shd w:val="clear" w:color="auto" w:fill="DBE5F1" w:themeFill="accent1" w:themeFillTint="33"/>
            <w:noWrap/>
            <w:hideMark/>
          </w:tcPr>
          <w:p w:rsidR="00B510E5" w:rsidRPr="005A505B" w:rsidRDefault="00B510E5" w:rsidP="005A505B">
            <w:pPr>
              <w:pStyle w:val="Default"/>
              <w:jc w:val="both"/>
              <w:rPr>
                <w:color w:val="auto"/>
                <w:sz w:val="20"/>
                <w:szCs w:val="20"/>
                <w:lang w:val="en-GB"/>
              </w:rPr>
            </w:pPr>
            <w:r w:rsidRPr="005A505B">
              <w:rPr>
                <w:color w:val="auto"/>
                <w:sz w:val="20"/>
                <w:szCs w:val="20"/>
                <w:lang w:val="en-GB"/>
              </w:rPr>
              <w:t xml:space="preserve"> 721 095</w:t>
            </w:r>
          </w:p>
        </w:tc>
        <w:tc>
          <w:tcPr>
            <w:tcW w:w="1134" w:type="dxa"/>
            <w:noWrap/>
            <w:hideMark/>
          </w:tcPr>
          <w:p w:rsidR="00B510E5" w:rsidRPr="005A505B" w:rsidRDefault="00B510E5" w:rsidP="005A505B">
            <w:pPr>
              <w:pStyle w:val="Default"/>
              <w:jc w:val="both"/>
              <w:rPr>
                <w:color w:val="auto"/>
                <w:sz w:val="20"/>
                <w:szCs w:val="20"/>
                <w:lang w:val="en-GB"/>
              </w:rPr>
            </w:pPr>
            <w:r w:rsidRPr="005A505B">
              <w:rPr>
                <w:color w:val="auto"/>
                <w:sz w:val="20"/>
                <w:szCs w:val="20"/>
                <w:lang w:val="en-GB"/>
              </w:rPr>
              <w:t>- 175 137</w:t>
            </w:r>
          </w:p>
        </w:tc>
        <w:tc>
          <w:tcPr>
            <w:tcW w:w="1134" w:type="dxa"/>
            <w:noWrap/>
            <w:hideMark/>
          </w:tcPr>
          <w:p w:rsidR="00B510E5" w:rsidRPr="005A505B" w:rsidRDefault="00B510E5" w:rsidP="005A505B">
            <w:pPr>
              <w:pStyle w:val="Default"/>
              <w:jc w:val="both"/>
              <w:rPr>
                <w:color w:val="auto"/>
                <w:sz w:val="20"/>
                <w:szCs w:val="20"/>
                <w:lang w:val="en-GB"/>
              </w:rPr>
            </w:pPr>
            <w:r w:rsidRPr="005A505B">
              <w:rPr>
                <w:color w:val="auto"/>
                <w:sz w:val="20"/>
                <w:szCs w:val="20"/>
                <w:lang w:val="en-GB"/>
              </w:rPr>
              <w:t>- 206 189</w:t>
            </w:r>
          </w:p>
        </w:tc>
        <w:tc>
          <w:tcPr>
            <w:tcW w:w="1418" w:type="dxa"/>
            <w:noWrap/>
            <w:hideMark/>
          </w:tcPr>
          <w:p w:rsidR="00B510E5" w:rsidRPr="005A505B" w:rsidRDefault="00B510E5" w:rsidP="005A505B">
            <w:pPr>
              <w:pStyle w:val="Default"/>
              <w:jc w:val="both"/>
              <w:rPr>
                <w:color w:val="auto"/>
                <w:sz w:val="20"/>
                <w:szCs w:val="20"/>
                <w:lang w:val="en-GB"/>
              </w:rPr>
            </w:pPr>
            <w:r w:rsidRPr="005A505B">
              <w:rPr>
                <w:color w:val="auto"/>
                <w:sz w:val="20"/>
                <w:szCs w:val="20"/>
                <w:lang w:val="en-GB"/>
              </w:rPr>
              <w:t>-19</w:t>
            </w:r>
            <w:r w:rsidR="00282EB3" w:rsidRPr="005A505B">
              <w:rPr>
                <w:color w:val="auto"/>
                <w:sz w:val="20"/>
                <w:szCs w:val="20"/>
                <w:lang w:val="en-GB"/>
              </w:rPr>
              <w:t>.</w:t>
            </w:r>
            <w:r w:rsidRPr="005A505B">
              <w:rPr>
                <w:color w:val="auto"/>
                <w:sz w:val="20"/>
                <w:szCs w:val="20"/>
                <w:lang w:val="en-GB"/>
              </w:rPr>
              <w:t>54</w:t>
            </w:r>
            <w:r w:rsidR="0034021A" w:rsidRPr="005A505B">
              <w:rPr>
                <w:color w:val="auto"/>
                <w:sz w:val="20"/>
                <w:szCs w:val="20"/>
                <w:lang w:val="en-GB"/>
              </w:rPr>
              <w:t>%</w:t>
            </w:r>
          </w:p>
        </w:tc>
        <w:tc>
          <w:tcPr>
            <w:tcW w:w="1318" w:type="dxa"/>
            <w:noWrap/>
            <w:hideMark/>
          </w:tcPr>
          <w:p w:rsidR="00B510E5" w:rsidRPr="005A505B" w:rsidRDefault="00B510E5" w:rsidP="005A505B">
            <w:pPr>
              <w:pStyle w:val="Default"/>
              <w:jc w:val="both"/>
              <w:rPr>
                <w:color w:val="auto"/>
                <w:sz w:val="20"/>
                <w:szCs w:val="20"/>
                <w:lang w:val="en-GB"/>
              </w:rPr>
            </w:pPr>
            <w:r w:rsidRPr="005A505B">
              <w:rPr>
                <w:color w:val="auto"/>
                <w:sz w:val="20"/>
                <w:szCs w:val="20"/>
                <w:lang w:val="en-GB"/>
              </w:rPr>
              <w:t>-23</w:t>
            </w:r>
            <w:r w:rsidR="00282EB3" w:rsidRPr="005A505B">
              <w:rPr>
                <w:color w:val="auto"/>
                <w:sz w:val="20"/>
                <w:szCs w:val="20"/>
                <w:lang w:val="en-GB"/>
              </w:rPr>
              <w:t>.</w:t>
            </w:r>
            <w:r w:rsidRPr="005A505B">
              <w:rPr>
                <w:color w:val="auto"/>
                <w:sz w:val="20"/>
                <w:szCs w:val="20"/>
                <w:lang w:val="en-GB"/>
              </w:rPr>
              <w:t>01</w:t>
            </w:r>
            <w:r w:rsidR="0034021A" w:rsidRPr="005A505B">
              <w:rPr>
                <w:color w:val="auto"/>
                <w:sz w:val="20"/>
                <w:szCs w:val="20"/>
                <w:lang w:val="en-GB"/>
              </w:rPr>
              <w:t>%</w:t>
            </w:r>
          </w:p>
        </w:tc>
      </w:tr>
      <w:tr w:rsidR="00B510E5" w:rsidRPr="005A505B" w:rsidTr="002E66DA">
        <w:trPr>
          <w:trHeight w:val="264"/>
        </w:trPr>
        <w:tc>
          <w:tcPr>
            <w:tcW w:w="2093" w:type="dxa"/>
            <w:noWrap/>
            <w:hideMark/>
          </w:tcPr>
          <w:p w:rsidR="00B510E5" w:rsidRPr="005A505B" w:rsidRDefault="00B510E5" w:rsidP="005A505B">
            <w:pPr>
              <w:pStyle w:val="Default"/>
              <w:rPr>
                <w:color w:val="auto"/>
                <w:sz w:val="20"/>
                <w:szCs w:val="20"/>
                <w:lang w:val="en-GB"/>
              </w:rPr>
            </w:pPr>
            <w:r w:rsidRPr="005A505B">
              <w:rPr>
                <w:color w:val="auto"/>
                <w:sz w:val="20"/>
                <w:szCs w:val="20"/>
                <w:lang w:val="en-GB"/>
              </w:rPr>
              <w:t>Innovation and Technology</w:t>
            </w:r>
          </w:p>
        </w:tc>
        <w:tc>
          <w:tcPr>
            <w:tcW w:w="1163" w:type="dxa"/>
            <w:noWrap/>
            <w:hideMark/>
          </w:tcPr>
          <w:p w:rsidR="00B510E5" w:rsidRPr="005A505B" w:rsidRDefault="00B510E5" w:rsidP="005A505B">
            <w:pPr>
              <w:pStyle w:val="Default"/>
              <w:jc w:val="both"/>
              <w:rPr>
                <w:color w:val="auto"/>
                <w:sz w:val="20"/>
                <w:szCs w:val="20"/>
                <w:lang w:val="en-GB"/>
              </w:rPr>
            </w:pPr>
            <w:r w:rsidRPr="005A505B">
              <w:rPr>
                <w:color w:val="auto"/>
                <w:sz w:val="20"/>
                <w:szCs w:val="20"/>
                <w:lang w:val="en-GB"/>
              </w:rPr>
              <w:t xml:space="preserve"> 309 133</w:t>
            </w:r>
          </w:p>
        </w:tc>
        <w:tc>
          <w:tcPr>
            <w:tcW w:w="1275" w:type="dxa"/>
            <w:shd w:val="clear" w:color="auto" w:fill="DBE5F1" w:themeFill="accent1" w:themeFillTint="33"/>
            <w:noWrap/>
            <w:hideMark/>
          </w:tcPr>
          <w:p w:rsidR="00B510E5" w:rsidRPr="005A505B" w:rsidRDefault="00B510E5" w:rsidP="005A505B">
            <w:pPr>
              <w:pStyle w:val="Default"/>
              <w:jc w:val="both"/>
              <w:rPr>
                <w:color w:val="auto"/>
                <w:sz w:val="20"/>
                <w:szCs w:val="20"/>
                <w:lang w:val="en-GB"/>
              </w:rPr>
            </w:pPr>
            <w:r w:rsidRPr="005A505B">
              <w:rPr>
                <w:color w:val="auto"/>
                <w:sz w:val="20"/>
                <w:szCs w:val="20"/>
                <w:lang w:val="en-GB"/>
              </w:rPr>
              <w:t xml:space="preserve"> 306 192</w:t>
            </w:r>
          </w:p>
        </w:tc>
        <w:tc>
          <w:tcPr>
            <w:tcW w:w="1134" w:type="dxa"/>
            <w:noWrap/>
            <w:hideMark/>
          </w:tcPr>
          <w:p w:rsidR="00B510E5" w:rsidRPr="005A505B" w:rsidRDefault="00B510E5" w:rsidP="005A505B">
            <w:pPr>
              <w:pStyle w:val="Default"/>
              <w:jc w:val="both"/>
              <w:rPr>
                <w:color w:val="auto"/>
                <w:sz w:val="20"/>
                <w:szCs w:val="20"/>
                <w:lang w:val="en-GB"/>
              </w:rPr>
            </w:pPr>
            <w:r w:rsidRPr="005A505B">
              <w:rPr>
                <w:color w:val="auto"/>
                <w:sz w:val="20"/>
                <w:szCs w:val="20"/>
                <w:lang w:val="en-GB"/>
              </w:rPr>
              <w:t>- 2 941</w:t>
            </w:r>
          </w:p>
        </w:tc>
        <w:tc>
          <w:tcPr>
            <w:tcW w:w="1134" w:type="dxa"/>
            <w:noWrap/>
            <w:hideMark/>
          </w:tcPr>
          <w:p w:rsidR="00B510E5" w:rsidRPr="005A505B" w:rsidRDefault="00B510E5" w:rsidP="005A505B">
            <w:pPr>
              <w:pStyle w:val="Default"/>
              <w:jc w:val="both"/>
              <w:rPr>
                <w:color w:val="auto"/>
                <w:sz w:val="20"/>
                <w:szCs w:val="20"/>
                <w:lang w:val="en-GB"/>
              </w:rPr>
            </w:pPr>
            <w:r w:rsidRPr="005A505B">
              <w:rPr>
                <w:color w:val="auto"/>
                <w:sz w:val="20"/>
                <w:szCs w:val="20"/>
                <w:lang w:val="en-GB"/>
              </w:rPr>
              <w:t>- 16 126</w:t>
            </w:r>
          </w:p>
        </w:tc>
        <w:tc>
          <w:tcPr>
            <w:tcW w:w="1418" w:type="dxa"/>
            <w:noWrap/>
            <w:hideMark/>
          </w:tcPr>
          <w:p w:rsidR="00B510E5" w:rsidRPr="005A505B" w:rsidRDefault="00B510E5" w:rsidP="005A505B">
            <w:pPr>
              <w:pStyle w:val="Default"/>
              <w:jc w:val="both"/>
              <w:rPr>
                <w:color w:val="auto"/>
                <w:sz w:val="20"/>
                <w:szCs w:val="20"/>
                <w:lang w:val="en-GB"/>
              </w:rPr>
            </w:pPr>
            <w:r w:rsidRPr="005A505B">
              <w:rPr>
                <w:color w:val="auto"/>
                <w:sz w:val="20"/>
                <w:szCs w:val="20"/>
                <w:lang w:val="en-GB"/>
              </w:rPr>
              <w:t>-0</w:t>
            </w:r>
            <w:r w:rsidR="00282EB3" w:rsidRPr="005A505B">
              <w:rPr>
                <w:color w:val="auto"/>
                <w:sz w:val="20"/>
                <w:szCs w:val="20"/>
                <w:lang w:val="en-GB"/>
              </w:rPr>
              <w:t>.</w:t>
            </w:r>
            <w:r w:rsidRPr="005A505B">
              <w:rPr>
                <w:color w:val="auto"/>
                <w:sz w:val="20"/>
                <w:szCs w:val="20"/>
                <w:lang w:val="en-GB"/>
              </w:rPr>
              <w:t>95</w:t>
            </w:r>
            <w:r w:rsidR="0034021A" w:rsidRPr="005A505B">
              <w:rPr>
                <w:color w:val="auto"/>
                <w:sz w:val="20"/>
                <w:szCs w:val="20"/>
                <w:lang w:val="en-GB"/>
              </w:rPr>
              <w:t>%</w:t>
            </w:r>
          </w:p>
        </w:tc>
        <w:tc>
          <w:tcPr>
            <w:tcW w:w="1318" w:type="dxa"/>
            <w:noWrap/>
            <w:hideMark/>
          </w:tcPr>
          <w:p w:rsidR="00B510E5" w:rsidRPr="005A505B" w:rsidRDefault="00B510E5" w:rsidP="005A505B">
            <w:pPr>
              <w:pStyle w:val="Default"/>
              <w:jc w:val="both"/>
              <w:rPr>
                <w:color w:val="auto"/>
                <w:sz w:val="20"/>
                <w:szCs w:val="20"/>
                <w:lang w:val="en-GB"/>
              </w:rPr>
            </w:pPr>
            <w:r w:rsidRPr="005A505B">
              <w:rPr>
                <w:color w:val="auto"/>
                <w:sz w:val="20"/>
                <w:szCs w:val="20"/>
                <w:lang w:val="en-GB"/>
              </w:rPr>
              <w:t>-5</w:t>
            </w:r>
            <w:r w:rsidR="00282EB3" w:rsidRPr="005A505B">
              <w:rPr>
                <w:color w:val="auto"/>
                <w:sz w:val="20"/>
                <w:szCs w:val="20"/>
                <w:lang w:val="en-GB"/>
              </w:rPr>
              <w:t>.</w:t>
            </w:r>
            <w:r w:rsidRPr="005A505B">
              <w:rPr>
                <w:color w:val="auto"/>
                <w:sz w:val="20"/>
                <w:szCs w:val="20"/>
                <w:lang w:val="en-GB"/>
              </w:rPr>
              <w:t>22</w:t>
            </w:r>
            <w:r w:rsidR="0034021A" w:rsidRPr="005A505B">
              <w:rPr>
                <w:color w:val="auto"/>
                <w:sz w:val="20"/>
                <w:szCs w:val="20"/>
                <w:lang w:val="en-GB"/>
              </w:rPr>
              <w:t>%</w:t>
            </w:r>
          </w:p>
        </w:tc>
      </w:tr>
      <w:tr w:rsidR="00B510E5" w:rsidRPr="005A505B" w:rsidTr="002E66DA">
        <w:trPr>
          <w:trHeight w:val="264"/>
        </w:trPr>
        <w:tc>
          <w:tcPr>
            <w:tcW w:w="2093" w:type="dxa"/>
            <w:noWrap/>
            <w:hideMark/>
          </w:tcPr>
          <w:p w:rsidR="00B510E5" w:rsidRPr="005A505B" w:rsidRDefault="00B510E5" w:rsidP="005A505B">
            <w:pPr>
              <w:pStyle w:val="Default"/>
              <w:jc w:val="both"/>
              <w:rPr>
                <w:color w:val="auto"/>
                <w:sz w:val="20"/>
                <w:szCs w:val="20"/>
                <w:lang w:val="en-GB"/>
              </w:rPr>
            </w:pPr>
            <w:r w:rsidRPr="005A505B">
              <w:rPr>
                <w:color w:val="auto"/>
                <w:sz w:val="20"/>
                <w:szCs w:val="20"/>
                <w:lang w:val="en-GB"/>
              </w:rPr>
              <w:t>Capacity Development</w:t>
            </w:r>
          </w:p>
        </w:tc>
        <w:tc>
          <w:tcPr>
            <w:tcW w:w="1163" w:type="dxa"/>
            <w:noWrap/>
            <w:hideMark/>
          </w:tcPr>
          <w:p w:rsidR="00B510E5" w:rsidRPr="005A505B" w:rsidRDefault="00B510E5" w:rsidP="005A505B">
            <w:pPr>
              <w:pStyle w:val="Default"/>
              <w:jc w:val="both"/>
              <w:rPr>
                <w:color w:val="auto"/>
                <w:sz w:val="20"/>
                <w:szCs w:val="20"/>
                <w:lang w:val="en-GB"/>
              </w:rPr>
            </w:pPr>
            <w:r w:rsidRPr="005A505B">
              <w:rPr>
                <w:color w:val="auto"/>
                <w:sz w:val="20"/>
                <w:szCs w:val="20"/>
                <w:lang w:val="en-GB"/>
              </w:rPr>
              <w:t xml:space="preserve"> 88 387</w:t>
            </w:r>
          </w:p>
        </w:tc>
        <w:tc>
          <w:tcPr>
            <w:tcW w:w="1275" w:type="dxa"/>
            <w:shd w:val="clear" w:color="auto" w:fill="DBE5F1" w:themeFill="accent1" w:themeFillTint="33"/>
            <w:noWrap/>
            <w:hideMark/>
          </w:tcPr>
          <w:p w:rsidR="00B510E5" w:rsidRPr="005A505B" w:rsidRDefault="00B510E5" w:rsidP="005A505B">
            <w:pPr>
              <w:pStyle w:val="Default"/>
              <w:jc w:val="both"/>
              <w:rPr>
                <w:color w:val="auto"/>
                <w:sz w:val="20"/>
                <w:szCs w:val="20"/>
                <w:lang w:val="en-GB"/>
              </w:rPr>
            </w:pPr>
            <w:r w:rsidRPr="005A505B">
              <w:rPr>
                <w:color w:val="auto"/>
                <w:sz w:val="20"/>
                <w:szCs w:val="20"/>
                <w:lang w:val="en-GB"/>
              </w:rPr>
              <w:t xml:space="preserve"> 88 146</w:t>
            </w:r>
          </w:p>
        </w:tc>
        <w:tc>
          <w:tcPr>
            <w:tcW w:w="1134" w:type="dxa"/>
            <w:noWrap/>
            <w:hideMark/>
          </w:tcPr>
          <w:p w:rsidR="00B510E5" w:rsidRPr="005A505B" w:rsidRDefault="00B510E5" w:rsidP="005A505B">
            <w:pPr>
              <w:pStyle w:val="Default"/>
              <w:jc w:val="both"/>
              <w:rPr>
                <w:color w:val="auto"/>
                <w:sz w:val="20"/>
                <w:szCs w:val="20"/>
                <w:lang w:val="en-GB"/>
              </w:rPr>
            </w:pPr>
            <w:r w:rsidRPr="005A505B">
              <w:rPr>
                <w:color w:val="auto"/>
                <w:sz w:val="20"/>
                <w:szCs w:val="20"/>
                <w:lang w:val="en-GB"/>
              </w:rPr>
              <w:t>-  241</w:t>
            </w:r>
          </w:p>
        </w:tc>
        <w:tc>
          <w:tcPr>
            <w:tcW w:w="1134" w:type="dxa"/>
            <w:noWrap/>
            <w:hideMark/>
          </w:tcPr>
          <w:p w:rsidR="00B510E5" w:rsidRPr="005A505B" w:rsidRDefault="00B510E5" w:rsidP="005A505B">
            <w:pPr>
              <w:pStyle w:val="Default"/>
              <w:jc w:val="both"/>
              <w:rPr>
                <w:color w:val="auto"/>
                <w:sz w:val="20"/>
                <w:szCs w:val="20"/>
                <w:lang w:val="en-GB"/>
              </w:rPr>
            </w:pPr>
            <w:r w:rsidRPr="005A505B">
              <w:rPr>
                <w:color w:val="auto"/>
                <w:sz w:val="20"/>
                <w:szCs w:val="20"/>
                <w:lang w:val="en-GB"/>
              </w:rPr>
              <w:t>- 4 03</w:t>
            </w:r>
            <w:r w:rsidR="00282EB3" w:rsidRPr="005A505B">
              <w:rPr>
                <w:color w:val="auto"/>
                <w:sz w:val="20"/>
                <w:szCs w:val="20"/>
                <w:lang w:val="en-GB"/>
              </w:rPr>
              <w:t>7</w:t>
            </w:r>
          </w:p>
        </w:tc>
        <w:tc>
          <w:tcPr>
            <w:tcW w:w="1418" w:type="dxa"/>
            <w:noWrap/>
            <w:hideMark/>
          </w:tcPr>
          <w:p w:rsidR="00B510E5" w:rsidRPr="005A505B" w:rsidRDefault="00B510E5" w:rsidP="005A505B">
            <w:pPr>
              <w:pStyle w:val="Default"/>
              <w:jc w:val="both"/>
              <w:rPr>
                <w:color w:val="auto"/>
                <w:sz w:val="20"/>
                <w:szCs w:val="20"/>
                <w:lang w:val="en-GB"/>
              </w:rPr>
            </w:pPr>
            <w:r w:rsidRPr="005A505B">
              <w:rPr>
                <w:color w:val="auto"/>
                <w:sz w:val="20"/>
                <w:szCs w:val="20"/>
                <w:lang w:val="en-GB"/>
              </w:rPr>
              <w:t>-0,</w:t>
            </w:r>
            <w:r w:rsidR="00282EB3" w:rsidRPr="005A505B">
              <w:rPr>
                <w:color w:val="auto"/>
                <w:sz w:val="20"/>
                <w:szCs w:val="20"/>
                <w:lang w:val="en-GB"/>
              </w:rPr>
              <w:t>.</w:t>
            </w:r>
            <w:r w:rsidRPr="005A505B">
              <w:rPr>
                <w:color w:val="auto"/>
                <w:sz w:val="20"/>
                <w:szCs w:val="20"/>
                <w:lang w:val="en-GB"/>
              </w:rPr>
              <w:t>27</w:t>
            </w:r>
            <w:r w:rsidR="0034021A" w:rsidRPr="005A505B">
              <w:rPr>
                <w:color w:val="auto"/>
                <w:sz w:val="20"/>
                <w:szCs w:val="20"/>
                <w:lang w:val="en-GB"/>
              </w:rPr>
              <w:t>%</w:t>
            </w:r>
          </w:p>
        </w:tc>
        <w:tc>
          <w:tcPr>
            <w:tcW w:w="1318" w:type="dxa"/>
            <w:noWrap/>
            <w:hideMark/>
          </w:tcPr>
          <w:p w:rsidR="00B510E5" w:rsidRPr="005A505B" w:rsidRDefault="00B510E5" w:rsidP="005A505B">
            <w:pPr>
              <w:pStyle w:val="Default"/>
              <w:jc w:val="both"/>
              <w:rPr>
                <w:color w:val="auto"/>
                <w:sz w:val="20"/>
                <w:szCs w:val="20"/>
                <w:lang w:val="en-GB"/>
              </w:rPr>
            </w:pPr>
            <w:r w:rsidRPr="005A505B">
              <w:rPr>
                <w:color w:val="auto"/>
                <w:sz w:val="20"/>
                <w:szCs w:val="20"/>
                <w:lang w:val="en-GB"/>
              </w:rPr>
              <w:t>-4</w:t>
            </w:r>
            <w:r w:rsidR="00282EB3" w:rsidRPr="005A505B">
              <w:rPr>
                <w:color w:val="auto"/>
                <w:sz w:val="20"/>
                <w:szCs w:val="20"/>
                <w:lang w:val="en-GB"/>
              </w:rPr>
              <w:t>.</w:t>
            </w:r>
            <w:r w:rsidRPr="005A505B">
              <w:rPr>
                <w:color w:val="auto"/>
                <w:sz w:val="20"/>
                <w:szCs w:val="20"/>
                <w:lang w:val="en-GB"/>
              </w:rPr>
              <w:t>57</w:t>
            </w:r>
            <w:r w:rsidR="0034021A" w:rsidRPr="005A505B">
              <w:rPr>
                <w:color w:val="auto"/>
                <w:sz w:val="20"/>
                <w:szCs w:val="20"/>
                <w:lang w:val="en-GB"/>
              </w:rPr>
              <w:t>%</w:t>
            </w:r>
          </w:p>
        </w:tc>
      </w:tr>
      <w:tr w:rsidR="00B510E5" w:rsidRPr="005A505B" w:rsidTr="002E66DA">
        <w:trPr>
          <w:trHeight w:val="264"/>
        </w:trPr>
        <w:tc>
          <w:tcPr>
            <w:tcW w:w="2093" w:type="dxa"/>
            <w:noWrap/>
            <w:hideMark/>
          </w:tcPr>
          <w:p w:rsidR="00B510E5" w:rsidRPr="005A505B" w:rsidRDefault="00B510E5" w:rsidP="005A505B">
            <w:pPr>
              <w:pStyle w:val="Default"/>
              <w:jc w:val="both"/>
              <w:rPr>
                <w:color w:val="auto"/>
                <w:sz w:val="20"/>
                <w:szCs w:val="20"/>
                <w:lang w:val="en-GB"/>
              </w:rPr>
            </w:pPr>
            <w:r w:rsidRPr="005A505B">
              <w:rPr>
                <w:color w:val="auto"/>
                <w:sz w:val="20"/>
                <w:szCs w:val="20"/>
                <w:lang w:val="en-GB"/>
              </w:rPr>
              <w:t>Research Translation</w:t>
            </w:r>
          </w:p>
        </w:tc>
        <w:tc>
          <w:tcPr>
            <w:tcW w:w="1163" w:type="dxa"/>
            <w:noWrap/>
            <w:hideMark/>
          </w:tcPr>
          <w:p w:rsidR="00B510E5" w:rsidRPr="005A505B" w:rsidRDefault="00B510E5" w:rsidP="005A505B">
            <w:pPr>
              <w:pStyle w:val="Default"/>
              <w:jc w:val="both"/>
              <w:rPr>
                <w:color w:val="auto"/>
                <w:sz w:val="20"/>
                <w:szCs w:val="20"/>
                <w:lang w:val="en-GB"/>
              </w:rPr>
            </w:pPr>
            <w:r w:rsidRPr="005A505B">
              <w:rPr>
                <w:color w:val="auto"/>
                <w:sz w:val="20"/>
                <w:szCs w:val="20"/>
                <w:lang w:val="en-GB"/>
              </w:rPr>
              <w:t xml:space="preserve"> 2 174</w:t>
            </w:r>
          </w:p>
        </w:tc>
        <w:tc>
          <w:tcPr>
            <w:tcW w:w="1275" w:type="dxa"/>
            <w:shd w:val="clear" w:color="auto" w:fill="DBE5F1" w:themeFill="accent1" w:themeFillTint="33"/>
            <w:noWrap/>
            <w:hideMark/>
          </w:tcPr>
          <w:p w:rsidR="00B510E5" w:rsidRPr="005A505B" w:rsidRDefault="00B510E5" w:rsidP="005A505B">
            <w:pPr>
              <w:pStyle w:val="Default"/>
              <w:jc w:val="both"/>
              <w:rPr>
                <w:color w:val="auto"/>
                <w:sz w:val="20"/>
                <w:szCs w:val="20"/>
                <w:lang w:val="en-GB"/>
              </w:rPr>
            </w:pPr>
            <w:r w:rsidRPr="005A505B">
              <w:rPr>
                <w:color w:val="auto"/>
                <w:sz w:val="20"/>
                <w:szCs w:val="20"/>
                <w:lang w:val="en-GB"/>
              </w:rPr>
              <w:t xml:space="preserve"> 3 246</w:t>
            </w:r>
          </w:p>
        </w:tc>
        <w:tc>
          <w:tcPr>
            <w:tcW w:w="1134" w:type="dxa"/>
            <w:noWrap/>
            <w:hideMark/>
          </w:tcPr>
          <w:p w:rsidR="00B510E5" w:rsidRPr="005A505B" w:rsidRDefault="00B510E5" w:rsidP="005A505B">
            <w:pPr>
              <w:pStyle w:val="Default"/>
              <w:jc w:val="both"/>
              <w:rPr>
                <w:color w:val="auto"/>
                <w:sz w:val="20"/>
                <w:szCs w:val="20"/>
                <w:lang w:val="en-GB"/>
              </w:rPr>
            </w:pPr>
            <w:r w:rsidRPr="005A505B">
              <w:rPr>
                <w:color w:val="auto"/>
                <w:sz w:val="20"/>
                <w:szCs w:val="20"/>
                <w:lang w:val="en-GB"/>
              </w:rPr>
              <w:t xml:space="preserve"> 1 072</w:t>
            </w:r>
          </w:p>
        </w:tc>
        <w:tc>
          <w:tcPr>
            <w:tcW w:w="1134" w:type="dxa"/>
            <w:noWrap/>
            <w:hideMark/>
          </w:tcPr>
          <w:p w:rsidR="00B510E5" w:rsidRPr="005A505B" w:rsidRDefault="00B510E5" w:rsidP="005A505B">
            <w:pPr>
              <w:pStyle w:val="Default"/>
              <w:jc w:val="both"/>
              <w:rPr>
                <w:color w:val="auto"/>
                <w:sz w:val="20"/>
                <w:szCs w:val="20"/>
                <w:lang w:val="en-GB"/>
              </w:rPr>
            </w:pPr>
            <w:r w:rsidRPr="005A505B">
              <w:rPr>
                <w:color w:val="auto"/>
                <w:sz w:val="20"/>
                <w:szCs w:val="20"/>
                <w:lang w:val="en-GB"/>
              </w:rPr>
              <w:t xml:space="preserve">  932</w:t>
            </w:r>
          </w:p>
        </w:tc>
        <w:tc>
          <w:tcPr>
            <w:tcW w:w="1418" w:type="dxa"/>
            <w:noWrap/>
            <w:hideMark/>
          </w:tcPr>
          <w:p w:rsidR="00B510E5" w:rsidRPr="005A505B" w:rsidRDefault="00B510E5" w:rsidP="005A505B">
            <w:pPr>
              <w:pStyle w:val="Default"/>
              <w:jc w:val="both"/>
              <w:rPr>
                <w:color w:val="auto"/>
                <w:sz w:val="20"/>
                <w:szCs w:val="20"/>
                <w:lang w:val="en-GB"/>
              </w:rPr>
            </w:pPr>
            <w:r w:rsidRPr="005A505B">
              <w:rPr>
                <w:color w:val="auto"/>
                <w:sz w:val="20"/>
                <w:szCs w:val="20"/>
                <w:lang w:val="en-GB"/>
              </w:rPr>
              <w:t>49</w:t>
            </w:r>
            <w:r w:rsidR="00282EB3" w:rsidRPr="005A505B">
              <w:rPr>
                <w:color w:val="auto"/>
                <w:sz w:val="20"/>
                <w:szCs w:val="20"/>
                <w:lang w:val="en-GB"/>
              </w:rPr>
              <w:t>.</w:t>
            </w:r>
            <w:r w:rsidRPr="005A505B">
              <w:rPr>
                <w:color w:val="auto"/>
                <w:sz w:val="20"/>
                <w:szCs w:val="20"/>
                <w:lang w:val="en-GB"/>
              </w:rPr>
              <w:t>31</w:t>
            </w:r>
            <w:r w:rsidR="0034021A" w:rsidRPr="005A505B">
              <w:rPr>
                <w:color w:val="auto"/>
                <w:sz w:val="20"/>
                <w:szCs w:val="20"/>
                <w:lang w:val="en-GB"/>
              </w:rPr>
              <w:t>%</w:t>
            </w:r>
          </w:p>
        </w:tc>
        <w:tc>
          <w:tcPr>
            <w:tcW w:w="1318" w:type="dxa"/>
            <w:noWrap/>
            <w:hideMark/>
          </w:tcPr>
          <w:p w:rsidR="00B510E5" w:rsidRPr="005A505B" w:rsidRDefault="00B510E5" w:rsidP="005A505B">
            <w:pPr>
              <w:pStyle w:val="Default"/>
              <w:jc w:val="both"/>
              <w:rPr>
                <w:color w:val="auto"/>
                <w:sz w:val="20"/>
                <w:szCs w:val="20"/>
                <w:lang w:val="en-GB"/>
              </w:rPr>
            </w:pPr>
            <w:r w:rsidRPr="005A505B">
              <w:rPr>
                <w:color w:val="auto"/>
                <w:sz w:val="20"/>
                <w:szCs w:val="20"/>
                <w:lang w:val="en-GB"/>
              </w:rPr>
              <w:t>42</w:t>
            </w:r>
            <w:r w:rsidR="00282EB3" w:rsidRPr="005A505B">
              <w:rPr>
                <w:color w:val="auto"/>
                <w:sz w:val="20"/>
                <w:szCs w:val="20"/>
                <w:lang w:val="en-GB"/>
              </w:rPr>
              <w:t>.</w:t>
            </w:r>
            <w:r w:rsidRPr="005A505B">
              <w:rPr>
                <w:color w:val="auto"/>
                <w:sz w:val="20"/>
                <w:szCs w:val="20"/>
                <w:lang w:val="en-GB"/>
              </w:rPr>
              <w:t>88</w:t>
            </w:r>
            <w:r w:rsidR="0034021A" w:rsidRPr="005A505B">
              <w:rPr>
                <w:color w:val="auto"/>
                <w:sz w:val="20"/>
                <w:szCs w:val="20"/>
                <w:lang w:val="en-GB"/>
              </w:rPr>
              <w:t>%</w:t>
            </w:r>
          </w:p>
        </w:tc>
      </w:tr>
      <w:tr w:rsidR="00B510E5" w:rsidRPr="005A505B" w:rsidTr="002E66DA">
        <w:trPr>
          <w:trHeight w:val="264"/>
        </w:trPr>
        <w:tc>
          <w:tcPr>
            <w:tcW w:w="2093" w:type="dxa"/>
            <w:shd w:val="clear" w:color="auto" w:fill="DBE5F1" w:themeFill="accent1" w:themeFillTint="33"/>
            <w:noWrap/>
            <w:hideMark/>
          </w:tcPr>
          <w:p w:rsidR="00B510E5" w:rsidRPr="005A505B" w:rsidRDefault="00B510E5" w:rsidP="005A505B">
            <w:pPr>
              <w:pStyle w:val="Default"/>
              <w:jc w:val="both"/>
              <w:rPr>
                <w:b/>
                <w:color w:val="auto"/>
                <w:sz w:val="20"/>
                <w:szCs w:val="20"/>
                <w:lang w:val="en-GB"/>
              </w:rPr>
            </w:pPr>
            <w:r w:rsidRPr="005A505B">
              <w:rPr>
                <w:b/>
                <w:color w:val="auto"/>
                <w:sz w:val="20"/>
                <w:szCs w:val="20"/>
                <w:lang w:val="en-GB"/>
              </w:rPr>
              <w:t>TOTAL</w:t>
            </w:r>
          </w:p>
        </w:tc>
        <w:tc>
          <w:tcPr>
            <w:tcW w:w="1163" w:type="dxa"/>
            <w:shd w:val="clear" w:color="auto" w:fill="DBE5F1" w:themeFill="accent1" w:themeFillTint="33"/>
            <w:noWrap/>
            <w:hideMark/>
          </w:tcPr>
          <w:p w:rsidR="00B510E5" w:rsidRPr="005A505B" w:rsidRDefault="00B510E5" w:rsidP="005A505B">
            <w:pPr>
              <w:pStyle w:val="Default"/>
              <w:jc w:val="both"/>
              <w:rPr>
                <w:b/>
                <w:color w:val="auto"/>
                <w:sz w:val="20"/>
                <w:szCs w:val="20"/>
                <w:lang w:val="en-GB"/>
              </w:rPr>
            </w:pPr>
            <w:r w:rsidRPr="005A505B">
              <w:rPr>
                <w:b/>
                <w:color w:val="auto"/>
                <w:sz w:val="20"/>
                <w:szCs w:val="20"/>
                <w:lang w:val="en-GB"/>
              </w:rPr>
              <w:t>1 505 201</w:t>
            </w:r>
          </w:p>
        </w:tc>
        <w:tc>
          <w:tcPr>
            <w:tcW w:w="1275" w:type="dxa"/>
            <w:shd w:val="clear" w:color="auto" w:fill="DBE5F1" w:themeFill="accent1" w:themeFillTint="33"/>
            <w:noWrap/>
            <w:hideMark/>
          </w:tcPr>
          <w:p w:rsidR="00B510E5" w:rsidRPr="005A505B" w:rsidRDefault="00B510E5" w:rsidP="005A505B">
            <w:pPr>
              <w:pStyle w:val="Default"/>
              <w:jc w:val="both"/>
              <w:rPr>
                <w:b/>
                <w:color w:val="auto"/>
                <w:sz w:val="20"/>
                <w:szCs w:val="20"/>
                <w:lang w:val="en-GB"/>
              </w:rPr>
            </w:pPr>
            <w:r w:rsidRPr="005A505B">
              <w:rPr>
                <w:b/>
                <w:color w:val="auto"/>
                <w:sz w:val="20"/>
                <w:szCs w:val="20"/>
                <w:lang w:val="en-GB"/>
              </w:rPr>
              <w:t>1 343 560</w:t>
            </w:r>
          </w:p>
        </w:tc>
        <w:tc>
          <w:tcPr>
            <w:tcW w:w="1134" w:type="dxa"/>
            <w:shd w:val="clear" w:color="auto" w:fill="DBE5F1" w:themeFill="accent1" w:themeFillTint="33"/>
            <w:noWrap/>
            <w:hideMark/>
          </w:tcPr>
          <w:p w:rsidR="00B510E5" w:rsidRPr="005A505B" w:rsidRDefault="00B510E5" w:rsidP="005A505B">
            <w:pPr>
              <w:pStyle w:val="Default"/>
              <w:jc w:val="both"/>
              <w:rPr>
                <w:b/>
                <w:color w:val="auto"/>
                <w:sz w:val="20"/>
                <w:szCs w:val="20"/>
                <w:lang w:val="en-GB"/>
              </w:rPr>
            </w:pPr>
            <w:r w:rsidRPr="005A505B">
              <w:rPr>
                <w:b/>
                <w:color w:val="auto"/>
                <w:sz w:val="20"/>
                <w:szCs w:val="20"/>
                <w:lang w:val="en-GB"/>
              </w:rPr>
              <w:t>- 161 641</w:t>
            </w:r>
          </w:p>
        </w:tc>
        <w:tc>
          <w:tcPr>
            <w:tcW w:w="1134" w:type="dxa"/>
            <w:shd w:val="clear" w:color="auto" w:fill="DBE5F1" w:themeFill="accent1" w:themeFillTint="33"/>
            <w:noWrap/>
            <w:hideMark/>
          </w:tcPr>
          <w:p w:rsidR="00B510E5" w:rsidRPr="005A505B" w:rsidRDefault="00B510E5" w:rsidP="005A505B">
            <w:pPr>
              <w:pStyle w:val="Default"/>
              <w:jc w:val="both"/>
              <w:rPr>
                <w:b/>
                <w:color w:val="auto"/>
                <w:sz w:val="20"/>
                <w:szCs w:val="20"/>
                <w:lang w:val="en-GB"/>
              </w:rPr>
            </w:pPr>
            <w:r w:rsidRPr="005A505B">
              <w:rPr>
                <w:b/>
                <w:color w:val="auto"/>
                <w:sz w:val="20"/>
                <w:szCs w:val="20"/>
                <w:lang w:val="en-GB"/>
              </w:rPr>
              <w:t>- 219 49</w:t>
            </w:r>
            <w:r w:rsidR="00282EB3" w:rsidRPr="005A505B">
              <w:rPr>
                <w:b/>
                <w:color w:val="auto"/>
                <w:sz w:val="20"/>
                <w:szCs w:val="20"/>
                <w:lang w:val="en-GB"/>
              </w:rPr>
              <w:t>8</w:t>
            </w:r>
          </w:p>
        </w:tc>
        <w:tc>
          <w:tcPr>
            <w:tcW w:w="1418" w:type="dxa"/>
            <w:shd w:val="clear" w:color="auto" w:fill="DBE5F1" w:themeFill="accent1" w:themeFillTint="33"/>
            <w:noWrap/>
            <w:hideMark/>
          </w:tcPr>
          <w:p w:rsidR="00B510E5" w:rsidRPr="005A505B" w:rsidRDefault="00B510E5" w:rsidP="005A505B">
            <w:pPr>
              <w:pStyle w:val="Default"/>
              <w:jc w:val="both"/>
              <w:rPr>
                <w:b/>
                <w:color w:val="auto"/>
                <w:sz w:val="20"/>
                <w:szCs w:val="20"/>
                <w:lang w:val="en-GB"/>
              </w:rPr>
            </w:pPr>
            <w:r w:rsidRPr="005A505B">
              <w:rPr>
                <w:b/>
                <w:color w:val="auto"/>
                <w:sz w:val="20"/>
                <w:szCs w:val="20"/>
                <w:lang w:val="en-GB"/>
              </w:rPr>
              <w:t>-10</w:t>
            </w:r>
            <w:r w:rsidR="00282EB3" w:rsidRPr="005A505B">
              <w:rPr>
                <w:b/>
                <w:color w:val="auto"/>
                <w:sz w:val="20"/>
                <w:szCs w:val="20"/>
                <w:lang w:val="en-GB"/>
              </w:rPr>
              <w:t>.</w:t>
            </w:r>
            <w:r w:rsidRPr="005A505B">
              <w:rPr>
                <w:b/>
                <w:color w:val="auto"/>
                <w:sz w:val="20"/>
                <w:szCs w:val="20"/>
                <w:lang w:val="en-GB"/>
              </w:rPr>
              <w:t>7</w:t>
            </w:r>
            <w:r w:rsidR="0034021A" w:rsidRPr="005A505B">
              <w:rPr>
                <w:b/>
                <w:color w:val="auto"/>
                <w:sz w:val="20"/>
                <w:szCs w:val="20"/>
                <w:lang w:val="en-GB"/>
              </w:rPr>
              <w:t>%</w:t>
            </w:r>
          </w:p>
        </w:tc>
        <w:tc>
          <w:tcPr>
            <w:tcW w:w="1318" w:type="dxa"/>
            <w:shd w:val="clear" w:color="auto" w:fill="DBE5F1" w:themeFill="accent1" w:themeFillTint="33"/>
            <w:noWrap/>
            <w:hideMark/>
          </w:tcPr>
          <w:p w:rsidR="00B510E5" w:rsidRPr="005A505B" w:rsidRDefault="00B510E5" w:rsidP="005A505B">
            <w:pPr>
              <w:pStyle w:val="Default"/>
              <w:jc w:val="both"/>
              <w:rPr>
                <w:b/>
                <w:color w:val="auto"/>
                <w:sz w:val="20"/>
                <w:szCs w:val="20"/>
                <w:lang w:val="en-GB"/>
              </w:rPr>
            </w:pPr>
            <w:r w:rsidRPr="005A505B">
              <w:rPr>
                <w:b/>
                <w:color w:val="auto"/>
                <w:sz w:val="20"/>
                <w:szCs w:val="20"/>
                <w:lang w:val="en-GB"/>
              </w:rPr>
              <w:t>-14</w:t>
            </w:r>
            <w:r w:rsidR="00282EB3" w:rsidRPr="005A505B">
              <w:rPr>
                <w:b/>
                <w:color w:val="auto"/>
                <w:sz w:val="20"/>
                <w:szCs w:val="20"/>
                <w:lang w:val="en-GB"/>
              </w:rPr>
              <w:t>.</w:t>
            </w:r>
            <w:r w:rsidRPr="005A505B">
              <w:rPr>
                <w:b/>
                <w:color w:val="auto"/>
                <w:sz w:val="20"/>
                <w:szCs w:val="20"/>
                <w:lang w:val="en-GB"/>
              </w:rPr>
              <w:t>58</w:t>
            </w:r>
            <w:r w:rsidR="0034021A" w:rsidRPr="005A505B">
              <w:rPr>
                <w:b/>
                <w:color w:val="auto"/>
                <w:sz w:val="20"/>
                <w:szCs w:val="20"/>
                <w:lang w:val="en-GB"/>
              </w:rPr>
              <w:t>%</w:t>
            </w:r>
          </w:p>
        </w:tc>
      </w:tr>
    </w:tbl>
    <w:p w:rsidR="00B510E5" w:rsidRPr="005A505B" w:rsidRDefault="00B510E5" w:rsidP="005A505B">
      <w:pPr>
        <w:pStyle w:val="Default"/>
        <w:jc w:val="both"/>
        <w:rPr>
          <w:color w:val="auto"/>
          <w:sz w:val="20"/>
          <w:szCs w:val="20"/>
        </w:rPr>
      </w:pPr>
    </w:p>
    <w:p w:rsidR="00B510E5" w:rsidRPr="005A505B" w:rsidRDefault="00B510E5" w:rsidP="005A505B">
      <w:pPr>
        <w:autoSpaceDE w:val="0"/>
        <w:autoSpaceDN w:val="0"/>
        <w:adjustRightInd w:val="0"/>
        <w:jc w:val="both"/>
        <w:rPr>
          <w:rFonts w:cs="Arial"/>
          <w:b/>
          <w:bCs/>
          <w:color w:val="auto"/>
          <w:spacing w:val="0"/>
          <w:sz w:val="20"/>
          <w:szCs w:val="20"/>
          <w:lang w:val="en-ZA" w:eastAsia="en-ZA"/>
        </w:rPr>
      </w:pPr>
    </w:p>
    <w:p w:rsidR="00E26B24" w:rsidRPr="005A505B" w:rsidRDefault="00E26B24" w:rsidP="005A505B">
      <w:pPr>
        <w:pStyle w:val="ListParagraph"/>
        <w:jc w:val="both"/>
        <w:rPr>
          <w:rFonts w:cs="Arial"/>
          <w:color w:val="auto"/>
          <w:sz w:val="20"/>
          <w:szCs w:val="20"/>
          <w:lang w:val="en-US"/>
        </w:rPr>
      </w:pPr>
    </w:p>
    <w:p w:rsidR="00E26B24" w:rsidRPr="005A505B" w:rsidRDefault="00E26B24" w:rsidP="005A505B">
      <w:pPr>
        <w:pStyle w:val="Heading2"/>
        <w:numPr>
          <w:ilvl w:val="1"/>
          <w:numId w:val="53"/>
        </w:numPr>
        <w:rPr>
          <w:color w:val="auto"/>
          <w:sz w:val="20"/>
          <w:szCs w:val="20"/>
        </w:rPr>
      </w:pPr>
      <w:bookmarkStart w:id="499" w:name="_Toc102119928"/>
      <w:r w:rsidRPr="005A505B">
        <w:rPr>
          <w:color w:val="auto"/>
          <w:sz w:val="20"/>
          <w:szCs w:val="20"/>
        </w:rPr>
        <w:t>Committee Observations on Entities</w:t>
      </w:r>
      <w:bookmarkEnd w:id="499"/>
    </w:p>
    <w:p w:rsidR="00E26B24" w:rsidRPr="005A505B" w:rsidRDefault="00E26B24" w:rsidP="005A505B">
      <w:pPr>
        <w:jc w:val="both"/>
        <w:rPr>
          <w:rFonts w:cs="Arial"/>
          <w:color w:val="auto"/>
          <w:sz w:val="20"/>
          <w:szCs w:val="20"/>
          <w:lang w:val="en-US"/>
        </w:rPr>
      </w:pPr>
    </w:p>
    <w:p w:rsidR="00E26B24" w:rsidRPr="005A505B" w:rsidRDefault="00E26B24" w:rsidP="005A505B">
      <w:pPr>
        <w:pStyle w:val="ListParagraph"/>
        <w:numPr>
          <w:ilvl w:val="2"/>
          <w:numId w:val="53"/>
        </w:numPr>
        <w:rPr>
          <w:rFonts w:cs="Arial"/>
          <w:b/>
          <w:color w:val="auto"/>
          <w:sz w:val="20"/>
          <w:szCs w:val="20"/>
          <w:lang w:val="en-US"/>
        </w:rPr>
      </w:pPr>
      <w:r w:rsidRPr="005A505B">
        <w:rPr>
          <w:rFonts w:cs="Arial"/>
          <w:b/>
          <w:color w:val="auto"/>
          <w:sz w:val="20"/>
          <w:szCs w:val="20"/>
          <w:lang w:val="en-US"/>
        </w:rPr>
        <w:t>CCOD</w:t>
      </w:r>
    </w:p>
    <w:p w:rsidR="00E26B24" w:rsidRPr="005A505B" w:rsidRDefault="00E26B24" w:rsidP="005A505B">
      <w:pPr>
        <w:rPr>
          <w:rFonts w:cs="Arial"/>
          <w:b/>
          <w:color w:val="auto"/>
          <w:sz w:val="20"/>
          <w:szCs w:val="20"/>
          <w:lang w:val="en-US"/>
        </w:rPr>
      </w:pPr>
    </w:p>
    <w:p w:rsidR="001253D2" w:rsidRPr="005A505B" w:rsidRDefault="001253D2" w:rsidP="005A505B">
      <w:pPr>
        <w:pStyle w:val="ListParagraph"/>
        <w:numPr>
          <w:ilvl w:val="0"/>
          <w:numId w:val="97"/>
        </w:numPr>
        <w:jc w:val="both"/>
        <w:rPr>
          <w:rFonts w:cs="Arial"/>
          <w:color w:val="auto"/>
          <w:sz w:val="20"/>
          <w:szCs w:val="20"/>
        </w:rPr>
      </w:pPr>
      <w:r w:rsidRPr="005A505B">
        <w:rPr>
          <w:rFonts w:cs="Arial"/>
          <w:color w:val="auto"/>
          <w:sz w:val="20"/>
          <w:szCs w:val="20"/>
        </w:rPr>
        <w:t xml:space="preserve">The Committee commended the CCOD for obtaining an unqualified audit for 2019/20. </w:t>
      </w:r>
    </w:p>
    <w:p w:rsidR="00E26B24" w:rsidRPr="005A505B" w:rsidRDefault="00E26B24" w:rsidP="005A505B">
      <w:pPr>
        <w:pStyle w:val="ListParagraph"/>
        <w:numPr>
          <w:ilvl w:val="0"/>
          <w:numId w:val="97"/>
        </w:numPr>
        <w:jc w:val="both"/>
        <w:rPr>
          <w:rFonts w:cs="Arial"/>
          <w:color w:val="auto"/>
          <w:sz w:val="20"/>
          <w:szCs w:val="20"/>
        </w:rPr>
      </w:pPr>
      <w:r w:rsidRPr="005A505B">
        <w:rPr>
          <w:rFonts w:cs="Arial"/>
          <w:color w:val="auto"/>
          <w:sz w:val="20"/>
          <w:szCs w:val="20"/>
        </w:rPr>
        <w:t xml:space="preserve">The Committee noted with concern that unclaimed </w:t>
      </w:r>
      <w:r w:rsidR="001253D2" w:rsidRPr="005A505B">
        <w:rPr>
          <w:rFonts w:cs="Arial"/>
          <w:color w:val="auto"/>
          <w:sz w:val="20"/>
          <w:szCs w:val="20"/>
        </w:rPr>
        <w:t xml:space="preserve">benefits </w:t>
      </w:r>
      <w:r w:rsidRPr="005A505B">
        <w:rPr>
          <w:rFonts w:cs="Arial"/>
          <w:color w:val="auto"/>
          <w:sz w:val="20"/>
          <w:szCs w:val="20"/>
        </w:rPr>
        <w:t xml:space="preserve">by beneficiaries </w:t>
      </w:r>
      <w:r w:rsidR="001253D2" w:rsidRPr="005A505B">
        <w:rPr>
          <w:rFonts w:cs="Arial"/>
          <w:color w:val="auto"/>
          <w:sz w:val="20"/>
          <w:szCs w:val="20"/>
        </w:rPr>
        <w:t xml:space="preserve">were at R1 billion </w:t>
      </w:r>
      <w:r w:rsidRPr="005A505B">
        <w:rPr>
          <w:rFonts w:cs="Arial"/>
          <w:color w:val="auto"/>
          <w:sz w:val="20"/>
          <w:szCs w:val="20"/>
        </w:rPr>
        <w:t xml:space="preserve">and wanted to know when this </w:t>
      </w:r>
      <w:r w:rsidR="00B07CB1" w:rsidRPr="005A505B">
        <w:rPr>
          <w:rFonts w:cs="Arial"/>
          <w:color w:val="auto"/>
          <w:sz w:val="20"/>
          <w:szCs w:val="20"/>
        </w:rPr>
        <w:t xml:space="preserve">matter </w:t>
      </w:r>
      <w:r w:rsidRPr="005A505B">
        <w:rPr>
          <w:rFonts w:cs="Arial"/>
          <w:color w:val="auto"/>
          <w:sz w:val="20"/>
          <w:szCs w:val="20"/>
        </w:rPr>
        <w:t>was going to be resolved.</w:t>
      </w:r>
    </w:p>
    <w:p w:rsidR="00E26B24" w:rsidRPr="005A505B" w:rsidRDefault="00E26B24" w:rsidP="005A505B">
      <w:pPr>
        <w:pStyle w:val="ListParagraph"/>
        <w:numPr>
          <w:ilvl w:val="0"/>
          <w:numId w:val="97"/>
        </w:numPr>
        <w:jc w:val="both"/>
        <w:rPr>
          <w:rFonts w:cs="Arial"/>
          <w:color w:val="auto"/>
          <w:sz w:val="20"/>
          <w:szCs w:val="20"/>
        </w:rPr>
      </w:pPr>
      <w:r w:rsidRPr="005A505B">
        <w:rPr>
          <w:rFonts w:cs="Arial"/>
          <w:color w:val="auto"/>
          <w:sz w:val="20"/>
          <w:szCs w:val="20"/>
        </w:rPr>
        <w:t xml:space="preserve">The Committee was concerned that the </w:t>
      </w:r>
      <w:r w:rsidR="007013FE" w:rsidRPr="005A505B">
        <w:rPr>
          <w:rFonts w:cs="Arial"/>
          <w:color w:val="auto"/>
          <w:sz w:val="20"/>
          <w:szCs w:val="20"/>
        </w:rPr>
        <w:t>services</w:t>
      </w:r>
      <w:r w:rsidRPr="005A505B">
        <w:rPr>
          <w:rFonts w:cs="Arial"/>
          <w:color w:val="auto"/>
          <w:sz w:val="20"/>
          <w:szCs w:val="20"/>
        </w:rPr>
        <w:t xml:space="preserve"> of the CCOD were not centralised and </w:t>
      </w:r>
      <w:r w:rsidR="007013FE" w:rsidRPr="005A505B">
        <w:rPr>
          <w:rFonts w:cs="Arial"/>
          <w:color w:val="auto"/>
          <w:sz w:val="20"/>
          <w:szCs w:val="20"/>
        </w:rPr>
        <w:t>sought further details on plans</w:t>
      </w:r>
      <w:r w:rsidRPr="005A505B">
        <w:rPr>
          <w:rFonts w:cs="Arial"/>
          <w:color w:val="auto"/>
          <w:sz w:val="20"/>
          <w:szCs w:val="20"/>
        </w:rPr>
        <w:t xml:space="preserve"> to address this.</w:t>
      </w:r>
    </w:p>
    <w:p w:rsidR="007013FE" w:rsidRPr="005A505B" w:rsidRDefault="007013FE" w:rsidP="005A505B">
      <w:pPr>
        <w:pStyle w:val="ListParagraph"/>
        <w:numPr>
          <w:ilvl w:val="0"/>
          <w:numId w:val="97"/>
        </w:numPr>
        <w:jc w:val="both"/>
        <w:rPr>
          <w:rFonts w:cs="Arial"/>
          <w:color w:val="auto"/>
          <w:sz w:val="20"/>
          <w:szCs w:val="20"/>
        </w:rPr>
      </w:pPr>
      <w:r w:rsidRPr="005A505B">
        <w:rPr>
          <w:rFonts w:cs="Arial"/>
          <w:color w:val="auto"/>
          <w:sz w:val="20"/>
          <w:szCs w:val="20"/>
        </w:rPr>
        <w:t>The noted with concern that the CCOD has a vacancy rate of 23%.</w:t>
      </w:r>
    </w:p>
    <w:p w:rsidR="001253D2" w:rsidRPr="005A505B" w:rsidRDefault="001253D2" w:rsidP="005A505B">
      <w:pPr>
        <w:pStyle w:val="ListParagraph"/>
        <w:numPr>
          <w:ilvl w:val="0"/>
          <w:numId w:val="97"/>
        </w:numPr>
        <w:jc w:val="both"/>
        <w:rPr>
          <w:rFonts w:cs="Arial"/>
          <w:color w:val="auto"/>
          <w:sz w:val="20"/>
          <w:szCs w:val="20"/>
        </w:rPr>
      </w:pPr>
      <w:r w:rsidRPr="005A505B">
        <w:rPr>
          <w:rFonts w:cs="Arial"/>
          <w:color w:val="auto"/>
          <w:sz w:val="20"/>
          <w:szCs w:val="20"/>
        </w:rPr>
        <w:t>In addressing the challenges that impacts the CCOD, the Committee flagged the need for a joint meeting between the Portfolios of Health, Labour, Mineral Resources and Finance.</w:t>
      </w:r>
    </w:p>
    <w:p w:rsidR="00E26B24" w:rsidRPr="005A505B" w:rsidRDefault="00E26B24" w:rsidP="005A505B">
      <w:pPr>
        <w:rPr>
          <w:rFonts w:cs="Arial"/>
          <w:b/>
          <w:color w:val="auto"/>
          <w:sz w:val="20"/>
          <w:szCs w:val="20"/>
          <w:lang w:val="en-US"/>
        </w:rPr>
      </w:pPr>
    </w:p>
    <w:p w:rsidR="00E26B24" w:rsidRPr="005A505B" w:rsidRDefault="00E26B24" w:rsidP="005A505B">
      <w:pPr>
        <w:pStyle w:val="ListParagraph"/>
        <w:numPr>
          <w:ilvl w:val="2"/>
          <w:numId w:val="53"/>
        </w:numPr>
        <w:rPr>
          <w:rFonts w:cs="Arial"/>
          <w:b/>
          <w:color w:val="auto"/>
          <w:sz w:val="20"/>
          <w:szCs w:val="20"/>
          <w:lang w:val="en-US"/>
        </w:rPr>
      </w:pPr>
      <w:r w:rsidRPr="005A505B">
        <w:rPr>
          <w:rFonts w:cs="Arial"/>
          <w:b/>
          <w:color w:val="auto"/>
          <w:sz w:val="20"/>
          <w:szCs w:val="20"/>
          <w:lang w:val="en-US"/>
        </w:rPr>
        <w:t>OHSC</w:t>
      </w:r>
    </w:p>
    <w:p w:rsidR="00E26B24" w:rsidRPr="005A505B" w:rsidRDefault="00E26B24" w:rsidP="005A505B">
      <w:pPr>
        <w:rPr>
          <w:rFonts w:cs="Arial"/>
          <w:b/>
          <w:color w:val="auto"/>
          <w:sz w:val="20"/>
          <w:szCs w:val="20"/>
          <w:lang w:val="en-US"/>
        </w:rPr>
      </w:pPr>
    </w:p>
    <w:p w:rsidR="0048584A" w:rsidRPr="005A505B" w:rsidRDefault="00E26B24" w:rsidP="005A505B">
      <w:pPr>
        <w:pStyle w:val="ListParagraph"/>
        <w:numPr>
          <w:ilvl w:val="0"/>
          <w:numId w:val="98"/>
        </w:numPr>
        <w:jc w:val="both"/>
        <w:rPr>
          <w:rFonts w:cs="Arial"/>
          <w:color w:val="auto"/>
          <w:sz w:val="20"/>
          <w:szCs w:val="20"/>
        </w:rPr>
      </w:pPr>
      <w:r w:rsidRPr="005A505B">
        <w:rPr>
          <w:rFonts w:cs="Arial"/>
          <w:color w:val="auto"/>
          <w:sz w:val="20"/>
          <w:szCs w:val="20"/>
        </w:rPr>
        <w:t>The Committee was concerned about the targets the entity has set for itself and wanted to know what informs the</w:t>
      </w:r>
      <w:r w:rsidR="00A27792" w:rsidRPr="005A505B">
        <w:rPr>
          <w:rFonts w:cs="Arial"/>
          <w:color w:val="auto"/>
          <w:sz w:val="20"/>
          <w:szCs w:val="20"/>
        </w:rPr>
        <w:t>se</w:t>
      </w:r>
      <w:r w:rsidRPr="005A505B">
        <w:rPr>
          <w:rFonts w:cs="Arial"/>
          <w:color w:val="auto"/>
          <w:sz w:val="20"/>
          <w:szCs w:val="20"/>
        </w:rPr>
        <w:t xml:space="preserve"> as they seem to be low. They further noted </w:t>
      </w:r>
      <w:r w:rsidR="00A27792" w:rsidRPr="005A505B">
        <w:rPr>
          <w:rFonts w:cs="Arial"/>
          <w:color w:val="auto"/>
          <w:sz w:val="20"/>
          <w:szCs w:val="20"/>
        </w:rPr>
        <w:t>the low rate of inspections in private healthcare facilities, with a target increase of only 5%.</w:t>
      </w:r>
    </w:p>
    <w:p w:rsidR="0048584A" w:rsidRPr="005A505B" w:rsidRDefault="0048584A" w:rsidP="005A505B">
      <w:pPr>
        <w:pStyle w:val="ListParagraph"/>
        <w:numPr>
          <w:ilvl w:val="0"/>
          <w:numId w:val="98"/>
        </w:numPr>
        <w:jc w:val="both"/>
        <w:rPr>
          <w:rFonts w:cs="Arial"/>
          <w:color w:val="auto"/>
          <w:sz w:val="20"/>
          <w:szCs w:val="20"/>
        </w:rPr>
      </w:pPr>
      <w:r w:rsidRPr="005A505B">
        <w:rPr>
          <w:rFonts w:cs="Arial"/>
          <w:color w:val="auto"/>
          <w:sz w:val="20"/>
          <w:szCs w:val="20"/>
        </w:rPr>
        <w:t>The Committee was concerned that the entity was not reaching its targets. Further noting that the entity’s performance had decreased over the previous financial year, from 10% to 8% in 2021/22.</w:t>
      </w:r>
    </w:p>
    <w:p w:rsidR="00E26B24" w:rsidRPr="005A505B" w:rsidRDefault="00E26B24" w:rsidP="005A505B">
      <w:pPr>
        <w:pStyle w:val="ListParagraph"/>
        <w:numPr>
          <w:ilvl w:val="0"/>
          <w:numId w:val="98"/>
        </w:numPr>
        <w:jc w:val="both"/>
        <w:rPr>
          <w:rFonts w:cs="Arial"/>
          <w:color w:val="auto"/>
          <w:sz w:val="20"/>
          <w:szCs w:val="20"/>
        </w:rPr>
      </w:pPr>
      <w:r w:rsidRPr="005A505B">
        <w:rPr>
          <w:rFonts w:cs="Arial"/>
          <w:color w:val="auto"/>
          <w:sz w:val="20"/>
          <w:szCs w:val="20"/>
        </w:rPr>
        <w:t xml:space="preserve">The Committee was concerned that there </w:t>
      </w:r>
      <w:r w:rsidR="003F0F3C" w:rsidRPr="005A505B">
        <w:rPr>
          <w:rFonts w:cs="Arial"/>
          <w:color w:val="auto"/>
          <w:sz w:val="20"/>
          <w:szCs w:val="20"/>
        </w:rPr>
        <w:t>is inadequate</w:t>
      </w:r>
      <w:r w:rsidRPr="005A505B">
        <w:rPr>
          <w:rFonts w:cs="Arial"/>
          <w:color w:val="auto"/>
          <w:sz w:val="20"/>
          <w:szCs w:val="20"/>
        </w:rPr>
        <w:t xml:space="preserve"> marketing of the OHSC and the </w:t>
      </w:r>
      <w:r w:rsidR="00A27792" w:rsidRPr="005A505B">
        <w:rPr>
          <w:rFonts w:cs="Arial"/>
          <w:color w:val="auto"/>
          <w:sz w:val="20"/>
          <w:szCs w:val="20"/>
        </w:rPr>
        <w:t xml:space="preserve">Health </w:t>
      </w:r>
      <w:r w:rsidRPr="005A505B">
        <w:rPr>
          <w:rFonts w:cs="Arial"/>
          <w:color w:val="auto"/>
          <w:sz w:val="20"/>
          <w:szCs w:val="20"/>
        </w:rPr>
        <w:t>Ombud</w:t>
      </w:r>
      <w:r w:rsidR="00A27792" w:rsidRPr="005A505B">
        <w:rPr>
          <w:rFonts w:cs="Arial"/>
          <w:color w:val="auto"/>
          <w:sz w:val="20"/>
          <w:szCs w:val="20"/>
        </w:rPr>
        <w:t>sman</w:t>
      </w:r>
      <w:r w:rsidRPr="005A505B">
        <w:rPr>
          <w:rFonts w:cs="Arial"/>
          <w:color w:val="auto"/>
          <w:sz w:val="20"/>
          <w:szCs w:val="20"/>
        </w:rPr>
        <w:t xml:space="preserve"> as</w:t>
      </w:r>
      <w:r w:rsidR="00D76B91" w:rsidRPr="005A505B">
        <w:rPr>
          <w:rFonts w:cs="Arial"/>
          <w:color w:val="auto"/>
          <w:sz w:val="20"/>
          <w:szCs w:val="20"/>
        </w:rPr>
        <w:t xml:space="preserve"> sufficient information was not available to the public in relation to lodgement of complaints</w:t>
      </w:r>
      <w:r w:rsidRPr="005A505B">
        <w:rPr>
          <w:rFonts w:cs="Arial"/>
          <w:color w:val="auto"/>
          <w:sz w:val="20"/>
          <w:szCs w:val="20"/>
        </w:rPr>
        <w:t>.</w:t>
      </w:r>
    </w:p>
    <w:p w:rsidR="00D76B91" w:rsidRPr="005A505B" w:rsidRDefault="00D76B91" w:rsidP="005A505B">
      <w:pPr>
        <w:pStyle w:val="ListParagraph"/>
        <w:numPr>
          <w:ilvl w:val="0"/>
          <w:numId w:val="98"/>
        </w:numPr>
        <w:jc w:val="both"/>
        <w:rPr>
          <w:rFonts w:cs="Arial"/>
          <w:color w:val="auto"/>
          <w:sz w:val="20"/>
          <w:szCs w:val="20"/>
        </w:rPr>
      </w:pPr>
      <w:r w:rsidRPr="005A505B">
        <w:rPr>
          <w:rFonts w:cs="Arial"/>
          <w:color w:val="auto"/>
          <w:sz w:val="20"/>
          <w:szCs w:val="20"/>
        </w:rPr>
        <w:t>The Committee expressed concern with regard to delays in the resolution of cases due to inadequate staff in the complaints and management unit.</w:t>
      </w:r>
    </w:p>
    <w:p w:rsidR="004452E0" w:rsidRPr="005A505B" w:rsidRDefault="004452E0" w:rsidP="005A505B">
      <w:pPr>
        <w:pStyle w:val="ListParagraph"/>
        <w:numPr>
          <w:ilvl w:val="0"/>
          <w:numId w:val="98"/>
        </w:numPr>
        <w:jc w:val="both"/>
        <w:rPr>
          <w:rFonts w:cs="Arial"/>
          <w:color w:val="auto"/>
          <w:sz w:val="20"/>
          <w:szCs w:val="20"/>
        </w:rPr>
      </w:pPr>
      <w:r w:rsidRPr="005A505B">
        <w:rPr>
          <w:rFonts w:cs="Arial"/>
          <w:color w:val="auto"/>
          <w:sz w:val="20"/>
          <w:szCs w:val="20"/>
        </w:rPr>
        <w:t>The Committee indicated that the entity should implement cost-cutting measures in some areas, such as purchasing its own property over leased accommodation; and in-sourcing of cleaners and security personnel.</w:t>
      </w:r>
    </w:p>
    <w:p w:rsidR="00E26B24" w:rsidRPr="005A505B" w:rsidRDefault="0048584A" w:rsidP="005A505B">
      <w:pPr>
        <w:pStyle w:val="ListParagraph"/>
        <w:numPr>
          <w:ilvl w:val="0"/>
          <w:numId w:val="98"/>
        </w:numPr>
        <w:jc w:val="both"/>
        <w:rPr>
          <w:rFonts w:cs="Arial"/>
          <w:color w:val="auto"/>
          <w:sz w:val="20"/>
          <w:szCs w:val="20"/>
        </w:rPr>
      </w:pPr>
      <w:r w:rsidRPr="005A505B">
        <w:rPr>
          <w:rFonts w:cs="Arial"/>
          <w:color w:val="auto"/>
          <w:sz w:val="20"/>
          <w:szCs w:val="20"/>
        </w:rPr>
        <w:t xml:space="preserve">The Committee noted that the safety of healthcare professionals and patients in healthcare facilities remained a challenge and asked whether the OHSC, through its norms and standards, assess the safety of hospitals and clinics, in light of the few incidents that had been reported in the media. </w:t>
      </w:r>
      <w:r w:rsidR="00E26B24" w:rsidRPr="005A505B">
        <w:rPr>
          <w:rFonts w:cs="Arial"/>
          <w:color w:val="auto"/>
          <w:sz w:val="20"/>
          <w:szCs w:val="20"/>
        </w:rPr>
        <w:t>The Committee was also concerned about the</w:t>
      </w:r>
      <w:r w:rsidRPr="005A505B">
        <w:rPr>
          <w:rFonts w:cs="Arial"/>
          <w:color w:val="auto"/>
          <w:sz w:val="20"/>
          <w:szCs w:val="20"/>
        </w:rPr>
        <w:t xml:space="preserve"> </w:t>
      </w:r>
      <w:r w:rsidR="00E74D0D" w:rsidRPr="005A505B">
        <w:rPr>
          <w:rFonts w:cs="Arial"/>
          <w:color w:val="auto"/>
          <w:sz w:val="20"/>
          <w:szCs w:val="20"/>
        </w:rPr>
        <w:t>quality of health care services</w:t>
      </w:r>
      <w:r w:rsidR="00E26B24" w:rsidRPr="005A505B">
        <w:rPr>
          <w:rFonts w:cs="Arial"/>
          <w:color w:val="auto"/>
          <w:sz w:val="20"/>
          <w:szCs w:val="20"/>
        </w:rPr>
        <w:t xml:space="preserve"> </w:t>
      </w:r>
      <w:r w:rsidR="00E74D0D" w:rsidRPr="005A505B">
        <w:rPr>
          <w:rFonts w:cs="Arial"/>
          <w:color w:val="auto"/>
          <w:sz w:val="20"/>
          <w:szCs w:val="20"/>
        </w:rPr>
        <w:t>in hospitals</w:t>
      </w:r>
      <w:r w:rsidR="00E26B24" w:rsidRPr="005A505B">
        <w:rPr>
          <w:rFonts w:cs="Arial"/>
          <w:color w:val="auto"/>
          <w:sz w:val="20"/>
          <w:szCs w:val="20"/>
        </w:rPr>
        <w:t>.</w:t>
      </w:r>
    </w:p>
    <w:p w:rsidR="00E26B24" w:rsidRPr="005A505B" w:rsidRDefault="00E26B24" w:rsidP="005A505B">
      <w:pPr>
        <w:pStyle w:val="ListParagraph"/>
        <w:numPr>
          <w:ilvl w:val="0"/>
          <w:numId w:val="98"/>
        </w:numPr>
        <w:jc w:val="both"/>
        <w:rPr>
          <w:rFonts w:cs="Arial"/>
          <w:color w:val="auto"/>
          <w:sz w:val="20"/>
          <w:szCs w:val="20"/>
        </w:rPr>
      </w:pPr>
      <w:r w:rsidRPr="005A505B">
        <w:rPr>
          <w:rFonts w:cs="Arial"/>
          <w:color w:val="auto"/>
          <w:sz w:val="20"/>
          <w:szCs w:val="20"/>
        </w:rPr>
        <w:t>The Committee was concerned about the high vacancy rate at the OHSC</w:t>
      </w:r>
      <w:r w:rsidR="00A90A61" w:rsidRPr="005A505B">
        <w:rPr>
          <w:rFonts w:cs="Arial"/>
          <w:color w:val="auto"/>
          <w:sz w:val="20"/>
          <w:szCs w:val="20"/>
        </w:rPr>
        <w:t>,</w:t>
      </w:r>
      <w:r w:rsidRPr="005A505B">
        <w:rPr>
          <w:rFonts w:cs="Arial"/>
          <w:color w:val="auto"/>
          <w:sz w:val="20"/>
          <w:szCs w:val="20"/>
        </w:rPr>
        <w:t xml:space="preserve"> especially inspectors</w:t>
      </w:r>
      <w:r w:rsidR="00A90A61" w:rsidRPr="005A505B">
        <w:rPr>
          <w:rFonts w:cs="Arial"/>
          <w:color w:val="auto"/>
          <w:sz w:val="20"/>
          <w:szCs w:val="20"/>
        </w:rPr>
        <w:t>,</w:t>
      </w:r>
      <w:r w:rsidRPr="005A505B">
        <w:rPr>
          <w:rFonts w:cs="Arial"/>
          <w:color w:val="auto"/>
          <w:sz w:val="20"/>
          <w:szCs w:val="20"/>
        </w:rPr>
        <w:t xml:space="preserve"> and wanted to know how this was going to be addressed.  </w:t>
      </w:r>
      <w:r w:rsidR="006D31BE" w:rsidRPr="005A505B">
        <w:rPr>
          <w:rFonts w:cs="Arial"/>
          <w:color w:val="auto"/>
          <w:sz w:val="20"/>
          <w:szCs w:val="20"/>
        </w:rPr>
        <w:t>It was</w:t>
      </w:r>
      <w:r w:rsidRPr="005A505B">
        <w:rPr>
          <w:rFonts w:cs="Arial"/>
          <w:color w:val="auto"/>
          <w:sz w:val="20"/>
          <w:szCs w:val="20"/>
        </w:rPr>
        <w:t xml:space="preserve"> further </w:t>
      </w:r>
      <w:r w:rsidR="006D31BE" w:rsidRPr="005A505B">
        <w:rPr>
          <w:rFonts w:cs="Arial"/>
          <w:color w:val="auto"/>
          <w:sz w:val="20"/>
          <w:szCs w:val="20"/>
        </w:rPr>
        <w:t>noted</w:t>
      </w:r>
      <w:r w:rsidRPr="005A505B">
        <w:rPr>
          <w:rFonts w:cs="Arial"/>
          <w:color w:val="auto"/>
          <w:sz w:val="20"/>
          <w:szCs w:val="20"/>
        </w:rPr>
        <w:t xml:space="preserve"> that this was a concern as the OHSC </w:t>
      </w:r>
      <w:r w:rsidR="005D4C0A" w:rsidRPr="005A505B">
        <w:rPr>
          <w:rFonts w:cs="Arial"/>
          <w:color w:val="auto"/>
          <w:sz w:val="20"/>
          <w:szCs w:val="20"/>
        </w:rPr>
        <w:t>w</w:t>
      </w:r>
      <w:r w:rsidRPr="005A505B">
        <w:rPr>
          <w:rFonts w:cs="Arial"/>
          <w:color w:val="auto"/>
          <w:sz w:val="20"/>
          <w:szCs w:val="20"/>
        </w:rPr>
        <w:t>ould not accredit facilities if it</w:t>
      </w:r>
      <w:r w:rsidR="00B57B59" w:rsidRPr="005A505B">
        <w:rPr>
          <w:rFonts w:cs="Arial"/>
          <w:color w:val="auto"/>
          <w:sz w:val="20"/>
          <w:szCs w:val="20"/>
        </w:rPr>
        <w:t xml:space="preserve"> i</w:t>
      </w:r>
      <w:r w:rsidRPr="005A505B">
        <w:rPr>
          <w:rFonts w:cs="Arial"/>
          <w:color w:val="auto"/>
          <w:sz w:val="20"/>
          <w:szCs w:val="20"/>
        </w:rPr>
        <w:t>s not properly staffed.</w:t>
      </w:r>
    </w:p>
    <w:p w:rsidR="0048584A" w:rsidRPr="005A505B" w:rsidRDefault="0048584A" w:rsidP="005A505B">
      <w:pPr>
        <w:pStyle w:val="ListParagraph"/>
        <w:numPr>
          <w:ilvl w:val="0"/>
          <w:numId w:val="98"/>
        </w:numPr>
        <w:jc w:val="both"/>
        <w:rPr>
          <w:rFonts w:cs="Arial"/>
          <w:color w:val="auto"/>
          <w:sz w:val="20"/>
          <w:szCs w:val="20"/>
        </w:rPr>
      </w:pPr>
      <w:r w:rsidRPr="005A505B">
        <w:rPr>
          <w:rFonts w:cs="Arial"/>
          <w:color w:val="auto"/>
          <w:sz w:val="20"/>
          <w:szCs w:val="20"/>
        </w:rPr>
        <w:t xml:space="preserve">The Committee observed that the OHSC was under-staffed and was dealing with budgetary constraints for the entity to conduct all the inspections and reach their annual targets and questioned how these challenges would impact </w:t>
      </w:r>
      <w:r w:rsidR="002976AB" w:rsidRPr="005A505B">
        <w:rPr>
          <w:rFonts w:cs="Arial"/>
          <w:color w:val="auto"/>
          <w:sz w:val="20"/>
          <w:szCs w:val="20"/>
        </w:rPr>
        <w:t xml:space="preserve">on </w:t>
      </w:r>
      <w:r w:rsidRPr="005A505B">
        <w:rPr>
          <w:rFonts w:cs="Arial"/>
          <w:color w:val="auto"/>
          <w:sz w:val="20"/>
          <w:szCs w:val="20"/>
        </w:rPr>
        <w:t xml:space="preserve">the implementation of the National Health Insurance. </w:t>
      </w:r>
    </w:p>
    <w:p w:rsidR="00E26B24" w:rsidRPr="005A505B" w:rsidRDefault="00E26B24" w:rsidP="005A505B">
      <w:pPr>
        <w:rPr>
          <w:rFonts w:cs="Arial"/>
          <w:b/>
          <w:color w:val="auto"/>
          <w:sz w:val="20"/>
          <w:szCs w:val="20"/>
          <w:lang w:val="en-US"/>
        </w:rPr>
      </w:pPr>
    </w:p>
    <w:p w:rsidR="00E26B24" w:rsidRPr="005A505B" w:rsidRDefault="00E26B24" w:rsidP="005A505B">
      <w:pPr>
        <w:pStyle w:val="ListParagraph"/>
        <w:numPr>
          <w:ilvl w:val="2"/>
          <w:numId w:val="53"/>
        </w:numPr>
        <w:rPr>
          <w:rFonts w:cs="Arial"/>
          <w:b/>
          <w:color w:val="auto"/>
          <w:sz w:val="20"/>
          <w:szCs w:val="20"/>
          <w:lang w:val="en-US"/>
        </w:rPr>
      </w:pPr>
      <w:r w:rsidRPr="005A505B">
        <w:rPr>
          <w:rFonts w:cs="Arial"/>
          <w:b/>
          <w:color w:val="auto"/>
          <w:sz w:val="20"/>
          <w:szCs w:val="20"/>
          <w:lang w:val="en-US"/>
        </w:rPr>
        <w:t>NHLS</w:t>
      </w:r>
    </w:p>
    <w:p w:rsidR="00E26B24" w:rsidRPr="005A505B" w:rsidRDefault="00E26B24" w:rsidP="005A505B">
      <w:pPr>
        <w:pStyle w:val="ListParagraph"/>
        <w:rPr>
          <w:rFonts w:cs="Arial"/>
          <w:b/>
          <w:color w:val="auto"/>
          <w:sz w:val="20"/>
          <w:szCs w:val="20"/>
          <w:lang w:val="en-US"/>
        </w:rPr>
      </w:pPr>
    </w:p>
    <w:p w:rsidR="00D21559" w:rsidRPr="005A505B" w:rsidRDefault="00D21559" w:rsidP="005A505B">
      <w:pPr>
        <w:pStyle w:val="ListParagraph"/>
        <w:numPr>
          <w:ilvl w:val="0"/>
          <w:numId w:val="86"/>
        </w:numPr>
        <w:jc w:val="both"/>
        <w:rPr>
          <w:rFonts w:cs="Arial"/>
          <w:color w:val="auto"/>
          <w:sz w:val="20"/>
          <w:szCs w:val="20"/>
          <w:lang w:val="en-US"/>
        </w:rPr>
      </w:pPr>
      <w:r w:rsidRPr="005A505B">
        <w:rPr>
          <w:rFonts w:cs="Arial"/>
          <w:color w:val="auto"/>
          <w:sz w:val="20"/>
          <w:szCs w:val="20"/>
          <w:lang w:val="en-US"/>
        </w:rPr>
        <w:t xml:space="preserve">The Committee was concerned </w:t>
      </w:r>
      <w:r w:rsidR="00BB0AE3" w:rsidRPr="005A505B">
        <w:rPr>
          <w:rFonts w:cs="Arial"/>
          <w:color w:val="auto"/>
          <w:sz w:val="20"/>
          <w:szCs w:val="20"/>
          <w:lang w:val="en-US"/>
        </w:rPr>
        <w:t>about the removal of</w:t>
      </w:r>
      <w:r w:rsidRPr="005A505B">
        <w:rPr>
          <w:rFonts w:cs="Arial"/>
          <w:color w:val="auto"/>
          <w:sz w:val="20"/>
          <w:szCs w:val="20"/>
          <w:lang w:val="en-US"/>
        </w:rPr>
        <w:t xml:space="preserve"> the KPI </w:t>
      </w:r>
      <w:r w:rsidR="00BB0AE3" w:rsidRPr="005A505B">
        <w:rPr>
          <w:rFonts w:cs="Arial"/>
          <w:color w:val="auto"/>
          <w:sz w:val="20"/>
          <w:szCs w:val="20"/>
          <w:lang w:val="en-US"/>
        </w:rPr>
        <w:t xml:space="preserve">on </w:t>
      </w:r>
      <w:r w:rsidRPr="005A505B">
        <w:rPr>
          <w:rFonts w:cs="Arial"/>
          <w:color w:val="auto"/>
          <w:sz w:val="20"/>
          <w:szCs w:val="20"/>
          <w:lang w:val="en-US"/>
        </w:rPr>
        <w:t xml:space="preserve">data analytics </w:t>
      </w:r>
      <w:r w:rsidR="00BB0AE3" w:rsidRPr="005A505B">
        <w:rPr>
          <w:rFonts w:cs="Arial"/>
          <w:color w:val="auto"/>
          <w:sz w:val="20"/>
          <w:szCs w:val="20"/>
          <w:lang w:val="en-US"/>
        </w:rPr>
        <w:t>as it would be useful in</w:t>
      </w:r>
      <w:r w:rsidRPr="005A505B">
        <w:rPr>
          <w:rFonts w:cs="Arial"/>
          <w:color w:val="auto"/>
          <w:sz w:val="20"/>
          <w:szCs w:val="20"/>
          <w:lang w:val="en-US"/>
        </w:rPr>
        <w:t xml:space="preserve"> provid</w:t>
      </w:r>
      <w:r w:rsidR="00BB0AE3" w:rsidRPr="005A505B">
        <w:rPr>
          <w:rFonts w:cs="Arial"/>
          <w:color w:val="auto"/>
          <w:sz w:val="20"/>
          <w:szCs w:val="20"/>
          <w:lang w:val="en-US"/>
        </w:rPr>
        <w:t>ing</w:t>
      </w:r>
      <w:r w:rsidRPr="005A505B">
        <w:rPr>
          <w:rFonts w:cs="Arial"/>
          <w:color w:val="auto"/>
          <w:sz w:val="20"/>
          <w:szCs w:val="20"/>
          <w:lang w:val="en-US"/>
        </w:rPr>
        <w:t xml:space="preserve"> real</w:t>
      </w:r>
      <w:r w:rsidR="00BB0AE3" w:rsidRPr="005A505B">
        <w:rPr>
          <w:rFonts w:cs="Arial"/>
          <w:color w:val="auto"/>
          <w:sz w:val="20"/>
          <w:szCs w:val="20"/>
          <w:lang w:val="en-US"/>
        </w:rPr>
        <w:t>-</w:t>
      </w:r>
      <w:r w:rsidRPr="005A505B">
        <w:rPr>
          <w:rFonts w:cs="Arial"/>
          <w:color w:val="auto"/>
          <w:sz w:val="20"/>
          <w:szCs w:val="20"/>
          <w:lang w:val="en-US"/>
        </w:rPr>
        <w:t>time data.</w:t>
      </w:r>
    </w:p>
    <w:p w:rsidR="00D21559" w:rsidRPr="005A505B" w:rsidRDefault="00D21559" w:rsidP="005A505B">
      <w:pPr>
        <w:pStyle w:val="ListParagraph"/>
        <w:numPr>
          <w:ilvl w:val="0"/>
          <w:numId w:val="86"/>
        </w:numPr>
        <w:jc w:val="both"/>
        <w:rPr>
          <w:rFonts w:cs="Arial"/>
          <w:color w:val="auto"/>
          <w:sz w:val="20"/>
          <w:szCs w:val="20"/>
          <w:lang w:val="en-US"/>
        </w:rPr>
      </w:pPr>
      <w:r w:rsidRPr="005A505B">
        <w:rPr>
          <w:rFonts w:cs="Arial"/>
          <w:color w:val="auto"/>
          <w:sz w:val="20"/>
          <w:szCs w:val="20"/>
          <w:lang w:val="en-US"/>
        </w:rPr>
        <w:lastRenderedPageBreak/>
        <w:t xml:space="preserve">The Committee wanted to know </w:t>
      </w:r>
      <w:r w:rsidR="00053210" w:rsidRPr="005A505B">
        <w:rPr>
          <w:rFonts w:cs="Arial"/>
          <w:color w:val="auto"/>
          <w:sz w:val="20"/>
          <w:szCs w:val="20"/>
          <w:lang w:val="en-US"/>
        </w:rPr>
        <w:t>about the existence of</w:t>
      </w:r>
      <w:r w:rsidRPr="005A505B">
        <w:rPr>
          <w:rFonts w:cs="Arial"/>
          <w:color w:val="auto"/>
          <w:sz w:val="20"/>
          <w:szCs w:val="20"/>
          <w:lang w:val="en-US"/>
        </w:rPr>
        <w:t xml:space="preserve"> two blood bank registries in South Africa, one national and the other in Cape Town</w:t>
      </w:r>
      <w:r w:rsidR="00053210" w:rsidRPr="005A505B">
        <w:rPr>
          <w:rFonts w:cs="Arial"/>
          <w:color w:val="auto"/>
          <w:sz w:val="20"/>
          <w:szCs w:val="20"/>
          <w:lang w:val="en-US"/>
        </w:rPr>
        <w:t>,</w:t>
      </w:r>
      <w:r w:rsidRPr="005A505B">
        <w:rPr>
          <w:rFonts w:cs="Arial"/>
          <w:color w:val="auto"/>
          <w:sz w:val="20"/>
          <w:szCs w:val="20"/>
          <w:lang w:val="en-US"/>
        </w:rPr>
        <w:t xml:space="preserve"> </w:t>
      </w:r>
      <w:r w:rsidR="00053210" w:rsidRPr="005A505B">
        <w:rPr>
          <w:rFonts w:cs="Arial"/>
          <w:color w:val="auto"/>
          <w:sz w:val="20"/>
          <w:szCs w:val="20"/>
          <w:lang w:val="en-US"/>
        </w:rPr>
        <w:t xml:space="preserve">rather </w:t>
      </w:r>
      <w:r w:rsidR="00B77DC8" w:rsidRPr="005A505B">
        <w:rPr>
          <w:rFonts w:cs="Arial"/>
          <w:color w:val="auto"/>
          <w:sz w:val="20"/>
          <w:szCs w:val="20"/>
          <w:lang w:val="en-US"/>
        </w:rPr>
        <w:t>than</w:t>
      </w:r>
      <w:r w:rsidRPr="005A505B">
        <w:rPr>
          <w:rFonts w:cs="Arial"/>
          <w:color w:val="auto"/>
          <w:sz w:val="20"/>
          <w:szCs w:val="20"/>
          <w:lang w:val="en-US"/>
        </w:rPr>
        <w:t xml:space="preserve"> one blood bank like in other countries.</w:t>
      </w:r>
    </w:p>
    <w:p w:rsidR="00D21559" w:rsidRPr="005A505B" w:rsidRDefault="00D21559" w:rsidP="005A505B">
      <w:pPr>
        <w:pStyle w:val="ListParagraph"/>
        <w:numPr>
          <w:ilvl w:val="0"/>
          <w:numId w:val="86"/>
        </w:numPr>
        <w:jc w:val="both"/>
        <w:rPr>
          <w:rFonts w:cs="Arial"/>
          <w:color w:val="auto"/>
          <w:sz w:val="20"/>
          <w:szCs w:val="20"/>
          <w:lang w:val="en-US"/>
        </w:rPr>
      </w:pPr>
      <w:r w:rsidRPr="005A505B">
        <w:rPr>
          <w:rFonts w:cs="Arial"/>
          <w:color w:val="auto"/>
          <w:sz w:val="20"/>
          <w:szCs w:val="20"/>
          <w:lang w:val="en-US"/>
        </w:rPr>
        <w:t xml:space="preserve">The Committee noted the weaknesses and threats </w:t>
      </w:r>
      <w:r w:rsidR="00053210" w:rsidRPr="005A505B">
        <w:rPr>
          <w:rFonts w:cs="Arial"/>
          <w:color w:val="auto"/>
          <w:sz w:val="20"/>
          <w:szCs w:val="20"/>
          <w:lang w:val="en-US"/>
        </w:rPr>
        <w:t>identified</w:t>
      </w:r>
      <w:r w:rsidR="00F833CB" w:rsidRPr="005A505B">
        <w:rPr>
          <w:rFonts w:cs="Arial"/>
          <w:color w:val="auto"/>
          <w:sz w:val="20"/>
          <w:szCs w:val="20"/>
          <w:lang w:val="en-US"/>
        </w:rPr>
        <w:t xml:space="preserve"> by the NHLS</w:t>
      </w:r>
      <w:r w:rsidR="00053210" w:rsidRPr="005A505B">
        <w:rPr>
          <w:rFonts w:cs="Arial"/>
          <w:color w:val="auto"/>
          <w:sz w:val="20"/>
          <w:szCs w:val="20"/>
          <w:lang w:val="en-US"/>
        </w:rPr>
        <w:t xml:space="preserve"> </w:t>
      </w:r>
      <w:r w:rsidR="00F833CB" w:rsidRPr="005A505B">
        <w:rPr>
          <w:rFonts w:cs="Arial"/>
          <w:color w:val="auto"/>
          <w:sz w:val="20"/>
          <w:szCs w:val="20"/>
          <w:lang w:val="en-US"/>
        </w:rPr>
        <w:t xml:space="preserve">in </w:t>
      </w:r>
      <w:r w:rsidR="00053210" w:rsidRPr="005A505B">
        <w:rPr>
          <w:rFonts w:cs="Arial"/>
          <w:color w:val="auto"/>
          <w:sz w:val="20"/>
          <w:szCs w:val="20"/>
          <w:lang w:val="en-US"/>
        </w:rPr>
        <w:t>its SWOT analysis</w:t>
      </w:r>
      <w:r w:rsidRPr="005A505B">
        <w:rPr>
          <w:rFonts w:cs="Arial"/>
          <w:color w:val="auto"/>
          <w:sz w:val="20"/>
          <w:szCs w:val="20"/>
          <w:lang w:val="en-US"/>
        </w:rPr>
        <w:t xml:space="preserve"> and wanted to know if the entity w</w:t>
      </w:r>
      <w:r w:rsidR="00EF0FE1" w:rsidRPr="005A505B">
        <w:rPr>
          <w:rFonts w:cs="Arial"/>
          <w:color w:val="auto"/>
          <w:sz w:val="20"/>
          <w:szCs w:val="20"/>
          <w:lang w:val="en-US"/>
        </w:rPr>
        <w:t>ould</w:t>
      </w:r>
      <w:r w:rsidRPr="005A505B">
        <w:rPr>
          <w:rFonts w:cs="Arial"/>
          <w:color w:val="auto"/>
          <w:sz w:val="20"/>
          <w:szCs w:val="20"/>
          <w:lang w:val="en-US"/>
        </w:rPr>
        <w:t xml:space="preserve"> </w:t>
      </w:r>
      <w:r w:rsidR="00053210" w:rsidRPr="005A505B">
        <w:rPr>
          <w:rFonts w:cs="Arial"/>
          <w:color w:val="auto"/>
          <w:sz w:val="20"/>
          <w:szCs w:val="20"/>
          <w:lang w:val="en-US"/>
        </w:rPr>
        <w:t>effectively deliver</w:t>
      </w:r>
      <w:r w:rsidRPr="005A505B">
        <w:rPr>
          <w:rFonts w:cs="Arial"/>
          <w:color w:val="auto"/>
          <w:sz w:val="20"/>
          <w:szCs w:val="20"/>
          <w:lang w:val="en-US"/>
        </w:rPr>
        <w:t xml:space="preserve"> </w:t>
      </w:r>
      <w:r w:rsidR="00BB0AE3" w:rsidRPr="005A505B">
        <w:rPr>
          <w:rFonts w:cs="Arial"/>
          <w:color w:val="auto"/>
          <w:sz w:val="20"/>
          <w:szCs w:val="20"/>
          <w:lang w:val="en-US"/>
        </w:rPr>
        <w:t>optimal</w:t>
      </w:r>
      <w:r w:rsidRPr="005A505B">
        <w:rPr>
          <w:rFonts w:cs="Arial"/>
          <w:color w:val="auto"/>
          <w:sz w:val="20"/>
          <w:szCs w:val="20"/>
          <w:lang w:val="en-US"/>
        </w:rPr>
        <w:t xml:space="preserve"> service to the country.</w:t>
      </w:r>
    </w:p>
    <w:p w:rsidR="00D21559" w:rsidRPr="005A505B" w:rsidRDefault="00D21559" w:rsidP="005A505B">
      <w:pPr>
        <w:pStyle w:val="ListParagraph"/>
        <w:numPr>
          <w:ilvl w:val="0"/>
          <w:numId w:val="86"/>
        </w:numPr>
        <w:jc w:val="both"/>
        <w:rPr>
          <w:rFonts w:cs="Arial"/>
          <w:color w:val="auto"/>
          <w:sz w:val="20"/>
          <w:szCs w:val="20"/>
          <w:lang w:val="en-US"/>
        </w:rPr>
      </w:pPr>
      <w:r w:rsidRPr="005A505B">
        <w:rPr>
          <w:rFonts w:cs="Arial"/>
          <w:color w:val="auto"/>
          <w:sz w:val="20"/>
          <w:szCs w:val="20"/>
          <w:lang w:val="en-US"/>
        </w:rPr>
        <w:t>The Committee was concerned about budget constraints at the entity and wanted to know what plan have been put into place to ensure that the work of the NHLS is not negatively affected, further exacerbated by the incorporation of the Forensic Chemistry Lab</w:t>
      </w:r>
      <w:r w:rsidR="000920FD" w:rsidRPr="005A505B">
        <w:rPr>
          <w:rFonts w:cs="Arial"/>
          <w:color w:val="auto"/>
          <w:sz w:val="20"/>
          <w:szCs w:val="20"/>
          <w:lang w:val="en-US"/>
        </w:rPr>
        <w:t xml:space="preserve"> (FCL)</w:t>
      </w:r>
      <w:r w:rsidR="00EE593C" w:rsidRPr="005A505B">
        <w:rPr>
          <w:rFonts w:cs="Arial"/>
          <w:color w:val="auto"/>
          <w:sz w:val="20"/>
          <w:szCs w:val="20"/>
          <w:lang w:val="en-US"/>
        </w:rPr>
        <w:t>.</w:t>
      </w:r>
    </w:p>
    <w:p w:rsidR="00095F4B" w:rsidRPr="005A505B" w:rsidRDefault="00095F4B" w:rsidP="005A505B">
      <w:pPr>
        <w:pStyle w:val="ListParagraph"/>
        <w:numPr>
          <w:ilvl w:val="0"/>
          <w:numId w:val="86"/>
        </w:numPr>
        <w:jc w:val="both"/>
        <w:rPr>
          <w:rFonts w:cs="Arial"/>
          <w:color w:val="auto"/>
          <w:sz w:val="20"/>
          <w:szCs w:val="20"/>
          <w:lang w:val="en-US"/>
        </w:rPr>
      </w:pPr>
      <w:r w:rsidRPr="005A505B">
        <w:rPr>
          <w:rFonts w:cs="Arial"/>
          <w:color w:val="auto"/>
          <w:sz w:val="20"/>
          <w:szCs w:val="20"/>
          <w:lang w:val="en-US"/>
        </w:rPr>
        <w:t xml:space="preserve">The Committee sought further details on the transfer of the </w:t>
      </w:r>
      <w:r w:rsidR="000920FD" w:rsidRPr="005A505B">
        <w:rPr>
          <w:rFonts w:cs="Arial"/>
          <w:color w:val="auto"/>
          <w:sz w:val="20"/>
          <w:szCs w:val="20"/>
          <w:lang w:val="en-US"/>
        </w:rPr>
        <w:t>FCL</w:t>
      </w:r>
      <w:r w:rsidRPr="005A505B" w:rsidDel="00095F4B">
        <w:rPr>
          <w:rFonts w:cs="Arial"/>
          <w:color w:val="auto"/>
          <w:sz w:val="20"/>
          <w:szCs w:val="20"/>
          <w:lang w:val="en-US"/>
        </w:rPr>
        <w:t xml:space="preserve"> </w:t>
      </w:r>
      <w:r w:rsidRPr="005A505B">
        <w:rPr>
          <w:rFonts w:cs="Arial"/>
          <w:color w:val="auto"/>
          <w:sz w:val="20"/>
          <w:szCs w:val="20"/>
          <w:lang w:val="en-US"/>
        </w:rPr>
        <w:t>from the S</w:t>
      </w:r>
      <w:r w:rsidR="00AD6E85" w:rsidRPr="005A505B">
        <w:rPr>
          <w:rFonts w:cs="Arial"/>
          <w:color w:val="auto"/>
          <w:sz w:val="20"/>
          <w:szCs w:val="20"/>
          <w:lang w:val="en-US"/>
        </w:rPr>
        <w:t xml:space="preserve">outh </w:t>
      </w:r>
      <w:r w:rsidRPr="005A505B">
        <w:rPr>
          <w:rFonts w:cs="Arial"/>
          <w:color w:val="auto"/>
          <w:sz w:val="20"/>
          <w:szCs w:val="20"/>
          <w:lang w:val="en-US"/>
        </w:rPr>
        <w:t>A</w:t>
      </w:r>
      <w:r w:rsidR="00AD6E85" w:rsidRPr="005A505B">
        <w:rPr>
          <w:rFonts w:cs="Arial"/>
          <w:color w:val="auto"/>
          <w:sz w:val="20"/>
          <w:szCs w:val="20"/>
          <w:lang w:val="en-US"/>
        </w:rPr>
        <w:t xml:space="preserve">frican </w:t>
      </w:r>
      <w:r w:rsidRPr="005A505B">
        <w:rPr>
          <w:rFonts w:cs="Arial"/>
          <w:color w:val="auto"/>
          <w:sz w:val="20"/>
          <w:szCs w:val="20"/>
          <w:lang w:val="en-US"/>
        </w:rPr>
        <w:t>P</w:t>
      </w:r>
      <w:r w:rsidR="00AD6E85" w:rsidRPr="005A505B">
        <w:rPr>
          <w:rFonts w:cs="Arial"/>
          <w:color w:val="auto"/>
          <w:sz w:val="20"/>
          <w:szCs w:val="20"/>
          <w:lang w:val="en-US"/>
        </w:rPr>
        <w:t xml:space="preserve">olice </w:t>
      </w:r>
      <w:r w:rsidRPr="005A505B">
        <w:rPr>
          <w:rFonts w:cs="Arial"/>
          <w:color w:val="auto"/>
          <w:sz w:val="20"/>
          <w:szCs w:val="20"/>
          <w:lang w:val="en-US"/>
        </w:rPr>
        <w:t>S</w:t>
      </w:r>
      <w:r w:rsidR="00AD6E85" w:rsidRPr="005A505B">
        <w:rPr>
          <w:rFonts w:cs="Arial"/>
          <w:color w:val="auto"/>
          <w:sz w:val="20"/>
          <w:szCs w:val="20"/>
          <w:lang w:val="en-US"/>
        </w:rPr>
        <w:t>ervice</w:t>
      </w:r>
      <w:r w:rsidRPr="005A505B">
        <w:rPr>
          <w:rFonts w:cs="Arial"/>
          <w:color w:val="auto"/>
          <w:sz w:val="20"/>
          <w:szCs w:val="20"/>
          <w:lang w:val="en-US"/>
        </w:rPr>
        <w:t xml:space="preserve"> to the NHLS and further wanted to know the reasons for the non-allocation of resources to the </w:t>
      </w:r>
      <w:r w:rsidR="000920FD" w:rsidRPr="005A505B">
        <w:rPr>
          <w:rFonts w:cs="Arial"/>
          <w:color w:val="auto"/>
          <w:sz w:val="20"/>
          <w:szCs w:val="20"/>
          <w:lang w:val="en-US"/>
        </w:rPr>
        <w:t xml:space="preserve">FCL </w:t>
      </w:r>
      <w:r w:rsidRPr="005A505B">
        <w:rPr>
          <w:rFonts w:cs="Arial"/>
          <w:color w:val="auto"/>
          <w:sz w:val="20"/>
          <w:szCs w:val="20"/>
          <w:lang w:val="en-US"/>
        </w:rPr>
        <w:t xml:space="preserve">for the year 2022/23.  </w:t>
      </w:r>
      <w:r w:rsidR="005F72C4" w:rsidRPr="005A505B">
        <w:rPr>
          <w:rFonts w:cs="Arial"/>
          <w:color w:val="auto"/>
          <w:sz w:val="20"/>
          <w:szCs w:val="20"/>
          <w:lang w:val="en-US"/>
        </w:rPr>
        <w:t>The Committee</w:t>
      </w:r>
      <w:r w:rsidRPr="005A505B">
        <w:rPr>
          <w:rFonts w:cs="Arial"/>
          <w:color w:val="auto"/>
          <w:sz w:val="20"/>
          <w:szCs w:val="20"/>
          <w:lang w:val="en-US"/>
        </w:rPr>
        <w:t xml:space="preserve"> further </w:t>
      </w:r>
      <w:r w:rsidR="00E16E1F" w:rsidRPr="005A505B">
        <w:rPr>
          <w:rFonts w:cs="Arial"/>
          <w:color w:val="auto"/>
          <w:sz w:val="20"/>
          <w:szCs w:val="20"/>
          <w:lang w:val="en-US"/>
        </w:rPr>
        <w:t>sought a report on the current condition of the</w:t>
      </w:r>
      <w:r w:rsidR="000920FD" w:rsidRPr="005A505B">
        <w:rPr>
          <w:rFonts w:cs="Arial"/>
          <w:color w:val="auto"/>
          <w:sz w:val="20"/>
          <w:szCs w:val="20"/>
          <w:lang w:val="en-US"/>
        </w:rPr>
        <w:t xml:space="preserve"> FCL</w:t>
      </w:r>
      <w:r w:rsidRPr="005A505B">
        <w:rPr>
          <w:rFonts w:cs="Arial"/>
          <w:color w:val="auto"/>
          <w:sz w:val="20"/>
          <w:szCs w:val="20"/>
          <w:lang w:val="en-US"/>
        </w:rPr>
        <w:t>.</w:t>
      </w:r>
    </w:p>
    <w:p w:rsidR="00D21559" w:rsidRPr="005A505B" w:rsidRDefault="00D21559" w:rsidP="005A505B">
      <w:pPr>
        <w:pStyle w:val="ListParagraph"/>
        <w:numPr>
          <w:ilvl w:val="0"/>
          <w:numId w:val="86"/>
        </w:numPr>
        <w:jc w:val="both"/>
        <w:rPr>
          <w:rFonts w:cs="Arial"/>
          <w:color w:val="auto"/>
          <w:sz w:val="20"/>
          <w:szCs w:val="20"/>
          <w:lang w:val="en-US"/>
        </w:rPr>
      </w:pPr>
      <w:r w:rsidRPr="005A505B">
        <w:rPr>
          <w:rFonts w:cs="Arial"/>
          <w:color w:val="auto"/>
          <w:sz w:val="20"/>
          <w:szCs w:val="20"/>
          <w:lang w:val="en-US"/>
        </w:rPr>
        <w:t xml:space="preserve">The Committee </w:t>
      </w:r>
      <w:r w:rsidR="00EE593C" w:rsidRPr="005A505B">
        <w:rPr>
          <w:rFonts w:cs="Arial"/>
          <w:color w:val="auto"/>
          <w:sz w:val="20"/>
          <w:szCs w:val="20"/>
          <w:lang w:val="en-US"/>
        </w:rPr>
        <w:t>expressed concern o</w:t>
      </w:r>
      <w:r w:rsidR="00F113E4" w:rsidRPr="005A505B">
        <w:rPr>
          <w:rFonts w:cs="Arial"/>
          <w:color w:val="auto"/>
          <w:sz w:val="20"/>
          <w:szCs w:val="20"/>
          <w:lang w:val="en-US"/>
        </w:rPr>
        <w:t xml:space="preserve">ver </w:t>
      </w:r>
      <w:r w:rsidRPr="005A505B">
        <w:rPr>
          <w:rFonts w:cs="Arial"/>
          <w:color w:val="auto"/>
          <w:sz w:val="20"/>
          <w:szCs w:val="20"/>
          <w:lang w:val="en-US"/>
        </w:rPr>
        <w:t xml:space="preserve">alleged abuse of power and corruption at the </w:t>
      </w:r>
      <w:r w:rsidR="00F113E4" w:rsidRPr="005A505B">
        <w:rPr>
          <w:rFonts w:cs="Arial"/>
          <w:color w:val="auto"/>
          <w:sz w:val="20"/>
          <w:szCs w:val="20"/>
          <w:lang w:val="en-US"/>
        </w:rPr>
        <w:t>NHLS</w:t>
      </w:r>
      <w:r w:rsidRPr="005A505B">
        <w:rPr>
          <w:rFonts w:cs="Arial"/>
          <w:color w:val="auto"/>
          <w:sz w:val="20"/>
          <w:szCs w:val="20"/>
          <w:lang w:val="en-US"/>
        </w:rPr>
        <w:t xml:space="preserve"> and wanted to know who was responsible for the abuse. The</w:t>
      </w:r>
      <w:r w:rsidR="00F833CB" w:rsidRPr="005A505B">
        <w:rPr>
          <w:rFonts w:cs="Arial"/>
          <w:color w:val="auto"/>
          <w:sz w:val="20"/>
          <w:szCs w:val="20"/>
          <w:lang w:val="en-US"/>
        </w:rPr>
        <w:t xml:space="preserve"> Committee shared a </w:t>
      </w:r>
      <w:r w:rsidRPr="005A505B">
        <w:rPr>
          <w:rFonts w:cs="Arial"/>
          <w:color w:val="auto"/>
          <w:sz w:val="20"/>
          <w:szCs w:val="20"/>
          <w:lang w:val="en-US"/>
        </w:rPr>
        <w:t>report o</w:t>
      </w:r>
      <w:r w:rsidR="00B14B9A" w:rsidRPr="005A505B">
        <w:rPr>
          <w:rFonts w:cs="Arial"/>
          <w:color w:val="auto"/>
          <w:sz w:val="20"/>
          <w:szCs w:val="20"/>
          <w:lang w:val="en-US"/>
        </w:rPr>
        <w:t>f</w:t>
      </w:r>
      <w:r w:rsidRPr="005A505B">
        <w:rPr>
          <w:rFonts w:cs="Arial"/>
          <w:color w:val="auto"/>
          <w:sz w:val="20"/>
          <w:szCs w:val="20"/>
          <w:lang w:val="en-US"/>
        </w:rPr>
        <w:t xml:space="preserve"> </w:t>
      </w:r>
      <w:r w:rsidR="006C3FFD" w:rsidRPr="005A505B">
        <w:rPr>
          <w:rFonts w:cs="Arial"/>
          <w:color w:val="auto"/>
          <w:sz w:val="20"/>
          <w:szCs w:val="20"/>
          <w:lang w:val="en-US"/>
        </w:rPr>
        <w:t xml:space="preserve">Mpho Seleka, a </w:t>
      </w:r>
      <w:r w:rsidR="00E16E1F" w:rsidRPr="005A505B">
        <w:rPr>
          <w:rFonts w:cs="Arial"/>
          <w:color w:val="auto"/>
          <w:sz w:val="20"/>
          <w:szCs w:val="20"/>
          <w:lang w:val="en-US"/>
        </w:rPr>
        <w:t>former employee of the NHLS</w:t>
      </w:r>
      <w:r w:rsidR="006C3FFD" w:rsidRPr="005A505B">
        <w:rPr>
          <w:rFonts w:cs="Arial"/>
          <w:color w:val="auto"/>
          <w:sz w:val="20"/>
          <w:szCs w:val="20"/>
          <w:lang w:val="en-US"/>
        </w:rPr>
        <w:t>,</w:t>
      </w:r>
      <w:r w:rsidRPr="005A505B">
        <w:rPr>
          <w:rFonts w:cs="Arial"/>
          <w:color w:val="auto"/>
          <w:sz w:val="20"/>
          <w:szCs w:val="20"/>
          <w:lang w:val="en-US"/>
        </w:rPr>
        <w:t xml:space="preserve"> who had applied for a position</w:t>
      </w:r>
      <w:r w:rsidR="00B405E4" w:rsidRPr="005A505B">
        <w:rPr>
          <w:rFonts w:cs="Arial"/>
          <w:color w:val="auto"/>
          <w:sz w:val="20"/>
          <w:szCs w:val="20"/>
          <w:lang w:val="en-US"/>
        </w:rPr>
        <w:t xml:space="preserve"> at the NICD</w:t>
      </w:r>
      <w:r w:rsidR="00E16E1F" w:rsidRPr="005A505B">
        <w:rPr>
          <w:rFonts w:cs="Arial"/>
          <w:color w:val="auto"/>
          <w:sz w:val="20"/>
          <w:szCs w:val="20"/>
          <w:lang w:val="en-US"/>
        </w:rPr>
        <w:t>, got shortlisted</w:t>
      </w:r>
      <w:r w:rsidRPr="005A505B">
        <w:rPr>
          <w:rFonts w:cs="Arial"/>
          <w:color w:val="auto"/>
          <w:sz w:val="20"/>
          <w:szCs w:val="20"/>
          <w:lang w:val="en-US"/>
        </w:rPr>
        <w:t xml:space="preserve"> and the interview was revoked.  The Committee wanted to know why the interview was revoked.</w:t>
      </w:r>
    </w:p>
    <w:p w:rsidR="00D21559" w:rsidRPr="005A505B" w:rsidRDefault="00AC0495" w:rsidP="005A505B">
      <w:pPr>
        <w:pStyle w:val="ListParagraph"/>
        <w:numPr>
          <w:ilvl w:val="0"/>
          <w:numId w:val="86"/>
        </w:numPr>
        <w:jc w:val="both"/>
        <w:rPr>
          <w:rFonts w:cs="Arial"/>
          <w:color w:val="auto"/>
          <w:sz w:val="20"/>
          <w:szCs w:val="20"/>
          <w:lang w:val="en-US"/>
        </w:rPr>
      </w:pPr>
      <w:r w:rsidRPr="005A505B">
        <w:rPr>
          <w:rFonts w:cs="Arial"/>
          <w:color w:val="auto"/>
          <w:sz w:val="20"/>
          <w:szCs w:val="20"/>
          <w:lang w:val="en-US"/>
        </w:rPr>
        <w:t xml:space="preserve">The </w:t>
      </w:r>
      <w:r w:rsidR="00ED2867" w:rsidRPr="005A505B">
        <w:rPr>
          <w:rFonts w:cs="Arial"/>
          <w:color w:val="auto"/>
          <w:sz w:val="20"/>
          <w:szCs w:val="20"/>
          <w:lang w:val="en-US"/>
        </w:rPr>
        <w:t>C</w:t>
      </w:r>
      <w:r w:rsidRPr="005A505B">
        <w:rPr>
          <w:rFonts w:cs="Arial"/>
          <w:color w:val="auto"/>
          <w:sz w:val="20"/>
          <w:szCs w:val="20"/>
          <w:lang w:val="en-US"/>
        </w:rPr>
        <w:t xml:space="preserve">ommittee noted that Programme 5 depicted low performance </w:t>
      </w:r>
      <w:r w:rsidR="00D21559" w:rsidRPr="005A505B">
        <w:rPr>
          <w:rFonts w:cs="Arial"/>
          <w:color w:val="auto"/>
          <w:sz w:val="20"/>
          <w:szCs w:val="20"/>
          <w:lang w:val="en-US"/>
        </w:rPr>
        <w:t>target</w:t>
      </w:r>
      <w:r w:rsidR="00F833CB" w:rsidRPr="005A505B">
        <w:rPr>
          <w:rFonts w:cs="Arial"/>
          <w:color w:val="auto"/>
          <w:sz w:val="20"/>
          <w:szCs w:val="20"/>
          <w:lang w:val="en-US"/>
        </w:rPr>
        <w:t>s</w:t>
      </w:r>
      <w:r w:rsidR="00D21559" w:rsidRPr="005A505B">
        <w:rPr>
          <w:rFonts w:cs="Arial"/>
          <w:color w:val="auto"/>
          <w:sz w:val="20"/>
          <w:szCs w:val="20"/>
          <w:lang w:val="en-US"/>
        </w:rPr>
        <w:t xml:space="preserve"> was a concern to the Committee and they further wanted know </w:t>
      </w:r>
      <w:r w:rsidRPr="005A505B">
        <w:rPr>
          <w:rFonts w:cs="Arial"/>
          <w:color w:val="auto"/>
          <w:sz w:val="20"/>
          <w:szCs w:val="20"/>
          <w:lang w:val="en-US"/>
        </w:rPr>
        <w:t>the factors leading to lower performance on the percentage of blood alcohol tests completed within 90 days</w:t>
      </w:r>
      <w:r w:rsidR="00D21559" w:rsidRPr="005A505B">
        <w:rPr>
          <w:rFonts w:cs="Arial"/>
          <w:color w:val="auto"/>
          <w:sz w:val="20"/>
          <w:szCs w:val="20"/>
          <w:lang w:val="en-US"/>
        </w:rPr>
        <w:t>.</w:t>
      </w:r>
    </w:p>
    <w:p w:rsidR="00D21559" w:rsidRPr="005A505B" w:rsidRDefault="00D21559" w:rsidP="005A505B">
      <w:pPr>
        <w:pStyle w:val="ListParagraph"/>
        <w:numPr>
          <w:ilvl w:val="0"/>
          <w:numId w:val="86"/>
        </w:numPr>
        <w:jc w:val="both"/>
        <w:rPr>
          <w:rFonts w:cs="Arial"/>
          <w:color w:val="auto"/>
          <w:sz w:val="20"/>
          <w:szCs w:val="20"/>
          <w:lang w:val="en-US"/>
        </w:rPr>
      </w:pPr>
      <w:r w:rsidRPr="005A505B">
        <w:rPr>
          <w:rFonts w:cs="Arial"/>
          <w:color w:val="auto"/>
          <w:sz w:val="20"/>
          <w:szCs w:val="20"/>
          <w:lang w:val="en-US"/>
        </w:rPr>
        <w:t xml:space="preserve">The Committee enquired </w:t>
      </w:r>
      <w:r w:rsidR="00650E3B" w:rsidRPr="005A505B">
        <w:rPr>
          <w:rFonts w:cs="Arial"/>
          <w:color w:val="auto"/>
          <w:sz w:val="20"/>
          <w:szCs w:val="20"/>
          <w:lang w:val="en-US"/>
        </w:rPr>
        <w:t>about</w:t>
      </w:r>
      <w:r w:rsidRPr="005A505B">
        <w:rPr>
          <w:rFonts w:cs="Arial"/>
          <w:color w:val="auto"/>
          <w:sz w:val="20"/>
          <w:szCs w:val="20"/>
          <w:lang w:val="en-US"/>
        </w:rPr>
        <w:t xml:space="preserve"> the relationship between the training done by the NHLS</w:t>
      </w:r>
      <w:r w:rsidR="00AC0495" w:rsidRPr="005A505B">
        <w:rPr>
          <w:rFonts w:cs="Arial"/>
          <w:color w:val="auto"/>
          <w:sz w:val="20"/>
          <w:szCs w:val="20"/>
          <w:lang w:val="en-US"/>
        </w:rPr>
        <w:t>,</w:t>
      </w:r>
      <w:r w:rsidRPr="005A505B">
        <w:rPr>
          <w:rFonts w:cs="Arial"/>
          <w:color w:val="auto"/>
          <w:sz w:val="20"/>
          <w:szCs w:val="20"/>
          <w:lang w:val="en-US"/>
        </w:rPr>
        <w:t xml:space="preserve"> private and public sector </w:t>
      </w:r>
      <w:r w:rsidR="00AC0495" w:rsidRPr="005A505B">
        <w:rPr>
          <w:rFonts w:cs="Arial"/>
          <w:color w:val="auto"/>
          <w:sz w:val="20"/>
          <w:szCs w:val="20"/>
          <w:lang w:val="en-US"/>
        </w:rPr>
        <w:t>hospitals</w:t>
      </w:r>
      <w:r w:rsidRPr="005A505B">
        <w:rPr>
          <w:rFonts w:cs="Arial"/>
          <w:color w:val="auto"/>
          <w:sz w:val="20"/>
          <w:szCs w:val="20"/>
          <w:lang w:val="en-US"/>
        </w:rPr>
        <w:t xml:space="preserve"> and the reasons why the NHLS believes that there will be a decrease in the number of specialists that will be trained in the mentioned spheres.</w:t>
      </w:r>
    </w:p>
    <w:p w:rsidR="00E26B24" w:rsidRPr="005A505B" w:rsidRDefault="00E26B24" w:rsidP="005A505B">
      <w:pPr>
        <w:rPr>
          <w:rFonts w:cs="Arial"/>
          <w:b/>
          <w:color w:val="auto"/>
          <w:sz w:val="20"/>
          <w:szCs w:val="20"/>
          <w:lang w:val="en-US"/>
        </w:rPr>
      </w:pPr>
    </w:p>
    <w:p w:rsidR="00E26B24" w:rsidRPr="005A505B" w:rsidRDefault="00E26B24" w:rsidP="005A505B">
      <w:pPr>
        <w:pStyle w:val="ListParagraph"/>
        <w:numPr>
          <w:ilvl w:val="2"/>
          <w:numId w:val="53"/>
        </w:numPr>
        <w:rPr>
          <w:rFonts w:cs="Arial"/>
          <w:b/>
          <w:color w:val="auto"/>
          <w:sz w:val="20"/>
          <w:szCs w:val="20"/>
          <w:lang w:val="en-US"/>
        </w:rPr>
      </w:pPr>
      <w:r w:rsidRPr="005A505B">
        <w:rPr>
          <w:rFonts w:cs="Arial"/>
          <w:b/>
          <w:color w:val="auto"/>
          <w:sz w:val="20"/>
          <w:szCs w:val="20"/>
          <w:lang w:val="en-US"/>
        </w:rPr>
        <w:t>CMS</w:t>
      </w:r>
    </w:p>
    <w:p w:rsidR="00E26B24" w:rsidRPr="005A505B" w:rsidRDefault="00E26B24" w:rsidP="005A505B">
      <w:pPr>
        <w:rPr>
          <w:rFonts w:cs="Arial"/>
          <w:b/>
          <w:color w:val="auto"/>
          <w:sz w:val="20"/>
          <w:szCs w:val="20"/>
          <w:lang w:val="en-US"/>
        </w:rPr>
      </w:pPr>
    </w:p>
    <w:p w:rsidR="00D45AA7" w:rsidRPr="005A505B" w:rsidRDefault="00BC7CFF" w:rsidP="005A505B">
      <w:pPr>
        <w:pStyle w:val="ListParagraph"/>
        <w:numPr>
          <w:ilvl w:val="0"/>
          <w:numId w:val="87"/>
        </w:numPr>
        <w:jc w:val="both"/>
        <w:rPr>
          <w:rFonts w:cs="Arial"/>
          <w:color w:val="auto"/>
          <w:sz w:val="20"/>
          <w:szCs w:val="20"/>
          <w:lang w:val="en-US"/>
        </w:rPr>
      </w:pPr>
      <w:r w:rsidRPr="005A505B">
        <w:rPr>
          <w:rFonts w:cs="Arial"/>
          <w:color w:val="auto"/>
          <w:sz w:val="20"/>
          <w:szCs w:val="20"/>
          <w:lang w:val="en-US"/>
        </w:rPr>
        <w:t xml:space="preserve">The Committee </w:t>
      </w:r>
      <w:r w:rsidR="00E73A97" w:rsidRPr="005A505B">
        <w:rPr>
          <w:rFonts w:cs="Arial"/>
          <w:color w:val="auto"/>
          <w:sz w:val="20"/>
          <w:szCs w:val="20"/>
          <w:lang w:val="en-US"/>
        </w:rPr>
        <w:t>requested</w:t>
      </w:r>
      <w:r w:rsidR="00D45AA7" w:rsidRPr="005A505B">
        <w:rPr>
          <w:rFonts w:cs="Arial"/>
          <w:color w:val="auto"/>
          <w:sz w:val="20"/>
          <w:szCs w:val="20"/>
          <w:lang w:val="en-US"/>
        </w:rPr>
        <w:t xml:space="preserve"> an update on the</w:t>
      </w:r>
      <w:r w:rsidRPr="005A505B">
        <w:rPr>
          <w:rFonts w:cs="Arial"/>
          <w:color w:val="auto"/>
          <w:sz w:val="20"/>
          <w:szCs w:val="20"/>
          <w:lang w:val="en-US"/>
        </w:rPr>
        <w:t xml:space="preserve"> review of prescribed </w:t>
      </w:r>
      <w:r w:rsidR="00D45AA7" w:rsidRPr="005A505B">
        <w:rPr>
          <w:rFonts w:cs="Arial"/>
          <w:color w:val="auto"/>
          <w:sz w:val="20"/>
          <w:szCs w:val="20"/>
          <w:lang w:val="en-US"/>
        </w:rPr>
        <w:t>minimum</w:t>
      </w:r>
      <w:r w:rsidRPr="005A505B">
        <w:rPr>
          <w:rFonts w:cs="Arial"/>
          <w:color w:val="auto"/>
          <w:sz w:val="20"/>
          <w:szCs w:val="20"/>
          <w:lang w:val="en-US"/>
        </w:rPr>
        <w:t xml:space="preserve"> benefits</w:t>
      </w:r>
      <w:r w:rsidR="004452E0" w:rsidRPr="005A505B">
        <w:rPr>
          <w:rFonts w:cs="Arial"/>
          <w:color w:val="auto"/>
          <w:sz w:val="20"/>
          <w:szCs w:val="20"/>
          <w:lang w:val="en-US"/>
        </w:rPr>
        <w:t xml:space="preserve"> (PMBs)</w:t>
      </w:r>
      <w:r w:rsidRPr="005A505B">
        <w:rPr>
          <w:rFonts w:cs="Arial"/>
          <w:color w:val="auto"/>
          <w:sz w:val="20"/>
          <w:szCs w:val="20"/>
          <w:lang w:val="en-US"/>
        </w:rPr>
        <w:t xml:space="preserve"> in line with the Health Market </w:t>
      </w:r>
      <w:r w:rsidR="005A0CC0" w:rsidRPr="005A505B">
        <w:rPr>
          <w:rFonts w:cs="Arial"/>
          <w:color w:val="auto"/>
          <w:sz w:val="20"/>
          <w:szCs w:val="20"/>
          <w:lang w:val="en-US"/>
        </w:rPr>
        <w:t>I</w:t>
      </w:r>
      <w:r w:rsidRPr="005A505B">
        <w:rPr>
          <w:rFonts w:cs="Arial"/>
          <w:color w:val="auto"/>
          <w:sz w:val="20"/>
          <w:szCs w:val="20"/>
          <w:lang w:val="en-US"/>
        </w:rPr>
        <w:t>nquiry</w:t>
      </w:r>
      <w:r w:rsidR="00D45AA7" w:rsidRPr="005A505B">
        <w:rPr>
          <w:rFonts w:cs="Arial"/>
          <w:color w:val="auto"/>
          <w:sz w:val="20"/>
          <w:szCs w:val="20"/>
          <w:lang w:val="en-US"/>
        </w:rPr>
        <w:t xml:space="preserve"> recommendations.</w:t>
      </w:r>
    </w:p>
    <w:p w:rsidR="004452E0" w:rsidRPr="005A505B" w:rsidRDefault="004452E0" w:rsidP="005A505B">
      <w:pPr>
        <w:pStyle w:val="ListParagraph"/>
        <w:numPr>
          <w:ilvl w:val="0"/>
          <w:numId w:val="87"/>
        </w:numPr>
        <w:jc w:val="both"/>
        <w:rPr>
          <w:rFonts w:cs="Arial"/>
          <w:color w:val="auto"/>
          <w:sz w:val="20"/>
          <w:szCs w:val="20"/>
          <w:lang w:val="en-US"/>
        </w:rPr>
      </w:pPr>
      <w:r w:rsidRPr="005A505B">
        <w:rPr>
          <w:rFonts w:cs="Arial"/>
          <w:color w:val="auto"/>
          <w:sz w:val="20"/>
          <w:szCs w:val="20"/>
          <w:lang w:val="en-US"/>
        </w:rPr>
        <w:t xml:space="preserve">The Committee wanted to know whether the list of PMBs will align with the standard low-cost medical aids.  </w:t>
      </w:r>
    </w:p>
    <w:p w:rsidR="00BC7CFF" w:rsidRPr="005A505B" w:rsidRDefault="00BC7CFF" w:rsidP="005A505B">
      <w:pPr>
        <w:pStyle w:val="ListParagraph"/>
        <w:numPr>
          <w:ilvl w:val="0"/>
          <w:numId w:val="87"/>
        </w:numPr>
        <w:jc w:val="both"/>
        <w:rPr>
          <w:rFonts w:cs="Arial"/>
          <w:color w:val="auto"/>
          <w:sz w:val="20"/>
          <w:szCs w:val="20"/>
          <w:lang w:val="en-US"/>
        </w:rPr>
      </w:pPr>
      <w:r w:rsidRPr="005A505B">
        <w:rPr>
          <w:rFonts w:cs="Arial"/>
          <w:color w:val="auto"/>
          <w:sz w:val="20"/>
          <w:szCs w:val="20"/>
          <w:lang w:val="en-US"/>
        </w:rPr>
        <w:t xml:space="preserve">The Committee </w:t>
      </w:r>
      <w:r w:rsidR="004452E0" w:rsidRPr="005A505B">
        <w:rPr>
          <w:rFonts w:cs="Arial"/>
          <w:color w:val="auto"/>
          <w:sz w:val="20"/>
          <w:szCs w:val="20"/>
          <w:lang w:val="en-US"/>
        </w:rPr>
        <w:t>observed</w:t>
      </w:r>
      <w:r w:rsidRPr="005A505B">
        <w:rPr>
          <w:rFonts w:cs="Arial"/>
          <w:color w:val="auto"/>
          <w:sz w:val="20"/>
          <w:szCs w:val="20"/>
          <w:lang w:val="en-US"/>
        </w:rPr>
        <w:t xml:space="preserve"> that the </w:t>
      </w:r>
      <w:r w:rsidR="004452E0" w:rsidRPr="005A505B">
        <w:rPr>
          <w:rFonts w:cs="Arial"/>
          <w:color w:val="auto"/>
          <w:sz w:val="20"/>
          <w:szCs w:val="20"/>
          <w:lang w:val="en-US"/>
        </w:rPr>
        <w:t>COVID</w:t>
      </w:r>
      <w:r w:rsidRPr="005A505B">
        <w:rPr>
          <w:rFonts w:cs="Arial"/>
          <w:color w:val="auto"/>
          <w:sz w:val="20"/>
          <w:szCs w:val="20"/>
          <w:lang w:val="en-US"/>
        </w:rPr>
        <w:t xml:space="preserve">-19 pandemic had a negative impact on the CMS and wanted to know </w:t>
      </w:r>
      <w:r w:rsidR="004452E0" w:rsidRPr="005A505B">
        <w:rPr>
          <w:rFonts w:cs="Arial"/>
          <w:color w:val="auto"/>
          <w:sz w:val="20"/>
          <w:szCs w:val="20"/>
          <w:lang w:val="en-US"/>
        </w:rPr>
        <w:t xml:space="preserve">how </w:t>
      </w:r>
      <w:r w:rsidRPr="005A505B">
        <w:rPr>
          <w:rFonts w:cs="Arial"/>
          <w:color w:val="auto"/>
          <w:sz w:val="20"/>
          <w:szCs w:val="20"/>
          <w:lang w:val="en-US"/>
        </w:rPr>
        <w:t>the Council anticipate</w:t>
      </w:r>
      <w:r w:rsidR="004452E0" w:rsidRPr="005A505B">
        <w:rPr>
          <w:rFonts w:cs="Arial"/>
          <w:color w:val="auto"/>
          <w:sz w:val="20"/>
          <w:szCs w:val="20"/>
          <w:lang w:val="en-US"/>
        </w:rPr>
        <w:t>s</w:t>
      </w:r>
      <w:r w:rsidRPr="005A505B">
        <w:rPr>
          <w:rFonts w:cs="Arial"/>
          <w:color w:val="auto"/>
          <w:sz w:val="20"/>
          <w:szCs w:val="20"/>
          <w:lang w:val="en-US"/>
        </w:rPr>
        <w:t xml:space="preserve"> the lifting of the </w:t>
      </w:r>
      <w:r w:rsidR="007D05F1" w:rsidRPr="005A505B">
        <w:rPr>
          <w:rFonts w:cs="Arial"/>
          <w:color w:val="auto"/>
          <w:sz w:val="20"/>
          <w:szCs w:val="20"/>
          <w:lang w:val="en-US"/>
        </w:rPr>
        <w:t>national state of disaster</w:t>
      </w:r>
      <w:r w:rsidRPr="005A505B">
        <w:rPr>
          <w:rFonts w:cs="Arial"/>
          <w:color w:val="auto"/>
          <w:sz w:val="20"/>
          <w:szCs w:val="20"/>
          <w:lang w:val="en-US"/>
        </w:rPr>
        <w:t xml:space="preserve"> </w:t>
      </w:r>
      <w:r w:rsidR="004452E0" w:rsidRPr="005A505B">
        <w:rPr>
          <w:rFonts w:cs="Arial"/>
          <w:color w:val="auto"/>
          <w:sz w:val="20"/>
          <w:szCs w:val="20"/>
          <w:lang w:val="en-US"/>
        </w:rPr>
        <w:t>would</w:t>
      </w:r>
      <w:r w:rsidRPr="005A505B">
        <w:rPr>
          <w:rFonts w:cs="Arial"/>
          <w:color w:val="auto"/>
          <w:sz w:val="20"/>
          <w:szCs w:val="20"/>
          <w:lang w:val="en-US"/>
        </w:rPr>
        <w:t xml:space="preserve"> </w:t>
      </w:r>
      <w:r w:rsidR="00911EFD" w:rsidRPr="005A505B">
        <w:rPr>
          <w:rFonts w:cs="Arial"/>
          <w:color w:val="auto"/>
          <w:sz w:val="20"/>
          <w:szCs w:val="20"/>
          <w:lang w:val="en-US"/>
        </w:rPr>
        <w:t>improve</w:t>
      </w:r>
      <w:r w:rsidR="004452E0" w:rsidRPr="005A505B">
        <w:rPr>
          <w:rFonts w:cs="Arial"/>
          <w:color w:val="auto"/>
          <w:sz w:val="20"/>
          <w:szCs w:val="20"/>
          <w:lang w:val="en-US"/>
        </w:rPr>
        <w:t xml:space="preserve"> its functioning.</w:t>
      </w:r>
    </w:p>
    <w:p w:rsidR="00BC7CFF" w:rsidRPr="005A505B" w:rsidRDefault="00BC7CFF" w:rsidP="005A505B">
      <w:pPr>
        <w:pStyle w:val="ListParagraph"/>
        <w:numPr>
          <w:ilvl w:val="0"/>
          <w:numId w:val="87"/>
        </w:numPr>
        <w:jc w:val="both"/>
        <w:rPr>
          <w:rFonts w:cs="Arial"/>
          <w:color w:val="auto"/>
          <w:sz w:val="20"/>
          <w:szCs w:val="20"/>
          <w:lang w:val="en-US"/>
        </w:rPr>
      </w:pPr>
      <w:r w:rsidRPr="005A505B">
        <w:rPr>
          <w:rFonts w:cs="Arial"/>
          <w:color w:val="auto"/>
          <w:sz w:val="20"/>
          <w:szCs w:val="20"/>
          <w:lang w:val="en-US"/>
        </w:rPr>
        <w:t xml:space="preserve">The Committee was concerned that lease payments </w:t>
      </w:r>
      <w:r w:rsidR="00B300D5" w:rsidRPr="005A505B">
        <w:rPr>
          <w:rFonts w:cs="Arial"/>
          <w:color w:val="auto"/>
          <w:sz w:val="20"/>
          <w:szCs w:val="20"/>
          <w:lang w:val="en-US"/>
        </w:rPr>
        <w:t>takes up</w:t>
      </w:r>
      <w:r w:rsidRPr="005A505B">
        <w:rPr>
          <w:rFonts w:cs="Arial"/>
          <w:color w:val="auto"/>
          <w:sz w:val="20"/>
          <w:szCs w:val="20"/>
          <w:lang w:val="en-US"/>
        </w:rPr>
        <w:t xml:space="preserve"> 20% of the CMS budget and wanted to know </w:t>
      </w:r>
      <w:r w:rsidR="00B300D5" w:rsidRPr="005A505B">
        <w:rPr>
          <w:rFonts w:cs="Arial"/>
          <w:color w:val="auto"/>
          <w:sz w:val="20"/>
          <w:szCs w:val="20"/>
          <w:lang w:val="en-US"/>
        </w:rPr>
        <w:t>whether the entity has explored cheaper options, such as using</w:t>
      </w:r>
      <w:r w:rsidRPr="005A505B">
        <w:rPr>
          <w:rFonts w:cs="Arial"/>
          <w:color w:val="auto"/>
          <w:sz w:val="20"/>
          <w:szCs w:val="20"/>
          <w:lang w:val="en-US"/>
        </w:rPr>
        <w:t xml:space="preserve"> government buildings</w:t>
      </w:r>
      <w:r w:rsidR="00B300D5" w:rsidRPr="005A505B">
        <w:rPr>
          <w:rFonts w:cs="Arial"/>
          <w:color w:val="auto"/>
          <w:sz w:val="20"/>
          <w:szCs w:val="20"/>
          <w:lang w:val="en-US"/>
        </w:rPr>
        <w:t xml:space="preserve"> as a cost-cutting measure</w:t>
      </w:r>
      <w:r w:rsidRPr="005A505B">
        <w:rPr>
          <w:rFonts w:cs="Arial"/>
          <w:color w:val="auto"/>
          <w:sz w:val="20"/>
          <w:szCs w:val="20"/>
          <w:lang w:val="en-US"/>
        </w:rPr>
        <w:t>.</w:t>
      </w:r>
    </w:p>
    <w:p w:rsidR="003B2C99" w:rsidRPr="005A505B" w:rsidRDefault="00BC7CFF" w:rsidP="005A505B">
      <w:pPr>
        <w:pStyle w:val="ListParagraph"/>
        <w:numPr>
          <w:ilvl w:val="0"/>
          <w:numId w:val="87"/>
        </w:numPr>
        <w:jc w:val="both"/>
        <w:rPr>
          <w:rFonts w:cs="Arial"/>
          <w:color w:val="auto"/>
          <w:sz w:val="20"/>
          <w:szCs w:val="20"/>
          <w:lang w:val="en-US"/>
        </w:rPr>
      </w:pPr>
      <w:r w:rsidRPr="005A505B">
        <w:rPr>
          <w:rFonts w:cs="Arial"/>
          <w:color w:val="auto"/>
          <w:sz w:val="20"/>
          <w:szCs w:val="20"/>
          <w:lang w:val="en-US"/>
        </w:rPr>
        <w:t xml:space="preserve">The Committee wanted to know if there has been any research project </w:t>
      </w:r>
      <w:r w:rsidR="0086071E" w:rsidRPr="005A505B">
        <w:rPr>
          <w:rFonts w:cs="Arial"/>
          <w:color w:val="auto"/>
          <w:sz w:val="20"/>
          <w:szCs w:val="20"/>
          <w:lang w:val="en-US"/>
        </w:rPr>
        <w:t xml:space="preserve">conducted </w:t>
      </w:r>
      <w:r w:rsidRPr="005A505B">
        <w:rPr>
          <w:rFonts w:cs="Arial"/>
          <w:color w:val="auto"/>
          <w:sz w:val="20"/>
          <w:szCs w:val="20"/>
          <w:lang w:val="en-US"/>
        </w:rPr>
        <w:t>focus</w:t>
      </w:r>
      <w:r w:rsidR="0086071E" w:rsidRPr="005A505B">
        <w:rPr>
          <w:rFonts w:cs="Arial"/>
          <w:color w:val="auto"/>
          <w:sz w:val="20"/>
          <w:szCs w:val="20"/>
          <w:lang w:val="en-US"/>
        </w:rPr>
        <w:t xml:space="preserve">ing </w:t>
      </w:r>
      <w:r w:rsidRPr="005A505B">
        <w:rPr>
          <w:rFonts w:cs="Arial"/>
          <w:color w:val="auto"/>
          <w:sz w:val="20"/>
          <w:szCs w:val="20"/>
          <w:lang w:val="en-US"/>
        </w:rPr>
        <w:t>on the NHI and what the conclusion</w:t>
      </w:r>
      <w:r w:rsidR="0086071E" w:rsidRPr="005A505B">
        <w:rPr>
          <w:rFonts w:cs="Arial"/>
          <w:color w:val="auto"/>
          <w:sz w:val="20"/>
          <w:szCs w:val="20"/>
          <w:lang w:val="en-US"/>
        </w:rPr>
        <w:t>s</w:t>
      </w:r>
      <w:r w:rsidRPr="005A505B">
        <w:rPr>
          <w:rFonts w:cs="Arial"/>
          <w:color w:val="auto"/>
          <w:sz w:val="20"/>
          <w:szCs w:val="20"/>
          <w:lang w:val="en-US"/>
        </w:rPr>
        <w:t xml:space="preserve"> </w:t>
      </w:r>
      <w:r w:rsidR="0086071E" w:rsidRPr="005A505B">
        <w:rPr>
          <w:rFonts w:cs="Arial"/>
          <w:color w:val="auto"/>
          <w:sz w:val="20"/>
          <w:szCs w:val="20"/>
          <w:lang w:val="en-US"/>
        </w:rPr>
        <w:t>were</w:t>
      </w:r>
      <w:r w:rsidRPr="005A505B">
        <w:rPr>
          <w:rFonts w:cs="Arial"/>
          <w:color w:val="auto"/>
          <w:sz w:val="20"/>
          <w:szCs w:val="20"/>
          <w:lang w:val="en-US"/>
        </w:rPr>
        <w:t xml:space="preserve"> on the feasibility and capability of the NHI </w:t>
      </w:r>
      <w:r w:rsidR="0086071E" w:rsidRPr="005A505B">
        <w:rPr>
          <w:rFonts w:cs="Arial"/>
          <w:color w:val="auto"/>
          <w:sz w:val="20"/>
          <w:szCs w:val="20"/>
          <w:lang w:val="en-US"/>
        </w:rPr>
        <w:t>on the functions of the CMS</w:t>
      </w:r>
      <w:r w:rsidRPr="005A505B">
        <w:rPr>
          <w:rFonts w:cs="Arial"/>
          <w:color w:val="auto"/>
          <w:sz w:val="20"/>
          <w:szCs w:val="20"/>
          <w:lang w:val="en-US"/>
        </w:rPr>
        <w:t xml:space="preserve">. </w:t>
      </w:r>
      <w:r w:rsidR="003B2C99" w:rsidRPr="005A505B">
        <w:rPr>
          <w:rFonts w:cs="Arial"/>
          <w:color w:val="auto"/>
          <w:sz w:val="20"/>
          <w:szCs w:val="20"/>
          <w:lang w:val="en-US"/>
        </w:rPr>
        <w:t>Further, which pro</w:t>
      </w:r>
      <w:r w:rsidR="008F2111" w:rsidRPr="005A505B">
        <w:rPr>
          <w:rFonts w:cs="Arial"/>
          <w:color w:val="auto"/>
          <w:sz w:val="20"/>
          <w:szCs w:val="20"/>
          <w:lang w:val="en-US"/>
        </w:rPr>
        <w:t>grammes</w:t>
      </w:r>
      <w:r w:rsidR="003B2C99" w:rsidRPr="005A505B">
        <w:rPr>
          <w:rFonts w:cs="Arial"/>
          <w:color w:val="auto"/>
          <w:sz w:val="20"/>
          <w:szCs w:val="20"/>
          <w:lang w:val="en-US"/>
        </w:rPr>
        <w:t xml:space="preserve"> will be severely compromised by the NHI Bill</w:t>
      </w:r>
    </w:p>
    <w:p w:rsidR="00BC7CFF" w:rsidRPr="005A505B" w:rsidRDefault="00BC7CFF" w:rsidP="005A505B">
      <w:pPr>
        <w:pStyle w:val="ListParagraph"/>
        <w:numPr>
          <w:ilvl w:val="0"/>
          <w:numId w:val="87"/>
        </w:numPr>
        <w:jc w:val="both"/>
        <w:rPr>
          <w:rFonts w:cs="Arial"/>
          <w:color w:val="auto"/>
          <w:sz w:val="20"/>
          <w:szCs w:val="20"/>
          <w:lang w:val="en-US"/>
        </w:rPr>
      </w:pPr>
      <w:r w:rsidRPr="005A505B">
        <w:rPr>
          <w:rFonts w:cs="Arial"/>
          <w:color w:val="auto"/>
          <w:sz w:val="20"/>
          <w:szCs w:val="20"/>
          <w:lang w:val="en-US"/>
        </w:rPr>
        <w:t xml:space="preserve">The Committee enquired </w:t>
      </w:r>
      <w:r w:rsidR="003B2C99" w:rsidRPr="005A505B">
        <w:rPr>
          <w:rFonts w:cs="Arial"/>
          <w:color w:val="auto"/>
          <w:sz w:val="20"/>
          <w:szCs w:val="20"/>
          <w:lang w:val="en-US"/>
        </w:rPr>
        <w:t xml:space="preserve">on </w:t>
      </w:r>
      <w:r w:rsidRPr="005A505B">
        <w:rPr>
          <w:rFonts w:cs="Arial"/>
          <w:color w:val="auto"/>
          <w:sz w:val="20"/>
          <w:szCs w:val="20"/>
          <w:lang w:val="en-US"/>
        </w:rPr>
        <w:t xml:space="preserve">the potential socio-economic development opportunities </w:t>
      </w:r>
      <w:r w:rsidR="003B2C99" w:rsidRPr="005A505B">
        <w:rPr>
          <w:rFonts w:cs="Arial"/>
          <w:color w:val="auto"/>
          <w:sz w:val="20"/>
          <w:szCs w:val="20"/>
          <w:lang w:val="en-US"/>
        </w:rPr>
        <w:t>due to the</w:t>
      </w:r>
      <w:r w:rsidRPr="005A505B">
        <w:rPr>
          <w:rFonts w:cs="Arial"/>
          <w:color w:val="auto"/>
          <w:sz w:val="20"/>
          <w:szCs w:val="20"/>
          <w:lang w:val="en-US"/>
        </w:rPr>
        <w:t xml:space="preserve"> increased industry solvency and the net health care result surplus and how </w:t>
      </w:r>
      <w:r w:rsidR="003B2C99" w:rsidRPr="005A505B">
        <w:rPr>
          <w:rFonts w:cs="Arial"/>
          <w:color w:val="auto"/>
          <w:sz w:val="20"/>
          <w:szCs w:val="20"/>
          <w:lang w:val="en-US"/>
        </w:rPr>
        <w:t>the net</w:t>
      </w:r>
      <w:r w:rsidRPr="005A505B">
        <w:rPr>
          <w:rFonts w:cs="Arial"/>
          <w:color w:val="auto"/>
          <w:sz w:val="20"/>
          <w:szCs w:val="20"/>
          <w:lang w:val="en-US"/>
        </w:rPr>
        <w:t xml:space="preserve"> surplus </w:t>
      </w:r>
      <w:r w:rsidR="008C3860" w:rsidRPr="005A505B">
        <w:rPr>
          <w:rFonts w:cs="Arial"/>
          <w:color w:val="auto"/>
          <w:sz w:val="20"/>
          <w:szCs w:val="20"/>
          <w:lang w:val="en-US"/>
        </w:rPr>
        <w:t xml:space="preserve">would </w:t>
      </w:r>
      <w:r w:rsidRPr="005A505B">
        <w:rPr>
          <w:rFonts w:cs="Arial"/>
          <w:color w:val="auto"/>
          <w:sz w:val="20"/>
          <w:szCs w:val="20"/>
          <w:lang w:val="en-US"/>
        </w:rPr>
        <w:t>benefit members in reducing costs or out</w:t>
      </w:r>
      <w:r w:rsidR="006A51D1" w:rsidRPr="005A505B">
        <w:rPr>
          <w:rFonts w:cs="Arial"/>
          <w:color w:val="auto"/>
          <w:sz w:val="20"/>
          <w:szCs w:val="20"/>
          <w:lang w:val="en-US"/>
        </w:rPr>
        <w:t>-</w:t>
      </w:r>
      <w:r w:rsidRPr="005A505B">
        <w:rPr>
          <w:rFonts w:cs="Arial"/>
          <w:color w:val="auto"/>
          <w:sz w:val="20"/>
          <w:szCs w:val="20"/>
          <w:lang w:val="en-US"/>
        </w:rPr>
        <w:t>of</w:t>
      </w:r>
      <w:r w:rsidR="006A51D1" w:rsidRPr="005A505B">
        <w:rPr>
          <w:rFonts w:cs="Arial"/>
          <w:color w:val="auto"/>
          <w:sz w:val="20"/>
          <w:szCs w:val="20"/>
          <w:lang w:val="en-US"/>
        </w:rPr>
        <w:t>-</w:t>
      </w:r>
      <w:r w:rsidRPr="005A505B">
        <w:rPr>
          <w:rFonts w:cs="Arial"/>
          <w:color w:val="auto"/>
          <w:sz w:val="20"/>
          <w:szCs w:val="20"/>
          <w:lang w:val="en-US"/>
        </w:rPr>
        <w:t>pocket payments.</w:t>
      </w:r>
    </w:p>
    <w:p w:rsidR="00BC7CFF" w:rsidRPr="005A505B" w:rsidRDefault="00BC7CFF" w:rsidP="005A505B">
      <w:pPr>
        <w:pStyle w:val="ListParagraph"/>
        <w:numPr>
          <w:ilvl w:val="0"/>
          <w:numId w:val="87"/>
        </w:numPr>
        <w:jc w:val="both"/>
        <w:rPr>
          <w:rFonts w:cs="Arial"/>
          <w:color w:val="auto"/>
          <w:sz w:val="20"/>
          <w:szCs w:val="20"/>
          <w:lang w:val="en-US"/>
        </w:rPr>
      </w:pPr>
      <w:r w:rsidRPr="005A505B">
        <w:rPr>
          <w:rFonts w:cs="Arial"/>
          <w:color w:val="auto"/>
          <w:sz w:val="20"/>
          <w:szCs w:val="20"/>
          <w:lang w:val="en-US"/>
        </w:rPr>
        <w:t xml:space="preserve">The Committee </w:t>
      </w:r>
      <w:r w:rsidR="003B2C99" w:rsidRPr="005A505B">
        <w:rPr>
          <w:rFonts w:cs="Arial"/>
          <w:color w:val="auto"/>
          <w:sz w:val="20"/>
          <w:szCs w:val="20"/>
          <w:lang w:val="en-US"/>
        </w:rPr>
        <w:t>sought clarity on</w:t>
      </w:r>
      <w:r w:rsidRPr="005A505B">
        <w:rPr>
          <w:rFonts w:cs="Arial"/>
          <w:color w:val="auto"/>
          <w:sz w:val="20"/>
          <w:szCs w:val="20"/>
          <w:lang w:val="en-US"/>
        </w:rPr>
        <w:t xml:space="preserve"> the drive</w:t>
      </w:r>
      <w:r w:rsidR="003B2C99" w:rsidRPr="005A505B">
        <w:rPr>
          <w:rFonts w:cs="Arial"/>
          <w:color w:val="auto"/>
          <w:sz w:val="20"/>
          <w:szCs w:val="20"/>
          <w:lang w:val="en-US"/>
        </w:rPr>
        <w:t>r</w:t>
      </w:r>
      <w:r w:rsidRPr="005A505B">
        <w:rPr>
          <w:rFonts w:cs="Arial"/>
          <w:color w:val="auto"/>
          <w:sz w:val="20"/>
          <w:szCs w:val="20"/>
          <w:lang w:val="en-US"/>
        </w:rPr>
        <w:t xml:space="preserve">s of the low uptake </w:t>
      </w:r>
      <w:r w:rsidR="003B2C99" w:rsidRPr="005A505B">
        <w:rPr>
          <w:rFonts w:cs="Arial"/>
          <w:color w:val="auto"/>
          <w:sz w:val="20"/>
          <w:szCs w:val="20"/>
          <w:lang w:val="en-US"/>
        </w:rPr>
        <w:t>of</w:t>
      </w:r>
      <w:r w:rsidRPr="005A505B">
        <w:rPr>
          <w:rFonts w:cs="Arial"/>
          <w:color w:val="auto"/>
          <w:sz w:val="20"/>
          <w:szCs w:val="20"/>
          <w:lang w:val="en-US"/>
        </w:rPr>
        <w:t xml:space="preserve"> efficiency discounted options which remain</w:t>
      </w:r>
      <w:r w:rsidR="003B2C99" w:rsidRPr="005A505B">
        <w:rPr>
          <w:rFonts w:cs="Arial"/>
          <w:color w:val="auto"/>
          <w:sz w:val="20"/>
          <w:szCs w:val="20"/>
          <w:lang w:val="en-US"/>
        </w:rPr>
        <w:t>ed</w:t>
      </w:r>
      <w:r w:rsidRPr="005A505B">
        <w:rPr>
          <w:rFonts w:cs="Arial"/>
          <w:color w:val="auto"/>
          <w:sz w:val="20"/>
          <w:szCs w:val="20"/>
          <w:lang w:val="en-US"/>
        </w:rPr>
        <w:t xml:space="preserve"> at 23.5% and what </w:t>
      </w:r>
      <w:r w:rsidR="003B2C99" w:rsidRPr="005A505B">
        <w:rPr>
          <w:rFonts w:cs="Arial"/>
          <w:color w:val="auto"/>
          <w:sz w:val="20"/>
          <w:szCs w:val="20"/>
          <w:lang w:val="en-US"/>
        </w:rPr>
        <w:t>could</w:t>
      </w:r>
      <w:r w:rsidRPr="005A505B">
        <w:rPr>
          <w:rFonts w:cs="Arial"/>
          <w:color w:val="auto"/>
          <w:sz w:val="20"/>
          <w:szCs w:val="20"/>
          <w:lang w:val="en-US"/>
        </w:rPr>
        <w:t xml:space="preserve"> change this distribution and </w:t>
      </w:r>
      <w:r w:rsidR="003B2C99" w:rsidRPr="005A505B">
        <w:rPr>
          <w:rFonts w:cs="Arial"/>
          <w:color w:val="auto"/>
          <w:sz w:val="20"/>
          <w:szCs w:val="20"/>
          <w:lang w:val="en-US"/>
        </w:rPr>
        <w:t>ho</w:t>
      </w:r>
      <w:r w:rsidRPr="005A505B">
        <w:rPr>
          <w:rFonts w:cs="Arial"/>
          <w:color w:val="auto"/>
          <w:sz w:val="20"/>
          <w:szCs w:val="20"/>
          <w:lang w:val="en-US"/>
        </w:rPr>
        <w:t>w the CMS was assisting the process.</w:t>
      </w:r>
    </w:p>
    <w:p w:rsidR="00BC7CFF" w:rsidRPr="005A505B" w:rsidRDefault="00BC7CFF" w:rsidP="005A505B">
      <w:pPr>
        <w:pStyle w:val="ListParagraph"/>
        <w:numPr>
          <w:ilvl w:val="0"/>
          <w:numId w:val="87"/>
        </w:numPr>
        <w:jc w:val="both"/>
        <w:rPr>
          <w:rFonts w:cs="Arial"/>
          <w:color w:val="auto"/>
          <w:sz w:val="20"/>
          <w:szCs w:val="20"/>
          <w:lang w:val="en-US"/>
        </w:rPr>
      </w:pPr>
      <w:r w:rsidRPr="005A505B">
        <w:rPr>
          <w:rFonts w:cs="Arial"/>
          <w:color w:val="auto"/>
          <w:sz w:val="20"/>
          <w:szCs w:val="20"/>
          <w:lang w:val="en-US"/>
        </w:rPr>
        <w:t>The Committee noted with concern the poor governance and financial management issues which resulted in several schemes being placed under curatorship and wanted to know what led to this and the regulations that have been developed to address the weaknesses and consequence management.</w:t>
      </w:r>
    </w:p>
    <w:p w:rsidR="00BC7CFF" w:rsidRPr="005A505B" w:rsidRDefault="00BC7CFF" w:rsidP="005A505B">
      <w:pPr>
        <w:pStyle w:val="ListParagraph"/>
        <w:numPr>
          <w:ilvl w:val="0"/>
          <w:numId w:val="87"/>
        </w:numPr>
        <w:jc w:val="both"/>
        <w:rPr>
          <w:rFonts w:cs="Arial"/>
          <w:color w:val="auto"/>
          <w:sz w:val="20"/>
          <w:szCs w:val="20"/>
          <w:lang w:val="en-US"/>
        </w:rPr>
      </w:pPr>
      <w:r w:rsidRPr="005A505B">
        <w:rPr>
          <w:rFonts w:cs="Arial"/>
          <w:color w:val="auto"/>
          <w:sz w:val="20"/>
          <w:szCs w:val="20"/>
          <w:lang w:val="en-US"/>
        </w:rPr>
        <w:t xml:space="preserve">The Committee was concerned that the targets were below the baseline and wanted to know </w:t>
      </w:r>
      <w:r w:rsidR="00D741D3" w:rsidRPr="005A505B">
        <w:rPr>
          <w:rFonts w:cs="Arial"/>
          <w:color w:val="auto"/>
          <w:sz w:val="20"/>
          <w:szCs w:val="20"/>
          <w:lang w:val="en-US"/>
        </w:rPr>
        <w:t xml:space="preserve">whether the CMS was </w:t>
      </w:r>
      <w:r w:rsidR="003711A8" w:rsidRPr="005A505B">
        <w:rPr>
          <w:rFonts w:cs="Arial"/>
          <w:color w:val="auto"/>
          <w:sz w:val="20"/>
          <w:szCs w:val="20"/>
          <w:lang w:val="en-US"/>
        </w:rPr>
        <w:t>planning</w:t>
      </w:r>
      <w:r w:rsidR="00D741D3" w:rsidRPr="005A505B">
        <w:rPr>
          <w:rFonts w:cs="Arial"/>
          <w:color w:val="auto"/>
          <w:sz w:val="20"/>
          <w:szCs w:val="20"/>
          <w:lang w:val="en-US"/>
        </w:rPr>
        <w:t xml:space="preserve"> to </w:t>
      </w:r>
      <w:r w:rsidRPr="005A505B">
        <w:rPr>
          <w:rFonts w:cs="Arial"/>
          <w:color w:val="auto"/>
          <w:sz w:val="20"/>
          <w:szCs w:val="20"/>
          <w:lang w:val="en-US"/>
        </w:rPr>
        <w:t xml:space="preserve">increase </w:t>
      </w:r>
      <w:r w:rsidR="00D741D3" w:rsidRPr="005A505B">
        <w:rPr>
          <w:rFonts w:cs="Arial"/>
          <w:color w:val="auto"/>
          <w:sz w:val="20"/>
          <w:szCs w:val="20"/>
          <w:lang w:val="en-US"/>
        </w:rPr>
        <w:t xml:space="preserve">its </w:t>
      </w:r>
      <w:r w:rsidRPr="005A505B">
        <w:rPr>
          <w:rFonts w:cs="Arial"/>
          <w:color w:val="auto"/>
          <w:sz w:val="20"/>
          <w:szCs w:val="20"/>
          <w:lang w:val="en-US"/>
        </w:rPr>
        <w:t xml:space="preserve">capacity </w:t>
      </w:r>
      <w:r w:rsidR="00D741D3" w:rsidRPr="005A505B">
        <w:rPr>
          <w:rFonts w:cs="Arial"/>
          <w:color w:val="auto"/>
          <w:sz w:val="20"/>
          <w:szCs w:val="20"/>
          <w:lang w:val="en-US"/>
        </w:rPr>
        <w:t xml:space="preserve">to </w:t>
      </w:r>
      <w:r w:rsidRPr="005A505B">
        <w:rPr>
          <w:rFonts w:cs="Arial"/>
          <w:color w:val="auto"/>
          <w:sz w:val="20"/>
          <w:szCs w:val="20"/>
          <w:lang w:val="en-US"/>
        </w:rPr>
        <w:t xml:space="preserve">process complaints within 120 days to ensure </w:t>
      </w:r>
      <w:r w:rsidR="00D741D3" w:rsidRPr="005A505B">
        <w:rPr>
          <w:rFonts w:cs="Arial"/>
          <w:color w:val="auto"/>
          <w:sz w:val="20"/>
          <w:szCs w:val="20"/>
          <w:lang w:val="en-US"/>
        </w:rPr>
        <w:t xml:space="preserve">prompt </w:t>
      </w:r>
      <w:r w:rsidRPr="005A505B">
        <w:rPr>
          <w:rFonts w:cs="Arial"/>
          <w:color w:val="auto"/>
          <w:sz w:val="20"/>
          <w:szCs w:val="20"/>
          <w:lang w:val="en-US"/>
        </w:rPr>
        <w:t>resolution of challenges</w:t>
      </w:r>
      <w:r w:rsidR="005219CA" w:rsidRPr="005A505B">
        <w:rPr>
          <w:rFonts w:cs="Arial"/>
          <w:color w:val="auto"/>
          <w:sz w:val="20"/>
          <w:szCs w:val="20"/>
          <w:lang w:val="en-US"/>
        </w:rPr>
        <w:t>.</w:t>
      </w:r>
    </w:p>
    <w:p w:rsidR="00E26B24" w:rsidRPr="005A505B" w:rsidRDefault="00E26B24" w:rsidP="005A505B">
      <w:pPr>
        <w:rPr>
          <w:rFonts w:cs="Arial"/>
          <w:b/>
          <w:color w:val="auto"/>
          <w:sz w:val="20"/>
          <w:szCs w:val="20"/>
          <w:lang w:val="en-US"/>
        </w:rPr>
      </w:pPr>
    </w:p>
    <w:p w:rsidR="00E26B24" w:rsidRPr="005A505B" w:rsidRDefault="00E26B24" w:rsidP="005A505B">
      <w:pPr>
        <w:pStyle w:val="ListParagraph"/>
        <w:numPr>
          <w:ilvl w:val="2"/>
          <w:numId w:val="53"/>
        </w:numPr>
        <w:rPr>
          <w:rFonts w:cs="Arial"/>
          <w:b/>
          <w:color w:val="auto"/>
          <w:sz w:val="20"/>
          <w:szCs w:val="20"/>
          <w:lang w:val="en-US"/>
        </w:rPr>
      </w:pPr>
      <w:r w:rsidRPr="005A505B">
        <w:rPr>
          <w:rFonts w:cs="Arial"/>
          <w:b/>
          <w:color w:val="auto"/>
          <w:sz w:val="20"/>
          <w:szCs w:val="20"/>
          <w:lang w:val="en-US"/>
        </w:rPr>
        <w:t>SAHPRA</w:t>
      </w:r>
    </w:p>
    <w:p w:rsidR="00E26B24" w:rsidRPr="005A505B" w:rsidRDefault="00E26B24" w:rsidP="005A505B">
      <w:pPr>
        <w:rPr>
          <w:rFonts w:cs="Arial"/>
          <w:b/>
          <w:color w:val="auto"/>
          <w:sz w:val="20"/>
          <w:szCs w:val="20"/>
          <w:lang w:val="en-US"/>
        </w:rPr>
      </w:pPr>
    </w:p>
    <w:p w:rsidR="00BC7CFF" w:rsidRPr="005A505B" w:rsidRDefault="00BC7CFF" w:rsidP="005A505B">
      <w:pPr>
        <w:pStyle w:val="ListParagraph"/>
        <w:numPr>
          <w:ilvl w:val="0"/>
          <w:numId w:val="91"/>
        </w:numPr>
        <w:jc w:val="both"/>
        <w:rPr>
          <w:rFonts w:cs="Arial"/>
          <w:color w:val="auto"/>
          <w:sz w:val="20"/>
          <w:szCs w:val="20"/>
          <w:lang w:val="en-US"/>
        </w:rPr>
      </w:pPr>
      <w:r w:rsidRPr="005A505B">
        <w:rPr>
          <w:rFonts w:cs="Arial"/>
          <w:color w:val="auto"/>
          <w:sz w:val="20"/>
          <w:szCs w:val="20"/>
          <w:lang w:val="en-US"/>
        </w:rPr>
        <w:lastRenderedPageBreak/>
        <w:t>The Committee wanted to know the reasons</w:t>
      </w:r>
      <w:r w:rsidR="004405ED" w:rsidRPr="005A505B">
        <w:rPr>
          <w:rFonts w:cs="Arial"/>
          <w:color w:val="auto"/>
          <w:sz w:val="20"/>
          <w:szCs w:val="20"/>
          <w:lang w:val="en-US"/>
        </w:rPr>
        <w:t xml:space="preserve"> SAHPRA did not include</w:t>
      </w:r>
      <w:r w:rsidRPr="005A505B">
        <w:rPr>
          <w:rFonts w:cs="Arial"/>
          <w:color w:val="auto"/>
          <w:sz w:val="20"/>
          <w:szCs w:val="20"/>
          <w:lang w:val="en-US"/>
        </w:rPr>
        <w:t xml:space="preserve"> </w:t>
      </w:r>
      <w:r w:rsidR="008D7C13" w:rsidRPr="005A505B">
        <w:rPr>
          <w:rFonts w:cs="Arial"/>
          <w:color w:val="auto"/>
          <w:sz w:val="20"/>
          <w:szCs w:val="20"/>
          <w:lang w:val="en-US"/>
        </w:rPr>
        <w:t>its</w:t>
      </w:r>
      <w:r w:rsidRPr="005A505B">
        <w:rPr>
          <w:rFonts w:cs="Arial"/>
          <w:color w:val="auto"/>
          <w:sz w:val="20"/>
          <w:szCs w:val="20"/>
          <w:lang w:val="en-US"/>
        </w:rPr>
        <w:t xml:space="preserve"> vision, mission and values </w:t>
      </w:r>
      <w:r w:rsidR="004405ED" w:rsidRPr="005A505B">
        <w:rPr>
          <w:rFonts w:cs="Arial"/>
          <w:color w:val="auto"/>
          <w:sz w:val="20"/>
          <w:szCs w:val="20"/>
          <w:lang w:val="en-US"/>
        </w:rPr>
        <w:t xml:space="preserve">as well as the overall budget and expenditure </w:t>
      </w:r>
      <w:r w:rsidR="009971CA" w:rsidRPr="005A505B">
        <w:rPr>
          <w:rFonts w:cs="Arial"/>
          <w:color w:val="auto"/>
          <w:sz w:val="20"/>
          <w:szCs w:val="20"/>
          <w:lang w:val="en-US"/>
        </w:rPr>
        <w:t>i</w:t>
      </w:r>
      <w:r w:rsidRPr="005A505B">
        <w:rPr>
          <w:rFonts w:cs="Arial"/>
          <w:color w:val="auto"/>
          <w:sz w:val="20"/>
          <w:szCs w:val="20"/>
          <w:lang w:val="en-US"/>
        </w:rPr>
        <w:t xml:space="preserve">n </w:t>
      </w:r>
      <w:r w:rsidR="004405ED" w:rsidRPr="005A505B">
        <w:rPr>
          <w:rFonts w:cs="Arial"/>
          <w:color w:val="auto"/>
          <w:sz w:val="20"/>
          <w:szCs w:val="20"/>
          <w:lang w:val="en-US"/>
        </w:rPr>
        <w:t xml:space="preserve">its </w:t>
      </w:r>
      <w:r w:rsidRPr="005A505B">
        <w:rPr>
          <w:rFonts w:cs="Arial"/>
          <w:color w:val="auto"/>
          <w:sz w:val="20"/>
          <w:szCs w:val="20"/>
          <w:lang w:val="en-US"/>
        </w:rPr>
        <w:t>APP</w:t>
      </w:r>
      <w:r w:rsidR="009D5D08" w:rsidRPr="005A505B">
        <w:rPr>
          <w:rFonts w:cs="Arial"/>
          <w:color w:val="auto"/>
          <w:sz w:val="20"/>
          <w:szCs w:val="20"/>
          <w:lang w:val="en-US"/>
        </w:rPr>
        <w:t>.</w:t>
      </w:r>
    </w:p>
    <w:p w:rsidR="00BC7CFF" w:rsidRPr="005A505B" w:rsidRDefault="00BC7CFF" w:rsidP="005A505B">
      <w:pPr>
        <w:pStyle w:val="ListParagraph"/>
        <w:numPr>
          <w:ilvl w:val="0"/>
          <w:numId w:val="91"/>
        </w:numPr>
        <w:jc w:val="both"/>
        <w:rPr>
          <w:rFonts w:cs="Arial"/>
          <w:color w:val="auto"/>
          <w:sz w:val="20"/>
          <w:szCs w:val="20"/>
          <w:lang w:val="en-US"/>
        </w:rPr>
      </w:pPr>
      <w:r w:rsidRPr="005A505B">
        <w:rPr>
          <w:rFonts w:cs="Arial"/>
          <w:color w:val="auto"/>
          <w:sz w:val="20"/>
          <w:szCs w:val="20"/>
          <w:lang w:val="en-US"/>
        </w:rPr>
        <w:t xml:space="preserve">The decrease in SAHPRA’s 2022/23 budget </w:t>
      </w:r>
      <w:r w:rsidR="009D5D08" w:rsidRPr="005A505B">
        <w:rPr>
          <w:rFonts w:cs="Arial"/>
          <w:color w:val="auto"/>
          <w:sz w:val="20"/>
          <w:szCs w:val="20"/>
          <w:lang w:val="en-US"/>
        </w:rPr>
        <w:t>is</w:t>
      </w:r>
      <w:r w:rsidRPr="005A505B">
        <w:rPr>
          <w:rFonts w:cs="Arial"/>
          <w:color w:val="auto"/>
          <w:sz w:val="20"/>
          <w:szCs w:val="20"/>
          <w:lang w:val="en-US"/>
        </w:rPr>
        <w:t xml:space="preserve"> concern</w:t>
      </w:r>
      <w:r w:rsidR="009D5D08" w:rsidRPr="005A505B">
        <w:rPr>
          <w:rFonts w:cs="Arial"/>
          <w:color w:val="auto"/>
          <w:sz w:val="20"/>
          <w:szCs w:val="20"/>
          <w:lang w:val="en-US"/>
        </w:rPr>
        <w:t>ing</w:t>
      </w:r>
      <w:r w:rsidRPr="005A505B">
        <w:rPr>
          <w:rFonts w:cs="Arial"/>
          <w:color w:val="auto"/>
          <w:sz w:val="20"/>
          <w:szCs w:val="20"/>
          <w:lang w:val="en-US"/>
        </w:rPr>
        <w:t xml:space="preserve"> to the Committee and </w:t>
      </w:r>
      <w:r w:rsidR="004405ED" w:rsidRPr="005A505B">
        <w:rPr>
          <w:rFonts w:cs="Arial"/>
          <w:color w:val="auto"/>
          <w:sz w:val="20"/>
          <w:szCs w:val="20"/>
          <w:lang w:val="en-US"/>
        </w:rPr>
        <w:t>sought clarity on</w:t>
      </w:r>
      <w:r w:rsidRPr="005A505B">
        <w:rPr>
          <w:rFonts w:cs="Arial"/>
          <w:color w:val="auto"/>
          <w:sz w:val="20"/>
          <w:szCs w:val="20"/>
          <w:lang w:val="en-US"/>
        </w:rPr>
        <w:t xml:space="preserve"> how this </w:t>
      </w:r>
      <w:r w:rsidR="004405ED" w:rsidRPr="005A505B">
        <w:rPr>
          <w:rFonts w:cs="Arial"/>
          <w:color w:val="auto"/>
          <w:sz w:val="20"/>
          <w:szCs w:val="20"/>
          <w:lang w:val="en-US"/>
        </w:rPr>
        <w:t xml:space="preserve">will </w:t>
      </w:r>
      <w:r w:rsidRPr="005A505B">
        <w:rPr>
          <w:rFonts w:cs="Arial"/>
          <w:color w:val="auto"/>
          <w:sz w:val="20"/>
          <w:szCs w:val="20"/>
          <w:lang w:val="en-US"/>
        </w:rPr>
        <w:t xml:space="preserve">affect </w:t>
      </w:r>
      <w:r w:rsidR="008D7C13" w:rsidRPr="005A505B">
        <w:rPr>
          <w:rFonts w:cs="Arial"/>
          <w:color w:val="auto"/>
          <w:sz w:val="20"/>
          <w:szCs w:val="20"/>
          <w:lang w:val="en-US"/>
        </w:rPr>
        <w:t xml:space="preserve">its </w:t>
      </w:r>
      <w:r w:rsidRPr="005A505B">
        <w:rPr>
          <w:rFonts w:cs="Arial"/>
          <w:color w:val="auto"/>
          <w:sz w:val="20"/>
          <w:szCs w:val="20"/>
          <w:lang w:val="en-US"/>
        </w:rPr>
        <w:t>operations and new technology innovations and what plans are in place to mitigate the decrease. The Committee further wanted to know why the overview of SAHPRA’s budget and medium</w:t>
      </w:r>
      <w:r w:rsidR="00F358D5" w:rsidRPr="005A505B">
        <w:rPr>
          <w:rFonts w:cs="Arial"/>
          <w:color w:val="auto"/>
          <w:sz w:val="20"/>
          <w:szCs w:val="20"/>
          <w:lang w:val="en-US"/>
        </w:rPr>
        <w:t>-</w:t>
      </w:r>
      <w:r w:rsidRPr="005A505B">
        <w:rPr>
          <w:rFonts w:cs="Arial"/>
          <w:color w:val="auto"/>
          <w:sz w:val="20"/>
          <w:szCs w:val="20"/>
          <w:lang w:val="en-US"/>
        </w:rPr>
        <w:t xml:space="preserve">term expenditure framework estimates were </w:t>
      </w:r>
      <w:r w:rsidR="00285364" w:rsidRPr="005A505B">
        <w:rPr>
          <w:rFonts w:cs="Arial"/>
          <w:color w:val="auto"/>
          <w:sz w:val="20"/>
          <w:szCs w:val="20"/>
          <w:lang w:val="en-US"/>
        </w:rPr>
        <w:t>omitted in</w:t>
      </w:r>
      <w:r w:rsidRPr="005A505B">
        <w:rPr>
          <w:rFonts w:cs="Arial"/>
          <w:color w:val="auto"/>
          <w:sz w:val="20"/>
          <w:szCs w:val="20"/>
          <w:lang w:val="en-US"/>
        </w:rPr>
        <w:t xml:space="preserve"> the APP</w:t>
      </w:r>
      <w:r w:rsidR="008D7C13" w:rsidRPr="005A505B">
        <w:rPr>
          <w:rFonts w:cs="Arial"/>
          <w:color w:val="auto"/>
          <w:sz w:val="20"/>
          <w:szCs w:val="20"/>
          <w:lang w:val="en-US"/>
        </w:rPr>
        <w:t>.</w:t>
      </w:r>
    </w:p>
    <w:p w:rsidR="00BC7CFF" w:rsidRPr="005A505B" w:rsidRDefault="00BC7CFF" w:rsidP="005A505B">
      <w:pPr>
        <w:pStyle w:val="ListParagraph"/>
        <w:numPr>
          <w:ilvl w:val="0"/>
          <w:numId w:val="91"/>
        </w:numPr>
        <w:jc w:val="both"/>
        <w:rPr>
          <w:rFonts w:cs="Arial"/>
          <w:color w:val="auto"/>
          <w:sz w:val="20"/>
          <w:szCs w:val="20"/>
          <w:lang w:val="en-US"/>
        </w:rPr>
      </w:pPr>
      <w:r w:rsidRPr="005A505B">
        <w:rPr>
          <w:rFonts w:cs="Arial"/>
          <w:color w:val="auto"/>
          <w:sz w:val="20"/>
          <w:szCs w:val="20"/>
          <w:lang w:val="en-US"/>
        </w:rPr>
        <w:t>The Committee wanted to know why the administration programme received the biggest portion of the budget as opposed to Programmes 2</w:t>
      </w:r>
      <w:r w:rsidR="00C256B9" w:rsidRPr="005A505B">
        <w:rPr>
          <w:rFonts w:cs="Arial"/>
          <w:color w:val="auto"/>
          <w:sz w:val="20"/>
          <w:szCs w:val="20"/>
          <w:lang w:val="en-US"/>
        </w:rPr>
        <w:t xml:space="preserve"> (Health Products Authorisation)</w:t>
      </w:r>
      <w:r w:rsidRPr="005A505B">
        <w:rPr>
          <w:rFonts w:cs="Arial"/>
          <w:color w:val="auto"/>
          <w:sz w:val="20"/>
          <w:szCs w:val="20"/>
          <w:lang w:val="en-US"/>
        </w:rPr>
        <w:t xml:space="preserve"> </w:t>
      </w:r>
      <w:r w:rsidR="008D7C13" w:rsidRPr="005A505B">
        <w:rPr>
          <w:rFonts w:cs="Arial"/>
          <w:color w:val="auto"/>
          <w:sz w:val="20"/>
          <w:szCs w:val="20"/>
          <w:lang w:val="en-US"/>
        </w:rPr>
        <w:t>and</w:t>
      </w:r>
      <w:r w:rsidRPr="005A505B">
        <w:rPr>
          <w:rFonts w:cs="Arial"/>
          <w:color w:val="auto"/>
          <w:sz w:val="20"/>
          <w:szCs w:val="20"/>
          <w:lang w:val="en-US"/>
        </w:rPr>
        <w:t xml:space="preserve"> 4</w:t>
      </w:r>
      <w:r w:rsidR="00C256B9" w:rsidRPr="005A505B">
        <w:rPr>
          <w:rFonts w:cs="Arial"/>
          <w:color w:val="auto"/>
          <w:sz w:val="20"/>
          <w:szCs w:val="20"/>
          <w:lang w:val="en-US"/>
        </w:rPr>
        <w:t xml:space="preserve"> (Clinical and Pharmaceutical Evaluation). </w:t>
      </w:r>
    </w:p>
    <w:p w:rsidR="00BC7CFF" w:rsidRPr="005A505B" w:rsidRDefault="00BC7CFF" w:rsidP="005A505B">
      <w:pPr>
        <w:pStyle w:val="ListParagraph"/>
        <w:numPr>
          <w:ilvl w:val="0"/>
          <w:numId w:val="91"/>
        </w:numPr>
        <w:jc w:val="both"/>
        <w:rPr>
          <w:rFonts w:cs="Arial"/>
          <w:color w:val="auto"/>
          <w:sz w:val="20"/>
          <w:szCs w:val="20"/>
          <w:lang w:val="en-US"/>
        </w:rPr>
      </w:pPr>
      <w:r w:rsidRPr="005A505B">
        <w:rPr>
          <w:rFonts w:cs="Arial"/>
          <w:color w:val="auto"/>
          <w:sz w:val="20"/>
          <w:szCs w:val="20"/>
          <w:lang w:val="en-US"/>
        </w:rPr>
        <w:t xml:space="preserve">The Committee enquired </w:t>
      </w:r>
      <w:r w:rsidR="008D7C13" w:rsidRPr="005A505B">
        <w:rPr>
          <w:rFonts w:cs="Arial"/>
          <w:color w:val="auto"/>
          <w:sz w:val="20"/>
          <w:szCs w:val="20"/>
          <w:lang w:val="en-US"/>
        </w:rPr>
        <w:t xml:space="preserve">on </w:t>
      </w:r>
      <w:r w:rsidRPr="005A505B">
        <w:rPr>
          <w:rFonts w:cs="Arial"/>
          <w:color w:val="auto"/>
          <w:sz w:val="20"/>
          <w:szCs w:val="20"/>
          <w:lang w:val="en-US"/>
        </w:rPr>
        <w:t xml:space="preserve">whether the entity was working with the Department of Science and Innovation for strategic alignment. </w:t>
      </w:r>
      <w:r w:rsidR="0086477B" w:rsidRPr="005A505B">
        <w:rPr>
          <w:rFonts w:cs="Arial"/>
          <w:color w:val="auto"/>
          <w:sz w:val="20"/>
          <w:szCs w:val="20"/>
          <w:lang w:val="en-US"/>
        </w:rPr>
        <w:t>And</w:t>
      </w:r>
      <w:r w:rsidRPr="005A505B">
        <w:rPr>
          <w:rFonts w:cs="Arial"/>
          <w:color w:val="auto"/>
          <w:sz w:val="20"/>
          <w:szCs w:val="20"/>
          <w:lang w:val="en-US"/>
        </w:rPr>
        <w:t xml:space="preserve"> further wanted to know </w:t>
      </w:r>
      <w:r w:rsidR="008D7C13" w:rsidRPr="005A505B">
        <w:rPr>
          <w:rFonts w:cs="Arial"/>
          <w:color w:val="auto"/>
          <w:sz w:val="20"/>
          <w:szCs w:val="20"/>
          <w:lang w:val="en-US"/>
        </w:rPr>
        <w:t>SAHPRA’s</w:t>
      </w:r>
      <w:r w:rsidRPr="005A505B">
        <w:rPr>
          <w:rFonts w:cs="Arial"/>
          <w:color w:val="auto"/>
          <w:sz w:val="20"/>
          <w:szCs w:val="20"/>
          <w:lang w:val="en-US"/>
        </w:rPr>
        <w:t xml:space="preserve"> plans </w:t>
      </w:r>
      <w:r w:rsidR="0086477B" w:rsidRPr="005A505B">
        <w:rPr>
          <w:rFonts w:cs="Arial"/>
          <w:color w:val="auto"/>
          <w:sz w:val="20"/>
          <w:szCs w:val="20"/>
          <w:lang w:val="en-US"/>
        </w:rPr>
        <w:t>in</w:t>
      </w:r>
      <w:r w:rsidRPr="005A505B">
        <w:rPr>
          <w:rFonts w:cs="Arial"/>
          <w:color w:val="auto"/>
          <w:sz w:val="20"/>
          <w:szCs w:val="20"/>
          <w:lang w:val="en-US"/>
        </w:rPr>
        <w:t xml:space="preserve"> support</w:t>
      </w:r>
      <w:r w:rsidR="0086477B" w:rsidRPr="005A505B">
        <w:rPr>
          <w:rFonts w:cs="Arial"/>
          <w:color w:val="auto"/>
          <w:sz w:val="20"/>
          <w:szCs w:val="20"/>
          <w:lang w:val="en-US"/>
        </w:rPr>
        <w:t>ing</w:t>
      </w:r>
      <w:r w:rsidRPr="005A505B">
        <w:rPr>
          <w:rFonts w:cs="Arial"/>
          <w:color w:val="auto"/>
          <w:sz w:val="20"/>
          <w:szCs w:val="20"/>
          <w:lang w:val="en-US"/>
        </w:rPr>
        <w:t xml:space="preserve"> the Department </w:t>
      </w:r>
      <w:r w:rsidR="0086477B" w:rsidRPr="005A505B">
        <w:rPr>
          <w:rFonts w:cs="Arial"/>
          <w:color w:val="auto"/>
          <w:sz w:val="20"/>
          <w:szCs w:val="20"/>
          <w:lang w:val="en-US"/>
        </w:rPr>
        <w:t>i</w:t>
      </w:r>
      <w:r w:rsidRPr="005A505B">
        <w:rPr>
          <w:rFonts w:cs="Arial"/>
          <w:color w:val="auto"/>
          <w:sz w:val="20"/>
          <w:szCs w:val="20"/>
          <w:lang w:val="en-US"/>
        </w:rPr>
        <w:t>n the development of a functional and effective state pharmaceutical company, Ke</w:t>
      </w:r>
      <w:r w:rsidR="00990B55" w:rsidRPr="005A505B">
        <w:rPr>
          <w:rFonts w:cs="Arial"/>
          <w:color w:val="auto"/>
          <w:sz w:val="20"/>
          <w:szCs w:val="20"/>
          <w:lang w:val="en-US"/>
        </w:rPr>
        <w:t>tlap</w:t>
      </w:r>
      <w:r w:rsidRPr="005A505B">
        <w:rPr>
          <w:rFonts w:cs="Arial"/>
          <w:color w:val="auto"/>
          <w:sz w:val="20"/>
          <w:szCs w:val="20"/>
          <w:lang w:val="en-US"/>
        </w:rPr>
        <w:t>hela</w:t>
      </w:r>
      <w:r w:rsidR="00990B55" w:rsidRPr="005A505B">
        <w:rPr>
          <w:rFonts w:cs="Arial"/>
          <w:color w:val="auto"/>
          <w:sz w:val="20"/>
          <w:szCs w:val="20"/>
          <w:lang w:val="en-US"/>
        </w:rPr>
        <w:t>.</w:t>
      </w:r>
    </w:p>
    <w:p w:rsidR="00BC7CFF" w:rsidRPr="005A505B" w:rsidRDefault="00BC7CFF" w:rsidP="005A505B">
      <w:pPr>
        <w:pStyle w:val="ListParagraph"/>
        <w:numPr>
          <w:ilvl w:val="0"/>
          <w:numId w:val="91"/>
        </w:numPr>
        <w:jc w:val="both"/>
        <w:rPr>
          <w:rFonts w:cs="Arial"/>
          <w:color w:val="auto"/>
          <w:sz w:val="20"/>
          <w:szCs w:val="20"/>
          <w:lang w:val="en-US"/>
        </w:rPr>
      </w:pPr>
      <w:r w:rsidRPr="005A505B">
        <w:rPr>
          <w:rFonts w:cs="Arial"/>
          <w:color w:val="auto"/>
          <w:sz w:val="20"/>
          <w:szCs w:val="20"/>
          <w:lang w:val="en-US"/>
        </w:rPr>
        <w:t xml:space="preserve">The Committee wanted to know how many </w:t>
      </w:r>
      <w:r w:rsidR="00BB1273" w:rsidRPr="005A505B">
        <w:rPr>
          <w:rFonts w:cs="Arial"/>
          <w:color w:val="auto"/>
          <w:sz w:val="20"/>
          <w:szCs w:val="20"/>
          <w:lang w:val="en-US"/>
        </w:rPr>
        <w:t>COVID</w:t>
      </w:r>
      <w:r w:rsidRPr="005A505B">
        <w:rPr>
          <w:rFonts w:cs="Arial"/>
          <w:color w:val="auto"/>
          <w:sz w:val="20"/>
          <w:szCs w:val="20"/>
          <w:lang w:val="en-US"/>
        </w:rPr>
        <w:t>-19 related products has the entity processed, approved and rejected and the reasons for the rejections.</w:t>
      </w:r>
    </w:p>
    <w:p w:rsidR="00BC7CFF" w:rsidRPr="005A505B" w:rsidRDefault="00BC7CFF" w:rsidP="005A505B">
      <w:pPr>
        <w:pStyle w:val="ListParagraph"/>
        <w:numPr>
          <w:ilvl w:val="0"/>
          <w:numId w:val="91"/>
        </w:numPr>
        <w:jc w:val="both"/>
        <w:rPr>
          <w:rFonts w:cs="Arial"/>
          <w:color w:val="auto"/>
          <w:sz w:val="20"/>
          <w:szCs w:val="20"/>
          <w:lang w:val="en-US"/>
        </w:rPr>
      </w:pPr>
      <w:r w:rsidRPr="005A505B">
        <w:rPr>
          <w:rFonts w:cs="Arial"/>
          <w:color w:val="auto"/>
          <w:sz w:val="20"/>
          <w:szCs w:val="20"/>
          <w:lang w:val="en-US"/>
        </w:rPr>
        <w:t>The Committee sought clarity on the outcome of talks with P</w:t>
      </w:r>
      <w:r w:rsidR="008D7C13" w:rsidRPr="005A505B">
        <w:rPr>
          <w:rFonts w:cs="Arial"/>
          <w:color w:val="auto"/>
          <w:sz w:val="20"/>
          <w:szCs w:val="20"/>
          <w:lang w:val="en-US"/>
        </w:rPr>
        <w:t>fi</w:t>
      </w:r>
      <w:r w:rsidRPr="005A505B">
        <w:rPr>
          <w:rFonts w:cs="Arial"/>
          <w:color w:val="auto"/>
          <w:sz w:val="20"/>
          <w:szCs w:val="20"/>
          <w:lang w:val="en-US"/>
        </w:rPr>
        <w:t xml:space="preserve">zer over the leaked document </w:t>
      </w:r>
      <w:r w:rsidR="00036021" w:rsidRPr="005A505B">
        <w:rPr>
          <w:rFonts w:cs="Arial"/>
          <w:color w:val="auto"/>
          <w:sz w:val="20"/>
          <w:szCs w:val="20"/>
          <w:lang w:val="en-US"/>
        </w:rPr>
        <w:t>on</w:t>
      </w:r>
      <w:r w:rsidRPr="005A505B">
        <w:rPr>
          <w:rFonts w:cs="Arial"/>
          <w:color w:val="auto"/>
          <w:sz w:val="20"/>
          <w:szCs w:val="20"/>
          <w:lang w:val="en-US"/>
        </w:rPr>
        <w:t xml:space="preserve"> </w:t>
      </w:r>
      <w:r w:rsidR="00BB1273" w:rsidRPr="005A505B">
        <w:rPr>
          <w:rFonts w:cs="Arial"/>
          <w:color w:val="auto"/>
          <w:sz w:val="20"/>
          <w:szCs w:val="20"/>
          <w:lang w:val="en-US"/>
        </w:rPr>
        <w:t xml:space="preserve">its vaccine </w:t>
      </w:r>
      <w:r w:rsidRPr="005A505B">
        <w:rPr>
          <w:rFonts w:cs="Arial"/>
          <w:color w:val="auto"/>
          <w:sz w:val="20"/>
          <w:szCs w:val="20"/>
          <w:lang w:val="en-US"/>
        </w:rPr>
        <w:t>adverse effects and the interventions that have been implemented. The Committee further wanted to know how many reports on</w:t>
      </w:r>
      <w:r w:rsidR="001F5C00" w:rsidRPr="005A505B">
        <w:rPr>
          <w:rFonts w:cs="Arial"/>
          <w:color w:val="auto"/>
          <w:sz w:val="20"/>
          <w:szCs w:val="20"/>
          <w:lang w:val="en-US"/>
        </w:rPr>
        <w:t xml:space="preserve"> vaccines</w:t>
      </w:r>
      <w:r w:rsidRPr="005A505B">
        <w:rPr>
          <w:rFonts w:cs="Arial"/>
          <w:color w:val="auto"/>
          <w:sz w:val="20"/>
          <w:szCs w:val="20"/>
          <w:lang w:val="en-US"/>
        </w:rPr>
        <w:t xml:space="preserve"> adverse effects has SAHPRA received.</w:t>
      </w:r>
    </w:p>
    <w:p w:rsidR="00BC7CFF" w:rsidRPr="005A505B" w:rsidRDefault="00BC7CFF" w:rsidP="005A505B">
      <w:pPr>
        <w:pStyle w:val="ListParagraph"/>
        <w:numPr>
          <w:ilvl w:val="0"/>
          <w:numId w:val="91"/>
        </w:numPr>
        <w:jc w:val="both"/>
        <w:rPr>
          <w:rFonts w:cs="Arial"/>
          <w:color w:val="auto"/>
          <w:sz w:val="20"/>
          <w:szCs w:val="20"/>
          <w:lang w:val="en-US"/>
        </w:rPr>
      </w:pPr>
      <w:r w:rsidRPr="005A505B">
        <w:rPr>
          <w:rFonts w:cs="Arial"/>
          <w:color w:val="auto"/>
          <w:sz w:val="20"/>
          <w:szCs w:val="20"/>
          <w:lang w:val="en-US"/>
        </w:rPr>
        <w:t xml:space="preserve">The Committee noted with concern the </w:t>
      </w:r>
      <w:r w:rsidR="0034487F" w:rsidRPr="005A505B">
        <w:rPr>
          <w:rFonts w:cs="Arial"/>
          <w:color w:val="auto"/>
          <w:sz w:val="20"/>
          <w:szCs w:val="20"/>
          <w:lang w:val="en-US"/>
        </w:rPr>
        <w:t xml:space="preserve">medicines registration </w:t>
      </w:r>
      <w:r w:rsidRPr="005A505B">
        <w:rPr>
          <w:rFonts w:cs="Arial"/>
          <w:color w:val="auto"/>
          <w:sz w:val="20"/>
          <w:szCs w:val="20"/>
          <w:lang w:val="en-US"/>
        </w:rPr>
        <w:t xml:space="preserve">backlogs the entity </w:t>
      </w:r>
      <w:r w:rsidR="003171C2" w:rsidRPr="005A505B">
        <w:rPr>
          <w:rFonts w:cs="Arial"/>
          <w:color w:val="auto"/>
          <w:sz w:val="20"/>
          <w:szCs w:val="20"/>
          <w:lang w:val="en-US"/>
        </w:rPr>
        <w:t>has</w:t>
      </w:r>
      <w:r w:rsidRPr="005A505B">
        <w:rPr>
          <w:rFonts w:cs="Arial"/>
          <w:color w:val="auto"/>
          <w:sz w:val="20"/>
          <w:szCs w:val="20"/>
          <w:lang w:val="en-US"/>
        </w:rPr>
        <w:t xml:space="preserve"> and wanted to know what plans were put in place to address this</w:t>
      </w:r>
      <w:r w:rsidR="00BB1273" w:rsidRPr="005A505B">
        <w:rPr>
          <w:rFonts w:cs="Arial"/>
          <w:color w:val="auto"/>
          <w:sz w:val="20"/>
          <w:szCs w:val="20"/>
          <w:lang w:val="en-US"/>
        </w:rPr>
        <w:t xml:space="preserve"> challenge</w:t>
      </w:r>
      <w:r w:rsidRPr="005A505B">
        <w:rPr>
          <w:rFonts w:cs="Arial"/>
          <w:color w:val="auto"/>
          <w:sz w:val="20"/>
          <w:szCs w:val="20"/>
          <w:lang w:val="en-US"/>
        </w:rPr>
        <w:t xml:space="preserve">. The Committee further enquired </w:t>
      </w:r>
      <w:r w:rsidR="00BB1273" w:rsidRPr="005A505B">
        <w:rPr>
          <w:rFonts w:cs="Arial"/>
          <w:color w:val="auto"/>
          <w:sz w:val="20"/>
          <w:szCs w:val="20"/>
          <w:lang w:val="en-US"/>
        </w:rPr>
        <w:t>on the</w:t>
      </w:r>
      <w:r w:rsidRPr="005A505B">
        <w:rPr>
          <w:rFonts w:cs="Arial"/>
          <w:color w:val="auto"/>
          <w:sz w:val="20"/>
          <w:szCs w:val="20"/>
          <w:lang w:val="en-US"/>
        </w:rPr>
        <w:t xml:space="preserve"> average waiting time for the registration of products and the average target that the entity is working towards to achieve this objective</w:t>
      </w:r>
    </w:p>
    <w:p w:rsidR="00BC7CFF" w:rsidRPr="005A505B" w:rsidRDefault="00BC7CFF" w:rsidP="005A505B">
      <w:pPr>
        <w:pStyle w:val="ListParagraph"/>
        <w:numPr>
          <w:ilvl w:val="0"/>
          <w:numId w:val="91"/>
        </w:numPr>
        <w:jc w:val="both"/>
        <w:rPr>
          <w:rFonts w:cs="Arial"/>
          <w:color w:val="auto"/>
          <w:sz w:val="20"/>
          <w:szCs w:val="20"/>
          <w:lang w:val="en-US"/>
        </w:rPr>
      </w:pPr>
      <w:r w:rsidRPr="005A505B">
        <w:rPr>
          <w:rFonts w:cs="Arial"/>
          <w:color w:val="auto"/>
          <w:sz w:val="20"/>
          <w:szCs w:val="20"/>
          <w:lang w:val="en-US"/>
        </w:rPr>
        <w:t>The Committee wanted to know the principles of the entity’s positive shift into maturity and how it supports enabling working conditions. The Committee further wanted to know the advantages of obtaining a level 4 maturity stage.</w:t>
      </w:r>
    </w:p>
    <w:p w:rsidR="00BC7CFF" w:rsidRPr="005A505B" w:rsidRDefault="00BC7CFF" w:rsidP="005A505B">
      <w:pPr>
        <w:pStyle w:val="ListParagraph"/>
        <w:numPr>
          <w:ilvl w:val="0"/>
          <w:numId w:val="91"/>
        </w:numPr>
        <w:jc w:val="both"/>
        <w:rPr>
          <w:rFonts w:cs="Arial"/>
          <w:color w:val="auto"/>
          <w:sz w:val="20"/>
          <w:szCs w:val="20"/>
          <w:lang w:val="en-US"/>
        </w:rPr>
      </w:pPr>
      <w:r w:rsidRPr="005A505B">
        <w:rPr>
          <w:rFonts w:cs="Arial"/>
          <w:color w:val="auto"/>
          <w:sz w:val="20"/>
          <w:szCs w:val="20"/>
          <w:lang w:val="en-US"/>
        </w:rPr>
        <w:t xml:space="preserve">The Committee noted that the </w:t>
      </w:r>
      <w:r w:rsidR="00BB1273" w:rsidRPr="005A505B">
        <w:rPr>
          <w:rFonts w:cs="Arial"/>
          <w:color w:val="auto"/>
          <w:sz w:val="20"/>
          <w:szCs w:val="20"/>
          <w:lang w:val="en-US"/>
        </w:rPr>
        <w:t xml:space="preserve">Supreme Court of Appeal </w:t>
      </w:r>
      <w:r w:rsidRPr="005A505B">
        <w:rPr>
          <w:rFonts w:cs="Arial"/>
          <w:color w:val="auto"/>
          <w:sz w:val="20"/>
          <w:szCs w:val="20"/>
          <w:lang w:val="en-US"/>
        </w:rPr>
        <w:t>ruled that regulations dealing with complimentary medic</w:t>
      </w:r>
      <w:r w:rsidR="009710B2" w:rsidRPr="005A505B">
        <w:rPr>
          <w:rFonts w:cs="Arial"/>
          <w:color w:val="auto"/>
          <w:sz w:val="20"/>
          <w:szCs w:val="20"/>
          <w:lang w:val="en-US"/>
        </w:rPr>
        <w:t>ines</w:t>
      </w:r>
      <w:r w:rsidRPr="005A505B">
        <w:rPr>
          <w:rFonts w:cs="Arial"/>
          <w:color w:val="auto"/>
          <w:sz w:val="20"/>
          <w:szCs w:val="20"/>
          <w:lang w:val="en-US"/>
        </w:rPr>
        <w:t xml:space="preserve"> are invalid and sought clarity on how this affect consumers and manufacturers.</w:t>
      </w:r>
    </w:p>
    <w:p w:rsidR="00BC7CFF" w:rsidRPr="005A505B" w:rsidRDefault="00BC7CFF" w:rsidP="005A505B">
      <w:pPr>
        <w:pStyle w:val="ListParagraph"/>
        <w:numPr>
          <w:ilvl w:val="0"/>
          <w:numId w:val="91"/>
        </w:numPr>
        <w:jc w:val="both"/>
        <w:rPr>
          <w:rFonts w:cs="Arial"/>
          <w:color w:val="auto"/>
          <w:sz w:val="20"/>
          <w:szCs w:val="20"/>
          <w:lang w:val="en-US"/>
        </w:rPr>
      </w:pPr>
      <w:r w:rsidRPr="005A505B">
        <w:rPr>
          <w:rFonts w:cs="Arial"/>
          <w:color w:val="auto"/>
          <w:sz w:val="20"/>
          <w:szCs w:val="20"/>
          <w:lang w:val="en-US"/>
        </w:rPr>
        <w:t>The Committee wanted to know what regulatory intervention can the entity develop to promote domestically manufactured medicines and devices and whether the country has the capacity and capability to grow its domestic production.</w:t>
      </w:r>
    </w:p>
    <w:p w:rsidR="00BC7CFF" w:rsidRPr="005A505B" w:rsidRDefault="00BC7CFF" w:rsidP="005A505B">
      <w:pPr>
        <w:pStyle w:val="ListParagraph"/>
        <w:numPr>
          <w:ilvl w:val="0"/>
          <w:numId w:val="91"/>
        </w:numPr>
        <w:jc w:val="both"/>
        <w:rPr>
          <w:rFonts w:cs="Arial"/>
          <w:color w:val="auto"/>
          <w:sz w:val="20"/>
          <w:szCs w:val="20"/>
          <w:lang w:val="en-US"/>
        </w:rPr>
      </w:pPr>
      <w:r w:rsidRPr="005A505B">
        <w:rPr>
          <w:rFonts w:cs="Arial"/>
          <w:color w:val="auto"/>
          <w:sz w:val="20"/>
          <w:szCs w:val="20"/>
          <w:lang w:val="en-US"/>
        </w:rPr>
        <w:t xml:space="preserve">The Committee wanted to know SAHPRA’s intention in seeking authority to regulate natural medicines. They further wanted to know what the </w:t>
      </w:r>
      <w:r w:rsidR="00BB1273" w:rsidRPr="005A505B">
        <w:rPr>
          <w:rFonts w:cs="Arial"/>
          <w:color w:val="auto"/>
          <w:sz w:val="20"/>
          <w:szCs w:val="20"/>
          <w:lang w:val="en-US"/>
        </w:rPr>
        <w:t>challenges</w:t>
      </w:r>
      <w:r w:rsidRPr="005A505B">
        <w:rPr>
          <w:rFonts w:cs="Arial"/>
          <w:color w:val="auto"/>
          <w:sz w:val="20"/>
          <w:szCs w:val="20"/>
          <w:lang w:val="en-US"/>
        </w:rPr>
        <w:t xml:space="preserve"> </w:t>
      </w:r>
      <w:r w:rsidR="00BB1273" w:rsidRPr="005A505B">
        <w:rPr>
          <w:rFonts w:cs="Arial"/>
          <w:color w:val="auto"/>
          <w:sz w:val="20"/>
          <w:szCs w:val="20"/>
          <w:lang w:val="en-US"/>
        </w:rPr>
        <w:t xml:space="preserve">were </w:t>
      </w:r>
      <w:r w:rsidRPr="005A505B">
        <w:rPr>
          <w:rFonts w:cs="Arial"/>
          <w:color w:val="auto"/>
          <w:sz w:val="20"/>
          <w:szCs w:val="20"/>
          <w:lang w:val="en-US"/>
        </w:rPr>
        <w:t>in creating systems for indigenous knowledge systems and their promotion.</w:t>
      </w:r>
    </w:p>
    <w:p w:rsidR="00BC7CFF" w:rsidRPr="005A505B" w:rsidRDefault="00BC7CFF" w:rsidP="005A505B">
      <w:pPr>
        <w:pStyle w:val="ListParagraph"/>
        <w:numPr>
          <w:ilvl w:val="0"/>
          <w:numId w:val="91"/>
        </w:numPr>
        <w:jc w:val="both"/>
        <w:rPr>
          <w:rFonts w:cs="Arial"/>
          <w:color w:val="auto"/>
          <w:sz w:val="20"/>
          <w:szCs w:val="20"/>
          <w:lang w:val="en-US"/>
        </w:rPr>
      </w:pPr>
      <w:r w:rsidRPr="005A505B">
        <w:rPr>
          <w:rFonts w:cs="Arial"/>
          <w:color w:val="auto"/>
          <w:sz w:val="20"/>
          <w:szCs w:val="20"/>
          <w:lang w:val="en-US"/>
        </w:rPr>
        <w:t>The Committee wanted to know the lessons learnt from</w:t>
      </w:r>
      <w:r w:rsidR="00F860B1" w:rsidRPr="005A505B">
        <w:rPr>
          <w:rFonts w:cs="Arial"/>
          <w:color w:val="auto"/>
          <w:sz w:val="20"/>
          <w:szCs w:val="20"/>
          <w:lang w:val="en-US"/>
        </w:rPr>
        <w:t xml:space="preserve"> the</w:t>
      </w:r>
      <w:r w:rsidRPr="005A505B">
        <w:rPr>
          <w:rFonts w:cs="Arial"/>
          <w:color w:val="auto"/>
          <w:sz w:val="20"/>
          <w:szCs w:val="20"/>
          <w:lang w:val="en-US"/>
        </w:rPr>
        <w:t xml:space="preserve"> </w:t>
      </w:r>
      <w:r w:rsidR="00764842" w:rsidRPr="005A505B">
        <w:rPr>
          <w:rFonts w:cs="Arial"/>
          <w:color w:val="auto"/>
          <w:sz w:val="20"/>
          <w:szCs w:val="20"/>
          <w:lang w:val="en-US"/>
        </w:rPr>
        <w:t>COVID</w:t>
      </w:r>
      <w:r w:rsidRPr="005A505B">
        <w:rPr>
          <w:rFonts w:cs="Arial"/>
          <w:color w:val="auto"/>
          <w:sz w:val="20"/>
          <w:szCs w:val="20"/>
          <w:lang w:val="en-US"/>
        </w:rPr>
        <w:t>-19</w:t>
      </w:r>
      <w:r w:rsidR="00F860B1" w:rsidRPr="005A505B">
        <w:rPr>
          <w:rFonts w:cs="Arial"/>
          <w:color w:val="auto"/>
          <w:sz w:val="20"/>
          <w:szCs w:val="20"/>
          <w:lang w:val="en-US"/>
        </w:rPr>
        <w:t xml:space="preserve"> pandemic</w:t>
      </w:r>
      <w:r w:rsidRPr="005A505B">
        <w:rPr>
          <w:rFonts w:cs="Arial"/>
          <w:color w:val="auto"/>
          <w:sz w:val="20"/>
          <w:szCs w:val="20"/>
          <w:lang w:val="en-US"/>
        </w:rPr>
        <w:t>.</w:t>
      </w:r>
    </w:p>
    <w:p w:rsidR="00BC7CFF" w:rsidRPr="005A505B" w:rsidRDefault="00BC7CFF" w:rsidP="005A505B">
      <w:pPr>
        <w:pStyle w:val="ListParagraph"/>
        <w:numPr>
          <w:ilvl w:val="0"/>
          <w:numId w:val="91"/>
        </w:numPr>
        <w:jc w:val="both"/>
        <w:rPr>
          <w:rFonts w:cs="Arial"/>
          <w:color w:val="auto"/>
          <w:sz w:val="20"/>
          <w:szCs w:val="20"/>
          <w:lang w:val="en-US"/>
        </w:rPr>
      </w:pPr>
      <w:r w:rsidRPr="005A505B">
        <w:rPr>
          <w:rFonts w:cs="Arial"/>
          <w:color w:val="auto"/>
          <w:sz w:val="20"/>
          <w:szCs w:val="20"/>
          <w:lang w:val="en-US"/>
        </w:rPr>
        <w:t>The Committee sought clarity on how regulation</w:t>
      </w:r>
      <w:r w:rsidR="000605DE" w:rsidRPr="005A505B">
        <w:rPr>
          <w:rFonts w:cs="Arial"/>
          <w:color w:val="auto"/>
          <w:sz w:val="20"/>
          <w:szCs w:val="20"/>
          <w:lang w:val="en-US"/>
        </w:rPr>
        <w:t>s can</w:t>
      </w:r>
      <w:r w:rsidRPr="005A505B">
        <w:rPr>
          <w:rFonts w:cs="Arial"/>
          <w:color w:val="auto"/>
          <w:sz w:val="20"/>
          <w:szCs w:val="20"/>
          <w:lang w:val="en-US"/>
        </w:rPr>
        <w:t xml:space="preserve"> be developed to encourage transformation of the value chain of medicine and medical device manufacturing status</w:t>
      </w:r>
    </w:p>
    <w:p w:rsidR="00BC7CFF" w:rsidRPr="005A505B" w:rsidRDefault="00BC7CFF" w:rsidP="005A505B">
      <w:pPr>
        <w:pStyle w:val="ListParagraph"/>
        <w:numPr>
          <w:ilvl w:val="0"/>
          <w:numId w:val="91"/>
        </w:numPr>
        <w:jc w:val="both"/>
        <w:rPr>
          <w:rFonts w:cs="Arial"/>
          <w:color w:val="auto"/>
          <w:sz w:val="20"/>
          <w:szCs w:val="20"/>
          <w:lang w:val="en-US"/>
        </w:rPr>
      </w:pPr>
      <w:r w:rsidRPr="005A505B">
        <w:rPr>
          <w:rFonts w:cs="Arial"/>
          <w:color w:val="auto"/>
          <w:sz w:val="20"/>
          <w:szCs w:val="20"/>
          <w:lang w:val="en-US"/>
        </w:rPr>
        <w:t>The Committee wanted to know the percentage of new mo</w:t>
      </w:r>
      <w:r w:rsidR="006E21C0" w:rsidRPr="005A505B">
        <w:rPr>
          <w:rFonts w:cs="Arial"/>
          <w:color w:val="auto"/>
          <w:sz w:val="20"/>
          <w:szCs w:val="20"/>
          <w:lang w:val="en-US"/>
        </w:rPr>
        <w:t>lecular</w:t>
      </w:r>
      <w:r w:rsidRPr="005A505B">
        <w:rPr>
          <w:rFonts w:cs="Arial"/>
          <w:color w:val="auto"/>
          <w:sz w:val="20"/>
          <w:szCs w:val="20"/>
          <w:lang w:val="en-US"/>
        </w:rPr>
        <w:t xml:space="preserve"> entities and generics </w:t>
      </w:r>
      <w:r w:rsidR="00992631" w:rsidRPr="005A505B">
        <w:rPr>
          <w:rFonts w:cs="Arial"/>
          <w:color w:val="auto"/>
          <w:sz w:val="20"/>
          <w:szCs w:val="20"/>
          <w:lang w:val="en-US"/>
        </w:rPr>
        <w:t xml:space="preserve">that </w:t>
      </w:r>
      <w:r w:rsidRPr="005A505B">
        <w:rPr>
          <w:rFonts w:cs="Arial"/>
          <w:color w:val="auto"/>
          <w:sz w:val="20"/>
          <w:szCs w:val="20"/>
          <w:lang w:val="en-US"/>
        </w:rPr>
        <w:t>are registered within the target periods.</w:t>
      </w:r>
    </w:p>
    <w:p w:rsidR="00BC7CFF" w:rsidRPr="005A505B" w:rsidRDefault="00BC7CFF" w:rsidP="005A505B">
      <w:pPr>
        <w:pStyle w:val="ListParagraph"/>
        <w:numPr>
          <w:ilvl w:val="0"/>
          <w:numId w:val="91"/>
        </w:numPr>
        <w:jc w:val="both"/>
        <w:rPr>
          <w:rFonts w:cs="Arial"/>
          <w:color w:val="auto"/>
          <w:sz w:val="20"/>
          <w:szCs w:val="20"/>
          <w:lang w:val="en-US"/>
        </w:rPr>
      </w:pPr>
      <w:r w:rsidRPr="005A505B">
        <w:rPr>
          <w:rFonts w:cs="Arial"/>
          <w:color w:val="auto"/>
          <w:sz w:val="20"/>
          <w:szCs w:val="20"/>
          <w:lang w:val="en-US"/>
        </w:rPr>
        <w:t>The Committee sought clarity on the number of various establishments license applications that the entity receives annually.</w:t>
      </w:r>
    </w:p>
    <w:p w:rsidR="00BC7CFF" w:rsidRPr="005A505B" w:rsidRDefault="00BC7CFF" w:rsidP="005A505B">
      <w:pPr>
        <w:pStyle w:val="ListParagraph"/>
        <w:numPr>
          <w:ilvl w:val="0"/>
          <w:numId w:val="91"/>
        </w:numPr>
        <w:jc w:val="both"/>
        <w:rPr>
          <w:rFonts w:cs="Arial"/>
          <w:color w:val="auto"/>
          <w:sz w:val="20"/>
          <w:szCs w:val="20"/>
          <w:lang w:val="en-US"/>
        </w:rPr>
      </w:pPr>
      <w:r w:rsidRPr="005A505B">
        <w:rPr>
          <w:rFonts w:cs="Arial"/>
          <w:color w:val="auto"/>
          <w:sz w:val="20"/>
          <w:szCs w:val="20"/>
          <w:lang w:val="en-US"/>
        </w:rPr>
        <w:t xml:space="preserve">The Committee enquired </w:t>
      </w:r>
      <w:r w:rsidR="00830118" w:rsidRPr="005A505B">
        <w:rPr>
          <w:rFonts w:cs="Arial"/>
          <w:color w:val="auto"/>
          <w:sz w:val="20"/>
          <w:szCs w:val="20"/>
          <w:lang w:val="en-US"/>
        </w:rPr>
        <w:t>about</w:t>
      </w:r>
      <w:r w:rsidRPr="005A505B">
        <w:rPr>
          <w:rFonts w:cs="Arial"/>
          <w:color w:val="auto"/>
          <w:sz w:val="20"/>
          <w:szCs w:val="20"/>
          <w:lang w:val="en-US"/>
        </w:rPr>
        <w:t xml:space="preserve"> the driving force for the rapid increase of revenue </w:t>
      </w:r>
      <w:r w:rsidR="00E67322" w:rsidRPr="005A505B">
        <w:rPr>
          <w:rFonts w:cs="Arial"/>
          <w:color w:val="auto"/>
          <w:sz w:val="20"/>
          <w:szCs w:val="20"/>
          <w:lang w:val="en-US"/>
        </w:rPr>
        <w:t xml:space="preserve">generated from </w:t>
      </w:r>
      <w:r w:rsidRPr="005A505B">
        <w:rPr>
          <w:rFonts w:cs="Arial"/>
          <w:color w:val="auto"/>
          <w:sz w:val="20"/>
          <w:szCs w:val="20"/>
          <w:lang w:val="en-US"/>
        </w:rPr>
        <w:t>medical device</w:t>
      </w:r>
      <w:r w:rsidR="00E67322" w:rsidRPr="005A505B">
        <w:rPr>
          <w:rFonts w:cs="Arial"/>
          <w:color w:val="auto"/>
          <w:sz w:val="20"/>
          <w:szCs w:val="20"/>
          <w:lang w:val="en-US"/>
        </w:rPr>
        <w:t xml:space="preserve"> registrations</w:t>
      </w:r>
      <w:r w:rsidRPr="005A505B">
        <w:rPr>
          <w:rFonts w:cs="Arial"/>
          <w:color w:val="auto"/>
          <w:sz w:val="20"/>
          <w:szCs w:val="20"/>
          <w:lang w:val="en-US"/>
        </w:rPr>
        <w:t>.</w:t>
      </w:r>
    </w:p>
    <w:p w:rsidR="00BC7CFF" w:rsidRPr="005A505B" w:rsidRDefault="00BC7CFF" w:rsidP="005A505B">
      <w:pPr>
        <w:pStyle w:val="ListParagraph"/>
        <w:numPr>
          <w:ilvl w:val="0"/>
          <w:numId w:val="91"/>
        </w:numPr>
        <w:jc w:val="both"/>
        <w:rPr>
          <w:rFonts w:cs="Arial"/>
          <w:color w:val="auto"/>
          <w:sz w:val="20"/>
          <w:szCs w:val="20"/>
          <w:lang w:val="en-US"/>
        </w:rPr>
      </w:pPr>
      <w:r w:rsidRPr="005A505B">
        <w:rPr>
          <w:rFonts w:cs="Arial"/>
          <w:color w:val="auto"/>
          <w:sz w:val="20"/>
          <w:szCs w:val="20"/>
          <w:lang w:val="en-US"/>
        </w:rPr>
        <w:t xml:space="preserve">The Committee wanted to know if the machinery that is brought into the country used by laboratories, dentist rooms, etc. </w:t>
      </w:r>
      <w:r w:rsidR="006E21C0" w:rsidRPr="005A505B">
        <w:rPr>
          <w:rFonts w:cs="Arial"/>
          <w:color w:val="auto"/>
          <w:sz w:val="20"/>
          <w:szCs w:val="20"/>
          <w:lang w:val="en-US"/>
        </w:rPr>
        <w:t xml:space="preserve">is </w:t>
      </w:r>
      <w:r w:rsidRPr="005A505B">
        <w:rPr>
          <w:rFonts w:cs="Arial"/>
          <w:color w:val="auto"/>
          <w:sz w:val="20"/>
          <w:szCs w:val="20"/>
          <w:lang w:val="en-US"/>
        </w:rPr>
        <w:t xml:space="preserve">controlled or </w:t>
      </w:r>
      <w:r w:rsidR="006E21C0" w:rsidRPr="005A505B">
        <w:rPr>
          <w:rFonts w:cs="Arial"/>
          <w:color w:val="auto"/>
          <w:sz w:val="20"/>
          <w:szCs w:val="20"/>
          <w:lang w:val="en-US"/>
        </w:rPr>
        <w:t>assessed</w:t>
      </w:r>
      <w:r w:rsidRPr="005A505B">
        <w:rPr>
          <w:rFonts w:cs="Arial"/>
          <w:color w:val="auto"/>
          <w:sz w:val="20"/>
          <w:szCs w:val="20"/>
          <w:lang w:val="en-US"/>
        </w:rPr>
        <w:t xml:space="preserve"> by SAHPRA.</w:t>
      </w:r>
    </w:p>
    <w:p w:rsidR="00AD295F" w:rsidRPr="005A505B" w:rsidRDefault="00AD295F" w:rsidP="005A505B">
      <w:pPr>
        <w:rPr>
          <w:rFonts w:cs="Arial"/>
          <w:b/>
          <w:color w:val="auto"/>
          <w:sz w:val="20"/>
          <w:szCs w:val="20"/>
          <w:lang w:val="en-US"/>
        </w:rPr>
      </w:pPr>
    </w:p>
    <w:p w:rsidR="00E26B24" w:rsidRPr="005A505B" w:rsidRDefault="00E26B24" w:rsidP="005A505B">
      <w:pPr>
        <w:pStyle w:val="ListParagraph"/>
        <w:numPr>
          <w:ilvl w:val="2"/>
          <w:numId w:val="53"/>
        </w:numPr>
        <w:rPr>
          <w:rFonts w:cs="Arial"/>
          <w:b/>
          <w:color w:val="auto"/>
          <w:sz w:val="20"/>
          <w:szCs w:val="20"/>
          <w:lang w:val="en-US"/>
        </w:rPr>
      </w:pPr>
      <w:r w:rsidRPr="005A505B">
        <w:rPr>
          <w:rFonts w:cs="Arial"/>
          <w:b/>
          <w:color w:val="auto"/>
          <w:sz w:val="20"/>
          <w:szCs w:val="20"/>
          <w:lang w:val="en-US"/>
        </w:rPr>
        <w:t>SAMRC</w:t>
      </w:r>
    </w:p>
    <w:p w:rsidR="00E26B24" w:rsidRPr="005A505B" w:rsidRDefault="00E26B24" w:rsidP="005A505B">
      <w:pPr>
        <w:rPr>
          <w:rFonts w:cs="Arial"/>
          <w:color w:val="auto"/>
          <w:sz w:val="20"/>
          <w:szCs w:val="20"/>
          <w:lang w:val="en-US"/>
        </w:rPr>
      </w:pPr>
    </w:p>
    <w:p w:rsidR="00BC7CFF" w:rsidRPr="005A505B" w:rsidRDefault="00BC7CFF" w:rsidP="005A505B">
      <w:pPr>
        <w:pStyle w:val="ListParagraph"/>
        <w:numPr>
          <w:ilvl w:val="0"/>
          <w:numId w:val="95"/>
        </w:numPr>
        <w:jc w:val="both"/>
        <w:rPr>
          <w:rFonts w:cs="Arial"/>
          <w:color w:val="auto"/>
          <w:sz w:val="20"/>
          <w:szCs w:val="20"/>
          <w:lang w:val="en-US"/>
        </w:rPr>
      </w:pPr>
      <w:r w:rsidRPr="005A505B">
        <w:rPr>
          <w:rFonts w:cs="Arial"/>
          <w:color w:val="auto"/>
          <w:sz w:val="20"/>
          <w:szCs w:val="20"/>
          <w:lang w:val="en-US"/>
        </w:rPr>
        <w:t>The Committee noted that the COVID-19 pandemic has demonstrated the importance of research and development funding and support for innovation and wanted to know what lessons has the SAMRC learnt from the pandemic and how the Council sustain</w:t>
      </w:r>
      <w:r w:rsidR="00194CB0" w:rsidRPr="005A505B">
        <w:rPr>
          <w:rFonts w:cs="Arial"/>
          <w:color w:val="auto"/>
          <w:sz w:val="20"/>
          <w:szCs w:val="20"/>
          <w:lang w:val="en-US"/>
        </w:rPr>
        <w:t>s</w:t>
      </w:r>
      <w:r w:rsidRPr="005A505B">
        <w:rPr>
          <w:rFonts w:cs="Arial"/>
          <w:color w:val="auto"/>
          <w:sz w:val="20"/>
          <w:szCs w:val="20"/>
          <w:lang w:val="en-US"/>
        </w:rPr>
        <w:t xml:space="preserve"> a higher level of impact as demonstrated by scientists in response to the pandemic and other health needs</w:t>
      </w:r>
      <w:r w:rsidR="00194CB0" w:rsidRPr="005A505B">
        <w:rPr>
          <w:rFonts w:cs="Arial"/>
          <w:color w:val="auto"/>
          <w:sz w:val="20"/>
          <w:szCs w:val="20"/>
          <w:lang w:val="en-US"/>
        </w:rPr>
        <w:t>.</w:t>
      </w:r>
    </w:p>
    <w:p w:rsidR="00BC7CFF" w:rsidRPr="005A505B" w:rsidRDefault="00BC7CFF" w:rsidP="005A505B">
      <w:pPr>
        <w:pStyle w:val="ListParagraph"/>
        <w:numPr>
          <w:ilvl w:val="0"/>
          <w:numId w:val="95"/>
        </w:numPr>
        <w:jc w:val="both"/>
        <w:rPr>
          <w:rFonts w:cs="Arial"/>
          <w:color w:val="auto"/>
          <w:sz w:val="20"/>
          <w:szCs w:val="20"/>
          <w:lang w:val="en-US"/>
        </w:rPr>
      </w:pPr>
      <w:r w:rsidRPr="005A505B">
        <w:rPr>
          <w:rFonts w:cs="Arial"/>
          <w:color w:val="auto"/>
          <w:sz w:val="20"/>
          <w:szCs w:val="20"/>
          <w:lang w:val="en-US"/>
        </w:rPr>
        <w:t xml:space="preserve">The Committee enquired </w:t>
      </w:r>
      <w:r w:rsidR="00397DC6" w:rsidRPr="005A505B">
        <w:rPr>
          <w:rFonts w:cs="Arial"/>
          <w:color w:val="auto"/>
          <w:sz w:val="20"/>
          <w:szCs w:val="20"/>
          <w:lang w:val="en-US"/>
        </w:rPr>
        <w:t>about</w:t>
      </w:r>
      <w:r w:rsidRPr="005A505B">
        <w:rPr>
          <w:rFonts w:cs="Arial"/>
          <w:color w:val="auto"/>
          <w:sz w:val="20"/>
          <w:szCs w:val="20"/>
          <w:lang w:val="en-US"/>
        </w:rPr>
        <w:t xml:space="preserve"> the impact of the projected decrease in the total revenue in the medium</w:t>
      </w:r>
      <w:r w:rsidR="00397DC6" w:rsidRPr="005A505B">
        <w:rPr>
          <w:rFonts w:cs="Arial"/>
          <w:color w:val="auto"/>
          <w:sz w:val="20"/>
          <w:szCs w:val="20"/>
          <w:lang w:val="en-US"/>
        </w:rPr>
        <w:t>-</w:t>
      </w:r>
      <w:r w:rsidRPr="005A505B">
        <w:rPr>
          <w:rFonts w:cs="Arial"/>
          <w:color w:val="auto"/>
          <w:sz w:val="20"/>
          <w:szCs w:val="20"/>
          <w:lang w:val="en-US"/>
        </w:rPr>
        <w:t xml:space="preserve">term and what other streams can be </w:t>
      </w:r>
      <w:r w:rsidR="00397DC6" w:rsidRPr="005A505B">
        <w:rPr>
          <w:rFonts w:cs="Arial"/>
          <w:color w:val="auto"/>
          <w:sz w:val="20"/>
          <w:szCs w:val="20"/>
          <w:lang w:val="en-US"/>
        </w:rPr>
        <w:t>utilised</w:t>
      </w:r>
      <w:r w:rsidRPr="005A505B">
        <w:rPr>
          <w:rFonts w:cs="Arial"/>
          <w:color w:val="auto"/>
          <w:sz w:val="20"/>
          <w:szCs w:val="20"/>
          <w:lang w:val="en-US"/>
        </w:rPr>
        <w:t xml:space="preserve"> to increase the revenue base. </w:t>
      </w:r>
    </w:p>
    <w:p w:rsidR="00BC7CFF" w:rsidRPr="005A505B" w:rsidRDefault="00BC7CFF" w:rsidP="005A505B">
      <w:pPr>
        <w:pStyle w:val="ListParagraph"/>
        <w:numPr>
          <w:ilvl w:val="0"/>
          <w:numId w:val="95"/>
        </w:numPr>
        <w:jc w:val="both"/>
        <w:rPr>
          <w:rFonts w:cs="Arial"/>
          <w:color w:val="auto"/>
          <w:sz w:val="20"/>
          <w:szCs w:val="20"/>
          <w:lang w:val="en-US"/>
        </w:rPr>
      </w:pPr>
      <w:r w:rsidRPr="005A505B">
        <w:rPr>
          <w:rFonts w:cs="Arial"/>
          <w:color w:val="auto"/>
          <w:sz w:val="20"/>
          <w:szCs w:val="20"/>
          <w:lang w:val="en-US"/>
        </w:rPr>
        <w:lastRenderedPageBreak/>
        <w:t xml:space="preserve">The Committee wanted to know where the R55.7 million funding required for the eight infrastructure projects </w:t>
      </w:r>
      <w:r w:rsidR="00E67322" w:rsidRPr="005A505B">
        <w:rPr>
          <w:rFonts w:cs="Arial"/>
          <w:color w:val="auto"/>
          <w:sz w:val="20"/>
          <w:szCs w:val="20"/>
          <w:lang w:val="en-US"/>
        </w:rPr>
        <w:t>would</w:t>
      </w:r>
      <w:r w:rsidRPr="005A505B">
        <w:rPr>
          <w:rFonts w:cs="Arial"/>
          <w:color w:val="auto"/>
          <w:sz w:val="20"/>
          <w:szCs w:val="20"/>
          <w:lang w:val="en-US"/>
        </w:rPr>
        <w:t xml:space="preserve"> be sourced from and whether there are any bids that have been approved for these major projects.</w:t>
      </w:r>
    </w:p>
    <w:p w:rsidR="00BC7CFF" w:rsidRPr="005A505B" w:rsidRDefault="00BC7CFF" w:rsidP="005A505B">
      <w:pPr>
        <w:pStyle w:val="ListParagraph"/>
        <w:numPr>
          <w:ilvl w:val="0"/>
          <w:numId w:val="95"/>
        </w:numPr>
        <w:jc w:val="both"/>
        <w:rPr>
          <w:rFonts w:cs="Arial"/>
          <w:color w:val="auto"/>
          <w:sz w:val="20"/>
          <w:szCs w:val="20"/>
          <w:lang w:val="en-US"/>
        </w:rPr>
      </w:pPr>
      <w:r w:rsidRPr="005A505B">
        <w:rPr>
          <w:rFonts w:cs="Arial"/>
          <w:color w:val="auto"/>
          <w:sz w:val="20"/>
          <w:szCs w:val="20"/>
          <w:lang w:val="en-US"/>
        </w:rPr>
        <w:t xml:space="preserve">The Committee enquired </w:t>
      </w:r>
      <w:r w:rsidR="00F158D1" w:rsidRPr="005A505B">
        <w:rPr>
          <w:rFonts w:cs="Arial"/>
          <w:color w:val="auto"/>
          <w:sz w:val="20"/>
          <w:szCs w:val="20"/>
          <w:lang w:val="en-US"/>
        </w:rPr>
        <w:t>about</w:t>
      </w:r>
      <w:r w:rsidR="00397DC6" w:rsidRPr="005A505B">
        <w:rPr>
          <w:rFonts w:cs="Arial"/>
          <w:color w:val="auto"/>
          <w:sz w:val="20"/>
          <w:szCs w:val="20"/>
          <w:lang w:val="en-US"/>
        </w:rPr>
        <w:t xml:space="preserve"> the</w:t>
      </w:r>
      <w:r w:rsidR="00F158D1" w:rsidRPr="005A505B">
        <w:rPr>
          <w:rFonts w:cs="Arial"/>
          <w:color w:val="auto"/>
          <w:sz w:val="20"/>
          <w:szCs w:val="20"/>
          <w:lang w:val="en-US"/>
        </w:rPr>
        <w:t xml:space="preserve"> disparities in </w:t>
      </w:r>
      <w:r w:rsidRPr="005A505B">
        <w:rPr>
          <w:rFonts w:cs="Arial"/>
          <w:color w:val="auto"/>
          <w:sz w:val="20"/>
          <w:szCs w:val="20"/>
          <w:lang w:val="en-US"/>
        </w:rPr>
        <w:t>top management</w:t>
      </w:r>
      <w:r w:rsidR="00397DC6" w:rsidRPr="005A505B">
        <w:rPr>
          <w:rFonts w:cs="Arial"/>
          <w:color w:val="auto"/>
          <w:sz w:val="20"/>
          <w:szCs w:val="20"/>
          <w:lang w:val="en-US"/>
        </w:rPr>
        <w:t xml:space="preserve"> positions</w:t>
      </w:r>
      <w:r w:rsidRPr="005A505B">
        <w:rPr>
          <w:rFonts w:cs="Arial"/>
          <w:color w:val="auto"/>
          <w:sz w:val="20"/>
          <w:szCs w:val="20"/>
          <w:lang w:val="en-US"/>
        </w:rPr>
        <w:t xml:space="preserve"> and wanted to know when will</w:t>
      </w:r>
      <w:r w:rsidR="00F158D1" w:rsidRPr="005A505B">
        <w:rPr>
          <w:rFonts w:cs="Arial"/>
          <w:color w:val="auto"/>
          <w:sz w:val="20"/>
          <w:szCs w:val="20"/>
          <w:lang w:val="en-US"/>
        </w:rPr>
        <w:t xml:space="preserve"> the Council ensure</w:t>
      </w:r>
      <w:r w:rsidRPr="005A505B">
        <w:rPr>
          <w:rFonts w:cs="Arial"/>
          <w:color w:val="auto"/>
          <w:sz w:val="20"/>
          <w:szCs w:val="20"/>
          <w:lang w:val="en-US"/>
        </w:rPr>
        <w:t xml:space="preserve"> gender balance </w:t>
      </w:r>
      <w:r w:rsidR="00397DC6" w:rsidRPr="005A505B">
        <w:rPr>
          <w:rFonts w:cs="Arial"/>
          <w:color w:val="auto"/>
          <w:sz w:val="20"/>
          <w:szCs w:val="20"/>
          <w:lang w:val="en-US"/>
        </w:rPr>
        <w:t>within these positions</w:t>
      </w:r>
      <w:r w:rsidRPr="005A505B">
        <w:rPr>
          <w:rFonts w:cs="Arial"/>
          <w:color w:val="auto"/>
          <w:sz w:val="20"/>
          <w:szCs w:val="20"/>
          <w:lang w:val="en-US"/>
        </w:rPr>
        <w:t>.</w:t>
      </w:r>
    </w:p>
    <w:p w:rsidR="00BC7CFF" w:rsidRPr="005A505B" w:rsidRDefault="00BC7CFF" w:rsidP="005A505B">
      <w:pPr>
        <w:pStyle w:val="ListParagraph"/>
        <w:numPr>
          <w:ilvl w:val="0"/>
          <w:numId w:val="95"/>
        </w:numPr>
        <w:jc w:val="both"/>
        <w:rPr>
          <w:rFonts w:cs="Arial"/>
          <w:color w:val="auto"/>
          <w:sz w:val="20"/>
          <w:szCs w:val="20"/>
          <w:lang w:val="en-US"/>
        </w:rPr>
      </w:pPr>
      <w:r w:rsidRPr="005A505B">
        <w:rPr>
          <w:rFonts w:cs="Arial"/>
          <w:color w:val="auto"/>
          <w:sz w:val="20"/>
          <w:szCs w:val="20"/>
          <w:lang w:val="en-US"/>
        </w:rPr>
        <w:t>The Committee noted with concern the lack of biostatisticians</w:t>
      </w:r>
      <w:r w:rsidR="002B56AE" w:rsidRPr="005A505B">
        <w:rPr>
          <w:rFonts w:cs="Arial"/>
          <w:color w:val="auto"/>
          <w:sz w:val="20"/>
          <w:szCs w:val="20"/>
          <w:lang w:val="en-US"/>
        </w:rPr>
        <w:t xml:space="preserve"> in the country</w:t>
      </w:r>
      <w:r w:rsidRPr="005A505B">
        <w:rPr>
          <w:rFonts w:cs="Arial"/>
          <w:color w:val="auto"/>
          <w:sz w:val="20"/>
          <w:szCs w:val="20"/>
          <w:lang w:val="en-US"/>
        </w:rPr>
        <w:t xml:space="preserve"> and wanted to know what the Council was doing to ensure that it </w:t>
      </w:r>
      <w:r w:rsidR="00E6270A" w:rsidRPr="005A505B">
        <w:rPr>
          <w:rFonts w:cs="Arial"/>
          <w:color w:val="auto"/>
          <w:sz w:val="20"/>
          <w:szCs w:val="20"/>
          <w:lang w:val="en-US"/>
        </w:rPr>
        <w:t>produces</w:t>
      </w:r>
      <w:r w:rsidRPr="005A505B">
        <w:rPr>
          <w:rFonts w:cs="Arial"/>
          <w:color w:val="auto"/>
          <w:sz w:val="20"/>
          <w:szCs w:val="20"/>
          <w:lang w:val="en-US"/>
        </w:rPr>
        <w:t xml:space="preserve"> biostatisticians. The Committee further wanted to know what the training capacity of the Council was and how many graduates were absorbed</w:t>
      </w:r>
      <w:r w:rsidR="00742233" w:rsidRPr="005A505B">
        <w:rPr>
          <w:rFonts w:cs="Arial"/>
          <w:color w:val="auto"/>
          <w:sz w:val="20"/>
          <w:szCs w:val="20"/>
          <w:lang w:val="en-US"/>
        </w:rPr>
        <w:t xml:space="preserve"> into the system</w:t>
      </w:r>
      <w:r w:rsidRPr="005A505B">
        <w:rPr>
          <w:rFonts w:cs="Arial"/>
          <w:color w:val="auto"/>
          <w:sz w:val="20"/>
          <w:szCs w:val="20"/>
          <w:lang w:val="en-US"/>
        </w:rPr>
        <w:t>.</w:t>
      </w:r>
    </w:p>
    <w:p w:rsidR="00BC7CFF" w:rsidRPr="005A505B" w:rsidRDefault="00BC7CFF" w:rsidP="005A505B">
      <w:pPr>
        <w:pStyle w:val="ListParagraph"/>
        <w:numPr>
          <w:ilvl w:val="0"/>
          <w:numId w:val="95"/>
        </w:numPr>
        <w:contextualSpacing w:val="0"/>
        <w:jc w:val="both"/>
        <w:rPr>
          <w:rFonts w:cs="Arial"/>
          <w:color w:val="auto"/>
          <w:sz w:val="20"/>
          <w:szCs w:val="20"/>
          <w:lang w:val="en-US"/>
        </w:rPr>
      </w:pPr>
      <w:r w:rsidRPr="005A505B">
        <w:rPr>
          <w:rFonts w:cs="Arial"/>
          <w:color w:val="auto"/>
          <w:sz w:val="20"/>
          <w:szCs w:val="20"/>
          <w:lang w:val="en-US"/>
        </w:rPr>
        <w:t>The Committee wanted to know what research was the entity undertaking on indigenous knowledge systems.</w:t>
      </w:r>
    </w:p>
    <w:p w:rsidR="00397DC6" w:rsidRPr="005A505B" w:rsidRDefault="00BC7CFF" w:rsidP="005A505B">
      <w:pPr>
        <w:pStyle w:val="ListParagraph"/>
        <w:numPr>
          <w:ilvl w:val="0"/>
          <w:numId w:val="95"/>
        </w:numPr>
        <w:contextualSpacing w:val="0"/>
        <w:jc w:val="both"/>
        <w:rPr>
          <w:rFonts w:cs="Arial"/>
          <w:color w:val="auto"/>
          <w:sz w:val="20"/>
          <w:szCs w:val="20"/>
          <w:lang w:val="en-US"/>
        </w:rPr>
      </w:pPr>
      <w:r w:rsidRPr="005A505B">
        <w:rPr>
          <w:rFonts w:cs="Arial"/>
          <w:color w:val="auto"/>
          <w:sz w:val="20"/>
          <w:szCs w:val="20"/>
          <w:lang w:val="en-US"/>
        </w:rPr>
        <w:t xml:space="preserve">The Committee noted </w:t>
      </w:r>
      <w:r w:rsidR="00481112" w:rsidRPr="005A505B">
        <w:rPr>
          <w:rFonts w:cs="Arial"/>
          <w:color w:val="auto"/>
          <w:sz w:val="20"/>
          <w:szCs w:val="20"/>
          <w:lang w:val="en-US"/>
        </w:rPr>
        <w:t xml:space="preserve">that </w:t>
      </w:r>
      <w:r w:rsidRPr="005A505B">
        <w:rPr>
          <w:rFonts w:cs="Arial"/>
          <w:color w:val="auto"/>
          <w:sz w:val="20"/>
          <w:szCs w:val="20"/>
          <w:lang w:val="en-US"/>
        </w:rPr>
        <w:t xml:space="preserve">neonatal </w:t>
      </w:r>
      <w:r w:rsidR="00481112" w:rsidRPr="005A505B">
        <w:rPr>
          <w:rFonts w:cs="Arial"/>
          <w:color w:val="auto"/>
          <w:sz w:val="20"/>
          <w:szCs w:val="20"/>
          <w:lang w:val="en-US"/>
        </w:rPr>
        <w:t>mortality remains a challenge</w:t>
      </w:r>
      <w:r w:rsidRPr="005A505B">
        <w:rPr>
          <w:rFonts w:cs="Arial"/>
          <w:color w:val="auto"/>
          <w:sz w:val="20"/>
          <w:szCs w:val="20"/>
          <w:lang w:val="en-US"/>
        </w:rPr>
        <w:t xml:space="preserve"> and wanted to know the contributing factors</w:t>
      </w:r>
      <w:r w:rsidR="00397DC6" w:rsidRPr="005A505B">
        <w:rPr>
          <w:rFonts w:cs="Arial"/>
          <w:color w:val="auto"/>
          <w:sz w:val="20"/>
          <w:szCs w:val="20"/>
          <w:lang w:val="en-US"/>
        </w:rPr>
        <w:t>,</w:t>
      </w:r>
      <w:r w:rsidRPr="005A505B">
        <w:rPr>
          <w:rFonts w:cs="Arial"/>
          <w:color w:val="auto"/>
          <w:sz w:val="20"/>
          <w:szCs w:val="20"/>
          <w:lang w:val="en-US"/>
        </w:rPr>
        <w:t xml:space="preserve"> apart from infrastructure and lack of human resources.  </w:t>
      </w:r>
    </w:p>
    <w:p w:rsidR="00BC7CFF" w:rsidRPr="005A505B" w:rsidRDefault="00BC7CFF" w:rsidP="005A505B">
      <w:pPr>
        <w:pStyle w:val="ListParagraph"/>
        <w:numPr>
          <w:ilvl w:val="0"/>
          <w:numId w:val="95"/>
        </w:numPr>
        <w:contextualSpacing w:val="0"/>
        <w:jc w:val="both"/>
        <w:rPr>
          <w:rFonts w:cs="Arial"/>
          <w:color w:val="auto"/>
          <w:sz w:val="20"/>
          <w:szCs w:val="20"/>
          <w:lang w:val="en-US"/>
        </w:rPr>
      </w:pPr>
      <w:r w:rsidRPr="005A505B">
        <w:rPr>
          <w:rFonts w:cs="Arial"/>
          <w:color w:val="auto"/>
          <w:sz w:val="20"/>
          <w:szCs w:val="20"/>
          <w:lang w:val="en-US"/>
        </w:rPr>
        <w:t>The Committee further wanted to know the top five causes of death in South Africa.</w:t>
      </w:r>
    </w:p>
    <w:p w:rsidR="00BC7CFF" w:rsidRPr="005A505B" w:rsidRDefault="00BC7CFF" w:rsidP="005A505B">
      <w:pPr>
        <w:pStyle w:val="ListParagraph"/>
        <w:numPr>
          <w:ilvl w:val="0"/>
          <w:numId w:val="95"/>
        </w:numPr>
        <w:jc w:val="both"/>
        <w:rPr>
          <w:rFonts w:cs="Arial"/>
          <w:color w:val="auto"/>
          <w:sz w:val="20"/>
          <w:szCs w:val="20"/>
          <w:lang w:val="en-US"/>
        </w:rPr>
      </w:pPr>
      <w:r w:rsidRPr="005A505B">
        <w:rPr>
          <w:rFonts w:cs="Arial"/>
          <w:color w:val="auto"/>
          <w:sz w:val="20"/>
          <w:szCs w:val="20"/>
          <w:lang w:val="en-US"/>
        </w:rPr>
        <w:t>The Co</w:t>
      </w:r>
      <w:r w:rsidR="000E0DE4" w:rsidRPr="005A505B">
        <w:rPr>
          <w:rFonts w:cs="Arial"/>
          <w:color w:val="auto"/>
          <w:sz w:val="20"/>
          <w:szCs w:val="20"/>
          <w:lang w:val="en-US"/>
        </w:rPr>
        <w:t>mmittee further noted the Memorandum of Understanding (MOU) between</w:t>
      </w:r>
      <w:r w:rsidRPr="005A505B">
        <w:rPr>
          <w:rFonts w:cs="Arial"/>
          <w:color w:val="auto"/>
          <w:sz w:val="20"/>
          <w:szCs w:val="20"/>
          <w:lang w:val="en-US"/>
        </w:rPr>
        <w:t xml:space="preserve"> the Council </w:t>
      </w:r>
      <w:r w:rsidR="000E0DE4" w:rsidRPr="005A505B">
        <w:rPr>
          <w:rFonts w:cs="Arial"/>
          <w:color w:val="auto"/>
          <w:sz w:val="20"/>
          <w:szCs w:val="20"/>
          <w:lang w:val="en-US"/>
        </w:rPr>
        <w:t>and</w:t>
      </w:r>
      <w:r w:rsidRPr="005A505B">
        <w:rPr>
          <w:rFonts w:cs="Arial"/>
          <w:color w:val="auto"/>
          <w:sz w:val="20"/>
          <w:szCs w:val="20"/>
          <w:lang w:val="en-US"/>
        </w:rPr>
        <w:t xml:space="preserve"> the </w:t>
      </w:r>
      <w:r w:rsidR="00397DC6" w:rsidRPr="005A505B">
        <w:rPr>
          <w:rFonts w:cs="Arial"/>
          <w:color w:val="auto"/>
          <w:sz w:val="20"/>
          <w:szCs w:val="20"/>
          <w:lang w:val="en-US"/>
        </w:rPr>
        <w:t xml:space="preserve">US </w:t>
      </w:r>
      <w:r w:rsidRPr="005A505B">
        <w:rPr>
          <w:rFonts w:cs="Arial"/>
          <w:color w:val="auto"/>
          <w:sz w:val="20"/>
          <w:szCs w:val="20"/>
          <w:lang w:val="en-US"/>
        </w:rPr>
        <w:t>NIH and wanted to know what South Africa was benefitting from this</w:t>
      </w:r>
      <w:r w:rsidR="000E0DE4" w:rsidRPr="005A505B">
        <w:rPr>
          <w:rFonts w:cs="Arial"/>
          <w:color w:val="auto"/>
          <w:sz w:val="20"/>
          <w:szCs w:val="20"/>
          <w:lang w:val="en-US"/>
        </w:rPr>
        <w:t xml:space="preserve"> MOU</w:t>
      </w:r>
      <w:r w:rsidRPr="005A505B">
        <w:rPr>
          <w:rFonts w:cs="Arial"/>
          <w:color w:val="auto"/>
          <w:sz w:val="20"/>
          <w:szCs w:val="20"/>
          <w:lang w:val="en-US"/>
        </w:rPr>
        <w:t xml:space="preserve"> and whether the </w:t>
      </w:r>
      <w:r w:rsidR="00397DC6" w:rsidRPr="005A505B">
        <w:rPr>
          <w:rFonts w:cs="Arial"/>
          <w:color w:val="auto"/>
          <w:sz w:val="20"/>
          <w:szCs w:val="20"/>
          <w:lang w:val="en-US"/>
        </w:rPr>
        <w:t>C</w:t>
      </w:r>
      <w:r w:rsidRPr="005A505B">
        <w:rPr>
          <w:rFonts w:cs="Arial"/>
          <w:color w:val="auto"/>
          <w:sz w:val="20"/>
          <w:szCs w:val="20"/>
          <w:lang w:val="en-US"/>
        </w:rPr>
        <w:t xml:space="preserve">ouncil was funding the </w:t>
      </w:r>
      <w:r w:rsidR="00397DC6" w:rsidRPr="005A505B">
        <w:rPr>
          <w:rFonts w:cs="Arial"/>
          <w:color w:val="auto"/>
          <w:sz w:val="20"/>
          <w:szCs w:val="20"/>
          <w:lang w:val="en-US"/>
        </w:rPr>
        <w:t xml:space="preserve">US </w:t>
      </w:r>
      <w:r w:rsidR="00337636" w:rsidRPr="005A505B">
        <w:rPr>
          <w:rFonts w:cs="Arial"/>
          <w:color w:val="auto"/>
          <w:sz w:val="20"/>
          <w:szCs w:val="20"/>
          <w:lang w:val="en-US"/>
        </w:rPr>
        <w:t>N</w:t>
      </w:r>
      <w:r w:rsidRPr="005A505B">
        <w:rPr>
          <w:rFonts w:cs="Arial"/>
          <w:color w:val="auto"/>
          <w:sz w:val="20"/>
          <w:szCs w:val="20"/>
          <w:lang w:val="en-US"/>
        </w:rPr>
        <w:t>I</w:t>
      </w:r>
      <w:r w:rsidR="00337636" w:rsidRPr="005A505B">
        <w:rPr>
          <w:rFonts w:cs="Arial"/>
          <w:color w:val="auto"/>
          <w:sz w:val="20"/>
          <w:szCs w:val="20"/>
          <w:lang w:val="en-US"/>
        </w:rPr>
        <w:t>H</w:t>
      </w:r>
      <w:r w:rsidRPr="005A505B">
        <w:rPr>
          <w:rFonts w:cs="Arial"/>
          <w:color w:val="auto"/>
          <w:sz w:val="20"/>
          <w:szCs w:val="20"/>
          <w:lang w:val="en-US"/>
        </w:rPr>
        <w:t xml:space="preserve"> and </w:t>
      </w:r>
      <w:r w:rsidR="00337636" w:rsidRPr="005A505B">
        <w:rPr>
          <w:rFonts w:cs="Arial"/>
          <w:color w:val="auto"/>
          <w:sz w:val="20"/>
          <w:szCs w:val="20"/>
          <w:lang w:val="en-US"/>
        </w:rPr>
        <w:t>were receiving any</w:t>
      </w:r>
      <w:r w:rsidRPr="005A505B">
        <w:rPr>
          <w:rFonts w:cs="Arial"/>
          <w:color w:val="auto"/>
          <w:sz w:val="20"/>
          <w:szCs w:val="20"/>
          <w:lang w:val="en-US"/>
        </w:rPr>
        <w:t xml:space="preserve"> </w:t>
      </w:r>
      <w:r w:rsidR="00185A05" w:rsidRPr="005A505B">
        <w:rPr>
          <w:rFonts w:cs="Arial"/>
          <w:color w:val="auto"/>
          <w:sz w:val="20"/>
          <w:szCs w:val="20"/>
          <w:lang w:val="en-US"/>
        </w:rPr>
        <w:t>investment</w:t>
      </w:r>
      <w:r w:rsidRPr="005A505B">
        <w:rPr>
          <w:rFonts w:cs="Arial"/>
          <w:color w:val="auto"/>
          <w:sz w:val="20"/>
          <w:szCs w:val="20"/>
          <w:lang w:val="en-US"/>
        </w:rPr>
        <w:t xml:space="preserve"> </w:t>
      </w:r>
      <w:r w:rsidR="00185A05" w:rsidRPr="005A505B">
        <w:rPr>
          <w:rFonts w:cs="Arial"/>
          <w:color w:val="auto"/>
          <w:sz w:val="20"/>
          <w:szCs w:val="20"/>
          <w:lang w:val="en-US"/>
        </w:rPr>
        <w:t>returns</w:t>
      </w:r>
      <w:r w:rsidRPr="005A505B">
        <w:rPr>
          <w:rFonts w:cs="Arial"/>
          <w:color w:val="auto"/>
          <w:sz w:val="20"/>
          <w:szCs w:val="20"/>
          <w:lang w:val="en-US"/>
        </w:rPr>
        <w:t>.</w:t>
      </w:r>
    </w:p>
    <w:p w:rsidR="00BC7CFF" w:rsidRPr="005A505B" w:rsidRDefault="00BC7CFF" w:rsidP="005A505B">
      <w:pPr>
        <w:pStyle w:val="ListParagraph"/>
        <w:numPr>
          <w:ilvl w:val="0"/>
          <w:numId w:val="95"/>
        </w:numPr>
        <w:jc w:val="both"/>
        <w:rPr>
          <w:rFonts w:cs="Arial"/>
          <w:color w:val="auto"/>
          <w:sz w:val="20"/>
          <w:szCs w:val="20"/>
          <w:lang w:val="en-US"/>
        </w:rPr>
      </w:pPr>
      <w:r w:rsidRPr="005A505B">
        <w:rPr>
          <w:rFonts w:cs="Arial"/>
          <w:color w:val="auto"/>
          <w:sz w:val="20"/>
          <w:szCs w:val="20"/>
          <w:lang w:val="en-US"/>
        </w:rPr>
        <w:t xml:space="preserve">The Committee wanted to know </w:t>
      </w:r>
      <w:r w:rsidR="00EC5B1D" w:rsidRPr="005A505B">
        <w:rPr>
          <w:rFonts w:cs="Arial"/>
          <w:color w:val="auto"/>
          <w:sz w:val="20"/>
          <w:szCs w:val="20"/>
          <w:lang w:val="en-US"/>
        </w:rPr>
        <w:t>the</w:t>
      </w:r>
      <w:r w:rsidRPr="005A505B">
        <w:rPr>
          <w:rFonts w:cs="Arial"/>
          <w:color w:val="auto"/>
          <w:sz w:val="20"/>
          <w:szCs w:val="20"/>
          <w:lang w:val="en-US"/>
        </w:rPr>
        <w:t xml:space="preserve"> kind of depth the Council appl</w:t>
      </w:r>
      <w:r w:rsidR="00EC5B1D" w:rsidRPr="005A505B">
        <w:rPr>
          <w:rFonts w:cs="Arial"/>
          <w:color w:val="auto"/>
          <w:sz w:val="20"/>
          <w:szCs w:val="20"/>
          <w:lang w:val="en-US"/>
        </w:rPr>
        <w:t>ies</w:t>
      </w:r>
      <w:r w:rsidRPr="005A505B">
        <w:rPr>
          <w:rFonts w:cs="Arial"/>
          <w:color w:val="auto"/>
          <w:sz w:val="20"/>
          <w:szCs w:val="20"/>
          <w:lang w:val="en-US"/>
        </w:rPr>
        <w:t xml:space="preserve"> to research the issue of adverse effects of the vaccine</w:t>
      </w:r>
      <w:r w:rsidR="00EC5B1D" w:rsidRPr="005A505B">
        <w:rPr>
          <w:rFonts w:cs="Arial"/>
          <w:color w:val="auto"/>
          <w:sz w:val="20"/>
          <w:szCs w:val="20"/>
          <w:lang w:val="en-US"/>
        </w:rPr>
        <w:t>s</w:t>
      </w:r>
      <w:r w:rsidRPr="005A505B">
        <w:rPr>
          <w:rFonts w:cs="Arial"/>
          <w:color w:val="auto"/>
          <w:sz w:val="20"/>
          <w:szCs w:val="20"/>
          <w:lang w:val="en-US"/>
        </w:rPr>
        <w:t xml:space="preserve"> and whether the data is monitored in terms of the adverse effects that are reported or if there </w:t>
      </w:r>
      <w:r w:rsidR="00397DC6" w:rsidRPr="005A505B">
        <w:rPr>
          <w:rFonts w:cs="Arial"/>
          <w:color w:val="auto"/>
          <w:sz w:val="20"/>
          <w:szCs w:val="20"/>
          <w:lang w:val="en-US"/>
        </w:rPr>
        <w:t xml:space="preserve">was </w:t>
      </w:r>
      <w:r w:rsidRPr="005A505B">
        <w:rPr>
          <w:rFonts w:cs="Arial"/>
          <w:color w:val="auto"/>
          <w:sz w:val="20"/>
          <w:szCs w:val="20"/>
          <w:lang w:val="en-US"/>
        </w:rPr>
        <w:t>an ongoing investigation or another system that is being used to report th</w:t>
      </w:r>
      <w:r w:rsidR="00397DC6" w:rsidRPr="005A505B">
        <w:rPr>
          <w:rFonts w:cs="Arial"/>
          <w:color w:val="auto"/>
          <w:sz w:val="20"/>
          <w:szCs w:val="20"/>
          <w:lang w:val="en-US"/>
        </w:rPr>
        <w:t>ese</w:t>
      </w:r>
      <w:r w:rsidRPr="005A505B">
        <w:rPr>
          <w:rFonts w:cs="Arial"/>
          <w:color w:val="auto"/>
          <w:sz w:val="20"/>
          <w:szCs w:val="20"/>
          <w:lang w:val="en-US"/>
        </w:rPr>
        <w:t xml:space="preserve">.  The Committee further wanted to know what the most common adverse effects of the vaccines </w:t>
      </w:r>
      <w:r w:rsidR="00EC5B1D" w:rsidRPr="005A505B">
        <w:rPr>
          <w:rFonts w:cs="Arial"/>
          <w:color w:val="auto"/>
          <w:sz w:val="20"/>
          <w:szCs w:val="20"/>
          <w:lang w:val="en-US"/>
        </w:rPr>
        <w:t>we</w:t>
      </w:r>
      <w:r w:rsidRPr="005A505B">
        <w:rPr>
          <w:rFonts w:cs="Arial"/>
          <w:color w:val="auto"/>
          <w:sz w:val="20"/>
          <w:szCs w:val="20"/>
          <w:lang w:val="en-US"/>
        </w:rPr>
        <w:t>re in South Africa.</w:t>
      </w:r>
    </w:p>
    <w:p w:rsidR="00BC7CFF" w:rsidRPr="005A505B" w:rsidRDefault="00BC7CFF" w:rsidP="005A505B">
      <w:pPr>
        <w:pStyle w:val="ListParagraph"/>
        <w:numPr>
          <w:ilvl w:val="0"/>
          <w:numId w:val="95"/>
        </w:numPr>
        <w:jc w:val="both"/>
        <w:rPr>
          <w:rFonts w:cs="Arial"/>
          <w:color w:val="auto"/>
          <w:sz w:val="20"/>
          <w:szCs w:val="20"/>
          <w:lang w:val="en-US"/>
        </w:rPr>
      </w:pPr>
      <w:r w:rsidRPr="005A505B">
        <w:rPr>
          <w:rFonts w:cs="Arial"/>
          <w:color w:val="auto"/>
          <w:sz w:val="20"/>
          <w:szCs w:val="20"/>
          <w:lang w:val="en-US"/>
        </w:rPr>
        <w:t xml:space="preserve">The Committee noted that for 2022/23, there is an expected decrease in the number of published journals and wanted to know the reasons for this estimation. </w:t>
      </w:r>
    </w:p>
    <w:p w:rsidR="00BC7CFF" w:rsidRPr="005A505B" w:rsidRDefault="00BC7CFF" w:rsidP="005A505B">
      <w:pPr>
        <w:pStyle w:val="ListParagraph"/>
        <w:numPr>
          <w:ilvl w:val="0"/>
          <w:numId w:val="95"/>
        </w:numPr>
        <w:jc w:val="both"/>
        <w:rPr>
          <w:rFonts w:cs="Arial"/>
          <w:color w:val="auto"/>
          <w:sz w:val="20"/>
          <w:szCs w:val="20"/>
          <w:lang w:val="en-US"/>
        </w:rPr>
      </w:pPr>
      <w:r w:rsidRPr="005A505B">
        <w:rPr>
          <w:rFonts w:cs="Arial"/>
          <w:color w:val="auto"/>
          <w:sz w:val="20"/>
          <w:szCs w:val="20"/>
          <w:lang w:val="en-US"/>
        </w:rPr>
        <w:t>The Committee wanted to know if the Council</w:t>
      </w:r>
      <w:r w:rsidR="00013C4E" w:rsidRPr="005A505B">
        <w:rPr>
          <w:rFonts w:cs="Arial"/>
          <w:color w:val="auto"/>
          <w:sz w:val="20"/>
          <w:szCs w:val="20"/>
          <w:lang w:val="en-US"/>
        </w:rPr>
        <w:t>,</w:t>
      </w:r>
      <w:r w:rsidRPr="005A505B">
        <w:rPr>
          <w:rFonts w:cs="Arial"/>
          <w:color w:val="auto"/>
          <w:sz w:val="20"/>
          <w:szCs w:val="20"/>
          <w:lang w:val="en-US"/>
        </w:rPr>
        <w:t xml:space="preserve"> under the NHI, foresee the risk of an increase in diminishing funding and whether the entity has a plan in place to mitigate this risk.  </w:t>
      </w:r>
    </w:p>
    <w:p w:rsidR="00BC7CFF" w:rsidRPr="005A505B" w:rsidRDefault="00BC7CFF" w:rsidP="005A505B">
      <w:pPr>
        <w:pStyle w:val="ListParagraph"/>
        <w:numPr>
          <w:ilvl w:val="0"/>
          <w:numId w:val="95"/>
        </w:numPr>
        <w:jc w:val="both"/>
        <w:rPr>
          <w:rFonts w:cs="Arial"/>
          <w:color w:val="auto"/>
          <w:sz w:val="20"/>
          <w:szCs w:val="20"/>
          <w:lang w:val="en-US"/>
        </w:rPr>
      </w:pPr>
      <w:r w:rsidRPr="005A505B">
        <w:rPr>
          <w:rFonts w:cs="Arial"/>
          <w:color w:val="auto"/>
          <w:sz w:val="20"/>
          <w:szCs w:val="20"/>
          <w:lang w:val="en-US"/>
        </w:rPr>
        <w:t xml:space="preserve">The Committee </w:t>
      </w:r>
      <w:r w:rsidR="00013C4E" w:rsidRPr="005A505B">
        <w:rPr>
          <w:rFonts w:cs="Arial"/>
          <w:color w:val="auto"/>
          <w:sz w:val="20"/>
          <w:szCs w:val="20"/>
          <w:lang w:val="en-US"/>
        </w:rPr>
        <w:t xml:space="preserve">asked </w:t>
      </w:r>
      <w:r w:rsidRPr="005A505B">
        <w:rPr>
          <w:rFonts w:cs="Arial"/>
          <w:color w:val="auto"/>
          <w:sz w:val="20"/>
          <w:szCs w:val="20"/>
          <w:lang w:val="en-US"/>
        </w:rPr>
        <w:t xml:space="preserve">the SAMRC to confirm </w:t>
      </w:r>
      <w:r w:rsidR="004D42AD" w:rsidRPr="005A505B">
        <w:rPr>
          <w:rFonts w:cs="Arial"/>
          <w:color w:val="auto"/>
          <w:sz w:val="20"/>
          <w:szCs w:val="20"/>
          <w:lang w:val="en-US"/>
        </w:rPr>
        <w:t>whether</w:t>
      </w:r>
      <w:r w:rsidRPr="005A505B">
        <w:rPr>
          <w:rFonts w:cs="Arial"/>
          <w:color w:val="auto"/>
          <w:sz w:val="20"/>
          <w:szCs w:val="20"/>
          <w:lang w:val="en-US"/>
        </w:rPr>
        <w:t xml:space="preserve"> the sugar tax that is levied by </w:t>
      </w:r>
      <w:r w:rsidR="004D42AD" w:rsidRPr="005A505B">
        <w:rPr>
          <w:rFonts w:cs="Arial"/>
          <w:color w:val="auto"/>
          <w:sz w:val="20"/>
          <w:szCs w:val="20"/>
          <w:lang w:val="en-US"/>
        </w:rPr>
        <w:t>the n</w:t>
      </w:r>
      <w:r w:rsidRPr="005A505B">
        <w:rPr>
          <w:rFonts w:cs="Arial"/>
          <w:color w:val="auto"/>
          <w:sz w:val="20"/>
          <w:szCs w:val="20"/>
          <w:lang w:val="en-US"/>
        </w:rPr>
        <w:t xml:space="preserve">ational government is </w:t>
      </w:r>
      <w:r w:rsidR="00013C4E" w:rsidRPr="005A505B">
        <w:rPr>
          <w:rFonts w:cs="Arial"/>
          <w:color w:val="auto"/>
          <w:sz w:val="20"/>
          <w:szCs w:val="20"/>
          <w:lang w:val="en-US"/>
        </w:rPr>
        <w:t xml:space="preserve">being </w:t>
      </w:r>
      <w:r w:rsidRPr="005A505B">
        <w:rPr>
          <w:rFonts w:cs="Arial"/>
          <w:color w:val="auto"/>
          <w:sz w:val="20"/>
          <w:szCs w:val="20"/>
          <w:lang w:val="en-US"/>
        </w:rPr>
        <w:t xml:space="preserve">used </w:t>
      </w:r>
      <w:r w:rsidR="004D42AD" w:rsidRPr="005A505B">
        <w:rPr>
          <w:rFonts w:cs="Arial"/>
          <w:color w:val="auto"/>
          <w:sz w:val="20"/>
          <w:szCs w:val="20"/>
          <w:lang w:val="en-US"/>
        </w:rPr>
        <w:t>to manage</w:t>
      </w:r>
      <w:r w:rsidRPr="005A505B">
        <w:rPr>
          <w:rFonts w:cs="Arial"/>
          <w:color w:val="auto"/>
          <w:sz w:val="20"/>
          <w:szCs w:val="20"/>
          <w:lang w:val="en-US"/>
        </w:rPr>
        <w:t xml:space="preserve"> </w:t>
      </w:r>
      <w:r w:rsidR="00013C4E" w:rsidRPr="005A505B">
        <w:rPr>
          <w:rFonts w:cs="Arial"/>
          <w:color w:val="auto"/>
          <w:sz w:val="20"/>
          <w:szCs w:val="20"/>
          <w:lang w:val="en-US"/>
        </w:rPr>
        <w:t xml:space="preserve">non-communicable </w:t>
      </w:r>
      <w:r w:rsidRPr="005A505B">
        <w:rPr>
          <w:rFonts w:cs="Arial"/>
          <w:color w:val="auto"/>
          <w:sz w:val="20"/>
          <w:szCs w:val="20"/>
          <w:lang w:val="en-US"/>
        </w:rPr>
        <w:t>diseases</w:t>
      </w:r>
      <w:r w:rsidR="00013C4E" w:rsidRPr="005A505B">
        <w:rPr>
          <w:rFonts w:cs="Arial"/>
          <w:color w:val="auto"/>
          <w:sz w:val="20"/>
          <w:szCs w:val="20"/>
          <w:lang w:val="en-US"/>
        </w:rPr>
        <w:t>,</w:t>
      </w:r>
      <w:r w:rsidRPr="005A505B">
        <w:rPr>
          <w:rFonts w:cs="Arial"/>
          <w:color w:val="auto"/>
          <w:sz w:val="20"/>
          <w:szCs w:val="20"/>
          <w:lang w:val="en-US"/>
        </w:rPr>
        <w:t xml:space="preserve"> </w:t>
      </w:r>
      <w:r w:rsidR="004D42AD" w:rsidRPr="005A505B">
        <w:rPr>
          <w:rFonts w:cs="Arial"/>
          <w:color w:val="auto"/>
          <w:sz w:val="20"/>
          <w:szCs w:val="20"/>
          <w:lang w:val="en-US"/>
        </w:rPr>
        <w:t>such as</w:t>
      </w:r>
      <w:r w:rsidRPr="005A505B">
        <w:rPr>
          <w:rFonts w:cs="Arial"/>
          <w:color w:val="auto"/>
          <w:sz w:val="20"/>
          <w:szCs w:val="20"/>
          <w:lang w:val="en-US"/>
        </w:rPr>
        <w:t xml:space="preserve"> obesity and diabetes</w:t>
      </w:r>
      <w:r w:rsidR="00013C4E" w:rsidRPr="005A505B">
        <w:rPr>
          <w:rFonts w:cs="Arial"/>
          <w:color w:val="auto"/>
          <w:sz w:val="20"/>
          <w:szCs w:val="20"/>
          <w:lang w:val="en-US"/>
        </w:rPr>
        <w:t>,</w:t>
      </w:r>
      <w:r w:rsidRPr="005A505B">
        <w:rPr>
          <w:rFonts w:cs="Arial"/>
          <w:color w:val="auto"/>
          <w:sz w:val="20"/>
          <w:szCs w:val="20"/>
          <w:lang w:val="en-US"/>
        </w:rPr>
        <w:t xml:space="preserve"> and </w:t>
      </w:r>
      <w:r w:rsidR="00013C4E" w:rsidRPr="005A505B">
        <w:rPr>
          <w:rFonts w:cs="Arial"/>
          <w:color w:val="auto"/>
          <w:sz w:val="20"/>
          <w:szCs w:val="20"/>
          <w:lang w:val="en-US"/>
        </w:rPr>
        <w:t>the</w:t>
      </w:r>
      <w:r w:rsidRPr="005A505B">
        <w:rPr>
          <w:rFonts w:cs="Arial"/>
          <w:color w:val="auto"/>
          <w:sz w:val="20"/>
          <w:szCs w:val="20"/>
          <w:lang w:val="en-US"/>
        </w:rPr>
        <w:t xml:space="preserve"> programmes have been put in place to assist in mitigating these </w:t>
      </w:r>
      <w:r w:rsidR="00013C4E" w:rsidRPr="005A505B">
        <w:rPr>
          <w:rFonts w:cs="Arial"/>
          <w:color w:val="auto"/>
          <w:sz w:val="20"/>
          <w:szCs w:val="20"/>
          <w:lang w:val="en-US"/>
        </w:rPr>
        <w:t>conditions</w:t>
      </w:r>
      <w:r w:rsidRPr="005A505B">
        <w:rPr>
          <w:rFonts w:cs="Arial"/>
          <w:color w:val="auto"/>
          <w:sz w:val="20"/>
          <w:szCs w:val="20"/>
          <w:lang w:val="en-US"/>
        </w:rPr>
        <w:t>.</w:t>
      </w:r>
    </w:p>
    <w:p w:rsidR="00BC7CFF" w:rsidRPr="005A505B" w:rsidRDefault="00BC7CFF" w:rsidP="005A505B">
      <w:pPr>
        <w:pStyle w:val="ListParagraph"/>
        <w:numPr>
          <w:ilvl w:val="0"/>
          <w:numId w:val="95"/>
        </w:numPr>
        <w:jc w:val="both"/>
        <w:rPr>
          <w:rFonts w:cs="Arial"/>
          <w:color w:val="auto"/>
          <w:sz w:val="20"/>
          <w:szCs w:val="20"/>
          <w:lang w:val="en-US"/>
        </w:rPr>
      </w:pPr>
      <w:r w:rsidRPr="005A505B">
        <w:rPr>
          <w:rFonts w:cs="Arial"/>
          <w:color w:val="auto"/>
          <w:sz w:val="20"/>
          <w:szCs w:val="20"/>
          <w:lang w:val="en-US"/>
        </w:rPr>
        <w:t xml:space="preserve">The Committee enquired </w:t>
      </w:r>
      <w:r w:rsidR="00105881" w:rsidRPr="005A505B">
        <w:rPr>
          <w:rFonts w:cs="Arial"/>
          <w:color w:val="auto"/>
          <w:sz w:val="20"/>
          <w:szCs w:val="20"/>
          <w:lang w:val="en-US"/>
        </w:rPr>
        <w:t xml:space="preserve">on </w:t>
      </w:r>
      <w:r w:rsidRPr="005A505B">
        <w:rPr>
          <w:rFonts w:cs="Arial"/>
          <w:color w:val="auto"/>
          <w:sz w:val="20"/>
          <w:szCs w:val="20"/>
          <w:lang w:val="en-US"/>
        </w:rPr>
        <w:t xml:space="preserve">how the </w:t>
      </w:r>
      <w:r w:rsidR="006F5419" w:rsidRPr="005A505B">
        <w:rPr>
          <w:rFonts w:cs="Arial"/>
          <w:color w:val="auto"/>
          <w:sz w:val="20"/>
          <w:szCs w:val="20"/>
          <w:lang w:val="en-US"/>
        </w:rPr>
        <w:t>m</w:t>
      </w:r>
      <w:r w:rsidRPr="005A505B">
        <w:rPr>
          <w:rFonts w:cs="Arial"/>
          <w:color w:val="auto"/>
          <w:sz w:val="20"/>
          <w:szCs w:val="20"/>
          <w:lang w:val="en-US"/>
        </w:rPr>
        <w:t xml:space="preserve">RNA </w:t>
      </w:r>
      <w:r w:rsidR="000F4467" w:rsidRPr="005A505B">
        <w:rPr>
          <w:rFonts w:cs="Arial"/>
          <w:color w:val="auto"/>
          <w:sz w:val="20"/>
          <w:szCs w:val="20"/>
          <w:lang w:val="en-US"/>
        </w:rPr>
        <w:t xml:space="preserve">vaccine development </w:t>
      </w:r>
      <w:r w:rsidRPr="005A505B">
        <w:rPr>
          <w:rFonts w:cs="Arial"/>
          <w:color w:val="auto"/>
          <w:sz w:val="20"/>
          <w:szCs w:val="20"/>
          <w:lang w:val="en-US"/>
        </w:rPr>
        <w:t>project</w:t>
      </w:r>
      <w:r w:rsidR="00105881" w:rsidRPr="005A505B">
        <w:rPr>
          <w:rFonts w:cs="Arial"/>
          <w:color w:val="auto"/>
          <w:sz w:val="20"/>
          <w:szCs w:val="20"/>
          <w:lang w:val="en-US"/>
        </w:rPr>
        <w:t xml:space="preserve"> was</w:t>
      </w:r>
      <w:r w:rsidRPr="005A505B">
        <w:rPr>
          <w:rFonts w:cs="Arial"/>
          <w:color w:val="auto"/>
          <w:sz w:val="20"/>
          <w:szCs w:val="20"/>
          <w:lang w:val="en-US"/>
        </w:rPr>
        <w:t xml:space="preserve"> going to increase other innovations in the ecosystems</w:t>
      </w:r>
      <w:r w:rsidR="00105881" w:rsidRPr="005A505B">
        <w:rPr>
          <w:rFonts w:cs="Arial"/>
          <w:color w:val="auto"/>
          <w:sz w:val="20"/>
          <w:szCs w:val="20"/>
          <w:lang w:val="en-US"/>
        </w:rPr>
        <w:t xml:space="preserve"> and h</w:t>
      </w:r>
      <w:r w:rsidRPr="005A505B">
        <w:rPr>
          <w:rFonts w:cs="Arial"/>
          <w:color w:val="auto"/>
          <w:sz w:val="20"/>
          <w:szCs w:val="20"/>
          <w:lang w:val="en-US"/>
        </w:rPr>
        <w:t xml:space="preserve">ow the </w:t>
      </w:r>
      <w:r w:rsidR="00105881" w:rsidRPr="005A505B">
        <w:rPr>
          <w:rFonts w:cs="Arial"/>
          <w:color w:val="auto"/>
          <w:sz w:val="20"/>
          <w:szCs w:val="20"/>
          <w:lang w:val="en-US"/>
        </w:rPr>
        <w:t>n</w:t>
      </w:r>
      <w:r w:rsidRPr="005A505B">
        <w:rPr>
          <w:rFonts w:cs="Arial"/>
          <w:color w:val="auto"/>
          <w:sz w:val="20"/>
          <w:szCs w:val="20"/>
          <w:lang w:val="en-US"/>
        </w:rPr>
        <w:t xml:space="preserve">ation </w:t>
      </w:r>
      <w:r w:rsidR="00105881" w:rsidRPr="005A505B">
        <w:rPr>
          <w:rFonts w:cs="Arial"/>
          <w:color w:val="auto"/>
          <w:sz w:val="20"/>
          <w:szCs w:val="20"/>
          <w:lang w:val="en-US"/>
        </w:rPr>
        <w:t xml:space="preserve">can </w:t>
      </w:r>
      <w:r w:rsidRPr="005A505B">
        <w:rPr>
          <w:rFonts w:cs="Arial"/>
          <w:color w:val="auto"/>
          <w:sz w:val="20"/>
          <w:szCs w:val="20"/>
          <w:lang w:val="en-US"/>
        </w:rPr>
        <w:t>optimi</w:t>
      </w:r>
      <w:r w:rsidR="00105881" w:rsidRPr="005A505B">
        <w:rPr>
          <w:rFonts w:cs="Arial"/>
          <w:color w:val="auto"/>
          <w:sz w:val="20"/>
          <w:szCs w:val="20"/>
          <w:lang w:val="en-US"/>
        </w:rPr>
        <w:t>s</w:t>
      </w:r>
      <w:r w:rsidRPr="005A505B">
        <w:rPr>
          <w:rFonts w:cs="Arial"/>
          <w:color w:val="auto"/>
          <w:sz w:val="20"/>
          <w:szCs w:val="20"/>
          <w:lang w:val="en-US"/>
        </w:rPr>
        <w:t>e on thi</w:t>
      </w:r>
      <w:r w:rsidR="000F4467" w:rsidRPr="005A505B">
        <w:rPr>
          <w:rFonts w:cs="Arial"/>
          <w:color w:val="auto"/>
          <w:sz w:val="20"/>
          <w:szCs w:val="20"/>
          <w:lang w:val="en-US"/>
        </w:rPr>
        <w:t>s potential of genomic medicine</w:t>
      </w:r>
      <w:r w:rsidRPr="005A505B">
        <w:rPr>
          <w:rFonts w:cs="Arial"/>
          <w:color w:val="auto"/>
          <w:sz w:val="20"/>
          <w:szCs w:val="20"/>
          <w:lang w:val="en-US"/>
        </w:rPr>
        <w:t>.</w:t>
      </w:r>
    </w:p>
    <w:p w:rsidR="00BC7CFF" w:rsidRPr="005A505B" w:rsidRDefault="00BC7CFF" w:rsidP="005A505B">
      <w:pPr>
        <w:pStyle w:val="ListParagraph"/>
        <w:numPr>
          <w:ilvl w:val="0"/>
          <w:numId w:val="95"/>
        </w:numPr>
        <w:jc w:val="both"/>
        <w:rPr>
          <w:rFonts w:cs="Arial"/>
          <w:color w:val="auto"/>
          <w:sz w:val="20"/>
          <w:szCs w:val="20"/>
          <w:lang w:val="en-US"/>
        </w:rPr>
      </w:pPr>
      <w:r w:rsidRPr="005A505B">
        <w:rPr>
          <w:rFonts w:cs="Arial"/>
          <w:color w:val="auto"/>
          <w:sz w:val="20"/>
          <w:szCs w:val="20"/>
          <w:lang w:val="en-US"/>
        </w:rPr>
        <w:t xml:space="preserve">The Committee wanted to know what the Council’s </w:t>
      </w:r>
      <w:r w:rsidR="00140E18" w:rsidRPr="005A505B">
        <w:rPr>
          <w:rFonts w:cs="Arial"/>
          <w:color w:val="auto"/>
          <w:sz w:val="20"/>
          <w:szCs w:val="20"/>
          <w:lang w:val="en-US"/>
        </w:rPr>
        <w:t>role</w:t>
      </w:r>
      <w:r w:rsidR="005D6E32" w:rsidRPr="005A505B">
        <w:rPr>
          <w:rFonts w:cs="Arial"/>
          <w:color w:val="auto"/>
          <w:sz w:val="20"/>
          <w:szCs w:val="20"/>
          <w:lang w:val="en-US"/>
        </w:rPr>
        <w:t xml:space="preserve"> was</w:t>
      </w:r>
      <w:r w:rsidRPr="005A505B">
        <w:rPr>
          <w:rFonts w:cs="Arial"/>
          <w:color w:val="auto"/>
          <w:sz w:val="20"/>
          <w:szCs w:val="20"/>
          <w:lang w:val="en-US"/>
        </w:rPr>
        <w:t xml:space="preserve"> </w:t>
      </w:r>
      <w:r w:rsidR="004B0AAC" w:rsidRPr="005A505B">
        <w:rPr>
          <w:rFonts w:cs="Arial"/>
          <w:color w:val="auto"/>
          <w:sz w:val="20"/>
          <w:szCs w:val="20"/>
          <w:lang w:val="en-US"/>
        </w:rPr>
        <w:t>in relation</w:t>
      </w:r>
      <w:r w:rsidRPr="005A505B">
        <w:rPr>
          <w:rFonts w:cs="Arial"/>
          <w:color w:val="auto"/>
          <w:sz w:val="20"/>
          <w:szCs w:val="20"/>
          <w:lang w:val="en-US"/>
        </w:rPr>
        <w:t xml:space="preserve"> to the </w:t>
      </w:r>
      <w:r w:rsidR="004B0AAC" w:rsidRPr="005A505B">
        <w:rPr>
          <w:rFonts w:cs="Arial"/>
          <w:color w:val="auto"/>
          <w:sz w:val="20"/>
          <w:szCs w:val="20"/>
          <w:lang w:val="en-US"/>
        </w:rPr>
        <w:t xml:space="preserve">trade related aspects </w:t>
      </w:r>
      <w:r w:rsidRPr="005A505B">
        <w:rPr>
          <w:rFonts w:cs="Arial"/>
          <w:color w:val="auto"/>
          <w:sz w:val="20"/>
          <w:szCs w:val="20"/>
          <w:lang w:val="en-US"/>
        </w:rPr>
        <w:t xml:space="preserve">of Intellectual Property Rights Waiver to enable the </w:t>
      </w:r>
      <w:r w:rsidR="005D6E32" w:rsidRPr="005A505B">
        <w:rPr>
          <w:rFonts w:cs="Arial"/>
          <w:color w:val="auto"/>
          <w:sz w:val="20"/>
          <w:szCs w:val="20"/>
          <w:lang w:val="en-US"/>
        </w:rPr>
        <w:t>w</w:t>
      </w:r>
      <w:r w:rsidRPr="005A505B">
        <w:rPr>
          <w:rFonts w:cs="Arial"/>
          <w:color w:val="auto"/>
          <w:sz w:val="20"/>
          <w:szCs w:val="20"/>
          <w:lang w:val="en-US"/>
        </w:rPr>
        <w:t>estern manufacturing of the vaccine, therapeutics and diagnostics in the country and the continent to meet Africa’s health needs</w:t>
      </w:r>
      <w:r w:rsidR="00140E18" w:rsidRPr="005A505B">
        <w:rPr>
          <w:rFonts w:cs="Arial"/>
          <w:color w:val="auto"/>
          <w:sz w:val="20"/>
          <w:szCs w:val="20"/>
          <w:lang w:val="en-US"/>
        </w:rPr>
        <w:t>. Further,</w:t>
      </w:r>
      <w:r w:rsidRPr="005A505B">
        <w:rPr>
          <w:rFonts w:cs="Arial"/>
          <w:color w:val="auto"/>
          <w:sz w:val="20"/>
          <w:szCs w:val="20"/>
          <w:lang w:val="en-US"/>
        </w:rPr>
        <w:t xml:space="preserve"> how is the Council undertaking the manufacturing challenges that are brought forward about the intellectual property barriers in the country and what these barriers are.</w:t>
      </w:r>
    </w:p>
    <w:p w:rsidR="00E26B24" w:rsidRPr="005A505B" w:rsidRDefault="00BC7CFF" w:rsidP="005A505B">
      <w:pPr>
        <w:pStyle w:val="ListParagraph"/>
        <w:numPr>
          <w:ilvl w:val="0"/>
          <w:numId w:val="95"/>
        </w:numPr>
        <w:jc w:val="both"/>
        <w:rPr>
          <w:rFonts w:cs="Arial"/>
          <w:color w:val="auto"/>
          <w:sz w:val="20"/>
          <w:szCs w:val="20"/>
          <w:lang w:val="en-US"/>
        </w:rPr>
      </w:pPr>
      <w:r w:rsidRPr="005A505B">
        <w:rPr>
          <w:rFonts w:cs="Arial"/>
          <w:color w:val="auto"/>
          <w:sz w:val="20"/>
          <w:szCs w:val="20"/>
          <w:lang w:val="en-US"/>
        </w:rPr>
        <w:t>The Committee wanted to know the SAMRC</w:t>
      </w:r>
      <w:r w:rsidR="00DA1CF8" w:rsidRPr="005A505B">
        <w:rPr>
          <w:rFonts w:cs="Arial"/>
          <w:color w:val="auto"/>
          <w:sz w:val="20"/>
          <w:szCs w:val="20"/>
          <w:lang w:val="en-US"/>
        </w:rPr>
        <w:t>’s plans</w:t>
      </w:r>
      <w:r w:rsidRPr="005A505B">
        <w:rPr>
          <w:rFonts w:cs="Arial"/>
          <w:color w:val="auto"/>
          <w:sz w:val="20"/>
          <w:szCs w:val="20"/>
          <w:lang w:val="en-US"/>
        </w:rPr>
        <w:t xml:space="preserve"> to support the Department </w:t>
      </w:r>
      <w:r w:rsidR="00DA1CF8" w:rsidRPr="005A505B">
        <w:rPr>
          <w:rFonts w:cs="Arial"/>
          <w:color w:val="auto"/>
          <w:sz w:val="20"/>
          <w:szCs w:val="20"/>
          <w:lang w:val="en-US"/>
        </w:rPr>
        <w:t>i</w:t>
      </w:r>
      <w:r w:rsidRPr="005A505B">
        <w:rPr>
          <w:rFonts w:cs="Arial"/>
          <w:color w:val="auto"/>
          <w:sz w:val="20"/>
          <w:szCs w:val="20"/>
          <w:lang w:val="en-US"/>
        </w:rPr>
        <w:t xml:space="preserve">n the development of a functional and effective state pharmaceutical company, </w:t>
      </w:r>
      <w:r w:rsidR="00990B55" w:rsidRPr="005A505B">
        <w:rPr>
          <w:rFonts w:cs="Arial"/>
          <w:color w:val="auto"/>
          <w:sz w:val="20"/>
          <w:szCs w:val="20"/>
          <w:lang w:val="en-US"/>
        </w:rPr>
        <w:t>Ketlaphela</w:t>
      </w:r>
      <w:r w:rsidRPr="005A505B">
        <w:rPr>
          <w:rFonts w:cs="Arial"/>
          <w:color w:val="auto"/>
          <w:sz w:val="20"/>
          <w:szCs w:val="20"/>
          <w:lang w:val="en-US"/>
        </w:rPr>
        <w:t xml:space="preserve">, and what partnerships can be developed with </w:t>
      </w:r>
      <w:r w:rsidR="00990B55" w:rsidRPr="005A505B">
        <w:rPr>
          <w:rFonts w:cs="Arial"/>
          <w:color w:val="auto"/>
          <w:sz w:val="20"/>
          <w:szCs w:val="20"/>
          <w:lang w:val="en-US"/>
        </w:rPr>
        <w:t>Ketlaphela</w:t>
      </w:r>
      <w:r w:rsidRPr="005A505B">
        <w:rPr>
          <w:rFonts w:cs="Arial"/>
          <w:color w:val="auto"/>
          <w:sz w:val="20"/>
          <w:szCs w:val="20"/>
          <w:lang w:val="en-US"/>
        </w:rPr>
        <w:t xml:space="preserve">, if </w:t>
      </w:r>
      <w:r w:rsidR="00E40AD0" w:rsidRPr="005A505B">
        <w:rPr>
          <w:rFonts w:cs="Arial"/>
          <w:color w:val="auto"/>
          <w:sz w:val="20"/>
          <w:szCs w:val="20"/>
          <w:lang w:val="en-US"/>
        </w:rPr>
        <w:t>none currently</w:t>
      </w:r>
      <w:r w:rsidRPr="005A505B">
        <w:rPr>
          <w:rFonts w:cs="Arial"/>
          <w:color w:val="auto"/>
          <w:sz w:val="20"/>
          <w:szCs w:val="20"/>
          <w:lang w:val="en-US"/>
        </w:rPr>
        <w:t xml:space="preserve"> exist</w:t>
      </w:r>
      <w:r w:rsidR="008A29DE" w:rsidRPr="005A505B">
        <w:rPr>
          <w:rFonts w:cs="Arial"/>
          <w:color w:val="auto"/>
          <w:sz w:val="20"/>
          <w:szCs w:val="20"/>
          <w:lang w:val="en-US"/>
        </w:rPr>
        <w:t>s</w:t>
      </w:r>
      <w:r w:rsidRPr="005A505B">
        <w:rPr>
          <w:rFonts w:cs="Arial"/>
          <w:color w:val="auto"/>
          <w:sz w:val="20"/>
          <w:szCs w:val="20"/>
          <w:lang w:val="en-US"/>
        </w:rPr>
        <w:t>.</w:t>
      </w:r>
    </w:p>
    <w:p w:rsidR="00BB0AE3" w:rsidRPr="005A505B" w:rsidRDefault="00BB0AE3" w:rsidP="005A505B">
      <w:pPr>
        <w:rPr>
          <w:rFonts w:cs="Arial"/>
          <w:color w:val="auto"/>
          <w:sz w:val="20"/>
          <w:szCs w:val="20"/>
          <w:lang w:val="en-US"/>
        </w:rPr>
      </w:pPr>
    </w:p>
    <w:p w:rsidR="00E40AD0" w:rsidRPr="005A505B" w:rsidRDefault="00E40AD0" w:rsidP="005A505B">
      <w:pPr>
        <w:rPr>
          <w:rFonts w:cs="Arial"/>
          <w:color w:val="auto"/>
          <w:sz w:val="20"/>
          <w:szCs w:val="20"/>
          <w:lang w:val="en-US"/>
        </w:rPr>
      </w:pPr>
    </w:p>
    <w:p w:rsidR="00081F1D" w:rsidRPr="005A505B" w:rsidRDefault="00620B86" w:rsidP="005A505B">
      <w:pPr>
        <w:pStyle w:val="Heading1"/>
        <w:numPr>
          <w:ilvl w:val="0"/>
          <w:numId w:val="53"/>
        </w:numPr>
        <w:rPr>
          <w:color w:val="auto"/>
        </w:rPr>
      </w:pPr>
      <w:bookmarkStart w:id="500" w:name="_Toc101953881"/>
      <w:bookmarkStart w:id="501" w:name="_Toc101969236"/>
      <w:bookmarkStart w:id="502" w:name="_Toc102064558"/>
      <w:bookmarkStart w:id="503" w:name="_Toc102119825"/>
      <w:bookmarkStart w:id="504" w:name="_Toc102119929"/>
      <w:bookmarkStart w:id="505" w:name="_Toc102119930"/>
      <w:bookmarkEnd w:id="500"/>
      <w:bookmarkEnd w:id="501"/>
      <w:bookmarkEnd w:id="502"/>
      <w:bookmarkEnd w:id="503"/>
      <w:bookmarkEnd w:id="504"/>
      <w:r w:rsidRPr="005A505B">
        <w:rPr>
          <w:color w:val="auto"/>
        </w:rPr>
        <w:t>COMMITTEE RECOMMENDATIONS</w:t>
      </w:r>
      <w:bookmarkEnd w:id="505"/>
      <w:r w:rsidRPr="005A505B">
        <w:rPr>
          <w:color w:val="auto"/>
        </w:rPr>
        <w:t xml:space="preserve"> </w:t>
      </w:r>
    </w:p>
    <w:p w:rsidR="001A549C" w:rsidRPr="005A505B" w:rsidRDefault="001A549C" w:rsidP="005A505B">
      <w:pPr>
        <w:contextualSpacing/>
        <w:jc w:val="both"/>
        <w:rPr>
          <w:rFonts w:cs="Arial"/>
          <w:color w:val="auto"/>
          <w:sz w:val="20"/>
          <w:szCs w:val="20"/>
          <w:lang w:val="en-US"/>
        </w:rPr>
      </w:pPr>
    </w:p>
    <w:p w:rsidR="001A549C" w:rsidRPr="005A505B" w:rsidRDefault="001A549C" w:rsidP="005A505B">
      <w:pPr>
        <w:jc w:val="both"/>
        <w:rPr>
          <w:rFonts w:cs="Arial"/>
          <w:color w:val="auto"/>
          <w:sz w:val="20"/>
          <w:szCs w:val="20"/>
        </w:rPr>
      </w:pPr>
      <w:r w:rsidRPr="005A505B">
        <w:rPr>
          <w:rFonts w:cs="Arial"/>
          <w:color w:val="auto"/>
          <w:sz w:val="20"/>
          <w:szCs w:val="20"/>
        </w:rPr>
        <w:t xml:space="preserve">The Portfolio Committee recommends that the Minister of Health should consider the following: </w:t>
      </w:r>
    </w:p>
    <w:p w:rsidR="008161FC" w:rsidRPr="005A505B" w:rsidRDefault="008161FC" w:rsidP="005A505B">
      <w:pPr>
        <w:jc w:val="both"/>
        <w:rPr>
          <w:rFonts w:cs="Arial"/>
          <w:color w:val="auto"/>
          <w:sz w:val="20"/>
          <w:szCs w:val="20"/>
        </w:rPr>
      </w:pPr>
    </w:p>
    <w:p w:rsidR="008161FC" w:rsidRPr="005A505B" w:rsidRDefault="008161FC" w:rsidP="005A505B">
      <w:pPr>
        <w:pStyle w:val="Heading2"/>
        <w:numPr>
          <w:ilvl w:val="1"/>
          <w:numId w:val="53"/>
        </w:numPr>
        <w:rPr>
          <w:color w:val="auto"/>
          <w:sz w:val="20"/>
          <w:szCs w:val="20"/>
        </w:rPr>
      </w:pPr>
      <w:bookmarkStart w:id="506" w:name="_Toc102119931"/>
      <w:r w:rsidRPr="005A505B">
        <w:rPr>
          <w:color w:val="auto"/>
          <w:sz w:val="20"/>
          <w:szCs w:val="20"/>
        </w:rPr>
        <w:t>Department of Health</w:t>
      </w:r>
      <w:bookmarkEnd w:id="506"/>
      <w:r w:rsidRPr="005A505B">
        <w:rPr>
          <w:color w:val="auto"/>
          <w:sz w:val="20"/>
          <w:szCs w:val="20"/>
        </w:rPr>
        <w:t xml:space="preserve"> </w:t>
      </w:r>
    </w:p>
    <w:p w:rsidR="008161FC" w:rsidRPr="005A505B" w:rsidRDefault="008161FC" w:rsidP="005A505B">
      <w:pPr>
        <w:pStyle w:val="ListParagraph"/>
        <w:ind w:left="360"/>
        <w:jc w:val="both"/>
        <w:rPr>
          <w:rFonts w:cs="Arial"/>
          <w:b/>
          <w:color w:val="auto"/>
          <w:sz w:val="20"/>
          <w:szCs w:val="20"/>
        </w:rPr>
      </w:pPr>
    </w:p>
    <w:p w:rsidR="006A253F" w:rsidRPr="005A505B" w:rsidRDefault="006A253F" w:rsidP="005A505B">
      <w:pPr>
        <w:pStyle w:val="ListParagraph"/>
        <w:numPr>
          <w:ilvl w:val="0"/>
          <w:numId w:val="50"/>
        </w:numPr>
        <w:jc w:val="both"/>
        <w:rPr>
          <w:rFonts w:cs="Arial"/>
          <w:color w:val="auto"/>
          <w:sz w:val="20"/>
          <w:szCs w:val="20"/>
        </w:rPr>
      </w:pPr>
      <w:r w:rsidRPr="005A505B">
        <w:rPr>
          <w:rFonts w:cs="Arial"/>
          <w:i/>
          <w:color w:val="auto"/>
          <w:sz w:val="20"/>
          <w:szCs w:val="20"/>
        </w:rPr>
        <w:t>Mental health services:</w:t>
      </w:r>
      <w:r w:rsidRPr="005A505B">
        <w:rPr>
          <w:rFonts w:cs="Arial"/>
          <w:color w:val="auto"/>
          <w:sz w:val="20"/>
          <w:szCs w:val="20"/>
        </w:rPr>
        <w:t xml:space="preserve"> The Department should prioritise the construction of new mental health facilities</w:t>
      </w:r>
      <w:r w:rsidR="009B5688" w:rsidRPr="005A505B">
        <w:rPr>
          <w:rFonts w:cs="Arial"/>
          <w:color w:val="auto"/>
          <w:sz w:val="20"/>
          <w:szCs w:val="20"/>
        </w:rPr>
        <w:t>,</w:t>
      </w:r>
      <w:r w:rsidR="00D4452D" w:rsidRPr="005A505B">
        <w:rPr>
          <w:rFonts w:cs="Arial"/>
          <w:color w:val="auto"/>
          <w:sz w:val="20"/>
          <w:szCs w:val="20"/>
        </w:rPr>
        <w:t xml:space="preserve"> and</w:t>
      </w:r>
      <w:r w:rsidRPr="005A505B">
        <w:rPr>
          <w:rFonts w:cs="Arial"/>
          <w:color w:val="auto"/>
          <w:sz w:val="20"/>
          <w:szCs w:val="20"/>
        </w:rPr>
        <w:t xml:space="preserve"> refurbishment and maintenance of existing facilities. Additionally, the Department should </w:t>
      </w:r>
      <w:r w:rsidR="004B2F2D" w:rsidRPr="005A505B">
        <w:rPr>
          <w:rFonts w:cs="Arial"/>
          <w:color w:val="auto"/>
          <w:sz w:val="20"/>
          <w:szCs w:val="20"/>
        </w:rPr>
        <w:t xml:space="preserve">provide the Committee with an update on </w:t>
      </w:r>
      <w:r w:rsidRPr="005A505B">
        <w:rPr>
          <w:rFonts w:cs="Arial"/>
          <w:color w:val="auto"/>
          <w:sz w:val="20"/>
          <w:szCs w:val="20"/>
        </w:rPr>
        <w:t>the review of the Mental Health Policy Framework (2013-2020)</w:t>
      </w:r>
      <w:r w:rsidR="00D4452D" w:rsidRPr="005A505B">
        <w:rPr>
          <w:rFonts w:cs="Arial"/>
          <w:color w:val="auto"/>
          <w:sz w:val="20"/>
          <w:szCs w:val="20"/>
        </w:rPr>
        <w:t>,</w:t>
      </w:r>
      <w:r w:rsidRPr="005A505B">
        <w:rPr>
          <w:rFonts w:cs="Arial"/>
          <w:color w:val="auto"/>
          <w:sz w:val="20"/>
          <w:szCs w:val="20"/>
        </w:rPr>
        <w:t xml:space="preserve"> </w:t>
      </w:r>
      <w:r w:rsidR="00033FD6" w:rsidRPr="005A505B">
        <w:rPr>
          <w:rFonts w:cs="Arial"/>
          <w:color w:val="auto"/>
          <w:sz w:val="20"/>
          <w:szCs w:val="20"/>
        </w:rPr>
        <w:t>to</w:t>
      </w:r>
      <w:r w:rsidRPr="005A505B">
        <w:rPr>
          <w:rFonts w:cs="Arial"/>
          <w:color w:val="auto"/>
          <w:sz w:val="20"/>
          <w:szCs w:val="20"/>
        </w:rPr>
        <w:t xml:space="preserve"> ensure that mental health care services a</w:t>
      </w:r>
      <w:r w:rsidR="004B2F2D" w:rsidRPr="005A505B">
        <w:rPr>
          <w:rFonts w:cs="Arial"/>
          <w:color w:val="auto"/>
          <w:sz w:val="20"/>
          <w:szCs w:val="20"/>
        </w:rPr>
        <w:t>re</w:t>
      </w:r>
      <w:r w:rsidRPr="005A505B">
        <w:rPr>
          <w:rFonts w:cs="Arial"/>
          <w:color w:val="auto"/>
          <w:sz w:val="20"/>
          <w:szCs w:val="20"/>
        </w:rPr>
        <w:t xml:space="preserve"> </w:t>
      </w:r>
      <w:r w:rsidR="009B5688" w:rsidRPr="005A505B">
        <w:rPr>
          <w:rFonts w:cs="Arial"/>
          <w:color w:val="auto"/>
          <w:sz w:val="20"/>
          <w:szCs w:val="20"/>
        </w:rPr>
        <w:t>optimally</w:t>
      </w:r>
      <w:r w:rsidRPr="005A505B">
        <w:rPr>
          <w:rFonts w:cs="Arial"/>
          <w:color w:val="auto"/>
          <w:sz w:val="20"/>
          <w:szCs w:val="20"/>
        </w:rPr>
        <w:t xml:space="preserve"> rendered and monitored.</w:t>
      </w:r>
    </w:p>
    <w:p w:rsidR="006A253F" w:rsidRPr="005A505B" w:rsidRDefault="006A253F" w:rsidP="005A505B">
      <w:pPr>
        <w:pStyle w:val="ListParagraph"/>
        <w:jc w:val="both"/>
        <w:rPr>
          <w:rFonts w:cs="Arial"/>
          <w:color w:val="auto"/>
          <w:sz w:val="20"/>
          <w:szCs w:val="20"/>
        </w:rPr>
      </w:pPr>
    </w:p>
    <w:p w:rsidR="006A253F" w:rsidRPr="005A505B" w:rsidRDefault="006A253F" w:rsidP="005A505B">
      <w:pPr>
        <w:pStyle w:val="ListParagraph"/>
        <w:numPr>
          <w:ilvl w:val="0"/>
          <w:numId w:val="106"/>
        </w:numPr>
        <w:jc w:val="both"/>
        <w:rPr>
          <w:rFonts w:cs="Arial"/>
          <w:color w:val="auto"/>
          <w:sz w:val="20"/>
          <w:szCs w:val="20"/>
        </w:rPr>
      </w:pPr>
      <w:r w:rsidRPr="005A505B">
        <w:rPr>
          <w:rFonts w:cs="Arial"/>
          <w:i/>
          <w:color w:val="auto"/>
          <w:sz w:val="20"/>
          <w:szCs w:val="20"/>
        </w:rPr>
        <w:lastRenderedPageBreak/>
        <w:t>Inter-sectoral interventions on TB:</w:t>
      </w:r>
      <w:r w:rsidRPr="005A505B">
        <w:rPr>
          <w:rFonts w:cs="Arial"/>
          <w:color w:val="auto"/>
          <w:sz w:val="20"/>
          <w:szCs w:val="20"/>
        </w:rPr>
        <w:t xml:space="preserve"> The Department should strengthen inter-sectoral collaboration</w:t>
      </w:r>
      <w:r w:rsidR="009A60EC" w:rsidRPr="005A505B">
        <w:rPr>
          <w:rFonts w:cs="Arial"/>
          <w:color w:val="auto"/>
          <w:sz w:val="20"/>
          <w:szCs w:val="20"/>
        </w:rPr>
        <w:t>s</w:t>
      </w:r>
      <w:r w:rsidRPr="005A505B">
        <w:rPr>
          <w:rFonts w:cs="Arial"/>
          <w:color w:val="auto"/>
          <w:sz w:val="20"/>
          <w:szCs w:val="20"/>
        </w:rPr>
        <w:t xml:space="preserve"> with the Department of Mineral Resources and the Department of Correctional Services to combat the scourge of TB. </w:t>
      </w:r>
    </w:p>
    <w:p w:rsidR="006A253F" w:rsidRPr="005A505B" w:rsidRDefault="006A253F" w:rsidP="005A505B">
      <w:pPr>
        <w:pStyle w:val="ListParagraph"/>
        <w:jc w:val="both"/>
        <w:rPr>
          <w:rFonts w:cs="Arial"/>
          <w:color w:val="auto"/>
          <w:sz w:val="20"/>
          <w:szCs w:val="20"/>
        </w:rPr>
      </w:pPr>
    </w:p>
    <w:p w:rsidR="006A253F" w:rsidRPr="005A505B" w:rsidRDefault="006A253F" w:rsidP="005A505B">
      <w:pPr>
        <w:pStyle w:val="ListParagraph"/>
        <w:numPr>
          <w:ilvl w:val="0"/>
          <w:numId w:val="106"/>
        </w:numPr>
        <w:jc w:val="both"/>
        <w:rPr>
          <w:rFonts w:cs="Arial"/>
          <w:color w:val="auto"/>
          <w:sz w:val="20"/>
          <w:szCs w:val="20"/>
        </w:rPr>
      </w:pPr>
      <w:r w:rsidRPr="005A505B">
        <w:rPr>
          <w:rFonts w:cs="Arial"/>
          <w:i/>
          <w:color w:val="auto"/>
          <w:sz w:val="20"/>
          <w:szCs w:val="20"/>
        </w:rPr>
        <w:t>Severe malnutrition</w:t>
      </w:r>
      <w:r w:rsidRPr="005A505B">
        <w:rPr>
          <w:rFonts w:cs="Arial"/>
          <w:color w:val="auto"/>
          <w:sz w:val="20"/>
          <w:szCs w:val="20"/>
        </w:rPr>
        <w:t>: The Department should consider a collaborative approach</w:t>
      </w:r>
      <w:r w:rsidR="00703A0E" w:rsidRPr="005A505B">
        <w:rPr>
          <w:rFonts w:cs="Arial"/>
          <w:color w:val="auto"/>
          <w:sz w:val="20"/>
          <w:szCs w:val="20"/>
        </w:rPr>
        <w:t xml:space="preserve"> (working with DSD and DBE)</w:t>
      </w:r>
      <w:r w:rsidRPr="005A505B">
        <w:rPr>
          <w:rFonts w:cs="Arial"/>
          <w:color w:val="auto"/>
          <w:sz w:val="20"/>
          <w:szCs w:val="20"/>
        </w:rPr>
        <w:t xml:space="preserve"> to address </w:t>
      </w:r>
      <w:r w:rsidR="005B1768" w:rsidRPr="005A505B">
        <w:rPr>
          <w:rFonts w:cs="Arial"/>
          <w:color w:val="auto"/>
          <w:sz w:val="20"/>
          <w:szCs w:val="20"/>
        </w:rPr>
        <w:t xml:space="preserve">severe </w:t>
      </w:r>
      <w:r w:rsidRPr="005A505B">
        <w:rPr>
          <w:rFonts w:cs="Arial"/>
          <w:color w:val="auto"/>
          <w:sz w:val="20"/>
          <w:szCs w:val="20"/>
        </w:rPr>
        <w:t>malnutrition.</w:t>
      </w:r>
    </w:p>
    <w:p w:rsidR="006A253F" w:rsidRPr="005A505B" w:rsidRDefault="006A253F" w:rsidP="005A505B">
      <w:pPr>
        <w:pStyle w:val="ListParagraph"/>
        <w:jc w:val="both"/>
        <w:rPr>
          <w:rFonts w:cs="Arial"/>
          <w:color w:val="auto"/>
          <w:sz w:val="20"/>
          <w:szCs w:val="20"/>
        </w:rPr>
      </w:pPr>
    </w:p>
    <w:p w:rsidR="006A253F" w:rsidRPr="005A505B" w:rsidRDefault="006A253F" w:rsidP="005A505B">
      <w:pPr>
        <w:pStyle w:val="ListParagraph"/>
        <w:numPr>
          <w:ilvl w:val="0"/>
          <w:numId w:val="106"/>
        </w:numPr>
        <w:jc w:val="both"/>
        <w:rPr>
          <w:rFonts w:cs="Arial"/>
          <w:color w:val="auto"/>
          <w:sz w:val="20"/>
          <w:szCs w:val="20"/>
        </w:rPr>
      </w:pPr>
      <w:r w:rsidRPr="005A505B">
        <w:rPr>
          <w:rFonts w:cs="Arial"/>
          <w:i/>
          <w:color w:val="auto"/>
          <w:sz w:val="20"/>
          <w:szCs w:val="20"/>
        </w:rPr>
        <w:t>Response to COVID-19</w:t>
      </w:r>
      <w:r w:rsidRPr="005A505B">
        <w:rPr>
          <w:rFonts w:cs="Arial"/>
          <w:color w:val="auto"/>
          <w:sz w:val="20"/>
          <w:szCs w:val="20"/>
        </w:rPr>
        <w:t xml:space="preserve">: The Department should furnish the Committee with its plan to realise the 60% target for COVID-19 vaccination of </w:t>
      </w:r>
      <w:r w:rsidR="00BA052E" w:rsidRPr="005A505B">
        <w:rPr>
          <w:rFonts w:cs="Arial"/>
          <w:color w:val="auto"/>
          <w:sz w:val="20"/>
          <w:szCs w:val="20"/>
        </w:rPr>
        <w:t xml:space="preserve">young </w:t>
      </w:r>
      <w:r w:rsidRPr="005A505B">
        <w:rPr>
          <w:rFonts w:cs="Arial"/>
          <w:color w:val="auto"/>
          <w:sz w:val="20"/>
          <w:szCs w:val="20"/>
        </w:rPr>
        <w:t xml:space="preserve">people in the </w:t>
      </w:r>
      <w:r w:rsidR="004252F9" w:rsidRPr="005A505B">
        <w:rPr>
          <w:rFonts w:cs="Arial"/>
          <w:color w:val="auto"/>
          <w:sz w:val="20"/>
          <w:szCs w:val="20"/>
        </w:rPr>
        <w:t xml:space="preserve">age group 12 to 34 </w:t>
      </w:r>
      <w:r w:rsidRPr="005A505B">
        <w:rPr>
          <w:rFonts w:cs="Arial"/>
          <w:color w:val="auto"/>
          <w:sz w:val="20"/>
          <w:szCs w:val="20"/>
        </w:rPr>
        <w:t>year</w:t>
      </w:r>
      <w:r w:rsidR="004252F9" w:rsidRPr="005A505B">
        <w:rPr>
          <w:rFonts w:cs="Arial"/>
          <w:color w:val="auto"/>
          <w:sz w:val="20"/>
          <w:szCs w:val="20"/>
        </w:rPr>
        <w:t>s</w:t>
      </w:r>
      <w:r w:rsidRPr="005A505B">
        <w:rPr>
          <w:rFonts w:cs="Arial"/>
          <w:color w:val="auto"/>
          <w:sz w:val="20"/>
          <w:szCs w:val="20"/>
        </w:rPr>
        <w:t xml:space="preserve">. </w:t>
      </w:r>
    </w:p>
    <w:p w:rsidR="006A253F" w:rsidRPr="005A505B" w:rsidRDefault="006A253F" w:rsidP="005A505B">
      <w:pPr>
        <w:pStyle w:val="ListParagraph"/>
        <w:jc w:val="both"/>
        <w:rPr>
          <w:rFonts w:cs="Arial"/>
          <w:i/>
          <w:color w:val="auto"/>
          <w:sz w:val="20"/>
          <w:szCs w:val="20"/>
        </w:rPr>
      </w:pPr>
    </w:p>
    <w:p w:rsidR="006A253F" w:rsidRPr="005A505B" w:rsidRDefault="006A253F" w:rsidP="005A505B">
      <w:pPr>
        <w:pStyle w:val="ListParagraph"/>
        <w:numPr>
          <w:ilvl w:val="0"/>
          <w:numId w:val="106"/>
        </w:numPr>
        <w:jc w:val="both"/>
        <w:rPr>
          <w:rFonts w:cs="Arial"/>
          <w:color w:val="auto"/>
          <w:sz w:val="20"/>
          <w:szCs w:val="20"/>
        </w:rPr>
      </w:pPr>
      <w:r w:rsidRPr="005A505B">
        <w:rPr>
          <w:rFonts w:cs="Arial"/>
          <w:i/>
          <w:color w:val="auto"/>
          <w:sz w:val="20"/>
          <w:szCs w:val="20"/>
        </w:rPr>
        <w:t>Community health workers:</w:t>
      </w:r>
      <w:r w:rsidRPr="005A505B">
        <w:rPr>
          <w:rFonts w:cs="Arial"/>
          <w:color w:val="auto"/>
          <w:sz w:val="20"/>
          <w:szCs w:val="20"/>
        </w:rPr>
        <w:t xml:space="preserve"> The Department shoul</w:t>
      </w:r>
      <w:r w:rsidR="00445C37" w:rsidRPr="005A505B">
        <w:rPr>
          <w:rFonts w:cs="Arial"/>
          <w:color w:val="auto"/>
          <w:sz w:val="20"/>
          <w:szCs w:val="20"/>
        </w:rPr>
        <w:t xml:space="preserve">d provide the Committee with a progress report </w:t>
      </w:r>
      <w:r w:rsidRPr="005A505B">
        <w:rPr>
          <w:rFonts w:cs="Arial"/>
          <w:color w:val="auto"/>
          <w:sz w:val="20"/>
          <w:szCs w:val="20"/>
        </w:rPr>
        <w:t xml:space="preserve">on the implementation of the </w:t>
      </w:r>
      <w:r w:rsidRPr="005A505B">
        <w:rPr>
          <w:rFonts w:cs="Arial"/>
          <w:color w:val="auto"/>
          <w:sz w:val="20"/>
          <w:szCs w:val="20"/>
          <w:lang w:eastAsia="en-ZA"/>
        </w:rPr>
        <w:t xml:space="preserve">National Community Health Care Worker Policy in ensuring the integration of </w:t>
      </w:r>
      <w:r w:rsidR="00445C37" w:rsidRPr="005A505B">
        <w:rPr>
          <w:rFonts w:cs="Arial"/>
          <w:color w:val="auto"/>
          <w:sz w:val="20"/>
          <w:szCs w:val="20"/>
          <w:lang w:eastAsia="en-ZA"/>
        </w:rPr>
        <w:t>community health workers</w:t>
      </w:r>
      <w:r w:rsidRPr="005A505B">
        <w:rPr>
          <w:rFonts w:cs="Arial"/>
          <w:color w:val="auto"/>
          <w:sz w:val="20"/>
          <w:szCs w:val="20"/>
          <w:lang w:eastAsia="en-ZA"/>
        </w:rPr>
        <w:t>.</w:t>
      </w:r>
    </w:p>
    <w:p w:rsidR="006A253F" w:rsidRPr="005A505B" w:rsidRDefault="006A253F" w:rsidP="005A505B">
      <w:pPr>
        <w:pStyle w:val="ListParagraph"/>
        <w:jc w:val="both"/>
        <w:rPr>
          <w:rFonts w:cs="Arial"/>
          <w:color w:val="auto"/>
          <w:sz w:val="20"/>
          <w:szCs w:val="20"/>
        </w:rPr>
      </w:pPr>
    </w:p>
    <w:p w:rsidR="006A253F" w:rsidRPr="005A505B" w:rsidRDefault="006A253F" w:rsidP="005A505B">
      <w:pPr>
        <w:pStyle w:val="ListParagraph"/>
        <w:numPr>
          <w:ilvl w:val="0"/>
          <w:numId w:val="106"/>
        </w:numPr>
        <w:jc w:val="both"/>
        <w:rPr>
          <w:rFonts w:cs="Arial"/>
          <w:color w:val="auto"/>
          <w:sz w:val="20"/>
          <w:szCs w:val="20"/>
        </w:rPr>
      </w:pPr>
      <w:r w:rsidRPr="005A505B">
        <w:rPr>
          <w:rFonts w:cs="Arial"/>
          <w:i/>
          <w:color w:val="auto"/>
          <w:sz w:val="20"/>
          <w:szCs w:val="20"/>
        </w:rPr>
        <w:t>Improving the quality of health care</w:t>
      </w:r>
      <w:r w:rsidRPr="005A505B">
        <w:rPr>
          <w:rFonts w:cs="Arial"/>
          <w:color w:val="auto"/>
          <w:sz w:val="20"/>
          <w:szCs w:val="20"/>
        </w:rPr>
        <w:t xml:space="preserve">: The Department should </w:t>
      </w:r>
      <w:r w:rsidR="005F5DC9" w:rsidRPr="005A505B">
        <w:rPr>
          <w:rFonts w:cs="Arial"/>
          <w:color w:val="auto"/>
          <w:sz w:val="20"/>
          <w:szCs w:val="20"/>
        </w:rPr>
        <w:t>increase emphasis on other</w:t>
      </w:r>
      <w:r w:rsidRPr="005A505B">
        <w:rPr>
          <w:rFonts w:cs="Arial"/>
          <w:color w:val="auto"/>
          <w:sz w:val="20"/>
          <w:szCs w:val="20"/>
        </w:rPr>
        <w:t xml:space="preserve"> vital programmes such as H</w:t>
      </w:r>
      <w:r w:rsidR="005F5DC9" w:rsidRPr="005A505B">
        <w:rPr>
          <w:rFonts w:cs="Arial"/>
          <w:color w:val="auto"/>
          <w:sz w:val="20"/>
          <w:szCs w:val="20"/>
        </w:rPr>
        <w:t>IV, TB and cancer,</w:t>
      </w:r>
      <w:r w:rsidRPr="005A505B">
        <w:rPr>
          <w:rFonts w:cs="Arial"/>
          <w:color w:val="auto"/>
          <w:sz w:val="20"/>
          <w:szCs w:val="20"/>
        </w:rPr>
        <w:t xml:space="preserve"> to prevent a regression in their control and prevention</w:t>
      </w:r>
      <w:r w:rsidR="00332038" w:rsidRPr="005A505B">
        <w:rPr>
          <w:rFonts w:cs="Arial"/>
          <w:color w:val="auto"/>
          <w:sz w:val="20"/>
          <w:szCs w:val="20"/>
        </w:rPr>
        <w:t>, and present</w:t>
      </w:r>
      <w:r w:rsidR="009E05CA" w:rsidRPr="005A505B">
        <w:rPr>
          <w:rFonts w:cs="Arial"/>
          <w:color w:val="auto"/>
          <w:sz w:val="20"/>
          <w:szCs w:val="20"/>
        </w:rPr>
        <w:t xml:space="preserve"> the</w:t>
      </w:r>
      <w:r w:rsidR="00332038" w:rsidRPr="005A505B">
        <w:rPr>
          <w:rFonts w:cs="Arial"/>
          <w:color w:val="auto"/>
          <w:sz w:val="20"/>
          <w:szCs w:val="20"/>
        </w:rPr>
        <w:t xml:space="preserve"> </w:t>
      </w:r>
      <w:r w:rsidR="00D409ED" w:rsidRPr="005A505B">
        <w:rPr>
          <w:rFonts w:cs="Arial"/>
          <w:color w:val="auto"/>
          <w:sz w:val="20"/>
          <w:szCs w:val="20"/>
        </w:rPr>
        <w:t>catch-up</w:t>
      </w:r>
      <w:r w:rsidR="00332038" w:rsidRPr="005A505B">
        <w:rPr>
          <w:rFonts w:cs="Arial"/>
          <w:color w:val="auto"/>
          <w:sz w:val="20"/>
          <w:szCs w:val="20"/>
        </w:rPr>
        <w:t xml:space="preserve"> plan to the Committee</w:t>
      </w:r>
      <w:r w:rsidRPr="005A505B">
        <w:rPr>
          <w:rFonts w:cs="Arial"/>
          <w:color w:val="auto"/>
          <w:sz w:val="20"/>
          <w:szCs w:val="20"/>
        </w:rPr>
        <w:t xml:space="preserve">. </w:t>
      </w:r>
    </w:p>
    <w:p w:rsidR="00BA48CA" w:rsidRPr="005A505B" w:rsidRDefault="00BA48CA" w:rsidP="005A505B">
      <w:pPr>
        <w:pStyle w:val="ListParagraph"/>
        <w:rPr>
          <w:rFonts w:cs="Arial"/>
          <w:color w:val="auto"/>
          <w:sz w:val="20"/>
          <w:szCs w:val="20"/>
        </w:rPr>
      </w:pPr>
    </w:p>
    <w:p w:rsidR="006A253F" w:rsidRPr="005A505B" w:rsidRDefault="006A253F" w:rsidP="005A505B">
      <w:pPr>
        <w:pStyle w:val="ListParagraph"/>
        <w:numPr>
          <w:ilvl w:val="0"/>
          <w:numId w:val="52"/>
        </w:numPr>
        <w:jc w:val="both"/>
        <w:rPr>
          <w:rFonts w:cs="Arial"/>
          <w:b/>
          <w:color w:val="auto"/>
          <w:sz w:val="20"/>
          <w:szCs w:val="20"/>
        </w:rPr>
      </w:pPr>
      <w:r w:rsidRPr="005A505B">
        <w:rPr>
          <w:rFonts w:cs="Arial"/>
          <w:i/>
          <w:color w:val="auto"/>
          <w:sz w:val="20"/>
          <w:szCs w:val="20"/>
        </w:rPr>
        <w:t>Health infrastructure</w:t>
      </w:r>
      <w:r w:rsidRPr="005A505B">
        <w:rPr>
          <w:rFonts w:cs="Arial"/>
          <w:color w:val="auto"/>
          <w:sz w:val="20"/>
          <w:szCs w:val="20"/>
        </w:rPr>
        <w:t>: The Department should furnish the Committee with an action plan aimed at addressing infrastructure backlogs and existing gaps.</w:t>
      </w:r>
    </w:p>
    <w:p w:rsidR="006A253F" w:rsidRPr="005A505B" w:rsidRDefault="006A253F" w:rsidP="005A505B">
      <w:pPr>
        <w:jc w:val="both"/>
        <w:rPr>
          <w:rFonts w:cs="Arial"/>
          <w:b/>
          <w:color w:val="auto"/>
          <w:sz w:val="20"/>
          <w:szCs w:val="20"/>
        </w:rPr>
      </w:pPr>
    </w:p>
    <w:p w:rsidR="006A253F" w:rsidRPr="005A505B" w:rsidRDefault="006A253F" w:rsidP="005A505B">
      <w:pPr>
        <w:pStyle w:val="ListParagraph"/>
        <w:numPr>
          <w:ilvl w:val="0"/>
          <w:numId w:val="107"/>
        </w:numPr>
        <w:jc w:val="both"/>
        <w:rPr>
          <w:rFonts w:cs="Arial"/>
          <w:color w:val="auto"/>
          <w:sz w:val="20"/>
          <w:szCs w:val="20"/>
        </w:rPr>
      </w:pPr>
      <w:r w:rsidRPr="005A505B">
        <w:rPr>
          <w:rFonts w:cs="Arial"/>
          <w:i/>
          <w:color w:val="auto"/>
          <w:sz w:val="20"/>
          <w:szCs w:val="20"/>
        </w:rPr>
        <w:t>Medico-legal claims</w:t>
      </w:r>
      <w:r w:rsidRPr="005A505B">
        <w:rPr>
          <w:rFonts w:cs="Arial"/>
          <w:color w:val="auto"/>
          <w:sz w:val="20"/>
          <w:szCs w:val="20"/>
        </w:rPr>
        <w:t xml:space="preserve">: The Department should provide the Committee with a detailed report on </w:t>
      </w:r>
      <w:r w:rsidR="006C369B" w:rsidRPr="005A505B">
        <w:rPr>
          <w:rFonts w:cs="Arial"/>
          <w:color w:val="auto"/>
          <w:sz w:val="20"/>
          <w:szCs w:val="20"/>
        </w:rPr>
        <w:t xml:space="preserve">the management of </w:t>
      </w:r>
      <w:r w:rsidRPr="005A505B">
        <w:rPr>
          <w:rFonts w:cs="Arial"/>
          <w:color w:val="auto"/>
          <w:sz w:val="20"/>
          <w:szCs w:val="20"/>
        </w:rPr>
        <w:t xml:space="preserve">medico-legal claims and </w:t>
      </w:r>
      <w:r w:rsidR="006C369B" w:rsidRPr="005A505B">
        <w:rPr>
          <w:rFonts w:cs="Arial"/>
          <w:color w:val="auto"/>
          <w:sz w:val="20"/>
          <w:szCs w:val="20"/>
        </w:rPr>
        <w:t>how it is assisting provincial departments</w:t>
      </w:r>
      <w:r w:rsidR="00BE6661" w:rsidRPr="005A505B">
        <w:rPr>
          <w:rFonts w:cs="Arial"/>
          <w:color w:val="auto"/>
          <w:sz w:val="20"/>
          <w:szCs w:val="20"/>
        </w:rPr>
        <w:t xml:space="preserve"> in this regard</w:t>
      </w:r>
      <w:r w:rsidRPr="005A505B">
        <w:rPr>
          <w:rFonts w:cs="Arial"/>
          <w:color w:val="auto"/>
          <w:sz w:val="20"/>
          <w:szCs w:val="20"/>
        </w:rPr>
        <w:t>.</w:t>
      </w:r>
    </w:p>
    <w:p w:rsidR="006A253F" w:rsidRPr="005A505B" w:rsidRDefault="006A253F" w:rsidP="005A505B">
      <w:pPr>
        <w:pStyle w:val="ListParagraph"/>
        <w:jc w:val="both"/>
        <w:rPr>
          <w:rFonts w:cs="Arial"/>
          <w:color w:val="auto"/>
          <w:sz w:val="20"/>
          <w:szCs w:val="20"/>
        </w:rPr>
      </w:pPr>
    </w:p>
    <w:p w:rsidR="006A253F" w:rsidRPr="005A505B" w:rsidRDefault="006A253F" w:rsidP="005A505B">
      <w:pPr>
        <w:pStyle w:val="ListParagraph"/>
        <w:numPr>
          <w:ilvl w:val="0"/>
          <w:numId w:val="106"/>
        </w:numPr>
        <w:jc w:val="both"/>
        <w:rPr>
          <w:rFonts w:cs="Arial"/>
          <w:color w:val="auto"/>
          <w:sz w:val="20"/>
          <w:szCs w:val="20"/>
        </w:rPr>
      </w:pPr>
      <w:r w:rsidRPr="005A505B">
        <w:rPr>
          <w:rFonts w:cs="Arial"/>
          <w:i/>
          <w:color w:val="auto"/>
          <w:sz w:val="20"/>
          <w:szCs w:val="20"/>
        </w:rPr>
        <w:t>Primary health care</w:t>
      </w:r>
      <w:r w:rsidRPr="005A505B">
        <w:rPr>
          <w:rFonts w:cs="Arial"/>
          <w:color w:val="auto"/>
          <w:sz w:val="20"/>
          <w:szCs w:val="20"/>
        </w:rPr>
        <w:t xml:space="preserve">: In view of the increased budget for primary health care, the Department should ensure that the programme is fully capacitated to ensure improved delivery of </w:t>
      </w:r>
      <w:r w:rsidR="007E269F" w:rsidRPr="005A505B">
        <w:rPr>
          <w:rFonts w:cs="Arial"/>
          <w:color w:val="auto"/>
          <w:sz w:val="20"/>
          <w:szCs w:val="20"/>
        </w:rPr>
        <w:t xml:space="preserve">quality health care </w:t>
      </w:r>
      <w:r w:rsidRPr="005A505B">
        <w:rPr>
          <w:rFonts w:cs="Arial"/>
          <w:color w:val="auto"/>
          <w:sz w:val="20"/>
          <w:szCs w:val="20"/>
        </w:rPr>
        <w:t>services.</w:t>
      </w:r>
    </w:p>
    <w:p w:rsidR="006A253F" w:rsidRPr="005A505B" w:rsidRDefault="006A253F" w:rsidP="005A505B">
      <w:pPr>
        <w:pStyle w:val="ListParagraph"/>
        <w:jc w:val="both"/>
        <w:rPr>
          <w:rFonts w:cs="Arial"/>
          <w:color w:val="auto"/>
          <w:sz w:val="20"/>
          <w:szCs w:val="20"/>
        </w:rPr>
      </w:pPr>
    </w:p>
    <w:p w:rsidR="006A253F" w:rsidRPr="005A505B" w:rsidRDefault="00476BB5" w:rsidP="005A505B">
      <w:pPr>
        <w:pStyle w:val="ListParagraph"/>
        <w:numPr>
          <w:ilvl w:val="0"/>
          <w:numId w:val="106"/>
        </w:numPr>
        <w:jc w:val="both"/>
        <w:rPr>
          <w:rFonts w:cs="Arial"/>
          <w:color w:val="auto"/>
          <w:sz w:val="20"/>
          <w:szCs w:val="20"/>
        </w:rPr>
      </w:pPr>
      <w:r w:rsidRPr="005A505B">
        <w:rPr>
          <w:rFonts w:cs="Arial"/>
          <w:i/>
          <w:color w:val="auto"/>
          <w:sz w:val="20"/>
          <w:szCs w:val="20"/>
        </w:rPr>
        <w:t>Conditional grants</w:t>
      </w:r>
      <w:r w:rsidR="006A253F" w:rsidRPr="005A505B">
        <w:rPr>
          <w:rFonts w:cs="Arial"/>
          <w:color w:val="auto"/>
          <w:sz w:val="20"/>
          <w:szCs w:val="20"/>
        </w:rPr>
        <w:t>: The Department should share with the Committee the report on the spending of the NHI grant.</w:t>
      </w:r>
    </w:p>
    <w:p w:rsidR="006A253F" w:rsidRPr="005A505B" w:rsidRDefault="006A253F" w:rsidP="005A505B">
      <w:pPr>
        <w:pStyle w:val="ListParagraph"/>
        <w:jc w:val="both"/>
        <w:rPr>
          <w:rFonts w:cs="Arial"/>
          <w:color w:val="auto"/>
          <w:sz w:val="20"/>
          <w:szCs w:val="20"/>
        </w:rPr>
      </w:pPr>
    </w:p>
    <w:p w:rsidR="006A253F" w:rsidRPr="005A505B" w:rsidRDefault="006A253F" w:rsidP="005A505B">
      <w:pPr>
        <w:pStyle w:val="ListParagraph"/>
        <w:numPr>
          <w:ilvl w:val="0"/>
          <w:numId w:val="106"/>
        </w:numPr>
        <w:jc w:val="both"/>
        <w:rPr>
          <w:rFonts w:cs="Arial"/>
          <w:color w:val="auto"/>
          <w:sz w:val="20"/>
          <w:szCs w:val="20"/>
        </w:rPr>
      </w:pPr>
      <w:r w:rsidRPr="005A505B">
        <w:rPr>
          <w:rFonts w:cs="Arial"/>
          <w:i/>
          <w:color w:val="auto"/>
          <w:sz w:val="20"/>
          <w:szCs w:val="20"/>
        </w:rPr>
        <w:t>Human Resources for Health</w:t>
      </w:r>
      <w:r w:rsidRPr="005A505B">
        <w:rPr>
          <w:rFonts w:cs="Arial"/>
          <w:color w:val="auto"/>
          <w:sz w:val="20"/>
          <w:szCs w:val="20"/>
        </w:rPr>
        <w:t xml:space="preserve">: The Department should </w:t>
      </w:r>
      <w:r w:rsidRPr="005A505B">
        <w:rPr>
          <w:rFonts w:cs="Arial"/>
          <w:color w:val="auto"/>
          <w:sz w:val="20"/>
          <w:szCs w:val="20"/>
          <w:lang w:val="en-US"/>
        </w:rPr>
        <w:t>finali</w:t>
      </w:r>
      <w:r w:rsidR="00033FD6" w:rsidRPr="005A505B">
        <w:rPr>
          <w:rFonts w:cs="Arial"/>
          <w:color w:val="auto"/>
          <w:sz w:val="20"/>
          <w:szCs w:val="20"/>
          <w:lang w:val="en-US"/>
        </w:rPr>
        <w:t>s</w:t>
      </w:r>
      <w:r w:rsidRPr="005A505B">
        <w:rPr>
          <w:rFonts w:cs="Arial"/>
          <w:color w:val="auto"/>
          <w:sz w:val="20"/>
          <w:szCs w:val="20"/>
          <w:lang w:val="en-US"/>
        </w:rPr>
        <w:t>e and monitor the implementation of the Human Resources for Health Strategy and Plan 2019-2024, to ensure that vacancies are</w:t>
      </w:r>
      <w:r w:rsidRPr="005A505B">
        <w:rPr>
          <w:rFonts w:cs="Arial"/>
          <w:color w:val="auto"/>
          <w:sz w:val="20"/>
          <w:szCs w:val="20"/>
        </w:rPr>
        <w:t xml:space="preserve"> timeously filled, including all clinical, non-clinical and senior level positions.</w:t>
      </w:r>
    </w:p>
    <w:p w:rsidR="006A253F" w:rsidRPr="005A505B" w:rsidRDefault="006A253F" w:rsidP="005A505B">
      <w:pPr>
        <w:pStyle w:val="ListParagraph"/>
        <w:jc w:val="both"/>
        <w:rPr>
          <w:rFonts w:cs="Arial"/>
          <w:color w:val="auto"/>
          <w:sz w:val="20"/>
          <w:szCs w:val="20"/>
        </w:rPr>
      </w:pPr>
    </w:p>
    <w:p w:rsidR="006A253F" w:rsidRPr="005A505B" w:rsidRDefault="006A253F" w:rsidP="005A505B">
      <w:pPr>
        <w:pStyle w:val="ListParagraph"/>
        <w:numPr>
          <w:ilvl w:val="0"/>
          <w:numId w:val="52"/>
        </w:numPr>
        <w:jc w:val="both"/>
        <w:rPr>
          <w:rFonts w:cs="Arial"/>
          <w:color w:val="auto"/>
          <w:sz w:val="20"/>
          <w:szCs w:val="20"/>
        </w:rPr>
      </w:pPr>
      <w:r w:rsidRPr="005A505B">
        <w:rPr>
          <w:rFonts w:cs="Arial"/>
          <w:i/>
          <w:color w:val="auto"/>
          <w:sz w:val="20"/>
          <w:szCs w:val="20"/>
        </w:rPr>
        <w:t>Entities</w:t>
      </w:r>
      <w:r w:rsidRPr="005A505B">
        <w:rPr>
          <w:rFonts w:cs="Arial"/>
          <w:color w:val="auto"/>
          <w:sz w:val="20"/>
          <w:szCs w:val="20"/>
        </w:rPr>
        <w:t xml:space="preserve">: The Department should </w:t>
      </w:r>
      <w:r w:rsidR="00460E20" w:rsidRPr="005A505B">
        <w:rPr>
          <w:rFonts w:cs="Arial"/>
          <w:color w:val="auto"/>
          <w:sz w:val="20"/>
          <w:szCs w:val="20"/>
        </w:rPr>
        <w:t xml:space="preserve">engage the National Treasury in order to address the budget constraints within entities to ensure that </w:t>
      </w:r>
      <w:r w:rsidR="00FB61BF" w:rsidRPr="005A505B">
        <w:rPr>
          <w:rFonts w:cs="Arial"/>
          <w:color w:val="auto"/>
          <w:sz w:val="20"/>
          <w:szCs w:val="20"/>
        </w:rPr>
        <w:t>they</w:t>
      </w:r>
      <w:r w:rsidR="00460E20" w:rsidRPr="005A505B">
        <w:rPr>
          <w:rFonts w:cs="Arial"/>
          <w:color w:val="auto"/>
          <w:sz w:val="20"/>
          <w:szCs w:val="20"/>
        </w:rPr>
        <w:t xml:space="preserve"> are properly funded to deliver on their mandates.</w:t>
      </w:r>
    </w:p>
    <w:p w:rsidR="006A253F" w:rsidRPr="005A505B" w:rsidRDefault="006A253F" w:rsidP="005A505B">
      <w:pPr>
        <w:pStyle w:val="ListParagraph"/>
        <w:jc w:val="both"/>
        <w:rPr>
          <w:rFonts w:cs="Arial"/>
          <w:color w:val="auto"/>
          <w:sz w:val="20"/>
          <w:szCs w:val="20"/>
        </w:rPr>
      </w:pPr>
    </w:p>
    <w:p w:rsidR="00BA48CA" w:rsidRPr="005A505B" w:rsidRDefault="005F5DC9" w:rsidP="005A505B">
      <w:pPr>
        <w:pStyle w:val="ListParagraph"/>
        <w:numPr>
          <w:ilvl w:val="0"/>
          <w:numId w:val="106"/>
        </w:numPr>
        <w:jc w:val="both"/>
        <w:rPr>
          <w:rFonts w:cs="Arial"/>
          <w:color w:val="auto"/>
          <w:sz w:val="20"/>
          <w:szCs w:val="20"/>
        </w:rPr>
      </w:pPr>
      <w:r w:rsidRPr="005A505B">
        <w:rPr>
          <w:rFonts w:cs="Arial"/>
          <w:i/>
          <w:color w:val="auto"/>
          <w:sz w:val="20"/>
          <w:szCs w:val="20"/>
        </w:rPr>
        <w:t>H</w:t>
      </w:r>
      <w:r w:rsidR="006A253F" w:rsidRPr="005A505B">
        <w:rPr>
          <w:rFonts w:cs="Arial"/>
          <w:i/>
          <w:color w:val="auto"/>
          <w:sz w:val="20"/>
          <w:szCs w:val="20"/>
        </w:rPr>
        <w:t>ealth care services</w:t>
      </w:r>
      <w:r w:rsidRPr="005A505B">
        <w:rPr>
          <w:rFonts w:cs="Arial"/>
          <w:i/>
          <w:color w:val="auto"/>
          <w:sz w:val="20"/>
          <w:szCs w:val="20"/>
        </w:rPr>
        <w:t xml:space="preserve"> delivery</w:t>
      </w:r>
      <w:r w:rsidR="004527CE" w:rsidRPr="005A505B">
        <w:rPr>
          <w:rFonts w:cs="Arial"/>
          <w:color w:val="auto"/>
          <w:sz w:val="20"/>
          <w:szCs w:val="20"/>
        </w:rPr>
        <w:t xml:space="preserve">: </w:t>
      </w:r>
      <w:r w:rsidR="006A253F" w:rsidRPr="005A505B">
        <w:rPr>
          <w:rFonts w:cs="Arial"/>
          <w:color w:val="auto"/>
          <w:sz w:val="20"/>
          <w:szCs w:val="20"/>
        </w:rPr>
        <w:t xml:space="preserve">The Department should ensure that obstetric services, such as </w:t>
      </w:r>
      <w:r w:rsidR="009B5688" w:rsidRPr="005A505B">
        <w:rPr>
          <w:rFonts w:cs="Arial"/>
          <w:color w:val="auto"/>
          <w:sz w:val="20"/>
          <w:szCs w:val="20"/>
        </w:rPr>
        <w:t xml:space="preserve">the </w:t>
      </w:r>
      <w:r w:rsidR="006A253F" w:rsidRPr="005A505B">
        <w:rPr>
          <w:rFonts w:cs="Arial"/>
          <w:color w:val="auto"/>
          <w:sz w:val="20"/>
          <w:szCs w:val="20"/>
        </w:rPr>
        <w:t>termination of pregnanc</w:t>
      </w:r>
      <w:r w:rsidR="009B5688" w:rsidRPr="005A505B">
        <w:rPr>
          <w:rFonts w:cs="Arial"/>
          <w:color w:val="auto"/>
          <w:sz w:val="20"/>
          <w:szCs w:val="20"/>
        </w:rPr>
        <w:t>ies</w:t>
      </w:r>
      <w:r w:rsidR="006A253F" w:rsidRPr="005A505B">
        <w:rPr>
          <w:rFonts w:cs="Arial"/>
          <w:color w:val="auto"/>
          <w:sz w:val="20"/>
          <w:szCs w:val="20"/>
        </w:rPr>
        <w:t xml:space="preserve">, are offered in all nine provinces. </w:t>
      </w:r>
      <w:r w:rsidR="00BA48CA" w:rsidRPr="005A505B">
        <w:rPr>
          <w:rFonts w:cs="Arial"/>
          <w:color w:val="auto"/>
          <w:sz w:val="20"/>
          <w:szCs w:val="20"/>
        </w:rPr>
        <w:t>Furthermore, the Department should furnish the Committee with a detailed report on the issue of forced sterilisation</w:t>
      </w:r>
      <w:r w:rsidR="0049711B" w:rsidRPr="005A505B">
        <w:rPr>
          <w:rFonts w:cs="Arial"/>
          <w:color w:val="auto"/>
          <w:sz w:val="20"/>
          <w:szCs w:val="20"/>
        </w:rPr>
        <w:t>,</w:t>
      </w:r>
      <w:r w:rsidR="00BA48CA" w:rsidRPr="005A505B">
        <w:rPr>
          <w:rFonts w:cs="Arial"/>
          <w:color w:val="auto"/>
          <w:sz w:val="20"/>
          <w:szCs w:val="20"/>
        </w:rPr>
        <w:t xml:space="preserve"> a</w:t>
      </w:r>
      <w:r w:rsidR="0049711B" w:rsidRPr="005A505B">
        <w:rPr>
          <w:rFonts w:cs="Arial"/>
          <w:color w:val="auto"/>
          <w:sz w:val="20"/>
          <w:szCs w:val="20"/>
        </w:rPr>
        <w:t>s well as</w:t>
      </w:r>
      <w:r w:rsidR="00BA48CA" w:rsidRPr="005A505B">
        <w:rPr>
          <w:rFonts w:cs="Arial"/>
          <w:color w:val="auto"/>
          <w:sz w:val="20"/>
          <w:szCs w:val="20"/>
        </w:rPr>
        <w:t xml:space="preserve"> the use of surgical mesh.</w:t>
      </w:r>
    </w:p>
    <w:p w:rsidR="006A253F" w:rsidRPr="005A505B" w:rsidRDefault="006A253F" w:rsidP="005A505B">
      <w:pPr>
        <w:pStyle w:val="ListParagraph"/>
        <w:jc w:val="both"/>
        <w:rPr>
          <w:rFonts w:cs="Arial"/>
          <w:sz w:val="20"/>
          <w:szCs w:val="20"/>
        </w:rPr>
      </w:pPr>
    </w:p>
    <w:p w:rsidR="006A253F" w:rsidRPr="005A505B" w:rsidRDefault="006A253F" w:rsidP="005A505B">
      <w:pPr>
        <w:pStyle w:val="ListParagraph"/>
        <w:jc w:val="both"/>
        <w:rPr>
          <w:rFonts w:cs="Arial"/>
          <w:color w:val="auto"/>
          <w:sz w:val="20"/>
          <w:szCs w:val="20"/>
        </w:rPr>
      </w:pPr>
    </w:p>
    <w:p w:rsidR="00A51324" w:rsidRPr="005A505B" w:rsidRDefault="00A75C19" w:rsidP="005A505B">
      <w:pPr>
        <w:pStyle w:val="Heading2"/>
        <w:numPr>
          <w:ilvl w:val="1"/>
          <w:numId w:val="53"/>
        </w:numPr>
        <w:rPr>
          <w:color w:val="auto"/>
          <w:sz w:val="20"/>
          <w:szCs w:val="20"/>
        </w:rPr>
      </w:pPr>
      <w:bookmarkStart w:id="507" w:name="_Toc102064561"/>
      <w:bookmarkStart w:id="508" w:name="_Toc102119828"/>
      <w:bookmarkStart w:id="509" w:name="_Toc102119932"/>
      <w:bookmarkStart w:id="510" w:name="_Toc102064562"/>
      <w:bookmarkStart w:id="511" w:name="_Toc102119829"/>
      <w:bookmarkStart w:id="512" w:name="_Toc102119933"/>
      <w:bookmarkStart w:id="513" w:name="_Toc102064563"/>
      <w:bookmarkStart w:id="514" w:name="_Toc102119830"/>
      <w:bookmarkStart w:id="515" w:name="_Toc102119934"/>
      <w:bookmarkStart w:id="516" w:name="_Toc102064564"/>
      <w:bookmarkStart w:id="517" w:name="_Toc102119831"/>
      <w:bookmarkStart w:id="518" w:name="_Toc102119935"/>
      <w:bookmarkStart w:id="519" w:name="_Toc102064565"/>
      <w:bookmarkStart w:id="520" w:name="_Toc102119832"/>
      <w:bookmarkStart w:id="521" w:name="_Toc102119936"/>
      <w:bookmarkStart w:id="522" w:name="_Toc102064566"/>
      <w:bookmarkStart w:id="523" w:name="_Toc102119833"/>
      <w:bookmarkStart w:id="524" w:name="_Toc102119937"/>
      <w:bookmarkStart w:id="525" w:name="_Toc102064567"/>
      <w:bookmarkStart w:id="526" w:name="_Toc102119834"/>
      <w:bookmarkStart w:id="527" w:name="_Toc102119938"/>
      <w:bookmarkStart w:id="528" w:name="_Toc102064568"/>
      <w:bookmarkStart w:id="529" w:name="_Toc102119835"/>
      <w:bookmarkStart w:id="530" w:name="_Toc102119939"/>
      <w:bookmarkStart w:id="531" w:name="_Toc102064569"/>
      <w:bookmarkStart w:id="532" w:name="_Toc102119836"/>
      <w:bookmarkStart w:id="533" w:name="_Toc102119940"/>
      <w:bookmarkStart w:id="534" w:name="_Toc102119941"/>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r w:rsidRPr="005A505B">
        <w:rPr>
          <w:color w:val="auto"/>
          <w:sz w:val="20"/>
          <w:szCs w:val="20"/>
        </w:rPr>
        <w:t>Entities</w:t>
      </w:r>
      <w:bookmarkEnd w:id="534"/>
    </w:p>
    <w:p w:rsidR="00A75C19" w:rsidRPr="005A505B" w:rsidRDefault="00A75C19" w:rsidP="005A505B">
      <w:pPr>
        <w:jc w:val="both"/>
        <w:rPr>
          <w:rFonts w:cs="Arial"/>
          <w:color w:val="auto"/>
          <w:sz w:val="20"/>
          <w:szCs w:val="20"/>
        </w:rPr>
      </w:pPr>
    </w:p>
    <w:p w:rsidR="00A75C19" w:rsidRPr="005A505B" w:rsidRDefault="00A75C19" w:rsidP="005A505B">
      <w:pPr>
        <w:pStyle w:val="ListParagraph"/>
        <w:numPr>
          <w:ilvl w:val="0"/>
          <w:numId w:val="51"/>
        </w:numPr>
        <w:jc w:val="both"/>
        <w:rPr>
          <w:rFonts w:cs="Arial"/>
          <w:color w:val="auto"/>
          <w:sz w:val="20"/>
          <w:szCs w:val="20"/>
        </w:rPr>
      </w:pPr>
      <w:r w:rsidRPr="005A505B">
        <w:rPr>
          <w:rFonts w:cs="Arial"/>
          <w:color w:val="auto"/>
          <w:sz w:val="20"/>
          <w:szCs w:val="20"/>
        </w:rPr>
        <w:t>All entities should ensure that they have proper systems in place to root out corruption, fraud and maladministration.</w:t>
      </w:r>
    </w:p>
    <w:p w:rsidR="00F13971" w:rsidRPr="005A505B" w:rsidRDefault="00F13971" w:rsidP="005A505B">
      <w:pPr>
        <w:pStyle w:val="ListParagraph"/>
        <w:numPr>
          <w:ilvl w:val="0"/>
          <w:numId w:val="51"/>
        </w:numPr>
        <w:jc w:val="both"/>
        <w:rPr>
          <w:rFonts w:cs="Arial"/>
          <w:color w:val="auto"/>
          <w:sz w:val="20"/>
          <w:szCs w:val="20"/>
        </w:rPr>
      </w:pPr>
      <w:r w:rsidRPr="005A505B">
        <w:rPr>
          <w:rFonts w:cs="Arial"/>
          <w:color w:val="auto"/>
          <w:sz w:val="20"/>
          <w:szCs w:val="20"/>
        </w:rPr>
        <w:t xml:space="preserve">All entities should include in their APPs, their vision, mission and values </w:t>
      </w:r>
      <w:r w:rsidR="00757C0F" w:rsidRPr="005A505B">
        <w:rPr>
          <w:rFonts w:cs="Arial"/>
          <w:color w:val="auto"/>
          <w:sz w:val="20"/>
          <w:szCs w:val="20"/>
        </w:rPr>
        <w:t xml:space="preserve">as well </w:t>
      </w:r>
      <w:r w:rsidRPr="005A505B">
        <w:rPr>
          <w:rFonts w:cs="Arial"/>
          <w:color w:val="auto"/>
          <w:sz w:val="20"/>
          <w:szCs w:val="20"/>
        </w:rPr>
        <w:t>the overall budget and expenditure</w:t>
      </w:r>
      <w:r w:rsidR="00486820" w:rsidRPr="005A505B">
        <w:rPr>
          <w:rFonts w:cs="Arial"/>
          <w:color w:val="auto"/>
          <w:sz w:val="20"/>
          <w:szCs w:val="20"/>
        </w:rPr>
        <w:t xml:space="preserve"> estimates</w:t>
      </w:r>
      <w:r w:rsidR="00757C0F" w:rsidRPr="005A505B">
        <w:rPr>
          <w:rFonts w:cs="Arial"/>
          <w:color w:val="auto"/>
          <w:sz w:val="20"/>
          <w:szCs w:val="20"/>
        </w:rPr>
        <w:t>.</w:t>
      </w:r>
    </w:p>
    <w:p w:rsidR="00410403" w:rsidRPr="005A505B" w:rsidRDefault="00410403" w:rsidP="005A505B">
      <w:pPr>
        <w:jc w:val="both"/>
        <w:rPr>
          <w:rFonts w:cs="Arial"/>
          <w:color w:val="auto"/>
          <w:sz w:val="20"/>
          <w:szCs w:val="20"/>
        </w:rPr>
      </w:pPr>
    </w:p>
    <w:p w:rsidR="00410403" w:rsidRPr="005A505B" w:rsidRDefault="00410403" w:rsidP="005A505B">
      <w:pPr>
        <w:pStyle w:val="ListParagraph"/>
        <w:numPr>
          <w:ilvl w:val="2"/>
          <w:numId w:val="53"/>
        </w:numPr>
        <w:jc w:val="both"/>
        <w:rPr>
          <w:rFonts w:cs="Arial"/>
          <w:b/>
          <w:color w:val="auto"/>
          <w:sz w:val="20"/>
          <w:szCs w:val="20"/>
        </w:rPr>
      </w:pPr>
      <w:r w:rsidRPr="005A505B">
        <w:rPr>
          <w:rFonts w:cs="Arial"/>
          <w:b/>
          <w:color w:val="auto"/>
          <w:sz w:val="20"/>
          <w:szCs w:val="20"/>
        </w:rPr>
        <w:t>CCOD</w:t>
      </w:r>
    </w:p>
    <w:p w:rsidR="00410403" w:rsidRPr="005A505B" w:rsidRDefault="005771B2" w:rsidP="005A505B">
      <w:pPr>
        <w:pStyle w:val="ListParagraph"/>
        <w:numPr>
          <w:ilvl w:val="0"/>
          <w:numId w:val="62"/>
        </w:numPr>
        <w:jc w:val="both"/>
        <w:rPr>
          <w:rFonts w:cs="Arial"/>
          <w:color w:val="auto"/>
          <w:sz w:val="20"/>
          <w:szCs w:val="20"/>
        </w:rPr>
      </w:pPr>
      <w:r w:rsidRPr="005A505B">
        <w:rPr>
          <w:rFonts w:cs="Arial"/>
          <w:color w:val="auto"/>
          <w:sz w:val="20"/>
          <w:szCs w:val="20"/>
        </w:rPr>
        <w:t>I</w:t>
      </w:r>
      <w:r w:rsidR="00410403" w:rsidRPr="005A505B">
        <w:rPr>
          <w:rFonts w:cs="Arial"/>
          <w:color w:val="auto"/>
          <w:sz w:val="20"/>
          <w:szCs w:val="20"/>
        </w:rPr>
        <w:t>mprove on the timelines in the payment of ex-mineworkers.</w:t>
      </w:r>
    </w:p>
    <w:p w:rsidR="00BF285B" w:rsidRPr="005A505B" w:rsidRDefault="001B4B2B" w:rsidP="005A505B">
      <w:pPr>
        <w:pStyle w:val="ListParagraph"/>
        <w:numPr>
          <w:ilvl w:val="0"/>
          <w:numId w:val="62"/>
        </w:numPr>
        <w:jc w:val="both"/>
        <w:rPr>
          <w:rFonts w:cs="Arial"/>
          <w:sz w:val="20"/>
          <w:szCs w:val="20"/>
        </w:rPr>
      </w:pPr>
      <w:r w:rsidRPr="005A505B">
        <w:rPr>
          <w:rFonts w:cs="Arial"/>
          <w:sz w:val="20"/>
          <w:szCs w:val="20"/>
        </w:rPr>
        <w:t>S</w:t>
      </w:r>
      <w:r w:rsidR="00BF285B" w:rsidRPr="005A505B">
        <w:rPr>
          <w:rFonts w:cs="Arial"/>
          <w:sz w:val="20"/>
          <w:szCs w:val="20"/>
        </w:rPr>
        <w:t>hould put mechanisms in place to track and trace beneficiaries of unpaid benefits and present a progress report to the Committee.</w:t>
      </w:r>
    </w:p>
    <w:p w:rsidR="00283ABB" w:rsidRPr="005A505B" w:rsidRDefault="00283ABB" w:rsidP="005A505B">
      <w:pPr>
        <w:pStyle w:val="ListParagraph"/>
        <w:numPr>
          <w:ilvl w:val="0"/>
          <w:numId w:val="62"/>
        </w:numPr>
        <w:jc w:val="both"/>
        <w:rPr>
          <w:rFonts w:cs="Arial"/>
          <w:color w:val="auto"/>
          <w:sz w:val="20"/>
          <w:szCs w:val="20"/>
        </w:rPr>
      </w:pPr>
      <w:r w:rsidRPr="005A505B">
        <w:rPr>
          <w:rFonts w:cs="Arial"/>
          <w:color w:val="auto"/>
          <w:sz w:val="20"/>
          <w:szCs w:val="20"/>
        </w:rPr>
        <w:lastRenderedPageBreak/>
        <w:t>Ensure that all critical posts are filled timeously.</w:t>
      </w:r>
    </w:p>
    <w:p w:rsidR="006E1D8D" w:rsidRPr="005A505B" w:rsidRDefault="006E1D8D" w:rsidP="005A505B">
      <w:pPr>
        <w:jc w:val="both"/>
        <w:rPr>
          <w:rFonts w:cs="Arial"/>
          <w:color w:val="auto"/>
          <w:sz w:val="20"/>
          <w:szCs w:val="20"/>
        </w:rPr>
      </w:pPr>
    </w:p>
    <w:p w:rsidR="006E1D8D" w:rsidRPr="005A505B" w:rsidRDefault="006E1D8D" w:rsidP="005A505B">
      <w:pPr>
        <w:pStyle w:val="ListParagraph"/>
        <w:numPr>
          <w:ilvl w:val="2"/>
          <w:numId w:val="53"/>
        </w:numPr>
        <w:jc w:val="both"/>
        <w:rPr>
          <w:rFonts w:cs="Arial"/>
          <w:b/>
          <w:color w:val="auto"/>
          <w:sz w:val="20"/>
          <w:szCs w:val="20"/>
        </w:rPr>
      </w:pPr>
      <w:r w:rsidRPr="005A505B">
        <w:rPr>
          <w:rFonts w:cs="Arial"/>
          <w:b/>
          <w:color w:val="auto"/>
          <w:sz w:val="20"/>
          <w:szCs w:val="20"/>
        </w:rPr>
        <w:t>OHSC</w:t>
      </w:r>
    </w:p>
    <w:p w:rsidR="006E1D8D" w:rsidRPr="005A505B" w:rsidRDefault="00321424" w:rsidP="005A505B">
      <w:pPr>
        <w:pStyle w:val="ListParagraph"/>
        <w:numPr>
          <w:ilvl w:val="0"/>
          <w:numId w:val="64"/>
        </w:numPr>
        <w:jc w:val="both"/>
        <w:rPr>
          <w:rFonts w:cs="Arial"/>
          <w:color w:val="auto"/>
          <w:sz w:val="20"/>
          <w:szCs w:val="20"/>
        </w:rPr>
      </w:pPr>
      <w:r w:rsidRPr="005A505B">
        <w:rPr>
          <w:rFonts w:cs="Arial"/>
          <w:color w:val="auto"/>
          <w:sz w:val="20"/>
          <w:szCs w:val="20"/>
        </w:rPr>
        <w:t>S</w:t>
      </w:r>
      <w:r w:rsidR="006E1D8D" w:rsidRPr="005A505B">
        <w:rPr>
          <w:rFonts w:cs="Arial"/>
          <w:color w:val="auto"/>
          <w:sz w:val="20"/>
          <w:szCs w:val="20"/>
        </w:rPr>
        <w:t>hould continue to strengthen its outreach programmes</w:t>
      </w:r>
      <w:r w:rsidR="00647B95" w:rsidRPr="005A505B">
        <w:rPr>
          <w:rFonts w:cs="Arial"/>
          <w:color w:val="auto"/>
          <w:sz w:val="20"/>
          <w:szCs w:val="20"/>
        </w:rPr>
        <w:t xml:space="preserve"> and communication strategy</w:t>
      </w:r>
      <w:r w:rsidR="006E1D8D" w:rsidRPr="005A505B">
        <w:rPr>
          <w:rFonts w:cs="Arial"/>
          <w:color w:val="auto"/>
          <w:sz w:val="20"/>
          <w:szCs w:val="20"/>
        </w:rPr>
        <w:t>.</w:t>
      </w:r>
    </w:p>
    <w:p w:rsidR="00321424" w:rsidRPr="005A505B" w:rsidRDefault="00321424" w:rsidP="005A505B">
      <w:pPr>
        <w:pStyle w:val="ListParagraph"/>
        <w:numPr>
          <w:ilvl w:val="0"/>
          <w:numId w:val="64"/>
        </w:numPr>
        <w:jc w:val="both"/>
        <w:rPr>
          <w:rFonts w:cs="Arial"/>
          <w:color w:val="auto"/>
          <w:sz w:val="20"/>
          <w:szCs w:val="20"/>
        </w:rPr>
      </w:pPr>
      <w:r w:rsidRPr="005A505B">
        <w:rPr>
          <w:rFonts w:cs="Arial"/>
          <w:color w:val="auto"/>
          <w:sz w:val="20"/>
          <w:szCs w:val="20"/>
        </w:rPr>
        <w:t xml:space="preserve">Implement cost-cutting measures in </w:t>
      </w:r>
      <w:r w:rsidR="001B4B2B" w:rsidRPr="005A505B">
        <w:rPr>
          <w:rFonts w:cs="Arial"/>
          <w:color w:val="auto"/>
          <w:sz w:val="20"/>
          <w:szCs w:val="20"/>
        </w:rPr>
        <w:t xml:space="preserve">certain areas, </w:t>
      </w:r>
      <w:r w:rsidRPr="005A505B">
        <w:rPr>
          <w:rFonts w:cs="Arial"/>
          <w:color w:val="auto"/>
          <w:sz w:val="20"/>
          <w:szCs w:val="20"/>
        </w:rPr>
        <w:t>such as accommodation and in-sourcing of cleaners and security personnel.</w:t>
      </w:r>
    </w:p>
    <w:p w:rsidR="00A73280" w:rsidRPr="005A505B" w:rsidRDefault="00A73280" w:rsidP="005A505B">
      <w:pPr>
        <w:pStyle w:val="ListParagraph"/>
        <w:numPr>
          <w:ilvl w:val="0"/>
          <w:numId w:val="64"/>
        </w:numPr>
        <w:jc w:val="both"/>
        <w:rPr>
          <w:rFonts w:cs="Arial"/>
          <w:color w:val="auto"/>
          <w:sz w:val="20"/>
          <w:szCs w:val="20"/>
        </w:rPr>
      </w:pPr>
      <w:r w:rsidRPr="005A505B">
        <w:rPr>
          <w:rFonts w:cs="Arial"/>
          <w:color w:val="auto"/>
          <w:sz w:val="20"/>
          <w:szCs w:val="20"/>
        </w:rPr>
        <w:t>Ensure that vacant posts are filled, particularly posts for inspectors.</w:t>
      </w:r>
    </w:p>
    <w:p w:rsidR="00B34E05" w:rsidRPr="005A505B" w:rsidRDefault="00B34E05" w:rsidP="005A505B">
      <w:pPr>
        <w:pStyle w:val="ListParagraph"/>
        <w:numPr>
          <w:ilvl w:val="0"/>
          <w:numId w:val="64"/>
        </w:numPr>
        <w:jc w:val="both"/>
        <w:rPr>
          <w:rFonts w:cs="Arial"/>
          <w:color w:val="auto"/>
          <w:sz w:val="20"/>
          <w:szCs w:val="20"/>
        </w:rPr>
      </w:pPr>
      <w:r w:rsidRPr="005A505B">
        <w:rPr>
          <w:rFonts w:cs="Arial"/>
          <w:color w:val="auto"/>
          <w:sz w:val="20"/>
          <w:szCs w:val="20"/>
          <w:lang w:val="en-US"/>
        </w:rPr>
        <w:t>Improve the turnaround time for complaints resolution.</w:t>
      </w:r>
    </w:p>
    <w:p w:rsidR="006E1D8D" w:rsidRPr="005A505B" w:rsidRDefault="006E1D8D" w:rsidP="005A505B">
      <w:pPr>
        <w:pStyle w:val="ListParagraph"/>
        <w:jc w:val="both"/>
        <w:rPr>
          <w:rFonts w:cs="Arial"/>
          <w:color w:val="auto"/>
          <w:sz w:val="20"/>
          <w:szCs w:val="20"/>
        </w:rPr>
      </w:pPr>
    </w:p>
    <w:p w:rsidR="006E1D8D" w:rsidRPr="005A505B" w:rsidRDefault="006E1D8D" w:rsidP="005A505B">
      <w:pPr>
        <w:pStyle w:val="ListParagraph"/>
        <w:numPr>
          <w:ilvl w:val="2"/>
          <w:numId w:val="53"/>
        </w:numPr>
        <w:jc w:val="both"/>
        <w:rPr>
          <w:rFonts w:cs="Arial"/>
          <w:b/>
          <w:color w:val="auto"/>
          <w:sz w:val="20"/>
          <w:szCs w:val="20"/>
        </w:rPr>
      </w:pPr>
      <w:r w:rsidRPr="005A505B">
        <w:rPr>
          <w:rFonts w:cs="Arial"/>
          <w:b/>
          <w:color w:val="auto"/>
          <w:sz w:val="20"/>
          <w:szCs w:val="20"/>
        </w:rPr>
        <w:t>NHLS</w:t>
      </w:r>
    </w:p>
    <w:p w:rsidR="005771B2" w:rsidRPr="005A505B" w:rsidRDefault="00BD011F" w:rsidP="005A505B">
      <w:pPr>
        <w:pStyle w:val="ListParagraph"/>
        <w:numPr>
          <w:ilvl w:val="0"/>
          <w:numId w:val="108"/>
        </w:numPr>
        <w:jc w:val="both"/>
        <w:rPr>
          <w:rFonts w:cs="Arial"/>
          <w:color w:val="auto"/>
          <w:sz w:val="20"/>
          <w:szCs w:val="20"/>
        </w:rPr>
      </w:pPr>
      <w:r w:rsidRPr="005A505B">
        <w:rPr>
          <w:rFonts w:cs="Arial"/>
          <w:color w:val="auto"/>
          <w:sz w:val="20"/>
          <w:szCs w:val="20"/>
        </w:rPr>
        <w:t xml:space="preserve">Present to the Committee a detailed update on the process </w:t>
      </w:r>
      <w:r w:rsidR="00283ABB" w:rsidRPr="005A505B">
        <w:rPr>
          <w:rFonts w:cs="Arial"/>
          <w:color w:val="auto"/>
          <w:sz w:val="20"/>
          <w:szCs w:val="20"/>
        </w:rPr>
        <w:t>relating to</w:t>
      </w:r>
      <w:r w:rsidRPr="005A505B">
        <w:rPr>
          <w:rFonts w:cs="Arial"/>
          <w:color w:val="auto"/>
          <w:sz w:val="20"/>
          <w:szCs w:val="20"/>
        </w:rPr>
        <w:t xml:space="preserve"> the transfer of the </w:t>
      </w:r>
      <w:r w:rsidRPr="005A505B">
        <w:rPr>
          <w:rFonts w:cs="Arial"/>
          <w:color w:val="auto"/>
          <w:sz w:val="20"/>
          <w:szCs w:val="20"/>
          <w:lang w:val="en-US"/>
        </w:rPr>
        <w:t>Forensic Chemistry Lab to the NHLS.</w:t>
      </w:r>
    </w:p>
    <w:p w:rsidR="00F13971" w:rsidRPr="005A505B" w:rsidRDefault="00F13971" w:rsidP="005A505B">
      <w:pPr>
        <w:jc w:val="both"/>
        <w:rPr>
          <w:rFonts w:cs="Arial"/>
          <w:b/>
          <w:color w:val="auto"/>
          <w:sz w:val="20"/>
          <w:szCs w:val="20"/>
        </w:rPr>
      </w:pPr>
    </w:p>
    <w:p w:rsidR="001B4B2B" w:rsidRPr="005A505B" w:rsidRDefault="001B4B2B" w:rsidP="005A505B">
      <w:pPr>
        <w:jc w:val="both"/>
        <w:rPr>
          <w:rFonts w:cs="Arial"/>
          <w:b/>
          <w:color w:val="auto"/>
          <w:sz w:val="20"/>
          <w:szCs w:val="20"/>
        </w:rPr>
      </w:pPr>
    </w:p>
    <w:p w:rsidR="006E1D8D" w:rsidRPr="005A505B" w:rsidRDefault="00F13971" w:rsidP="005A505B">
      <w:pPr>
        <w:pStyle w:val="ListParagraph"/>
        <w:numPr>
          <w:ilvl w:val="2"/>
          <w:numId w:val="53"/>
        </w:numPr>
        <w:jc w:val="both"/>
        <w:rPr>
          <w:rFonts w:cs="Arial"/>
          <w:b/>
          <w:color w:val="auto"/>
          <w:sz w:val="20"/>
          <w:szCs w:val="20"/>
        </w:rPr>
      </w:pPr>
      <w:r w:rsidRPr="005A505B">
        <w:rPr>
          <w:rFonts w:cs="Arial"/>
          <w:b/>
          <w:color w:val="auto"/>
          <w:sz w:val="20"/>
          <w:szCs w:val="20"/>
        </w:rPr>
        <w:t xml:space="preserve">CMS </w:t>
      </w:r>
    </w:p>
    <w:p w:rsidR="00BD011F" w:rsidRPr="005A505B" w:rsidRDefault="004B2F2D" w:rsidP="005A505B">
      <w:pPr>
        <w:pStyle w:val="ListParagraph"/>
        <w:numPr>
          <w:ilvl w:val="0"/>
          <w:numId w:val="108"/>
        </w:numPr>
        <w:jc w:val="both"/>
        <w:rPr>
          <w:rFonts w:cs="Arial"/>
          <w:color w:val="auto"/>
          <w:sz w:val="20"/>
          <w:szCs w:val="20"/>
        </w:rPr>
      </w:pPr>
      <w:r w:rsidRPr="005A505B">
        <w:rPr>
          <w:rFonts w:cs="Arial"/>
          <w:color w:val="auto"/>
          <w:sz w:val="20"/>
          <w:szCs w:val="20"/>
        </w:rPr>
        <w:t xml:space="preserve">Provide the Committee with an update on the review of </w:t>
      </w:r>
      <w:r w:rsidR="005A0CC0" w:rsidRPr="005A505B">
        <w:rPr>
          <w:rFonts w:cs="Arial"/>
          <w:color w:val="auto"/>
          <w:sz w:val="20"/>
          <w:szCs w:val="20"/>
        </w:rPr>
        <w:t>PMBs in line with the HMI</w:t>
      </w:r>
      <w:r w:rsidR="00AD295F" w:rsidRPr="005A505B">
        <w:rPr>
          <w:rFonts w:cs="Arial"/>
          <w:color w:val="auto"/>
          <w:sz w:val="20"/>
          <w:szCs w:val="20"/>
        </w:rPr>
        <w:t xml:space="preserve"> recommendations.</w:t>
      </w:r>
    </w:p>
    <w:p w:rsidR="00AD295F" w:rsidRPr="005A505B" w:rsidRDefault="00AD295F" w:rsidP="005A505B">
      <w:pPr>
        <w:pStyle w:val="ListParagraph"/>
        <w:numPr>
          <w:ilvl w:val="0"/>
          <w:numId w:val="108"/>
        </w:numPr>
        <w:jc w:val="both"/>
        <w:rPr>
          <w:rFonts w:cs="Arial"/>
          <w:color w:val="auto"/>
          <w:sz w:val="20"/>
          <w:szCs w:val="20"/>
        </w:rPr>
      </w:pPr>
      <w:r w:rsidRPr="005A505B">
        <w:rPr>
          <w:rFonts w:cs="Arial"/>
          <w:color w:val="auto"/>
          <w:sz w:val="20"/>
          <w:szCs w:val="20"/>
        </w:rPr>
        <w:t>Should explore cheaper accommodation options</w:t>
      </w:r>
      <w:r w:rsidR="00E131E8" w:rsidRPr="005A505B">
        <w:rPr>
          <w:rFonts w:cs="Arial"/>
          <w:color w:val="auto"/>
          <w:sz w:val="20"/>
          <w:szCs w:val="20"/>
        </w:rPr>
        <w:t xml:space="preserve"> (such as government buildings)</w:t>
      </w:r>
      <w:r w:rsidRPr="005A505B">
        <w:rPr>
          <w:rFonts w:cs="Arial"/>
          <w:color w:val="auto"/>
          <w:sz w:val="20"/>
          <w:szCs w:val="20"/>
        </w:rPr>
        <w:t xml:space="preserve"> in order to cut costs</w:t>
      </w:r>
      <w:r w:rsidR="00EE7B6F" w:rsidRPr="005A505B">
        <w:rPr>
          <w:rFonts w:cs="Arial"/>
          <w:color w:val="auto"/>
          <w:sz w:val="20"/>
          <w:szCs w:val="20"/>
        </w:rPr>
        <w:t xml:space="preserve"> on lease payments</w:t>
      </w:r>
      <w:r w:rsidRPr="005A505B">
        <w:rPr>
          <w:rFonts w:cs="Arial"/>
          <w:color w:val="auto"/>
          <w:sz w:val="20"/>
          <w:szCs w:val="20"/>
        </w:rPr>
        <w:t>.</w:t>
      </w:r>
    </w:p>
    <w:p w:rsidR="00F84CA6" w:rsidRPr="005A505B" w:rsidRDefault="00F84CA6" w:rsidP="005A505B">
      <w:pPr>
        <w:pStyle w:val="ListParagraph"/>
        <w:jc w:val="both"/>
        <w:rPr>
          <w:rFonts w:cs="Arial"/>
          <w:color w:val="auto"/>
          <w:sz w:val="20"/>
          <w:szCs w:val="20"/>
        </w:rPr>
      </w:pPr>
    </w:p>
    <w:p w:rsidR="00F63552" w:rsidRPr="005A505B" w:rsidRDefault="00F63552" w:rsidP="005A505B">
      <w:pPr>
        <w:pStyle w:val="ListParagraph"/>
        <w:numPr>
          <w:ilvl w:val="2"/>
          <w:numId w:val="53"/>
        </w:numPr>
        <w:jc w:val="both"/>
        <w:rPr>
          <w:rFonts w:cs="Arial"/>
          <w:b/>
          <w:color w:val="auto"/>
          <w:sz w:val="20"/>
          <w:szCs w:val="20"/>
        </w:rPr>
      </w:pPr>
      <w:r w:rsidRPr="005A505B">
        <w:rPr>
          <w:rFonts w:cs="Arial"/>
          <w:b/>
          <w:color w:val="auto"/>
          <w:sz w:val="20"/>
          <w:szCs w:val="20"/>
        </w:rPr>
        <w:t>SAHPRA</w:t>
      </w:r>
    </w:p>
    <w:p w:rsidR="00BD011F" w:rsidRPr="005A505B" w:rsidRDefault="00036021" w:rsidP="005A505B">
      <w:pPr>
        <w:pStyle w:val="ListParagraph"/>
        <w:numPr>
          <w:ilvl w:val="0"/>
          <w:numId w:val="108"/>
        </w:numPr>
        <w:jc w:val="both"/>
        <w:rPr>
          <w:rFonts w:cs="Arial"/>
          <w:color w:val="auto"/>
          <w:sz w:val="20"/>
          <w:szCs w:val="20"/>
        </w:rPr>
      </w:pPr>
      <w:r w:rsidRPr="005A505B">
        <w:rPr>
          <w:rFonts w:cs="Arial"/>
          <w:color w:val="auto"/>
          <w:sz w:val="20"/>
          <w:szCs w:val="20"/>
        </w:rPr>
        <w:t>Strengthen collaboration with the Department of Science and Innovation for strategic alignment.</w:t>
      </w:r>
    </w:p>
    <w:p w:rsidR="00036021" w:rsidRPr="005A505B" w:rsidRDefault="001C2BFB" w:rsidP="005A505B">
      <w:pPr>
        <w:pStyle w:val="ListParagraph"/>
        <w:numPr>
          <w:ilvl w:val="0"/>
          <w:numId w:val="108"/>
        </w:numPr>
        <w:jc w:val="both"/>
        <w:rPr>
          <w:rFonts w:cs="Arial"/>
          <w:color w:val="auto"/>
          <w:sz w:val="20"/>
          <w:szCs w:val="20"/>
        </w:rPr>
      </w:pPr>
      <w:r w:rsidRPr="005A505B">
        <w:rPr>
          <w:rFonts w:cs="Arial"/>
          <w:color w:val="auto"/>
          <w:sz w:val="20"/>
          <w:szCs w:val="20"/>
        </w:rPr>
        <w:t>Furnish the Committee with a detailed action plan on the medicine</w:t>
      </w:r>
      <w:r w:rsidR="00756D80" w:rsidRPr="005A505B">
        <w:rPr>
          <w:rFonts w:cs="Arial"/>
          <w:color w:val="auto"/>
          <w:sz w:val="20"/>
          <w:szCs w:val="20"/>
        </w:rPr>
        <w:t>s</w:t>
      </w:r>
      <w:r w:rsidRPr="005A505B">
        <w:rPr>
          <w:rFonts w:cs="Arial"/>
          <w:color w:val="auto"/>
          <w:sz w:val="20"/>
          <w:szCs w:val="20"/>
        </w:rPr>
        <w:t xml:space="preserve"> registration backlogs.</w:t>
      </w:r>
    </w:p>
    <w:p w:rsidR="00F63552" w:rsidRPr="005A505B" w:rsidRDefault="00F63552" w:rsidP="005A505B">
      <w:pPr>
        <w:pStyle w:val="ListParagraph"/>
        <w:rPr>
          <w:rFonts w:cs="Arial"/>
          <w:b/>
          <w:color w:val="auto"/>
          <w:sz w:val="20"/>
          <w:szCs w:val="20"/>
        </w:rPr>
      </w:pPr>
    </w:p>
    <w:p w:rsidR="00410403" w:rsidRPr="005A505B" w:rsidRDefault="009A67B0" w:rsidP="005A505B">
      <w:pPr>
        <w:pStyle w:val="ListParagraph"/>
        <w:numPr>
          <w:ilvl w:val="2"/>
          <w:numId w:val="53"/>
        </w:numPr>
        <w:jc w:val="both"/>
        <w:rPr>
          <w:rFonts w:cs="Arial"/>
          <w:b/>
          <w:color w:val="auto"/>
          <w:sz w:val="20"/>
          <w:szCs w:val="20"/>
        </w:rPr>
      </w:pPr>
      <w:r w:rsidRPr="005A505B">
        <w:rPr>
          <w:rFonts w:cs="Arial"/>
          <w:b/>
          <w:color w:val="auto"/>
          <w:sz w:val="20"/>
          <w:szCs w:val="20"/>
        </w:rPr>
        <w:t>SAMRC</w:t>
      </w:r>
    </w:p>
    <w:p w:rsidR="00E65F9F" w:rsidRPr="005A505B" w:rsidRDefault="007A7A41" w:rsidP="005A505B">
      <w:pPr>
        <w:pStyle w:val="ListParagraph"/>
        <w:numPr>
          <w:ilvl w:val="0"/>
          <w:numId w:val="51"/>
        </w:numPr>
        <w:jc w:val="both"/>
        <w:rPr>
          <w:rFonts w:cs="Arial"/>
          <w:color w:val="auto"/>
          <w:sz w:val="20"/>
          <w:szCs w:val="20"/>
        </w:rPr>
      </w:pPr>
      <w:r w:rsidRPr="005A505B">
        <w:rPr>
          <w:rFonts w:cs="Arial"/>
          <w:color w:val="auto"/>
          <w:sz w:val="20"/>
          <w:szCs w:val="20"/>
        </w:rPr>
        <w:t>Develop and present to the Committee</w:t>
      </w:r>
      <w:r w:rsidR="00A75C19" w:rsidRPr="005A505B">
        <w:rPr>
          <w:rFonts w:cs="Arial"/>
          <w:color w:val="auto"/>
          <w:sz w:val="20"/>
          <w:szCs w:val="20"/>
        </w:rPr>
        <w:t xml:space="preserve"> tangible plans to addr</w:t>
      </w:r>
      <w:r w:rsidR="00F13971" w:rsidRPr="005A505B">
        <w:rPr>
          <w:rFonts w:cs="Arial"/>
          <w:color w:val="auto"/>
          <w:sz w:val="20"/>
          <w:szCs w:val="20"/>
        </w:rPr>
        <w:t xml:space="preserve">ess transformation </w:t>
      </w:r>
      <w:r w:rsidR="001A6B05" w:rsidRPr="005A505B">
        <w:rPr>
          <w:rFonts w:cs="Arial"/>
          <w:color w:val="auto"/>
          <w:sz w:val="20"/>
          <w:szCs w:val="20"/>
        </w:rPr>
        <w:t xml:space="preserve">within </w:t>
      </w:r>
      <w:r w:rsidR="00F13971" w:rsidRPr="005A505B">
        <w:rPr>
          <w:rFonts w:cs="Arial"/>
          <w:color w:val="auto"/>
          <w:sz w:val="20"/>
          <w:szCs w:val="20"/>
        </w:rPr>
        <w:t xml:space="preserve">the </w:t>
      </w:r>
      <w:r w:rsidR="00B711EA" w:rsidRPr="005A505B">
        <w:rPr>
          <w:rFonts w:cs="Arial"/>
          <w:color w:val="auto"/>
          <w:sz w:val="20"/>
          <w:szCs w:val="20"/>
        </w:rPr>
        <w:t>entity.</w:t>
      </w:r>
    </w:p>
    <w:p w:rsidR="00E65F9F" w:rsidRPr="005A505B" w:rsidRDefault="00E65F9F" w:rsidP="005A505B">
      <w:pPr>
        <w:jc w:val="both"/>
        <w:rPr>
          <w:rFonts w:cs="Arial"/>
          <w:color w:val="auto"/>
          <w:sz w:val="20"/>
          <w:szCs w:val="20"/>
          <w:lang w:val="en-US"/>
        </w:rPr>
      </w:pPr>
    </w:p>
    <w:p w:rsidR="00C82116" w:rsidRPr="005A505B" w:rsidRDefault="00C82116" w:rsidP="005A505B">
      <w:pPr>
        <w:jc w:val="both"/>
        <w:rPr>
          <w:rFonts w:cs="Arial"/>
          <w:color w:val="auto"/>
          <w:sz w:val="20"/>
          <w:szCs w:val="20"/>
          <w:lang w:val="en-US"/>
        </w:rPr>
      </w:pPr>
    </w:p>
    <w:p w:rsidR="00620B86" w:rsidRPr="005A505B" w:rsidRDefault="00620B86" w:rsidP="005A505B">
      <w:pPr>
        <w:pStyle w:val="Heading1"/>
        <w:numPr>
          <w:ilvl w:val="0"/>
          <w:numId w:val="53"/>
        </w:numPr>
        <w:rPr>
          <w:color w:val="auto"/>
          <w:lang w:val="en-US"/>
        </w:rPr>
      </w:pPr>
      <w:bookmarkStart w:id="535" w:name="_Toc102119942"/>
      <w:r w:rsidRPr="005A505B">
        <w:rPr>
          <w:color w:val="auto"/>
          <w:lang w:val="en-US"/>
        </w:rPr>
        <w:t>CONCLUSION</w:t>
      </w:r>
      <w:bookmarkEnd w:id="535"/>
    </w:p>
    <w:p w:rsidR="00F70EFE" w:rsidRPr="005A505B" w:rsidRDefault="00F70EFE" w:rsidP="005A505B">
      <w:pPr>
        <w:rPr>
          <w:rFonts w:cs="Arial"/>
          <w:color w:val="auto"/>
          <w:sz w:val="20"/>
          <w:szCs w:val="20"/>
          <w:lang w:val="en-US"/>
        </w:rPr>
      </w:pPr>
    </w:p>
    <w:p w:rsidR="00D52429" w:rsidRPr="005A505B" w:rsidRDefault="00D52429" w:rsidP="005A505B">
      <w:pPr>
        <w:jc w:val="both"/>
        <w:rPr>
          <w:rFonts w:cs="Arial"/>
          <w:color w:val="auto"/>
          <w:sz w:val="20"/>
          <w:szCs w:val="20"/>
          <w:lang w:val="en-US"/>
        </w:rPr>
      </w:pPr>
      <w:r w:rsidRPr="005A505B">
        <w:rPr>
          <w:rFonts w:cs="Arial"/>
          <w:color w:val="auto"/>
          <w:sz w:val="20"/>
          <w:szCs w:val="20"/>
          <w:lang w:val="en-US"/>
        </w:rPr>
        <w:t>Unless otherwise indicated, the Department of Health</w:t>
      </w:r>
      <w:r w:rsidR="00C82116" w:rsidRPr="005A505B">
        <w:rPr>
          <w:rFonts w:cs="Arial"/>
          <w:color w:val="auto"/>
          <w:sz w:val="20"/>
          <w:szCs w:val="20"/>
          <w:lang w:val="en-US"/>
        </w:rPr>
        <w:t xml:space="preserve"> and its entities</w:t>
      </w:r>
      <w:r w:rsidRPr="005A505B">
        <w:rPr>
          <w:rFonts w:cs="Arial"/>
          <w:color w:val="auto"/>
          <w:sz w:val="20"/>
          <w:szCs w:val="20"/>
          <w:lang w:val="en-US"/>
        </w:rPr>
        <w:t xml:space="preserve"> should respond to the Committee recommendations </w:t>
      </w:r>
      <w:r w:rsidR="00950709" w:rsidRPr="005A505B">
        <w:rPr>
          <w:rFonts w:cs="Arial"/>
          <w:color w:val="auto"/>
          <w:sz w:val="20"/>
          <w:szCs w:val="20"/>
          <w:lang w:val="en-US"/>
        </w:rPr>
        <w:t>with</w:t>
      </w:r>
      <w:r w:rsidRPr="005A505B">
        <w:rPr>
          <w:rFonts w:cs="Arial"/>
          <w:color w:val="auto"/>
          <w:sz w:val="20"/>
          <w:szCs w:val="20"/>
          <w:lang w:val="en-US"/>
        </w:rPr>
        <w:t>in three months from the day the report is adopted by the House.</w:t>
      </w:r>
    </w:p>
    <w:p w:rsidR="00AF547A" w:rsidRPr="005A505B" w:rsidRDefault="00AF547A" w:rsidP="005A505B">
      <w:pPr>
        <w:jc w:val="both"/>
        <w:rPr>
          <w:rFonts w:cs="Arial"/>
          <w:color w:val="auto"/>
          <w:sz w:val="20"/>
          <w:szCs w:val="20"/>
        </w:rPr>
      </w:pPr>
    </w:p>
    <w:p w:rsidR="00135B83" w:rsidRPr="005A505B" w:rsidRDefault="00135B83" w:rsidP="005A505B">
      <w:pPr>
        <w:jc w:val="both"/>
        <w:rPr>
          <w:rFonts w:cs="Arial"/>
          <w:color w:val="auto"/>
          <w:sz w:val="20"/>
          <w:szCs w:val="20"/>
        </w:rPr>
      </w:pPr>
    </w:p>
    <w:p w:rsidR="00AF547A" w:rsidRPr="005A505B" w:rsidRDefault="00AF547A" w:rsidP="005A505B">
      <w:pPr>
        <w:jc w:val="both"/>
        <w:rPr>
          <w:rFonts w:cs="Arial"/>
          <w:color w:val="auto"/>
          <w:sz w:val="20"/>
          <w:szCs w:val="20"/>
          <w:lang w:val="en-US"/>
        </w:rPr>
      </w:pPr>
      <w:r w:rsidRPr="005A505B">
        <w:rPr>
          <w:rFonts w:cs="Arial"/>
          <w:b/>
          <w:color w:val="auto"/>
          <w:sz w:val="20"/>
          <w:szCs w:val="20"/>
          <w:lang w:val="en-ZA"/>
        </w:rPr>
        <w:t>Report to be considered</w:t>
      </w:r>
      <w:r w:rsidR="00B44EA4" w:rsidRPr="005A505B">
        <w:rPr>
          <w:rFonts w:cs="Arial"/>
          <w:b/>
          <w:color w:val="auto"/>
          <w:sz w:val="20"/>
          <w:szCs w:val="20"/>
          <w:lang w:val="en-ZA"/>
        </w:rPr>
        <w:t>.</w:t>
      </w:r>
      <w:r w:rsidRPr="005A505B">
        <w:rPr>
          <w:rFonts w:cs="Arial"/>
          <w:b/>
          <w:color w:val="auto"/>
          <w:sz w:val="20"/>
          <w:szCs w:val="20"/>
          <w:lang w:val="en-ZA"/>
        </w:rPr>
        <w:t xml:space="preserve">   </w:t>
      </w:r>
    </w:p>
    <w:p w:rsidR="009F33B2" w:rsidRPr="005A505B" w:rsidRDefault="009F33B2" w:rsidP="005A505B">
      <w:pPr>
        <w:jc w:val="both"/>
        <w:rPr>
          <w:rFonts w:cs="Arial"/>
          <w:color w:val="auto"/>
          <w:sz w:val="20"/>
          <w:szCs w:val="20"/>
          <w:lang w:val="en-US"/>
        </w:rPr>
      </w:pPr>
    </w:p>
    <w:sectPr w:rsidR="009F33B2" w:rsidRPr="005A505B" w:rsidSect="00B43B26">
      <w:footerReference w:type="even" r:id="rId11"/>
      <w:footerReference w:type="default" r:id="rId12"/>
      <w:pgSz w:w="11906" w:h="16838" w:code="9"/>
      <w:pgMar w:top="1440" w:right="1440" w:bottom="1440" w:left="1440" w:header="1134"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CA0" w:rsidRDefault="00457CA0">
      <w:r>
        <w:separator/>
      </w:r>
    </w:p>
  </w:endnote>
  <w:endnote w:type="continuationSeparator" w:id="0">
    <w:p w:rsidR="00457CA0" w:rsidRDefault="00457C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709" w:rsidRDefault="00013966" w:rsidP="00FA230C">
    <w:pPr>
      <w:pStyle w:val="Footer"/>
      <w:framePr w:wrap="around" w:vAnchor="text" w:hAnchor="margin" w:xAlign="right" w:y="1"/>
      <w:rPr>
        <w:rStyle w:val="PageNumber"/>
      </w:rPr>
    </w:pPr>
    <w:r>
      <w:rPr>
        <w:rStyle w:val="PageNumber"/>
      </w:rPr>
      <w:fldChar w:fldCharType="begin"/>
    </w:r>
    <w:r w:rsidR="00950709">
      <w:rPr>
        <w:rStyle w:val="PageNumber"/>
      </w:rPr>
      <w:instrText xml:space="preserve">PAGE  </w:instrText>
    </w:r>
    <w:r>
      <w:rPr>
        <w:rStyle w:val="PageNumber"/>
      </w:rPr>
      <w:fldChar w:fldCharType="end"/>
    </w:r>
  </w:p>
  <w:p w:rsidR="00950709" w:rsidRDefault="00950709" w:rsidP="008B1C4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709" w:rsidRDefault="00013966" w:rsidP="00FA230C">
    <w:pPr>
      <w:pStyle w:val="Footer"/>
      <w:framePr w:wrap="around" w:vAnchor="text" w:hAnchor="margin" w:xAlign="right" w:y="1"/>
      <w:rPr>
        <w:rStyle w:val="PageNumber"/>
      </w:rPr>
    </w:pPr>
    <w:r>
      <w:rPr>
        <w:rStyle w:val="PageNumber"/>
      </w:rPr>
      <w:fldChar w:fldCharType="begin"/>
    </w:r>
    <w:r w:rsidR="00950709">
      <w:rPr>
        <w:rStyle w:val="PageNumber"/>
      </w:rPr>
      <w:instrText xml:space="preserve">PAGE  </w:instrText>
    </w:r>
    <w:r>
      <w:rPr>
        <w:rStyle w:val="PageNumber"/>
      </w:rPr>
      <w:fldChar w:fldCharType="separate"/>
    </w:r>
    <w:r w:rsidR="005A505B">
      <w:rPr>
        <w:rStyle w:val="PageNumber"/>
        <w:noProof/>
      </w:rPr>
      <w:t>39</w:t>
    </w:r>
    <w:r>
      <w:rPr>
        <w:rStyle w:val="PageNumber"/>
      </w:rPr>
      <w:fldChar w:fldCharType="end"/>
    </w:r>
  </w:p>
  <w:p w:rsidR="00950709" w:rsidRDefault="00950709" w:rsidP="008B1C4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CA0" w:rsidRDefault="00457CA0">
      <w:r>
        <w:separator/>
      </w:r>
    </w:p>
  </w:footnote>
  <w:footnote w:type="continuationSeparator" w:id="0">
    <w:p w:rsidR="00457CA0" w:rsidRDefault="00457C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D47CB3C"/>
    <w:multiLevelType w:val="hybridMultilevel"/>
    <w:tmpl w:val="D2F4785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D4681A"/>
    <w:multiLevelType w:val="multilevel"/>
    <w:tmpl w:val="43743ED4"/>
    <w:lvl w:ilvl="0">
      <w:start w:val="1"/>
      <w:numFmt w:val="decimal"/>
      <w:lvlText w:val="%1."/>
      <w:lvlJc w:val="left"/>
      <w:pPr>
        <w:ind w:left="360" w:hanging="360"/>
      </w:pPr>
      <w:rPr>
        <w:rFonts w:cs="Times New Roman" w:hint="default"/>
        <w:b/>
        <w:color w:val="auto"/>
        <w:sz w:val="22"/>
      </w:rPr>
    </w:lvl>
    <w:lvl w:ilvl="1">
      <w:start w:val="1"/>
      <w:numFmt w:val="decimal"/>
      <w:isLgl/>
      <w:lvlText w:val="%1.%2."/>
      <w:lvlJc w:val="left"/>
      <w:pPr>
        <w:ind w:left="720" w:hanging="720"/>
      </w:pPr>
      <w:rPr>
        <w:rFonts w:cs="Times New Roman" w:hint="default"/>
        <w:b/>
        <w:i w:val="0"/>
      </w:rPr>
    </w:lvl>
    <w:lvl w:ilvl="2">
      <w:start w:val="1"/>
      <w:numFmt w:val="decimal"/>
      <w:isLgl/>
      <w:lvlText w:val="%1.%2.%3."/>
      <w:lvlJc w:val="left"/>
      <w:pPr>
        <w:ind w:left="862" w:hanging="720"/>
      </w:pPr>
      <w:rPr>
        <w:rFonts w:cs="Times New Roman" w:hint="default"/>
        <w:b/>
        <w:i w:val="0"/>
        <w:color w:val="auto"/>
        <w:sz w:val="20"/>
      </w:rPr>
    </w:lvl>
    <w:lvl w:ilvl="3">
      <w:start w:val="1"/>
      <w:numFmt w:val="decimal"/>
      <w:isLgl/>
      <w:lvlText w:val="%1.%2.%3.%4."/>
      <w:lvlJc w:val="left"/>
      <w:pPr>
        <w:ind w:left="1080" w:hanging="1080"/>
      </w:pPr>
      <w:rPr>
        <w:rFonts w:cs="Times New Roman" w:hint="default"/>
        <w:sz w:val="20"/>
        <w:szCs w:val="18"/>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
    <w:nsid w:val="02896B42"/>
    <w:multiLevelType w:val="multilevel"/>
    <w:tmpl w:val="2DE65526"/>
    <w:lvl w:ilvl="0">
      <w:start w:val="1"/>
      <w:numFmt w:val="bullet"/>
      <w:lvlText w:val=""/>
      <w:lvlJc w:val="left"/>
      <w:pPr>
        <w:ind w:left="720" w:hanging="360"/>
      </w:pPr>
      <w:rPr>
        <w:rFonts w:ascii="Symbol" w:hAnsi="Symbol" w:hint="default"/>
      </w:rPr>
    </w:lvl>
    <w:lvl w:ilvl="1">
      <w:start w:val="1"/>
      <w:numFmt w:val="bullet"/>
      <w:lvlText w:val=""/>
      <w:lvlJc w:val="left"/>
      <w:pPr>
        <w:ind w:left="1080" w:hanging="720"/>
      </w:pPr>
      <w:rPr>
        <w:rFonts w:ascii="Symbol" w:hAnsi="Symbol"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3">
    <w:nsid w:val="04DE688D"/>
    <w:multiLevelType w:val="hybridMultilevel"/>
    <w:tmpl w:val="6E0C2F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4EE5ED2"/>
    <w:multiLevelType w:val="hybridMultilevel"/>
    <w:tmpl w:val="E9981B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54C6B38"/>
    <w:multiLevelType w:val="hybridMultilevel"/>
    <w:tmpl w:val="00646502"/>
    <w:lvl w:ilvl="0" w:tplc="04090001">
      <w:start w:val="1"/>
      <w:numFmt w:val="bullet"/>
      <w:lvlText w:val=""/>
      <w:lvlJc w:val="left"/>
      <w:pPr>
        <w:ind w:left="1440" w:hanging="360"/>
      </w:pPr>
      <w:rPr>
        <w:rFonts w:ascii="Symbol" w:hAnsi="Symbol" w:hint="default"/>
        <w:sz w:val="24"/>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057100F6"/>
    <w:multiLevelType w:val="hybridMultilevel"/>
    <w:tmpl w:val="20B651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06052FF1"/>
    <w:multiLevelType w:val="multilevel"/>
    <w:tmpl w:val="1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061D26EC"/>
    <w:multiLevelType w:val="hybridMultilevel"/>
    <w:tmpl w:val="407AE040"/>
    <w:lvl w:ilvl="0" w:tplc="87C87B3C">
      <w:numFmt w:val="bullet"/>
      <w:lvlText w:val="•"/>
      <w:lvlJc w:val="left"/>
      <w:pPr>
        <w:ind w:left="1077" w:hanging="720"/>
      </w:pPr>
      <w:rPr>
        <w:rFonts w:ascii="Arial" w:eastAsiaTheme="minorHAnsi" w:hAnsi="Arial" w:cs="Arial" w:hint="default"/>
      </w:rPr>
    </w:lvl>
    <w:lvl w:ilvl="1" w:tplc="1C090003" w:tentative="1">
      <w:start w:val="1"/>
      <w:numFmt w:val="bullet"/>
      <w:lvlText w:val="o"/>
      <w:lvlJc w:val="left"/>
      <w:pPr>
        <w:ind w:left="1437" w:hanging="360"/>
      </w:pPr>
      <w:rPr>
        <w:rFonts w:ascii="Courier New" w:hAnsi="Courier New" w:cs="Courier New" w:hint="default"/>
      </w:rPr>
    </w:lvl>
    <w:lvl w:ilvl="2" w:tplc="1C090005" w:tentative="1">
      <w:start w:val="1"/>
      <w:numFmt w:val="bullet"/>
      <w:lvlText w:val=""/>
      <w:lvlJc w:val="left"/>
      <w:pPr>
        <w:ind w:left="2157" w:hanging="360"/>
      </w:pPr>
      <w:rPr>
        <w:rFonts w:ascii="Wingdings" w:hAnsi="Wingdings" w:hint="default"/>
      </w:rPr>
    </w:lvl>
    <w:lvl w:ilvl="3" w:tplc="1C090001" w:tentative="1">
      <w:start w:val="1"/>
      <w:numFmt w:val="bullet"/>
      <w:lvlText w:val=""/>
      <w:lvlJc w:val="left"/>
      <w:pPr>
        <w:ind w:left="2877" w:hanging="360"/>
      </w:pPr>
      <w:rPr>
        <w:rFonts w:ascii="Symbol" w:hAnsi="Symbol" w:hint="default"/>
      </w:rPr>
    </w:lvl>
    <w:lvl w:ilvl="4" w:tplc="1C090003" w:tentative="1">
      <w:start w:val="1"/>
      <w:numFmt w:val="bullet"/>
      <w:lvlText w:val="o"/>
      <w:lvlJc w:val="left"/>
      <w:pPr>
        <w:ind w:left="3597" w:hanging="360"/>
      </w:pPr>
      <w:rPr>
        <w:rFonts w:ascii="Courier New" w:hAnsi="Courier New" w:cs="Courier New" w:hint="default"/>
      </w:rPr>
    </w:lvl>
    <w:lvl w:ilvl="5" w:tplc="1C090005" w:tentative="1">
      <w:start w:val="1"/>
      <w:numFmt w:val="bullet"/>
      <w:lvlText w:val=""/>
      <w:lvlJc w:val="left"/>
      <w:pPr>
        <w:ind w:left="4317" w:hanging="360"/>
      </w:pPr>
      <w:rPr>
        <w:rFonts w:ascii="Wingdings" w:hAnsi="Wingdings" w:hint="default"/>
      </w:rPr>
    </w:lvl>
    <w:lvl w:ilvl="6" w:tplc="1C090001" w:tentative="1">
      <w:start w:val="1"/>
      <w:numFmt w:val="bullet"/>
      <w:lvlText w:val=""/>
      <w:lvlJc w:val="left"/>
      <w:pPr>
        <w:ind w:left="5037" w:hanging="360"/>
      </w:pPr>
      <w:rPr>
        <w:rFonts w:ascii="Symbol" w:hAnsi="Symbol" w:hint="default"/>
      </w:rPr>
    </w:lvl>
    <w:lvl w:ilvl="7" w:tplc="1C090003" w:tentative="1">
      <w:start w:val="1"/>
      <w:numFmt w:val="bullet"/>
      <w:lvlText w:val="o"/>
      <w:lvlJc w:val="left"/>
      <w:pPr>
        <w:ind w:left="5757" w:hanging="360"/>
      </w:pPr>
      <w:rPr>
        <w:rFonts w:ascii="Courier New" w:hAnsi="Courier New" w:cs="Courier New" w:hint="default"/>
      </w:rPr>
    </w:lvl>
    <w:lvl w:ilvl="8" w:tplc="1C090005" w:tentative="1">
      <w:start w:val="1"/>
      <w:numFmt w:val="bullet"/>
      <w:lvlText w:val=""/>
      <w:lvlJc w:val="left"/>
      <w:pPr>
        <w:ind w:left="6477" w:hanging="360"/>
      </w:pPr>
      <w:rPr>
        <w:rFonts w:ascii="Wingdings" w:hAnsi="Wingdings" w:hint="default"/>
      </w:rPr>
    </w:lvl>
  </w:abstractNum>
  <w:abstractNum w:abstractNumId="9">
    <w:nsid w:val="067E4136"/>
    <w:multiLevelType w:val="multilevel"/>
    <w:tmpl w:val="0E0C3A76"/>
    <w:lvl w:ilvl="0">
      <w:start w:val="1"/>
      <w:numFmt w:val="bullet"/>
      <w:lvlText w:val=""/>
      <w:lvlJc w:val="left"/>
      <w:pPr>
        <w:ind w:left="720" w:hanging="360"/>
      </w:pPr>
      <w:rPr>
        <w:rFonts w:ascii="Symbol" w:hAnsi="Symbol" w:hint="default"/>
        <w:b/>
        <w:sz w:val="20"/>
      </w:rPr>
    </w:lvl>
    <w:lvl w:ilvl="1">
      <w:start w:val="1"/>
      <w:numFmt w:val="decimal"/>
      <w:lvlText w:val="3.%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10">
    <w:nsid w:val="086671C1"/>
    <w:multiLevelType w:val="hybridMultilevel"/>
    <w:tmpl w:val="839684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08892FA9"/>
    <w:multiLevelType w:val="hybridMultilevel"/>
    <w:tmpl w:val="558C30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91A5A68"/>
    <w:multiLevelType w:val="hybridMultilevel"/>
    <w:tmpl w:val="074E7BA8"/>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3">
    <w:nsid w:val="09A4781E"/>
    <w:multiLevelType w:val="hybridMultilevel"/>
    <w:tmpl w:val="E5489D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09EC4F9A"/>
    <w:multiLevelType w:val="hybridMultilevel"/>
    <w:tmpl w:val="F78E9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DC04243"/>
    <w:multiLevelType w:val="hybridMultilevel"/>
    <w:tmpl w:val="71728B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0FB70F58"/>
    <w:multiLevelType w:val="multilevel"/>
    <w:tmpl w:val="A41E94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107B68D7"/>
    <w:multiLevelType w:val="hybridMultilevel"/>
    <w:tmpl w:val="A6707F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12D659B4"/>
    <w:multiLevelType w:val="hybridMultilevel"/>
    <w:tmpl w:val="12F8088E"/>
    <w:lvl w:ilvl="0" w:tplc="979253CA">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140547CB"/>
    <w:multiLevelType w:val="hybridMultilevel"/>
    <w:tmpl w:val="3050E5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14DA29E5"/>
    <w:multiLevelType w:val="hybridMultilevel"/>
    <w:tmpl w:val="E04440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172637C3"/>
    <w:multiLevelType w:val="hybridMultilevel"/>
    <w:tmpl w:val="E6DE82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17ED18B8"/>
    <w:multiLevelType w:val="multilevel"/>
    <w:tmpl w:val="1C09001D"/>
    <w:styleLink w:val="Style2"/>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19D65436"/>
    <w:multiLevelType w:val="multilevel"/>
    <w:tmpl w:val="DC7864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1BD26D1C"/>
    <w:multiLevelType w:val="multilevel"/>
    <w:tmpl w:val="AF8E6AFE"/>
    <w:lvl w:ilvl="0">
      <w:start w:val="3"/>
      <w:numFmt w:val="decimal"/>
      <w:lvlText w:val="%1."/>
      <w:lvlJc w:val="left"/>
      <w:pPr>
        <w:ind w:left="360" w:hanging="360"/>
      </w:pPr>
      <w:rPr>
        <w:rFonts w:hint="default"/>
        <w:sz w:val="22"/>
      </w:rPr>
    </w:lvl>
    <w:lvl w:ilvl="1">
      <w:start w:val="1"/>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b/>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5">
    <w:nsid w:val="1C104229"/>
    <w:multiLevelType w:val="hybridMultilevel"/>
    <w:tmpl w:val="FC029EFA"/>
    <w:lvl w:ilvl="0" w:tplc="E180A296">
      <w:numFmt w:val="bullet"/>
      <w:lvlText w:val="-"/>
      <w:lvlJc w:val="left"/>
      <w:pPr>
        <w:ind w:left="1080" w:hanging="360"/>
      </w:pPr>
      <w:rPr>
        <w:rFonts w:ascii="Arial" w:eastAsiaTheme="minorHAns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6">
    <w:nsid w:val="1CED71E3"/>
    <w:multiLevelType w:val="hybridMultilevel"/>
    <w:tmpl w:val="B57AA6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1DCB2A0F"/>
    <w:multiLevelType w:val="hybridMultilevel"/>
    <w:tmpl w:val="959291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F5D698F"/>
    <w:multiLevelType w:val="hybridMultilevel"/>
    <w:tmpl w:val="DEC82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11A0B5E"/>
    <w:multiLevelType w:val="hybridMultilevel"/>
    <w:tmpl w:val="50C294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21340804"/>
    <w:multiLevelType w:val="hybridMultilevel"/>
    <w:tmpl w:val="409058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21BD1A70"/>
    <w:multiLevelType w:val="hybridMultilevel"/>
    <w:tmpl w:val="E982AD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21D517DF"/>
    <w:multiLevelType w:val="hybridMultilevel"/>
    <w:tmpl w:val="34F4D0FE"/>
    <w:lvl w:ilvl="0" w:tplc="1C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nsid w:val="220F3EBA"/>
    <w:multiLevelType w:val="hybridMultilevel"/>
    <w:tmpl w:val="307C788E"/>
    <w:lvl w:ilvl="0" w:tplc="42DE89B6">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24005FE9"/>
    <w:multiLevelType w:val="hybridMultilevel"/>
    <w:tmpl w:val="87ECF11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2512599A"/>
    <w:multiLevelType w:val="hybridMultilevel"/>
    <w:tmpl w:val="52F4C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67755B1"/>
    <w:multiLevelType w:val="hybridMultilevel"/>
    <w:tmpl w:val="3950F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8C417FC"/>
    <w:multiLevelType w:val="multilevel"/>
    <w:tmpl w:val="52EED2FC"/>
    <w:lvl w:ilvl="0">
      <w:start w:val="7"/>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nsid w:val="28E91B10"/>
    <w:multiLevelType w:val="multilevel"/>
    <w:tmpl w:val="F5EA9A0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2A681CAE"/>
    <w:multiLevelType w:val="hybridMultilevel"/>
    <w:tmpl w:val="03482A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nsid w:val="2B0C224A"/>
    <w:multiLevelType w:val="multilevel"/>
    <w:tmpl w:val="4A365A0C"/>
    <w:lvl w:ilvl="0">
      <w:start w:val="17"/>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2D752421"/>
    <w:multiLevelType w:val="hybridMultilevel"/>
    <w:tmpl w:val="8586CE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nsid w:val="2DD57456"/>
    <w:multiLevelType w:val="multilevel"/>
    <w:tmpl w:val="E37A782C"/>
    <w:styleLink w:val="Style1"/>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2F116656"/>
    <w:multiLevelType w:val="hybridMultilevel"/>
    <w:tmpl w:val="56AA1F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nsid w:val="2F6B52ED"/>
    <w:multiLevelType w:val="hybridMultilevel"/>
    <w:tmpl w:val="3B186B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nsid w:val="2FBC6E46"/>
    <w:multiLevelType w:val="multilevel"/>
    <w:tmpl w:val="8848B69E"/>
    <w:lvl w:ilvl="0">
      <w:start w:val="17"/>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310E2628"/>
    <w:multiLevelType w:val="multilevel"/>
    <w:tmpl w:val="3028C51A"/>
    <w:lvl w:ilvl="0">
      <w:start w:val="4"/>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7">
    <w:nsid w:val="319E2952"/>
    <w:multiLevelType w:val="hybridMultilevel"/>
    <w:tmpl w:val="D92AD5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8">
    <w:nsid w:val="31A830EF"/>
    <w:multiLevelType w:val="hybridMultilevel"/>
    <w:tmpl w:val="EACADC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9">
    <w:nsid w:val="31F546EE"/>
    <w:multiLevelType w:val="multilevel"/>
    <w:tmpl w:val="4C50215A"/>
    <w:lvl w:ilvl="0">
      <w:start w:val="1"/>
      <w:numFmt w:val="decimal"/>
      <w:lvlText w:val="%1."/>
      <w:lvlJc w:val="left"/>
      <w:pPr>
        <w:ind w:left="360" w:hanging="360"/>
      </w:pPr>
      <w:rPr>
        <w:color w:val="auto"/>
      </w:rPr>
    </w:lvl>
    <w:lvl w:ilvl="1">
      <w:start w:val="1"/>
      <w:numFmt w:val="decimal"/>
      <w:isLgl/>
      <w:lvlText w:val="%1.%2"/>
      <w:lvlJc w:val="left"/>
      <w:pPr>
        <w:ind w:left="360" w:hanging="360"/>
      </w:pPr>
      <w:rPr>
        <w:rFonts w:hint="default"/>
        <w:b/>
        <w:color w:val="auto"/>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50">
    <w:nsid w:val="33E04394"/>
    <w:multiLevelType w:val="multilevel"/>
    <w:tmpl w:val="AF4EEB5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nsid w:val="34624591"/>
    <w:multiLevelType w:val="hybridMultilevel"/>
    <w:tmpl w:val="CFAC7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50840E3"/>
    <w:multiLevelType w:val="hybridMultilevel"/>
    <w:tmpl w:val="143493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3">
    <w:nsid w:val="356B1569"/>
    <w:multiLevelType w:val="multilevel"/>
    <w:tmpl w:val="2DE65526"/>
    <w:lvl w:ilvl="0">
      <w:start w:val="1"/>
      <w:numFmt w:val="bullet"/>
      <w:lvlText w:val=""/>
      <w:lvlJc w:val="left"/>
      <w:pPr>
        <w:ind w:left="720" w:hanging="360"/>
      </w:pPr>
      <w:rPr>
        <w:rFonts w:ascii="Symbol" w:hAnsi="Symbol" w:hint="default"/>
      </w:rPr>
    </w:lvl>
    <w:lvl w:ilvl="1">
      <w:start w:val="1"/>
      <w:numFmt w:val="bullet"/>
      <w:lvlText w:val=""/>
      <w:lvlJc w:val="left"/>
      <w:pPr>
        <w:ind w:left="1080" w:hanging="720"/>
      </w:pPr>
      <w:rPr>
        <w:rFonts w:ascii="Symbol" w:hAnsi="Symbol"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54">
    <w:nsid w:val="36215953"/>
    <w:multiLevelType w:val="multilevel"/>
    <w:tmpl w:val="1E40FA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nsid w:val="36F22C30"/>
    <w:multiLevelType w:val="hybridMultilevel"/>
    <w:tmpl w:val="AC0E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94834DD"/>
    <w:multiLevelType w:val="hybridMultilevel"/>
    <w:tmpl w:val="96D4A6F6"/>
    <w:lvl w:ilvl="0" w:tplc="1C090001">
      <w:start w:val="1"/>
      <w:numFmt w:val="bullet"/>
      <w:lvlText w:val=""/>
      <w:lvlJc w:val="left"/>
      <w:pPr>
        <w:ind w:left="780" w:hanging="360"/>
      </w:pPr>
      <w:rPr>
        <w:rFonts w:ascii="Symbol" w:hAnsi="Symbol" w:hint="default"/>
      </w:rPr>
    </w:lvl>
    <w:lvl w:ilvl="1" w:tplc="1C090003">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57">
    <w:nsid w:val="39930650"/>
    <w:multiLevelType w:val="hybridMultilevel"/>
    <w:tmpl w:val="13A299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8">
    <w:nsid w:val="3A1323C3"/>
    <w:multiLevelType w:val="hybridMultilevel"/>
    <w:tmpl w:val="45F42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BA13FC6"/>
    <w:multiLevelType w:val="hybridMultilevel"/>
    <w:tmpl w:val="96FCBF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0">
    <w:nsid w:val="3CE42497"/>
    <w:multiLevelType w:val="hybridMultilevel"/>
    <w:tmpl w:val="EEB2AA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1">
    <w:nsid w:val="3F5721E7"/>
    <w:multiLevelType w:val="hybridMultilevel"/>
    <w:tmpl w:val="CA7ED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F8B7EB6"/>
    <w:multiLevelType w:val="hybridMultilevel"/>
    <w:tmpl w:val="E520A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07B5F05"/>
    <w:multiLevelType w:val="hybridMultilevel"/>
    <w:tmpl w:val="08BECB70"/>
    <w:lvl w:ilvl="0" w:tplc="1C090001">
      <w:start w:val="1"/>
      <w:numFmt w:val="bullet"/>
      <w:lvlText w:val=""/>
      <w:lvlJc w:val="left"/>
      <w:pPr>
        <w:ind w:left="779" w:hanging="360"/>
      </w:pPr>
      <w:rPr>
        <w:rFonts w:ascii="Symbol" w:hAnsi="Symbol" w:hint="default"/>
      </w:rPr>
    </w:lvl>
    <w:lvl w:ilvl="1" w:tplc="1C090003" w:tentative="1">
      <w:start w:val="1"/>
      <w:numFmt w:val="bullet"/>
      <w:lvlText w:val="o"/>
      <w:lvlJc w:val="left"/>
      <w:pPr>
        <w:ind w:left="1499" w:hanging="360"/>
      </w:pPr>
      <w:rPr>
        <w:rFonts w:ascii="Courier New" w:hAnsi="Courier New" w:cs="Courier New" w:hint="default"/>
      </w:rPr>
    </w:lvl>
    <w:lvl w:ilvl="2" w:tplc="1C090005" w:tentative="1">
      <w:start w:val="1"/>
      <w:numFmt w:val="bullet"/>
      <w:lvlText w:val=""/>
      <w:lvlJc w:val="left"/>
      <w:pPr>
        <w:ind w:left="2219" w:hanging="360"/>
      </w:pPr>
      <w:rPr>
        <w:rFonts w:ascii="Wingdings" w:hAnsi="Wingdings" w:hint="default"/>
      </w:rPr>
    </w:lvl>
    <w:lvl w:ilvl="3" w:tplc="1C090001" w:tentative="1">
      <w:start w:val="1"/>
      <w:numFmt w:val="bullet"/>
      <w:lvlText w:val=""/>
      <w:lvlJc w:val="left"/>
      <w:pPr>
        <w:ind w:left="2939" w:hanging="360"/>
      </w:pPr>
      <w:rPr>
        <w:rFonts w:ascii="Symbol" w:hAnsi="Symbol" w:hint="default"/>
      </w:rPr>
    </w:lvl>
    <w:lvl w:ilvl="4" w:tplc="1C090003" w:tentative="1">
      <w:start w:val="1"/>
      <w:numFmt w:val="bullet"/>
      <w:lvlText w:val="o"/>
      <w:lvlJc w:val="left"/>
      <w:pPr>
        <w:ind w:left="3659" w:hanging="360"/>
      </w:pPr>
      <w:rPr>
        <w:rFonts w:ascii="Courier New" w:hAnsi="Courier New" w:cs="Courier New" w:hint="default"/>
      </w:rPr>
    </w:lvl>
    <w:lvl w:ilvl="5" w:tplc="1C090005" w:tentative="1">
      <w:start w:val="1"/>
      <w:numFmt w:val="bullet"/>
      <w:lvlText w:val=""/>
      <w:lvlJc w:val="left"/>
      <w:pPr>
        <w:ind w:left="4379" w:hanging="360"/>
      </w:pPr>
      <w:rPr>
        <w:rFonts w:ascii="Wingdings" w:hAnsi="Wingdings" w:hint="default"/>
      </w:rPr>
    </w:lvl>
    <w:lvl w:ilvl="6" w:tplc="1C090001" w:tentative="1">
      <w:start w:val="1"/>
      <w:numFmt w:val="bullet"/>
      <w:lvlText w:val=""/>
      <w:lvlJc w:val="left"/>
      <w:pPr>
        <w:ind w:left="5099" w:hanging="360"/>
      </w:pPr>
      <w:rPr>
        <w:rFonts w:ascii="Symbol" w:hAnsi="Symbol" w:hint="default"/>
      </w:rPr>
    </w:lvl>
    <w:lvl w:ilvl="7" w:tplc="1C090003" w:tentative="1">
      <w:start w:val="1"/>
      <w:numFmt w:val="bullet"/>
      <w:lvlText w:val="o"/>
      <w:lvlJc w:val="left"/>
      <w:pPr>
        <w:ind w:left="5819" w:hanging="360"/>
      </w:pPr>
      <w:rPr>
        <w:rFonts w:ascii="Courier New" w:hAnsi="Courier New" w:cs="Courier New" w:hint="default"/>
      </w:rPr>
    </w:lvl>
    <w:lvl w:ilvl="8" w:tplc="1C090005" w:tentative="1">
      <w:start w:val="1"/>
      <w:numFmt w:val="bullet"/>
      <w:lvlText w:val=""/>
      <w:lvlJc w:val="left"/>
      <w:pPr>
        <w:ind w:left="6539" w:hanging="360"/>
      </w:pPr>
      <w:rPr>
        <w:rFonts w:ascii="Wingdings" w:hAnsi="Wingdings" w:hint="default"/>
      </w:rPr>
    </w:lvl>
  </w:abstractNum>
  <w:abstractNum w:abstractNumId="64">
    <w:nsid w:val="418B3188"/>
    <w:multiLevelType w:val="hybridMultilevel"/>
    <w:tmpl w:val="DC30BF8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5">
    <w:nsid w:val="428A662C"/>
    <w:multiLevelType w:val="hybridMultilevel"/>
    <w:tmpl w:val="05B2D3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6">
    <w:nsid w:val="440823E9"/>
    <w:multiLevelType w:val="hybridMultilevel"/>
    <w:tmpl w:val="95F663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7">
    <w:nsid w:val="4B55514C"/>
    <w:multiLevelType w:val="hybridMultilevel"/>
    <w:tmpl w:val="2D269610"/>
    <w:lvl w:ilvl="0" w:tplc="1C090001">
      <w:start w:val="1"/>
      <w:numFmt w:val="bullet"/>
      <w:lvlText w:val=""/>
      <w:lvlJc w:val="left"/>
      <w:pPr>
        <w:ind w:left="782" w:hanging="360"/>
      </w:pPr>
      <w:rPr>
        <w:rFonts w:ascii="Symbol" w:hAnsi="Symbol" w:hint="default"/>
      </w:rPr>
    </w:lvl>
    <w:lvl w:ilvl="1" w:tplc="1C090003" w:tentative="1">
      <w:start w:val="1"/>
      <w:numFmt w:val="bullet"/>
      <w:lvlText w:val="o"/>
      <w:lvlJc w:val="left"/>
      <w:pPr>
        <w:ind w:left="1502" w:hanging="360"/>
      </w:pPr>
      <w:rPr>
        <w:rFonts w:ascii="Courier New" w:hAnsi="Courier New" w:cs="Courier New" w:hint="default"/>
      </w:rPr>
    </w:lvl>
    <w:lvl w:ilvl="2" w:tplc="1C090005" w:tentative="1">
      <w:start w:val="1"/>
      <w:numFmt w:val="bullet"/>
      <w:lvlText w:val=""/>
      <w:lvlJc w:val="left"/>
      <w:pPr>
        <w:ind w:left="2222" w:hanging="360"/>
      </w:pPr>
      <w:rPr>
        <w:rFonts w:ascii="Wingdings" w:hAnsi="Wingdings" w:hint="default"/>
      </w:rPr>
    </w:lvl>
    <w:lvl w:ilvl="3" w:tplc="1C090001" w:tentative="1">
      <w:start w:val="1"/>
      <w:numFmt w:val="bullet"/>
      <w:lvlText w:val=""/>
      <w:lvlJc w:val="left"/>
      <w:pPr>
        <w:ind w:left="2942" w:hanging="360"/>
      </w:pPr>
      <w:rPr>
        <w:rFonts w:ascii="Symbol" w:hAnsi="Symbol" w:hint="default"/>
      </w:rPr>
    </w:lvl>
    <w:lvl w:ilvl="4" w:tplc="1C090003" w:tentative="1">
      <w:start w:val="1"/>
      <w:numFmt w:val="bullet"/>
      <w:lvlText w:val="o"/>
      <w:lvlJc w:val="left"/>
      <w:pPr>
        <w:ind w:left="3662" w:hanging="360"/>
      </w:pPr>
      <w:rPr>
        <w:rFonts w:ascii="Courier New" w:hAnsi="Courier New" w:cs="Courier New" w:hint="default"/>
      </w:rPr>
    </w:lvl>
    <w:lvl w:ilvl="5" w:tplc="1C090005" w:tentative="1">
      <w:start w:val="1"/>
      <w:numFmt w:val="bullet"/>
      <w:lvlText w:val=""/>
      <w:lvlJc w:val="left"/>
      <w:pPr>
        <w:ind w:left="4382" w:hanging="360"/>
      </w:pPr>
      <w:rPr>
        <w:rFonts w:ascii="Wingdings" w:hAnsi="Wingdings" w:hint="default"/>
      </w:rPr>
    </w:lvl>
    <w:lvl w:ilvl="6" w:tplc="1C090001" w:tentative="1">
      <w:start w:val="1"/>
      <w:numFmt w:val="bullet"/>
      <w:lvlText w:val=""/>
      <w:lvlJc w:val="left"/>
      <w:pPr>
        <w:ind w:left="5102" w:hanging="360"/>
      </w:pPr>
      <w:rPr>
        <w:rFonts w:ascii="Symbol" w:hAnsi="Symbol" w:hint="default"/>
      </w:rPr>
    </w:lvl>
    <w:lvl w:ilvl="7" w:tplc="1C090003" w:tentative="1">
      <w:start w:val="1"/>
      <w:numFmt w:val="bullet"/>
      <w:lvlText w:val="o"/>
      <w:lvlJc w:val="left"/>
      <w:pPr>
        <w:ind w:left="5822" w:hanging="360"/>
      </w:pPr>
      <w:rPr>
        <w:rFonts w:ascii="Courier New" w:hAnsi="Courier New" w:cs="Courier New" w:hint="default"/>
      </w:rPr>
    </w:lvl>
    <w:lvl w:ilvl="8" w:tplc="1C090005" w:tentative="1">
      <w:start w:val="1"/>
      <w:numFmt w:val="bullet"/>
      <w:lvlText w:val=""/>
      <w:lvlJc w:val="left"/>
      <w:pPr>
        <w:ind w:left="6542" w:hanging="360"/>
      </w:pPr>
      <w:rPr>
        <w:rFonts w:ascii="Wingdings" w:hAnsi="Wingdings" w:hint="default"/>
      </w:rPr>
    </w:lvl>
  </w:abstractNum>
  <w:abstractNum w:abstractNumId="68">
    <w:nsid w:val="4C372D52"/>
    <w:multiLevelType w:val="hybridMultilevel"/>
    <w:tmpl w:val="CA048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2861AC5"/>
    <w:multiLevelType w:val="hybridMultilevel"/>
    <w:tmpl w:val="7AE649D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0">
    <w:nsid w:val="543E1145"/>
    <w:multiLevelType w:val="multilevel"/>
    <w:tmpl w:val="2DE65526"/>
    <w:lvl w:ilvl="0">
      <w:start w:val="1"/>
      <w:numFmt w:val="bullet"/>
      <w:lvlText w:val=""/>
      <w:lvlJc w:val="left"/>
      <w:pPr>
        <w:ind w:left="720" w:hanging="360"/>
      </w:pPr>
      <w:rPr>
        <w:rFonts w:ascii="Symbol" w:hAnsi="Symbol" w:hint="default"/>
      </w:rPr>
    </w:lvl>
    <w:lvl w:ilvl="1">
      <w:start w:val="1"/>
      <w:numFmt w:val="bullet"/>
      <w:lvlText w:val=""/>
      <w:lvlJc w:val="left"/>
      <w:pPr>
        <w:ind w:left="1080" w:hanging="720"/>
      </w:pPr>
      <w:rPr>
        <w:rFonts w:ascii="Symbol" w:hAnsi="Symbol"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71">
    <w:nsid w:val="55F978F2"/>
    <w:multiLevelType w:val="hybridMultilevel"/>
    <w:tmpl w:val="378A0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63E6092"/>
    <w:multiLevelType w:val="hybridMultilevel"/>
    <w:tmpl w:val="094CFB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3">
    <w:nsid w:val="572A39B6"/>
    <w:multiLevelType w:val="hybridMultilevel"/>
    <w:tmpl w:val="711848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4">
    <w:nsid w:val="59EB5000"/>
    <w:multiLevelType w:val="hybridMultilevel"/>
    <w:tmpl w:val="BE08B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B225FCB"/>
    <w:multiLevelType w:val="hybridMultilevel"/>
    <w:tmpl w:val="74427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5C3D4C7E"/>
    <w:multiLevelType w:val="hybridMultilevel"/>
    <w:tmpl w:val="81E6B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D182DAC"/>
    <w:multiLevelType w:val="hybridMultilevel"/>
    <w:tmpl w:val="991439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8">
    <w:nsid w:val="5D682B7F"/>
    <w:multiLevelType w:val="multilevel"/>
    <w:tmpl w:val="B18CCDE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nsid w:val="5D694134"/>
    <w:multiLevelType w:val="hybridMultilevel"/>
    <w:tmpl w:val="59242F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0">
    <w:nsid w:val="5E7870B8"/>
    <w:multiLevelType w:val="hybridMultilevel"/>
    <w:tmpl w:val="26A0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ECA3470"/>
    <w:multiLevelType w:val="hybridMultilevel"/>
    <w:tmpl w:val="B922E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5F1B4F06"/>
    <w:multiLevelType w:val="hybridMultilevel"/>
    <w:tmpl w:val="C8A86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3">
    <w:nsid w:val="5F493EDF"/>
    <w:multiLevelType w:val="multilevel"/>
    <w:tmpl w:val="4106E0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4">
    <w:nsid w:val="60EF0496"/>
    <w:multiLevelType w:val="hybridMultilevel"/>
    <w:tmpl w:val="3B3AA9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5">
    <w:nsid w:val="619010B3"/>
    <w:multiLevelType w:val="hybridMultilevel"/>
    <w:tmpl w:val="928A6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61CA3FAE"/>
    <w:multiLevelType w:val="hybridMultilevel"/>
    <w:tmpl w:val="F68E651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7">
    <w:nsid w:val="637A78BA"/>
    <w:multiLevelType w:val="hybridMultilevel"/>
    <w:tmpl w:val="989AE6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8">
    <w:nsid w:val="6393588B"/>
    <w:multiLevelType w:val="hybridMultilevel"/>
    <w:tmpl w:val="4A18F7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9">
    <w:nsid w:val="6518111C"/>
    <w:multiLevelType w:val="hybridMultilevel"/>
    <w:tmpl w:val="00480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5D72D27"/>
    <w:multiLevelType w:val="hybridMultilevel"/>
    <w:tmpl w:val="E20094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1">
    <w:nsid w:val="6746316A"/>
    <w:multiLevelType w:val="hybridMultilevel"/>
    <w:tmpl w:val="F380F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67D76779"/>
    <w:multiLevelType w:val="hybridMultilevel"/>
    <w:tmpl w:val="A71C8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67EF06BD"/>
    <w:multiLevelType w:val="hybridMultilevel"/>
    <w:tmpl w:val="74B6FF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4">
    <w:nsid w:val="6C3875FE"/>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nsid w:val="6DC159AB"/>
    <w:multiLevelType w:val="hybridMultilevel"/>
    <w:tmpl w:val="9CB419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6">
    <w:nsid w:val="70082963"/>
    <w:multiLevelType w:val="multilevel"/>
    <w:tmpl w:val="04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nsid w:val="71A221EA"/>
    <w:multiLevelType w:val="multilevel"/>
    <w:tmpl w:val="9546142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nsid w:val="71DA7CDD"/>
    <w:multiLevelType w:val="hybridMultilevel"/>
    <w:tmpl w:val="F01E78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9">
    <w:nsid w:val="72556AB2"/>
    <w:multiLevelType w:val="hybridMultilevel"/>
    <w:tmpl w:val="F96E839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0">
    <w:nsid w:val="733C17AB"/>
    <w:multiLevelType w:val="hybridMultilevel"/>
    <w:tmpl w:val="9FF2B5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1">
    <w:nsid w:val="73AA1C2D"/>
    <w:multiLevelType w:val="multilevel"/>
    <w:tmpl w:val="1F9C102E"/>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2">
    <w:nsid w:val="73D879C1"/>
    <w:multiLevelType w:val="multilevel"/>
    <w:tmpl w:val="2DE65526"/>
    <w:lvl w:ilvl="0">
      <w:start w:val="1"/>
      <w:numFmt w:val="bullet"/>
      <w:lvlText w:val=""/>
      <w:lvlJc w:val="left"/>
      <w:pPr>
        <w:ind w:left="720" w:hanging="360"/>
      </w:pPr>
      <w:rPr>
        <w:rFonts w:ascii="Symbol" w:hAnsi="Symbol" w:hint="default"/>
      </w:rPr>
    </w:lvl>
    <w:lvl w:ilvl="1">
      <w:start w:val="1"/>
      <w:numFmt w:val="bullet"/>
      <w:lvlText w:val=""/>
      <w:lvlJc w:val="left"/>
      <w:pPr>
        <w:ind w:left="1080" w:hanging="720"/>
      </w:pPr>
      <w:rPr>
        <w:rFonts w:ascii="Symbol" w:hAnsi="Symbol"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103">
    <w:nsid w:val="747E52D6"/>
    <w:multiLevelType w:val="hybridMultilevel"/>
    <w:tmpl w:val="C1324538"/>
    <w:lvl w:ilvl="0" w:tplc="BC5E0358">
      <w:start w:val="1"/>
      <w:numFmt w:val="decimal"/>
      <w:lvlText w:val="(%1)"/>
      <w:lvlJc w:val="left"/>
      <w:pPr>
        <w:ind w:left="430" w:hanging="37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104">
    <w:nsid w:val="748D087D"/>
    <w:multiLevelType w:val="hybridMultilevel"/>
    <w:tmpl w:val="E1C2839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5">
    <w:nsid w:val="754C4381"/>
    <w:multiLevelType w:val="hybridMultilevel"/>
    <w:tmpl w:val="ED5A29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6">
    <w:nsid w:val="79C26D27"/>
    <w:multiLevelType w:val="hybridMultilevel"/>
    <w:tmpl w:val="8578F5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7">
    <w:nsid w:val="7C023CD8"/>
    <w:multiLevelType w:val="multilevel"/>
    <w:tmpl w:val="F392BF8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nsid w:val="7C4B2420"/>
    <w:multiLevelType w:val="hybridMultilevel"/>
    <w:tmpl w:val="51C2DD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9">
    <w:nsid w:val="7D79568F"/>
    <w:multiLevelType w:val="hybridMultilevel"/>
    <w:tmpl w:val="EF3EA1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233" w:hanging="360"/>
      </w:pPr>
      <w:rPr>
        <w:rFonts w:ascii="Courier New" w:hAnsi="Courier New" w:cs="Courier New" w:hint="default"/>
      </w:rPr>
    </w:lvl>
    <w:lvl w:ilvl="2" w:tplc="1C090005" w:tentative="1">
      <w:start w:val="1"/>
      <w:numFmt w:val="bullet"/>
      <w:lvlText w:val=""/>
      <w:lvlJc w:val="left"/>
      <w:pPr>
        <w:ind w:left="1953" w:hanging="360"/>
      </w:pPr>
      <w:rPr>
        <w:rFonts w:ascii="Wingdings" w:hAnsi="Wingdings" w:hint="default"/>
      </w:rPr>
    </w:lvl>
    <w:lvl w:ilvl="3" w:tplc="1C090001" w:tentative="1">
      <w:start w:val="1"/>
      <w:numFmt w:val="bullet"/>
      <w:lvlText w:val=""/>
      <w:lvlJc w:val="left"/>
      <w:pPr>
        <w:ind w:left="2673" w:hanging="360"/>
      </w:pPr>
      <w:rPr>
        <w:rFonts w:ascii="Symbol" w:hAnsi="Symbol" w:hint="default"/>
      </w:rPr>
    </w:lvl>
    <w:lvl w:ilvl="4" w:tplc="1C090003" w:tentative="1">
      <w:start w:val="1"/>
      <w:numFmt w:val="bullet"/>
      <w:lvlText w:val="o"/>
      <w:lvlJc w:val="left"/>
      <w:pPr>
        <w:ind w:left="3393" w:hanging="360"/>
      </w:pPr>
      <w:rPr>
        <w:rFonts w:ascii="Courier New" w:hAnsi="Courier New" w:cs="Courier New" w:hint="default"/>
      </w:rPr>
    </w:lvl>
    <w:lvl w:ilvl="5" w:tplc="1C090005" w:tentative="1">
      <w:start w:val="1"/>
      <w:numFmt w:val="bullet"/>
      <w:lvlText w:val=""/>
      <w:lvlJc w:val="left"/>
      <w:pPr>
        <w:ind w:left="4113" w:hanging="360"/>
      </w:pPr>
      <w:rPr>
        <w:rFonts w:ascii="Wingdings" w:hAnsi="Wingdings" w:hint="default"/>
      </w:rPr>
    </w:lvl>
    <w:lvl w:ilvl="6" w:tplc="1C090001" w:tentative="1">
      <w:start w:val="1"/>
      <w:numFmt w:val="bullet"/>
      <w:lvlText w:val=""/>
      <w:lvlJc w:val="left"/>
      <w:pPr>
        <w:ind w:left="4833" w:hanging="360"/>
      </w:pPr>
      <w:rPr>
        <w:rFonts w:ascii="Symbol" w:hAnsi="Symbol" w:hint="default"/>
      </w:rPr>
    </w:lvl>
    <w:lvl w:ilvl="7" w:tplc="1C090003" w:tentative="1">
      <w:start w:val="1"/>
      <w:numFmt w:val="bullet"/>
      <w:lvlText w:val="o"/>
      <w:lvlJc w:val="left"/>
      <w:pPr>
        <w:ind w:left="5553" w:hanging="360"/>
      </w:pPr>
      <w:rPr>
        <w:rFonts w:ascii="Courier New" w:hAnsi="Courier New" w:cs="Courier New" w:hint="default"/>
      </w:rPr>
    </w:lvl>
    <w:lvl w:ilvl="8" w:tplc="1C090005" w:tentative="1">
      <w:start w:val="1"/>
      <w:numFmt w:val="bullet"/>
      <w:lvlText w:val=""/>
      <w:lvlJc w:val="left"/>
      <w:pPr>
        <w:ind w:left="6273" w:hanging="360"/>
      </w:pPr>
      <w:rPr>
        <w:rFonts w:ascii="Wingdings" w:hAnsi="Wingdings" w:hint="default"/>
      </w:rPr>
    </w:lvl>
  </w:abstractNum>
  <w:num w:numId="1">
    <w:abstractNumId w:val="42"/>
  </w:num>
  <w:num w:numId="2">
    <w:abstractNumId w:val="22"/>
  </w:num>
  <w:num w:numId="3">
    <w:abstractNumId w:val="69"/>
  </w:num>
  <w:num w:numId="4">
    <w:abstractNumId w:val="52"/>
  </w:num>
  <w:num w:numId="5">
    <w:abstractNumId w:val="7"/>
  </w:num>
  <w:num w:numId="6">
    <w:abstractNumId w:val="50"/>
  </w:num>
  <w:num w:numId="7">
    <w:abstractNumId w:val="29"/>
  </w:num>
  <w:num w:numId="8">
    <w:abstractNumId w:val="56"/>
  </w:num>
  <w:num w:numId="9">
    <w:abstractNumId w:val="5"/>
  </w:num>
  <w:num w:numId="10">
    <w:abstractNumId w:val="63"/>
  </w:num>
  <w:num w:numId="11">
    <w:abstractNumId w:val="43"/>
  </w:num>
  <w:num w:numId="12">
    <w:abstractNumId w:val="105"/>
  </w:num>
  <w:num w:numId="13">
    <w:abstractNumId w:val="79"/>
  </w:num>
  <w:num w:numId="14">
    <w:abstractNumId w:val="8"/>
  </w:num>
  <w:num w:numId="15">
    <w:abstractNumId w:val="67"/>
  </w:num>
  <w:num w:numId="16">
    <w:abstractNumId w:val="16"/>
  </w:num>
  <w:num w:numId="17">
    <w:abstractNumId w:val="54"/>
  </w:num>
  <w:num w:numId="18">
    <w:abstractNumId w:val="17"/>
  </w:num>
  <w:num w:numId="19">
    <w:abstractNumId w:val="78"/>
  </w:num>
  <w:num w:numId="20">
    <w:abstractNumId w:val="23"/>
  </w:num>
  <w:num w:numId="21">
    <w:abstractNumId w:val="38"/>
  </w:num>
  <w:num w:numId="22">
    <w:abstractNumId w:val="88"/>
  </w:num>
  <w:num w:numId="23">
    <w:abstractNumId w:val="31"/>
  </w:num>
  <w:num w:numId="24">
    <w:abstractNumId w:val="77"/>
  </w:num>
  <w:num w:numId="25">
    <w:abstractNumId w:val="32"/>
  </w:num>
  <w:num w:numId="26">
    <w:abstractNumId w:val="41"/>
  </w:num>
  <w:num w:numId="27">
    <w:abstractNumId w:val="94"/>
  </w:num>
  <w:num w:numId="28">
    <w:abstractNumId w:val="34"/>
  </w:num>
  <w:num w:numId="29">
    <w:abstractNumId w:val="103"/>
  </w:num>
  <w:num w:numId="30">
    <w:abstractNumId w:val="2"/>
  </w:num>
  <w:num w:numId="31">
    <w:abstractNumId w:val="53"/>
  </w:num>
  <w:num w:numId="32">
    <w:abstractNumId w:val="70"/>
  </w:num>
  <w:num w:numId="33">
    <w:abstractNumId w:val="102"/>
  </w:num>
  <w:num w:numId="34">
    <w:abstractNumId w:val="10"/>
  </w:num>
  <w:num w:numId="35">
    <w:abstractNumId w:val="3"/>
  </w:num>
  <w:num w:numId="36">
    <w:abstractNumId w:val="20"/>
  </w:num>
  <w:num w:numId="37">
    <w:abstractNumId w:val="93"/>
  </w:num>
  <w:num w:numId="38">
    <w:abstractNumId w:val="87"/>
  </w:num>
  <w:num w:numId="39">
    <w:abstractNumId w:val="68"/>
  </w:num>
  <w:num w:numId="40">
    <w:abstractNumId w:val="39"/>
  </w:num>
  <w:num w:numId="41">
    <w:abstractNumId w:val="96"/>
  </w:num>
  <w:num w:numId="42">
    <w:abstractNumId w:val="44"/>
  </w:num>
  <w:num w:numId="43">
    <w:abstractNumId w:val="106"/>
  </w:num>
  <w:num w:numId="44">
    <w:abstractNumId w:val="21"/>
  </w:num>
  <w:num w:numId="45">
    <w:abstractNumId w:val="15"/>
  </w:num>
  <w:num w:numId="46">
    <w:abstractNumId w:val="48"/>
  </w:num>
  <w:num w:numId="47">
    <w:abstractNumId w:val="65"/>
  </w:num>
  <w:num w:numId="48">
    <w:abstractNumId w:val="104"/>
  </w:num>
  <w:num w:numId="49">
    <w:abstractNumId w:val="82"/>
  </w:num>
  <w:num w:numId="50">
    <w:abstractNumId w:val="72"/>
  </w:num>
  <w:num w:numId="51">
    <w:abstractNumId w:val="73"/>
  </w:num>
  <w:num w:numId="52">
    <w:abstractNumId w:val="33"/>
  </w:num>
  <w:num w:numId="53">
    <w:abstractNumId w:val="1"/>
  </w:num>
  <w:num w:numId="54">
    <w:abstractNumId w:val="24"/>
  </w:num>
  <w:num w:numId="55">
    <w:abstractNumId w:val="101"/>
  </w:num>
  <w:num w:numId="56">
    <w:abstractNumId w:val="46"/>
  </w:num>
  <w:num w:numId="57">
    <w:abstractNumId w:val="9"/>
  </w:num>
  <w:num w:numId="58">
    <w:abstractNumId w:val="75"/>
  </w:num>
  <w:num w:numId="59">
    <w:abstractNumId w:val="58"/>
  </w:num>
  <w:num w:numId="60">
    <w:abstractNumId w:val="61"/>
  </w:num>
  <w:num w:numId="61">
    <w:abstractNumId w:val="35"/>
  </w:num>
  <w:num w:numId="62">
    <w:abstractNumId w:val="81"/>
  </w:num>
  <w:num w:numId="63">
    <w:abstractNumId w:val="89"/>
  </w:num>
  <w:num w:numId="64">
    <w:abstractNumId w:val="51"/>
  </w:num>
  <w:num w:numId="65">
    <w:abstractNumId w:val="108"/>
  </w:num>
  <w:num w:numId="66">
    <w:abstractNumId w:val="26"/>
  </w:num>
  <w:num w:numId="67">
    <w:abstractNumId w:val="83"/>
  </w:num>
  <w:num w:numId="68">
    <w:abstractNumId w:val="107"/>
  </w:num>
  <w:num w:numId="69">
    <w:abstractNumId w:val="37"/>
  </w:num>
  <w:num w:numId="70">
    <w:abstractNumId w:val="11"/>
  </w:num>
  <w:num w:numId="71">
    <w:abstractNumId w:val="49"/>
  </w:num>
  <w:num w:numId="72">
    <w:abstractNumId w:val="19"/>
  </w:num>
  <w:num w:numId="73">
    <w:abstractNumId w:val="57"/>
  </w:num>
  <w:num w:numId="74">
    <w:abstractNumId w:val="99"/>
  </w:num>
  <w:num w:numId="75">
    <w:abstractNumId w:val="13"/>
  </w:num>
  <w:num w:numId="76">
    <w:abstractNumId w:val="59"/>
  </w:num>
  <w:num w:numId="77">
    <w:abstractNumId w:val="84"/>
  </w:num>
  <w:num w:numId="78">
    <w:abstractNumId w:val="95"/>
  </w:num>
  <w:num w:numId="79">
    <w:abstractNumId w:val="0"/>
  </w:num>
  <w:num w:numId="80">
    <w:abstractNumId w:val="100"/>
  </w:num>
  <w:num w:numId="81">
    <w:abstractNumId w:val="18"/>
  </w:num>
  <w:num w:numId="82">
    <w:abstractNumId w:val="45"/>
  </w:num>
  <w:num w:numId="83">
    <w:abstractNumId w:val="40"/>
  </w:num>
  <w:num w:numId="84">
    <w:abstractNumId w:val="60"/>
  </w:num>
  <w:num w:numId="85">
    <w:abstractNumId w:val="66"/>
  </w:num>
  <w:num w:numId="86">
    <w:abstractNumId w:val="109"/>
  </w:num>
  <w:num w:numId="87">
    <w:abstractNumId w:val="6"/>
  </w:num>
  <w:num w:numId="88">
    <w:abstractNumId w:val="30"/>
  </w:num>
  <w:num w:numId="89">
    <w:abstractNumId w:val="12"/>
  </w:num>
  <w:num w:numId="90">
    <w:abstractNumId w:val="97"/>
  </w:num>
  <w:num w:numId="91">
    <w:abstractNumId w:val="4"/>
  </w:num>
  <w:num w:numId="92">
    <w:abstractNumId w:val="98"/>
  </w:num>
  <w:num w:numId="93">
    <w:abstractNumId w:val="25"/>
  </w:num>
  <w:num w:numId="94">
    <w:abstractNumId w:val="90"/>
  </w:num>
  <w:num w:numId="95">
    <w:abstractNumId w:val="47"/>
  </w:num>
  <w:num w:numId="96">
    <w:abstractNumId w:val="14"/>
  </w:num>
  <w:num w:numId="97">
    <w:abstractNumId w:val="36"/>
  </w:num>
  <w:num w:numId="98">
    <w:abstractNumId w:val="76"/>
  </w:num>
  <w:num w:numId="99">
    <w:abstractNumId w:val="55"/>
  </w:num>
  <w:num w:numId="100">
    <w:abstractNumId w:val="28"/>
  </w:num>
  <w:num w:numId="101">
    <w:abstractNumId w:val="85"/>
  </w:num>
  <w:num w:numId="102">
    <w:abstractNumId w:val="62"/>
  </w:num>
  <w:num w:numId="103">
    <w:abstractNumId w:val="92"/>
  </w:num>
  <w:num w:numId="104">
    <w:abstractNumId w:val="91"/>
  </w:num>
  <w:num w:numId="105">
    <w:abstractNumId w:val="27"/>
  </w:num>
  <w:num w:numId="106">
    <w:abstractNumId w:val="74"/>
  </w:num>
  <w:num w:numId="107">
    <w:abstractNumId w:val="80"/>
  </w:num>
  <w:num w:numId="108">
    <w:abstractNumId w:val="86"/>
  </w:num>
  <w:num w:numId="109">
    <w:abstractNumId w:val="64"/>
  </w:num>
  <w:num w:numId="110">
    <w:abstractNumId w:val="71"/>
  </w:num>
  <w:numIdMacAtCleanup w:val="10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93"/>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BD5AB0"/>
    <w:rsid w:val="00000707"/>
    <w:rsid w:val="000007D0"/>
    <w:rsid w:val="00000B83"/>
    <w:rsid w:val="00000E3E"/>
    <w:rsid w:val="000013B7"/>
    <w:rsid w:val="00001B6A"/>
    <w:rsid w:val="00001C3B"/>
    <w:rsid w:val="0000213B"/>
    <w:rsid w:val="00002266"/>
    <w:rsid w:val="000024C4"/>
    <w:rsid w:val="00002BD8"/>
    <w:rsid w:val="000045C0"/>
    <w:rsid w:val="00004DD1"/>
    <w:rsid w:val="000070B3"/>
    <w:rsid w:val="000077CA"/>
    <w:rsid w:val="00010449"/>
    <w:rsid w:val="00011990"/>
    <w:rsid w:val="000123FF"/>
    <w:rsid w:val="00012C75"/>
    <w:rsid w:val="00013966"/>
    <w:rsid w:val="00013C4E"/>
    <w:rsid w:val="0001418A"/>
    <w:rsid w:val="00014D6B"/>
    <w:rsid w:val="00014DB3"/>
    <w:rsid w:val="000157F9"/>
    <w:rsid w:val="00015D19"/>
    <w:rsid w:val="00015FED"/>
    <w:rsid w:val="00016255"/>
    <w:rsid w:val="00017BAC"/>
    <w:rsid w:val="0002086F"/>
    <w:rsid w:val="00020C7F"/>
    <w:rsid w:val="00022736"/>
    <w:rsid w:val="00022848"/>
    <w:rsid w:val="00022AF4"/>
    <w:rsid w:val="00022C36"/>
    <w:rsid w:val="000237B6"/>
    <w:rsid w:val="000240DB"/>
    <w:rsid w:val="00024CC2"/>
    <w:rsid w:val="00024D97"/>
    <w:rsid w:val="000250AF"/>
    <w:rsid w:val="00025527"/>
    <w:rsid w:val="0002610D"/>
    <w:rsid w:val="00026AF9"/>
    <w:rsid w:val="00026CC3"/>
    <w:rsid w:val="00026FA7"/>
    <w:rsid w:val="000271C6"/>
    <w:rsid w:val="00030571"/>
    <w:rsid w:val="00030895"/>
    <w:rsid w:val="00030A1C"/>
    <w:rsid w:val="0003122F"/>
    <w:rsid w:val="000313E1"/>
    <w:rsid w:val="000322C6"/>
    <w:rsid w:val="000331B6"/>
    <w:rsid w:val="000337C3"/>
    <w:rsid w:val="00033DE3"/>
    <w:rsid w:val="00033FD6"/>
    <w:rsid w:val="00034496"/>
    <w:rsid w:val="00036021"/>
    <w:rsid w:val="00036334"/>
    <w:rsid w:val="0003670C"/>
    <w:rsid w:val="000377DC"/>
    <w:rsid w:val="000400C9"/>
    <w:rsid w:val="0004044E"/>
    <w:rsid w:val="000414B0"/>
    <w:rsid w:val="00041991"/>
    <w:rsid w:val="00041CAB"/>
    <w:rsid w:val="000420C2"/>
    <w:rsid w:val="00042209"/>
    <w:rsid w:val="00042343"/>
    <w:rsid w:val="00044002"/>
    <w:rsid w:val="00044663"/>
    <w:rsid w:val="00044882"/>
    <w:rsid w:val="000458AB"/>
    <w:rsid w:val="000459A5"/>
    <w:rsid w:val="000474CE"/>
    <w:rsid w:val="00047509"/>
    <w:rsid w:val="00047738"/>
    <w:rsid w:val="00047ECB"/>
    <w:rsid w:val="00051AFB"/>
    <w:rsid w:val="00052C26"/>
    <w:rsid w:val="000530B0"/>
    <w:rsid w:val="00053210"/>
    <w:rsid w:val="00053E3D"/>
    <w:rsid w:val="0005529B"/>
    <w:rsid w:val="000552BA"/>
    <w:rsid w:val="0005599D"/>
    <w:rsid w:val="00055CF1"/>
    <w:rsid w:val="00055E21"/>
    <w:rsid w:val="00056941"/>
    <w:rsid w:val="00057510"/>
    <w:rsid w:val="000577A2"/>
    <w:rsid w:val="000578CE"/>
    <w:rsid w:val="00057CC1"/>
    <w:rsid w:val="00057E02"/>
    <w:rsid w:val="000605DE"/>
    <w:rsid w:val="00060758"/>
    <w:rsid w:val="00060CC3"/>
    <w:rsid w:val="000614F9"/>
    <w:rsid w:val="0006182E"/>
    <w:rsid w:val="00061FE8"/>
    <w:rsid w:val="00062633"/>
    <w:rsid w:val="00062809"/>
    <w:rsid w:val="00063E4F"/>
    <w:rsid w:val="00064AEC"/>
    <w:rsid w:val="00065366"/>
    <w:rsid w:val="00066486"/>
    <w:rsid w:val="00066A81"/>
    <w:rsid w:val="00067509"/>
    <w:rsid w:val="00067664"/>
    <w:rsid w:val="00067B1D"/>
    <w:rsid w:val="000700AE"/>
    <w:rsid w:val="0007094D"/>
    <w:rsid w:val="00070AD6"/>
    <w:rsid w:val="00070E7C"/>
    <w:rsid w:val="00070E9C"/>
    <w:rsid w:val="000717D8"/>
    <w:rsid w:val="000725E2"/>
    <w:rsid w:val="00072673"/>
    <w:rsid w:val="00073240"/>
    <w:rsid w:val="00073586"/>
    <w:rsid w:val="0007369A"/>
    <w:rsid w:val="000739B8"/>
    <w:rsid w:val="00073F1C"/>
    <w:rsid w:val="00074769"/>
    <w:rsid w:val="00074E37"/>
    <w:rsid w:val="000750FE"/>
    <w:rsid w:val="000752F9"/>
    <w:rsid w:val="0007556C"/>
    <w:rsid w:val="000760BB"/>
    <w:rsid w:val="00076315"/>
    <w:rsid w:val="00076B59"/>
    <w:rsid w:val="00076C11"/>
    <w:rsid w:val="0007753C"/>
    <w:rsid w:val="000778B0"/>
    <w:rsid w:val="00077C09"/>
    <w:rsid w:val="00080C1D"/>
    <w:rsid w:val="000812D7"/>
    <w:rsid w:val="00081620"/>
    <w:rsid w:val="0008170D"/>
    <w:rsid w:val="00081F1D"/>
    <w:rsid w:val="00082526"/>
    <w:rsid w:val="0008373B"/>
    <w:rsid w:val="00083B03"/>
    <w:rsid w:val="00083E0A"/>
    <w:rsid w:val="000844C7"/>
    <w:rsid w:val="00084E33"/>
    <w:rsid w:val="0008522C"/>
    <w:rsid w:val="00085255"/>
    <w:rsid w:val="00085512"/>
    <w:rsid w:val="00085995"/>
    <w:rsid w:val="00085BAF"/>
    <w:rsid w:val="00085BE9"/>
    <w:rsid w:val="000867AE"/>
    <w:rsid w:val="0008739D"/>
    <w:rsid w:val="00087D53"/>
    <w:rsid w:val="000908F4"/>
    <w:rsid w:val="00090A7D"/>
    <w:rsid w:val="000920FD"/>
    <w:rsid w:val="00092432"/>
    <w:rsid w:val="00092A87"/>
    <w:rsid w:val="00092AAA"/>
    <w:rsid w:val="000934F5"/>
    <w:rsid w:val="0009447E"/>
    <w:rsid w:val="00094B5C"/>
    <w:rsid w:val="00094D0D"/>
    <w:rsid w:val="0009501B"/>
    <w:rsid w:val="00095F4B"/>
    <w:rsid w:val="0009650C"/>
    <w:rsid w:val="000969FF"/>
    <w:rsid w:val="000A0410"/>
    <w:rsid w:val="000A07C4"/>
    <w:rsid w:val="000A1AE3"/>
    <w:rsid w:val="000A1D45"/>
    <w:rsid w:val="000A2749"/>
    <w:rsid w:val="000A2BE2"/>
    <w:rsid w:val="000A3F94"/>
    <w:rsid w:val="000A4299"/>
    <w:rsid w:val="000A50AE"/>
    <w:rsid w:val="000A52D3"/>
    <w:rsid w:val="000A53F6"/>
    <w:rsid w:val="000A55DD"/>
    <w:rsid w:val="000A59C9"/>
    <w:rsid w:val="000A5AAF"/>
    <w:rsid w:val="000A6240"/>
    <w:rsid w:val="000A67A7"/>
    <w:rsid w:val="000A7DE4"/>
    <w:rsid w:val="000B04F0"/>
    <w:rsid w:val="000B0A37"/>
    <w:rsid w:val="000B0A56"/>
    <w:rsid w:val="000B0C8F"/>
    <w:rsid w:val="000B14A2"/>
    <w:rsid w:val="000B16B9"/>
    <w:rsid w:val="000B1A6C"/>
    <w:rsid w:val="000B1E74"/>
    <w:rsid w:val="000B296C"/>
    <w:rsid w:val="000B2BF1"/>
    <w:rsid w:val="000B2E6F"/>
    <w:rsid w:val="000B48B3"/>
    <w:rsid w:val="000B4B05"/>
    <w:rsid w:val="000B4CA4"/>
    <w:rsid w:val="000B4E33"/>
    <w:rsid w:val="000B4F08"/>
    <w:rsid w:val="000B523D"/>
    <w:rsid w:val="000B55D9"/>
    <w:rsid w:val="000B693C"/>
    <w:rsid w:val="000C0064"/>
    <w:rsid w:val="000C0F58"/>
    <w:rsid w:val="000C11C1"/>
    <w:rsid w:val="000C2736"/>
    <w:rsid w:val="000C2E70"/>
    <w:rsid w:val="000C3F92"/>
    <w:rsid w:val="000C4E32"/>
    <w:rsid w:val="000C551E"/>
    <w:rsid w:val="000C5AB7"/>
    <w:rsid w:val="000C5C1E"/>
    <w:rsid w:val="000C5DFD"/>
    <w:rsid w:val="000C665A"/>
    <w:rsid w:val="000C76F0"/>
    <w:rsid w:val="000C7982"/>
    <w:rsid w:val="000D02F1"/>
    <w:rsid w:val="000D15C3"/>
    <w:rsid w:val="000D1E7C"/>
    <w:rsid w:val="000D2038"/>
    <w:rsid w:val="000D2CFD"/>
    <w:rsid w:val="000D3829"/>
    <w:rsid w:val="000D3ECE"/>
    <w:rsid w:val="000D4718"/>
    <w:rsid w:val="000D50FA"/>
    <w:rsid w:val="000D5808"/>
    <w:rsid w:val="000D585A"/>
    <w:rsid w:val="000D5FFB"/>
    <w:rsid w:val="000D64DF"/>
    <w:rsid w:val="000D64F5"/>
    <w:rsid w:val="000D6EC1"/>
    <w:rsid w:val="000D706F"/>
    <w:rsid w:val="000D7574"/>
    <w:rsid w:val="000D7C5E"/>
    <w:rsid w:val="000E01CC"/>
    <w:rsid w:val="000E038D"/>
    <w:rsid w:val="000E098B"/>
    <w:rsid w:val="000E0B58"/>
    <w:rsid w:val="000E0CE7"/>
    <w:rsid w:val="000E0DE4"/>
    <w:rsid w:val="000E0DE8"/>
    <w:rsid w:val="000E1187"/>
    <w:rsid w:val="000E13D9"/>
    <w:rsid w:val="000E4EAB"/>
    <w:rsid w:val="000E5422"/>
    <w:rsid w:val="000E63C2"/>
    <w:rsid w:val="000E6F5E"/>
    <w:rsid w:val="000E78D4"/>
    <w:rsid w:val="000E7ADF"/>
    <w:rsid w:val="000E7E4D"/>
    <w:rsid w:val="000F06B4"/>
    <w:rsid w:val="000F1AB5"/>
    <w:rsid w:val="000F2AB6"/>
    <w:rsid w:val="000F32A5"/>
    <w:rsid w:val="000F3A05"/>
    <w:rsid w:val="000F3A68"/>
    <w:rsid w:val="000F4467"/>
    <w:rsid w:val="000F4C35"/>
    <w:rsid w:val="000F4D3A"/>
    <w:rsid w:val="000F5490"/>
    <w:rsid w:val="000F72FA"/>
    <w:rsid w:val="00100CB2"/>
    <w:rsid w:val="001014C3"/>
    <w:rsid w:val="0010187E"/>
    <w:rsid w:val="001019FC"/>
    <w:rsid w:val="00102A41"/>
    <w:rsid w:val="00102B81"/>
    <w:rsid w:val="0010369E"/>
    <w:rsid w:val="00103B43"/>
    <w:rsid w:val="00103F05"/>
    <w:rsid w:val="00104807"/>
    <w:rsid w:val="001055A9"/>
    <w:rsid w:val="00105881"/>
    <w:rsid w:val="00105907"/>
    <w:rsid w:val="0010657E"/>
    <w:rsid w:val="00106B83"/>
    <w:rsid w:val="00107538"/>
    <w:rsid w:val="00107B73"/>
    <w:rsid w:val="00110067"/>
    <w:rsid w:val="00110A44"/>
    <w:rsid w:val="00111013"/>
    <w:rsid w:val="00111BD4"/>
    <w:rsid w:val="00112029"/>
    <w:rsid w:val="00112128"/>
    <w:rsid w:val="00113611"/>
    <w:rsid w:val="00114A3C"/>
    <w:rsid w:val="00114C54"/>
    <w:rsid w:val="0011548D"/>
    <w:rsid w:val="001157FC"/>
    <w:rsid w:val="001163F5"/>
    <w:rsid w:val="0011660C"/>
    <w:rsid w:val="00116A7E"/>
    <w:rsid w:val="0011721E"/>
    <w:rsid w:val="0012012C"/>
    <w:rsid w:val="00121766"/>
    <w:rsid w:val="00122819"/>
    <w:rsid w:val="00122FC6"/>
    <w:rsid w:val="00123256"/>
    <w:rsid w:val="00123BA0"/>
    <w:rsid w:val="00124B85"/>
    <w:rsid w:val="00124F1B"/>
    <w:rsid w:val="001253D2"/>
    <w:rsid w:val="00125849"/>
    <w:rsid w:val="00125A76"/>
    <w:rsid w:val="00125B49"/>
    <w:rsid w:val="00125DE2"/>
    <w:rsid w:val="00126230"/>
    <w:rsid w:val="0012649C"/>
    <w:rsid w:val="00126895"/>
    <w:rsid w:val="001274DE"/>
    <w:rsid w:val="001278C5"/>
    <w:rsid w:val="001319B8"/>
    <w:rsid w:val="001334F3"/>
    <w:rsid w:val="00133DBD"/>
    <w:rsid w:val="00134CC9"/>
    <w:rsid w:val="001357EA"/>
    <w:rsid w:val="00135B83"/>
    <w:rsid w:val="00136375"/>
    <w:rsid w:val="00136FA8"/>
    <w:rsid w:val="001370A2"/>
    <w:rsid w:val="00137CF7"/>
    <w:rsid w:val="001400B7"/>
    <w:rsid w:val="00140CA4"/>
    <w:rsid w:val="00140E18"/>
    <w:rsid w:val="001410CD"/>
    <w:rsid w:val="001414FE"/>
    <w:rsid w:val="00141580"/>
    <w:rsid w:val="00141E28"/>
    <w:rsid w:val="0014357D"/>
    <w:rsid w:val="001445A6"/>
    <w:rsid w:val="001445B3"/>
    <w:rsid w:val="001446E9"/>
    <w:rsid w:val="001447C9"/>
    <w:rsid w:val="0014549B"/>
    <w:rsid w:val="00145748"/>
    <w:rsid w:val="00145784"/>
    <w:rsid w:val="00146058"/>
    <w:rsid w:val="00146C67"/>
    <w:rsid w:val="001476EB"/>
    <w:rsid w:val="00150B72"/>
    <w:rsid w:val="00150C96"/>
    <w:rsid w:val="00151356"/>
    <w:rsid w:val="0015138E"/>
    <w:rsid w:val="00151466"/>
    <w:rsid w:val="00151571"/>
    <w:rsid w:val="001518C5"/>
    <w:rsid w:val="00151D9E"/>
    <w:rsid w:val="00152A0C"/>
    <w:rsid w:val="00152BC5"/>
    <w:rsid w:val="00153246"/>
    <w:rsid w:val="0015339B"/>
    <w:rsid w:val="001534F1"/>
    <w:rsid w:val="0015388B"/>
    <w:rsid w:val="001548EA"/>
    <w:rsid w:val="00154ACF"/>
    <w:rsid w:val="00154FE4"/>
    <w:rsid w:val="0015563A"/>
    <w:rsid w:val="001558A3"/>
    <w:rsid w:val="00155F4A"/>
    <w:rsid w:val="00155F7B"/>
    <w:rsid w:val="00157BF4"/>
    <w:rsid w:val="001608B5"/>
    <w:rsid w:val="001609DC"/>
    <w:rsid w:val="001614B7"/>
    <w:rsid w:val="00161BB6"/>
    <w:rsid w:val="00161C5E"/>
    <w:rsid w:val="00161E70"/>
    <w:rsid w:val="001625A9"/>
    <w:rsid w:val="00162648"/>
    <w:rsid w:val="00162B1A"/>
    <w:rsid w:val="00163942"/>
    <w:rsid w:val="00163EBD"/>
    <w:rsid w:val="0016420A"/>
    <w:rsid w:val="0016493D"/>
    <w:rsid w:val="001651CD"/>
    <w:rsid w:val="001651F3"/>
    <w:rsid w:val="00167510"/>
    <w:rsid w:val="00170217"/>
    <w:rsid w:val="0017099A"/>
    <w:rsid w:val="0017105E"/>
    <w:rsid w:val="00171126"/>
    <w:rsid w:val="0017147D"/>
    <w:rsid w:val="0017323F"/>
    <w:rsid w:val="00174835"/>
    <w:rsid w:val="00174BE6"/>
    <w:rsid w:val="0017500E"/>
    <w:rsid w:val="001751B1"/>
    <w:rsid w:val="00175AFE"/>
    <w:rsid w:val="0017628A"/>
    <w:rsid w:val="00176FE0"/>
    <w:rsid w:val="0017774C"/>
    <w:rsid w:val="00180240"/>
    <w:rsid w:val="001807A0"/>
    <w:rsid w:val="0018119A"/>
    <w:rsid w:val="00181A18"/>
    <w:rsid w:val="0018254D"/>
    <w:rsid w:val="00182E29"/>
    <w:rsid w:val="001830A2"/>
    <w:rsid w:val="0018361C"/>
    <w:rsid w:val="00184E18"/>
    <w:rsid w:val="00185A05"/>
    <w:rsid w:val="00185F87"/>
    <w:rsid w:val="001866DC"/>
    <w:rsid w:val="00186BFA"/>
    <w:rsid w:val="00186E1B"/>
    <w:rsid w:val="00186FF5"/>
    <w:rsid w:val="0019037E"/>
    <w:rsid w:val="001904A6"/>
    <w:rsid w:val="00190806"/>
    <w:rsid w:val="00190E83"/>
    <w:rsid w:val="00191594"/>
    <w:rsid w:val="001917A7"/>
    <w:rsid w:val="00192163"/>
    <w:rsid w:val="00192C1D"/>
    <w:rsid w:val="00193695"/>
    <w:rsid w:val="001936DB"/>
    <w:rsid w:val="0019445A"/>
    <w:rsid w:val="00194CB0"/>
    <w:rsid w:val="00195030"/>
    <w:rsid w:val="00196082"/>
    <w:rsid w:val="001969D1"/>
    <w:rsid w:val="001972AF"/>
    <w:rsid w:val="00197B0D"/>
    <w:rsid w:val="001A0F11"/>
    <w:rsid w:val="001A12A1"/>
    <w:rsid w:val="001A1C12"/>
    <w:rsid w:val="001A1D4D"/>
    <w:rsid w:val="001A2DEE"/>
    <w:rsid w:val="001A3292"/>
    <w:rsid w:val="001A341D"/>
    <w:rsid w:val="001A3513"/>
    <w:rsid w:val="001A365F"/>
    <w:rsid w:val="001A3AC3"/>
    <w:rsid w:val="001A3BE2"/>
    <w:rsid w:val="001A4787"/>
    <w:rsid w:val="001A4D0B"/>
    <w:rsid w:val="001A5293"/>
    <w:rsid w:val="001A549C"/>
    <w:rsid w:val="001A6630"/>
    <w:rsid w:val="001A66BB"/>
    <w:rsid w:val="001A679B"/>
    <w:rsid w:val="001A6B05"/>
    <w:rsid w:val="001A6DB4"/>
    <w:rsid w:val="001A70F8"/>
    <w:rsid w:val="001A7660"/>
    <w:rsid w:val="001A7F10"/>
    <w:rsid w:val="001B0752"/>
    <w:rsid w:val="001B0E5D"/>
    <w:rsid w:val="001B12C9"/>
    <w:rsid w:val="001B15F2"/>
    <w:rsid w:val="001B1667"/>
    <w:rsid w:val="001B1BD3"/>
    <w:rsid w:val="001B3675"/>
    <w:rsid w:val="001B3F2D"/>
    <w:rsid w:val="001B49CE"/>
    <w:rsid w:val="001B4B2B"/>
    <w:rsid w:val="001B4BD9"/>
    <w:rsid w:val="001B513B"/>
    <w:rsid w:val="001B541F"/>
    <w:rsid w:val="001B5973"/>
    <w:rsid w:val="001B659E"/>
    <w:rsid w:val="001B6FF5"/>
    <w:rsid w:val="001B75A8"/>
    <w:rsid w:val="001C029E"/>
    <w:rsid w:val="001C09FC"/>
    <w:rsid w:val="001C1231"/>
    <w:rsid w:val="001C1C4A"/>
    <w:rsid w:val="001C1F02"/>
    <w:rsid w:val="001C1F69"/>
    <w:rsid w:val="001C2246"/>
    <w:rsid w:val="001C251A"/>
    <w:rsid w:val="001C27A0"/>
    <w:rsid w:val="001C29F0"/>
    <w:rsid w:val="001C2BFB"/>
    <w:rsid w:val="001C3CA8"/>
    <w:rsid w:val="001C4A5E"/>
    <w:rsid w:val="001C4BBA"/>
    <w:rsid w:val="001C4C20"/>
    <w:rsid w:val="001C4D10"/>
    <w:rsid w:val="001C4E71"/>
    <w:rsid w:val="001C512A"/>
    <w:rsid w:val="001C5699"/>
    <w:rsid w:val="001C5EDC"/>
    <w:rsid w:val="001C66FD"/>
    <w:rsid w:val="001C6F7A"/>
    <w:rsid w:val="001C75A6"/>
    <w:rsid w:val="001C7C51"/>
    <w:rsid w:val="001C7D68"/>
    <w:rsid w:val="001D0182"/>
    <w:rsid w:val="001D08EA"/>
    <w:rsid w:val="001D10A0"/>
    <w:rsid w:val="001D12D2"/>
    <w:rsid w:val="001D149C"/>
    <w:rsid w:val="001D14AE"/>
    <w:rsid w:val="001D1719"/>
    <w:rsid w:val="001D1B44"/>
    <w:rsid w:val="001D1B57"/>
    <w:rsid w:val="001D2F61"/>
    <w:rsid w:val="001D4AF6"/>
    <w:rsid w:val="001D526E"/>
    <w:rsid w:val="001D5DB8"/>
    <w:rsid w:val="001D65AD"/>
    <w:rsid w:val="001D6DE7"/>
    <w:rsid w:val="001D6E63"/>
    <w:rsid w:val="001D76D7"/>
    <w:rsid w:val="001D7B40"/>
    <w:rsid w:val="001D7EB9"/>
    <w:rsid w:val="001D7FA9"/>
    <w:rsid w:val="001E0694"/>
    <w:rsid w:val="001E094F"/>
    <w:rsid w:val="001E1102"/>
    <w:rsid w:val="001E2049"/>
    <w:rsid w:val="001E2452"/>
    <w:rsid w:val="001E3243"/>
    <w:rsid w:val="001E3D07"/>
    <w:rsid w:val="001E4930"/>
    <w:rsid w:val="001E5733"/>
    <w:rsid w:val="001E61F4"/>
    <w:rsid w:val="001E7B26"/>
    <w:rsid w:val="001E7CCF"/>
    <w:rsid w:val="001E7DE3"/>
    <w:rsid w:val="001F0179"/>
    <w:rsid w:val="001F02CC"/>
    <w:rsid w:val="001F0C1B"/>
    <w:rsid w:val="001F118D"/>
    <w:rsid w:val="001F1604"/>
    <w:rsid w:val="001F2726"/>
    <w:rsid w:val="001F2E01"/>
    <w:rsid w:val="001F3577"/>
    <w:rsid w:val="001F44A6"/>
    <w:rsid w:val="001F49BE"/>
    <w:rsid w:val="001F5BE5"/>
    <w:rsid w:val="001F5C00"/>
    <w:rsid w:val="001F61DC"/>
    <w:rsid w:val="001F6C9F"/>
    <w:rsid w:val="0020044F"/>
    <w:rsid w:val="002007F1"/>
    <w:rsid w:val="002024BA"/>
    <w:rsid w:val="002024C6"/>
    <w:rsid w:val="00203C07"/>
    <w:rsid w:val="00203FBB"/>
    <w:rsid w:val="00204307"/>
    <w:rsid w:val="00204424"/>
    <w:rsid w:val="0020466D"/>
    <w:rsid w:val="00204F6F"/>
    <w:rsid w:val="002054DF"/>
    <w:rsid w:val="00205E64"/>
    <w:rsid w:val="00206B9E"/>
    <w:rsid w:val="00207966"/>
    <w:rsid w:val="00210C62"/>
    <w:rsid w:val="00210C63"/>
    <w:rsid w:val="00210F2E"/>
    <w:rsid w:val="00211AE6"/>
    <w:rsid w:val="002126B2"/>
    <w:rsid w:val="00212851"/>
    <w:rsid w:val="00212AC5"/>
    <w:rsid w:val="0021322A"/>
    <w:rsid w:val="00213688"/>
    <w:rsid w:val="0021421D"/>
    <w:rsid w:val="00216DD8"/>
    <w:rsid w:val="002170C4"/>
    <w:rsid w:val="0021711E"/>
    <w:rsid w:val="00217D1B"/>
    <w:rsid w:val="00220374"/>
    <w:rsid w:val="002203BF"/>
    <w:rsid w:val="00220925"/>
    <w:rsid w:val="00221363"/>
    <w:rsid w:val="00221EAB"/>
    <w:rsid w:val="0022231F"/>
    <w:rsid w:val="00222B1A"/>
    <w:rsid w:val="00222B75"/>
    <w:rsid w:val="0022300A"/>
    <w:rsid w:val="00223CF0"/>
    <w:rsid w:val="00224277"/>
    <w:rsid w:val="00226A90"/>
    <w:rsid w:val="00227211"/>
    <w:rsid w:val="00227387"/>
    <w:rsid w:val="00227E36"/>
    <w:rsid w:val="0023021B"/>
    <w:rsid w:val="00231ECB"/>
    <w:rsid w:val="00231FCE"/>
    <w:rsid w:val="002321BA"/>
    <w:rsid w:val="00232719"/>
    <w:rsid w:val="002327A3"/>
    <w:rsid w:val="00232B1B"/>
    <w:rsid w:val="00233027"/>
    <w:rsid w:val="0023316B"/>
    <w:rsid w:val="00233CBC"/>
    <w:rsid w:val="002344A9"/>
    <w:rsid w:val="002345F1"/>
    <w:rsid w:val="00234FBB"/>
    <w:rsid w:val="00235064"/>
    <w:rsid w:val="002362CF"/>
    <w:rsid w:val="00236E18"/>
    <w:rsid w:val="002375F9"/>
    <w:rsid w:val="00240DD5"/>
    <w:rsid w:val="0024108A"/>
    <w:rsid w:val="00241213"/>
    <w:rsid w:val="00241661"/>
    <w:rsid w:val="002426FB"/>
    <w:rsid w:val="0024531D"/>
    <w:rsid w:val="00245382"/>
    <w:rsid w:val="00245D22"/>
    <w:rsid w:val="0024631B"/>
    <w:rsid w:val="002465EB"/>
    <w:rsid w:val="00246B8D"/>
    <w:rsid w:val="00250CC8"/>
    <w:rsid w:val="00251186"/>
    <w:rsid w:val="0025122D"/>
    <w:rsid w:val="00251A9A"/>
    <w:rsid w:val="00252C9F"/>
    <w:rsid w:val="002534FC"/>
    <w:rsid w:val="0025353E"/>
    <w:rsid w:val="002538AC"/>
    <w:rsid w:val="002540B9"/>
    <w:rsid w:val="00254D81"/>
    <w:rsid w:val="002557B7"/>
    <w:rsid w:val="0025676F"/>
    <w:rsid w:val="002567E2"/>
    <w:rsid w:val="002568A2"/>
    <w:rsid w:val="0025717F"/>
    <w:rsid w:val="002604E3"/>
    <w:rsid w:val="00260776"/>
    <w:rsid w:val="00260ED6"/>
    <w:rsid w:val="00261242"/>
    <w:rsid w:val="0026195C"/>
    <w:rsid w:val="002623B9"/>
    <w:rsid w:val="0026271A"/>
    <w:rsid w:val="00265710"/>
    <w:rsid w:val="00265A34"/>
    <w:rsid w:val="00265E31"/>
    <w:rsid w:val="00266654"/>
    <w:rsid w:val="002667E9"/>
    <w:rsid w:val="00266942"/>
    <w:rsid w:val="00267374"/>
    <w:rsid w:val="00267B0A"/>
    <w:rsid w:val="00267BA8"/>
    <w:rsid w:val="00270590"/>
    <w:rsid w:val="00270D7A"/>
    <w:rsid w:val="00270DEB"/>
    <w:rsid w:val="00271DD0"/>
    <w:rsid w:val="00273AC2"/>
    <w:rsid w:val="00274A09"/>
    <w:rsid w:val="00274E39"/>
    <w:rsid w:val="00275285"/>
    <w:rsid w:val="002760A7"/>
    <w:rsid w:val="002766EF"/>
    <w:rsid w:val="00277335"/>
    <w:rsid w:val="0027795B"/>
    <w:rsid w:val="0028038C"/>
    <w:rsid w:val="002806C3"/>
    <w:rsid w:val="00280D1D"/>
    <w:rsid w:val="00281257"/>
    <w:rsid w:val="0028168C"/>
    <w:rsid w:val="00281840"/>
    <w:rsid w:val="002819B7"/>
    <w:rsid w:val="0028219B"/>
    <w:rsid w:val="00282793"/>
    <w:rsid w:val="00282E79"/>
    <w:rsid w:val="00282EB3"/>
    <w:rsid w:val="002830B1"/>
    <w:rsid w:val="00283292"/>
    <w:rsid w:val="00283ABB"/>
    <w:rsid w:val="00284334"/>
    <w:rsid w:val="002844D5"/>
    <w:rsid w:val="00284AE7"/>
    <w:rsid w:val="0028523D"/>
    <w:rsid w:val="00285364"/>
    <w:rsid w:val="00285EC7"/>
    <w:rsid w:val="00285F1C"/>
    <w:rsid w:val="00287C8B"/>
    <w:rsid w:val="00290653"/>
    <w:rsid w:val="002907D4"/>
    <w:rsid w:val="002908EE"/>
    <w:rsid w:val="002908F6"/>
    <w:rsid w:val="002920E4"/>
    <w:rsid w:val="002922F2"/>
    <w:rsid w:val="0029265F"/>
    <w:rsid w:val="00292881"/>
    <w:rsid w:val="00292A75"/>
    <w:rsid w:val="00293422"/>
    <w:rsid w:val="00293951"/>
    <w:rsid w:val="00295DB8"/>
    <w:rsid w:val="00296337"/>
    <w:rsid w:val="002976AB"/>
    <w:rsid w:val="00297CCB"/>
    <w:rsid w:val="00297E37"/>
    <w:rsid w:val="002A0ED5"/>
    <w:rsid w:val="002A2453"/>
    <w:rsid w:val="002A297A"/>
    <w:rsid w:val="002A322E"/>
    <w:rsid w:val="002A3E58"/>
    <w:rsid w:val="002A4773"/>
    <w:rsid w:val="002A4809"/>
    <w:rsid w:val="002A4C5B"/>
    <w:rsid w:val="002A6290"/>
    <w:rsid w:val="002B045A"/>
    <w:rsid w:val="002B0A1C"/>
    <w:rsid w:val="002B0DF6"/>
    <w:rsid w:val="002B365A"/>
    <w:rsid w:val="002B3902"/>
    <w:rsid w:val="002B3E77"/>
    <w:rsid w:val="002B40E1"/>
    <w:rsid w:val="002B4C33"/>
    <w:rsid w:val="002B501C"/>
    <w:rsid w:val="002B56AE"/>
    <w:rsid w:val="002B5E19"/>
    <w:rsid w:val="002B5E8A"/>
    <w:rsid w:val="002B6386"/>
    <w:rsid w:val="002B6AE7"/>
    <w:rsid w:val="002B6B80"/>
    <w:rsid w:val="002B6CF7"/>
    <w:rsid w:val="002B7CA4"/>
    <w:rsid w:val="002C0CFF"/>
    <w:rsid w:val="002C1F72"/>
    <w:rsid w:val="002C269D"/>
    <w:rsid w:val="002C26CD"/>
    <w:rsid w:val="002C2EE2"/>
    <w:rsid w:val="002C3677"/>
    <w:rsid w:val="002C3AE8"/>
    <w:rsid w:val="002C3F7F"/>
    <w:rsid w:val="002C45ED"/>
    <w:rsid w:val="002C4A6F"/>
    <w:rsid w:val="002C4C03"/>
    <w:rsid w:val="002C4D0C"/>
    <w:rsid w:val="002C53DC"/>
    <w:rsid w:val="002C64AE"/>
    <w:rsid w:val="002C6B47"/>
    <w:rsid w:val="002C76D7"/>
    <w:rsid w:val="002C7B69"/>
    <w:rsid w:val="002C7D16"/>
    <w:rsid w:val="002D0054"/>
    <w:rsid w:val="002D0659"/>
    <w:rsid w:val="002D1ECD"/>
    <w:rsid w:val="002D282A"/>
    <w:rsid w:val="002D3444"/>
    <w:rsid w:val="002D3B94"/>
    <w:rsid w:val="002D4630"/>
    <w:rsid w:val="002D5175"/>
    <w:rsid w:val="002D51D1"/>
    <w:rsid w:val="002D5D26"/>
    <w:rsid w:val="002D60F1"/>
    <w:rsid w:val="002D6B60"/>
    <w:rsid w:val="002D7D29"/>
    <w:rsid w:val="002E01B8"/>
    <w:rsid w:val="002E0389"/>
    <w:rsid w:val="002E0C12"/>
    <w:rsid w:val="002E0C1B"/>
    <w:rsid w:val="002E0CF3"/>
    <w:rsid w:val="002E0F9C"/>
    <w:rsid w:val="002E1651"/>
    <w:rsid w:val="002E1815"/>
    <w:rsid w:val="002E18B4"/>
    <w:rsid w:val="002E2CEA"/>
    <w:rsid w:val="002E31C8"/>
    <w:rsid w:val="002E39FA"/>
    <w:rsid w:val="002E4191"/>
    <w:rsid w:val="002E43CA"/>
    <w:rsid w:val="002E47BA"/>
    <w:rsid w:val="002E4A66"/>
    <w:rsid w:val="002E53D3"/>
    <w:rsid w:val="002E5B56"/>
    <w:rsid w:val="002E5C57"/>
    <w:rsid w:val="002E650F"/>
    <w:rsid w:val="002E66DA"/>
    <w:rsid w:val="002E6836"/>
    <w:rsid w:val="002E740B"/>
    <w:rsid w:val="002E7512"/>
    <w:rsid w:val="002E7933"/>
    <w:rsid w:val="002E7CE3"/>
    <w:rsid w:val="002F08E3"/>
    <w:rsid w:val="002F17EB"/>
    <w:rsid w:val="002F3CFF"/>
    <w:rsid w:val="002F4435"/>
    <w:rsid w:val="002F466B"/>
    <w:rsid w:val="002F4CE4"/>
    <w:rsid w:val="002F4FCE"/>
    <w:rsid w:val="002F5186"/>
    <w:rsid w:val="002F5489"/>
    <w:rsid w:val="002F7126"/>
    <w:rsid w:val="002F75E2"/>
    <w:rsid w:val="002F7C62"/>
    <w:rsid w:val="002F7C8F"/>
    <w:rsid w:val="00300122"/>
    <w:rsid w:val="00301880"/>
    <w:rsid w:val="00301951"/>
    <w:rsid w:val="00301B06"/>
    <w:rsid w:val="0030202E"/>
    <w:rsid w:val="003022F9"/>
    <w:rsid w:val="00302A94"/>
    <w:rsid w:val="00303DFF"/>
    <w:rsid w:val="003043CE"/>
    <w:rsid w:val="00304C8E"/>
    <w:rsid w:val="003059FD"/>
    <w:rsid w:val="0030723F"/>
    <w:rsid w:val="003077A3"/>
    <w:rsid w:val="00311151"/>
    <w:rsid w:val="003121D2"/>
    <w:rsid w:val="00312F2F"/>
    <w:rsid w:val="0031314D"/>
    <w:rsid w:val="003135A6"/>
    <w:rsid w:val="003136D1"/>
    <w:rsid w:val="00315138"/>
    <w:rsid w:val="00316028"/>
    <w:rsid w:val="003165E4"/>
    <w:rsid w:val="003171C2"/>
    <w:rsid w:val="00317350"/>
    <w:rsid w:val="003208AD"/>
    <w:rsid w:val="00321312"/>
    <w:rsid w:val="00321424"/>
    <w:rsid w:val="003215A3"/>
    <w:rsid w:val="003225C8"/>
    <w:rsid w:val="00323893"/>
    <w:rsid w:val="00323A85"/>
    <w:rsid w:val="00323AC7"/>
    <w:rsid w:val="00324033"/>
    <w:rsid w:val="003244D0"/>
    <w:rsid w:val="00324690"/>
    <w:rsid w:val="00324FD0"/>
    <w:rsid w:val="00325659"/>
    <w:rsid w:val="00325665"/>
    <w:rsid w:val="00326191"/>
    <w:rsid w:val="00330A89"/>
    <w:rsid w:val="00332038"/>
    <w:rsid w:val="0033222E"/>
    <w:rsid w:val="00332808"/>
    <w:rsid w:val="0033374F"/>
    <w:rsid w:val="0033443E"/>
    <w:rsid w:val="00334600"/>
    <w:rsid w:val="00334735"/>
    <w:rsid w:val="00334A3F"/>
    <w:rsid w:val="0033523B"/>
    <w:rsid w:val="003352CF"/>
    <w:rsid w:val="00335781"/>
    <w:rsid w:val="003358A6"/>
    <w:rsid w:val="003361AA"/>
    <w:rsid w:val="0033660D"/>
    <w:rsid w:val="0033664A"/>
    <w:rsid w:val="00336753"/>
    <w:rsid w:val="003369EB"/>
    <w:rsid w:val="00336FC5"/>
    <w:rsid w:val="00337542"/>
    <w:rsid w:val="00337636"/>
    <w:rsid w:val="00337698"/>
    <w:rsid w:val="0033797B"/>
    <w:rsid w:val="00337A44"/>
    <w:rsid w:val="0034003F"/>
    <w:rsid w:val="0034021A"/>
    <w:rsid w:val="00341C78"/>
    <w:rsid w:val="003422A5"/>
    <w:rsid w:val="003424F3"/>
    <w:rsid w:val="0034487F"/>
    <w:rsid w:val="00344949"/>
    <w:rsid w:val="003452C8"/>
    <w:rsid w:val="003455A2"/>
    <w:rsid w:val="003461A4"/>
    <w:rsid w:val="00346963"/>
    <w:rsid w:val="00347153"/>
    <w:rsid w:val="003471AE"/>
    <w:rsid w:val="003515B6"/>
    <w:rsid w:val="0035176B"/>
    <w:rsid w:val="00351EFD"/>
    <w:rsid w:val="0035315A"/>
    <w:rsid w:val="00353281"/>
    <w:rsid w:val="00354546"/>
    <w:rsid w:val="0035455F"/>
    <w:rsid w:val="003559D9"/>
    <w:rsid w:val="0035670F"/>
    <w:rsid w:val="0035683D"/>
    <w:rsid w:val="003606DE"/>
    <w:rsid w:val="003608FF"/>
    <w:rsid w:val="00360A45"/>
    <w:rsid w:val="0036144D"/>
    <w:rsid w:val="00361898"/>
    <w:rsid w:val="00361C44"/>
    <w:rsid w:val="003628A1"/>
    <w:rsid w:val="00362970"/>
    <w:rsid w:val="003635D3"/>
    <w:rsid w:val="00364794"/>
    <w:rsid w:val="00364B4D"/>
    <w:rsid w:val="00364B96"/>
    <w:rsid w:val="00365521"/>
    <w:rsid w:val="003659E5"/>
    <w:rsid w:val="003701E7"/>
    <w:rsid w:val="0037056F"/>
    <w:rsid w:val="00370F9D"/>
    <w:rsid w:val="003711A8"/>
    <w:rsid w:val="00372122"/>
    <w:rsid w:val="003723E5"/>
    <w:rsid w:val="0037275E"/>
    <w:rsid w:val="00372D3E"/>
    <w:rsid w:val="00373742"/>
    <w:rsid w:val="00373EA6"/>
    <w:rsid w:val="00374939"/>
    <w:rsid w:val="00374AB9"/>
    <w:rsid w:val="00374BAB"/>
    <w:rsid w:val="00374ED9"/>
    <w:rsid w:val="003754F5"/>
    <w:rsid w:val="00375915"/>
    <w:rsid w:val="00376422"/>
    <w:rsid w:val="003765DA"/>
    <w:rsid w:val="00380397"/>
    <w:rsid w:val="00380662"/>
    <w:rsid w:val="00380B6F"/>
    <w:rsid w:val="0038170E"/>
    <w:rsid w:val="00381983"/>
    <w:rsid w:val="00382681"/>
    <w:rsid w:val="003828AE"/>
    <w:rsid w:val="00383C3B"/>
    <w:rsid w:val="003841E2"/>
    <w:rsid w:val="00384BA8"/>
    <w:rsid w:val="00384FBA"/>
    <w:rsid w:val="00385741"/>
    <w:rsid w:val="00385B03"/>
    <w:rsid w:val="00386542"/>
    <w:rsid w:val="00386775"/>
    <w:rsid w:val="00386F52"/>
    <w:rsid w:val="0038722E"/>
    <w:rsid w:val="0038757A"/>
    <w:rsid w:val="003876D6"/>
    <w:rsid w:val="003879BD"/>
    <w:rsid w:val="00390506"/>
    <w:rsid w:val="00391856"/>
    <w:rsid w:val="00391D13"/>
    <w:rsid w:val="00392B59"/>
    <w:rsid w:val="00393AAD"/>
    <w:rsid w:val="00393BE5"/>
    <w:rsid w:val="00393CD5"/>
    <w:rsid w:val="00394829"/>
    <w:rsid w:val="00394C11"/>
    <w:rsid w:val="00394C67"/>
    <w:rsid w:val="003952F5"/>
    <w:rsid w:val="003956D9"/>
    <w:rsid w:val="00397DAA"/>
    <w:rsid w:val="00397DC6"/>
    <w:rsid w:val="003A0069"/>
    <w:rsid w:val="003A0356"/>
    <w:rsid w:val="003A0A44"/>
    <w:rsid w:val="003A0B31"/>
    <w:rsid w:val="003A0C21"/>
    <w:rsid w:val="003A122B"/>
    <w:rsid w:val="003A135A"/>
    <w:rsid w:val="003A1C84"/>
    <w:rsid w:val="003A1CFE"/>
    <w:rsid w:val="003A2F42"/>
    <w:rsid w:val="003A3190"/>
    <w:rsid w:val="003A5161"/>
    <w:rsid w:val="003A5B9F"/>
    <w:rsid w:val="003A5E2F"/>
    <w:rsid w:val="003A60D5"/>
    <w:rsid w:val="003A6961"/>
    <w:rsid w:val="003A6D28"/>
    <w:rsid w:val="003A6E85"/>
    <w:rsid w:val="003A6FA1"/>
    <w:rsid w:val="003A703E"/>
    <w:rsid w:val="003B0929"/>
    <w:rsid w:val="003B0BD8"/>
    <w:rsid w:val="003B1021"/>
    <w:rsid w:val="003B20BE"/>
    <w:rsid w:val="003B22C8"/>
    <w:rsid w:val="003B249F"/>
    <w:rsid w:val="003B2C99"/>
    <w:rsid w:val="003B2CBE"/>
    <w:rsid w:val="003B303D"/>
    <w:rsid w:val="003B4C8C"/>
    <w:rsid w:val="003B576B"/>
    <w:rsid w:val="003B5AA2"/>
    <w:rsid w:val="003B6126"/>
    <w:rsid w:val="003B66E2"/>
    <w:rsid w:val="003B746C"/>
    <w:rsid w:val="003B77B8"/>
    <w:rsid w:val="003B786F"/>
    <w:rsid w:val="003C0408"/>
    <w:rsid w:val="003C0E51"/>
    <w:rsid w:val="003C212C"/>
    <w:rsid w:val="003C2482"/>
    <w:rsid w:val="003C2AA4"/>
    <w:rsid w:val="003C2ABC"/>
    <w:rsid w:val="003C3132"/>
    <w:rsid w:val="003C32A8"/>
    <w:rsid w:val="003C333D"/>
    <w:rsid w:val="003C34CC"/>
    <w:rsid w:val="003C3B8E"/>
    <w:rsid w:val="003C4CEB"/>
    <w:rsid w:val="003C5327"/>
    <w:rsid w:val="003C5C52"/>
    <w:rsid w:val="003C5D2D"/>
    <w:rsid w:val="003C61AA"/>
    <w:rsid w:val="003C67A9"/>
    <w:rsid w:val="003C7115"/>
    <w:rsid w:val="003C73DB"/>
    <w:rsid w:val="003C7786"/>
    <w:rsid w:val="003C7AC9"/>
    <w:rsid w:val="003C7C47"/>
    <w:rsid w:val="003D0275"/>
    <w:rsid w:val="003D164C"/>
    <w:rsid w:val="003D189A"/>
    <w:rsid w:val="003D191E"/>
    <w:rsid w:val="003D258D"/>
    <w:rsid w:val="003D2880"/>
    <w:rsid w:val="003D46A4"/>
    <w:rsid w:val="003D48C8"/>
    <w:rsid w:val="003D4996"/>
    <w:rsid w:val="003D5989"/>
    <w:rsid w:val="003D61F8"/>
    <w:rsid w:val="003D651C"/>
    <w:rsid w:val="003D6BE5"/>
    <w:rsid w:val="003D7568"/>
    <w:rsid w:val="003D77DC"/>
    <w:rsid w:val="003E0B60"/>
    <w:rsid w:val="003E1134"/>
    <w:rsid w:val="003E1C67"/>
    <w:rsid w:val="003E1D1A"/>
    <w:rsid w:val="003E1E27"/>
    <w:rsid w:val="003E274E"/>
    <w:rsid w:val="003E2D65"/>
    <w:rsid w:val="003E322B"/>
    <w:rsid w:val="003E3481"/>
    <w:rsid w:val="003E3A3A"/>
    <w:rsid w:val="003E3EB4"/>
    <w:rsid w:val="003E40C5"/>
    <w:rsid w:val="003E4350"/>
    <w:rsid w:val="003E437B"/>
    <w:rsid w:val="003E6AAF"/>
    <w:rsid w:val="003E7058"/>
    <w:rsid w:val="003E7B78"/>
    <w:rsid w:val="003F0F3C"/>
    <w:rsid w:val="003F15B3"/>
    <w:rsid w:val="003F1711"/>
    <w:rsid w:val="003F1EAB"/>
    <w:rsid w:val="003F278B"/>
    <w:rsid w:val="003F55E9"/>
    <w:rsid w:val="003F5755"/>
    <w:rsid w:val="003F58A7"/>
    <w:rsid w:val="003F58F4"/>
    <w:rsid w:val="003F5CF7"/>
    <w:rsid w:val="003F6074"/>
    <w:rsid w:val="003F6375"/>
    <w:rsid w:val="003F69D4"/>
    <w:rsid w:val="003F6B5F"/>
    <w:rsid w:val="003F7032"/>
    <w:rsid w:val="003F72B1"/>
    <w:rsid w:val="003F751A"/>
    <w:rsid w:val="00400263"/>
    <w:rsid w:val="004008B6"/>
    <w:rsid w:val="00401231"/>
    <w:rsid w:val="00402E01"/>
    <w:rsid w:val="00403470"/>
    <w:rsid w:val="004044A9"/>
    <w:rsid w:val="004046B3"/>
    <w:rsid w:val="004047C5"/>
    <w:rsid w:val="0040485A"/>
    <w:rsid w:val="00404D21"/>
    <w:rsid w:val="00404D6D"/>
    <w:rsid w:val="00405A56"/>
    <w:rsid w:val="0040633C"/>
    <w:rsid w:val="004063C5"/>
    <w:rsid w:val="0040697E"/>
    <w:rsid w:val="004069BD"/>
    <w:rsid w:val="004071C5"/>
    <w:rsid w:val="0040739E"/>
    <w:rsid w:val="00407F8C"/>
    <w:rsid w:val="00410403"/>
    <w:rsid w:val="00410EE2"/>
    <w:rsid w:val="00412CF4"/>
    <w:rsid w:val="00412E23"/>
    <w:rsid w:val="004160B9"/>
    <w:rsid w:val="0041668A"/>
    <w:rsid w:val="0041687F"/>
    <w:rsid w:val="00416FA7"/>
    <w:rsid w:val="00417534"/>
    <w:rsid w:val="004178EB"/>
    <w:rsid w:val="004203BE"/>
    <w:rsid w:val="00420FE4"/>
    <w:rsid w:val="00421777"/>
    <w:rsid w:val="00421991"/>
    <w:rsid w:val="004220F7"/>
    <w:rsid w:val="00422649"/>
    <w:rsid w:val="00422827"/>
    <w:rsid w:val="00422D73"/>
    <w:rsid w:val="00424476"/>
    <w:rsid w:val="00424720"/>
    <w:rsid w:val="00424D19"/>
    <w:rsid w:val="004252F9"/>
    <w:rsid w:val="0042586C"/>
    <w:rsid w:val="00425C6B"/>
    <w:rsid w:val="00425DB4"/>
    <w:rsid w:val="004275E0"/>
    <w:rsid w:val="00427B41"/>
    <w:rsid w:val="00427FDD"/>
    <w:rsid w:val="004303BF"/>
    <w:rsid w:val="004308E4"/>
    <w:rsid w:val="00430930"/>
    <w:rsid w:val="004316A4"/>
    <w:rsid w:val="00431FB9"/>
    <w:rsid w:val="00432092"/>
    <w:rsid w:val="00432726"/>
    <w:rsid w:val="00434068"/>
    <w:rsid w:val="0043407D"/>
    <w:rsid w:val="00434AE7"/>
    <w:rsid w:val="00435879"/>
    <w:rsid w:val="00436140"/>
    <w:rsid w:val="004366E2"/>
    <w:rsid w:val="004369F0"/>
    <w:rsid w:val="00436FED"/>
    <w:rsid w:val="004375A9"/>
    <w:rsid w:val="004379DD"/>
    <w:rsid w:val="00437A0B"/>
    <w:rsid w:val="00437D2D"/>
    <w:rsid w:val="00440374"/>
    <w:rsid w:val="004405ED"/>
    <w:rsid w:val="0044155F"/>
    <w:rsid w:val="0044167B"/>
    <w:rsid w:val="00442057"/>
    <w:rsid w:val="00442664"/>
    <w:rsid w:val="00443B82"/>
    <w:rsid w:val="00443E36"/>
    <w:rsid w:val="004451AB"/>
    <w:rsid w:val="004452E0"/>
    <w:rsid w:val="0044545A"/>
    <w:rsid w:val="00445C37"/>
    <w:rsid w:val="00446173"/>
    <w:rsid w:val="00446BB9"/>
    <w:rsid w:val="00446D36"/>
    <w:rsid w:val="00447BB6"/>
    <w:rsid w:val="00447FEB"/>
    <w:rsid w:val="0045025B"/>
    <w:rsid w:val="00450333"/>
    <w:rsid w:val="0045046C"/>
    <w:rsid w:val="00450513"/>
    <w:rsid w:val="00451ADB"/>
    <w:rsid w:val="004527CE"/>
    <w:rsid w:val="00452E9E"/>
    <w:rsid w:val="00454F60"/>
    <w:rsid w:val="00455050"/>
    <w:rsid w:val="0045550A"/>
    <w:rsid w:val="0045623F"/>
    <w:rsid w:val="00456384"/>
    <w:rsid w:val="00456412"/>
    <w:rsid w:val="004566A9"/>
    <w:rsid w:val="00457A66"/>
    <w:rsid w:val="00457CA0"/>
    <w:rsid w:val="00460659"/>
    <w:rsid w:val="00460888"/>
    <w:rsid w:val="00460DC2"/>
    <w:rsid w:val="00460E20"/>
    <w:rsid w:val="00461BA0"/>
    <w:rsid w:val="00463961"/>
    <w:rsid w:val="004646A1"/>
    <w:rsid w:val="00464ED2"/>
    <w:rsid w:val="00464FB9"/>
    <w:rsid w:val="004665BB"/>
    <w:rsid w:val="004676B5"/>
    <w:rsid w:val="00467E50"/>
    <w:rsid w:val="0047051A"/>
    <w:rsid w:val="004707D8"/>
    <w:rsid w:val="004707F5"/>
    <w:rsid w:val="00470DA1"/>
    <w:rsid w:val="00471C7E"/>
    <w:rsid w:val="004720A1"/>
    <w:rsid w:val="00472227"/>
    <w:rsid w:val="004736AA"/>
    <w:rsid w:val="004736CC"/>
    <w:rsid w:val="0047407E"/>
    <w:rsid w:val="00474B48"/>
    <w:rsid w:val="0047568F"/>
    <w:rsid w:val="00475B5D"/>
    <w:rsid w:val="00476B1D"/>
    <w:rsid w:val="00476BB5"/>
    <w:rsid w:val="00477113"/>
    <w:rsid w:val="0047778B"/>
    <w:rsid w:val="00477E22"/>
    <w:rsid w:val="0048018F"/>
    <w:rsid w:val="0048068E"/>
    <w:rsid w:val="00480750"/>
    <w:rsid w:val="0048089B"/>
    <w:rsid w:val="00480C78"/>
    <w:rsid w:val="00481112"/>
    <w:rsid w:val="004817E6"/>
    <w:rsid w:val="004819FF"/>
    <w:rsid w:val="0048240D"/>
    <w:rsid w:val="004828B8"/>
    <w:rsid w:val="00482CCC"/>
    <w:rsid w:val="004830E2"/>
    <w:rsid w:val="00483388"/>
    <w:rsid w:val="00483B18"/>
    <w:rsid w:val="00483E19"/>
    <w:rsid w:val="00483FC5"/>
    <w:rsid w:val="00485346"/>
    <w:rsid w:val="0048549C"/>
    <w:rsid w:val="0048584A"/>
    <w:rsid w:val="004858A3"/>
    <w:rsid w:val="00486123"/>
    <w:rsid w:val="00486820"/>
    <w:rsid w:val="00487ED8"/>
    <w:rsid w:val="00490226"/>
    <w:rsid w:val="004905FE"/>
    <w:rsid w:val="00490608"/>
    <w:rsid w:val="00490B0B"/>
    <w:rsid w:val="00490DF5"/>
    <w:rsid w:val="00491897"/>
    <w:rsid w:val="00493302"/>
    <w:rsid w:val="004936B8"/>
    <w:rsid w:val="004939D0"/>
    <w:rsid w:val="00493E82"/>
    <w:rsid w:val="004945AA"/>
    <w:rsid w:val="00494815"/>
    <w:rsid w:val="00494B3B"/>
    <w:rsid w:val="004965B5"/>
    <w:rsid w:val="0049676B"/>
    <w:rsid w:val="0049711B"/>
    <w:rsid w:val="00497C58"/>
    <w:rsid w:val="004A0A79"/>
    <w:rsid w:val="004A0B9B"/>
    <w:rsid w:val="004A1018"/>
    <w:rsid w:val="004A330C"/>
    <w:rsid w:val="004A3EAF"/>
    <w:rsid w:val="004A456E"/>
    <w:rsid w:val="004A4905"/>
    <w:rsid w:val="004A51D1"/>
    <w:rsid w:val="004A5CFA"/>
    <w:rsid w:val="004A5F9C"/>
    <w:rsid w:val="004A655B"/>
    <w:rsid w:val="004A6907"/>
    <w:rsid w:val="004A7005"/>
    <w:rsid w:val="004A7902"/>
    <w:rsid w:val="004A7F9C"/>
    <w:rsid w:val="004B010D"/>
    <w:rsid w:val="004B0AAC"/>
    <w:rsid w:val="004B16C0"/>
    <w:rsid w:val="004B16D3"/>
    <w:rsid w:val="004B1D3B"/>
    <w:rsid w:val="004B1DD8"/>
    <w:rsid w:val="004B22F5"/>
    <w:rsid w:val="004B2D9B"/>
    <w:rsid w:val="004B2F2D"/>
    <w:rsid w:val="004B3C38"/>
    <w:rsid w:val="004B40BF"/>
    <w:rsid w:val="004B42FF"/>
    <w:rsid w:val="004B4EA0"/>
    <w:rsid w:val="004B6715"/>
    <w:rsid w:val="004B6ACC"/>
    <w:rsid w:val="004B7CA4"/>
    <w:rsid w:val="004B7E88"/>
    <w:rsid w:val="004C0D91"/>
    <w:rsid w:val="004C272D"/>
    <w:rsid w:val="004C2D09"/>
    <w:rsid w:val="004C3F7D"/>
    <w:rsid w:val="004C42A4"/>
    <w:rsid w:val="004C56A9"/>
    <w:rsid w:val="004C587B"/>
    <w:rsid w:val="004C696F"/>
    <w:rsid w:val="004C69B3"/>
    <w:rsid w:val="004C6F20"/>
    <w:rsid w:val="004C780F"/>
    <w:rsid w:val="004C7AA5"/>
    <w:rsid w:val="004D01EF"/>
    <w:rsid w:val="004D07FA"/>
    <w:rsid w:val="004D0A9B"/>
    <w:rsid w:val="004D0BDE"/>
    <w:rsid w:val="004D14A4"/>
    <w:rsid w:val="004D1D1C"/>
    <w:rsid w:val="004D2805"/>
    <w:rsid w:val="004D2C46"/>
    <w:rsid w:val="004D2D22"/>
    <w:rsid w:val="004D384A"/>
    <w:rsid w:val="004D3AE5"/>
    <w:rsid w:val="004D3DBE"/>
    <w:rsid w:val="004D42AD"/>
    <w:rsid w:val="004D4C67"/>
    <w:rsid w:val="004D4E7F"/>
    <w:rsid w:val="004D5D44"/>
    <w:rsid w:val="004D64D7"/>
    <w:rsid w:val="004D7823"/>
    <w:rsid w:val="004E08EB"/>
    <w:rsid w:val="004E13C7"/>
    <w:rsid w:val="004E1C8A"/>
    <w:rsid w:val="004E1DD0"/>
    <w:rsid w:val="004E2A7C"/>
    <w:rsid w:val="004E356B"/>
    <w:rsid w:val="004E40E7"/>
    <w:rsid w:val="004E4904"/>
    <w:rsid w:val="004E4DD2"/>
    <w:rsid w:val="004E584C"/>
    <w:rsid w:val="004E6745"/>
    <w:rsid w:val="004E6AEC"/>
    <w:rsid w:val="004E6AF8"/>
    <w:rsid w:val="004E7E20"/>
    <w:rsid w:val="004E7F8C"/>
    <w:rsid w:val="004F006A"/>
    <w:rsid w:val="004F042E"/>
    <w:rsid w:val="004F098B"/>
    <w:rsid w:val="004F0C58"/>
    <w:rsid w:val="004F0CD8"/>
    <w:rsid w:val="004F0D3A"/>
    <w:rsid w:val="004F3BE9"/>
    <w:rsid w:val="004F4B5E"/>
    <w:rsid w:val="004F53B3"/>
    <w:rsid w:val="004F53E7"/>
    <w:rsid w:val="004F54CE"/>
    <w:rsid w:val="004F5CDC"/>
    <w:rsid w:val="004F6705"/>
    <w:rsid w:val="004F68E5"/>
    <w:rsid w:val="004F6D4F"/>
    <w:rsid w:val="004F7741"/>
    <w:rsid w:val="004F7B6D"/>
    <w:rsid w:val="004F7B82"/>
    <w:rsid w:val="004F7C76"/>
    <w:rsid w:val="0050003A"/>
    <w:rsid w:val="0050196E"/>
    <w:rsid w:val="0050197A"/>
    <w:rsid w:val="00501C10"/>
    <w:rsid w:val="00501C19"/>
    <w:rsid w:val="005027B0"/>
    <w:rsid w:val="00502DCE"/>
    <w:rsid w:val="00503443"/>
    <w:rsid w:val="00506328"/>
    <w:rsid w:val="005076B0"/>
    <w:rsid w:val="00507B8A"/>
    <w:rsid w:val="005105EA"/>
    <w:rsid w:val="00510F2C"/>
    <w:rsid w:val="005114C3"/>
    <w:rsid w:val="005116B6"/>
    <w:rsid w:val="00512BAC"/>
    <w:rsid w:val="00513754"/>
    <w:rsid w:val="0051454D"/>
    <w:rsid w:val="0051519A"/>
    <w:rsid w:val="00515527"/>
    <w:rsid w:val="00515FFF"/>
    <w:rsid w:val="00516848"/>
    <w:rsid w:val="00516A2A"/>
    <w:rsid w:val="0051775F"/>
    <w:rsid w:val="00517C59"/>
    <w:rsid w:val="00517EA5"/>
    <w:rsid w:val="00520515"/>
    <w:rsid w:val="0052074C"/>
    <w:rsid w:val="00520A28"/>
    <w:rsid w:val="00520E91"/>
    <w:rsid w:val="00521862"/>
    <w:rsid w:val="005219CA"/>
    <w:rsid w:val="00521F50"/>
    <w:rsid w:val="005227A8"/>
    <w:rsid w:val="005227DB"/>
    <w:rsid w:val="00522A53"/>
    <w:rsid w:val="00523897"/>
    <w:rsid w:val="00523B96"/>
    <w:rsid w:val="00523D2E"/>
    <w:rsid w:val="00524EA6"/>
    <w:rsid w:val="005251D3"/>
    <w:rsid w:val="005262A9"/>
    <w:rsid w:val="00526529"/>
    <w:rsid w:val="005267EB"/>
    <w:rsid w:val="005268A3"/>
    <w:rsid w:val="005269F4"/>
    <w:rsid w:val="005278C7"/>
    <w:rsid w:val="00530BA3"/>
    <w:rsid w:val="005313DB"/>
    <w:rsid w:val="005314C9"/>
    <w:rsid w:val="00531A38"/>
    <w:rsid w:val="00531D42"/>
    <w:rsid w:val="0053200C"/>
    <w:rsid w:val="0053290B"/>
    <w:rsid w:val="005333FF"/>
    <w:rsid w:val="00533CE3"/>
    <w:rsid w:val="005344D9"/>
    <w:rsid w:val="005347BB"/>
    <w:rsid w:val="005350C0"/>
    <w:rsid w:val="00535319"/>
    <w:rsid w:val="00535363"/>
    <w:rsid w:val="005358EA"/>
    <w:rsid w:val="0053598F"/>
    <w:rsid w:val="00536205"/>
    <w:rsid w:val="00536435"/>
    <w:rsid w:val="00536782"/>
    <w:rsid w:val="00536E34"/>
    <w:rsid w:val="005377A8"/>
    <w:rsid w:val="005411DD"/>
    <w:rsid w:val="00541E58"/>
    <w:rsid w:val="00542A63"/>
    <w:rsid w:val="00542F4F"/>
    <w:rsid w:val="00543C79"/>
    <w:rsid w:val="00543DC2"/>
    <w:rsid w:val="005445BD"/>
    <w:rsid w:val="00544828"/>
    <w:rsid w:val="00546F21"/>
    <w:rsid w:val="0054710A"/>
    <w:rsid w:val="00547BA3"/>
    <w:rsid w:val="00550018"/>
    <w:rsid w:val="00550208"/>
    <w:rsid w:val="005504A2"/>
    <w:rsid w:val="00550DA4"/>
    <w:rsid w:val="00551988"/>
    <w:rsid w:val="005523D7"/>
    <w:rsid w:val="005535B0"/>
    <w:rsid w:val="0055420B"/>
    <w:rsid w:val="00554B03"/>
    <w:rsid w:val="00554BDB"/>
    <w:rsid w:val="00554CFF"/>
    <w:rsid w:val="005556FB"/>
    <w:rsid w:val="005557F7"/>
    <w:rsid w:val="00555891"/>
    <w:rsid w:val="00555DA0"/>
    <w:rsid w:val="00556176"/>
    <w:rsid w:val="005564F8"/>
    <w:rsid w:val="0055699B"/>
    <w:rsid w:val="00556B9A"/>
    <w:rsid w:val="00556BB3"/>
    <w:rsid w:val="005576B5"/>
    <w:rsid w:val="005577D0"/>
    <w:rsid w:val="00560295"/>
    <w:rsid w:val="005605C6"/>
    <w:rsid w:val="005606E7"/>
    <w:rsid w:val="00564592"/>
    <w:rsid w:val="00564911"/>
    <w:rsid w:val="005653E7"/>
    <w:rsid w:val="0056550B"/>
    <w:rsid w:val="005656DE"/>
    <w:rsid w:val="00566439"/>
    <w:rsid w:val="00570234"/>
    <w:rsid w:val="005704B2"/>
    <w:rsid w:val="00570574"/>
    <w:rsid w:val="005707BF"/>
    <w:rsid w:val="00570D39"/>
    <w:rsid w:val="005710C8"/>
    <w:rsid w:val="005728BA"/>
    <w:rsid w:val="005729DE"/>
    <w:rsid w:val="00572C30"/>
    <w:rsid w:val="00572D0D"/>
    <w:rsid w:val="00573EA3"/>
    <w:rsid w:val="00574218"/>
    <w:rsid w:val="0057450F"/>
    <w:rsid w:val="005746DA"/>
    <w:rsid w:val="00575207"/>
    <w:rsid w:val="0057541C"/>
    <w:rsid w:val="00575DF6"/>
    <w:rsid w:val="0057646A"/>
    <w:rsid w:val="00576B84"/>
    <w:rsid w:val="005771B2"/>
    <w:rsid w:val="00577209"/>
    <w:rsid w:val="005800C7"/>
    <w:rsid w:val="00580185"/>
    <w:rsid w:val="00580BAB"/>
    <w:rsid w:val="005811CF"/>
    <w:rsid w:val="00581959"/>
    <w:rsid w:val="00582259"/>
    <w:rsid w:val="00582C71"/>
    <w:rsid w:val="00582D58"/>
    <w:rsid w:val="0058348B"/>
    <w:rsid w:val="00583FD1"/>
    <w:rsid w:val="00584151"/>
    <w:rsid w:val="005846B1"/>
    <w:rsid w:val="005849D2"/>
    <w:rsid w:val="005852C4"/>
    <w:rsid w:val="00585E17"/>
    <w:rsid w:val="0058602B"/>
    <w:rsid w:val="00586D64"/>
    <w:rsid w:val="00590B34"/>
    <w:rsid w:val="00590C29"/>
    <w:rsid w:val="00590E3F"/>
    <w:rsid w:val="005911B0"/>
    <w:rsid w:val="00591279"/>
    <w:rsid w:val="00591383"/>
    <w:rsid w:val="00592774"/>
    <w:rsid w:val="005928F8"/>
    <w:rsid w:val="00592D29"/>
    <w:rsid w:val="005933F4"/>
    <w:rsid w:val="0059356C"/>
    <w:rsid w:val="00593EC8"/>
    <w:rsid w:val="00594CFA"/>
    <w:rsid w:val="005957CD"/>
    <w:rsid w:val="00597FE6"/>
    <w:rsid w:val="005A00CE"/>
    <w:rsid w:val="005A0389"/>
    <w:rsid w:val="005A0CC0"/>
    <w:rsid w:val="005A1449"/>
    <w:rsid w:val="005A14A0"/>
    <w:rsid w:val="005A162A"/>
    <w:rsid w:val="005A1869"/>
    <w:rsid w:val="005A1D90"/>
    <w:rsid w:val="005A253F"/>
    <w:rsid w:val="005A4AAB"/>
    <w:rsid w:val="005A4E21"/>
    <w:rsid w:val="005A505B"/>
    <w:rsid w:val="005A5673"/>
    <w:rsid w:val="005A71FA"/>
    <w:rsid w:val="005A7E09"/>
    <w:rsid w:val="005B0DCA"/>
    <w:rsid w:val="005B1092"/>
    <w:rsid w:val="005B129C"/>
    <w:rsid w:val="005B1768"/>
    <w:rsid w:val="005B1A78"/>
    <w:rsid w:val="005B340B"/>
    <w:rsid w:val="005B3613"/>
    <w:rsid w:val="005B3CA7"/>
    <w:rsid w:val="005B4469"/>
    <w:rsid w:val="005B5F5A"/>
    <w:rsid w:val="005B6F80"/>
    <w:rsid w:val="005B7299"/>
    <w:rsid w:val="005B7EC7"/>
    <w:rsid w:val="005C0120"/>
    <w:rsid w:val="005C1254"/>
    <w:rsid w:val="005C140C"/>
    <w:rsid w:val="005C3551"/>
    <w:rsid w:val="005C3627"/>
    <w:rsid w:val="005C3866"/>
    <w:rsid w:val="005C396A"/>
    <w:rsid w:val="005C4013"/>
    <w:rsid w:val="005C4A84"/>
    <w:rsid w:val="005C4BC0"/>
    <w:rsid w:val="005C5B06"/>
    <w:rsid w:val="005C5B2A"/>
    <w:rsid w:val="005C5BFF"/>
    <w:rsid w:val="005C5C0C"/>
    <w:rsid w:val="005C5CE3"/>
    <w:rsid w:val="005C66CF"/>
    <w:rsid w:val="005C688D"/>
    <w:rsid w:val="005C71C4"/>
    <w:rsid w:val="005D04BA"/>
    <w:rsid w:val="005D05DD"/>
    <w:rsid w:val="005D06B5"/>
    <w:rsid w:val="005D0DF9"/>
    <w:rsid w:val="005D26E6"/>
    <w:rsid w:val="005D365D"/>
    <w:rsid w:val="005D39A6"/>
    <w:rsid w:val="005D3DE5"/>
    <w:rsid w:val="005D4C0A"/>
    <w:rsid w:val="005D4C93"/>
    <w:rsid w:val="005D5EAD"/>
    <w:rsid w:val="005D63BF"/>
    <w:rsid w:val="005D6E32"/>
    <w:rsid w:val="005D7576"/>
    <w:rsid w:val="005E02DC"/>
    <w:rsid w:val="005E0A53"/>
    <w:rsid w:val="005E0A6B"/>
    <w:rsid w:val="005E0C71"/>
    <w:rsid w:val="005E14B3"/>
    <w:rsid w:val="005E1BCE"/>
    <w:rsid w:val="005E35FB"/>
    <w:rsid w:val="005E3997"/>
    <w:rsid w:val="005E3CD6"/>
    <w:rsid w:val="005E436C"/>
    <w:rsid w:val="005E4D0C"/>
    <w:rsid w:val="005E536B"/>
    <w:rsid w:val="005E5428"/>
    <w:rsid w:val="005E5A38"/>
    <w:rsid w:val="005E5AA1"/>
    <w:rsid w:val="005E5DF4"/>
    <w:rsid w:val="005E6BFD"/>
    <w:rsid w:val="005E6D68"/>
    <w:rsid w:val="005E6D9C"/>
    <w:rsid w:val="005E6E02"/>
    <w:rsid w:val="005E767E"/>
    <w:rsid w:val="005E79BF"/>
    <w:rsid w:val="005E7B68"/>
    <w:rsid w:val="005F022B"/>
    <w:rsid w:val="005F0537"/>
    <w:rsid w:val="005F0B33"/>
    <w:rsid w:val="005F1635"/>
    <w:rsid w:val="005F18B1"/>
    <w:rsid w:val="005F2AF5"/>
    <w:rsid w:val="005F2CFC"/>
    <w:rsid w:val="005F3664"/>
    <w:rsid w:val="005F386C"/>
    <w:rsid w:val="005F486C"/>
    <w:rsid w:val="005F4C7F"/>
    <w:rsid w:val="005F4E01"/>
    <w:rsid w:val="005F5579"/>
    <w:rsid w:val="005F5DC9"/>
    <w:rsid w:val="005F6ECB"/>
    <w:rsid w:val="005F72C4"/>
    <w:rsid w:val="005F78DA"/>
    <w:rsid w:val="005F7A0E"/>
    <w:rsid w:val="005F7ECF"/>
    <w:rsid w:val="0060018D"/>
    <w:rsid w:val="0060200F"/>
    <w:rsid w:val="006034E4"/>
    <w:rsid w:val="006036E7"/>
    <w:rsid w:val="00604685"/>
    <w:rsid w:val="00605D07"/>
    <w:rsid w:val="00607E26"/>
    <w:rsid w:val="00607F04"/>
    <w:rsid w:val="0061056E"/>
    <w:rsid w:val="00610815"/>
    <w:rsid w:val="006114EF"/>
    <w:rsid w:val="00611D49"/>
    <w:rsid w:val="006128B1"/>
    <w:rsid w:val="00612B8A"/>
    <w:rsid w:val="00612DDB"/>
    <w:rsid w:val="00613BB6"/>
    <w:rsid w:val="0061490F"/>
    <w:rsid w:val="006157F0"/>
    <w:rsid w:val="0061736F"/>
    <w:rsid w:val="00617381"/>
    <w:rsid w:val="0062028A"/>
    <w:rsid w:val="00620447"/>
    <w:rsid w:val="006205E0"/>
    <w:rsid w:val="00620B86"/>
    <w:rsid w:val="00622928"/>
    <w:rsid w:val="00622D32"/>
    <w:rsid w:val="00623217"/>
    <w:rsid w:val="0062331F"/>
    <w:rsid w:val="0062383B"/>
    <w:rsid w:val="00624899"/>
    <w:rsid w:val="00625C1A"/>
    <w:rsid w:val="00625DF5"/>
    <w:rsid w:val="00625F04"/>
    <w:rsid w:val="006273FE"/>
    <w:rsid w:val="00627DD7"/>
    <w:rsid w:val="0063026B"/>
    <w:rsid w:val="00630BB6"/>
    <w:rsid w:val="0063128A"/>
    <w:rsid w:val="00631609"/>
    <w:rsid w:val="00633201"/>
    <w:rsid w:val="00633B3E"/>
    <w:rsid w:val="00633BE2"/>
    <w:rsid w:val="00633EAA"/>
    <w:rsid w:val="006345B5"/>
    <w:rsid w:val="00634AF0"/>
    <w:rsid w:val="00635C48"/>
    <w:rsid w:val="00636140"/>
    <w:rsid w:val="00636B2C"/>
    <w:rsid w:val="00636B99"/>
    <w:rsid w:val="00637E51"/>
    <w:rsid w:val="006405D8"/>
    <w:rsid w:val="00641D53"/>
    <w:rsid w:val="00641E9C"/>
    <w:rsid w:val="00642915"/>
    <w:rsid w:val="0064301B"/>
    <w:rsid w:val="00643416"/>
    <w:rsid w:val="00644632"/>
    <w:rsid w:val="00644B71"/>
    <w:rsid w:val="0064513C"/>
    <w:rsid w:val="00647B95"/>
    <w:rsid w:val="00647E3A"/>
    <w:rsid w:val="00650E3B"/>
    <w:rsid w:val="00651260"/>
    <w:rsid w:val="006513A9"/>
    <w:rsid w:val="006516AA"/>
    <w:rsid w:val="00651B61"/>
    <w:rsid w:val="00651CAB"/>
    <w:rsid w:val="00653856"/>
    <w:rsid w:val="00653B2B"/>
    <w:rsid w:val="00654295"/>
    <w:rsid w:val="006542B5"/>
    <w:rsid w:val="00655221"/>
    <w:rsid w:val="00656990"/>
    <w:rsid w:val="0065773E"/>
    <w:rsid w:val="00657B27"/>
    <w:rsid w:val="00657BA3"/>
    <w:rsid w:val="00657FD6"/>
    <w:rsid w:val="006601D6"/>
    <w:rsid w:val="00660AD5"/>
    <w:rsid w:val="0066158D"/>
    <w:rsid w:val="00661932"/>
    <w:rsid w:val="00661BBC"/>
    <w:rsid w:val="00662CA5"/>
    <w:rsid w:val="00662CE3"/>
    <w:rsid w:val="006632B8"/>
    <w:rsid w:val="006634A7"/>
    <w:rsid w:val="00663F4B"/>
    <w:rsid w:val="006667F5"/>
    <w:rsid w:val="00666C97"/>
    <w:rsid w:val="00667571"/>
    <w:rsid w:val="00667BCF"/>
    <w:rsid w:val="0067053F"/>
    <w:rsid w:val="00670B3D"/>
    <w:rsid w:val="00670C17"/>
    <w:rsid w:val="00671175"/>
    <w:rsid w:val="006714D0"/>
    <w:rsid w:val="0067173F"/>
    <w:rsid w:val="00672E4A"/>
    <w:rsid w:val="00674018"/>
    <w:rsid w:val="0067412B"/>
    <w:rsid w:val="006742EE"/>
    <w:rsid w:val="00675353"/>
    <w:rsid w:val="00675A3B"/>
    <w:rsid w:val="00675BA3"/>
    <w:rsid w:val="006764FF"/>
    <w:rsid w:val="00676A99"/>
    <w:rsid w:val="00676C1C"/>
    <w:rsid w:val="00677169"/>
    <w:rsid w:val="0067727F"/>
    <w:rsid w:val="006802B9"/>
    <w:rsid w:val="00680353"/>
    <w:rsid w:val="006808E1"/>
    <w:rsid w:val="00680991"/>
    <w:rsid w:val="00681CA4"/>
    <w:rsid w:val="0068297A"/>
    <w:rsid w:val="00682DAA"/>
    <w:rsid w:val="006830BA"/>
    <w:rsid w:val="00683E5F"/>
    <w:rsid w:val="006844E3"/>
    <w:rsid w:val="00684B96"/>
    <w:rsid w:val="00684F5A"/>
    <w:rsid w:val="00685412"/>
    <w:rsid w:val="0068672E"/>
    <w:rsid w:val="0068718C"/>
    <w:rsid w:val="0068754E"/>
    <w:rsid w:val="00687B58"/>
    <w:rsid w:val="00690275"/>
    <w:rsid w:val="0069053F"/>
    <w:rsid w:val="00690BCB"/>
    <w:rsid w:val="00690C11"/>
    <w:rsid w:val="00690DBA"/>
    <w:rsid w:val="00690DFB"/>
    <w:rsid w:val="006916B9"/>
    <w:rsid w:val="00691AAE"/>
    <w:rsid w:val="00691E61"/>
    <w:rsid w:val="0069370F"/>
    <w:rsid w:val="006938EA"/>
    <w:rsid w:val="006945EC"/>
    <w:rsid w:val="00694636"/>
    <w:rsid w:val="00694E06"/>
    <w:rsid w:val="0069537D"/>
    <w:rsid w:val="00695A7F"/>
    <w:rsid w:val="00696432"/>
    <w:rsid w:val="006967DB"/>
    <w:rsid w:val="00696C5A"/>
    <w:rsid w:val="00696C68"/>
    <w:rsid w:val="00697112"/>
    <w:rsid w:val="0069754C"/>
    <w:rsid w:val="00697A7D"/>
    <w:rsid w:val="006A08CF"/>
    <w:rsid w:val="006A1318"/>
    <w:rsid w:val="006A1690"/>
    <w:rsid w:val="006A1BF8"/>
    <w:rsid w:val="006A1D5F"/>
    <w:rsid w:val="006A253F"/>
    <w:rsid w:val="006A2CBE"/>
    <w:rsid w:val="006A2D38"/>
    <w:rsid w:val="006A4054"/>
    <w:rsid w:val="006A41D6"/>
    <w:rsid w:val="006A4641"/>
    <w:rsid w:val="006A51D1"/>
    <w:rsid w:val="006A547B"/>
    <w:rsid w:val="006A588C"/>
    <w:rsid w:val="006A6655"/>
    <w:rsid w:val="006A69E5"/>
    <w:rsid w:val="006A6FC0"/>
    <w:rsid w:val="006B080E"/>
    <w:rsid w:val="006B0F0E"/>
    <w:rsid w:val="006B19A8"/>
    <w:rsid w:val="006B1EC0"/>
    <w:rsid w:val="006B3146"/>
    <w:rsid w:val="006B39C0"/>
    <w:rsid w:val="006B43A0"/>
    <w:rsid w:val="006B5BC5"/>
    <w:rsid w:val="006B5D24"/>
    <w:rsid w:val="006B6705"/>
    <w:rsid w:val="006B7324"/>
    <w:rsid w:val="006B7A44"/>
    <w:rsid w:val="006B7AD3"/>
    <w:rsid w:val="006C0D90"/>
    <w:rsid w:val="006C1207"/>
    <w:rsid w:val="006C369B"/>
    <w:rsid w:val="006C3FFD"/>
    <w:rsid w:val="006C4110"/>
    <w:rsid w:val="006C45D2"/>
    <w:rsid w:val="006C474A"/>
    <w:rsid w:val="006C52D0"/>
    <w:rsid w:val="006C5939"/>
    <w:rsid w:val="006C5B93"/>
    <w:rsid w:val="006C63CA"/>
    <w:rsid w:val="006C6A06"/>
    <w:rsid w:val="006C6E5B"/>
    <w:rsid w:val="006D0ACF"/>
    <w:rsid w:val="006D18B1"/>
    <w:rsid w:val="006D199A"/>
    <w:rsid w:val="006D1AC0"/>
    <w:rsid w:val="006D2B69"/>
    <w:rsid w:val="006D31BE"/>
    <w:rsid w:val="006D419B"/>
    <w:rsid w:val="006D41A1"/>
    <w:rsid w:val="006D4774"/>
    <w:rsid w:val="006D4D47"/>
    <w:rsid w:val="006D532D"/>
    <w:rsid w:val="006D5B8B"/>
    <w:rsid w:val="006D6133"/>
    <w:rsid w:val="006D68AD"/>
    <w:rsid w:val="006D7A89"/>
    <w:rsid w:val="006E0039"/>
    <w:rsid w:val="006E0333"/>
    <w:rsid w:val="006E0387"/>
    <w:rsid w:val="006E039F"/>
    <w:rsid w:val="006E0B34"/>
    <w:rsid w:val="006E0EF5"/>
    <w:rsid w:val="006E1D8D"/>
    <w:rsid w:val="006E2004"/>
    <w:rsid w:val="006E2118"/>
    <w:rsid w:val="006E21C0"/>
    <w:rsid w:val="006E2913"/>
    <w:rsid w:val="006E366A"/>
    <w:rsid w:val="006E48F5"/>
    <w:rsid w:val="006E5B16"/>
    <w:rsid w:val="006E5C75"/>
    <w:rsid w:val="006E7667"/>
    <w:rsid w:val="006E76BD"/>
    <w:rsid w:val="006E79F6"/>
    <w:rsid w:val="006F2754"/>
    <w:rsid w:val="006F287D"/>
    <w:rsid w:val="006F2905"/>
    <w:rsid w:val="006F32EC"/>
    <w:rsid w:val="006F3A07"/>
    <w:rsid w:val="006F43DF"/>
    <w:rsid w:val="006F5078"/>
    <w:rsid w:val="006F50FD"/>
    <w:rsid w:val="006F5419"/>
    <w:rsid w:val="006F5D72"/>
    <w:rsid w:val="006F6587"/>
    <w:rsid w:val="006F6CA3"/>
    <w:rsid w:val="00700729"/>
    <w:rsid w:val="0070079D"/>
    <w:rsid w:val="0070084D"/>
    <w:rsid w:val="007013FE"/>
    <w:rsid w:val="00702E48"/>
    <w:rsid w:val="007038F0"/>
    <w:rsid w:val="00703A0E"/>
    <w:rsid w:val="0070417B"/>
    <w:rsid w:val="007058FF"/>
    <w:rsid w:val="00706C32"/>
    <w:rsid w:val="00707441"/>
    <w:rsid w:val="007076B0"/>
    <w:rsid w:val="007101A2"/>
    <w:rsid w:val="00710B38"/>
    <w:rsid w:val="00711A39"/>
    <w:rsid w:val="00711B47"/>
    <w:rsid w:val="00712196"/>
    <w:rsid w:val="007129DB"/>
    <w:rsid w:val="00714399"/>
    <w:rsid w:val="007154CD"/>
    <w:rsid w:val="007169AB"/>
    <w:rsid w:val="007219A2"/>
    <w:rsid w:val="00721D12"/>
    <w:rsid w:val="00722B24"/>
    <w:rsid w:val="00722BF2"/>
    <w:rsid w:val="007233E3"/>
    <w:rsid w:val="007258FD"/>
    <w:rsid w:val="00725E84"/>
    <w:rsid w:val="00726E47"/>
    <w:rsid w:val="00727F58"/>
    <w:rsid w:val="00730724"/>
    <w:rsid w:val="00730AB3"/>
    <w:rsid w:val="007310B4"/>
    <w:rsid w:val="00731321"/>
    <w:rsid w:val="0073170C"/>
    <w:rsid w:val="00731713"/>
    <w:rsid w:val="00733176"/>
    <w:rsid w:val="00733669"/>
    <w:rsid w:val="007339AF"/>
    <w:rsid w:val="0073403B"/>
    <w:rsid w:val="00734A8D"/>
    <w:rsid w:val="007359AA"/>
    <w:rsid w:val="00735C6D"/>
    <w:rsid w:val="007361A2"/>
    <w:rsid w:val="007364A5"/>
    <w:rsid w:val="0073718D"/>
    <w:rsid w:val="0073733D"/>
    <w:rsid w:val="0073799E"/>
    <w:rsid w:val="00737C15"/>
    <w:rsid w:val="00740CF7"/>
    <w:rsid w:val="00740ED7"/>
    <w:rsid w:val="0074164C"/>
    <w:rsid w:val="00741897"/>
    <w:rsid w:val="00742233"/>
    <w:rsid w:val="0074250F"/>
    <w:rsid w:val="00742CD8"/>
    <w:rsid w:val="0074340D"/>
    <w:rsid w:val="0074412A"/>
    <w:rsid w:val="00744F61"/>
    <w:rsid w:val="00745468"/>
    <w:rsid w:val="0074547C"/>
    <w:rsid w:val="007465DC"/>
    <w:rsid w:val="00746662"/>
    <w:rsid w:val="00746BB6"/>
    <w:rsid w:val="00747ABD"/>
    <w:rsid w:val="00747BB0"/>
    <w:rsid w:val="00747BEF"/>
    <w:rsid w:val="00747DC2"/>
    <w:rsid w:val="00750E3A"/>
    <w:rsid w:val="00751AD8"/>
    <w:rsid w:val="00752B15"/>
    <w:rsid w:val="00752CEB"/>
    <w:rsid w:val="00753D5A"/>
    <w:rsid w:val="00754080"/>
    <w:rsid w:val="00754F88"/>
    <w:rsid w:val="00754FF3"/>
    <w:rsid w:val="00755106"/>
    <w:rsid w:val="00755AE3"/>
    <w:rsid w:val="007566B5"/>
    <w:rsid w:val="00756C7B"/>
    <w:rsid w:val="00756D80"/>
    <w:rsid w:val="00757C0F"/>
    <w:rsid w:val="00757F66"/>
    <w:rsid w:val="00760E7B"/>
    <w:rsid w:val="00761E98"/>
    <w:rsid w:val="007623FA"/>
    <w:rsid w:val="00762ABB"/>
    <w:rsid w:val="00763180"/>
    <w:rsid w:val="00764379"/>
    <w:rsid w:val="00764842"/>
    <w:rsid w:val="0076502E"/>
    <w:rsid w:val="007651BE"/>
    <w:rsid w:val="007657F8"/>
    <w:rsid w:val="007660EA"/>
    <w:rsid w:val="007668B2"/>
    <w:rsid w:val="0076775A"/>
    <w:rsid w:val="00767BC3"/>
    <w:rsid w:val="007701C2"/>
    <w:rsid w:val="00771D2B"/>
    <w:rsid w:val="00772F80"/>
    <w:rsid w:val="00773871"/>
    <w:rsid w:val="00773947"/>
    <w:rsid w:val="00774031"/>
    <w:rsid w:val="007745D8"/>
    <w:rsid w:val="00775AD3"/>
    <w:rsid w:val="00776917"/>
    <w:rsid w:val="00776A30"/>
    <w:rsid w:val="00776AF5"/>
    <w:rsid w:val="007773F3"/>
    <w:rsid w:val="00780426"/>
    <w:rsid w:val="00780E3E"/>
    <w:rsid w:val="00780E9B"/>
    <w:rsid w:val="00780F16"/>
    <w:rsid w:val="00781CF8"/>
    <w:rsid w:val="00781D3C"/>
    <w:rsid w:val="00783159"/>
    <w:rsid w:val="007832A3"/>
    <w:rsid w:val="00783AA5"/>
    <w:rsid w:val="00784187"/>
    <w:rsid w:val="0078582B"/>
    <w:rsid w:val="00785988"/>
    <w:rsid w:val="007862C8"/>
    <w:rsid w:val="00786F4D"/>
    <w:rsid w:val="00787D1C"/>
    <w:rsid w:val="00787D7E"/>
    <w:rsid w:val="007901E9"/>
    <w:rsid w:val="0079043D"/>
    <w:rsid w:val="0079086C"/>
    <w:rsid w:val="00790C41"/>
    <w:rsid w:val="00791BF3"/>
    <w:rsid w:val="00792348"/>
    <w:rsid w:val="00793B3C"/>
    <w:rsid w:val="00794690"/>
    <w:rsid w:val="0079577D"/>
    <w:rsid w:val="0079584E"/>
    <w:rsid w:val="007960A0"/>
    <w:rsid w:val="0079723E"/>
    <w:rsid w:val="007A008F"/>
    <w:rsid w:val="007A0637"/>
    <w:rsid w:val="007A08DE"/>
    <w:rsid w:val="007A0FEC"/>
    <w:rsid w:val="007A11F5"/>
    <w:rsid w:val="007A1B28"/>
    <w:rsid w:val="007A1EFE"/>
    <w:rsid w:val="007A2067"/>
    <w:rsid w:val="007A2A87"/>
    <w:rsid w:val="007A2DCE"/>
    <w:rsid w:val="007A35E5"/>
    <w:rsid w:val="007A37B6"/>
    <w:rsid w:val="007A3A27"/>
    <w:rsid w:val="007A3FBF"/>
    <w:rsid w:val="007A40A9"/>
    <w:rsid w:val="007A44CA"/>
    <w:rsid w:val="007A5070"/>
    <w:rsid w:val="007A5627"/>
    <w:rsid w:val="007A562E"/>
    <w:rsid w:val="007A6C2D"/>
    <w:rsid w:val="007A75B6"/>
    <w:rsid w:val="007A7A41"/>
    <w:rsid w:val="007A7BBF"/>
    <w:rsid w:val="007B0B9A"/>
    <w:rsid w:val="007B0D99"/>
    <w:rsid w:val="007B1A32"/>
    <w:rsid w:val="007B30E2"/>
    <w:rsid w:val="007B3649"/>
    <w:rsid w:val="007B3BC7"/>
    <w:rsid w:val="007B3D00"/>
    <w:rsid w:val="007B46E8"/>
    <w:rsid w:val="007B604E"/>
    <w:rsid w:val="007B7F3C"/>
    <w:rsid w:val="007B7F6D"/>
    <w:rsid w:val="007C072C"/>
    <w:rsid w:val="007C140A"/>
    <w:rsid w:val="007C1E54"/>
    <w:rsid w:val="007C222B"/>
    <w:rsid w:val="007C248D"/>
    <w:rsid w:val="007C24C9"/>
    <w:rsid w:val="007C29EC"/>
    <w:rsid w:val="007C2D24"/>
    <w:rsid w:val="007C3411"/>
    <w:rsid w:val="007C4366"/>
    <w:rsid w:val="007C539F"/>
    <w:rsid w:val="007C6229"/>
    <w:rsid w:val="007C6F40"/>
    <w:rsid w:val="007C720C"/>
    <w:rsid w:val="007C7B5F"/>
    <w:rsid w:val="007D0107"/>
    <w:rsid w:val="007D05F1"/>
    <w:rsid w:val="007D13D5"/>
    <w:rsid w:val="007D1F56"/>
    <w:rsid w:val="007D217A"/>
    <w:rsid w:val="007D365B"/>
    <w:rsid w:val="007D398E"/>
    <w:rsid w:val="007D3D2E"/>
    <w:rsid w:val="007D415B"/>
    <w:rsid w:val="007D5072"/>
    <w:rsid w:val="007D57B8"/>
    <w:rsid w:val="007D59D4"/>
    <w:rsid w:val="007D5AA1"/>
    <w:rsid w:val="007D5F79"/>
    <w:rsid w:val="007D6394"/>
    <w:rsid w:val="007D63B2"/>
    <w:rsid w:val="007D6BE3"/>
    <w:rsid w:val="007D6E95"/>
    <w:rsid w:val="007D6FB2"/>
    <w:rsid w:val="007D7583"/>
    <w:rsid w:val="007D77B6"/>
    <w:rsid w:val="007D7FB0"/>
    <w:rsid w:val="007E01D1"/>
    <w:rsid w:val="007E0714"/>
    <w:rsid w:val="007E0C75"/>
    <w:rsid w:val="007E25EF"/>
    <w:rsid w:val="007E269F"/>
    <w:rsid w:val="007E2BF1"/>
    <w:rsid w:val="007E455F"/>
    <w:rsid w:val="007E532F"/>
    <w:rsid w:val="007E57B2"/>
    <w:rsid w:val="007E5CBE"/>
    <w:rsid w:val="007E746F"/>
    <w:rsid w:val="007E7646"/>
    <w:rsid w:val="007F0063"/>
    <w:rsid w:val="007F0528"/>
    <w:rsid w:val="007F1B7C"/>
    <w:rsid w:val="007F2328"/>
    <w:rsid w:val="007F243E"/>
    <w:rsid w:val="007F2BA8"/>
    <w:rsid w:val="007F2D87"/>
    <w:rsid w:val="007F361A"/>
    <w:rsid w:val="007F3745"/>
    <w:rsid w:val="007F3BA7"/>
    <w:rsid w:val="007F3BE2"/>
    <w:rsid w:val="007F4D92"/>
    <w:rsid w:val="007F5838"/>
    <w:rsid w:val="007F5B83"/>
    <w:rsid w:val="007F6500"/>
    <w:rsid w:val="007F712D"/>
    <w:rsid w:val="007F7DD2"/>
    <w:rsid w:val="007F7F56"/>
    <w:rsid w:val="00801FA4"/>
    <w:rsid w:val="008025B1"/>
    <w:rsid w:val="00802932"/>
    <w:rsid w:val="00803132"/>
    <w:rsid w:val="008032C2"/>
    <w:rsid w:val="00803985"/>
    <w:rsid w:val="0080478C"/>
    <w:rsid w:val="00804C4F"/>
    <w:rsid w:val="00805293"/>
    <w:rsid w:val="00805F46"/>
    <w:rsid w:val="008065EF"/>
    <w:rsid w:val="0080663E"/>
    <w:rsid w:val="0080678B"/>
    <w:rsid w:val="00806D21"/>
    <w:rsid w:val="00806E9B"/>
    <w:rsid w:val="00812A1F"/>
    <w:rsid w:val="00812CBF"/>
    <w:rsid w:val="00814332"/>
    <w:rsid w:val="00814D4F"/>
    <w:rsid w:val="00815660"/>
    <w:rsid w:val="00815BDB"/>
    <w:rsid w:val="008161FC"/>
    <w:rsid w:val="008172B0"/>
    <w:rsid w:val="008172E8"/>
    <w:rsid w:val="008173AA"/>
    <w:rsid w:val="008177E6"/>
    <w:rsid w:val="00820702"/>
    <w:rsid w:val="008209EA"/>
    <w:rsid w:val="00821691"/>
    <w:rsid w:val="00821747"/>
    <w:rsid w:val="00822128"/>
    <w:rsid w:val="00823125"/>
    <w:rsid w:val="00823689"/>
    <w:rsid w:val="00823743"/>
    <w:rsid w:val="008239F9"/>
    <w:rsid w:val="00824DD0"/>
    <w:rsid w:val="00824EE8"/>
    <w:rsid w:val="00825218"/>
    <w:rsid w:val="0082532D"/>
    <w:rsid w:val="008254F8"/>
    <w:rsid w:val="00825953"/>
    <w:rsid w:val="00826536"/>
    <w:rsid w:val="00826591"/>
    <w:rsid w:val="00827284"/>
    <w:rsid w:val="00827919"/>
    <w:rsid w:val="00827A36"/>
    <w:rsid w:val="00827EB3"/>
    <w:rsid w:val="00830118"/>
    <w:rsid w:val="00830C78"/>
    <w:rsid w:val="008313D7"/>
    <w:rsid w:val="00831D16"/>
    <w:rsid w:val="00831EE0"/>
    <w:rsid w:val="008328B3"/>
    <w:rsid w:val="00832DBC"/>
    <w:rsid w:val="00833979"/>
    <w:rsid w:val="00833A7D"/>
    <w:rsid w:val="008340E5"/>
    <w:rsid w:val="008343D1"/>
    <w:rsid w:val="008346DE"/>
    <w:rsid w:val="00834FC8"/>
    <w:rsid w:val="0083521F"/>
    <w:rsid w:val="0083524A"/>
    <w:rsid w:val="00835AB1"/>
    <w:rsid w:val="008366FE"/>
    <w:rsid w:val="00836D4C"/>
    <w:rsid w:val="00837004"/>
    <w:rsid w:val="00837006"/>
    <w:rsid w:val="00837823"/>
    <w:rsid w:val="00837A73"/>
    <w:rsid w:val="00840ABB"/>
    <w:rsid w:val="00841757"/>
    <w:rsid w:val="00841782"/>
    <w:rsid w:val="00841CB9"/>
    <w:rsid w:val="0084207B"/>
    <w:rsid w:val="00842679"/>
    <w:rsid w:val="0084348F"/>
    <w:rsid w:val="0084363B"/>
    <w:rsid w:val="008441ED"/>
    <w:rsid w:val="008456E6"/>
    <w:rsid w:val="008457B1"/>
    <w:rsid w:val="008458FA"/>
    <w:rsid w:val="00846765"/>
    <w:rsid w:val="00846F1C"/>
    <w:rsid w:val="0084718D"/>
    <w:rsid w:val="0084766F"/>
    <w:rsid w:val="00847794"/>
    <w:rsid w:val="00847A27"/>
    <w:rsid w:val="00850886"/>
    <w:rsid w:val="00850A86"/>
    <w:rsid w:val="00851101"/>
    <w:rsid w:val="008519FF"/>
    <w:rsid w:val="00851D1C"/>
    <w:rsid w:val="00852485"/>
    <w:rsid w:val="008531A5"/>
    <w:rsid w:val="008532E9"/>
    <w:rsid w:val="00853799"/>
    <w:rsid w:val="008537CA"/>
    <w:rsid w:val="008539FA"/>
    <w:rsid w:val="00853D3D"/>
    <w:rsid w:val="00853F92"/>
    <w:rsid w:val="00854AE0"/>
    <w:rsid w:val="008556F4"/>
    <w:rsid w:val="0085593D"/>
    <w:rsid w:val="00856864"/>
    <w:rsid w:val="00857380"/>
    <w:rsid w:val="00857D01"/>
    <w:rsid w:val="0086071E"/>
    <w:rsid w:val="008614E7"/>
    <w:rsid w:val="00861D32"/>
    <w:rsid w:val="00861D75"/>
    <w:rsid w:val="0086356A"/>
    <w:rsid w:val="00863728"/>
    <w:rsid w:val="008643CD"/>
    <w:rsid w:val="0086477B"/>
    <w:rsid w:val="0086606E"/>
    <w:rsid w:val="00866A91"/>
    <w:rsid w:val="00866F3A"/>
    <w:rsid w:val="008674BA"/>
    <w:rsid w:val="00867C76"/>
    <w:rsid w:val="008702EC"/>
    <w:rsid w:val="00870623"/>
    <w:rsid w:val="008716E7"/>
    <w:rsid w:val="0087222E"/>
    <w:rsid w:val="00873B84"/>
    <w:rsid w:val="00873D98"/>
    <w:rsid w:val="0087456F"/>
    <w:rsid w:val="00875D89"/>
    <w:rsid w:val="00876512"/>
    <w:rsid w:val="00876741"/>
    <w:rsid w:val="008767EC"/>
    <w:rsid w:val="008768E5"/>
    <w:rsid w:val="00877DBC"/>
    <w:rsid w:val="0088020F"/>
    <w:rsid w:val="00880463"/>
    <w:rsid w:val="008805DF"/>
    <w:rsid w:val="00880756"/>
    <w:rsid w:val="00880B1D"/>
    <w:rsid w:val="00881424"/>
    <w:rsid w:val="00881837"/>
    <w:rsid w:val="00882486"/>
    <w:rsid w:val="00882C7C"/>
    <w:rsid w:val="008834C8"/>
    <w:rsid w:val="008835EC"/>
    <w:rsid w:val="00884126"/>
    <w:rsid w:val="00884256"/>
    <w:rsid w:val="00884A93"/>
    <w:rsid w:val="00884EB8"/>
    <w:rsid w:val="0088529B"/>
    <w:rsid w:val="00885628"/>
    <w:rsid w:val="0088580C"/>
    <w:rsid w:val="008868C0"/>
    <w:rsid w:val="0088724B"/>
    <w:rsid w:val="00887C57"/>
    <w:rsid w:val="00890E91"/>
    <w:rsid w:val="00891565"/>
    <w:rsid w:val="00891960"/>
    <w:rsid w:val="00891C88"/>
    <w:rsid w:val="008929A8"/>
    <w:rsid w:val="00892C4F"/>
    <w:rsid w:val="00892E5B"/>
    <w:rsid w:val="00892EA3"/>
    <w:rsid w:val="00893847"/>
    <w:rsid w:val="00894C2D"/>
    <w:rsid w:val="00894D55"/>
    <w:rsid w:val="00895035"/>
    <w:rsid w:val="008953A6"/>
    <w:rsid w:val="008953DB"/>
    <w:rsid w:val="00895960"/>
    <w:rsid w:val="008961DF"/>
    <w:rsid w:val="008962FB"/>
    <w:rsid w:val="00896644"/>
    <w:rsid w:val="00897545"/>
    <w:rsid w:val="00897986"/>
    <w:rsid w:val="008A2426"/>
    <w:rsid w:val="008A29DE"/>
    <w:rsid w:val="008A4E73"/>
    <w:rsid w:val="008A5143"/>
    <w:rsid w:val="008A54D1"/>
    <w:rsid w:val="008A583D"/>
    <w:rsid w:val="008A5AD8"/>
    <w:rsid w:val="008A61FB"/>
    <w:rsid w:val="008A6C03"/>
    <w:rsid w:val="008A6E31"/>
    <w:rsid w:val="008A7066"/>
    <w:rsid w:val="008A7EE1"/>
    <w:rsid w:val="008B04AE"/>
    <w:rsid w:val="008B117F"/>
    <w:rsid w:val="008B1269"/>
    <w:rsid w:val="008B1690"/>
    <w:rsid w:val="008B17FD"/>
    <w:rsid w:val="008B1AD5"/>
    <w:rsid w:val="008B1C41"/>
    <w:rsid w:val="008B1D7D"/>
    <w:rsid w:val="008B1F63"/>
    <w:rsid w:val="008B2AAC"/>
    <w:rsid w:val="008B2D37"/>
    <w:rsid w:val="008B34E5"/>
    <w:rsid w:val="008B3716"/>
    <w:rsid w:val="008B495A"/>
    <w:rsid w:val="008B58A5"/>
    <w:rsid w:val="008B5F44"/>
    <w:rsid w:val="008B616B"/>
    <w:rsid w:val="008B66FC"/>
    <w:rsid w:val="008B78F7"/>
    <w:rsid w:val="008B7A2C"/>
    <w:rsid w:val="008B7EBC"/>
    <w:rsid w:val="008B7F70"/>
    <w:rsid w:val="008C05A6"/>
    <w:rsid w:val="008C080C"/>
    <w:rsid w:val="008C08A6"/>
    <w:rsid w:val="008C09BF"/>
    <w:rsid w:val="008C0B61"/>
    <w:rsid w:val="008C0B92"/>
    <w:rsid w:val="008C1276"/>
    <w:rsid w:val="008C1691"/>
    <w:rsid w:val="008C19B2"/>
    <w:rsid w:val="008C24E4"/>
    <w:rsid w:val="008C271C"/>
    <w:rsid w:val="008C29DE"/>
    <w:rsid w:val="008C32A7"/>
    <w:rsid w:val="008C34B0"/>
    <w:rsid w:val="008C3860"/>
    <w:rsid w:val="008C43EB"/>
    <w:rsid w:val="008C4543"/>
    <w:rsid w:val="008C5207"/>
    <w:rsid w:val="008C5AD1"/>
    <w:rsid w:val="008C5B4E"/>
    <w:rsid w:val="008C5D90"/>
    <w:rsid w:val="008C6341"/>
    <w:rsid w:val="008C6357"/>
    <w:rsid w:val="008C6537"/>
    <w:rsid w:val="008C6699"/>
    <w:rsid w:val="008C6AD8"/>
    <w:rsid w:val="008C6E49"/>
    <w:rsid w:val="008C7D53"/>
    <w:rsid w:val="008D05ED"/>
    <w:rsid w:val="008D0ACC"/>
    <w:rsid w:val="008D0D4B"/>
    <w:rsid w:val="008D187E"/>
    <w:rsid w:val="008D2ED5"/>
    <w:rsid w:val="008D3A61"/>
    <w:rsid w:val="008D3FAF"/>
    <w:rsid w:val="008D44BC"/>
    <w:rsid w:val="008D6912"/>
    <w:rsid w:val="008D7024"/>
    <w:rsid w:val="008D7C13"/>
    <w:rsid w:val="008E0256"/>
    <w:rsid w:val="008E0850"/>
    <w:rsid w:val="008E0D47"/>
    <w:rsid w:val="008E1F3C"/>
    <w:rsid w:val="008E2628"/>
    <w:rsid w:val="008E2659"/>
    <w:rsid w:val="008E2981"/>
    <w:rsid w:val="008E3A2E"/>
    <w:rsid w:val="008E3AD6"/>
    <w:rsid w:val="008E4E61"/>
    <w:rsid w:val="008E51E9"/>
    <w:rsid w:val="008E5AAD"/>
    <w:rsid w:val="008E5D18"/>
    <w:rsid w:val="008E5D5F"/>
    <w:rsid w:val="008E683D"/>
    <w:rsid w:val="008E7F4C"/>
    <w:rsid w:val="008F0142"/>
    <w:rsid w:val="008F0730"/>
    <w:rsid w:val="008F08C2"/>
    <w:rsid w:val="008F0E4C"/>
    <w:rsid w:val="008F14A7"/>
    <w:rsid w:val="008F1D08"/>
    <w:rsid w:val="008F1ED3"/>
    <w:rsid w:val="008F2111"/>
    <w:rsid w:val="008F25F5"/>
    <w:rsid w:val="008F339F"/>
    <w:rsid w:val="008F33F4"/>
    <w:rsid w:val="008F3546"/>
    <w:rsid w:val="008F3C57"/>
    <w:rsid w:val="008F446B"/>
    <w:rsid w:val="008F4865"/>
    <w:rsid w:val="008F51A9"/>
    <w:rsid w:val="008F51DA"/>
    <w:rsid w:val="008F53F9"/>
    <w:rsid w:val="008F5FA8"/>
    <w:rsid w:val="008F6D9F"/>
    <w:rsid w:val="008F78ED"/>
    <w:rsid w:val="008F796B"/>
    <w:rsid w:val="00900446"/>
    <w:rsid w:val="009005FA"/>
    <w:rsid w:val="009009FB"/>
    <w:rsid w:val="00900DD4"/>
    <w:rsid w:val="009015CF"/>
    <w:rsid w:val="00901711"/>
    <w:rsid w:val="00901A62"/>
    <w:rsid w:val="00901D9A"/>
    <w:rsid w:val="00902E19"/>
    <w:rsid w:val="0090344B"/>
    <w:rsid w:val="0090458E"/>
    <w:rsid w:val="009058CB"/>
    <w:rsid w:val="00905AA9"/>
    <w:rsid w:val="00905C49"/>
    <w:rsid w:val="00905DEF"/>
    <w:rsid w:val="0090634F"/>
    <w:rsid w:val="00906A98"/>
    <w:rsid w:val="00906C4C"/>
    <w:rsid w:val="00906FAE"/>
    <w:rsid w:val="00907405"/>
    <w:rsid w:val="009077B6"/>
    <w:rsid w:val="00907C5A"/>
    <w:rsid w:val="00910B05"/>
    <w:rsid w:val="00911A7D"/>
    <w:rsid w:val="00911EB3"/>
    <w:rsid w:val="00911EFD"/>
    <w:rsid w:val="00912344"/>
    <w:rsid w:val="00912BF6"/>
    <w:rsid w:val="0091372C"/>
    <w:rsid w:val="00914D18"/>
    <w:rsid w:val="009158B7"/>
    <w:rsid w:val="00916BC0"/>
    <w:rsid w:val="00917347"/>
    <w:rsid w:val="0091745B"/>
    <w:rsid w:val="00917C7D"/>
    <w:rsid w:val="00920C0A"/>
    <w:rsid w:val="00920CA1"/>
    <w:rsid w:val="00921E66"/>
    <w:rsid w:val="00922727"/>
    <w:rsid w:val="00923BD1"/>
    <w:rsid w:val="00924D6D"/>
    <w:rsid w:val="00925930"/>
    <w:rsid w:val="00925D59"/>
    <w:rsid w:val="00925E9F"/>
    <w:rsid w:val="00926837"/>
    <w:rsid w:val="00927AC6"/>
    <w:rsid w:val="00930226"/>
    <w:rsid w:val="009303D4"/>
    <w:rsid w:val="009320AE"/>
    <w:rsid w:val="00933026"/>
    <w:rsid w:val="00933862"/>
    <w:rsid w:val="00933DEF"/>
    <w:rsid w:val="0093430C"/>
    <w:rsid w:val="00935247"/>
    <w:rsid w:val="009353C8"/>
    <w:rsid w:val="0093584E"/>
    <w:rsid w:val="00936162"/>
    <w:rsid w:val="0093633A"/>
    <w:rsid w:val="00936C18"/>
    <w:rsid w:val="009374A8"/>
    <w:rsid w:val="009377A5"/>
    <w:rsid w:val="009405F1"/>
    <w:rsid w:val="00941109"/>
    <w:rsid w:val="009417D2"/>
    <w:rsid w:val="00941E30"/>
    <w:rsid w:val="009422D9"/>
    <w:rsid w:val="00942390"/>
    <w:rsid w:val="009423BE"/>
    <w:rsid w:val="00942BC6"/>
    <w:rsid w:val="00943429"/>
    <w:rsid w:val="00943A5A"/>
    <w:rsid w:val="00944228"/>
    <w:rsid w:val="009442BA"/>
    <w:rsid w:val="009449A9"/>
    <w:rsid w:val="00946341"/>
    <w:rsid w:val="00946969"/>
    <w:rsid w:val="00946B2C"/>
    <w:rsid w:val="00946C5B"/>
    <w:rsid w:val="00947D08"/>
    <w:rsid w:val="0095027A"/>
    <w:rsid w:val="00950709"/>
    <w:rsid w:val="009509F9"/>
    <w:rsid w:val="00951903"/>
    <w:rsid w:val="00951A95"/>
    <w:rsid w:val="0095253C"/>
    <w:rsid w:val="00953B25"/>
    <w:rsid w:val="00953E6D"/>
    <w:rsid w:val="00954225"/>
    <w:rsid w:val="00954272"/>
    <w:rsid w:val="009544A7"/>
    <w:rsid w:val="00954B78"/>
    <w:rsid w:val="00960225"/>
    <w:rsid w:val="00960EAF"/>
    <w:rsid w:val="00960F17"/>
    <w:rsid w:val="00961859"/>
    <w:rsid w:val="009623AB"/>
    <w:rsid w:val="0096258C"/>
    <w:rsid w:val="00962DFE"/>
    <w:rsid w:val="00963AE7"/>
    <w:rsid w:val="0096409E"/>
    <w:rsid w:val="0096432A"/>
    <w:rsid w:val="0096484E"/>
    <w:rsid w:val="00965951"/>
    <w:rsid w:val="009674A1"/>
    <w:rsid w:val="0096765B"/>
    <w:rsid w:val="0097046B"/>
    <w:rsid w:val="009710B2"/>
    <w:rsid w:val="009716AC"/>
    <w:rsid w:val="00971B75"/>
    <w:rsid w:val="00971E0E"/>
    <w:rsid w:val="00972AB4"/>
    <w:rsid w:val="00973562"/>
    <w:rsid w:val="00973B1E"/>
    <w:rsid w:val="00973EAF"/>
    <w:rsid w:val="009743B2"/>
    <w:rsid w:val="00975272"/>
    <w:rsid w:val="009770CC"/>
    <w:rsid w:val="009777CB"/>
    <w:rsid w:val="0097781D"/>
    <w:rsid w:val="009802C0"/>
    <w:rsid w:val="00980929"/>
    <w:rsid w:val="009812C0"/>
    <w:rsid w:val="009819D4"/>
    <w:rsid w:val="009827FB"/>
    <w:rsid w:val="0098378A"/>
    <w:rsid w:val="00983BD6"/>
    <w:rsid w:val="00984748"/>
    <w:rsid w:val="0098494C"/>
    <w:rsid w:val="00984970"/>
    <w:rsid w:val="00984CBA"/>
    <w:rsid w:val="00984E01"/>
    <w:rsid w:val="00985EDE"/>
    <w:rsid w:val="009865BA"/>
    <w:rsid w:val="009900CB"/>
    <w:rsid w:val="00990134"/>
    <w:rsid w:val="009901E7"/>
    <w:rsid w:val="009902C7"/>
    <w:rsid w:val="00990B55"/>
    <w:rsid w:val="00990D46"/>
    <w:rsid w:val="00991887"/>
    <w:rsid w:val="00991922"/>
    <w:rsid w:val="00991F2D"/>
    <w:rsid w:val="00991F64"/>
    <w:rsid w:val="00991F96"/>
    <w:rsid w:val="00992503"/>
    <w:rsid w:val="00992631"/>
    <w:rsid w:val="00992876"/>
    <w:rsid w:val="00992AA8"/>
    <w:rsid w:val="00992AF5"/>
    <w:rsid w:val="00992CA4"/>
    <w:rsid w:val="00993576"/>
    <w:rsid w:val="009943B5"/>
    <w:rsid w:val="00994443"/>
    <w:rsid w:val="00994680"/>
    <w:rsid w:val="0099507B"/>
    <w:rsid w:val="0099583B"/>
    <w:rsid w:val="009958BB"/>
    <w:rsid w:val="00996230"/>
    <w:rsid w:val="00996FBB"/>
    <w:rsid w:val="009971B0"/>
    <w:rsid w:val="009971CA"/>
    <w:rsid w:val="009975F0"/>
    <w:rsid w:val="00997B98"/>
    <w:rsid w:val="009A0D3D"/>
    <w:rsid w:val="009A1736"/>
    <w:rsid w:val="009A194D"/>
    <w:rsid w:val="009A1C00"/>
    <w:rsid w:val="009A2142"/>
    <w:rsid w:val="009A22FD"/>
    <w:rsid w:val="009A293A"/>
    <w:rsid w:val="009A2951"/>
    <w:rsid w:val="009A2E87"/>
    <w:rsid w:val="009A312C"/>
    <w:rsid w:val="009A3AB8"/>
    <w:rsid w:val="009A3B60"/>
    <w:rsid w:val="009A3BAC"/>
    <w:rsid w:val="009A4F44"/>
    <w:rsid w:val="009A548A"/>
    <w:rsid w:val="009A5760"/>
    <w:rsid w:val="009A58CF"/>
    <w:rsid w:val="009A5F97"/>
    <w:rsid w:val="009A60EC"/>
    <w:rsid w:val="009A6154"/>
    <w:rsid w:val="009A6707"/>
    <w:rsid w:val="009A67B0"/>
    <w:rsid w:val="009A6EA8"/>
    <w:rsid w:val="009B00CD"/>
    <w:rsid w:val="009B1977"/>
    <w:rsid w:val="009B1D19"/>
    <w:rsid w:val="009B1D77"/>
    <w:rsid w:val="009B1DF6"/>
    <w:rsid w:val="009B2F41"/>
    <w:rsid w:val="009B303B"/>
    <w:rsid w:val="009B4491"/>
    <w:rsid w:val="009B4633"/>
    <w:rsid w:val="009B4CF2"/>
    <w:rsid w:val="009B4EB6"/>
    <w:rsid w:val="009B503B"/>
    <w:rsid w:val="009B5688"/>
    <w:rsid w:val="009B5788"/>
    <w:rsid w:val="009B7635"/>
    <w:rsid w:val="009B77AA"/>
    <w:rsid w:val="009B77B3"/>
    <w:rsid w:val="009B79FB"/>
    <w:rsid w:val="009C066C"/>
    <w:rsid w:val="009C15EA"/>
    <w:rsid w:val="009C19A3"/>
    <w:rsid w:val="009C2370"/>
    <w:rsid w:val="009C2A4A"/>
    <w:rsid w:val="009C3630"/>
    <w:rsid w:val="009C4AAB"/>
    <w:rsid w:val="009C548F"/>
    <w:rsid w:val="009C54D0"/>
    <w:rsid w:val="009C5A3D"/>
    <w:rsid w:val="009C5C38"/>
    <w:rsid w:val="009C5D3C"/>
    <w:rsid w:val="009C74CF"/>
    <w:rsid w:val="009C765D"/>
    <w:rsid w:val="009C7945"/>
    <w:rsid w:val="009D0BD2"/>
    <w:rsid w:val="009D1BE2"/>
    <w:rsid w:val="009D463B"/>
    <w:rsid w:val="009D48F7"/>
    <w:rsid w:val="009D5173"/>
    <w:rsid w:val="009D5360"/>
    <w:rsid w:val="009D59E9"/>
    <w:rsid w:val="009D5A2C"/>
    <w:rsid w:val="009D5C96"/>
    <w:rsid w:val="009D5D08"/>
    <w:rsid w:val="009D6044"/>
    <w:rsid w:val="009D61D6"/>
    <w:rsid w:val="009D63D9"/>
    <w:rsid w:val="009D6483"/>
    <w:rsid w:val="009D6C4D"/>
    <w:rsid w:val="009D7646"/>
    <w:rsid w:val="009D7BB6"/>
    <w:rsid w:val="009E05CA"/>
    <w:rsid w:val="009E062E"/>
    <w:rsid w:val="009E1684"/>
    <w:rsid w:val="009E190E"/>
    <w:rsid w:val="009E1AE6"/>
    <w:rsid w:val="009E2990"/>
    <w:rsid w:val="009E2D2F"/>
    <w:rsid w:val="009E2E47"/>
    <w:rsid w:val="009E317F"/>
    <w:rsid w:val="009E5455"/>
    <w:rsid w:val="009E5523"/>
    <w:rsid w:val="009E5BA9"/>
    <w:rsid w:val="009E63F5"/>
    <w:rsid w:val="009E6662"/>
    <w:rsid w:val="009E6DCA"/>
    <w:rsid w:val="009E72DD"/>
    <w:rsid w:val="009E7529"/>
    <w:rsid w:val="009E7CBD"/>
    <w:rsid w:val="009F0588"/>
    <w:rsid w:val="009F1510"/>
    <w:rsid w:val="009F1B9E"/>
    <w:rsid w:val="009F1F31"/>
    <w:rsid w:val="009F23F9"/>
    <w:rsid w:val="009F2BB3"/>
    <w:rsid w:val="009F2D0B"/>
    <w:rsid w:val="009F33B2"/>
    <w:rsid w:val="009F397F"/>
    <w:rsid w:val="009F3C5A"/>
    <w:rsid w:val="009F4487"/>
    <w:rsid w:val="009F4EB6"/>
    <w:rsid w:val="00A00931"/>
    <w:rsid w:val="00A00A01"/>
    <w:rsid w:val="00A00D4C"/>
    <w:rsid w:val="00A0150C"/>
    <w:rsid w:val="00A029A8"/>
    <w:rsid w:val="00A0336D"/>
    <w:rsid w:val="00A036A9"/>
    <w:rsid w:val="00A03AA0"/>
    <w:rsid w:val="00A04519"/>
    <w:rsid w:val="00A04BAE"/>
    <w:rsid w:val="00A05192"/>
    <w:rsid w:val="00A05CF4"/>
    <w:rsid w:val="00A07268"/>
    <w:rsid w:val="00A07603"/>
    <w:rsid w:val="00A1189B"/>
    <w:rsid w:val="00A11D23"/>
    <w:rsid w:val="00A12168"/>
    <w:rsid w:val="00A12ACA"/>
    <w:rsid w:val="00A13221"/>
    <w:rsid w:val="00A14B07"/>
    <w:rsid w:val="00A1628F"/>
    <w:rsid w:val="00A16485"/>
    <w:rsid w:val="00A1680F"/>
    <w:rsid w:val="00A17A31"/>
    <w:rsid w:val="00A2050B"/>
    <w:rsid w:val="00A20BC6"/>
    <w:rsid w:val="00A22084"/>
    <w:rsid w:val="00A22C00"/>
    <w:rsid w:val="00A23551"/>
    <w:rsid w:val="00A2466F"/>
    <w:rsid w:val="00A251FB"/>
    <w:rsid w:val="00A25BD0"/>
    <w:rsid w:val="00A2610A"/>
    <w:rsid w:val="00A27305"/>
    <w:rsid w:val="00A275C8"/>
    <w:rsid w:val="00A27792"/>
    <w:rsid w:val="00A27C4C"/>
    <w:rsid w:val="00A30E03"/>
    <w:rsid w:val="00A31231"/>
    <w:rsid w:val="00A31E77"/>
    <w:rsid w:val="00A31E96"/>
    <w:rsid w:val="00A32797"/>
    <w:rsid w:val="00A339CA"/>
    <w:rsid w:val="00A35B9F"/>
    <w:rsid w:val="00A364C8"/>
    <w:rsid w:val="00A36AD4"/>
    <w:rsid w:val="00A375EB"/>
    <w:rsid w:val="00A37B0F"/>
    <w:rsid w:val="00A37F48"/>
    <w:rsid w:val="00A402E2"/>
    <w:rsid w:val="00A41581"/>
    <w:rsid w:val="00A41EF4"/>
    <w:rsid w:val="00A42E3F"/>
    <w:rsid w:val="00A42EB8"/>
    <w:rsid w:val="00A43157"/>
    <w:rsid w:val="00A437A7"/>
    <w:rsid w:val="00A43F60"/>
    <w:rsid w:val="00A445E1"/>
    <w:rsid w:val="00A4477B"/>
    <w:rsid w:val="00A44978"/>
    <w:rsid w:val="00A44EDC"/>
    <w:rsid w:val="00A4541B"/>
    <w:rsid w:val="00A472C6"/>
    <w:rsid w:val="00A47A9C"/>
    <w:rsid w:val="00A50F42"/>
    <w:rsid w:val="00A510EA"/>
    <w:rsid w:val="00A51324"/>
    <w:rsid w:val="00A51A09"/>
    <w:rsid w:val="00A51B1C"/>
    <w:rsid w:val="00A51E96"/>
    <w:rsid w:val="00A52838"/>
    <w:rsid w:val="00A529DE"/>
    <w:rsid w:val="00A52C6E"/>
    <w:rsid w:val="00A52E3B"/>
    <w:rsid w:val="00A532E9"/>
    <w:rsid w:val="00A53608"/>
    <w:rsid w:val="00A53CD5"/>
    <w:rsid w:val="00A54000"/>
    <w:rsid w:val="00A5476A"/>
    <w:rsid w:val="00A56094"/>
    <w:rsid w:val="00A5634B"/>
    <w:rsid w:val="00A56E3C"/>
    <w:rsid w:val="00A5709A"/>
    <w:rsid w:val="00A572D7"/>
    <w:rsid w:val="00A57450"/>
    <w:rsid w:val="00A574EB"/>
    <w:rsid w:val="00A5775F"/>
    <w:rsid w:val="00A57770"/>
    <w:rsid w:val="00A60310"/>
    <w:rsid w:val="00A60FA6"/>
    <w:rsid w:val="00A6148B"/>
    <w:rsid w:val="00A639E5"/>
    <w:rsid w:val="00A647E2"/>
    <w:rsid w:val="00A654FD"/>
    <w:rsid w:val="00A65A31"/>
    <w:rsid w:val="00A65EC9"/>
    <w:rsid w:val="00A66918"/>
    <w:rsid w:val="00A7021E"/>
    <w:rsid w:val="00A709B2"/>
    <w:rsid w:val="00A70C8E"/>
    <w:rsid w:val="00A7171D"/>
    <w:rsid w:val="00A71BBF"/>
    <w:rsid w:val="00A72227"/>
    <w:rsid w:val="00A72782"/>
    <w:rsid w:val="00A72B69"/>
    <w:rsid w:val="00A73280"/>
    <w:rsid w:val="00A73A1B"/>
    <w:rsid w:val="00A7433D"/>
    <w:rsid w:val="00A7451C"/>
    <w:rsid w:val="00A74AAC"/>
    <w:rsid w:val="00A75B0B"/>
    <w:rsid w:val="00A75B83"/>
    <w:rsid w:val="00A75C19"/>
    <w:rsid w:val="00A76A26"/>
    <w:rsid w:val="00A802A8"/>
    <w:rsid w:val="00A83014"/>
    <w:rsid w:val="00A831F3"/>
    <w:rsid w:val="00A83783"/>
    <w:rsid w:val="00A842E4"/>
    <w:rsid w:val="00A85949"/>
    <w:rsid w:val="00A85CD4"/>
    <w:rsid w:val="00A87270"/>
    <w:rsid w:val="00A90A61"/>
    <w:rsid w:val="00A91863"/>
    <w:rsid w:val="00A92CB1"/>
    <w:rsid w:val="00A9319E"/>
    <w:rsid w:val="00A934AF"/>
    <w:rsid w:val="00A93A9A"/>
    <w:rsid w:val="00A93C8A"/>
    <w:rsid w:val="00A94ACA"/>
    <w:rsid w:val="00A94E0C"/>
    <w:rsid w:val="00A95CD6"/>
    <w:rsid w:val="00A9699C"/>
    <w:rsid w:val="00A969EC"/>
    <w:rsid w:val="00A96DC6"/>
    <w:rsid w:val="00A96E97"/>
    <w:rsid w:val="00A970B0"/>
    <w:rsid w:val="00A97620"/>
    <w:rsid w:val="00A97698"/>
    <w:rsid w:val="00A9786C"/>
    <w:rsid w:val="00AA00AA"/>
    <w:rsid w:val="00AA2355"/>
    <w:rsid w:val="00AA306B"/>
    <w:rsid w:val="00AA3525"/>
    <w:rsid w:val="00AA3928"/>
    <w:rsid w:val="00AA3DE7"/>
    <w:rsid w:val="00AA466A"/>
    <w:rsid w:val="00AA637A"/>
    <w:rsid w:val="00AA6663"/>
    <w:rsid w:val="00AA6822"/>
    <w:rsid w:val="00AA6883"/>
    <w:rsid w:val="00AA6E25"/>
    <w:rsid w:val="00AA70F7"/>
    <w:rsid w:val="00AA754F"/>
    <w:rsid w:val="00AA7834"/>
    <w:rsid w:val="00AA7D47"/>
    <w:rsid w:val="00AA7DA7"/>
    <w:rsid w:val="00AB0011"/>
    <w:rsid w:val="00AB005E"/>
    <w:rsid w:val="00AB04CC"/>
    <w:rsid w:val="00AB0F85"/>
    <w:rsid w:val="00AB1051"/>
    <w:rsid w:val="00AB1474"/>
    <w:rsid w:val="00AB1A9A"/>
    <w:rsid w:val="00AB2ECA"/>
    <w:rsid w:val="00AB3378"/>
    <w:rsid w:val="00AB33FA"/>
    <w:rsid w:val="00AB3412"/>
    <w:rsid w:val="00AB3574"/>
    <w:rsid w:val="00AB3F56"/>
    <w:rsid w:val="00AB4E3E"/>
    <w:rsid w:val="00AB50BD"/>
    <w:rsid w:val="00AB5927"/>
    <w:rsid w:val="00AB667E"/>
    <w:rsid w:val="00AB6DE2"/>
    <w:rsid w:val="00AC0495"/>
    <w:rsid w:val="00AC16B4"/>
    <w:rsid w:val="00AC1C6E"/>
    <w:rsid w:val="00AC2B29"/>
    <w:rsid w:val="00AC2DAD"/>
    <w:rsid w:val="00AC352D"/>
    <w:rsid w:val="00AC4087"/>
    <w:rsid w:val="00AC57C1"/>
    <w:rsid w:val="00AC5900"/>
    <w:rsid w:val="00AC595A"/>
    <w:rsid w:val="00AC653C"/>
    <w:rsid w:val="00AC72B2"/>
    <w:rsid w:val="00AC73A9"/>
    <w:rsid w:val="00AC7FFB"/>
    <w:rsid w:val="00AD0278"/>
    <w:rsid w:val="00AD02EB"/>
    <w:rsid w:val="00AD0AE9"/>
    <w:rsid w:val="00AD0BDB"/>
    <w:rsid w:val="00AD0F18"/>
    <w:rsid w:val="00AD1185"/>
    <w:rsid w:val="00AD2423"/>
    <w:rsid w:val="00AD24AD"/>
    <w:rsid w:val="00AD295F"/>
    <w:rsid w:val="00AD2CF6"/>
    <w:rsid w:val="00AD2D98"/>
    <w:rsid w:val="00AD2EFB"/>
    <w:rsid w:val="00AD337E"/>
    <w:rsid w:val="00AD36FC"/>
    <w:rsid w:val="00AD3E16"/>
    <w:rsid w:val="00AD423D"/>
    <w:rsid w:val="00AD4473"/>
    <w:rsid w:val="00AD532D"/>
    <w:rsid w:val="00AD5B71"/>
    <w:rsid w:val="00AD62EB"/>
    <w:rsid w:val="00AD6611"/>
    <w:rsid w:val="00AD6E85"/>
    <w:rsid w:val="00AD75DB"/>
    <w:rsid w:val="00AD79AA"/>
    <w:rsid w:val="00AE0FAC"/>
    <w:rsid w:val="00AE191A"/>
    <w:rsid w:val="00AE1DA4"/>
    <w:rsid w:val="00AE2ADC"/>
    <w:rsid w:val="00AE2D95"/>
    <w:rsid w:val="00AE444A"/>
    <w:rsid w:val="00AE4D86"/>
    <w:rsid w:val="00AE529D"/>
    <w:rsid w:val="00AE5B26"/>
    <w:rsid w:val="00AF00C9"/>
    <w:rsid w:val="00AF0C9F"/>
    <w:rsid w:val="00AF0D0C"/>
    <w:rsid w:val="00AF2566"/>
    <w:rsid w:val="00AF2639"/>
    <w:rsid w:val="00AF2931"/>
    <w:rsid w:val="00AF295E"/>
    <w:rsid w:val="00AF488F"/>
    <w:rsid w:val="00AF52DE"/>
    <w:rsid w:val="00AF53EA"/>
    <w:rsid w:val="00AF547A"/>
    <w:rsid w:val="00AF648D"/>
    <w:rsid w:val="00AF6542"/>
    <w:rsid w:val="00B010F9"/>
    <w:rsid w:val="00B01370"/>
    <w:rsid w:val="00B01C9F"/>
    <w:rsid w:val="00B02369"/>
    <w:rsid w:val="00B027FF"/>
    <w:rsid w:val="00B02948"/>
    <w:rsid w:val="00B03586"/>
    <w:rsid w:val="00B05F4A"/>
    <w:rsid w:val="00B067C3"/>
    <w:rsid w:val="00B06D0C"/>
    <w:rsid w:val="00B06EE1"/>
    <w:rsid w:val="00B0704D"/>
    <w:rsid w:val="00B07403"/>
    <w:rsid w:val="00B07CB1"/>
    <w:rsid w:val="00B11085"/>
    <w:rsid w:val="00B11653"/>
    <w:rsid w:val="00B11670"/>
    <w:rsid w:val="00B118BA"/>
    <w:rsid w:val="00B12451"/>
    <w:rsid w:val="00B12D11"/>
    <w:rsid w:val="00B1378C"/>
    <w:rsid w:val="00B14B9A"/>
    <w:rsid w:val="00B15ACF"/>
    <w:rsid w:val="00B15BB9"/>
    <w:rsid w:val="00B15E50"/>
    <w:rsid w:val="00B15F43"/>
    <w:rsid w:val="00B16A26"/>
    <w:rsid w:val="00B16BEF"/>
    <w:rsid w:val="00B174F6"/>
    <w:rsid w:val="00B17669"/>
    <w:rsid w:val="00B21121"/>
    <w:rsid w:val="00B21144"/>
    <w:rsid w:val="00B21E76"/>
    <w:rsid w:val="00B231F6"/>
    <w:rsid w:val="00B233A7"/>
    <w:rsid w:val="00B233C5"/>
    <w:rsid w:val="00B24197"/>
    <w:rsid w:val="00B250A6"/>
    <w:rsid w:val="00B25563"/>
    <w:rsid w:val="00B25704"/>
    <w:rsid w:val="00B25C6C"/>
    <w:rsid w:val="00B26FF5"/>
    <w:rsid w:val="00B27814"/>
    <w:rsid w:val="00B27B59"/>
    <w:rsid w:val="00B300D5"/>
    <w:rsid w:val="00B30378"/>
    <w:rsid w:val="00B307FB"/>
    <w:rsid w:val="00B308FD"/>
    <w:rsid w:val="00B33576"/>
    <w:rsid w:val="00B33AFC"/>
    <w:rsid w:val="00B33C89"/>
    <w:rsid w:val="00B33E9D"/>
    <w:rsid w:val="00B3405D"/>
    <w:rsid w:val="00B34BF6"/>
    <w:rsid w:val="00B34E05"/>
    <w:rsid w:val="00B3581E"/>
    <w:rsid w:val="00B3597A"/>
    <w:rsid w:val="00B35E2A"/>
    <w:rsid w:val="00B36BDC"/>
    <w:rsid w:val="00B37944"/>
    <w:rsid w:val="00B37A96"/>
    <w:rsid w:val="00B37C7F"/>
    <w:rsid w:val="00B405E4"/>
    <w:rsid w:val="00B406DC"/>
    <w:rsid w:val="00B40E2A"/>
    <w:rsid w:val="00B42931"/>
    <w:rsid w:val="00B43B26"/>
    <w:rsid w:val="00B43D32"/>
    <w:rsid w:val="00B44622"/>
    <w:rsid w:val="00B44EA4"/>
    <w:rsid w:val="00B46355"/>
    <w:rsid w:val="00B46D7B"/>
    <w:rsid w:val="00B50DFE"/>
    <w:rsid w:val="00B510E5"/>
    <w:rsid w:val="00B51E0D"/>
    <w:rsid w:val="00B52644"/>
    <w:rsid w:val="00B52860"/>
    <w:rsid w:val="00B53E61"/>
    <w:rsid w:val="00B53E7C"/>
    <w:rsid w:val="00B54732"/>
    <w:rsid w:val="00B54D99"/>
    <w:rsid w:val="00B55F62"/>
    <w:rsid w:val="00B57B59"/>
    <w:rsid w:val="00B57D38"/>
    <w:rsid w:val="00B6076A"/>
    <w:rsid w:val="00B609C9"/>
    <w:rsid w:val="00B61470"/>
    <w:rsid w:val="00B615A1"/>
    <w:rsid w:val="00B6211B"/>
    <w:rsid w:val="00B62933"/>
    <w:rsid w:val="00B62EA2"/>
    <w:rsid w:val="00B631CC"/>
    <w:rsid w:val="00B63C9B"/>
    <w:rsid w:val="00B6431B"/>
    <w:rsid w:val="00B65480"/>
    <w:rsid w:val="00B656E0"/>
    <w:rsid w:val="00B65925"/>
    <w:rsid w:val="00B65945"/>
    <w:rsid w:val="00B65E65"/>
    <w:rsid w:val="00B6732B"/>
    <w:rsid w:val="00B70FF2"/>
    <w:rsid w:val="00B711EA"/>
    <w:rsid w:val="00B71C43"/>
    <w:rsid w:val="00B71EF5"/>
    <w:rsid w:val="00B72A6D"/>
    <w:rsid w:val="00B72BFD"/>
    <w:rsid w:val="00B72C22"/>
    <w:rsid w:val="00B73DAD"/>
    <w:rsid w:val="00B74F4B"/>
    <w:rsid w:val="00B75D89"/>
    <w:rsid w:val="00B76445"/>
    <w:rsid w:val="00B766C0"/>
    <w:rsid w:val="00B769FE"/>
    <w:rsid w:val="00B77297"/>
    <w:rsid w:val="00B77AD9"/>
    <w:rsid w:val="00B77DC8"/>
    <w:rsid w:val="00B80082"/>
    <w:rsid w:val="00B80D18"/>
    <w:rsid w:val="00B80FD9"/>
    <w:rsid w:val="00B810E1"/>
    <w:rsid w:val="00B81249"/>
    <w:rsid w:val="00B81891"/>
    <w:rsid w:val="00B818A7"/>
    <w:rsid w:val="00B81BE4"/>
    <w:rsid w:val="00B827E7"/>
    <w:rsid w:val="00B84696"/>
    <w:rsid w:val="00B84A8C"/>
    <w:rsid w:val="00B85572"/>
    <w:rsid w:val="00B85F90"/>
    <w:rsid w:val="00B8622F"/>
    <w:rsid w:val="00B86336"/>
    <w:rsid w:val="00B86C37"/>
    <w:rsid w:val="00B873DB"/>
    <w:rsid w:val="00B9064D"/>
    <w:rsid w:val="00B91A91"/>
    <w:rsid w:val="00B9279C"/>
    <w:rsid w:val="00B92983"/>
    <w:rsid w:val="00B92C21"/>
    <w:rsid w:val="00B93260"/>
    <w:rsid w:val="00B932B4"/>
    <w:rsid w:val="00B9375C"/>
    <w:rsid w:val="00B93FFD"/>
    <w:rsid w:val="00B945D4"/>
    <w:rsid w:val="00B94634"/>
    <w:rsid w:val="00B94C71"/>
    <w:rsid w:val="00B955EF"/>
    <w:rsid w:val="00B95E0A"/>
    <w:rsid w:val="00B963CC"/>
    <w:rsid w:val="00B96724"/>
    <w:rsid w:val="00BA052E"/>
    <w:rsid w:val="00BA060C"/>
    <w:rsid w:val="00BA10A2"/>
    <w:rsid w:val="00BA1224"/>
    <w:rsid w:val="00BA17C3"/>
    <w:rsid w:val="00BA17D2"/>
    <w:rsid w:val="00BA2939"/>
    <w:rsid w:val="00BA2EF1"/>
    <w:rsid w:val="00BA48CA"/>
    <w:rsid w:val="00BA4AD5"/>
    <w:rsid w:val="00BA4BA2"/>
    <w:rsid w:val="00BA5673"/>
    <w:rsid w:val="00BA63BB"/>
    <w:rsid w:val="00BA6445"/>
    <w:rsid w:val="00BA667E"/>
    <w:rsid w:val="00BA6BE6"/>
    <w:rsid w:val="00BA731D"/>
    <w:rsid w:val="00BA74DC"/>
    <w:rsid w:val="00BA75CC"/>
    <w:rsid w:val="00BA7602"/>
    <w:rsid w:val="00BA7B5E"/>
    <w:rsid w:val="00BB0AE3"/>
    <w:rsid w:val="00BB1273"/>
    <w:rsid w:val="00BB214A"/>
    <w:rsid w:val="00BB2571"/>
    <w:rsid w:val="00BB2B9A"/>
    <w:rsid w:val="00BB2EAE"/>
    <w:rsid w:val="00BB323A"/>
    <w:rsid w:val="00BB3783"/>
    <w:rsid w:val="00BB453B"/>
    <w:rsid w:val="00BB4A14"/>
    <w:rsid w:val="00BB4C24"/>
    <w:rsid w:val="00BB4D33"/>
    <w:rsid w:val="00BB5533"/>
    <w:rsid w:val="00BB592E"/>
    <w:rsid w:val="00BB5B0F"/>
    <w:rsid w:val="00BB69B1"/>
    <w:rsid w:val="00BB6C6C"/>
    <w:rsid w:val="00BB6CF8"/>
    <w:rsid w:val="00BB7171"/>
    <w:rsid w:val="00BB7ED8"/>
    <w:rsid w:val="00BC162F"/>
    <w:rsid w:val="00BC1EDA"/>
    <w:rsid w:val="00BC3806"/>
    <w:rsid w:val="00BC3B7E"/>
    <w:rsid w:val="00BC5888"/>
    <w:rsid w:val="00BC6527"/>
    <w:rsid w:val="00BC67E5"/>
    <w:rsid w:val="00BC6B32"/>
    <w:rsid w:val="00BC6D65"/>
    <w:rsid w:val="00BC7A60"/>
    <w:rsid w:val="00BC7CFF"/>
    <w:rsid w:val="00BC7FEC"/>
    <w:rsid w:val="00BD011F"/>
    <w:rsid w:val="00BD0216"/>
    <w:rsid w:val="00BD086E"/>
    <w:rsid w:val="00BD08F1"/>
    <w:rsid w:val="00BD12D4"/>
    <w:rsid w:val="00BD2245"/>
    <w:rsid w:val="00BD25A2"/>
    <w:rsid w:val="00BD3250"/>
    <w:rsid w:val="00BD32D7"/>
    <w:rsid w:val="00BD3E8F"/>
    <w:rsid w:val="00BD459B"/>
    <w:rsid w:val="00BD4D9A"/>
    <w:rsid w:val="00BD5214"/>
    <w:rsid w:val="00BD5AB0"/>
    <w:rsid w:val="00BD65F0"/>
    <w:rsid w:val="00BD6694"/>
    <w:rsid w:val="00BD675A"/>
    <w:rsid w:val="00BD6959"/>
    <w:rsid w:val="00BD6C7D"/>
    <w:rsid w:val="00BD7C9A"/>
    <w:rsid w:val="00BE0C40"/>
    <w:rsid w:val="00BE0CA9"/>
    <w:rsid w:val="00BE17FE"/>
    <w:rsid w:val="00BE1AB4"/>
    <w:rsid w:val="00BE1DE4"/>
    <w:rsid w:val="00BE34BF"/>
    <w:rsid w:val="00BE3600"/>
    <w:rsid w:val="00BE3DAC"/>
    <w:rsid w:val="00BE595F"/>
    <w:rsid w:val="00BE5A81"/>
    <w:rsid w:val="00BE5E80"/>
    <w:rsid w:val="00BE6661"/>
    <w:rsid w:val="00BE6ED2"/>
    <w:rsid w:val="00BE71ED"/>
    <w:rsid w:val="00BE7283"/>
    <w:rsid w:val="00BE7C5E"/>
    <w:rsid w:val="00BE7E95"/>
    <w:rsid w:val="00BF08B4"/>
    <w:rsid w:val="00BF08FF"/>
    <w:rsid w:val="00BF0EEB"/>
    <w:rsid w:val="00BF0F2E"/>
    <w:rsid w:val="00BF1B80"/>
    <w:rsid w:val="00BF1F36"/>
    <w:rsid w:val="00BF2036"/>
    <w:rsid w:val="00BF2375"/>
    <w:rsid w:val="00BF285B"/>
    <w:rsid w:val="00BF2F97"/>
    <w:rsid w:val="00BF3019"/>
    <w:rsid w:val="00BF3116"/>
    <w:rsid w:val="00BF3F6C"/>
    <w:rsid w:val="00BF4448"/>
    <w:rsid w:val="00BF54D7"/>
    <w:rsid w:val="00BF5D55"/>
    <w:rsid w:val="00BF6312"/>
    <w:rsid w:val="00BF6778"/>
    <w:rsid w:val="00BF696A"/>
    <w:rsid w:val="00BF6B3F"/>
    <w:rsid w:val="00BF6C84"/>
    <w:rsid w:val="00BF7336"/>
    <w:rsid w:val="00BF7F03"/>
    <w:rsid w:val="00C00080"/>
    <w:rsid w:val="00C001E0"/>
    <w:rsid w:val="00C01E6F"/>
    <w:rsid w:val="00C0311F"/>
    <w:rsid w:val="00C04CEE"/>
    <w:rsid w:val="00C05C14"/>
    <w:rsid w:val="00C05C82"/>
    <w:rsid w:val="00C05DFB"/>
    <w:rsid w:val="00C0645F"/>
    <w:rsid w:val="00C077F8"/>
    <w:rsid w:val="00C101D3"/>
    <w:rsid w:val="00C1109E"/>
    <w:rsid w:val="00C123BD"/>
    <w:rsid w:val="00C13412"/>
    <w:rsid w:val="00C1395E"/>
    <w:rsid w:val="00C14150"/>
    <w:rsid w:val="00C145C1"/>
    <w:rsid w:val="00C14D13"/>
    <w:rsid w:val="00C156BD"/>
    <w:rsid w:val="00C1616C"/>
    <w:rsid w:val="00C16350"/>
    <w:rsid w:val="00C176A0"/>
    <w:rsid w:val="00C20147"/>
    <w:rsid w:val="00C202ED"/>
    <w:rsid w:val="00C2121C"/>
    <w:rsid w:val="00C21B5A"/>
    <w:rsid w:val="00C21E2A"/>
    <w:rsid w:val="00C22132"/>
    <w:rsid w:val="00C22365"/>
    <w:rsid w:val="00C22F34"/>
    <w:rsid w:val="00C2339A"/>
    <w:rsid w:val="00C23C82"/>
    <w:rsid w:val="00C23C8A"/>
    <w:rsid w:val="00C247D9"/>
    <w:rsid w:val="00C256B9"/>
    <w:rsid w:val="00C2584F"/>
    <w:rsid w:val="00C26001"/>
    <w:rsid w:val="00C26D38"/>
    <w:rsid w:val="00C2717A"/>
    <w:rsid w:val="00C2717D"/>
    <w:rsid w:val="00C27F72"/>
    <w:rsid w:val="00C31313"/>
    <w:rsid w:val="00C3165B"/>
    <w:rsid w:val="00C32C31"/>
    <w:rsid w:val="00C3399F"/>
    <w:rsid w:val="00C33C1E"/>
    <w:rsid w:val="00C346A8"/>
    <w:rsid w:val="00C347F8"/>
    <w:rsid w:val="00C34D39"/>
    <w:rsid w:val="00C34DCE"/>
    <w:rsid w:val="00C35432"/>
    <w:rsid w:val="00C358D6"/>
    <w:rsid w:val="00C3650A"/>
    <w:rsid w:val="00C36539"/>
    <w:rsid w:val="00C37150"/>
    <w:rsid w:val="00C377E1"/>
    <w:rsid w:val="00C37F9E"/>
    <w:rsid w:val="00C40DC3"/>
    <w:rsid w:val="00C41A09"/>
    <w:rsid w:val="00C41EA7"/>
    <w:rsid w:val="00C4265F"/>
    <w:rsid w:val="00C42DF1"/>
    <w:rsid w:val="00C436AA"/>
    <w:rsid w:val="00C44D68"/>
    <w:rsid w:val="00C44E56"/>
    <w:rsid w:val="00C462BA"/>
    <w:rsid w:val="00C46B64"/>
    <w:rsid w:val="00C472E1"/>
    <w:rsid w:val="00C47309"/>
    <w:rsid w:val="00C47E54"/>
    <w:rsid w:val="00C50342"/>
    <w:rsid w:val="00C514F3"/>
    <w:rsid w:val="00C52265"/>
    <w:rsid w:val="00C52278"/>
    <w:rsid w:val="00C524D4"/>
    <w:rsid w:val="00C539E3"/>
    <w:rsid w:val="00C53A28"/>
    <w:rsid w:val="00C53C81"/>
    <w:rsid w:val="00C5470E"/>
    <w:rsid w:val="00C5513F"/>
    <w:rsid w:val="00C561EA"/>
    <w:rsid w:val="00C563D8"/>
    <w:rsid w:val="00C5647D"/>
    <w:rsid w:val="00C56E4D"/>
    <w:rsid w:val="00C56F1D"/>
    <w:rsid w:val="00C57205"/>
    <w:rsid w:val="00C603D7"/>
    <w:rsid w:val="00C61D76"/>
    <w:rsid w:val="00C63A7B"/>
    <w:rsid w:val="00C66013"/>
    <w:rsid w:val="00C6780C"/>
    <w:rsid w:val="00C700CD"/>
    <w:rsid w:val="00C7068B"/>
    <w:rsid w:val="00C7127B"/>
    <w:rsid w:val="00C71ACD"/>
    <w:rsid w:val="00C71B53"/>
    <w:rsid w:val="00C731FB"/>
    <w:rsid w:val="00C73545"/>
    <w:rsid w:val="00C7409F"/>
    <w:rsid w:val="00C74E66"/>
    <w:rsid w:val="00C75769"/>
    <w:rsid w:val="00C76C44"/>
    <w:rsid w:val="00C776C9"/>
    <w:rsid w:val="00C777AD"/>
    <w:rsid w:val="00C77863"/>
    <w:rsid w:val="00C803A9"/>
    <w:rsid w:val="00C80926"/>
    <w:rsid w:val="00C80F59"/>
    <w:rsid w:val="00C813E5"/>
    <w:rsid w:val="00C81807"/>
    <w:rsid w:val="00C82116"/>
    <w:rsid w:val="00C82708"/>
    <w:rsid w:val="00C82ACD"/>
    <w:rsid w:val="00C82E68"/>
    <w:rsid w:val="00C835F8"/>
    <w:rsid w:val="00C83B25"/>
    <w:rsid w:val="00C841A1"/>
    <w:rsid w:val="00C84A5D"/>
    <w:rsid w:val="00C8529B"/>
    <w:rsid w:val="00C85A4B"/>
    <w:rsid w:val="00C85DFE"/>
    <w:rsid w:val="00C85F35"/>
    <w:rsid w:val="00C873A7"/>
    <w:rsid w:val="00C874A4"/>
    <w:rsid w:val="00C87EAF"/>
    <w:rsid w:val="00C90283"/>
    <w:rsid w:val="00C90320"/>
    <w:rsid w:val="00C904D7"/>
    <w:rsid w:val="00C90871"/>
    <w:rsid w:val="00C90EB4"/>
    <w:rsid w:val="00C922AC"/>
    <w:rsid w:val="00C926CC"/>
    <w:rsid w:val="00C92941"/>
    <w:rsid w:val="00C93587"/>
    <w:rsid w:val="00C956DC"/>
    <w:rsid w:val="00C95A76"/>
    <w:rsid w:val="00C96C18"/>
    <w:rsid w:val="00C971E8"/>
    <w:rsid w:val="00C97BAB"/>
    <w:rsid w:val="00CA055D"/>
    <w:rsid w:val="00CA0CB2"/>
    <w:rsid w:val="00CA1457"/>
    <w:rsid w:val="00CA18EB"/>
    <w:rsid w:val="00CA19A7"/>
    <w:rsid w:val="00CA216A"/>
    <w:rsid w:val="00CA21BF"/>
    <w:rsid w:val="00CA2440"/>
    <w:rsid w:val="00CA2A2B"/>
    <w:rsid w:val="00CA2D93"/>
    <w:rsid w:val="00CA3ED7"/>
    <w:rsid w:val="00CA50D0"/>
    <w:rsid w:val="00CA51E7"/>
    <w:rsid w:val="00CA5312"/>
    <w:rsid w:val="00CA5B37"/>
    <w:rsid w:val="00CA6E75"/>
    <w:rsid w:val="00CA7188"/>
    <w:rsid w:val="00CA7C2E"/>
    <w:rsid w:val="00CA7CFE"/>
    <w:rsid w:val="00CB00B2"/>
    <w:rsid w:val="00CB0594"/>
    <w:rsid w:val="00CB1CE5"/>
    <w:rsid w:val="00CB2846"/>
    <w:rsid w:val="00CB2A35"/>
    <w:rsid w:val="00CB2AE4"/>
    <w:rsid w:val="00CB2E48"/>
    <w:rsid w:val="00CB3059"/>
    <w:rsid w:val="00CB39E2"/>
    <w:rsid w:val="00CB47D6"/>
    <w:rsid w:val="00CB543B"/>
    <w:rsid w:val="00CB596B"/>
    <w:rsid w:val="00CB59D4"/>
    <w:rsid w:val="00CB5B1D"/>
    <w:rsid w:val="00CB7EA0"/>
    <w:rsid w:val="00CB7F84"/>
    <w:rsid w:val="00CC0682"/>
    <w:rsid w:val="00CC124D"/>
    <w:rsid w:val="00CC1DDA"/>
    <w:rsid w:val="00CC3331"/>
    <w:rsid w:val="00CC3A43"/>
    <w:rsid w:val="00CC4687"/>
    <w:rsid w:val="00CC4F54"/>
    <w:rsid w:val="00CC59C4"/>
    <w:rsid w:val="00CC59D2"/>
    <w:rsid w:val="00CC6249"/>
    <w:rsid w:val="00CC6457"/>
    <w:rsid w:val="00CC7AA9"/>
    <w:rsid w:val="00CD0171"/>
    <w:rsid w:val="00CD1486"/>
    <w:rsid w:val="00CD19D9"/>
    <w:rsid w:val="00CD1BA0"/>
    <w:rsid w:val="00CD3417"/>
    <w:rsid w:val="00CD3AB2"/>
    <w:rsid w:val="00CD4744"/>
    <w:rsid w:val="00CD4909"/>
    <w:rsid w:val="00CD4FA2"/>
    <w:rsid w:val="00CD520D"/>
    <w:rsid w:val="00CD587E"/>
    <w:rsid w:val="00CD65CE"/>
    <w:rsid w:val="00CD78AC"/>
    <w:rsid w:val="00CD7F99"/>
    <w:rsid w:val="00CE041B"/>
    <w:rsid w:val="00CE0AF8"/>
    <w:rsid w:val="00CE24CA"/>
    <w:rsid w:val="00CE2647"/>
    <w:rsid w:val="00CE3009"/>
    <w:rsid w:val="00CE336C"/>
    <w:rsid w:val="00CE34F7"/>
    <w:rsid w:val="00CE47A1"/>
    <w:rsid w:val="00CE4B18"/>
    <w:rsid w:val="00CE4D43"/>
    <w:rsid w:val="00CE4F5D"/>
    <w:rsid w:val="00CE559A"/>
    <w:rsid w:val="00CE5650"/>
    <w:rsid w:val="00CE6BE0"/>
    <w:rsid w:val="00CE70BA"/>
    <w:rsid w:val="00CE7339"/>
    <w:rsid w:val="00CF0807"/>
    <w:rsid w:val="00CF08FF"/>
    <w:rsid w:val="00CF129E"/>
    <w:rsid w:val="00CF139F"/>
    <w:rsid w:val="00CF1B0F"/>
    <w:rsid w:val="00CF1B18"/>
    <w:rsid w:val="00CF1F54"/>
    <w:rsid w:val="00CF2B77"/>
    <w:rsid w:val="00CF2C38"/>
    <w:rsid w:val="00CF2DF4"/>
    <w:rsid w:val="00CF4395"/>
    <w:rsid w:val="00CF445B"/>
    <w:rsid w:val="00CF4875"/>
    <w:rsid w:val="00CF4CBC"/>
    <w:rsid w:val="00CF5641"/>
    <w:rsid w:val="00CF5A8F"/>
    <w:rsid w:val="00CF5DF1"/>
    <w:rsid w:val="00CF5F70"/>
    <w:rsid w:val="00CF6232"/>
    <w:rsid w:val="00CF65B5"/>
    <w:rsid w:val="00CF6946"/>
    <w:rsid w:val="00CF7009"/>
    <w:rsid w:val="00CF798A"/>
    <w:rsid w:val="00D00779"/>
    <w:rsid w:val="00D02318"/>
    <w:rsid w:val="00D02358"/>
    <w:rsid w:val="00D02743"/>
    <w:rsid w:val="00D032BF"/>
    <w:rsid w:val="00D0390F"/>
    <w:rsid w:val="00D03D12"/>
    <w:rsid w:val="00D044B1"/>
    <w:rsid w:val="00D050EC"/>
    <w:rsid w:val="00D059FC"/>
    <w:rsid w:val="00D05BCF"/>
    <w:rsid w:val="00D076B1"/>
    <w:rsid w:val="00D07DA0"/>
    <w:rsid w:val="00D10AA7"/>
    <w:rsid w:val="00D10ADA"/>
    <w:rsid w:val="00D1131B"/>
    <w:rsid w:val="00D11F0E"/>
    <w:rsid w:val="00D12433"/>
    <w:rsid w:val="00D12D60"/>
    <w:rsid w:val="00D13288"/>
    <w:rsid w:val="00D132C8"/>
    <w:rsid w:val="00D14AE9"/>
    <w:rsid w:val="00D156A7"/>
    <w:rsid w:val="00D1651F"/>
    <w:rsid w:val="00D1661C"/>
    <w:rsid w:val="00D16A05"/>
    <w:rsid w:val="00D17373"/>
    <w:rsid w:val="00D178A6"/>
    <w:rsid w:val="00D17C4B"/>
    <w:rsid w:val="00D20BC9"/>
    <w:rsid w:val="00D21485"/>
    <w:rsid w:val="00D21559"/>
    <w:rsid w:val="00D228A2"/>
    <w:rsid w:val="00D23CD1"/>
    <w:rsid w:val="00D24624"/>
    <w:rsid w:val="00D24CDF"/>
    <w:rsid w:val="00D26026"/>
    <w:rsid w:val="00D26153"/>
    <w:rsid w:val="00D30CCF"/>
    <w:rsid w:val="00D3244C"/>
    <w:rsid w:val="00D32662"/>
    <w:rsid w:val="00D327D3"/>
    <w:rsid w:val="00D32987"/>
    <w:rsid w:val="00D32F45"/>
    <w:rsid w:val="00D334C8"/>
    <w:rsid w:val="00D33CC2"/>
    <w:rsid w:val="00D33F8B"/>
    <w:rsid w:val="00D34BBC"/>
    <w:rsid w:val="00D34F51"/>
    <w:rsid w:val="00D35577"/>
    <w:rsid w:val="00D35775"/>
    <w:rsid w:val="00D35903"/>
    <w:rsid w:val="00D35A68"/>
    <w:rsid w:val="00D370F9"/>
    <w:rsid w:val="00D3725F"/>
    <w:rsid w:val="00D379EB"/>
    <w:rsid w:val="00D37D80"/>
    <w:rsid w:val="00D40075"/>
    <w:rsid w:val="00D409ED"/>
    <w:rsid w:val="00D414E0"/>
    <w:rsid w:val="00D41800"/>
    <w:rsid w:val="00D41E5F"/>
    <w:rsid w:val="00D41F18"/>
    <w:rsid w:val="00D4400A"/>
    <w:rsid w:val="00D441D4"/>
    <w:rsid w:val="00D4452D"/>
    <w:rsid w:val="00D4499F"/>
    <w:rsid w:val="00D44A36"/>
    <w:rsid w:val="00D45A9B"/>
    <w:rsid w:val="00D45AA7"/>
    <w:rsid w:val="00D45F84"/>
    <w:rsid w:val="00D4656E"/>
    <w:rsid w:val="00D46B81"/>
    <w:rsid w:val="00D46D71"/>
    <w:rsid w:val="00D46DF8"/>
    <w:rsid w:val="00D47213"/>
    <w:rsid w:val="00D479E5"/>
    <w:rsid w:val="00D47B74"/>
    <w:rsid w:val="00D50A8D"/>
    <w:rsid w:val="00D51F9A"/>
    <w:rsid w:val="00D52429"/>
    <w:rsid w:val="00D53975"/>
    <w:rsid w:val="00D53E7C"/>
    <w:rsid w:val="00D53F49"/>
    <w:rsid w:val="00D54A30"/>
    <w:rsid w:val="00D54F78"/>
    <w:rsid w:val="00D551AB"/>
    <w:rsid w:val="00D55943"/>
    <w:rsid w:val="00D55A7F"/>
    <w:rsid w:val="00D568F5"/>
    <w:rsid w:val="00D57059"/>
    <w:rsid w:val="00D57102"/>
    <w:rsid w:val="00D57A7D"/>
    <w:rsid w:val="00D60178"/>
    <w:rsid w:val="00D60D04"/>
    <w:rsid w:val="00D62FDA"/>
    <w:rsid w:val="00D63D1B"/>
    <w:rsid w:val="00D64F28"/>
    <w:rsid w:val="00D65409"/>
    <w:rsid w:val="00D65429"/>
    <w:rsid w:val="00D67094"/>
    <w:rsid w:val="00D679B5"/>
    <w:rsid w:val="00D67BEF"/>
    <w:rsid w:val="00D67F51"/>
    <w:rsid w:val="00D7146F"/>
    <w:rsid w:val="00D716F5"/>
    <w:rsid w:val="00D71CD7"/>
    <w:rsid w:val="00D71D95"/>
    <w:rsid w:val="00D71F4E"/>
    <w:rsid w:val="00D728B2"/>
    <w:rsid w:val="00D72CE5"/>
    <w:rsid w:val="00D732A9"/>
    <w:rsid w:val="00D73B13"/>
    <w:rsid w:val="00D741D3"/>
    <w:rsid w:val="00D74741"/>
    <w:rsid w:val="00D76473"/>
    <w:rsid w:val="00D76928"/>
    <w:rsid w:val="00D76A45"/>
    <w:rsid w:val="00D76B91"/>
    <w:rsid w:val="00D76D34"/>
    <w:rsid w:val="00D76D53"/>
    <w:rsid w:val="00D77A33"/>
    <w:rsid w:val="00D8119C"/>
    <w:rsid w:val="00D82668"/>
    <w:rsid w:val="00D829A5"/>
    <w:rsid w:val="00D82BBE"/>
    <w:rsid w:val="00D830F3"/>
    <w:rsid w:val="00D837AC"/>
    <w:rsid w:val="00D845FF"/>
    <w:rsid w:val="00D85BF9"/>
    <w:rsid w:val="00D86349"/>
    <w:rsid w:val="00D86A63"/>
    <w:rsid w:val="00D872BF"/>
    <w:rsid w:val="00D87C97"/>
    <w:rsid w:val="00D87CBE"/>
    <w:rsid w:val="00D90A4A"/>
    <w:rsid w:val="00D90DA7"/>
    <w:rsid w:val="00D90DB3"/>
    <w:rsid w:val="00D9130A"/>
    <w:rsid w:val="00D91E35"/>
    <w:rsid w:val="00D94681"/>
    <w:rsid w:val="00D94CE6"/>
    <w:rsid w:val="00D9548A"/>
    <w:rsid w:val="00D9577A"/>
    <w:rsid w:val="00D96FB8"/>
    <w:rsid w:val="00D970F6"/>
    <w:rsid w:val="00D97136"/>
    <w:rsid w:val="00D975FF"/>
    <w:rsid w:val="00D977ED"/>
    <w:rsid w:val="00D97A4A"/>
    <w:rsid w:val="00D97C1C"/>
    <w:rsid w:val="00DA1C00"/>
    <w:rsid w:val="00DA1CF8"/>
    <w:rsid w:val="00DA22B2"/>
    <w:rsid w:val="00DA29DD"/>
    <w:rsid w:val="00DA2B89"/>
    <w:rsid w:val="00DA36FC"/>
    <w:rsid w:val="00DA53BB"/>
    <w:rsid w:val="00DA58B8"/>
    <w:rsid w:val="00DA5E54"/>
    <w:rsid w:val="00DA649A"/>
    <w:rsid w:val="00DA68E1"/>
    <w:rsid w:val="00DA7047"/>
    <w:rsid w:val="00DA7559"/>
    <w:rsid w:val="00DA79CB"/>
    <w:rsid w:val="00DB0E30"/>
    <w:rsid w:val="00DB12E0"/>
    <w:rsid w:val="00DB13C7"/>
    <w:rsid w:val="00DB16B3"/>
    <w:rsid w:val="00DB1A58"/>
    <w:rsid w:val="00DB1DC2"/>
    <w:rsid w:val="00DB2628"/>
    <w:rsid w:val="00DB26FC"/>
    <w:rsid w:val="00DB3C76"/>
    <w:rsid w:val="00DB4143"/>
    <w:rsid w:val="00DB436F"/>
    <w:rsid w:val="00DB44C6"/>
    <w:rsid w:val="00DB4F4E"/>
    <w:rsid w:val="00DB5016"/>
    <w:rsid w:val="00DB6645"/>
    <w:rsid w:val="00DB6B10"/>
    <w:rsid w:val="00DB6D86"/>
    <w:rsid w:val="00DB75D9"/>
    <w:rsid w:val="00DB7D47"/>
    <w:rsid w:val="00DB7E30"/>
    <w:rsid w:val="00DC0622"/>
    <w:rsid w:val="00DC0DF7"/>
    <w:rsid w:val="00DC11A2"/>
    <w:rsid w:val="00DC1920"/>
    <w:rsid w:val="00DC1991"/>
    <w:rsid w:val="00DC19F9"/>
    <w:rsid w:val="00DC1A6C"/>
    <w:rsid w:val="00DC1DFB"/>
    <w:rsid w:val="00DC201C"/>
    <w:rsid w:val="00DC265F"/>
    <w:rsid w:val="00DC2F5B"/>
    <w:rsid w:val="00DC4297"/>
    <w:rsid w:val="00DC551A"/>
    <w:rsid w:val="00DC60D2"/>
    <w:rsid w:val="00DC60E8"/>
    <w:rsid w:val="00DC651E"/>
    <w:rsid w:val="00DC6D09"/>
    <w:rsid w:val="00DC6FD0"/>
    <w:rsid w:val="00DC7666"/>
    <w:rsid w:val="00DC7822"/>
    <w:rsid w:val="00DC7D73"/>
    <w:rsid w:val="00DD0990"/>
    <w:rsid w:val="00DD0ADC"/>
    <w:rsid w:val="00DD1A33"/>
    <w:rsid w:val="00DD1CBA"/>
    <w:rsid w:val="00DD1EA5"/>
    <w:rsid w:val="00DD204F"/>
    <w:rsid w:val="00DD280B"/>
    <w:rsid w:val="00DD2EAA"/>
    <w:rsid w:val="00DD33A2"/>
    <w:rsid w:val="00DD3DA6"/>
    <w:rsid w:val="00DD40FB"/>
    <w:rsid w:val="00DD4E81"/>
    <w:rsid w:val="00DD5667"/>
    <w:rsid w:val="00DD6060"/>
    <w:rsid w:val="00DD6591"/>
    <w:rsid w:val="00DD733E"/>
    <w:rsid w:val="00DD750F"/>
    <w:rsid w:val="00DD7861"/>
    <w:rsid w:val="00DD7B68"/>
    <w:rsid w:val="00DE08D0"/>
    <w:rsid w:val="00DE286D"/>
    <w:rsid w:val="00DE30F0"/>
    <w:rsid w:val="00DE321A"/>
    <w:rsid w:val="00DE344B"/>
    <w:rsid w:val="00DE4512"/>
    <w:rsid w:val="00DE48F7"/>
    <w:rsid w:val="00DE4EBB"/>
    <w:rsid w:val="00DE4F6F"/>
    <w:rsid w:val="00DE511E"/>
    <w:rsid w:val="00DE5F11"/>
    <w:rsid w:val="00DE63E2"/>
    <w:rsid w:val="00DE6589"/>
    <w:rsid w:val="00DE6CD0"/>
    <w:rsid w:val="00DE6DD5"/>
    <w:rsid w:val="00DE7165"/>
    <w:rsid w:val="00DE7705"/>
    <w:rsid w:val="00DF159D"/>
    <w:rsid w:val="00DF17B4"/>
    <w:rsid w:val="00DF25E0"/>
    <w:rsid w:val="00DF4217"/>
    <w:rsid w:val="00DF4B20"/>
    <w:rsid w:val="00DF4CE4"/>
    <w:rsid w:val="00DF4D75"/>
    <w:rsid w:val="00DF52E1"/>
    <w:rsid w:val="00DF6814"/>
    <w:rsid w:val="00DF7026"/>
    <w:rsid w:val="00DF7422"/>
    <w:rsid w:val="00DF7677"/>
    <w:rsid w:val="00E00D29"/>
    <w:rsid w:val="00E0160A"/>
    <w:rsid w:val="00E01A1F"/>
    <w:rsid w:val="00E02A73"/>
    <w:rsid w:val="00E0338B"/>
    <w:rsid w:val="00E04057"/>
    <w:rsid w:val="00E04286"/>
    <w:rsid w:val="00E04518"/>
    <w:rsid w:val="00E04B41"/>
    <w:rsid w:val="00E04D7D"/>
    <w:rsid w:val="00E0523B"/>
    <w:rsid w:val="00E06541"/>
    <w:rsid w:val="00E06829"/>
    <w:rsid w:val="00E06E18"/>
    <w:rsid w:val="00E06F94"/>
    <w:rsid w:val="00E0710E"/>
    <w:rsid w:val="00E10399"/>
    <w:rsid w:val="00E10E0D"/>
    <w:rsid w:val="00E11CFE"/>
    <w:rsid w:val="00E12786"/>
    <w:rsid w:val="00E131E8"/>
    <w:rsid w:val="00E13B16"/>
    <w:rsid w:val="00E13E74"/>
    <w:rsid w:val="00E14AA2"/>
    <w:rsid w:val="00E163D4"/>
    <w:rsid w:val="00E16CD5"/>
    <w:rsid w:val="00E16E1F"/>
    <w:rsid w:val="00E17852"/>
    <w:rsid w:val="00E17861"/>
    <w:rsid w:val="00E17DB5"/>
    <w:rsid w:val="00E208A7"/>
    <w:rsid w:val="00E20CDF"/>
    <w:rsid w:val="00E20E68"/>
    <w:rsid w:val="00E214B3"/>
    <w:rsid w:val="00E21509"/>
    <w:rsid w:val="00E228C2"/>
    <w:rsid w:val="00E22C3F"/>
    <w:rsid w:val="00E230B3"/>
    <w:rsid w:val="00E237D6"/>
    <w:rsid w:val="00E237E8"/>
    <w:rsid w:val="00E23D47"/>
    <w:rsid w:val="00E244FA"/>
    <w:rsid w:val="00E2454B"/>
    <w:rsid w:val="00E24798"/>
    <w:rsid w:val="00E24FBC"/>
    <w:rsid w:val="00E25077"/>
    <w:rsid w:val="00E2560C"/>
    <w:rsid w:val="00E26B24"/>
    <w:rsid w:val="00E2727A"/>
    <w:rsid w:val="00E272B8"/>
    <w:rsid w:val="00E27877"/>
    <w:rsid w:val="00E278ED"/>
    <w:rsid w:val="00E27BE2"/>
    <w:rsid w:val="00E3034D"/>
    <w:rsid w:val="00E30A29"/>
    <w:rsid w:val="00E30BD1"/>
    <w:rsid w:val="00E31188"/>
    <w:rsid w:val="00E31FF1"/>
    <w:rsid w:val="00E321AC"/>
    <w:rsid w:val="00E32C56"/>
    <w:rsid w:val="00E333B0"/>
    <w:rsid w:val="00E342FE"/>
    <w:rsid w:val="00E34F20"/>
    <w:rsid w:val="00E35182"/>
    <w:rsid w:val="00E35E62"/>
    <w:rsid w:val="00E36346"/>
    <w:rsid w:val="00E366D3"/>
    <w:rsid w:val="00E36F69"/>
    <w:rsid w:val="00E40AD0"/>
    <w:rsid w:val="00E42433"/>
    <w:rsid w:val="00E42527"/>
    <w:rsid w:val="00E42647"/>
    <w:rsid w:val="00E4366A"/>
    <w:rsid w:val="00E43DF5"/>
    <w:rsid w:val="00E43FDD"/>
    <w:rsid w:val="00E44188"/>
    <w:rsid w:val="00E4457B"/>
    <w:rsid w:val="00E4505B"/>
    <w:rsid w:val="00E4560F"/>
    <w:rsid w:val="00E45DDA"/>
    <w:rsid w:val="00E464D4"/>
    <w:rsid w:val="00E46619"/>
    <w:rsid w:val="00E46FD2"/>
    <w:rsid w:val="00E471C9"/>
    <w:rsid w:val="00E50159"/>
    <w:rsid w:val="00E501F1"/>
    <w:rsid w:val="00E50880"/>
    <w:rsid w:val="00E51195"/>
    <w:rsid w:val="00E51A21"/>
    <w:rsid w:val="00E526FE"/>
    <w:rsid w:val="00E52961"/>
    <w:rsid w:val="00E52FB0"/>
    <w:rsid w:val="00E534D1"/>
    <w:rsid w:val="00E53FBA"/>
    <w:rsid w:val="00E543D6"/>
    <w:rsid w:val="00E55F20"/>
    <w:rsid w:val="00E56325"/>
    <w:rsid w:val="00E56F3A"/>
    <w:rsid w:val="00E5717C"/>
    <w:rsid w:val="00E57CA4"/>
    <w:rsid w:val="00E57E8C"/>
    <w:rsid w:val="00E60A9C"/>
    <w:rsid w:val="00E6152E"/>
    <w:rsid w:val="00E616A2"/>
    <w:rsid w:val="00E6270A"/>
    <w:rsid w:val="00E62B72"/>
    <w:rsid w:val="00E62B80"/>
    <w:rsid w:val="00E62F32"/>
    <w:rsid w:val="00E644AC"/>
    <w:rsid w:val="00E64ACB"/>
    <w:rsid w:val="00E65284"/>
    <w:rsid w:val="00E65F9F"/>
    <w:rsid w:val="00E665C3"/>
    <w:rsid w:val="00E6679C"/>
    <w:rsid w:val="00E67046"/>
    <w:rsid w:val="00E67322"/>
    <w:rsid w:val="00E67A9C"/>
    <w:rsid w:val="00E67E05"/>
    <w:rsid w:val="00E7011C"/>
    <w:rsid w:val="00E707F4"/>
    <w:rsid w:val="00E708E9"/>
    <w:rsid w:val="00E712D7"/>
    <w:rsid w:val="00E7232D"/>
    <w:rsid w:val="00E7238D"/>
    <w:rsid w:val="00E73734"/>
    <w:rsid w:val="00E737C6"/>
    <w:rsid w:val="00E73A97"/>
    <w:rsid w:val="00E74535"/>
    <w:rsid w:val="00E746FC"/>
    <w:rsid w:val="00E747EC"/>
    <w:rsid w:val="00E74D0D"/>
    <w:rsid w:val="00E76115"/>
    <w:rsid w:val="00E76660"/>
    <w:rsid w:val="00E817F2"/>
    <w:rsid w:val="00E81B61"/>
    <w:rsid w:val="00E81C24"/>
    <w:rsid w:val="00E82214"/>
    <w:rsid w:val="00E822B2"/>
    <w:rsid w:val="00E837DC"/>
    <w:rsid w:val="00E8385A"/>
    <w:rsid w:val="00E838A5"/>
    <w:rsid w:val="00E83AAB"/>
    <w:rsid w:val="00E83C5A"/>
    <w:rsid w:val="00E83F53"/>
    <w:rsid w:val="00E84387"/>
    <w:rsid w:val="00E84764"/>
    <w:rsid w:val="00E84BFA"/>
    <w:rsid w:val="00E84DB9"/>
    <w:rsid w:val="00E85C0E"/>
    <w:rsid w:val="00E85E77"/>
    <w:rsid w:val="00E85F98"/>
    <w:rsid w:val="00E86CF0"/>
    <w:rsid w:val="00E878A4"/>
    <w:rsid w:val="00E91F86"/>
    <w:rsid w:val="00E926A6"/>
    <w:rsid w:val="00E927B4"/>
    <w:rsid w:val="00E9283A"/>
    <w:rsid w:val="00E93BA2"/>
    <w:rsid w:val="00E94729"/>
    <w:rsid w:val="00E94846"/>
    <w:rsid w:val="00E94D77"/>
    <w:rsid w:val="00E9501D"/>
    <w:rsid w:val="00E96FBE"/>
    <w:rsid w:val="00E97A22"/>
    <w:rsid w:val="00E97C2F"/>
    <w:rsid w:val="00E97D7E"/>
    <w:rsid w:val="00EA002D"/>
    <w:rsid w:val="00EA068D"/>
    <w:rsid w:val="00EA149D"/>
    <w:rsid w:val="00EA1787"/>
    <w:rsid w:val="00EA1862"/>
    <w:rsid w:val="00EA1BEF"/>
    <w:rsid w:val="00EA1D8E"/>
    <w:rsid w:val="00EA1F05"/>
    <w:rsid w:val="00EA2616"/>
    <w:rsid w:val="00EA5AE1"/>
    <w:rsid w:val="00EA6640"/>
    <w:rsid w:val="00EA68DF"/>
    <w:rsid w:val="00EA781A"/>
    <w:rsid w:val="00EA7821"/>
    <w:rsid w:val="00EB051B"/>
    <w:rsid w:val="00EB0685"/>
    <w:rsid w:val="00EB1980"/>
    <w:rsid w:val="00EB1D97"/>
    <w:rsid w:val="00EB226D"/>
    <w:rsid w:val="00EB2AFA"/>
    <w:rsid w:val="00EB2B0C"/>
    <w:rsid w:val="00EB2F0C"/>
    <w:rsid w:val="00EB32CA"/>
    <w:rsid w:val="00EB382C"/>
    <w:rsid w:val="00EB3956"/>
    <w:rsid w:val="00EB3CA5"/>
    <w:rsid w:val="00EB4003"/>
    <w:rsid w:val="00EB4817"/>
    <w:rsid w:val="00EB4992"/>
    <w:rsid w:val="00EB79C3"/>
    <w:rsid w:val="00EB7F4C"/>
    <w:rsid w:val="00EC0FB3"/>
    <w:rsid w:val="00EC282F"/>
    <w:rsid w:val="00EC29A0"/>
    <w:rsid w:val="00EC2E17"/>
    <w:rsid w:val="00EC396B"/>
    <w:rsid w:val="00EC411D"/>
    <w:rsid w:val="00EC43E2"/>
    <w:rsid w:val="00EC50CE"/>
    <w:rsid w:val="00EC5332"/>
    <w:rsid w:val="00EC5997"/>
    <w:rsid w:val="00EC5B1D"/>
    <w:rsid w:val="00EC6454"/>
    <w:rsid w:val="00EC6BD4"/>
    <w:rsid w:val="00EC75AE"/>
    <w:rsid w:val="00EC77EA"/>
    <w:rsid w:val="00ED021C"/>
    <w:rsid w:val="00ED0989"/>
    <w:rsid w:val="00ED1298"/>
    <w:rsid w:val="00ED23FD"/>
    <w:rsid w:val="00ED25DB"/>
    <w:rsid w:val="00ED2867"/>
    <w:rsid w:val="00ED2FD3"/>
    <w:rsid w:val="00ED3104"/>
    <w:rsid w:val="00ED32B9"/>
    <w:rsid w:val="00ED350A"/>
    <w:rsid w:val="00ED3633"/>
    <w:rsid w:val="00ED41E4"/>
    <w:rsid w:val="00ED44F5"/>
    <w:rsid w:val="00ED4539"/>
    <w:rsid w:val="00ED48E8"/>
    <w:rsid w:val="00ED490C"/>
    <w:rsid w:val="00ED5BFE"/>
    <w:rsid w:val="00ED612B"/>
    <w:rsid w:val="00ED6DA5"/>
    <w:rsid w:val="00ED72D3"/>
    <w:rsid w:val="00ED7447"/>
    <w:rsid w:val="00ED7849"/>
    <w:rsid w:val="00ED7A30"/>
    <w:rsid w:val="00ED7DC6"/>
    <w:rsid w:val="00EE0195"/>
    <w:rsid w:val="00EE0938"/>
    <w:rsid w:val="00EE09AC"/>
    <w:rsid w:val="00EE0BD7"/>
    <w:rsid w:val="00EE1450"/>
    <w:rsid w:val="00EE218A"/>
    <w:rsid w:val="00EE3910"/>
    <w:rsid w:val="00EE444A"/>
    <w:rsid w:val="00EE44A0"/>
    <w:rsid w:val="00EE47D5"/>
    <w:rsid w:val="00EE53C4"/>
    <w:rsid w:val="00EE5458"/>
    <w:rsid w:val="00EE5620"/>
    <w:rsid w:val="00EE593C"/>
    <w:rsid w:val="00EE6479"/>
    <w:rsid w:val="00EE6A8D"/>
    <w:rsid w:val="00EE7B6F"/>
    <w:rsid w:val="00EE7CEB"/>
    <w:rsid w:val="00EE7EA4"/>
    <w:rsid w:val="00EF0FE1"/>
    <w:rsid w:val="00EF1683"/>
    <w:rsid w:val="00EF18BD"/>
    <w:rsid w:val="00EF204B"/>
    <w:rsid w:val="00EF294D"/>
    <w:rsid w:val="00EF3B69"/>
    <w:rsid w:val="00EF414B"/>
    <w:rsid w:val="00EF4C61"/>
    <w:rsid w:val="00EF4F88"/>
    <w:rsid w:val="00EF5417"/>
    <w:rsid w:val="00EF5A2D"/>
    <w:rsid w:val="00EF5B95"/>
    <w:rsid w:val="00EF61D0"/>
    <w:rsid w:val="00EF65F0"/>
    <w:rsid w:val="00EF6C2F"/>
    <w:rsid w:val="00EF6CFE"/>
    <w:rsid w:val="00EF7099"/>
    <w:rsid w:val="00EF720E"/>
    <w:rsid w:val="00EF7B8A"/>
    <w:rsid w:val="00F01526"/>
    <w:rsid w:val="00F01EA2"/>
    <w:rsid w:val="00F022AC"/>
    <w:rsid w:val="00F028F1"/>
    <w:rsid w:val="00F02A07"/>
    <w:rsid w:val="00F0300B"/>
    <w:rsid w:val="00F034AB"/>
    <w:rsid w:val="00F039F1"/>
    <w:rsid w:val="00F046E8"/>
    <w:rsid w:val="00F057ED"/>
    <w:rsid w:val="00F063AA"/>
    <w:rsid w:val="00F0649C"/>
    <w:rsid w:val="00F06843"/>
    <w:rsid w:val="00F06869"/>
    <w:rsid w:val="00F06D8F"/>
    <w:rsid w:val="00F071C4"/>
    <w:rsid w:val="00F07773"/>
    <w:rsid w:val="00F104DB"/>
    <w:rsid w:val="00F10873"/>
    <w:rsid w:val="00F109D6"/>
    <w:rsid w:val="00F1106B"/>
    <w:rsid w:val="00F113E4"/>
    <w:rsid w:val="00F121BC"/>
    <w:rsid w:val="00F12B42"/>
    <w:rsid w:val="00F1309D"/>
    <w:rsid w:val="00F132A0"/>
    <w:rsid w:val="00F13971"/>
    <w:rsid w:val="00F145FC"/>
    <w:rsid w:val="00F14B7A"/>
    <w:rsid w:val="00F158D1"/>
    <w:rsid w:val="00F15BAE"/>
    <w:rsid w:val="00F16A3F"/>
    <w:rsid w:val="00F17058"/>
    <w:rsid w:val="00F177D9"/>
    <w:rsid w:val="00F17D86"/>
    <w:rsid w:val="00F17F8F"/>
    <w:rsid w:val="00F21120"/>
    <w:rsid w:val="00F21424"/>
    <w:rsid w:val="00F21D71"/>
    <w:rsid w:val="00F22350"/>
    <w:rsid w:val="00F22901"/>
    <w:rsid w:val="00F22A16"/>
    <w:rsid w:val="00F23A6A"/>
    <w:rsid w:val="00F24093"/>
    <w:rsid w:val="00F244F6"/>
    <w:rsid w:val="00F2537C"/>
    <w:rsid w:val="00F2559E"/>
    <w:rsid w:val="00F278CB"/>
    <w:rsid w:val="00F32295"/>
    <w:rsid w:val="00F32AD2"/>
    <w:rsid w:val="00F3312B"/>
    <w:rsid w:val="00F333AB"/>
    <w:rsid w:val="00F339E8"/>
    <w:rsid w:val="00F34275"/>
    <w:rsid w:val="00F35380"/>
    <w:rsid w:val="00F358D5"/>
    <w:rsid w:val="00F359EE"/>
    <w:rsid w:val="00F360B0"/>
    <w:rsid w:val="00F365AA"/>
    <w:rsid w:val="00F369E4"/>
    <w:rsid w:val="00F37635"/>
    <w:rsid w:val="00F378C9"/>
    <w:rsid w:val="00F4001F"/>
    <w:rsid w:val="00F40827"/>
    <w:rsid w:val="00F40AE8"/>
    <w:rsid w:val="00F40CDB"/>
    <w:rsid w:val="00F418C6"/>
    <w:rsid w:val="00F41C0B"/>
    <w:rsid w:val="00F42F88"/>
    <w:rsid w:val="00F4354B"/>
    <w:rsid w:val="00F43A97"/>
    <w:rsid w:val="00F44126"/>
    <w:rsid w:val="00F443A8"/>
    <w:rsid w:val="00F45651"/>
    <w:rsid w:val="00F46050"/>
    <w:rsid w:val="00F4646B"/>
    <w:rsid w:val="00F465A1"/>
    <w:rsid w:val="00F476D0"/>
    <w:rsid w:val="00F51047"/>
    <w:rsid w:val="00F51604"/>
    <w:rsid w:val="00F51A67"/>
    <w:rsid w:val="00F51F5D"/>
    <w:rsid w:val="00F51F72"/>
    <w:rsid w:val="00F52302"/>
    <w:rsid w:val="00F52B1A"/>
    <w:rsid w:val="00F52FBA"/>
    <w:rsid w:val="00F54373"/>
    <w:rsid w:val="00F547AF"/>
    <w:rsid w:val="00F55F38"/>
    <w:rsid w:val="00F56FA5"/>
    <w:rsid w:val="00F578B7"/>
    <w:rsid w:val="00F57AC7"/>
    <w:rsid w:val="00F57DD9"/>
    <w:rsid w:val="00F61259"/>
    <w:rsid w:val="00F61513"/>
    <w:rsid w:val="00F61761"/>
    <w:rsid w:val="00F61832"/>
    <w:rsid w:val="00F61BCC"/>
    <w:rsid w:val="00F62A26"/>
    <w:rsid w:val="00F63552"/>
    <w:rsid w:val="00F6399D"/>
    <w:rsid w:val="00F64C1B"/>
    <w:rsid w:val="00F64FA2"/>
    <w:rsid w:val="00F6511A"/>
    <w:rsid w:val="00F652F9"/>
    <w:rsid w:val="00F6561F"/>
    <w:rsid w:val="00F658CB"/>
    <w:rsid w:val="00F65B2F"/>
    <w:rsid w:val="00F6627A"/>
    <w:rsid w:val="00F669BC"/>
    <w:rsid w:val="00F66DEB"/>
    <w:rsid w:val="00F67FF7"/>
    <w:rsid w:val="00F70EFE"/>
    <w:rsid w:val="00F7172E"/>
    <w:rsid w:val="00F727B4"/>
    <w:rsid w:val="00F728BF"/>
    <w:rsid w:val="00F72C5A"/>
    <w:rsid w:val="00F736D7"/>
    <w:rsid w:val="00F7385C"/>
    <w:rsid w:val="00F73973"/>
    <w:rsid w:val="00F743BF"/>
    <w:rsid w:val="00F74F7D"/>
    <w:rsid w:val="00F751CA"/>
    <w:rsid w:val="00F7536A"/>
    <w:rsid w:val="00F76585"/>
    <w:rsid w:val="00F76B0C"/>
    <w:rsid w:val="00F77D92"/>
    <w:rsid w:val="00F816EF"/>
    <w:rsid w:val="00F81F86"/>
    <w:rsid w:val="00F8221B"/>
    <w:rsid w:val="00F82355"/>
    <w:rsid w:val="00F82CA6"/>
    <w:rsid w:val="00F833CB"/>
    <w:rsid w:val="00F84CA6"/>
    <w:rsid w:val="00F84DE5"/>
    <w:rsid w:val="00F85841"/>
    <w:rsid w:val="00F859DA"/>
    <w:rsid w:val="00F85F8A"/>
    <w:rsid w:val="00F860B1"/>
    <w:rsid w:val="00F864BC"/>
    <w:rsid w:val="00F8699D"/>
    <w:rsid w:val="00F87AD5"/>
    <w:rsid w:val="00F9026C"/>
    <w:rsid w:val="00F908BA"/>
    <w:rsid w:val="00F90F33"/>
    <w:rsid w:val="00F91DE1"/>
    <w:rsid w:val="00F92462"/>
    <w:rsid w:val="00F93089"/>
    <w:rsid w:val="00F931CB"/>
    <w:rsid w:val="00F948F4"/>
    <w:rsid w:val="00F94944"/>
    <w:rsid w:val="00F94EBE"/>
    <w:rsid w:val="00F9561A"/>
    <w:rsid w:val="00F95961"/>
    <w:rsid w:val="00F959AA"/>
    <w:rsid w:val="00F96507"/>
    <w:rsid w:val="00F96DB2"/>
    <w:rsid w:val="00F9749A"/>
    <w:rsid w:val="00F976AC"/>
    <w:rsid w:val="00FA00D5"/>
    <w:rsid w:val="00FA028D"/>
    <w:rsid w:val="00FA1075"/>
    <w:rsid w:val="00FA1237"/>
    <w:rsid w:val="00FA1267"/>
    <w:rsid w:val="00FA172F"/>
    <w:rsid w:val="00FA212F"/>
    <w:rsid w:val="00FA21A4"/>
    <w:rsid w:val="00FA230C"/>
    <w:rsid w:val="00FA2910"/>
    <w:rsid w:val="00FA3E74"/>
    <w:rsid w:val="00FA4166"/>
    <w:rsid w:val="00FA48BD"/>
    <w:rsid w:val="00FA589E"/>
    <w:rsid w:val="00FA5EA3"/>
    <w:rsid w:val="00FA6644"/>
    <w:rsid w:val="00FA6C5F"/>
    <w:rsid w:val="00FB06D3"/>
    <w:rsid w:val="00FB0AF9"/>
    <w:rsid w:val="00FB0D8E"/>
    <w:rsid w:val="00FB0E7A"/>
    <w:rsid w:val="00FB1E9E"/>
    <w:rsid w:val="00FB1F09"/>
    <w:rsid w:val="00FB2539"/>
    <w:rsid w:val="00FB27AA"/>
    <w:rsid w:val="00FB4087"/>
    <w:rsid w:val="00FB49BA"/>
    <w:rsid w:val="00FB4BBA"/>
    <w:rsid w:val="00FB587C"/>
    <w:rsid w:val="00FB5B9D"/>
    <w:rsid w:val="00FB61BF"/>
    <w:rsid w:val="00FB636A"/>
    <w:rsid w:val="00FB646B"/>
    <w:rsid w:val="00FB6B30"/>
    <w:rsid w:val="00FB6FEE"/>
    <w:rsid w:val="00FC013C"/>
    <w:rsid w:val="00FC02A9"/>
    <w:rsid w:val="00FC10A2"/>
    <w:rsid w:val="00FC2F39"/>
    <w:rsid w:val="00FC35DB"/>
    <w:rsid w:val="00FC3C95"/>
    <w:rsid w:val="00FC483A"/>
    <w:rsid w:val="00FC4CE3"/>
    <w:rsid w:val="00FC53B0"/>
    <w:rsid w:val="00FC57AE"/>
    <w:rsid w:val="00FC74AD"/>
    <w:rsid w:val="00FC7B0D"/>
    <w:rsid w:val="00FD05A6"/>
    <w:rsid w:val="00FD0A03"/>
    <w:rsid w:val="00FD0F02"/>
    <w:rsid w:val="00FD14D4"/>
    <w:rsid w:val="00FD1641"/>
    <w:rsid w:val="00FD1AAB"/>
    <w:rsid w:val="00FD24E1"/>
    <w:rsid w:val="00FD29E2"/>
    <w:rsid w:val="00FD2CA8"/>
    <w:rsid w:val="00FD4AFC"/>
    <w:rsid w:val="00FD4C06"/>
    <w:rsid w:val="00FD530A"/>
    <w:rsid w:val="00FD6740"/>
    <w:rsid w:val="00FD6CF4"/>
    <w:rsid w:val="00FD7129"/>
    <w:rsid w:val="00FE0D33"/>
    <w:rsid w:val="00FE0DAB"/>
    <w:rsid w:val="00FE1BA4"/>
    <w:rsid w:val="00FE2510"/>
    <w:rsid w:val="00FE261F"/>
    <w:rsid w:val="00FE2CA8"/>
    <w:rsid w:val="00FE2D8D"/>
    <w:rsid w:val="00FE34E6"/>
    <w:rsid w:val="00FE34FB"/>
    <w:rsid w:val="00FE3B9D"/>
    <w:rsid w:val="00FE4337"/>
    <w:rsid w:val="00FE468B"/>
    <w:rsid w:val="00FE5224"/>
    <w:rsid w:val="00FE62B8"/>
    <w:rsid w:val="00FE6763"/>
    <w:rsid w:val="00FE6CB1"/>
    <w:rsid w:val="00FE7C42"/>
    <w:rsid w:val="00FE7FFA"/>
    <w:rsid w:val="00FF1304"/>
    <w:rsid w:val="00FF14D8"/>
    <w:rsid w:val="00FF1A84"/>
    <w:rsid w:val="00FF2589"/>
    <w:rsid w:val="00FF26F8"/>
    <w:rsid w:val="00FF2A6E"/>
    <w:rsid w:val="00FF2D1E"/>
    <w:rsid w:val="00FF2E99"/>
    <w:rsid w:val="00FF33B5"/>
    <w:rsid w:val="00FF37C8"/>
    <w:rsid w:val="00FF4085"/>
    <w:rsid w:val="00FF438E"/>
    <w:rsid w:val="00FF5990"/>
    <w:rsid w:val="00FF6AD0"/>
    <w:rsid w:val="00FF6F98"/>
    <w:rsid w:val="00FF79E5"/>
    <w:rsid w:val="00FF7C2F"/>
    <w:rsid w:val="00FF7D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footnote text" w:uiPriority="99" w:qFormat="1"/>
    <w:lsdException w:name="header" w:uiPriority="99"/>
    <w:lsdException w:name="footer" w:uiPriority="99"/>
    <w:lsdException w:name="caption" w:uiPriority="35" w:qFormat="1"/>
    <w:lsdException w:name="footnote reference" w:uiPriority="99" w:qFormat="1"/>
    <w:lsdException w:name="annotation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BE2"/>
    <w:rPr>
      <w:rFonts w:ascii="Arial" w:hAnsi="Arial"/>
      <w:color w:val="001F00"/>
      <w:spacing w:val="6"/>
      <w:sz w:val="18"/>
      <w:szCs w:val="18"/>
      <w:lang w:val="en-GB" w:eastAsia="en-GB"/>
    </w:rPr>
  </w:style>
  <w:style w:type="paragraph" w:styleId="Heading1">
    <w:name w:val="heading 1"/>
    <w:basedOn w:val="Normal"/>
    <w:next w:val="Normal"/>
    <w:link w:val="Heading1Char"/>
    <w:qFormat/>
    <w:rsid w:val="001F2E01"/>
    <w:pPr>
      <w:keepNext/>
      <w:numPr>
        <w:numId w:val="5"/>
      </w:numPr>
      <w:outlineLvl w:val="0"/>
    </w:pPr>
    <w:rPr>
      <w:rFonts w:cs="Arial"/>
      <w:b/>
      <w:bCs/>
      <w:kern w:val="32"/>
      <w:sz w:val="20"/>
      <w:szCs w:val="20"/>
    </w:rPr>
  </w:style>
  <w:style w:type="paragraph" w:styleId="Heading2">
    <w:name w:val="heading 2"/>
    <w:basedOn w:val="Normal"/>
    <w:next w:val="Normal"/>
    <w:link w:val="Heading2Char"/>
    <w:uiPriority w:val="9"/>
    <w:qFormat/>
    <w:rsid w:val="004071C5"/>
    <w:pPr>
      <w:keepNext/>
      <w:numPr>
        <w:ilvl w:val="1"/>
        <w:numId w:val="5"/>
      </w:numPr>
      <w:outlineLvl w:val="1"/>
    </w:pPr>
    <w:rPr>
      <w:rFonts w:cs="Arial"/>
      <w:b/>
      <w:bCs/>
      <w:iCs/>
    </w:rPr>
  </w:style>
  <w:style w:type="paragraph" w:styleId="Heading3">
    <w:name w:val="heading 3"/>
    <w:basedOn w:val="Normal"/>
    <w:next w:val="Normal"/>
    <w:link w:val="Heading3Char"/>
    <w:uiPriority w:val="9"/>
    <w:qFormat/>
    <w:rsid w:val="004071C5"/>
    <w:pPr>
      <w:keepNext/>
      <w:numPr>
        <w:ilvl w:val="2"/>
        <w:numId w:val="5"/>
      </w:numPr>
      <w:spacing w:before="240" w:after="60"/>
      <w:outlineLvl w:val="2"/>
    </w:pPr>
    <w:rPr>
      <w:rFonts w:cs="Arial"/>
      <w:b/>
      <w:bCs/>
      <w:sz w:val="26"/>
      <w:szCs w:val="26"/>
    </w:rPr>
  </w:style>
  <w:style w:type="paragraph" w:styleId="Heading4">
    <w:name w:val="heading 4"/>
    <w:basedOn w:val="Normal"/>
    <w:next w:val="Normal"/>
    <w:link w:val="Heading4Char"/>
    <w:uiPriority w:val="9"/>
    <w:semiHidden/>
    <w:unhideWhenUsed/>
    <w:qFormat/>
    <w:rsid w:val="00726E47"/>
    <w:pPr>
      <w:keepNext/>
      <w:keepLines/>
      <w:numPr>
        <w:ilvl w:val="3"/>
        <w:numId w:val="5"/>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26E47"/>
    <w:pPr>
      <w:keepNext/>
      <w:keepLines/>
      <w:numPr>
        <w:ilvl w:val="4"/>
        <w:numId w:val="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qFormat/>
    <w:rsid w:val="0021711E"/>
    <w:pPr>
      <w:numPr>
        <w:ilvl w:val="5"/>
        <w:numId w:val="5"/>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
    <w:qFormat/>
    <w:rsid w:val="0021711E"/>
    <w:pPr>
      <w:numPr>
        <w:ilvl w:val="6"/>
        <w:numId w:val="5"/>
      </w:num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
    <w:qFormat/>
    <w:rsid w:val="0021711E"/>
    <w:pPr>
      <w:numPr>
        <w:ilvl w:val="7"/>
        <w:numId w:val="5"/>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uiPriority w:val="9"/>
    <w:semiHidden/>
    <w:unhideWhenUsed/>
    <w:qFormat/>
    <w:rsid w:val="00726E47"/>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Upper">
    <w:name w:val="Normal Upper"/>
    <w:basedOn w:val="Normal"/>
    <w:rsid w:val="004071C5"/>
    <w:rPr>
      <w:caps/>
    </w:rPr>
  </w:style>
  <w:style w:type="paragraph" w:customStyle="1" w:styleId="Normalbold">
    <w:name w:val="Normal bold"/>
    <w:basedOn w:val="Normal"/>
    <w:rsid w:val="001F2E01"/>
    <w:rPr>
      <w:b/>
    </w:rPr>
  </w:style>
  <w:style w:type="paragraph" w:customStyle="1" w:styleId="NormalUpperbold">
    <w:name w:val="Normal Upper bold"/>
    <w:basedOn w:val="Normal"/>
    <w:rsid w:val="001F2E01"/>
    <w:rPr>
      <w:b/>
      <w:caps/>
    </w:rPr>
  </w:style>
  <w:style w:type="paragraph" w:styleId="Footer">
    <w:name w:val="footer"/>
    <w:basedOn w:val="Normal"/>
    <w:link w:val="FooterChar"/>
    <w:uiPriority w:val="99"/>
    <w:rsid w:val="001014C3"/>
    <w:rPr>
      <w:color w:val="auto"/>
      <w:sz w:val="14"/>
      <w:szCs w:val="14"/>
    </w:rPr>
  </w:style>
  <w:style w:type="paragraph" w:customStyle="1" w:styleId="Footerbold">
    <w:name w:val="Footer bold"/>
    <w:basedOn w:val="Footer"/>
    <w:link w:val="FooterboldChar"/>
    <w:rsid w:val="001014C3"/>
    <w:rPr>
      <w:b/>
    </w:rPr>
  </w:style>
  <w:style w:type="paragraph" w:styleId="Header">
    <w:name w:val="header"/>
    <w:basedOn w:val="Normal"/>
    <w:link w:val="HeaderChar"/>
    <w:uiPriority w:val="99"/>
    <w:rsid w:val="004C272D"/>
    <w:pPr>
      <w:tabs>
        <w:tab w:val="center" w:pos="4153"/>
        <w:tab w:val="right" w:pos="8306"/>
      </w:tabs>
    </w:pPr>
  </w:style>
  <w:style w:type="character" w:customStyle="1" w:styleId="FooterChar">
    <w:name w:val="Footer Char"/>
    <w:link w:val="Footer"/>
    <w:uiPriority w:val="99"/>
    <w:rsid w:val="001014C3"/>
    <w:rPr>
      <w:rFonts w:ascii="Arial" w:hAnsi="Arial"/>
      <w:sz w:val="14"/>
      <w:szCs w:val="14"/>
      <w:lang w:val="en-GB" w:eastAsia="en-GB" w:bidi="ar-SA"/>
    </w:rPr>
  </w:style>
  <w:style w:type="character" w:customStyle="1" w:styleId="FooterboldChar">
    <w:name w:val="Footer bold Char"/>
    <w:link w:val="Footerbold"/>
    <w:rsid w:val="001014C3"/>
    <w:rPr>
      <w:rFonts w:ascii="Arial" w:hAnsi="Arial"/>
      <w:b/>
      <w:sz w:val="14"/>
      <w:szCs w:val="14"/>
      <w:lang w:val="en-GB" w:eastAsia="en-GB" w:bidi="ar-SA"/>
    </w:rPr>
  </w:style>
  <w:style w:type="character" w:styleId="PageNumber">
    <w:name w:val="page number"/>
    <w:basedOn w:val="DefaultParagraphFont"/>
    <w:rsid w:val="001014C3"/>
  </w:style>
  <w:style w:type="table" w:styleId="TableGrid">
    <w:name w:val="Table Grid"/>
    <w:basedOn w:val="TableNormal"/>
    <w:uiPriority w:val="39"/>
    <w:rsid w:val="00E723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Right">
    <w:name w:val="Normal Right"/>
    <w:basedOn w:val="Normal"/>
    <w:rsid w:val="00C202ED"/>
    <w:pPr>
      <w:jc w:val="right"/>
    </w:pPr>
  </w:style>
  <w:style w:type="paragraph" w:customStyle="1" w:styleId="NormalCenter">
    <w:name w:val="Normal Center"/>
    <w:basedOn w:val="Normal"/>
    <w:rsid w:val="00C47E54"/>
    <w:pPr>
      <w:jc w:val="center"/>
    </w:pPr>
  </w:style>
  <w:style w:type="paragraph" w:customStyle="1" w:styleId="NormalBoldCenter">
    <w:name w:val="Normal Bold Center"/>
    <w:basedOn w:val="NormalCenter"/>
    <w:rsid w:val="00C47E54"/>
    <w:rPr>
      <w:b/>
    </w:rPr>
  </w:style>
  <w:style w:type="paragraph" w:customStyle="1" w:styleId="Spacer">
    <w:name w:val="Spacer"/>
    <w:basedOn w:val="Normal"/>
    <w:rsid w:val="00F82355"/>
    <w:rPr>
      <w:sz w:val="2"/>
    </w:rPr>
  </w:style>
  <w:style w:type="paragraph" w:styleId="DocumentMap">
    <w:name w:val="Document Map"/>
    <w:basedOn w:val="Normal"/>
    <w:semiHidden/>
    <w:rsid w:val="003352CF"/>
    <w:pPr>
      <w:shd w:val="clear" w:color="auto" w:fill="000080"/>
    </w:pPr>
    <w:rPr>
      <w:rFonts w:ascii="Tahoma" w:hAnsi="Tahoma" w:cs="Tahoma"/>
      <w:sz w:val="20"/>
      <w:szCs w:val="20"/>
    </w:rPr>
  </w:style>
  <w:style w:type="paragraph" w:styleId="BodyText2">
    <w:name w:val="Body Text 2"/>
    <w:basedOn w:val="Normal"/>
    <w:rsid w:val="0021711E"/>
    <w:rPr>
      <w:rFonts w:ascii="Times New Roman" w:hAnsi="Times New Roman"/>
      <w:color w:val="auto"/>
      <w:spacing w:val="0"/>
      <w:sz w:val="24"/>
      <w:szCs w:val="20"/>
      <w:lang w:eastAsia="en-US"/>
    </w:rPr>
  </w:style>
  <w:style w:type="paragraph" w:styleId="BodyText3">
    <w:name w:val="Body Text 3"/>
    <w:basedOn w:val="Normal"/>
    <w:rsid w:val="0021711E"/>
    <w:pPr>
      <w:jc w:val="both"/>
    </w:pPr>
    <w:rPr>
      <w:rFonts w:ascii="Times New Roman" w:hAnsi="Times New Roman"/>
      <w:b/>
      <w:bCs/>
      <w:i/>
      <w:iCs/>
      <w:color w:val="auto"/>
      <w:spacing w:val="0"/>
      <w:sz w:val="24"/>
      <w:szCs w:val="20"/>
      <w:lang w:eastAsia="en-US"/>
    </w:rPr>
  </w:style>
  <w:style w:type="paragraph" w:styleId="BodyTextIndent">
    <w:name w:val="Body Text Indent"/>
    <w:basedOn w:val="Normal"/>
    <w:rsid w:val="0021711E"/>
    <w:pPr>
      <w:ind w:left="1440" w:hanging="1440"/>
      <w:jc w:val="both"/>
    </w:pPr>
    <w:rPr>
      <w:rFonts w:ascii="Tahoma" w:hAnsi="Tahoma" w:cs="Tahoma"/>
      <w:b/>
      <w:bCs/>
      <w:color w:val="auto"/>
      <w:spacing w:val="0"/>
      <w:sz w:val="24"/>
      <w:szCs w:val="20"/>
      <w:lang w:eastAsia="en-US"/>
    </w:rPr>
  </w:style>
  <w:style w:type="character" w:styleId="Hyperlink">
    <w:name w:val="Hyperlink"/>
    <w:uiPriority w:val="99"/>
    <w:rsid w:val="006A1D5F"/>
    <w:rPr>
      <w:color w:val="0000FF"/>
      <w:u w:val="single"/>
    </w:rPr>
  </w:style>
  <w:style w:type="paragraph" w:styleId="Title">
    <w:name w:val="Title"/>
    <w:basedOn w:val="Normal"/>
    <w:link w:val="TitleChar"/>
    <w:uiPriority w:val="10"/>
    <w:qFormat/>
    <w:rsid w:val="008313D7"/>
    <w:pPr>
      <w:jc w:val="center"/>
    </w:pPr>
    <w:rPr>
      <w:rFonts w:ascii="Times New Roman" w:hAnsi="Times New Roman"/>
      <w:b/>
      <w:bCs/>
      <w:color w:val="auto"/>
      <w:spacing w:val="0"/>
      <w:sz w:val="24"/>
      <w:szCs w:val="24"/>
      <w:lang w:eastAsia="en-US"/>
    </w:rPr>
  </w:style>
  <w:style w:type="paragraph" w:styleId="BalloonText">
    <w:name w:val="Balloon Text"/>
    <w:basedOn w:val="Normal"/>
    <w:link w:val="BalloonTextChar"/>
    <w:uiPriority w:val="99"/>
    <w:rsid w:val="0028168C"/>
    <w:rPr>
      <w:rFonts w:ascii="Tahoma" w:hAnsi="Tahoma" w:cs="Tahoma"/>
      <w:sz w:val="16"/>
      <w:szCs w:val="16"/>
    </w:rPr>
  </w:style>
  <w:style w:type="character" w:customStyle="1" w:styleId="BalloonTextChar">
    <w:name w:val="Balloon Text Char"/>
    <w:link w:val="BalloonText"/>
    <w:uiPriority w:val="99"/>
    <w:rsid w:val="0028168C"/>
    <w:rPr>
      <w:rFonts w:ascii="Tahoma" w:hAnsi="Tahoma" w:cs="Tahoma"/>
      <w:color w:val="001F00"/>
      <w:spacing w:val="6"/>
      <w:sz w:val="16"/>
      <w:szCs w:val="16"/>
      <w:lang w:val="en-GB" w:eastAsia="en-GB"/>
    </w:rPr>
  </w:style>
  <w:style w:type="paragraph" w:styleId="ListParagraph">
    <w:name w:val="List Paragraph"/>
    <w:aliases w:val="List Paragraph 1,Table of contents numbered,Bullets,footer text,List Paragraph1,Recommendation,Bullet List"/>
    <w:basedOn w:val="Normal"/>
    <w:link w:val="ListParagraphChar"/>
    <w:uiPriority w:val="34"/>
    <w:qFormat/>
    <w:rsid w:val="00CA18EB"/>
    <w:pPr>
      <w:ind w:left="720"/>
      <w:contextualSpacing/>
    </w:pPr>
  </w:style>
  <w:style w:type="paragraph" w:styleId="FootnoteText">
    <w:name w:val="footnote text"/>
    <w:aliases w:val="Footnote Text Char1,Footnote Text Char Char,fn Char"/>
    <w:basedOn w:val="Normal"/>
    <w:link w:val="FootnoteTextChar"/>
    <w:uiPriority w:val="99"/>
    <w:qFormat/>
    <w:rsid w:val="00533CE3"/>
    <w:pPr>
      <w:jc w:val="both"/>
    </w:pPr>
    <w:rPr>
      <w:color w:val="auto"/>
      <w:spacing w:val="0"/>
      <w:szCs w:val="20"/>
      <w:lang w:eastAsia="en-US"/>
    </w:rPr>
  </w:style>
  <w:style w:type="character" w:customStyle="1" w:styleId="FootnoteTextChar">
    <w:name w:val="Footnote Text Char"/>
    <w:aliases w:val="Footnote Text Char1 Char,Footnote Text Char Char Char,fn Char Char"/>
    <w:link w:val="FootnoteText"/>
    <w:uiPriority w:val="99"/>
    <w:rsid w:val="00533CE3"/>
    <w:rPr>
      <w:rFonts w:ascii="Arial" w:hAnsi="Arial"/>
      <w:sz w:val="18"/>
      <w:lang w:val="en-GB" w:eastAsia="en-US"/>
    </w:rPr>
  </w:style>
  <w:style w:type="character" w:styleId="FootnoteReference">
    <w:name w:val="footnote reference"/>
    <w:aliases w:val="ftref"/>
    <w:uiPriority w:val="99"/>
    <w:qFormat/>
    <w:rsid w:val="00533CE3"/>
    <w:rPr>
      <w:vertAlign w:val="superscript"/>
    </w:rPr>
  </w:style>
  <w:style w:type="character" w:customStyle="1" w:styleId="Heading1Char">
    <w:name w:val="Heading 1 Char"/>
    <w:link w:val="Heading1"/>
    <w:rsid w:val="001B5973"/>
    <w:rPr>
      <w:rFonts w:ascii="Arial" w:hAnsi="Arial" w:cs="Arial"/>
      <w:b/>
      <w:bCs/>
      <w:color w:val="001F00"/>
      <w:spacing w:val="6"/>
      <w:kern w:val="32"/>
      <w:lang w:val="en-GB" w:eastAsia="en-GB"/>
    </w:rPr>
  </w:style>
  <w:style w:type="numbering" w:customStyle="1" w:styleId="Style1">
    <w:name w:val="Style1"/>
    <w:uiPriority w:val="99"/>
    <w:rsid w:val="00FD7129"/>
    <w:pPr>
      <w:numPr>
        <w:numId w:val="1"/>
      </w:numPr>
    </w:pPr>
  </w:style>
  <w:style w:type="numbering" w:customStyle="1" w:styleId="Style2">
    <w:name w:val="Style2"/>
    <w:uiPriority w:val="99"/>
    <w:rsid w:val="00FD7129"/>
    <w:pPr>
      <w:numPr>
        <w:numId w:val="2"/>
      </w:numPr>
    </w:pPr>
  </w:style>
  <w:style w:type="character" w:styleId="CommentReference">
    <w:name w:val="annotation reference"/>
    <w:uiPriority w:val="99"/>
    <w:semiHidden/>
    <w:unhideWhenUsed/>
    <w:rsid w:val="000E0B58"/>
    <w:rPr>
      <w:sz w:val="16"/>
      <w:szCs w:val="16"/>
    </w:rPr>
  </w:style>
  <w:style w:type="paragraph" w:styleId="CommentText">
    <w:name w:val="annotation text"/>
    <w:basedOn w:val="Normal"/>
    <w:link w:val="CommentTextChar"/>
    <w:unhideWhenUsed/>
    <w:rsid w:val="000E0B58"/>
    <w:rPr>
      <w:sz w:val="20"/>
      <w:szCs w:val="20"/>
    </w:rPr>
  </w:style>
  <w:style w:type="character" w:customStyle="1" w:styleId="CommentTextChar">
    <w:name w:val="Comment Text Char"/>
    <w:link w:val="CommentText"/>
    <w:rsid w:val="000E0B58"/>
    <w:rPr>
      <w:rFonts w:ascii="Arial" w:hAnsi="Arial"/>
      <w:color w:val="001F00"/>
      <w:spacing w:val="6"/>
      <w:lang w:val="en-GB" w:eastAsia="en-GB"/>
    </w:rPr>
  </w:style>
  <w:style w:type="paragraph" w:styleId="CommentSubject">
    <w:name w:val="annotation subject"/>
    <w:basedOn w:val="CommentText"/>
    <w:next w:val="CommentText"/>
    <w:link w:val="CommentSubjectChar"/>
    <w:uiPriority w:val="99"/>
    <w:unhideWhenUsed/>
    <w:rsid w:val="000E0B58"/>
    <w:rPr>
      <w:b/>
      <w:bCs/>
    </w:rPr>
  </w:style>
  <w:style w:type="character" w:customStyle="1" w:styleId="CommentSubjectChar">
    <w:name w:val="Comment Subject Char"/>
    <w:link w:val="CommentSubject"/>
    <w:uiPriority w:val="99"/>
    <w:rsid w:val="000E0B58"/>
    <w:rPr>
      <w:rFonts w:ascii="Arial" w:hAnsi="Arial"/>
      <w:b/>
      <w:bCs/>
      <w:color w:val="001F00"/>
      <w:spacing w:val="6"/>
      <w:lang w:val="en-GB" w:eastAsia="en-GB"/>
    </w:rPr>
  </w:style>
  <w:style w:type="paragraph" w:styleId="Caption">
    <w:name w:val="caption"/>
    <w:basedOn w:val="Normal"/>
    <w:next w:val="Normal"/>
    <w:uiPriority w:val="35"/>
    <w:unhideWhenUsed/>
    <w:qFormat/>
    <w:rsid w:val="00857D01"/>
    <w:rPr>
      <w:b/>
      <w:bCs/>
      <w:sz w:val="20"/>
      <w:szCs w:val="20"/>
    </w:rPr>
  </w:style>
  <w:style w:type="character" w:customStyle="1" w:styleId="ListParagraphChar">
    <w:name w:val="List Paragraph Char"/>
    <w:aliases w:val="List Paragraph 1 Char,Table of contents numbered Char,Bullets Char,footer text Char,List Paragraph1 Char,Recommendation Char,Bullet List Char"/>
    <w:link w:val="ListParagraph"/>
    <w:uiPriority w:val="34"/>
    <w:rsid w:val="004B4EA0"/>
    <w:rPr>
      <w:rFonts w:ascii="Arial" w:hAnsi="Arial"/>
      <w:color w:val="001F00"/>
      <w:spacing w:val="6"/>
      <w:sz w:val="18"/>
      <w:szCs w:val="18"/>
      <w:lang w:val="en-GB" w:eastAsia="en-GB"/>
    </w:rPr>
  </w:style>
  <w:style w:type="paragraph" w:styleId="NoSpacing">
    <w:name w:val="No Spacing"/>
    <w:link w:val="NoSpacingChar"/>
    <w:uiPriority w:val="1"/>
    <w:qFormat/>
    <w:rsid w:val="00F06D8F"/>
    <w:rPr>
      <w:rFonts w:ascii="Arial" w:hAnsi="Arial"/>
      <w:sz w:val="22"/>
      <w:szCs w:val="24"/>
      <w:lang w:val="en-GB" w:eastAsia="en-US"/>
    </w:rPr>
  </w:style>
  <w:style w:type="table" w:customStyle="1" w:styleId="TableGrid1">
    <w:name w:val="Table Grid1"/>
    <w:basedOn w:val="TableNormal"/>
    <w:next w:val="TableGrid"/>
    <w:uiPriority w:val="39"/>
    <w:rsid w:val="000240D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0529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B05F4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E501F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D3725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rsid w:val="00D3725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1Char">
    <w:name w:val="Style1 Char"/>
    <w:rsid w:val="00D71CD7"/>
    <w:rPr>
      <w:rFonts w:ascii="Arial" w:hAnsi="Arial"/>
      <w:sz w:val="18"/>
      <w:lang w:val="en-GB" w:eastAsia="en-US"/>
    </w:rPr>
  </w:style>
  <w:style w:type="character" w:customStyle="1" w:styleId="NoSpacingChar">
    <w:name w:val="No Spacing Char"/>
    <w:basedOn w:val="DefaultParagraphFont"/>
    <w:link w:val="NoSpacing"/>
    <w:uiPriority w:val="1"/>
    <w:rsid w:val="003B20BE"/>
    <w:rPr>
      <w:rFonts w:ascii="Arial" w:hAnsi="Arial"/>
      <w:sz w:val="22"/>
      <w:szCs w:val="24"/>
      <w:lang w:val="en-GB" w:eastAsia="en-US"/>
    </w:rPr>
  </w:style>
  <w:style w:type="character" w:customStyle="1" w:styleId="Heading4Char">
    <w:name w:val="Heading 4 Char"/>
    <w:basedOn w:val="DefaultParagraphFont"/>
    <w:link w:val="Heading4"/>
    <w:uiPriority w:val="9"/>
    <w:semiHidden/>
    <w:rsid w:val="00726E47"/>
    <w:rPr>
      <w:rFonts w:asciiTheme="majorHAnsi" w:eastAsiaTheme="majorEastAsia" w:hAnsiTheme="majorHAnsi" w:cstheme="majorBidi"/>
      <w:i/>
      <w:iCs/>
      <w:color w:val="365F91" w:themeColor="accent1" w:themeShade="BF"/>
      <w:spacing w:val="6"/>
      <w:sz w:val="18"/>
      <w:szCs w:val="18"/>
      <w:lang w:val="en-GB" w:eastAsia="en-GB"/>
    </w:rPr>
  </w:style>
  <w:style w:type="character" w:customStyle="1" w:styleId="Heading5Char">
    <w:name w:val="Heading 5 Char"/>
    <w:basedOn w:val="DefaultParagraphFont"/>
    <w:link w:val="Heading5"/>
    <w:uiPriority w:val="9"/>
    <w:semiHidden/>
    <w:rsid w:val="00726E47"/>
    <w:rPr>
      <w:rFonts w:asciiTheme="majorHAnsi" w:eastAsiaTheme="majorEastAsia" w:hAnsiTheme="majorHAnsi" w:cstheme="majorBidi"/>
      <w:color w:val="365F91" w:themeColor="accent1" w:themeShade="BF"/>
      <w:spacing w:val="6"/>
      <w:sz w:val="18"/>
      <w:szCs w:val="18"/>
      <w:lang w:val="en-GB" w:eastAsia="en-GB"/>
    </w:rPr>
  </w:style>
  <w:style w:type="character" w:customStyle="1" w:styleId="Heading9Char">
    <w:name w:val="Heading 9 Char"/>
    <w:basedOn w:val="DefaultParagraphFont"/>
    <w:link w:val="Heading9"/>
    <w:uiPriority w:val="9"/>
    <w:semiHidden/>
    <w:rsid w:val="00726E47"/>
    <w:rPr>
      <w:rFonts w:asciiTheme="majorHAnsi" w:eastAsiaTheme="majorEastAsia" w:hAnsiTheme="majorHAnsi" w:cstheme="majorBidi"/>
      <w:i/>
      <w:iCs/>
      <w:color w:val="272727" w:themeColor="text1" w:themeTint="D8"/>
      <w:spacing w:val="6"/>
      <w:sz w:val="21"/>
      <w:szCs w:val="21"/>
      <w:lang w:val="en-GB" w:eastAsia="en-GB"/>
    </w:rPr>
  </w:style>
  <w:style w:type="paragraph" w:customStyle="1" w:styleId="Default">
    <w:name w:val="Default"/>
    <w:rsid w:val="00DE4EBB"/>
    <w:pPr>
      <w:autoSpaceDE w:val="0"/>
      <w:autoSpaceDN w:val="0"/>
      <w:adjustRightInd w:val="0"/>
    </w:pPr>
    <w:rPr>
      <w:rFonts w:ascii="Arial" w:hAnsi="Arial" w:cs="Arial"/>
      <w:color w:val="000000"/>
      <w:sz w:val="24"/>
      <w:szCs w:val="24"/>
    </w:rPr>
  </w:style>
  <w:style w:type="paragraph" w:styleId="BodyText">
    <w:name w:val="Body Text"/>
    <w:basedOn w:val="Normal"/>
    <w:link w:val="BodyTextChar"/>
    <w:semiHidden/>
    <w:unhideWhenUsed/>
    <w:rsid w:val="005347BB"/>
    <w:pPr>
      <w:spacing w:after="120"/>
    </w:pPr>
  </w:style>
  <w:style w:type="character" w:customStyle="1" w:styleId="BodyTextChar">
    <w:name w:val="Body Text Char"/>
    <w:basedOn w:val="DefaultParagraphFont"/>
    <w:link w:val="BodyText"/>
    <w:semiHidden/>
    <w:rsid w:val="005347BB"/>
    <w:rPr>
      <w:rFonts w:ascii="Arial" w:hAnsi="Arial"/>
      <w:color w:val="001F00"/>
      <w:spacing w:val="6"/>
      <w:sz w:val="18"/>
      <w:szCs w:val="18"/>
      <w:lang w:val="en-GB" w:eastAsia="en-GB"/>
    </w:rPr>
  </w:style>
  <w:style w:type="paragraph" w:customStyle="1" w:styleId="TableParagraph">
    <w:name w:val="Table Paragraph"/>
    <w:basedOn w:val="Normal"/>
    <w:uiPriority w:val="1"/>
    <w:qFormat/>
    <w:rsid w:val="005347BB"/>
    <w:pPr>
      <w:widowControl w:val="0"/>
      <w:autoSpaceDE w:val="0"/>
      <w:autoSpaceDN w:val="0"/>
      <w:spacing w:line="153" w:lineRule="exact"/>
    </w:pPr>
    <w:rPr>
      <w:rFonts w:eastAsia="Arial" w:cs="Arial"/>
      <w:color w:val="auto"/>
      <w:spacing w:val="0"/>
      <w:sz w:val="22"/>
      <w:szCs w:val="22"/>
      <w:lang w:val="en-US" w:eastAsia="en-US"/>
    </w:rPr>
  </w:style>
  <w:style w:type="paragraph" w:styleId="TOCHeading">
    <w:name w:val="TOC Heading"/>
    <w:basedOn w:val="Heading1"/>
    <w:next w:val="Normal"/>
    <w:uiPriority w:val="39"/>
    <w:unhideWhenUsed/>
    <w:qFormat/>
    <w:rsid w:val="0088724B"/>
    <w:pPr>
      <w:keepLines/>
      <w:numPr>
        <w:numId w:val="0"/>
      </w:numPr>
      <w:spacing w:before="240" w:line="259" w:lineRule="auto"/>
      <w:outlineLvl w:val="9"/>
    </w:pPr>
    <w:rPr>
      <w:rFonts w:ascii="Calibri Light" w:hAnsi="Calibri Light" w:cs="Times New Roman"/>
      <w:b w:val="0"/>
      <w:bCs w:val="0"/>
      <w:color w:val="2E74B5"/>
      <w:spacing w:val="0"/>
      <w:kern w:val="0"/>
      <w:sz w:val="32"/>
      <w:szCs w:val="32"/>
      <w:lang w:val="en-US" w:eastAsia="en-US"/>
    </w:rPr>
  </w:style>
  <w:style w:type="paragraph" w:styleId="TOC1">
    <w:name w:val="toc 1"/>
    <w:basedOn w:val="Normal"/>
    <w:next w:val="Normal"/>
    <w:autoRedefine/>
    <w:uiPriority w:val="39"/>
    <w:unhideWhenUsed/>
    <w:qFormat/>
    <w:rsid w:val="00297CCB"/>
    <w:pPr>
      <w:tabs>
        <w:tab w:val="left" w:pos="360"/>
        <w:tab w:val="right" w:leader="dot" w:pos="9016"/>
      </w:tabs>
      <w:spacing w:line="276" w:lineRule="auto"/>
    </w:pPr>
    <w:rPr>
      <w:rFonts w:ascii="Calibri" w:eastAsia="Calibri" w:hAnsi="Calibri"/>
      <w:b/>
      <w:noProof/>
      <w:color w:val="auto"/>
      <w:spacing w:val="0"/>
      <w:sz w:val="22"/>
      <w:szCs w:val="22"/>
      <w:lang w:val="en-ZA" w:eastAsia="en-US"/>
    </w:rPr>
  </w:style>
  <w:style w:type="paragraph" w:styleId="TOC2">
    <w:name w:val="toc 2"/>
    <w:basedOn w:val="Normal"/>
    <w:next w:val="Normal"/>
    <w:autoRedefine/>
    <w:uiPriority w:val="39"/>
    <w:unhideWhenUsed/>
    <w:rsid w:val="0088724B"/>
    <w:pPr>
      <w:spacing w:after="100" w:line="276" w:lineRule="auto"/>
      <w:ind w:left="220"/>
    </w:pPr>
    <w:rPr>
      <w:rFonts w:ascii="Calibri" w:eastAsia="Calibri" w:hAnsi="Calibri"/>
      <w:color w:val="auto"/>
      <w:spacing w:val="0"/>
      <w:sz w:val="22"/>
      <w:szCs w:val="22"/>
      <w:lang w:val="en-ZA" w:eastAsia="en-US"/>
    </w:rPr>
  </w:style>
  <w:style w:type="paragraph" w:styleId="TOC3">
    <w:name w:val="toc 3"/>
    <w:basedOn w:val="Normal"/>
    <w:next w:val="Normal"/>
    <w:autoRedefine/>
    <w:uiPriority w:val="39"/>
    <w:unhideWhenUsed/>
    <w:rsid w:val="0088724B"/>
    <w:pPr>
      <w:spacing w:after="100" w:line="276" w:lineRule="auto"/>
      <w:ind w:left="440"/>
    </w:pPr>
    <w:rPr>
      <w:rFonts w:ascii="Calibri" w:eastAsia="Calibri" w:hAnsi="Calibri"/>
      <w:color w:val="auto"/>
      <w:spacing w:val="0"/>
      <w:sz w:val="22"/>
      <w:szCs w:val="22"/>
      <w:lang w:val="en-ZA" w:eastAsia="en-US"/>
    </w:rPr>
  </w:style>
  <w:style w:type="character" w:styleId="FollowedHyperlink">
    <w:name w:val="FollowedHyperlink"/>
    <w:basedOn w:val="DefaultParagraphFont"/>
    <w:semiHidden/>
    <w:unhideWhenUsed/>
    <w:rsid w:val="00210C63"/>
    <w:rPr>
      <w:color w:val="800080" w:themeColor="followedHyperlink"/>
      <w:u w:val="single"/>
    </w:rPr>
  </w:style>
  <w:style w:type="character" w:customStyle="1" w:styleId="HeaderChar">
    <w:name w:val="Header Char"/>
    <w:basedOn w:val="DefaultParagraphFont"/>
    <w:link w:val="Header"/>
    <w:uiPriority w:val="99"/>
    <w:rsid w:val="008C29DE"/>
    <w:rPr>
      <w:rFonts w:ascii="Arial" w:hAnsi="Arial"/>
      <w:color w:val="001F00"/>
      <w:spacing w:val="6"/>
      <w:sz w:val="18"/>
      <w:szCs w:val="18"/>
      <w:lang w:val="en-GB" w:eastAsia="en-GB"/>
    </w:rPr>
  </w:style>
  <w:style w:type="paragraph" w:customStyle="1" w:styleId="ResearchTitle">
    <w:name w:val="Research Title"/>
    <w:basedOn w:val="Normal"/>
    <w:link w:val="ResearchTitleChar"/>
    <w:rsid w:val="008C29DE"/>
    <w:pPr>
      <w:spacing w:line="280" w:lineRule="exact"/>
      <w:jc w:val="both"/>
    </w:pPr>
    <w:rPr>
      <w:rFonts w:eastAsiaTheme="minorHAnsi" w:cstheme="minorBidi"/>
      <w:b/>
      <w:caps/>
      <w:color w:val="E36C0A" w:themeColor="accent6" w:themeShade="BF"/>
      <w:spacing w:val="0"/>
      <w:sz w:val="24"/>
      <w:szCs w:val="22"/>
      <w:lang w:val="en-ZA" w:eastAsia="en-US"/>
    </w:rPr>
  </w:style>
  <w:style w:type="paragraph" w:customStyle="1" w:styleId="ReseachMainHeading">
    <w:name w:val="Reseach Main Heading"/>
    <w:basedOn w:val="ResearchTitle"/>
    <w:link w:val="ReseachMainHeadingChar"/>
    <w:rsid w:val="008C29DE"/>
    <w:rPr>
      <w:sz w:val="22"/>
    </w:rPr>
  </w:style>
  <w:style w:type="character" w:customStyle="1" w:styleId="ResearchTitleChar">
    <w:name w:val="Research Title Char"/>
    <w:basedOn w:val="DefaultParagraphFont"/>
    <w:link w:val="ResearchTitle"/>
    <w:rsid w:val="008C29DE"/>
    <w:rPr>
      <w:rFonts w:ascii="Arial" w:eastAsiaTheme="minorHAnsi" w:hAnsi="Arial" w:cstheme="minorBidi"/>
      <w:b/>
      <w:caps/>
      <w:color w:val="E36C0A" w:themeColor="accent6" w:themeShade="BF"/>
      <w:sz w:val="24"/>
      <w:szCs w:val="22"/>
      <w:lang w:eastAsia="en-US"/>
    </w:rPr>
  </w:style>
  <w:style w:type="paragraph" w:customStyle="1" w:styleId="ResearchSubheading">
    <w:name w:val="Research Sub heading"/>
    <w:basedOn w:val="ReseachMainHeading"/>
    <w:link w:val="ResearchSubheadingChar"/>
    <w:rsid w:val="008C29DE"/>
    <w:rPr>
      <w:b w:val="0"/>
      <w:caps w:val="0"/>
    </w:rPr>
  </w:style>
  <w:style w:type="character" w:customStyle="1" w:styleId="ReseachMainHeadingChar">
    <w:name w:val="Reseach Main Heading Char"/>
    <w:basedOn w:val="ResearchTitleChar"/>
    <w:link w:val="ReseachMainHeading"/>
    <w:rsid w:val="008C29DE"/>
    <w:rPr>
      <w:rFonts w:ascii="Arial" w:eastAsiaTheme="minorHAnsi" w:hAnsi="Arial" w:cstheme="minorBidi"/>
      <w:b/>
      <w:caps/>
      <w:color w:val="E36C0A" w:themeColor="accent6" w:themeShade="BF"/>
      <w:sz w:val="22"/>
      <w:szCs w:val="22"/>
      <w:lang w:eastAsia="en-US"/>
    </w:rPr>
  </w:style>
  <w:style w:type="character" w:customStyle="1" w:styleId="ResearchSubheadingChar">
    <w:name w:val="Research Sub heading Char"/>
    <w:basedOn w:val="ReseachMainHeadingChar"/>
    <w:link w:val="ResearchSubheading"/>
    <w:rsid w:val="008C29DE"/>
    <w:rPr>
      <w:rFonts w:ascii="Arial" w:eastAsiaTheme="minorHAnsi" w:hAnsi="Arial" w:cstheme="minorBidi"/>
      <w:b w:val="0"/>
      <w:caps w:val="0"/>
      <w:color w:val="E36C0A" w:themeColor="accent6" w:themeShade="BF"/>
      <w:sz w:val="22"/>
      <w:szCs w:val="22"/>
      <w:lang w:eastAsia="en-US"/>
    </w:rPr>
  </w:style>
  <w:style w:type="character" w:customStyle="1" w:styleId="Heading2Char">
    <w:name w:val="Heading 2 Char"/>
    <w:basedOn w:val="DefaultParagraphFont"/>
    <w:link w:val="Heading2"/>
    <w:uiPriority w:val="9"/>
    <w:rsid w:val="008C29DE"/>
    <w:rPr>
      <w:rFonts w:ascii="Arial" w:hAnsi="Arial" w:cs="Arial"/>
      <w:b/>
      <w:bCs/>
      <w:iCs/>
      <w:color w:val="001F00"/>
      <w:spacing w:val="6"/>
      <w:sz w:val="18"/>
      <w:szCs w:val="18"/>
      <w:lang w:val="en-GB" w:eastAsia="en-GB"/>
    </w:rPr>
  </w:style>
  <w:style w:type="character" w:customStyle="1" w:styleId="TitleChar">
    <w:name w:val="Title Char"/>
    <w:basedOn w:val="DefaultParagraphFont"/>
    <w:link w:val="Title"/>
    <w:uiPriority w:val="10"/>
    <w:rsid w:val="008C29DE"/>
    <w:rPr>
      <w:b/>
      <w:bCs/>
      <w:sz w:val="24"/>
      <w:szCs w:val="24"/>
      <w:lang w:val="en-GB" w:eastAsia="en-US"/>
    </w:rPr>
  </w:style>
  <w:style w:type="paragraph" w:styleId="Subtitle">
    <w:name w:val="Subtitle"/>
    <w:basedOn w:val="Normal"/>
    <w:next w:val="Normal"/>
    <w:link w:val="SubtitleChar"/>
    <w:uiPriority w:val="11"/>
    <w:rsid w:val="008C29DE"/>
    <w:pPr>
      <w:numPr>
        <w:ilvl w:val="1"/>
      </w:numPr>
      <w:spacing w:line="280" w:lineRule="exact"/>
      <w:jc w:val="both"/>
    </w:pPr>
    <w:rPr>
      <w:rFonts w:eastAsiaTheme="minorEastAsia" w:cstheme="minorBidi"/>
      <w:color w:val="5A5A5A" w:themeColor="text1" w:themeTint="A5"/>
      <w:spacing w:val="15"/>
      <w:sz w:val="22"/>
      <w:szCs w:val="22"/>
      <w:lang w:val="en-ZA" w:eastAsia="en-US"/>
    </w:rPr>
  </w:style>
  <w:style w:type="character" w:customStyle="1" w:styleId="SubtitleChar">
    <w:name w:val="Subtitle Char"/>
    <w:basedOn w:val="DefaultParagraphFont"/>
    <w:link w:val="Subtitle"/>
    <w:uiPriority w:val="11"/>
    <w:rsid w:val="008C29DE"/>
    <w:rPr>
      <w:rFonts w:ascii="Arial" w:eastAsiaTheme="minorEastAsia" w:hAnsi="Arial" w:cstheme="minorBidi"/>
      <w:color w:val="5A5A5A" w:themeColor="text1" w:themeTint="A5"/>
      <w:spacing w:val="15"/>
      <w:sz w:val="22"/>
      <w:szCs w:val="22"/>
      <w:lang w:eastAsia="en-US"/>
    </w:rPr>
  </w:style>
  <w:style w:type="character" w:customStyle="1" w:styleId="Heading3Char">
    <w:name w:val="Heading 3 Char"/>
    <w:basedOn w:val="DefaultParagraphFont"/>
    <w:link w:val="Heading3"/>
    <w:uiPriority w:val="9"/>
    <w:rsid w:val="008C29DE"/>
    <w:rPr>
      <w:rFonts w:ascii="Arial" w:hAnsi="Arial" w:cs="Arial"/>
      <w:b/>
      <w:bCs/>
      <w:color w:val="001F00"/>
      <w:spacing w:val="6"/>
      <w:sz w:val="26"/>
      <w:szCs w:val="26"/>
      <w:lang w:val="en-GB" w:eastAsia="en-GB"/>
    </w:rPr>
  </w:style>
  <w:style w:type="character" w:customStyle="1" w:styleId="Heading6Char">
    <w:name w:val="Heading 6 Char"/>
    <w:basedOn w:val="DefaultParagraphFont"/>
    <w:link w:val="Heading6"/>
    <w:uiPriority w:val="9"/>
    <w:rsid w:val="008C29DE"/>
    <w:rPr>
      <w:b/>
      <w:bCs/>
      <w:color w:val="001F00"/>
      <w:spacing w:val="6"/>
      <w:sz w:val="22"/>
      <w:szCs w:val="22"/>
      <w:lang w:val="en-GB" w:eastAsia="en-GB"/>
    </w:rPr>
  </w:style>
  <w:style w:type="character" w:customStyle="1" w:styleId="Heading7Char">
    <w:name w:val="Heading 7 Char"/>
    <w:basedOn w:val="DefaultParagraphFont"/>
    <w:link w:val="Heading7"/>
    <w:uiPriority w:val="9"/>
    <w:rsid w:val="008C29DE"/>
    <w:rPr>
      <w:color w:val="001F00"/>
      <w:spacing w:val="6"/>
      <w:sz w:val="24"/>
      <w:szCs w:val="24"/>
      <w:lang w:val="en-GB" w:eastAsia="en-GB"/>
    </w:rPr>
  </w:style>
  <w:style w:type="character" w:customStyle="1" w:styleId="Heading8Char">
    <w:name w:val="Heading 8 Char"/>
    <w:basedOn w:val="DefaultParagraphFont"/>
    <w:link w:val="Heading8"/>
    <w:uiPriority w:val="9"/>
    <w:rsid w:val="008C29DE"/>
    <w:rPr>
      <w:i/>
      <w:iCs/>
      <w:color w:val="001F00"/>
      <w:spacing w:val="6"/>
      <w:sz w:val="24"/>
      <w:szCs w:val="24"/>
      <w:lang w:val="en-GB" w:eastAsia="en-GB"/>
    </w:rPr>
  </w:style>
  <w:style w:type="paragraph" w:styleId="Revision">
    <w:name w:val="Revision"/>
    <w:hidden/>
    <w:uiPriority w:val="99"/>
    <w:semiHidden/>
    <w:rsid w:val="008C29DE"/>
    <w:rPr>
      <w:rFonts w:ascii="Arial" w:eastAsiaTheme="minorHAnsi" w:hAnsi="Arial" w:cstheme="minorBidi"/>
      <w:sz w:val="22"/>
      <w:szCs w:val="22"/>
      <w:lang w:eastAsia="en-US"/>
    </w:rPr>
  </w:style>
  <w:style w:type="character" w:customStyle="1" w:styleId="UnresolvedMention1">
    <w:name w:val="Unresolved Mention1"/>
    <w:basedOn w:val="DefaultParagraphFont"/>
    <w:uiPriority w:val="99"/>
    <w:semiHidden/>
    <w:unhideWhenUsed/>
    <w:rsid w:val="008C29DE"/>
    <w:rPr>
      <w:color w:val="605E5C"/>
      <w:shd w:val="clear" w:color="auto" w:fill="E1DFDD"/>
    </w:rPr>
  </w:style>
  <w:style w:type="paragraph" w:styleId="EndnoteText">
    <w:name w:val="endnote text"/>
    <w:basedOn w:val="Normal"/>
    <w:link w:val="EndnoteTextChar"/>
    <w:uiPriority w:val="99"/>
    <w:unhideWhenUsed/>
    <w:rsid w:val="00076B59"/>
    <w:pPr>
      <w:jc w:val="both"/>
    </w:pPr>
    <w:rPr>
      <w:rFonts w:eastAsiaTheme="minorHAnsi" w:cstheme="minorBidi"/>
      <w:color w:val="auto"/>
      <w:spacing w:val="0"/>
      <w:sz w:val="20"/>
      <w:szCs w:val="20"/>
      <w:lang w:val="en-ZA" w:eastAsia="en-US"/>
    </w:rPr>
  </w:style>
  <w:style w:type="character" w:customStyle="1" w:styleId="EndnoteTextChar">
    <w:name w:val="Endnote Text Char"/>
    <w:basedOn w:val="DefaultParagraphFont"/>
    <w:link w:val="EndnoteText"/>
    <w:uiPriority w:val="99"/>
    <w:rsid w:val="00076B59"/>
    <w:rPr>
      <w:rFonts w:ascii="Arial" w:eastAsiaTheme="minorHAnsi" w:hAnsi="Arial" w:cstheme="minorBidi"/>
      <w:lang w:eastAsia="en-US"/>
    </w:rPr>
  </w:style>
</w:styles>
</file>

<file path=word/webSettings.xml><?xml version="1.0" encoding="utf-8"?>
<w:webSettings xmlns:r="http://schemas.openxmlformats.org/officeDocument/2006/relationships" xmlns:w="http://schemas.openxmlformats.org/wordprocessingml/2006/main">
  <w:divs>
    <w:div w:id="979458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56038534">
          <w:marLeft w:val="0"/>
          <w:marRight w:val="0"/>
          <w:marTop w:val="0"/>
          <w:marBottom w:val="0"/>
          <w:divBdr>
            <w:top w:val="none" w:sz="0" w:space="0" w:color="auto"/>
            <w:left w:val="none" w:sz="0" w:space="0" w:color="auto"/>
            <w:bottom w:val="none" w:sz="0" w:space="0" w:color="auto"/>
            <w:right w:val="none" w:sz="0" w:space="0" w:color="auto"/>
          </w:divBdr>
          <w:divsChild>
            <w:div w:id="106656874">
              <w:marLeft w:val="0"/>
              <w:marRight w:val="0"/>
              <w:marTop w:val="0"/>
              <w:marBottom w:val="0"/>
              <w:divBdr>
                <w:top w:val="none" w:sz="0" w:space="0" w:color="auto"/>
                <w:left w:val="none" w:sz="0" w:space="0" w:color="auto"/>
                <w:bottom w:val="none" w:sz="0" w:space="0" w:color="auto"/>
                <w:right w:val="none" w:sz="0" w:space="0" w:color="auto"/>
              </w:divBdr>
            </w:div>
            <w:div w:id="663629639">
              <w:marLeft w:val="0"/>
              <w:marRight w:val="0"/>
              <w:marTop w:val="0"/>
              <w:marBottom w:val="0"/>
              <w:divBdr>
                <w:top w:val="none" w:sz="0" w:space="0" w:color="auto"/>
                <w:left w:val="none" w:sz="0" w:space="0" w:color="auto"/>
                <w:bottom w:val="none" w:sz="0" w:space="0" w:color="auto"/>
                <w:right w:val="none" w:sz="0" w:space="0" w:color="auto"/>
              </w:divBdr>
            </w:div>
            <w:div w:id="158036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67771">
      <w:bodyDiv w:val="1"/>
      <w:marLeft w:val="0"/>
      <w:marRight w:val="0"/>
      <w:marTop w:val="0"/>
      <w:marBottom w:val="0"/>
      <w:divBdr>
        <w:top w:val="none" w:sz="0" w:space="0" w:color="auto"/>
        <w:left w:val="none" w:sz="0" w:space="0" w:color="auto"/>
        <w:bottom w:val="none" w:sz="0" w:space="0" w:color="auto"/>
        <w:right w:val="none" w:sz="0" w:space="0" w:color="auto"/>
      </w:divBdr>
      <w:divsChild>
        <w:div w:id="269623947">
          <w:marLeft w:val="0"/>
          <w:marRight w:val="0"/>
          <w:marTop w:val="0"/>
          <w:marBottom w:val="0"/>
          <w:divBdr>
            <w:top w:val="none" w:sz="0" w:space="0" w:color="auto"/>
            <w:left w:val="none" w:sz="0" w:space="0" w:color="auto"/>
            <w:bottom w:val="none" w:sz="0" w:space="0" w:color="auto"/>
            <w:right w:val="none" w:sz="0" w:space="0" w:color="auto"/>
          </w:divBdr>
        </w:div>
        <w:div w:id="1250696830">
          <w:marLeft w:val="0"/>
          <w:marRight w:val="0"/>
          <w:marTop w:val="0"/>
          <w:marBottom w:val="0"/>
          <w:divBdr>
            <w:top w:val="none" w:sz="0" w:space="0" w:color="auto"/>
            <w:left w:val="none" w:sz="0" w:space="0" w:color="auto"/>
            <w:bottom w:val="none" w:sz="0" w:space="0" w:color="auto"/>
            <w:right w:val="none" w:sz="0" w:space="0" w:color="auto"/>
          </w:divBdr>
        </w:div>
        <w:div w:id="1430930794">
          <w:marLeft w:val="0"/>
          <w:marRight w:val="0"/>
          <w:marTop w:val="0"/>
          <w:marBottom w:val="0"/>
          <w:divBdr>
            <w:top w:val="none" w:sz="0" w:space="0" w:color="auto"/>
            <w:left w:val="none" w:sz="0" w:space="0" w:color="auto"/>
            <w:bottom w:val="none" w:sz="0" w:space="0" w:color="auto"/>
            <w:right w:val="none" w:sz="0" w:space="0" w:color="auto"/>
          </w:divBdr>
        </w:div>
      </w:divsChild>
    </w:div>
    <w:div w:id="451636292">
      <w:bodyDiv w:val="1"/>
      <w:marLeft w:val="0"/>
      <w:marRight w:val="0"/>
      <w:marTop w:val="0"/>
      <w:marBottom w:val="0"/>
      <w:divBdr>
        <w:top w:val="none" w:sz="0" w:space="0" w:color="auto"/>
        <w:left w:val="none" w:sz="0" w:space="0" w:color="auto"/>
        <w:bottom w:val="none" w:sz="0" w:space="0" w:color="auto"/>
        <w:right w:val="none" w:sz="0" w:space="0" w:color="auto"/>
      </w:divBdr>
      <w:divsChild>
        <w:div w:id="335114182">
          <w:marLeft w:val="360"/>
          <w:marRight w:val="0"/>
          <w:marTop w:val="200"/>
          <w:marBottom w:val="0"/>
          <w:divBdr>
            <w:top w:val="none" w:sz="0" w:space="0" w:color="auto"/>
            <w:left w:val="none" w:sz="0" w:space="0" w:color="auto"/>
            <w:bottom w:val="none" w:sz="0" w:space="0" w:color="auto"/>
            <w:right w:val="none" w:sz="0" w:space="0" w:color="auto"/>
          </w:divBdr>
        </w:div>
        <w:div w:id="1838612983">
          <w:marLeft w:val="360"/>
          <w:marRight w:val="0"/>
          <w:marTop w:val="200"/>
          <w:marBottom w:val="0"/>
          <w:divBdr>
            <w:top w:val="none" w:sz="0" w:space="0" w:color="auto"/>
            <w:left w:val="none" w:sz="0" w:space="0" w:color="auto"/>
            <w:bottom w:val="none" w:sz="0" w:space="0" w:color="auto"/>
            <w:right w:val="none" w:sz="0" w:space="0" w:color="auto"/>
          </w:divBdr>
        </w:div>
      </w:divsChild>
    </w:div>
    <w:div w:id="618682759">
      <w:bodyDiv w:val="1"/>
      <w:marLeft w:val="240"/>
      <w:marRight w:val="240"/>
      <w:marTop w:val="240"/>
      <w:marBottom w:val="60"/>
      <w:divBdr>
        <w:top w:val="none" w:sz="0" w:space="0" w:color="auto"/>
        <w:left w:val="none" w:sz="0" w:space="0" w:color="auto"/>
        <w:bottom w:val="none" w:sz="0" w:space="0" w:color="auto"/>
        <w:right w:val="none" w:sz="0" w:space="0" w:color="auto"/>
      </w:divBdr>
      <w:divsChild>
        <w:div w:id="415396513">
          <w:marLeft w:val="0"/>
          <w:marRight w:val="0"/>
          <w:marTop w:val="0"/>
          <w:marBottom w:val="0"/>
          <w:divBdr>
            <w:top w:val="none" w:sz="0" w:space="0" w:color="auto"/>
            <w:left w:val="none" w:sz="0" w:space="0" w:color="auto"/>
            <w:bottom w:val="none" w:sz="0" w:space="0" w:color="auto"/>
            <w:right w:val="none" w:sz="0" w:space="0" w:color="auto"/>
          </w:divBdr>
          <w:divsChild>
            <w:div w:id="8292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09914">
      <w:bodyDiv w:val="1"/>
      <w:marLeft w:val="0"/>
      <w:marRight w:val="0"/>
      <w:marTop w:val="0"/>
      <w:marBottom w:val="0"/>
      <w:divBdr>
        <w:top w:val="none" w:sz="0" w:space="0" w:color="auto"/>
        <w:left w:val="none" w:sz="0" w:space="0" w:color="auto"/>
        <w:bottom w:val="none" w:sz="0" w:space="0" w:color="auto"/>
        <w:right w:val="none" w:sz="0" w:space="0" w:color="auto"/>
      </w:divBdr>
      <w:divsChild>
        <w:div w:id="453796679">
          <w:marLeft w:val="360"/>
          <w:marRight w:val="0"/>
          <w:marTop w:val="200"/>
          <w:marBottom w:val="0"/>
          <w:divBdr>
            <w:top w:val="none" w:sz="0" w:space="0" w:color="auto"/>
            <w:left w:val="none" w:sz="0" w:space="0" w:color="auto"/>
            <w:bottom w:val="none" w:sz="0" w:space="0" w:color="auto"/>
            <w:right w:val="none" w:sz="0" w:space="0" w:color="auto"/>
          </w:divBdr>
        </w:div>
        <w:div w:id="1962301557">
          <w:marLeft w:val="360"/>
          <w:marRight w:val="0"/>
          <w:marTop w:val="200"/>
          <w:marBottom w:val="0"/>
          <w:divBdr>
            <w:top w:val="none" w:sz="0" w:space="0" w:color="auto"/>
            <w:left w:val="none" w:sz="0" w:space="0" w:color="auto"/>
            <w:bottom w:val="none" w:sz="0" w:space="0" w:color="auto"/>
            <w:right w:val="none" w:sz="0" w:space="0" w:color="auto"/>
          </w:divBdr>
        </w:div>
      </w:divsChild>
    </w:div>
    <w:div w:id="910194134">
      <w:bodyDiv w:val="1"/>
      <w:marLeft w:val="0"/>
      <w:marRight w:val="0"/>
      <w:marTop w:val="0"/>
      <w:marBottom w:val="0"/>
      <w:divBdr>
        <w:top w:val="none" w:sz="0" w:space="0" w:color="auto"/>
        <w:left w:val="none" w:sz="0" w:space="0" w:color="auto"/>
        <w:bottom w:val="none" w:sz="0" w:space="0" w:color="auto"/>
        <w:right w:val="none" w:sz="0" w:space="0" w:color="auto"/>
      </w:divBdr>
    </w:div>
    <w:div w:id="132497279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399475688">
          <w:marLeft w:val="0"/>
          <w:marRight w:val="0"/>
          <w:marTop w:val="0"/>
          <w:marBottom w:val="0"/>
          <w:divBdr>
            <w:top w:val="none" w:sz="0" w:space="0" w:color="auto"/>
            <w:left w:val="none" w:sz="0" w:space="0" w:color="auto"/>
            <w:bottom w:val="none" w:sz="0" w:space="0" w:color="auto"/>
            <w:right w:val="none" w:sz="0" w:space="0" w:color="auto"/>
          </w:divBdr>
          <w:divsChild>
            <w:div w:id="186582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222074">
      <w:bodyDiv w:val="1"/>
      <w:marLeft w:val="0"/>
      <w:marRight w:val="0"/>
      <w:marTop w:val="0"/>
      <w:marBottom w:val="0"/>
      <w:divBdr>
        <w:top w:val="none" w:sz="0" w:space="0" w:color="auto"/>
        <w:left w:val="none" w:sz="0" w:space="0" w:color="auto"/>
        <w:bottom w:val="none" w:sz="0" w:space="0" w:color="auto"/>
        <w:right w:val="none" w:sz="0" w:space="0" w:color="auto"/>
      </w:divBdr>
    </w:div>
    <w:div w:id="1806661955">
      <w:bodyDiv w:val="1"/>
      <w:marLeft w:val="0"/>
      <w:marRight w:val="0"/>
      <w:marTop w:val="0"/>
      <w:marBottom w:val="0"/>
      <w:divBdr>
        <w:top w:val="none" w:sz="0" w:space="0" w:color="auto"/>
        <w:left w:val="none" w:sz="0" w:space="0" w:color="auto"/>
        <w:bottom w:val="none" w:sz="0" w:space="0" w:color="auto"/>
        <w:right w:val="none" w:sz="0" w:space="0" w:color="auto"/>
      </w:divBdr>
      <w:divsChild>
        <w:div w:id="46882622">
          <w:marLeft w:val="360"/>
          <w:marRight w:val="0"/>
          <w:marTop w:val="200"/>
          <w:marBottom w:val="0"/>
          <w:divBdr>
            <w:top w:val="none" w:sz="0" w:space="0" w:color="auto"/>
            <w:left w:val="none" w:sz="0" w:space="0" w:color="auto"/>
            <w:bottom w:val="none" w:sz="0" w:space="0" w:color="auto"/>
            <w:right w:val="none" w:sz="0" w:space="0" w:color="auto"/>
          </w:divBdr>
        </w:div>
        <w:div w:id="449667689">
          <w:marLeft w:val="360"/>
          <w:marRight w:val="0"/>
          <w:marTop w:val="200"/>
          <w:marBottom w:val="0"/>
          <w:divBdr>
            <w:top w:val="none" w:sz="0" w:space="0" w:color="auto"/>
            <w:left w:val="none" w:sz="0" w:space="0" w:color="auto"/>
            <w:bottom w:val="none" w:sz="0" w:space="0" w:color="auto"/>
            <w:right w:val="none" w:sz="0" w:space="0" w:color="auto"/>
          </w:divBdr>
        </w:div>
      </w:divsChild>
    </w:div>
    <w:div w:id="183621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9CD97-694B-4CC7-BA76-9CD8BF2C6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17313</Words>
  <Characters>98688</Characters>
  <Application>Microsoft Office Word</Application>
  <DocSecurity>0</DocSecurity>
  <Lines>822</Lines>
  <Paragraphs>231</Paragraphs>
  <ScaleCrop>false</ScaleCrop>
  <HeadingPairs>
    <vt:vector size="2" baseType="variant">
      <vt:variant>
        <vt:lpstr>Title</vt:lpstr>
      </vt:variant>
      <vt:variant>
        <vt:i4>1</vt:i4>
      </vt:variant>
    </vt:vector>
  </HeadingPairs>
  <TitlesOfParts>
    <vt:vector size="1" baseType="lpstr">
      <vt:lpstr>Budget Vote Report_Health 2019</vt:lpstr>
    </vt:vector>
  </TitlesOfParts>
  <Company>Wired</Company>
  <LinksUpToDate>false</LinksUpToDate>
  <CharactersWithSpaces>115770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Vote Report_Health 2019</dc:title>
  <dc:creator>Robert van der Bijl</dc:creator>
  <cp:lastModifiedBy>User</cp:lastModifiedBy>
  <cp:revision>2</cp:revision>
  <cp:lastPrinted>2019-07-09T10:02:00Z</cp:lastPrinted>
  <dcterms:created xsi:type="dcterms:W3CDTF">2022-05-05T06:59:00Z</dcterms:created>
  <dcterms:modified xsi:type="dcterms:W3CDTF">2022-05-05T06:59:00Z</dcterms:modified>
</cp:coreProperties>
</file>