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008" w:rsidRPr="0039000D" w:rsidRDefault="0039000D" w:rsidP="0039000D">
      <w:pPr>
        <w:spacing w:after="0" w:line="240" w:lineRule="auto"/>
        <w:rPr>
          <w:rFonts w:ascii="Arial" w:hAnsi="Arial" w:cs="Arial"/>
          <w:b/>
          <w:sz w:val="20"/>
          <w:szCs w:val="20"/>
          <w:lang w:val="en-ZA"/>
        </w:rPr>
      </w:pPr>
      <w:r>
        <w:rPr>
          <w:rFonts w:ascii="Arial" w:hAnsi="Arial" w:cs="Arial"/>
          <w:b/>
          <w:sz w:val="20"/>
          <w:szCs w:val="20"/>
          <w:lang w:val="en-ZA"/>
        </w:rPr>
        <w:t>Report of the Portfolio Committee on Transport on the 2021/22 Second a</w:t>
      </w:r>
      <w:r w:rsidRPr="0039000D">
        <w:rPr>
          <w:rFonts w:ascii="Arial" w:hAnsi="Arial" w:cs="Arial"/>
          <w:b/>
          <w:sz w:val="20"/>
          <w:szCs w:val="20"/>
          <w:lang w:val="en-ZA"/>
        </w:rPr>
        <w:t xml:space="preserve">nd Third Quarter </w:t>
      </w:r>
      <w:r>
        <w:rPr>
          <w:rFonts w:ascii="Arial" w:hAnsi="Arial" w:cs="Arial"/>
          <w:b/>
          <w:sz w:val="20"/>
          <w:szCs w:val="20"/>
          <w:lang w:val="en-ZA"/>
        </w:rPr>
        <w:t>Expenditures of the Department of Transport, dated</w:t>
      </w:r>
      <w:r w:rsidRPr="0039000D">
        <w:rPr>
          <w:rFonts w:ascii="Arial" w:hAnsi="Arial" w:cs="Arial"/>
          <w:b/>
          <w:sz w:val="20"/>
          <w:szCs w:val="20"/>
          <w:lang w:val="en-ZA"/>
        </w:rPr>
        <w:t xml:space="preserve"> 29 March 2022  </w:t>
      </w:r>
    </w:p>
    <w:p w:rsidR="00450655" w:rsidRPr="0039000D" w:rsidRDefault="00450655" w:rsidP="0039000D">
      <w:pPr>
        <w:spacing w:after="0" w:line="240" w:lineRule="auto"/>
        <w:rPr>
          <w:rFonts w:ascii="Arial" w:hAnsi="Arial" w:cs="Arial"/>
          <w:sz w:val="20"/>
          <w:szCs w:val="20"/>
          <w:lang w:val="en-ZA"/>
        </w:rPr>
      </w:pPr>
    </w:p>
    <w:p w:rsidR="00383008" w:rsidRPr="0039000D" w:rsidRDefault="00383008" w:rsidP="0039000D">
      <w:pPr>
        <w:spacing w:after="0" w:line="240" w:lineRule="auto"/>
        <w:rPr>
          <w:rFonts w:ascii="Arial" w:hAnsi="Arial" w:cs="Arial"/>
          <w:sz w:val="20"/>
          <w:szCs w:val="20"/>
          <w:lang w:val="en-ZA"/>
        </w:rPr>
      </w:pPr>
      <w:r w:rsidRPr="0039000D">
        <w:rPr>
          <w:rFonts w:ascii="Arial" w:hAnsi="Arial" w:cs="Arial"/>
          <w:sz w:val="20"/>
          <w:szCs w:val="20"/>
          <w:lang w:val="en-ZA"/>
        </w:rPr>
        <w:t xml:space="preserve">The Portfolio Committee on Transport, having considered the expenditure of the Department of Transport for the </w:t>
      </w:r>
      <w:r w:rsidR="00450655" w:rsidRPr="0039000D">
        <w:rPr>
          <w:rFonts w:ascii="Arial" w:hAnsi="Arial" w:cs="Arial"/>
          <w:sz w:val="20"/>
          <w:szCs w:val="20"/>
          <w:lang w:val="en-ZA"/>
        </w:rPr>
        <w:t>S</w:t>
      </w:r>
      <w:r w:rsidRPr="0039000D">
        <w:rPr>
          <w:rFonts w:ascii="Arial" w:hAnsi="Arial" w:cs="Arial"/>
          <w:sz w:val="20"/>
          <w:szCs w:val="20"/>
          <w:lang w:val="en-ZA"/>
        </w:rPr>
        <w:t>econd and</w:t>
      </w:r>
      <w:r w:rsidR="0044179D" w:rsidRPr="0039000D">
        <w:rPr>
          <w:rFonts w:ascii="Arial" w:hAnsi="Arial" w:cs="Arial"/>
          <w:sz w:val="20"/>
          <w:szCs w:val="20"/>
          <w:lang w:val="en-ZA"/>
        </w:rPr>
        <w:t xml:space="preserve"> </w:t>
      </w:r>
      <w:r w:rsidR="00450655" w:rsidRPr="0039000D">
        <w:rPr>
          <w:rFonts w:ascii="Arial" w:hAnsi="Arial" w:cs="Arial"/>
          <w:sz w:val="20"/>
          <w:szCs w:val="20"/>
          <w:lang w:val="en-ZA"/>
        </w:rPr>
        <w:t>T</w:t>
      </w:r>
      <w:r w:rsidR="0044179D" w:rsidRPr="0039000D">
        <w:rPr>
          <w:rFonts w:ascii="Arial" w:hAnsi="Arial" w:cs="Arial"/>
          <w:sz w:val="20"/>
          <w:szCs w:val="20"/>
          <w:lang w:val="en-ZA"/>
        </w:rPr>
        <w:t xml:space="preserve">hird </w:t>
      </w:r>
      <w:r w:rsidR="00450655" w:rsidRPr="0039000D">
        <w:rPr>
          <w:rFonts w:ascii="Arial" w:hAnsi="Arial" w:cs="Arial"/>
          <w:sz w:val="20"/>
          <w:szCs w:val="20"/>
          <w:lang w:val="en-ZA"/>
        </w:rPr>
        <w:t>Q</w:t>
      </w:r>
      <w:r w:rsidR="0044179D" w:rsidRPr="0039000D">
        <w:rPr>
          <w:rFonts w:ascii="Arial" w:hAnsi="Arial" w:cs="Arial"/>
          <w:sz w:val="20"/>
          <w:szCs w:val="20"/>
          <w:lang w:val="en-ZA"/>
        </w:rPr>
        <w:t>uarter of the 202</w:t>
      </w:r>
      <w:r w:rsidRPr="0039000D">
        <w:rPr>
          <w:rFonts w:ascii="Arial" w:hAnsi="Arial" w:cs="Arial"/>
          <w:sz w:val="20"/>
          <w:szCs w:val="20"/>
          <w:lang w:val="en-ZA"/>
        </w:rPr>
        <w:t>1/22 financial year, reports as follows:</w:t>
      </w:r>
    </w:p>
    <w:p w:rsidR="00383008" w:rsidRPr="0039000D" w:rsidRDefault="00383008" w:rsidP="0039000D">
      <w:pPr>
        <w:spacing w:after="0" w:line="240" w:lineRule="auto"/>
        <w:rPr>
          <w:rFonts w:ascii="Arial" w:hAnsi="Arial" w:cs="Arial"/>
          <w:sz w:val="20"/>
          <w:szCs w:val="20"/>
          <w:lang w:val="en-ZA"/>
        </w:rPr>
      </w:pPr>
    </w:p>
    <w:p w:rsidR="00383008" w:rsidRPr="0039000D" w:rsidRDefault="00383008" w:rsidP="0039000D">
      <w:pPr>
        <w:numPr>
          <w:ilvl w:val="0"/>
          <w:numId w:val="1"/>
        </w:numPr>
        <w:spacing w:after="0" w:line="240" w:lineRule="auto"/>
        <w:ind w:hanging="720"/>
        <w:contextualSpacing/>
        <w:rPr>
          <w:rFonts w:ascii="Arial" w:hAnsi="Arial" w:cs="Arial"/>
          <w:b/>
          <w:sz w:val="20"/>
          <w:szCs w:val="20"/>
          <w:lang w:val="en-ZA"/>
        </w:rPr>
      </w:pPr>
      <w:r w:rsidRPr="0039000D">
        <w:rPr>
          <w:rFonts w:ascii="Arial" w:hAnsi="Arial" w:cs="Arial"/>
          <w:b/>
          <w:sz w:val="20"/>
          <w:szCs w:val="20"/>
          <w:lang w:val="en-ZA"/>
        </w:rPr>
        <w:t>INTRODUCTION</w:t>
      </w:r>
    </w:p>
    <w:p w:rsidR="00383008" w:rsidRPr="0039000D" w:rsidRDefault="00383008" w:rsidP="0039000D">
      <w:pPr>
        <w:spacing w:after="0" w:line="240" w:lineRule="auto"/>
        <w:rPr>
          <w:rFonts w:ascii="Arial" w:hAnsi="Arial" w:cs="Arial"/>
          <w:sz w:val="20"/>
          <w:szCs w:val="20"/>
          <w:lang w:val="en-ZA"/>
        </w:rPr>
      </w:pPr>
      <w:r w:rsidRPr="0039000D">
        <w:rPr>
          <w:rFonts w:ascii="Arial" w:hAnsi="Arial" w:cs="Arial"/>
          <w:sz w:val="20"/>
          <w:szCs w:val="20"/>
          <w:lang w:val="en-ZA"/>
        </w:rPr>
        <w:t xml:space="preserve">The prime mandate of the Committee is governed by the Constitution of the Republic of South Africa, 1996 (“the Constitution”), in respect of its legislative and oversight responsibilities as public representatives. It is required to consider legislation referred to it and consider all matters referred to it in terms of the Constitution, the Rules of the National Assembly or resolutions of the House. It is also required to respond to matters referred to it by Government within its mandate. In addition, the Committee is entrusted with considering the budgets, Strategic Plans and Annual Performance Plans of the Department and entities that fall within the transport portfolio. This report provides an overview of the expenditures of the Department of Transport for the </w:t>
      </w:r>
      <w:r w:rsidR="00B51B64" w:rsidRPr="0039000D">
        <w:rPr>
          <w:rFonts w:ascii="Arial" w:hAnsi="Arial" w:cs="Arial"/>
          <w:sz w:val="20"/>
          <w:szCs w:val="20"/>
          <w:lang w:val="en-ZA"/>
        </w:rPr>
        <w:t>S</w:t>
      </w:r>
      <w:r w:rsidRPr="0039000D">
        <w:rPr>
          <w:rFonts w:ascii="Arial" w:hAnsi="Arial" w:cs="Arial"/>
          <w:sz w:val="20"/>
          <w:szCs w:val="20"/>
          <w:lang w:val="en-ZA"/>
        </w:rPr>
        <w:t xml:space="preserve">econd and </w:t>
      </w:r>
      <w:r w:rsidR="00B51B64" w:rsidRPr="0039000D">
        <w:rPr>
          <w:rFonts w:ascii="Arial" w:hAnsi="Arial" w:cs="Arial"/>
          <w:sz w:val="20"/>
          <w:szCs w:val="20"/>
          <w:lang w:val="en-ZA"/>
        </w:rPr>
        <w:t>T</w:t>
      </w:r>
      <w:r w:rsidRPr="0039000D">
        <w:rPr>
          <w:rFonts w:ascii="Arial" w:hAnsi="Arial" w:cs="Arial"/>
          <w:sz w:val="20"/>
          <w:szCs w:val="20"/>
          <w:lang w:val="en-ZA"/>
        </w:rPr>
        <w:t xml:space="preserve">hird </w:t>
      </w:r>
      <w:r w:rsidR="00B51B64" w:rsidRPr="0039000D">
        <w:rPr>
          <w:rFonts w:ascii="Arial" w:hAnsi="Arial" w:cs="Arial"/>
          <w:sz w:val="20"/>
          <w:szCs w:val="20"/>
          <w:lang w:val="en-ZA"/>
        </w:rPr>
        <w:t>Q</w:t>
      </w:r>
      <w:r w:rsidRPr="0039000D">
        <w:rPr>
          <w:rFonts w:ascii="Arial" w:hAnsi="Arial" w:cs="Arial"/>
          <w:sz w:val="20"/>
          <w:szCs w:val="20"/>
          <w:lang w:val="en-ZA"/>
        </w:rPr>
        <w:t xml:space="preserve">uarter of the 2021/22 financial year, as presented to the Committee on </w:t>
      </w:r>
      <w:r w:rsidR="0044179D" w:rsidRPr="0039000D">
        <w:rPr>
          <w:rFonts w:ascii="Arial" w:hAnsi="Arial" w:cs="Arial"/>
          <w:sz w:val="20"/>
          <w:szCs w:val="20"/>
          <w:lang w:val="en-ZA"/>
        </w:rPr>
        <w:t>8</w:t>
      </w:r>
      <w:r w:rsidRPr="0039000D">
        <w:rPr>
          <w:rFonts w:ascii="Arial" w:hAnsi="Arial" w:cs="Arial"/>
          <w:sz w:val="20"/>
          <w:szCs w:val="20"/>
          <w:lang w:val="en-ZA"/>
        </w:rPr>
        <w:t xml:space="preserve"> March 2022. </w:t>
      </w:r>
    </w:p>
    <w:p w:rsidR="00B445DD" w:rsidRPr="0039000D" w:rsidRDefault="00B445DD" w:rsidP="0039000D">
      <w:pPr>
        <w:spacing w:after="0" w:line="240" w:lineRule="auto"/>
        <w:rPr>
          <w:rFonts w:ascii="Arial" w:hAnsi="Arial" w:cs="Arial"/>
          <w:b/>
          <w:sz w:val="20"/>
          <w:szCs w:val="20"/>
          <w:lang w:val="en-ZA"/>
        </w:rPr>
      </w:pPr>
    </w:p>
    <w:p w:rsidR="006722E6" w:rsidRPr="0039000D" w:rsidRDefault="00941731" w:rsidP="0039000D">
      <w:pPr>
        <w:pStyle w:val="ListParagraph"/>
        <w:keepNext/>
        <w:keepLines/>
        <w:numPr>
          <w:ilvl w:val="0"/>
          <w:numId w:val="1"/>
        </w:numPr>
        <w:spacing w:after="0" w:line="240" w:lineRule="auto"/>
        <w:ind w:hanging="720"/>
        <w:outlineLvl w:val="0"/>
        <w:rPr>
          <w:rFonts w:ascii="Arial" w:eastAsia="Calibri" w:hAnsi="Arial" w:cs="Arial"/>
          <w:b/>
          <w:sz w:val="20"/>
          <w:szCs w:val="20"/>
          <w:lang w:val="en-GB"/>
        </w:rPr>
      </w:pPr>
      <w:bookmarkStart w:id="0" w:name="_Toc97395561"/>
      <w:r w:rsidRPr="0039000D">
        <w:rPr>
          <w:rFonts w:ascii="Arial" w:eastAsia="Calibri" w:hAnsi="Arial" w:cs="Arial"/>
          <w:b/>
          <w:sz w:val="20"/>
          <w:szCs w:val="20"/>
          <w:lang w:val="en-GB"/>
        </w:rPr>
        <w:t>ANALYSIS OF THE 2021/22 SECOND QUARTER EXPENDITURE OF THE DEPARTMENT OF TRANSPORT</w:t>
      </w:r>
    </w:p>
    <w:p w:rsidR="00941731" w:rsidRPr="0039000D" w:rsidRDefault="00941731" w:rsidP="0039000D">
      <w:pPr>
        <w:pStyle w:val="ListParagraph"/>
        <w:keepNext/>
        <w:keepLines/>
        <w:spacing w:after="0" w:line="240" w:lineRule="auto"/>
        <w:outlineLvl w:val="0"/>
        <w:rPr>
          <w:rFonts w:ascii="Arial" w:eastAsia="Calibri" w:hAnsi="Arial" w:cs="Arial"/>
          <w:sz w:val="20"/>
          <w:szCs w:val="20"/>
          <w:lang w:val="en-GB"/>
        </w:rPr>
      </w:pPr>
    </w:p>
    <w:p w:rsidR="006722E6" w:rsidRPr="0039000D" w:rsidRDefault="006722E6" w:rsidP="0039000D">
      <w:pPr>
        <w:spacing w:after="0" w:line="240" w:lineRule="auto"/>
        <w:rPr>
          <w:rFonts w:ascii="Arial" w:eastAsia="Calibri" w:hAnsi="Arial" w:cs="Arial"/>
          <w:sz w:val="20"/>
          <w:szCs w:val="20"/>
          <w:lang w:val="en-GB"/>
        </w:rPr>
      </w:pPr>
      <w:r w:rsidRPr="0039000D">
        <w:rPr>
          <w:rFonts w:ascii="Arial" w:eastAsia="Calibri" w:hAnsi="Arial" w:cs="Arial"/>
          <w:sz w:val="20"/>
          <w:szCs w:val="20"/>
          <w:lang w:val="en-GB"/>
        </w:rPr>
        <w:t>In 2021/22, the budget allocation of the Department of Transport (“the Department”) stands at R66.7 billion. By the end of the Second Quarter of 2021/22, the Department spent R29 billion, which was 44.4% of its available budget.</w:t>
      </w:r>
      <w:r w:rsidRPr="0039000D">
        <w:rPr>
          <w:rFonts w:ascii="Arial" w:eastAsia="Calibri" w:hAnsi="Arial" w:cs="Arial"/>
          <w:sz w:val="20"/>
          <w:szCs w:val="20"/>
          <w:vertAlign w:val="superscript"/>
          <w:lang w:val="en-GB"/>
        </w:rPr>
        <w:footnoteReference w:id="1"/>
      </w:r>
      <w:r w:rsidRPr="0039000D">
        <w:rPr>
          <w:rFonts w:ascii="Arial" w:eastAsia="Calibri" w:hAnsi="Arial" w:cs="Arial"/>
          <w:sz w:val="20"/>
          <w:szCs w:val="20"/>
          <w:lang w:val="en-GB"/>
        </w:rPr>
        <w:t xml:space="preserve"> </w:t>
      </w:r>
    </w:p>
    <w:p w:rsidR="006722E6" w:rsidRPr="0039000D" w:rsidRDefault="006722E6" w:rsidP="0039000D">
      <w:pPr>
        <w:spacing w:after="0" w:line="240" w:lineRule="auto"/>
        <w:rPr>
          <w:rFonts w:ascii="Arial" w:eastAsia="Calibri" w:hAnsi="Arial" w:cs="Arial"/>
          <w:sz w:val="20"/>
          <w:szCs w:val="20"/>
          <w:lang w:val="en-GB"/>
        </w:rPr>
      </w:pPr>
    </w:p>
    <w:p w:rsidR="006722E6" w:rsidRPr="0039000D" w:rsidRDefault="006722E6" w:rsidP="0039000D">
      <w:pPr>
        <w:spacing w:after="0" w:line="240" w:lineRule="auto"/>
        <w:rPr>
          <w:rFonts w:ascii="Arial" w:eastAsia="Calibri" w:hAnsi="Arial" w:cs="Arial"/>
          <w:sz w:val="20"/>
          <w:szCs w:val="20"/>
          <w:lang w:val="en-GB"/>
        </w:rPr>
      </w:pPr>
      <w:r w:rsidRPr="0039000D">
        <w:rPr>
          <w:rFonts w:ascii="Arial" w:eastAsia="Calibri" w:hAnsi="Arial" w:cs="Arial"/>
          <w:sz w:val="20"/>
          <w:szCs w:val="20"/>
          <w:lang w:val="en-GB"/>
        </w:rPr>
        <w:t>The Department spent R236.3 million against the Second Quarter projection of R263 million for Compensation of Employees.  Spending was R26.8 million (or 10.2%) lower than projected mainly due to the slow filling of vacant posts.</w:t>
      </w:r>
      <w:r w:rsidRPr="0039000D">
        <w:rPr>
          <w:rFonts w:ascii="Arial" w:eastAsia="Calibri" w:hAnsi="Arial" w:cs="Arial"/>
          <w:sz w:val="20"/>
          <w:szCs w:val="20"/>
          <w:vertAlign w:val="superscript"/>
          <w:lang w:val="en-GB"/>
        </w:rPr>
        <w:footnoteReference w:id="2"/>
      </w:r>
      <w:r w:rsidRPr="0039000D">
        <w:rPr>
          <w:rFonts w:ascii="Arial" w:eastAsia="Calibri" w:hAnsi="Arial" w:cs="Arial"/>
          <w:sz w:val="20"/>
          <w:szCs w:val="20"/>
          <w:lang w:val="en-GB"/>
        </w:rPr>
        <w:t xml:space="preserve"> The Department had 741 filled posts against a funded establishment of 921 posts. This represented a vacancy rate of 19.5% (or 180 vacant posts).</w:t>
      </w:r>
      <w:r w:rsidRPr="0039000D">
        <w:rPr>
          <w:rFonts w:ascii="Arial" w:eastAsia="Calibri" w:hAnsi="Arial" w:cs="Arial"/>
          <w:sz w:val="20"/>
          <w:szCs w:val="20"/>
          <w:vertAlign w:val="superscript"/>
          <w:lang w:val="en-GB"/>
        </w:rPr>
        <w:footnoteReference w:id="3"/>
      </w:r>
    </w:p>
    <w:p w:rsidR="006722E6" w:rsidRPr="0039000D" w:rsidRDefault="006722E6" w:rsidP="0039000D">
      <w:pPr>
        <w:spacing w:after="0" w:line="240" w:lineRule="auto"/>
        <w:rPr>
          <w:rFonts w:ascii="Arial" w:eastAsia="Calibri" w:hAnsi="Arial" w:cs="Arial"/>
          <w:sz w:val="20"/>
          <w:szCs w:val="20"/>
          <w:lang w:val="en-GB"/>
        </w:rPr>
      </w:pPr>
    </w:p>
    <w:p w:rsidR="006722E6" w:rsidRPr="0039000D" w:rsidRDefault="005A4516" w:rsidP="0039000D">
      <w:pPr>
        <w:spacing w:after="0" w:line="240" w:lineRule="auto"/>
        <w:rPr>
          <w:rFonts w:ascii="Arial" w:eastAsia="Times New Roman" w:hAnsi="Arial" w:cs="Arial"/>
          <w:b/>
          <w:caps/>
          <w:sz w:val="20"/>
          <w:szCs w:val="20"/>
          <w:lang w:val="en-GB"/>
        </w:rPr>
      </w:pPr>
      <w:r w:rsidRPr="0039000D">
        <w:rPr>
          <w:rFonts w:ascii="Arial" w:eastAsia="Calibri" w:hAnsi="Arial" w:cs="Arial"/>
          <w:b/>
          <w:sz w:val="20"/>
          <w:szCs w:val="20"/>
          <w:lang w:val="en-GB"/>
        </w:rPr>
        <w:t xml:space="preserve"> </w:t>
      </w:r>
      <w:bookmarkStart w:id="1" w:name="_Toc97530544"/>
      <w:r w:rsidR="00B445DD" w:rsidRPr="0039000D">
        <w:rPr>
          <w:rFonts w:ascii="Arial" w:eastAsia="Calibri" w:hAnsi="Arial" w:cs="Arial"/>
          <w:b/>
          <w:sz w:val="20"/>
          <w:szCs w:val="20"/>
          <w:lang w:val="en-GB"/>
        </w:rPr>
        <w:t>2.1</w:t>
      </w:r>
      <w:r w:rsidR="00B445DD" w:rsidRPr="0039000D">
        <w:rPr>
          <w:rFonts w:ascii="Arial" w:eastAsia="Calibri" w:hAnsi="Arial" w:cs="Arial"/>
          <w:b/>
          <w:sz w:val="20"/>
          <w:szCs w:val="20"/>
          <w:lang w:val="en-GB"/>
        </w:rPr>
        <w:tab/>
      </w:r>
      <w:r w:rsidR="006722E6" w:rsidRPr="0039000D">
        <w:rPr>
          <w:rFonts w:ascii="Arial" w:eastAsia="Times New Roman" w:hAnsi="Arial" w:cs="Arial"/>
          <w:b/>
          <w:caps/>
          <w:sz w:val="20"/>
          <w:szCs w:val="20"/>
          <w:lang w:val="en-GB"/>
        </w:rPr>
        <w:t>budget expenditure per programme</w:t>
      </w:r>
      <w:bookmarkEnd w:id="1"/>
    </w:p>
    <w:p w:rsidR="006722E6" w:rsidRPr="0039000D" w:rsidRDefault="006722E6" w:rsidP="0039000D">
      <w:pPr>
        <w:spacing w:after="0" w:line="240" w:lineRule="auto"/>
        <w:rPr>
          <w:rFonts w:ascii="Arial" w:eastAsia="Calibri" w:hAnsi="Arial" w:cs="Arial"/>
          <w:sz w:val="20"/>
          <w:szCs w:val="20"/>
          <w:lang w:val="en-GB"/>
        </w:rPr>
      </w:pPr>
    </w:p>
    <w:p w:rsidR="006722E6" w:rsidRPr="0039000D" w:rsidRDefault="006722E6" w:rsidP="0039000D">
      <w:pPr>
        <w:spacing w:after="0" w:line="240" w:lineRule="auto"/>
        <w:rPr>
          <w:rFonts w:ascii="Arial" w:eastAsia="Calibri" w:hAnsi="Arial" w:cs="Arial"/>
          <w:b/>
          <w:sz w:val="20"/>
          <w:szCs w:val="20"/>
          <w:lang w:val="en-GB"/>
        </w:rPr>
      </w:pPr>
      <w:r w:rsidRPr="0039000D">
        <w:rPr>
          <w:rFonts w:ascii="Arial" w:eastAsia="Calibri" w:hAnsi="Arial" w:cs="Arial"/>
          <w:b/>
          <w:sz w:val="20"/>
          <w:szCs w:val="20"/>
          <w:lang w:val="en-GB"/>
        </w:rPr>
        <w:t>Table 1: Budget Expenditure per Programme, Second Quarter 2021/22</w:t>
      </w:r>
    </w:p>
    <w:tbl>
      <w:tblPr>
        <w:tblStyle w:val="TableGrid"/>
        <w:tblW w:w="10921" w:type="dxa"/>
        <w:tblInd w:w="-436" w:type="dxa"/>
        <w:tblLayout w:type="fixed"/>
        <w:tblLook w:val="04A0"/>
      </w:tblPr>
      <w:tblGrid>
        <w:gridCol w:w="1702"/>
        <w:gridCol w:w="1134"/>
        <w:gridCol w:w="1134"/>
        <w:gridCol w:w="1134"/>
        <w:gridCol w:w="992"/>
        <w:gridCol w:w="1134"/>
        <w:gridCol w:w="1422"/>
        <w:gridCol w:w="1271"/>
        <w:gridCol w:w="998"/>
      </w:tblGrid>
      <w:tr w:rsidR="0070396B" w:rsidRPr="0039000D" w:rsidTr="004E6C8E">
        <w:trPr>
          <w:cantSplit/>
          <w:trHeight w:val="2551"/>
        </w:trPr>
        <w:tc>
          <w:tcPr>
            <w:tcW w:w="1702" w:type="dxa"/>
            <w:tcBorders>
              <w:top w:val="single" w:sz="8" w:space="0" w:color="auto"/>
              <w:left w:val="single" w:sz="8" w:space="0" w:color="auto"/>
              <w:bottom w:val="single" w:sz="8" w:space="0" w:color="auto"/>
              <w:right w:val="single" w:sz="8" w:space="0" w:color="auto"/>
            </w:tcBorders>
            <w:shd w:val="clear" w:color="auto" w:fill="DEEAF6"/>
            <w:textDirection w:val="btLr"/>
          </w:tcPr>
          <w:p w:rsidR="006722E6" w:rsidRPr="0039000D" w:rsidRDefault="006722E6" w:rsidP="0039000D">
            <w:pPr>
              <w:ind w:left="113" w:right="113"/>
              <w:rPr>
                <w:rFonts w:ascii="Arial" w:eastAsia="Calibri" w:hAnsi="Arial" w:cs="Arial"/>
                <w:b/>
                <w:sz w:val="20"/>
                <w:szCs w:val="20"/>
                <w:lang w:val="en-GB"/>
              </w:rPr>
            </w:pPr>
            <w:r w:rsidRPr="0039000D">
              <w:rPr>
                <w:rFonts w:ascii="Arial" w:eastAsia="Calibri" w:hAnsi="Arial" w:cs="Arial"/>
                <w:b/>
                <w:sz w:val="20"/>
                <w:szCs w:val="20"/>
                <w:lang w:val="en-GB"/>
              </w:rPr>
              <w:t xml:space="preserve">Programme </w:t>
            </w:r>
          </w:p>
          <w:p w:rsidR="006722E6" w:rsidRPr="0039000D" w:rsidRDefault="006722E6" w:rsidP="0039000D">
            <w:pPr>
              <w:ind w:left="113" w:right="113"/>
              <w:rPr>
                <w:rFonts w:ascii="Arial" w:eastAsia="Calibri" w:hAnsi="Arial" w:cs="Arial"/>
                <w:b/>
                <w:sz w:val="20"/>
                <w:szCs w:val="20"/>
                <w:lang w:val="en-GB"/>
              </w:rPr>
            </w:pPr>
            <w:r w:rsidRPr="0039000D">
              <w:rPr>
                <w:rFonts w:ascii="Arial" w:eastAsia="Calibri" w:hAnsi="Arial" w:cs="Arial"/>
                <w:b/>
                <w:sz w:val="20"/>
                <w:szCs w:val="20"/>
                <w:lang w:val="en-GB"/>
              </w:rPr>
              <w:t>R’Million</w:t>
            </w:r>
          </w:p>
        </w:tc>
        <w:tc>
          <w:tcPr>
            <w:tcW w:w="1134" w:type="dxa"/>
            <w:tcBorders>
              <w:top w:val="single" w:sz="8" w:space="0" w:color="auto"/>
              <w:left w:val="single" w:sz="8" w:space="0" w:color="auto"/>
              <w:bottom w:val="single" w:sz="8" w:space="0" w:color="auto"/>
              <w:right w:val="single" w:sz="8" w:space="0" w:color="auto"/>
            </w:tcBorders>
            <w:shd w:val="clear" w:color="auto" w:fill="DEEAF6"/>
            <w:textDirection w:val="btLr"/>
          </w:tcPr>
          <w:p w:rsidR="006722E6" w:rsidRPr="0039000D" w:rsidRDefault="006722E6" w:rsidP="0039000D">
            <w:pPr>
              <w:ind w:left="113" w:right="113"/>
              <w:rPr>
                <w:rFonts w:ascii="Arial" w:eastAsia="Calibri" w:hAnsi="Arial" w:cs="Arial"/>
                <w:b/>
                <w:sz w:val="20"/>
                <w:szCs w:val="20"/>
                <w:lang w:val="en-GB"/>
              </w:rPr>
            </w:pPr>
            <w:r w:rsidRPr="0039000D">
              <w:rPr>
                <w:rFonts w:ascii="Arial" w:eastAsia="Calibri" w:hAnsi="Arial" w:cs="Arial"/>
                <w:b/>
                <w:sz w:val="20"/>
                <w:szCs w:val="20"/>
                <w:lang w:val="en-GB"/>
              </w:rPr>
              <w:t>Main Appropriation</w:t>
            </w:r>
          </w:p>
        </w:tc>
        <w:tc>
          <w:tcPr>
            <w:tcW w:w="1134" w:type="dxa"/>
            <w:tcBorders>
              <w:top w:val="single" w:sz="8" w:space="0" w:color="auto"/>
              <w:left w:val="single" w:sz="8" w:space="0" w:color="auto"/>
              <w:bottom w:val="single" w:sz="8" w:space="0" w:color="auto"/>
              <w:right w:val="single" w:sz="8" w:space="0" w:color="auto"/>
            </w:tcBorders>
            <w:shd w:val="clear" w:color="auto" w:fill="DEEAF6"/>
            <w:textDirection w:val="btLr"/>
          </w:tcPr>
          <w:p w:rsidR="006722E6" w:rsidRPr="0039000D" w:rsidRDefault="006722E6" w:rsidP="0039000D">
            <w:pPr>
              <w:ind w:left="113" w:right="113"/>
              <w:rPr>
                <w:rFonts w:ascii="Arial" w:eastAsia="Calibri" w:hAnsi="Arial" w:cs="Arial"/>
                <w:b/>
                <w:sz w:val="20"/>
                <w:szCs w:val="20"/>
                <w:lang w:val="en-GB"/>
              </w:rPr>
            </w:pPr>
            <w:r w:rsidRPr="0039000D">
              <w:rPr>
                <w:rFonts w:ascii="Arial" w:eastAsia="Calibri" w:hAnsi="Arial" w:cs="Arial"/>
                <w:b/>
                <w:sz w:val="20"/>
                <w:szCs w:val="20"/>
                <w:lang w:val="en-GB"/>
              </w:rPr>
              <w:t>Available Budget</w:t>
            </w:r>
          </w:p>
        </w:tc>
        <w:tc>
          <w:tcPr>
            <w:tcW w:w="1134" w:type="dxa"/>
            <w:tcBorders>
              <w:top w:val="single" w:sz="8" w:space="0" w:color="auto"/>
              <w:left w:val="single" w:sz="8" w:space="0" w:color="auto"/>
              <w:bottom w:val="single" w:sz="8" w:space="0" w:color="auto"/>
              <w:right w:val="single" w:sz="8" w:space="0" w:color="auto"/>
            </w:tcBorders>
            <w:shd w:val="clear" w:color="auto" w:fill="DEEAF6"/>
            <w:textDirection w:val="btLr"/>
          </w:tcPr>
          <w:p w:rsidR="006722E6" w:rsidRPr="0039000D" w:rsidRDefault="006722E6" w:rsidP="0039000D">
            <w:pPr>
              <w:ind w:left="113" w:right="113"/>
              <w:rPr>
                <w:rFonts w:ascii="Arial" w:eastAsia="Calibri" w:hAnsi="Arial" w:cs="Arial"/>
                <w:b/>
                <w:sz w:val="20"/>
                <w:szCs w:val="20"/>
                <w:lang w:val="en-GB"/>
              </w:rPr>
            </w:pPr>
            <w:r w:rsidRPr="0039000D">
              <w:rPr>
                <w:rFonts w:ascii="Arial" w:eastAsia="Calibri" w:hAnsi="Arial" w:cs="Arial"/>
                <w:b/>
                <w:sz w:val="20"/>
                <w:szCs w:val="20"/>
                <w:lang w:val="en-GB"/>
              </w:rPr>
              <w:t>Quarter 2 Actual Expenditure</w:t>
            </w:r>
          </w:p>
        </w:tc>
        <w:tc>
          <w:tcPr>
            <w:tcW w:w="992" w:type="dxa"/>
            <w:tcBorders>
              <w:top w:val="single" w:sz="8" w:space="0" w:color="auto"/>
              <w:left w:val="single" w:sz="8" w:space="0" w:color="auto"/>
              <w:bottom w:val="single" w:sz="8" w:space="0" w:color="auto"/>
              <w:right w:val="single" w:sz="8" w:space="0" w:color="auto"/>
            </w:tcBorders>
            <w:shd w:val="clear" w:color="auto" w:fill="DEEAF6"/>
            <w:textDirection w:val="btLr"/>
          </w:tcPr>
          <w:p w:rsidR="006722E6" w:rsidRPr="0039000D" w:rsidRDefault="006722E6" w:rsidP="0039000D">
            <w:pPr>
              <w:ind w:left="113" w:right="113"/>
              <w:rPr>
                <w:rFonts w:ascii="Arial" w:eastAsia="Calibri" w:hAnsi="Arial" w:cs="Arial"/>
                <w:b/>
                <w:sz w:val="20"/>
                <w:szCs w:val="20"/>
                <w:lang w:val="en-GB"/>
              </w:rPr>
            </w:pPr>
            <w:r w:rsidRPr="0039000D">
              <w:rPr>
                <w:rFonts w:ascii="Arial" w:eastAsia="Calibri" w:hAnsi="Arial" w:cs="Arial"/>
                <w:b/>
                <w:sz w:val="20"/>
                <w:szCs w:val="20"/>
                <w:lang w:val="en-GB"/>
              </w:rPr>
              <w:t>Expenditure as % of Available Budget</w:t>
            </w:r>
          </w:p>
        </w:tc>
        <w:tc>
          <w:tcPr>
            <w:tcW w:w="1134" w:type="dxa"/>
            <w:tcBorders>
              <w:top w:val="single" w:sz="8" w:space="0" w:color="auto"/>
              <w:left w:val="single" w:sz="8" w:space="0" w:color="auto"/>
              <w:bottom w:val="single" w:sz="8" w:space="0" w:color="auto"/>
              <w:right w:val="single" w:sz="8" w:space="0" w:color="auto"/>
            </w:tcBorders>
            <w:shd w:val="clear" w:color="auto" w:fill="DEEAF6"/>
            <w:textDirection w:val="btLr"/>
          </w:tcPr>
          <w:p w:rsidR="006722E6" w:rsidRPr="0039000D" w:rsidRDefault="006722E6" w:rsidP="0039000D">
            <w:pPr>
              <w:ind w:left="113" w:right="113"/>
              <w:rPr>
                <w:rFonts w:ascii="Arial" w:eastAsia="Calibri" w:hAnsi="Arial" w:cs="Arial"/>
                <w:b/>
                <w:sz w:val="20"/>
                <w:szCs w:val="20"/>
                <w:lang w:val="en-GB"/>
              </w:rPr>
            </w:pPr>
            <w:r w:rsidRPr="0039000D">
              <w:rPr>
                <w:rFonts w:ascii="Arial" w:eastAsia="Calibri" w:hAnsi="Arial" w:cs="Arial"/>
                <w:b/>
                <w:sz w:val="20"/>
                <w:szCs w:val="20"/>
                <w:lang w:val="en-GB"/>
              </w:rPr>
              <w:t>Quarter 2 Projected Expenditure</w:t>
            </w:r>
          </w:p>
        </w:tc>
        <w:tc>
          <w:tcPr>
            <w:tcW w:w="1422" w:type="dxa"/>
            <w:tcBorders>
              <w:top w:val="single" w:sz="8" w:space="0" w:color="auto"/>
              <w:left w:val="single" w:sz="8" w:space="0" w:color="auto"/>
              <w:bottom w:val="single" w:sz="8" w:space="0" w:color="auto"/>
              <w:right w:val="single" w:sz="8" w:space="0" w:color="auto"/>
            </w:tcBorders>
            <w:shd w:val="clear" w:color="auto" w:fill="DEEAF6"/>
            <w:textDirection w:val="btLr"/>
          </w:tcPr>
          <w:p w:rsidR="006722E6" w:rsidRPr="0039000D" w:rsidRDefault="006722E6" w:rsidP="0039000D">
            <w:pPr>
              <w:ind w:left="113" w:right="113"/>
              <w:rPr>
                <w:rFonts w:ascii="Arial" w:eastAsia="Calibri" w:hAnsi="Arial" w:cs="Arial"/>
                <w:b/>
                <w:sz w:val="20"/>
                <w:szCs w:val="20"/>
                <w:lang w:val="en-GB"/>
              </w:rPr>
            </w:pPr>
            <w:r w:rsidRPr="0039000D">
              <w:rPr>
                <w:rFonts w:ascii="Arial" w:eastAsia="Calibri" w:hAnsi="Arial" w:cs="Arial"/>
                <w:b/>
                <w:sz w:val="20"/>
                <w:szCs w:val="20"/>
                <w:lang w:val="en-GB"/>
              </w:rPr>
              <w:t>Variance from Projected Expenditure</w:t>
            </w:r>
          </w:p>
        </w:tc>
        <w:tc>
          <w:tcPr>
            <w:tcW w:w="1271" w:type="dxa"/>
            <w:tcBorders>
              <w:top w:val="single" w:sz="8" w:space="0" w:color="auto"/>
              <w:left w:val="single" w:sz="8" w:space="0" w:color="auto"/>
              <w:bottom w:val="single" w:sz="8" w:space="0" w:color="auto"/>
              <w:right w:val="single" w:sz="8" w:space="0" w:color="auto"/>
            </w:tcBorders>
            <w:shd w:val="clear" w:color="auto" w:fill="DEEAF6"/>
            <w:textDirection w:val="btLr"/>
          </w:tcPr>
          <w:p w:rsidR="006722E6" w:rsidRPr="0039000D" w:rsidRDefault="006722E6" w:rsidP="0039000D">
            <w:pPr>
              <w:ind w:left="113" w:right="113"/>
              <w:rPr>
                <w:rFonts w:ascii="Arial" w:eastAsia="Calibri" w:hAnsi="Arial" w:cs="Arial"/>
                <w:b/>
                <w:sz w:val="20"/>
                <w:szCs w:val="20"/>
                <w:lang w:val="en-GB"/>
              </w:rPr>
            </w:pPr>
            <w:r w:rsidRPr="0039000D">
              <w:rPr>
                <w:rFonts w:ascii="Arial" w:eastAsia="Calibri" w:hAnsi="Arial" w:cs="Arial"/>
                <w:b/>
                <w:sz w:val="20"/>
                <w:szCs w:val="20"/>
                <w:lang w:val="en-GB"/>
              </w:rPr>
              <w:t>% Variance from Projected Expenditure</w:t>
            </w:r>
          </w:p>
        </w:tc>
        <w:tc>
          <w:tcPr>
            <w:tcW w:w="998" w:type="dxa"/>
            <w:tcBorders>
              <w:top w:val="single" w:sz="8" w:space="0" w:color="auto"/>
              <w:left w:val="single" w:sz="8" w:space="0" w:color="auto"/>
              <w:bottom w:val="single" w:sz="8" w:space="0" w:color="auto"/>
              <w:right w:val="single" w:sz="8" w:space="0" w:color="auto"/>
            </w:tcBorders>
            <w:shd w:val="clear" w:color="auto" w:fill="DEEAF6"/>
            <w:textDirection w:val="btLr"/>
          </w:tcPr>
          <w:p w:rsidR="006722E6" w:rsidRPr="0039000D" w:rsidRDefault="006722E6" w:rsidP="0039000D">
            <w:pPr>
              <w:ind w:left="113" w:right="113"/>
              <w:rPr>
                <w:rFonts w:ascii="Arial" w:eastAsia="Calibri" w:hAnsi="Arial" w:cs="Arial"/>
                <w:b/>
                <w:sz w:val="20"/>
                <w:szCs w:val="20"/>
                <w:lang w:val="en-GB"/>
              </w:rPr>
            </w:pPr>
            <w:r w:rsidRPr="0039000D">
              <w:rPr>
                <w:rFonts w:ascii="Arial" w:eastAsia="Calibri" w:hAnsi="Arial" w:cs="Arial"/>
                <w:b/>
                <w:sz w:val="20"/>
                <w:szCs w:val="20"/>
                <w:lang w:val="en-GB"/>
              </w:rPr>
              <w:t>COVID-19 Spending</w:t>
            </w:r>
          </w:p>
        </w:tc>
      </w:tr>
      <w:tr w:rsidR="0070396B" w:rsidRPr="0039000D" w:rsidTr="004E6C8E">
        <w:tc>
          <w:tcPr>
            <w:tcW w:w="1702" w:type="dxa"/>
            <w:tcBorders>
              <w:top w:val="single" w:sz="8" w:space="0" w:color="auto"/>
              <w:left w:val="single" w:sz="8" w:space="0" w:color="auto"/>
            </w:tcBorders>
          </w:tcPr>
          <w:p w:rsidR="006722E6" w:rsidRPr="0039000D" w:rsidRDefault="006722E6" w:rsidP="0039000D">
            <w:pPr>
              <w:rPr>
                <w:rFonts w:ascii="Arial" w:eastAsia="Calibri" w:hAnsi="Arial" w:cs="Arial"/>
                <w:sz w:val="20"/>
                <w:szCs w:val="20"/>
                <w:lang w:val="en-GB"/>
              </w:rPr>
            </w:pPr>
            <w:r w:rsidRPr="0039000D">
              <w:rPr>
                <w:rFonts w:ascii="Arial" w:eastAsia="Calibri" w:hAnsi="Arial" w:cs="Arial"/>
                <w:sz w:val="20"/>
                <w:szCs w:val="20"/>
                <w:lang w:val="en-GB"/>
              </w:rPr>
              <w:t>Administration</w:t>
            </w:r>
          </w:p>
        </w:tc>
        <w:tc>
          <w:tcPr>
            <w:tcW w:w="1134" w:type="dxa"/>
            <w:tcBorders>
              <w:top w:val="single" w:sz="8" w:space="0" w:color="auto"/>
            </w:tcBorders>
          </w:tcPr>
          <w:p w:rsidR="006722E6" w:rsidRPr="0039000D" w:rsidRDefault="006722E6" w:rsidP="0039000D">
            <w:pPr>
              <w:rPr>
                <w:rFonts w:ascii="Arial" w:eastAsia="Calibri" w:hAnsi="Arial" w:cs="Arial"/>
                <w:sz w:val="20"/>
                <w:szCs w:val="20"/>
                <w:lang w:val="en-GB"/>
              </w:rPr>
            </w:pPr>
            <w:r w:rsidRPr="0039000D">
              <w:rPr>
                <w:rFonts w:ascii="Arial" w:eastAsia="Calibri" w:hAnsi="Arial" w:cs="Arial"/>
                <w:sz w:val="20"/>
                <w:szCs w:val="20"/>
                <w:lang w:val="en-GB"/>
              </w:rPr>
              <w:t>497</w:t>
            </w:r>
          </w:p>
        </w:tc>
        <w:tc>
          <w:tcPr>
            <w:tcW w:w="1134" w:type="dxa"/>
            <w:tcBorders>
              <w:top w:val="single" w:sz="8" w:space="0" w:color="auto"/>
            </w:tcBorders>
          </w:tcPr>
          <w:p w:rsidR="006722E6" w:rsidRPr="0039000D" w:rsidRDefault="006722E6" w:rsidP="0039000D">
            <w:pPr>
              <w:rPr>
                <w:rFonts w:ascii="Arial" w:eastAsia="Calibri" w:hAnsi="Arial" w:cs="Arial"/>
                <w:sz w:val="20"/>
                <w:szCs w:val="20"/>
                <w:lang w:val="en-GB"/>
              </w:rPr>
            </w:pPr>
            <w:r w:rsidRPr="0039000D">
              <w:rPr>
                <w:rFonts w:ascii="Arial" w:eastAsia="Calibri" w:hAnsi="Arial" w:cs="Arial"/>
                <w:sz w:val="20"/>
                <w:szCs w:val="20"/>
                <w:lang w:val="en-GB"/>
              </w:rPr>
              <w:t>522.2</w:t>
            </w:r>
          </w:p>
        </w:tc>
        <w:tc>
          <w:tcPr>
            <w:tcW w:w="1134" w:type="dxa"/>
            <w:tcBorders>
              <w:top w:val="single" w:sz="8" w:space="0" w:color="auto"/>
            </w:tcBorders>
          </w:tcPr>
          <w:p w:rsidR="006722E6" w:rsidRPr="0039000D" w:rsidRDefault="006722E6" w:rsidP="0039000D">
            <w:pPr>
              <w:rPr>
                <w:rFonts w:ascii="Arial" w:eastAsia="Calibri" w:hAnsi="Arial" w:cs="Arial"/>
                <w:sz w:val="20"/>
                <w:szCs w:val="20"/>
                <w:lang w:val="en-GB"/>
              </w:rPr>
            </w:pPr>
            <w:r w:rsidRPr="0039000D">
              <w:rPr>
                <w:rFonts w:ascii="Arial" w:eastAsia="Calibri" w:hAnsi="Arial" w:cs="Arial"/>
                <w:sz w:val="20"/>
                <w:szCs w:val="20"/>
                <w:lang w:val="en-GB"/>
              </w:rPr>
              <w:t>173</w:t>
            </w:r>
          </w:p>
        </w:tc>
        <w:tc>
          <w:tcPr>
            <w:tcW w:w="992" w:type="dxa"/>
            <w:tcBorders>
              <w:top w:val="single" w:sz="8" w:space="0" w:color="auto"/>
            </w:tcBorders>
          </w:tcPr>
          <w:p w:rsidR="006722E6" w:rsidRPr="0039000D" w:rsidRDefault="006722E6" w:rsidP="0039000D">
            <w:pPr>
              <w:rPr>
                <w:rFonts w:ascii="Arial" w:eastAsia="Calibri" w:hAnsi="Arial" w:cs="Arial"/>
                <w:sz w:val="20"/>
                <w:szCs w:val="20"/>
                <w:lang w:val="en-GB"/>
              </w:rPr>
            </w:pPr>
            <w:r w:rsidRPr="0039000D">
              <w:rPr>
                <w:rFonts w:ascii="Arial" w:eastAsia="Calibri" w:hAnsi="Arial" w:cs="Arial"/>
                <w:sz w:val="20"/>
                <w:szCs w:val="20"/>
                <w:lang w:val="en-GB"/>
              </w:rPr>
              <w:t>33.1%</w:t>
            </w:r>
          </w:p>
        </w:tc>
        <w:tc>
          <w:tcPr>
            <w:tcW w:w="1134" w:type="dxa"/>
            <w:tcBorders>
              <w:top w:val="single" w:sz="8" w:space="0" w:color="auto"/>
            </w:tcBorders>
          </w:tcPr>
          <w:p w:rsidR="006722E6" w:rsidRPr="0039000D" w:rsidRDefault="006722E6" w:rsidP="0039000D">
            <w:pPr>
              <w:rPr>
                <w:rFonts w:ascii="Arial" w:eastAsia="Calibri" w:hAnsi="Arial" w:cs="Arial"/>
                <w:sz w:val="20"/>
                <w:szCs w:val="20"/>
                <w:lang w:val="en-GB"/>
              </w:rPr>
            </w:pPr>
            <w:r w:rsidRPr="0039000D">
              <w:rPr>
                <w:rFonts w:ascii="Arial" w:eastAsia="Calibri" w:hAnsi="Arial" w:cs="Arial"/>
                <w:sz w:val="20"/>
                <w:szCs w:val="20"/>
                <w:lang w:val="en-GB"/>
              </w:rPr>
              <w:t>246.7</w:t>
            </w:r>
          </w:p>
        </w:tc>
        <w:tc>
          <w:tcPr>
            <w:tcW w:w="1422" w:type="dxa"/>
            <w:tcBorders>
              <w:top w:val="single" w:sz="8" w:space="0" w:color="auto"/>
            </w:tcBorders>
          </w:tcPr>
          <w:p w:rsidR="006722E6" w:rsidRPr="0039000D" w:rsidRDefault="006722E6" w:rsidP="0039000D">
            <w:pPr>
              <w:rPr>
                <w:rFonts w:ascii="Arial" w:eastAsia="Calibri" w:hAnsi="Arial" w:cs="Arial"/>
                <w:sz w:val="20"/>
                <w:szCs w:val="20"/>
                <w:lang w:val="en-GB"/>
              </w:rPr>
            </w:pPr>
            <w:r w:rsidRPr="0039000D">
              <w:rPr>
                <w:rFonts w:ascii="Arial" w:eastAsia="Calibri" w:hAnsi="Arial" w:cs="Arial"/>
                <w:sz w:val="20"/>
                <w:szCs w:val="20"/>
                <w:lang w:val="en-GB"/>
              </w:rPr>
              <w:t>73.7</w:t>
            </w:r>
          </w:p>
        </w:tc>
        <w:tc>
          <w:tcPr>
            <w:tcW w:w="1271" w:type="dxa"/>
            <w:tcBorders>
              <w:top w:val="single" w:sz="8" w:space="0" w:color="auto"/>
            </w:tcBorders>
          </w:tcPr>
          <w:p w:rsidR="006722E6" w:rsidRPr="0039000D" w:rsidRDefault="006722E6" w:rsidP="0039000D">
            <w:pPr>
              <w:rPr>
                <w:rFonts w:ascii="Arial" w:eastAsia="Calibri" w:hAnsi="Arial" w:cs="Arial"/>
                <w:sz w:val="20"/>
                <w:szCs w:val="20"/>
                <w:lang w:val="en-GB"/>
              </w:rPr>
            </w:pPr>
            <w:r w:rsidRPr="0039000D">
              <w:rPr>
                <w:rFonts w:ascii="Arial" w:eastAsia="Calibri" w:hAnsi="Arial" w:cs="Arial"/>
                <w:sz w:val="20"/>
                <w:szCs w:val="20"/>
                <w:lang w:val="en-GB"/>
              </w:rPr>
              <w:t>29.9%</w:t>
            </w:r>
          </w:p>
        </w:tc>
        <w:tc>
          <w:tcPr>
            <w:tcW w:w="998" w:type="dxa"/>
            <w:tcBorders>
              <w:top w:val="single" w:sz="8" w:space="0" w:color="auto"/>
              <w:right w:val="single" w:sz="8" w:space="0" w:color="auto"/>
            </w:tcBorders>
          </w:tcPr>
          <w:p w:rsidR="006722E6" w:rsidRPr="0039000D" w:rsidRDefault="006722E6" w:rsidP="0039000D">
            <w:pPr>
              <w:rPr>
                <w:rFonts w:ascii="Arial" w:eastAsia="Calibri" w:hAnsi="Arial" w:cs="Arial"/>
                <w:sz w:val="20"/>
                <w:szCs w:val="20"/>
                <w:lang w:val="en-GB"/>
              </w:rPr>
            </w:pPr>
            <w:r w:rsidRPr="0039000D">
              <w:rPr>
                <w:rFonts w:ascii="Arial" w:eastAsia="Calibri" w:hAnsi="Arial" w:cs="Arial"/>
                <w:sz w:val="20"/>
                <w:szCs w:val="20"/>
                <w:lang w:val="en-GB"/>
              </w:rPr>
              <w:t>0.4</w:t>
            </w:r>
          </w:p>
        </w:tc>
      </w:tr>
      <w:tr w:rsidR="0070396B" w:rsidRPr="0039000D" w:rsidTr="004E6C8E">
        <w:tc>
          <w:tcPr>
            <w:tcW w:w="1702" w:type="dxa"/>
            <w:tcBorders>
              <w:left w:val="single" w:sz="8" w:space="0" w:color="auto"/>
            </w:tcBorders>
          </w:tcPr>
          <w:p w:rsidR="006722E6" w:rsidRPr="0039000D" w:rsidRDefault="006722E6" w:rsidP="0039000D">
            <w:pPr>
              <w:rPr>
                <w:rFonts w:ascii="Arial" w:eastAsia="Calibri" w:hAnsi="Arial" w:cs="Arial"/>
                <w:sz w:val="20"/>
                <w:szCs w:val="20"/>
                <w:lang w:val="en-GB"/>
              </w:rPr>
            </w:pPr>
            <w:r w:rsidRPr="0039000D">
              <w:rPr>
                <w:rFonts w:ascii="Arial" w:eastAsia="Calibri" w:hAnsi="Arial" w:cs="Arial"/>
                <w:sz w:val="20"/>
                <w:szCs w:val="20"/>
                <w:lang w:val="en-GB"/>
              </w:rPr>
              <w:t xml:space="preserve">Integrated Transport Planning </w:t>
            </w:r>
          </w:p>
        </w:tc>
        <w:tc>
          <w:tcPr>
            <w:tcW w:w="1134" w:type="dxa"/>
          </w:tcPr>
          <w:p w:rsidR="006722E6" w:rsidRPr="0039000D" w:rsidRDefault="006722E6" w:rsidP="0039000D">
            <w:pPr>
              <w:rPr>
                <w:rFonts w:ascii="Arial" w:eastAsia="Calibri" w:hAnsi="Arial" w:cs="Arial"/>
                <w:sz w:val="20"/>
                <w:szCs w:val="20"/>
                <w:lang w:val="en-GB"/>
              </w:rPr>
            </w:pPr>
            <w:r w:rsidRPr="0039000D">
              <w:rPr>
                <w:rFonts w:ascii="Arial" w:eastAsia="Calibri" w:hAnsi="Arial" w:cs="Arial"/>
                <w:sz w:val="20"/>
                <w:szCs w:val="20"/>
                <w:lang w:val="en-GB"/>
              </w:rPr>
              <w:t>92.2</w:t>
            </w:r>
          </w:p>
        </w:tc>
        <w:tc>
          <w:tcPr>
            <w:tcW w:w="1134" w:type="dxa"/>
          </w:tcPr>
          <w:p w:rsidR="006722E6" w:rsidRPr="0039000D" w:rsidRDefault="006722E6" w:rsidP="0039000D">
            <w:pPr>
              <w:rPr>
                <w:rFonts w:ascii="Arial" w:eastAsia="Calibri" w:hAnsi="Arial" w:cs="Arial"/>
                <w:sz w:val="20"/>
                <w:szCs w:val="20"/>
                <w:lang w:val="en-GB"/>
              </w:rPr>
            </w:pPr>
            <w:r w:rsidRPr="0039000D">
              <w:rPr>
                <w:rFonts w:ascii="Arial" w:eastAsia="Calibri" w:hAnsi="Arial" w:cs="Arial"/>
                <w:sz w:val="20"/>
                <w:szCs w:val="20"/>
                <w:lang w:val="en-GB"/>
              </w:rPr>
              <w:t>90.2</w:t>
            </w:r>
          </w:p>
        </w:tc>
        <w:tc>
          <w:tcPr>
            <w:tcW w:w="1134" w:type="dxa"/>
          </w:tcPr>
          <w:p w:rsidR="006722E6" w:rsidRPr="0039000D" w:rsidRDefault="006722E6" w:rsidP="0039000D">
            <w:pPr>
              <w:rPr>
                <w:rFonts w:ascii="Arial" w:eastAsia="Calibri" w:hAnsi="Arial" w:cs="Arial"/>
                <w:sz w:val="20"/>
                <w:szCs w:val="20"/>
                <w:lang w:val="en-GB"/>
              </w:rPr>
            </w:pPr>
            <w:r w:rsidRPr="0039000D">
              <w:rPr>
                <w:rFonts w:ascii="Arial" w:eastAsia="Calibri" w:hAnsi="Arial" w:cs="Arial"/>
                <w:sz w:val="20"/>
                <w:szCs w:val="20"/>
                <w:lang w:val="en-GB"/>
              </w:rPr>
              <w:t>29.1</w:t>
            </w:r>
          </w:p>
        </w:tc>
        <w:tc>
          <w:tcPr>
            <w:tcW w:w="992" w:type="dxa"/>
          </w:tcPr>
          <w:p w:rsidR="006722E6" w:rsidRPr="0039000D" w:rsidRDefault="006722E6" w:rsidP="0039000D">
            <w:pPr>
              <w:rPr>
                <w:rFonts w:ascii="Arial" w:eastAsia="Calibri" w:hAnsi="Arial" w:cs="Arial"/>
                <w:sz w:val="20"/>
                <w:szCs w:val="20"/>
                <w:lang w:val="en-GB"/>
              </w:rPr>
            </w:pPr>
            <w:r w:rsidRPr="0039000D">
              <w:rPr>
                <w:rFonts w:ascii="Arial" w:eastAsia="Calibri" w:hAnsi="Arial" w:cs="Arial"/>
                <w:sz w:val="20"/>
                <w:szCs w:val="20"/>
                <w:lang w:val="en-GB"/>
              </w:rPr>
              <w:t>32.3%</w:t>
            </w:r>
          </w:p>
        </w:tc>
        <w:tc>
          <w:tcPr>
            <w:tcW w:w="1134" w:type="dxa"/>
          </w:tcPr>
          <w:p w:rsidR="006722E6" w:rsidRPr="0039000D" w:rsidRDefault="006722E6" w:rsidP="0039000D">
            <w:pPr>
              <w:rPr>
                <w:rFonts w:ascii="Arial" w:eastAsia="Calibri" w:hAnsi="Arial" w:cs="Arial"/>
                <w:sz w:val="20"/>
                <w:szCs w:val="20"/>
                <w:lang w:val="en-GB"/>
              </w:rPr>
            </w:pPr>
            <w:r w:rsidRPr="0039000D">
              <w:rPr>
                <w:rFonts w:ascii="Arial" w:eastAsia="Calibri" w:hAnsi="Arial" w:cs="Arial"/>
                <w:sz w:val="20"/>
                <w:szCs w:val="20"/>
                <w:lang w:val="en-GB"/>
              </w:rPr>
              <w:t>37.9</w:t>
            </w:r>
          </w:p>
        </w:tc>
        <w:tc>
          <w:tcPr>
            <w:tcW w:w="1422" w:type="dxa"/>
          </w:tcPr>
          <w:p w:rsidR="006722E6" w:rsidRPr="0039000D" w:rsidRDefault="006722E6" w:rsidP="0039000D">
            <w:pPr>
              <w:rPr>
                <w:rFonts w:ascii="Arial" w:eastAsia="Calibri" w:hAnsi="Arial" w:cs="Arial"/>
                <w:sz w:val="20"/>
                <w:szCs w:val="20"/>
                <w:lang w:val="en-GB"/>
              </w:rPr>
            </w:pPr>
            <w:r w:rsidRPr="0039000D">
              <w:rPr>
                <w:rFonts w:ascii="Arial" w:eastAsia="Calibri" w:hAnsi="Arial" w:cs="Arial"/>
                <w:sz w:val="20"/>
                <w:szCs w:val="20"/>
                <w:lang w:val="en-GB"/>
              </w:rPr>
              <w:t>8.8</w:t>
            </w:r>
          </w:p>
        </w:tc>
        <w:tc>
          <w:tcPr>
            <w:tcW w:w="1271" w:type="dxa"/>
          </w:tcPr>
          <w:p w:rsidR="006722E6" w:rsidRPr="0039000D" w:rsidRDefault="006722E6" w:rsidP="0039000D">
            <w:pPr>
              <w:rPr>
                <w:rFonts w:ascii="Arial" w:eastAsia="Calibri" w:hAnsi="Arial" w:cs="Arial"/>
                <w:sz w:val="20"/>
                <w:szCs w:val="20"/>
                <w:lang w:val="en-GB"/>
              </w:rPr>
            </w:pPr>
            <w:r w:rsidRPr="0039000D">
              <w:rPr>
                <w:rFonts w:ascii="Arial" w:eastAsia="Calibri" w:hAnsi="Arial" w:cs="Arial"/>
                <w:sz w:val="20"/>
                <w:szCs w:val="20"/>
                <w:lang w:val="en-GB"/>
              </w:rPr>
              <w:t>23.2%</w:t>
            </w:r>
          </w:p>
        </w:tc>
        <w:tc>
          <w:tcPr>
            <w:tcW w:w="998" w:type="dxa"/>
            <w:tcBorders>
              <w:right w:val="single" w:sz="8" w:space="0" w:color="auto"/>
            </w:tcBorders>
          </w:tcPr>
          <w:p w:rsidR="006722E6" w:rsidRPr="0039000D" w:rsidRDefault="006722E6" w:rsidP="0039000D">
            <w:pPr>
              <w:rPr>
                <w:rFonts w:ascii="Arial" w:eastAsia="Calibri" w:hAnsi="Arial" w:cs="Arial"/>
                <w:sz w:val="20"/>
                <w:szCs w:val="20"/>
                <w:lang w:val="en-GB"/>
              </w:rPr>
            </w:pPr>
            <w:r w:rsidRPr="0039000D">
              <w:rPr>
                <w:rFonts w:ascii="Arial" w:eastAsia="Calibri" w:hAnsi="Arial" w:cs="Arial"/>
                <w:sz w:val="20"/>
                <w:szCs w:val="20"/>
                <w:lang w:val="en-GB"/>
              </w:rPr>
              <w:t>0.0</w:t>
            </w:r>
          </w:p>
        </w:tc>
      </w:tr>
      <w:tr w:rsidR="0070396B" w:rsidRPr="0039000D" w:rsidTr="004E6C8E">
        <w:tc>
          <w:tcPr>
            <w:tcW w:w="1702" w:type="dxa"/>
            <w:tcBorders>
              <w:left w:val="single" w:sz="8" w:space="0" w:color="auto"/>
            </w:tcBorders>
          </w:tcPr>
          <w:p w:rsidR="006722E6" w:rsidRPr="0039000D" w:rsidRDefault="006722E6" w:rsidP="0039000D">
            <w:pPr>
              <w:rPr>
                <w:rFonts w:ascii="Arial" w:eastAsia="Calibri" w:hAnsi="Arial" w:cs="Arial"/>
                <w:sz w:val="20"/>
                <w:szCs w:val="20"/>
                <w:lang w:val="en-GB"/>
              </w:rPr>
            </w:pPr>
            <w:r w:rsidRPr="0039000D">
              <w:rPr>
                <w:rFonts w:ascii="Arial" w:eastAsia="Calibri" w:hAnsi="Arial" w:cs="Arial"/>
                <w:sz w:val="20"/>
                <w:szCs w:val="20"/>
                <w:lang w:val="en-GB"/>
              </w:rPr>
              <w:t>Rail Transport</w:t>
            </w:r>
          </w:p>
        </w:tc>
        <w:tc>
          <w:tcPr>
            <w:tcW w:w="1134" w:type="dxa"/>
          </w:tcPr>
          <w:p w:rsidR="006722E6" w:rsidRPr="0039000D" w:rsidRDefault="006722E6" w:rsidP="0039000D">
            <w:pPr>
              <w:rPr>
                <w:rFonts w:ascii="Arial" w:eastAsia="Calibri" w:hAnsi="Arial" w:cs="Arial"/>
                <w:sz w:val="20"/>
                <w:szCs w:val="20"/>
                <w:lang w:val="en-GB"/>
              </w:rPr>
            </w:pPr>
            <w:r w:rsidRPr="0039000D">
              <w:rPr>
                <w:rFonts w:ascii="Arial" w:eastAsia="Calibri" w:hAnsi="Arial" w:cs="Arial"/>
                <w:sz w:val="20"/>
                <w:szCs w:val="20"/>
                <w:lang w:val="en-GB"/>
              </w:rPr>
              <w:t>16 785.8</w:t>
            </w:r>
          </w:p>
        </w:tc>
        <w:tc>
          <w:tcPr>
            <w:tcW w:w="1134" w:type="dxa"/>
          </w:tcPr>
          <w:p w:rsidR="006722E6" w:rsidRPr="0039000D" w:rsidRDefault="006722E6" w:rsidP="0039000D">
            <w:pPr>
              <w:rPr>
                <w:rFonts w:ascii="Arial" w:eastAsia="Calibri" w:hAnsi="Arial" w:cs="Arial"/>
                <w:sz w:val="20"/>
                <w:szCs w:val="20"/>
                <w:lang w:val="en-GB"/>
              </w:rPr>
            </w:pPr>
            <w:r w:rsidRPr="0039000D">
              <w:rPr>
                <w:rFonts w:ascii="Arial" w:eastAsia="Calibri" w:hAnsi="Arial" w:cs="Arial"/>
                <w:sz w:val="20"/>
                <w:szCs w:val="20"/>
                <w:lang w:val="en-GB"/>
              </w:rPr>
              <w:t>16 806.4</w:t>
            </w:r>
          </w:p>
        </w:tc>
        <w:tc>
          <w:tcPr>
            <w:tcW w:w="1134" w:type="dxa"/>
          </w:tcPr>
          <w:p w:rsidR="006722E6" w:rsidRPr="0039000D" w:rsidRDefault="006722E6" w:rsidP="0039000D">
            <w:pPr>
              <w:rPr>
                <w:rFonts w:ascii="Arial" w:eastAsia="Calibri" w:hAnsi="Arial" w:cs="Arial"/>
                <w:sz w:val="20"/>
                <w:szCs w:val="20"/>
                <w:lang w:val="en-GB"/>
              </w:rPr>
            </w:pPr>
            <w:r w:rsidRPr="0039000D">
              <w:rPr>
                <w:rFonts w:ascii="Arial" w:eastAsia="Calibri" w:hAnsi="Arial" w:cs="Arial"/>
                <w:sz w:val="20"/>
                <w:szCs w:val="20"/>
                <w:lang w:val="en-GB"/>
              </w:rPr>
              <w:t>4 555.3</w:t>
            </w:r>
          </w:p>
        </w:tc>
        <w:tc>
          <w:tcPr>
            <w:tcW w:w="992" w:type="dxa"/>
          </w:tcPr>
          <w:p w:rsidR="006722E6" w:rsidRPr="0039000D" w:rsidRDefault="006722E6" w:rsidP="0039000D">
            <w:pPr>
              <w:rPr>
                <w:rFonts w:ascii="Arial" w:eastAsia="Calibri" w:hAnsi="Arial" w:cs="Arial"/>
                <w:sz w:val="20"/>
                <w:szCs w:val="20"/>
                <w:lang w:val="en-GB"/>
              </w:rPr>
            </w:pPr>
            <w:r w:rsidRPr="0039000D">
              <w:rPr>
                <w:rFonts w:ascii="Arial" w:eastAsia="Calibri" w:hAnsi="Arial" w:cs="Arial"/>
                <w:sz w:val="20"/>
                <w:szCs w:val="20"/>
                <w:lang w:val="en-GB"/>
              </w:rPr>
              <w:t>27.1%</w:t>
            </w:r>
          </w:p>
        </w:tc>
        <w:tc>
          <w:tcPr>
            <w:tcW w:w="1134" w:type="dxa"/>
          </w:tcPr>
          <w:p w:rsidR="006722E6" w:rsidRPr="0039000D" w:rsidRDefault="006722E6" w:rsidP="0039000D">
            <w:pPr>
              <w:rPr>
                <w:rFonts w:ascii="Arial" w:eastAsia="Calibri" w:hAnsi="Arial" w:cs="Arial"/>
                <w:sz w:val="20"/>
                <w:szCs w:val="20"/>
                <w:lang w:val="en-GB"/>
              </w:rPr>
            </w:pPr>
            <w:r w:rsidRPr="0039000D">
              <w:rPr>
                <w:rFonts w:ascii="Arial" w:eastAsia="Calibri" w:hAnsi="Arial" w:cs="Arial"/>
                <w:sz w:val="20"/>
                <w:szCs w:val="20"/>
                <w:lang w:val="en-GB"/>
              </w:rPr>
              <w:t>7 070.9</w:t>
            </w:r>
          </w:p>
        </w:tc>
        <w:tc>
          <w:tcPr>
            <w:tcW w:w="1422" w:type="dxa"/>
          </w:tcPr>
          <w:p w:rsidR="006722E6" w:rsidRPr="0039000D" w:rsidRDefault="006722E6" w:rsidP="0039000D">
            <w:pPr>
              <w:rPr>
                <w:rFonts w:ascii="Arial" w:eastAsia="Calibri" w:hAnsi="Arial" w:cs="Arial"/>
                <w:sz w:val="20"/>
                <w:szCs w:val="20"/>
                <w:lang w:val="en-GB"/>
              </w:rPr>
            </w:pPr>
            <w:r w:rsidRPr="0039000D">
              <w:rPr>
                <w:rFonts w:ascii="Arial" w:eastAsia="Calibri" w:hAnsi="Arial" w:cs="Arial"/>
                <w:sz w:val="20"/>
                <w:szCs w:val="20"/>
                <w:lang w:val="en-GB"/>
              </w:rPr>
              <w:t>2 515.6</w:t>
            </w:r>
          </w:p>
        </w:tc>
        <w:tc>
          <w:tcPr>
            <w:tcW w:w="1271" w:type="dxa"/>
          </w:tcPr>
          <w:p w:rsidR="006722E6" w:rsidRPr="0039000D" w:rsidRDefault="006722E6" w:rsidP="0039000D">
            <w:pPr>
              <w:rPr>
                <w:rFonts w:ascii="Arial" w:eastAsia="Calibri" w:hAnsi="Arial" w:cs="Arial"/>
                <w:sz w:val="20"/>
                <w:szCs w:val="20"/>
                <w:lang w:val="en-GB"/>
              </w:rPr>
            </w:pPr>
            <w:r w:rsidRPr="0039000D">
              <w:rPr>
                <w:rFonts w:ascii="Arial" w:eastAsia="Calibri" w:hAnsi="Arial" w:cs="Arial"/>
                <w:sz w:val="20"/>
                <w:szCs w:val="20"/>
                <w:lang w:val="en-GB"/>
              </w:rPr>
              <w:t>35.6%</w:t>
            </w:r>
          </w:p>
        </w:tc>
        <w:tc>
          <w:tcPr>
            <w:tcW w:w="998" w:type="dxa"/>
            <w:tcBorders>
              <w:right w:val="single" w:sz="8" w:space="0" w:color="auto"/>
            </w:tcBorders>
          </w:tcPr>
          <w:p w:rsidR="006722E6" w:rsidRPr="0039000D" w:rsidRDefault="006722E6" w:rsidP="0039000D">
            <w:pPr>
              <w:rPr>
                <w:rFonts w:ascii="Arial" w:eastAsia="Calibri" w:hAnsi="Arial" w:cs="Arial"/>
                <w:sz w:val="20"/>
                <w:szCs w:val="20"/>
                <w:lang w:val="en-GB"/>
              </w:rPr>
            </w:pPr>
            <w:r w:rsidRPr="0039000D">
              <w:rPr>
                <w:rFonts w:ascii="Arial" w:eastAsia="Calibri" w:hAnsi="Arial" w:cs="Arial"/>
                <w:sz w:val="20"/>
                <w:szCs w:val="20"/>
                <w:lang w:val="en-GB"/>
              </w:rPr>
              <w:t>0.0</w:t>
            </w:r>
          </w:p>
        </w:tc>
      </w:tr>
      <w:tr w:rsidR="0070396B" w:rsidRPr="0039000D" w:rsidTr="004E6C8E">
        <w:tc>
          <w:tcPr>
            <w:tcW w:w="1702" w:type="dxa"/>
            <w:tcBorders>
              <w:left w:val="single" w:sz="8" w:space="0" w:color="auto"/>
            </w:tcBorders>
          </w:tcPr>
          <w:p w:rsidR="006722E6" w:rsidRPr="0039000D" w:rsidRDefault="006722E6" w:rsidP="0039000D">
            <w:pPr>
              <w:rPr>
                <w:rFonts w:ascii="Arial" w:eastAsia="Calibri" w:hAnsi="Arial" w:cs="Arial"/>
                <w:sz w:val="20"/>
                <w:szCs w:val="20"/>
                <w:lang w:val="en-GB"/>
              </w:rPr>
            </w:pPr>
            <w:r w:rsidRPr="0039000D">
              <w:rPr>
                <w:rFonts w:ascii="Arial" w:eastAsia="Calibri" w:hAnsi="Arial" w:cs="Arial"/>
                <w:sz w:val="20"/>
                <w:szCs w:val="20"/>
                <w:lang w:val="en-GB"/>
              </w:rPr>
              <w:t>Road Transport</w:t>
            </w:r>
          </w:p>
        </w:tc>
        <w:tc>
          <w:tcPr>
            <w:tcW w:w="1134" w:type="dxa"/>
          </w:tcPr>
          <w:p w:rsidR="006722E6" w:rsidRPr="0039000D" w:rsidRDefault="006722E6" w:rsidP="0039000D">
            <w:pPr>
              <w:rPr>
                <w:rFonts w:ascii="Arial" w:eastAsia="Calibri" w:hAnsi="Arial" w:cs="Arial"/>
                <w:sz w:val="20"/>
                <w:szCs w:val="20"/>
                <w:lang w:val="en-GB"/>
              </w:rPr>
            </w:pPr>
            <w:r w:rsidRPr="0039000D">
              <w:rPr>
                <w:rFonts w:ascii="Arial" w:eastAsia="Calibri" w:hAnsi="Arial" w:cs="Arial"/>
                <w:sz w:val="20"/>
                <w:szCs w:val="20"/>
                <w:lang w:val="en-GB"/>
              </w:rPr>
              <w:t>34 166.7</w:t>
            </w:r>
          </w:p>
        </w:tc>
        <w:tc>
          <w:tcPr>
            <w:tcW w:w="1134" w:type="dxa"/>
          </w:tcPr>
          <w:p w:rsidR="006722E6" w:rsidRPr="0039000D" w:rsidRDefault="006722E6" w:rsidP="0039000D">
            <w:pPr>
              <w:rPr>
                <w:rFonts w:ascii="Arial" w:eastAsia="Calibri" w:hAnsi="Arial" w:cs="Arial"/>
                <w:sz w:val="20"/>
                <w:szCs w:val="20"/>
                <w:lang w:val="en-GB"/>
              </w:rPr>
            </w:pPr>
            <w:r w:rsidRPr="0039000D">
              <w:rPr>
                <w:rFonts w:ascii="Arial" w:eastAsia="Calibri" w:hAnsi="Arial" w:cs="Arial"/>
                <w:sz w:val="20"/>
                <w:szCs w:val="20"/>
                <w:lang w:val="en-GB"/>
              </w:rPr>
              <w:t>34 222</w:t>
            </w:r>
          </w:p>
        </w:tc>
        <w:tc>
          <w:tcPr>
            <w:tcW w:w="1134" w:type="dxa"/>
          </w:tcPr>
          <w:p w:rsidR="006722E6" w:rsidRPr="0039000D" w:rsidRDefault="006722E6" w:rsidP="0039000D">
            <w:pPr>
              <w:rPr>
                <w:rFonts w:ascii="Arial" w:eastAsia="Calibri" w:hAnsi="Arial" w:cs="Arial"/>
                <w:sz w:val="20"/>
                <w:szCs w:val="20"/>
                <w:lang w:val="en-GB"/>
              </w:rPr>
            </w:pPr>
            <w:r w:rsidRPr="0039000D">
              <w:rPr>
                <w:rFonts w:ascii="Arial" w:eastAsia="Calibri" w:hAnsi="Arial" w:cs="Arial"/>
                <w:sz w:val="20"/>
                <w:szCs w:val="20"/>
                <w:lang w:val="en-GB"/>
              </w:rPr>
              <w:t>18 474.3</w:t>
            </w:r>
          </w:p>
        </w:tc>
        <w:tc>
          <w:tcPr>
            <w:tcW w:w="992" w:type="dxa"/>
          </w:tcPr>
          <w:p w:rsidR="006722E6" w:rsidRPr="0039000D" w:rsidRDefault="006722E6" w:rsidP="0039000D">
            <w:pPr>
              <w:rPr>
                <w:rFonts w:ascii="Arial" w:eastAsia="Calibri" w:hAnsi="Arial" w:cs="Arial"/>
                <w:sz w:val="20"/>
                <w:szCs w:val="20"/>
                <w:lang w:val="en-GB"/>
              </w:rPr>
            </w:pPr>
            <w:r w:rsidRPr="0039000D">
              <w:rPr>
                <w:rFonts w:ascii="Arial" w:eastAsia="Calibri" w:hAnsi="Arial" w:cs="Arial"/>
                <w:sz w:val="20"/>
                <w:szCs w:val="20"/>
                <w:lang w:val="en-GB"/>
              </w:rPr>
              <w:t>54%</w:t>
            </w:r>
          </w:p>
        </w:tc>
        <w:tc>
          <w:tcPr>
            <w:tcW w:w="1134" w:type="dxa"/>
          </w:tcPr>
          <w:p w:rsidR="006722E6" w:rsidRPr="0039000D" w:rsidRDefault="006722E6" w:rsidP="0039000D">
            <w:pPr>
              <w:rPr>
                <w:rFonts w:ascii="Arial" w:eastAsia="Calibri" w:hAnsi="Arial" w:cs="Arial"/>
                <w:sz w:val="20"/>
                <w:szCs w:val="20"/>
                <w:lang w:val="en-GB"/>
              </w:rPr>
            </w:pPr>
            <w:r w:rsidRPr="0039000D">
              <w:rPr>
                <w:rFonts w:ascii="Arial" w:eastAsia="Calibri" w:hAnsi="Arial" w:cs="Arial"/>
                <w:sz w:val="20"/>
                <w:szCs w:val="20"/>
                <w:lang w:val="en-GB"/>
              </w:rPr>
              <w:t>18 510.4</w:t>
            </w:r>
          </w:p>
        </w:tc>
        <w:tc>
          <w:tcPr>
            <w:tcW w:w="1422" w:type="dxa"/>
          </w:tcPr>
          <w:p w:rsidR="006722E6" w:rsidRPr="0039000D" w:rsidRDefault="006722E6" w:rsidP="0039000D">
            <w:pPr>
              <w:rPr>
                <w:rFonts w:ascii="Arial" w:eastAsia="Calibri" w:hAnsi="Arial" w:cs="Arial"/>
                <w:sz w:val="20"/>
                <w:szCs w:val="20"/>
                <w:lang w:val="en-GB"/>
              </w:rPr>
            </w:pPr>
            <w:r w:rsidRPr="0039000D">
              <w:rPr>
                <w:rFonts w:ascii="Arial" w:eastAsia="Calibri" w:hAnsi="Arial" w:cs="Arial"/>
                <w:sz w:val="20"/>
                <w:szCs w:val="20"/>
                <w:lang w:val="en-GB"/>
              </w:rPr>
              <w:t>36</w:t>
            </w:r>
          </w:p>
        </w:tc>
        <w:tc>
          <w:tcPr>
            <w:tcW w:w="1271" w:type="dxa"/>
          </w:tcPr>
          <w:p w:rsidR="006722E6" w:rsidRPr="0039000D" w:rsidRDefault="006722E6" w:rsidP="0039000D">
            <w:pPr>
              <w:rPr>
                <w:rFonts w:ascii="Arial" w:eastAsia="Calibri" w:hAnsi="Arial" w:cs="Arial"/>
                <w:sz w:val="20"/>
                <w:szCs w:val="20"/>
                <w:lang w:val="en-GB"/>
              </w:rPr>
            </w:pPr>
            <w:r w:rsidRPr="0039000D">
              <w:rPr>
                <w:rFonts w:ascii="Arial" w:eastAsia="Calibri" w:hAnsi="Arial" w:cs="Arial"/>
                <w:sz w:val="20"/>
                <w:szCs w:val="20"/>
                <w:lang w:val="en-GB"/>
              </w:rPr>
              <w:t>0.2%</w:t>
            </w:r>
          </w:p>
        </w:tc>
        <w:tc>
          <w:tcPr>
            <w:tcW w:w="998" w:type="dxa"/>
            <w:tcBorders>
              <w:right w:val="single" w:sz="8" w:space="0" w:color="auto"/>
            </w:tcBorders>
          </w:tcPr>
          <w:p w:rsidR="006722E6" w:rsidRPr="0039000D" w:rsidRDefault="006722E6" w:rsidP="0039000D">
            <w:pPr>
              <w:rPr>
                <w:rFonts w:ascii="Arial" w:eastAsia="Calibri" w:hAnsi="Arial" w:cs="Arial"/>
                <w:sz w:val="20"/>
                <w:szCs w:val="20"/>
                <w:lang w:val="en-GB"/>
              </w:rPr>
            </w:pPr>
            <w:r w:rsidRPr="0039000D">
              <w:rPr>
                <w:rFonts w:ascii="Arial" w:eastAsia="Calibri" w:hAnsi="Arial" w:cs="Arial"/>
                <w:sz w:val="20"/>
                <w:szCs w:val="20"/>
                <w:lang w:val="en-GB"/>
              </w:rPr>
              <w:t>0.0</w:t>
            </w:r>
          </w:p>
        </w:tc>
      </w:tr>
      <w:tr w:rsidR="0070396B" w:rsidRPr="0039000D" w:rsidTr="004E6C8E">
        <w:tc>
          <w:tcPr>
            <w:tcW w:w="1702" w:type="dxa"/>
            <w:tcBorders>
              <w:left w:val="single" w:sz="8" w:space="0" w:color="auto"/>
            </w:tcBorders>
          </w:tcPr>
          <w:p w:rsidR="006722E6" w:rsidRPr="0039000D" w:rsidRDefault="006722E6" w:rsidP="0039000D">
            <w:pPr>
              <w:rPr>
                <w:rFonts w:ascii="Arial" w:eastAsia="Calibri" w:hAnsi="Arial" w:cs="Arial"/>
                <w:sz w:val="20"/>
                <w:szCs w:val="20"/>
                <w:lang w:val="en-GB"/>
              </w:rPr>
            </w:pPr>
            <w:r w:rsidRPr="0039000D">
              <w:rPr>
                <w:rFonts w:ascii="Arial" w:eastAsia="Calibri" w:hAnsi="Arial" w:cs="Arial"/>
                <w:sz w:val="20"/>
                <w:szCs w:val="20"/>
                <w:lang w:val="en-GB"/>
              </w:rPr>
              <w:t>Civil Aviation Transport</w:t>
            </w:r>
          </w:p>
        </w:tc>
        <w:tc>
          <w:tcPr>
            <w:tcW w:w="1134" w:type="dxa"/>
          </w:tcPr>
          <w:p w:rsidR="006722E6" w:rsidRPr="0039000D" w:rsidRDefault="006722E6" w:rsidP="0039000D">
            <w:pPr>
              <w:rPr>
                <w:rFonts w:ascii="Arial" w:eastAsia="Calibri" w:hAnsi="Arial" w:cs="Arial"/>
                <w:sz w:val="20"/>
                <w:szCs w:val="20"/>
                <w:lang w:val="en-GB"/>
              </w:rPr>
            </w:pPr>
            <w:r w:rsidRPr="0039000D">
              <w:rPr>
                <w:rFonts w:ascii="Arial" w:eastAsia="Calibri" w:hAnsi="Arial" w:cs="Arial"/>
                <w:sz w:val="20"/>
                <w:szCs w:val="20"/>
                <w:lang w:val="en-GB"/>
              </w:rPr>
              <w:t>503.9</w:t>
            </w:r>
          </w:p>
        </w:tc>
        <w:tc>
          <w:tcPr>
            <w:tcW w:w="1134" w:type="dxa"/>
          </w:tcPr>
          <w:p w:rsidR="006722E6" w:rsidRPr="0039000D" w:rsidRDefault="006722E6" w:rsidP="0039000D">
            <w:pPr>
              <w:rPr>
                <w:rFonts w:ascii="Arial" w:eastAsia="Calibri" w:hAnsi="Arial" w:cs="Arial"/>
                <w:sz w:val="20"/>
                <w:szCs w:val="20"/>
                <w:lang w:val="en-GB"/>
              </w:rPr>
            </w:pPr>
            <w:r w:rsidRPr="0039000D">
              <w:rPr>
                <w:rFonts w:ascii="Arial" w:eastAsia="Calibri" w:hAnsi="Arial" w:cs="Arial"/>
                <w:sz w:val="20"/>
                <w:szCs w:val="20"/>
                <w:lang w:val="en-GB"/>
              </w:rPr>
              <w:t>496.3</w:t>
            </w:r>
          </w:p>
        </w:tc>
        <w:tc>
          <w:tcPr>
            <w:tcW w:w="1134" w:type="dxa"/>
          </w:tcPr>
          <w:p w:rsidR="006722E6" w:rsidRPr="0039000D" w:rsidRDefault="006722E6" w:rsidP="0039000D">
            <w:pPr>
              <w:rPr>
                <w:rFonts w:ascii="Arial" w:eastAsia="Calibri" w:hAnsi="Arial" w:cs="Arial"/>
                <w:sz w:val="20"/>
                <w:szCs w:val="20"/>
                <w:lang w:val="en-GB"/>
              </w:rPr>
            </w:pPr>
            <w:r w:rsidRPr="0039000D">
              <w:rPr>
                <w:rFonts w:ascii="Arial" w:eastAsia="Calibri" w:hAnsi="Arial" w:cs="Arial"/>
                <w:sz w:val="20"/>
                <w:szCs w:val="20"/>
                <w:lang w:val="en-GB"/>
              </w:rPr>
              <w:t>227.1</w:t>
            </w:r>
          </w:p>
        </w:tc>
        <w:tc>
          <w:tcPr>
            <w:tcW w:w="992" w:type="dxa"/>
          </w:tcPr>
          <w:p w:rsidR="006722E6" w:rsidRPr="0039000D" w:rsidRDefault="006722E6" w:rsidP="0039000D">
            <w:pPr>
              <w:rPr>
                <w:rFonts w:ascii="Arial" w:eastAsia="Calibri" w:hAnsi="Arial" w:cs="Arial"/>
                <w:sz w:val="20"/>
                <w:szCs w:val="20"/>
                <w:lang w:val="en-GB"/>
              </w:rPr>
            </w:pPr>
            <w:r w:rsidRPr="0039000D">
              <w:rPr>
                <w:rFonts w:ascii="Arial" w:eastAsia="Calibri" w:hAnsi="Arial" w:cs="Arial"/>
                <w:sz w:val="20"/>
                <w:szCs w:val="20"/>
                <w:lang w:val="en-GB"/>
              </w:rPr>
              <w:t>45.8%</w:t>
            </w:r>
          </w:p>
        </w:tc>
        <w:tc>
          <w:tcPr>
            <w:tcW w:w="1134" w:type="dxa"/>
          </w:tcPr>
          <w:p w:rsidR="006722E6" w:rsidRPr="0039000D" w:rsidRDefault="006722E6" w:rsidP="0039000D">
            <w:pPr>
              <w:rPr>
                <w:rFonts w:ascii="Arial" w:eastAsia="Calibri" w:hAnsi="Arial" w:cs="Arial"/>
                <w:sz w:val="20"/>
                <w:szCs w:val="20"/>
                <w:lang w:val="en-GB"/>
              </w:rPr>
            </w:pPr>
            <w:r w:rsidRPr="0039000D">
              <w:rPr>
                <w:rFonts w:ascii="Arial" w:eastAsia="Calibri" w:hAnsi="Arial" w:cs="Arial"/>
                <w:sz w:val="20"/>
                <w:szCs w:val="20"/>
                <w:lang w:val="en-GB"/>
              </w:rPr>
              <w:t>262.5</w:t>
            </w:r>
          </w:p>
        </w:tc>
        <w:tc>
          <w:tcPr>
            <w:tcW w:w="1422" w:type="dxa"/>
          </w:tcPr>
          <w:p w:rsidR="006722E6" w:rsidRPr="0039000D" w:rsidRDefault="006722E6" w:rsidP="0039000D">
            <w:pPr>
              <w:rPr>
                <w:rFonts w:ascii="Arial" w:eastAsia="Calibri" w:hAnsi="Arial" w:cs="Arial"/>
                <w:sz w:val="20"/>
                <w:szCs w:val="20"/>
                <w:lang w:val="en-GB"/>
              </w:rPr>
            </w:pPr>
            <w:r w:rsidRPr="0039000D">
              <w:rPr>
                <w:rFonts w:ascii="Arial" w:eastAsia="Calibri" w:hAnsi="Arial" w:cs="Arial"/>
                <w:sz w:val="20"/>
                <w:szCs w:val="20"/>
                <w:lang w:val="en-GB"/>
              </w:rPr>
              <w:t>35.4</w:t>
            </w:r>
          </w:p>
        </w:tc>
        <w:tc>
          <w:tcPr>
            <w:tcW w:w="1271" w:type="dxa"/>
          </w:tcPr>
          <w:p w:rsidR="006722E6" w:rsidRPr="0039000D" w:rsidRDefault="006722E6" w:rsidP="0039000D">
            <w:pPr>
              <w:rPr>
                <w:rFonts w:ascii="Arial" w:eastAsia="Calibri" w:hAnsi="Arial" w:cs="Arial"/>
                <w:sz w:val="20"/>
                <w:szCs w:val="20"/>
                <w:lang w:val="en-GB"/>
              </w:rPr>
            </w:pPr>
            <w:r w:rsidRPr="0039000D">
              <w:rPr>
                <w:rFonts w:ascii="Arial" w:eastAsia="Calibri" w:hAnsi="Arial" w:cs="Arial"/>
                <w:sz w:val="20"/>
                <w:szCs w:val="20"/>
                <w:lang w:val="en-GB"/>
              </w:rPr>
              <w:t>13.5%</w:t>
            </w:r>
          </w:p>
        </w:tc>
        <w:tc>
          <w:tcPr>
            <w:tcW w:w="998" w:type="dxa"/>
            <w:tcBorders>
              <w:right w:val="single" w:sz="8" w:space="0" w:color="auto"/>
            </w:tcBorders>
          </w:tcPr>
          <w:p w:rsidR="006722E6" w:rsidRPr="0039000D" w:rsidRDefault="006722E6" w:rsidP="0039000D">
            <w:pPr>
              <w:rPr>
                <w:rFonts w:ascii="Arial" w:eastAsia="Calibri" w:hAnsi="Arial" w:cs="Arial"/>
                <w:sz w:val="20"/>
                <w:szCs w:val="20"/>
                <w:lang w:val="en-GB"/>
              </w:rPr>
            </w:pPr>
            <w:r w:rsidRPr="0039000D">
              <w:rPr>
                <w:rFonts w:ascii="Arial" w:eastAsia="Calibri" w:hAnsi="Arial" w:cs="Arial"/>
                <w:sz w:val="20"/>
                <w:szCs w:val="20"/>
                <w:lang w:val="en-GB"/>
              </w:rPr>
              <w:t>0.0</w:t>
            </w:r>
          </w:p>
        </w:tc>
      </w:tr>
      <w:tr w:rsidR="0070396B" w:rsidRPr="0039000D" w:rsidTr="004E6C8E">
        <w:tc>
          <w:tcPr>
            <w:tcW w:w="1702" w:type="dxa"/>
            <w:tcBorders>
              <w:left w:val="single" w:sz="8" w:space="0" w:color="auto"/>
            </w:tcBorders>
          </w:tcPr>
          <w:p w:rsidR="006722E6" w:rsidRPr="0039000D" w:rsidRDefault="006722E6" w:rsidP="0039000D">
            <w:pPr>
              <w:rPr>
                <w:rFonts w:ascii="Arial" w:eastAsia="Calibri" w:hAnsi="Arial" w:cs="Arial"/>
                <w:sz w:val="20"/>
                <w:szCs w:val="20"/>
                <w:lang w:val="en-GB"/>
              </w:rPr>
            </w:pPr>
            <w:r w:rsidRPr="0039000D">
              <w:rPr>
                <w:rFonts w:ascii="Arial" w:eastAsia="Calibri" w:hAnsi="Arial" w:cs="Arial"/>
                <w:sz w:val="20"/>
                <w:szCs w:val="20"/>
                <w:lang w:val="en-GB"/>
              </w:rPr>
              <w:lastRenderedPageBreak/>
              <w:t>Maritime Transport</w:t>
            </w:r>
          </w:p>
        </w:tc>
        <w:tc>
          <w:tcPr>
            <w:tcW w:w="1134" w:type="dxa"/>
          </w:tcPr>
          <w:p w:rsidR="006722E6" w:rsidRPr="0039000D" w:rsidRDefault="006722E6" w:rsidP="0039000D">
            <w:pPr>
              <w:rPr>
                <w:rFonts w:ascii="Arial" w:eastAsia="Calibri" w:hAnsi="Arial" w:cs="Arial"/>
                <w:sz w:val="20"/>
                <w:szCs w:val="20"/>
                <w:lang w:val="en-GB"/>
              </w:rPr>
            </w:pPr>
            <w:r w:rsidRPr="0039000D">
              <w:rPr>
                <w:rFonts w:ascii="Arial" w:eastAsia="Calibri" w:hAnsi="Arial" w:cs="Arial"/>
                <w:sz w:val="20"/>
                <w:szCs w:val="20"/>
                <w:lang w:val="en-GB"/>
              </w:rPr>
              <w:t>157.5</w:t>
            </w:r>
          </w:p>
        </w:tc>
        <w:tc>
          <w:tcPr>
            <w:tcW w:w="1134" w:type="dxa"/>
          </w:tcPr>
          <w:p w:rsidR="006722E6" w:rsidRPr="0039000D" w:rsidRDefault="006722E6" w:rsidP="0039000D">
            <w:pPr>
              <w:rPr>
                <w:rFonts w:ascii="Arial" w:eastAsia="Calibri" w:hAnsi="Arial" w:cs="Arial"/>
                <w:sz w:val="20"/>
                <w:szCs w:val="20"/>
                <w:lang w:val="en-GB"/>
              </w:rPr>
            </w:pPr>
            <w:r w:rsidRPr="0039000D">
              <w:rPr>
                <w:rFonts w:ascii="Arial" w:eastAsia="Calibri" w:hAnsi="Arial" w:cs="Arial"/>
                <w:sz w:val="20"/>
                <w:szCs w:val="20"/>
                <w:lang w:val="en-GB"/>
              </w:rPr>
              <w:t>155.2</w:t>
            </w:r>
          </w:p>
        </w:tc>
        <w:tc>
          <w:tcPr>
            <w:tcW w:w="1134" w:type="dxa"/>
          </w:tcPr>
          <w:p w:rsidR="006722E6" w:rsidRPr="0039000D" w:rsidRDefault="006722E6" w:rsidP="0039000D">
            <w:pPr>
              <w:rPr>
                <w:rFonts w:ascii="Arial" w:eastAsia="Calibri" w:hAnsi="Arial" w:cs="Arial"/>
                <w:sz w:val="20"/>
                <w:szCs w:val="20"/>
                <w:lang w:val="en-GB"/>
              </w:rPr>
            </w:pPr>
            <w:r w:rsidRPr="0039000D">
              <w:rPr>
                <w:rFonts w:ascii="Arial" w:eastAsia="Calibri" w:hAnsi="Arial" w:cs="Arial"/>
                <w:sz w:val="20"/>
                <w:szCs w:val="20"/>
                <w:lang w:val="en-GB"/>
              </w:rPr>
              <w:t>58.2</w:t>
            </w:r>
          </w:p>
        </w:tc>
        <w:tc>
          <w:tcPr>
            <w:tcW w:w="992" w:type="dxa"/>
          </w:tcPr>
          <w:p w:rsidR="006722E6" w:rsidRPr="0039000D" w:rsidRDefault="006722E6" w:rsidP="0039000D">
            <w:pPr>
              <w:rPr>
                <w:rFonts w:ascii="Arial" w:eastAsia="Calibri" w:hAnsi="Arial" w:cs="Arial"/>
                <w:sz w:val="20"/>
                <w:szCs w:val="20"/>
                <w:lang w:val="en-GB"/>
              </w:rPr>
            </w:pPr>
            <w:r w:rsidRPr="0039000D">
              <w:rPr>
                <w:rFonts w:ascii="Arial" w:eastAsia="Calibri" w:hAnsi="Arial" w:cs="Arial"/>
                <w:sz w:val="20"/>
                <w:szCs w:val="20"/>
                <w:lang w:val="en-GB"/>
              </w:rPr>
              <w:t>37.5%</w:t>
            </w:r>
          </w:p>
        </w:tc>
        <w:tc>
          <w:tcPr>
            <w:tcW w:w="1134" w:type="dxa"/>
          </w:tcPr>
          <w:p w:rsidR="006722E6" w:rsidRPr="0039000D" w:rsidRDefault="006722E6" w:rsidP="0039000D">
            <w:pPr>
              <w:rPr>
                <w:rFonts w:ascii="Arial" w:eastAsia="Calibri" w:hAnsi="Arial" w:cs="Arial"/>
                <w:sz w:val="20"/>
                <w:szCs w:val="20"/>
                <w:lang w:val="en-GB"/>
              </w:rPr>
            </w:pPr>
            <w:r w:rsidRPr="0039000D">
              <w:rPr>
                <w:rFonts w:ascii="Arial" w:eastAsia="Calibri" w:hAnsi="Arial" w:cs="Arial"/>
                <w:sz w:val="20"/>
                <w:szCs w:val="20"/>
                <w:lang w:val="en-GB"/>
              </w:rPr>
              <w:t>82.1</w:t>
            </w:r>
          </w:p>
        </w:tc>
        <w:tc>
          <w:tcPr>
            <w:tcW w:w="1422" w:type="dxa"/>
          </w:tcPr>
          <w:p w:rsidR="006722E6" w:rsidRPr="0039000D" w:rsidRDefault="006722E6" w:rsidP="0039000D">
            <w:pPr>
              <w:rPr>
                <w:rFonts w:ascii="Arial" w:eastAsia="Calibri" w:hAnsi="Arial" w:cs="Arial"/>
                <w:sz w:val="20"/>
                <w:szCs w:val="20"/>
                <w:lang w:val="en-GB"/>
              </w:rPr>
            </w:pPr>
            <w:r w:rsidRPr="0039000D">
              <w:rPr>
                <w:rFonts w:ascii="Arial" w:eastAsia="Calibri" w:hAnsi="Arial" w:cs="Arial"/>
                <w:sz w:val="20"/>
                <w:szCs w:val="20"/>
                <w:lang w:val="en-GB"/>
              </w:rPr>
              <w:t>23.9</w:t>
            </w:r>
          </w:p>
        </w:tc>
        <w:tc>
          <w:tcPr>
            <w:tcW w:w="1271" w:type="dxa"/>
          </w:tcPr>
          <w:p w:rsidR="006722E6" w:rsidRPr="0039000D" w:rsidRDefault="006722E6" w:rsidP="0039000D">
            <w:pPr>
              <w:rPr>
                <w:rFonts w:ascii="Arial" w:eastAsia="Calibri" w:hAnsi="Arial" w:cs="Arial"/>
                <w:sz w:val="20"/>
                <w:szCs w:val="20"/>
                <w:lang w:val="en-GB"/>
              </w:rPr>
            </w:pPr>
            <w:r w:rsidRPr="0039000D">
              <w:rPr>
                <w:rFonts w:ascii="Arial" w:eastAsia="Calibri" w:hAnsi="Arial" w:cs="Arial"/>
                <w:sz w:val="20"/>
                <w:szCs w:val="20"/>
                <w:lang w:val="en-GB"/>
              </w:rPr>
              <w:t>29.1%</w:t>
            </w:r>
          </w:p>
        </w:tc>
        <w:tc>
          <w:tcPr>
            <w:tcW w:w="998" w:type="dxa"/>
            <w:tcBorders>
              <w:right w:val="single" w:sz="8" w:space="0" w:color="auto"/>
            </w:tcBorders>
          </w:tcPr>
          <w:p w:rsidR="006722E6" w:rsidRPr="0039000D" w:rsidRDefault="006722E6" w:rsidP="0039000D">
            <w:pPr>
              <w:rPr>
                <w:rFonts w:ascii="Arial" w:eastAsia="Calibri" w:hAnsi="Arial" w:cs="Arial"/>
                <w:sz w:val="20"/>
                <w:szCs w:val="20"/>
                <w:lang w:val="en-GB"/>
              </w:rPr>
            </w:pPr>
            <w:r w:rsidRPr="0039000D">
              <w:rPr>
                <w:rFonts w:ascii="Arial" w:eastAsia="Calibri" w:hAnsi="Arial" w:cs="Arial"/>
                <w:sz w:val="20"/>
                <w:szCs w:val="20"/>
                <w:lang w:val="en-GB"/>
              </w:rPr>
              <w:t>0.0</w:t>
            </w:r>
          </w:p>
        </w:tc>
      </w:tr>
      <w:tr w:rsidR="0070396B" w:rsidRPr="0039000D" w:rsidTr="004E6C8E">
        <w:tc>
          <w:tcPr>
            <w:tcW w:w="1702" w:type="dxa"/>
            <w:tcBorders>
              <w:left w:val="single" w:sz="8" w:space="0" w:color="auto"/>
              <w:bottom w:val="single" w:sz="8" w:space="0" w:color="auto"/>
            </w:tcBorders>
          </w:tcPr>
          <w:p w:rsidR="006722E6" w:rsidRPr="0039000D" w:rsidRDefault="006722E6" w:rsidP="0039000D">
            <w:pPr>
              <w:rPr>
                <w:rFonts w:ascii="Arial" w:eastAsia="Calibri" w:hAnsi="Arial" w:cs="Arial"/>
                <w:sz w:val="20"/>
                <w:szCs w:val="20"/>
                <w:lang w:val="en-GB"/>
              </w:rPr>
            </w:pPr>
            <w:r w:rsidRPr="0039000D">
              <w:rPr>
                <w:rFonts w:ascii="Arial" w:eastAsia="Calibri" w:hAnsi="Arial" w:cs="Arial"/>
                <w:sz w:val="20"/>
                <w:szCs w:val="20"/>
                <w:lang w:val="en-GB"/>
              </w:rPr>
              <w:t>Public Transport</w:t>
            </w:r>
          </w:p>
        </w:tc>
        <w:tc>
          <w:tcPr>
            <w:tcW w:w="1134" w:type="dxa"/>
            <w:tcBorders>
              <w:bottom w:val="single" w:sz="8" w:space="0" w:color="auto"/>
            </w:tcBorders>
          </w:tcPr>
          <w:p w:rsidR="006722E6" w:rsidRPr="0039000D" w:rsidRDefault="006722E6" w:rsidP="0039000D">
            <w:pPr>
              <w:rPr>
                <w:rFonts w:ascii="Arial" w:eastAsia="Calibri" w:hAnsi="Arial" w:cs="Arial"/>
                <w:sz w:val="20"/>
                <w:szCs w:val="20"/>
                <w:lang w:val="en-GB"/>
              </w:rPr>
            </w:pPr>
            <w:r w:rsidRPr="0039000D">
              <w:rPr>
                <w:rFonts w:ascii="Arial" w:eastAsia="Calibri" w:hAnsi="Arial" w:cs="Arial"/>
                <w:sz w:val="20"/>
                <w:szCs w:val="20"/>
                <w:lang w:val="en-GB"/>
              </w:rPr>
              <w:t>14 488.6</w:t>
            </w:r>
          </w:p>
        </w:tc>
        <w:tc>
          <w:tcPr>
            <w:tcW w:w="1134" w:type="dxa"/>
            <w:tcBorders>
              <w:bottom w:val="single" w:sz="8" w:space="0" w:color="auto"/>
            </w:tcBorders>
          </w:tcPr>
          <w:p w:rsidR="006722E6" w:rsidRPr="0039000D" w:rsidRDefault="006722E6" w:rsidP="0039000D">
            <w:pPr>
              <w:rPr>
                <w:rFonts w:ascii="Arial" w:eastAsia="Calibri" w:hAnsi="Arial" w:cs="Arial"/>
                <w:sz w:val="20"/>
                <w:szCs w:val="20"/>
                <w:lang w:val="en-GB"/>
              </w:rPr>
            </w:pPr>
            <w:r w:rsidRPr="0039000D">
              <w:rPr>
                <w:rFonts w:ascii="Arial" w:eastAsia="Calibri" w:hAnsi="Arial" w:cs="Arial"/>
                <w:sz w:val="20"/>
                <w:szCs w:val="20"/>
                <w:lang w:val="en-GB"/>
              </w:rPr>
              <w:t>13 133.3</w:t>
            </w:r>
          </w:p>
        </w:tc>
        <w:tc>
          <w:tcPr>
            <w:tcW w:w="1134" w:type="dxa"/>
            <w:tcBorders>
              <w:bottom w:val="single" w:sz="8" w:space="0" w:color="auto"/>
            </w:tcBorders>
          </w:tcPr>
          <w:p w:rsidR="006722E6" w:rsidRPr="0039000D" w:rsidRDefault="006722E6" w:rsidP="0039000D">
            <w:pPr>
              <w:rPr>
                <w:rFonts w:ascii="Arial" w:eastAsia="Calibri" w:hAnsi="Arial" w:cs="Arial"/>
                <w:sz w:val="20"/>
                <w:szCs w:val="20"/>
                <w:lang w:val="en-GB"/>
              </w:rPr>
            </w:pPr>
            <w:r w:rsidRPr="0039000D">
              <w:rPr>
                <w:rFonts w:ascii="Arial" w:eastAsia="Calibri" w:hAnsi="Arial" w:cs="Arial"/>
                <w:sz w:val="20"/>
                <w:szCs w:val="20"/>
                <w:lang w:val="en-GB"/>
              </w:rPr>
              <w:t>5 530.1</w:t>
            </w:r>
          </w:p>
        </w:tc>
        <w:tc>
          <w:tcPr>
            <w:tcW w:w="992" w:type="dxa"/>
            <w:tcBorders>
              <w:bottom w:val="single" w:sz="8" w:space="0" w:color="auto"/>
            </w:tcBorders>
          </w:tcPr>
          <w:p w:rsidR="006722E6" w:rsidRPr="0039000D" w:rsidRDefault="006722E6" w:rsidP="0039000D">
            <w:pPr>
              <w:rPr>
                <w:rFonts w:ascii="Arial" w:eastAsia="Calibri" w:hAnsi="Arial" w:cs="Arial"/>
                <w:sz w:val="20"/>
                <w:szCs w:val="20"/>
                <w:lang w:val="en-GB"/>
              </w:rPr>
            </w:pPr>
            <w:r w:rsidRPr="0039000D">
              <w:rPr>
                <w:rFonts w:ascii="Arial" w:eastAsia="Calibri" w:hAnsi="Arial" w:cs="Arial"/>
                <w:sz w:val="20"/>
                <w:szCs w:val="20"/>
                <w:lang w:val="en-GB"/>
              </w:rPr>
              <w:t>42.1%</w:t>
            </w:r>
          </w:p>
        </w:tc>
        <w:tc>
          <w:tcPr>
            <w:tcW w:w="1134" w:type="dxa"/>
            <w:tcBorders>
              <w:bottom w:val="single" w:sz="8" w:space="0" w:color="auto"/>
            </w:tcBorders>
          </w:tcPr>
          <w:p w:rsidR="006722E6" w:rsidRPr="0039000D" w:rsidRDefault="006722E6" w:rsidP="0039000D">
            <w:pPr>
              <w:rPr>
                <w:rFonts w:ascii="Arial" w:eastAsia="Calibri" w:hAnsi="Arial" w:cs="Arial"/>
                <w:sz w:val="20"/>
                <w:szCs w:val="20"/>
                <w:lang w:val="en-GB"/>
              </w:rPr>
            </w:pPr>
            <w:r w:rsidRPr="0039000D">
              <w:rPr>
                <w:rFonts w:ascii="Arial" w:eastAsia="Calibri" w:hAnsi="Arial" w:cs="Arial"/>
                <w:sz w:val="20"/>
                <w:szCs w:val="20"/>
                <w:lang w:val="en-GB"/>
              </w:rPr>
              <w:t>5 717.8</w:t>
            </w:r>
          </w:p>
        </w:tc>
        <w:tc>
          <w:tcPr>
            <w:tcW w:w="1422" w:type="dxa"/>
            <w:tcBorders>
              <w:bottom w:val="single" w:sz="8" w:space="0" w:color="auto"/>
            </w:tcBorders>
          </w:tcPr>
          <w:p w:rsidR="006722E6" w:rsidRPr="0039000D" w:rsidRDefault="006722E6" w:rsidP="0039000D">
            <w:pPr>
              <w:rPr>
                <w:rFonts w:ascii="Arial" w:eastAsia="Calibri" w:hAnsi="Arial" w:cs="Arial"/>
                <w:sz w:val="20"/>
                <w:szCs w:val="20"/>
                <w:lang w:val="en-GB"/>
              </w:rPr>
            </w:pPr>
            <w:r w:rsidRPr="0039000D">
              <w:rPr>
                <w:rFonts w:ascii="Arial" w:eastAsia="Calibri" w:hAnsi="Arial" w:cs="Arial"/>
                <w:sz w:val="20"/>
                <w:szCs w:val="20"/>
                <w:lang w:val="en-GB"/>
              </w:rPr>
              <w:t>187.7</w:t>
            </w:r>
          </w:p>
        </w:tc>
        <w:tc>
          <w:tcPr>
            <w:tcW w:w="1271" w:type="dxa"/>
            <w:tcBorders>
              <w:bottom w:val="single" w:sz="8" w:space="0" w:color="auto"/>
            </w:tcBorders>
          </w:tcPr>
          <w:p w:rsidR="006722E6" w:rsidRPr="0039000D" w:rsidRDefault="006722E6" w:rsidP="0039000D">
            <w:pPr>
              <w:rPr>
                <w:rFonts w:ascii="Arial" w:eastAsia="Calibri" w:hAnsi="Arial" w:cs="Arial"/>
                <w:sz w:val="20"/>
                <w:szCs w:val="20"/>
                <w:lang w:val="en-GB"/>
              </w:rPr>
            </w:pPr>
            <w:r w:rsidRPr="0039000D">
              <w:rPr>
                <w:rFonts w:ascii="Arial" w:eastAsia="Calibri" w:hAnsi="Arial" w:cs="Arial"/>
                <w:sz w:val="20"/>
                <w:szCs w:val="20"/>
                <w:lang w:val="en-GB"/>
              </w:rPr>
              <w:t>3.3%</w:t>
            </w:r>
          </w:p>
        </w:tc>
        <w:tc>
          <w:tcPr>
            <w:tcW w:w="998" w:type="dxa"/>
            <w:tcBorders>
              <w:bottom w:val="single" w:sz="8" w:space="0" w:color="auto"/>
              <w:right w:val="single" w:sz="8" w:space="0" w:color="auto"/>
            </w:tcBorders>
          </w:tcPr>
          <w:p w:rsidR="006722E6" w:rsidRPr="0039000D" w:rsidRDefault="006722E6" w:rsidP="0039000D">
            <w:pPr>
              <w:rPr>
                <w:rFonts w:ascii="Arial" w:eastAsia="Calibri" w:hAnsi="Arial" w:cs="Arial"/>
                <w:sz w:val="20"/>
                <w:szCs w:val="20"/>
                <w:lang w:val="en-GB"/>
              </w:rPr>
            </w:pPr>
            <w:r w:rsidRPr="0039000D">
              <w:rPr>
                <w:rFonts w:ascii="Arial" w:eastAsia="Calibri" w:hAnsi="Arial" w:cs="Arial"/>
                <w:sz w:val="20"/>
                <w:szCs w:val="20"/>
                <w:lang w:val="en-GB"/>
              </w:rPr>
              <w:t>0.0</w:t>
            </w:r>
          </w:p>
        </w:tc>
      </w:tr>
      <w:tr w:rsidR="0070396B" w:rsidRPr="0039000D" w:rsidTr="004E6C8E">
        <w:tc>
          <w:tcPr>
            <w:tcW w:w="1702" w:type="dxa"/>
            <w:tcBorders>
              <w:top w:val="single" w:sz="8" w:space="0" w:color="auto"/>
              <w:left w:val="single" w:sz="8" w:space="0" w:color="auto"/>
              <w:bottom w:val="single" w:sz="8" w:space="0" w:color="auto"/>
              <w:right w:val="single" w:sz="8" w:space="0" w:color="auto"/>
            </w:tcBorders>
            <w:shd w:val="clear" w:color="auto" w:fill="DEEAF6"/>
          </w:tcPr>
          <w:p w:rsidR="006722E6" w:rsidRPr="0039000D" w:rsidRDefault="006722E6" w:rsidP="0039000D">
            <w:pPr>
              <w:rPr>
                <w:rFonts w:ascii="Arial" w:eastAsia="Calibri" w:hAnsi="Arial" w:cs="Arial"/>
                <w:b/>
                <w:sz w:val="20"/>
                <w:szCs w:val="20"/>
                <w:lang w:val="en-GB"/>
              </w:rPr>
            </w:pPr>
            <w:r w:rsidRPr="0039000D">
              <w:rPr>
                <w:rFonts w:ascii="Arial" w:eastAsia="Calibri" w:hAnsi="Arial" w:cs="Arial"/>
                <w:b/>
                <w:sz w:val="20"/>
                <w:szCs w:val="20"/>
                <w:lang w:val="en-GB"/>
              </w:rPr>
              <w:t>Total</w:t>
            </w:r>
          </w:p>
        </w:tc>
        <w:tc>
          <w:tcPr>
            <w:tcW w:w="1134" w:type="dxa"/>
            <w:tcBorders>
              <w:top w:val="single" w:sz="8" w:space="0" w:color="auto"/>
              <w:left w:val="single" w:sz="8" w:space="0" w:color="auto"/>
              <w:bottom w:val="single" w:sz="8" w:space="0" w:color="auto"/>
              <w:right w:val="single" w:sz="8" w:space="0" w:color="auto"/>
            </w:tcBorders>
            <w:shd w:val="clear" w:color="auto" w:fill="DEEAF6"/>
          </w:tcPr>
          <w:p w:rsidR="006722E6" w:rsidRPr="0039000D" w:rsidRDefault="006722E6" w:rsidP="0039000D">
            <w:pPr>
              <w:rPr>
                <w:rFonts w:ascii="Arial" w:eastAsia="Calibri" w:hAnsi="Arial" w:cs="Arial"/>
                <w:b/>
                <w:sz w:val="20"/>
                <w:szCs w:val="20"/>
                <w:lang w:val="en-GB"/>
              </w:rPr>
            </w:pPr>
            <w:r w:rsidRPr="0039000D">
              <w:rPr>
                <w:rFonts w:ascii="Arial" w:eastAsia="Calibri" w:hAnsi="Arial" w:cs="Arial"/>
                <w:b/>
                <w:sz w:val="20"/>
                <w:szCs w:val="20"/>
                <w:lang w:val="en-GB"/>
              </w:rPr>
              <w:t>66 691.8</w:t>
            </w:r>
          </w:p>
        </w:tc>
        <w:tc>
          <w:tcPr>
            <w:tcW w:w="1134" w:type="dxa"/>
            <w:tcBorders>
              <w:top w:val="single" w:sz="8" w:space="0" w:color="auto"/>
              <w:left w:val="single" w:sz="8" w:space="0" w:color="auto"/>
              <w:bottom w:val="single" w:sz="8" w:space="0" w:color="auto"/>
              <w:right w:val="single" w:sz="8" w:space="0" w:color="auto"/>
            </w:tcBorders>
            <w:shd w:val="clear" w:color="auto" w:fill="DEEAF6"/>
          </w:tcPr>
          <w:p w:rsidR="006722E6" w:rsidRPr="0039000D" w:rsidRDefault="006722E6" w:rsidP="0039000D">
            <w:pPr>
              <w:rPr>
                <w:rFonts w:ascii="Arial" w:eastAsia="Calibri" w:hAnsi="Arial" w:cs="Arial"/>
                <w:b/>
                <w:sz w:val="20"/>
                <w:szCs w:val="20"/>
                <w:lang w:val="en-GB"/>
              </w:rPr>
            </w:pPr>
            <w:r w:rsidRPr="0039000D">
              <w:rPr>
                <w:rFonts w:ascii="Arial" w:eastAsia="Calibri" w:hAnsi="Arial" w:cs="Arial"/>
                <w:b/>
                <w:sz w:val="20"/>
                <w:szCs w:val="20"/>
                <w:lang w:val="en-GB"/>
              </w:rPr>
              <w:t>65 425.5</w:t>
            </w:r>
          </w:p>
        </w:tc>
        <w:tc>
          <w:tcPr>
            <w:tcW w:w="1134" w:type="dxa"/>
            <w:tcBorders>
              <w:top w:val="single" w:sz="8" w:space="0" w:color="auto"/>
              <w:left w:val="single" w:sz="8" w:space="0" w:color="auto"/>
              <w:bottom w:val="single" w:sz="8" w:space="0" w:color="auto"/>
              <w:right w:val="single" w:sz="8" w:space="0" w:color="auto"/>
            </w:tcBorders>
            <w:shd w:val="clear" w:color="auto" w:fill="DEEAF6"/>
          </w:tcPr>
          <w:p w:rsidR="006722E6" w:rsidRPr="0039000D" w:rsidRDefault="006722E6" w:rsidP="0039000D">
            <w:pPr>
              <w:rPr>
                <w:rFonts w:ascii="Arial" w:eastAsia="Calibri" w:hAnsi="Arial" w:cs="Arial"/>
                <w:b/>
                <w:sz w:val="20"/>
                <w:szCs w:val="20"/>
                <w:lang w:val="en-GB"/>
              </w:rPr>
            </w:pPr>
            <w:r w:rsidRPr="0039000D">
              <w:rPr>
                <w:rFonts w:ascii="Arial" w:eastAsia="Calibri" w:hAnsi="Arial" w:cs="Arial"/>
                <w:b/>
                <w:sz w:val="20"/>
                <w:szCs w:val="20"/>
                <w:lang w:val="en-GB"/>
              </w:rPr>
              <w:t>29 047.1</w:t>
            </w:r>
          </w:p>
        </w:tc>
        <w:tc>
          <w:tcPr>
            <w:tcW w:w="992" w:type="dxa"/>
            <w:tcBorders>
              <w:top w:val="single" w:sz="8" w:space="0" w:color="auto"/>
              <w:left w:val="single" w:sz="8" w:space="0" w:color="auto"/>
              <w:bottom w:val="single" w:sz="8" w:space="0" w:color="auto"/>
              <w:right w:val="single" w:sz="8" w:space="0" w:color="auto"/>
            </w:tcBorders>
            <w:shd w:val="clear" w:color="auto" w:fill="DEEAF6"/>
          </w:tcPr>
          <w:p w:rsidR="006722E6" w:rsidRPr="0039000D" w:rsidRDefault="006722E6" w:rsidP="0039000D">
            <w:pPr>
              <w:rPr>
                <w:rFonts w:ascii="Arial" w:eastAsia="Calibri" w:hAnsi="Arial" w:cs="Arial"/>
                <w:b/>
                <w:sz w:val="20"/>
                <w:szCs w:val="20"/>
                <w:lang w:val="en-GB"/>
              </w:rPr>
            </w:pPr>
            <w:r w:rsidRPr="0039000D">
              <w:rPr>
                <w:rFonts w:ascii="Arial" w:eastAsia="Calibri" w:hAnsi="Arial" w:cs="Arial"/>
                <w:b/>
                <w:sz w:val="20"/>
                <w:szCs w:val="20"/>
                <w:lang w:val="en-GB"/>
              </w:rPr>
              <w:t>44.4%</w:t>
            </w:r>
          </w:p>
        </w:tc>
        <w:tc>
          <w:tcPr>
            <w:tcW w:w="1134" w:type="dxa"/>
            <w:tcBorders>
              <w:top w:val="single" w:sz="8" w:space="0" w:color="auto"/>
              <w:left w:val="single" w:sz="8" w:space="0" w:color="auto"/>
              <w:bottom w:val="single" w:sz="8" w:space="0" w:color="auto"/>
              <w:right w:val="single" w:sz="8" w:space="0" w:color="auto"/>
            </w:tcBorders>
            <w:shd w:val="clear" w:color="auto" w:fill="DEEAF6"/>
          </w:tcPr>
          <w:p w:rsidR="006722E6" w:rsidRPr="0039000D" w:rsidRDefault="006722E6" w:rsidP="0039000D">
            <w:pPr>
              <w:rPr>
                <w:rFonts w:ascii="Arial" w:eastAsia="Calibri" w:hAnsi="Arial" w:cs="Arial"/>
                <w:b/>
                <w:sz w:val="20"/>
                <w:szCs w:val="20"/>
                <w:lang w:val="en-GB"/>
              </w:rPr>
            </w:pPr>
            <w:r w:rsidRPr="0039000D">
              <w:rPr>
                <w:rFonts w:ascii="Arial" w:eastAsia="Calibri" w:hAnsi="Arial" w:cs="Arial"/>
                <w:b/>
                <w:sz w:val="20"/>
                <w:szCs w:val="20"/>
                <w:lang w:val="en-GB"/>
              </w:rPr>
              <w:t>31 928.2</w:t>
            </w:r>
          </w:p>
        </w:tc>
        <w:tc>
          <w:tcPr>
            <w:tcW w:w="1422" w:type="dxa"/>
            <w:tcBorders>
              <w:top w:val="single" w:sz="8" w:space="0" w:color="auto"/>
              <w:left w:val="single" w:sz="8" w:space="0" w:color="auto"/>
              <w:bottom w:val="single" w:sz="8" w:space="0" w:color="auto"/>
              <w:right w:val="single" w:sz="8" w:space="0" w:color="auto"/>
            </w:tcBorders>
            <w:shd w:val="clear" w:color="auto" w:fill="DEEAF6"/>
          </w:tcPr>
          <w:p w:rsidR="006722E6" w:rsidRPr="0039000D" w:rsidRDefault="006722E6" w:rsidP="0039000D">
            <w:pPr>
              <w:rPr>
                <w:rFonts w:ascii="Arial" w:eastAsia="Calibri" w:hAnsi="Arial" w:cs="Arial"/>
                <w:b/>
                <w:sz w:val="20"/>
                <w:szCs w:val="20"/>
                <w:lang w:val="en-GB"/>
              </w:rPr>
            </w:pPr>
            <w:r w:rsidRPr="0039000D">
              <w:rPr>
                <w:rFonts w:ascii="Arial" w:eastAsia="Calibri" w:hAnsi="Arial" w:cs="Arial"/>
                <w:b/>
                <w:sz w:val="20"/>
                <w:szCs w:val="20"/>
                <w:lang w:val="en-GB"/>
              </w:rPr>
              <w:t>2 881.2</w:t>
            </w:r>
          </w:p>
        </w:tc>
        <w:tc>
          <w:tcPr>
            <w:tcW w:w="1271" w:type="dxa"/>
            <w:tcBorders>
              <w:top w:val="single" w:sz="8" w:space="0" w:color="auto"/>
              <w:left w:val="single" w:sz="8" w:space="0" w:color="auto"/>
              <w:bottom w:val="single" w:sz="8" w:space="0" w:color="auto"/>
              <w:right w:val="single" w:sz="8" w:space="0" w:color="auto"/>
            </w:tcBorders>
            <w:shd w:val="clear" w:color="auto" w:fill="DEEAF6"/>
          </w:tcPr>
          <w:p w:rsidR="006722E6" w:rsidRPr="0039000D" w:rsidRDefault="006722E6" w:rsidP="0039000D">
            <w:pPr>
              <w:rPr>
                <w:rFonts w:ascii="Arial" w:eastAsia="Calibri" w:hAnsi="Arial" w:cs="Arial"/>
                <w:b/>
                <w:sz w:val="20"/>
                <w:szCs w:val="20"/>
                <w:lang w:val="en-GB"/>
              </w:rPr>
            </w:pPr>
            <w:r w:rsidRPr="0039000D">
              <w:rPr>
                <w:rFonts w:ascii="Arial" w:eastAsia="Calibri" w:hAnsi="Arial" w:cs="Arial"/>
                <w:b/>
                <w:sz w:val="20"/>
                <w:szCs w:val="20"/>
                <w:lang w:val="en-GB"/>
              </w:rPr>
              <w:t>9%</w:t>
            </w:r>
          </w:p>
        </w:tc>
        <w:tc>
          <w:tcPr>
            <w:tcW w:w="998" w:type="dxa"/>
            <w:tcBorders>
              <w:top w:val="single" w:sz="8" w:space="0" w:color="auto"/>
              <w:left w:val="single" w:sz="8" w:space="0" w:color="auto"/>
              <w:bottom w:val="single" w:sz="8" w:space="0" w:color="auto"/>
              <w:right w:val="single" w:sz="8" w:space="0" w:color="auto"/>
            </w:tcBorders>
            <w:shd w:val="clear" w:color="auto" w:fill="DEEAF6"/>
          </w:tcPr>
          <w:p w:rsidR="006722E6" w:rsidRPr="0039000D" w:rsidRDefault="006722E6" w:rsidP="0039000D">
            <w:pPr>
              <w:rPr>
                <w:rFonts w:ascii="Arial" w:eastAsia="Calibri" w:hAnsi="Arial" w:cs="Arial"/>
                <w:b/>
                <w:sz w:val="20"/>
                <w:szCs w:val="20"/>
                <w:lang w:val="en-GB"/>
              </w:rPr>
            </w:pPr>
            <w:r w:rsidRPr="0039000D">
              <w:rPr>
                <w:rFonts w:ascii="Arial" w:eastAsia="Calibri" w:hAnsi="Arial" w:cs="Arial"/>
                <w:b/>
                <w:sz w:val="20"/>
                <w:szCs w:val="20"/>
                <w:lang w:val="en-GB"/>
              </w:rPr>
              <w:t>0.4</w:t>
            </w:r>
          </w:p>
        </w:tc>
      </w:tr>
    </w:tbl>
    <w:p w:rsidR="006722E6" w:rsidRPr="0039000D" w:rsidRDefault="006722E6" w:rsidP="0039000D">
      <w:pPr>
        <w:spacing w:after="0" w:line="240" w:lineRule="auto"/>
        <w:rPr>
          <w:rFonts w:ascii="Arial" w:eastAsia="Calibri" w:hAnsi="Arial" w:cs="Arial"/>
          <w:b/>
          <w:sz w:val="20"/>
          <w:szCs w:val="20"/>
          <w:lang w:val="en-GB"/>
        </w:rPr>
      </w:pPr>
      <w:r w:rsidRPr="0039000D">
        <w:rPr>
          <w:rFonts w:ascii="Arial" w:eastAsia="Calibri" w:hAnsi="Arial" w:cs="Arial"/>
          <w:b/>
          <w:sz w:val="20"/>
          <w:szCs w:val="20"/>
          <w:lang w:val="en-GB"/>
        </w:rPr>
        <w:t>Source: (National Treasury (2021a)</w:t>
      </w:r>
    </w:p>
    <w:p w:rsidR="006722E6" w:rsidRPr="0039000D" w:rsidRDefault="006722E6" w:rsidP="0039000D">
      <w:pPr>
        <w:spacing w:after="0" w:line="240" w:lineRule="auto"/>
        <w:rPr>
          <w:rFonts w:ascii="Arial" w:eastAsia="Calibri" w:hAnsi="Arial" w:cs="Arial"/>
          <w:sz w:val="20"/>
          <w:szCs w:val="20"/>
          <w:lang w:val="en-GB"/>
        </w:rPr>
      </w:pPr>
    </w:p>
    <w:p w:rsidR="006722E6" w:rsidRPr="0039000D" w:rsidRDefault="006722E6" w:rsidP="0039000D">
      <w:pPr>
        <w:spacing w:after="0" w:line="240" w:lineRule="auto"/>
        <w:rPr>
          <w:rFonts w:ascii="Arial" w:eastAsia="Calibri" w:hAnsi="Arial" w:cs="Arial"/>
          <w:sz w:val="20"/>
          <w:szCs w:val="20"/>
          <w:lang w:val="en-GB"/>
        </w:rPr>
      </w:pPr>
    </w:p>
    <w:p w:rsidR="006722E6" w:rsidRPr="0039000D" w:rsidRDefault="006722E6" w:rsidP="0039000D">
      <w:pPr>
        <w:keepNext/>
        <w:keepLines/>
        <w:spacing w:after="0" w:line="240" w:lineRule="auto"/>
        <w:outlineLvl w:val="1"/>
        <w:rPr>
          <w:rFonts w:ascii="Arial" w:eastAsia="Times New Roman" w:hAnsi="Arial" w:cs="Arial"/>
          <w:b/>
          <w:sz w:val="20"/>
          <w:szCs w:val="20"/>
          <w:lang w:val="en-GB"/>
        </w:rPr>
      </w:pPr>
      <w:bookmarkStart w:id="2" w:name="_Toc97530545"/>
      <w:r w:rsidRPr="0039000D">
        <w:rPr>
          <w:rFonts w:ascii="Arial" w:eastAsia="Times New Roman" w:hAnsi="Arial" w:cs="Arial"/>
          <w:b/>
          <w:sz w:val="20"/>
          <w:szCs w:val="20"/>
          <w:lang w:val="en-GB"/>
        </w:rPr>
        <w:t>2.1</w:t>
      </w:r>
      <w:r w:rsidR="00DF60B5" w:rsidRPr="0039000D">
        <w:rPr>
          <w:rFonts w:ascii="Arial" w:eastAsia="Times New Roman" w:hAnsi="Arial" w:cs="Arial"/>
          <w:b/>
          <w:sz w:val="20"/>
          <w:szCs w:val="20"/>
          <w:lang w:val="en-GB"/>
        </w:rPr>
        <w:t>.1</w:t>
      </w:r>
      <w:r w:rsidRPr="0039000D">
        <w:rPr>
          <w:rFonts w:ascii="Arial" w:eastAsia="Times New Roman" w:hAnsi="Arial" w:cs="Arial"/>
          <w:b/>
          <w:sz w:val="20"/>
          <w:szCs w:val="20"/>
          <w:lang w:val="en-GB"/>
        </w:rPr>
        <w:t xml:space="preserve"> Programme 1: Administration</w:t>
      </w:r>
      <w:bookmarkEnd w:id="2"/>
    </w:p>
    <w:p w:rsidR="006722E6" w:rsidRPr="0039000D" w:rsidRDefault="006722E6" w:rsidP="0039000D">
      <w:pPr>
        <w:spacing w:after="0" w:line="240" w:lineRule="auto"/>
        <w:rPr>
          <w:rFonts w:ascii="Arial" w:eastAsia="Calibri" w:hAnsi="Arial" w:cs="Arial"/>
          <w:sz w:val="20"/>
          <w:szCs w:val="20"/>
          <w:lang w:val="en-GB"/>
        </w:rPr>
      </w:pPr>
    </w:p>
    <w:p w:rsidR="006722E6" w:rsidRPr="0039000D" w:rsidRDefault="006722E6" w:rsidP="0039000D">
      <w:pPr>
        <w:spacing w:after="0" w:line="240" w:lineRule="auto"/>
        <w:rPr>
          <w:rFonts w:ascii="Arial" w:eastAsia="Calibri" w:hAnsi="Arial" w:cs="Arial"/>
          <w:sz w:val="20"/>
          <w:szCs w:val="20"/>
          <w:lang w:val="en-GB"/>
        </w:rPr>
      </w:pPr>
      <w:r w:rsidRPr="0039000D">
        <w:rPr>
          <w:rFonts w:ascii="Arial" w:eastAsia="Calibri" w:hAnsi="Arial" w:cs="Arial"/>
          <w:sz w:val="20"/>
          <w:szCs w:val="20"/>
          <w:lang w:val="en-GB"/>
        </w:rPr>
        <w:t>By the end of the Second Quarter of 2021/22, the Administration programme spent R173 million against the Second Quarter projection of R246.7 million. Spending was R73.7 million (or 29.9%) in the programme lower than projected mainly due to:</w:t>
      </w:r>
      <w:r w:rsidRPr="0039000D">
        <w:rPr>
          <w:rFonts w:ascii="Arial" w:eastAsia="Calibri" w:hAnsi="Arial" w:cs="Arial"/>
          <w:sz w:val="20"/>
          <w:szCs w:val="20"/>
          <w:vertAlign w:val="superscript"/>
          <w:lang w:val="en-GB"/>
        </w:rPr>
        <w:footnoteReference w:id="4"/>
      </w:r>
    </w:p>
    <w:p w:rsidR="006722E6" w:rsidRPr="0039000D" w:rsidRDefault="006722E6" w:rsidP="0039000D">
      <w:pPr>
        <w:spacing w:after="0" w:line="240" w:lineRule="auto"/>
        <w:rPr>
          <w:rFonts w:ascii="Arial" w:eastAsia="Calibri" w:hAnsi="Arial" w:cs="Arial"/>
          <w:sz w:val="20"/>
          <w:szCs w:val="20"/>
          <w:lang w:val="en-GB"/>
        </w:rPr>
      </w:pPr>
    </w:p>
    <w:p w:rsidR="006722E6" w:rsidRPr="0039000D" w:rsidRDefault="006722E6" w:rsidP="0039000D">
      <w:pPr>
        <w:numPr>
          <w:ilvl w:val="0"/>
          <w:numId w:val="15"/>
        </w:numPr>
        <w:spacing w:after="0" w:line="240" w:lineRule="auto"/>
        <w:contextualSpacing/>
        <w:rPr>
          <w:rFonts w:ascii="Arial" w:eastAsia="Calibri" w:hAnsi="Arial" w:cs="Arial"/>
          <w:sz w:val="20"/>
          <w:szCs w:val="20"/>
          <w:lang w:val="en-GB"/>
        </w:rPr>
      </w:pPr>
      <w:r w:rsidRPr="0039000D">
        <w:rPr>
          <w:rFonts w:ascii="Arial" w:eastAsia="Calibri" w:hAnsi="Arial" w:cs="Arial"/>
          <w:sz w:val="20"/>
          <w:szCs w:val="20"/>
          <w:lang w:val="en-GB"/>
        </w:rPr>
        <w:t>The withholding of payments for office accommodation pending the resolution of a contractual dispute with the Department of Public Works and Infrastructure;</w:t>
      </w:r>
    </w:p>
    <w:p w:rsidR="006722E6" w:rsidRPr="0039000D" w:rsidRDefault="006722E6" w:rsidP="0039000D">
      <w:pPr>
        <w:numPr>
          <w:ilvl w:val="0"/>
          <w:numId w:val="15"/>
        </w:numPr>
        <w:spacing w:after="0" w:line="240" w:lineRule="auto"/>
        <w:contextualSpacing/>
        <w:rPr>
          <w:rFonts w:ascii="Arial" w:eastAsia="Calibri" w:hAnsi="Arial" w:cs="Arial"/>
          <w:sz w:val="20"/>
          <w:szCs w:val="20"/>
          <w:lang w:val="en-GB"/>
        </w:rPr>
      </w:pPr>
      <w:r w:rsidRPr="0039000D">
        <w:rPr>
          <w:rFonts w:ascii="Arial" w:eastAsia="Calibri" w:hAnsi="Arial" w:cs="Arial"/>
          <w:sz w:val="20"/>
          <w:szCs w:val="20"/>
          <w:lang w:val="en-GB"/>
        </w:rPr>
        <w:t xml:space="preserve">Lower than anticipated travel and subsistence as a result of the COVID-19 pandemic lockdown restrictions; and </w:t>
      </w:r>
    </w:p>
    <w:p w:rsidR="006722E6" w:rsidRPr="0039000D" w:rsidRDefault="006722E6" w:rsidP="0039000D">
      <w:pPr>
        <w:numPr>
          <w:ilvl w:val="0"/>
          <w:numId w:val="15"/>
        </w:numPr>
        <w:spacing w:after="0" w:line="240" w:lineRule="auto"/>
        <w:contextualSpacing/>
        <w:rPr>
          <w:rFonts w:ascii="Arial" w:eastAsia="Calibri" w:hAnsi="Arial" w:cs="Arial"/>
          <w:sz w:val="20"/>
          <w:szCs w:val="20"/>
          <w:lang w:val="en-GB"/>
        </w:rPr>
      </w:pPr>
      <w:r w:rsidRPr="0039000D">
        <w:rPr>
          <w:rFonts w:ascii="Arial" w:eastAsia="Calibri" w:hAnsi="Arial" w:cs="Arial"/>
          <w:sz w:val="20"/>
          <w:szCs w:val="20"/>
          <w:lang w:val="en-GB"/>
        </w:rPr>
        <w:t>The slow filling of vacant posts.</w:t>
      </w:r>
    </w:p>
    <w:p w:rsidR="006722E6" w:rsidRPr="0039000D" w:rsidRDefault="006722E6" w:rsidP="0039000D">
      <w:pPr>
        <w:spacing w:after="0" w:line="240" w:lineRule="auto"/>
        <w:rPr>
          <w:rFonts w:ascii="Arial" w:eastAsia="Calibri" w:hAnsi="Arial" w:cs="Arial"/>
          <w:sz w:val="20"/>
          <w:szCs w:val="20"/>
          <w:lang w:val="en-GB"/>
        </w:rPr>
      </w:pPr>
    </w:p>
    <w:p w:rsidR="006722E6" w:rsidRPr="0039000D" w:rsidRDefault="006722E6" w:rsidP="0039000D">
      <w:pPr>
        <w:keepNext/>
        <w:keepLines/>
        <w:spacing w:after="0" w:line="240" w:lineRule="auto"/>
        <w:outlineLvl w:val="1"/>
        <w:rPr>
          <w:rFonts w:ascii="Arial" w:eastAsia="Times New Roman" w:hAnsi="Arial" w:cs="Arial"/>
          <w:b/>
          <w:sz w:val="20"/>
          <w:szCs w:val="20"/>
          <w:lang w:val="en-GB"/>
        </w:rPr>
      </w:pPr>
      <w:bookmarkStart w:id="3" w:name="_Toc97530546"/>
      <w:r w:rsidRPr="0039000D">
        <w:rPr>
          <w:rFonts w:ascii="Arial" w:eastAsia="Times New Roman" w:hAnsi="Arial" w:cs="Arial"/>
          <w:b/>
          <w:sz w:val="20"/>
          <w:szCs w:val="20"/>
          <w:lang w:val="en-GB"/>
        </w:rPr>
        <w:t>2.</w:t>
      </w:r>
      <w:r w:rsidR="00DF60B5" w:rsidRPr="0039000D">
        <w:rPr>
          <w:rFonts w:ascii="Arial" w:eastAsia="Times New Roman" w:hAnsi="Arial" w:cs="Arial"/>
          <w:b/>
          <w:sz w:val="20"/>
          <w:szCs w:val="20"/>
          <w:lang w:val="en-GB"/>
        </w:rPr>
        <w:t>1.</w:t>
      </w:r>
      <w:r w:rsidRPr="0039000D">
        <w:rPr>
          <w:rFonts w:ascii="Arial" w:eastAsia="Times New Roman" w:hAnsi="Arial" w:cs="Arial"/>
          <w:b/>
          <w:sz w:val="20"/>
          <w:szCs w:val="20"/>
          <w:lang w:val="en-GB"/>
        </w:rPr>
        <w:t>2 Programme 2: Integrated Transport Planning</w:t>
      </w:r>
      <w:bookmarkEnd w:id="3"/>
    </w:p>
    <w:p w:rsidR="006722E6" w:rsidRPr="0039000D" w:rsidRDefault="006722E6" w:rsidP="0039000D">
      <w:pPr>
        <w:spacing w:after="0" w:line="240" w:lineRule="auto"/>
        <w:rPr>
          <w:rFonts w:ascii="Arial" w:eastAsia="Calibri" w:hAnsi="Arial" w:cs="Arial"/>
          <w:sz w:val="20"/>
          <w:szCs w:val="20"/>
          <w:lang w:val="en-GB"/>
        </w:rPr>
      </w:pPr>
    </w:p>
    <w:p w:rsidR="006722E6" w:rsidRPr="0039000D" w:rsidRDefault="006722E6" w:rsidP="0039000D">
      <w:pPr>
        <w:spacing w:after="0" w:line="240" w:lineRule="auto"/>
        <w:rPr>
          <w:rFonts w:ascii="Arial" w:eastAsia="Calibri" w:hAnsi="Arial" w:cs="Arial"/>
          <w:sz w:val="20"/>
          <w:szCs w:val="20"/>
          <w:lang w:val="en-GB"/>
        </w:rPr>
      </w:pPr>
      <w:r w:rsidRPr="0039000D">
        <w:rPr>
          <w:rFonts w:ascii="Arial" w:eastAsia="Calibri" w:hAnsi="Arial" w:cs="Arial"/>
          <w:sz w:val="20"/>
          <w:szCs w:val="20"/>
          <w:lang w:val="en-GB"/>
        </w:rPr>
        <w:t>The Integrated Transport Planning programme spent R29.1 million against the Second Quarter projection of R37.9 million. Expenditure was R8.8 million (or 23.2%) lower than projected. The slower than projected spending was owing to delays in projects such as:</w:t>
      </w:r>
      <w:r w:rsidRPr="0039000D">
        <w:rPr>
          <w:rFonts w:ascii="Arial" w:eastAsia="Calibri" w:hAnsi="Arial" w:cs="Arial"/>
          <w:sz w:val="20"/>
          <w:szCs w:val="20"/>
          <w:vertAlign w:val="superscript"/>
          <w:lang w:val="en-GB"/>
        </w:rPr>
        <w:footnoteReference w:id="5"/>
      </w:r>
    </w:p>
    <w:p w:rsidR="006722E6" w:rsidRPr="0039000D" w:rsidRDefault="006722E6" w:rsidP="0039000D">
      <w:pPr>
        <w:spacing w:after="0" w:line="240" w:lineRule="auto"/>
        <w:rPr>
          <w:rFonts w:ascii="Arial" w:eastAsia="Calibri" w:hAnsi="Arial" w:cs="Arial"/>
          <w:sz w:val="20"/>
          <w:szCs w:val="20"/>
          <w:lang w:val="en-GB"/>
        </w:rPr>
      </w:pPr>
    </w:p>
    <w:p w:rsidR="006722E6" w:rsidRPr="0039000D" w:rsidRDefault="006722E6" w:rsidP="0039000D">
      <w:pPr>
        <w:numPr>
          <w:ilvl w:val="0"/>
          <w:numId w:val="16"/>
        </w:numPr>
        <w:spacing w:after="0" w:line="240" w:lineRule="auto"/>
        <w:contextualSpacing/>
        <w:rPr>
          <w:rFonts w:ascii="Arial" w:eastAsia="Calibri" w:hAnsi="Arial" w:cs="Arial"/>
          <w:sz w:val="20"/>
          <w:szCs w:val="20"/>
          <w:lang w:val="en-GB"/>
        </w:rPr>
      </w:pPr>
      <w:r w:rsidRPr="0039000D">
        <w:rPr>
          <w:rFonts w:ascii="Arial" w:eastAsia="Calibri" w:hAnsi="Arial" w:cs="Arial"/>
          <w:sz w:val="20"/>
          <w:szCs w:val="20"/>
          <w:lang w:val="en-GB"/>
        </w:rPr>
        <w:t>The development of Autonomous Vehicle Regulations;</w:t>
      </w:r>
    </w:p>
    <w:p w:rsidR="006722E6" w:rsidRPr="0039000D" w:rsidRDefault="006722E6" w:rsidP="0039000D">
      <w:pPr>
        <w:numPr>
          <w:ilvl w:val="0"/>
          <w:numId w:val="16"/>
        </w:numPr>
        <w:spacing w:after="0" w:line="240" w:lineRule="auto"/>
        <w:contextualSpacing/>
        <w:rPr>
          <w:rFonts w:ascii="Arial" w:eastAsia="Calibri" w:hAnsi="Arial" w:cs="Arial"/>
          <w:sz w:val="20"/>
          <w:szCs w:val="20"/>
          <w:lang w:val="en-GB"/>
        </w:rPr>
      </w:pPr>
      <w:r w:rsidRPr="0039000D">
        <w:rPr>
          <w:rFonts w:ascii="Arial" w:eastAsia="Calibri" w:hAnsi="Arial" w:cs="Arial"/>
          <w:sz w:val="20"/>
          <w:szCs w:val="20"/>
          <w:lang w:val="en-GB"/>
        </w:rPr>
        <w:t>The National Transport Planning Databank</w:t>
      </w:r>
      <w:r w:rsidR="00AB326A" w:rsidRPr="0039000D">
        <w:rPr>
          <w:rFonts w:ascii="Arial" w:eastAsia="Calibri" w:hAnsi="Arial" w:cs="Arial"/>
          <w:sz w:val="20"/>
          <w:szCs w:val="20"/>
          <w:lang w:val="en-GB"/>
        </w:rPr>
        <w:t>;</w:t>
      </w:r>
      <w:r w:rsidRPr="0039000D">
        <w:rPr>
          <w:rFonts w:ascii="Arial" w:eastAsia="Calibri" w:hAnsi="Arial" w:cs="Arial"/>
          <w:sz w:val="20"/>
          <w:szCs w:val="20"/>
          <w:lang w:val="en-GB"/>
        </w:rPr>
        <w:t xml:space="preserve"> </w:t>
      </w:r>
    </w:p>
    <w:p w:rsidR="006722E6" w:rsidRPr="0039000D" w:rsidRDefault="006722E6" w:rsidP="0039000D">
      <w:pPr>
        <w:numPr>
          <w:ilvl w:val="0"/>
          <w:numId w:val="16"/>
        </w:numPr>
        <w:spacing w:after="0" w:line="240" w:lineRule="auto"/>
        <w:contextualSpacing/>
        <w:rPr>
          <w:rFonts w:ascii="Arial" w:eastAsia="Calibri" w:hAnsi="Arial" w:cs="Arial"/>
          <w:sz w:val="20"/>
          <w:szCs w:val="20"/>
          <w:lang w:val="en-GB"/>
        </w:rPr>
      </w:pPr>
      <w:r w:rsidRPr="0039000D">
        <w:rPr>
          <w:rFonts w:ascii="Arial" w:eastAsia="Calibri" w:hAnsi="Arial" w:cs="Arial"/>
          <w:sz w:val="20"/>
          <w:szCs w:val="20"/>
          <w:lang w:val="en-GB"/>
        </w:rPr>
        <w:t>The Regional Corridor Strategy</w:t>
      </w:r>
      <w:r w:rsidR="00AB326A" w:rsidRPr="0039000D">
        <w:rPr>
          <w:rFonts w:ascii="Arial" w:eastAsia="Calibri" w:hAnsi="Arial" w:cs="Arial"/>
          <w:sz w:val="20"/>
          <w:szCs w:val="20"/>
          <w:lang w:val="en-GB"/>
        </w:rPr>
        <w:t>;</w:t>
      </w:r>
      <w:r w:rsidRPr="0039000D">
        <w:rPr>
          <w:rFonts w:ascii="Arial" w:eastAsia="Calibri" w:hAnsi="Arial" w:cs="Arial"/>
          <w:sz w:val="20"/>
          <w:szCs w:val="20"/>
          <w:lang w:val="en-GB"/>
        </w:rPr>
        <w:t xml:space="preserve"> </w:t>
      </w:r>
    </w:p>
    <w:p w:rsidR="006722E6" w:rsidRPr="0039000D" w:rsidRDefault="006722E6" w:rsidP="0039000D">
      <w:pPr>
        <w:numPr>
          <w:ilvl w:val="0"/>
          <w:numId w:val="16"/>
        </w:numPr>
        <w:spacing w:after="0" w:line="240" w:lineRule="auto"/>
        <w:contextualSpacing/>
        <w:rPr>
          <w:rFonts w:ascii="Arial" w:eastAsia="Calibri" w:hAnsi="Arial" w:cs="Arial"/>
          <w:sz w:val="20"/>
          <w:szCs w:val="20"/>
          <w:lang w:val="en-GB"/>
        </w:rPr>
      </w:pPr>
      <w:r w:rsidRPr="0039000D">
        <w:rPr>
          <w:rFonts w:ascii="Arial" w:eastAsia="Calibri" w:hAnsi="Arial" w:cs="Arial"/>
          <w:sz w:val="20"/>
          <w:szCs w:val="20"/>
          <w:lang w:val="en-GB"/>
        </w:rPr>
        <w:t>Lower than anticipated travel and subsistence as a result of the COVID-19 pandemic lockdown restrictions</w:t>
      </w:r>
      <w:r w:rsidR="00AB326A" w:rsidRPr="0039000D">
        <w:rPr>
          <w:rFonts w:ascii="Arial" w:eastAsia="Calibri" w:hAnsi="Arial" w:cs="Arial"/>
          <w:sz w:val="20"/>
          <w:szCs w:val="20"/>
          <w:lang w:val="en-GB"/>
        </w:rPr>
        <w:t>;</w:t>
      </w:r>
      <w:r w:rsidRPr="0039000D">
        <w:rPr>
          <w:rFonts w:ascii="Arial" w:eastAsia="Calibri" w:hAnsi="Arial" w:cs="Arial"/>
          <w:sz w:val="20"/>
          <w:szCs w:val="20"/>
          <w:lang w:val="en-GB"/>
        </w:rPr>
        <w:t xml:space="preserve"> and </w:t>
      </w:r>
    </w:p>
    <w:p w:rsidR="006722E6" w:rsidRPr="0039000D" w:rsidRDefault="006722E6" w:rsidP="0039000D">
      <w:pPr>
        <w:numPr>
          <w:ilvl w:val="0"/>
          <w:numId w:val="16"/>
        </w:numPr>
        <w:spacing w:after="0" w:line="240" w:lineRule="auto"/>
        <w:contextualSpacing/>
        <w:rPr>
          <w:rFonts w:ascii="Arial" w:eastAsia="Calibri" w:hAnsi="Arial" w:cs="Arial"/>
          <w:sz w:val="20"/>
          <w:szCs w:val="20"/>
          <w:lang w:val="en-GB"/>
        </w:rPr>
      </w:pPr>
      <w:r w:rsidRPr="0039000D">
        <w:rPr>
          <w:rFonts w:ascii="Arial" w:eastAsia="Calibri" w:hAnsi="Arial" w:cs="Arial"/>
          <w:sz w:val="20"/>
          <w:szCs w:val="20"/>
          <w:lang w:val="en-GB"/>
        </w:rPr>
        <w:t>The slow filling of vacant posts.</w:t>
      </w:r>
    </w:p>
    <w:p w:rsidR="006722E6" w:rsidRPr="0039000D" w:rsidRDefault="006722E6" w:rsidP="0039000D">
      <w:pPr>
        <w:spacing w:after="0" w:line="240" w:lineRule="auto"/>
        <w:rPr>
          <w:rFonts w:ascii="Arial" w:eastAsia="Calibri" w:hAnsi="Arial" w:cs="Arial"/>
          <w:sz w:val="20"/>
          <w:szCs w:val="20"/>
          <w:lang w:val="en-GB"/>
        </w:rPr>
      </w:pPr>
    </w:p>
    <w:p w:rsidR="006722E6" w:rsidRPr="0039000D" w:rsidRDefault="006722E6" w:rsidP="0039000D">
      <w:pPr>
        <w:spacing w:after="0" w:line="240" w:lineRule="auto"/>
        <w:rPr>
          <w:rFonts w:ascii="Arial" w:eastAsia="Calibri" w:hAnsi="Arial" w:cs="Arial"/>
          <w:sz w:val="20"/>
          <w:szCs w:val="20"/>
          <w:lang w:val="en-GB"/>
        </w:rPr>
      </w:pPr>
    </w:p>
    <w:p w:rsidR="006722E6" w:rsidRPr="0039000D" w:rsidRDefault="006722E6" w:rsidP="0039000D">
      <w:pPr>
        <w:keepNext/>
        <w:keepLines/>
        <w:spacing w:after="0" w:line="240" w:lineRule="auto"/>
        <w:outlineLvl w:val="1"/>
        <w:rPr>
          <w:rFonts w:ascii="Arial" w:eastAsia="Times New Roman" w:hAnsi="Arial" w:cs="Arial"/>
          <w:b/>
          <w:sz w:val="20"/>
          <w:szCs w:val="20"/>
          <w:lang w:val="en-GB"/>
        </w:rPr>
      </w:pPr>
      <w:bookmarkStart w:id="4" w:name="_Toc97530547"/>
      <w:r w:rsidRPr="0039000D">
        <w:rPr>
          <w:rFonts w:ascii="Arial" w:eastAsia="Times New Roman" w:hAnsi="Arial" w:cs="Arial"/>
          <w:b/>
          <w:sz w:val="20"/>
          <w:szCs w:val="20"/>
          <w:lang w:val="en-GB"/>
        </w:rPr>
        <w:t>2.</w:t>
      </w:r>
      <w:r w:rsidR="00DF60B5" w:rsidRPr="0039000D">
        <w:rPr>
          <w:rFonts w:ascii="Arial" w:eastAsia="Times New Roman" w:hAnsi="Arial" w:cs="Arial"/>
          <w:b/>
          <w:sz w:val="20"/>
          <w:szCs w:val="20"/>
          <w:lang w:val="en-GB"/>
        </w:rPr>
        <w:t>1.</w:t>
      </w:r>
      <w:r w:rsidRPr="0039000D">
        <w:rPr>
          <w:rFonts w:ascii="Arial" w:eastAsia="Times New Roman" w:hAnsi="Arial" w:cs="Arial"/>
          <w:b/>
          <w:sz w:val="20"/>
          <w:szCs w:val="20"/>
          <w:lang w:val="en-GB"/>
        </w:rPr>
        <w:t>3 Programme 3: Rail Transport</w:t>
      </w:r>
      <w:bookmarkEnd w:id="4"/>
    </w:p>
    <w:p w:rsidR="006722E6" w:rsidRPr="0039000D" w:rsidRDefault="006722E6" w:rsidP="0039000D">
      <w:pPr>
        <w:spacing w:after="0" w:line="240" w:lineRule="auto"/>
        <w:rPr>
          <w:rFonts w:ascii="Arial" w:eastAsia="Calibri" w:hAnsi="Arial" w:cs="Arial"/>
          <w:sz w:val="20"/>
          <w:szCs w:val="20"/>
          <w:lang w:val="en-GB"/>
        </w:rPr>
      </w:pPr>
    </w:p>
    <w:p w:rsidR="006722E6" w:rsidRPr="0039000D" w:rsidRDefault="006722E6" w:rsidP="0039000D">
      <w:pPr>
        <w:spacing w:after="0" w:line="240" w:lineRule="auto"/>
        <w:rPr>
          <w:rFonts w:ascii="Arial" w:eastAsia="Calibri" w:hAnsi="Arial" w:cs="Arial"/>
          <w:sz w:val="20"/>
          <w:szCs w:val="20"/>
          <w:lang w:val="en-GB"/>
        </w:rPr>
      </w:pPr>
      <w:r w:rsidRPr="0039000D">
        <w:rPr>
          <w:rFonts w:ascii="Arial" w:eastAsia="Calibri" w:hAnsi="Arial" w:cs="Arial"/>
          <w:sz w:val="20"/>
          <w:szCs w:val="20"/>
          <w:lang w:val="en-GB"/>
        </w:rPr>
        <w:t>The Rail Transport programme spent R4.6 billion against a Second Quarter projection of R7.1 billion. This was R2.5 billion or (35.6%) lower than projected. The slower than projected spending was mainly due to the withholding of transfer payments to the Passenger Rail Agency of South Africa (PRASA). The entity had failed to comply with reporting the conditions set out in terms of the Appropriation Act.</w:t>
      </w:r>
      <w:r w:rsidRPr="0039000D">
        <w:rPr>
          <w:rFonts w:ascii="Arial" w:eastAsia="Calibri" w:hAnsi="Arial" w:cs="Arial"/>
          <w:sz w:val="20"/>
          <w:szCs w:val="20"/>
          <w:vertAlign w:val="superscript"/>
          <w:lang w:val="en-GB"/>
        </w:rPr>
        <w:footnoteReference w:id="6"/>
      </w:r>
      <w:r w:rsidRPr="0039000D">
        <w:rPr>
          <w:rFonts w:ascii="Arial" w:eastAsia="Calibri" w:hAnsi="Arial" w:cs="Arial"/>
          <w:sz w:val="20"/>
          <w:szCs w:val="20"/>
          <w:lang w:val="en-GB"/>
        </w:rPr>
        <w:t xml:space="preserve"> There were also delays in projects such the Economic Regulation of Rail Framework, and the White Paper on Rail.</w:t>
      </w:r>
    </w:p>
    <w:p w:rsidR="006722E6" w:rsidRPr="0039000D" w:rsidRDefault="006722E6" w:rsidP="0039000D">
      <w:pPr>
        <w:spacing w:after="0" w:line="240" w:lineRule="auto"/>
        <w:rPr>
          <w:rFonts w:ascii="Arial" w:eastAsia="Calibri" w:hAnsi="Arial" w:cs="Arial"/>
          <w:sz w:val="20"/>
          <w:szCs w:val="20"/>
          <w:lang w:val="en-GB"/>
        </w:rPr>
      </w:pPr>
    </w:p>
    <w:p w:rsidR="006722E6" w:rsidRPr="0039000D" w:rsidRDefault="006722E6" w:rsidP="0039000D">
      <w:pPr>
        <w:keepNext/>
        <w:keepLines/>
        <w:spacing w:after="0" w:line="240" w:lineRule="auto"/>
        <w:outlineLvl w:val="1"/>
        <w:rPr>
          <w:rFonts w:ascii="Arial" w:eastAsia="Times New Roman" w:hAnsi="Arial" w:cs="Arial"/>
          <w:b/>
          <w:sz w:val="20"/>
          <w:szCs w:val="20"/>
          <w:lang w:val="en-GB"/>
        </w:rPr>
      </w:pPr>
      <w:bookmarkStart w:id="5" w:name="_Toc97530548"/>
      <w:r w:rsidRPr="0039000D">
        <w:rPr>
          <w:rFonts w:ascii="Arial" w:eastAsia="Times New Roman" w:hAnsi="Arial" w:cs="Arial"/>
          <w:b/>
          <w:sz w:val="20"/>
          <w:szCs w:val="20"/>
          <w:lang w:val="en-GB"/>
        </w:rPr>
        <w:t>2.</w:t>
      </w:r>
      <w:r w:rsidR="00DF60B5" w:rsidRPr="0039000D">
        <w:rPr>
          <w:rFonts w:ascii="Arial" w:eastAsia="Times New Roman" w:hAnsi="Arial" w:cs="Arial"/>
          <w:b/>
          <w:sz w:val="20"/>
          <w:szCs w:val="20"/>
          <w:lang w:val="en-GB"/>
        </w:rPr>
        <w:t>1.</w:t>
      </w:r>
      <w:r w:rsidRPr="0039000D">
        <w:rPr>
          <w:rFonts w:ascii="Arial" w:eastAsia="Times New Roman" w:hAnsi="Arial" w:cs="Arial"/>
          <w:b/>
          <w:sz w:val="20"/>
          <w:szCs w:val="20"/>
          <w:lang w:val="en-GB"/>
        </w:rPr>
        <w:t>4 Programme 4: Road Transport</w:t>
      </w:r>
      <w:bookmarkEnd w:id="5"/>
    </w:p>
    <w:p w:rsidR="006722E6" w:rsidRPr="0039000D" w:rsidRDefault="006722E6" w:rsidP="0039000D">
      <w:pPr>
        <w:spacing w:after="0" w:line="240" w:lineRule="auto"/>
        <w:rPr>
          <w:rFonts w:ascii="Arial" w:eastAsia="Calibri" w:hAnsi="Arial" w:cs="Arial"/>
          <w:sz w:val="20"/>
          <w:szCs w:val="20"/>
          <w:lang w:val="en-GB"/>
        </w:rPr>
      </w:pPr>
    </w:p>
    <w:p w:rsidR="006722E6" w:rsidRPr="0039000D" w:rsidRDefault="006722E6" w:rsidP="0039000D">
      <w:pPr>
        <w:spacing w:after="0" w:line="240" w:lineRule="auto"/>
        <w:rPr>
          <w:rFonts w:ascii="Arial" w:eastAsia="Calibri" w:hAnsi="Arial" w:cs="Arial"/>
          <w:sz w:val="20"/>
          <w:szCs w:val="20"/>
          <w:lang w:val="en-GB"/>
        </w:rPr>
      </w:pPr>
      <w:r w:rsidRPr="0039000D">
        <w:rPr>
          <w:rFonts w:ascii="Arial" w:eastAsia="Calibri" w:hAnsi="Arial" w:cs="Arial"/>
          <w:sz w:val="20"/>
          <w:szCs w:val="20"/>
          <w:lang w:val="en-GB"/>
        </w:rPr>
        <w:t>The Road Transport programme spent R18.47 billion against a Second Quarter projection of R18.51 billion. Spending was R36 million (or 0.2%) lower than projected. The slower than projected spending was mainly owing to:</w:t>
      </w:r>
    </w:p>
    <w:p w:rsidR="006722E6" w:rsidRPr="0039000D" w:rsidRDefault="006722E6" w:rsidP="0039000D">
      <w:pPr>
        <w:spacing w:after="0" w:line="240" w:lineRule="auto"/>
        <w:rPr>
          <w:rFonts w:ascii="Arial" w:eastAsia="Calibri" w:hAnsi="Arial" w:cs="Arial"/>
          <w:sz w:val="20"/>
          <w:szCs w:val="20"/>
          <w:lang w:val="en-GB"/>
        </w:rPr>
      </w:pPr>
    </w:p>
    <w:p w:rsidR="006722E6" w:rsidRPr="0039000D" w:rsidRDefault="006722E6" w:rsidP="0039000D">
      <w:pPr>
        <w:numPr>
          <w:ilvl w:val="0"/>
          <w:numId w:val="19"/>
        </w:numPr>
        <w:spacing w:after="0" w:line="240" w:lineRule="auto"/>
        <w:contextualSpacing/>
        <w:rPr>
          <w:rFonts w:ascii="Arial" w:eastAsia="Calibri" w:hAnsi="Arial" w:cs="Arial"/>
          <w:sz w:val="20"/>
          <w:szCs w:val="20"/>
          <w:lang w:val="en-GB"/>
        </w:rPr>
      </w:pPr>
      <w:r w:rsidRPr="0039000D">
        <w:rPr>
          <w:rFonts w:ascii="Arial" w:eastAsia="Calibri" w:hAnsi="Arial" w:cs="Arial"/>
          <w:sz w:val="20"/>
          <w:szCs w:val="20"/>
          <w:lang w:val="en-GB"/>
        </w:rPr>
        <w:t xml:space="preserve">Outstanding invoices from the Road Traffic Infringement Agency (RTIA) for the implementation of the Administrative Adjudication of Road Traffic Offences (AARTO), as per the existing agreement; and </w:t>
      </w:r>
    </w:p>
    <w:p w:rsidR="006722E6" w:rsidRPr="0039000D" w:rsidRDefault="006722E6" w:rsidP="0039000D">
      <w:pPr>
        <w:numPr>
          <w:ilvl w:val="0"/>
          <w:numId w:val="19"/>
        </w:numPr>
        <w:spacing w:after="0" w:line="240" w:lineRule="auto"/>
        <w:contextualSpacing/>
        <w:rPr>
          <w:rFonts w:ascii="Arial" w:eastAsia="Calibri" w:hAnsi="Arial" w:cs="Arial"/>
          <w:sz w:val="20"/>
          <w:szCs w:val="20"/>
          <w:lang w:val="en-GB"/>
        </w:rPr>
      </w:pPr>
      <w:r w:rsidRPr="0039000D">
        <w:rPr>
          <w:rFonts w:ascii="Arial" w:eastAsia="Calibri" w:hAnsi="Arial" w:cs="Arial"/>
          <w:sz w:val="20"/>
          <w:szCs w:val="20"/>
          <w:lang w:val="en-GB"/>
        </w:rPr>
        <w:lastRenderedPageBreak/>
        <w:t>The withholding of transfer payments of the Rural Roads Asset Management Systems (RRAMS) Grant to the OR Tambo District Municipality thanks to non-compliance with section 216(2) of the Constitution of the Republic of South Africa, 1996.</w:t>
      </w:r>
    </w:p>
    <w:p w:rsidR="006270E4" w:rsidRPr="0039000D" w:rsidRDefault="006270E4" w:rsidP="0039000D">
      <w:pPr>
        <w:keepNext/>
        <w:keepLines/>
        <w:spacing w:after="0" w:line="240" w:lineRule="auto"/>
        <w:outlineLvl w:val="1"/>
        <w:rPr>
          <w:rFonts w:ascii="Arial" w:eastAsia="Times New Roman" w:hAnsi="Arial" w:cs="Arial"/>
          <w:b/>
          <w:sz w:val="20"/>
          <w:szCs w:val="20"/>
          <w:lang w:val="en-GB"/>
        </w:rPr>
      </w:pPr>
      <w:bookmarkStart w:id="6" w:name="_Toc97530549"/>
    </w:p>
    <w:p w:rsidR="006722E6" w:rsidRPr="0039000D" w:rsidRDefault="006722E6" w:rsidP="0039000D">
      <w:pPr>
        <w:keepNext/>
        <w:keepLines/>
        <w:spacing w:after="0" w:line="240" w:lineRule="auto"/>
        <w:outlineLvl w:val="1"/>
        <w:rPr>
          <w:rFonts w:ascii="Arial" w:eastAsia="Times New Roman" w:hAnsi="Arial" w:cs="Arial"/>
          <w:b/>
          <w:sz w:val="20"/>
          <w:szCs w:val="20"/>
          <w:lang w:val="en-GB"/>
        </w:rPr>
      </w:pPr>
      <w:r w:rsidRPr="0039000D">
        <w:rPr>
          <w:rFonts w:ascii="Arial" w:eastAsia="Times New Roman" w:hAnsi="Arial" w:cs="Arial"/>
          <w:b/>
          <w:sz w:val="20"/>
          <w:szCs w:val="20"/>
          <w:lang w:val="en-GB"/>
        </w:rPr>
        <w:t>2.</w:t>
      </w:r>
      <w:r w:rsidR="00DF60B5" w:rsidRPr="0039000D">
        <w:rPr>
          <w:rFonts w:ascii="Arial" w:eastAsia="Times New Roman" w:hAnsi="Arial" w:cs="Arial"/>
          <w:b/>
          <w:sz w:val="20"/>
          <w:szCs w:val="20"/>
          <w:lang w:val="en-GB"/>
        </w:rPr>
        <w:t>1.</w:t>
      </w:r>
      <w:r w:rsidRPr="0039000D">
        <w:rPr>
          <w:rFonts w:ascii="Arial" w:eastAsia="Times New Roman" w:hAnsi="Arial" w:cs="Arial"/>
          <w:b/>
          <w:sz w:val="20"/>
          <w:szCs w:val="20"/>
          <w:lang w:val="en-GB"/>
        </w:rPr>
        <w:t>5 Programme 5: Civil Aviation Transport</w:t>
      </w:r>
      <w:bookmarkEnd w:id="6"/>
    </w:p>
    <w:p w:rsidR="006722E6" w:rsidRPr="0039000D" w:rsidRDefault="006722E6" w:rsidP="0039000D">
      <w:pPr>
        <w:spacing w:after="0" w:line="240" w:lineRule="auto"/>
        <w:rPr>
          <w:rFonts w:ascii="Arial" w:eastAsia="Calibri" w:hAnsi="Arial" w:cs="Arial"/>
          <w:sz w:val="20"/>
          <w:szCs w:val="20"/>
          <w:lang w:val="en-GB"/>
        </w:rPr>
      </w:pPr>
    </w:p>
    <w:p w:rsidR="006722E6" w:rsidRPr="0039000D" w:rsidRDefault="006722E6" w:rsidP="0039000D">
      <w:pPr>
        <w:spacing w:after="0" w:line="240" w:lineRule="auto"/>
        <w:rPr>
          <w:rFonts w:ascii="Arial" w:eastAsia="Calibri" w:hAnsi="Arial" w:cs="Arial"/>
          <w:sz w:val="20"/>
          <w:szCs w:val="20"/>
          <w:lang w:val="en-GB"/>
        </w:rPr>
      </w:pPr>
      <w:r w:rsidRPr="0039000D">
        <w:rPr>
          <w:rFonts w:ascii="Arial" w:eastAsia="Calibri" w:hAnsi="Arial" w:cs="Arial"/>
          <w:sz w:val="20"/>
          <w:szCs w:val="20"/>
          <w:lang w:val="en-GB"/>
        </w:rPr>
        <w:t>The Civil Aviation Transport programme spent R227.1 million against a Second Quarter projection of R262.5 million. The programme spent R35.4 million (or 13.5%) lower than projected. The slower than projected spending was mainly due to:</w:t>
      </w:r>
      <w:r w:rsidRPr="0039000D">
        <w:rPr>
          <w:rFonts w:ascii="Arial" w:eastAsia="Calibri" w:hAnsi="Arial" w:cs="Arial"/>
          <w:sz w:val="20"/>
          <w:szCs w:val="20"/>
          <w:vertAlign w:val="superscript"/>
          <w:lang w:val="en-GB"/>
        </w:rPr>
        <w:footnoteReference w:id="7"/>
      </w:r>
    </w:p>
    <w:p w:rsidR="006722E6" w:rsidRPr="0039000D" w:rsidRDefault="006722E6" w:rsidP="0039000D">
      <w:pPr>
        <w:spacing w:after="0" w:line="240" w:lineRule="auto"/>
        <w:rPr>
          <w:rFonts w:ascii="Arial" w:eastAsia="Calibri" w:hAnsi="Arial" w:cs="Arial"/>
          <w:sz w:val="20"/>
          <w:szCs w:val="20"/>
          <w:lang w:val="en-GB"/>
        </w:rPr>
      </w:pPr>
    </w:p>
    <w:p w:rsidR="006722E6" w:rsidRPr="0039000D" w:rsidRDefault="006722E6" w:rsidP="0039000D">
      <w:pPr>
        <w:numPr>
          <w:ilvl w:val="0"/>
          <w:numId w:val="20"/>
        </w:numPr>
        <w:spacing w:after="0" w:line="240" w:lineRule="auto"/>
        <w:contextualSpacing/>
        <w:rPr>
          <w:rFonts w:ascii="Arial" w:eastAsia="Calibri" w:hAnsi="Arial" w:cs="Arial"/>
          <w:sz w:val="20"/>
          <w:szCs w:val="20"/>
          <w:lang w:val="en-GB"/>
        </w:rPr>
      </w:pPr>
      <w:r w:rsidRPr="0039000D">
        <w:rPr>
          <w:rFonts w:ascii="Arial" w:eastAsia="Calibri" w:hAnsi="Arial" w:cs="Arial"/>
          <w:sz w:val="20"/>
          <w:szCs w:val="20"/>
          <w:lang w:val="en-GB"/>
        </w:rPr>
        <w:t xml:space="preserve">Outstanding payments of membership fees to the African Civil Aviation Commission, Southern African Development Community (SADC): Aviation Safety Organisation, and the SADC: International Civil Aviation Organisation Mission; </w:t>
      </w:r>
    </w:p>
    <w:p w:rsidR="006722E6" w:rsidRPr="0039000D" w:rsidRDefault="006722E6" w:rsidP="0039000D">
      <w:pPr>
        <w:numPr>
          <w:ilvl w:val="0"/>
          <w:numId w:val="20"/>
        </w:numPr>
        <w:spacing w:after="0" w:line="240" w:lineRule="auto"/>
        <w:contextualSpacing/>
        <w:rPr>
          <w:rFonts w:ascii="Arial" w:eastAsia="Calibri" w:hAnsi="Arial" w:cs="Arial"/>
          <w:sz w:val="20"/>
          <w:szCs w:val="20"/>
          <w:lang w:val="en-GB"/>
        </w:rPr>
      </w:pPr>
      <w:r w:rsidRPr="0039000D">
        <w:rPr>
          <w:rFonts w:ascii="Arial" w:eastAsia="Calibri" w:hAnsi="Arial" w:cs="Arial"/>
          <w:sz w:val="20"/>
          <w:szCs w:val="20"/>
          <w:lang w:val="en-GB"/>
        </w:rPr>
        <w:t xml:space="preserve">The slow filling of vacant posts; and </w:t>
      </w:r>
    </w:p>
    <w:p w:rsidR="006722E6" w:rsidRPr="0039000D" w:rsidRDefault="006722E6" w:rsidP="0039000D">
      <w:pPr>
        <w:numPr>
          <w:ilvl w:val="0"/>
          <w:numId w:val="20"/>
        </w:numPr>
        <w:spacing w:after="0" w:line="240" w:lineRule="auto"/>
        <w:contextualSpacing/>
        <w:rPr>
          <w:rFonts w:ascii="Arial" w:eastAsia="Calibri" w:hAnsi="Arial" w:cs="Arial"/>
          <w:sz w:val="20"/>
          <w:szCs w:val="20"/>
          <w:lang w:val="en-GB"/>
        </w:rPr>
      </w:pPr>
      <w:r w:rsidRPr="0039000D">
        <w:rPr>
          <w:rFonts w:ascii="Arial" w:eastAsia="Calibri" w:hAnsi="Arial" w:cs="Arial"/>
          <w:sz w:val="20"/>
          <w:szCs w:val="20"/>
          <w:lang w:val="en-GB"/>
        </w:rPr>
        <w:t>Lower invoiced amounts for Watch-Keeping Services.</w:t>
      </w:r>
    </w:p>
    <w:p w:rsidR="006722E6" w:rsidRPr="0039000D" w:rsidRDefault="006722E6" w:rsidP="0039000D">
      <w:pPr>
        <w:spacing w:after="0" w:line="240" w:lineRule="auto"/>
        <w:rPr>
          <w:rFonts w:ascii="Arial" w:eastAsia="Calibri" w:hAnsi="Arial" w:cs="Arial"/>
          <w:sz w:val="20"/>
          <w:szCs w:val="20"/>
          <w:lang w:val="en-GB"/>
        </w:rPr>
      </w:pPr>
    </w:p>
    <w:p w:rsidR="006722E6" w:rsidRPr="0039000D" w:rsidRDefault="006722E6" w:rsidP="0039000D">
      <w:pPr>
        <w:keepNext/>
        <w:keepLines/>
        <w:spacing w:after="0" w:line="240" w:lineRule="auto"/>
        <w:outlineLvl w:val="1"/>
        <w:rPr>
          <w:rFonts w:ascii="Arial" w:eastAsia="Times New Roman" w:hAnsi="Arial" w:cs="Arial"/>
          <w:b/>
          <w:sz w:val="20"/>
          <w:szCs w:val="20"/>
          <w:lang w:val="en-GB"/>
        </w:rPr>
      </w:pPr>
      <w:bookmarkStart w:id="7" w:name="_Toc97530550"/>
      <w:r w:rsidRPr="0039000D">
        <w:rPr>
          <w:rFonts w:ascii="Arial" w:eastAsia="Times New Roman" w:hAnsi="Arial" w:cs="Arial"/>
          <w:b/>
          <w:sz w:val="20"/>
          <w:szCs w:val="20"/>
          <w:lang w:val="en-GB"/>
        </w:rPr>
        <w:t>2.</w:t>
      </w:r>
      <w:r w:rsidR="00DF60B5" w:rsidRPr="0039000D">
        <w:rPr>
          <w:rFonts w:ascii="Arial" w:eastAsia="Times New Roman" w:hAnsi="Arial" w:cs="Arial"/>
          <w:b/>
          <w:sz w:val="20"/>
          <w:szCs w:val="20"/>
          <w:lang w:val="en-GB"/>
        </w:rPr>
        <w:t>1.</w:t>
      </w:r>
      <w:r w:rsidRPr="0039000D">
        <w:rPr>
          <w:rFonts w:ascii="Arial" w:eastAsia="Times New Roman" w:hAnsi="Arial" w:cs="Arial"/>
          <w:b/>
          <w:sz w:val="20"/>
          <w:szCs w:val="20"/>
          <w:lang w:val="en-GB"/>
        </w:rPr>
        <w:t>6 Programme 6: Maritime Transport</w:t>
      </w:r>
      <w:bookmarkEnd w:id="7"/>
    </w:p>
    <w:p w:rsidR="006722E6" w:rsidRPr="0039000D" w:rsidRDefault="006722E6" w:rsidP="0039000D">
      <w:pPr>
        <w:spacing w:after="0" w:line="240" w:lineRule="auto"/>
        <w:rPr>
          <w:rFonts w:ascii="Arial" w:eastAsia="Calibri" w:hAnsi="Arial" w:cs="Arial"/>
          <w:sz w:val="20"/>
          <w:szCs w:val="20"/>
          <w:lang w:val="en-GB"/>
        </w:rPr>
      </w:pPr>
    </w:p>
    <w:p w:rsidR="006722E6" w:rsidRPr="0039000D" w:rsidRDefault="006722E6" w:rsidP="0039000D">
      <w:pPr>
        <w:spacing w:after="0" w:line="240" w:lineRule="auto"/>
        <w:rPr>
          <w:rFonts w:ascii="Arial" w:eastAsia="Calibri" w:hAnsi="Arial" w:cs="Arial"/>
          <w:sz w:val="20"/>
          <w:szCs w:val="20"/>
          <w:lang w:val="en-GB"/>
        </w:rPr>
      </w:pPr>
      <w:r w:rsidRPr="0039000D">
        <w:rPr>
          <w:rFonts w:ascii="Arial" w:eastAsia="Calibri" w:hAnsi="Arial" w:cs="Arial"/>
          <w:sz w:val="20"/>
          <w:szCs w:val="20"/>
          <w:lang w:val="en-GB"/>
        </w:rPr>
        <w:t>The Maritime Transport programme spent R58.2 million against a Second Quarter projection of R82.1 million. Spending was R23.9 million or (29.1%) lower than projected. The slower than projected spending was owing to delays in projects such as:</w:t>
      </w:r>
      <w:r w:rsidRPr="0039000D">
        <w:rPr>
          <w:rFonts w:ascii="Arial" w:eastAsia="Calibri" w:hAnsi="Arial" w:cs="Arial"/>
          <w:sz w:val="20"/>
          <w:szCs w:val="20"/>
          <w:vertAlign w:val="superscript"/>
          <w:lang w:val="en-GB"/>
        </w:rPr>
        <w:footnoteReference w:id="8"/>
      </w:r>
    </w:p>
    <w:p w:rsidR="006722E6" w:rsidRPr="0039000D" w:rsidRDefault="006722E6" w:rsidP="0039000D">
      <w:pPr>
        <w:spacing w:after="0" w:line="240" w:lineRule="auto"/>
        <w:rPr>
          <w:rFonts w:ascii="Arial" w:eastAsia="Calibri" w:hAnsi="Arial" w:cs="Arial"/>
          <w:sz w:val="20"/>
          <w:szCs w:val="20"/>
          <w:lang w:val="en-GB"/>
        </w:rPr>
      </w:pPr>
    </w:p>
    <w:p w:rsidR="006722E6" w:rsidRPr="0039000D" w:rsidRDefault="006722E6" w:rsidP="0039000D">
      <w:pPr>
        <w:numPr>
          <w:ilvl w:val="0"/>
          <w:numId w:val="21"/>
        </w:numPr>
        <w:spacing w:after="0" w:line="240" w:lineRule="auto"/>
        <w:contextualSpacing/>
        <w:rPr>
          <w:rFonts w:ascii="Arial" w:eastAsia="Calibri" w:hAnsi="Arial" w:cs="Arial"/>
          <w:sz w:val="20"/>
          <w:szCs w:val="20"/>
          <w:lang w:val="en-GB"/>
        </w:rPr>
      </w:pPr>
      <w:r w:rsidRPr="0039000D">
        <w:rPr>
          <w:rFonts w:ascii="Arial" w:eastAsia="Calibri" w:hAnsi="Arial" w:cs="Arial"/>
          <w:sz w:val="20"/>
          <w:szCs w:val="20"/>
          <w:lang w:val="en-GB"/>
        </w:rPr>
        <w:t>The Review of the Merchant Shipping Bill;</w:t>
      </w:r>
    </w:p>
    <w:p w:rsidR="006722E6" w:rsidRPr="0039000D" w:rsidRDefault="006722E6" w:rsidP="0039000D">
      <w:pPr>
        <w:numPr>
          <w:ilvl w:val="0"/>
          <w:numId w:val="21"/>
        </w:numPr>
        <w:spacing w:after="0" w:line="240" w:lineRule="auto"/>
        <w:contextualSpacing/>
        <w:rPr>
          <w:rFonts w:ascii="Arial" w:eastAsia="Calibri" w:hAnsi="Arial" w:cs="Arial"/>
          <w:sz w:val="20"/>
          <w:szCs w:val="20"/>
          <w:lang w:val="en-GB"/>
        </w:rPr>
      </w:pPr>
      <w:r w:rsidRPr="0039000D">
        <w:rPr>
          <w:rFonts w:ascii="Arial" w:eastAsia="Calibri" w:hAnsi="Arial" w:cs="Arial"/>
          <w:sz w:val="20"/>
          <w:szCs w:val="20"/>
          <w:lang w:val="en-GB"/>
        </w:rPr>
        <w:t>Women and youth empowerment initiatives;</w:t>
      </w:r>
    </w:p>
    <w:p w:rsidR="006722E6" w:rsidRPr="0039000D" w:rsidRDefault="006722E6" w:rsidP="0039000D">
      <w:pPr>
        <w:numPr>
          <w:ilvl w:val="0"/>
          <w:numId w:val="21"/>
        </w:numPr>
        <w:spacing w:after="0" w:line="240" w:lineRule="auto"/>
        <w:contextualSpacing/>
        <w:rPr>
          <w:rFonts w:ascii="Arial" w:eastAsia="Calibri" w:hAnsi="Arial" w:cs="Arial"/>
          <w:sz w:val="20"/>
          <w:szCs w:val="20"/>
          <w:lang w:val="en-GB"/>
        </w:rPr>
      </w:pPr>
      <w:r w:rsidRPr="0039000D">
        <w:rPr>
          <w:rFonts w:ascii="Arial" w:eastAsia="Calibri" w:hAnsi="Arial" w:cs="Arial"/>
          <w:sz w:val="20"/>
          <w:szCs w:val="20"/>
          <w:lang w:val="en-GB"/>
        </w:rPr>
        <w:t xml:space="preserve">The postponement of the 2021 World Maritime Day Parallel Event on account of the global COVID-19 pandemic; and </w:t>
      </w:r>
    </w:p>
    <w:p w:rsidR="006722E6" w:rsidRPr="0039000D" w:rsidRDefault="006722E6" w:rsidP="0039000D">
      <w:pPr>
        <w:numPr>
          <w:ilvl w:val="0"/>
          <w:numId w:val="21"/>
        </w:numPr>
        <w:spacing w:after="0" w:line="240" w:lineRule="auto"/>
        <w:contextualSpacing/>
        <w:rPr>
          <w:rFonts w:ascii="Arial" w:eastAsia="Calibri" w:hAnsi="Arial" w:cs="Arial"/>
          <w:sz w:val="20"/>
          <w:szCs w:val="20"/>
          <w:lang w:val="en-GB"/>
        </w:rPr>
      </w:pPr>
      <w:r w:rsidRPr="0039000D">
        <w:rPr>
          <w:rFonts w:ascii="Arial" w:eastAsia="Calibri" w:hAnsi="Arial" w:cs="Arial"/>
          <w:sz w:val="20"/>
          <w:szCs w:val="20"/>
          <w:lang w:val="en-GB"/>
        </w:rPr>
        <w:t>The slow filling of vacant posts.</w:t>
      </w:r>
    </w:p>
    <w:p w:rsidR="006722E6" w:rsidRPr="0039000D" w:rsidRDefault="006722E6" w:rsidP="0039000D">
      <w:pPr>
        <w:spacing w:after="0" w:line="240" w:lineRule="auto"/>
        <w:rPr>
          <w:rFonts w:ascii="Arial" w:eastAsia="Calibri" w:hAnsi="Arial" w:cs="Arial"/>
          <w:sz w:val="20"/>
          <w:szCs w:val="20"/>
          <w:lang w:val="en-GB"/>
        </w:rPr>
      </w:pPr>
    </w:p>
    <w:p w:rsidR="006722E6" w:rsidRPr="0039000D" w:rsidRDefault="006722E6" w:rsidP="0039000D">
      <w:pPr>
        <w:keepNext/>
        <w:keepLines/>
        <w:spacing w:after="0" w:line="240" w:lineRule="auto"/>
        <w:outlineLvl w:val="1"/>
        <w:rPr>
          <w:rFonts w:ascii="Arial" w:eastAsia="Times New Roman" w:hAnsi="Arial" w:cs="Arial"/>
          <w:b/>
          <w:sz w:val="20"/>
          <w:szCs w:val="20"/>
          <w:lang w:val="en-GB"/>
        </w:rPr>
      </w:pPr>
      <w:bookmarkStart w:id="8" w:name="_Toc97530551"/>
      <w:r w:rsidRPr="0039000D">
        <w:rPr>
          <w:rFonts w:ascii="Arial" w:eastAsia="Times New Roman" w:hAnsi="Arial" w:cs="Arial"/>
          <w:b/>
          <w:sz w:val="20"/>
          <w:szCs w:val="20"/>
          <w:lang w:val="en-GB"/>
        </w:rPr>
        <w:t>2.</w:t>
      </w:r>
      <w:r w:rsidR="00DF60B5" w:rsidRPr="0039000D">
        <w:rPr>
          <w:rFonts w:ascii="Arial" w:eastAsia="Times New Roman" w:hAnsi="Arial" w:cs="Arial"/>
          <w:b/>
          <w:sz w:val="20"/>
          <w:szCs w:val="20"/>
          <w:lang w:val="en-GB"/>
        </w:rPr>
        <w:t>1.</w:t>
      </w:r>
      <w:r w:rsidRPr="0039000D">
        <w:rPr>
          <w:rFonts w:ascii="Arial" w:eastAsia="Times New Roman" w:hAnsi="Arial" w:cs="Arial"/>
          <w:b/>
          <w:sz w:val="20"/>
          <w:szCs w:val="20"/>
          <w:lang w:val="en-GB"/>
        </w:rPr>
        <w:t>7 Programme 7: Public Transport</w:t>
      </w:r>
      <w:bookmarkEnd w:id="8"/>
    </w:p>
    <w:p w:rsidR="006722E6" w:rsidRPr="0039000D" w:rsidRDefault="006722E6" w:rsidP="0039000D">
      <w:pPr>
        <w:spacing w:after="0" w:line="240" w:lineRule="auto"/>
        <w:rPr>
          <w:rFonts w:ascii="Arial" w:eastAsia="Calibri" w:hAnsi="Arial" w:cs="Arial"/>
          <w:sz w:val="20"/>
          <w:szCs w:val="20"/>
          <w:lang w:val="en-GB"/>
        </w:rPr>
      </w:pPr>
    </w:p>
    <w:p w:rsidR="006722E6" w:rsidRPr="0039000D" w:rsidRDefault="006722E6" w:rsidP="0039000D">
      <w:pPr>
        <w:spacing w:after="0" w:line="240" w:lineRule="auto"/>
        <w:rPr>
          <w:rFonts w:ascii="Arial" w:eastAsia="Calibri" w:hAnsi="Arial" w:cs="Arial"/>
          <w:sz w:val="20"/>
          <w:szCs w:val="20"/>
          <w:lang w:val="en-GB"/>
        </w:rPr>
      </w:pPr>
      <w:r w:rsidRPr="0039000D">
        <w:rPr>
          <w:rFonts w:ascii="Arial" w:eastAsia="Calibri" w:hAnsi="Arial" w:cs="Arial"/>
          <w:sz w:val="20"/>
          <w:szCs w:val="20"/>
          <w:lang w:val="en-GB"/>
        </w:rPr>
        <w:t>The Public Transport programme spent R5.5 billion against a Second Quarter projection of R5.7 billion. Spending was R187.7 million (or 3.3%) lower than projected. The slower than projected spending was largely due to:</w:t>
      </w:r>
    </w:p>
    <w:p w:rsidR="006722E6" w:rsidRPr="0039000D" w:rsidRDefault="006722E6" w:rsidP="0039000D">
      <w:pPr>
        <w:spacing w:after="0" w:line="240" w:lineRule="auto"/>
        <w:rPr>
          <w:rFonts w:ascii="Arial" w:eastAsia="Calibri" w:hAnsi="Arial" w:cs="Arial"/>
          <w:sz w:val="20"/>
          <w:szCs w:val="20"/>
          <w:lang w:val="en-GB"/>
        </w:rPr>
      </w:pPr>
    </w:p>
    <w:p w:rsidR="006722E6" w:rsidRPr="0039000D" w:rsidRDefault="006722E6" w:rsidP="0039000D">
      <w:pPr>
        <w:numPr>
          <w:ilvl w:val="0"/>
          <w:numId w:val="23"/>
        </w:numPr>
        <w:spacing w:after="0" w:line="240" w:lineRule="auto"/>
        <w:contextualSpacing/>
        <w:rPr>
          <w:rFonts w:ascii="Arial" w:eastAsia="Calibri" w:hAnsi="Arial" w:cs="Arial"/>
          <w:sz w:val="20"/>
          <w:szCs w:val="20"/>
          <w:lang w:val="en-GB"/>
        </w:rPr>
      </w:pPr>
      <w:r w:rsidRPr="0039000D">
        <w:rPr>
          <w:rFonts w:ascii="Arial" w:eastAsia="Calibri" w:hAnsi="Arial" w:cs="Arial"/>
          <w:sz w:val="20"/>
          <w:szCs w:val="20"/>
          <w:lang w:val="en-GB"/>
        </w:rPr>
        <w:t>Lower than anticipated demand on the Taxi Recapitalisation Programme (TRP); and</w:t>
      </w:r>
    </w:p>
    <w:p w:rsidR="00450655" w:rsidRPr="0039000D" w:rsidRDefault="006722E6" w:rsidP="0039000D">
      <w:pPr>
        <w:numPr>
          <w:ilvl w:val="0"/>
          <w:numId w:val="23"/>
        </w:numPr>
        <w:spacing w:after="0" w:line="240" w:lineRule="auto"/>
        <w:contextualSpacing/>
        <w:rPr>
          <w:rFonts w:ascii="Arial" w:eastAsia="Calibri" w:hAnsi="Arial" w:cs="Arial"/>
          <w:sz w:val="20"/>
          <w:szCs w:val="20"/>
          <w:lang w:val="en-GB"/>
        </w:rPr>
      </w:pPr>
      <w:r w:rsidRPr="0039000D">
        <w:rPr>
          <w:rFonts w:ascii="Arial" w:eastAsia="Calibri" w:hAnsi="Arial" w:cs="Arial"/>
          <w:sz w:val="20"/>
          <w:szCs w:val="20"/>
          <w:lang w:val="en-GB"/>
        </w:rPr>
        <w:t>Delays in projects such as public transport grant monitoring, the implementation of integrated public transport networks (IPTNs) in district municipalities; and the national land transport information system.</w:t>
      </w:r>
    </w:p>
    <w:p w:rsidR="00450655" w:rsidRPr="0039000D" w:rsidRDefault="00450655" w:rsidP="0039000D">
      <w:pPr>
        <w:keepNext/>
        <w:keepLines/>
        <w:spacing w:after="0" w:line="240" w:lineRule="auto"/>
        <w:outlineLvl w:val="1"/>
        <w:rPr>
          <w:rFonts w:ascii="Arial" w:eastAsia="Times New Roman" w:hAnsi="Arial" w:cs="Arial"/>
          <w:b/>
          <w:sz w:val="20"/>
          <w:szCs w:val="20"/>
          <w:lang w:val="en-GB"/>
        </w:rPr>
      </w:pPr>
      <w:bookmarkStart w:id="9" w:name="_Toc97530552"/>
    </w:p>
    <w:p w:rsidR="006722E6" w:rsidRPr="0039000D" w:rsidRDefault="006722E6" w:rsidP="0039000D">
      <w:pPr>
        <w:keepNext/>
        <w:keepLines/>
        <w:spacing w:after="0" w:line="240" w:lineRule="auto"/>
        <w:outlineLvl w:val="1"/>
        <w:rPr>
          <w:rFonts w:ascii="Arial" w:eastAsia="Times New Roman" w:hAnsi="Arial" w:cs="Arial"/>
          <w:b/>
          <w:sz w:val="20"/>
          <w:szCs w:val="20"/>
          <w:lang w:val="en-GB"/>
        </w:rPr>
      </w:pPr>
      <w:r w:rsidRPr="0039000D">
        <w:rPr>
          <w:rFonts w:ascii="Arial" w:eastAsia="Times New Roman" w:hAnsi="Arial" w:cs="Arial"/>
          <w:b/>
          <w:sz w:val="20"/>
          <w:szCs w:val="20"/>
          <w:lang w:val="en-GB"/>
        </w:rPr>
        <w:t>2.</w:t>
      </w:r>
      <w:r w:rsidR="00DF60B5" w:rsidRPr="0039000D">
        <w:rPr>
          <w:rFonts w:ascii="Arial" w:eastAsia="Times New Roman" w:hAnsi="Arial" w:cs="Arial"/>
          <w:b/>
          <w:sz w:val="20"/>
          <w:szCs w:val="20"/>
          <w:lang w:val="en-GB"/>
        </w:rPr>
        <w:t>1.</w:t>
      </w:r>
      <w:r w:rsidRPr="0039000D">
        <w:rPr>
          <w:rFonts w:ascii="Arial" w:eastAsia="Times New Roman" w:hAnsi="Arial" w:cs="Arial"/>
          <w:b/>
          <w:sz w:val="20"/>
          <w:szCs w:val="20"/>
          <w:lang w:val="en-GB"/>
        </w:rPr>
        <w:t>8 COVID-19 Spending</w:t>
      </w:r>
      <w:bookmarkEnd w:id="9"/>
    </w:p>
    <w:p w:rsidR="006722E6" w:rsidRPr="0039000D" w:rsidRDefault="006722E6" w:rsidP="0039000D">
      <w:pPr>
        <w:spacing w:after="0" w:line="240" w:lineRule="auto"/>
        <w:rPr>
          <w:rFonts w:ascii="Arial" w:eastAsia="Calibri" w:hAnsi="Arial" w:cs="Arial"/>
          <w:sz w:val="20"/>
          <w:szCs w:val="20"/>
          <w:lang w:val="en-GB"/>
        </w:rPr>
      </w:pPr>
    </w:p>
    <w:p w:rsidR="006722E6" w:rsidRPr="0039000D" w:rsidRDefault="006722E6" w:rsidP="0039000D">
      <w:pPr>
        <w:spacing w:after="0" w:line="240" w:lineRule="auto"/>
        <w:rPr>
          <w:rFonts w:ascii="Arial" w:eastAsia="Calibri" w:hAnsi="Arial" w:cs="Arial"/>
          <w:sz w:val="20"/>
          <w:szCs w:val="20"/>
          <w:lang w:val="en-GB"/>
        </w:rPr>
      </w:pPr>
      <w:r w:rsidRPr="0039000D">
        <w:rPr>
          <w:rFonts w:ascii="Arial" w:eastAsia="Calibri" w:hAnsi="Arial" w:cs="Arial"/>
          <w:sz w:val="20"/>
          <w:szCs w:val="20"/>
          <w:lang w:val="en-GB"/>
        </w:rPr>
        <w:t>By the end of the Second Quarter of 2021/22, the Department spent R359 000 on COVID-19 related projects and business activities. COVID-19 spending was for the procurement of protective equipment, sanitising materials and “other interventions within the Department”.</w:t>
      </w:r>
      <w:r w:rsidRPr="0039000D">
        <w:rPr>
          <w:rFonts w:ascii="Arial" w:eastAsia="Calibri" w:hAnsi="Arial" w:cs="Arial"/>
          <w:sz w:val="20"/>
          <w:szCs w:val="20"/>
          <w:vertAlign w:val="superscript"/>
          <w:lang w:val="en-GB"/>
        </w:rPr>
        <w:footnoteReference w:id="9"/>
      </w:r>
    </w:p>
    <w:p w:rsidR="006722E6" w:rsidRPr="0039000D" w:rsidRDefault="006722E6" w:rsidP="0039000D">
      <w:pPr>
        <w:spacing w:after="0" w:line="240" w:lineRule="auto"/>
        <w:rPr>
          <w:rFonts w:ascii="Arial" w:eastAsia="Calibri" w:hAnsi="Arial" w:cs="Arial"/>
          <w:sz w:val="20"/>
          <w:szCs w:val="20"/>
          <w:lang w:val="en-GB"/>
        </w:rPr>
      </w:pPr>
    </w:p>
    <w:p w:rsidR="006722E6" w:rsidRPr="0039000D" w:rsidRDefault="007A2256" w:rsidP="0039000D">
      <w:pPr>
        <w:pStyle w:val="ListParagraph"/>
        <w:keepNext/>
        <w:keepLines/>
        <w:numPr>
          <w:ilvl w:val="1"/>
          <w:numId w:val="30"/>
        </w:numPr>
        <w:spacing w:after="0" w:line="240" w:lineRule="auto"/>
        <w:outlineLvl w:val="0"/>
        <w:rPr>
          <w:rFonts w:ascii="Arial" w:eastAsia="Times New Roman" w:hAnsi="Arial" w:cs="Arial"/>
          <w:b/>
          <w:caps/>
          <w:sz w:val="20"/>
          <w:szCs w:val="20"/>
          <w:lang w:val="en-GB"/>
        </w:rPr>
      </w:pPr>
      <w:bookmarkStart w:id="10" w:name="_Toc97530553"/>
      <w:r w:rsidRPr="0039000D">
        <w:rPr>
          <w:rFonts w:ascii="Arial" w:eastAsia="Times New Roman" w:hAnsi="Arial" w:cs="Arial"/>
          <w:b/>
          <w:caps/>
          <w:sz w:val="20"/>
          <w:szCs w:val="20"/>
          <w:lang w:val="en-GB"/>
        </w:rPr>
        <w:t xml:space="preserve"> </w:t>
      </w:r>
      <w:r w:rsidR="006722E6" w:rsidRPr="0039000D">
        <w:rPr>
          <w:rFonts w:ascii="Arial" w:eastAsia="Times New Roman" w:hAnsi="Arial" w:cs="Arial"/>
          <w:b/>
          <w:caps/>
          <w:sz w:val="20"/>
          <w:szCs w:val="20"/>
          <w:lang w:val="en-GB"/>
        </w:rPr>
        <w:t>issues consider</w:t>
      </w:r>
      <w:r w:rsidR="00940E4F" w:rsidRPr="0039000D">
        <w:rPr>
          <w:rFonts w:ascii="Arial" w:eastAsia="Times New Roman" w:hAnsi="Arial" w:cs="Arial"/>
          <w:b/>
          <w:caps/>
          <w:sz w:val="20"/>
          <w:szCs w:val="20"/>
          <w:lang w:val="en-GB"/>
        </w:rPr>
        <w:t>ED</w:t>
      </w:r>
      <w:r w:rsidR="006722E6" w:rsidRPr="0039000D">
        <w:rPr>
          <w:rFonts w:ascii="Arial" w:eastAsia="Times New Roman" w:hAnsi="Arial" w:cs="Arial"/>
          <w:b/>
          <w:caps/>
          <w:sz w:val="20"/>
          <w:szCs w:val="20"/>
          <w:lang w:val="en-GB"/>
        </w:rPr>
        <w:t xml:space="preserve"> by the committee</w:t>
      </w:r>
      <w:bookmarkEnd w:id="10"/>
    </w:p>
    <w:p w:rsidR="006722E6" w:rsidRPr="0039000D" w:rsidRDefault="006722E6" w:rsidP="0039000D">
      <w:pPr>
        <w:spacing w:after="0" w:line="240" w:lineRule="auto"/>
        <w:rPr>
          <w:rFonts w:ascii="Arial" w:eastAsia="Calibri" w:hAnsi="Arial" w:cs="Arial"/>
          <w:sz w:val="20"/>
          <w:szCs w:val="20"/>
          <w:lang w:val="en-GB"/>
        </w:rPr>
      </w:pPr>
    </w:p>
    <w:p w:rsidR="006722E6" w:rsidRPr="0039000D" w:rsidRDefault="007A2256" w:rsidP="0039000D">
      <w:pPr>
        <w:keepNext/>
        <w:keepLines/>
        <w:spacing w:after="0" w:line="240" w:lineRule="auto"/>
        <w:outlineLvl w:val="1"/>
        <w:rPr>
          <w:rFonts w:ascii="Arial" w:eastAsia="Times New Roman" w:hAnsi="Arial" w:cs="Arial"/>
          <w:b/>
          <w:sz w:val="20"/>
          <w:szCs w:val="20"/>
          <w:lang w:val="en-GB"/>
        </w:rPr>
      </w:pPr>
      <w:bookmarkStart w:id="11" w:name="_Toc97530554"/>
      <w:r w:rsidRPr="0039000D">
        <w:rPr>
          <w:rFonts w:ascii="Arial" w:eastAsia="Times New Roman" w:hAnsi="Arial" w:cs="Arial"/>
          <w:b/>
          <w:sz w:val="20"/>
          <w:szCs w:val="20"/>
          <w:lang w:val="en-GB"/>
        </w:rPr>
        <w:t>2.2</w:t>
      </w:r>
      <w:r w:rsidR="006722E6" w:rsidRPr="0039000D">
        <w:rPr>
          <w:rFonts w:ascii="Arial" w:eastAsia="Times New Roman" w:hAnsi="Arial" w:cs="Arial"/>
          <w:b/>
          <w:sz w:val="20"/>
          <w:szCs w:val="20"/>
          <w:lang w:val="en-GB"/>
        </w:rPr>
        <w:t>.1 Slow Filling of Vacant Posts</w:t>
      </w:r>
      <w:bookmarkEnd w:id="11"/>
    </w:p>
    <w:p w:rsidR="006722E6" w:rsidRPr="0039000D" w:rsidRDefault="006722E6" w:rsidP="0039000D">
      <w:pPr>
        <w:spacing w:after="0" w:line="240" w:lineRule="auto"/>
        <w:rPr>
          <w:rFonts w:ascii="Arial" w:eastAsia="Calibri" w:hAnsi="Arial" w:cs="Arial"/>
          <w:sz w:val="20"/>
          <w:szCs w:val="20"/>
          <w:lang w:val="en-GB"/>
        </w:rPr>
      </w:pPr>
    </w:p>
    <w:p w:rsidR="006722E6" w:rsidRPr="0039000D" w:rsidRDefault="006722E6" w:rsidP="0039000D">
      <w:pPr>
        <w:spacing w:after="0" w:line="240" w:lineRule="auto"/>
        <w:contextualSpacing/>
        <w:rPr>
          <w:rFonts w:ascii="Arial" w:eastAsia="Calibri" w:hAnsi="Arial" w:cs="Arial"/>
          <w:sz w:val="20"/>
          <w:szCs w:val="20"/>
          <w:lang w:val="en-GB"/>
        </w:rPr>
      </w:pPr>
      <w:r w:rsidRPr="0039000D">
        <w:rPr>
          <w:rFonts w:ascii="Arial" w:eastAsia="Calibri" w:hAnsi="Arial" w:cs="Arial"/>
          <w:sz w:val="20"/>
          <w:szCs w:val="20"/>
          <w:lang w:val="en-GB"/>
        </w:rPr>
        <w:lastRenderedPageBreak/>
        <w:t xml:space="preserve">The slow filling of vacant posts </w:t>
      </w:r>
      <w:r w:rsidR="00940E4F" w:rsidRPr="0039000D">
        <w:rPr>
          <w:rFonts w:ascii="Arial" w:eastAsia="Calibri" w:hAnsi="Arial" w:cs="Arial"/>
          <w:sz w:val="20"/>
          <w:szCs w:val="20"/>
          <w:lang w:val="en-GB"/>
        </w:rPr>
        <w:t>remains a</w:t>
      </w:r>
      <w:r w:rsidRPr="0039000D">
        <w:rPr>
          <w:rFonts w:ascii="Arial" w:eastAsia="Calibri" w:hAnsi="Arial" w:cs="Arial"/>
          <w:sz w:val="20"/>
          <w:szCs w:val="20"/>
          <w:lang w:val="en-GB"/>
        </w:rPr>
        <w:t xml:space="preserve"> challenge for the Department, resulting in significant historical underspending on the Compensation of Employees. This is particularly concerning, given that funds have been reprioritised to the Compensation of Employees to fast track the filling of critical posts. Consequently, the National Treasury has requested the Department to provide it (the National Treasury) with monthly progress reports on the filling of vacant posts.</w:t>
      </w:r>
      <w:r w:rsidRPr="0039000D">
        <w:rPr>
          <w:rFonts w:ascii="Arial" w:eastAsia="Calibri" w:hAnsi="Arial" w:cs="Arial"/>
          <w:sz w:val="20"/>
          <w:szCs w:val="20"/>
          <w:vertAlign w:val="superscript"/>
          <w:lang w:val="en-GB"/>
        </w:rPr>
        <w:footnoteReference w:id="10"/>
      </w:r>
      <w:r w:rsidRPr="0039000D">
        <w:rPr>
          <w:rFonts w:ascii="Arial" w:eastAsia="Calibri" w:hAnsi="Arial" w:cs="Arial"/>
          <w:sz w:val="20"/>
          <w:szCs w:val="20"/>
          <w:lang w:val="en-GB"/>
        </w:rPr>
        <w:t xml:space="preserve"> The Committee </w:t>
      </w:r>
      <w:r w:rsidR="00940E4F" w:rsidRPr="0039000D">
        <w:rPr>
          <w:rFonts w:ascii="Arial" w:eastAsia="Calibri" w:hAnsi="Arial" w:cs="Arial"/>
          <w:sz w:val="20"/>
          <w:szCs w:val="20"/>
          <w:lang w:val="en-GB"/>
        </w:rPr>
        <w:t xml:space="preserve">would request quarterly reports on </w:t>
      </w:r>
      <w:r w:rsidRPr="0039000D">
        <w:rPr>
          <w:rFonts w:ascii="Arial" w:eastAsia="Calibri" w:hAnsi="Arial" w:cs="Arial"/>
          <w:sz w:val="20"/>
          <w:szCs w:val="20"/>
          <w:lang w:val="en-GB"/>
        </w:rPr>
        <w:t>whether the Department does indeed provide the National Treasury with monthly progress reports on the filling of vacant posts.</w:t>
      </w:r>
    </w:p>
    <w:p w:rsidR="006722E6" w:rsidRPr="0039000D" w:rsidRDefault="006722E6" w:rsidP="0039000D">
      <w:pPr>
        <w:spacing w:after="0" w:line="240" w:lineRule="auto"/>
        <w:rPr>
          <w:rFonts w:ascii="Arial" w:eastAsia="Calibri" w:hAnsi="Arial" w:cs="Arial"/>
          <w:sz w:val="20"/>
          <w:szCs w:val="20"/>
          <w:lang w:val="en-GB"/>
        </w:rPr>
      </w:pPr>
    </w:p>
    <w:p w:rsidR="006722E6" w:rsidRPr="0039000D" w:rsidRDefault="007A2256" w:rsidP="0039000D">
      <w:pPr>
        <w:keepNext/>
        <w:keepLines/>
        <w:spacing w:after="0" w:line="240" w:lineRule="auto"/>
        <w:outlineLvl w:val="1"/>
        <w:rPr>
          <w:rFonts w:ascii="Arial" w:eastAsia="Times New Roman" w:hAnsi="Arial" w:cs="Arial"/>
          <w:b/>
          <w:sz w:val="20"/>
          <w:szCs w:val="20"/>
          <w:lang w:val="en-GB"/>
        </w:rPr>
      </w:pPr>
      <w:bookmarkStart w:id="12" w:name="_Toc97530555"/>
      <w:r w:rsidRPr="0039000D">
        <w:rPr>
          <w:rFonts w:ascii="Arial" w:eastAsia="Times New Roman" w:hAnsi="Arial" w:cs="Arial"/>
          <w:b/>
          <w:sz w:val="20"/>
          <w:szCs w:val="20"/>
          <w:lang w:val="en-GB"/>
        </w:rPr>
        <w:t>2.2</w:t>
      </w:r>
      <w:r w:rsidR="006722E6" w:rsidRPr="0039000D">
        <w:rPr>
          <w:rFonts w:ascii="Arial" w:eastAsia="Times New Roman" w:hAnsi="Arial" w:cs="Arial"/>
          <w:b/>
          <w:sz w:val="20"/>
          <w:szCs w:val="20"/>
          <w:lang w:val="en-GB"/>
        </w:rPr>
        <w:t>.2 Monitoring of Public Transport Grants</w:t>
      </w:r>
      <w:bookmarkEnd w:id="12"/>
    </w:p>
    <w:p w:rsidR="006722E6" w:rsidRPr="0039000D" w:rsidRDefault="006722E6" w:rsidP="0039000D">
      <w:pPr>
        <w:spacing w:after="0" w:line="240" w:lineRule="auto"/>
        <w:rPr>
          <w:rFonts w:ascii="Arial" w:eastAsia="Calibri" w:hAnsi="Arial" w:cs="Arial"/>
          <w:sz w:val="20"/>
          <w:szCs w:val="20"/>
          <w:lang w:val="en-GB"/>
        </w:rPr>
      </w:pPr>
    </w:p>
    <w:p w:rsidR="006722E6" w:rsidRPr="0039000D" w:rsidRDefault="006722E6" w:rsidP="0039000D">
      <w:pPr>
        <w:spacing w:after="0" w:line="240" w:lineRule="auto"/>
        <w:contextualSpacing/>
        <w:rPr>
          <w:rFonts w:ascii="Arial" w:eastAsia="Calibri" w:hAnsi="Arial" w:cs="Arial"/>
          <w:sz w:val="20"/>
          <w:szCs w:val="20"/>
          <w:lang w:val="en-GB"/>
        </w:rPr>
      </w:pPr>
      <w:r w:rsidRPr="0039000D">
        <w:rPr>
          <w:rFonts w:ascii="Arial" w:eastAsia="Calibri" w:hAnsi="Arial" w:cs="Arial"/>
          <w:sz w:val="20"/>
          <w:szCs w:val="20"/>
          <w:lang w:val="en-GB"/>
        </w:rPr>
        <w:t>For three consecutive financial years (from 2018/19 to 2020/21), the Department has been unable to spend earmarked funds intended to strengthen its capacity to monitor public transport grants. This pattern seems to persist even in the current financial year. This has prompted the National Treasury to raise the question whether these funds should continue to be allocated to the Department. The Department has been requested to provide the National Treasury with monthly progress reports on the monitoring of public transport grants.</w:t>
      </w:r>
      <w:r w:rsidRPr="0039000D">
        <w:rPr>
          <w:rFonts w:ascii="Arial" w:eastAsia="Calibri" w:hAnsi="Arial" w:cs="Arial"/>
          <w:sz w:val="20"/>
          <w:szCs w:val="20"/>
          <w:vertAlign w:val="superscript"/>
          <w:lang w:val="en-GB"/>
        </w:rPr>
        <w:footnoteReference w:id="11"/>
      </w:r>
      <w:r w:rsidRPr="0039000D">
        <w:rPr>
          <w:rFonts w:ascii="Arial" w:eastAsia="Calibri" w:hAnsi="Arial" w:cs="Arial"/>
          <w:sz w:val="20"/>
          <w:szCs w:val="20"/>
          <w:lang w:val="en-GB"/>
        </w:rPr>
        <w:t xml:space="preserve"> The Department </w:t>
      </w:r>
      <w:r w:rsidR="00940E4F" w:rsidRPr="0039000D">
        <w:rPr>
          <w:rFonts w:ascii="Arial" w:eastAsia="Calibri" w:hAnsi="Arial" w:cs="Arial"/>
          <w:sz w:val="20"/>
          <w:szCs w:val="20"/>
          <w:lang w:val="en-GB"/>
        </w:rPr>
        <w:t xml:space="preserve">would be requested to report on a quarterly basis </w:t>
      </w:r>
      <w:r w:rsidRPr="0039000D">
        <w:rPr>
          <w:rFonts w:ascii="Arial" w:eastAsia="Calibri" w:hAnsi="Arial" w:cs="Arial"/>
          <w:sz w:val="20"/>
          <w:szCs w:val="20"/>
          <w:lang w:val="en-GB"/>
        </w:rPr>
        <w:t xml:space="preserve">to the Committee </w:t>
      </w:r>
      <w:r w:rsidR="00940E4F" w:rsidRPr="0039000D">
        <w:rPr>
          <w:rFonts w:ascii="Arial" w:eastAsia="Calibri" w:hAnsi="Arial" w:cs="Arial"/>
          <w:sz w:val="20"/>
          <w:szCs w:val="20"/>
          <w:lang w:val="en-GB"/>
        </w:rPr>
        <w:t xml:space="preserve">on </w:t>
      </w:r>
      <w:r w:rsidRPr="0039000D">
        <w:rPr>
          <w:rFonts w:ascii="Arial" w:eastAsia="Calibri" w:hAnsi="Arial" w:cs="Arial"/>
          <w:sz w:val="20"/>
          <w:szCs w:val="20"/>
          <w:lang w:val="en-GB"/>
        </w:rPr>
        <w:t>whether it furnishes the National Treasury with monthly progress reports on the monitoring of public transport grants</w:t>
      </w:r>
      <w:r w:rsidR="00940E4F" w:rsidRPr="0039000D">
        <w:rPr>
          <w:rFonts w:ascii="Arial" w:eastAsia="Calibri" w:hAnsi="Arial" w:cs="Arial"/>
          <w:sz w:val="20"/>
          <w:szCs w:val="20"/>
          <w:lang w:val="en-GB"/>
        </w:rPr>
        <w:t>.</w:t>
      </w:r>
    </w:p>
    <w:p w:rsidR="000951C1" w:rsidRPr="0039000D" w:rsidRDefault="000951C1" w:rsidP="0039000D">
      <w:pPr>
        <w:spacing w:after="0" w:line="240" w:lineRule="auto"/>
        <w:rPr>
          <w:rFonts w:ascii="Arial" w:eastAsia="Calibri" w:hAnsi="Arial" w:cs="Arial"/>
          <w:sz w:val="20"/>
          <w:szCs w:val="20"/>
          <w:lang w:val="en-GB"/>
        </w:rPr>
      </w:pPr>
    </w:p>
    <w:p w:rsidR="00A610E0" w:rsidRPr="0039000D" w:rsidRDefault="000951C1" w:rsidP="0039000D">
      <w:pPr>
        <w:spacing w:after="0" w:line="240" w:lineRule="auto"/>
        <w:ind w:left="360" w:hanging="360"/>
        <w:rPr>
          <w:rFonts w:ascii="Arial" w:hAnsi="Arial" w:cs="Arial"/>
          <w:b/>
          <w:sz w:val="20"/>
          <w:szCs w:val="20"/>
          <w:lang w:val="en-GB"/>
        </w:rPr>
      </w:pPr>
      <w:r w:rsidRPr="0039000D">
        <w:rPr>
          <w:rFonts w:ascii="Arial" w:eastAsia="Calibri" w:hAnsi="Arial" w:cs="Arial"/>
          <w:b/>
          <w:sz w:val="20"/>
          <w:szCs w:val="20"/>
          <w:lang w:val="en-GB"/>
        </w:rPr>
        <w:t>3</w:t>
      </w:r>
      <w:r w:rsidRPr="0039000D">
        <w:rPr>
          <w:rFonts w:ascii="Arial" w:eastAsia="Calibri" w:hAnsi="Arial" w:cs="Arial"/>
          <w:sz w:val="20"/>
          <w:szCs w:val="20"/>
          <w:lang w:val="en-GB"/>
        </w:rPr>
        <w:t>.</w:t>
      </w:r>
      <w:bookmarkEnd w:id="0"/>
      <w:r w:rsidR="00A610E0" w:rsidRPr="0039000D">
        <w:rPr>
          <w:rFonts w:ascii="Arial" w:hAnsi="Arial" w:cs="Arial"/>
          <w:b/>
          <w:sz w:val="20"/>
          <w:szCs w:val="20"/>
          <w:lang w:val="en-GB"/>
        </w:rPr>
        <w:t xml:space="preserve"> ANALYSIS OF THE 2021/22 THIRD QUARTER EXPENDITURE OF THE DEPARTMENT OF TRANSPORT </w:t>
      </w:r>
    </w:p>
    <w:p w:rsidR="00417FF2" w:rsidRPr="0039000D" w:rsidRDefault="00417FF2" w:rsidP="0039000D">
      <w:pPr>
        <w:spacing w:after="0" w:line="240" w:lineRule="auto"/>
        <w:rPr>
          <w:rFonts w:ascii="Arial" w:eastAsia="Calibri" w:hAnsi="Arial" w:cs="Arial"/>
          <w:sz w:val="20"/>
          <w:szCs w:val="20"/>
          <w:lang w:val="en-GB"/>
        </w:rPr>
      </w:pPr>
    </w:p>
    <w:p w:rsidR="00417FF2" w:rsidRPr="0039000D" w:rsidRDefault="00417FF2" w:rsidP="0039000D">
      <w:pPr>
        <w:spacing w:after="0" w:line="240" w:lineRule="auto"/>
        <w:rPr>
          <w:rFonts w:ascii="Arial" w:eastAsia="Calibri" w:hAnsi="Arial" w:cs="Arial"/>
          <w:sz w:val="20"/>
          <w:szCs w:val="20"/>
          <w:lang w:val="en-GB"/>
        </w:rPr>
      </w:pPr>
      <w:r w:rsidRPr="0039000D">
        <w:rPr>
          <w:rFonts w:ascii="Arial" w:eastAsia="Calibri" w:hAnsi="Arial" w:cs="Arial"/>
          <w:sz w:val="20"/>
          <w:szCs w:val="20"/>
          <w:lang w:val="en-GB"/>
        </w:rPr>
        <w:t xml:space="preserve">In 2021/22, the Department </w:t>
      </w:r>
      <w:r w:rsidR="00A610E0" w:rsidRPr="0039000D">
        <w:rPr>
          <w:rFonts w:ascii="Arial" w:eastAsia="Calibri" w:hAnsi="Arial" w:cs="Arial"/>
          <w:sz w:val="20"/>
          <w:szCs w:val="20"/>
          <w:lang w:val="en-GB"/>
        </w:rPr>
        <w:t xml:space="preserve">of Transport </w:t>
      </w:r>
      <w:r w:rsidRPr="0039000D">
        <w:rPr>
          <w:rFonts w:ascii="Arial" w:eastAsia="Calibri" w:hAnsi="Arial" w:cs="Arial"/>
          <w:sz w:val="20"/>
          <w:szCs w:val="20"/>
          <w:lang w:val="en-GB"/>
        </w:rPr>
        <w:t>allocation was adjusted downward from R66.7 billion to R65.4 billion. By the end of the Third Quarter, the Department spent R49.5 billion against a projection of R50.7 billion. This is R1.1 billion (or 2.2%) lower than projected. The lower than projected spending was mainly on transfers and subsidies in the Administration and the Public Transport programmes, as well on Goods and Services across other programmes.</w:t>
      </w:r>
      <w:r w:rsidRPr="0039000D">
        <w:rPr>
          <w:rFonts w:ascii="Arial" w:eastAsia="Calibri" w:hAnsi="Arial" w:cs="Arial"/>
          <w:sz w:val="20"/>
          <w:szCs w:val="20"/>
          <w:vertAlign w:val="superscript"/>
          <w:lang w:val="en-GB"/>
        </w:rPr>
        <w:footnoteReference w:id="12"/>
      </w:r>
      <w:r w:rsidRPr="0039000D">
        <w:rPr>
          <w:rFonts w:ascii="Arial" w:eastAsia="Calibri" w:hAnsi="Arial" w:cs="Arial"/>
          <w:sz w:val="20"/>
          <w:szCs w:val="20"/>
          <w:lang w:val="en-GB"/>
        </w:rPr>
        <w:t xml:space="preserve"> </w:t>
      </w:r>
    </w:p>
    <w:p w:rsidR="00417FF2" w:rsidRPr="0039000D" w:rsidRDefault="00417FF2" w:rsidP="0039000D">
      <w:pPr>
        <w:spacing w:after="0" w:line="240" w:lineRule="auto"/>
        <w:rPr>
          <w:rFonts w:ascii="Arial" w:eastAsia="Calibri" w:hAnsi="Arial" w:cs="Arial"/>
          <w:sz w:val="20"/>
          <w:szCs w:val="20"/>
          <w:lang w:val="en-GB"/>
        </w:rPr>
      </w:pPr>
    </w:p>
    <w:p w:rsidR="00417FF2" w:rsidRPr="0039000D" w:rsidRDefault="00417FF2" w:rsidP="0039000D">
      <w:pPr>
        <w:spacing w:after="0" w:line="240" w:lineRule="auto"/>
        <w:rPr>
          <w:rFonts w:ascii="Arial" w:eastAsia="Calibri" w:hAnsi="Arial" w:cs="Arial"/>
          <w:sz w:val="20"/>
          <w:szCs w:val="20"/>
          <w:lang w:val="en-GB"/>
        </w:rPr>
      </w:pPr>
      <w:r w:rsidRPr="0039000D">
        <w:rPr>
          <w:rFonts w:ascii="Arial" w:eastAsia="Calibri" w:hAnsi="Arial" w:cs="Arial"/>
          <w:sz w:val="20"/>
          <w:szCs w:val="20"/>
          <w:lang w:val="en-GB"/>
        </w:rPr>
        <w:t>The Department spent R355.7 million against a projection of R383.3 million for the Compensation of Employees. Spending was R27.6 million (or 7.2%) lower than projected, mainly due to the slow filling of vacant posts.</w:t>
      </w:r>
      <w:r w:rsidRPr="0039000D">
        <w:rPr>
          <w:rFonts w:ascii="Arial" w:eastAsia="Calibri" w:hAnsi="Arial" w:cs="Arial"/>
          <w:sz w:val="20"/>
          <w:szCs w:val="20"/>
          <w:vertAlign w:val="superscript"/>
          <w:lang w:val="en-GB"/>
        </w:rPr>
        <w:footnoteReference w:id="13"/>
      </w:r>
      <w:r w:rsidRPr="0039000D">
        <w:rPr>
          <w:rFonts w:ascii="Arial" w:eastAsia="Calibri" w:hAnsi="Arial" w:cs="Arial"/>
          <w:sz w:val="20"/>
          <w:szCs w:val="20"/>
          <w:lang w:val="en-GB"/>
        </w:rPr>
        <w:t xml:space="preserve"> It had 738 filled posts against a funded establishment of 921 posts. This represented a vacancy rate of 19.9% (or 183 vacant posts).</w:t>
      </w:r>
      <w:r w:rsidRPr="0039000D">
        <w:rPr>
          <w:rFonts w:ascii="Arial" w:eastAsia="Calibri" w:hAnsi="Arial" w:cs="Arial"/>
          <w:sz w:val="20"/>
          <w:szCs w:val="20"/>
          <w:vertAlign w:val="superscript"/>
          <w:lang w:val="en-GB"/>
        </w:rPr>
        <w:footnoteReference w:id="14"/>
      </w:r>
    </w:p>
    <w:p w:rsidR="00417FF2" w:rsidRPr="0039000D" w:rsidRDefault="00417FF2" w:rsidP="0039000D">
      <w:pPr>
        <w:spacing w:after="0" w:line="240" w:lineRule="auto"/>
        <w:rPr>
          <w:rFonts w:ascii="Arial" w:eastAsia="Calibri" w:hAnsi="Arial" w:cs="Arial"/>
          <w:sz w:val="20"/>
          <w:szCs w:val="20"/>
          <w:lang w:val="en-GB"/>
        </w:rPr>
      </w:pPr>
    </w:p>
    <w:p w:rsidR="00417FF2" w:rsidRPr="0039000D" w:rsidRDefault="00A11720" w:rsidP="0039000D">
      <w:pPr>
        <w:pStyle w:val="ListParagraph"/>
        <w:keepNext/>
        <w:keepLines/>
        <w:numPr>
          <w:ilvl w:val="1"/>
          <w:numId w:val="31"/>
        </w:numPr>
        <w:spacing w:after="0" w:line="240" w:lineRule="auto"/>
        <w:outlineLvl w:val="0"/>
        <w:rPr>
          <w:rFonts w:ascii="Arial" w:eastAsia="Times New Roman" w:hAnsi="Arial" w:cs="Arial"/>
          <w:b/>
          <w:caps/>
          <w:sz w:val="20"/>
          <w:szCs w:val="20"/>
          <w:lang w:val="en-GB"/>
        </w:rPr>
      </w:pPr>
      <w:bookmarkStart w:id="13" w:name="_Toc97395562"/>
      <w:r w:rsidRPr="0039000D">
        <w:rPr>
          <w:rFonts w:ascii="Arial" w:eastAsia="Times New Roman" w:hAnsi="Arial" w:cs="Arial"/>
          <w:b/>
          <w:caps/>
          <w:sz w:val="20"/>
          <w:szCs w:val="20"/>
          <w:lang w:val="en-GB"/>
        </w:rPr>
        <w:t xml:space="preserve"> </w:t>
      </w:r>
      <w:r w:rsidR="00417FF2" w:rsidRPr="0039000D">
        <w:rPr>
          <w:rFonts w:ascii="Arial" w:eastAsia="Times New Roman" w:hAnsi="Arial" w:cs="Arial"/>
          <w:b/>
          <w:caps/>
          <w:sz w:val="20"/>
          <w:szCs w:val="20"/>
          <w:lang w:val="en-GB"/>
        </w:rPr>
        <w:t>budget expenditure per programme</w:t>
      </w:r>
      <w:bookmarkEnd w:id="13"/>
    </w:p>
    <w:p w:rsidR="00417FF2" w:rsidRPr="0039000D" w:rsidRDefault="00417FF2" w:rsidP="0039000D">
      <w:pPr>
        <w:spacing w:after="0" w:line="240" w:lineRule="auto"/>
        <w:rPr>
          <w:rFonts w:ascii="Arial" w:eastAsia="Calibri" w:hAnsi="Arial" w:cs="Arial"/>
          <w:sz w:val="20"/>
          <w:szCs w:val="20"/>
          <w:lang w:val="en-GB"/>
        </w:rPr>
      </w:pPr>
    </w:p>
    <w:p w:rsidR="006C2A34" w:rsidRPr="0039000D" w:rsidRDefault="00417FF2" w:rsidP="0039000D">
      <w:pPr>
        <w:spacing w:after="0" w:line="240" w:lineRule="auto"/>
        <w:rPr>
          <w:rFonts w:ascii="Arial" w:eastAsia="Calibri" w:hAnsi="Arial" w:cs="Arial"/>
          <w:b/>
          <w:sz w:val="20"/>
          <w:szCs w:val="20"/>
          <w:lang w:val="en-GB"/>
        </w:rPr>
      </w:pPr>
      <w:r w:rsidRPr="0039000D">
        <w:rPr>
          <w:rFonts w:ascii="Arial" w:eastAsia="Calibri" w:hAnsi="Arial" w:cs="Arial"/>
          <w:b/>
          <w:sz w:val="20"/>
          <w:szCs w:val="20"/>
          <w:lang w:val="en-GB"/>
        </w:rPr>
        <w:t>Table 1: Budget Expenditure per Programme, Third Quarter 2021/22</w:t>
      </w:r>
    </w:p>
    <w:p w:rsidR="00417FF2" w:rsidRPr="0039000D" w:rsidRDefault="00F67800" w:rsidP="0039000D">
      <w:pPr>
        <w:tabs>
          <w:tab w:val="left" w:pos="997"/>
        </w:tabs>
        <w:spacing w:after="0" w:line="240" w:lineRule="auto"/>
        <w:rPr>
          <w:rFonts w:ascii="Arial" w:eastAsia="Calibri" w:hAnsi="Arial" w:cs="Arial"/>
          <w:sz w:val="20"/>
          <w:szCs w:val="20"/>
          <w:lang w:val="en-GB"/>
        </w:rPr>
      </w:pPr>
      <w:r w:rsidRPr="0039000D">
        <w:rPr>
          <w:rFonts w:ascii="Arial" w:eastAsia="Calibri" w:hAnsi="Arial" w:cs="Arial"/>
          <w:sz w:val="20"/>
          <w:szCs w:val="20"/>
          <w:lang w:val="en-GB"/>
        </w:rPr>
        <w:tab/>
      </w:r>
    </w:p>
    <w:tbl>
      <w:tblPr>
        <w:tblStyle w:val="TableGrid"/>
        <w:tblpPr w:leftFromText="180" w:rightFromText="180" w:vertAnchor="text" w:tblpX="-441" w:tblpY="1"/>
        <w:tblOverlap w:val="never"/>
        <w:tblW w:w="11055" w:type="dxa"/>
        <w:tblLayout w:type="fixed"/>
        <w:tblLook w:val="04A0"/>
      </w:tblPr>
      <w:tblGrid>
        <w:gridCol w:w="1530"/>
        <w:gridCol w:w="1164"/>
        <w:gridCol w:w="1134"/>
        <w:gridCol w:w="927"/>
        <w:gridCol w:w="990"/>
        <w:gridCol w:w="1260"/>
        <w:gridCol w:w="900"/>
        <w:gridCol w:w="1170"/>
        <w:gridCol w:w="900"/>
        <w:gridCol w:w="1080"/>
      </w:tblGrid>
      <w:tr w:rsidR="00F337A1" w:rsidRPr="0039000D" w:rsidTr="001B0D6E">
        <w:trPr>
          <w:cantSplit/>
          <w:trHeight w:val="2522"/>
          <w:tblHeader/>
        </w:trPr>
        <w:tc>
          <w:tcPr>
            <w:tcW w:w="1530" w:type="dxa"/>
            <w:tcBorders>
              <w:top w:val="single" w:sz="12" w:space="0" w:color="auto"/>
              <w:left w:val="single" w:sz="12" w:space="0" w:color="auto"/>
              <w:bottom w:val="single" w:sz="12" w:space="0" w:color="auto"/>
              <w:right w:val="single" w:sz="12" w:space="0" w:color="auto"/>
            </w:tcBorders>
            <w:shd w:val="clear" w:color="auto" w:fill="DEEAF6"/>
            <w:textDirection w:val="btLr"/>
          </w:tcPr>
          <w:p w:rsidR="00417FF2" w:rsidRPr="0039000D" w:rsidRDefault="00417FF2" w:rsidP="0039000D">
            <w:pPr>
              <w:ind w:left="113" w:right="113"/>
              <w:rPr>
                <w:rFonts w:ascii="Arial" w:eastAsia="Calibri" w:hAnsi="Arial" w:cs="Arial"/>
                <w:b/>
                <w:sz w:val="20"/>
                <w:szCs w:val="20"/>
                <w:lang w:val="en-GB"/>
              </w:rPr>
            </w:pPr>
            <w:r w:rsidRPr="0039000D">
              <w:rPr>
                <w:rFonts w:ascii="Arial" w:eastAsia="Calibri" w:hAnsi="Arial" w:cs="Arial"/>
                <w:b/>
                <w:sz w:val="20"/>
                <w:szCs w:val="20"/>
                <w:lang w:val="en-GB"/>
              </w:rPr>
              <w:t>Programme</w:t>
            </w:r>
          </w:p>
        </w:tc>
        <w:tc>
          <w:tcPr>
            <w:tcW w:w="1164" w:type="dxa"/>
            <w:tcBorders>
              <w:top w:val="single" w:sz="12" w:space="0" w:color="auto"/>
              <w:left w:val="single" w:sz="12" w:space="0" w:color="auto"/>
              <w:bottom w:val="single" w:sz="12" w:space="0" w:color="auto"/>
              <w:right w:val="single" w:sz="12" w:space="0" w:color="auto"/>
            </w:tcBorders>
            <w:shd w:val="clear" w:color="auto" w:fill="DEEAF6"/>
            <w:textDirection w:val="btLr"/>
          </w:tcPr>
          <w:p w:rsidR="00417FF2" w:rsidRPr="0039000D" w:rsidRDefault="00417FF2" w:rsidP="0039000D">
            <w:pPr>
              <w:ind w:left="113" w:right="113"/>
              <w:rPr>
                <w:rFonts w:ascii="Arial" w:eastAsia="Calibri" w:hAnsi="Arial" w:cs="Arial"/>
                <w:b/>
                <w:sz w:val="20"/>
                <w:szCs w:val="20"/>
                <w:lang w:val="en-GB"/>
              </w:rPr>
            </w:pPr>
            <w:r w:rsidRPr="0039000D">
              <w:rPr>
                <w:rFonts w:ascii="Arial" w:eastAsia="Calibri" w:hAnsi="Arial" w:cs="Arial"/>
                <w:b/>
                <w:sz w:val="20"/>
                <w:szCs w:val="20"/>
                <w:lang w:val="en-GB"/>
              </w:rPr>
              <w:t>Main Appropriation</w:t>
            </w:r>
          </w:p>
        </w:tc>
        <w:tc>
          <w:tcPr>
            <w:tcW w:w="1134" w:type="dxa"/>
            <w:tcBorders>
              <w:top w:val="single" w:sz="12" w:space="0" w:color="auto"/>
              <w:left w:val="single" w:sz="12" w:space="0" w:color="auto"/>
              <w:bottom w:val="single" w:sz="12" w:space="0" w:color="auto"/>
              <w:right w:val="single" w:sz="12" w:space="0" w:color="auto"/>
            </w:tcBorders>
            <w:shd w:val="clear" w:color="auto" w:fill="DEEAF6"/>
            <w:textDirection w:val="btLr"/>
          </w:tcPr>
          <w:p w:rsidR="00417FF2" w:rsidRPr="0039000D" w:rsidRDefault="00417FF2" w:rsidP="0039000D">
            <w:pPr>
              <w:ind w:left="113" w:right="113"/>
              <w:rPr>
                <w:rFonts w:ascii="Arial" w:eastAsia="Calibri" w:hAnsi="Arial" w:cs="Arial"/>
                <w:b/>
                <w:sz w:val="20"/>
                <w:szCs w:val="20"/>
                <w:lang w:val="en-GB"/>
              </w:rPr>
            </w:pPr>
            <w:r w:rsidRPr="0039000D">
              <w:rPr>
                <w:rFonts w:ascii="Arial" w:eastAsia="Calibri" w:hAnsi="Arial" w:cs="Arial"/>
                <w:b/>
                <w:sz w:val="20"/>
                <w:szCs w:val="20"/>
                <w:lang w:val="en-GB"/>
              </w:rPr>
              <w:t>Adjusted Budget</w:t>
            </w:r>
          </w:p>
        </w:tc>
        <w:tc>
          <w:tcPr>
            <w:tcW w:w="927" w:type="dxa"/>
            <w:tcBorders>
              <w:top w:val="single" w:sz="12" w:space="0" w:color="auto"/>
              <w:left w:val="single" w:sz="12" w:space="0" w:color="auto"/>
              <w:bottom w:val="single" w:sz="12" w:space="0" w:color="auto"/>
              <w:right w:val="single" w:sz="12" w:space="0" w:color="auto"/>
            </w:tcBorders>
            <w:shd w:val="clear" w:color="auto" w:fill="DEEAF6"/>
            <w:textDirection w:val="btLr"/>
          </w:tcPr>
          <w:p w:rsidR="00417FF2" w:rsidRPr="0039000D" w:rsidRDefault="00417FF2" w:rsidP="0039000D">
            <w:pPr>
              <w:ind w:left="113" w:right="113"/>
              <w:rPr>
                <w:rFonts w:ascii="Arial" w:eastAsia="Calibri" w:hAnsi="Arial" w:cs="Arial"/>
                <w:b/>
                <w:sz w:val="20"/>
                <w:szCs w:val="20"/>
                <w:lang w:val="en-GB"/>
              </w:rPr>
            </w:pPr>
            <w:r w:rsidRPr="0039000D">
              <w:rPr>
                <w:rFonts w:ascii="Arial" w:eastAsia="Calibri" w:hAnsi="Arial" w:cs="Arial"/>
                <w:b/>
                <w:sz w:val="20"/>
                <w:szCs w:val="20"/>
                <w:lang w:val="en-GB"/>
              </w:rPr>
              <w:t>Available Budget</w:t>
            </w:r>
          </w:p>
        </w:tc>
        <w:tc>
          <w:tcPr>
            <w:tcW w:w="990" w:type="dxa"/>
            <w:tcBorders>
              <w:top w:val="single" w:sz="12" w:space="0" w:color="auto"/>
              <w:left w:val="single" w:sz="12" w:space="0" w:color="auto"/>
              <w:bottom w:val="single" w:sz="12" w:space="0" w:color="auto"/>
              <w:right w:val="single" w:sz="12" w:space="0" w:color="auto"/>
            </w:tcBorders>
            <w:shd w:val="clear" w:color="auto" w:fill="DEEAF6"/>
            <w:textDirection w:val="btLr"/>
          </w:tcPr>
          <w:p w:rsidR="00417FF2" w:rsidRPr="0039000D" w:rsidRDefault="00417FF2" w:rsidP="0039000D">
            <w:pPr>
              <w:ind w:left="113" w:right="113"/>
              <w:rPr>
                <w:rFonts w:ascii="Arial" w:eastAsia="Calibri" w:hAnsi="Arial" w:cs="Arial"/>
                <w:b/>
                <w:sz w:val="20"/>
                <w:szCs w:val="20"/>
                <w:lang w:val="en-GB"/>
              </w:rPr>
            </w:pPr>
            <w:r w:rsidRPr="0039000D">
              <w:rPr>
                <w:rFonts w:ascii="Arial" w:eastAsia="Calibri" w:hAnsi="Arial" w:cs="Arial"/>
                <w:b/>
                <w:sz w:val="20"/>
                <w:szCs w:val="20"/>
                <w:lang w:val="en-GB"/>
              </w:rPr>
              <w:t>Q3 Actual Expenditure</w:t>
            </w:r>
          </w:p>
        </w:tc>
        <w:tc>
          <w:tcPr>
            <w:tcW w:w="1260" w:type="dxa"/>
            <w:tcBorders>
              <w:top w:val="single" w:sz="12" w:space="0" w:color="auto"/>
              <w:left w:val="single" w:sz="12" w:space="0" w:color="auto"/>
              <w:bottom w:val="single" w:sz="12" w:space="0" w:color="auto"/>
              <w:right w:val="single" w:sz="12" w:space="0" w:color="auto"/>
            </w:tcBorders>
            <w:shd w:val="clear" w:color="auto" w:fill="DEEAF6"/>
            <w:textDirection w:val="btLr"/>
          </w:tcPr>
          <w:p w:rsidR="00417FF2" w:rsidRPr="0039000D" w:rsidRDefault="00417FF2" w:rsidP="0039000D">
            <w:pPr>
              <w:ind w:left="113" w:right="113"/>
              <w:rPr>
                <w:rFonts w:ascii="Arial" w:eastAsia="Calibri" w:hAnsi="Arial" w:cs="Arial"/>
                <w:b/>
                <w:sz w:val="20"/>
                <w:szCs w:val="20"/>
                <w:lang w:val="en-GB"/>
              </w:rPr>
            </w:pPr>
            <w:r w:rsidRPr="0039000D">
              <w:rPr>
                <w:rFonts w:ascii="Arial" w:eastAsia="Calibri" w:hAnsi="Arial" w:cs="Arial"/>
                <w:b/>
                <w:sz w:val="20"/>
                <w:szCs w:val="20"/>
                <w:lang w:val="en-GB"/>
              </w:rPr>
              <w:t>Expenditure As Percentage of Available Budget</w:t>
            </w:r>
          </w:p>
        </w:tc>
        <w:tc>
          <w:tcPr>
            <w:tcW w:w="900" w:type="dxa"/>
            <w:tcBorders>
              <w:top w:val="single" w:sz="12" w:space="0" w:color="auto"/>
              <w:left w:val="single" w:sz="12" w:space="0" w:color="auto"/>
              <w:bottom w:val="single" w:sz="12" w:space="0" w:color="auto"/>
              <w:right w:val="single" w:sz="12" w:space="0" w:color="auto"/>
            </w:tcBorders>
            <w:shd w:val="clear" w:color="auto" w:fill="DEEAF6"/>
            <w:textDirection w:val="btLr"/>
          </w:tcPr>
          <w:p w:rsidR="00417FF2" w:rsidRPr="0039000D" w:rsidRDefault="00417FF2" w:rsidP="0039000D">
            <w:pPr>
              <w:ind w:left="113" w:right="113"/>
              <w:rPr>
                <w:rFonts w:ascii="Arial" w:eastAsia="Calibri" w:hAnsi="Arial" w:cs="Arial"/>
                <w:b/>
                <w:sz w:val="20"/>
                <w:szCs w:val="20"/>
                <w:lang w:val="en-GB"/>
              </w:rPr>
            </w:pPr>
            <w:r w:rsidRPr="0039000D">
              <w:rPr>
                <w:rFonts w:ascii="Arial" w:eastAsia="Calibri" w:hAnsi="Arial" w:cs="Arial"/>
                <w:b/>
                <w:sz w:val="20"/>
                <w:szCs w:val="20"/>
                <w:lang w:val="en-GB"/>
              </w:rPr>
              <w:t>Q3 Projected Expenditure</w:t>
            </w:r>
          </w:p>
        </w:tc>
        <w:tc>
          <w:tcPr>
            <w:tcW w:w="1170" w:type="dxa"/>
            <w:tcBorders>
              <w:top w:val="single" w:sz="12" w:space="0" w:color="auto"/>
              <w:left w:val="single" w:sz="12" w:space="0" w:color="auto"/>
              <w:bottom w:val="single" w:sz="12" w:space="0" w:color="auto"/>
              <w:right w:val="single" w:sz="12" w:space="0" w:color="auto"/>
            </w:tcBorders>
            <w:shd w:val="clear" w:color="auto" w:fill="DEEAF6"/>
            <w:textDirection w:val="btLr"/>
          </w:tcPr>
          <w:p w:rsidR="00417FF2" w:rsidRPr="0039000D" w:rsidRDefault="00417FF2" w:rsidP="0039000D">
            <w:pPr>
              <w:ind w:left="113" w:right="113"/>
              <w:rPr>
                <w:rFonts w:ascii="Arial" w:eastAsia="Calibri" w:hAnsi="Arial" w:cs="Arial"/>
                <w:b/>
                <w:sz w:val="20"/>
                <w:szCs w:val="20"/>
                <w:lang w:val="en-GB"/>
              </w:rPr>
            </w:pPr>
            <w:r w:rsidRPr="0039000D">
              <w:rPr>
                <w:rFonts w:ascii="Arial" w:eastAsia="Calibri" w:hAnsi="Arial" w:cs="Arial"/>
                <w:b/>
                <w:sz w:val="20"/>
                <w:szCs w:val="20"/>
                <w:lang w:val="en-GB"/>
              </w:rPr>
              <w:t>Variance from Projected Expenditure</w:t>
            </w:r>
          </w:p>
        </w:tc>
        <w:tc>
          <w:tcPr>
            <w:tcW w:w="900" w:type="dxa"/>
            <w:tcBorders>
              <w:top w:val="single" w:sz="12" w:space="0" w:color="auto"/>
              <w:left w:val="single" w:sz="12" w:space="0" w:color="auto"/>
              <w:bottom w:val="single" w:sz="12" w:space="0" w:color="auto"/>
              <w:right w:val="single" w:sz="12" w:space="0" w:color="auto"/>
            </w:tcBorders>
            <w:shd w:val="clear" w:color="auto" w:fill="DEEAF6"/>
            <w:textDirection w:val="btLr"/>
          </w:tcPr>
          <w:p w:rsidR="00417FF2" w:rsidRPr="0039000D" w:rsidRDefault="00417FF2" w:rsidP="0039000D">
            <w:pPr>
              <w:ind w:left="113" w:right="113"/>
              <w:rPr>
                <w:rFonts w:ascii="Arial" w:eastAsia="Calibri" w:hAnsi="Arial" w:cs="Arial"/>
                <w:b/>
                <w:sz w:val="20"/>
                <w:szCs w:val="20"/>
                <w:lang w:val="en-GB"/>
              </w:rPr>
            </w:pPr>
            <w:r w:rsidRPr="0039000D">
              <w:rPr>
                <w:rFonts w:ascii="Arial" w:eastAsia="Calibri" w:hAnsi="Arial" w:cs="Arial"/>
                <w:b/>
                <w:sz w:val="20"/>
                <w:szCs w:val="20"/>
                <w:lang w:val="en-GB"/>
              </w:rPr>
              <w:t>% Variance from Projected Expenditure</w:t>
            </w:r>
          </w:p>
        </w:tc>
        <w:tc>
          <w:tcPr>
            <w:tcW w:w="1080" w:type="dxa"/>
            <w:tcBorders>
              <w:top w:val="single" w:sz="12" w:space="0" w:color="auto"/>
              <w:left w:val="single" w:sz="12" w:space="0" w:color="auto"/>
              <w:bottom w:val="single" w:sz="12" w:space="0" w:color="auto"/>
              <w:right w:val="single" w:sz="12" w:space="0" w:color="auto"/>
            </w:tcBorders>
            <w:shd w:val="clear" w:color="auto" w:fill="DEEAF6"/>
            <w:textDirection w:val="btLr"/>
          </w:tcPr>
          <w:p w:rsidR="00417FF2" w:rsidRPr="0039000D" w:rsidRDefault="00417FF2" w:rsidP="0039000D">
            <w:pPr>
              <w:ind w:left="113" w:right="113"/>
              <w:rPr>
                <w:rFonts w:ascii="Arial" w:eastAsia="Calibri" w:hAnsi="Arial" w:cs="Arial"/>
                <w:b/>
                <w:sz w:val="20"/>
                <w:szCs w:val="20"/>
                <w:lang w:val="en-GB"/>
              </w:rPr>
            </w:pPr>
            <w:r w:rsidRPr="0039000D">
              <w:rPr>
                <w:rFonts w:ascii="Arial" w:eastAsia="Calibri" w:hAnsi="Arial" w:cs="Arial"/>
                <w:b/>
                <w:sz w:val="20"/>
                <w:szCs w:val="20"/>
                <w:lang w:val="en-GB"/>
              </w:rPr>
              <w:t>COVID-19 Spending</w:t>
            </w:r>
          </w:p>
        </w:tc>
      </w:tr>
      <w:tr w:rsidR="00F337A1" w:rsidRPr="0039000D" w:rsidTr="001B0D6E">
        <w:trPr>
          <w:cantSplit/>
          <w:trHeight w:val="263"/>
        </w:trPr>
        <w:tc>
          <w:tcPr>
            <w:tcW w:w="1530" w:type="dxa"/>
            <w:tcBorders>
              <w:top w:val="single" w:sz="12" w:space="0" w:color="auto"/>
              <w:left w:val="single" w:sz="12" w:space="0" w:color="auto"/>
            </w:tcBorders>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lastRenderedPageBreak/>
              <w:t>Administration</w:t>
            </w:r>
          </w:p>
        </w:tc>
        <w:tc>
          <w:tcPr>
            <w:tcW w:w="1164" w:type="dxa"/>
            <w:tcBorders>
              <w:top w:val="single" w:sz="12" w:space="0" w:color="auto"/>
            </w:tcBorders>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497</w:t>
            </w:r>
          </w:p>
        </w:tc>
        <w:tc>
          <w:tcPr>
            <w:tcW w:w="1134" w:type="dxa"/>
            <w:tcBorders>
              <w:top w:val="single" w:sz="12" w:space="0" w:color="auto"/>
            </w:tcBorders>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522.2</w:t>
            </w:r>
          </w:p>
        </w:tc>
        <w:tc>
          <w:tcPr>
            <w:tcW w:w="927" w:type="dxa"/>
            <w:tcBorders>
              <w:top w:val="single" w:sz="12" w:space="0" w:color="auto"/>
            </w:tcBorders>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522.2</w:t>
            </w:r>
          </w:p>
        </w:tc>
        <w:tc>
          <w:tcPr>
            <w:tcW w:w="990" w:type="dxa"/>
            <w:tcBorders>
              <w:top w:val="single" w:sz="12" w:space="0" w:color="auto"/>
            </w:tcBorders>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257.1</w:t>
            </w:r>
          </w:p>
        </w:tc>
        <w:tc>
          <w:tcPr>
            <w:tcW w:w="1260" w:type="dxa"/>
            <w:tcBorders>
              <w:top w:val="single" w:sz="12" w:space="0" w:color="auto"/>
            </w:tcBorders>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49.2%</w:t>
            </w:r>
          </w:p>
        </w:tc>
        <w:tc>
          <w:tcPr>
            <w:tcW w:w="900" w:type="dxa"/>
            <w:tcBorders>
              <w:top w:val="single" w:sz="12" w:space="0" w:color="auto"/>
            </w:tcBorders>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384.1</w:t>
            </w:r>
          </w:p>
        </w:tc>
        <w:tc>
          <w:tcPr>
            <w:tcW w:w="1170" w:type="dxa"/>
            <w:tcBorders>
              <w:top w:val="single" w:sz="12" w:space="0" w:color="auto"/>
            </w:tcBorders>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127</w:t>
            </w:r>
          </w:p>
        </w:tc>
        <w:tc>
          <w:tcPr>
            <w:tcW w:w="900" w:type="dxa"/>
            <w:tcBorders>
              <w:top w:val="single" w:sz="12" w:space="0" w:color="auto"/>
            </w:tcBorders>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33.1%</w:t>
            </w:r>
          </w:p>
        </w:tc>
        <w:tc>
          <w:tcPr>
            <w:tcW w:w="1080" w:type="dxa"/>
            <w:tcBorders>
              <w:top w:val="single" w:sz="12" w:space="0" w:color="auto"/>
              <w:right w:val="single" w:sz="12" w:space="0" w:color="auto"/>
            </w:tcBorders>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0.4</w:t>
            </w:r>
          </w:p>
        </w:tc>
      </w:tr>
      <w:tr w:rsidR="00F337A1" w:rsidRPr="0039000D" w:rsidTr="001B0D6E">
        <w:trPr>
          <w:cantSplit/>
          <w:trHeight w:val="838"/>
        </w:trPr>
        <w:tc>
          <w:tcPr>
            <w:tcW w:w="1530" w:type="dxa"/>
            <w:tcBorders>
              <w:left w:val="single" w:sz="12" w:space="0" w:color="auto"/>
            </w:tcBorders>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Integrated Transport Planning</w:t>
            </w:r>
          </w:p>
        </w:tc>
        <w:tc>
          <w:tcPr>
            <w:tcW w:w="1164" w:type="dxa"/>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92.2</w:t>
            </w:r>
          </w:p>
        </w:tc>
        <w:tc>
          <w:tcPr>
            <w:tcW w:w="1134" w:type="dxa"/>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90.2</w:t>
            </w:r>
          </w:p>
        </w:tc>
        <w:tc>
          <w:tcPr>
            <w:tcW w:w="927" w:type="dxa"/>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90.2</w:t>
            </w:r>
          </w:p>
        </w:tc>
        <w:tc>
          <w:tcPr>
            <w:tcW w:w="990" w:type="dxa"/>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45.2</w:t>
            </w:r>
          </w:p>
        </w:tc>
        <w:tc>
          <w:tcPr>
            <w:tcW w:w="1260" w:type="dxa"/>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50.1%</w:t>
            </w:r>
          </w:p>
        </w:tc>
        <w:tc>
          <w:tcPr>
            <w:tcW w:w="900" w:type="dxa"/>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64.4</w:t>
            </w:r>
          </w:p>
        </w:tc>
        <w:tc>
          <w:tcPr>
            <w:tcW w:w="1170" w:type="dxa"/>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19.2</w:t>
            </w:r>
          </w:p>
        </w:tc>
        <w:tc>
          <w:tcPr>
            <w:tcW w:w="900" w:type="dxa"/>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29.8%</w:t>
            </w:r>
          </w:p>
        </w:tc>
        <w:tc>
          <w:tcPr>
            <w:tcW w:w="1080" w:type="dxa"/>
            <w:tcBorders>
              <w:right w:val="single" w:sz="12" w:space="0" w:color="auto"/>
            </w:tcBorders>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0.0</w:t>
            </w:r>
          </w:p>
        </w:tc>
      </w:tr>
      <w:tr w:rsidR="00F337A1" w:rsidRPr="0039000D" w:rsidTr="001B0D6E">
        <w:trPr>
          <w:cantSplit/>
          <w:trHeight w:val="448"/>
        </w:trPr>
        <w:tc>
          <w:tcPr>
            <w:tcW w:w="1530" w:type="dxa"/>
            <w:tcBorders>
              <w:left w:val="single" w:sz="12" w:space="0" w:color="auto"/>
            </w:tcBorders>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Rail Transport</w:t>
            </w:r>
          </w:p>
        </w:tc>
        <w:tc>
          <w:tcPr>
            <w:tcW w:w="1164" w:type="dxa"/>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16 785.8</w:t>
            </w:r>
          </w:p>
        </w:tc>
        <w:tc>
          <w:tcPr>
            <w:tcW w:w="1134" w:type="dxa"/>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 xml:space="preserve">16 806.4 </w:t>
            </w:r>
          </w:p>
        </w:tc>
        <w:tc>
          <w:tcPr>
            <w:tcW w:w="927" w:type="dxa"/>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16 806.4</w:t>
            </w:r>
          </w:p>
        </w:tc>
        <w:tc>
          <w:tcPr>
            <w:tcW w:w="990" w:type="dxa"/>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13 573.6</w:t>
            </w:r>
          </w:p>
        </w:tc>
        <w:tc>
          <w:tcPr>
            <w:tcW w:w="1260" w:type="dxa"/>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80.8%</w:t>
            </w:r>
          </w:p>
        </w:tc>
        <w:tc>
          <w:tcPr>
            <w:tcW w:w="900" w:type="dxa"/>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13 607.7</w:t>
            </w:r>
          </w:p>
        </w:tc>
        <w:tc>
          <w:tcPr>
            <w:tcW w:w="1170" w:type="dxa"/>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34.1</w:t>
            </w:r>
          </w:p>
        </w:tc>
        <w:tc>
          <w:tcPr>
            <w:tcW w:w="900" w:type="dxa"/>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0.3%</w:t>
            </w:r>
          </w:p>
        </w:tc>
        <w:tc>
          <w:tcPr>
            <w:tcW w:w="1080" w:type="dxa"/>
            <w:tcBorders>
              <w:right w:val="single" w:sz="12" w:space="0" w:color="auto"/>
            </w:tcBorders>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0.0</w:t>
            </w:r>
          </w:p>
        </w:tc>
      </w:tr>
      <w:tr w:rsidR="00F337A1" w:rsidRPr="0039000D" w:rsidTr="001B0D6E">
        <w:trPr>
          <w:cantSplit/>
          <w:trHeight w:val="1120"/>
        </w:trPr>
        <w:tc>
          <w:tcPr>
            <w:tcW w:w="1530" w:type="dxa"/>
            <w:tcBorders>
              <w:left w:val="single" w:sz="12" w:space="0" w:color="auto"/>
            </w:tcBorders>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Road Transport</w:t>
            </w:r>
          </w:p>
        </w:tc>
        <w:tc>
          <w:tcPr>
            <w:tcW w:w="1164" w:type="dxa"/>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34 166.7</w:t>
            </w:r>
          </w:p>
        </w:tc>
        <w:tc>
          <w:tcPr>
            <w:tcW w:w="1134" w:type="dxa"/>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34 222</w:t>
            </w:r>
          </w:p>
        </w:tc>
        <w:tc>
          <w:tcPr>
            <w:tcW w:w="927" w:type="dxa"/>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34 222</w:t>
            </w:r>
          </w:p>
        </w:tc>
        <w:tc>
          <w:tcPr>
            <w:tcW w:w="990" w:type="dxa"/>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27 177.2</w:t>
            </w:r>
          </w:p>
        </w:tc>
        <w:tc>
          <w:tcPr>
            <w:tcW w:w="1260" w:type="dxa"/>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79.4%</w:t>
            </w:r>
          </w:p>
        </w:tc>
        <w:tc>
          <w:tcPr>
            <w:tcW w:w="900" w:type="dxa"/>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27 057.1</w:t>
            </w:r>
          </w:p>
        </w:tc>
        <w:tc>
          <w:tcPr>
            <w:tcW w:w="1170" w:type="dxa"/>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-120.1</w:t>
            </w:r>
          </w:p>
        </w:tc>
        <w:tc>
          <w:tcPr>
            <w:tcW w:w="900" w:type="dxa"/>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-0.4%</w:t>
            </w:r>
          </w:p>
        </w:tc>
        <w:tc>
          <w:tcPr>
            <w:tcW w:w="1080" w:type="dxa"/>
            <w:tcBorders>
              <w:right w:val="single" w:sz="12" w:space="0" w:color="auto"/>
            </w:tcBorders>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0.0</w:t>
            </w:r>
          </w:p>
        </w:tc>
      </w:tr>
      <w:tr w:rsidR="00F337A1" w:rsidRPr="0039000D" w:rsidTr="001B0D6E">
        <w:trPr>
          <w:cantSplit/>
          <w:trHeight w:val="448"/>
        </w:trPr>
        <w:tc>
          <w:tcPr>
            <w:tcW w:w="1530" w:type="dxa"/>
            <w:tcBorders>
              <w:left w:val="single" w:sz="12" w:space="0" w:color="auto"/>
            </w:tcBorders>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Civil Aviation Transport</w:t>
            </w:r>
          </w:p>
        </w:tc>
        <w:tc>
          <w:tcPr>
            <w:tcW w:w="1164" w:type="dxa"/>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503.9</w:t>
            </w:r>
          </w:p>
        </w:tc>
        <w:tc>
          <w:tcPr>
            <w:tcW w:w="1134" w:type="dxa"/>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496.3</w:t>
            </w:r>
          </w:p>
        </w:tc>
        <w:tc>
          <w:tcPr>
            <w:tcW w:w="927" w:type="dxa"/>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496.3</w:t>
            </w:r>
          </w:p>
        </w:tc>
        <w:tc>
          <w:tcPr>
            <w:tcW w:w="990" w:type="dxa"/>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327.1</w:t>
            </w:r>
          </w:p>
        </w:tc>
        <w:tc>
          <w:tcPr>
            <w:tcW w:w="1260" w:type="dxa"/>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65.9%</w:t>
            </w:r>
          </w:p>
        </w:tc>
        <w:tc>
          <w:tcPr>
            <w:tcW w:w="900" w:type="dxa"/>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358</w:t>
            </w:r>
          </w:p>
        </w:tc>
        <w:tc>
          <w:tcPr>
            <w:tcW w:w="1170" w:type="dxa"/>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30.9</w:t>
            </w:r>
          </w:p>
        </w:tc>
        <w:tc>
          <w:tcPr>
            <w:tcW w:w="900" w:type="dxa"/>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8.6%</w:t>
            </w:r>
          </w:p>
        </w:tc>
        <w:tc>
          <w:tcPr>
            <w:tcW w:w="1080" w:type="dxa"/>
            <w:tcBorders>
              <w:right w:val="single" w:sz="12" w:space="0" w:color="auto"/>
            </w:tcBorders>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0.0</w:t>
            </w:r>
          </w:p>
        </w:tc>
      </w:tr>
      <w:tr w:rsidR="00F337A1" w:rsidRPr="0039000D" w:rsidTr="001B0D6E">
        <w:trPr>
          <w:cantSplit/>
          <w:trHeight w:val="680"/>
        </w:trPr>
        <w:tc>
          <w:tcPr>
            <w:tcW w:w="1530" w:type="dxa"/>
            <w:tcBorders>
              <w:left w:val="single" w:sz="12" w:space="0" w:color="auto"/>
            </w:tcBorders>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Maritime Transport</w:t>
            </w:r>
          </w:p>
        </w:tc>
        <w:tc>
          <w:tcPr>
            <w:tcW w:w="1164" w:type="dxa"/>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157.5</w:t>
            </w:r>
          </w:p>
        </w:tc>
        <w:tc>
          <w:tcPr>
            <w:tcW w:w="1134" w:type="dxa"/>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155.2</w:t>
            </w:r>
          </w:p>
        </w:tc>
        <w:tc>
          <w:tcPr>
            <w:tcW w:w="927" w:type="dxa"/>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155.2</w:t>
            </w:r>
          </w:p>
        </w:tc>
        <w:tc>
          <w:tcPr>
            <w:tcW w:w="990" w:type="dxa"/>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81.2</w:t>
            </w:r>
          </w:p>
        </w:tc>
        <w:tc>
          <w:tcPr>
            <w:tcW w:w="1260" w:type="dxa"/>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52.3%</w:t>
            </w:r>
          </w:p>
        </w:tc>
        <w:tc>
          <w:tcPr>
            <w:tcW w:w="900" w:type="dxa"/>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103.8</w:t>
            </w:r>
          </w:p>
        </w:tc>
        <w:tc>
          <w:tcPr>
            <w:tcW w:w="1170" w:type="dxa"/>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22.6</w:t>
            </w:r>
          </w:p>
        </w:tc>
        <w:tc>
          <w:tcPr>
            <w:tcW w:w="900" w:type="dxa"/>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21.7%</w:t>
            </w:r>
          </w:p>
        </w:tc>
        <w:tc>
          <w:tcPr>
            <w:tcW w:w="1080" w:type="dxa"/>
            <w:tcBorders>
              <w:right w:val="single" w:sz="12" w:space="0" w:color="auto"/>
            </w:tcBorders>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0.0</w:t>
            </w:r>
          </w:p>
        </w:tc>
      </w:tr>
      <w:tr w:rsidR="00F337A1" w:rsidRPr="0039000D" w:rsidTr="001B0D6E">
        <w:trPr>
          <w:cantSplit/>
          <w:trHeight w:val="592"/>
        </w:trPr>
        <w:tc>
          <w:tcPr>
            <w:tcW w:w="1530" w:type="dxa"/>
            <w:tcBorders>
              <w:left w:val="single" w:sz="12" w:space="0" w:color="auto"/>
              <w:bottom w:val="single" w:sz="12" w:space="0" w:color="auto"/>
            </w:tcBorders>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Public Transport</w:t>
            </w:r>
          </w:p>
        </w:tc>
        <w:tc>
          <w:tcPr>
            <w:tcW w:w="1164" w:type="dxa"/>
            <w:tcBorders>
              <w:bottom w:val="single" w:sz="12" w:space="0" w:color="auto"/>
            </w:tcBorders>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14 488.6</w:t>
            </w:r>
          </w:p>
        </w:tc>
        <w:tc>
          <w:tcPr>
            <w:tcW w:w="1134" w:type="dxa"/>
            <w:tcBorders>
              <w:bottom w:val="single" w:sz="12" w:space="0" w:color="auto"/>
            </w:tcBorders>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13 133.3</w:t>
            </w:r>
          </w:p>
        </w:tc>
        <w:tc>
          <w:tcPr>
            <w:tcW w:w="927" w:type="dxa"/>
            <w:tcBorders>
              <w:bottom w:val="single" w:sz="12" w:space="0" w:color="auto"/>
            </w:tcBorders>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13 133.3</w:t>
            </w:r>
          </w:p>
        </w:tc>
        <w:tc>
          <w:tcPr>
            <w:tcW w:w="990" w:type="dxa"/>
            <w:tcBorders>
              <w:bottom w:val="single" w:sz="12" w:space="0" w:color="auto"/>
            </w:tcBorders>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8 080.5</w:t>
            </w:r>
          </w:p>
        </w:tc>
        <w:tc>
          <w:tcPr>
            <w:tcW w:w="1260" w:type="dxa"/>
            <w:tcBorders>
              <w:bottom w:val="single" w:sz="12" w:space="0" w:color="auto"/>
            </w:tcBorders>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61.5%</w:t>
            </w:r>
          </w:p>
        </w:tc>
        <w:tc>
          <w:tcPr>
            <w:tcW w:w="900" w:type="dxa"/>
            <w:tcBorders>
              <w:bottom w:val="single" w:sz="12" w:space="0" w:color="auto"/>
            </w:tcBorders>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9 087.5</w:t>
            </w:r>
          </w:p>
        </w:tc>
        <w:tc>
          <w:tcPr>
            <w:tcW w:w="1170" w:type="dxa"/>
            <w:tcBorders>
              <w:bottom w:val="single" w:sz="12" w:space="0" w:color="auto"/>
            </w:tcBorders>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1 006.9</w:t>
            </w:r>
          </w:p>
        </w:tc>
        <w:tc>
          <w:tcPr>
            <w:tcW w:w="900" w:type="dxa"/>
            <w:tcBorders>
              <w:bottom w:val="single" w:sz="12" w:space="0" w:color="auto"/>
            </w:tcBorders>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11.1%</w:t>
            </w:r>
          </w:p>
        </w:tc>
        <w:tc>
          <w:tcPr>
            <w:tcW w:w="1080" w:type="dxa"/>
            <w:tcBorders>
              <w:bottom w:val="single" w:sz="12" w:space="0" w:color="auto"/>
              <w:right w:val="single" w:sz="12" w:space="0" w:color="auto"/>
            </w:tcBorders>
          </w:tcPr>
          <w:p w:rsidR="00417FF2" w:rsidRPr="0039000D" w:rsidRDefault="00417FF2" w:rsidP="0039000D">
            <w:pPr>
              <w:rPr>
                <w:rFonts w:ascii="Arial" w:eastAsia="Calibri" w:hAnsi="Arial" w:cs="Arial"/>
                <w:sz w:val="20"/>
                <w:szCs w:val="20"/>
                <w:lang w:val="en-GB"/>
              </w:rPr>
            </w:pPr>
            <w:r w:rsidRPr="0039000D">
              <w:rPr>
                <w:rFonts w:ascii="Arial" w:eastAsia="Calibri" w:hAnsi="Arial" w:cs="Arial"/>
                <w:sz w:val="20"/>
                <w:szCs w:val="20"/>
                <w:lang w:val="en-GB"/>
              </w:rPr>
              <w:t>0.0</w:t>
            </w:r>
          </w:p>
        </w:tc>
      </w:tr>
      <w:tr w:rsidR="00F337A1" w:rsidRPr="0039000D" w:rsidTr="001B0D6E">
        <w:trPr>
          <w:cantSplit/>
          <w:trHeight w:val="368"/>
        </w:trPr>
        <w:tc>
          <w:tcPr>
            <w:tcW w:w="1530" w:type="dxa"/>
            <w:tcBorders>
              <w:top w:val="single" w:sz="12" w:space="0" w:color="auto"/>
              <w:left w:val="single" w:sz="12" w:space="0" w:color="auto"/>
              <w:bottom w:val="single" w:sz="12" w:space="0" w:color="auto"/>
              <w:right w:val="single" w:sz="12" w:space="0" w:color="auto"/>
            </w:tcBorders>
            <w:shd w:val="clear" w:color="auto" w:fill="DEEAF6"/>
          </w:tcPr>
          <w:p w:rsidR="00417FF2" w:rsidRPr="0039000D" w:rsidRDefault="00417FF2" w:rsidP="0039000D">
            <w:pPr>
              <w:rPr>
                <w:rFonts w:ascii="Arial" w:eastAsia="Calibri" w:hAnsi="Arial" w:cs="Arial"/>
                <w:b/>
                <w:sz w:val="20"/>
                <w:szCs w:val="20"/>
                <w:lang w:val="en-GB"/>
              </w:rPr>
            </w:pPr>
            <w:r w:rsidRPr="0039000D">
              <w:rPr>
                <w:rFonts w:ascii="Arial" w:eastAsia="Calibri" w:hAnsi="Arial" w:cs="Arial"/>
                <w:b/>
                <w:sz w:val="20"/>
                <w:szCs w:val="20"/>
                <w:lang w:val="en-GB"/>
              </w:rPr>
              <w:t>Total</w:t>
            </w:r>
          </w:p>
        </w:tc>
        <w:tc>
          <w:tcPr>
            <w:tcW w:w="1164" w:type="dxa"/>
            <w:tcBorders>
              <w:top w:val="single" w:sz="12" w:space="0" w:color="auto"/>
              <w:left w:val="single" w:sz="12" w:space="0" w:color="auto"/>
              <w:bottom w:val="single" w:sz="12" w:space="0" w:color="auto"/>
              <w:right w:val="single" w:sz="12" w:space="0" w:color="auto"/>
            </w:tcBorders>
            <w:shd w:val="clear" w:color="auto" w:fill="DEEAF6"/>
          </w:tcPr>
          <w:p w:rsidR="00417FF2" w:rsidRPr="0039000D" w:rsidRDefault="00417FF2" w:rsidP="0039000D">
            <w:pPr>
              <w:rPr>
                <w:rFonts w:ascii="Arial" w:eastAsia="Calibri" w:hAnsi="Arial" w:cs="Arial"/>
                <w:b/>
                <w:sz w:val="20"/>
                <w:szCs w:val="20"/>
                <w:lang w:val="en-GB"/>
              </w:rPr>
            </w:pPr>
            <w:r w:rsidRPr="0039000D">
              <w:rPr>
                <w:rFonts w:ascii="Arial" w:eastAsia="Calibri" w:hAnsi="Arial" w:cs="Arial"/>
                <w:b/>
                <w:sz w:val="20"/>
                <w:szCs w:val="20"/>
                <w:lang w:val="en-GB"/>
              </w:rPr>
              <w:t>66 691.8</w:t>
            </w:r>
          </w:p>
        </w:tc>
        <w:tc>
          <w:tcPr>
            <w:tcW w:w="1134" w:type="dxa"/>
            <w:tcBorders>
              <w:top w:val="single" w:sz="12" w:space="0" w:color="auto"/>
              <w:left w:val="single" w:sz="12" w:space="0" w:color="auto"/>
              <w:bottom w:val="single" w:sz="12" w:space="0" w:color="auto"/>
              <w:right w:val="single" w:sz="12" w:space="0" w:color="auto"/>
            </w:tcBorders>
            <w:shd w:val="clear" w:color="auto" w:fill="DEEAF6"/>
          </w:tcPr>
          <w:p w:rsidR="00417FF2" w:rsidRPr="0039000D" w:rsidRDefault="00417FF2" w:rsidP="0039000D">
            <w:pPr>
              <w:rPr>
                <w:rFonts w:ascii="Arial" w:eastAsia="Calibri" w:hAnsi="Arial" w:cs="Arial"/>
                <w:b/>
                <w:sz w:val="20"/>
                <w:szCs w:val="20"/>
                <w:lang w:val="en-GB"/>
              </w:rPr>
            </w:pPr>
            <w:r w:rsidRPr="0039000D">
              <w:rPr>
                <w:rFonts w:ascii="Arial" w:eastAsia="Calibri" w:hAnsi="Arial" w:cs="Arial"/>
                <w:b/>
                <w:sz w:val="20"/>
                <w:szCs w:val="20"/>
                <w:lang w:val="en-GB"/>
              </w:rPr>
              <w:t>65 425.5</w:t>
            </w:r>
          </w:p>
        </w:tc>
        <w:tc>
          <w:tcPr>
            <w:tcW w:w="927" w:type="dxa"/>
            <w:tcBorders>
              <w:top w:val="single" w:sz="12" w:space="0" w:color="auto"/>
              <w:left w:val="single" w:sz="12" w:space="0" w:color="auto"/>
              <w:bottom w:val="single" w:sz="12" w:space="0" w:color="auto"/>
              <w:right w:val="single" w:sz="12" w:space="0" w:color="auto"/>
            </w:tcBorders>
            <w:shd w:val="clear" w:color="auto" w:fill="DEEAF6"/>
          </w:tcPr>
          <w:p w:rsidR="00417FF2" w:rsidRPr="0039000D" w:rsidRDefault="00417FF2" w:rsidP="0039000D">
            <w:pPr>
              <w:rPr>
                <w:rFonts w:ascii="Arial" w:eastAsia="Calibri" w:hAnsi="Arial" w:cs="Arial"/>
                <w:b/>
                <w:sz w:val="20"/>
                <w:szCs w:val="20"/>
                <w:lang w:val="en-GB"/>
              </w:rPr>
            </w:pPr>
            <w:r w:rsidRPr="0039000D">
              <w:rPr>
                <w:rFonts w:ascii="Arial" w:eastAsia="Calibri" w:hAnsi="Arial" w:cs="Arial"/>
                <w:b/>
                <w:sz w:val="20"/>
                <w:szCs w:val="20"/>
                <w:lang w:val="en-GB"/>
              </w:rPr>
              <w:t>65 425.5</w:t>
            </w:r>
          </w:p>
        </w:tc>
        <w:tc>
          <w:tcPr>
            <w:tcW w:w="990" w:type="dxa"/>
            <w:tcBorders>
              <w:top w:val="single" w:sz="12" w:space="0" w:color="auto"/>
              <w:left w:val="single" w:sz="12" w:space="0" w:color="auto"/>
              <w:bottom w:val="single" w:sz="12" w:space="0" w:color="auto"/>
              <w:right w:val="single" w:sz="12" w:space="0" w:color="auto"/>
            </w:tcBorders>
            <w:shd w:val="clear" w:color="auto" w:fill="DEEAF6"/>
          </w:tcPr>
          <w:p w:rsidR="00417FF2" w:rsidRPr="0039000D" w:rsidRDefault="00417FF2" w:rsidP="0039000D">
            <w:pPr>
              <w:rPr>
                <w:rFonts w:ascii="Arial" w:eastAsia="Calibri" w:hAnsi="Arial" w:cs="Arial"/>
                <w:b/>
                <w:sz w:val="20"/>
                <w:szCs w:val="20"/>
                <w:lang w:val="en-GB"/>
              </w:rPr>
            </w:pPr>
            <w:r w:rsidRPr="0039000D">
              <w:rPr>
                <w:rFonts w:ascii="Arial" w:eastAsia="Calibri" w:hAnsi="Arial" w:cs="Arial"/>
                <w:b/>
                <w:sz w:val="20"/>
                <w:szCs w:val="20"/>
                <w:lang w:val="en-GB"/>
              </w:rPr>
              <w:t>49 541.9</w:t>
            </w:r>
          </w:p>
        </w:tc>
        <w:tc>
          <w:tcPr>
            <w:tcW w:w="1260" w:type="dxa"/>
            <w:tcBorders>
              <w:top w:val="single" w:sz="12" w:space="0" w:color="auto"/>
              <w:left w:val="single" w:sz="12" w:space="0" w:color="auto"/>
              <w:bottom w:val="single" w:sz="12" w:space="0" w:color="auto"/>
              <w:right w:val="single" w:sz="12" w:space="0" w:color="auto"/>
            </w:tcBorders>
            <w:shd w:val="clear" w:color="auto" w:fill="DEEAF6"/>
          </w:tcPr>
          <w:p w:rsidR="00417FF2" w:rsidRPr="0039000D" w:rsidRDefault="00417FF2" w:rsidP="0039000D">
            <w:pPr>
              <w:rPr>
                <w:rFonts w:ascii="Arial" w:eastAsia="Calibri" w:hAnsi="Arial" w:cs="Arial"/>
                <w:b/>
                <w:sz w:val="20"/>
                <w:szCs w:val="20"/>
                <w:lang w:val="en-GB"/>
              </w:rPr>
            </w:pPr>
            <w:r w:rsidRPr="0039000D">
              <w:rPr>
                <w:rFonts w:ascii="Arial" w:eastAsia="Calibri" w:hAnsi="Arial" w:cs="Arial"/>
                <w:b/>
                <w:sz w:val="20"/>
                <w:szCs w:val="20"/>
                <w:lang w:val="en-GB"/>
              </w:rPr>
              <w:t>75.7%</w:t>
            </w:r>
          </w:p>
        </w:tc>
        <w:tc>
          <w:tcPr>
            <w:tcW w:w="900" w:type="dxa"/>
            <w:tcBorders>
              <w:top w:val="single" w:sz="12" w:space="0" w:color="auto"/>
              <w:left w:val="single" w:sz="12" w:space="0" w:color="auto"/>
              <w:bottom w:val="single" w:sz="12" w:space="0" w:color="auto"/>
              <w:right w:val="single" w:sz="12" w:space="0" w:color="auto"/>
            </w:tcBorders>
            <w:shd w:val="clear" w:color="auto" w:fill="DEEAF6"/>
          </w:tcPr>
          <w:p w:rsidR="00417FF2" w:rsidRPr="0039000D" w:rsidRDefault="00417FF2" w:rsidP="0039000D">
            <w:pPr>
              <w:rPr>
                <w:rFonts w:ascii="Arial" w:eastAsia="Calibri" w:hAnsi="Arial" w:cs="Arial"/>
                <w:b/>
                <w:sz w:val="20"/>
                <w:szCs w:val="20"/>
                <w:lang w:val="en-GB"/>
              </w:rPr>
            </w:pPr>
            <w:r w:rsidRPr="0039000D">
              <w:rPr>
                <w:rFonts w:ascii="Arial" w:eastAsia="Calibri" w:hAnsi="Arial" w:cs="Arial"/>
                <w:b/>
                <w:sz w:val="20"/>
                <w:szCs w:val="20"/>
                <w:lang w:val="en-GB"/>
              </w:rPr>
              <w:t>50 662.5</w:t>
            </w:r>
          </w:p>
        </w:tc>
        <w:tc>
          <w:tcPr>
            <w:tcW w:w="1170" w:type="dxa"/>
            <w:tcBorders>
              <w:top w:val="single" w:sz="12" w:space="0" w:color="auto"/>
              <w:left w:val="single" w:sz="12" w:space="0" w:color="auto"/>
              <w:bottom w:val="single" w:sz="12" w:space="0" w:color="auto"/>
              <w:right w:val="single" w:sz="12" w:space="0" w:color="auto"/>
            </w:tcBorders>
            <w:shd w:val="clear" w:color="auto" w:fill="DEEAF6"/>
          </w:tcPr>
          <w:p w:rsidR="00417FF2" w:rsidRPr="0039000D" w:rsidRDefault="00417FF2" w:rsidP="0039000D">
            <w:pPr>
              <w:rPr>
                <w:rFonts w:ascii="Arial" w:eastAsia="Calibri" w:hAnsi="Arial" w:cs="Arial"/>
                <w:b/>
                <w:sz w:val="20"/>
                <w:szCs w:val="20"/>
                <w:lang w:val="en-GB"/>
              </w:rPr>
            </w:pPr>
            <w:r w:rsidRPr="0039000D">
              <w:rPr>
                <w:rFonts w:ascii="Arial" w:eastAsia="Calibri" w:hAnsi="Arial" w:cs="Arial"/>
                <w:b/>
                <w:sz w:val="20"/>
                <w:szCs w:val="20"/>
                <w:lang w:val="en-GB"/>
              </w:rPr>
              <w:t>1 120.5</w:t>
            </w:r>
          </w:p>
        </w:tc>
        <w:tc>
          <w:tcPr>
            <w:tcW w:w="900" w:type="dxa"/>
            <w:tcBorders>
              <w:top w:val="single" w:sz="12" w:space="0" w:color="auto"/>
              <w:left w:val="single" w:sz="12" w:space="0" w:color="auto"/>
              <w:bottom w:val="single" w:sz="12" w:space="0" w:color="auto"/>
              <w:right w:val="single" w:sz="12" w:space="0" w:color="auto"/>
            </w:tcBorders>
            <w:shd w:val="clear" w:color="auto" w:fill="DEEAF6"/>
          </w:tcPr>
          <w:p w:rsidR="00417FF2" w:rsidRPr="0039000D" w:rsidRDefault="00417FF2" w:rsidP="0039000D">
            <w:pPr>
              <w:rPr>
                <w:rFonts w:ascii="Arial" w:eastAsia="Calibri" w:hAnsi="Arial" w:cs="Arial"/>
                <w:b/>
                <w:sz w:val="20"/>
                <w:szCs w:val="20"/>
                <w:lang w:val="en-GB"/>
              </w:rPr>
            </w:pPr>
            <w:r w:rsidRPr="0039000D">
              <w:rPr>
                <w:rFonts w:ascii="Arial" w:eastAsia="Calibri" w:hAnsi="Arial" w:cs="Arial"/>
                <w:b/>
                <w:sz w:val="20"/>
                <w:szCs w:val="20"/>
                <w:lang w:val="en-GB"/>
              </w:rPr>
              <w:t>2.2%</w:t>
            </w:r>
          </w:p>
        </w:tc>
        <w:tc>
          <w:tcPr>
            <w:tcW w:w="1080" w:type="dxa"/>
            <w:tcBorders>
              <w:top w:val="single" w:sz="12" w:space="0" w:color="auto"/>
              <w:left w:val="single" w:sz="12" w:space="0" w:color="auto"/>
              <w:bottom w:val="single" w:sz="12" w:space="0" w:color="auto"/>
              <w:right w:val="single" w:sz="12" w:space="0" w:color="auto"/>
            </w:tcBorders>
            <w:shd w:val="clear" w:color="auto" w:fill="DEEAF6"/>
          </w:tcPr>
          <w:p w:rsidR="00417FF2" w:rsidRPr="0039000D" w:rsidRDefault="00417FF2" w:rsidP="0039000D">
            <w:pPr>
              <w:rPr>
                <w:rFonts w:ascii="Arial" w:eastAsia="Calibri" w:hAnsi="Arial" w:cs="Arial"/>
                <w:b/>
                <w:sz w:val="20"/>
                <w:szCs w:val="20"/>
                <w:lang w:val="en-GB"/>
              </w:rPr>
            </w:pPr>
            <w:r w:rsidRPr="0039000D">
              <w:rPr>
                <w:rFonts w:ascii="Arial" w:eastAsia="Calibri" w:hAnsi="Arial" w:cs="Arial"/>
                <w:b/>
                <w:sz w:val="20"/>
                <w:szCs w:val="20"/>
                <w:lang w:val="en-GB"/>
              </w:rPr>
              <w:t>0.4</w:t>
            </w:r>
          </w:p>
        </w:tc>
      </w:tr>
    </w:tbl>
    <w:p w:rsidR="00417FF2" w:rsidRPr="0039000D" w:rsidRDefault="006C2A34" w:rsidP="0039000D">
      <w:pPr>
        <w:spacing w:after="0" w:line="240" w:lineRule="auto"/>
        <w:rPr>
          <w:rFonts w:ascii="Arial" w:eastAsia="Calibri" w:hAnsi="Arial" w:cs="Arial"/>
          <w:b/>
          <w:sz w:val="20"/>
          <w:szCs w:val="20"/>
          <w:lang w:val="en-GB"/>
        </w:rPr>
      </w:pPr>
      <w:r w:rsidRPr="0039000D">
        <w:rPr>
          <w:rFonts w:ascii="Arial" w:eastAsia="Calibri" w:hAnsi="Arial" w:cs="Arial"/>
          <w:b/>
          <w:sz w:val="20"/>
          <w:szCs w:val="20"/>
          <w:lang w:val="en-GB"/>
        </w:rPr>
        <w:br w:type="textWrapping" w:clear="all"/>
      </w:r>
      <w:r w:rsidR="00417FF2" w:rsidRPr="0039000D">
        <w:rPr>
          <w:rFonts w:ascii="Arial" w:eastAsia="Calibri" w:hAnsi="Arial" w:cs="Arial"/>
          <w:b/>
          <w:sz w:val="20"/>
          <w:szCs w:val="20"/>
          <w:lang w:val="en-GB"/>
        </w:rPr>
        <w:t>Source: (National Treasury (2021a)</w:t>
      </w:r>
    </w:p>
    <w:p w:rsidR="00417FF2" w:rsidRPr="0039000D" w:rsidRDefault="00417FF2" w:rsidP="0039000D">
      <w:pPr>
        <w:spacing w:after="0" w:line="240" w:lineRule="auto"/>
        <w:rPr>
          <w:rFonts w:ascii="Arial" w:eastAsia="Calibri" w:hAnsi="Arial" w:cs="Arial"/>
          <w:sz w:val="20"/>
          <w:szCs w:val="20"/>
          <w:lang w:val="en-GB"/>
        </w:rPr>
      </w:pPr>
    </w:p>
    <w:p w:rsidR="00417FF2" w:rsidRPr="0039000D" w:rsidRDefault="000951C1" w:rsidP="0039000D">
      <w:pPr>
        <w:keepNext/>
        <w:keepLines/>
        <w:spacing w:after="0" w:line="240" w:lineRule="auto"/>
        <w:outlineLvl w:val="1"/>
        <w:rPr>
          <w:rFonts w:ascii="Arial" w:eastAsia="Times New Roman" w:hAnsi="Arial" w:cs="Arial"/>
          <w:b/>
          <w:sz w:val="20"/>
          <w:szCs w:val="20"/>
          <w:lang w:val="en-GB"/>
        </w:rPr>
      </w:pPr>
      <w:bookmarkStart w:id="14" w:name="_Toc97395563"/>
      <w:r w:rsidRPr="0039000D">
        <w:rPr>
          <w:rFonts w:ascii="Arial" w:eastAsia="Times New Roman" w:hAnsi="Arial" w:cs="Arial"/>
          <w:b/>
          <w:sz w:val="20"/>
          <w:szCs w:val="20"/>
          <w:lang w:val="en-GB"/>
        </w:rPr>
        <w:t>3.1</w:t>
      </w:r>
      <w:r w:rsidR="00417FF2" w:rsidRPr="0039000D">
        <w:rPr>
          <w:rFonts w:ascii="Arial" w:eastAsia="Times New Roman" w:hAnsi="Arial" w:cs="Arial"/>
          <w:b/>
          <w:sz w:val="20"/>
          <w:szCs w:val="20"/>
          <w:lang w:val="en-GB"/>
        </w:rPr>
        <w:t>.1 Programme 1: Administration</w:t>
      </w:r>
      <w:bookmarkEnd w:id="14"/>
    </w:p>
    <w:p w:rsidR="00417FF2" w:rsidRPr="0039000D" w:rsidRDefault="00417FF2" w:rsidP="0039000D">
      <w:pPr>
        <w:spacing w:after="0" w:line="240" w:lineRule="auto"/>
        <w:rPr>
          <w:rFonts w:ascii="Arial" w:eastAsia="Calibri" w:hAnsi="Arial" w:cs="Arial"/>
          <w:sz w:val="20"/>
          <w:szCs w:val="20"/>
          <w:lang w:val="en-GB"/>
        </w:rPr>
      </w:pPr>
    </w:p>
    <w:p w:rsidR="00417FF2" w:rsidRPr="0039000D" w:rsidRDefault="00417FF2" w:rsidP="0039000D">
      <w:pPr>
        <w:spacing w:after="0" w:line="240" w:lineRule="auto"/>
        <w:rPr>
          <w:rFonts w:ascii="Arial" w:eastAsia="Calibri" w:hAnsi="Arial" w:cs="Arial"/>
          <w:sz w:val="20"/>
          <w:szCs w:val="20"/>
          <w:lang w:val="en-GB"/>
        </w:rPr>
      </w:pPr>
      <w:r w:rsidRPr="0039000D">
        <w:rPr>
          <w:rFonts w:ascii="Arial" w:eastAsia="Calibri" w:hAnsi="Arial" w:cs="Arial"/>
          <w:sz w:val="20"/>
          <w:szCs w:val="20"/>
          <w:lang w:val="en-GB"/>
        </w:rPr>
        <w:t>The Administration programme spent R257.1 million against a Third Quarter projection of R384.1 million. Expenditure was R127 million (or 33.1%) lower than projected largely due to:</w:t>
      </w:r>
      <w:r w:rsidRPr="0039000D">
        <w:rPr>
          <w:rFonts w:ascii="Arial" w:eastAsia="Calibri" w:hAnsi="Arial" w:cs="Arial"/>
          <w:sz w:val="20"/>
          <w:szCs w:val="20"/>
          <w:vertAlign w:val="superscript"/>
          <w:lang w:val="en-GB"/>
        </w:rPr>
        <w:footnoteReference w:id="15"/>
      </w:r>
    </w:p>
    <w:p w:rsidR="00417FF2" w:rsidRPr="0039000D" w:rsidRDefault="00417FF2" w:rsidP="0039000D">
      <w:pPr>
        <w:spacing w:after="0" w:line="240" w:lineRule="auto"/>
        <w:rPr>
          <w:rFonts w:ascii="Arial" w:eastAsia="Calibri" w:hAnsi="Arial" w:cs="Arial"/>
          <w:sz w:val="20"/>
          <w:szCs w:val="20"/>
          <w:lang w:val="en-GB"/>
        </w:rPr>
      </w:pPr>
    </w:p>
    <w:p w:rsidR="00417FF2" w:rsidRPr="0039000D" w:rsidRDefault="00417FF2" w:rsidP="0039000D">
      <w:pPr>
        <w:numPr>
          <w:ilvl w:val="0"/>
          <w:numId w:val="10"/>
        </w:numPr>
        <w:spacing w:after="0" w:line="240" w:lineRule="auto"/>
        <w:ind w:left="360"/>
        <w:contextualSpacing/>
        <w:rPr>
          <w:rFonts w:ascii="Arial" w:eastAsia="Calibri" w:hAnsi="Arial" w:cs="Arial"/>
          <w:sz w:val="20"/>
          <w:szCs w:val="20"/>
          <w:lang w:val="en-GB"/>
        </w:rPr>
      </w:pPr>
      <w:r w:rsidRPr="0039000D">
        <w:rPr>
          <w:rFonts w:ascii="Arial" w:eastAsia="Calibri" w:hAnsi="Arial" w:cs="Arial"/>
          <w:sz w:val="20"/>
          <w:szCs w:val="20"/>
          <w:lang w:val="en-GB"/>
        </w:rPr>
        <w:t>Withholding of payments for office accommodation for an unresolved contractual dispute with the Department of Public Works and Infrastructure;</w:t>
      </w:r>
    </w:p>
    <w:p w:rsidR="00417FF2" w:rsidRPr="0039000D" w:rsidRDefault="00417FF2" w:rsidP="0039000D">
      <w:pPr>
        <w:numPr>
          <w:ilvl w:val="0"/>
          <w:numId w:val="10"/>
        </w:numPr>
        <w:spacing w:after="0" w:line="240" w:lineRule="auto"/>
        <w:ind w:left="360"/>
        <w:contextualSpacing/>
        <w:rPr>
          <w:rFonts w:ascii="Arial" w:eastAsia="Calibri" w:hAnsi="Arial" w:cs="Arial"/>
          <w:sz w:val="20"/>
          <w:szCs w:val="20"/>
          <w:lang w:val="en-GB"/>
        </w:rPr>
      </w:pPr>
      <w:r w:rsidRPr="0039000D">
        <w:rPr>
          <w:rFonts w:ascii="Arial" w:eastAsia="Calibri" w:hAnsi="Arial" w:cs="Arial"/>
          <w:sz w:val="20"/>
          <w:szCs w:val="20"/>
          <w:lang w:val="en-GB"/>
        </w:rPr>
        <w:t xml:space="preserve">Less travel and subsistence because of limited travel following the COVID-19 pandemic; and </w:t>
      </w:r>
    </w:p>
    <w:p w:rsidR="00417FF2" w:rsidRPr="0039000D" w:rsidRDefault="00417FF2" w:rsidP="0039000D">
      <w:pPr>
        <w:numPr>
          <w:ilvl w:val="0"/>
          <w:numId w:val="10"/>
        </w:numPr>
        <w:spacing w:after="0" w:line="240" w:lineRule="auto"/>
        <w:ind w:left="360"/>
        <w:contextualSpacing/>
        <w:rPr>
          <w:rFonts w:ascii="Arial" w:eastAsia="Calibri" w:hAnsi="Arial" w:cs="Arial"/>
          <w:sz w:val="20"/>
          <w:szCs w:val="20"/>
          <w:lang w:val="en-GB"/>
        </w:rPr>
      </w:pPr>
      <w:r w:rsidRPr="0039000D">
        <w:rPr>
          <w:rFonts w:ascii="Arial" w:eastAsia="Calibri" w:hAnsi="Arial" w:cs="Arial"/>
          <w:sz w:val="20"/>
          <w:szCs w:val="20"/>
          <w:lang w:val="en-GB"/>
        </w:rPr>
        <w:t>The slow filling of vacant posts.</w:t>
      </w:r>
    </w:p>
    <w:p w:rsidR="00417FF2" w:rsidRPr="0039000D" w:rsidRDefault="00417FF2" w:rsidP="0039000D">
      <w:pPr>
        <w:spacing w:after="0" w:line="240" w:lineRule="auto"/>
        <w:rPr>
          <w:rFonts w:ascii="Arial" w:eastAsia="Calibri" w:hAnsi="Arial" w:cs="Arial"/>
          <w:sz w:val="20"/>
          <w:szCs w:val="20"/>
          <w:lang w:val="en-GB"/>
        </w:rPr>
      </w:pPr>
    </w:p>
    <w:p w:rsidR="00417FF2" w:rsidRPr="0039000D" w:rsidRDefault="000951C1" w:rsidP="0039000D">
      <w:pPr>
        <w:keepNext/>
        <w:keepLines/>
        <w:spacing w:after="0" w:line="240" w:lineRule="auto"/>
        <w:outlineLvl w:val="1"/>
        <w:rPr>
          <w:rFonts w:ascii="Arial" w:eastAsia="Times New Roman" w:hAnsi="Arial" w:cs="Arial"/>
          <w:b/>
          <w:sz w:val="20"/>
          <w:szCs w:val="20"/>
          <w:lang w:val="en-GB"/>
        </w:rPr>
      </w:pPr>
      <w:bookmarkStart w:id="15" w:name="_Toc97395564"/>
      <w:r w:rsidRPr="0039000D">
        <w:rPr>
          <w:rFonts w:ascii="Arial" w:eastAsia="Times New Roman" w:hAnsi="Arial" w:cs="Arial"/>
          <w:b/>
          <w:sz w:val="20"/>
          <w:szCs w:val="20"/>
          <w:lang w:val="en-GB"/>
        </w:rPr>
        <w:t>3.1.</w:t>
      </w:r>
      <w:r w:rsidR="00417FF2" w:rsidRPr="0039000D">
        <w:rPr>
          <w:rFonts w:ascii="Arial" w:eastAsia="Times New Roman" w:hAnsi="Arial" w:cs="Arial"/>
          <w:b/>
          <w:sz w:val="20"/>
          <w:szCs w:val="20"/>
          <w:lang w:val="en-GB"/>
        </w:rPr>
        <w:t>2 Programme 2: Integrated Transport Planning</w:t>
      </w:r>
      <w:bookmarkEnd w:id="15"/>
    </w:p>
    <w:p w:rsidR="00417FF2" w:rsidRPr="0039000D" w:rsidRDefault="00417FF2" w:rsidP="0039000D">
      <w:pPr>
        <w:spacing w:after="0" w:line="240" w:lineRule="auto"/>
        <w:rPr>
          <w:rFonts w:ascii="Arial" w:eastAsia="Calibri" w:hAnsi="Arial" w:cs="Arial"/>
          <w:sz w:val="20"/>
          <w:szCs w:val="20"/>
          <w:lang w:val="en-GB"/>
        </w:rPr>
      </w:pPr>
    </w:p>
    <w:p w:rsidR="00417FF2" w:rsidRPr="0039000D" w:rsidRDefault="00417FF2" w:rsidP="0039000D">
      <w:pPr>
        <w:spacing w:after="0" w:line="240" w:lineRule="auto"/>
        <w:rPr>
          <w:rFonts w:ascii="Arial" w:eastAsia="Calibri" w:hAnsi="Arial" w:cs="Arial"/>
          <w:sz w:val="20"/>
          <w:szCs w:val="20"/>
          <w:lang w:val="en-GB"/>
        </w:rPr>
      </w:pPr>
      <w:r w:rsidRPr="0039000D">
        <w:rPr>
          <w:rFonts w:ascii="Arial" w:eastAsia="Calibri" w:hAnsi="Arial" w:cs="Arial"/>
          <w:sz w:val="20"/>
          <w:szCs w:val="20"/>
          <w:lang w:val="en-GB"/>
        </w:rPr>
        <w:t>The Integrated Transport Planning programme spent R45.2 million against a Third Quarter projection of R64.4 million. The programme spent R19.2 million (or 29.8%) lower than projected mainly due to delays in projects such as:</w:t>
      </w:r>
    </w:p>
    <w:p w:rsidR="00417FF2" w:rsidRPr="0039000D" w:rsidRDefault="00417FF2" w:rsidP="0039000D">
      <w:pPr>
        <w:spacing w:after="0" w:line="240" w:lineRule="auto"/>
        <w:rPr>
          <w:rFonts w:ascii="Arial" w:eastAsia="Calibri" w:hAnsi="Arial" w:cs="Arial"/>
          <w:sz w:val="20"/>
          <w:szCs w:val="20"/>
          <w:lang w:val="en-GB"/>
        </w:rPr>
      </w:pPr>
    </w:p>
    <w:p w:rsidR="00417FF2" w:rsidRPr="0039000D" w:rsidRDefault="00417FF2" w:rsidP="0039000D">
      <w:pPr>
        <w:numPr>
          <w:ilvl w:val="0"/>
          <w:numId w:val="11"/>
        </w:numPr>
        <w:spacing w:after="0" w:line="240" w:lineRule="auto"/>
        <w:contextualSpacing/>
        <w:rPr>
          <w:rFonts w:ascii="Arial" w:eastAsia="Calibri" w:hAnsi="Arial" w:cs="Arial"/>
          <w:sz w:val="20"/>
          <w:szCs w:val="20"/>
          <w:lang w:val="en-GB"/>
        </w:rPr>
      </w:pPr>
      <w:r w:rsidRPr="0039000D">
        <w:rPr>
          <w:rFonts w:ascii="Arial" w:eastAsia="Calibri" w:hAnsi="Arial" w:cs="Arial"/>
          <w:sz w:val="20"/>
          <w:szCs w:val="20"/>
          <w:lang w:val="en-GB"/>
        </w:rPr>
        <w:t>Regional Integration Strategy;</w:t>
      </w:r>
    </w:p>
    <w:p w:rsidR="00417FF2" w:rsidRPr="0039000D" w:rsidRDefault="00417FF2" w:rsidP="0039000D">
      <w:pPr>
        <w:numPr>
          <w:ilvl w:val="0"/>
          <w:numId w:val="11"/>
        </w:numPr>
        <w:spacing w:after="0" w:line="240" w:lineRule="auto"/>
        <w:contextualSpacing/>
        <w:rPr>
          <w:rFonts w:ascii="Arial" w:eastAsia="Calibri" w:hAnsi="Arial" w:cs="Arial"/>
          <w:sz w:val="20"/>
          <w:szCs w:val="20"/>
          <w:lang w:val="en-GB"/>
        </w:rPr>
      </w:pPr>
      <w:r w:rsidRPr="0039000D">
        <w:rPr>
          <w:rFonts w:ascii="Arial" w:eastAsia="Calibri" w:hAnsi="Arial" w:cs="Arial"/>
          <w:sz w:val="20"/>
          <w:szCs w:val="20"/>
          <w:lang w:val="en-GB"/>
        </w:rPr>
        <w:t>Regional Transport Integration Market Strategy and District Development Model;</w:t>
      </w:r>
    </w:p>
    <w:p w:rsidR="00417FF2" w:rsidRPr="0039000D" w:rsidRDefault="00417FF2" w:rsidP="0039000D">
      <w:pPr>
        <w:numPr>
          <w:ilvl w:val="0"/>
          <w:numId w:val="11"/>
        </w:numPr>
        <w:spacing w:after="0" w:line="240" w:lineRule="auto"/>
        <w:contextualSpacing/>
        <w:rPr>
          <w:rFonts w:ascii="Arial" w:eastAsia="Calibri" w:hAnsi="Arial" w:cs="Arial"/>
          <w:sz w:val="20"/>
          <w:szCs w:val="20"/>
          <w:lang w:val="en-GB"/>
        </w:rPr>
      </w:pPr>
      <w:r w:rsidRPr="0039000D">
        <w:rPr>
          <w:rFonts w:ascii="Arial" w:eastAsia="Calibri" w:hAnsi="Arial" w:cs="Arial"/>
          <w:sz w:val="20"/>
          <w:szCs w:val="20"/>
          <w:lang w:val="en-GB"/>
        </w:rPr>
        <w:t xml:space="preserve">Less than anticipated travel and subsistence as a result of the COVID-19 pandemic lockdown restrictions; and </w:t>
      </w:r>
    </w:p>
    <w:p w:rsidR="00417FF2" w:rsidRPr="0039000D" w:rsidRDefault="00417FF2" w:rsidP="0039000D">
      <w:pPr>
        <w:numPr>
          <w:ilvl w:val="0"/>
          <w:numId w:val="11"/>
        </w:numPr>
        <w:spacing w:after="0" w:line="240" w:lineRule="auto"/>
        <w:contextualSpacing/>
        <w:rPr>
          <w:rFonts w:ascii="Arial" w:eastAsia="Calibri" w:hAnsi="Arial" w:cs="Arial"/>
          <w:sz w:val="20"/>
          <w:szCs w:val="20"/>
          <w:lang w:val="en-GB"/>
        </w:rPr>
      </w:pPr>
      <w:r w:rsidRPr="0039000D">
        <w:rPr>
          <w:rFonts w:ascii="Arial" w:eastAsia="Calibri" w:hAnsi="Arial" w:cs="Arial"/>
          <w:sz w:val="20"/>
          <w:szCs w:val="20"/>
          <w:lang w:val="en-GB"/>
        </w:rPr>
        <w:t xml:space="preserve">The slow filling of vacant posts. </w:t>
      </w:r>
    </w:p>
    <w:p w:rsidR="00417FF2" w:rsidRPr="0039000D" w:rsidRDefault="00417FF2" w:rsidP="0039000D">
      <w:pPr>
        <w:spacing w:after="0" w:line="240" w:lineRule="auto"/>
        <w:rPr>
          <w:rFonts w:ascii="Arial" w:eastAsia="Calibri" w:hAnsi="Arial" w:cs="Arial"/>
          <w:sz w:val="20"/>
          <w:szCs w:val="20"/>
          <w:lang w:val="en-GB"/>
        </w:rPr>
      </w:pPr>
    </w:p>
    <w:p w:rsidR="00417FF2" w:rsidRPr="0039000D" w:rsidRDefault="00417FF2" w:rsidP="0039000D">
      <w:pPr>
        <w:spacing w:after="0" w:line="240" w:lineRule="auto"/>
        <w:rPr>
          <w:rFonts w:ascii="Arial" w:eastAsia="Calibri" w:hAnsi="Arial" w:cs="Arial"/>
          <w:sz w:val="20"/>
          <w:szCs w:val="20"/>
          <w:lang w:val="en-GB"/>
        </w:rPr>
      </w:pPr>
      <w:r w:rsidRPr="0039000D">
        <w:rPr>
          <w:rFonts w:ascii="Arial" w:eastAsia="Calibri" w:hAnsi="Arial" w:cs="Arial"/>
          <w:sz w:val="20"/>
          <w:szCs w:val="20"/>
          <w:lang w:val="en-GB"/>
        </w:rPr>
        <w:t>The use of consultants for these projects was reduced as internal capacity had been maximised.</w:t>
      </w:r>
      <w:r w:rsidRPr="0039000D">
        <w:rPr>
          <w:rFonts w:ascii="Arial" w:eastAsia="Calibri" w:hAnsi="Arial" w:cs="Arial"/>
          <w:sz w:val="20"/>
          <w:szCs w:val="20"/>
          <w:vertAlign w:val="superscript"/>
          <w:lang w:val="en-GB"/>
        </w:rPr>
        <w:footnoteReference w:id="16"/>
      </w:r>
    </w:p>
    <w:p w:rsidR="00417FF2" w:rsidRPr="0039000D" w:rsidRDefault="00417FF2" w:rsidP="0039000D">
      <w:pPr>
        <w:spacing w:after="0" w:line="240" w:lineRule="auto"/>
        <w:rPr>
          <w:rFonts w:ascii="Arial" w:eastAsia="Calibri" w:hAnsi="Arial" w:cs="Arial"/>
          <w:sz w:val="20"/>
          <w:szCs w:val="20"/>
          <w:lang w:val="en-GB"/>
        </w:rPr>
      </w:pPr>
    </w:p>
    <w:p w:rsidR="00417FF2" w:rsidRPr="0039000D" w:rsidRDefault="000951C1" w:rsidP="0039000D">
      <w:pPr>
        <w:keepNext/>
        <w:keepLines/>
        <w:spacing w:after="0" w:line="240" w:lineRule="auto"/>
        <w:outlineLvl w:val="1"/>
        <w:rPr>
          <w:rFonts w:ascii="Arial" w:eastAsia="Times New Roman" w:hAnsi="Arial" w:cs="Arial"/>
          <w:b/>
          <w:sz w:val="20"/>
          <w:szCs w:val="20"/>
          <w:lang w:val="en-GB"/>
        </w:rPr>
      </w:pPr>
      <w:bookmarkStart w:id="16" w:name="_Toc97395565"/>
      <w:r w:rsidRPr="0039000D">
        <w:rPr>
          <w:rFonts w:ascii="Arial" w:eastAsia="Times New Roman" w:hAnsi="Arial" w:cs="Arial"/>
          <w:b/>
          <w:sz w:val="20"/>
          <w:szCs w:val="20"/>
          <w:lang w:val="en-GB"/>
        </w:rPr>
        <w:t>3.1</w:t>
      </w:r>
      <w:r w:rsidR="00417FF2" w:rsidRPr="0039000D">
        <w:rPr>
          <w:rFonts w:ascii="Arial" w:eastAsia="Times New Roman" w:hAnsi="Arial" w:cs="Arial"/>
          <w:b/>
          <w:sz w:val="20"/>
          <w:szCs w:val="20"/>
          <w:lang w:val="en-GB"/>
        </w:rPr>
        <w:t>.3 Programme 3: Rail Transport</w:t>
      </w:r>
      <w:bookmarkEnd w:id="16"/>
    </w:p>
    <w:p w:rsidR="00417FF2" w:rsidRPr="0039000D" w:rsidRDefault="00417FF2" w:rsidP="0039000D">
      <w:pPr>
        <w:spacing w:after="0" w:line="240" w:lineRule="auto"/>
        <w:rPr>
          <w:rFonts w:ascii="Arial" w:eastAsia="Calibri" w:hAnsi="Arial" w:cs="Arial"/>
          <w:sz w:val="20"/>
          <w:szCs w:val="20"/>
          <w:lang w:val="en-GB"/>
        </w:rPr>
      </w:pPr>
    </w:p>
    <w:p w:rsidR="00417FF2" w:rsidRPr="0039000D" w:rsidRDefault="00417FF2" w:rsidP="0039000D">
      <w:pPr>
        <w:spacing w:after="0" w:line="240" w:lineRule="auto"/>
        <w:rPr>
          <w:rFonts w:ascii="Arial" w:eastAsia="Calibri" w:hAnsi="Arial" w:cs="Arial"/>
          <w:sz w:val="20"/>
          <w:szCs w:val="20"/>
          <w:lang w:val="en-GB"/>
        </w:rPr>
      </w:pPr>
      <w:r w:rsidRPr="0039000D">
        <w:rPr>
          <w:rFonts w:ascii="Arial" w:eastAsia="Calibri" w:hAnsi="Arial" w:cs="Arial"/>
          <w:sz w:val="20"/>
          <w:szCs w:val="20"/>
          <w:lang w:val="en-GB"/>
        </w:rPr>
        <w:lastRenderedPageBreak/>
        <w:t>The Rail Transport programme spent R13.57 billion against a Third Quarter projection of R13.61 billion. This is R34.1 million (or 0.3%) lower than projected. The slower than projected spending was mainly due to the delays in spending on Goods and Services in projects such the Rail Economic Regulation, and the payment of advisory services for the rail legislation.</w:t>
      </w:r>
      <w:r w:rsidRPr="0039000D">
        <w:rPr>
          <w:rFonts w:ascii="Arial" w:eastAsia="Calibri" w:hAnsi="Arial" w:cs="Arial"/>
          <w:sz w:val="20"/>
          <w:szCs w:val="20"/>
          <w:vertAlign w:val="superscript"/>
          <w:lang w:val="en-GB"/>
        </w:rPr>
        <w:footnoteReference w:id="17"/>
      </w:r>
    </w:p>
    <w:p w:rsidR="00450655" w:rsidRPr="0039000D" w:rsidRDefault="00450655" w:rsidP="0039000D">
      <w:pPr>
        <w:keepNext/>
        <w:keepLines/>
        <w:spacing w:after="0" w:line="240" w:lineRule="auto"/>
        <w:outlineLvl w:val="1"/>
        <w:rPr>
          <w:rFonts w:ascii="Arial" w:eastAsia="Times New Roman" w:hAnsi="Arial" w:cs="Arial"/>
          <w:b/>
          <w:sz w:val="20"/>
          <w:szCs w:val="20"/>
          <w:lang w:val="en-GB"/>
        </w:rPr>
      </w:pPr>
      <w:bookmarkStart w:id="17" w:name="_Toc97395566"/>
    </w:p>
    <w:p w:rsidR="00417FF2" w:rsidRPr="0039000D" w:rsidRDefault="000951C1" w:rsidP="0039000D">
      <w:pPr>
        <w:keepNext/>
        <w:keepLines/>
        <w:spacing w:after="0" w:line="240" w:lineRule="auto"/>
        <w:outlineLvl w:val="1"/>
        <w:rPr>
          <w:rFonts w:ascii="Arial" w:eastAsia="Times New Roman" w:hAnsi="Arial" w:cs="Arial"/>
          <w:b/>
          <w:sz w:val="20"/>
          <w:szCs w:val="20"/>
          <w:lang w:val="en-GB"/>
        </w:rPr>
      </w:pPr>
      <w:r w:rsidRPr="0039000D">
        <w:rPr>
          <w:rFonts w:ascii="Arial" w:eastAsia="Times New Roman" w:hAnsi="Arial" w:cs="Arial"/>
          <w:b/>
          <w:sz w:val="20"/>
          <w:szCs w:val="20"/>
          <w:lang w:val="en-GB"/>
        </w:rPr>
        <w:t>3.1</w:t>
      </w:r>
      <w:r w:rsidR="00417FF2" w:rsidRPr="0039000D">
        <w:rPr>
          <w:rFonts w:ascii="Arial" w:eastAsia="Times New Roman" w:hAnsi="Arial" w:cs="Arial"/>
          <w:b/>
          <w:sz w:val="20"/>
          <w:szCs w:val="20"/>
          <w:lang w:val="en-GB"/>
        </w:rPr>
        <w:t>.4 Programme 4: Road Transport</w:t>
      </w:r>
      <w:bookmarkEnd w:id="17"/>
    </w:p>
    <w:p w:rsidR="00417FF2" w:rsidRPr="0039000D" w:rsidRDefault="00417FF2" w:rsidP="0039000D">
      <w:pPr>
        <w:spacing w:after="0" w:line="240" w:lineRule="auto"/>
        <w:rPr>
          <w:rFonts w:ascii="Arial" w:eastAsia="Calibri" w:hAnsi="Arial" w:cs="Arial"/>
          <w:sz w:val="20"/>
          <w:szCs w:val="20"/>
          <w:lang w:val="en-GB"/>
        </w:rPr>
      </w:pPr>
    </w:p>
    <w:p w:rsidR="00417FF2" w:rsidRPr="0039000D" w:rsidRDefault="00417FF2" w:rsidP="0039000D">
      <w:pPr>
        <w:spacing w:after="0" w:line="240" w:lineRule="auto"/>
        <w:rPr>
          <w:rFonts w:ascii="Arial" w:eastAsia="Calibri" w:hAnsi="Arial" w:cs="Arial"/>
          <w:sz w:val="20"/>
          <w:szCs w:val="20"/>
          <w:lang w:val="en-GB"/>
        </w:rPr>
      </w:pPr>
      <w:r w:rsidRPr="0039000D">
        <w:rPr>
          <w:rFonts w:ascii="Arial" w:eastAsia="Calibri" w:hAnsi="Arial" w:cs="Arial"/>
          <w:sz w:val="20"/>
          <w:szCs w:val="20"/>
          <w:lang w:val="en-GB"/>
        </w:rPr>
        <w:t>The Road Transport programme spent R27.2 billion against a Third Quarter projection of R27.1 billion. Spending was R120.1 million (or 0.4%) higher than projected. The faster than projected expenditure was mainly due to “the revision of the payment schedule for the Provincial Road Maintenance Grant” (PRMG).</w:t>
      </w:r>
      <w:r w:rsidRPr="0039000D">
        <w:rPr>
          <w:rFonts w:ascii="Arial" w:eastAsia="Calibri" w:hAnsi="Arial" w:cs="Arial"/>
          <w:sz w:val="20"/>
          <w:szCs w:val="20"/>
          <w:vertAlign w:val="superscript"/>
          <w:lang w:val="en-GB"/>
        </w:rPr>
        <w:footnoteReference w:id="18"/>
      </w:r>
    </w:p>
    <w:p w:rsidR="00417FF2" w:rsidRPr="0039000D" w:rsidRDefault="00417FF2" w:rsidP="0039000D">
      <w:pPr>
        <w:spacing w:after="0" w:line="240" w:lineRule="auto"/>
        <w:rPr>
          <w:rFonts w:ascii="Arial" w:eastAsia="Calibri" w:hAnsi="Arial" w:cs="Arial"/>
          <w:sz w:val="20"/>
          <w:szCs w:val="20"/>
          <w:lang w:val="en-GB"/>
        </w:rPr>
      </w:pPr>
    </w:p>
    <w:p w:rsidR="00417FF2" w:rsidRPr="0039000D" w:rsidRDefault="000951C1" w:rsidP="0039000D">
      <w:pPr>
        <w:keepNext/>
        <w:keepLines/>
        <w:spacing w:after="0" w:line="240" w:lineRule="auto"/>
        <w:outlineLvl w:val="1"/>
        <w:rPr>
          <w:rFonts w:ascii="Arial" w:eastAsia="Times New Roman" w:hAnsi="Arial" w:cs="Arial"/>
          <w:b/>
          <w:sz w:val="20"/>
          <w:szCs w:val="20"/>
          <w:lang w:val="en-GB"/>
        </w:rPr>
      </w:pPr>
      <w:bookmarkStart w:id="18" w:name="_Toc97395567"/>
      <w:r w:rsidRPr="0039000D">
        <w:rPr>
          <w:rFonts w:ascii="Arial" w:eastAsia="Times New Roman" w:hAnsi="Arial" w:cs="Arial"/>
          <w:b/>
          <w:sz w:val="20"/>
          <w:szCs w:val="20"/>
          <w:lang w:val="en-GB"/>
        </w:rPr>
        <w:t>3.1.</w:t>
      </w:r>
      <w:r w:rsidR="00417FF2" w:rsidRPr="0039000D">
        <w:rPr>
          <w:rFonts w:ascii="Arial" w:eastAsia="Times New Roman" w:hAnsi="Arial" w:cs="Arial"/>
          <w:b/>
          <w:sz w:val="20"/>
          <w:szCs w:val="20"/>
          <w:lang w:val="en-GB"/>
        </w:rPr>
        <w:t>5 Programme 5: Civil Aviation Transport</w:t>
      </w:r>
      <w:bookmarkEnd w:id="18"/>
    </w:p>
    <w:p w:rsidR="00417FF2" w:rsidRPr="0039000D" w:rsidRDefault="00417FF2" w:rsidP="0039000D">
      <w:pPr>
        <w:spacing w:after="0" w:line="240" w:lineRule="auto"/>
        <w:rPr>
          <w:rFonts w:ascii="Arial" w:eastAsia="Calibri" w:hAnsi="Arial" w:cs="Arial"/>
          <w:sz w:val="20"/>
          <w:szCs w:val="20"/>
          <w:lang w:val="en-GB"/>
        </w:rPr>
      </w:pPr>
    </w:p>
    <w:p w:rsidR="00417FF2" w:rsidRPr="0039000D" w:rsidRDefault="00417FF2" w:rsidP="0039000D">
      <w:pPr>
        <w:spacing w:after="0" w:line="240" w:lineRule="auto"/>
        <w:rPr>
          <w:rFonts w:ascii="Arial" w:eastAsia="Calibri" w:hAnsi="Arial" w:cs="Arial"/>
          <w:sz w:val="20"/>
          <w:szCs w:val="20"/>
          <w:lang w:val="en-GB"/>
        </w:rPr>
      </w:pPr>
      <w:r w:rsidRPr="0039000D">
        <w:rPr>
          <w:rFonts w:ascii="Arial" w:eastAsia="Calibri" w:hAnsi="Arial" w:cs="Arial"/>
          <w:sz w:val="20"/>
          <w:szCs w:val="20"/>
          <w:lang w:val="en-GB"/>
        </w:rPr>
        <w:t>The Civil Aviation Transport programme spent R327.1 million against a Third Quarter projection of R358 million. The programme spent R30.9 million (or 8.6%) lower than projected. This was, in large part, on account of slow submission of invoices for Watch-Keeping Services, lower spending on travel and subsistence because of COVID-19 pandemic lockdown restrictions, and South African Maritime and Aeronautical Search and Rescue Amendment Bill.</w:t>
      </w:r>
      <w:r w:rsidRPr="0039000D">
        <w:rPr>
          <w:rFonts w:ascii="Arial" w:eastAsia="Calibri" w:hAnsi="Arial" w:cs="Arial"/>
          <w:sz w:val="20"/>
          <w:szCs w:val="20"/>
          <w:vertAlign w:val="superscript"/>
          <w:lang w:val="en-GB"/>
        </w:rPr>
        <w:footnoteReference w:id="19"/>
      </w:r>
      <w:r w:rsidRPr="0039000D">
        <w:rPr>
          <w:rFonts w:ascii="Arial" w:eastAsia="Calibri" w:hAnsi="Arial" w:cs="Arial"/>
          <w:sz w:val="20"/>
          <w:szCs w:val="20"/>
          <w:lang w:val="en-GB"/>
        </w:rPr>
        <w:t xml:space="preserve"> Under transfers and subsidies, delayed spending was due to outstanding payments of membership fees to the African Civil Aviation Commission.</w:t>
      </w:r>
      <w:r w:rsidRPr="0039000D">
        <w:rPr>
          <w:rFonts w:ascii="Arial" w:eastAsia="Calibri" w:hAnsi="Arial" w:cs="Arial"/>
          <w:sz w:val="20"/>
          <w:szCs w:val="20"/>
          <w:vertAlign w:val="superscript"/>
          <w:lang w:val="en-GB"/>
        </w:rPr>
        <w:footnoteReference w:id="20"/>
      </w:r>
    </w:p>
    <w:p w:rsidR="00417FF2" w:rsidRPr="0039000D" w:rsidRDefault="00417FF2" w:rsidP="0039000D">
      <w:pPr>
        <w:spacing w:after="0" w:line="240" w:lineRule="auto"/>
        <w:rPr>
          <w:rFonts w:ascii="Arial" w:eastAsia="Calibri" w:hAnsi="Arial" w:cs="Arial"/>
          <w:sz w:val="20"/>
          <w:szCs w:val="20"/>
          <w:lang w:val="en-GB"/>
        </w:rPr>
      </w:pPr>
    </w:p>
    <w:p w:rsidR="00417FF2" w:rsidRPr="0039000D" w:rsidRDefault="009E6A5A" w:rsidP="0039000D">
      <w:pPr>
        <w:keepNext/>
        <w:keepLines/>
        <w:spacing w:after="0" w:line="240" w:lineRule="auto"/>
        <w:outlineLvl w:val="1"/>
        <w:rPr>
          <w:rFonts w:ascii="Arial" w:eastAsia="Times New Roman" w:hAnsi="Arial" w:cs="Arial"/>
          <w:b/>
          <w:sz w:val="20"/>
          <w:szCs w:val="20"/>
          <w:lang w:val="en-GB"/>
        </w:rPr>
      </w:pPr>
      <w:bookmarkStart w:id="19" w:name="_Toc97395568"/>
      <w:r w:rsidRPr="0039000D">
        <w:rPr>
          <w:rFonts w:ascii="Arial" w:eastAsia="Times New Roman" w:hAnsi="Arial" w:cs="Arial"/>
          <w:b/>
          <w:sz w:val="20"/>
          <w:szCs w:val="20"/>
          <w:lang w:val="en-GB"/>
        </w:rPr>
        <w:t>3.1.</w:t>
      </w:r>
      <w:r w:rsidR="00417FF2" w:rsidRPr="0039000D">
        <w:rPr>
          <w:rFonts w:ascii="Arial" w:eastAsia="Times New Roman" w:hAnsi="Arial" w:cs="Arial"/>
          <w:b/>
          <w:sz w:val="20"/>
          <w:szCs w:val="20"/>
          <w:lang w:val="en-GB"/>
        </w:rPr>
        <w:t>6 Programme 6: Maritime Transport</w:t>
      </w:r>
      <w:bookmarkEnd w:id="19"/>
    </w:p>
    <w:p w:rsidR="00417FF2" w:rsidRPr="0039000D" w:rsidRDefault="00417FF2" w:rsidP="0039000D">
      <w:pPr>
        <w:spacing w:after="0" w:line="240" w:lineRule="auto"/>
        <w:rPr>
          <w:rFonts w:ascii="Arial" w:eastAsia="Calibri" w:hAnsi="Arial" w:cs="Arial"/>
          <w:sz w:val="20"/>
          <w:szCs w:val="20"/>
          <w:lang w:val="en-GB"/>
        </w:rPr>
      </w:pPr>
    </w:p>
    <w:p w:rsidR="00417FF2" w:rsidRPr="0039000D" w:rsidRDefault="00417FF2" w:rsidP="0039000D">
      <w:pPr>
        <w:spacing w:after="0" w:line="240" w:lineRule="auto"/>
        <w:rPr>
          <w:rFonts w:ascii="Arial" w:eastAsia="Calibri" w:hAnsi="Arial" w:cs="Arial"/>
          <w:sz w:val="20"/>
          <w:szCs w:val="20"/>
          <w:lang w:val="en-GB"/>
        </w:rPr>
      </w:pPr>
      <w:r w:rsidRPr="0039000D">
        <w:rPr>
          <w:rFonts w:ascii="Arial" w:eastAsia="Calibri" w:hAnsi="Arial" w:cs="Arial"/>
          <w:sz w:val="20"/>
          <w:szCs w:val="20"/>
          <w:lang w:val="en-GB"/>
        </w:rPr>
        <w:t>The Maritime Transport programme spent R81.2 million against a Third Quarter projection of R103.8 million. The programme spent R22.6 million (or 21.7%) lower than projected. The slower than projected expenditure was owing to delays in projects such as the Feasibility Study on Tugboat Services, as well as the Review of the Merchant Shipping Bill.</w:t>
      </w:r>
    </w:p>
    <w:p w:rsidR="00417FF2" w:rsidRPr="0039000D" w:rsidRDefault="00417FF2" w:rsidP="0039000D">
      <w:pPr>
        <w:spacing w:after="0" w:line="240" w:lineRule="auto"/>
        <w:rPr>
          <w:rFonts w:ascii="Arial" w:eastAsia="Calibri" w:hAnsi="Arial" w:cs="Arial"/>
          <w:sz w:val="20"/>
          <w:szCs w:val="20"/>
          <w:lang w:val="en-GB"/>
        </w:rPr>
      </w:pPr>
    </w:p>
    <w:p w:rsidR="00417FF2" w:rsidRPr="0039000D" w:rsidRDefault="009E6A5A" w:rsidP="0039000D">
      <w:pPr>
        <w:keepNext/>
        <w:keepLines/>
        <w:spacing w:after="0" w:line="240" w:lineRule="auto"/>
        <w:outlineLvl w:val="1"/>
        <w:rPr>
          <w:rFonts w:ascii="Arial" w:eastAsia="Times New Roman" w:hAnsi="Arial" w:cs="Arial"/>
          <w:b/>
          <w:sz w:val="20"/>
          <w:szCs w:val="20"/>
          <w:lang w:val="en-GB"/>
        </w:rPr>
      </w:pPr>
      <w:bookmarkStart w:id="20" w:name="_Toc97395569"/>
      <w:r w:rsidRPr="0039000D">
        <w:rPr>
          <w:rFonts w:ascii="Arial" w:eastAsia="Times New Roman" w:hAnsi="Arial" w:cs="Arial"/>
          <w:b/>
          <w:sz w:val="20"/>
          <w:szCs w:val="20"/>
          <w:lang w:val="en-GB"/>
        </w:rPr>
        <w:t>3.1</w:t>
      </w:r>
      <w:r w:rsidR="00417FF2" w:rsidRPr="0039000D">
        <w:rPr>
          <w:rFonts w:ascii="Arial" w:eastAsia="Times New Roman" w:hAnsi="Arial" w:cs="Arial"/>
          <w:b/>
          <w:sz w:val="20"/>
          <w:szCs w:val="20"/>
          <w:lang w:val="en-GB"/>
        </w:rPr>
        <w:t>.7 Programme 7: Public Transport</w:t>
      </w:r>
      <w:bookmarkEnd w:id="20"/>
    </w:p>
    <w:p w:rsidR="00417FF2" w:rsidRPr="0039000D" w:rsidRDefault="00417FF2" w:rsidP="0039000D">
      <w:pPr>
        <w:spacing w:after="0" w:line="240" w:lineRule="auto"/>
        <w:rPr>
          <w:rFonts w:ascii="Arial" w:eastAsia="Calibri" w:hAnsi="Arial" w:cs="Arial"/>
          <w:sz w:val="20"/>
          <w:szCs w:val="20"/>
          <w:lang w:val="en-GB"/>
        </w:rPr>
      </w:pPr>
    </w:p>
    <w:p w:rsidR="00417FF2" w:rsidRPr="0039000D" w:rsidRDefault="00417FF2" w:rsidP="0039000D">
      <w:pPr>
        <w:spacing w:after="0" w:line="240" w:lineRule="auto"/>
        <w:rPr>
          <w:rFonts w:ascii="Arial" w:eastAsia="Calibri" w:hAnsi="Arial" w:cs="Arial"/>
          <w:sz w:val="20"/>
          <w:szCs w:val="20"/>
          <w:lang w:val="en-GB"/>
        </w:rPr>
      </w:pPr>
      <w:r w:rsidRPr="0039000D">
        <w:rPr>
          <w:rFonts w:ascii="Arial" w:eastAsia="Calibri" w:hAnsi="Arial" w:cs="Arial"/>
          <w:sz w:val="20"/>
          <w:szCs w:val="20"/>
          <w:lang w:val="en-GB"/>
        </w:rPr>
        <w:t>The Public Transport programme spent R8.1 billion against a Third Quarter projection of R9.1 billion. Spending was R1 billion (or 11.1%) lower than projected mainly due to non-payment of the transfers for the Public Transport Network Grant (PTNG) to several municipalities as they had yet to comply with their milestones, as per the conditional grant framework.</w:t>
      </w:r>
      <w:r w:rsidRPr="0039000D">
        <w:rPr>
          <w:rFonts w:ascii="Arial" w:eastAsia="Calibri" w:hAnsi="Arial" w:cs="Arial"/>
          <w:sz w:val="20"/>
          <w:szCs w:val="20"/>
          <w:vertAlign w:val="superscript"/>
          <w:lang w:val="en-GB"/>
        </w:rPr>
        <w:footnoteReference w:id="21"/>
      </w:r>
      <w:r w:rsidRPr="0039000D">
        <w:rPr>
          <w:rFonts w:ascii="Arial" w:eastAsia="Calibri" w:hAnsi="Arial" w:cs="Arial"/>
          <w:sz w:val="20"/>
          <w:szCs w:val="20"/>
          <w:lang w:val="en-GB"/>
        </w:rPr>
        <w:t xml:space="preserve"> Stagnant demand in the Taxi Recapitalisation Programme and delays in projects such as public transport grant monitoring, the implementation of integrated public transport networks (IPTNs) in district municipalities, and the national land transport information system also contributed to slow spending.</w:t>
      </w:r>
      <w:r w:rsidRPr="0039000D">
        <w:rPr>
          <w:rFonts w:ascii="Arial" w:eastAsia="Calibri" w:hAnsi="Arial" w:cs="Arial"/>
          <w:sz w:val="20"/>
          <w:szCs w:val="20"/>
          <w:vertAlign w:val="superscript"/>
          <w:lang w:val="en-GB"/>
        </w:rPr>
        <w:footnoteReference w:id="22"/>
      </w:r>
      <w:r w:rsidRPr="0039000D">
        <w:rPr>
          <w:rFonts w:ascii="Arial" w:eastAsia="Calibri" w:hAnsi="Arial" w:cs="Arial"/>
          <w:sz w:val="20"/>
          <w:szCs w:val="20"/>
          <w:lang w:val="en-GB"/>
        </w:rPr>
        <w:t xml:space="preserve"> </w:t>
      </w:r>
    </w:p>
    <w:p w:rsidR="00417FF2" w:rsidRPr="0039000D" w:rsidRDefault="00417FF2" w:rsidP="0039000D">
      <w:pPr>
        <w:spacing w:after="0" w:line="240" w:lineRule="auto"/>
        <w:rPr>
          <w:rFonts w:ascii="Arial" w:eastAsia="Calibri" w:hAnsi="Arial" w:cs="Arial"/>
          <w:sz w:val="20"/>
          <w:szCs w:val="20"/>
          <w:lang w:val="en-GB"/>
        </w:rPr>
      </w:pPr>
    </w:p>
    <w:p w:rsidR="00417FF2" w:rsidRPr="0039000D" w:rsidRDefault="009E6A5A" w:rsidP="0039000D">
      <w:pPr>
        <w:keepNext/>
        <w:keepLines/>
        <w:spacing w:after="0" w:line="240" w:lineRule="auto"/>
        <w:outlineLvl w:val="1"/>
        <w:rPr>
          <w:rFonts w:ascii="Arial" w:eastAsia="Times New Roman" w:hAnsi="Arial" w:cs="Arial"/>
          <w:b/>
          <w:sz w:val="20"/>
          <w:szCs w:val="20"/>
          <w:lang w:val="en-GB"/>
        </w:rPr>
      </w:pPr>
      <w:bookmarkStart w:id="21" w:name="_Toc97395570"/>
      <w:r w:rsidRPr="0039000D">
        <w:rPr>
          <w:rFonts w:ascii="Arial" w:eastAsia="Times New Roman" w:hAnsi="Arial" w:cs="Arial"/>
          <w:b/>
          <w:sz w:val="20"/>
          <w:szCs w:val="20"/>
          <w:lang w:val="en-GB"/>
        </w:rPr>
        <w:t>3.1</w:t>
      </w:r>
      <w:r w:rsidR="00417FF2" w:rsidRPr="0039000D">
        <w:rPr>
          <w:rFonts w:ascii="Arial" w:eastAsia="Times New Roman" w:hAnsi="Arial" w:cs="Arial"/>
          <w:b/>
          <w:sz w:val="20"/>
          <w:szCs w:val="20"/>
          <w:lang w:val="en-GB"/>
        </w:rPr>
        <w:t>.8 COVID-19 Spending</w:t>
      </w:r>
      <w:bookmarkEnd w:id="21"/>
    </w:p>
    <w:p w:rsidR="00417FF2" w:rsidRPr="0039000D" w:rsidRDefault="00417FF2" w:rsidP="0039000D">
      <w:pPr>
        <w:spacing w:after="0" w:line="240" w:lineRule="auto"/>
        <w:rPr>
          <w:rFonts w:ascii="Arial" w:eastAsia="Calibri" w:hAnsi="Arial" w:cs="Arial"/>
          <w:sz w:val="20"/>
          <w:szCs w:val="20"/>
          <w:lang w:val="en-GB"/>
        </w:rPr>
      </w:pPr>
    </w:p>
    <w:p w:rsidR="00417FF2" w:rsidRPr="0039000D" w:rsidRDefault="00417FF2" w:rsidP="0039000D">
      <w:pPr>
        <w:spacing w:after="0" w:line="240" w:lineRule="auto"/>
        <w:rPr>
          <w:rFonts w:ascii="Arial" w:eastAsia="Calibri" w:hAnsi="Arial" w:cs="Arial"/>
          <w:sz w:val="20"/>
          <w:szCs w:val="20"/>
          <w:lang w:val="en-GB"/>
        </w:rPr>
      </w:pPr>
      <w:r w:rsidRPr="0039000D">
        <w:rPr>
          <w:rFonts w:ascii="Arial" w:eastAsia="Calibri" w:hAnsi="Arial" w:cs="Arial"/>
          <w:sz w:val="20"/>
          <w:szCs w:val="20"/>
          <w:lang w:val="en-GB"/>
        </w:rPr>
        <w:t>As at the end of the Third Quarter of 2021/22, the Department spent R359 million on COVID-19 related projects and business activities. The COVID-19 spending mostly pertained to the procurement of protective equipment and other interventions within the Department, support to public transport operators in responding to the pandemic, and assistance to the Department of Basic Education with the procurement of disinfectants and sanitisers for scholar transport.</w:t>
      </w:r>
      <w:r w:rsidRPr="0039000D">
        <w:rPr>
          <w:rFonts w:ascii="Arial" w:eastAsia="Calibri" w:hAnsi="Arial" w:cs="Arial"/>
          <w:sz w:val="20"/>
          <w:szCs w:val="20"/>
          <w:vertAlign w:val="superscript"/>
          <w:lang w:val="en-GB"/>
        </w:rPr>
        <w:footnoteReference w:id="23"/>
      </w:r>
    </w:p>
    <w:p w:rsidR="00450655" w:rsidRPr="0039000D" w:rsidRDefault="00450655" w:rsidP="0039000D">
      <w:pPr>
        <w:spacing w:after="0" w:line="240" w:lineRule="auto"/>
        <w:rPr>
          <w:rFonts w:ascii="Arial" w:eastAsia="Calibri" w:hAnsi="Arial" w:cs="Arial"/>
          <w:sz w:val="20"/>
          <w:szCs w:val="20"/>
          <w:lang w:val="en-GB"/>
        </w:rPr>
      </w:pPr>
    </w:p>
    <w:p w:rsidR="00417FF2" w:rsidRPr="0039000D" w:rsidRDefault="00450655" w:rsidP="0039000D">
      <w:pPr>
        <w:pStyle w:val="ListParagraph"/>
        <w:keepNext/>
        <w:keepLines/>
        <w:numPr>
          <w:ilvl w:val="1"/>
          <w:numId w:val="31"/>
        </w:numPr>
        <w:spacing w:after="0" w:line="240" w:lineRule="auto"/>
        <w:outlineLvl w:val="0"/>
        <w:rPr>
          <w:rFonts w:ascii="Arial" w:eastAsia="Times New Roman" w:hAnsi="Arial" w:cs="Arial"/>
          <w:b/>
          <w:caps/>
          <w:sz w:val="20"/>
          <w:szCs w:val="20"/>
          <w:lang w:val="en-GB"/>
        </w:rPr>
      </w:pPr>
      <w:bookmarkStart w:id="22" w:name="_Toc97395571"/>
      <w:r w:rsidRPr="0039000D">
        <w:rPr>
          <w:rFonts w:ascii="Arial" w:eastAsia="Times New Roman" w:hAnsi="Arial" w:cs="Arial"/>
          <w:b/>
          <w:caps/>
          <w:sz w:val="20"/>
          <w:szCs w:val="20"/>
          <w:lang w:val="en-GB"/>
        </w:rPr>
        <w:lastRenderedPageBreak/>
        <w:t xml:space="preserve"> </w:t>
      </w:r>
      <w:r w:rsidR="00417FF2" w:rsidRPr="0039000D">
        <w:rPr>
          <w:rFonts w:ascii="Arial" w:eastAsia="Times New Roman" w:hAnsi="Arial" w:cs="Arial"/>
          <w:b/>
          <w:caps/>
          <w:sz w:val="20"/>
          <w:szCs w:val="20"/>
          <w:lang w:val="en-GB"/>
        </w:rPr>
        <w:t>issues consider</w:t>
      </w:r>
      <w:r w:rsidR="008A0804" w:rsidRPr="0039000D">
        <w:rPr>
          <w:rFonts w:ascii="Arial" w:eastAsia="Times New Roman" w:hAnsi="Arial" w:cs="Arial"/>
          <w:b/>
          <w:caps/>
          <w:sz w:val="20"/>
          <w:szCs w:val="20"/>
          <w:lang w:val="en-GB"/>
        </w:rPr>
        <w:t>ED</w:t>
      </w:r>
      <w:r w:rsidR="00417FF2" w:rsidRPr="0039000D">
        <w:rPr>
          <w:rFonts w:ascii="Arial" w:eastAsia="Times New Roman" w:hAnsi="Arial" w:cs="Arial"/>
          <w:b/>
          <w:caps/>
          <w:sz w:val="20"/>
          <w:szCs w:val="20"/>
          <w:lang w:val="en-GB"/>
        </w:rPr>
        <w:t xml:space="preserve"> by the committee</w:t>
      </w:r>
      <w:bookmarkEnd w:id="22"/>
    </w:p>
    <w:p w:rsidR="00417FF2" w:rsidRPr="0039000D" w:rsidRDefault="00417FF2" w:rsidP="0039000D">
      <w:pPr>
        <w:spacing w:after="0" w:line="240" w:lineRule="auto"/>
        <w:rPr>
          <w:rFonts w:ascii="Arial" w:eastAsia="Calibri" w:hAnsi="Arial" w:cs="Arial"/>
          <w:sz w:val="20"/>
          <w:szCs w:val="20"/>
          <w:lang w:val="en-GB"/>
        </w:rPr>
      </w:pPr>
    </w:p>
    <w:p w:rsidR="00417FF2" w:rsidRPr="0039000D" w:rsidRDefault="007A2256" w:rsidP="0039000D">
      <w:pPr>
        <w:keepNext/>
        <w:keepLines/>
        <w:spacing w:after="0" w:line="240" w:lineRule="auto"/>
        <w:outlineLvl w:val="1"/>
        <w:rPr>
          <w:rFonts w:ascii="Arial" w:eastAsia="Times New Roman" w:hAnsi="Arial" w:cs="Arial"/>
          <w:b/>
          <w:sz w:val="20"/>
          <w:szCs w:val="20"/>
          <w:lang w:val="en-GB"/>
        </w:rPr>
      </w:pPr>
      <w:bookmarkStart w:id="23" w:name="_Toc97395572"/>
      <w:r w:rsidRPr="0039000D">
        <w:rPr>
          <w:rFonts w:ascii="Arial" w:eastAsia="Times New Roman" w:hAnsi="Arial" w:cs="Arial"/>
          <w:b/>
          <w:sz w:val="20"/>
          <w:szCs w:val="20"/>
          <w:lang w:val="en-GB"/>
        </w:rPr>
        <w:t>3.2.1</w:t>
      </w:r>
      <w:r w:rsidR="00417FF2" w:rsidRPr="0039000D">
        <w:rPr>
          <w:rFonts w:ascii="Arial" w:eastAsia="Times New Roman" w:hAnsi="Arial" w:cs="Arial"/>
          <w:b/>
          <w:sz w:val="20"/>
          <w:szCs w:val="20"/>
          <w:lang w:val="en-GB"/>
        </w:rPr>
        <w:t xml:space="preserve"> Delays in Spending on Goods and Services</w:t>
      </w:r>
      <w:bookmarkEnd w:id="23"/>
    </w:p>
    <w:p w:rsidR="00417FF2" w:rsidRPr="0039000D" w:rsidRDefault="00417FF2" w:rsidP="0039000D">
      <w:pPr>
        <w:spacing w:after="0" w:line="240" w:lineRule="auto"/>
        <w:rPr>
          <w:rFonts w:ascii="Arial" w:eastAsia="Calibri" w:hAnsi="Arial" w:cs="Arial"/>
          <w:sz w:val="20"/>
          <w:szCs w:val="20"/>
          <w:lang w:val="en-GB"/>
        </w:rPr>
      </w:pPr>
    </w:p>
    <w:p w:rsidR="00417FF2" w:rsidRPr="0039000D" w:rsidRDefault="00417FF2" w:rsidP="0039000D">
      <w:pPr>
        <w:numPr>
          <w:ilvl w:val="0"/>
          <w:numId w:val="12"/>
        </w:numPr>
        <w:spacing w:after="0" w:line="240" w:lineRule="auto"/>
        <w:contextualSpacing/>
        <w:rPr>
          <w:rFonts w:ascii="Arial" w:eastAsia="Calibri" w:hAnsi="Arial" w:cs="Arial"/>
          <w:sz w:val="20"/>
          <w:szCs w:val="20"/>
          <w:lang w:val="en-GB"/>
        </w:rPr>
      </w:pPr>
      <w:r w:rsidRPr="0039000D">
        <w:rPr>
          <w:rFonts w:ascii="Arial" w:eastAsia="Calibri" w:hAnsi="Arial" w:cs="Arial"/>
          <w:sz w:val="20"/>
          <w:szCs w:val="20"/>
          <w:lang w:val="en-GB"/>
        </w:rPr>
        <w:t>The Department spent R338 million against the Third Quarter projection of R560.7 million for Goods and Services. Spending was R222.7 million (or 39.7%) lower than projected due to delays in various projects across programmes. These included the following:</w:t>
      </w:r>
      <w:r w:rsidRPr="0039000D">
        <w:rPr>
          <w:rFonts w:ascii="Arial" w:eastAsia="Calibri" w:hAnsi="Arial" w:cs="Arial"/>
          <w:sz w:val="20"/>
          <w:szCs w:val="20"/>
          <w:vertAlign w:val="superscript"/>
          <w:lang w:val="en-GB"/>
        </w:rPr>
        <w:footnoteReference w:id="24"/>
      </w:r>
    </w:p>
    <w:p w:rsidR="00417FF2" w:rsidRPr="0039000D" w:rsidRDefault="00417FF2" w:rsidP="0039000D">
      <w:pPr>
        <w:spacing w:after="0" w:line="240" w:lineRule="auto"/>
        <w:ind w:left="360"/>
        <w:contextualSpacing/>
        <w:rPr>
          <w:rFonts w:ascii="Arial" w:eastAsia="Calibri" w:hAnsi="Arial" w:cs="Arial"/>
          <w:sz w:val="20"/>
          <w:szCs w:val="20"/>
          <w:lang w:val="en-GB"/>
        </w:rPr>
      </w:pPr>
    </w:p>
    <w:p w:rsidR="00417FF2" w:rsidRPr="0039000D" w:rsidRDefault="00417FF2" w:rsidP="0039000D">
      <w:pPr>
        <w:numPr>
          <w:ilvl w:val="0"/>
          <w:numId w:val="14"/>
        </w:numPr>
        <w:spacing w:after="0" w:line="240" w:lineRule="auto"/>
        <w:contextualSpacing/>
        <w:rPr>
          <w:rFonts w:ascii="Arial" w:eastAsia="Calibri" w:hAnsi="Arial" w:cs="Arial"/>
          <w:sz w:val="20"/>
          <w:szCs w:val="20"/>
          <w:lang w:val="en-GB"/>
        </w:rPr>
      </w:pPr>
      <w:r w:rsidRPr="0039000D">
        <w:rPr>
          <w:rFonts w:ascii="Arial" w:eastAsia="Calibri" w:hAnsi="Arial" w:cs="Arial"/>
          <w:sz w:val="20"/>
          <w:szCs w:val="20"/>
          <w:lang w:val="en-GB"/>
        </w:rPr>
        <w:t>Outstanding invoices for Office Accommodation;</w:t>
      </w:r>
    </w:p>
    <w:p w:rsidR="00417FF2" w:rsidRPr="0039000D" w:rsidRDefault="00417FF2" w:rsidP="0039000D">
      <w:pPr>
        <w:numPr>
          <w:ilvl w:val="0"/>
          <w:numId w:val="14"/>
        </w:numPr>
        <w:spacing w:after="0" w:line="240" w:lineRule="auto"/>
        <w:contextualSpacing/>
        <w:rPr>
          <w:rFonts w:ascii="Arial" w:eastAsia="Calibri" w:hAnsi="Arial" w:cs="Arial"/>
          <w:sz w:val="20"/>
          <w:szCs w:val="20"/>
          <w:lang w:val="en-GB"/>
        </w:rPr>
      </w:pPr>
      <w:r w:rsidRPr="0039000D">
        <w:rPr>
          <w:rFonts w:ascii="Arial" w:eastAsia="Calibri" w:hAnsi="Arial" w:cs="Arial"/>
          <w:sz w:val="20"/>
          <w:szCs w:val="20"/>
          <w:lang w:val="en-GB"/>
        </w:rPr>
        <w:t>Development of the Road Asset Management Tool;</w:t>
      </w:r>
    </w:p>
    <w:p w:rsidR="00417FF2" w:rsidRPr="0039000D" w:rsidRDefault="00417FF2" w:rsidP="0039000D">
      <w:pPr>
        <w:numPr>
          <w:ilvl w:val="0"/>
          <w:numId w:val="14"/>
        </w:numPr>
        <w:spacing w:after="0" w:line="240" w:lineRule="auto"/>
        <w:contextualSpacing/>
        <w:rPr>
          <w:rFonts w:ascii="Arial" w:eastAsia="Calibri" w:hAnsi="Arial" w:cs="Arial"/>
          <w:sz w:val="20"/>
          <w:szCs w:val="20"/>
          <w:lang w:val="en-GB"/>
        </w:rPr>
      </w:pPr>
      <w:r w:rsidRPr="0039000D">
        <w:rPr>
          <w:rFonts w:ascii="Arial" w:eastAsia="Calibri" w:hAnsi="Arial" w:cs="Arial"/>
          <w:sz w:val="20"/>
          <w:szCs w:val="20"/>
          <w:lang w:val="en-GB"/>
        </w:rPr>
        <w:t>Public transport grant monitoring; and</w:t>
      </w:r>
    </w:p>
    <w:p w:rsidR="00417FF2" w:rsidRPr="0039000D" w:rsidRDefault="00417FF2" w:rsidP="0039000D">
      <w:pPr>
        <w:numPr>
          <w:ilvl w:val="0"/>
          <w:numId w:val="14"/>
        </w:numPr>
        <w:spacing w:after="0" w:line="240" w:lineRule="auto"/>
        <w:contextualSpacing/>
        <w:rPr>
          <w:rFonts w:ascii="Arial" w:eastAsia="Calibri" w:hAnsi="Arial" w:cs="Arial"/>
          <w:sz w:val="20"/>
          <w:szCs w:val="20"/>
          <w:lang w:val="en-GB"/>
        </w:rPr>
      </w:pPr>
      <w:r w:rsidRPr="0039000D">
        <w:rPr>
          <w:rFonts w:ascii="Arial" w:eastAsia="Calibri" w:hAnsi="Arial" w:cs="Arial"/>
          <w:sz w:val="20"/>
          <w:szCs w:val="20"/>
          <w:lang w:val="en-GB"/>
        </w:rPr>
        <w:t xml:space="preserve">Development of the Road Disaster Management Plan. </w:t>
      </w:r>
    </w:p>
    <w:p w:rsidR="00417FF2" w:rsidRPr="0039000D" w:rsidRDefault="00417FF2" w:rsidP="0039000D">
      <w:pPr>
        <w:spacing w:after="0" w:line="240" w:lineRule="auto"/>
        <w:ind w:left="142"/>
        <w:rPr>
          <w:rFonts w:ascii="Arial" w:eastAsia="Calibri" w:hAnsi="Arial" w:cs="Arial"/>
          <w:sz w:val="20"/>
          <w:szCs w:val="20"/>
          <w:lang w:val="en-GB"/>
        </w:rPr>
      </w:pPr>
    </w:p>
    <w:p w:rsidR="00417FF2" w:rsidRPr="0039000D" w:rsidRDefault="00417FF2" w:rsidP="0039000D">
      <w:pPr>
        <w:spacing w:after="0" w:line="240" w:lineRule="auto"/>
        <w:ind w:left="142"/>
        <w:rPr>
          <w:rFonts w:ascii="Arial" w:eastAsia="Calibri" w:hAnsi="Arial" w:cs="Arial"/>
          <w:sz w:val="20"/>
          <w:szCs w:val="20"/>
          <w:lang w:val="en-GB"/>
        </w:rPr>
      </w:pPr>
      <w:r w:rsidRPr="0039000D">
        <w:rPr>
          <w:rFonts w:ascii="Arial" w:eastAsia="Calibri" w:hAnsi="Arial" w:cs="Arial"/>
          <w:sz w:val="20"/>
          <w:szCs w:val="20"/>
          <w:lang w:val="en-GB"/>
        </w:rPr>
        <w:t xml:space="preserve">According to the National Treasury, the Department anticipates an underspending on Goods and Services by the end of the financial year. However, </w:t>
      </w:r>
      <w:r w:rsidRPr="0039000D">
        <w:rPr>
          <w:rFonts w:ascii="Arial" w:eastAsia="Calibri" w:hAnsi="Arial" w:cs="Arial"/>
          <w:b/>
          <w:bCs/>
          <w:sz w:val="20"/>
          <w:szCs w:val="20"/>
          <w:lang w:val="en-GB"/>
        </w:rPr>
        <w:t>the management of the Department has resolved to “review and revise the procurement plan to improve spending”.</w:t>
      </w:r>
      <w:r w:rsidRPr="0039000D">
        <w:rPr>
          <w:rFonts w:ascii="Arial" w:eastAsia="Calibri" w:hAnsi="Arial" w:cs="Arial"/>
          <w:b/>
          <w:bCs/>
          <w:sz w:val="20"/>
          <w:szCs w:val="20"/>
          <w:vertAlign w:val="superscript"/>
          <w:lang w:val="en-GB"/>
        </w:rPr>
        <w:footnoteReference w:id="25"/>
      </w:r>
      <w:r w:rsidRPr="0039000D">
        <w:rPr>
          <w:rFonts w:ascii="Arial" w:eastAsia="Calibri" w:hAnsi="Arial" w:cs="Arial"/>
          <w:sz w:val="20"/>
          <w:szCs w:val="20"/>
          <w:lang w:val="en-GB"/>
        </w:rPr>
        <w:t xml:space="preserve"> The Committee </w:t>
      </w:r>
      <w:r w:rsidR="00245807" w:rsidRPr="0039000D">
        <w:rPr>
          <w:rFonts w:ascii="Arial" w:eastAsia="Calibri" w:hAnsi="Arial" w:cs="Arial"/>
          <w:sz w:val="20"/>
          <w:szCs w:val="20"/>
          <w:lang w:val="en-GB"/>
        </w:rPr>
        <w:t xml:space="preserve">would request a report on </w:t>
      </w:r>
      <w:r w:rsidRPr="0039000D">
        <w:rPr>
          <w:rFonts w:ascii="Arial" w:eastAsia="Calibri" w:hAnsi="Arial" w:cs="Arial"/>
          <w:sz w:val="20"/>
          <w:szCs w:val="20"/>
          <w:lang w:val="en-GB"/>
        </w:rPr>
        <w:t xml:space="preserve"> whether the Department has indeed reviewed and revised the procurement plan to improve spending.</w:t>
      </w:r>
    </w:p>
    <w:p w:rsidR="00417FF2" w:rsidRPr="0039000D" w:rsidRDefault="00417FF2" w:rsidP="0039000D">
      <w:pPr>
        <w:spacing w:after="0" w:line="240" w:lineRule="auto"/>
        <w:ind w:left="142"/>
        <w:rPr>
          <w:rFonts w:ascii="Arial" w:eastAsia="Calibri" w:hAnsi="Arial" w:cs="Arial"/>
          <w:sz w:val="20"/>
          <w:szCs w:val="20"/>
          <w:lang w:val="en-GB"/>
        </w:rPr>
      </w:pPr>
    </w:p>
    <w:p w:rsidR="00383008" w:rsidRPr="0039000D" w:rsidRDefault="00FC4F15" w:rsidP="0039000D">
      <w:pPr>
        <w:pStyle w:val="ListParagraph"/>
        <w:numPr>
          <w:ilvl w:val="0"/>
          <w:numId w:val="32"/>
        </w:numPr>
        <w:spacing w:after="0" w:line="240" w:lineRule="auto"/>
        <w:ind w:hanging="720"/>
        <w:rPr>
          <w:rFonts w:ascii="Arial" w:hAnsi="Arial" w:cs="Arial"/>
          <w:b/>
          <w:sz w:val="20"/>
          <w:szCs w:val="20"/>
          <w:lang w:val="en-GB"/>
        </w:rPr>
      </w:pPr>
      <w:r w:rsidRPr="0039000D">
        <w:rPr>
          <w:rFonts w:ascii="Arial" w:hAnsi="Arial" w:cs="Arial"/>
          <w:b/>
          <w:sz w:val="20"/>
          <w:szCs w:val="20"/>
          <w:lang w:val="en-GB"/>
        </w:rPr>
        <w:t xml:space="preserve">COMMITTEE OBSERVATIONS </w:t>
      </w:r>
    </w:p>
    <w:p w:rsidR="00450655" w:rsidRPr="0039000D" w:rsidRDefault="00450655" w:rsidP="0039000D">
      <w:pPr>
        <w:spacing w:after="0" w:line="240" w:lineRule="auto"/>
        <w:rPr>
          <w:rFonts w:ascii="Arial" w:hAnsi="Arial" w:cs="Arial"/>
          <w:sz w:val="20"/>
          <w:szCs w:val="20"/>
          <w:lang w:val="en-GB"/>
        </w:rPr>
      </w:pPr>
    </w:p>
    <w:p w:rsidR="00383008" w:rsidRPr="0039000D" w:rsidRDefault="00383008" w:rsidP="0039000D">
      <w:pPr>
        <w:spacing w:after="0" w:line="240" w:lineRule="auto"/>
        <w:rPr>
          <w:rFonts w:ascii="Arial" w:hAnsi="Arial" w:cs="Arial"/>
          <w:sz w:val="20"/>
          <w:szCs w:val="20"/>
          <w:lang w:val="en-GB"/>
        </w:rPr>
      </w:pPr>
      <w:r w:rsidRPr="0039000D">
        <w:rPr>
          <w:rFonts w:ascii="Arial" w:hAnsi="Arial" w:cs="Arial"/>
          <w:sz w:val="20"/>
          <w:szCs w:val="20"/>
          <w:lang w:val="en-GB"/>
        </w:rPr>
        <w:t>Members made the following observations during discussions:</w:t>
      </w:r>
    </w:p>
    <w:p w:rsidR="004F7897" w:rsidRPr="0039000D" w:rsidRDefault="004F7897" w:rsidP="0039000D">
      <w:pPr>
        <w:spacing w:after="0" w:line="240" w:lineRule="auto"/>
        <w:rPr>
          <w:rFonts w:ascii="Arial" w:hAnsi="Arial" w:cs="Arial"/>
          <w:sz w:val="20"/>
          <w:szCs w:val="20"/>
          <w:lang w:val="en-GB"/>
        </w:rPr>
      </w:pPr>
    </w:p>
    <w:p w:rsidR="00FD0C49" w:rsidRPr="0039000D" w:rsidRDefault="00E37497" w:rsidP="0039000D">
      <w:pPr>
        <w:spacing w:after="0" w:line="240" w:lineRule="auto"/>
        <w:ind w:left="720" w:hanging="720"/>
        <w:rPr>
          <w:rFonts w:ascii="Arial" w:hAnsi="Arial" w:cs="Arial"/>
          <w:iCs/>
          <w:sz w:val="20"/>
          <w:szCs w:val="20"/>
          <w:lang w:val="en-GB"/>
        </w:rPr>
      </w:pPr>
      <w:r w:rsidRPr="0039000D">
        <w:rPr>
          <w:rFonts w:ascii="Arial" w:hAnsi="Arial" w:cs="Arial"/>
          <w:sz w:val="20"/>
          <w:szCs w:val="20"/>
          <w:lang w:val="en-GB"/>
        </w:rPr>
        <w:t>4</w:t>
      </w:r>
      <w:r w:rsidR="009E6A5A" w:rsidRPr="0039000D">
        <w:rPr>
          <w:rFonts w:ascii="Arial" w:hAnsi="Arial" w:cs="Arial"/>
          <w:sz w:val="20"/>
          <w:szCs w:val="20"/>
          <w:lang w:val="en-GB"/>
        </w:rPr>
        <w:t>.</w:t>
      </w:r>
      <w:r w:rsidR="007900D9" w:rsidRPr="0039000D">
        <w:rPr>
          <w:rFonts w:ascii="Arial" w:hAnsi="Arial" w:cs="Arial"/>
          <w:sz w:val="20"/>
          <w:szCs w:val="20"/>
          <w:lang w:val="en-GB"/>
        </w:rPr>
        <w:t>1</w:t>
      </w:r>
      <w:r w:rsidR="007900D9" w:rsidRPr="0039000D">
        <w:rPr>
          <w:rFonts w:ascii="Arial" w:hAnsi="Arial" w:cs="Arial"/>
          <w:sz w:val="20"/>
          <w:szCs w:val="20"/>
          <w:lang w:val="en-GB"/>
        </w:rPr>
        <w:tab/>
      </w:r>
      <w:r w:rsidR="006C3100" w:rsidRPr="0039000D">
        <w:rPr>
          <w:rFonts w:ascii="Arial" w:hAnsi="Arial" w:cs="Arial"/>
          <w:iCs/>
          <w:sz w:val="20"/>
          <w:szCs w:val="20"/>
          <w:lang w:val="en-GB"/>
        </w:rPr>
        <w:t>As observed in the previous reports on the expenditure of the Department</w:t>
      </w:r>
      <w:r w:rsidR="00450655" w:rsidRPr="0039000D">
        <w:rPr>
          <w:rFonts w:ascii="Arial" w:hAnsi="Arial" w:cs="Arial"/>
          <w:iCs/>
          <w:sz w:val="20"/>
          <w:szCs w:val="20"/>
          <w:lang w:val="en-GB"/>
        </w:rPr>
        <w:t>,</w:t>
      </w:r>
      <w:r w:rsidR="006C3100" w:rsidRPr="0039000D">
        <w:rPr>
          <w:rFonts w:ascii="Arial" w:hAnsi="Arial" w:cs="Arial"/>
          <w:iCs/>
          <w:sz w:val="20"/>
          <w:szCs w:val="20"/>
          <w:lang w:val="en-GB"/>
        </w:rPr>
        <w:t xml:space="preserve"> it was noted that expenditures did not </w:t>
      </w:r>
      <w:r w:rsidR="007900D9" w:rsidRPr="0039000D">
        <w:rPr>
          <w:rFonts w:ascii="Arial" w:hAnsi="Arial" w:cs="Arial"/>
          <w:iCs/>
          <w:sz w:val="20"/>
          <w:szCs w:val="20"/>
          <w:lang w:val="en-GB"/>
        </w:rPr>
        <w:t>correlate</w:t>
      </w:r>
      <w:r w:rsidR="006C3100" w:rsidRPr="0039000D">
        <w:rPr>
          <w:rFonts w:ascii="Arial" w:hAnsi="Arial" w:cs="Arial"/>
          <w:iCs/>
          <w:sz w:val="20"/>
          <w:szCs w:val="20"/>
          <w:lang w:val="en-GB"/>
        </w:rPr>
        <w:t xml:space="preserve"> to actual service delivery. </w:t>
      </w:r>
      <w:r w:rsidR="00B3581A" w:rsidRPr="0039000D">
        <w:rPr>
          <w:rFonts w:ascii="Arial" w:hAnsi="Arial" w:cs="Arial"/>
          <w:iCs/>
          <w:sz w:val="20"/>
          <w:szCs w:val="20"/>
          <w:lang w:val="en-GB"/>
        </w:rPr>
        <w:t>Mangaung spent R180 million of its allocation of the Integrated Public Transport Network Grant, but it was still not clear what the funds were spent on; its buses that were purchased 2 years ago have not transported any passengers.</w:t>
      </w:r>
      <w:r w:rsidR="006C3100" w:rsidRPr="0039000D">
        <w:rPr>
          <w:rFonts w:ascii="Arial" w:hAnsi="Arial" w:cs="Arial"/>
          <w:iCs/>
          <w:sz w:val="20"/>
          <w:szCs w:val="20"/>
          <w:lang w:val="en-GB"/>
        </w:rPr>
        <w:t xml:space="preserve"> </w:t>
      </w:r>
      <w:r w:rsidR="00B3581A" w:rsidRPr="0039000D">
        <w:rPr>
          <w:rFonts w:ascii="Arial" w:hAnsi="Arial" w:cs="Arial"/>
          <w:iCs/>
          <w:sz w:val="20"/>
          <w:szCs w:val="20"/>
          <w:lang w:val="en-GB"/>
        </w:rPr>
        <w:t xml:space="preserve"> In addition to the comments about the IPTN implementation in Mangaung, an example was made of the expenditure on rail infrastructure while there was a reduction in passenger numbers and in the number of trains that were operating.</w:t>
      </w:r>
    </w:p>
    <w:p w:rsidR="00B3581A" w:rsidRPr="0039000D" w:rsidRDefault="00E37497" w:rsidP="0039000D">
      <w:pPr>
        <w:spacing w:after="0" w:line="240" w:lineRule="auto"/>
        <w:ind w:left="720" w:hanging="720"/>
        <w:rPr>
          <w:rFonts w:ascii="Arial" w:hAnsi="Arial" w:cs="Arial"/>
          <w:iCs/>
          <w:sz w:val="20"/>
          <w:szCs w:val="20"/>
          <w:lang w:val="en-GB"/>
        </w:rPr>
      </w:pPr>
      <w:r w:rsidRPr="0039000D">
        <w:rPr>
          <w:rFonts w:ascii="Arial" w:hAnsi="Arial" w:cs="Arial"/>
          <w:iCs/>
          <w:sz w:val="20"/>
          <w:szCs w:val="20"/>
          <w:lang w:val="en-GB"/>
        </w:rPr>
        <w:t>4</w:t>
      </w:r>
      <w:r w:rsidR="00FD0C49" w:rsidRPr="0039000D">
        <w:rPr>
          <w:rFonts w:ascii="Arial" w:hAnsi="Arial" w:cs="Arial"/>
          <w:iCs/>
          <w:sz w:val="20"/>
          <w:szCs w:val="20"/>
          <w:lang w:val="en-GB"/>
        </w:rPr>
        <w:t>.2</w:t>
      </w:r>
      <w:r w:rsidR="00FD0C49" w:rsidRPr="0039000D">
        <w:rPr>
          <w:rFonts w:ascii="Arial" w:hAnsi="Arial" w:cs="Arial"/>
          <w:iCs/>
          <w:sz w:val="20"/>
          <w:szCs w:val="20"/>
          <w:lang w:val="en-GB"/>
        </w:rPr>
        <w:tab/>
      </w:r>
      <w:r w:rsidR="007900D9" w:rsidRPr="0039000D">
        <w:rPr>
          <w:rFonts w:ascii="Arial" w:hAnsi="Arial" w:cs="Arial"/>
          <w:iCs/>
          <w:sz w:val="20"/>
          <w:szCs w:val="20"/>
          <w:lang w:val="en-GB"/>
        </w:rPr>
        <w:t xml:space="preserve">Members noted the low </w:t>
      </w:r>
      <w:r w:rsidR="006C3100" w:rsidRPr="0039000D">
        <w:rPr>
          <w:rFonts w:ascii="Arial" w:hAnsi="Arial" w:cs="Arial"/>
          <w:iCs/>
          <w:sz w:val="20"/>
          <w:szCs w:val="20"/>
          <w:lang w:val="en-GB"/>
        </w:rPr>
        <w:t xml:space="preserve">number </w:t>
      </w:r>
      <w:r w:rsidR="00B3581A" w:rsidRPr="0039000D">
        <w:rPr>
          <w:rFonts w:ascii="Arial" w:hAnsi="Arial" w:cs="Arial"/>
          <w:iCs/>
          <w:sz w:val="20"/>
          <w:szCs w:val="20"/>
          <w:lang w:val="en-GB"/>
        </w:rPr>
        <w:t xml:space="preserve">of taxis that were scrapped </w:t>
      </w:r>
      <w:r w:rsidR="007900D9" w:rsidRPr="0039000D">
        <w:rPr>
          <w:rFonts w:ascii="Arial" w:hAnsi="Arial" w:cs="Arial"/>
          <w:iCs/>
          <w:sz w:val="20"/>
          <w:szCs w:val="20"/>
          <w:lang w:val="en-GB"/>
        </w:rPr>
        <w:t>and</w:t>
      </w:r>
      <w:r w:rsidR="00B3581A" w:rsidRPr="0039000D">
        <w:rPr>
          <w:rFonts w:ascii="Arial" w:hAnsi="Arial" w:cs="Arial"/>
          <w:iCs/>
          <w:sz w:val="20"/>
          <w:szCs w:val="20"/>
          <w:lang w:val="en-GB"/>
        </w:rPr>
        <w:t xml:space="preserve"> asked the </w:t>
      </w:r>
      <w:r w:rsidR="002C6206" w:rsidRPr="0039000D">
        <w:rPr>
          <w:rFonts w:ascii="Arial" w:hAnsi="Arial" w:cs="Arial"/>
          <w:iCs/>
          <w:sz w:val="20"/>
          <w:szCs w:val="20"/>
          <w:lang w:val="en-GB"/>
        </w:rPr>
        <w:t>Department of</w:t>
      </w:r>
      <w:r w:rsidR="007900D9" w:rsidRPr="0039000D">
        <w:rPr>
          <w:rFonts w:ascii="Arial" w:hAnsi="Arial" w:cs="Arial"/>
          <w:iCs/>
          <w:sz w:val="20"/>
          <w:szCs w:val="20"/>
          <w:lang w:val="en-GB"/>
        </w:rPr>
        <w:t xml:space="preserve"> its plans to </w:t>
      </w:r>
      <w:r w:rsidR="00B3581A" w:rsidRPr="0039000D">
        <w:rPr>
          <w:rFonts w:ascii="Arial" w:hAnsi="Arial" w:cs="Arial"/>
          <w:iCs/>
          <w:sz w:val="20"/>
          <w:szCs w:val="20"/>
          <w:lang w:val="en-GB"/>
        </w:rPr>
        <w:t>increase the uptake</w:t>
      </w:r>
      <w:r w:rsidR="00C85976" w:rsidRPr="0039000D">
        <w:rPr>
          <w:rFonts w:ascii="Arial" w:hAnsi="Arial" w:cs="Arial"/>
          <w:iCs/>
          <w:sz w:val="20"/>
          <w:szCs w:val="20"/>
          <w:lang w:val="en-GB"/>
        </w:rPr>
        <w:t xml:space="preserve"> of the Revised Taxi Recapitalisation Programme</w:t>
      </w:r>
      <w:r w:rsidR="00B3581A" w:rsidRPr="0039000D">
        <w:rPr>
          <w:rFonts w:ascii="Arial" w:hAnsi="Arial" w:cs="Arial"/>
          <w:iCs/>
          <w:sz w:val="20"/>
          <w:szCs w:val="20"/>
          <w:lang w:val="en-GB"/>
        </w:rPr>
        <w:t>.  The Department was asked what progress it made regarding taxi subsidisation and whether a deadline would be set by when the taxi recapitalisation programme would come to an end.</w:t>
      </w:r>
    </w:p>
    <w:p w:rsidR="00B3581A" w:rsidRPr="0039000D" w:rsidRDefault="00E37497" w:rsidP="0039000D">
      <w:pPr>
        <w:spacing w:after="0" w:line="240" w:lineRule="auto"/>
        <w:ind w:left="720" w:hanging="660"/>
        <w:rPr>
          <w:rFonts w:ascii="Arial" w:hAnsi="Arial" w:cs="Arial"/>
          <w:iCs/>
          <w:sz w:val="20"/>
          <w:szCs w:val="20"/>
          <w:lang w:val="en-GB"/>
        </w:rPr>
      </w:pPr>
      <w:r w:rsidRPr="0039000D">
        <w:rPr>
          <w:rFonts w:ascii="Arial" w:hAnsi="Arial" w:cs="Arial"/>
          <w:iCs/>
          <w:sz w:val="20"/>
          <w:szCs w:val="20"/>
          <w:lang w:val="en-GB"/>
        </w:rPr>
        <w:t>4</w:t>
      </w:r>
      <w:r w:rsidR="00FD0C49" w:rsidRPr="0039000D">
        <w:rPr>
          <w:rFonts w:ascii="Arial" w:hAnsi="Arial" w:cs="Arial"/>
          <w:iCs/>
          <w:sz w:val="20"/>
          <w:szCs w:val="20"/>
          <w:lang w:val="en-GB"/>
        </w:rPr>
        <w:t>.3</w:t>
      </w:r>
      <w:r w:rsidR="00FD0C49" w:rsidRPr="0039000D">
        <w:rPr>
          <w:rFonts w:ascii="Arial" w:hAnsi="Arial" w:cs="Arial"/>
          <w:iCs/>
          <w:sz w:val="20"/>
          <w:szCs w:val="20"/>
          <w:lang w:val="en-GB"/>
        </w:rPr>
        <w:tab/>
        <w:t xml:space="preserve">The </w:t>
      </w:r>
      <w:r w:rsidR="00736CC1" w:rsidRPr="0039000D">
        <w:rPr>
          <w:rFonts w:ascii="Arial" w:hAnsi="Arial" w:cs="Arial"/>
          <w:iCs/>
          <w:sz w:val="20"/>
          <w:szCs w:val="20"/>
          <w:lang w:val="en-GB"/>
        </w:rPr>
        <w:t xml:space="preserve">lower than projected </w:t>
      </w:r>
      <w:r w:rsidR="00FD0C49" w:rsidRPr="0039000D">
        <w:rPr>
          <w:rFonts w:ascii="Arial" w:hAnsi="Arial" w:cs="Arial"/>
          <w:iCs/>
          <w:sz w:val="20"/>
          <w:szCs w:val="20"/>
          <w:lang w:val="en-GB"/>
        </w:rPr>
        <w:t>expenditure</w:t>
      </w:r>
      <w:r w:rsidR="00BC0B33" w:rsidRPr="0039000D">
        <w:rPr>
          <w:rFonts w:ascii="Arial" w:hAnsi="Arial" w:cs="Arial"/>
          <w:iCs/>
          <w:sz w:val="20"/>
          <w:szCs w:val="20"/>
          <w:lang w:val="en-GB"/>
        </w:rPr>
        <w:t xml:space="preserve"> in </w:t>
      </w:r>
      <w:r w:rsidR="00736CC1" w:rsidRPr="0039000D">
        <w:rPr>
          <w:rFonts w:ascii="Arial" w:hAnsi="Arial" w:cs="Arial"/>
          <w:iCs/>
          <w:sz w:val="20"/>
          <w:szCs w:val="20"/>
          <w:lang w:val="en-GB"/>
        </w:rPr>
        <w:t>G</w:t>
      </w:r>
      <w:r w:rsidR="00FD0C49" w:rsidRPr="0039000D">
        <w:rPr>
          <w:rFonts w:ascii="Arial" w:hAnsi="Arial" w:cs="Arial"/>
          <w:iCs/>
          <w:sz w:val="20"/>
          <w:szCs w:val="20"/>
          <w:lang w:val="en-GB"/>
        </w:rPr>
        <w:t>oods</w:t>
      </w:r>
      <w:r w:rsidR="00736CC1" w:rsidRPr="0039000D">
        <w:rPr>
          <w:rFonts w:ascii="Arial" w:hAnsi="Arial" w:cs="Arial"/>
          <w:iCs/>
          <w:sz w:val="20"/>
          <w:szCs w:val="20"/>
          <w:lang w:val="en-GB"/>
        </w:rPr>
        <w:t xml:space="preserve"> and S</w:t>
      </w:r>
      <w:r w:rsidR="00BC0B33" w:rsidRPr="0039000D">
        <w:rPr>
          <w:rFonts w:ascii="Arial" w:hAnsi="Arial" w:cs="Arial"/>
          <w:iCs/>
          <w:sz w:val="20"/>
          <w:szCs w:val="20"/>
          <w:lang w:val="en-GB"/>
        </w:rPr>
        <w:t xml:space="preserve">ervices </w:t>
      </w:r>
      <w:r w:rsidR="00736CC1" w:rsidRPr="0039000D">
        <w:rPr>
          <w:rFonts w:ascii="Arial" w:hAnsi="Arial" w:cs="Arial"/>
          <w:iCs/>
          <w:sz w:val="20"/>
          <w:szCs w:val="20"/>
          <w:lang w:val="en-GB"/>
        </w:rPr>
        <w:t xml:space="preserve">across programmes </w:t>
      </w:r>
      <w:r w:rsidR="00BC0B33" w:rsidRPr="0039000D">
        <w:rPr>
          <w:rFonts w:ascii="Arial" w:hAnsi="Arial" w:cs="Arial"/>
          <w:iCs/>
          <w:sz w:val="20"/>
          <w:szCs w:val="20"/>
          <w:lang w:val="en-GB"/>
        </w:rPr>
        <w:t xml:space="preserve">were noted </w:t>
      </w:r>
      <w:r w:rsidR="00FD0C49" w:rsidRPr="0039000D">
        <w:rPr>
          <w:rFonts w:ascii="Arial" w:hAnsi="Arial" w:cs="Arial"/>
          <w:iCs/>
          <w:sz w:val="20"/>
          <w:szCs w:val="20"/>
          <w:lang w:val="en-GB"/>
        </w:rPr>
        <w:t xml:space="preserve">as well as the low </w:t>
      </w:r>
      <w:r w:rsidR="00184C87" w:rsidRPr="0039000D">
        <w:rPr>
          <w:rFonts w:ascii="Arial" w:hAnsi="Arial" w:cs="Arial"/>
          <w:iCs/>
          <w:sz w:val="20"/>
          <w:szCs w:val="20"/>
          <w:lang w:val="en-GB"/>
        </w:rPr>
        <w:t>n</w:t>
      </w:r>
      <w:r w:rsidR="00B3581A" w:rsidRPr="0039000D">
        <w:rPr>
          <w:rFonts w:ascii="Arial" w:hAnsi="Arial" w:cs="Arial"/>
          <w:iCs/>
          <w:sz w:val="20"/>
          <w:szCs w:val="20"/>
          <w:lang w:val="en-GB"/>
        </w:rPr>
        <w:t xml:space="preserve">umber of </w:t>
      </w:r>
      <w:r w:rsidR="002D718E" w:rsidRPr="0039000D">
        <w:rPr>
          <w:rFonts w:ascii="Arial" w:hAnsi="Arial" w:cs="Arial"/>
          <w:iCs/>
          <w:sz w:val="20"/>
          <w:szCs w:val="20"/>
          <w:lang w:val="en-GB"/>
        </w:rPr>
        <w:t>persons</w:t>
      </w:r>
      <w:r w:rsidR="00B3581A" w:rsidRPr="0039000D">
        <w:rPr>
          <w:rFonts w:ascii="Arial" w:hAnsi="Arial" w:cs="Arial"/>
          <w:iCs/>
          <w:sz w:val="20"/>
          <w:szCs w:val="20"/>
          <w:lang w:val="en-GB"/>
        </w:rPr>
        <w:t xml:space="preserve"> with disabilities as beneficiaries of bursaries.</w:t>
      </w:r>
    </w:p>
    <w:p w:rsidR="00C85976" w:rsidRPr="0039000D" w:rsidRDefault="00C85976" w:rsidP="0039000D">
      <w:pPr>
        <w:spacing w:after="0" w:line="240" w:lineRule="auto"/>
        <w:ind w:left="720" w:hanging="660"/>
        <w:rPr>
          <w:rFonts w:ascii="Arial" w:hAnsi="Arial" w:cs="Arial"/>
          <w:iCs/>
          <w:sz w:val="20"/>
          <w:szCs w:val="20"/>
          <w:lang w:val="en-GB"/>
        </w:rPr>
      </w:pPr>
      <w:r w:rsidRPr="0039000D">
        <w:rPr>
          <w:rFonts w:ascii="Arial" w:hAnsi="Arial" w:cs="Arial"/>
          <w:iCs/>
          <w:sz w:val="20"/>
          <w:szCs w:val="20"/>
          <w:lang w:val="en-GB"/>
        </w:rPr>
        <w:t>4.4</w:t>
      </w:r>
      <w:r w:rsidRPr="0039000D">
        <w:rPr>
          <w:rFonts w:ascii="Arial" w:hAnsi="Arial" w:cs="Arial"/>
          <w:iCs/>
          <w:sz w:val="20"/>
          <w:szCs w:val="20"/>
          <w:lang w:val="en-GB"/>
        </w:rPr>
        <w:tab/>
        <w:t>As indicated above per quarter, members also noted the specific reports required from National Treasury regarding: a) persistent slow filling of vacancies and the impact this had on budget expenditure as well as the ability to meet set targets, b) monitoring of public transport grant allocations, and c) a reviewed and revised procurement plan to improve spending.</w:t>
      </w:r>
    </w:p>
    <w:p w:rsidR="00E37497" w:rsidRPr="0039000D" w:rsidRDefault="00E37497" w:rsidP="0039000D">
      <w:pPr>
        <w:spacing w:after="0" w:line="240" w:lineRule="auto"/>
        <w:ind w:left="60"/>
        <w:rPr>
          <w:rFonts w:ascii="Arial" w:hAnsi="Arial" w:cs="Arial"/>
          <w:iCs/>
          <w:sz w:val="20"/>
          <w:szCs w:val="20"/>
          <w:lang w:val="en-GB"/>
        </w:rPr>
      </w:pPr>
    </w:p>
    <w:p w:rsidR="00C015B7" w:rsidRPr="0039000D" w:rsidRDefault="00C015B7" w:rsidP="0039000D">
      <w:pPr>
        <w:pStyle w:val="ListParagraph"/>
        <w:numPr>
          <w:ilvl w:val="0"/>
          <w:numId w:val="32"/>
        </w:numPr>
        <w:spacing w:after="0" w:line="240" w:lineRule="auto"/>
        <w:ind w:hanging="720"/>
        <w:rPr>
          <w:rFonts w:ascii="Arial" w:hAnsi="Arial" w:cs="Arial"/>
          <w:b/>
          <w:color w:val="000000" w:themeColor="text1"/>
          <w:sz w:val="20"/>
          <w:szCs w:val="20"/>
          <w:lang w:val="en-GB"/>
        </w:rPr>
      </w:pPr>
      <w:r w:rsidRPr="0039000D">
        <w:rPr>
          <w:rFonts w:ascii="Arial" w:hAnsi="Arial" w:cs="Arial"/>
          <w:b/>
          <w:color w:val="000000" w:themeColor="text1"/>
          <w:sz w:val="20"/>
          <w:szCs w:val="20"/>
          <w:lang w:val="en-GB"/>
        </w:rPr>
        <w:t>COMMITTEE RECOMMENDATIONS</w:t>
      </w:r>
    </w:p>
    <w:p w:rsidR="00C015B7" w:rsidRPr="0039000D" w:rsidRDefault="00C015B7" w:rsidP="0039000D">
      <w:pPr>
        <w:spacing w:after="0" w:line="240" w:lineRule="auto"/>
        <w:ind w:left="720" w:hanging="720"/>
        <w:rPr>
          <w:rFonts w:ascii="Arial" w:hAnsi="Arial" w:cs="Arial"/>
          <w:color w:val="000000" w:themeColor="text1"/>
          <w:sz w:val="20"/>
          <w:szCs w:val="20"/>
          <w:lang w:val="en-GB"/>
        </w:rPr>
      </w:pPr>
    </w:p>
    <w:p w:rsidR="00C015B7" w:rsidRPr="0039000D" w:rsidRDefault="00C015B7" w:rsidP="0039000D">
      <w:pPr>
        <w:spacing w:after="0" w:line="240" w:lineRule="auto"/>
        <w:ind w:left="720" w:hanging="720"/>
        <w:rPr>
          <w:rFonts w:ascii="Arial" w:hAnsi="Arial" w:cs="Arial"/>
          <w:color w:val="000000" w:themeColor="text1"/>
          <w:sz w:val="20"/>
          <w:szCs w:val="20"/>
          <w:lang w:val="en-GB"/>
        </w:rPr>
      </w:pPr>
      <w:r w:rsidRPr="0039000D">
        <w:rPr>
          <w:rFonts w:ascii="Arial" w:hAnsi="Arial" w:cs="Arial"/>
          <w:color w:val="000000" w:themeColor="text1"/>
          <w:sz w:val="20"/>
          <w:szCs w:val="20"/>
          <w:lang w:val="en-GB"/>
        </w:rPr>
        <w:t>The Committee recommends that the Minister ensure that:</w:t>
      </w:r>
    </w:p>
    <w:p w:rsidR="00E37497" w:rsidRPr="0039000D" w:rsidRDefault="00E37497" w:rsidP="0039000D">
      <w:pPr>
        <w:spacing w:after="0" w:line="240" w:lineRule="auto"/>
        <w:rPr>
          <w:rFonts w:ascii="Arial" w:hAnsi="Arial" w:cs="Arial"/>
          <w:iCs/>
          <w:sz w:val="20"/>
          <w:szCs w:val="20"/>
          <w:lang w:val="en-GB"/>
        </w:rPr>
      </w:pPr>
    </w:p>
    <w:p w:rsidR="00E37497" w:rsidRPr="0039000D" w:rsidRDefault="00C015B7" w:rsidP="0039000D">
      <w:pPr>
        <w:spacing w:after="0" w:line="240" w:lineRule="auto"/>
        <w:ind w:left="720" w:hanging="720"/>
        <w:rPr>
          <w:rFonts w:ascii="Arial" w:hAnsi="Arial" w:cs="Arial"/>
          <w:iCs/>
          <w:sz w:val="20"/>
          <w:szCs w:val="20"/>
          <w:lang w:val="en-GB"/>
        </w:rPr>
      </w:pPr>
      <w:r w:rsidRPr="0039000D">
        <w:rPr>
          <w:rFonts w:ascii="Arial" w:hAnsi="Arial" w:cs="Arial"/>
          <w:iCs/>
          <w:sz w:val="20"/>
          <w:szCs w:val="20"/>
          <w:lang w:val="en-GB"/>
        </w:rPr>
        <w:t>5.1</w:t>
      </w:r>
      <w:r w:rsidRPr="0039000D">
        <w:rPr>
          <w:rFonts w:ascii="Arial" w:hAnsi="Arial" w:cs="Arial"/>
          <w:iCs/>
          <w:sz w:val="20"/>
          <w:szCs w:val="20"/>
          <w:lang w:val="en-GB"/>
        </w:rPr>
        <w:tab/>
      </w:r>
      <w:r w:rsidR="00E37497" w:rsidRPr="0039000D">
        <w:rPr>
          <w:rFonts w:ascii="Arial" w:hAnsi="Arial" w:cs="Arial"/>
          <w:iCs/>
          <w:sz w:val="20"/>
          <w:szCs w:val="20"/>
          <w:lang w:val="en-GB"/>
        </w:rPr>
        <w:t>The Department ensure improved alignment of its programmes and targets to service delivery</w:t>
      </w:r>
      <w:r w:rsidR="00FC4F15" w:rsidRPr="0039000D">
        <w:rPr>
          <w:rFonts w:ascii="Arial" w:hAnsi="Arial" w:cs="Arial"/>
          <w:iCs/>
          <w:sz w:val="20"/>
          <w:szCs w:val="20"/>
          <w:lang w:val="en-GB"/>
        </w:rPr>
        <w:t>.</w:t>
      </w:r>
    </w:p>
    <w:p w:rsidR="00A55441" w:rsidRPr="0039000D" w:rsidRDefault="00A55441" w:rsidP="0039000D">
      <w:pPr>
        <w:spacing w:after="0" w:line="240" w:lineRule="auto"/>
        <w:ind w:left="720" w:hanging="720"/>
        <w:rPr>
          <w:rFonts w:ascii="Arial" w:hAnsi="Arial" w:cs="Arial"/>
          <w:iCs/>
          <w:sz w:val="20"/>
          <w:szCs w:val="20"/>
          <w:lang w:val="en-GB"/>
        </w:rPr>
      </w:pPr>
      <w:r w:rsidRPr="0039000D">
        <w:rPr>
          <w:rFonts w:ascii="Arial" w:hAnsi="Arial" w:cs="Arial"/>
          <w:iCs/>
          <w:sz w:val="20"/>
          <w:szCs w:val="20"/>
          <w:lang w:val="en-GB"/>
        </w:rPr>
        <w:t>5.2</w:t>
      </w:r>
      <w:r w:rsidRPr="0039000D">
        <w:rPr>
          <w:rFonts w:ascii="Arial" w:hAnsi="Arial" w:cs="Arial"/>
          <w:iCs/>
          <w:sz w:val="20"/>
          <w:szCs w:val="20"/>
          <w:lang w:val="en-GB"/>
        </w:rPr>
        <w:tab/>
        <w:t xml:space="preserve">The Department provides a clear plan to </w:t>
      </w:r>
      <w:r w:rsidR="001B441B" w:rsidRPr="0039000D">
        <w:rPr>
          <w:rFonts w:ascii="Arial" w:hAnsi="Arial" w:cs="Arial"/>
          <w:iCs/>
          <w:sz w:val="20"/>
          <w:szCs w:val="20"/>
          <w:lang w:val="en-GB"/>
        </w:rPr>
        <w:t>in</w:t>
      </w:r>
      <w:r w:rsidRPr="0039000D">
        <w:rPr>
          <w:rFonts w:ascii="Arial" w:hAnsi="Arial" w:cs="Arial"/>
          <w:iCs/>
          <w:sz w:val="20"/>
          <w:szCs w:val="20"/>
          <w:lang w:val="en-GB"/>
        </w:rPr>
        <w:t>crease the uptake in the scrapping of taxis in its report for the first quarter of the 2022/23 financial year.</w:t>
      </w:r>
    </w:p>
    <w:p w:rsidR="00C85976" w:rsidRPr="0039000D" w:rsidRDefault="00C85976" w:rsidP="0039000D">
      <w:pPr>
        <w:spacing w:after="0" w:line="240" w:lineRule="auto"/>
        <w:ind w:left="720" w:hanging="720"/>
        <w:rPr>
          <w:rFonts w:ascii="Arial" w:hAnsi="Arial" w:cs="Arial"/>
          <w:iCs/>
          <w:sz w:val="20"/>
          <w:szCs w:val="20"/>
          <w:lang w:val="en-GB"/>
        </w:rPr>
      </w:pPr>
      <w:r w:rsidRPr="0039000D">
        <w:rPr>
          <w:rFonts w:ascii="Arial" w:hAnsi="Arial" w:cs="Arial"/>
          <w:iCs/>
          <w:sz w:val="20"/>
          <w:szCs w:val="20"/>
          <w:lang w:val="en-GB"/>
        </w:rPr>
        <w:t>5.3</w:t>
      </w:r>
      <w:r w:rsidRPr="0039000D">
        <w:rPr>
          <w:rFonts w:ascii="Arial" w:hAnsi="Arial" w:cs="Arial"/>
          <w:iCs/>
          <w:sz w:val="20"/>
          <w:szCs w:val="20"/>
          <w:lang w:val="en-GB"/>
        </w:rPr>
        <w:tab/>
      </w:r>
      <w:r w:rsidR="00D57F13" w:rsidRPr="0039000D">
        <w:rPr>
          <w:rFonts w:ascii="Arial" w:hAnsi="Arial" w:cs="Arial"/>
          <w:iCs/>
          <w:sz w:val="20"/>
          <w:szCs w:val="20"/>
          <w:lang w:val="en-GB"/>
        </w:rPr>
        <w:t xml:space="preserve">The Department submits quarterly reports on its compliance to the reporting requests from National Treasury regarding: a) filling of vacancies </w:t>
      </w:r>
      <w:r w:rsidR="000172B3" w:rsidRPr="0039000D">
        <w:rPr>
          <w:rFonts w:ascii="Arial" w:hAnsi="Arial" w:cs="Arial"/>
          <w:iCs/>
          <w:sz w:val="20"/>
          <w:szCs w:val="20"/>
          <w:lang w:val="en-GB"/>
        </w:rPr>
        <w:t>to reduce</w:t>
      </w:r>
      <w:r w:rsidR="00D57F13" w:rsidRPr="0039000D">
        <w:rPr>
          <w:rFonts w:ascii="Arial" w:hAnsi="Arial" w:cs="Arial"/>
          <w:iCs/>
          <w:sz w:val="20"/>
          <w:szCs w:val="20"/>
          <w:lang w:val="en-GB"/>
        </w:rPr>
        <w:t xml:space="preserve"> the impact this </w:t>
      </w:r>
      <w:r w:rsidR="000172B3" w:rsidRPr="0039000D">
        <w:rPr>
          <w:rFonts w:ascii="Arial" w:hAnsi="Arial" w:cs="Arial"/>
          <w:iCs/>
          <w:sz w:val="20"/>
          <w:szCs w:val="20"/>
          <w:lang w:val="en-GB"/>
        </w:rPr>
        <w:t>has</w:t>
      </w:r>
      <w:r w:rsidR="00D57F13" w:rsidRPr="0039000D">
        <w:rPr>
          <w:rFonts w:ascii="Arial" w:hAnsi="Arial" w:cs="Arial"/>
          <w:iCs/>
          <w:sz w:val="20"/>
          <w:szCs w:val="20"/>
          <w:lang w:val="en-GB"/>
        </w:rPr>
        <w:t xml:space="preserve"> on expenditure as well as the ability to meet set targets, b) </w:t>
      </w:r>
      <w:r w:rsidR="00224AFE" w:rsidRPr="0039000D">
        <w:rPr>
          <w:rFonts w:ascii="Arial" w:hAnsi="Arial" w:cs="Arial"/>
          <w:iCs/>
          <w:sz w:val="20"/>
          <w:szCs w:val="20"/>
          <w:lang w:val="en-GB"/>
        </w:rPr>
        <w:t xml:space="preserve">improved </w:t>
      </w:r>
      <w:r w:rsidR="00D57F13" w:rsidRPr="0039000D">
        <w:rPr>
          <w:rFonts w:ascii="Arial" w:hAnsi="Arial" w:cs="Arial"/>
          <w:iCs/>
          <w:sz w:val="20"/>
          <w:szCs w:val="20"/>
          <w:lang w:val="en-GB"/>
        </w:rPr>
        <w:t>monitoring of public transport grant allocations, and c) a reviewed and revised procurement plan to improve spending.</w:t>
      </w:r>
    </w:p>
    <w:p w:rsidR="00A55441" w:rsidRPr="0039000D" w:rsidRDefault="00A55441" w:rsidP="0039000D">
      <w:pPr>
        <w:spacing w:after="0" w:line="240" w:lineRule="auto"/>
        <w:ind w:left="720" w:hanging="720"/>
        <w:rPr>
          <w:rFonts w:ascii="Arial" w:hAnsi="Arial" w:cs="Arial"/>
          <w:iCs/>
          <w:sz w:val="20"/>
          <w:szCs w:val="20"/>
          <w:lang w:val="en-GB"/>
        </w:rPr>
      </w:pPr>
    </w:p>
    <w:p w:rsidR="00E37497" w:rsidRPr="0039000D" w:rsidRDefault="00C6161A" w:rsidP="0039000D">
      <w:pPr>
        <w:spacing w:after="0" w:line="240" w:lineRule="auto"/>
        <w:ind w:left="60"/>
        <w:rPr>
          <w:rFonts w:ascii="Arial" w:hAnsi="Arial" w:cs="Arial"/>
          <w:iCs/>
          <w:sz w:val="20"/>
          <w:szCs w:val="20"/>
          <w:lang w:val="en-GB"/>
        </w:rPr>
      </w:pPr>
      <w:r w:rsidRPr="0039000D">
        <w:rPr>
          <w:rFonts w:ascii="Arial" w:hAnsi="Arial" w:cs="Arial"/>
          <w:iCs/>
          <w:sz w:val="20"/>
          <w:szCs w:val="20"/>
          <w:lang w:val="en-GB"/>
        </w:rPr>
        <w:t>Report to be considered.</w:t>
      </w:r>
    </w:p>
    <w:p w:rsidR="00E37497" w:rsidRPr="0039000D" w:rsidRDefault="00E37497" w:rsidP="0039000D">
      <w:pPr>
        <w:spacing w:after="0" w:line="240" w:lineRule="auto"/>
        <w:ind w:left="60"/>
        <w:rPr>
          <w:rFonts w:ascii="Arial" w:hAnsi="Arial" w:cs="Arial"/>
          <w:iCs/>
          <w:sz w:val="20"/>
          <w:szCs w:val="20"/>
          <w:lang w:val="en-GB"/>
        </w:rPr>
      </w:pPr>
    </w:p>
    <w:p w:rsidR="00E37497" w:rsidRPr="0039000D" w:rsidRDefault="00E37497" w:rsidP="0039000D">
      <w:pPr>
        <w:spacing w:after="0" w:line="240" w:lineRule="auto"/>
        <w:ind w:left="60"/>
        <w:rPr>
          <w:rFonts w:ascii="Arial" w:hAnsi="Arial" w:cs="Arial"/>
          <w:iCs/>
          <w:sz w:val="20"/>
          <w:szCs w:val="20"/>
          <w:lang w:val="en-GB"/>
        </w:rPr>
      </w:pPr>
    </w:p>
    <w:p w:rsidR="00E37497" w:rsidRPr="0039000D" w:rsidRDefault="00E37497" w:rsidP="0039000D">
      <w:pPr>
        <w:spacing w:after="0" w:line="240" w:lineRule="auto"/>
        <w:ind w:left="60"/>
        <w:rPr>
          <w:rFonts w:ascii="Arial" w:hAnsi="Arial" w:cs="Arial"/>
          <w:iCs/>
          <w:sz w:val="20"/>
          <w:szCs w:val="20"/>
          <w:lang w:val="en-GB"/>
        </w:rPr>
      </w:pPr>
    </w:p>
    <w:p w:rsidR="00E37497" w:rsidRPr="0039000D" w:rsidRDefault="00E37497" w:rsidP="0039000D">
      <w:pPr>
        <w:spacing w:after="0" w:line="240" w:lineRule="auto"/>
        <w:ind w:left="60"/>
        <w:rPr>
          <w:rFonts w:ascii="Arial" w:hAnsi="Arial" w:cs="Arial"/>
          <w:iCs/>
          <w:sz w:val="20"/>
          <w:szCs w:val="20"/>
          <w:lang w:val="en-GB"/>
        </w:rPr>
      </w:pPr>
    </w:p>
    <w:sectPr w:rsidR="00E37497" w:rsidRPr="0039000D" w:rsidSect="00F6780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445" w:rsidRDefault="00C40445" w:rsidP="00383008">
      <w:pPr>
        <w:spacing w:after="0" w:line="240" w:lineRule="auto"/>
      </w:pPr>
      <w:r>
        <w:separator/>
      </w:r>
    </w:p>
  </w:endnote>
  <w:endnote w:type="continuationSeparator" w:id="0">
    <w:p w:rsidR="00C40445" w:rsidRDefault="00C40445" w:rsidP="00383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445" w:rsidRDefault="00C40445" w:rsidP="00383008">
      <w:pPr>
        <w:spacing w:after="0" w:line="240" w:lineRule="auto"/>
      </w:pPr>
      <w:r>
        <w:separator/>
      </w:r>
    </w:p>
  </w:footnote>
  <w:footnote w:type="continuationSeparator" w:id="0">
    <w:p w:rsidR="00C40445" w:rsidRDefault="00C40445" w:rsidP="00383008">
      <w:pPr>
        <w:spacing w:after="0" w:line="240" w:lineRule="auto"/>
      </w:pPr>
      <w:r>
        <w:continuationSeparator/>
      </w:r>
    </w:p>
  </w:footnote>
  <w:footnote w:id="1">
    <w:p w:rsidR="006722E6" w:rsidRPr="007868F0" w:rsidRDefault="006722E6" w:rsidP="006722E6">
      <w:pPr>
        <w:pStyle w:val="FootnoteText"/>
        <w:spacing w:line="280" w:lineRule="exact"/>
        <w:rPr>
          <w:sz w:val="18"/>
          <w:szCs w:val="18"/>
          <w:lang w:val="en-US"/>
        </w:rPr>
      </w:pPr>
      <w:r w:rsidRPr="007868F0">
        <w:rPr>
          <w:rStyle w:val="FootnoteReference"/>
          <w:sz w:val="18"/>
          <w:szCs w:val="18"/>
        </w:rPr>
        <w:footnoteRef/>
      </w:r>
      <w:r w:rsidRPr="007868F0">
        <w:rPr>
          <w:sz w:val="18"/>
          <w:szCs w:val="18"/>
        </w:rPr>
        <w:t xml:space="preserve"> </w:t>
      </w:r>
      <w:r>
        <w:rPr>
          <w:sz w:val="18"/>
          <w:szCs w:val="18"/>
        </w:rPr>
        <w:t>National Treasury (2021a), p. 139.</w:t>
      </w:r>
    </w:p>
  </w:footnote>
  <w:footnote w:id="2">
    <w:p w:rsidR="006722E6" w:rsidRPr="00764E4F" w:rsidRDefault="006722E6" w:rsidP="006722E6">
      <w:pPr>
        <w:pStyle w:val="FootnoteText"/>
        <w:spacing w:line="280" w:lineRule="exact"/>
        <w:rPr>
          <w:sz w:val="18"/>
          <w:szCs w:val="18"/>
          <w:lang w:val="en-US"/>
        </w:rPr>
      </w:pPr>
      <w:r w:rsidRPr="00764E4F">
        <w:rPr>
          <w:rStyle w:val="FootnoteReference"/>
          <w:sz w:val="18"/>
          <w:szCs w:val="18"/>
        </w:rPr>
        <w:footnoteRef/>
      </w:r>
      <w:r w:rsidRPr="00764E4F">
        <w:rPr>
          <w:sz w:val="18"/>
          <w:szCs w:val="18"/>
        </w:rPr>
        <w:t xml:space="preserve"> </w:t>
      </w:r>
      <w:r w:rsidR="00B51B64">
        <w:rPr>
          <w:sz w:val="18"/>
          <w:szCs w:val="18"/>
        </w:rPr>
        <w:t>National Treasury (2021a),</w:t>
      </w:r>
      <w:r>
        <w:rPr>
          <w:sz w:val="18"/>
          <w:szCs w:val="18"/>
        </w:rPr>
        <w:t xml:space="preserve"> p. 141.</w:t>
      </w:r>
    </w:p>
  </w:footnote>
  <w:footnote w:id="3">
    <w:p w:rsidR="006722E6" w:rsidRPr="00764E4F" w:rsidRDefault="006722E6" w:rsidP="006722E6">
      <w:pPr>
        <w:pStyle w:val="FootnoteText"/>
        <w:spacing w:line="280" w:lineRule="exact"/>
        <w:rPr>
          <w:sz w:val="18"/>
          <w:szCs w:val="18"/>
          <w:lang w:val="en-US"/>
        </w:rPr>
      </w:pPr>
      <w:r w:rsidRPr="00764E4F">
        <w:rPr>
          <w:rStyle w:val="FootnoteReference"/>
          <w:sz w:val="18"/>
          <w:szCs w:val="18"/>
        </w:rPr>
        <w:footnoteRef/>
      </w:r>
      <w:r w:rsidRPr="00764E4F">
        <w:rPr>
          <w:sz w:val="18"/>
          <w:szCs w:val="18"/>
        </w:rPr>
        <w:t xml:space="preserve"> </w:t>
      </w:r>
      <w:r>
        <w:rPr>
          <w:sz w:val="18"/>
          <w:szCs w:val="18"/>
        </w:rPr>
        <w:t>Ibid.</w:t>
      </w:r>
    </w:p>
  </w:footnote>
  <w:footnote w:id="4">
    <w:p w:rsidR="006722E6" w:rsidRPr="00836105" w:rsidRDefault="006722E6" w:rsidP="006722E6">
      <w:pPr>
        <w:pStyle w:val="FootnoteText"/>
        <w:spacing w:line="280" w:lineRule="exact"/>
        <w:rPr>
          <w:sz w:val="18"/>
          <w:szCs w:val="18"/>
          <w:lang w:val="en-US"/>
        </w:rPr>
      </w:pPr>
      <w:r w:rsidRPr="00836105">
        <w:rPr>
          <w:rStyle w:val="FootnoteReference"/>
          <w:sz w:val="18"/>
          <w:szCs w:val="18"/>
        </w:rPr>
        <w:footnoteRef/>
      </w:r>
      <w:r w:rsidRPr="00836105">
        <w:rPr>
          <w:sz w:val="18"/>
          <w:szCs w:val="18"/>
        </w:rPr>
        <w:t xml:space="preserve"> </w:t>
      </w:r>
      <w:r w:rsidR="00AB326A">
        <w:rPr>
          <w:sz w:val="18"/>
          <w:szCs w:val="18"/>
        </w:rPr>
        <w:t>National Treasury (2021a)</w:t>
      </w:r>
      <w:r>
        <w:rPr>
          <w:sz w:val="18"/>
          <w:szCs w:val="18"/>
        </w:rPr>
        <w:t>, pp. 139-140.</w:t>
      </w:r>
    </w:p>
  </w:footnote>
  <w:footnote w:id="5">
    <w:p w:rsidR="006722E6" w:rsidRPr="00B61680" w:rsidRDefault="006722E6" w:rsidP="006722E6">
      <w:pPr>
        <w:pStyle w:val="FootnoteText"/>
        <w:spacing w:line="280" w:lineRule="exact"/>
        <w:rPr>
          <w:sz w:val="18"/>
          <w:szCs w:val="18"/>
          <w:lang w:val="en-US"/>
        </w:rPr>
      </w:pPr>
      <w:r w:rsidRPr="00B61680">
        <w:rPr>
          <w:rStyle w:val="FootnoteReference"/>
          <w:sz w:val="18"/>
          <w:szCs w:val="18"/>
        </w:rPr>
        <w:footnoteRef/>
      </w:r>
      <w:r w:rsidRPr="00B61680">
        <w:rPr>
          <w:sz w:val="18"/>
          <w:szCs w:val="18"/>
        </w:rPr>
        <w:t xml:space="preserve"> </w:t>
      </w:r>
      <w:r>
        <w:rPr>
          <w:sz w:val="18"/>
          <w:szCs w:val="18"/>
        </w:rPr>
        <w:t>Ibid, p. 140.</w:t>
      </w:r>
    </w:p>
  </w:footnote>
  <w:footnote w:id="6">
    <w:p w:rsidR="006722E6" w:rsidRPr="001C359C" w:rsidRDefault="006722E6" w:rsidP="006722E6">
      <w:pPr>
        <w:pStyle w:val="FootnoteText"/>
        <w:spacing w:line="280" w:lineRule="exact"/>
        <w:rPr>
          <w:sz w:val="18"/>
          <w:szCs w:val="18"/>
          <w:lang w:val="en-US"/>
        </w:rPr>
      </w:pPr>
      <w:r w:rsidRPr="001C359C">
        <w:rPr>
          <w:rStyle w:val="FootnoteReference"/>
          <w:sz w:val="18"/>
          <w:szCs w:val="18"/>
        </w:rPr>
        <w:footnoteRef/>
      </w:r>
      <w:r w:rsidRPr="001C359C">
        <w:rPr>
          <w:sz w:val="18"/>
          <w:szCs w:val="18"/>
        </w:rPr>
        <w:t xml:space="preserve"> </w:t>
      </w:r>
      <w:r w:rsidR="00AB326A">
        <w:rPr>
          <w:sz w:val="18"/>
          <w:szCs w:val="18"/>
        </w:rPr>
        <w:t>National Treasury (2021a), p. 140.</w:t>
      </w:r>
      <w:r>
        <w:rPr>
          <w:sz w:val="18"/>
          <w:szCs w:val="18"/>
        </w:rPr>
        <w:t>.</w:t>
      </w:r>
    </w:p>
  </w:footnote>
  <w:footnote w:id="7">
    <w:p w:rsidR="006722E6" w:rsidRPr="002C7399" w:rsidRDefault="006722E6" w:rsidP="006722E6">
      <w:pPr>
        <w:pStyle w:val="FootnoteText"/>
        <w:spacing w:line="280" w:lineRule="exact"/>
        <w:rPr>
          <w:sz w:val="18"/>
          <w:szCs w:val="18"/>
          <w:lang w:val="en-US"/>
        </w:rPr>
      </w:pPr>
      <w:r w:rsidRPr="002C7399">
        <w:rPr>
          <w:rStyle w:val="FootnoteReference"/>
          <w:sz w:val="18"/>
          <w:szCs w:val="18"/>
        </w:rPr>
        <w:footnoteRef/>
      </w:r>
      <w:r w:rsidRPr="002C7399">
        <w:rPr>
          <w:sz w:val="18"/>
          <w:szCs w:val="18"/>
        </w:rPr>
        <w:t xml:space="preserve"> </w:t>
      </w:r>
      <w:r w:rsidR="00AB326A">
        <w:rPr>
          <w:sz w:val="18"/>
          <w:szCs w:val="18"/>
        </w:rPr>
        <w:t>Ibid</w:t>
      </w:r>
      <w:r>
        <w:rPr>
          <w:sz w:val="18"/>
          <w:szCs w:val="18"/>
        </w:rPr>
        <w:t>.</w:t>
      </w:r>
    </w:p>
  </w:footnote>
  <w:footnote w:id="8">
    <w:p w:rsidR="006722E6" w:rsidRPr="000F282A" w:rsidRDefault="006722E6" w:rsidP="006722E6">
      <w:pPr>
        <w:pStyle w:val="FootnoteText"/>
        <w:spacing w:line="280" w:lineRule="exact"/>
        <w:rPr>
          <w:sz w:val="18"/>
          <w:szCs w:val="18"/>
          <w:lang w:val="en-US"/>
        </w:rPr>
      </w:pPr>
      <w:r w:rsidRPr="000F282A">
        <w:rPr>
          <w:rStyle w:val="FootnoteReference"/>
          <w:sz w:val="18"/>
          <w:szCs w:val="18"/>
        </w:rPr>
        <w:footnoteRef/>
      </w:r>
      <w:r w:rsidRPr="000F282A">
        <w:rPr>
          <w:sz w:val="18"/>
          <w:szCs w:val="18"/>
        </w:rPr>
        <w:t xml:space="preserve"> </w:t>
      </w:r>
      <w:r w:rsidR="003E0398">
        <w:rPr>
          <w:sz w:val="18"/>
          <w:szCs w:val="18"/>
        </w:rPr>
        <w:t>National Treasury (2021a), p. 140</w:t>
      </w:r>
      <w:r>
        <w:rPr>
          <w:sz w:val="18"/>
          <w:szCs w:val="18"/>
        </w:rPr>
        <w:t>.</w:t>
      </w:r>
    </w:p>
  </w:footnote>
  <w:footnote w:id="9">
    <w:p w:rsidR="006722E6" w:rsidRPr="00374747" w:rsidRDefault="006722E6" w:rsidP="006722E6">
      <w:pPr>
        <w:pStyle w:val="FootnoteText"/>
        <w:spacing w:line="280" w:lineRule="exact"/>
        <w:rPr>
          <w:sz w:val="18"/>
          <w:szCs w:val="18"/>
          <w:lang w:val="en-US"/>
        </w:rPr>
      </w:pPr>
      <w:r w:rsidRPr="00374747">
        <w:rPr>
          <w:rStyle w:val="FootnoteReference"/>
          <w:sz w:val="18"/>
          <w:szCs w:val="18"/>
        </w:rPr>
        <w:footnoteRef/>
      </w:r>
      <w:r w:rsidRPr="00374747">
        <w:rPr>
          <w:sz w:val="18"/>
          <w:szCs w:val="18"/>
        </w:rPr>
        <w:t xml:space="preserve"> </w:t>
      </w:r>
      <w:r w:rsidR="003E0398" w:rsidRPr="003E0398">
        <w:rPr>
          <w:sz w:val="18"/>
          <w:szCs w:val="18"/>
        </w:rPr>
        <w:t>National Treasury (2021a),</w:t>
      </w:r>
      <w:r w:rsidR="003E0398">
        <w:rPr>
          <w:sz w:val="18"/>
          <w:szCs w:val="18"/>
        </w:rPr>
        <w:t xml:space="preserve"> p. 140</w:t>
      </w:r>
      <w:r>
        <w:rPr>
          <w:sz w:val="18"/>
          <w:szCs w:val="18"/>
        </w:rPr>
        <w:t>.</w:t>
      </w:r>
    </w:p>
  </w:footnote>
  <w:footnote w:id="10">
    <w:p w:rsidR="006722E6" w:rsidRPr="00374747" w:rsidRDefault="006722E6" w:rsidP="006722E6">
      <w:pPr>
        <w:pStyle w:val="FootnoteText"/>
        <w:spacing w:line="280" w:lineRule="exact"/>
        <w:rPr>
          <w:sz w:val="18"/>
          <w:szCs w:val="18"/>
          <w:lang w:val="en-US"/>
        </w:rPr>
      </w:pPr>
      <w:r w:rsidRPr="00374747">
        <w:rPr>
          <w:rStyle w:val="FootnoteReference"/>
          <w:sz w:val="18"/>
          <w:szCs w:val="18"/>
        </w:rPr>
        <w:footnoteRef/>
      </w:r>
      <w:r w:rsidRPr="00374747">
        <w:rPr>
          <w:sz w:val="18"/>
          <w:szCs w:val="18"/>
        </w:rPr>
        <w:t xml:space="preserve"> </w:t>
      </w:r>
      <w:r>
        <w:rPr>
          <w:sz w:val="18"/>
          <w:szCs w:val="18"/>
        </w:rPr>
        <w:t>National Treasury (2021a), p. 141.</w:t>
      </w:r>
    </w:p>
  </w:footnote>
  <w:footnote w:id="11">
    <w:p w:rsidR="006722E6" w:rsidRPr="005E4DEE" w:rsidRDefault="006722E6" w:rsidP="006722E6">
      <w:pPr>
        <w:pStyle w:val="FootnoteText"/>
        <w:spacing w:line="280" w:lineRule="exact"/>
        <w:rPr>
          <w:sz w:val="18"/>
          <w:szCs w:val="18"/>
          <w:lang w:val="en-US"/>
        </w:rPr>
      </w:pPr>
      <w:r w:rsidRPr="005E4DEE">
        <w:rPr>
          <w:rStyle w:val="FootnoteReference"/>
          <w:sz w:val="18"/>
          <w:szCs w:val="18"/>
        </w:rPr>
        <w:footnoteRef/>
      </w:r>
      <w:r w:rsidRPr="005E4DEE">
        <w:rPr>
          <w:sz w:val="18"/>
          <w:szCs w:val="18"/>
        </w:rPr>
        <w:t xml:space="preserve"> </w:t>
      </w:r>
      <w:r w:rsidR="000C6070">
        <w:rPr>
          <w:sz w:val="18"/>
          <w:szCs w:val="18"/>
        </w:rPr>
        <w:t>National Treasury (2021a), p. 141</w:t>
      </w:r>
      <w:r>
        <w:rPr>
          <w:sz w:val="18"/>
          <w:szCs w:val="18"/>
        </w:rPr>
        <w:t>.</w:t>
      </w:r>
    </w:p>
  </w:footnote>
  <w:footnote w:id="12">
    <w:p w:rsidR="00417FF2" w:rsidRPr="00997819" w:rsidRDefault="00417FF2" w:rsidP="00417FF2">
      <w:pPr>
        <w:pStyle w:val="FootnoteText"/>
        <w:spacing w:line="280" w:lineRule="exact"/>
        <w:rPr>
          <w:sz w:val="18"/>
          <w:szCs w:val="18"/>
          <w:lang w:val="en-US"/>
        </w:rPr>
      </w:pPr>
      <w:r w:rsidRPr="00997819">
        <w:rPr>
          <w:rStyle w:val="FootnoteReference"/>
          <w:sz w:val="18"/>
          <w:szCs w:val="18"/>
        </w:rPr>
        <w:footnoteRef/>
      </w:r>
      <w:r w:rsidRPr="00997819">
        <w:rPr>
          <w:sz w:val="18"/>
          <w:szCs w:val="18"/>
        </w:rPr>
        <w:t xml:space="preserve"> </w:t>
      </w:r>
      <w:r>
        <w:rPr>
          <w:sz w:val="18"/>
          <w:szCs w:val="18"/>
        </w:rPr>
        <w:t>National Treasury (2021a), p. 138</w:t>
      </w:r>
    </w:p>
  </w:footnote>
  <w:footnote w:id="13">
    <w:p w:rsidR="00417FF2" w:rsidRPr="00997819" w:rsidRDefault="00417FF2" w:rsidP="00417FF2">
      <w:pPr>
        <w:pStyle w:val="FootnoteText"/>
        <w:spacing w:line="280" w:lineRule="exact"/>
        <w:rPr>
          <w:sz w:val="18"/>
          <w:szCs w:val="18"/>
          <w:lang w:val="en-US"/>
        </w:rPr>
      </w:pPr>
      <w:r w:rsidRPr="00997819">
        <w:rPr>
          <w:rStyle w:val="FootnoteReference"/>
          <w:sz w:val="18"/>
          <w:szCs w:val="18"/>
        </w:rPr>
        <w:footnoteRef/>
      </w:r>
      <w:r>
        <w:t xml:space="preserve"> </w:t>
      </w:r>
      <w:r>
        <w:rPr>
          <w:sz w:val="18"/>
          <w:szCs w:val="18"/>
        </w:rPr>
        <w:t>Ibid, p. 140.</w:t>
      </w:r>
    </w:p>
  </w:footnote>
  <w:footnote w:id="14">
    <w:p w:rsidR="00417FF2" w:rsidRPr="00997819" w:rsidRDefault="00417FF2" w:rsidP="00417FF2">
      <w:pPr>
        <w:pStyle w:val="FootnoteText"/>
        <w:spacing w:line="280" w:lineRule="exact"/>
        <w:rPr>
          <w:sz w:val="18"/>
          <w:szCs w:val="18"/>
          <w:lang w:val="en-US"/>
        </w:rPr>
      </w:pPr>
      <w:r w:rsidRPr="00997819">
        <w:rPr>
          <w:rStyle w:val="FootnoteReference"/>
          <w:sz w:val="18"/>
          <w:szCs w:val="18"/>
        </w:rPr>
        <w:footnoteRef/>
      </w:r>
      <w:r w:rsidRPr="00997819">
        <w:rPr>
          <w:sz w:val="18"/>
          <w:szCs w:val="18"/>
        </w:rPr>
        <w:t xml:space="preserve"> </w:t>
      </w:r>
      <w:r>
        <w:rPr>
          <w:sz w:val="18"/>
          <w:szCs w:val="18"/>
        </w:rPr>
        <w:t>Ibid.</w:t>
      </w:r>
    </w:p>
  </w:footnote>
  <w:footnote w:id="15">
    <w:p w:rsidR="00417FF2" w:rsidRPr="00536210" w:rsidRDefault="00417FF2" w:rsidP="00417FF2">
      <w:pPr>
        <w:pStyle w:val="FootnoteText"/>
        <w:spacing w:line="280" w:lineRule="exact"/>
        <w:rPr>
          <w:sz w:val="18"/>
          <w:szCs w:val="18"/>
          <w:lang w:val="en-US"/>
        </w:rPr>
      </w:pPr>
      <w:r w:rsidRPr="00536210">
        <w:rPr>
          <w:rStyle w:val="FootnoteReference"/>
          <w:sz w:val="18"/>
          <w:szCs w:val="18"/>
        </w:rPr>
        <w:footnoteRef/>
      </w:r>
      <w:r w:rsidRPr="00536210">
        <w:rPr>
          <w:sz w:val="18"/>
          <w:szCs w:val="18"/>
        </w:rPr>
        <w:t xml:space="preserve"> </w:t>
      </w:r>
      <w:r>
        <w:rPr>
          <w:sz w:val="18"/>
          <w:szCs w:val="18"/>
        </w:rPr>
        <w:t>National Treasury (2021a), p. 139</w:t>
      </w:r>
    </w:p>
  </w:footnote>
  <w:footnote w:id="16">
    <w:p w:rsidR="00417FF2" w:rsidRPr="00017006" w:rsidRDefault="00417FF2" w:rsidP="00417FF2">
      <w:pPr>
        <w:pStyle w:val="FootnoteText"/>
        <w:spacing w:line="280" w:lineRule="exact"/>
        <w:rPr>
          <w:sz w:val="18"/>
          <w:szCs w:val="18"/>
          <w:lang w:val="en-US"/>
        </w:rPr>
      </w:pPr>
      <w:r w:rsidRPr="00017006">
        <w:rPr>
          <w:rStyle w:val="FootnoteReference"/>
          <w:sz w:val="18"/>
          <w:szCs w:val="18"/>
        </w:rPr>
        <w:footnoteRef/>
      </w:r>
      <w:r w:rsidRPr="00017006">
        <w:rPr>
          <w:sz w:val="18"/>
          <w:szCs w:val="18"/>
        </w:rPr>
        <w:t xml:space="preserve"> </w:t>
      </w:r>
      <w:r w:rsidR="008A0804">
        <w:rPr>
          <w:sz w:val="18"/>
          <w:szCs w:val="18"/>
        </w:rPr>
        <w:t>Ibid.</w:t>
      </w:r>
    </w:p>
  </w:footnote>
  <w:footnote w:id="17">
    <w:p w:rsidR="00417FF2" w:rsidRPr="00017006" w:rsidRDefault="00417FF2" w:rsidP="00417FF2">
      <w:pPr>
        <w:pStyle w:val="FootnoteText"/>
        <w:spacing w:line="280" w:lineRule="exact"/>
        <w:rPr>
          <w:sz w:val="18"/>
          <w:szCs w:val="18"/>
          <w:lang w:val="en-US"/>
        </w:rPr>
      </w:pPr>
      <w:r w:rsidRPr="00017006">
        <w:rPr>
          <w:rStyle w:val="FootnoteReference"/>
          <w:sz w:val="18"/>
          <w:szCs w:val="18"/>
        </w:rPr>
        <w:footnoteRef/>
      </w:r>
      <w:r w:rsidRPr="00017006">
        <w:rPr>
          <w:sz w:val="18"/>
          <w:szCs w:val="18"/>
        </w:rPr>
        <w:t xml:space="preserve"> </w:t>
      </w:r>
      <w:r w:rsidR="008A0804">
        <w:rPr>
          <w:sz w:val="18"/>
          <w:szCs w:val="18"/>
        </w:rPr>
        <w:t>Na</w:t>
      </w:r>
      <w:r w:rsidR="009E5DD2">
        <w:rPr>
          <w:sz w:val="18"/>
          <w:szCs w:val="18"/>
        </w:rPr>
        <w:t>tional Treasury (2021a), p. 139</w:t>
      </w:r>
      <w:r>
        <w:rPr>
          <w:sz w:val="18"/>
          <w:szCs w:val="18"/>
        </w:rPr>
        <w:t>.</w:t>
      </w:r>
    </w:p>
  </w:footnote>
  <w:footnote w:id="18">
    <w:p w:rsidR="00417FF2" w:rsidRPr="0097623D" w:rsidRDefault="00417FF2" w:rsidP="00417FF2">
      <w:pPr>
        <w:pStyle w:val="FootnoteText"/>
        <w:spacing w:line="280" w:lineRule="atLeast"/>
        <w:rPr>
          <w:sz w:val="18"/>
          <w:szCs w:val="18"/>
          <w:lang w:val="en-US"/>
        </w:rPr>
      </w:pPr>
      <w:r w:rsidRPr="0097623D">
        <w:rPr>
          <w:rStyle w:val="FootnoteReference"/>
          <w:sz w:val="18"/>
          <w:szCs w:val="18"/>
        </w:rPr>
        <w:footnoteRef/>
      </w:r>
      <w:r w:rsidRPr="0097623D">
        <w:rPr>
          <w:sz w:val="18"/>
          <w:szCs w:val="18"/>
        </w:rPr>
        <w:t xml:space="preserve"> </w:t>
      </w:r>
      <w:r>
        <w:rPr>
          <w:sz w:val="18"/>
          <w:szCs w:val="18"/>
        </w:rPr>
        <w:t>Ibid.</w:t>
      </w:r>
    </w:p>
  </w:footnote>
  <w:footnote w:id="19">
    <w:p w:rsidR="00417FF2" w:rsidRPr="00192D07" w:rsidRDefault="00417FF2" w:rsidP="00417FF2">
      <w:pPr>
        <w:pStyle w:val="FootnoteText"/>
        <w:spacing w:line="280" w:lineRule="exact"/>
        <w:rPr>
          <w:sz w:val="18"/>
          <w:szCs w:val="18"/>
          <w:lang w:val="en-US"/>
        </w:rPr>
      </w:pPr>
      <w:r w:rsidRPr="00192D07">
        <w:rPr>
          <w:rStyle w:val="FootnoteReference"/>
          <w:sz w:val="18"/>
          <w:szCs w:val="18"/>
        </w:rPr>
        <w:footnoteRef/>
      </w:r>
      <w:r w:rsidRPr="00192D07">
        <w:rPr>
          <w:sz w:val="18"/>
          <w:szCs w:val="18"/>
        </w:rPr>
        <w:t xml:space="preserve"> </w:t>
      </w:r>
      <w:r>
        <w:rPr>
          <w:sz w:val="18"/>
          <w:szCs w:val="18"/>
        </w:rPr>
        <w:t>Ibid.</w:t>
      </w:r>
    </w:p>
  </w:footnote>
  <w:footnote w:id="20">
    <w:p w:rsidR="00417FF2" w:rsidRPr="00192D07" w:rsidRDefault="00417FF2" w:rsidP="00417FF2">
      <w:pPr>
        <w:pStyle w:val="FootnoteText"/>
        <w:spacing w:line="280" w:lineRule="exact"/>
        <w:rPr>
          <w:sz w:val="18"/>
          <w:szCs w:val="18"/>
          <w:lang w:val="en-US"/>
        </w:rPr>
      </w:pPr>
      <w:r w:rsidRPr="00192D07">
        <w:rPr>
          <w:rStyle w:val="FootnoteReference"/>
          <w:sz w:val="18"/>
          <w:szCs w:val="18"/>
        </w:rPr>
        <w:footnoteRef/>
      </w:r>
      <w:r w:rsidRPr="00192D07">
        <w:rPr>
          <w:sz w:val="18"/>
          <w:szCs w:val="18"/>
        </w:rPr>
        <w:t xml:space="preserve"> </w:t>
      </w:r>
      <w:r>
        <w:rPr>
          <w:sz w:val="18"/>
          <w:szCs w:val="18"/>
        </w:rPr>
        <w:t>Ibid.</w:t>
      </w:r>
    </w:p>
  </w:footnote>
  <w:footnote w:id="21">
    <w:p w:rsidR="00417FF2" w:rsidRPr="00B41061" w:rsidRDefault="00417FF2" w:rsidP="00417FF2">
      <w:pPr>
        <w:pStyle w:val="FootnoteText"/>
        <w:spacing w:line="280" w:lineRule="exact"/>
        <w:rPr>
          <w:sz w:val="18"/>
          <w:szCs w:val="18"/>
          <w:lang w:val="en-US"/>
        </w:rPr>
      </w:pPr>
      <w:r w:rsidRPr="00B41061">
        <w:rPr>
          <w:rStyle w:val="FootnoteReference"/>
          <w:sz w:val="18"/>
          <w:szCs w:val="18"/>
        </w:rPr>
        <w:footnoteRef/>
      </w:r>
      <w:r w:rsidRPr="00B41061">
        <w:rPr>
          <w:sz w:val="18"/>
          <w:szCs w:val="18"/>
        </w:rPr>
        <w:t xml:space="preserve"> </w:t>
      </w:r>
      <w:r>
        <w:rPr>
          <w:sz w:val="18"/>
          <w:szCs w:val="18"/>
        </w:rPr>
        <w:t>National Treasury (2021a), p. 139.</w:t>
      </w:r>
    </w:p>
  </w:footnote>
  <w:footnote w:id="22">
    <w:p w:rsidR="00417FF2" w:rsidRPr="00B41061" w:rsidRDefault="00417FF2" w:rsidP="00417FF2">
      <w:pPr>
        <w:pStyle w:val="FootnoteText"/>
        <w:spacing w:line="280" w:lineRule="exact"/>
        <w:rPr>
          <w:sz w:val="18"/>
          <w:szCs w:val="18"/>
          <w:lang w:val="en-US"/>
        </w:rPr>
      </w:pPr>
      <w:r w:rsidRPr="00B41061">
        <w:rPr>
          <w:rStyle w:val="FootnoteReference"/>
          <w:sz w:val="18"/>
          <w:szCs w:val="18"/>
        </w:rPr>
        <w:footnoteRef/>
      </w:r>
      <w:r w:rsidRPr="00B41061">
        <w:rPr>
          <w:sz w:val="18"/>
          <w:szCs w:val="18"/>
        </w:rPr>
        <w:t xml:space="preserve"> </w:t>
      </w:r>
      <w:r>
        <w:rPr>
          <w:sz w:val="18"/>
          <w:szCs w:val="18"/>
        </w:rPr>
        <w:t>Ibid.</w:t>
      </w:r>
    </w:p>
  </w:footnote>
  <w:footnote w:id="23">
    <w:p w:rsidR="00417FF2" w:rsidRPr="00B41061" w:rsidRDefault="00417FF2" w:rsidP="00417FF2">
      <w:pPr>
        <w:pStyle w:val="FootnoteText"/>
        <w:spacing w:line="280" w:lineRule="exact"/>
        <w:rPr>
          <w:sz w:val="18"/>
          <w:szCs w:val="18"/>
          <w:lang w:val="en-US"/>
        </w:rPr>
      </w:pPr>
      <w:r w:rsidRPr="00B41061">
        <w:rPr>
          <w:rStyle w:val="FootnoteReference"/>
          <w:sz w:val="18"/>
          <w:szCs w:val="18"/>
        </w:rPr>
        <w:footnoteRef/>
      </w:r>
      <w:r w:rsidRPr="00B41061">
        <w:rPr>
          <w:sz w:val="18"/>
          <w:szCs w:val="18"/>
        </w:rPr>
        <w:t xml:space="preserve"> </w:t>
      </w:r>
      <w:r>
        <w:rPr>
          <w:sz w:val="18"/>
          <w:szCs w:val="18"/>
        </w:rPr>
        <w:t>Ibid.</w:t>
      </w:r>
    </w:p>
  </w:footnote>
  <w:footnote w:id="24">
    <w:p w:rsidR="00417FF2" w:rsidRPr="006978DE" w:rsidRDefault="00417FF2" w:rsidP="00417FF2">
      <w:pPr>
        <w:pStyle w:val="FootnoteText"/>
        <w:spacing w:line="280" w:lineRule="exact"/>
        <w:rPr>
          <w:sz w:val="18"/>
          <w:szCs w:val="18"/>
          <w:lang w:val="en-US"/>
        </w:rPr>
      </w:pPr>
      <w:r w:rsidRPr="006978DE">
        <w:rPr>
          <w:rStyle w:val="FootnoteReference"/>
          <w:sz w:val="18"/>
          <w:szCs w:val="18"/>
        </w:rPr>
        <w:footnoteRef/>
      </w:r>
      <w:r w:rsidRPr="006978DE">
        <w:rPr>
          <w:sz w:val="18"/>
          <w:szCs w:val="18"/>
        </w:rPr>
        <w:t xml:space="preserve"> </w:t>
      </w:r>
      <w:r>
        <w:rPr>
          <w:sz w:val="18"/>
          <w:szCs w:val="18"/>
        </w:rPr>
        <w:t>National Treasury (2021a), p. 140.</w:t>
      </w:r>
    </w:p>
  </w:footnote>
  <w:footnote w:id="25">
    <w:p w:rsidR="00417FF2" w:rsidRPr="0005720A" w:rsidRDefault="00417FF2" w:rsidP="00417FF2">
      <w:pPr>
        <w:pStyle w:val="FootnoteText"/>
        <w:spacing w:line="280" w:lineRule="exact"/>
        <w:rPr>
          <w:sz w:val="18"/>
          <w:szCs w:val="18"/>
          <w:lang w:val="en-US"/>
        </w:rPr>
      </w:pPr>
      <w:r w:rsidRPr="0005720A">
        <w:rPr>
          <w:rStyle w:val="FootnoteReference"/>
          <w:sz w:val="18"/>
          <w:szCs w:val="18"/>
        </w:rPr>
        <w:footnoteRef/>
      </w:r>
      <w:r w:rsidRPr="0005720A">
        <w:rPr>
          <w:sz w:val="18"/>
          <w:szCs w:val="18"/>
        </w:rPr>
        <w:t xml:space="preserve"> </w:t>
      </w:r>
      <w:r w:rsidR="006B5064">
        <w:rPr>
          <w:sz w:val="18"/>
          <w:szCs w:val="18"/>
        </w:rPr>
        <w:t>National Treasury (2021a), p. 140</w:t>
      </w:r>
      <w:r>
        <w:rPr>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D33EE"/>
    <w:multiLevelType w:val="hybridMultilevel"/>
    <w:tmpl w:val="AEF6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BC3EA3"/>
    <w:multiLevelType w:val="multilevel"/>
    <w:tmpl w:val="E20EC87E"/>
    <w:lvl w:ilvl="0">
      <w:start w:val="6"/>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8202B8B"/>
    <w:multiLevelType w:val="hybridMultilevel"/>
    <w:tmpl w:val="7A5A5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3F76C70"/>
    <w:multiLevelType w:val="hybridMultilevel"/>
    <w:tmpl w:val="BBF65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0463948"/>
    <w:multiLevelType w:val="multilevel"/>
    <w:tmpl w:val="656C48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9F4194"/>
    <w:multiLevelType w:val="multilevel"/>
    <w:tmpl w:val="1D326FC4"/>
    <w:lvl w:ilvl="0">
      <w:start w:val="3"/>
      <w:numFmt w:val="decimal"/>
      <w:lvlText w:val="%1"/>
      <w:lvlJc w:val="left"/>
      <w:pPr>
        <w:ind w:left="360" w:hanging="360"/>
      </w:pPr>
      <w:rPr>
        <w:rFonts w:eastAsia="Calibri" w:hint="default"/>
        <w:b w:val="0"/>
        <w:color w:val="auto"/>
        <w:sz w:val="22"/>
      </w:rPr>
    </w:lvl>
    <w:lvl w:ilvl="1">
      <w:start w:val="1"/>
      <w:numFmt w:val="decimal"/>
      <w:lvlText w:val="%1.%2"/>
      <w:lvlJc w:val="left"/>
      <w:pPr>
        <w:ind w:left="360" w:hanging="360"/>
      </w:pPr>
      <w:rPr>
        <w:rFonts w:eastAsia="Calibri" w:hint="default"/>
        <w:b w:val="0"/>
        <w:color w:val="auto"/>
        <w:sz w:val="22"/>
      </w:rPr>
    </w:lvl>
    <w:lvl w:ilvl="2">
      <w:start w:val="1"/>
      <w:numFmt w:val="decimal"/>
      <w:lvlText w:val="%1.%2.%3"/>
      <w:lvlJc w:val="left"/>
      <w:pPr>
        <w:ind w:left="720" w:hanging="720"/>
      </w:pPr>
      <w:rPr>
        <w:rFonts w:eastAsia="Calibri" w:hint="default"/>
        <w:b w:val="0"/>
        <w:color w:val="auto"/>
        <w:sz w:val="22"/>
      </w:rPr>
    </w:lvl>
    <w:lvl w:ilvl="3">
      <w:start w:val="1"/>
      <w:numFmt w:val="decimal"/>
      <w:lvlText w:val="%1.%2.%3.%4"/>
      <w:lvlJc w:val="left"/>
      <w:pPr>
        <w:ind w:left="1080" w:hanging="1080"/>
      </w:pPr>
      <w:rPr>
        <w:rFonts w:eastAsia="Calibri" w:hint="default"/>
        <w:b w:val="0"/>
        <w:color w:val="auto"/>
        <w:sz w:val="22"/>
      </w:rPr>
    </w:lvl>
    <w:lvl w:ilvl="4">
      <w:start w:val="1"/>
      <w:numFmt w:val="decimal"/>
      <w:lvlText w:val="%1.%2.%3.%4.%5"/>
      <w:lvlJc w:val="left"/>
      <w:pPr>
        <w:ind w:left="1080" w:hanging="1080"/>
      </w:pPr>
      <w:rPr>
        <w:rFonts w:eastAsia="Calibri" w:hint="default"/>
        <w:b w:val="0"/>
        <w:color w:val="auto"/>
        <w:sz w:val="22"/>
      </w:rPr>
    </w:lvl>
    <w:lvl w:ilvl="5">
      <w:start w:val="1"/>
      <w:numFmt w:val="decimal"/>
      <w:lvlText w:val="%1.%2.%3.%4.%5.%6"/>
      <w:lvlJc w:val="left"/>
      <w:pPr>
        <w:ind w:left="1440" w:hanging="1440"/>
      </w:pPr>
      <w:rPr>
        <w:rFonts w:eastAsia="Calibri" w:hint="default"/>
        <w:b w:val="0"/>
        <w:color w:val="auto"/>
        <w:sz w:val="22"/>
      </w:rPr>
    </w:lvl>
    <w:lvl w:ilvl="6">
      <w:start w:val="1"/>
      <w:numFmt w:val="decimal"/>
      <w:lvlText w:val="%1.%2.%3.%4.%5.%6.%7"/>
      <w:lvlJc w:val="left"/>
      <w:pPr>
        <w:ind w:left="1440" w:hanging="1440"/>
      </w:pPr>
      <w:rPr>
        <w:rFonts w:eastAsia="Calibri" w:hint="default"/>
        <w:b w:val="0"/>
        <w:color w:val="auto"/>
        <w:sz w:val="22"/>
      </w:rPr>
    </w:lvl>
    <w:lvl w:ilvl="7">
      <w:start w:val="1"/>
      <w:numFmt w:val="decimal"/>
      <w:lvlText w:val="%1.%2.%3.%4.%5.%6.%7.%8"/>
      <w:lvlJc w:val="left"/>
      <w:pPr>
        <w:ind w:left="1800" w:hanging="1800"/>
      </w:pPr>
      <w:rPr>
        <w:rFonts w:eastAsia="Calibri" w:hint="default"/>
        <w:b w:val="0"/>
        <w:color w:val="auto"/>
        <w:sz w:val="22"/>
      </w:rPr>
    </w:lvl>
    <w:lvl w:ilvl="8">
      <w:start w:val="1"/>
      <w:numFmt w:val="decimal"/>
      <w:lvlText w:val="%1.%2.%3.%4.%5.%6.%7.%8.%9"/>
      <w:lvlJc w:val="left"/>
      <w:pPr>
        <w:ind w:left="1800" w:hanging="1800"/>
      </w:pPr>
      <w:rPr>
        <w:rFonts w:eastAsia="Calibri" w:hint="default"/>
        <w:b w:val="0"/>
        <w:color w:val="auto"/>
        <w:sz w:val="22"/>
      </w:rPr>
    </w:lvl>
  </w:abstractNum>
  <w:abstractNum w:abstractNumId="6">
    <w:nsid w:val="36DD7DA3"/>
    <w:multiLevelType w:val="hybridMultilevel"/>
    <w:tmpl w:val="6FDA7B3C"/>
    <w:lvl w:ilvl="0" w:tplc="08090001">
      <w:start w:val="1"/>
      <w:numFmt w:val="bullet"/>
      <w:lvlText w:val=""/>
      <w:lvlJc w:val="left"/>
      <w:pPr>
        <w:ind w:left="4950" w:hanging="360"/>
      </w:pPr>
      <w:rPr>
        <w:rFonts w:ascii="Symbol" w:hAnsi="Symbol" w:hint="default"/>
      </w:rPr>
    </w:lvl>
    <w:lvl w:ilvl="1" w:tplc="08090003" w:tentative="1">
      <w:start w:val="1"/>
      <w:numFmt w:val="bullet"/>
      <w:lvlText w:val="o"/>
      <w:lvlJc w:val="left"/>
      <w:pPr>
        <w:ind w:left="5670" w:hanging="360"/>
      </w:pPr>
      <w:rPr>
        <w:rFonts w:ascii="Courier New" w:hAnsi="Courier New" w:cs="Courier New" w:hint="default"/>
      </w:rPr>
    </w:lvl>
    <w:lvl w:ilvl="2" w:tplc="08090005" w:tentative="1">
      <w:start w:val="1"/>
      <w:numFmt w:val="bullet"/>
      <w:lvlText w:val=""/>
      <w:lvlJc w:val="left"/>
      <w:pPr>
        <w:ind w:left="6390" w:hanging="360"/>
      </w:pPr>
      <w:rPr>
        <w:rFonts w:ascii="Wingdings" w:hAnsi="Wingdings" w:hint="default"/>
      </w:rPr>
    </w:lvl>
    <w:lvl w:ilvl="3" w:tplc="08090001" w:tentative="1">
      <w:start w:val="1"/>
      <w:numFmt w:val="bullet"/>
      <w:lvlText w:val=""/>
      <w:lvlJc w:val="left"/>
      <w:pPr>
        <w:ind w:left="7110" w:hanging="360"/>
      </w:pPr>
      <w:rPr>
        <w:rFonts w:ascii="Symbol" w:hAnsi="Symbol" w:hint="default"/>
      </w:rPr>
    </w:lvl>
    <w:lvl w:ilvl="4" w:tplc="08090003" w:tentative="1">
      <w:start w:val="1"/>
      <w:numFmt w:val="bullet"/>
      <w:lvlText w:val="o"/>
      <w:lvlJc w:val="left"/>
      <w:pPr>
        <w:ind w:left="7830" w:hanging="360"/>
      </w:pPr>
      <w:rPr>
        <w:rFonts w:ascii="Courier New" w:hAnsi="Courier New" w:cs="Courier New" w:hint="default"/>
      </w:rPr>
    </w:lvl>
    <w:lvl w:ilvl="5" w:tplc="08090005" w:tentative="1">
      <w:start w:val="1"/>
      <w:numFmt w:val="bullet"/>
      <w:lvlText w:val=""/>
      <w:lvlJc w:val="left"/>
      <w:pPr>
        <w:ind w:left="8550" w:hanging="360"/>
      </w:pPr>
      <w:rPr>
        <w:rFonts w:ascii="Wingdings" w:hAnsi="Wingdings" w:hint="default"/>
      </w:rPr>
    </w:lvl>
    <w:lvl w:ilvl="6" w:tplc="08090001" w:tentative="1">
      <w:start w:val="1"/>
      <w:numFmt w:val="bullet"/>
      <w:lvlText w:val=""/>
      <w:lvlJc w:val="left"/>
      <w:pPr>
        <w:ind w:left="9270" w:hanging="360"/>
      </w:pPr>
      <w:rPr>
        <w:rFonts w:ascii="Symbol" w:hAnsi="Symbol" w:hint="default"/>
      </w:rPr>
    </w:lvl>
    <w:lvl w:ilvl="7" w:tplc="08090003" w:tentative="1">
      <w:start w:val="1"/>
      <w:numFmt w:val="bullet"/>
      <w:lvlText w:val="o"/>
      <w:lvlJc w:val="left"/>
      <w:pPr>
        <w:ind w:left="9990" w:hanging="360"/>
      </w:pPr>
      <w:rPr>
        <w:rFonts w:ascii="Courier New" w:hAnsi="Courier New" w:cs="Courier New" w:hint="default"/>
      </w:rPr>
    </w:lvl>
    <w:lvl w:ilvl="8" w:tplc="08090005" w:tentative="1">
      <w:start w:val="1"/>
      <w:numFmt w:val="bullet"/>
      <w:lvlText w:val=""/>
      <w:lvlJc w:val="left"/>
      <w:pPr>
        <w:ind w:left="10710" w:hanging="360"/>
      </w:pPr>
      <w:rPr>
        <w:rFonts w:ascii="Wingdings" w:hAnsi="Wingdings" w:hint="default"/>
      </w:rPr>
    </w:lvl>
  </w:abstractNum>
  <w:abstractNum w:abstractNumId="7">
    <w:nsid w:val="38107D1E"/>
    <w:multiLevelType w:val="hybridMultilevel"/>
    <w:tmpl w:val="89EA4050"/>
    <w:lvl w:ilvl="0" w:tplc="08090003">
      <w:start w:val="1"/>
      <w:numFmt w:val="bullet"/>
      <w:lvlText w:val="o"/>
      <w:lvlJc w:val="left"/>
      <w:pPr>
        <w:ind w:left="502" w:hanging="360"/>
      </w:pPr>
      <w:rPr>
        <w:rFonts w:ascii="Courier New" w:hAnsi="Courier New" w:cs="Courier New"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nsid w:val="3BA867C7"/>
    <w:multiLevelType w:val="hybridMultilevel"/>
    <w:tmpl w:val="07DE38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BB67508"/>
    <w:multiLevelType w:val="hybridMultilevel"/>
    <w:tmpl w:val="F8686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DCE5751"/>
    <w:multiLevelType w:val="hybridMultilevel"/>
    <w:tmpl w:val="255CBBB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4989481D"/>
    <w:multiLevelType w:val="hybridMultilevel"/>
    <w:tmpl w:val="650E622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FF1CBE"/>
    <w:multiLevelType w:val="hybridMultilevel"/>
    <w:tmpl w:val="A6300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8BC6A3E"/>
    <w:multiLevelType w:val="multilevel"/>
    <w:tmpl w:val="2318B18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8CF351E"/>
    <w:multiLevelType w:val="hybridMultilevel"/>
    <w:tmpl w:val="B36CD5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5A303CBE"/>
    <w:multiLevelType w:val="hybridMultilevel"/>
    <w:tmpl w:val="A6964A42"/>
    <w:lvl w:ilvl="0" w:tplc="26C0E7A2">
      <w:start w:val="1"/>
      <w:numFmt w:val="decimal"/>
      <w:lvlText w:val="%1."/>
      <w:lvlJc w:val="left"/>
      <w:pPr>
        <w:ind w:left="3600" w:hanging="360"/>
      </w:pPr>
      <w:rPr>
        <w:rFonts w:hint="default"/>
        <w:sz w:val="24"/>
        <w:szCs w:val="24"/>
      </w:rPr>
    </w:lvl>
    <w:lvl w:ilvl="1" w:tplc="1C090019">
      <w:start w:val="1"/>
      <w:numFmt w:val="lowerLetter"/>
      <w:lvlText w:val="%2."/>
      <w:lvlJc w:val="left"/>
      <w:pPr>
        <w:ind w:left="4680" w:hanging="360"/>
      </w:pPr>
    </w:lvl>
    <w:lvl w:ilvl="2" w:tplc="1C09001B" w:tentative="1">
      <w:start w:val="1"/>
      <w:numFmt w:val="lowerRoman"/>
      <w:lvlText w:val="%3."/>
      <w:lvlJc w:val="right"/>
      <w:pPr>
        <w:ind w:left="5400" w:hanging="180"/>
      </w:pPr>
    </w:lvl>
    <w:lvl w:ilvl="3" w:tplc="1C09000F" w:tentative="1">
      <w:start w:val="1"/>
      <w:numFmt w:val="decimal"/>
      <w:lvlText w:val="%4."/>
      <w:lvlJc w:val="left"/>
      <w:pPr>
        <w:ind w:left="6120" w:hanging="360"/>
      </w:pPr>
    </w:lvl>
    <w:lvl w:ilvl="4" w:tplc="1C090019" w:tentative="1">
      <w:start w:val="1"/>
      <w:numFmt w:val="lowerLetter"/>
      <w:lvlText w:val="%5."/>
      <w:lvlJc w:val="left"/>
      <w:pPr>
        <w:ind w:left="6840" w:hanging="360"/>
      </w:pPr>
    </w:lvl>
    <w:lvl w:ilvl="5" w:tplc="1C09001B" w:tentative="1">
      <w:start w:val="1"/>
      <w:numFmt w:val="lowerRoman"/>
      <w:lvlText w:val="%6."/>
      <w:lvlJc w:val="right"/>
      <w:pPr>
        <w:ind w:left="7560" w:hanging="180"/>
      </w:pPr>
    </w:lvl>
    <w:lvl w:ilvl="6" w:tplc="1C09000F" w:tentative="1">
      <w:start w:val="1"/>
      <w:numFmt w:val="decimal"/>
      <w:lvlText w:val="%7."/>
      <w:lvlJc w:val="left"/>
      <w:pPr>
        <w:ind w:left="8280" w:hanging="360"/>
      </w:pPr>
    </w:lvl>
    <w:lvl w:ilvl="7" w:tplc="1C090019" w:tentative="1">
      <w:start w:val="1"/>
      <w:numFmt w:val="lowerLetter"/>
      <w:lvlText w:val="%8."/>
      <w:lvlJc w:val="left"/>
      <w:pPr>
        <w:ind w:left="9000" w:hanging="360"/>
      </w:pPr>
    </w:lvl>
    <w:lvl w:ilvl="8" w:tplc="1C09001B" w:tentative="1">
      <w:start w:val="1"/>
      <w:numFmt w:val="lowerRoman"/>
      <w:lvlText w:val="%9."/>
      <w:lvlJc w:val="right"/>
      <w:pPr>
        <w:ind w:left="9720" w:hanging="180"/>
      </w:pPr>
    </w:lvl>
  </w:abstractNum>
  <w:abstractNum w:abstractNumId="16">
    <w:nsid w:val="5BB44908"/>
    <w:multiLevelType w:val="multilevel"/>
    <w:tmpl w:val="018E11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5BC27DE7"/>
    <w:multiLevelType w:val="hybridMultilevel"/>
    <w:tmpl w:val="79E6EACA"/>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97783F"/>
    <w:multiLevelType w:val="hybridMultilevel"/>
    <w:tmpl w:val="A6DCF6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621644AD"/>
    <w:multiLevelType w:val="hybridMultilevel"/>
    <w:tmpl w:val="C1F8D83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63A57C0C"/>
    <w:multiLevelType w:val="hybridMultilevel"/>
    <w:tmpl w:val="79AAE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57C0F6F"/>
    <w:multiLevelType w:val="hybridMultilevel"/>
    <w:tmpl w:val="7FC4EA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504" w:hanging="360"/>
      </w:pPr>
      <w:rPr>
        <w:rFonts w:ascii="Courier New" w:hAnsi="Courier New" w:cs="Courier New" w:hint="default"/>
      </w:rPr>
    </w:lvl>
    <w:lvl w:ilvl="2" w:tplc="1C090005" w:tentative="1">
      <w:start w:val="1"/>
      <w:numFmt w:val="bullet"/>
      <w:lvlText w:val=""/>
      <w:lvlJc w:val="left"/>
      <w:pPr>
        <w:ind w:left="2224" w:hanging="360"/>
      </w:pPr>
      <w:rPr>
        <w:rFonts w:ascii="Wingdings" w:hAnsi="Wingdings" w:hint="default"/>
      </w:rPr>
    </w:lvl>
    <w:lvl w:ilvl="3" w:tplc="1C090001" w:tentative="1">
      <w:start w:val="1"/>
      <w:numFmt w:val="bullet"/>
      <w:lvlText w:val=""/>
      <w:lvlJc w:val="left"/>
      <w:pPr>
        <w:ind w:left="2944" w:hanging="360"/>
      </w:pPr>
      <w:rPr>
        <w:rFonts w:ascii="Symbol" w:hAnsi="Symbol" w:hint="default"/>
      </w:rPr>
    </w:lvl>
    <w:lvl w:ilvl="4" w:tplc="1C090003" w:tentative="1">
      <w:start w:val="1"/>
      <w:numFmt w:val="bullet"/>
      <w:lvlText w:val="o"/>
      <w:lvlJc w:val="left"/>
      <w:pPr>
        <w:ind w:left="3664" w:hanging="360"/>
      </w:pPr>
      <w:rPr>
        <w:rFonts w:ascii="Courier New" w:hAnsi="Courier New" w:cs="Courier New" w:hint="default"/>
      </w:rPr>
    </w:lvl>
    <w:lvl w:ilvl="5" w:tplc="1C090005" w:tentative="1">
      <w:start w:val="1"/>
      <w:numFmt w:val="bullet"/>
      <w:lvlText w:val=""/>
      <w:lvlJc w:val="left"/>
      <w:pPr>
        <w:ind w:left="4384" w:hanging="360"/>
      </w:pPr>
      <w:rPr>
        <w:rFonts w:ascii="Wingdings" w:hAnsi="Wingdings" w:hint="default"/>
      </w:rPr>
    </w:lvl>
    <w:lvl w:ilvl="6" w:tplc="1C090001" w:tentative="1">
      <w:start w:val="1"/>
      <w:numFmt w:val="bullet"/>
      <w:lvlText w:val=""/>
      <w:lvlJc w:val="left"/>
      <w:pPr>
        <w:ind w:left="5104" w:hanging="360"/>
      </w:pPr>
      <w:rPr>
        <w:rFonts w:ascii="Symbol" w:hAnsi="Symbol" w:hint="default"/>
      </w:rPr>
    </w:lvl>
    <w:lvl w:ilvl="7" w:tplc="1C090003" w:tentative="1">
      <w:start w:val="1"/>
      <w:numFmt w:val="bullet"/>
      <w:lvlText w:val="o"/>
      <w:lvlJc w:val="left"/>
      <w:pPr>
        <w:ind w:left="5824" w:hanging="360"/>
      </w:pPr>
      <w:rPr>
        <w:rFonts w:ascii="Courier New" w:hAnsi="Courier New" w:cs="Courier New" w:hint="default"/>
      </w:rPr>
    </w:lvl>
    <w:lvl w:ilvl="8" w:tplc="1C090005" w:tentative="1">
      <w:start w:val="1"/>
      <w:numFmt w:val="bullet"/>
      <w:lvlText w:val=""/>
      <w:lvlJc w:val="left"/>
      <w:pPr>
        <w:ind w:left="6544" w:hanging="360"/>
      </w:pPr>
      <w:rPr>
        <w:rFonts w:ascii="Wingdings" w:hAnsi="Wingdings" w:hint="default"/>
      </w:rPr>
    </w:lvl>
  </w:abstractNum>
  <w:abstractNum w:abstractNumId="22">
    <w:nsid w:val="67920CBE"/>
    <w:multiLevelType w:val="hybridMultilevel"/>
    <w:tmpl w:val="18306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8D46ABA"/>
    <w:multiLevelType w:val="hybridMultilevel"/>
    <w:tmpl w:val="C3228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A516AB1"/>
    <w:multiLevelType w:val="hybridMultilevel"/>
    <w:tmpl w:val="ACAA8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ABD1B26"/>
    <w:multiLevelType w:val="hybridMultilevel"/>
    <w:tmpl w:val="323C851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F7146B"/>
    <w:multiLevelType w:val="hybridMultilevel"/>
    <w:tmpl w:val="A6964A42"/>
    <w:lvl w:ilvl="0" w:tplc="26C0E7A2">
      <w:start w:val="1"/>
      <w:numFmt w:val="decimal"/>
      <w:lvlText w:val="%1."/>
      <w:lvlJc w:val="left"/>
      <w:pPr>
        <w:ind w:left="3600" w:hanging="360"/>
      </w:pPr>
      <w:rPr>
        <w:rFonts w:hint="default"/>
        <w:sz w:val="24"/>
        <w:szCs w:val="24"/>
      </w:rPr>
    </w:lvl>
    <w:lvl w:ilvl="1" w:tplc="1C090019">
      <w:start w:val="1"/>
      <w:numFmt w:val="lowerLetter"/>
      <w:lvlText w:val="%2."/>
      <w:lvlJc w:val="left"/>
      <w:pPr>
        <w:ind w:left="4680" w:hanging="360"/>
      </w:pPr>
    </w:lvl>
    <w:lvl w:ilvl="2" w:tplc="1C09001B" w:tentative="1">
      <w:start w:val="1"/>
      <w:numFmt w:val="lowerRoman"/>
      <w:lvlText w:val="%3."/>
      <w:lvlJc w:val="right"/>
      <w:pPr>
        <w:ind w:left="5400" w:hanging="180"/>
      </w:pPr>
    </w:lvl>
    <w:lvl w:ilvl="3" w:tplc="1C09000F" w:tentative="1">
      <w:start w:val="1"/>
      <w:numFmt w:val="decimal"/>
      <w:lvlText w:val="%4."/>
      <w:lvlJc w:val="left"/>
      <w:pPr>
        <w:ind w:left="6120" w:hanging="360"/>
      </w:pPr>
    </w:lvl>
    <w:lvl w:ilvl="4" w:tplc="1C090019" w:tentative="1">
      <w:start w:val="1"/>
      <w:numFmt w:val="lowerLetter"/>
      <w:lvlText w:val="%5."/>
      <w:lvlJc w:val="left"/>
      <w:pPr>
        <w:ind w:left="6840" w:hanging="360"/>
      </w:pPr>
    </w:lvl>
    <w:lvl w:ilvl="5" w:tplc="1C09001B" w:tentative="1">
      <w:start w:val="1"/>
      <w:numFmt w:val="lowerRoman"/>
      <w:lvlText w:val="%6."/>
      <w:lvlJc w:val="right"/>
      <w:pPr>
        <w:ind w:left="7560" w:hanging="180"/>
      </w:pPr>
    </w:lvl>
    <w:lvl w:ilvl="6" w:tplc="1C09000F" w:tentative="1">
      <w:start w:val="1"/>
      <w:numFmt w:val="decimal"/>
      <w:lvlText w:val="%7."/>
      <w:lvlJc w:val="left"/>
      <w:pPr>
        <w:ind w:left="8280" w:hanging="360"/>
      </w:pPr>
    </w:lvl>
    <w:lvl w:ilvl="7" w:tplc="1C090019" w:tentative="1">
      <w:start w:val="1"/>
      <w:numFmt w:val="lowerLetter"/>
      <w:lvlText w:val="%8."/>
      <w:lvlJc w:val="left"/>
      <w:pPr>
        <w:ind w:left="9000" w:hanging="360"/>
      </w:pPr>
    </w:lvl>
    <w:lvl w:ilvl="8" w:tplc="1C09001B" w:tentative="1">
      <w:start w:val="1"/>
      <w:numFmt w:val="lowerRoman"/>
      <w:lvlText w:val="%9."/>
      <w:lvlJc w:val="right"/>
      <w:pPr>
        <w:ind w:left="9720" w:hanging="180"/>
      </w:pPr>
    </w:lvl>
  </w:abstractNum>
  <w:abstractNum w:abstractNumId="27">
    <w:nsid w:val="6DCC0C08"/>
    <w:multiLevelType w:val="hybridMultilevel"/>
    <w:tmpl w:val="984AF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6863F46"/>
    <w:multiLevelType w:val="hybridMultilevel"/>
    <w:tmpl w:val="4EC66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93B22E8"/>
    <w:multiLevelType w:val="hybridMultilevel"/>
    <w:tmpl w:val="96909C1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nsid w:val="79CE355F"/>
    <w:multiLevelType w:val="hybridMultilevel"/>
    <w:tmpl w:val="6F3CB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A1F4A14"/>
    <w:multiLevelType w:val="hybridMultilevel"/>
    <w:tmpl w:val="6EE85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21"/>
  </w:num>
  <w:num w:numId="3">
    <w:abstractNumId w:val="19"/>
  </w:num>
  <w:num w:numId="4">
    <w:abstractNumId w:val="10"/>
  </w:num>
  <w:num w:numId="5">
    <w:abstractNumId w:val="18"/>
  </w:num>
  <w:num w:numId="6">
    <w:abstractNumId w:val="29"/>
  </w:num>
  <w:num w:numId="7">
    <w:abstractNumId w:val="14"/>
  </w:num>
  <w:num w:numId="8">
    <w:abstractNumId w:val="25"/>
  </w:num>
  <w:num w:numId="9">
    <w:abstractNumId w:val="26"/>
  </w:num>
  <w:num w:numId="10">
    <w:abstractNumId w:val="6"/>
  </w:num>
  <w:num w:numId="11">
    <w:abstractNumId w:val="22"/>
  </w:num>
  <w:num w:numId="12">
    <w:abstractNumId w:val="30"/>
  </w:num>
  <w:num w:numId="13">
    <w:abstractNumId w:val="11"/>
  </w:num>
  <w:num w:numId="14">
    <w:abstractNumId w:val="7"/>
  </w:num>
  <w:num w:numId="15">
    <w:abstractNumId w:val="27"/>
  </w:num>
  <w:num w:numId="16">
    <w:abstractNumId w:val="8"/>
  </w:num>
  <w:num w:numId="17">
    <w:abstractNumId w:val="2"/>
  </w:num>
  <w:num w:numId="18">
    <w:abstractNumId w:val="20"/>
  </w:num>
  <w:num w:numId="19">
    <w:abstractNumId w:val="3"/>
  </w:num>
  <w:num w:numId="20">
    <w:abstractNumId w:val="12"/>
  </w:num>
  <w:num w:numId="21">
    <w:abstractNumId w:val="24"/>
  </w:num>
  <w:num w:numId="22">
    <w:abstractNumId w:val="9"/>
  </w:num>
  <w:num w:numId="23">
    <w:abstractNumId w:val="31"/>
  </w:num>
  <w:num w:numId="24">
    <w:abstractNumId w:val="28"/>
  </w:num>
  <w:num w:numId="25">
    <w:abstractNumId w:val="23"/>
  </w:num>
  <w:num w:numId="26">
    <w:abstractNumId w:val="15"/>
  </w:num>
  <w:num w:numId="27">
    <w:abstractNumId w:val="5"/>
  </w:num>
  <w:num w:numId="28">
    <w:abstractNumId w:val="1"/>
  </w:num>
  <w:num w:numId="29">
    <w:abstractNumId w:val="0"/>
  </w:num>
  <w:num w:numId="30">
    <w:abstractNumId w:val="13"/>
  </w:num>
  <w:num w:numId="31">
    <w:abstractNumId w:val="4"/>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383008"/>
    <w:rsid w:val="00013A3F"/>
    <w:rsid w:val="000172B3"/>
    <w:rsid w:val="00021DBA"/>
    <w:rsid w:val="000611D9"/>
    <w:rsid w:val="00087EAE"/>
    <w:rsid w:val="000951C1"/>
    <w:rsid w:val="000C6070"/>
    <w:rsid w:val="000E26AE"/>
    <w:rsid w:val="0014443E"/>
    <w:rsid w:val="00181469"/>
    <w:rsid w:val="00184C87"/>
    <w:rsid w:val="001B0D6E"/>
    <w:rsid w:val="001B441B"/>
    <w:rsid w:val="001C3676"/>
    <w:rsid w:val="001E1732"/>
    <w:rsid w:val="001E2C63"/>
    <w:rsid w:val="00210485"/>
    <w:rsid w:val="00217FA6"/>
    <w:rsid w:val="00224AFE"/>
    <w:rsid w:val="00245807"/>
    <w:rsid w:val="002807F6"/>
    <w:rsid w:val="002C6206"/>
    <w:rsid w:val="002D718E"/>
    <w:rsid w:val="00337B1F"/>
    <w:rsid w:val="00383008"/>
    <w:rsid w:val="0039000D"/>
    <w:rsid w:val="003A5317"/>
    <w:rsid w:val="003E0398"/>
    <w:rsid w:val="00411E67"/>
    <w:rsid w:val="00416E6D"/>
    <w:rsid w:val="00417FF2"/>
    <w:rsid w:val="0044179D"/>
    <w:rsid w:val="00450655"/>
    <w:rsid w:val="00457502"/>
    <w:rsid w:val="004B51E8"/>
    <w:rsid w:val="004C27FE"/>
    <w:rsid w:val="004E20EA"/>
    <w:rsid w:val="004E6C8E"/>
    <w:rsid w:val="004F5462"/>
    <w:rsid w:val="004F7897"/>
    <w:rsid w:val="0058283E"/>
    <w:rsid w:val="005A4516"/>
    <w:rsid w:val="005B2977"/>
    <w:rsid w:val="005E7E08"/>
    <w:rsid w:val="006270E4"/>
    <w:rsid w:val="006722E6"/>
    <w:rsid w:val="00690754"/>
    <w:rsid w:val="006B5064"/>
    <w:rsid w:val="006C2A34"/>
    <w:rsid w:val="006C3100"/>
    <w:rsid w:val="006E620F"/>
    <w:rsid w:val="0070396B"/>
    <w:rsid w:val="00736CC1"/>
    <w:rsid w:val="00781F4E"/>
    <w:rsid w:val="007900D9"/>
    <w:rsid w:val="007A2256"/>
    <w:rsid w:val="008A0804"/>
    <w:rsid w:val="008E31F7"/>
    <w:rsid w:val="00940E4F"/>
    <w:rsid w:val="00941731"/>
    <w:rsid w:val="009742DE"/>
    <w:rsid w:val="009E5DD2"/>
    <w:rsid w:val="009E6A5A"/>
    <w:rsid w:val="00A0308F"/>
    <w:rsid w:val="00A11720"/>
    <w:rsid w:val="00A55441"/>
    <w:rsid w:val="00A610E0"/>
    <w:rsid w:val="00AA20CB"/>
    <w:rsid w:val="00AB326A"/>
    <w:rsid w:val="00AB3511"/>
    <w:rsid w:val="00AD6CA5"/>
    <w:rsid w:val="00AD7EA4"/>
    <w:rsid w:val="00B3581A"/>
    <w:rsid w:val="00B445DD"/>
    <w:rsid w:val="00B51B64"/>
    <w:rsid w:val="00B84069"/>
    <w:rsid w:val="00BC0B33"/>
    <w:rsid w:val="00C015B7"/>
    <w:rsid w:val="00C40445"/>
    <w:rsid w:val="00C606B3"/>
    <w:rsid w:val="00C6161A"/>
    <w:rsid w:val="00C85976"/>
    <w:rsid w:val="00CD7330"/>
    <w:rsid w:val="00D27AC4"/>
    <w:rsid w:val="00D57F13"/>
    <w:rsid w:val="00DF60B5"/>
    <w:rsid w:val="00E37497"/>
    <w:rsid w:val="00E73FDA"/>
    <w:rsid w:val="00E84C11"/>
    <w:rsid w:val="00F337A1"/>
    <w:rsid w:val="00F67800"/>
    <w:rsid w:val="00FC4F15"/>
    <w:rsid w:val="00FD0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FA6"/>
  </w:style>
  <w:style w:type="paragraph" w:styleId="Heading1">
    <w:name w:val="heading 1"/>
    <w:basedOn w:val="Normal"/>
    <w:next w:val="Normal"/>
    <w:link w:val="Heading1Char"/>
    <w:uiPriority w:val="9"/>
    <w:qFormat/>
    <w:rsid w:val="00417F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3008"/>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Footnote Text Char1,fn Char"/>
    <w:basedOn w:val="Normal"/>
    <w:link w:val="FootnoteTextChar"/>
    <w:unhideWhenUsed/>
    <w:rsid w:val="00383008"/>
    <w:pPr>
      <w:spacing w:after="0" w:line="240" w:lineRule="auto"/>
      <w:jc w:val="both"/>
    </w:pPr>
    <w:rPr>
      <w:rFonts w:ascii="Arial" w:hAnsi="Arial"/>
      <w:sz w:val="20"/>
      <w:szCs w:val="20"/>
      <w:lang w:val="en-GB"/>
    </w:rPr>
  </w:style>
  <w:style w:type="character" w:customStyle="1" w:styleId="FootnoteTextChar">
    <w:name w:val="Footnote Text Char"/>
    <w:aliases w:val="Footnote Text Char Char Char,Footnote Text Char1 Char,fn Char Char"/>
    <w:basedOn w:val="DefaultParagraphFont"/>
    <w:link w:val="FootnoteText"/>
    <w:rsid w:val="00383008"/>
    <w:rPr>
      <w:rFonts w:ascii="Arial" w:hAnsi="Arial"/>
      <w:sz w:val="20"/>
      <w:szCs w:val="20"/>
      <w:lang w:val="en-GB"/>
    </w:rPr>
  </w:style>
  <w:style w:type="character" w:styleId="FootnoteReference">
    <w:name w:val="footnote reference"/>
    <w:aliases w:val="ftref"/>
    <w:basedOn w:val="DefaultParagraphFont"/>
    <w:rsid w:val="00383008"/>
    <w:rPr>
      <w:vertAlign w:val="superscript"/>
    </w:rPr>
  </w:style>
  <w:style w:type="character" w:customStyle="1" w:styleId="acopre">
    <w:name w:val="acopre"/>
    <w:basedOn w:val="DefaultParagraphFont"/>
    <w:rsid w:val="00383008"/>
  </w:style>
  <w:style w:type="character" w:styleId="Emphasis">
    <w:name w:val="Emphasis"/>
    <w:basedOn w:val="DefaultParagraphFont"/>
    <w:uiPriority w:val="20"/>
    <w:qFormat/>
    <w:rsid w:val="00383008"/>
    <w:rPr>
      <w:i/>
      <w:iCs/>
    </w:rPr>
  </w:style>
  <w:style w:type="paragraph" w:styleId="ListParagraph">
    <w:name w:val="List Paragraph"/>
    <w:basedOn w:val="Normal"/>
    <w:uiPriority w:val="34"/>
    <w:qFormat/>
    <w:rsid w:val="00411E67"/>
    <w:pPr>
      <w:ind w:left="720"/>
      <w:contextualSpacing/>
    </w:pPr>
  </w:style>
  <w:style w:type="paragraph" w:styleId="Header">
    <w:name w:val="header"/>
    <w:basedOn w:val="Normal"/>
    <w:link w:val="HeaderChar"/>
    <w:uiPriority w:val="99"/>
    <w:unhideWhenUsed/>
    <w:rsid w:val="00417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FF2"/>
  </w:style>
  <w:style w:type="paragraph" w:styleId="Footer">
    <w:name w:val="footer"/>
    <w:basedOn w:val="Normal"/>
    <w:link w:val="FooterChar"/>
    <w:uiPriority w:val="99"/>
    <w:unhideWhenUsed/>
    <w:rsid w:val="00417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FF2"/>
  </w:style>
  <w:style w:type="character" w:customStyle="1" w:styleId="Heading1Char">
    <w:name w:val="Heading 1 Char"/>
    <w:basedOn w:val="DefaultParagraphFont"/>
    <w:link w:val="Heading1"/>
    <w:uiPriority w:val="9"/>
    <w:rsid w:val="00417FF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506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65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2680</Words>
  <Characters>15280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Carelse</dc:creator>
  <cp:lastModifiedBy>User</cp:lastModifiedBy>
  <cp:revision>2</cp:revision>
  <dcterms:created xsi:type="dcterms:W3CDTF">2022-04-07T17:04:00Z</dcterms:created>
  <dcterms:modified xsi:type="dcterms:W3CDTF">2022-04-07T17:04:00Z</dcterms:modified>
</cp:coreProperties>
</file>