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C0" w:rsidRPr="00D85CC0" w:rsidRDefault="00D85CC0" w:rsidP="00D85CC0">
      <w:pPr>
        <w:rPr>
          <w:rFonts w:ascii="Arial" w:eastAsiaTheme="minorHAnsi" w:hAnsi="Arial" w:cs="Arial"/>
          <w:i/>
          <w:lang w:val="en-ZA"/>
        </w:rPr>
      </w:pPr>
      <w:r w:rsidRPr="00D85CC0">
        <w:rPr>
          <w:rFonts w:ascii="Arial" w:eastAsiaTheme="minorHAnsi" w:hAnsi="Arial" w:cs="Arial"/>
          <w:i/>
          <w:lang w:val="en-ZA"/>
        </w:rPr>
        <w:t xml:space="preserve">[The following report replaces the report of the Standing Committee on Finance, which was published in the Announcements, </w:t>
      </w:r>
      <w:proofErr w:type="spellStart"/>
      <w:r w:rsidRPr="00D85CC0">
        <w:rPr>
          <w:rFonts w:ascii="Arial" w:eastAsiaTheme="minorHAnsi" w:hAnsi="Arial" w:cs="Arial"/>
          <w:i/>
          <w:lang w:val="en-ZA"/>
        </w:rPr>
        <w:t>Tablings</w:t>
      </w:r>
      <w:proofErr w:type="spellEnd"/>
      <w:r w:rsidRPr="00D85CC0">
        <w:rPr>
          <w:rFonts w:ascii="Arial" w:eastAsiaTheme="minorHAnsi" w:hAnsi="Arial" w:cs="Arial"/>
          <w:i/>
          <w:lang w:val="en-ZA"/>
        </w:rPr>
        <w:t xml:space="preserve"> and Committee Reports: No 121—2021, </w:t>
      </w:r>
      <w:r w:rsidRPr="00D85CC0">
        <w:rPr>
          <w:rFonts w:ascii="Arial" w:eastAsiaTheme="minorHAnsi" w:hAnsi="Arial" w:cs="Arial"/>
          <w:i/>
          <w:iCs/>
          <w:lang w:val="en-ZA"/>
        </w:rPr>
        <w:t>Wednesday, 8 September 2021, pg. 28 – 29]</w:t>
      </w:r>
    </w:p>
    <w:p w:rsidR="00D85CC0" w:rsidRPr="00D85CC0" w:rsidRDefault="00D85CC0" w:rsidP="00D85CC0">
      <w:pPr>
        <w:rPr>
          <w:rFonts w:ascii="Arial" w:eastAsiaTheme="minorHAnsi" w:hAnsi="Arial" w:cs="Arial"/>
          <w:lang w:val="en-ZA"/>
        </w:rPr>
      </w:pPr>
      <w:r>
        <w:rPr>
          <w:rFonts w:ascii="Arial" w:eastAsiaTheme="minorHAnsi" w:hAnsi="Arial" w:cs="Arial"/>
          <w:b/>
          <w:lang w:val="en-ZA"/>
        </w:rPr>
        <w:br/>
      </w:r>
      <w:r w:rsidRPr="00D85CC0">
        <w:rPr>
          <w:rFonts w:ascii="Arial" w:eastAsiaTheme="minorHAnsi" w:hAnsi="Arial" w:cs="Arial"/>
          <w:b/>
          <w:lang w:val="en-ZA"/>
        </w:rPr>
        <w:t>Report of the Standing Committee on Finance on the determination of remuneration of members of the Financial and Fiscal Commission, dated 8 September 2021</w:t>
      </w:r>
      <w:r w:rsidRPr="00D85CC0">
        <w:rPr>
          <w:rFonts w:ascii="Arial" w:eastAsiaTheme="minorHAnsi" w:hAnsi="Arial" w:cs="Arial"/>
          <w:lang w:val="en-ZA"/>
        </w:rPr>
        <w:t xml:space="preserve">. </w:t>
      </w:r>
      <w:r>
        <w:rPr>
          <w:rFonts w:ascii="Arial" w:eastAsiaTheme="minorHAnsi" w:hAnsi="Arial" w:cs="Arial"/>
          <w:lang w:val="en-ZA"/>
        </w:rPr>
        <w:br/>
      </w:r>
      <w:r>
        <w:rPr>
          <w:rFonts w:ascii="Arial" w:eastAsiaTheme="minorHAnsi" w:hAnsi="Arial" w:cs="Arial"/>
          <w:lang w:val="en-ZA"/>
        </w:rPr>
        <w:br/>
      </w:r>
      <w:r w:rsidRPr="00D85CC0">
        <w:rPr>
          <w:rFonts w:ascii="Arial" w:eastAsiaTheme="minorHAnsi" w:hAnsi="Arial" w:cs="Arial"/>
          <w:lang w:val="en-ZA"/>
        </w:rPr>
        <w:t>A letter, dated 13 April 2021, was received from the President of the Republic, requesting the National Assembly to consider the draft notice of his determination of the salaries and allowances of members of the Financial and Fiscal Commission (FFC), amongst others. The draft determination is made in terms of section 9(1) of the Financial and Fiscal Commission Act No. 99 of 1997 (FFC Act), as amended by the Financial and Fiscal Commission Amendment Act, 2015 (Act No 4 of 2015), in terms of the Independent Commission for the Remuneration of Public Office-bearers Act, 1997 (Act no. 92 of 1997) as amended by the Determination of Remuneration of Office-Bearers of Independent Constitutional Institutions Laws Amendment Act, 2014 (Act No. 22 of 2014).</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On 22 April 2021 the part of the draft notice from the President on the determination of the salaries and allowances of members of the FFC was referred to the Standing Committee on Finance for consideration and report. </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Section 9(1) of the FFC Act provides that members of the FFC are entitled to such remuneration, allowances and other benefits as determined by the President taking into consideration the recommendations from the Independent Commission for the Remuneration of Public Office Bearers (Commission). The determination by the President must be approved by the National Assembly. Furthermore, the Commission must consult with the Minister of Finance when investigating or considering the remuneration, allowances and other benefits of members of the FFC. </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Subsection (6)(b) of section 8 of the Independent Commission for the Remuneration of Public Office-bearers Act requires that the Commission take the following factors into account when making recommendations, as it did in the report:  </w:t>
      </w:r>
    </w:p>
    <w:p w:rsidR="00D85CC0" w:rsidRPr="00D85CC0" w:rsidRDefault="00D85CC0" w:rsidP="00D85CC0">
      <w:pPr>
        <w:numPr>
          <w:ilvl w:val="0"/>
          <w:numId w:val="2"/>
        </w:numPr>
        <w:contextualSpacing/>
        <w:rPr>
          <w:rFonts w:ascii="Arial" w:eastAsiaTheme="minorHAnsi" w:hAnsi="Arial" w:cs="Arial"/>
          <w:lang w:val="en-ZA"/>
        </w:rPr>
      </w:pPr>
      <w:r w:rsidRPr="00D85CC0">
        <w:rPr>
          <w:rFonts w:ascii="Arial" w:eastAsiaTheme="minorHAnsi" w:hAnsi="Arial" w:cs="Arial"/>
          <w:lang w:val="en-ZA"/>
        </w:rPr>
        <w:t>The salary, allowances and benefits of members of other constitutional institutions;</w:t>
      </w:r>
    </w:p>
    <w:p w:rsidR="00D85CC0" w:rsidRPr="00D85CC0" w:rsidRDefault="00D85CC0" w:rsidP="00D85CC0">
      <w:pPr>
        <w:numPr>
          <w:ilvl w:val="0"/>
          <w:numId w:val="2"/>
        </w:numPr>
        <w:contextualSpacing/>
        <w:rPr>
          <w:rFonts w:ascii="Arial" w:eastAsiaTheme="minorHAnsi" w:hAnsi="Arial" w:cs="Arial"/>
          <w:lang w:val="en-ZA"/>
        </w:rPr>
      </w:pPr>
      <w:r w:rsidRPr="00D85CC0">
        <w:rPr>
          <w:rFonts w:ascii="Arial" w:eastAsiaTheme="minorHAnsi" w:hAnsi="Arial" w:cs="Arial"/>
          <w:lang w:val="en-ZA"/>
        </w:rPr>
        <w:t>affordability in relation to the responsibilities of the constitutional institution concerned; and</w:t>
      </w:r>
    </w:p>
    <w:p w:rsidR="00D85CC0" w:rsidRPr="00D85CC0" w:rsidRDefault="00D85CC0" w:rsidP="00D85CC0">
      <w:pPr>
        <w:numPr>
          <w:ilvl w:val="0"/>
          <w:numId w:val="2"/>
        </w:numPr>
        <w:contextualSpacing/>
        <w:rPr>
          <w:rFonts w:ascii="Arial" w:eastAsiaTheme="minorHAnsi" w:hAnsi="Arial" w:cs="Arial"/>
          <w:lang w:val="en-ZA"/>
        </w:rPr>
      </w:pPr>
      <w:proofErr w:type="gramStart"/>
      <w:r w:rsidRPr="00D85CC0">
        <w:rPr>
          <w:rFonts w:ascii="Arial" w:eastAsiaTheme="minorHAnsi" w:hAnsi="Arial" w:cs="Arial"/>
          <w:lang w:val="en-ZA"/>
        </w:rPr>
        <w:t>the</w:t>
      </w:r>
      <w:proofErr w:type="gramEnd"/>
      <w:r w:rsidRPr="00D85CC0">
        <w:rPr>
          <w:rFonts w:ascii="Arial" w:eastAsiaTheme="minorHAnsi" w:hAnsi="Arial" w:cs="Arial"/>
          <w:lang w:val="en-ZA"/>
        </w:rPr>
        <w:t xml:space="preserve"> level of expertise and experience required of a member of the constitutional institution concerned.</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On 24 December 2020 the Report of the Commission was published in the Government Gazette (No. 44039). </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As indicated in the draft notice, the Commission recommended, after considering the relevant legislation and factors that must be taken into account, the following:</w:t>
      </w:r>
    </w:p>
    <w:p w:rsidR="00D85CC0" w:rsidRPr="00D85CC0" w:rsidRDefault="00D85CC0" w:rsidP="00D85CC0">
      <w:pPr>
        <w:numPr>
          <w:ilvl w:val="0"/>
          <w:numId w:val="1"/>
        </w:numPr>
        <w:contextualSpacing/>
        <w:rPr>
          <w:rFonts w:ascii="Arial" w:eastAsiaTheme="minorHAnsi" w:hAnsi="Arial" w:cs="Arial"/>
          <w:lang w:val="en-ZA"/>
        </w:rPr>
      </w:pPr>
      <w:r w:rsidRPr="00D85CC0">
        <w:rPr>
          <w:rFonts w:ascii="Arial" w:eastAsiaTheme="minorHAnsi" w:hAnsi="Arial" w:cs="Arial"/>
          <w:lang w:val="en-ZA"/>
        </w:rPr>
        <w:t xml:space="preserve">0% adjustment to the remuneration of all categories of public office bearers (POBs) </w:t>
      </w: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The Schedule to the Notice indicates:</w:t>
      </w:r>
    </w:p>
    <w:p w:rsidR="00D85CC0" w:rsidRPr="00D85CC0" w:rsidRDefault="00D85CC0" w:rsidP="00D85CC0">
      <w:pPr>
        <w:rPr>
          <w:rFonts w:ascii="Arial" w:eastAsiaTheme="minorHAnsi" w:hAnsi="Arial" w:cs="Arial"/>
          <w:lang w:val="en-ZA"/>
        </w:rPr>
      </w:pPr>
    </w:p>
    <w:tbl>
      <w:tblPr>
        <w:tblStyle w:val="TableGrid"/>
        <w:tblW w:w="0" w:type="auto"/>
        <w:tblLook w:val="04A0"/>
      </w:tblPr>
      <w:tblGrid>
        <w:gridCol w:w="1720"/>
        <w:gridCol w:w="1982"/>
        <w:gridCol w:w="1287"/>
        <w:gridCol w:w="563"/>
        <w:gridCol w:w="3464"/>
      </w:tblGrid>
      <w:tr w:rsidR="00D85CC0" w:rsidRPr="00D85CC0" w:rsidTr="00EA09A6">
        <w:tc>
          <w:tcPr>
            <w:tcW w:w="1720" w:type="dxa"/>
            <w:vMerge w:val="restart"/>
          </w:tcPr>
          <w:p w:rsidR="00D85CC0" w:rsidRPr="00D85CC0" w:rsidRDefault="00D85CC0" w:rsidP="00D85CC0">
            <w:pPr>
              <w:rPr>
                <w:rFonts w:ascii="Arial" w:eastAsiaTheme="minorHAnsi" w:hAnsi="Arial" w:cs="Arial"/>
              </w:rPr>
            </w:pPr>
            <w:r w:rsidRPr="00D85CC0">
              <w:rPr>
                <w:rFonts w:ascii="Arial" w:eastAsiaTheme="minorHAnsi" w:hAnsi="Arial" w:cs="Arial"/>
              </w:rPr>
              <w:t>FFC</w:t>
            </w:r>
          </w:p>
        </w:tc>
        <w:tc>
          <w:tcPr>
            <w:tcW w:w="1982" w:type="dxa"/>
            <w:shd w:val="clear" w:color="auto" w:fill="D9D9D9" w:themeFill="background1" w:themeFillShade="D9"/>
          </w:tcPr>
          <w:p w:rsidR="00D85CC0" w:rsidRPr="00D85CC0" w:rsidRDefault="00D85CC0" w:rsidP="00D85CC0">
            <w:pPr>
              <w:rPr>
                <w:rFonts w:ascii="Arial" w:eastAsiaTheme="minorHAnsi" w:hAnsi="Arial" w:cs="Arial"/>
              </w:rPr>
            </w:pPr>
            <w:r w:rsidRPr="00D85CC0">
              <w:rPr>
                <w:rFonts w:ascii="Arial" w:eastAsiaTheme="minorHAnsi" w:hAnsi="Arial" w:cs="Arial"/>
              </w:rPr>
              <w:t xml:space="preserve">Position </w:t>
            </w:r>
          </w:p>
        </w:tc>
        <w:tc>
          <w:tcPr>
            <w:tcW w:w="1287" w:type="dxa"/>
            <w:shd w:val="clear" w:color="auto" w:fill="D9D9D9" w:themeFill="background1" w:themeFillShade="D9"/>
          </w:tcPr>
          <w:p w:rsidR="00D85CC0" w:rsidRPr="00D85CC0" w:rsidRDefault="00D85CC0" w:rsidP="00D85CC0">
            <w:pPr>
              <w:rPr>
                <w:rFonts w:ascii="Arial" w:eastAsiaTheme="minorHAnsi" w:hAnsi="Arial" w:cs="Arial"/>
              </w:rPr>
            </w:pPr>
            <w:r w:rsidRPr="00D85CC0">
              <w:rPr>
                <w:rFonts w:ascii="Arial" w:eastAsiaTheme="minorHAnsi" w:hAnsi="Arial" w:cs="Arial"/>
              </w:rPr>
              <w:t>1 April 2020</w:t>
            </w:r>
          </w:p>
        </w:tc>
        <w:tc>
          <w:tcPr>
            <w:tcW w:w="563" w:type="dxa"/>
            <w:shd w:val="clear" w:color="auto" w:fill="D9D9D9" w:themeFill="background1" w:themeFillShade="D9"/>
          </w:tcPr>
          <w:p w:rsidR="00D85CC0" w:rsidRPr="00D85CC0" w:rsidRDefault="00D85CC0" w:rsidP="00D85CC0">
            <w:pPr>
              <w:rPr>
                <w:rFonts w:ascii="Arial" w:eastAsiaTheme="minorHAnsi" w:hAnsi="Arial" w:cs="Arial"/>
              </w:rPr>
            </w:pPr>
            <w:r w:rsidRPr="00D85CC0">
              <w:rPr>
                <w:rFonts w:ascii="Arial" w:eastAsiaTheme="minorHAnsi" w:hAnsi="Arial" w:cs="Arial"/>
              </w:rPr>
              <w:t>%</w:t>
            </w:r>
          </w:p>
        </w:tc>
        <w:tc>
          <w:tcPr>
            <w:tcW w:w="3464" w:type="dxa"/>
            <w:shd w:val="clear" w:color="auto" w:fill="D9D9D9" w:themeFill="background1" w:themeFillShade="D9"/>
          </w:tcPr>
          <w:p w:rsidR="00D85CC0" w:rsidRPr="00D85CC0" w:rsidRDefault="00D85CC0" w:rsidP="00D85CC0">
            <w:pPr>
              <w:rPr>
                <w:rFonts w:ascii="Arial" w:eastAsiaTheme="minorHAnsi" w:hAnsi="Arial" w:cs="Arial"/>
              </w:rPr>
            </w:pPr>
            <w:r w:rsidRPr="00D85CC0">
              <w:rPr>
                <w:rFonts w:ascii="Arial" w:eastAsiaTheme="minorHAnsi" w:hAnsi="Arial" w:cs="Arial"/>
              </w:rPr>
              <w:t>1 April 2021</w:t>
            </w:r>
          </w:p>
        </w:tc>
      </w:tr>
      <w:tr w:rsidR="00D85CC0" w:rsidRPr="00D85CC0" w:rsidTr="00EA09A6">
        <w:tc>
          <w:tcPr>
            <w:tcW w:w="1720" w:type="dxa"/>
            <w:vMerge/>
          </w:tcPr>
          <w:p w:rsidR="00D85CC0" w:rsidRPr="00D85CC0" w:rsidRDefault="00D85CC0" w:rsidP="00D85CC0">
            <w:pPr>
              <w:rPr>
                <w:rFonts w:ascii="Arial" w:eastAsiaTheme="minorHAnsi" w:hAnsi="Arial" w:cs="Arial"/>
              </w:rPr>
            </w:pPr>
          </w:p>
        </w:tc>
        <w:tc>
          <w:tcPr>
            <w:tcW w:w="1982" w:type="dxa"/>
          </w:tcPr>
          <w:p w:rsidR="00D85CC0" w:rsidRPr="00D85CC0" w:rsidRDefault="00D85CC0" w:rsidP="00D85CC0">
            <w:pPr>
              <w:rPr>
                <w:rFonts w:ascii="Arial" w:eastAsiaTheme="minorHAnsi" w:hAnsi="Arial" w:cs="Arial"/>
              </w:rPr>
            </w:pPr>
            <w:r w:rsidRPr="00D85CC0">
              <w:rPr>
                <w:rFonts w:ascii="Arial" w:eastAsiaTheme="minorHAnsi" w:hAnsi="Arial" w:cs="Arial"/>
              </w:rPr>
              <w:t>Chairperson</w:t>
            </w:r>
          </w:p>
        </w:tc>
        <w:tc>
          <w:tcPr>
            <w:tcW w:w="1287" w:type="dxa"/>
          </w:tcPr>
          <w:p w:rsidR="00D85CC0" w:rsidRPr="00D85CC0" w:rsidRDefault="00D85CC0" w:rsidP="00D85CC0">
            <w:pPr>
              <w:rPr>
                <w:rFonts w:ascii="Arial" w:eastAsiaTheme="minorHAnsi" w:hAnsi="Arial" w:cs="Arial"/>
              </w:rPr>
            </w:pPr>
            <w:r w:rsidRPr="00D85CC0">
              <w:rPr>
                <w:rFonts w:ascii="Arial" w:eastAsiaTheme="minorHAnsi" w:hAnsi="Arial" w:cs="Arial"/>
              </w:rPr>
              <w:t>1 880 736</w:t>
            </w:r>
          </w:p>
        </w:tc>
        <w:tc>
          <w:tcPr>
            <w:tcW w:w="563" w:type="dxa"/>
          </w:tcPr>
          <w:p w:rsidR="00D85CC0" w:rsidRPr="00D85CC0" w:rsidRDefault="00D85CC0" w:rsidP="00D85CC0">
            <w:pPr>
              <w:rPr>
                <w:rFonts w:ascii="Arial" w:eastAsiaTheme="minorHAnsi" w:hAnsi="Arial" w:cs="Arial"/>
              </w:rPr>
            </w:pPr>
            <w:r w:rsidRPr="00D85CC0">
              <w:rPr>
                <w:rFonts w:ascii="Arial" w:eastAsiaTheme="minorHAnsi" w:hAnsi="Arial" w:cs="Arial"/>
              </w:rPr>
              <w:t>0%</w:t>
            </w:r>
          </w:p>
        </w:tc>
        <w:tc>
          <w:tcPr>
            <w:tcW w:w="3464" w:type="dxa"/>
          </w:tcPr>
          <w:p w:rsidR="00D85CC0" w:rsidRPr="00D85CC0" w:rsidRDefault="00D85CC0" w:rsidP="00D85CC0">
            <w:pPr>
              <w:rPr>
                <w:rFonts w:ascii="Arial" w:eastAsiaTheme="minorHAnsi" w:hAnsi="Arial" w:cs="Arial"/>
              </w:rPr>
            </w:pPr>
            <w:r w:rsidRPr="00D85CC0">
              <w:rPr>
                <w:rFonts w:ascii="Arial" w:eastAsiaTheme="minorHAnsi" w:hAnsi="Arial" w:cs="Arial"/>
              </w:rPr>
              <w:t>1 880 736</w:t>
            </w:r>
          </w:p>
        </w:tc>
      </w:tr>
      <w:tr w:rsidR="00D85CC0" w:rsidRPr="00D85CC0" w:rsidTr="00EA09A6">
        <w:tc>
          <w:tcPr>
            <w:tcW w:w="1720" w:type="dxa"/>
            <w:vMerge/>
          </w:tcPr>
          <w:p w:rsidR="00D85CC0" w:rsidRPr="00D85CC0" w:rsidRDefault="00D85CC0" w:rsidP="00D85CC0">
            <w:pPr>
              <w:rPr>
                <w:rFonts w:ascii="Arial" w:eastAsiaTheme="minorHAnsi" w:hAnsi="Arial" w:cs="Arial"/>
              </w:rPr>
            </w:pPr>
          </w:p>
        </w:tc>
        <w:tc>
          <w:tcPr>
            <w:tcW w:w="7296" w:type="dxa"/>
            <w:gridSpan w:val="4"/>
          </w:tcPr>
          <w:p w:rsidR="00D85CC0" w:rsidRPr="00D85CC0" w:rsidRDefault="00D85CC0" w:rsidP="00D85CC0">
            <w:pPr>
              <w:rPr>
                <w:rFonts w:ascii="Arial" w:eastAsiaTheme="minorHAnsi" w:hAnsi="Arial" w:cs="Arial"/>
              </w:rPr>
            </w:pPr>
            <w:r w:rsidRPr="00D85CC0">
              <w:rPr>
                <w:rFonts w:ascii="Arial" w:eastAsiaTheme="minorHAnsi" w:hAnsi="Arial" w:cs="Arial"/>
              </w:rPr>
              <w:t>SITTING ALLOWANCE FOR PART TIME POSITIONS / PER DAY</w:t>
            </w:r>
          </w:p>
        </w:tc>
      </w:tr>
      <w:tr w:rsidR="00D85CC0" w:rsidRPr="00D85CC0" w:rsidTr="00EA09A6">
        <w:tc>
          <w:tcPr>
            <w:tcW w:w="1720" w:type="dxa"/>
            <w:vMerge/>
          </w:tcPr>
          <w:p w:rsidR="00D85CC0" w:rsidRPr="00D85CC0" w:rsidRDefault="00D85CC0" w:rsidP="00D85CC0">
            <w:pPr>
              <w:rPr>
                <w:rFonts w:ascii="Arial" w:eastAsiaTheme="minorHAnsi" w:hAnsi="Arial" w:cs="Arial"/>
              </w:rPr>
            </w:pPr>
          </w:p>
        </w:tc>
        <w:tc>
          <w:tcPr>
            <w:tcW w:w="1982" w:type="dxa"/>
          </w:tcPr>
          <w:p w:rsidR="00D85CC0" w:rsidRPr="00D85CC0" w:rsidRDefault="00D85CC0" w:rsidP="00D85CC0">
            <w:pPr>
              <w:rPr>
                <w:rFonts w:ascii="Arial" w:eastAsiaTheme="minorHAnsi" w:hAnsi="Arial" w:cs="Arial"/>
              </w:rPr>
            </w:pPr>
            <w:r w:rsidRPr="00D85CC0">
              <w:rPr>
                <w:rFonts w:ascii="Arial" w:eastAsiaTheme="minorHAnsi" w:hAnsi="Arial" w:cs="Arial"/>
              </w:rPr>
              <w:t>Part-time Deputy Chairperson</w:t>
            </w:r>
          </w:p>
        </w:tc>
        <w:tc>
          <w:tcPr>
            <w:tcW w:w="1287" w:type="dxa"/>
          </w:tcPr>
          <w:p w:rsidR="00D85CC0" w:rsidRPr="00D85CC0" w:rsidRDefault="00D85CC0" w:rsidP="00D85CC0">
            <w:pPr>
              <w:rPr>
                <w:rFonts w:ascii="Arial" w:eastAsiaTheme="minorHAnsi" w:hAnsi="Arial" w:cs="Arial"/>
              </w:rPr>
            </w:pPr>
            <w:r w:rsidRPr="00D85CC0">
              <w:rPr>
                <w:rFonts w:ascii="Arial" w:eastAsiaTheme="minorHAnsi" w:hAnsi="Arial" w:cs="Arial"/>
              </w:rPr>
              <w:t>5 697</w:t>
            </w:r>
          </w:p>
        </w:tc>
        <w:tc>
          <w:tcPr>
            <w:tcW w:w="563" w:type="dxa"/>
          </w:tcPr>
          <w:p w:rsidR="00D85CC0" w:rsidRPr="00D85CC0" w:rsidRDefault="00D85CC0" w:rsidP="00D85CC0">
            <w:pPr>
              <w:rPr>
                <w:rFonts w:ascii="Arial" w:eastAsiaTheme="minorHAnsi" w:hAnsi="Arial" w:cs="Arial"/>
              </w:rPr>
            </w:pPr>
            <w:r w:rsidRPr="00D85CC0">
              <w:rPr>
                <w:rFonts w:ascii="Arial" w:eastAsiaTheme="minorHAnsi" w:hAnsi="Arial" w:cs="Arial"/>
              </w:rPr>
              <w:t>0%</w:t>
            </w:r>
          </w:p>
        </w:tc>
        <w:tc>
          <w:tcPr>
            <w:tcW w:w="3464" w:type="dxa"/>
          </w:tcPr>
          <w:p w:rsidR="00D85CC0" w:rsidRPr="00D85CC0" w:rsidRDefault="00D85CC0" w:rsidP="00D85CC0">
            <w:pPr>
              <w:rPr>
                <w:rFonts w:ascii="Arial" w:eastAsiaTheme="minorHAnsi" w:hAnsi="Arial" w:cs="Arial"/>
              </w:rPr>
            </w:pPr>
            <w:r w:rsidRPr="00D85CC0">
              <w:rPr>
                <w:rFonts w:ascii="Arial" w:eastAsiaTheme="minorHAnsi" w:hAnsi="Arial" w:cs="Arial"/>
              </w:rPr>
              <w:t>5 697</w:t>
            </w:r>
          </w:p>
          <w:p w:rsidR="00D85CC0" w:rsidRPr="00D85CC0" w:rsidRDefault="00D85CC0" w:rsidP="00D85CC0">
            <w:pPr>
              <w:rPr>
                <w:rFonts w:ascii="Arial" w:eastAsiaTheme="minorHAnsi" w:hAnsi="Arial" w:cs="Arial"/>
              </w:rPr>
            </w:pPr>
          </w:p>
        </w:tc>
      </w:tr>
      <w:tr w:rsidR="00D85CC0" w:rsidRPr="00D85CC0" w:rsidTr="00EA09A6">
        <w:tc>
          <w:tcPr>
            <w:tcW w:w="1720" w:type="dxa"/>
            <w:vMerge/>
          </w:tcPr>
          <w:p w:rsidR="00D85CC0" w:rsidRPr="00D85CC0" w:rsidRDefault="00D85CC0" w:rsidP="00D85CC0">
            <w:pPr>
              <w:rPr>
                <w:rFonts w:ascii="Arial" w:eastAsiaTheme="minorHAnsi" w:hAnsi="Arial" w:cs="Arial"/>
              </w:rPr>
            </w:pPr>
          </w:p>
        </w:tc>
        <w:tc>
          <w:tcPr>
            <w:tcW w:w="1982" w:type="dxa"/>
          </w:tcPr>
          <w:p w:rsidR="00D85CC0" w:rsidRPr="00D85CC0" w:rsidRDefault="00D85CC0" w:rsidP="00D85CC0">
            <w:pPr>
              <w:rPr>
                <w:rFonts w:ascii="Arial" w:eastAsiaTheme="minorHAnsi" w:hAnsi="Arial" w:cs="Arial"/>
              </w:rPr>
            </w:pPr>
            <w:r w:rsidRPr="00D85CC0">
              <w:rPr>
                <w:rFonts w:ascii="Arial" w:eastAsiaTheme="minorHAnsi" w:hAnsi="Arial" w:cs="Arial"/>
              </w:rPr>
              <w:t xml:space="preserve">Part-time </w:t>
            </w:r>
          </w:p>
          <w:p w:rsidR="00D85CC0" w:rsidRPr="00D85CC0" w:rsidRDefault="00D85CC0" w:rsidP="00D85CC0">
            <w:pPr>
              <w:rPr>
                <w:rFonts w:ascii="Arial" w:eastAsiaTheme="minorHAnsi" w:hAnsi="Arial" w:cs="Arial"/>
              </w:rPr>
            </w:pPr>
            <w:r w:rsidRPr="00D85CC0">
              <w:rPr>
                <w:rFonts w:ascii="Arial" w:eastAsiaTheme="minorHAnsi" w:hAnsi="Arial" w:cs="Arial"/>
              </w:rPr>
              <w:t>members</w:t>
            </w:r>
          </w:p>
        </w:tc>
        <w:tc>
          <w:tcPr>
            <w:tcW w:w="1287" w:type="dxa"/>
          </w:tcPr>
          <w:p w:rsidR="00D85CC0" w:rsidRPr="00D85CC0" w:rsidRDefault="00D85CC0" w:rsidP="00D85CC0">
            <w:pPr>
              <w:rPr>
                <w:rFonts w:ascii="Arial" w:eastAsiaTheme="minorHAnsi" w:hAnsi="Arial" w:cs="Arial"/>
              </w:rPr>
            </w:pPr>
            <w:r w:rsidRPr="00D85CC0">
              <w:rPr>
                <w:rFonts w:ascii="Arial" w:eastAsiaTheme="minorHAnsi" w:hAnsi="Arial" w:cs="Arial"/>
              </w:rPr>
              <w:t>4 686</w:t>
            </w:r>
          </w:p>
        </w:tc>
        <w:tc>
          <w:tcPr>
            <w:tcW w:w="563" w:type="dxa"/>
          </w:tcPr>
          <w:p w:rsidR="00D85CC0" w:rsidRPr="00D85CC0" w:rsidRDefault="00D85CC0" w:rsidP="00D85CC0">
            <w:pPr>
              <w:rPr>
                <w:rFonts w:ascii="Arial" w:eastAsiaTheme="minorHAnsi" w:hAnsi="Arial" w:cs="Arial"/>
              </w:rPr>
            </w:pPr>
            <w:r w:rsidRPr="00D85CC0">
              <w:rPr>
                <w:rFonts w:ascii="Arial" w:eastAsiaTheme="minorHAnsi" w:hAnsi="Arial" w:cs="Arial"/>
              </w:rPr>
              <w:t>0%</w:t>
            </w:r>
          </w:p>
        </w:tc>
        <w:tc>
          <w:tcPr>
            <w:tcW w:w="3464" w:type="dxa"/>
          </w:tcPr>
          <w:p w:rsidR="00D85CC0" w:rsidRPr="00D85CC0" w:rsidRDefault="00D85CC0" w:rsidP="00D85CC0">
            <w:pPr>
              <w:rPr>
                <w:rFonts w:ascii="Arial" w:eastAsiaTheme="minorHAnsi" w:hAnsi="Arial" w:cs="Arial"/>
              </w:rPr>
            </w:pPr>
            <w:r w:rsidRPr="00D85CC0">
              <w:rPr>
                <w:rFonts w:ascii="Arial" w:eastAsiaTheme="minorHAnsi" w:hAnsi="Arial" w:cs="Arial"/>
              </w:rPr>
              <w:t>4 686</w:t>
            </w:r>
          </w:p>
        </w:tc>
      </w:tr>
    </w:tbl>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 </w:t>
      </w: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The determination applies retrospectively from 1 April 2020. </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 xml:space="preserve">The Standing Committee on Finance, having considered the determination of remuneration of members of the Financial and Fiscal Commission, referred to it, unanimously adopted the report and approves the President’s determination of remuneration of members of the Financial and Fiscal Commission. </w:t>
      </w:r>
    </w:p>
    <w:p w:rsidR="00D85CC0" w:rsidRPr="00D85CC0" w:rsidRDefault="00D85CC0" w:rsidP="00D85CC0">
      <w:pPr>
        <w:rPr>
          <w:rFonts w:ascii="Arial" w:eastAsiaTheme="minorHAnsi" w:hAnsi="Arial" w:cs="Arial"/>
          <w:lang w:val="en-ZA"/>
        </w:rPr>
      </w:pPr>
    </w:p>
    <w:p w:rsidR="00D85CC0" w:rsidRPr="00D85CC0" w:rsidRDefault="00D85CC0" w:rsidP="00D85CC0">
      <w:pPr>
        <w:rPr>
          <w:rFonts w:ascii="Arial" w:eastAsiaTheme="minorHAnsi" w:hAnsi="Arial" w:cs="Arial"/>
          <w:lang w:val="en-ZA"/>
        </w:rPr>
      </w:pPr>
      <w:r w:rsidRPr="00D85CC0">
        <w:rPr>
          <w:rFonts w:ascii="Arial" w:eastAsiaTheme="minorHAnsi" w:hAnsi="Arial" w:cs="Arial"/>
          <w:lang w:val="en-ZA"/>
        </w:rPr>
        <w:t>Report to be considered.</w:t>
      </w:r>
    </w:p>
    <w:p w:rsidR="00F04BD9" w:rsidRPr="00D85CC0" w:rsidRDefault="00F04BD9" w:rsidP="00D85CC0">
      <w:pPr>
        <w:rPr>
          <w:rFonts w:ascii="Arial" w:hAnsi="Arial" w:cs="Arial"/>
        </w:rPr>
      </w:pPr>
    </w:p>
    <w:sectPr w:rsidR="00F04BD9" w:rsidRPr="00D85CC0"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7DA7"/>
    <w:multiLevelType w:val="hybridMultilevel"/>
    <w:tmpl w:val="E92E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F8F6038"/>
    <w:multiLevelType w:val="hybridMultilevel"/>
    <w:tmpl w:val="231AE9D0"/>
    <w:lvl w:ilvl="0" w:tplc="CB90F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5CC0"/>
    <w:rsid w:val="00D85CC0"/>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C0"/>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CC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2022-03-31T07:28:00Z</dcterms:created>
  <dcterms:modified xsi:type="dcterms:W3CDTF">2022-03-31T07:29:00Z</dcterms:modified>
</cp:coreProperties>
</file>