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5F" w:rsidRPr="002C1D31" w:rsidRDefault="0027607F" w:rsidP="002C1D31">
      <w:pPr>
        <w:pStyle w:val="NoSpacing"/>
        <w:rPr>
          <w:rFonts w:ascii="Arial" w:eastAsiaTheme="majorEastAsia" w:hAnsi="Arial" w:cs="Arial"/>
          <w:b/>
          <w:sz w:val="20"/>
          <w:szCs w:val="20"/>
        </w:rPr>
      </w:pPr>
      <w:r w:rsidRPr="002C1D31">
        <w:rPr>
          <w:rFonts w:ascii="Arial" w:eastAsiaTheme="majorEastAsia" w:hAnsi="Arial" w:cs="Arial"/>
          <w:b/>
          <w:sz w:val="20"/>
          <w:szCs w:val="20"/>
        </w:rPr>
        <w:t>Report of the Portfolio Committee on</w:t>
      </w:r>
      <w:r w:rsidR="00736A39" w:rsidRPr="002C1D31">
        <w:rPr>
          <w:rFonts w:ascii="Arial" w:eastAsiaTheme="majorEastAsia" w:hAnsi="Arial" w:cs="Arial"/>
          <w:b/>
          <w:sz w:val="20"/>
          <w:szCs w:val="20"/>
        </w:rPr>
        <w:t xml:space="preserve"> P</w:t>
      </w:r>
      <w:r w:rsidRPr="002C1D31">
        <w:rPr>
          <w:rFonts w:ascii="Arial" w:eastAsiaTheme="majorEastAsia" w:hAnsi="Arial" w:cs="Arial"/>
          <w:b/>
          <w:sz w:val="20"/>
          <w:szCs w:val="20"/>
        </w:rPr>
        <w:t>ublic Service and A</w:t>
      </w:r>
      <w:r w:rsidR="006D3464" w:rsidRPr="002C1D31">
        <w:rPr>
          <w:rFonts w:ascii="Arial" w:eastAsiaTheme="majorEastAsia" w:hAnsi="Arial" w:cs="Arial"/>
          <w:b/>
          <w:sz w:val="20"/>
          <w:szCs w:val="20"/>
        </w:rPr>
        <w:t xml:space="preserve">dministration on </w:t>
      </w:r>
      <w:r w:rsidRPr="002C1D31">
        <w:rPr>
          <w:rFonts w:ascii="Arial" w:eastAsiaTheme="majorEastAsia" w:hAnsi="Arial" w:cs="Arial"/>
          <w:b/>
          <w:sz w:val="20"/>
          <w:szCs w:val="20"/>
        </w:rPr>
        <w:t xml:space="preserve">consideration of </w:t>
      </w:r>
      <w:r w:rsidR="006D3464" w:rsidRPr="002C1D31">
        <w:rPr>
          <w:rFonts w:ascii="Arial" w:eastAsiaTheme="majorEastAsia" w:hAnsi="Arial" w:cs="Arial"/>
          <w:b/>
          <w:sz w:val="20"/>
          <w:szCs w:val="20"/>
        </w:rPr>
        <w:t>the first</w:t>
      </w:r>
      <w:r w:rsidR="00291F6F" w:rsidRPr="002C1D31">
        <w:rPr>
          <w:rFonts w:ascii="Arial" w:eastAsiaTheme="majorEastAsia" w:hAnsi="Arial" w:cs="Arial"/>
          <w:b/>
          <w:sz w:val="20"/>
          <w:szCs w:val="20"/>
        </w:rPr>
        <w:t>,</w:t>
      </w:r>
      <w:r w:rsidR="006D3464" w:rsidRPr="002C1D31">
        <w:rPr>
          <w:rFonts w:ascii="Arial" w:eastAsiaTheme="majorEastAsia" w:hAnsi="Arial" w:cs="Arial"/>
          <w:b/>
          <w:sz w:val="20"/>
          <w:szCs w:val="20"/>
        </w:rPr>
        <w:t xml:space="preserve"> </w:t>
      </w:r>
      <w:r w:rsidRPr="002C1D31">
        <w:rPr>
          <w:rFonts w:ascii="Arial" w:eastAsiaTheme="majorEastAsia" w:hAnsi="Arial" w:cs="Arial"/>
          <w:b/>
          <w:sz w:val="20"/>
          <w:szCs w:val="20"/>
        </w:rPr>
        <w:t xml:space="preserve">second </w:t>
      </w:r>
      <w:r w:rsidR="00291F6F" w:rsidRPr="002C1D31">
        <w:rPr>
          <w:rFonts w:ascii="Arial" w:eastAsiaTheme="majorEastAsia" w:hAnsi="Arial" w:cs="Arial"/>
          <w:b/>
          <w:sz w:val="20"/>
          <w:szCs w:val="20"/>
        </w:rPr>
        <w:t xml:space="preserve">and third </w:t>
      </w:r>
      <w:r w:rsidRPr="002C1D31">
        <w:rPr>
          <w:rFonts w:ascii="Arial" w:eastAsiaTheme="majorEastAsia" w:hAnsi="Arial" w:cs="Arial"/>
          <w:b/>
          <w:sz w:val="20"/>
          <w:szCs w:val="20"/>
        </w:rPr>
        <w:t xml:space="preserve">quarter performance </w:t>
      </w:r>
      <w:r w:rsidR="00291F6F" w:rsidRPr="002C1D31">
        <w:rPr>
          <w:rFonts w:ascii="Arial" w:eastAsiaTheme="majorEastAsia" w:hAnsi="Arial" w:cs="Arial"/>
          <w:b/>
          <w:sz w:val="20"/>
          <w:szCs w:val="20"/>
        </w:rPr>
        <w:t>2021</w:t>
      </w:r>
      <w:r w:rsidR="00174C95" w:rsidRPr="002C1D31">
        <w:rPr>
          <w:rFonts w:ascii="Arial" w:eastAsiaTheme="majorEastAsia" w:hAnsi="Arial" w:cs="Arial"/>
          <w:b/>
          <w:sz w:val="20"/>
          <w:szCs w:val="20"/>
        </w:rPr>
        <w:t>/2</w:t>
      </w:r>
      <w:r w:rsidR="00291F6F" w:rsidRPr="002C1D31">
        <w:rPr>
          <w:rFonts w:ascii="Arial" w:eastAsiaTheme="majorEastAsia" w:hAnsi="Arial" w:cs="Arial"/>
          <w:b/>
          <w:sz w:val="20"/>
          <w:szCs w:val="20"/>
        </w:rPr>
        <w:t>2</w:t>
      </w:r>
      <w:r w:rsidRPr="002C1D31">
        <w:rPr>
          <w:rFonts w:ascii="Arial" w:eastAsiaTheme="majorEastAsia" w:hAnsi="Arial" w:cs="Arial"/>
          <w:b/>
          <w:sz w:val="20"/>
          <w:szCs w:val="20"/>
        </w:rPr>
        <w:t xml:space="preserve"> financial year</w:t>
      </w:r>
      <w:r w:rsidR="00174C95" w:rsidRPr="002C1D31">
        <w:rPr>
          <w:rFonts w:ascii="Arial" w:eastAsiaTheme="majorEastAsia" w:hAnsi="Arial" w:cs="Arial"/>
          <w:b/>
          <w:sz w:val="20"/>
          <w:szCs w:val="20"/>
        </w:rPr>
        <w:t xml:space="preserve"> </w:t>
      </w:r>
      <w:r w:rsidR="006D3464" w:rsidRPr="002C1D31">
        <w:rPr>
          <w:rFonts w:ascii="Arial" w:hAnsi="Arial" w:cs="Arial"/>
          <w:b/>
          <w:sz w:val="20"/>
          <w:szCs w:val="20"/>
        </w:rPr>
        <w:t>for the budget vote</w:t>
      </w:r>
      <w:r w:rsidR="0039612B" w:rsidRPr="002C1D31">
        <w:rPr>
          <w:rFonts w:ascii="Arial" w:hAnsi="Arial" w:cs="Arial"/>
          <w:b/>
          <w:sz w:val="20"/>
          <w:szCs w:val="20"/>
        </w:rPr>
        <w:t xml:space="preserve"> 12 </w:t>
      </w:r>
      <w:r w:rsidRPr="002C1D31">
        <w:rPr>
          <w:rFonts w:ascii="Arial" w:hAnsi="Arial" w:cs="Arial"/>
          <w:b/>
          <w:sz w:val="20"/>
          <w:szCs w:val="20"/>
        </w:rPr>
        <w:t>of the Public Service C</w:t>
      </w:r>
      <w:r w:rsidR="006D3464" w:rsidRPr="002C1D31">
        <w:rPr>
          <w:rFonts w:ascii="Arial" w:hAnsi="Arial" w:cs="Arial"/>
          <w:b/>
          <w:sz w:val="20"/>
          <w:szCs w:val="20"/>
        </w:rPr>
        <w:t xml:space="preserve">ommission, </w:t>
      </w:r>
      <w:r w:rsidR="006D3464" w:rsidRPr="002C1D31">
        <w:rPr>
          <w:rFonts w:ascii="Arial" w:eastAsiaTheme="majorEastAsia" w:hAnsi="Arial" w:cs="Arial"/>
          <w:b/>
          <w:sz w:val="20"/>
          <w:szCs w:val="20"/>
        </w:rPr>
        <w:t xml:space="preserve">dated </w:t>
      </w:r>
      <w:r w:rsidR="003B057D" w:rsidRPr="002C1D31">
        <w:rPr>
          <w:rFonts w:ascii="Arial" w:eastAsiaTheme="majorEastAsia" w:hAnsi="Arial" w:cs="Arial"/>
          <w:b/>
          <w:sz w:val="20"/>
          <w:szCs w:val="20"/>
        </w:rPr>
        <w:t>23</w:t>
      </w:r>
      <w:r w:rsidR="00291F6F" w:rsidRPr="002C1D31">
        <w:rPr>
          <w:rFonts w:ascii="Arial" w:eastAsiaTheme="majorEastAsia" w:hAnsi="Arial" w:cs="Arial"/>
          <w:b/>
          <w:sz w:val="20"/>
          <w:szCs w:val="20"/>
        </w:rPr>
        <w:t xml:space="preserve"> March 2022</w:t>
      </w:r>
      <w:r w:rsidR="00946F5F" w:rsidRPr="002C1D31">
        <w:rPr>
          <w:rFonts w:ascii="Arial" w:eastAsiaTheme="majorEastAsia" w:hAnsi="Arial" w:cs="Arial"/>
          <w:b/>
          <w:sz w:val="20"/>
          <w:szCs w:val="20"/>
        </w:rPr>
        <w:t xml:space="preserve"> </w:t>
      </w:r>
    </w:p>
    <w:p w:rsidR="00946F5F" w:rsidRPr="002C1D31" w:rsidRDefault="00736A39" w:rsidP="002C1D31">
      <w:pPr>
        <w:spacing w:after="0" w:line="240" w:lineRule="auto"/>
        <w:rPr>
          <w:rFonts w:ascii="Arial" w:hAnsi="Arial" w:cs="Arial"/>
          <w:b/>
          <w:sz w:val="20"/>
          <w:szCs w:val="20"/>
        </w:rPr>
      </w:pPr>
      <w:r w:rsidRPr="002C1D31">
        <w:rPr>
          <w:rFonts w:ascii="Arial" w:hAnsi="Arial" w:cs="Arial"/>
          <w:b/>
          <w:sz w:val="20"/>
          <w:szCs w:val="20"/>
        </w:rPr>
        <w:t xml:space="preserve"> </w:t>
      </w:r>
    </w:p>
    <w:p w:rsidR="00101683" w:rsidRPr="002C1D31" w:rsidRDefault="00101683" w:rsidP="002C1D31">
      <w:pPr>
        <w:pStyle w:val="ListParagraph"/>
        <w:numPr>
          <w:ilvl w:val="0"/>
          <w:numId w:val="1"/>
        </w:numPr>
        <w:spacing w:after="0" w:line="240" w:lineRule="auto"/>
        <w:ind w:left="567" w:hanging="567"/>
        <w:rPr>
          <w:rFonts w:ascii="Arial" w:hAnsi="Arial" w:cs="Arial"/>
          <w:b/>
          <w:sz w:val="20"/>
          <w:szCs w:val="20"/>
        </w:rPr>
      </w:pPr>
      <w:r w:rsidRPr="002C1D31">
        <w:rPr>
          <w:rFonts w:ascii="Arial" w:hAnsi="Arial" w:cs="Arial"/>
          <w:b/>
          <w:sz w:val="20"/>
          <w:szCs w:val="20"/>
        </w:rPr>
        <w:t>BACKGROUND</w:t>
      </w:r>
    </w:p>
    <w:p w:rsidR="00B541A4" w:rsidRPr="002C1D31" w:rsidRDefault="00B541A4" w:rsidP="002C1D31">
      <w:pPr>
        <w:spacing w:after="0" w:line="240" w:lineRule="auto"/>
        <w:rPr>
          <w:rFonts w:ascii="Arial" w:hAnsi="Arial" w:cs="Arial"/>
          <w:sz w:val="20"/>
          <w:szCs w:val="20"/>
        </w:rPr>
      </w:pPr>
      <w:r w:rsidRPr="002C1D31">
        <w:rPr>
          <w:rFonts w:ascii="Arial" w:hAnsi="Arial" w:cs="Arial"/>
          <w:sz w:val="20"/>
          <w:szCs w:val="20"/>
        </w:rPr>
        <w:t xml:space="preserve">The Portfolio Committee on </w:t>
      </w:r>
      <w:bookmarkStart w:id="0" w:name="_GoBack"/>
      <w:bookmarkEnd w:id="0"/>
      <w:r w:rsidRPr="002C1D31">
        <w:rPr>
          <w:rFonts w:ascii="Arial" w:hAnsi="Arial" w:cs="Arial"/>
          <w:sz w:val="20"/>
          <w:szCs w:val="20"/>
        </w:rPr>
        <w:t xml:space="preserve">Public Service and Administration (hereinafter referred to as the Committee) having considered </w:t>
      </w:r>
      <w:r w:rsidR="00291F6F" w:rsidRPr="002C1D31">
        <w:rPr>
          <w:rFonts w:ascii="Arial" w:hAnsi="Arial" w:cs="Arial"/>
          <w:sz w:val="20"/>
          <w:szCs w:val="20"/>
        </w:rPr>
        <w:t>first,</w:t>
      </w:r>
      <w:r w:rsidR="00BA6841" w:rsidRPr="002C1D31">
        <w:rPr>
          <w:rFonts w:ascii="Arial" w:hAnsi="Arial" w:cs="Arial"/>
          <w:sz w:val="20"/>
          <w:szCs w:val="20"/>
        </w:rPr>
        <w:t xml:space="preserve"> </w:t>
      </w:r>
      <w:r w:rsidR="00A736D6" w:rsidRPr="002C1D31">
        <w:rPr>
          <w:rFonts w:ascii="Arial" w:hAnsi="Arial" w:cs="Arial"/>
          <w:sz w:val="20"/>
          <w:szCs w:val="20"/>
        </w:rPr>
        <w:t xml:space="preserve">second </w:t>
      </w:r>
      <w:r w:rsidR="00291F6F" w:rsidRPr="002C1D31">
        <w:rPr>
          <w:rFonts w:ascii="Arial" w:hAnsi="Arial" w:cs="Arial"/>
          <w:sz w:val="20"/>
          <w:szCs w:val="20"/>
        </w:rPr>
        <w:t xml:space="preserve">and third </w:t>
      </w:r>
      <w:r w:rsidR="00BA6841" w:rsidRPr="002C1D31">
        <w:rPr>
          <w:rFonts w:ascii="Arial" w:hAnsi="Arial" w:cs="Arial"/>
          <w:sz w:val="20"/>
          <w:szCs w:val="20"/>
        </w:rPr>
        <w:t>quarter performance of 202</w:t>
      </w:r>
      <w:r w:rsidR="00291F6F" w:rsidRPr="002C1D31">
        <w:rPr>
          <w:rFonts w:ascii="Arial" w:hAnsi="Arial" w:cs="Arial"/>
          <w:sz w:val="20"/>
          <w:szCs w:val="20"/>
        </w:rPr>
        <w:t>1</w:t>
      </w:r>
      <w:r w:rsidR="00BA6841" w:rsidRPr="002C1D31">
        <w:rPr>
          <w:rFonts w:ascii="Arial" w:hAnsi="Arial" w:cs="Arial"/>
          <w:sz w:val="20"/>
          <w:szCs w:val="20"/>
        </w:rPr>
        <w:t>/2</w:t>
      </w:r>
      <w:r w:rsidR="00291F6F" w:rsidRPr="002C1D31">
        <w:rPr>
          <w:rFonts w:ascii="Arial" w:hAnsi="Arial" w:cs="Arial"/>
          <w:sz w:val="20"/>
          <w:szCs w:val="20"/>
        </w:rPr>
        <w:t>2</w:t>
      </w:r>
      <w:r w:rsidR="00A736D6" w:rsidRPr="002C1D31">
        <w:rPr>
          <w:rFonts w:ascii="Arial" w:hAnsi="Arial" w:cs="Arial"/>
          <w:sz w:val="20"/>
          <w:szCs w:val="20"/>
        </w:rPr>
        <w:t xml:space="preserve"> financial year </w:t>
      </w:r>
      <w:r w:rsidRPr="002C1D31">
        <w:rPr>
          <w:rFonts w:ascii="Arial" w:hAnsi="Arial" w:cs="Arial"/>
          <w:sz w:val="20"/>
          <w:szCs w:val="20"/>
        </w:rPr>
        <w:t>of the Public Service Commission, reports as follows:</w:t>
      </w:r>
    </w:p>
    <w:p w:rsidR="00285775" w:rsidRPr="002C1D31" w:rsidRDefault="00285775" w:rsidP="002C1D31">
      <w:pPr>
        <w:spacing w:after="0" w:line="240" w:lineRule="auto"/>
        <w:rPr>
          <w:rFonts w:ascii="Arial" w:hAnsi="Arial" w:cs="Arial"/>
          <w:sz w:val="20"/>
          <w:szCs w:val="20"/>
        </w:rPr>
      </w:pPr>
    </w:p>
    <w:p w:rsidR="0027593E" w:rsidRPr="002C1D31" w:rsidRDefault="00101683" w:rsidP="002C1D31">
      <w:pPr>
        <w:pStyle w:val="ListParagraph"/>
        <w:numPr>
          <w:ilvl w:val="0"/>
          <w:numId w:val="1"/>
        </w:numPr>
        <w:spacing w:after="0" w:line="240" w:lineRule="auto"/>
        <w:ind w:left="567" w:hanging="567"/>
        <w:rPr>
          <w:rFonts w:ascii="Arial" w:hAnsi="Arial" w:cs="Arial"/>
          <w:b/>
          <w:sz w:val="20"/>
          <w:szCs w:val="20"/>
        </w:rPr>
      </w:pPr>
      <w:r w:rsidRPr="002C1D31">
        <w:rPr>
          <w:rFonts w:ascii="Arial" w:hAnsi="Arial" w:cs="Arial"/>
          <w:b/>
          <w:sz w:val="20"/>
          <w:szCs w:val="20"/>
        </w:rPr>
        <w:t xml:space="preserve">INTRODUCTION </w:t>
      </w:r>
    </w:p>
    <w:p w:rsidR="006A48CE" w:rsidRPr="002C1D31" w:rsidRDefault="00B541A4" w:rsidP="002C1D31">
      <w:pPr>
        <w:spacing w:after="0" w:line="240" w:lineRule="auto"/>
        <w:rPr>
          <w:rFonts w:ascii="Arial" w:eastAsiaTheme="minorHAnsi" w:hAnsi="Arial" w:cs="Arial"/>
          <w:sz w:val="20"/>
          <w:szCs w:val="20"/>
        </w:rPr>
      </w:pPr>
      <w:r w:rsidRPr="002C1D31">
        <w:rPr>
          <w:rFonts w:ascii="Arial" w:hAnsi="Arial" w:cs="Arial"/>
          <w:sz w:val="20"/>
          <w:szCs w:val="20"/>
        </w:rPr>
        <w:t xml:space="preserve">Parliament through its Committees has a constitutional responsibility to oversee quarterly programme performance information of the </w:t>
      </w:r>
      <w:r w:rsidR="00230510" w:rsidRPr="002C1D31">
        <w:rPr>
          <w:rFonts w:ascii="Arial" w:hAnsi="Arial" w:cs="Arial"/>
          <w:sz w:val="20"/>
          <w:szCs w:val="20"/>
        </w:rPr>
        <w:t>departments and their entities in a specific</w:t>
      </w:r>
      <w:r w:rsidRPr="002C1D31">
        <w:rPr>
          <w:rFonts w:ascii="Arial" w:hAnsi="Arial" w:cs="Arial"/>
          <w:sz w:val="20"/>
          <w:szCs w:val="20"/>
        </w:rPr>
        <w:t xml:space="preserve"> financial year. </w:t>
      </w:r>
      <w:r w:rsidR="006A48CE" w:rsidRPr="002C1D31">
        <w:rPr>
          <w:rFonts w:ascii="Arial" w:eastAsiaTheme="minorHAnsi" w:hAnsi="Arial" w:cs="Arial"/>
          <w:sz w:val="20"/>
          <w:szCs w:val="20"/>
        </w:rPr>
        <w:t xml:space="preserve">The Money Bills Amendment and Related Matters Act (2009) describe the process of exercising this responsibility. The Act states that portfolio committees of parliament must conduct reviews of the finances of their respective departments and entities and if required, issue recommendations on the forward use of resources. </w:t>
      </w:r>
    </w:p>
    <w:p w:rsidR="006A48CE" w:rsidRPr="002C1D31" w:rsidRDefault="006A48CE" w:rsidP="002C1D31">
      <w:pPr>
        <w:spacing w:after="0" w:line="240" w:lineRule="auto"/>
        <w:rPr>
          <w:rFonts w:ascii="Arial" w:eastAsiaTheme="minorHAnsi" w:hAnsi="Arial" w:cs="Arial"/>
          <w:sz w:val="20"/>
          <w:szCs w:val="20"/>
        </w:rPr>
      </w:pPr>
      <w:r w:rsidRPr="002C1D31">
        <w:rPr>
          <w:rFonts w:ascii="Arial" w:eastAsiaTheme="minorHAnsi" w:hAnsi="Arial" w:cs="Arial"/>
          <w:sz w:val="20"/>
          <w:szCs w:val="20"/>
        </w:rPr>
        <w:t>Programme performance information focuses on information that is collected by government departments in the course of fulfilling their mandates and implementing policies. Quarterly performance reports serve as a vital tool used by parliamentary committees to ensure accountability, transparency and oversight on how government resources are spent. Committees are expected to monitor both financial and non-financial performance of the departments.</w:t>
      </w:r>
      <w:r w:rsidR="00C85B4C" w:rsidRPr="002C1D31">
        <w:rPr>
          <w:rFonts w:ascii="Arial" w:eastAsiaTheme="minorHAnsi" w:hAnsi="Arial" w:cs="Arial"/>
          <w:sz w:val="20"/>
          <w:szCs w:val="20"/>
        </w:rPr>
        <w:t xml:space="preserve"> The Public Finance Management Act of 1999 guides the Department to do quarterly performance reports.</w:t>
      </w:r>
      <w:r w:rsidRPr="002C1D31">
        <w:rPr>
          <w:rFonts w:ascii="Arial" w:eastAsiaTheme="minorHAnsi" w:hAnsi="Arial" w:cs="Arial"/>
          <w:sz w:val="20"/>
          <w:szCs w:val="20"/>
        </w:rPr>
        <w:t xml:space="preserve"> The Public Finance Management Regulations compel departments and their entities to prepare quarterly report within 30 days after the end of each quarter. Committees conduct oversight over performance reports to fulfil Parliament’s oversight and accountability mandates as enshrined in the Constitution and under the rules established by the National Assembly. </w:t>
      </w:r>
    </w:p>
    <w:p w:rsidR="00B541A4" w:rsidRPr="002C1D31" w:rsidRDefault="00B541A4" w:rsidP="002C1D31">
      <w:pPr>
        <w:spacing w:after="0" w:line="240" w:lineRule="auto"/>
        <w:rPr>
          <w:rFonts w:ascii="Arial" w:hAnsi="Arial" w:cs="Arial"/>
          <w:sz w:val="20"/>
          <w:szCs w:val="20"/>
        </w:rPr>
      </w:pPr>
      <w:r w:rsidRPr="002C1D31">
        <w:rPr>
          <w:rFonts w:ascii="Arial" w:hAnsi="Arial" w:cs="Arial"/>
          <w:sz w:val="20"/>
          <w:szCs w:val="20"/>
        </w:rPr>
        <w:t xml:space="preserve">On </w:t>
      </w:r>
      <w:r w:rsidR="00291F6F" w:rsidRPr="002C1D31">
        <w:rPr>
          <w:rFonts w:ascii="Arial" w:hAnsi="Arial" w:cs="Arial"/>
          <w:sz w:val="20"/>
          <w:szCs w:val="20"/>
        </w:rPr>
        <w:t>March 09,</w:t>
      </w:r>
      <w:r w:rsidRPr="002C1D31">
        <w:rPr>
          <w:rFonts w:ascii="Arial" w:hAnsi="Arial" w:cs="Arial"/>
          <w:sz w:val="20"/>
          <w:szCs w:val="20"/>
        </w:rPr>
        <w:t xml:space="preserve"> 20</w:t>
      </w:r>
      <w:r w:rsidR="00A736D6" w:rsidRPr="002C1D31">
        <w:rPr>
          <w:rFonts w:ascii="Arial" w:hAnsi="Arial" w:cs="Arial"/>
          <w:sz w:val="20"/>
          <w:szCs w:val="20"/>
        </w:rPr>
        <w:t>2</w:t>
      </w:r>
      <w:r w:rsidR="00291F6F" w:rsidRPr="002C1D31">
        <w:rPr>
          <w:rFonts w:ascii="Arial" w:hAnsi="Arial" w:cs="Arial"/>
          <w:sz w:val="20"/>
          <w:szCs w:val="20"/>
        </w:rPr>
        <w:t>2</w:t>
      </w:r>
      <w:r w:rsidRPr="002C1D31">
        <w:rPr>
          <w:rFonts w:ascii="Arial" w:hAnsi="Arial" w:cs="Arial"/>
          <w:sz w:val="20"/>
          <w:szCs w:val="20"/>
        </w:rPr>
        <w:t xml:space="preserve">, the Committee considered the </w:t>
      </w:r>
      <w:r w:rsidR="00BA6841" w:rsidRPr="002C1D31">
        <w:rPr>
          <w:rFonts w:ascii="Arial" w:hAnsi="Arial" w:cs="Arial"/>
          <w:sz w:val="20"/>
          <w:szCs w:val="20"/>
        </w:rPr>
        <w:t>first</w:t>
      </w:r>
      <w:r w:rsidR="00291F6F" w:rsidRPr="002C1D31">
        <w:rPr>
          <w:rFonts w:ascii="Arial" w:hAnsi="Arial" w:cs="Arial"/>
          <w:sz w:val="20"/>
          <w:szCs w:val="20"/>
        </w:rPr>
        <w:t>,</w:t>
      </w:r>
      <w:r w:rsidR="00BA6841" w:rsidRPr="002C1D31">
        <w:rPr>
          <w:rFonts w:ascii="Arial" w:hAnsi="Arial" w:cs="Arial"/>
          <w:sz w:val="20"/>
          <w:szCs w:val="20"/>
        </w:rPr>
        <w:t xml:space="preserve"> </w:t>
      </w:r>
      <w:r w:rsidR="00A736D6" w:rsidRPr="002C1D31">
        <w:rPr>
          <w:rFonts w:ascii="Arial" w:hAnsi="Arial" w:cs="Arial"/>
          <w:sz w:val="20"/>
          <w:szCs w:val="20"/>
        </w:rPr>
        <w:t xml:space="preserve">second </w:t>
      </w:r>
      <w:r w:rsidR="00291F6F" w:rsidRPr="002C1D31">
        <w:rPr>
          <w:rFonts w:ascii="Arial" w:hAnsi="Arial" w:cs="Arial"/>
          <w:sz w:val="20"/>
          <w:szCs w:val="20"/>
        </w:rPr>
        <w:t xml:space="preserve">and third </w:t>
      </w:r>
      <w:r w:rsidR="00A736D6" w:rsidRPr="002C1D31">
        <w:rPr>
          <w:rFonts w:ascii="Arial" w:hAnsi="Arial" w:cs="Arial"/>
          <w:sz w:val="20"/>
          <w:szCs w:val="20"/>
        </w:rPr>
        <w:t xml:space="preserve">quarter performance of </w:t>
      </w:r>
      <w:r w:rsidR="00BA6841" w:rsidRPr="002C1D31">
        <w:rPr>
          <w:rFonts w:ascii="Arial" w:hAnsi="Arial" w:cs="Arial"/>
          <w:sz w:val="20"/>
          <w:szCs w:val="20"/>
        </w:rPr>
        <w:t>202</w:t>
      </w:r>
      <w:r w:rsidR="00291F6F" w:rsidRPr="002C1D31">
        <w:rPr>
          <w:rFonts w:ascii="Arial" w:hAnsi="Arial" w:cs="Arial"/>
          <w:sz w:val="20"/>
          <w:szCs w:val="20"/>
        </w:rPr>
        <w:t>1</w:t>
      </w:r>
      <w:r w:rsidR="00A736D6" w:rsidRPr="002C1D31">
        <w:rPr>
          <w:rFonts w:ascii="Arial" w:hAnsi="Arial" w:cs="Arial"/>
          <w:sz w:val="20"/>
          <w:szCs w:val="20"/>
        </w:rPr>
        <w:t>/2</w:t>
      </w:r>
      <w:r w:rsidR="00291F6F" w:rsidRPr="002C1D31">
        <w:rPr>
          <w:rFonts w:ascii="Arial" w:hAnsi="Arial" w:cs="Arial"/>
          <w:sz w:val="20"/>
          <w:szCs w:val="20"/>
        </w:rPr>
        <w:t>2</w:t>
      </w:r>
      <w:r w:rsidR="00C8176D" w:rsidRPr="002C1D31">
        <w:rPr>
          <w:rFonts w:ascii="Arial" w:hAnsi="Arial" w:cs="Arial"/>
          <w:sz w:val="20"/>
          <w:szCs w:val="20"/>
        </w:rPr>
        <w:t xml:space="preserve"> </w:t>
      </w:r>
      <w:r w:rsidRPr="002C1D31">
        <w:rPr>
          <w:rFonts w:ascii="Arial" w:hAnsi="Arial" w:cs="Arial"/>
          <w:sz w:val="20"/>
          <w:szCs w:val="20"/>
        </w:rPr>
        <w:t xml:space="preserve">of the </w:t>
      </w:r>
      <w:r w:rsidR="00BA6841" w:rsidRPr="002C1D31">
        <w:rPr>
          <w:rFonts w:ascii="Arial" w:hAnsi="Arial" w:cs="Arial"/>
          <w:sz w:val="20"/>
          <w:szCs w:val="20"/>
        </w:rPr>
        <w:t>Public Service Commission</w:t>
      </w:r>
      <w:r w:rsidR="00230510" w:rsidRPr="002C1D31">
        <w:rPr>
          <w:rFonts w:ascii="Arial" w:hAnsi="Arial" w:cs="Arial"/>
          <w:sz w:val="20"/>
          <w:szCs w:val="20"/>
        </w:rPr>
        <w:t>. P</w:t>
      </w:r>
      <w:r w:rsidRPr="002C1D31">
        <w:rPr>
          <w:rFonts w:ascii="Arial" w:hAnsi="Arial" w:cs="Arial"/>
          <w:sz w:val="20"/>
          <w:szCs w:val="20"/>
        </w:rPr>
        <w:t>erformance informat</w:t>
      </w:r>
      <w:r w:rsidR="00230510" w:rsidRPr="002C1D31">
        <w:rPr>
          <w:rFonts w:ascii="Arial" w:hAnsi="Arial" w:cs="Arial"/>
          <w:sz w:val="20"/>
          <w:szCs w:val="20"/>
        </w:rPr>
        <w:t>ion was in accordance with the</w:t>
      </w:r>
      <w:r w:rsidR="0039612B" w:rsidRPr="002C1D31">
        <w:rPr>
          <w:rFonts w:ascii="Arial" w:hAnsi="Arial" w:cs="Arial"/>
          <w:sz w:val="20"/>
          <w:szCs w:val="20"/>
        </w:rPr>
        <w:t xml:space="preserve"> Strategic Plan</w:t>
      </w:r>
      <w:r w:rsidRPr="002C1D31">
        <w:rPr>
          <w:rFonts w:ascii="Arial" w:hAnsi="Arial" w:cs="Arial"/>
          <w:sz w:val="20"/>
          <w:szCs w:val="20"/>
        </w:rPr>
        <w:t>, Annual Performance Plan and Medium Term Strategic Framework</w:t>
      </w:r>
      <w:r w:rsidR="00291F6F" w:rsidRPr="002C1D31">
        <w:rPr>
          <w:rFonts w:ascii="Arial" w:hAnsi="Arial" w:cs="Arial"/>
          <w:sz w:val="20"/>
          <w:szCs w:val="20"/>
        </w:rPr>
        <w:t xml:space="preserve"> 2020-2025</w:t>
      </w:r>
      <w:r w:rsidRPr="002C1D31">
        <w:rPr>
          <w:rFonts w:ascii="Arial" w:hAnsi="Arial" w:cs="Arial"/>
          <w:sz w:val="20"/>
          <w:szCs w:val="20"/>
        </w:rPr>
        <w:t xml:space="preserve">. The report </w:t>
      </w:r>
      <w:r w:rsidR="00230510" w:rsidRPr="002C1D31">
        <w:rPr>
          <w:rFonts w:ascii="Arial" w:hAnsi="Arial" w:cs="Arial"/>
          <w:sz w:val="20"/>
          <w:szCs w:val="20"/>
        </w:rPr>
        <w:t xml:space="preserve">further </w:t>
      </w:r>
      <w:r w:rsidRPr="002C1D31">
        <w:rPr>
          <w:rFonts w:ascii="Arial" w:hAnsi="Arial" w:cs="Arial"/>
          <w:sz w:val="20"/>
          <w:szCs w:val="20"/>
        </w:rPr>
        <w:t xml:space="preserve">provides </w:t>
      </w:r>
      <w:r w:rsidR="0039612B" w:rsidRPr="002C1D31">
        <w:rPr>
          <w:rFonts w:ascii="Arial" w:hAnsi="Arial" w:cs="Arial"/>
          <w:sz w:val="20"/>
          <w:szCs w:val="20"/>
        </w:rPr>
        <w:t>an overview of the presentation</w:t>
      </w:r>
      <w:r w:rsidRPr="002C1D31">
        <w:rPr>
          <w:rFonts w:ascii="Arial" w:hAnsi="Arial" w:cs="Arial"/>
          <w:sz w:val="20"/>
          <w:szCs w:val="20"/>
        </w:rPr>
        <w:t xml:space="preserve"> made before the Committee mainly focusing on the achievements, output in respect of the performance indicators and targets set for the above mentioned financial year. The report outlines the findings/observations of the Committee relating to the Public Service Commission performance.  </w:t>
      </w:r>
    </w:p>
    <w:p w:rsidR="00285775" w:rsidRPr="002C1D31" w:rsidRDefault="00285775" w:rsidP="002C1D31">
      <w:pPr>
        <w:spacing w:after="0" w:line="240" w:lineRule="auto"/>
        <w:rPr>
          <w:rFonts w:ascii="Arial" w:hAnsi="Arial" w:cs="Arial"/>
          <w:sz w:val="20"/>
          <w:szCs w:val="20"/>
        </w:rPr>
      </w:pPr>
    </w:p>
    <w:p w:rsidR="0039612B" w:rsidRPr="002C1D31" w:rsidRDefault="0039612B" w:rsidP="002C1D31">
      <w:pPr>
        <w:pStyle w:val="ListParagraph"/>
        <w:numPr>
          <w:ilvl w:val="0"/>
          <w:numId w:val="1"/>
        </w:numPr>
        <w:spacing w:after="0" w:line="240" w:lineRule="auto"/>
        <w:ind w:left="567" w:hanging="567"/>
        <w:rPr>
          <w:rFonts w:ascii="Arial" w:hAnsi="Arial" w:cs="Arial"/>
          <w:b/>
          <w:sz w:val="20"/>
          <w:szCs w:val="20"/>
        </w:rPr>
      </w:pPr>
      <w:r w:rsidRPr="002C1D31">
        <w:rPr>
          <w:rFonts w:ascii="Arial" w:hAnsi="Arial" w:cs="Arial"/>
          <w:b/>
          <w:sz w:val="20"/>
          <w:szCs w:val="20"/>
        </w:rPr>
        <w:t>THE MANDATE OF THE PUBLIC SERVICE COMMISSION</w:t>
      </w:r>
    </w:p>
    <w:p w:rsidR="0039612B" w:rsidRPr="002C1D31" w:rsidRDefault="0039612B" w:rsidP="002C1D31">
      <w:pPr>
        <w:spacing w:after="0" w:line="240" w:lineRule="auto"/>
        <w:rPr>
          <w:rFonts w:ascii="Arial" w:hAnsi="Arial" w:cs="Arial"/>
          <w:sz w:val="20"/>
          <w:szCs w:val="20"/>
        </w:rPr>
      </w:pPr>
      <w:r w:rsidRPr="002C1D31">
        <w:rPr>
          <w:rFonts w:ascii="Arial" w:hAnsi="Arial" w:cs="Arial"/>
          <w:sz w:val="20"/>
          <w:szCs w:val="20"/>
        </w:rPr>
        <w:t xml:space="preserve">The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The PSC is required by the Constitution to exercise its powers and to perform its functions without fear, favour or prejudice. The Constitution links the PSC’s independence firmly with its impartiality and no organ of state may interfere with the functioning of the PSC. </w:t>
      </w:r>
    </w:p>
    <w:p w:rsidR="0039612B" w:rsidRPr="002C1D31" w:rsidRDefault="0039612B" w:rsidP="002C1D31">
      <w:pPr>
        <w:spacing w:after="0" w:line="240" w:lineRule="auto"/>
        <w:rPr>
          <w:rFonts w:ascii="Arial" w:hAnsi="Arial" w:cs="Arial"/>
          <w:sz w:val="20"/>
          <w:szCs w:val="20"/>
        </w:rPr>
      </w:pPr>
      <w:r w:rsidRPr="002C1D31">
        <w:rPr>
          <w:rFonts w:ascii="Arial" w:hAnsi="Arial" w:cs="Arial"/>
          <w:sz w:val="20"/>
          <w:szCs w:val="20"/>
        </w:rPr>
        <w:t xml:space="preserve">The PSC is vested with custodial oversight responsibilities for the Public Service and monitors, evaluates and investigates public administration practices. It also has the power to issue directions regarding compliance with personnel procedures relating to recruitment, transfers, promotions and dismissals. The PSC is accountable to the National Assembly and to Provincial Legislatures and must annually report on its activities and performance to these two institutions.     </w:t>
      </w:r>
    </w:p>
    <w:p w:rsidR="0039612B" w:rsidRPr="002C1D31" w:rsidRDefault="0039612B" w:rsidP="002C1D31">
      <w:pPr>
        <w:spacing w:after="0" w:line="240" w:lineRule="auto"/>
        <w:rPr>
          <w:rFonts w:ascii="Arial" w:hAnsi="Arial" w:cs="Arial"/>
          <w:sz w:val="20"/>
          <w:szCs w:val="20"/>
          <w:lang w:eastAsia="en-ZA"/>
        </w:rPr>
      </w:pPr>
      <w:r w:rsidRPr="002C1D31">
        <w:rPr>
          <w:rFonts w:ascii="Arial" w:hAnsi="Arial" w:cs="Arial"/>
          <w:sz w:val="20"/>
          <w:szCs w:val="20"/>
          <w:lang w:eastAsia="en-ZA"/>
        </w:rPr>
        <w:t>The PSC is a constitutional oversight body, established in 1996, primarily to promote “a high standard of professional ethics in the public service”. The PSC operates in terms of the PSC Act 1997. The Act provides for the regulation of the PSC with regard to:</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The constitution of the PSC.</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Appointment of Commissioners.</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Designation of the Chairperson and Deputy Chairperson.</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Conditions of appointment of Commissioners.</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Removal from office of Commissioners.</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Functions of the PSC (inspections, inquiries, etc.)</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 xml:space="preserve">Rules according to which the PSC should operate. </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 xml:space="preserve">The Office of the PSC (OPSC); and </w:t>
      </w:r>
    </w:p>
    <w:p w:rsidR="0039612B" w:rsidRPr="002C1D31" w:rsidRDefault="0039612B" w:rsidP="002C1D31">
      <w:pPr>
        <w:numPr>
          <w:ilvl w:val="0"/>
          <w:numId w:val="23"/>
        </w:numPr>
        <w:spacing w:after="0" w:line="240" w:lineRule="auto"/>
        <w:contextualSpacing/>
        <w:rPr>
          <w:rFonts w:ascii="Arial" w:hAnsi="Arial" w:cs="Arial"/>
          <w:sz w:val="20"/>
          <w:szCs w:val="20"/>
          <w:lang w:eastAsia="en-ZA"/>
        </w:rPr>
      </w:pPr>
      <w:r w:rsidRPr="002C1D31">
        <w:rPr>
          <w:rFonts w:ascii="Arial" w:hAnsi="Arial" w:cs="Arial"/>
          <w:sz w:val="20"/>
          <w:szCs w:val="20"/>
          <w:lang w:eastAsia="en-ZA"/>
        </w:rPr>
        <w:t xml:space="preserve">Transitional arrangements with regard to service commissions (created under the Interim Constitution).   </w:t>
      </w:r>
    </w:p>
    <w:p w:rsidR="0039612B" w:rsidRPr="002C1D31" w:rsidRDefault="0039612B" w:rsidP="002C1D31">
      <w:pPr>
        <w:pStyle w:val="ListParagraph"/>
        <w:spacing w:after="0" w:line="240" w:lineRule="auto"/>
        <w:ind w:left="567"/>
        <w:rPr>
          <w:rFonts w:ascii="Arial" w:hAnsi="Arial" w:cs="Arial"/>
          <w:b/>
          <w:sz w:val="20"/>
          <w:szCs w:val="20"/>
        </w:rPr>
      </w:pPr>
    </w:p>
    <w:p w:rsidR="00101683" w:rsidRPr="002C1D31" w:rsidRDefault="00BA3CE3" w:rsidP="002C1D31">
      <w:pPr>
        <w:pStyle w:val="ListParagraph"/>
        <w:numPr>
          <w:ilvl w:val="0"/>
          <w:numId w:val="1"/>
        </w:numPr>
        <w:spacing w:after="0" w:line="240" w:lineRule="auto"/>
        <w:ind w:left="567" w:hanging="567"/>
        <w:rPr>
          <w:rFonts w:ascii="Arial" w:hAnsi="Arial" w:cs="Arial"/>
          <w:b/>
          <w:sz w:val="20"/>
          <w:szCs w:val="20"/>
        </w:rPr>
      </w:pPr>
      <w:r w:rsidRPr="002C1D31">
        <w:rPr>
          <w:rFonts w:ascii="Arial" w:hAnsi="Arial" w:cs="Arial"/>
          <w:b/>
          <w:sz w:val="20"/>
          <w:szCs w:val="20"/>
        </w:rPr>
        <w:t>PUBLIC SERVICE COMMISSION PROGRAMME PERFORMANCE</w:t>
      </w:r>
    </w:p>
    <w:p w:rsidR="00E227D1" w:rsidRPr="002C1D31" w:rsidRDefault="00E227D1" w:rsidP="002C1D31">
      <w:pPr>
        <w:pStyle w:val="ListParagraph"/>
        <w:spacing w:after="0" w:line="240" w:lineRule="auto"/>
        <w:ind w:left="567"/>
        <w:rPr>
          <w:rFonts w:ascii="Arial" w:hAnsi="Arial" w:cs="Arial"/>
          <w:b/>
          <w:sz w:val="20"/>
          <w:szCs w:val="20"/>
        </w:rPr>
      </w:pPr>
    </w:p>
    <w:p w:rsidR="00E203D8" w:rsidRPr="002C1D31" w:rsidRDefault="00E227D1" w:rsidP="002C1D31">
      <w:pPr>
        <w:pStyle w:val="ListParagraph"/>
        <w:numPr>
          <w:ilvl w:val="1"/>
          <w:numId w:val="1"/>
        </w:numPr>
        <w:spacing w:after="0" w:line="240" w:lineRule="auto"/>
        <w:rPr>
          <w:rFonts w:ascii="Arial" w:hAnsi="Arial" w:cs="Arial"/>
          <w:b/>
          <w:sz w:val="20"/>
          <w:szCs w:val="20"/>
        </w:rPr>
      </w:pPr>
      <w:r w:rsidRPr="002C1D31">
        <w:rPr>
          <w:rFonts w:ascii="Arial" w:hAnsi="Arial" w:cs="Arial"/>
          <w:b/>
          <w:sz w:val="20"/>
          <w:szCs w:val="20"/>
        </w:rPr>
        <w:t>PUBLIC SERVICE COMMISSION</w:t>
      </w:r>
    </w:p>
    <w:p w:rsidR="004A4CD3" w:rsidRPr="002C1D31" w:rsidRDefault="00D51F9A" w:rsidP="002C1D31">
      <w:pPr>
        <w:spacing w:after="0" w:line="240" w:lineRule="auto"/>
        <w:rPr>
          <w:rFonts w:ascii="Arial" w:hAnsi="Arial" w:cs="Arial"/>
          <w:sz w:val="20"/>
          <w:szCs w:val="20"/>
        </w:rPr>
      </w:pPr>
      <w:r w:rsidRPr="002C1D31">
        <w:rPr>
          <w:rFonts w:ascii="Arial" w:hAnsi="Arial" w:cs="Arial"/>
          <w:sz w:val="20"/>
          <w:szCs w:val="20"/>
        </w:rPr>
        <w:t>The Public Service Commission’s overall budg</w:t>
      </w:r>
      <w:r w:rsidR="00C85B4C" w:rsidRPr="002C1D31">
        <w:rPr>
          <w:rFonts w:ascii="Arial" w:hAnsi="Arial" w:cs="Arial"/>
          <w:sz w:val="20"/>
          <w:szCs w:val="20"/>
        </w:rPr>
        <w:t>et allocation for 2021/22 is R286</w:t>
      </w:r>
      <w:r w:rsidRPr="002C1D31">
        <w:rPr>
          <w:rFonts w:ascii="Arial" w:hAnsi="Arial" w:cs="Arial"/>
          <w:sz w:val="20"/>
          <w:szCs w:val="20"/>
        </w:rPr>
        <w:t>.</w:t>
      </w:r>
      <w:r w:rsidR="00C85B4C" w:rsidRPr="002C1D31">
        <w:rPr>
          <w:rFonts w:ascii="Arial" w:hAnsi="Arial" w:cs="Arial"/>
          <w:sz w:val="20"/>
          <w:szCs w:val="20"/>
        </w:rPr>
        <w:t>3</w:t>
      </w:r>
      <w:r w:rsidRPr="002C1D31">
        <w:rPr>
          <w:rFonts w:ascii="Arial" w:hAnsi="Arial" w:cs="Arial"/>
          <w:sz w:val="20"/>
          <w:szCs w:val="20"/>
        </w:rPr>
        <w:t xml:space="preserve"> million, </w:t>
      </w:r>
      <w:r w:rsidR="003B057D" w:rsidRPr="002C1D31">
        <w:rPr>
          <w:rFonts w:ascii="Arial" w:hAnsi="Arial" w:cs="Arial"/>
          <w:sz w:val="20"/>
          <w:szCs w:val="20"/>
        </w:rPr>
        <w:t>and spent R192</w:t>
      </w:r>
      <w:r w:rsidR="00C85B4C" w:rsidRPr="002C1D31">
        <w:rPr>
          <w:rFonts w:ascii="Arial" w:hAnsi="Arial" w:cs="Arial"/>
          <w:sz w:val="20"/>
          <w:szCs w:val="20"/>
        </w:rPr>
        <w:t>.9 million in the third quarter of the financial year</w:t>
      </w:r>
      <w:r w:rsidRPr="002C1D31">
        <w:rPr>
          <w:rFonts w:ascii="Arial" w:hAnsi="Arial" w:cs="Arial"/>
          <w:sz w:val="20"/>
          <w:szCs w:val="20"/>
        </w:rPr>
        <w:t xml:space="preserve">. </w:t>
      </w:r>
      <w:r w:rsidR="00C85B4C" w:rsidRPr="002C1D31">
        <w:rPr>
          <w:rFonts w:ascii="Arial" w:hAnsi="Arial" w:cs="Arial"/>
          <w:sz w:val="20"/>
          <w:szCs w:val="20"/>
        </w:rPr>
        <w:t xml:space="preserve">The Commission has historical record of irregular expenditure which was carry-through effect of a multi-year contract for a mandatory service (Data-Warehouse) that was not procured through SITA in 2018/19 financial year. In 2021/22 financial year, there are no new procurement incurred from January 2019 to date that has resulted in irregular expenditure.   </w:t>
      </w:r>
    </w:p>
    <w:p w:rsidR="00F1338A" w:rsidRPr="002C1D31" w:rsidRDefault="00F1338A" w:rsidP="002C1D31">
      <w:pPr>
        <w:spacing w:after="0" w:line="240" w:lineRule="auto"/>
        <w:rPr>
          <w:rFonts w:ascii="Arial" w:hAnsi="Arial" w:cs="Arial"/>
          <w:b/>
          <w:sz w:val="20"/>
          <w:szCs w:val="20"/>
        </w:rPr>
      </w:pPr>
    </w:p>
    <w:p w:rsidR="003E7519" w:rsidRPr="002C1D31" w:rsidRDefault="003E7519" w:rsidP="002C1D31">
      <w:pPr>
        <w:spacing w:after="0" w:line="240" w:lineRule="auto"/>
        <w:rPr>
          <w:rFonts w:ascii="Arial" w:hAnsi="Arial" w:cs="Arial"/>
          <w:b/>
          <w:sz w:val="20"/>
          <w:szCs w:val="20"/>
        </w:rPr>
      </w:pPr>
      <w:r w:rsidRPr="002C1D31">
        <w:rPr>
          <w:rFonts w:ascii="Arial" w:hAnsi="Arial" w:cs="Arial"/>
          <w:b/>
          <w:sz w:val="20"/>
          <w:szCs w:val="20"/>
        </w:rPr>
        <w:t>Allocated Budget and Expenditure</w:t>
      </w:r>
    </w:p>
    <w:tbl>
      <w:tblPr>
        <w:tblW w:w="8978" w:type="dxa"/>
        <w:tblCellMar>
          <w:left w:w="0" w:type="dxa"/>
          <w:right w:w="0" w:type="dxa"/>
        </w:tblCellMar>
        <w:tblLook w:val="0420"/>
      </w:tblPr>
      <w:tblGrid>
        <w:gridCol w:w="2307"/>
        <w:gridCol w:w="1199"/>
        <w:gridCol w:w="1368"/>
        <w:gridCol w:w="1029"/>
        <w:gridCol w:w="1029"/>
        <w:gridCol w:w="990"/>
        <w:gridCol w:w="1056"/>
      </w:tblGrid>
      <w:tr w:rsidR="00CA4216" w:rsidRPr="002C1D31" w:rsidTr="00291F6F">
        <w:trPr>
          <w:trHeight w:val="1208"/>
        </w:trPr>
        <w:tc>
          <w:tcPr>
            <w:tcW w:w="2307" w:type="dxa"/>
            <w:vMerge w:val="restart"/>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Programmes</w:t>
            </w:r>
          </w:p>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w:t>
            </w:r>
          </w:p>
        </w:tc>
        <w:tc>
          <w:tcPr>
            <w:tcW w:w="119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Adjusted Budget </w:t>
            </w:r>
          </w:p>
        </w:tc>
        <w:tc>
          <w:tcPr>
            <w:tcW w:w="1368"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 Actual Expenditure  </w:t>
            </w:r>
          </w:p>
        </w:tc>
        <w:tc>
          <w:tcPr>
            <w:tcW w:w="102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Actual % of Budget</w:t>
            </w:r>
          </w:p>
        </w:tc>
        <w:tc>
          <w:tcPr>
            <w:tcW w:w="102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Norm </w:t>
            </w:r>
          </w:p>
        </w:tc>
        <w:tc>
          <w:tcPr>
            <w:tcW w:w="990"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Variance</w:t>
            </w:r>
          </w:p>
        </w:tc>
        <w:tc>
          <w:tcPr>
            <w:tcW w:w="1056"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Actual Amount</w:t>
            </w:r>
          </w:p>
        </w:tc>
      </w:tr>
      <w:tr w:rsidR="00CA4216" w:rsidRPr="002C1D31" w:rsidTr="00291F6F">
        <w:trPr>
          <w:trHeight w:val="538"/>
        </w:trPr>
        <w:tc>
          <w:tcPr>
            <w:tcW w:w="0" w:type="auto"/>
            <w:vMerge/>
            <w:tcBorders>
              <w:top w:val="single" w:sz="8" w:space="0" w:color="8AC6CD"/>
              <w:left w:val="single" w:sz="8" w:space="0" w:color="8AC6CD"/>
              <w:bottom w:val="single" w:sz="8" w:space="0" w:color="8AC6CD"/>
              <w:right w:val="single" w:sz="8" w:space="0" w:color="8AC6CD"/>
            </w:tcBorders>
            <w:shd w:val="clear" w:color="auto" w:fill="F2F2F2" w:themeFill="background1" w:themeFillShade="F2"/>
            <w:vAlign w:val="center"/>
            <w:hideMark/>
          </w:tcPr>
          <w:p w:rsidR="00291F6F" w:rsidRPr="002C1D31" w:rsidRDefault="00291F6F" w:rsidP="002C1D31">
            <w:pPr>
              <w:spacing w:after="0" w:line="240" w:lineRule="auto"/>
              <w:rPr>
                <w:rFonts w:ascii="Arial" w:hAnsi="Arial" w:cs="Arial"/>
                <w:b/>
                <w:sz w:val="20"/>
                <w:szCs w:val="20"/>
                <w:lang w:val="en-US"/>
              </w:rPr>
            </w:pPr>
          </w:p>
        </w:tc>
        <w:tc>
          <w:tcPr>
            <w:tcW w:w="119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(R’000)</w:t>
            </w:r>
          </w:p>
        </w:tc>
        <w:tc>
          <w:tcPr>
            <w:tcW w:w="1368"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(R’000)</w:t>
            </w:r>
          </w:p>
        </w:tc>
        <w:tc>
          <w:tcPr>
            <w:tcW w:w="102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w:t>
            </w:r>
          </w:p>
        </w:tc>
        <w:tc>
          <w:tcPr>
            <w:tcW w:w="102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 </w:t>
            </w:r>
          </w:p>
        </w:tc>
        <w:tc>
          <w:tcPr>
            <w:tcW w:w="990"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 </w:t>
            </w:r>
          </w:p>
        </w:tc>
        <w:tc>
          <w:tcPr>
            <w:tcW w:w="1056"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(R’000)</w:t>
            </w:r>
          </w:p>
        </w:tc>
      </w:tr>
      <w:tr w:rsidR="00CA4216" w:rsidRPr="002C1D31" w:rsidTr="00291F6F">
        <w:trPr>
          <w:trHeight w:val="631"/>
        </w:trPr>
        <w:tc>
          <w:tcPr>
            <w:tcW w:w="2307"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Administration</w:t>
            </w:r>
          </w:p>
        </w:tc>
        <w:tc>
          <w:tcPr>
            <w:tcW w:w="1199"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135,943</w:t>
            </w:r>
          </w:p>
        </w:tc>
        <w:tc>
          <w:tcPr>
            <w:tcW w:w="1368"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85,891 </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63.2%</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75.0% </w:t>
            </w:r>
          </w:p>
        </w:tc>
        <w:tc>
          <w:tcPr>
            <w:tcW w:w="990"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11.8%</w:t>
            </w:r>
          </w:p>
        </w:tc>
        <w:tc>
          <w:tcPr>
            <w:tcW w:w="1056"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16,066 </w:t>
            </w:r>
          </w:p>
        </w:tc>
      </w:tr>
      <w:tr w:rsidR="00CA4216" w:rsidRPr="002C1D31" w:rsidTr="00291F6F">
        <w:trPr>
          <w:trHeight w:val="955"/>
        </w:trPr>
        <w:tc>
          <w:tcPr>
            <w:tcW w:w="2307"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Leadership &amp; Management Practices</w:t>
            </w:r>
          </w:p>
        </w:tc>
        <w:tc>
          <w:tcPr>
            <w:tcW w:w="1199"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48,872</w:t>
            </w:r>
          </w:p>
        </w:tc>
        <w:tc>
          <w:tcPr>
            <w:tcW w:w="1368"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37,137 </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76.0%</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75.0% </w:t>
            </w:r>
          </w:p>
        </w:tc>
        <w:tc>
          <w:tcPr>
            <w:tcW w:w="990"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-1.0%</w:t>
            </w:r>
          </w:p>
        </w:tc>
        <w:tc>
          <w:tcPr>
            <w:tcW w:w="1056"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        -483 </w:t>
            </w:r>
          </w:p>
        </w:tc>
      </w:tr>
      <w:tr w:rsidR="00CA4216" w:rsidRPr="002C1D31" w:rsidTr="00291F6F">
        <w:trPr>
          <w:trHeight w:val="1102"/>
        </w:trPr>
        <w:tc>
          <w:tcPr>
            <w:tcW w:w="2307"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Monitoring &amp; Evaluation</w:t>
            </w:r>
          </w:p>
        </w:tc>
        <w:tc>
          <w:tcPr>
            <w:tcW w:w="1199"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43,877</w:t>
            </w:r>
          </w:p>
        </w:tc>
        <w:tc>
          <w:tcPr>
            <w:tcW w:w="1368"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30,796 </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70.2%</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75.0% </w:t>
            </w:r>
          </w:p>
        </w:tc>
        <w:tc>
          <w:tcPr>
            <w:tcW w:w="990"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4.8%</w:t>
            </w:r>
          </w:p>
        </w:tc>
        <w:tc>
          <w:tcPr>
            <w:tcW w:w="1056"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2,112 </w:t>
            </w:r>
          </w:p>
        </w:tc>
      </w:tr>
      <w:tr w:rsidR="00CA4216" w:rsidRPr="002C1D31" w:rsidTr="00291F6F">
        <w:trPr>
          <w:trHeight w:val="505"/>
        </w:trPr>
        <w:tc>
          <w:tcPr>
            <w:tcW w:w="2307"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Integrity &amp; Anti-Corruption</w:t>
            </w:r>
          </w:p>
        </w:tc>
        <w:tc>
          <w:tcPr>
            <w:tcW w:w="1199" w:type="dxa"/>
            <w:tcBorders>
              <w:top w:val="single" w:sz="8" w:space="0" w:color="8AC6CD"/>
              <w:left w:val="single" w:sz="8" w:space="0" w:color="8AC6CD"/>
              <w:bottom w:val="single" w:sz="8" w:space="0" w:color="8AC6CD"/>
              <w:right w:val="single" w:sz="8" w:space="0" w:color="8AC6CD"/>
            </w:tcBorders>
            <w:shd w:val="clear" w:color="auto" w:fill="auto"/>
            <w:tcMar>
              <w:top w:w="10" w:type="dxa"/>
              <w:left w:w="10" w:type="dxa"/>
              <w:bottom w:w="0" w:type="dxa"/>
              <w:right w:w="10"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57,579</w:t>
            </w:r>
          </w:p>
        </w:tc>
        <w:tc>
          <w:tcPr>
            <w:tcW w:w="1368"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39,112 </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67.9%</w:t>
            </w:r>
          </w:p>
        </w:tc>
        <w:tc>
          <w:tcPr>
            <w:tcW w:w="1029"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75.0% </w:t>
            </w:r>
          </w:p>
        </w:tc>
        <w:tc>
          <w:tcPr>
            <w:tcW w:w="990"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7.1%</w:t>
            </w:r>
          </w:p>
        </w:tc>
        <w:tc>
          <w:tcPr>
            <w:tcW w:w="1056" w:type="dxa"/>
            <w:tcBorders>
              <w:top w:val="single" w:sz="8" w:space="0" w:color="8AC6CD"/>
              <w:left w:val="single" w:sz="8" w:space="0" w:color="8AC6CD"/>
              <w:bottom w:val="single" w:sz="8" w:space="0" w:color="8AC6CD"/>
              <w:right w:val="single" w:sz="8" w:space="0" w:color="8AC6CD"/>
            </w:tcBorders>
            <w:shd w:val="clear" w:color="auto" w:fill="auto"/>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4,072 </w:t>
            </w:r>
          </w:p>
        </w:tc>
      </w:tr>
      <w:tr w:rsidR="00CA4216" w:rsidRPr="002C1D31" w:rsidTr="00291F6F">
        <w:trPr>
          <w:trHeight w:val="703"/>
        </w:trPr>
        <w:tc>
          <w:tcPr>
            <w:tcW w:w="2307"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center"/>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TOTAL</w:t>
            </w:r>
          </w:p>
        </w:tc>
        <w:tc>
          <w:tcPr>
            <w:tcW w:w="119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0" w:type="dxa"/>
              <w:left w:w="10" w:type="dxa"/>
              <w:bottom w:w="0" w:type="dxa"/>
              <w:right w:w="10"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286,271</w:t>
            </w:r>
          </w:p>
        </w:tc>
        <w:tc>
          <w:tcPr>
            <w:tcW w:w="1368"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192,936 </w:t>
            </w:r>
          </w:p>
        </w:tc>
        <w:tc>
          <w:tcPr>
            <w:tcW w:w="102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67.4%</w:t>
            </w:r>
          </w:p>
        </w:tc>
        <w:tc>
          <w:tcPr>
            <w:tcW w:w="1029"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75.0% </w:t>
            </w:r>
          </w:p>
        </w:tc>
        <w:tc>
          <w:tcPr>
            <w:tcW w:w="990"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7.6%</w:t>
            </w:r>
          </w:p>
        </w:tc>
        <w:tc>
          <w:tcPr>
            <w:tcW w:w="1056" w:type="dxa"/>
            <w:tcBorders>
              <w:top w:val="single" w:sz="8" w:space="0" w:color="8AC6CD"/>
              <w:left w:val="single" w:sz="8" w:space="0" w:color="8AC6CD"/>
              <w:bottom w:val="single" w:sz="8" w:space="0" w:color="8AC6CD"/>
              <w:right w:val="single" w:sz="8" w:space="0" w:color="8AC6CD"/>
            </w:tcBorders>
            <w:shd w:val="clear" w:color="auto" w:fill="F2F2F2" w:themeFill="background1" w:themeFillShade="F2"/>
            <w:tcMar>
              <w:top w:w="15" w:type="dxa"/>
              <w:left w:w="15" w:type="dxa"/>
              <w:bottom w:w="0" w:type="dxa"/>
              <w:right w:w="15" w:type="dxa"/>
            </w:tcMar>
            <w:vAlign w:val="bottom"/>
            <w:hideMark/>
          </w:tcPr>
          <w:p w:rsidR="00291F6F" w:rsidRPr="002C1D31" w:rsidRDefault="00291F6F" w:rsidP="002C1D31">
            <w:pPr>
              <w:spacing w:after="0" w:line="240" w:lineRule="auto"/>
              <w:rPr>
                <w:rFonts w:ascii="Arial" w:hAnsi="Arial" w:cs="Arial"/>
                <w:b/>
                <w:sz w:val="20"/>
                <w:szCs w:val="20"/>
                <w:lang w:val="en-US"/>
              </w:rPr>
            </w:pPr>
            <w:r w:rsidRPr="002C1D31">
              <w:rPr>
                <w:rFonts w:ascii="Arial" w:hAnsi="Arial" w:cs="Arial"/>
                <w:b/>
                <w:sz w:val="20"/>
                <w:szCs w:val="20"/>
                <w:lang w:val="en-US"/>
              </w:rPr>
              <w:t xml:space="preserve">21,767 </w:t>
            </w:r>
          </w:p>
        </w:tc>
      </w:tr>
    </w:tbl>
    <w:p w:rsidR="00FE0A07" w:rsidRPr="002C1D31" w:rsidRDefault="00FE0A07" w:rsidP="002C1D31">
      <w:pPr>
        <w:spacing w:after="0" w:line="240" w:lineRule="auto"/>
        <w:rPr>
          <w:rFonts w:ascii="Arial" w:hAnsi="Arial" w:cs="Arial"/>
          <w:sz w:val="20"/>
          <w:szCs w:val="20"/>
        </w:rPr>
      </w:pPr>
    </w:p>
    <w:p w:rsidR="00E95063" w:rsidRPr="002C1D31" w:rsidRDefault="00E95063" w:rsidP="002C1D31">
      <w:pPr>
        <w:spacing w:after="0" w:line="240" w:lineRule="auto"/>
        <w:ind w:firstLine="284"/>
        <w:rPr>
          <w:rFonts w:ascii="Arial" w:hAnsi="Arial" w:cs="Arial"/>
          <w:b/>
          <w:sz w:val="20"/>
          <w:szCs w:val="20"/>
        </w:rPr>
      </w:pPr>
    </w:p>
    <w:p w:rsidR="00EF6EC4" w:rsidRPr="002C1D31" w:rsidRDefault="00E95063" w:rsidP="002C1D31">
      <w:pPr>
        <w:spacing w:after="0" w:line="240" w:lineRule="auto"/>
        <w:rPr>
          <w:rFonts w:ascii="Arial" w:hAnsi="Arial" w:cs="Arial"/>
          <w:b/>
          <w:sz w:val="20"/>
          <w:szCs w:val="20"/>
        </w:rPr>
      </w:pPr>
      <w:r w:rsidRPr="002C1D31">
        <w:rPr>
          <w:rFonts w:ascii="Arial" w:hAnsi="Arial" w:cs="Arial"/>
          <w:b/>
          <w:sz w:val="20"/>
          <w:szCs w:val="20"/>
        </w:rPr>
        <w:t>4.2 Programme Performance</w:t>
      </w:r>
    </w:p>
    <w:p w:rsidR="00EC038C" w:rsidRPr="002C1D31" w:rsidRDefault="000B6D9E" w:rsidP="002C1D31">
      <w:pPr>
        <w:tabs>
          <w:tab w:val="num" w:pos="720"/>
        </w:tabs>
        <w:spacing w:after="0" w:line="240" w:lineRule="auto"/>
        <w:rPr>
          <w:rFonts w:ascii="Arial" w:hAnsi="Arial" w:cs="Arial"/>
          <w:sz w:val="20"/>
          <w:szCs w:val="20"/>
        </w:rPr>
      </w:pPr>
      <w:r w:rsidRPr="002C1D31">
        <w:rPr>
          <w:rFonts w:ascii="Arial" w:hAnsi="Arial" w:cs="Arial"/>
          <w:sz w:val="20"/>
          <w:szCs w:val="20"/>
        </w:rPr>
        <w:t>The report present</w:t>
      </w:r>
      <w:r w:rsidR="00835D8D" w:rsidRPr="002C1D31">
        <w:rPr>
          <w:rFonts w:ascii="Arial" w:hAnsi="Arial" w:cs="Arial"/>
          <w:sz w:val="20"/>
          <w:szCs w:val="20"/>
        </w:rPr>
        <w:t xml:space="preserve">s </w:t>
      </w:r>
      <w:r w:rsidR="005A0768" w:rsidRPr="002C1D31">
        <w:rPr>
          <w:rFonts w:ascii="Arial" w:hAnsi="Arial" w:cs="Arial"/>
          <w:sz w:val="20"/>
          <w:szCs w:val="20"/>
        </w:rPr>
        <w:t>first</w:t>
      </w:r>
      <w:r w:rsidR="00291F6F" w:rsidRPr="002C1D31">
        <w:rPr>
          <w:rFonts w:ascii="Arial" w:hAnsi="Arial" w:cs="Arial"/>
          <w:sz w:val="20"/>
          <w:szCs w:val="20"/>
        </w:rPr>
        <w:t>,</w:t>
      </w:r>
      <w:r w:rsidR="005A0768" w:rsidRPr="002C1D31">
        <w:rPr>
          <w:rFonts w:ascii="Arial" w:hAnsi="Arial" w:cs="Arial"/>
          <w:sz w:val="20"/>
          <w:szCs w:val="20"/>
        </w:rPr>
        <w:t xml:space="preserve"> second</w:t>
      </w:r>
      <w:r w:rsidR="009C55FE" w:rsidRPr="002C1D31">
        <w:rPr>
          <w:rFonts w:ascii="Arial" w:hAnsi="Arial" w:cs="Arial"/>
          <w:sz w:val="20"/>
          <w:szCs w:val="20"/>
        </w:rPr>
        <w:t xml:space="preserve"> </w:t>
      </w:r>
      <w:r w:rsidR="00291F6F" w:rsidRPr="002C1D31">
        <w:rPr>
          <w:rFonts w:ascii="Arial" w:hAnsi="Arial" w:cs="Arial"/>
          <w:sz w:val="20"/>
          <w:szCs w:val="20"/>
        </w:rPr>
        <w:t xml:space="preserve">and third </w:t>
      </w:r>
      <w:r w:rsidRPr="002C1D31">
        <w:rPr>
          <w:rFonts w:ascii="Arial" w:hAnsi="Arial" w:cs="Arial"/>
          <w:sz w:val="20"/>
          <w:szCs w:val="20"/>
        </w:rPr>
        <w:t xml:space="preserve">quarter performance of the PSC, which is as follows: </w:t>
      </w:r>
    </w:p>
    <w:p w:rsidR="000B6D9E" w:rsidRPr="002C1D31" w:rsidRDefault="000B6D9E" w:rsidP="002C1D31">
      <w:pPr>
        <w:pStyle w:val="ListParagraph"/>
        <w:numPr>
          <w:ilvl w:val="0"/>
          <w:numId w:val="9"/>
        </w:numPr>
        <w:spacing w:after="0" w:line="240" w:lineRule="auto"/>
        <w:rPr>
          <w:rFonts w:ascii="Arial" w:hAnsi="Arial" w:cs="Arial"/>
          <w:b/>
          <w:sz w:val="20"/>
          <w:szCs w:val="20"/>
        </w:rPr>
      </w:pPr>
      <w:r w:rsidRPr="002C1D31">
        <w:rPr>
          <w:rFonts w:ascii="Arial" w:hAnsi="Arial" w:cs="Arial"/>
          <w:b/>
          <w:sz w:val="20"/>
          <w:szCs w:val="20"/>
        </w:rPr>
        <w:t>Programme 1: Administration</w:t>
      </w:r>
    </w:p>
    <w:p w:rsidR="00690EE7" w:rsidRPr="002C1D31" w:rsidRDefault="000B6D9E" w:rsidP="002C1D31">
      <w:pPr>
        <w:spacing w:after="0" w:line="240" w:lineRule="auto"/>
        <w:rPr>
          <w:rFonts w:ascii="Arial" w:hAnsi="Arial" w:cs="Arial"/>
          <w:b/>
          <w:sz w:val="20"/>
          <w:szCs w:val="20"/>
        </w:rPr>
      </w:pPr>
      <w:r w:rsidRPr="002C1D31">
        <w:rPr>
          <w:rFonts w:ascii="Arial" w:hAnsi="Arial" w:cs="Arial"/>
          <w:sz w:val="20"/>
          <w:szCs w:val="20"/>
        </w:rPr>
        <w:t>The purpose of the Administration Programme (Programme 1) is to provide overall management of the Commission and centralised support services</w:t>
      </w:r>
      <w:r w:rsidRPr="002C1D31">
        <w:rPr>
          <w:rFonts w:ascii="Arial" w:hAnsi="Arial" w:cs="Arial"/>
          <w:b/>
          <w:sz w:val="20"/>
          <w:szCs w:val="20"/>
        </w:rPr>
        <w:t xml:space="preserve">. </w:t>
      </w:r>
    </w:p>
    <w:p w:rsidR="00F54991" w:rsidRPr="002C1D31" w:rsidRDefault="00F54991" w:rsidP="002C1D31">
      <w:pPr>
        <w:spacing w:after="0" w:line="240" w:lineRule="auto"/>
        <w:rPr>
          <w:rFonts w:ascii="Arial" w:hAnsi="Arial" w:cs="Arial"/>
          <w:b/>
          <w:sz w:val="20"/>
          <w:szCs w:val="20"/>
        </w:rPr>
      </w:pPr>
      <w:r w:rsidRPr="002C1D31">
        <w:rPr>
          <w:rFonts w:ascii="Arial" w:hAnsi="Arial" w:cs="Arial"/>
          <w:sz w:val="20"/>
          <w:szCs w:val="20"/>
          <w:lang w:val="en-US"/>
        </w:rPr>
        <w:t xml:space="preserve">The PSC </w:t>
      </w:r>
      <w:r w:rsidRPr="002C1D31">
        <w:rPr>
          <w:rFonts w:ascii="Arial" w:hAnsi="Arial" w:cs="Arial"/>
          <w:sz w:val="20"/>
          <w:szCs w:val="20"/>
        </w:rPr>
        <w:t xml:space="preserve">had </w:t>
      </w:r>
      <w:r w:rsidR="00D51F9A" w:rsidRPr="002C1D31">
        <w:rPr>
          <w:rFonts w:ascii="Arial" w:hAnsi="Arial" w:cs="Arial"/>
          <w:sz w:val="20"/>
          <w:szCs w:val="20"/>
        </w:rPr>
        <w:t>two</w:t>
      </w:r>
      <w:r w:rsidRPr="002C1D31">
        <w:rPr>
          <w:rFonts w:ascii="Arial" w:hAnsi="Arial" w:cs="Arial"/>
          <w:sz w:val="20"/>
          <w:szCs w:val="20"/>
        </w:rPr>
        <w:t xml:space="preserve"> predetermined targets </w:t>
      </w:r>
      <w:r w:rsidR="00D51F9A" w:rsidRPr="002C1D31">
        <w:rPr>
          <w:rFonts w:ascii="Arial" w:hAnsi="Arial" w:cs="Arial"/>
          <w:sz w:val="20"/>
          <w:szCs w:val="20"/>
          <w:lang w:val="en-US"/>
        </w:rPr>
        <w:t>in the first quarter 2021/22</w:t>
      </w:r>
      <w:r w:rsidRPr="002C1D31">
        <w:rPr>
          <w:rFonts w:ascii="Arial" w:hAnsi="Arial" w:cs="Arial"/>
          <w:sz w:val="20"/>
          <w:szCs w:val="20"/>
          <w:lang w:val="en-US"/>
        </w:rPr>
        <w:t xml:space="preserve"> financial year and all targets were achieved.</w:t>
      </w:r>
      <w:r w:rsidRPr="002C1D31">
        <w:rPr>
          <w:rFonts w:ascii="Arial" w:hAnsi="Arial" w:cs="Arial"/>
          <w:sz w:val="20"/>
          <w:szCs w:val="20"/>
        </w:rPr>
        <w:t xml:space="preserve"> In the second quarter 202</w:t>
      </w:r>
      <w:r w:rsidR="00D51F9A" w:rsidRPr="002C1D31">
        <w:rPr>
          <w:rFonts w:ascii="Arial" w:hAnsi="Arial" w:cs="Arial"/>
          <w:sz w:val="20"/>
          <w:szCs w:val="20"/>
        </w:rPr>
        <w:t>1/22</w:t>
      </w:r>
      <w:r w:rsidRPr="002C1D31">
        <w:rPr>
          <w:rFonts w:ascii="Arial" w:hAnsi="Arial" w:cs="Arial"/>
          <w:sz w:val="20"/>
          <w:szCs w:val="20"/>
        </w:rPr>
        <w:t xml:space="preserve"> financial year</w:t>
      </w:r>
      <w:r w:rsidR="00C85B4C" w:rsidRPr="002C1D31">
        <w:rPr>
          <w:rFonts w:ascii="Arial" w:hAnsi="Arial" w:cs="Arial"/>
          <w:sz w:val="20"/>
          <w:szCs w:val="20"/>
        </w:rPr>
        <w:t>, the</w:t>
      </w:r>
      <w:r w:rsidRPr="002C1D31">
        <w:rPr>
          <w:rFonts w:ascii="Arial" w:hAnsi="Arial" w:cs="Arial"/>
          <w:sz w:val="20"/>
          <w:szCs w:val="20"/>
        </w:rPr>
        <w:t xml:space="preserve"> PSC had </w:t>
      </w:r>
      <w:r w:rsidR="00D51F9A" w:rsidRPr="002C1D31">
        <w:rPr>
          <w:rFonts w:ascii="Arial" w:hAnsi="Arial" w:cs="Arial"/>
          <w:sz w:val="20"/>
          <w:szCs w:val="20"/>
        </w:rPr>
        <w:t>three</w:t>
      </w:r>
      <w:r w:rsidRPr="002C1D31">
        <w:rPr>
          <w:rFonts w:ascii="Arial" w:hAnsi="Arial" w:cs="Arial"/>
          <w:sz w:val="20"/>
          <w:szCs w:val="20"/>
        </w:rPr>
        <w:t xml:space="preserve"> predetermined targets</w:t>
      </w:r>
      <w:r w:rsidR="00D51F9A" w:rsidRPr="002C1D31">
        <w:rPr>
          <w:rFonts w:ascii="Arial" w:hAnsi="Arial" w:cs="Arial"/>
          <w:sz w:val="20"/>
          <w:szCs w:val="20"/>
        </w:rPr>
        <w:t>, two were</w:t>
      </w:r>
      <w:r w:rsidRPr="002C1D31">
        <w:rPr>
          <w:rFonts w:ascii="Arial" w:hAnsi="Arial" w:cs="Arial"/>
          <w:sz w:val="20"/>
          <w:szCs w:val="20"/>
        </w:rPr>
        <w:t xml:space="preserve"> achieved and </w:t>
      </w:r>
      <w:r w:rsidR="00D51F9A" w:rsidRPr="002C1D31">
        <w:rPr>
          <w:rFonts w:ascii="Arial" w:hAnsi="Arial" w:cs="Arial"/>
          <w:sz w:val="20"/>
          <w:szCs w:val="20"/>
        </w:rPr>
        <w:t xml:space="preserve">one was </w:t>
      </w:r>
      <w:r w:rsidRPr="002C1D31">
        <w:rPr>
          <w:rFonts w:ascii="Arial" w:hAnsi="Arial" w:cs="Arial"/>
          <w:sz w:val="20"/>
          <w:szCs w:val="20"/>
        </w:rPr>
        <w:t>not achieved.</w:t>
      </w:r>
      <w:r w:rsidR="00D51F9A" w:rsidRPr="002C1D31">
        <w:rPr>
          <w:rFonts w:ascii="Arial" w:hAnsi="Arial" w:cs="Arial"/>
          <w:sz w:val="20"/>
          <w:szCs w:val="20"/>
        </w:rPr>
        <w:t xml:space="preserve"> The third quarter</w:t>
      </w:r>
      <w:r w:rsidR="00690EE7" w:rsidRPr="002C1D31">
        <w:rPr>
          <w:rFonts w:ascii="Arial" w:hAnsi="Arial" w:cs="Arial"/>
          <w:sz w:val="20"/>
          <w:szCs w:val="20"/>
        </w:rPr>
        <w:t xml:space="preserve"> 2021/22 financial year</w:t>
      </w:r>
      <w:r w:rsidR="00C85B4C" w:rsidRPr="002C1D31">
        <w:rPr>
          <w:rFonts w:ascii="Arial" w:hAnsi="Arial" w:cs="Arial"/>
          <w:sz w:val="20"/>
          <w:szCs w:val="20"/>
        </w:rPr>
        <w:t>, the</w:t>
      </w:r>
      <w:r w:rsidR="00690EE7" w:rsidRPr="002C1D31">
        <w:rPr>
          <w:rFonts w:ascii="Arial" w:hAnsi="Arial" w:cs="Arial"/>
          <w:sz w:val="20"/>
          <w:szCs w:val="20"/>
        </w:rPr>
        <w:t xml:space="preserve"> PSC had two p</w:t>
      </w:r>
      <w:r w:rsidR="00C85B4C" w:rsidRPr="002C1D31">
        <w:rPr>
          <w:rFonts w:ascii="Arial" w:hAnsi="Arial" w:cs="Arial"/>
          <w:sz w:val="20"/>
          <w:szCs w:val="20"/>
        </w:rPr>
        <w:t>redetermined targets and one</w:t>
      </w:r>
      <w:r w:rsidR="00690EE7" w:rsidRPr="002C1D31">
        <w:rPr>
          <w:rFonts w:ascii="Arial" w:hAnsi="Arial" w:cs="Arial"/>
          <w:sz w:val="20"/>
          <w:szCs w:val="20"/>
        </w:rPr>
        <w:t xml:space="preserve"> achieved and one was not achieved</w:t>
      </w:r>
      <w:r w:rsidR="00C85B4C" w:rsidRPr="002C1D31">
        <w:rPr>
          <w:rFonts w:ascii="Arial" w:hAnsi="Arial" w:cs="Arial"/>
          <w:sz w:val="20"/>
          <w:szCs w:val="20"/>
        </w:rPr>
        <w:t xml:space="preserve">. </w:t>
      </w:r>
    </w:p>
    <w:p w:rsidR="00835D8D" w:rsidRPr="002C1D31" w:rsidRDefault="000B6D9E" w:rsidP="002C1D31">
      <w:pPr>
        <w:pStyle w:val="ListParagraph"/>
        <w:numPr>
          <w:ilvl w:val="0"/>
          <w:numId w:val="9"/>
        </w:numPr>
        <w:spacing w:after="0" w:line="240" w:lineRule="auto"/>
        <w:rPr>
          <w:rFonts w:ascii="Arial" w:hAnsi="Arial" w:cs="Arial"/>
          <w:sz w:val="20"/>
          <w:szCs w:val="20"/>
        </w:rPr>
      </w:pPr>
      <w:r w:rsidRPr="002C1D31">
        <w:rPr>
          <w:rFonts w:ascii="Arial" w:hAnsi="Arial" w:cs="Arial"/>
          <w:b/>
          <w:sz w:val="20"/>
          <w:szCs w:val="20"/>
        </w:rPr>
        <w:t>Programme 2:</w:t>
      </w:r>
      <w:r w:rsidR="00835D8D" w:rsidRPr="002C1D31">
        <w:rPr>
          <w:rFonts w:ascii="Arial" w:hAnsi="Arial" w:cs="Arial"/>
          <w:sz w:val="20"/>
          <w:szCs w:val="20"/>
        </w:rPr>
        <w:t xml:space="preserve"> </w:t>
      </w:r>
      <w:r w:rsidR="00835D8D" w:rsidRPr="002C1D31">
        <w:rPr>
          <w:rFonts w:ascii="Arial" w:hAnsi="Arial" w:cs="Arial"/>
          <w:b/>
          <w:sz w:val="20"/>
          <w:szCs w:val="20"/>
        </w:rPr>
        <w:t xml:space="preserve">Leadership and Management Practices </w:t>
      </w:r>
    </w:p>
    <w:p w:rsidR="006933BF" w:rsidRPr="002C1D31" w:rsidRDefault="00835D8D" w:rsidP="002C1D31">
      <w:pPr>
        <w:spacing w:after="0" w:line="240" w:lineRule="auto"/>
        <w:rPr>
          <w:rFonts w:ascii="Arial" w:hAnsi="Arial" w:cs="Arial"/>
          <w:sz w:val="20"/>
          <w:szCs w:val="20"/>
        </w:rPr>
      </w:pPr>
      <w:r w:rsidRPr="002C1D31">
        <w:rPr>
          <w:rFonts w:ascii="Arial" w:hAnsi="Arial" w:cs="Arial"/>
          <w:sz w:val="20"/>
          <w:szCs w:val="20"/>
        </w:rPr>
        <w:t xml:space="preserve">The </w:t>
      </w:r>
      <w:r w:rsidRPr="002C1D31">
        <w:rPr>
          <w:rFonts w:ascii="Arial" w:hAnsi="Arial" w:cs="Arial"/>
          <w:bCs/>
          <w:sz w:val="20"/>
          <w:szCs w:val="20"/>
        </w:rPr>
        <w:t>Leadership and Management Practices P</w:t>
      </w:r>
      <w:r w:rsidRPr="002C1D31">
        <w:rPr>
          <w:rFonts w:ascii="Arial" w:hAnsi="Arial" w:cs="Arial"/>
          <w:sz w:val="20"/>
          <w:szCs w:val="20"/>
        </w:rPr>
        <w:t xml:space="preserve">rogramme (Programme 2) is responsible for promoting sound public service leadership, human resource management, labour relations and labour practices. </w:t>
      </w:r>
    </w:p>
    <w:p w:rsidR="00690EE7" w:rsidRPr="002C1D31" w:rsidRDefault="00690EE7" w:rsidP="002C1D31">
      <w:pPr>
        <w:spacing w:after="0" w:line="240" w:lineRule="auto"/>
        <w:rPr>
          <w:rFonts w:ascii="Arial" w:hAnsi="Arial" w:cs="Arial"/>
          <w:b/>
          <w:sz w:val="20"/>
          <w:szCs w:val="20"/>
        </w:rPr>
      </w:pPr>
      <w:r w:rsidRPr="002C1D31">
        <w:rPr>
          <w:rFonts w:ascii="Arial" w:hAnsi="Arial" w:cs="Arial"/>
          <w:sz w:val="20"/>
          <w:szCs w:val="20"/>
          <w:lang w:val="en-US"/>
        </w:rPr>
        <w:t xml:space="preserve">The PSC </w:t>
      </w:r>
      <w:r w:rsidRPr="002C1D31">
        <w:rPr>
          <w:rFonts w:ascii="Arial" w:hAnsi="Arial" w:cs="Arial"/>
          <w:sz w:val="20"/>
          <w:szCs w:val="20"/>
        </w:rPr>
        <w:t xml:space="preserve">had two predetermined targets </w:t>
      </w:r>
      <w:r w:rsidRPr="002C1D31">
        <w:rPr>
          <w:rFonts w:ascii="Arial" w:hAnsi="Arial" w:cs="Arial"/>
          <w:sz w:val="20"/>
          <w:szCs w:val="20"/>
          <w:lang w:val="en-US"/>
        </w:rPr>
        <w:t>in the first quarter 2021/22 financial year and all targets were achieved.</w:t>
      </w:r>
      <w:r w:rsidRPr="002C1D31">
        <w:rPr>
          <w:rFonts w:ascii="Arial" w:hAnsi="Arial" w:cs="Arial"/>
          <w:sz w:val="20"/>
          <w:szCs w:val="20"/>
        </w:rPr>
        <w:t xml:space="preserve"> In the second quarter 2021/22 financial year</w:t>
      </w:r>
      <w:r w:rsidR="00C85B4C" w:rsidRPr="002C1D31">
        <w:rPr>
          <w:rFonts w:ascii="Arial" w:hAnsi="Arial" w:cs="Arial"/>
          <w:sz w:val="20"/>
          <w:szCs w:val="20"/>
        </w:rPr>
        <w:t>, the</w:t>
      </w:r>
      <w:r w:rsidRPr="002C1D31">
        <w:rPr>
          <w:rFonts w:ascii="Arial" w:hAnsi="Arial" w:cs="Arial"/>
          <w:sz w:val="20"/>
          <w:szCs w:val="20"/>
        </w:rPr>
        <w:t xml:space="preserve"> PSC had four predetermined targets</w:t>
      </w:r>
      <w:r w:rsidR="00C85B4C" w:rsidRPr="002C1D31">
        <w:rPr>
          <w:rFonts w:ascii="Arial" w:hAnsi="Arial" w:cs="Arial"/>
          <w:sz w:val="20"/>
          <w:szCs w:val="20"/>
        </w:rPr>
        <w:t xml:space="preserve"> and</w:t>
      </w:r>
      <w:r w:rsidRPr="002C1D31">
        <w:rPr>
          <w:rFonts w:ascii="Arial" w:hAnsi="Arial" w:cs="Arial"/>
          <w:sz w:val="20"/>
          <w:szCs w:val="20"/>
        </w:rPr>
        <w:t xml:space="preserve"> </w:t>
      </w:r>
      <w:r w:rsidRPr="002C1D31">
        <w:rPr>
          <w:rFonts w:ascii="Arial" w:hAnsi="Arial" w:cs="Arial"/>
          <w:sz w:val="20"/>
          <w:szCs w:val="20"/>
          <w:lang w:val="en-US"/>
        </w:rPr>
        <w:t>all targets were achieved</w:t>
      </w:r>
      <w:r w:rsidRPr="002C1D31">
        <w:rPr>
          <w:rFonts w:ascii="Arial" w:hAnsi="Arial" w:cs="Arial"/>
          <w:sz w:val="20"/>
          <w:szCs w:val="20"/>
        </w:rPr>
        <w:t>. The third quarter 2021/22 financial year</w:t>
      </w:r>
      <w:r w:rsidR="00C85B4C" w:rsidRPr="002C1D31">
        <w:rPr>
          <w:rFonts w:ascii="Arial" w:hAnsi="Arial" w:cs="Arial"/>
          <w:sz w:val="20"/>
          <w:szCs w:val="20"/>
        </w:rPr>
        <w:t>, the</w:t>
      </w:r>
      <w:r w:rsidRPr="002C1D31">
        <w:rPr>
          <w:rFonts w:ascii="Arial" w:hAnsi="Arial" w:cs="Arial"/>
          <w:sz w:val="20"/>
          <w:szCs w:val="20"/>
        </w:rPr>
        <w:t xml:space="preserve"> PSC had three predetermined targets and</w:t>
      </w:r>
      <w:r w:rsidRPr="002C1D31">
        <w:rPr>
          <w:rFonts w:ascii="Arial" w:hAnsi="Arial" w:cs="Arial"/>
          <w:sz w:val="20"/>
          <w:szCs w:val="20"/>
          <w:lang w:val="en-US"/>
        </w:rPr>
        <w:t xml:space="preserve"> all targets were achieved</w:t>
      </w:r>
      <w:r w:rsidR="00C85B4C" w:rsidRPr="002C1D31">
        <w:rPr>
          <w:rFonts w:ascii="Arial" w:hAnsi="Arial" w:cs="Arial"/>
          <w:sz w:val="20"/>
          <w:szCs w:val="20"/>
          <w:lang w:val="en-US"/>
        </w:rPr>
        <w:t>.</w:t>
      </w:r>
    </w:p>
    <w:p w:rsidR="00F1761C" w:rsidRPr="002C1D31" w:rsidRDefault="00F1761C" w:rsidP="002C1D31">
      <w:pPr>
        <w:spacing w:after="0" w:line="240" w:lineRule="auto"/>
        <w:rPr>
          <w:rFonts w:ascii="Arial" w:hAnsi="Arial" w:cs="Arial"/>
          <w:sz w:val="20"/>
          <w:szCs w:val="20"/>
        </w:rPr>
      </w:pPr>
    </w:p>
    <w:p w:rsidR="00967DC8" w:rsidRPr="002C1D31" w:rsidRDefault="00835D8D" w:rsidP="002C1D31">
      <w:pPr>
        <w:pStyle w:val="ListParagraph"/>
        <w:numPr>
          <w:ilvl w:val="0"/>
          <w:numId w:val="9"/>
        </w:numPr>
        <w:spacing w:after="0" w:line="240" w:lineRule="auto"/>
        <w:rPr>
          <w:rFonts w:ascii="Arial" w:hAnsi="Arial" w:cs="Arial"/>
          <w:sz w:val="20"/>
          <w:szCs w:val="20"/>
        </w:rPr>
      </w:pPr>
      <w:r w:rsidRPr="002C1D31">
        <w:rPr>
          <w:rFonts w:ascii="Arial" w:hAnsi="Arial" w:cs="Arial"/>
          <w:b/>
          <w:sz w:val="20"/>
          <w:szCs w:val="20"/>
        </w:rPr>
        <w:t>Programme 3:</w:t>
      </w:r>
      <w:r w:rsidRPr="002C1D31">
        <w:rPr>
          <w:rFonts w:ascii="Arial" w:hAnsi="Arial" w:cs="Arial"/>
          <w:sz w:val="20"/>
          <w:szCs w:val="20"/>
        </w:rPr>
        <w:t xml:space="preserve"> </w:t>
      </w:r>
      <w:r w:rsidR="00967DC8" w:rsidRPr="002C1D31">
        <w:rPr>
          <w:rFonts w:ascii="Arial" w:hAnsi="Arial" w:cs="Arial"/>
          <w:b/>
          <w:sz w:val="20"/>
          <w:szCs w:val="20"/>
        </w:rPr>
        <w:t>Monitoring and Evaluation</w:t>
      </w:r>
    </w:p>
    <w:p w:rsidR="00690EE7" w:rsidRPr="002C1D31" w:rsidRDefault="00967DC8" w:rsidP="002C1D31">
      <w:pPr>
        <w:spacing w:after="0" w:line="240" w:lineRule="auto"/>
        <w:rPr>
          <w:rFonts w:ascii="Arial" w:hAnsi="Arial" w:cs="Arial"/>
          <w:bCs/>
          <w:sz w:val="20"/>
          <w:szCs w:val="20"/>
        </w:rPr>
      </w:pPr>
      <w:r w:rsidRPr="002C1D31">
        <w:rPr>
          <w:rFonts w:ascii="Arial" w:hAnsi="Arial" w:cs="Arial"/>
          <w:sz w:val="20"/>
          <w:szCs w:val="20"/>
        </w:rPr>
        <w:t>Monitoring and Evaluation</w:t>
      </w:r>
      <w:r w:rsidRPr="002C1D31">
        <w:rPr>
          <w:rFonts w:ascii="Arial" w:hAnsi="Arial" w:cs="Arial"/>
          <w:bCs/>
          <w:sz w:val="20"/>
          <w:szCs w:val="20"/>
        </w:rPr>
        <w:t xml:space="preserve"> establishes a high standard of service delivery, monitoring and good governance in the public service. </w:t>
      </w:r>
    </w:p>
    <w:p w:rsidR="00690EE7" w:rsidRPr="002C1D31" w:rsidRDefault="00690EE7" w:rsidP="002C1D31">
      <w:pPr>
        <w:spacing w:after="0" w:line="240" w:lineRule="auto"/>
        <w:rPr>
          <w:rFonts w:ascii="Arial" w:hAnsi="Arial" w:cs="Arial"/>
          <w:sz w:val="20"/>
          <w:szCs w:val="20"/>
          <w:lang w:val="en-US"/>
        </w:rPr>
      </w:pPr>
      <w:r w:rsidRPr="002C1D31">
        <w:rPr>
          <w:rFonts w:ascii="Arial" w:hAnsi="Arial" w:cs="Arial"/>
          <w:sz w:val="20"/>
          <w:szCs w:val="20"/>
          <w:lang w:val="en-US"/>
        </w:rPr>
        <w:lastRenderedPageBreak/>
        <w:t xml:space="preserve">The PSC </w:t>
      </w:r>
      <w:r w:rsidR="001772B8" w:rsidRPr="002C1D31">
        <w:rPr>
          <w:rFonts w:ascii="Arial" w:hAnsi="Arial" w:cs="Arial"/>
          <w:sz w:val="20"/>
          <w:szCs w:val="20"/>
        </w:rPr>
        <w:t>had six</w:t>
      </w:r>
      <w:r w:rsidRPr="002C1D31">
        <w:rPr>
          <w:rFonts w:ascii="Arial" w:hAnsi="Arial" w:cs="Arial"/>
          <w:sz w:val="20"/>
          <w:szCs w:val="20"/>
        </w:rPr>
        <w:t xml:space="preserve"> predetermined target</w:t>
      </w:r>
      <w:r w:rsidR="001772B8" w:rsidRPr="002C1D31">
        <w:rPr>
          <w:rFonts w:ascii="Arial" w:hAnsi="Arial" w:cs="Arial"/>
          <w:sz w:val="20"/>
          <w:szCs w:val="20"/>
        </w:rPr>
        <w:t>s</w:t>
      </w:r>
      <w:r w:rsidRPr="002C1D31">
        <w:rPr>
          <w:rFonts w:ascii="Arial" w:hAnsi="Arial" w:cs="Arial"/>
          <w:sz w:val="20"/>
          <w:szCs w:val="20"/>
        </w:rPr>
        <w:t xml:space="preserve"> </w:t>
      </w:r>
      <w:r w:rsidRPr="002C1D31">
        <w:rPr>
          <w:rFonts w:ascii="Arial" w:hAnsi="Arial" w:cs="Arial"/>
          <w:sz w:val="20"/>
          <w:szCs w:val="20"/>
          <w:lang w:val="en-US"/>
        </w:rPr>
        <w:t>in the first quarter</w:t>
      </w:r>
      <w:r w:rsidR="001772B8" w:rsidRPr="002C1D31">
        <w:rPr>
          <w:rFonts w:ascii="Arial" w:hAnsi="Arial" w:cs="Arial"/>
          <w:sz w:val="20"/>
          <w:szCs w:val="20"/>
          <w:lang w:val="en-US"/>
        </w:rPr>
        <w:t xml:space="preserve"> 2021/22 financial year and </w:t>
      </w:r>
      <w:r w:rsidRPr="002C1D31">
        <w:rPr>
          <w:rFonts w:ascii="Arial" w:hAnsi="Arial" w:cs="Arial"/>
          <w:sz w:val="20"/>
          <w:szCs w:val="20"/>
          <w:lang w:val="en-US"/>
        </w:rPr>
        <w:t>target</w:t>
      </w:r>
      <w:r w:rsidR="001772B8" w:rsidRPr="002C1D31">
        <w:rPr>
          <w:rFonts w:ascii="Arial" w:hAnsi="Arial" w:cs="Arial"/>
          <w:sz w:val="20"/>
          <w:szCs w:val="20"/>
          <w:lang w:val="en-US"/>
        </w:rPr>
        <w:t>s were all</w:t>
      </w:r>
      <w:r w:rsidRPr="002C1D31">
        <w:rPr>
          <w:rFonts w:ascii="Arial" w:hAnsi="Arial" w:cs="Arial"/>
          <w:sz w:val="20"/>
          <w:szCs w:val="20"/>
          <w:lang w:val="en-US"/>
        </w:rPr>
        <w:t xml:space="preserve"> achieved.</w:t>
      </w:r>
      <w:r w:rsidRPr="002C1D31">
        <w:rPr>
          <w:rFonts w:ascii="Arial" w:hAnsi="Arial" w:cs="Arial"/>
          <w:sz w:val="20"/>
          <w:szCs w:val="20"/>
        </w:rPr>
        <w:t xml:space="preserve"> In the second quarter 2021/22 financial year</w:t>
      </w:r>
      <w:r w:rsidR="00C85B4C" w:rsidRPr="002C1D31">
        <w:rPr>
          <w:rFonts w:ascii="Arial" w:hAnsi="Arial" w:cs="Arial"/>
          <w:sz w:val="20"/>
          <w:szCs w:val="20"/>
        </w:rPr>
        <w:t>, the</w:t>
      </w:r>
      <w:r w:rsidR="001772B8" w:rsidRPr="002C1D31">
        <w:rPr>
          <w:rFonts w:ascii="Arial" w:hAnsi="Arial" w:cs="Arial"/>
          <w:sz w:val="20"/>
          <w:szCs w:val="20"/>
        </w:rPr>
        <w:t xml:space="preserve"> PSC had six</w:t>
      </w:r>
      <w:r w:rsidRPr="002C1D31">
        <w:rPr>
          <w:rFonts w:ascii="Arial" w:hAnsi="Arial" w:cs="Arial"/>
          <w:sz w:val="20"/>
          <w:szCs w:val="20"/>
        </w:rPr>
        <w:t xml:space="preserve"> predetermined targets </w:t>
      </w:r>
      <w:r w:rsidRPr="002C1D31">
        <w:rPr>
          <w:rFonts w:ascii="Arial" w:hAnsi="Arial" w:cs="Arial"/>
          <w:sz w:val="20"/>
          <w:szCs w:val="20"/>
          <w:lang w:val="en-US"/>
        </w:rPr>
        <w:t xml:space="preserve">all </w:t>
      </w:r>
      <w:r w:rsidR="00C85B4C" w:rsidRPr="002C1D31">
        <w:rPr>
          <w:rFonts w:ascii="Arial" w:hAnsi="Arial" w:cs="Arial"/>
          <w:sz w:val="20"/>
          <w:szCs w:val="20"/>
          <w:lang w:val="en-US"/>
        </w:rPr>
        <w:t xml:space="preserve">and </w:t>
      </w:r>
      <w:r w:rsidRPr="002C1D31">
        <w:rPr>
          <w:rFonts w:ascii="Arial" w:hAnsi="Arial" w:cs="Arial"/>
          <w:sz w:val="20"/>
          <w:szCs w:val="20"/>
          <w:lang w:val="en-US"/>
        </w:rPr>
        <w:t>targets were achieved</w:t>
      </w:r>
      <w:r w:rsidRPr="002C1D31">
        <w:rPr>
          <w:rFonts w:ascii="Arial" w:hAnsi="Arial" w:cs="Arial"/>
          <w:sz w:val="20"/>
          <w:szCs w:val="20"/>
        </w:rPr>
        <w:t>. The third quarter 2021/22 financial year</w:t>
      </w:r>
      <w:r w:rsidR="001772B8" w:rsidRPr="002C1D31">
        <w:rPr>
          <w:rFonts w:ascii="Arial" w:hAnsi="Arial" w:cs="Arial"/>
          <w:sz w:val="20"/>
          <w:szCs w:val="20"/>
        </w:rPr>
        <w:t>, the PSC had six</w:t>
      </w:r>
      <w:r w:rsidRPr="002C1D31">
        <w:rPr>
          <w:rFonts w:ascii="Arial" w:hAnsi="Arial" w:cs="Arial"/>
          <w:sz w:val="20"/>
          <w:szCs w:val="20"/>
        </w:rPr>
        <w:t xml:space="preserve"> predetermined targets and</w:t>
      </w:r>
      <w:r w:rsidRPr="002C1D31">
        <w:rPr>
          <w:rFonts w:ascii="Arial" w:hAnsi="Arial" w:cs="Arial"/>
          <w:sz w:val="20"/>
          <w:szCs w:val="20"/>
          <w:lang w:val="en-US"/>
        </w:rPr>
        <w:t xml:space="preserve"> all targets were achieved</w:t>
      </w:r>
      <w:r w:rsidR="000E44EA" w:rsidRPr="002C1D31">
        <w:rPr>
          <w:rFonts w:ascii="Arial" w:hAnsi="Arial" w:cs="Arial"/>
          <w:sz w:val="20"/>
          <w:szCs w:val="20"/>
          <w:lang w:val="en-US"/>
        </w:rPr>
        <w:t xml:space="preserve">. </w:t>
      </w:r>
    </w:p>
    <w:p w:rsidR="007205E7" w:rsidRPr="002C1D31" w:rsidRDefault="00835D8D" w:rsidP="002C1D31">
      <w:pPr>
        <w:pStyle w:val="ListParagraph"/>
        <w:numPr>
          <w:ilvl w:val="0"/>
          <w:numId w:val="9"/>
        </w:numPr>
        <w:spacing w:after="0" w:line="240" w:lineRule="auto"/>
        <w:rPr>
          <w:rFonts w:ascii="Arial" w:hAnsi="Arial" w:cs="Arial"/>
          <w:sz w:val="20"/>
          <w:szCs w:val="20"/>
        </w:rPr>
      </w:pPr>
      <w:r w:rsidRPr="002C1D31">
        <w:rPr>
          <w:rFonts w:ascii="Arial" w:hAnsi="Arial" w:cs="Arial"/>
          <w:b/>
          <w:sz w:val="20"/>
          <w:szCs w:val="20"/>
        </w:rPr>
        <w:t>Programme 4:</w:t>
      </w:r>
      <w:r w:rsidRPr="002C1D31">
        <w:rPr>
          <w:rFonts w:ascii="Arial" w:hAnsi="Arial" w:cs="Arial"/>
          <w:sz w:val="20"/>
          <w:szCs w:val="20"/>
        </w:rPr>
        <w:t xml:space="preserve"> </w:t>
      </w:r>
      <w:r w:rsidR="007205E7" w:rsidRPr="002C1D31">
        <w:rPr>
          <w:rFonts w:ascii="Arial" w:hAnsi="Arial" w:cs="Arial"/>
          <w:b/>
          <w:sz w:val="20"/>
          <w:szCs w:val="20"/>
        </w:rPr>
        <w:t>Integrity and Anti-Corruption</w:t>
      </w:r>
    </w:p>
    <w:p w:rsidR="00690EE7" w:rsidRPr="002C1D31" w:rsidRDefault="007205E7" w:rsidP="002C1D31">
      <w:pPr>
        <w:spacing w:after="0" w:line="240" w:lineRule="auto"/>
        <w:rPr>
          <w:rFonts w:ascii="Arial" w:hAnsi="Arial" w:cs="Arial"/>
          <w:sz w:val="20"/>
          <w:szCs w:val="20"/>
        </w:rPr>
      </w:pPr>
      <w:r w:rsidRPr="002C1D31">
        <w:rPr>
          <w:rFonts w:ascii="Arial" w:hAnsi="Arial" w:cs="Arial"/>
          <w:sz w:val="20"/>
          <w:szCs w:val="20"/>
        </w:rPr>
        <w:t>The Integrity and Anti-Corruption</w:t>
      </w:r>
      <w:r w:rsidRPr="002C1D31">
        <w:rPr>
          <w:rFonts w:ascii="Arial" w:hAnsi="Arial" w:cs="Arial"/>
          <w:bCs/>
          <w:sz w:val="20"/>
          <w:szCs w:val="20"/>
        </w:rPr>
        <w:t xml:space="preserve"> P</w:t>
      </w:r>
      <w:r w:rsidRPr="002C1D31">
        <w:rPr>
          <w:rFonts w:ascii="Arial" w:hAnsi="Arial" w:cs="Arial"/>
          <w:sz w:val="20"/>
          <w:szCs w:val="20"/>
        </w:rPr>
        <w:t xml:space="preserve">rogramme undertakes public administration investigations, promotes high standard of professional ethical conduct among public servants and contributes towards prevention and combating of corruption. </w:t>
      </w:r>
    </w:p>
    <w:p w:rsidR="00690EE7" w:rsidRPr="002C1D31" w:rsidRDefault="00690EE7" w:rsidP="002C1D31">
      <w:pPr>
        <w:spacing w:after="0" w:line="240" w:lineRule="auto"/>
        <w:rPr>
          <w:rFonts w:ascii="Arial" w:hAnsi="Arial" w:cs="Arial"/>
          <w:b/>
          <w:sz w:val="20"/>
          <w:szCs w:val="20"/>
        </w:rPr>
      </w:pPr>
      <w:r w:rsidRPr="002C1D31">
        <w:rPr>
          <w:rFonts w:ascii="Arial" w:hAnsi="Arial" w:cs="Arial"/>
          <w:sz w:val="20"/>
          <w:szCs w:val="20"/>
          <w:lang w:val="en-US"/>
        </w:rPr>
        <w:t xml:space="preserve">The PSC </w:t>
      </w:r>
      <w:r w:rsidR="000E44EA" w:rsidRPr="002C1D31">
        <w:rPr>
          <w:rFonts w:ascii="Arial" w:hAnsi="Arial" w:cs="Arial"/>
          <w:sz w:val="20"/>
          <w:szCs w:val="20"/>
        </w:rPr>
        <w:t>has seven</w:t>
      </w:r>
      <w:r w:rsidRPr="002C1D31">
        <w:rPr>
          <w:rFonts w:ascii="Arial" w:hAnsi="Arial" w:cs="Arial"/>
          <w:sz w:val="20"/>
          <w:szCs w:val="20"/>
        </w:rPr>
        <w:t xml:space="preserve"> predetermined targets </w:t>
      </w:r>
      <w:r w:rsidRPr="002C1D31">
        <w:rPr>
          <w:rFonts w:ascii="Arial" w:hAnsi="Arial" w:cs="Arial"/>
          <w:sz w:val="20"/>
          <w:szCs w:val="20"/>
          <w:lang w:val="en-US"/>
        </w:rPr>
        <w:t>in the first quarter 2021/22 financial year and all targets were achieved.</w:t>
      </w:r>
      <w:r w:rsidRPr="002C1D31">
        <w:rPr>
          <w:rFonts w:ascii="Arial" w:hAnsi="Arial" w:cs="Arial"/>
          <w:sz w:val="20"/>
          <w:szCs w:val="20"/>
        </w:rPr>
        <w:t xml:space="preserve"> In the second </w:t>
      </w:r>
      <w:r w:rsidR="000E44EA" w:rsidRPr="002C1D31">
        <w:rPr>
          <w:rFonts w:ascii="Arial" w:hAnsi="Arial" w:cs="Arial"/>
          <w:sz w:val="20"/>
          <w:szCs w:val="20"/>
        </w:rPr>
        <w:t xml:space="preserve">and third </w:t>
      </w:r>
      <w:r w:rsidRPr="002C1D31">
        <w:rPr>
          <w:rFonts w:ascii="Arial" w:hAnsi="Arial" w:cs="Arial"/>
          <w:sz w:val="20"/>
          <w:szCs w:val="20"/>
        </w:rPr>
        <w:t>quarte</w:t>
      </w:r>
      <w:r w:rsidR="000E44EA" w:rsidRPr="002C1D31">
        <w:rPr>
          <w:rFonts w:ascii="Arial" w:hAnsi="Arial" w:cs="Arial"/>
          <w:sz w:val="20"/>
          <w:szCs w:val="20"/>
        </w:rPr>
        <w:t>r 2021/22 financial year, the PSC has seven</w:t>
      </w:r>
      <w:r w:rsidRPr="002C1D31">
        <w:rPr>
          <w:rFonts w:ascii="Arial" w:hAnsi="Arial" w:cs="Arial"/>
          <w:sz w:val="20"/>
          <w:szCs w:val="20"/>
        </w:rPr>
        <w:t xml:space="preserve"> predetermined targets </w:t>
      </w:r>
      <w:r w:rsidR="000E44EA" w:rsidRPr="002C1D31">
        <w:rPr>
          <w:rFonts w:ascii="Arial" w:hAnsi="Arial" w:cs="Arial"/>
          <w:sz w:val="20"/>
          <w:szCs w:val="20"/>
        </w:rPr>
        <w:t xml:space="preserve">and </w:t>
      </w:r>
      <w:r w:rsidRPr="002C1D31">
        <w:rPr>
          <w:rFonts w:ascii="Arial" w:hAnsi="Arial" w:cs="Arial"/>
          <w:sz w:val="20"/>
          <w:szCs w:val="20"/>
          <w:lang w:val="en-US"/>
        </w:rPr>
        <w:t>all targets were achieved</w:t>
      </w:r>
      <w:r w:rsidRPr="002C1D31">
        <w:rPr>
          <w:rFonts w:ascii="Arial" w:hAnsi="Arial" w:cs="Arial"/>
          <w:sz w:val="20"/>
          <w:szCs w:val="20"/>
        </w:rPr>
        <w:t xml:space="preserve">. </w:t>
      </w:r>
    </w:p>
    <w:p w:rsidR="00682D08" w:rsidRPr="002C1D31" w:rsidRDefault="00682D08" w:rsidP="002C1D31">
      <w:pPr>
        <w:spacing w:after="0" w:line="240" w:lineRule="auto"/>
        <w:rPr>
          <w:rFonts w:ascii="Arial" w:hAnsi="Arial" w:cs="Arial"/>
          <w:sz w:val="20"/>
          <w:szCs w:val="20"/>
        </w:rPr>
      </w:pPr>
    </w:p>
    <w:p w:rsidR="00E203D8" w:rsidRPr="002C1D31" w:rsidRDefault="00E203D8" w:rsidP="002C1D31">
      <w:pPr>
        <w:pStyle w:val="ListParagraph"/>
        <w:numPr>
          <w:ilvl w:val="0"/>
          <w:numId w:val="1"/>
        </w:numPr>
        <w:spacing w:after="0" w:line="240" w:lineRule="auto"/>
        <w:ind w:left="567" w:hanging="567"/>
        <w:rPr>
          <w:rFonts w:ascii="Arial" w:hAnsi="Arial" w:cs="Arial"/>
          <w:b/>
          <w:sz w:val="20"/>
          <w:szCs w:val="20"/>
        </w:rPr>
      </w:pPr>
      <w:r w:rsidRPr="002C1D31">
        <w:rPr>
          <w:rFonts w:ascii="Arial" w:hAnsi="Arial" w:cs="Arial"/>
          <w:b/>
          <w:sz w:val="20"/>
          <w:szCs w:val="20"/>
        </w:rPr>
        <w:t>FINDINGS</w:t>
      </w:r>
      <w:r w:rsidR="00E038FE" w:rsidRPr="002C1D31">
        <w:rPr>
          <w:rFonts w:ascii="Arial" w:hAnsi="Arial" w:cs="Arial"/>
          <w:b/>
          <w:sz w:val="20"/>
          <w:szCs w:val="20"/>
        </w:rPr>
        <w:t xml:space="preserve"> AND OBSERVATIONS</w:t>
      </w:r>
    </w:p>
    <w:p w:rsidR="00E038FE" w:rsidRPr="002C1D31" w:rsidRDefault="008E0856" w:rsidP="002C1D31">
      <w:pPr>
        <w:spacing w:after="0" w:line="240" w:lineRule="auto"/>
        <w:rPr>
          <w:rFonts w:ascii="Arial" w:hAnsi="Arial" w:cs="Arial"/>
          <w:sz w:val="20"/>
          <w:szCs w:val="20"/>
        </w:rPr>
      </w:pPr>
      <w:r w:rsidRPr="002C1D31">
        <w:rPr>
          <w:rFonts w:ascii="Arial" w:hAnsi="Arial" w:cs="Arial"/>
          <w:sz w:val="20"/>
          <w:szCs w:val="20"/>
        </w:rPr>
        <w:t xml:space="preserve">The </w:t>
      </w:r>
      <w:r w:rsidR="003145DD" w:rsidRPr="002C1D31">
        <w:rPr>
          <w:rFonts w:ascii="Arial" w:hAnsi="Arial" w:cs="Arial"/>
          <w:sz w:val="20"/>
          <w:szCs w:val="20"/>
        </w:rPr>
        <w:t>Portfolio Committee made</w:t>
      </w:r>
      <w:r w:rsidR="00BE0A18" w:rsidRPr="002C1D31">
        <w:rPr>
          <w:rFonts w:ascii="Arial" w:hAnsi="Arial" w:cs="Arial"/>
          <w:sz w:val="20"/>
          <w:szCs w:val="20"/>
        </w:rPr>
        <w:t xml:space="preserve"> the </w:t>
      </w:r>
      <w:r w:rsidRPr="002C1D31">
        <w:rPr>
          <w:rFonts w:ascii="Arial" w:hAnsi="Arial" w:cs="Arial"/>
          <w:sz w:val="20"/>
          <w:szCs w:val="20"/>
        </w:rPr>
        <w:t>following observations and findings:</w:t>
      </w:r>
    </w:p>
    <w:p w:rsidR="00EF0CBA" w:rsidRPr="002C1D31" w:rsidRDefault="00416CCB" w:rsidP="002C1D31">
      <w:pPr>
        <w:pStyle w:val="ListParagraph"/>
        <w:numPr>
          <w:ilvl w:val="1"/>
          <w:numId w:val="1"/>
        </w:numPr>
        <w:spacing w:after="0" w:line="240" w:lineRule="auto"/>
        <w:ind w:hanging="720"/>
        <w:rPr>
          <w:rFonts w:ascii="Arial" w:hAnsi="Arial" w:cs="Arial"/>
          <w:sz w:val="20"/>
          <w:szCs w:val="20"/>
        </w:rPr>
      </w:pPr>
      <w:r w:rsidRPr="002C1D31">
        <w:rPr>
          <w:rFonts w:ascii="Arial" w:hAnsi="Arial" w:cs="Arial"/>
          <w:sz w:val="20"/>
          <w:szCs w:val="20"/>
        </w:rPr>
        <w:t xml:space="preserve">The Committee notes and welcomed the first, second and third quarter performance of 2021/22 financial year for the Public Service Commission. </w:t>
      </w:r>
      <w:r w:rsidR="00EF0CBA" w:rsidRPr="002C1D31">
        <w:rPr>
          <w:rFonts w:ascii="Arial" w:hAnsi="Arial" w:cs="Arial"/>
          <w:sz w:val="20"/>
          <w:szCs w:val="20"/>
        </w:rPr>
        <w:t xml:space="preserve">The Committee </w:t>
      </w:r>
      <w:r w:rsidR="004B3DF8" w:rsidRPr="002C1D31">
        <w:rPr>
          <w:rFonts w:ascii="Arial" w:hAnsi="Arial" w:cs="Arial"/>
          <w:sz w:val="20"/>
          <w:szCs w:val="20"/>
        </w:rPr>
        <w:t>further commend</w:t>
      </w:r>
      <w:r w:rsidR="005E38D9" w:rsidRPr="002C1D31">
        <w:rPr>
          <w:rFonts w:ascii="Arial" w:hAnsi="Arial" w:cs="Arial"/>
          <w:sz w:val="20"/>
          <w:szCs w:val="20"/>
        </w:rPr>
        <w:t>s</w:t>
      </w:r>
      <w:r w:rsidR="004B3DF8" w:rsidRPr="002C1D31">
        <w:rPr>
          <w:rFonts w:ascii="Arial" w:hAnsi="Arial" w:cs="Arial"/>
          <w:sz w:val="20"/>
          <w:szCs w:val="20"/>
        </w:rPr>
        <w:t xml:space="preserve"> the PSC for not incurring</w:t>
      </w:r>
      <w:r w:rsidR="00EF0CBA" w:rsidRPr="002C1D31">
        <w:rPr>
          <w:rFonts w:ascii="Arial" w:hAnsi="Arial" w:cs="Arial"/>
          <w:sz w:val="20"/>
          <w:szCs w:val="20"/>
        </w:rPr>
        <w:t xml:space="preserve"> </w:t>
      </w:r>
      <w:r w:rsidR="004B3DF8" w:rsidRPr="002C1D31">
        <w:rPr>
          <w:rFonts w:ascii="Arial" w:hAnsi="Arial" w:cs="Arial"/>
          <w:sz w:val="20"/>
          <w:szCs w:val="20"/>
        </w:rPr>
        <w:t xml:space="preserve">any </w:t>
      </w:r>
      <w:r w:rsidR="00EF0CBA" w:rsidRPr="002C1D31">
        <w:rPr>
          <w:rFonts w:ascii="Arial" w:hAnsi="Arial" w:cs="Arial"/>
          <w:sz w:val="20"/>
          <w:szCs w:val="20"/>
        </w:rPr>
        <w:t>irregular, unauthorised, fruitless and wasteful expenditure over the past three quarters.</w:t>
      </w:r>
    </w:p>
    <w:p w:rsidR="00EF0CBA" w:rsidRPr="002C1D31" w:rsidRDefault="00EF0CBA" w:rsidP="002C1D31">
      <w:pPr>
        <w:pStyle w:val="ListParagraph"/>
        <w:spacing w:after="0" w:line="240" w:lineRule="auto"/>
        <w:rPr>
          <w:rFonts w:ascii="Arial" w:hAnsi="Arial" w:cs="Arial"/>
          <w:sz w:val="20"/>
          <w:szCs w:val="20"/>
        </w:rPr>
      </w:pPr>
    </w:p>
    <w:p w:rsidR="008A637F" w:rsidRPr="002C1D31" w:rsidRDefault="00416CCB" w:rsidP="002C1D31">
      <w:pPr>
        <w:pStyle w:val="ListParagraph"/>
        <w:numPr>
          <w:ilvl w:val="1"/>
          <w:numId w:val="1"/>
        </w:numPr>
        <w:spacing w:after="0" w:line="240" w:lineRule="auto"/>
        <w:ind w:hanging="720"/>
        <w:rPr>
          <w:rFonts w:ascii="Arial" w:hAnsi="Arial" w:cs="Arial"/>
          <w:sz w:val="20"/>
          <w:szCs w:val="20"/>
        </w:rPr>
      </w:pPr>
      <w:r w:rsidRPr="002C1D31">
        <w:rPr>
          <w:rFonts w:ascii="Arial" w:hAnsi="Arial" w:cs="Arial"/>
          <w:sz w:val="20"/>
          <w:szCs w:val="20"/>
        </w:rPr>
        <w:t>The Committee encouraged</w:t>
      </w:r>
      <w:r w:rsidR="00CA2E0B" w:rsidRPr="002C1D31">
        <w:rPr>
          <w:rFonts w:ascii="Arial" w:hAnsi="Arial" w:cs="Arial"/>
          <w:sz w:val="20"/>
          <w:szCs w:val="20"/>
        </w:rPr>
        <w:t xml:space="preserve"> the PSC to continue to pay </w:t>
      </w:r>
      <w:r w:rsidRPr="002C1D31">
        <w:rPr>
          <w:rFonts w:ascii="Arial" w:hAnsi="Arial" w:cs="Arial"/>
          <w:sz w:val="20"/>
          <w:szCs w:val="20"/>
        </w:rPr>
        <w:t>invoices within 30 days.</w:t>
      </w:r>
      <w:r w:rsidR="00EF0CBA" w:rsidRPr="002C1D31">
        <w:rPr>
          <w:rFonts w:ascii="Arial" w:hAnsi="Arial" w:cs="Arial"/>
          <w:sz w:val="20"/>
          <w:szCs w:val="20"/>
        </w:rPr>
        <w:t xml:space="preserve"> The PSC has paid 99.5% of the valid invoices. </w:t>
      </w:r>
      <w:r w:rsidRPr="002C1D31">
        <w:rPr>
          <w:rFonts w:ascii="Arial" w:hAnsi="Arial" w:cs="Arial"/>
          <w:sz w:val="20"/>
          <w:szCs w:val="20"/>
        </w:rPr>
        <w:t xml:space="preserve"> </w:t>
      </w:r>
    </w:p>
    <w:p w:rsidR="00B472B9" w:rsidRPr="002C1D31" w:rsidRDefault="00903F45" w:rsidP="002C1D31">
      <w:pPr>
        <w:pStyle w:val="ListParagraph"/>
        <w:spacing w:after="0" w:line="240" w:lineRule="auto"/>
        <w:rPr>
          <w:rFonts w:ascii="Arial" w:hAnsi="Arial" w:cs="Arial"/>
          <w:sz w:val="20"/>
          <w:szCs w:val="20"/>
        </w:rPr>
      </w:pPr>
      <w:r w:rsidRPr="002C1D31">
        <w:rPr>
          <w:rFonts w:ascii="Arial" w:hAnsi="Arial" w:cs="Arial"/>
          <w:sz w:val="20"/>
          <w:szCs w:val="20"/>
        </w:rPr>
        <w:t xml:space="preserve"> </w:t>
      </w:r>
    </w:p>
    <w:p w:rsidR="00EF0CBA" w:rsidRPr="002C1D31" w:rsidRDefault="00EF0CBA" w:rsidP="002C1D31">
      <w:pPr>
        <w:pStyle w:val="ListParagraph"/>
        <w:numPr>
          <w:ilvl w:val="1"/>
          <w:numId w:val="1"/>
        </w:numPr>
        <w:spacing w:after="0" w:line="240" w:lineRule="auto"/>
        <w:ind w:hanging="720"/>
        <w:rPr>
          <w:rFonts w:ascii="Arial" w:hAnsi="Arial" w:cs="Arial"/>
          <w:sz w:val="20"/>
          <w:szCs w:val="20"/>
        </w:rPr>
      </w:pPr>
      <w:r w:rsidRPr="002C1D31">
        <w:rPr>
          <w:rFonts w:ascii="Arial" w:hAnsi="Arial" w:cs="Arial"/>
          <w:sz w:val="20"/>
          <w:szCs w:val="20"/>
        </w:rPr>
        <w:t>Vacancy rate was</w:t>
      </w:r>
      <w:r w:rsidR="005E38D9" w:rsidRPr="002C1D31">
        <w:rPr>
          <w:rFonts w:ascii="Arial" w:hAnsi="Arial" w:cs="Arial"/>
          <w:sz w:val="20"/>
          <w:szCs w:val="20"/>
        </w:rPr>
        <w:t xml:space="preserve"> at 9% in</w:t>
      </w:r>
      <w:r w:rsidR="003C5CAB" w:rsidRPr="002C1D31">
        <w:rPr>
          <w:rFonts w:ascii="Arial" w:hAnsi="Arial" w:cs="Arial"/>
          <w:sz w:val="20"/>
          <w:szCs w:val="20"/>
        </w:rPr>
        <w:t xml:space="preserve"> the PSC for</w:t>
      </w:r>
      <w:r w:rsidRPr="002C1D31">
        <w:rPr>
          <w:rFonts w:ascii="Arial" w:hAnsi="Arial" w:cs="Arial"/>
          <w:sz w:val="20"/>
          <w:szCs w:val="20"/>
        </w:rPr>
        <w:t xml:space="preserve"> the third quarter. An underspending of R8.8 million was realised under compensation of employees due to vacant posts which include four commissioner’s vacancies at </w:t>
      </w:r>
      <w:r w:rsidR="003C5CAB" w:rsidRPr="002C1D31">
        <w:rPr>
          <w:rFonts w:ascii="Arial" w:hAnsi="Arial" w:cs="Arial"/>
          <w:sz w:val="20"/>
          <w:szCs w:val="20"/>
        </w:rPr>
        <w:t xml:space="preserve">the </w:t>
      </w:r>
      <w:r w:rsidRPr="002C1D31">
        <w:rPr>
          <w:rFonts w:ascii="Arial" w:hAnsi="Arial" w:cs="Arial"/>
          <w:sz w:val="20"/>
          <w:szCs w:val="20"/>
        </w:rPr>
        <w:t xml:space="preserve">National PSC. </w:t>
      </w:r>
      <w:r w:rsidR="008A637F" w:rsidRPr="002C1D31">
        <w:rPr>
          <w:rFonts w:ascii="Arial" w:hAnsi="Arial" w:cs="Arial"/>
          <w:sz w:val="20"/>
          <w:szCs w:val="20"/>
        </w:rPr>
        <w:t>The Committee</w:t>
      </w:r>
      <w:r w:rsidR="00CA4216" w:rsidRPr="002C1D31">
        <w:rPr>
          <w:rFonts w:ascii="Arial" w:hAnsi="Arial" w:cs="Arial"/>
          <w:sz w:val="20"/>
          <w:szCs w:val="20"/>
        </w:rPr>
        <w:t xml:space="preserve"> encouraged the P</w:t>
      </w:r>
      <w:r w:rsidRPr="002C1D31">
        <w:rPr>
          <w:rFonts w:ascii="Arial" w:hAnsi="Arial" w:cs="Arial"/>
          <w:sz w:val="20"/>
          <w:szCs w:val="20"/>
        </w:rPr>
        <w:t>SC to fill all</w:t>
      </w:r>
      <w:r w:rsidR="00CA4216" w:rsidRPr="002C1D31">
        <w:rPr>
          <w:rFonts w:ascii="Arial" w:hAnsi="Arial" w:cs="Arial"/>
          <w:sz w:val="20"/>
          <w:szCs w:val="20"/>
        </w:rPr>
        <w:t xml:space="preserve"> vacancies at the Commission</w:t>
      </w:r>
      <w:r w:rsidRPr="002C1D31">
        <w:rPr>
          <w:rFonts w:ascii="Arial" w:hAnsi="Arial" w:cs="Arial"/>
          <w:sz w:val="20"/>
          <w:szCs w:val="20"/>
        </w:rPr>
        <w:t xml:space="preserve"> where the institution has powers to recruit</w:t>
      </w:r>
      <w:r w:rsidR="00CA4216" w:rsidRPr="002C1D31">
        <w:rPr>
          <w:rFonts w:ascii="Arial" w:hAnsi="Arial" w:cs="Arial"/>
          <w:sz w:val="20"/>
          <w:szCs w:val="20"/>
        </w:rPr>
        <w:t>.</w:t>
      </w:r>
      <w:r w:rsidRPr="002C1D31">
        <w:rPr>
          <w:rFonts w:ascii="Arial" w:hAnsi="Arial" w:cs="Arial"/>
          <w:sz w:val="20"/>
          <w:szCs w:val="20"/>
        </w:rPr>
        <w:t xml:space="preserve"> Parliament and legislature should also play their role in filling commissioners vacancies timeously.</w:t>
      </w:r>
    </w:p>
    <w:p w:rsidR="00EF0CBA" w:rsidRPr="002C1D31" w:rsidRDefault="00EF0CBA" w:rsidP="002C1D31">
      <w:pPr>
        <w:pStyle w:val="ListParagraph"/>
        <w:spacing w:after="0" w:line="240" w:lineRule="auto"/>
        <w:rPr>
          <w:rFonts w:ascii="Arial" w:hAnsi="Arial" w:cs="Arial"/>
          <w:sz w:val="20"/>
          <w:szCs w:val="20"/>
        </w:rPr>
      </w:pPr>
    </w:p>
    <w:p w:rsidR="00EF7181" w:rsidRPr="002C1D31" w:rsidRDefault="00EF0CBA" w:rsidP="002C1D31">
      <w:pPr>
        <w:pStyle w:val="ListParagraph"/>
        <w:numPr>
          <w:ilvl w:val="1"/>
          <w:numId w:val="1"/>
        </w:numPr>
        <w:spacing w:after="0" w:line="240" w:lineRule="auto"/>
        <w:ind w:hanging="720"/>
        <w:rPr>
          <w:rFonts w:ascii="Arial" w:hAnsi="Arial" w:cs="Arial"/>
          <w:sz w:val="20"/>
          <w:szCs w:val="20"/>
        </w:rPr>
      </w:pPr>
      <w:r w:rsidRPr="002C1D31">
        <w:rPr>
          <w:rFonts w:ascii="Arial" w:hAnsi="Arial" w:cs="Arial"/>
          <w:sz w:val="20"/>
          <w:szCs w:val="20"/>
        </w:rPr>
        <w:t xml:space="preserve">The Committee was concerned about </w:t>
      </w:r>
      <w:r w:rsidR="00EF7181" w:rsidRPr="002C1D31">
        <w:rPr>
          <w:rFonts w:ascii="Arial" w:hAnsi="Arial" w:cs="Arial"/>
          <w:sz w:val="20"/>
          <w:szCs w:val="20"/>
        </w:rPr>
        <w:t xml:space="preserve">high number of </w:t>
      </w:r>
      <w:r w:rsidRPr="002C1D31">
        <w:rPr>
          <w:rFonts w:ascii="Arial" w:hAnsi="Arial" w:cs="Arial"/>
          <w:sz w:val="20"/>
          <w:szCs w:val="20"/>
        </w:rPr>
        <w:t>complaints lodged with the PSC</w:t>
      </w:r>
      <w:r w:rsidR="003C5CAB" w:rsidRPr="002C1D31">
        <w:rPr>
          <w:rFonts w:ascii="Arial" w:hAnsi="Arial" w:cs="Arial"/>
          <w:sz w:val="20"/>
          <w:szCs w:val="20"/>
        </w:rPr>
        <w:t>,</w:t>
      </w:r>
      <w:r w:rsidR="00EF7181" w:rsidRPr="002C1D31">
        <w:rPr>
          <w:rFonts w:ascii="Arial" w:hAnsi="Arial" w:cs="Arial"/>
          <w:sz w:val="20"/>
          <w:szCs w:val="20"/>
        </w:rPr>
        <w:t xml:space="preserve"> </w:t>
      </w:r>
      <w:r w:rsidR="003C5CAB" w:rsidRPr="002C1D31">
        <w:rPr>
          <w:rFonts w:ascii="Arial" w:hAnsi="Arial" w:cs="Arial"/>
          <w:sz w:val="20"/>
          <w:szCs w:val="20"/>
        </w:rPr>
        <w:t>among top on</w:t>
      </w:r>
      <w:r w:rsidR="00EF7181" w:rsidRPr="002C1D31">
        <w:rPr>
          <w:rFonts w:ascii="Arial" w:hAnsi="Arial" w:cs="Arial"/>
          <w:sz w:val="20"/>
          <w:szCs w:val="20"/>
        </w:rPr>
        <w:t xml:space="preserve"> the list was </w:t>
      </w:r>
      <w:r w:rsidR="003C5CAB" w:rsidRPr="002C1D31">
        <w:rPr>
          <w:rFonts w:ascii="Arial" w:hAnsi="Arial" w:cs="Arial"/>
          <w:sz w:val="20"/>
          <w:szCs w:val="20"/>
        </w:rPr>
        <w:t xml:space="preserve">irregular </w:t>
      </w:r>
      <w:r w:rsidR="00EF7181" w:rsidRPr="002C1D31">
        <w:rPr>
          <w:rFonts w:ascii="Arial" w:hAnsi="Arial" w:cs="Arial"/>
          <w:sz w:val="20"/>
          <w:szCs w:val="20"/>
        </w:rPr>
        <w:t>appointment and Human Resource related matters. These complaints signal that recruitment process in the public service need to be reviewed</w:t>
      </w:r>
      <w:r w:rsidR="003C5CAB" w:rsidRPr="002C1D31">
        <w:rPr>
          <w:rFonts w:ascii="Arial" w:hAnsi="Arial" w:cs="Arial"/>
          <w:sz w:val="20"/>
          <w:szCs w:val="20"/>
        </w:rPr>
        <w:t xml:space="preserve"> and strengthened</w:t>
      </w:r>
      <w:r w:rsidR="00EF7181" w:rsidRPr="002C1D31">
        <w:rPr>
          <w:rFonts w:ascii="Arial" w:hAnsi="Arial" w:cs="Arial"/>
          <w:sz w:val="20"/>
          <w:szCs w:val="20"/>
        </w:rPr>
        <w:t xml:space="preserve"> in order to ensure capable and competent personnel are appointed based on merits. The Human Resource Management weakness need to be addressed in order to play a meaningful role to ensure line managers responsible for identify suitable candidate</w:t>
      </w:r>
      <w:r w:rsidR="00CA2E0B" w:rsidRPr="002C1D31">
        <w:rPr>
          <w:rFonts w:ascii="Arial" w:hAnsi="Arial" w:cs="Arial"/>
          <w:sz w:val="20"/>
          <w:szCs w:val="20"/>
        </w:rPr>
        <w:t>s</w:t>
      </w:r>
      <w:r w:rsidR="00EF7181" w:rsidRPr="002C1D31">
        <w:rPr>
          <w:rFonts w:ascii="Arial" w:hAnsi="Arial" w:cs="Arial"/>
          <w:sz w:val="20"/>
          <w:szCs w:val="20"/>
        </w:rPr>
        <w:t xml:space="preserve"> for appointment </w:t>
      </w:r>
      <w:r w:rsidR="003C5CAB" w:rsidRPr="002C1D31">
        <w:rPr>
          <w:rFonts w:ascii="Arial" w:hAnsi="Arial" w:cs="Arial"/>
          <w:sz w:val="20"/>
          <w:szCs w:val="20"/>
        </w:rPr>
        <w:t>recruit</w:t>
      </w:r>
      <w:r w:rsidR="00EF7181" w:rsidRPr="002C1D31">
        <w:rPr>
          <w:rFonts w:ascii="Arial" w:hAnsi="Arial" w:cs="Arial"/>
          <w:sz w:val="20"/>
          <w:szCs w:val="20"/>
        </w:rPr>
        <w:t xml:space="preserve"> best in the public service. </w:t>
      </w:r>
    </w:p>
    <w:p w:rsidR="00EF7181" w:rsidRPr="002C1D31" w:rsidRDefault="00EF7181" w:rsidP="002C1D31">
      <w:pPr>
        <w:pStyle w:val="ListParagraph"/>
        <w:spacing w:after="0" w:line="240" w:lineRule="auto"/>
        <w:rPr>
          <w:rFonts w:ascii="Arial" w:hAnsi="Arial" w:cs="Arial"/>
          <w:sz w:val="20"/>
          <w:szCs w:val="20"/>
        </w:rPr>
      </w:pPr>
    </w:p>
    <w:p w:rsidR="00EF7181" w:rsidRPr="002C1D31" w:rsidRDefault="00EF7181" w:rsidP="002C1D31">
      <w:pPr>
        <w:pStyle w:val="ListParagraph"/>
        <w:numPr>
          <w:ilvl w:val="1"/>
          <w:numId w:val="1"/>
        </w:numPr>
        <w:spacing w:after="0" w:line="240" w:lineRule="auto"/>
        <w:ind w:hanging="720"/>
        <w:rPr>
          <w:rFonts w:ascii="Arial" w:hAnsi="Arial" w:cs="Arial"/>
          <w:sz w:val="20"/>
          <w:szCs w:val="20"/>
        </w:rPr>
      </w:pPr>
      <w:r w:rsidRPr="002C1D31">
        <w:rPr>
          <w:rFonts w:ascii="Arial" w:hAnsi="Arial" w:cs="Arial"/>
          <w:sz w:val="20"/>
          <w:szCs w:val="20"/>
        </w:rPr>
        <w:t>The PSC visibility was once again on the limelight by the Committee. The Committee urged the PSC to extend their horizon in communicating its work on the ground so that members of the public are aware of their existence. Social</w:t>
      </w:r>
      <w:r w:rsidR="003C5CAB" w:rsidRPr="002C1D31">
        <w:rPr>
          <w:rFonts w:ascii="Arial" w:hAnsi="Arial" w:cs="Arial"/>
          <w:sz w:val="20"/>
          <w:szCs w:val="20"/>
        </w:rPr>
        <w:t xml:space="preserve"> media platforms should be u</w:t>
      </w:r>
      <w:r w:rsidRPr="002C1D31">
        <w:rPr>
          <w:rFonts w:ascii="Arial" w:hAnsi="Arial" w:cs="Arial"/>
          <w:sz w:val="20"/>
          <w:szCs w:val="20"/>
        </w:rPr>
        <w:t xml:space="preserve">sed to create awareness on the work of the Commission. </w:t>
      </w:r>
    </w:p>
    <w:p w:rsidR="00EF7181" w:rsidRPr="002C1D31" w:rsidRDefault="00EF7181" w:rsidP="002C1D31">
      <w:pPr>
        <w:pStyle w:val="ListParagraph"/>
        <w:spacing w:after="0" w:line="240" w:lineRule="auto"/>
        <w:rPr>
          <w:rFonts w:ascii="Arial" w:hAnsi="Arial" w:cs="Arial"/>
          <w:sz w:val="20"/>
          <w:szCs w:val="20"/>
        </w:rPr>
      </w:pPr>
    </w:p>
    <w:p w:rsidR="004B3DF8" w:rsidRPr="002C1D31" w:rsidRDefault="004B3DF8" w:rsidP="002C1D31">
      <w:pPr>
        <w:pStyle w:val="ListParagraph"/>
        <w:numPr>
          <w:ilvl w:val="1"/>
          <w:numId w:val="1"/>
        </w:numPr>
        <w:spacing w:after="0" w:line="240" w:lineRule="auto"/>
        <w:ind w:hanging="720"/>
        <w:rPr>
          <w:rFonts w:ascii="Arial" w:hAnsi="Arial" w:cs="Arial"/>
          <w:sz w:val="20"/>
          <w:szCs w:val="20"/>
        </w:rPr>
      </w:pPr>
      <w:r w:rsidRPr="002C1D31">
        <w:rPr>
          <w:rFonts w:ascii="Arial" w:hAnsi="Arial" w:cs="Arial"/>
          <w:sz w:val="20"/>
          <w:szCs w:val="20"/>
        </w:rPr>
        <w:t>With regard to cases of corruption reported on the National Anti-Corruption Hotline, social grant fraud and appointment irregularities top number of cases reported in the PSC. The Committee was of the view that social security system need to be strengthen</w:t>
      </w:r>
      <w:r w:rsidR="003C5CAB" w:rsidRPr="002C1D31">
        <w:rPr>
          <w:rFonts w:ascii="Arial" w:hAnsi="Arial" w:cs="Arial"/>
          <w:sz w:val="20"/>
          <w:szCs w:val="20"/>
        </w:rPr>
        <w:t>ed</w:t>
      </w:r>
      <w:r w:rsidRPr="002C1D31">
        <w:rPr>
          <w:rFonts w:ascii="Arial" w:hAnsi="Arial" w:cs="Arial"/>
          <w:sz w:val="20"/>
          <w:szCs w:val="20"/>
        </w:rPr>
        <w:t xml:space="preserve"> in order to minimise fraud committed which cost government whole lot of monies. </w:t>
      </w:r>
    </w:p>
    <w:p w:rsidR="004B3DF8" w:rsidRPr="002C1D31" w:rsidRDefault="004B3DF8" w:rsidP="002C1D31">
      <w:pPr>
        <w:pStyle w:val="ListParagraph"/>
        <w:spacing w:after="0" w:line="240" w:lineRule="auto"/>
        <w:rPr>
          <w:rFonts w:ascii="Arial" w:hAnsi="Arial" w:cs="Arial"/>
          <w:sz w:val="20"/>
          <w:szCs w:val="20"/>
        </w:rPr>
      </w:pPr>
    </w:p>
    <w:p w:rsidR="00362D8B" w:rsidRPr="002C1D31" w:rsidRDefault="004B3DF8" w:rsidP="002C1D31">
      <w:pPr>
        <w:pStyle w:val="ListParagraph"/>
        <w:numPr>
          <w:ilvl w:val="1"/>
          <w:numId w:val="1"/>
        </w:numPr>
        <w:spacing w:after="0" w:line="240" w:lineRule="auto"/>
        <w:ind w:hanging="720"/>
        <w:rPr>
          <w:rFonts w:ascii="Arial" w:hAnsi="Arial" w:cs="Arial"/>
          <w:sz w:val="20"/>
          <w:szCs w:val="20"/>
        </w:rPr>
      </w:pPr>
      <w:r w:rsidRPr="002C1D31">
        <w:rPr>
          <w:rFonts w:ascii="Arial" w:hAnsi="Arial" w:cs="Arial"/>
          <w:sz w:val="20"/>
          <w:szCs w:val="20"/>
        </w:rPr>
        <w:t xml:space="preserve">The Committee notes concern raised by the PSC that departments are taking an extended period of time in providing feedback despite the fact that whistle-blowers are requesting feedback on progress made with </w:t>
      </w:r>
      <w:r w:rsidR="00CA2E0B" w:rsidRPr="002C1D31">
        <w:rPr>
          <w:rFonts w:ascii="Arial" w:hAnsi="Arial" w:cs="Arial"/>
          <w:sz w:val="20"/>
          <w:szCs w:val="20"/>
        </w:rPr>
        <w:t xml:space="preserve">regard to </w:t>
      </w:r>
      <w:r w:rsidRPr="002C1D31">
        <w:rPr>
          <w:rFonts w:ascii="Arial" w:hAnsi="Arial" w:cs="Arial"/>
          <w:sz w:val="20"/>
          <w:szCs w:val="20"/>
        </w:rPr>
        <w:t xml:space="preserve">investigations. The Committee propose that measure need to be put in place to monitor referrals and develop consequence management if there </w:t>
      </w:r>
      <w:r w:rsidR="00441951" w:rsidRPr="002C1D31">
        <w:rPr>
          <w:rFonts w:ascii="Arial" w:hAnsi="Arial" w:cs="Arial"/>
          <w:sz w:val="20"/>
          <w:szCs w:val="20"/>
        </w:rPr>
        <w:t>wa</w:t>
      </w:r>
      <w:r w:rsidRPr="002C1D31">
        <w:rPr>
          <w:rFonts w:ascii="Arial" w:hAnsi="Arial" w:cs="Arial"/>
          <w:sz w:val="20"/>
          <w:szCs w:val="20"/>
        </w:rPr>
        <w:t xml:space="preserve">s non-compliance emanating from departments. </w:t>
      </w:r>
      <w:r w:rsidR="00416CCB" w:rsidRPr="002C1D31">
        <w:rPr>
          <w:rFonts w:ascii="Arial" w:hAnsi="Arial" w:cs="Arial"/>
          <w:sz w:val="20"/>
          <w:szCs w:val="20"/>
        </w:rPr>
        <w:t xml:space="preserve"> </w:t>
      </w:r>
      <w:r w:rsidR="008A637F" w:rsidRPr="002C1D31">
        <w:rPr>
          <w:rFonts w:ascii="Arial" w:hAnsi="Arial" w:cs="Arial"/>
          <w:sz w:val="20"/>
          <w:szCs w:val="20"/>
        </w:rPr>
        <w:t xml:space="preserve"> </w:t>
      </w:r>
    </w:p>
    <w:p w:rsidR="00B007C3" w:rsidRPr="002C1D31" w:rsidRDefault="00B007C3" w:rsidP="002C1D31">
      <w:pPr>
        <w:pStyle w:val="ListParagraph"/>
        <w:spacing w:after="0" w:line="240" w:lineRule="auto"/>
        <w:rPr>
          <w:rFonts w:ascii="Arial" w:hAnsi="Arial" w:cs="Arial"/>
          <w:sz w:val="20"/>
          <w:szCs w:val="20"/>
        </w:rPr>
      </w:pPr>
    </w:p>
    <w:p w:rsidR="00B007C3" w:rsidRPr="002C1D31" w:rsidRDefault="00B007C3" w:rsidP="002C1D31">
      <w:pPr>
        <w:pStyle w:val="ListParagraph"/>
        <w:spacing w:after="0" w:line="240" w:lineRule="auto"/>
        <w:rPr>
          <w:rFonts w:ascii="Arial" w:hAnsi="Arial" w:cs="Arial"/>
          <w:sz w:val="20"/>
          <w:szCs w:val="20"/>
        </w:rPr>
      </w:pPr>
    </w:p>
    <w:p w:rsidR="00A67E58" w:rsidRPr="002C1D31" w:rsidRDefault="004D5DB9" w:rsidP="002C1D31">
      <w:pPr>
        <w:spacing w:after="0" w:line="240" w:lineRule="auto"/>
        <w:rPr>
          <w:rFonts w:ascii="Arial" w:hAnsi="Arial" w:cs="Arial"/>
          <w:b/>
          <w:sz w:val="20"/>
          <w:szCs w:val="20"/>
        </w:rPr>
      </w:pPr>
      <w:r w:rsidRPr="002C1D31">
        <w:rPr>
          <w:rFonts w:ascii="Arial" w:hAnsi="Arial" w:cs="Arial"/>
          <w:b/>
          <w:sz w:val="20"/>
          <w:szCs w:val="20"/>
        </w:rPr>
        <w:t xml:space="preserve">6. </w:t>
      </w:r>
      <w:r w:rsidR="00A67E58" w:rsidRPr="002C1D31">
        <w:rPr>
          <w:rFonts w:ascii="Arial" w:hAnsi="Arial" w:cs="Arial"/>
          <w:b/>
          <w:sz w:val="20"/>
          <w:szCs w:val="20"/>
        </w:rPr>
        <w:t>The Portfolio Committee recommends as follows:</w:t>
      </w:r>
    </w:p>
    <w:p w:rsidR="00A67E58" w:rsidRPr="002C1D31" w:rsidRDefault="004D5DB9" w:rsidP="002C1D31">
      <w:pPr>
        <w:spacing w:after="0" w:line="240" w:lineRule="auto"/>
        <w:ind w:left="709" w:hanging="709"/>
        <w:rPr>
          <w:rFonts w:ascii="Arial" w:hAnsi="Arial" w:cs="Arial"/>
          <w:sz w:val="20"/>
          <w:szCs w:val="20"/>
        </w:rPr>
      </w:pPr>
      <w:r w:rsidRPr="002C1D31">
        <w:rPr>
          <w:rFonts w:ascii="Arial" w:hAnsi="Arial" w:cs="Arial"/>
          <w:sz w:val="20"/>
          <w:szCs w:val="20"/>
        </w:rPr>
        <w:t>6</w:t>
      </w:r>
      <w:r w:rsidR="00A67E58" w:rsidRPr="002C1D31">
        <w:rPr>
          <w:rFonts w:ascii="Arial" w:hAnsi="Arial" w:cs="Arial"/>
          <w:sz w:val="20"/>
          <w:szCs w:val="20"/>
        </w:rPr>
        <w:t>.1</w:t>
      </w:r>
      <w:r w:rsidR="00A67E58" w:rsidRPr="002C1D31">
        <w:rPr>
          <w:rFonts w:ascii="Arial" w:hAnsi="Arial" w:cs="Arial"/>
          <w:sz w:val="20"/>
          <w:szCs w:val="20"/>
        </w:rPr>
        <w:tab/>
      </w:r>
      <w:r w:rsidR="00037A94" w:rsidRPr="002C1D31">
        <w:rPr>
          <w:rFonts w:ascii="Arial" w:hAnsi="Arial" w:cs="Arial"/>
          <w:sz w:val="20"/>
          <w:szCs w:val="20"/>
        </w:rPr>
        <w:t>T</w:t>
      </w:r>
      <w:r w:rsidR="00A67E58" w:rsidRPr="002C1D31">
        <w:rPr>
          <w:rFonts w:ascii="Arial" w:hAnsi="Arial" w:cs="Arial"/>
          <w:sz w:val="20"/>
          <w:szCs w:val="20"/>
        </w:rPr>
        <w:t xml:space="preserve">he House adopts and approve </w:t>
      </w:r>
      <w:r w:rsidR="004B3DF8" w:rsidRPr="002C1D31">
        <w:rPr>
          <w:rFonts w:ascii="Arial" w:hAnsi="Arial" w:cs="Arial"/>
          <w:sz w:val="20"/>
          <w:szCs w:val="20"/>
        </w:rPr>
        <w:t xml:space="preserve">first, </w:t>
      </w:r>
      <w:r w:rsidR="00046713" w:rsidRPr="002C1D31">
        <w:rPr>
          <w:rFonts w:ascii="Arial" w:hAnsi="Arial" w:cs="Arial"/>
          <w:sz w:val="20"/>
          <w:szCs w:val="20"/>
        </w:rPr>
        <w:t>second</w:t>
      </w:r>
      <w:r w:rsidR="004B3DF8" w:rsidRPr="002C1D31">
        <w:rPr>
          <w:rFonts w:ascii="Arial" w:hAnsi="Arial" w:cs="Arial"/>
          <w:sz w:val="20"/>
          <w:szCs w:val="20"/>
        </w:rPr>
        <w:t xml:space="preserve"> and third</w:t>
      </w:r>
      <w:r w:rsidR="004D4C26" w:rsidRPr="002C1D31">
        <w:rPr>
          <w:rFonts w:ascii="Arial" w:hAnsi="Arial" w:cs="Arial"/>
          <w:sz w:val="20"/>
          <w:szCs w:val="20"/>
        </w:rPr>
        <w:t xml:space="preserve"> quarter</w:t>
      </w:r>
      <w:r w:rsidR="00037A94" w:rsidRPr="002C1D31">
        <w:rPr>
          <w:rFonts w:ascii="Arial" w:hAnsi="Arial" w:cs="Arial"/>
          <w:sz w:val="20"/>
          <w:szCs w:val="20"/>
        </w:rPr>
        <w:t xml:space="preserve"> </w:t>
      </w:r>
      <w:r w:rsidR="00A67E58" w:rsidRPr="002C1D31">
        <w:rPr>
          <w:rFonts w:ascii="Arial" w:hAnsi="Arial" w:cs="Arial"/>
          <w:sz w:val="20"/>
          <w:szCs w:val="20"/>
        </w:rPr>
        <w:t xml:space="preserve">performance </w:t>
      </w:r>
      <w:r w:rsidR="00037A94" w:rsidRPr="002C1D31">
        <w:rPr>
          <w:rFonts w:ascii="Arial" w:hAnsi="Arial" w:cs="Arial"/>
          <w:sz w:val="20"/>
          <w:szCs w:val="20"/>
        </w:rPr>
        <w:t>report</w:t>
      </w:r>
      <w:r w:rsidR="004B3DF8" w:rsidRPr="002C1D31">
        <w:rPr>
          <w:rFonts w:ascii="Arial" w:hAnsi="Arial" w:cs="Arial"/>
          <w:sz w:val="20"/>
          <w:szCs w:val="20"/>
        </w:rPr>
        <w:t xml:space="preserve"> for 2021</w:t>
      </w:r>
      <w:r w:rsidR="00046713" w:rsidRPr="002C1D31">
        <w:rPr>
          <w:rFonts w:ascii="Arial" w:hAnsi="Arial" w:cs="Arial"/>
          <w:sz w:val="20"/>
          <w:szCs w:val="20"/>
        </w:rPr>
        <w:t>/2</w:t>
      </w:r>
      <w:r w:rsidR="004B3DF8" w:rsidRPr="002C1D31">
        <w:rPr>
          <w:rFonts w:ascii="Arial" w:hAnsi="Arial" w:cs="Arial"/>
          <w:sz w:val="20"/>
          <w:szCs w:val="20"/>
        </w:rPr>
        <w:t>2</w:t>
      </w:r>
      <w:r w:rsidR="00046713" w:rsidRPr="002C1D31">
        <w:rPr>
          <w:rFonts w:ascii="Arial" w:hAnsi="Arial" w:cs="Arial"/>
          <w:sz w:val="20"/>
          <w:szCs w:val="20"/>
        </w:rPr>
        <w:t xml:space="preserve"> financial year</w:t>
      </w:r>
      <w:r w:rsidR="00037A94" w:rsidRPr="002C1D31">
        <w:rPr>
          <w:rFonts w:ascii="Arial" w:hAnsi="Arial" w:cs="Arial"/>
          <w:sz w:val="20"/>
          <w:szCs w:val="20"/>
        </w:rPr>
        <w:t xml:space="preserve"> </w:t>
      </w:r>
      <w:r w:rsidR="00A67E58" w:rsidRPr="002C1D31">
        <w:rPr>
          <w:rFonts w:ascii="Arial" w:hAnsi="Arial" w:cs="Arial"/>
          <w:sz w:val="20"/>
          <w:szCs w:val="20"/>
        </w:rPr>
        <w:t>of the Budget Vote</w:t>
      </w:r>
      <w:r w:rsidR="00046713" w:rsidRPr="002C1D31">
        <w:rPr>
          <w:rFonts w:ascii="Arial" w:hAnsi="Arial" w:cs="Arial"/>
          <w:sz w:val="20"/>
          <w:szCs w:val="20"/>
        </w:rPr>
        <w:t xml:space="preserve"> 12</w:t>
      </w:r>
      <w:r w:rsidR="00A67E58" w:rsidRPr="002C1D31">
        <w:rPr>
          <w:rFonts w:ascii="Arial" w:hAnsi="Arial" w:cs="Arial"/>
          <w:sz w:val="20"/>
          <w:szCs w:val="20"/>
        </w:rPr>
        <w:t xml:space="preserve"> of </w:t>
      </w:r>
      <w:r w:rsidR="00046713" w:rsidRPr="002C1D31">
        <w:rPr>
          <w:rFonts w:ascii="Arial" w:hAnsi="Arial" w:cs="Arial"/>
          <w:sz w:val="20"/>
          <w:szCs w:val="20"/>
        </w:rPr>
        <w:t xml:space="preserve">the </w:t>
      </w:r>
      <w:r w:rsidR="00A67E58" w:rsidRPr="002C1D31">
        <w:rPr>
          <w:rFonts w:ascii="Arial" w:hAnsi="Arial" w:cs="Arial"/>
          <w:sz w:val="20"/>
          <w:szCs w:val="20"/>
        </w:rPr>
        <w:t xml:space="preserve">Public Service </w:t>
      </w:r>
      <w:r w:rsidR="00D47E7C" w:rsidRPr="002C1D31">
        <w:rPr>
          <w:rFonts w:ascii="Arial" w:hAnsi="Arial" w:cs="Arial"/>
          <w:sz w:val="20"/>
          <w:szCs w:val="20"/>
        </w:rPr>
        <w:t xml:space="preserve">Commission. </w:t>
      </w:r>
      <w:r w:rsidR="004D4C26" w:rsidRPr="002C1D31">
        <w:rPr>
          <w:rFonts w:ascii="Arial" w:hAnsi="Arial" w:cs="Arial"/>
          <w:sz w:val="20"/>
          <w:szCs w:val="20"/>
        </w:rPr>
        <w:t xml:space="preserve"> </w:t>
      </w:r>
    </w:p>
    <w:p w:rsidR="00A67E58" w:rsidRPr="002C1D31" w:rsidRDefault="00A67E58" w:rsidP="002C1D31">
      <w:pPr>
        <w:pStyle w:val="ListParagraph"/>
        <w:spacing w:after="0" w:line="240" w:lineRule="auto"/>
        <w:rPr>
          <w:rFonts w:ascii="Arial" w:hAnsi="Arial" w:cs="Arial"/>
          <w:sz w:val="20"/>
          <w:szCs w:val="20"/>
        </w:rPr>
      </w:pPr>
    </w:p>
    <w:p w:rsidR="00EC038C" w:rsidRPr="002C1D31" w:rsidRDefault="00A67E58" w:rsidP="002C1D31">
      <w:pPr>
        <w:spacing w:after="0" w:line="240" w:lineRule="auto"/>
        <w:rPr>
          <w:rFonts w:ascii="Arial" w:hAnsi="Arial" w:cs="Arial"/>
          <w:sz w:val="20"/>
          <w:szCs w:val="20"/>
        </w:rPr>
      </w:pPr>
      <w:r w:rsidRPr="002C1D31">
        <w:rPr>
          <w:rFonts w:ascii="Arial" w:hAnsi="Arial" w:cs="Arial"/>
          <w:sz w:val="20"/>
          <w:szCs w:val="20"/>
        </w:rPr>
        <w:t xml:space="preserve">Report </w:t>
      </w:r>
      <w:r w:rsidR="00C8291F" w:rsidRPr="002C1D31">
        <w:rPr>
          <w:rFonts w:ascii="Arial" w:hAnsi="Arial" w:cs="Arial"/>
          <w:sz w:val="20"/>
          <w:szCs w:val="20"/>
        </w:rPr>
        <w:t xml:space="preserve">to be </w:t>
      </w:r>
      <w:r w:rsidRPr="002C1D31">
        <w:rPr>
          <w:rFonts w:ascii="Arial" w:hAnsi="Arial" w:cs="Arial"/>
          <w:sz w:val="20"/>
          <w:szCs w:val="20"/>
        </w:rPr>
        <w:t>considered</w:t>
      </w:r>
    </w:p>
    <w:sectPr w:rsidR="00EC038C" w:rsidRPr="002C1D31" w:rsidSect="00D65AC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40" w:rsidRDefault="00A30F40" w:rsidP="00BA3CE3">
      <w:pPr>
        <w:spacing w:after="0" w:line="240" w:lineRule="auto"/>
      </w:pPr>
      <w:r>
        <w:separator/>
      </w:r>
    </w:p>
  </w:endnote>
  <w:endnote w:type="continuationSeparator" w:id="0">
    <w:p w:rsidR="00A30F40" w:rsidRDefault="00A30F40" w:rsidP="00BA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6605"/>
      <w:docPartObj>
        <w:docPartGallery w:val="Page Numbers (Bottom of Page)"/>
        <w:docPartUnique/>
      </w:docPartObj>
    </w:sdtPr>
    <w:sdtEndPr>
      <w:rPr>
        <w:noProof/>
      </w:rPr>
    </w:sdtEndPr>
    <w:sdtContent>
      <w:p w:rsidR="00EF7181" w:rsidRDefault="00D65AC0">
        <w:pPr>
          <w:pStyle w:val="Footer"/>
          <w:jc w:val="center"/>
        </w:pPr>
        <w:r>
          <w:fldChar w:fldCharType="begin"/>
        </w:r>
        <w:r w:rsidR="00EF7181">
          <w:instrText xml:space="preserve"> PAGE   \* MERGEFORMAT </w:instrText>
        </w:r>
        <w:r>
          <w:fldChar w:fldCharType="separate"/>
        </w:r>
        <w:r w:rsidR="002C1D31">
          <w:rPr>
            <w:noProof/>
          </w:rPr>
          <w:t>3</w:t>
        </w:r>
        <w:r>
          <w:rPr>
            <w:noProof/>
          </w:rPr>
          <w:fldChar w:fldCharType="end"/>
        </w:r>
      </w:p>
    </w:sdtContent>
  </w:sdt>
  <w:p w:rsidR="00EF7181" w:rsidRDefault="00EF7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40" w:rsidRDefault="00A30F40" w:rsidP="00BA3CE3">
      <w:pPr>
        <w:spacing w:after="0" w:line="240" w:lineRule="auto"/>
      </w:pPr>
      <w:r>
        <w:separator/>
      </w:r>
    </w:p>
  </w:footnote>
  <w:footnote w:type="continuationSeparator" w:id="0">
    <w:p w:rsidR="00A30F40" w:rsidRDefault="00A30F40" w:rsidP="00BA3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363"/>
    <w:multiLevelType w:val="hybridMultilevel"/>
    <w:tmpl w:val="F6E0A3A0"/>
    <w:lvl w:ilvl="0" w:tplc="B9A8DA4A">
      <w:start w:val="1"/>
      <w:numFmt w:val="bullet"/>
      <w:lvlText w:val=""/>
      <w:lvlJc w:val="left"/>
      <w:pPr>
        <w:tabs>
          <w:tab w:val="num" w:pos="720"/>
        </w:tabs>
        <w:ind w:left="720" w:hanging="360"/>
      </w:pPr>
      <w:rPr>
        <w:rFonts w:ascii="Wingdings" w:hAnsi="Wingdings" w:hint="default"/>
      </w:rPr>
    </w:lvl>
    <w:lvl w:ilvl="1" w:tplc="EA3A5082" w:tentative="1">
      <w:start w:val="1"/>
      <w:numFmt w:val="bullet"/>
      <w:lvlText w:val=""/>
      <w:lvlJc w:val="left"/>
      <w:pPr>
        <w:tabs>
          <w:tab w:val="num" w:pos="1440"/>
        </w:tabs>
        <w:ind w:left="1440" w:hanging="360"/>
      </w:pPr>
      <w:rPr>
        <w:rFonts w:ascii="Wingdings" w:hAnsi="Wingdings" w:hint="default"/>
      </w:rPr>
    </w:lvl>
    <w:lvl w:ilvl="2" w:tplc="EB943000" w:tentative="1">
      <w:start w:val="1"/>
      <w:numFmt w:val="bullet"/>
      <w:lvlText w:val=""/>
      <w:lvlJc w:val="left"/>
      <w:pPr>
        <w:tabs>
          <w:tab w:val="num" w:pos="2160"/>
        </w:tabs>
        <w:ind w:left="2160" w:hanging="360"/>
      </w:pPr>
      <w:rPr>
        <w:rFonts w:ascii="Wingdings" w:hAnsi="Wingdings" w:hint="default"/>
      </w:rPr>
    </w:lvl>
    <w:lvl w:ilvl="3" w:tplc="F0E880D8" w:tentative="1">
      <w:start w:val="1"/>
      <w:numFmt w:val="bullet"/>
      <w:lvlText w:val=""/>
      <w:lvlJc w:val="left"/>
      <w:pPr>
        <w:tabs>
          <w:tab w:val="num" w:pos="2880"/>
        </w:tabs>
        <w:ind w:left="2880" w:hanging="360"/>
      </w:pPr>
      <w:rPr>
        <w:rFonts w:ascii="Wingdings" w:hAnsi="Wingdings" w:hint="default"/>
      </w:rPr>
    </w:lvl>
    <w:lvl w:ilvl="4" w:tplc="4F142834" w:tentative="1">
      <w:start w:val="1"/>
      <w:numFmt w:val="bullet"/>
      <w:lvlText w:val=""/>
      <w:lvlJc w:val="left"/>
      <w:pPr>
        <w:tabs>
          <w:tab w:val="num" w:pos="3600"/>
        </w:tabs>
        <w:ind w:left="3600" w:hanging="360"/>
      </w:pPr>
      <w:rPr>
        <w:rFonts w:ascii="Wingdings" w:hAnsi="Wingdings" w:hint="default"/>
      </w:rPr>
    </w:lvl>
    <w:lvl w:ilvl="5" w:tplc="982C4296" w:tentative="1">
      <w:start w:val="1"/>
      <w:numFmt w:val="bullet"/>
      <w:lvlText w:val=""/>
      <w:lvlJc w:val="left"/>
      <w:pPr>
        <w:tabs>
          <w:tab w:val="num" w:pos="4320"/>
        </w:tabs>
        <w:ind w:left="4320" w:hanging="360"/>
      </w:pPr>
      <w:rPr>
        <w:rFonts w:ascii="Wingdings" w:hAnsi="Wingdings" w:hint="default"/>
      </w:rPr>
    </w:lvl>
    <w:lvl w:ilvl="6" w:tplc="C8BC669C" w:tentative="1">
      <w:start w:val="1"/>
      <w:numFmt w:val="bullet"/>
      <w:lvlText w:val=""/>
      <w:lvlJc w:val="left"/>
      <w:pPr>
        <w:tabs>
          <w:tab w:val="num" w:pos="5040"/>
        </w:tabs>
        <w:ind w:left="5040" w:hanging="360"/>
      </w:pPr>
      <w:rPr>
        <w:rFonts w:ascii="Wingdings" w:hAnsi="Wingdings" w:hint="default"/>
      </w:rPr>
    </w:lvl>
    <w:lvl w:ilvl="7" w:tplc="FCE0E01A" w:tentative="1">
      <w:start w:val="1"/>
      <w:numFmt w:val="bullet"/>
      <w:lvlText w:val=""/>
      <w:lvlJc w:val="left"/>
      <w:pPr>
        <w:tabs>
          <w:tab w:val="num" w:pos="5760"/>
        </w:tabs>
        <w:ind w:left="5760" w:hanging="360"/>
      </w:pPr>
      <w:rPr>
        <w:rFonts w:ascii="Wingdings" w:hAnsi="Wingdings" w:hint="default"/>
      </w:rPr>
    </w:lvl>
    <w:lvl w:ilvl="8" w:tplc="FA22A4BE" w:tentative="1">
      <w:start w:val="1"/>
      <w:numFmt w:val="bullet"/>
      <w:lvlText w:val=""/>
      <w:lvlJc w:val="left"/>
      <w:pPr>
        <w:tabs>
          <w:tab w:val="num" w:pos="6480"/>
        </w:tabs>
        <w:ind w:left="6480" w:hanging="360"/>
      </w:pPr>
      <w:rPr>
        <w:rFonts w:ascii="Wingdings" w:hAnsi="Wingdings" w:hint="default"/>
      </w:rPr>
    </w:lvl>
  </w:abstractNum>
  <w:abstractNum w:abstractNumId="1">
    <w:nsid w:val="06896769"/>
    <w:multiLevelType w:val="hybridMultilevel"/>
    <w:tmpl w:val="2CBEF6A0"/>
    <w:lvl w:ilvl="0" w:tplc="1E200CB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D42EC"/>
    <w:multiLevelType w:val="multilevel"/>
    <w:tmpl w:val="9F286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EA5709"/>
    <w:multiLevelType w:val="hybridMultilevel"/>
    <w:tmpl w:val="282A365A"/>
    <w:lvl w:ilvl="0" w:tplc="5276D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0B777A"/>
    <w:multiLevelType w:val="hybridMultilevel"/>
    <w:tmpl w:val="584009C0"/>
    <w:lvl w:ilvl="0" w:tplc="7FF68B2C">
      <w:start w:val="1"/>
      <w:numFmt w:val="lowerLetter"/>
      <w:lvlText w:val="%1)"/>
      <w:lvlJc w:val="left"/>
      <w:pPr>
        <w:ind w:left="1800" w:hanging="36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E3D3FFD"/>
    <w:multiLevelType w:val="hybridMultilevel"/>
    <w:tmpl w:val="42400808"/>
    <w:lvl w:ilvl="0" w:tplc="562C6A8E">
      <w:start w:val="1"/>
      <w:numFmt w:val="bullet"/>
      <w:lvlText w:val=""/>
      <w:lvlJc w:val="left"/>
      <w:pPr>
        <w:tabs>
          <w:tab w:val="num" w:pos="720"/>
        </w:tabs>
        <w:ind w:left="720" w:hanging="360"/>
      </w:pPr>
      <w:rPr>
        <w:rFonts w:ascii="Wingdings" w:hAnsi="Wingdings" w:hint="default"/>
      </w:rPr>
    </w:lvl>
    <w:lvl w:ilvl="1" w:tplc="247E7C62" w:tentative="1">
      <w:start w:val="1"/>
      <w:numFmt w:val="bullet"/>
      <w:lvlText w:val=""/>
      <w:lvlJc w:val="left"/>
      <w:pPr>
        <w:tabs>
          <w:tab w:val="num" w:pos="1440"/>
        </w:tabs>
        <w:ind w:left="1440" w:hanging="360"/>
      </w:pPr>
      <w:rPr>
        <w:rFonts w:ascii="Wingdings" w:hAnsi="Wingdings" w:hint="default"/>
      </w:rPr>
    </w:lvl>
    <w:lvl w:ilvl="2" w:tplc="52946B60" w:tentative="1">
      <w:start w:val="1"/>
      <w:numFmt w:val="bullet"/>
      <w:lvlText w:val=""/>
      <w:lvlJc w:val="left"/>
      <w:pPr>
        <w:tabs>
          <w:tab w:val="num" w:pos="2160"/>
        </w:tabs>
        <w:ind w:left="2160" w:hanging="360"/>
      </w:pPr>
      <w:rPr>
        <w:rFonts w:ascii="Wingdings" w:hAnsi="Wingdings" w:hint="default"/>
      </w:rPr>
    </w:lvl>
    <w:lvl w:ilvl="3" w:tplc="D8CEE6F4" w:tentative="1">
      <w:start w:val="1"/>
      <w:numFmt w:val="bullet"/>
      <w:lvlText w:val=""/>
      <w:lvlJc w:val="left"/>
      <w:pPr>
        <w:tabs>
          <w:tab w:val="num" w:pos="2880"/>
        </w:tabs>
        <w:ind w:left="2880" w:hanging="360"/>
      </w:pPr>
      <w:rPr>
        <w:rFonts w:ascii="Wingdings" w:hAnsi="Wingdings" w:hint="default"/>
      </w:rPr>
    </w:lvl>
    <w:lvl w:ilvl="4" w:tplc="D938B978" w:tentative="1">
      <w:start w:val="1"/>
      <w:numFmt w:val="bullet"/>
      <w:lvlText w:val=""/>
      <w:lvlJc w:val="left"/>
      <w:pPr>
        <w:tabs>
          <w:tab w:val="num" w:pos="3600"/>
        </w:tabs>
        <w:ind w:left="3600" w:hanging="360"/>
      </w:pPr>
      <w:rPr>
        <w:rFonts w:ascii="Wingdings" w:hAnsi="Wingdings" w:hint="default"/>
      </w:rPr>
    </w:lvl>
    <w:lvl w:ilvl="5" w:tplc="B30C7040" w:tentative="1">
      <w:start w:val="1"/>
      <w:numFmt w:val="bullet"/>
      <w:lvlText w:val=""/>
      <w:lvlJc w:val="left"/>
      <w:pPr>
        <w:tabs>
          <w:tab w:val="num" w:pos="4320"/>
        </w:tabs>
        <w:ind w:left="4320" w:hanging="360"/>
      </w:pPr>
      <w:rPr>
        <w:rFonts w:ascii="Wingdings" w:hAnsi="Wingdings" w:hint="default"/>
      </w:rPr>
    </w:lvl>
    <w:lvl w:ilvl="6" w:tplc="C242087C" w:tentative="1">
      <w:start w:val="1"/>
      <w:numFmt w:val="bullet"/>
      <w:lvlText w:val=""/>
      <w:lvlJc w:val="left"/>
      <w:pPr>
        <w:tabs>
          <w:tab w:val="num" w:pos="5040"/>
        </w:tabs>
        <w:ind w:left="5040" w:hanging="360"/>
      </w:pPr>
      <w:rPr>
        <w:rFonts w:ascii="Wingdings" w:hAnsi="Wingdings" w:hint="default"/>
      </w:rPr>
    </w:lvl>
    <w:lvl w:ilvl="7" w:tplc="C3AE6FC4" w:tentative="1">
      <w:start w:val="1"/>
      <w:numFmt w:val="bullet"/>
      <w:lvlText w:val=""/>
      <w:lvlJc w:val="left"/>
      <w:pPr>
        <w:tabs>
          <w:tab w:val="num" w:pos="5760"/>
        </w:tabs>
        <w:ind w:left="5760" w:hanging="360"/>
      </w:pPr>
      <w:rPr>
        <w:rFonts w:ascii="Wingdings" w:hAnsi="Wingdings" w:hint="default"/>
      </w:rPr>
    </w:lvl>
    <w:lvl w:ilvl="8" w:tplc="2B00044A" w:tentative="1">
      <w:start w:val="1"/>
      <w:numFmt w:val="bullet"/>
      <w:lvlText w:val=""/>
      <w:lvlJc w:val="left"/>
      <w:pPr>
        <w:tabs>
          <w:tab w:val="num" w:pos="6480"/>
        </w:tabs>
        <w:ind w:left="6480" w:hanging="360"/>
      </w:pPr>
      <w:rPr>
        <w:rFonts w:ascii="Wingdings" w:hAnsi="Wingdings" w:hint="default"/>
      </w:rPr>
    </w:lvl>
  </w:abstractNum>
  <w:abstractNum w:abstractNumId="6">
    <w:nsid w:val="1FCE48FD"/>
    <w:multiLevelType w:val="hybridMultilevel"/>
    <w:tmpl w:val="ABE04732"/>
    <w:lvl w:ilvl="0" w:tplc="A5542214">
      <w:start w:val="1"/>
      <w:numFmt w:val="bullet"/>
      <w:lvlText w:val=""/>
      <w:lvlJc w:val="left"/>
      <w:pPr>
        <w:tabs>
          <w:tab w:val="num" w:pos="720"/>
        </w:tabs>
        <w:ind w:left="720" w:hanging="360"/>
      </w:pPr>
      <w:rPr>
        <w:rFonts w:ascii="Wingdings" w:hAnsi="Wingdings" w:hint="default"/>
      </w:rPr>
    </w:lvl>
    <w:lvl w:ilvl="1" w:tplc="CD04D0E4" w:tentative="1">
      <w:start w:val="1"/>
      <w:numFmt w:val="bullet"/>
      <w:lvlText w:val=""/>
      <w:lvlJc w:val="left"/>
      <w:pPr>
        <w:tabs>
          <w:tab w:val="num" w:pos="1440"/>
        </w:tabs>
        <w:ind w:left="1440" w:hanging="360"/>
      </w:pPr>
      <w:rPr>
        <w:rFonts w:ascii="Wingdings" w:hAnsi="Wingdings" w:hint="default"/>
      </w:rPr>
    </w:lvl>
    <w:lvl w:ilvl="2" w:tplc="3B1AAEFC" w:tentative="1">
      <w:start w:val="1"/>
      <w:numFmt w:val="bullet"/>
      <w:lvlText w:val=""/>
      <w:lvlJc w:val="left"/>
      <w:pPr>
        <w:tabs>
          <w:tab w:val="num" w:pos="2160"/>
        </w:tabs>
        <w:ind w:left="2160" w:hanging="360"/>
      </w:pPr>
      <w:rPr>
        <w:rFonts w:ascii="Wingdings" w:hAnsi="Wingdings" w:hint="default"/>
      </w:rPr>
    </w:lvl>
    <w:lvl w:ilvl="3" w:tplc="8B3623DC" w:tentative="1">
      <w:start w:val="1"/>
      <w:numFmt w:val="bullet"/>
      <w:lvlText w:val=""/>
      <w:lvlJc w:val="left"/>
      <w:pPr>
        <w:tabs>
          <w:tab w:val="num" w:pos="2880"/>
        </w:tabs>
        <w:ind w:left="2880" w:hanging="360"/>
      </w:pPr>
      <w:rPr>
        <w:rFonts w:ascii="Wingdings" w:hAnsi="Wingdings" w:hint="default"/>
      </w:rPr>
    </w:lvl>
    <w:lvl w:ilvl="4" w:tplc="1D98D03A" w:tentative="1">
      <w:start w:val="1"/>
      <w:numFmt w:val="bullet"/>
      <w:lvlText w:val=""/>
      <w:lvlJc w:val="left"/>
      <w:pPr>
        <w:tabs>
          <w:tab w:val="num" w:pos="3600"/>
        </w:tabs>
        <w:ind w:left="3600" w:hanging="360"/>
      </w:pPr>
      <w:rPr>
        <w:rFonts w:ascii="Wingdings" w:hAnsi="Wingdings" w:hint="default"/>
      </w:rPr>
    </w:lvl>
    <w:lvl w:ilvl="5" w:tplc="EBA23830" w:tentative="1">
      <w:start w:val="1"/>
      <w:numFmt w:val="bullet"/>
      <w:lvlText w:val=""/>
      <w:lvlJc w:val="left"/>
      <w:pPr>
        <w:tabs>
          <w:tab w:val="num" w:pos="4320"/>
        </w:tabs>
        <w:ind w:left="4320" w:hanging="360"/>
      </w:pPr>
      <w:rPr>
        <w:rFonts w:ascii="Wingdings" w:hAnsi="Wingdings" w:hint="default"/>
      </w:rPr>
    </w:lvl>
    <w:lvl w:ilvl="6" w:tplc="DC5C70E8" w:tentative="1">
      <w:start w:val="1"/>
      <w:numFmt w:val="bullet"/>
      <w:lvlText w:val=""/>
      <w:lvlJc w:val="left"/>
      <w:pPr>
        <w:tabs>
          <w:tab w:val="num" w:pos="5040"/>
        </w:tabs>
        <w:ind w:left="5040" w:hanging="360"/>
      </w:pPr>
      <w:rPr>
        <w:rFonts w:ascii="Wingdings" w:hAnsi="Wingdings" w:hint="default"/>
      </w:rPr>
    </w:lvl>
    <w:lvl w:ilvl="7" w:tplc="16FAEE3C" w:tentative="1">
      <w:start w:val="1"/>
      <w:numFmt w:val="bullet"/>
      <w:lvlText w:val=""/>
      <w:lvlJc w:val="left"/>
      <w:pPr>
        <w:tabs>
          <w:tab w:val="num" w:pos="5760"/>
        </w:tabs>
        <w:ind w:left="5760" w:hanging="360"/>
      </w:pPr>
      <w:rPr>
        <w:rFonts w:ascii="Wingdings" w:hAnsi="Wingdings" w:hint="default"/>
      </w:rPr>
    </w:lvl>
    <w:lvl w:ilvl="8" w:tplc="0AD853D4" w:tentative="1">
      <w:start w:val="1"/>
      <w:numFmt w:val="bullet"/>
      <w:lvlText w:val=""/>
      <w:lvlJc w:val="left"/>
      <w:pPr>
        <w:tabs>
          <w:tab w:val="num" w:pos="6480"/>
        </w:tabs>
        <w:ind w:left="6480" w:hanging="360"/>
      </w:pPr>
      <w:rPr>
        <w:rFonts w:ascii="Wingdings" w:hAnsi="Wingdings" w:hint="default"/>
      </w:rPr>
    </w:lvl>
  </w:abstractNum>
  <w:abstractNum w:abstractNumId="7">
    <w:nsid w:val="3F0A3001"/>
    <w:multiLevelType w:val="hybridMultilevel"/>
    <w:tmpl w:val="9000F554"/>
    <w:lvl w:ilvl="0" w:tplc="4CA49664">
      <w:start w:val="1"/>
      <w:numFmt w:val="bullet"/>
      <w:lvlText w:val="•"/>
      <w:lvlJc w:val="left"/>
      <w:pPr>
        <w:tabs>
          <w:tab w:val="num" w:pos="720"/>
        </w:tabs>
        <w:ind w:left="720" w:hanging="360"/>
      </w:pPr>
      <w:rPr>
        <w:rFonts w:ascii="Arial" w:hAnsi="Arial" w:hint="default"/>
      </w:rPr>
    </w:lvl>
    <w:lvl w:ilvl="1" w:tplc="2810646A" w:tentative="1">
      <w:start w:val="1"/>
      <w:numFmt w:val="bullet"/>
      <w:lvlText w:val="•"/>
      <w:lvlJc w:val="left"/>
      <w:pPr>
        <w:tabs>
          <w:tab w:val="num" w:pos="1440"/>
        </w:tabs>
        <w:ind w:left="1440" w:hanging="360"/>
      </w:pPr>
      <w:rPr>
        <w:rFonts w:ascii="Arial" w:hAnsi="Arial" w:hint="default"/>
      </w:rPr>
    </w:lvl>
    <w:lvl w:ilvl="2" w:tplc="C292E66C" w:tentative="1">
      <w:start w:val="1"/>
      <w:numFmt w:val="bullet"/>
      <w:lvlText w:val="•"/>
      <w:lvlJc w:val="left"/>
      <w:pPr>
        <w:tabs>
          <w:tab w:val="num" w:pos="2160"/>
        </w:tabs>
        <w:ind w:left="2160" w:hanging="360"/>
      </w:pPr>
      <w:rPr>
        <w:rFonts w:ascii="Arial" w:hAnsi="Arial" w:hint="default"/>
      </w:rPr>
    </w:lvl>
    <w:lvl w:ilvl="3" w:tplc="62060F1E" w:tentative="1">
      <w:start w:val="1"/>
      <w:numFmt w:val="bullet"/>
      <w:lvlText w:val="•"/>
      <w:lvlJc w:val="left"/>
      <w:pPr>
        <w:tabs>
          <w:tab w:val="num" w:pos="2880"/>
        </w:tabs>
        <w:ind w:left="2880" w:hanging="360"/>
      </w:pPr>
      <w:rPr>
        <w:rFonts w:ascii="Arial" w:hAnsi="Arial" w:hint="default"/>
      </w:rPr>
    </w:lvl>
    <w:lvl w:ilvl="4" w:tplc="41F4C294" w:tentative="1">
      <w:start w:val="1"/>
      <w:numFmt w:val="bullet"/>
      <w:lvlText w:val="•"/>
      <w:lvlJc w:val="left"/>
      <w:pPr>
        <w:tabs>
          <w:tab w:val="num" w:pos="3600"/>
        </w:tabs>
        <w:ind w:left="3600" w:hanging="360"/>
      </w:pPr>
      <w:rPr>
        <w:rFonts w:ascii="Arial" w:hAnsi="Arial" w:hint="default"/>
      </w:rPr>
    </w:lvl>
    <w:lvl w:ilvl="5" w:tplc="1EECA36E" w:tentative="1">
      <w:start w:val="1"/>
      <w:numFmt w:val="bullet"/>
      <w:lvlText w:val="•"/>
      <w:lvlJc w:val="left"/>
      <w:pPr>
        <w:tabs>
          <w:tab w:val="num" w:pos="4320"/>
        </w:tabs>
        <w:ind w:left="4320" w:hanging="360"/>
      </w:pPr>
      <w:rPr>
        <w:rFonts w:ascii="Arial" w:hAnsi="Arial" w:hint="default"/>
      </w:rPr>
    </w:lvl>
    <w:lvl w:ilvl="6" w:tplc="444A1CBA" w:tentative="1">
      <w:start w:val="1"/>
      <w:numFmt w:val="bullet"/>
      <w:lvlText w:val="•"/>
      <w:lvlJc w:val="left"/>
      <w:pPr>
        <w:tabs>
          <w:tab w:val="num" w:pos="5040"/>
        </w:tabs>
        <w:ind w:left="5040" w:hanging="360"/>
      </w:pPr>
      <w:rPr>
        <w:rFonts w:ascii="Arial" w:hAnsi="Arial" w:hint="default"/>
      </w:rPr>
    </w:lvl>
    <w:lvl w:ilvl="7" w:tplc="4E70A696" w:tentative="1">
      <w:start w:val="1"/>
      <w:numFmt w:val="bullet"/>
      <w:lvlText w:val="•"/>
      <w:lvlJc w:val="left"/>
      <w:pPr>
        <w:tabs>
          <w:tab w:val="num" w:pos="5760"/>
        </w:tabs>
        <w:ind w:left="5760" w:hanging="360"/>
      </w:pPr>
      <w:rPr>
        <w:rFonts w:ascii="Arial" w:hAnsi="Arial" w:hint="default"/>
      </w:rPr>
    </w:lvl>
    <w:lvl w:ilvl="8" w:tplc="41720A1E" w:tentative="1">
      <w:start w:val="1"/>
      <w:numFmt w:val="bullet"/>
      <w:lvlText w:val="•"/>
      <w:lvlJc w:val="left"/>
      <w:pPr>
        <w:tabs>
          <w:tab w:val="num" w:pos="6480"/>
        </w:tabs>
        <w:ind w:left="6480" w:hanging="360"/>
      </w:pPr>
      <w:rPr>
        <w:rFonts w:ascii="Arial" w:hAnsi="Arial" w:hint="default"/>
      </w:rPr>
    </w:lvl>
  </w:abstractNum>
  <w:abstractNum w:abstractNumId="8">
    <w:nsid w:val="406C2F97"/>
    <w:multiLevelType w:val="hybridMultilevel"/>
    <w:tmpl w:val="EC8C36B6"/>
    <w:lvl w:ilvl="0" w:tplc="5D3070AE">
      <w:start w:val="1"/>
      <w:numFmt w:val="bullet"/>
      <w:lvlText w:val="•"/>
      <w:lvlJc w:val="left"/>
      <w:pPr>
        <w:tabs>
          <w:tab w:val="num" w:pos="720"/>
        </w:tabs>
        <w:ind w:left="720" w:hanging="360"/>
      </w:pPr>
      <w:rPr>
        <w:rFonts w:ascii="Times New Roman" w:hAnsi="Times New Roman" w:hint="default"/>
      </w:rPr>
    </w:lvl>
    <w:lvl w:ilvl="1" w:tplc="4146AC64" w:tentative="1">
      <w:start w:val="1"/>
      <w:numFmt w:val="bullet"/>
      <w:lvlText w:val="•"/>
      <w:lvlJc w:val="left"/>
      <w:pPr>
        <w:tabs>
          <w:tab w:val="num" w:pos="1440"/>
        </w:tabs>
        <w:ind w:left="1440" w:hanging="360"/>
      </w:pPr>
      <w:rPr>
        <w:rFonts w:ascii="Times New Roman" w:hAnsi="Times New Roman" w:hint="default"/>
      </w:rPr>
    </w:lvl>
    <w:lvl w:ilvl="2" w:tplc="06ECFAEC" w:tentative="1">
      <w:start w:val="1"/>
      <w:numFmt w:val="bullet"/>
      <w:lvlText w:val="•"/>
      <w:lvlJc w:val="left"/>
      <w:pPr>
        <w:tabs>
          <w:tab w:val="num" w:pos="2160"/>
        </w:tabs>
        <w:ind w:left="2160" w:hanging="360"/>
      </w:pPr>
      <w:rPr>
        <w:rFonts w:ascii="Times New Roman" w:hAnsi="Times New Roman" w:hint="default"/>
      </w:rPr>
    </w:lvl>
    <w:lvl w:ilvl="3" w:tplc="D758E79A" w:tentative="1">
      <w:start w:val="1"/>
      <w:numFmt w:val="bullet"/>
      <w:lvlText w:val="•"/>
      <w:lvlJc w:val="left"/>
      <w:pPr>
        <w:tabs>
          <w:tab w:val="num" w:pos="2880"/>
        </w:tabs>
        <w:ind w:left="2880" w:hanging="360"/>
      </w:pPr>
      <w:rPr>
        <w:rFonts w:ascii="Times New Roman" w:hAnsi="Times New Roman" w:hint="default"/>
      </w:rPr>
    </w:lvl>
    <w:lvl w:ilvl="4" w:tplc="AD8AF22A" w:tentative="1">
      <w:start w:val="1"/>
      <w:numFmt w:val="bullet"/>
      <w:lvlText w:val="•"/>
      <w:lvlJc w:val="left"/>
      <w:pPr>
        <w:tabs>
          <w:tab w:val="num" w:pos="3600"/>
        </w:tabs>
        <w:ind w:left="3600" w:hanging="360"/>
      </w:pPr>
      <w:rPr>
        <w:rFonts w:ascii="Times New Roman" w:hAnsi="Times New Roman" w:hint="default"/>
      </w:rPr>
    </w:lvl>
    <w:lvl w:ilvl="5" w:tplc="E9AC3394" w:tentative="1">
      <w:start w:val="1"/>
      <w:numFmt w:val="bullet"/>
      <w:lvlText w:val="•"/>
      <w:lvlJc w:val="left"/>
      <w:pPr>
        <w:tabs>
          <w:tab w:val="num" w:pos="4320"/>
        </w:tabs>
        <w:ind w:left="4320" w:hanging="360"/>
      </w:pPr>
      <w:rPr>
        <w:rFonts w:ascii="Times New Roman" w:hAnsi="Times New Roman" w:hint="default"/>
      </w:rPr>
    </w:lvl>
    <w:lvl w:ilvl="6" w:tplc="291C9CF0" w:tentative="1">
      <w:start w:val="1"/>
      <w:numFmt w:val="bullet"/>
      <w:lvlText w:val="•"/>
      <w:lvlJc w:val="left"/>
      <w:pPr>
        <w:tabs>
          <w:tab w:val="num" w:pos="5040"/>
        </w:tabs>
        <w:ind w:left="5040" w:hanging="360"/>
      </w:pPr>
      <w:rPr>
        <w:rFonts w:ascii="Times New Roman" w:hAnsi="Times New Roman" w:hint="default"/>
      </w:rPr>
    </w:lvl>
    <w:lvl w:ilvl="7" w:tplc="17E4FD8A" w:tentative="1">
      <w:start w:val="1"/>
      <w:numFmt w:val="bullet"/>
      <w:lvlText w:val="•"/>
      <w:lvlJc w:val="left"/>
      <w:pPr>
        <w:tabs>
          <w:tab w:val="num" w:pos="5760"/>
        </w:tabs>
        <w:ind w:left="5760" w:hanging="360"/>
      </w:pPr>
      <w:rPr>
        <w:rFonts w:ascii="Times New Roman" w:hAnsi="Times New Roman" w:hint="default"/>
      </w:rPr>
    </w:lvl>
    <w:lvl w:ilvl="8" w:tplc="3F4471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E53CFF"/>
    <w:multiLevelType w:val="hybridMultilevel"/>
    <w:tmpl w:val="671E7BA6"/>
    <w:lvl w:ilvl="0" w:tplc="FB5C97DA">
      <w:start w:val="1"/>
      <w:numFmt w:val="bullet"/>
      <w:lvlText w:val="•"/>
      <w:lvlJc w:val="left"/>
      <w:pPr>
        <w:tabs>
          <w:tab w:val="num" w:pos="720"/>
        </w:tabs>
        <w:ind w:left="720" w:hanging="360"/>
      </w:pPr>
      <w:rPr>
        <w:rFonts w:ascii="Arial" w:hAnsi="Arial" w:hint="default"/>
      </w:rPr>
    </w:lvl>
    <w:lvl w:ilvl="1" w:tplc="1DB4FFA8" w:tentative="1">
      <w:start w:val="1"/>
      <w:numFmt w:val="bullet"/>
      <w:lvlText w:val="•"/>
      <w:lvlJc w:val="left"/>
      <w:pPr>
        <w:tabs>
          <w:tab w:val="num" w:pos="1440"/>
        </w:tabs>
        <w:ind w:left="1440" w:hanging="360"/>
      </w:pPr>
      <w:rPr>
        <w:rFonts w:ascii="Arial" w:hAnsi="Arial" w:hint="default"/>
      </w:rPr>
    </w:lvl>
    <w:lvl w:ilvl="2" w:tplc="9064F848" w:tentative="1">
      <w:start w:val="1"/>
      <w:numFmt w:val="bullet"/>
      <w:lvlText w:val="•"/>
      <w:lvlJc w:val="left"/>
      <w:pPr>
        <w:tabs>
          <w:tab w:val="num" w:pos="2160"/>
        </w:tabs>
        <w:ind w:left="2160" w:hanging="360"/>
      </w:pPr>
      <w:rPr>
        <w:rFonts w:ascii="Arial" w:hAnsi="Arial" w:hint="default"/>
      </w:rPr>
    </w:lvl>
    <w:lvl w:ilvl="3" w:tplc="79E817CC" w:tentative="1">
      <w:start w:val="1"/>
      <w:numFmt w:val="bullet"/>
      <w:lvlText w:val="•"/>
      <w:lvlJc w:val="left"/>
      <w:pPr>
        <w:tabs>
          <w:tab w:val="num" w:pos="2880"/>
        </w:tabs>
        <w:ind w:left="2880" w:hanging="360"/>
      </w:pPr>
      <w:rPr>
        <w:rFonts w:ascii="Arial" w:hAnsi="Arial" w:hint="default"/>
      </w:rPr>
    </w:lvl>
    <w:lvl w:ilvl="4" w:tplc="656EB390" w:tentative="1">
      <w:start w:val="1"/>
      <w:numFmt w:val="bullet"/>
      <w:lvlText w:val="•"/>
      <w:lvlJc w:val="left"/>
      <w:pPr>
        <w:tabs>
          <w:tab w:val="num" w:pos="3600"/>
        </w:tabs>
        <w:ind w:left="3600" w:hanging="360"/>
      </w:pPr>
      <w:rPr>
        <w:rFonts w:ascii="Arial" w:hAnsi="Arial" w:hint="default"/>
      </w:rPr>
    </w:lvl>
    <w:lvl w:ilvl="5" w:tplc="3C18D8BE" w:tentative="1">
      <w:start w:val="1"/>
      <w:numFmt w:val="bullet"/>
      <w:lvlText w:val="•"/>
      <w:lvlJc w:val="left"/>
      <w:pPr>
        <w:tabs>
          <w:tab w:val="num" w:pos="4320"/>
        </w:tabs>
        <w:ind w:left="4320" w:hanging="360"/>
      </w:pPr>
      <w:rPr>
        <w:rFonts w:ascii="Arial" w:hAnsi="Arial" w:hint="default"/>
      </w:rPr>
    </w:lvl>
    <w:lvl w:ilvl="6" w:tplc="A412F48E" w:tentative="1">
      <w:start w:val="1"/>
      <w:numFmt w:val="bullet"/>
      <w:lvlText w:val="•"/>
      <w:lvlJc w:val="left"/>
      <w:pPr>
        <w:tabs>
          <w:tab w:val="num" w:pos="5040"/>
        </w:tabs>
        <w:ind w:left="5040" w:hanging="360"/>
      </w:pPr>
      <w:rPr>
        <w:rFonts w:ascii="Arial" w:hAnsi="Arial" w:hint="default"/>
      </w:rPr>
    </w:lvl>
    <w:lvl w:ilvl="7" w:tplc="A3EE5B22" w:tentative="1">
      <w:start w:val="1"/>
      <w:numFmt w:val="bullet"/>
      <w:lvlText w:val="•"/>
      <w:lvlJc w:val="left"/>
      <w:pPr>
        <w:tabs>
          <w:tab w:val="num" w:pos="5760"/>
        </w:tabs>
        <w:ind w:left="5760" w:hanging="360"/>
      </w:pPr>
      <w:rPr>
        <w:rFonts w:ascii="Arial" w:hAnsi="Arial" w:hint="default"/>
      </w:rPr>
    </w:lvl>
    <w:lvl w:ilvl="8" w:tplc="B5B4631C" w:tentative="1">
      <w:start w:val="1"/>
      <w:numFmt w:val="bullet"/>
      <w:lvlText w:val="•"/>
      <w:lvlJc w:val="left"/>
      <w:pPr>
        <w:tabs>
          <w:tab w:val="num" w:pos="6480"/>
        </w:tabs>
        <w:ind w:left="6480" w:hanging="360"/>
      </w:pPr>
      <w:rPr>
        <w:rFonts w:ascii="Arial" w:hAnsi="Arial" w:hint="default"/>
      </w:rPr>
    </w:lvl>
  </w:abstractNum>
  <w:abstractNum w:abstractNumId="11">
    <w:nsid w:val="4C673D81"/>
    <w:multiLevelType w:val="hybridMultilevel"/>
    <w:tmpl w:val="F7CA9316"/>
    <w:lvl w:ilvl="0" w:tplc="45C89A4C">
      <w:start w:val="1"/>
      <w:numFmt w:val="lowerLetter"/>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A5504E"/>
    <w:multiLevelType w:val="multilevel"/>
    <w:tmpl w:val="167E4E44"/>
    <w:lvl w:ilvl="0">
      <w:start w:val="1"/>
      <w:numFmt w:val="decimal"/>
      <w:lvlText w:val="%1."/>
      <w:lvlJc w:val="left"/>
      <w:pPr>
        <w:ind w:left="360" w:hanging="360"/>
      </w:pPr>
      <w:rPr>
        <w:b/>
        <w:color w:val="auto"/>
      </w:rPr>
    </w:lvl>
    <w:lvl w:ilvl="1">
      <w:start w:val="1"/>
      <w:numFmt w:val="decimal"/>
      <w:lvlText w:val="%1.%2."/>
      <w:lvlJc w:val="left"/>
      <w:pPr>
        <w:ind w:left="720" w:hanging="720"/>
      </w:pPr>
      <w:rPr>
        <w:b w:val="0"/>
        <w:color w:val="auto"/>
        <w:sz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5B841AEE"/>
    <w:multiLevelType w:val="hybridMultilevel"/>
    <w:tmpl w:val="8CF2B10E"/>
    <w:lvl w:ilvl="0" w:tplc="F2B25E02">
      <w:start w:val="1"/>
      <w:numFmt w:val="bullet"/>
      <w:lvlText w:val=""/>
      <w:lvlJc w:val="left"/>
      <w:pPr>
        <w:tabs>
          <w:tab w:val="num" w:pos="720"/>
        </w:tabs>
        <w:ind w:left="720" w:hanging="360"/>
      </w:pPr>
      <w:rPr>
        <w:rFonts w:ascii="Wingdings" w:hAnsi="Wingdings" w:hint="default"/>
      </w:rPr>
    </w:lvl>
    <w:lvl w:ilvl="1" w:tplc="0A98C0AE" w:tentative="1">
      <w:start w:val="1"/>
      <w:numFmt w:val="bullet"/>
      <w:lvlText w:val=""/>
      <w:lvlJc w:val="left"/>
      <w:pPr>
        <w:tabs>
          <w:tab w:val="num" w:pos="1440"/>
        </w:tabs>
        <w:ind w:left="1440" w:hanging="360"/>
      </w:pPr>
      <w:rPr>
        <w:rFonts w:ascii="Wingdings" w:hAnsi="Wingdings" w:hint="default"/>
      </w:rPr>
    </w:lvl>
    <w:lvl w:ilvl="2" w:tplc="69BEFFBC" w:tentative="1">
      <w:start w:val="1"/>
      <w:numFmt w:val="bullet"/>
      <w:lvlText w:val=""/>
      <w:lvlJc w:val="left"/>
      <w:pPr>
        <w:tabs>
          <w:tab w:val="num" w:pos="2160"/>
        </w:tabs>
        <w:ind w:left="2160" w:hanging="360"/>
      </w:pPr>
      <w:rPr>
        <w:rFonts w:ascii="Wingdings" w:hAnsi="Wingdings" w:hint="default"/>
      </w:rPr>
    </w:lvl>
    <w:lvl w:ilvl="3" w:tplc="98D0CCBC" w:tentative="1">
      <w:start w:val="1"/>
      <w:numFmt w:val="bullet"/>
      <w:lvlText w:val=""/>
      <w:lvlJc w:val="left"/>
      <w:pPr>
        <w:tabs>
          <w:tab w:val="num" w:pos="2880"/>
        </w:tabs>
        <w:ind w:left="2880" w:hanging="360"/>
      </w:pPr>
      <w:rPr>
        <w:rFonts w:ascii="Wingdings" w:hAnsi="Wingdings" w:hint="default"/>
      </w:rPr>
    </w:lvl>
    <w:lvl w:ilvl="4" w:tplc="FDA2D2D2" w:tentative="1">
      <w:start w:val="1"/>
      <w:numFmt w:val="bullet"/>
      <w:lvlText w:val=""/>
      <w:lvlJc w:val="left"/>
      <w:pPr>
        <w:tabs>
          <w:tab w:val="num" w:pos="3600"/>
        </w:tabs>
        <w:ind w:left="3600" w:hanging="360"/>
      </w:pPr>
      <w:rPr>
        <w:rFonts w:ascii="Wingdings" w:hAnsi="Wingdings" w:hint="default"/>
      </w:rPr>
    </w:lvl>
    <w:lvl w:ilvl="5" w:tplc="7D08290C" w:tentative="1">
      <w:start w:val="1"/>
      <w:numFmt w:val="bullet"/>
      <w:lvlText w:val=""/>
      <w:lvlJc w:val="left"/>
      <w:pPr>
        <w:tabs>
          <w:tab w:val="num" w:pos="4320"/>
        </w:tabs>
        <w:ind w:left="4320" w:hanging="360"/>
      </w:pPr>
      <w:rPr>
        <w:rFonts w:ascii="Wingdings" w:hAnsi="Wingdings" w:hint="default"/>
      </w:rPr>
    </w:lvl>
    <w:lvl w:ilvl="6" w:tplc="0A7817B4" w:tentative="1">
      <w:start w:val="1"/>
      <w:numFmt w:val="bullet"/>
      <w:lvlText w:val=""/>
      <w:lvlJc w:val="left"/>
      <w:pPr>
        <w:tabs>
          <w:tab w:val="num" w:pos="5040"/>
        </w:tabs>
        <w:ind w:left="5040" w:hanging="360"/>
      </w:pPr>
      <w:rPr>
        <w:rFonts w:ascii="Wingdings" w:hAnsi="Wingdings" w:hint="default"/>
      </w:rPr>
    </w:lvl>
    <w:lvl w:ilvl="7" w:tplc="A904955C" w:tentative="1">
      <w:start w:val="1"/>
      <w:numFmt w:val="bullet"/>
      <w:lvlText w:val=""/>
      <w:lvlJc w:val="left"/>
      <w:pPr>
        <w:tabs>
          <w:tab w:val="num" w:pos="5760"/>
        </w:tabs>
        <w:ind w:left="5760" w:hanging="360"/>
      </w:pPr>
      <w:rPr>
        <w:rFonts w:ascii="Wingdings" w:hAnsi="Wingdings" w:hint="default"/>
      </w:rPr>
    </w:lvl>
    <w:lvl w:ilvl="8" w:tplc="7E3AD90C" w:tentative="1">
      <w:start w:val="1"/>
      <w:numFmt w:val="bullet"/>
      <w:lvlText w:val=""/>
      <w:lvlJc w:val="left"/>
      <w:pPr>
        <w:tabs>
          <w:tab w:val="num" w:pos="6480"/>
        </w:tabs>
        <w:ind w:left="6480" w:hanging="360"/>
      </w:pPr>
      <w:rPr>
        <w:rFonts w:ascii="Wingdings" w:hAnsi="Wingdings" w:hint="default"/>
      </w:rPr>
    </w:lvl>
  </w:abstractNum>
  <w:abstractNum w:abstractNumId="15">
    <w:nsid w:val="5D8879C8"/>
    <w:multiLevelType w:val="hybridMultilevel"/>
    <w:tmpl w:val="A4861FB4"/>
    <w:lvl w:ilvl="0" w:tplc="9B94E612">
      <w:start w:val="1"/>
      <w:numFmt w:val="bullet"/>
      <w:lvlText w:val="•"/>
      <w:lvlJc w:val="left"/>
      <w:pPr>
        <w:tabs>
          <w:tab w:val="num" w:pos="720"/>
        </w:tabs>
        <w:ind w:left="720" w:hanging="360"/>
      </w:pPr>
      <w:rPr>
        <w:rFonts w:ascii="Arial" w:hAnsi="Arial" w:hint="default"/>
      </w:rPr>
    </w:lvl>
    <w:lvl w:ilvl="1" w:tplc="C93A5254">
      <w:numFmt w:val="bullet"/>
      <w:lvlText w:val=""/>
      <w:lvlJc w:val="left"/>
      <w:pPr>
        <w:tabs>
          <w:tab w:val="num" w:pos="1440"/>
        </w:tabs>
        <w:ind w:left="1440" w:hanging="360"/>
      </w:pPr>
      <w:rPr>
        <w:rFonts w:ascii="Wingdings" w:hAnsi="Wingdings" w:hint="default"/>
      </w:rPr>
    </w:lvl>
    <w:lvl w:ilvl="2" w:tplc="F22666A8" w:tentative="1">
      <w:start w:val="1"/>
      <w:numFmt w:val="bullet"/>
      <w:lvlText w:val="•"/>
      <w:lvlJc w:val="left"/>
      <w:pPr>
        <w:tabs>
          <w:tab w:val="num" w:pos="2160"/>
        </w:tabs>
        <w:ind w:left="2160" w:hanging="360"/>
      </w:pPr>
      <w:rPr>
        <w:rFonts w:ascii="Arial" w:hAnsi="Arial" w:hint="default"/>
      </w:rPr>
    </w:lvl>
    <w:lvl w:ilvl="3" w:tplc="A18020D6" w:tentative="1">
      <w:start w:val="1"/>
      <w:numFmt w:val="bullet"/>
      <w:lvlText w:val="•"/>
      <w:lvlJc w:val="left"/>
      <w:pPr>
        <w:tabs>
          <w:tab w:val="num" w:pos="2880"/>
        </w:tabs>
        <w:ind w:left="2880" w:hanging="360"/>
      </w:pPr>
      <w:rPr>
        <w:rFonts w:ascii="Arial" w:hAnsi="Arial" w:hint="default"/>
      </w:rPr>
    </w:lvl>
    <w:lvl w:ilvl="4" w:tplc="FF1C6BCE" w:tentative="1">
      <w:start w:val="1"/>
      <w:numFmt w:val="bullet"/>
      <w:lvlText w:val="•"/>
      <w:lvlJc w:val="left"/>
      <w:pPr>
        <w:tabs>
          <w:tab w:val="num" w:pos="3600"/>
        </w:tabs>
        <w:ind w:left="3600" w:hanging="360"/>
      </w:pPr>
      <w:rPr>
        <w:rFonts w:ascii="Arial" w:hAnsi="Arial" w:hint="default"/>
      </w:rPr>
    </w:lvl>
    <w:lvl w:ilvl="5" w:tplc="3B12906A" w:tentative="1">
      <w:start w:val="1"/>
      <w:numFmt w:val="bullet"/>
      <w:lvlText w:val="•"/>
      <w:lvlJc w:val="left"/>
      <w:pPr>
        <w:tabs>
          <w:tab w:val="num" w:pos="4320"/>
        </w:tabs>
        <w:ind w:left="4320" w:hanging="360"/>
      </w:pPr>
      <w:rPr>
        <w:rFonts w:ascii="Arial" w:hAnsi="Arial" w:hint="default"/>
      </w:rPr>
    </w:lvl>
    <w:lvl w:ilvl="6" w:tplc="C0B211E0" w:tentative="1">
      <w:start w:val="1"/>
      <w:numFmt w:val="bullet"/>
      <w:lvlText w:val="•"/>
      <w:lvlJc w:val="left"/>
      <w:pPr>
        <w:tabs>
          <w:tab w:val="num" w:pos="5040"/>
        </w:tabs>
        <w:ind w:left="5040" w:hanging="360"/>
      </w:pPr>
      <w:rPr>
        <w:rFonts w:ascii="Arial" w:hAnsi="Arial" w:hint="default"/>
      </w:rPr>
    </w:lvl>
    <w:lvl w:ilvl="7" w:tplc="08E6B61A" w:tentative="1">
      <w:start w:val="1"/>
      <w:numFmt w:val="bullet"/>
      <w:lvlText w:val="•"/>
      <w:lvlJc w:val="left"/>
      <w:pPr>
        <w:tabs>
          <w:tab w:val="num" w:pos="5760"/>
        </w:tabs>
        <w:ind w:left="5760" w:hanging="360"/>
      </w:pPr>
      <w:rPr>
        <w:rFonts w:ascii="Arial" w:hAnsi="Arial" w:hint="default"/>
      </w:rPr>
    </w:lvl>
    <w:lvl w:ilvl="8" w:tplc="B6AEA99E" w:tentative="1">
      <w:start w:val="1"/>
      <w:numFmt w:val="bullet"/>
      <w:lvlText w:val="•"/>
      <w:lvlJc w:val="left"/>
      <w:pPr>
        <w:tabs>
          <w:tab w:val="num" w:pos="6480"/>
        </w:tabs>
        <w:ind w:left="6480" w:hanging="360"/>
      </w:pPr>
      <w:rPr>
        <w:rFonts w:ascii="Arial" w:hAnsi="Arial" w:hint="default"/>
      </w:rPr>
    </w:lvl>
  </w:abstractNum>
  <w:abstractNum w:abstractNumId="16">
    <w:nsid w:val="63440579"/>
    <w:multiLevelType w:val="hybridMultilevel"/>
    <w:tmpl w:val="DEAE34BE"/>
    <w:lvl w:ilvl="0" w:tplc="14346D1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422E0A"/>
    <w:multiLevelType w:val="hybridMultilevel"/>
    <w:tmpl w:val="E4064D42"/>
    <w:lvl w:ilvl="0" w:tplc="52B0BEF2">
      <w:start w:val="1"/>
      <w:numFmt w:val="bullet"/>
      <w:lvlText w:val=""/>
      <w:lvlJc w:val="left"/>
      <w:pPr>
        <w:tabs>
          <w:tab w:val="num" w:pos="720"/>
        </w:tabs>
        <w:ind w:left="720" w:hanging="360"/>
      </w:pPr>
      <w:rPr>
        <w:rFonts w:ascii="Wingdings" w:hAnsi="Wingdings" w:hint="default"/>
      </w:rPr>
    </w:lvl>
    <w:lvl w:ilvl="1" w:tplc="ED4050F0" w:tentative="1">
      <w:start w:val="1"/>
      <w:numFmt w:val="bullet"/>
      <w:lvlText w:val=""/>
      <w:lvlJc w:val="left"/>
      <w:pPr>
        <w:tabs>
          <w:tab w:val="num" w:pos="1440"/>
        </w:tabs>
        <w:ind w:left="1440" w:hanging="360"/>
      </w:pPr>
      <w:rPr>
        <w:rFonts w:ascii="Wingdings" w:hAnsi="Wingdings" w:hint="default"/>
      </w:rPr>
    </w:lvl>
    <w:lvl w:ilvl="2" w:tplc="9190DE0C" w:tentative="1">
      <w:start w:val="1"/>
      <w:numFmt w:val="bullet"/>
      <w:lvlText w:val=""/>
      <w:lvlJc w:val="left"/>
      <w:pPr>
        <w:tabs>
          <w:tab w:val="num" w:pos="2160"/>
        </w:tabs>
        <w:ind w:left="2160" w:hanging="360"/>
      </w:pPr>
      <w:rPr>
        <w:rFonts w:ascii="Wingdings" w:hAnsi="Wingdings" w:hint="default"/>
      </w:rPr>
    </w:lvl>
    <w:lvl w:ilvl="3" w:tplc="1AF6BFE4" w:tentative="1">
      <w:start w:val="1"/>
      <w:numFmt w:val="bullet"/>
      <w:lvlText w:val=""/>
      <w:lvlJc w:val="left"/>
      <w:pPr>
        <w:tabs>
          <w:tab w:val="num" w:pos="2880"/>
        </w:tabs>
        <w:ind w:left="2880" w:hanging="360"/>
      </w:pPr>
      <w:rPr>
        <w:rFonts w:ascii="Wingdings" w:hAnsi="Wingdings" w:hint="default"/>
      </w:rPr>
    </w:lvl>
    <w:lvl w:ilvl="4" w:tplc="2C60E33E" w:tentative="1">
      <w:start w:val="1"/>
      <w:numFmt w:val="bullet"/>
      <w:lvlText w:val=""/>
      <w:lvlJc w:val="left"/>
      <w:pPr>
        <w:tabs>
          <w:tab w:val="num" w:pos="3600"/>
        </w:tabs>
        <w:ind w:left="3600" w:hanging="360"/>
      </w:pPr>
      <w:rPr>
        <w:rFonts w:ascii="Wingdings" w:hAnsi="Wingdings" w:hint="default"/>
      </w:rPr>
    </w:lvl>
    <w:lvl w:ilvl="5" w:tplc="62B4FDE2" w:tentative="1">
      <w:start w:val="1"/>
      <w:numFmt w:val="bullet"/>
      <w:lvlText w:val=""/>
      <w:lvlJc w:val="left"/>
      <w:pPr>
        <w:tabs>
          <w:tab w:val="num" w:pos="4320"/>
        </w:tabs>
        <w:ind w:left="4320" w:hanging="360"/>
      </w:pPr>
      <w:rPr>
        <w:rFonts w:ascii="Wingdings" w:hAnsi="Wingdings" w:hint="default"/>
      </w:rPr>
    </w:lvl>
    <w:lvl w:ilvl="6" w:tplc="4F2260FA" w:tentative="1">
      <w:start w:val="1"/>
      <w:numFmt w:val="bullet"/>
      <w:lvlText w:val=""/>
      <w:lvlJc w:val="left"/>
      <w:pPr>
        <w:tabs>
          <w:tab w:val="num" w:pos="5040"/>
        </w:tabs>
        <w:ind w:left="5040" w:hanging="360"/>
      </w:pPr>
      <w:rPr>
        <w:rFonts w:ascii="Wingdings" w:hAnsi="Wingdings" w:hint="default"/>
      </w:rPr>
    </w:lvl>
    <w:lvl w:ilvl="7" w:tplc="B928D2F4" w:tentative="1">
      <w:start w:val="1"/>
      <w:numFmt w:val="bullet"/>
      <w:lvlText w:val=""/>
      <w:lvlJc w:val="left"/>
      <w:pPr>
        <w:tabs>
          <w:tab w:val="num" w:pos="5760"/>
        </w:tabs>
        <w:ind w:left="5760" w:hanging="360"/>
      </w:pPr>
      <w:rPr>
        <w:rFonts w:ascii="Wingdings" w:hAnsi="Wingdings" w:hint="default"/>
      </w:rPr>
    </w:lvl>
    <w:lvl w:ilvl="8" w:tplc="99885DD2" w:tentative="1">
      <w:start w:val="1"/>
      <w:numFmt w:val="bullet"/>
      <w:lvlText w:val=""/>
      <w:lvlJc w:val="left"/>
      <w:pPr>
        <w:tabs>
          <w:tab w:val="num" w:pos="6480"/>
        </w:tabs>
        <w:ind w:left="6480" w:hanging="360"/>
      </w:pPr>
      <w:rPr>
        <w:rFonts w:ascii="Wingdings" w:hAnsi="Wingdings" w:hint="default"/>
      </w:rPr>
    </w:lvl>
  </w:abstractNum>
  <w:abstractNum w:abstractNumId="19">
    <w:nsid w:val="704A229C"/>
    <w:multiLevelType w:val="hybridMultilevel"/>
    <w:tmpl w:val="E22E9112"/>
    <w:lvl w:ilvl="0" w:tplc="F2C8A7C8">
      <w:start w:val="1"/>
      <w:numFmt w:val="bullet"/>
      <w:lvlText w:val="•"/>
      <w:lvlJc w:val="left"/>
      <w:pPr>
        <w:tabs>
          <w:tab w:val="num" w:pos="720"/>
        </w:tabs>
        <w:ind w:left="720" w:hanging="360"/>
      </w:pPr>
      <w:rPr>
        <w:rFonts w:ascii="Arial" w:hAnsi="Arial" w:hint="default"/>
      </w:rPr>
    </w:lvl>
    <w:lvl w:ilvl="1" w:tplc="52E821BC" w:tentative="1">
      <w:start w:val="1"/>
      <w:numFmt w:val="bullet"/>
      <w:lvlText w:val="•"/>
      <w:lvlJc w:val="left"/>
      <w:pPr>
        <w:tabs>
          <w:tab w:val="num" w:pos="1440"/>
        </w:tabs>
        <w:ind w:left="1440" w:hanging="360"/>
      </w:pPr>
      <w:rPr>
        <w:rFonts w:ascii="Arial" w:hAnsi="Arial" w:hint="default"/>
      </w:rPr>
    </w:lvl>
    <w:lvl w:ilvl="2" w:tplc="8604ECDE" w:tentative="1">
      <w:start w:val="1"/>
      <w:numFmt w:val="bullet"/>
      <w:lvlText w:val="•"/>
      <w:lvlJc w:val="left"/>
      <w:pPr>
        <w:tabs>
          <w:tab w:val="num" w:pos="2160"/>
        </w:tabs>
        <w:ind w:left="2160" w:hanging="360"/>
      </w:pPr>
      <w:rPr>
        <w:rFonts w:ascii="Arial" w:hAnsi="Arial" w:hint="default"/>
      </w:rPr>
    </w:lvl>
    <w:lvl w:ilvl="3" w:tplc="97B69688" w:tentative="1">
      <w:start w:val="1"/>
      <w:numFmt w:val="bullet"/>
      <w:lvlText w:val="•"/>
      <w:lvlJc w:val="left"/>
      <w:pPr>
        <w:tabs>
          <w:tab w:val="num" w:pos="2880"/>
        </w:tabs>
        <w:ind w:left="2880" w:hanging="360"/>
      </w:pPr>
      <w:rPr>
        <w:rFonts w:ascii="Arial" w:hAnsi="Arial" w:hint="default"/>
      </w:rPr>
    </w:lvl>
    <w:lvl w:ilvl="4" w:tplc="7DEAED54" w:tentative="1">
      <w:start w:val="1"/>
      <w:numFmt w:val="bullet"/>
      <w:lvlText w:val="•"/>
      <w:lvlJc w:val="left"/>
      <w:pPr>
        <w:tabs>
          <w:tab w:val="num" w:pos="3600"/>
        </w:tabs>
        <w:ind w:left="3600" w:hanging="360"/>
      </w:pPr>
      <w:rPr>
        <w:rFonts w:ascii="Arial" w:hAnsi="Arial" w:hint="default"/>
      </w:rPr>
    </w:lvl>
    <w:lvl w:ilvl="5" w:tplc="64E87C6A" w:tentative="1">
      <w:start w:val="1"/>
      <w:numFmt w:val="bullet"/>
      <w:lvlText w:val="•"/>
      <w:lvlJc w:val="left"/>
      <w:pPr>
        <w:tabs>
          <w:tab w:val="num" w:pos="4320"/>
        </w:tabs>
        <w:ind w:left="4320" w:hanging="360"/>
      </w:pPr>
      <w:rPr>
        <w:rFonts w:ascii="Arial" w:hAnsi="Arial" w:hint="default"/>
      </w:rPr>
    </w:lvl>
    <w:lvl w:ilvl="6" w:tplc="89260F9E" w:tentative="1">
      <w:start w:val="1"/>
      <w:numFmt w:val="bullet"/>
      <w:lvlText w:val="•"/>
      <w:lvlJc w:val="left"/>
      <w:pPr>
        <w:tabs>
          <w:tab w:val="num" w:pos="5040"/>
        </w:tabs>
        <w:ind w:left="5040" w:hanging="360"/>
      </w:pPr>
      <w:rPr>
        <w:rFonts w:ascii="Arial" w:hAnsi="Arial" w:hint="default"/>
      </w:rPr>
    </w:lvl>
    <w:lvl w:ilvl="7" w:tplc="8AF08778" w:tentative="1">
      <w:start w:val="1"/>
      <w:numFmt w:val="bullet"/>
      <w:lvlText w:val="•"/>
      <w:lvlJc w:val="left"/>
      <w:pPr>
        <w:tabs>
          <w:tab w:val="num" w:pos="5760"/>
        </w:tabs>
        <w:ind w:left="5760" w:hanging="360"/>
      </w:pPr>
      <w:rPr>
        <w:rFonts w:ascii="Arial" w:hAnsi="Arial" w:hint="default"/>
      </w:rPr>
    </w:lvl>
    <w:lvl w:ilvl="8" w:tplc="A3C2B25E" w:tentative="1">
      <w:start w:val="1"/>
      <w:numFmt w:val="bullet"/>
      <w:lvlText w:val="•"/>
      <w:lvlJc w:val="left"/>
      <w:pPr>
        <w:tabs>
          <w:tab w:val="num" w:pos="6480"/>
        </w:tabs>
        <w:ind w:left="6480" w:hanging="360"/>
      </w:pPr>
      <w:rPr>
        <w:rFonts w:ascii="Arial" w:hAnsi="Arial" w:hint="default"/>
      </w:rPr>
    </w:lvl>
  </w:abstractNum>
  <w:abstractNum w:abstractNumId="20">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E4521E"/>
    <w:multiLevelType w:val="hybridMultilevel"/>
    <w:tmpl w:val="2872F6CC"/>
    <w:lvl w:ilvl="0" w:tplc="96E8A702">
      <w:start w:val="1"/>
      <w:numFmt w:val="bullet"/>
      <w:lvlText w:val="•"/>
      <w:lvlJc w:val="left"/>
      <w:pPr>
        <w:tabs>
          <w:tab w:val="num" w:pos="720"/>
        </w:tabs>
        <w:ind w:left="720" w:hanging="360"/>
      </w:pPr>
      <w:rPr>
        <w:rFonts w:ascii="Arial" w:hAnsi="Arial" w:hint="default"/>
      </w:rPr>
    </w:lvl>
    <w:lvl w:ilvl="1" w:tplc="93FE12FC" w:tentative="1">
      <w:start w:val="1"/>
      <w:numFmt w:val="bullet"/>
      <w:lvlText w:val="•"/>
      <w:lvlJc w:val="left"/>
      <w:pPr>
        <w:tabs>
          <w:tab w:val="num" w:pos="1440"/>
        </w:tabs>
        <w:ind w:left="1440" w:hanging="360"/>
      </w:pPr>
      <w:rPr>
        <w:rFonts w:ascii="Arial" w:hAnsi="Arial" w:hint="default"/>
      </w:rPr>
    </w:lvl>
    <w:lvl w:ilvl="2" w:tplc="C5B8C014" w:tentative="1">
      <w:start w:val="1"/>
      <w:numFmt w:val="bullet"/>
      <w:lvlText w:val="•"/>
      <w:lvlJc w:val="left"/>
      <w:pPr>
        <w:tabs>
          <w:tab w:val="num" w:pos="2160"/>
        </w:tabs>
        <w:ind w:left="2160" w:hanging="360"/>
      </w:pPr>
      <w:rPr>
        <w:rFonts w:ascii="Arial" w:hAnsi="Arial" w:hint="default"/>
      </w:rPr>
    </w:lvl>
    <w:lvl w:ilvl="3" w:tplc="779E6AE8" w:tentative="1">
      <w:start w:val="1"/>
      <w:numFmt w:val="bullet"/>
      <w:lvlText w:val="•"/>
      <w:lvlJc w:val="left"/>
      <w:pPr>
        <w:tabs>
          <w:tab w:val="num" w:pos="2880"/>
        </w:tabs>
        <w:ind w:left="2880" w:hanging="360"/>
      </w:pPr>
      <w:rPr>
        <w:rFonts w:ascii="Arial" w:hAnsi="Arial" w:hint="default"/>
      </w:rPr>
    </w:lvl>
    <w:lvl w:ilvl="4" w:tplc="C72EE7EA" w:tentative="1">
      <w:start w:val="1"/>
      <w:numFmt w:val="bullet"/>
      <w:lvlText w:val="•"/>
      <w:lvlJc w:val="left"/>
      <w:pPr>
        <w:tabs>
          <w:tab w:val="num" w:pos="3600"/>
        </w:tabs>
        <w:ind w:left="3600" w:hanging="360"/>
      </w:pPr>
      <w:rPr>
        <w:rFonts w:ascii="Arial" w:hAnsi="Arial" w:hint="default"/>
      </w:rPr>
    </w:lvl>
    <w:lvl w:ilvl="5" w:tplc="AF4CA35C" w:tentative="1">
      <w:start w:val="1"/>
      <w:numFmt w:val="bullet"/>
      <w:lvlText w:val="•"/>
      <w:lvlJc w:val="left"/>
      <w:pPr>
        <w:tabs>
          <w:tab w:val="num" w:pos="4320"/>
        </w:tabs>
        <w:ind w:left="4320" w:hanging="360"/>
      </w:pPr>
      <w:rPr>
        <w:rFonts w:ascii="Arial" w:hAnsi="Arial" w:hint="default"/>
      </w:rPr>
    </w:lvl>
    <w:lvl w:ilvl="6" w:tplc="80EC4D3E" w:tentative="1">
      <w:start w:val="1"/>
      <w:numFmt w:val="bullet"/>
      <w:lvlText w:val="•"/>
      <w:lvlJc w:val="left"/>
      <w:pPr>
        <w:tabs>
          <w:tab w:val="num" w:pos="5040"/>
        </w:tabs>
        <w:ind w:left="5040" w:hanging="360"/>
      </w:pPr>
      <w:rPr>
        <w:rFonts w:ascii="Arial" w:hAnsi="Arial" w:hint="default"/>
      </w:rPr>
    </w:lvl>
    <w:lvl w:ilvl="7" w:tplc="B6764688" w:tentative="1">
      <w:start w:val="1"/>
      <w:numFmt w:val="bullet"/>
      <w:lvlText w:val="•"/>
      <w:lvlJc w:val="left"/>
      <w:pPr>
        <w:tabs>
          <w:tab w:val="num" w:pos="5760"/>
        </w:tabs>
        <w:ind w:left="5760" w:hanging="360"/>
      </w:pPr>
      <w:rPr>
        <w:rFonts w:ascii="Arial" w:hAnsi="Arial" w:hint="default"/>
      </w:rPr>
    </w:lvl>
    <w:lvl w:ilvl="8" w:tplc="36CA6D9E" w:tentative="1">
      <w:start w:val="1"/>
      <w:numFmt w:val="bullet"/>
      <w:lvlText w:val="•"/>
      <w:lvlJc w:val="left"/>
      <w:pPr>
        <w:tabs>
          <w:tab w:val="num" w:pos="6480"/>
        </w:tabs>
        <w:ind w:left="6480" w:hanging="360"/>
      </w:pPr>
      <w:rPr>
        <w:rFonts w:ascii="Arial" w:hAnsi="Arial" w:hint="default"/>
      </w:rPr>
    </w:lvl>
  </w:abstractNum>
  <w:abstractNum w:abstractNumId="22">
    <w:nsid w:val="7A974920"/>
    <w:multiLevelType w:val="hybridMultilevel"/>
    <w:tmpl w:val="23942C72"/>
    <w:lvl w:ilvl="0" w:tplc="8EF02E0C">
      <w:start w:val="1"/>
      <w:numFmt w:val="bullet"/>
      <w:lvlText w:val="•"/>
      <w:lvlJc w:val="left"/>
      <w:pPr>
        <w:tabs>
          <w:tab w:val="num" w:pos="720"/>
        </w:tabs>
        <w:ind w:left="720" w:hanging="360"/>
      </w:pPr>
      <w:rPr>
        <w:rFonts w:ascii="Arial" w:hAnsi="Arial" w:hint="default"/>
      </w:rPr>
    </w:lvl>
    <w:lvl w:ilvl="1" w:tplc="119CEA9E" w:tentative="1">
      <w:start w:val="1"/>
      <w:numFmt w:val="bullet"/>
      <w:lvlText w:val="•"/>
      <w:lvlJc w:val="left"/>
      <w:pPr>
        <w:tabs>
          <w:tab w:val="num" w:pos="1440"/>
        </w:tabs>
        <w:ind w:left="1440" w:hanging="360"/>
      </w:pPr>
      <w:rPr>
        <w:rFonts w:ascii="Arial" w:hAnsi="Arial" w:hint="default"/>
      </w:rPr>
    </w:lvl>
    <w:lvl w:ilvl="2" w:tplc="3E383AC8" w:tentative="1">
      <w:start w:val="1"/>
      <w:numFmt w:val="bullet"/>
      <w:lvlText w:val="•"/>
      <w:lvlJc w:val="left"/>
      <w:pPr>
        <w:tabs>
          <w:tab w:val="num" w:pos="2160"/>
        </w:tabs>
        <w:ind w:left="2160" w:hanging="360"/>
      </w:pPr>
      <w:rPr>
        <w:rFonts w:ascii="Arial" w:hAnsi="Arial" w:hint="default"/>
      </w:rPr>
    </w:lvl>
    <w:lvl w:ilvl="3" w:tplc="9682972A" w:tentative="1">
      <w:start w:val="1"/>
      <w:numFmt w:val="bullet"/>
      <w:lvlText w:val="•"/>
      <w:lvlJc w:val="left"/>
      <w:pPr>
        <w:tabs>
          <w:tab w:val="num" w:pos="2880"/>
        </w:tabs>
        <w:ind w:left="2880" w:hanging="360"/>
      </w:pPr>
      <w:rPr>
        <w:rFonts w:ascii="Arial" w:hAnsi="Arial" w:hint="default"/>
      </w:rPr>
    </w:lvl>
    <w:lvl w:ilvl="4" w:tplc="C6064648" w:tentative="1">
      <w:start w:val="1"/>
      <w:numFmt w:val="bullet"/>
      <w:lvlText w:val="•"/>
      <w:lvlJc w:val="left"/>
      <w:pPr>
        <w:tabs>
          <w:tab w:val="num" w:pos="3600"/>
        </w:tabs>
        <w:ind w:left="3600" w:hanging="360"/>
      </w:pPr>
      <w:rPr>
        <w:rFonts w:ascii="Arial" w:hAnsi="Arial" w:hint="default"/>
      </w:rPr>
    </w:lvl>
    <w:lvl w:ilvl="5" w:tplc="988E2A16" w:tentative="1">
      <w:start w:val="1"/>
      <w:numFmt w:val="bullet"/>
      <w:lvlText w:val="•"/>
      <w:lvlJc w:val="left"/>
      <w:pPr>
        <w:tabs>
          <w:tab w:val="num" w:pos="4320"/>
        </w:tabs>
        <w:ind w:left="4320" w:hanging="360"/>
      </w:pPr>
      <w:rPr>
        <w:rFonts w:ascii="Arial" w:hAnsi="Arial" w:hint="default"/>
      </w:rPr>
    </w:lvl>
    <w:lvl w:ilvl="6" w:tplc="F0A45A12" w:tentative="1">
      <w:start w:val="1"/>
      <w:numFmt w:val="bullet"/>
      <w:lvlText w:val="•"/>
      <w:lvlJc w:val="left"/>
      <w:pPr>
        <w:tabs>
          <w:tab w:val="num" w:pos="5040"/>
        </w:tabs>
        <w:ind w:left="5040" w:hanging="360"/>
      </w:pPr>
      <w:rPr>
        <w:rFonts w:ascii="Arial" w:hAnsi="Arial" w:hint="default"/>
      </w:rPr>
    </w:lvl>
    <w:lvl w:ilvl="7" w:tplc="CFE4E728" w:tentative="1">
      <w:start w:val="1"/>
      <w:numFmt w:val="bullet"/>
      <w:lvlText w:val="•"/>
      <w:lvlJc w:val="left"/>
      <w:pPr>
        <w:tabs>
          <w:tab w:val="num" w:pos="5760"/>
        </w:tabs>
        <w:ind w:left="5760" w:hanging="360"/>
      </w:pPr>
      <w:rPr>
        <w:rFonts w:ascii="Arial" w:hAnsi="Arial" w:hint="default"/>
      </w:rPr>
    </w:lvl>
    <w:lvl w:ilvl="8" w:tplc="AE0CAB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12"/>
  </w:num>
  <w:num w:numId="4">
    <w:abstractNumId w:val="20"/>
  </w:num>
  <w:num w:numId="5">
    <w:abstractNumId w:val="11"/>
  </w:num>
  <w:num w:numId="6">
    <w:abstractNumId w:val="17"/>
  </w:num>
  <w:num w:numId="7">
    <w:abstractNumId w:val="3"/>
  </w:num>
  <w:num w:numId="8">
    <w:abstractNumId w:val="9"/>
  </w:num>
  <w:num w:numId="9">
    <w:abstractNumId w:val="1"/>
  </w:num>
  <w:num w:numId="10">
    <w:abstractNumId w:val="6"/>
  </w:num>
  <w:num w:numId="11">
    <w:abstractNumId w:val="18"/>
  </w:num>
  <w:num w:numId="12">
    <w:abstractNumId w:val="14"/>
  </w:num>
  <w:num w:numId="13">
    <w:abstractNumId w:val="0"/>
  </w:num>
  <w:num w:numId="14">
    <w:abstractNumId w:val="7"/>
  </w:num>
  <w:num w:numId="15">
    <w:abstractNumId w:val="21"/>
  </w:num>
  <w:num w:numId="16">
    <w:abstractNumId w:val="5"/>
  </w:num>
  <w:num w:numId="17">
    <w:abstractNumId w:val="8"/>
  </w:num>
  <w:num w:numId="18">
    <w:abstractNumId w:val="19"/>
  </w:num>
  <w:num w:numId="19">
    <w:abstractNumId w:val="13"/>
  </w:num>
  <w:num w:numId="20">
    <w:abstractNumId w:val="22"/>
  </w:num>
  <w:num w:numId="21">
    <w:abstractNumId w:val="15"/>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01683"/>
    <w:rsid w:val="00037A94"/>
    <w:rsid w:val="00046713"/>
    <w:rsid w:val="000544C9"/>
    <w:rsid w:val="00061934"/>
    <w:rsid w:val="00075C78"/>
    <w:rsid w:val="0007670C"/>
    <w:rsid w:val="00076F07"/>
    <w:rsid w:val="000A312C"/>
    <w:rsid w:val="000B6D9E"/>
    <w:rsid w:val="000C4AB8"/>
    <w:rsid w:val="000E24EF"/>
    <w:rsid w:val="000E44EA"/>
    <w:rsid w:val="000F60F1"/>
    <w:rsid w:val="000F7645"/>
    <w:rsid w:val="00101683"/>
    <w:rsid w:val="00112F01"/>
    <w:rsid w:val="001205EF"/>
    <w:rsid w:val="0012498F"/>
    <w:rsid w:val="00127CA7"/>
    <w:rsid w:val="0013151D"/>
    <w:rsid w:val="00135DB7"/>
    <w:rsid w:val="001365F7"/>
    <w:rsid w:val="00147F17"/>
    <w:rsid w:val="001502F5"/>
    <w:rsid w:val="001603A5"/>
    <w:rsid w:val="00166872"/>
    <w:rsid w:val="001718FA"/>
    <w:rsid w:val="00174502"/>
    <w:rsid w:val="00174C95"/>
    <w:rsid w:val="001772B8"/>
    <w:rsid w:val="00181809"/>
    <w:rsid w:val="00185CAE"/>
    <w:rsid w:val="001A1017"/>
    <w:rsid w:val="001A58DC"/>
    <w:rsid w:val="001B1BD5"/>
    <w:rsid w:val="001D423F"/>
    <w:rsid w:val="00212E8F"/>
    <w:rsid w:val="00230352"/>
    <w:rsid w:val="00230510"/>
    <w:rsid w:val="00231B46"/>
    <w:rsid w:val="002541FE"/>
    <w:rsid w:val="0027593E"/>
    <w:rsid w:val="0027607F"/>
    <w:rsid w:val="00282FAF"/>
    <w:rsid w:val="00285775"/>
    <w:rsid w:val="00291F6F"/>
    <w:rsid w:val="002A22EE"/>
    <w:rsid w:val="002A28B4"/>
    <w:rsid w:val="002B66A3"/>
    <w:rsid w:val="002B6ACF"/>
    <w:rsid w:val="002B7051"/>
    <w:rsid w:val="002B79CA"/>
    <w:rsid w:val="002C1D31"/>
    <w:rsid w:val="002E17EB"/>
    <w:rsid w:val="002F5846"/>
    <w:rsid w:val="003145DD"/>
    <w:rsid w:val="00315E06"/>
    <w:rsid w:val="003315C9"/>
    <w:rsid w:val="003431AB"/>
    <w:rsid w:val="00350386"/>
    <w:rsid w:val="00362D8B"/>
    <w:rsid w:val="003658A7"/>
    <w:rsid w:val="00385C3E"/>
    <w:rsid w:val="0039612B"/>
    <w:rsid w:val="003A2D06"/>
    <w:rsid w:val="003B057D"/>
    <w:rsid w:val="003C5CAB"/>
    <w:rsid w:val="003D0BA5"/>
    <w:rsid w:val="003E4854"/>
    <w:rsid w:val="003E7519"/>
    <w:rsid w:val="004005C8"/>
    <w:rsid w:val="00416CCB"/>
    <w:rsid w:val="00436E34"/>
    <w:rsid w:val="00440EDA"/>
    <w:rsid w:val="00441951"/>
    <w:rsid w:val="004453B4"/>
    <w:rsid w:val="00446361"/>
    <w:rsid w:val="00466047"/>
    <w:rsid w:val="00471AB1"/>
    <w:rsid w:val="00486E8C"/>
    <w:rsid w:val="00491670"/>
    <w:rsid w:val="004925C3"/>
    <w:rsid w:val="0049749F"/>
    <w:rsid w:val="004A4CD3"/>
    <w:rsid w:val="004B3DF8"/>
    <w:rsid w:val="004B78FB"/>
    <w:rsid w:val="004C21D3"/>
    <w:rsid w:val="004C3FBB"/>
    <w:rsid w:val="004D29A0"/>
    <w:rsid w:val="004D4C26"/>
    <w:rsid w:val="004D5DB9"/>
    <w:rsid w:val="00500E16"/>
    <w:rsid w:val="0050298B"/>
    <w:rsid w:val="00505333"/>
    <w:rsid w:val="00517000"/>
    <w:rsid w:val="0052133C"/>
    <w:rsid w:val="00543A37"/>
    <w:rsid w:val="00547D89"/>
    <w:rsid w:val="005537C8"/>
    <w:rsid w:val="005546F3"/>
    <w:rsid w:val="0055575E"/>
    <w:rsid w:val="005600F5"/>
    <w:rsid w:val="00561C6E"/>
    <w:rsid w:val="00586217"/>
    <w:rsid w:val="00595E33"/>
    <w:rsid w:val="00596891"/>
    <w:rsid w:val="005A0768"/>
    <w:rsid w:val="005A1BF0"/>
    <w:rsid w:val="005A2573"/>
    <w:rsid w:val="005B0EBE"/>
    <w:rsid w:val="005C4081"/>
    <w:rsid w:val="005C4388"/>
    <w:rsid w:val="005C482D"/>
    <w:rsid w:val="005D5E73"/>
    <w:rsid w:val="005E38D9"/>
    <w:rsid w:val="005F01BC"/>
    <w:rsid w:val="005F4C46"/>
    <w:rsid w:val="0060793C"/>
    <w:rsid w:val="00634408"/>
    <w:rsid w:val="00636096"/>
    <w:rsid w:val="006378AE"/>
    <w:rsid w:val="006547C9"/>
    <w:rsid w:val="006608A3"/>
    <w:rsid w:val="006623EA"/>
    <w:rsid w:val="00663FDD"/>
    <w:rsid w:val="00680F73"/>
    <w:rsid w:val="00682D08"/>
    <w:rsid w:val="0068768F"/>
    <w:rsid w:val="00690EE7"/>
    <w:rsid w:val="006933BF"/>
    <w:rsid w:val="006A3BE6"/>
    <w:rsid w:val="006A3D89"/>
    <w:rsid w:val="006A48CE"/>
    <w:rsid w:val="006A7F34"/>
    <w:rsid w:val="006B2617"/>
    <w:rsid w:val="006B364C"/>
    <w:rsid w:val="006B5065"/>
    <w:rsid w:val="006D3464"/>
    <w:rsid w:val="006F07A5"/>
    <w:rsid w:val="006F2F24"/>
    <w:rsid w:val="006F5D60"/>
    <w:rsid w:val="00702214"/>
    <w:rsid w:val="007023F6"/>
    <w:rsid w:val="0070272A"/>
    <w:rsid w:val="007205E7"/>
    <w:rsid w:val="00725889"/>
    <w:rsid w:val="00732FD1"/>
    <w:rsid w:val="00736A39"/>
    <w:rsid w:val="007443DE"/>
    <w:rsid w:val="007553CF"/>
    <w:rsid w:val="00763AC6"/>
    <w:rsid w:val="00763D7E"/>
    <w:rsid w:val="007655B1"/>
    <w:rsid w:val="00772EE5"/>
    <w:rsid w:val="0078455E"/>
    <w:rsid w:val="00785099"/>
    <w:rsid w:val="00785488"/>
    <w:rsid w:val="0079011B"/>
    <w:rsid w:val="007916D7"/>
    <w:rsid w:val="00796252"/>
    <w:rsid w:val="007A06CC"/>
    <w:rsid w:val="007C1FE6"/>
    <w:rsid w:val="007C4F74"/>
    <w:rsid w:val="007D7B8F"/>
    <w:rsid w:val="007E74F5"/>
    <w:rsid w:val="007E7828"/>
    <w:rsid w:val="00802928"/>
    <w:rsid w:val="00821351"/>
    <w:rsid w:val="00832746"/>
    <w:rsid w:val="00835D8D"/>
    <w:rsid w:val="0084622D"/>
    <w:rsid w:val="00847776"/>
    <w:rsid w:val="00866401"/>
    <w:rsid w:val="008729AE"/>
    <w:rsid w:val="008753B8"/>
    <w:rsid w:val="00897134"/>
    <w:rsid w:val="008A0367"/>
    <w:rsid w:val="008A637F"/>
    <w:rsid w:val="008B54FB"/>
    <w:rsid w:val="008C44F1"/>
    <w:rsid w:val="008D1465"/>
    <w:rsid w:val="008D4A12"/>
    <w:rsid w:val="008E0856"/>
    <w:rsid w:val="008E143D"/>
    <w:rsid w:val="00903F45"/>
    <w:rsid w:val="009239E7"/>
    <w:rsid w:val="00931CA6"/>
    <w:rsid w:val="00946F5F"/>
    <w:rsid w:val="00962454"/>
    <w:rsid w:val="00965A2C"/>
    <w:rsid w:val="00967DC8"/>
    <w:rsid w:val="00973D21"/>
    <w:rsid w:val="009C55FE"/>
    <w:rsid w:val="009E7B0D"/>
    <w:rsid w:val="009F35D3"/>
    <w:rsid w:val="00A01483"/>
    <w:rsid w:val="00A15DB1"/>
    <w:rsid w:val="00A23972"/>
    <w:rsid w:val="00A30F40"/>
    <w:rsid w:val="00A37646"/>
    <w:rsid w:val="00A40E9D"/>
    <w:rsid w:val="00A52C3C"/>
    <w:rsid w:val="00A67E58"/>
    <w:rsid w:val="00A71819"/>
    <w:rsid w:val="00A736D6"/>
    <w:rsid w:val="00A806C2"/>
    <w:rsid w:val="00A832C9"/>
    <w:rsid w:val="00A931FE"/>
    <w:rsid w:val="00A95C34"/>
    <w:rsid w:val="00AA1CA7"/>
    <w:rsid w:val="00AA2B5E"/>
    <w:rsid w:val="00AA3C7D"/>
    <w:rsid w:val="00AD1145"/>
    <w:rsid w:val="00AD51F4"/>
    <w:rsid w:val="00AE2225"/>
    <w:rsid w:val="00AE7021"/>
    <w:rsid w:val="00B007C3"/>
    <w:rsid w:val="00B04B52"/>
    <w:rsid w:val="00B10132"/>
    <w:rsid w:val="00B20F87"/>
    <w:rsid w:val="00B472B9"/>
    <w:rsid w:val="00B50822"/>
    <w:rsid w:val="00B50EAD"/>
    <w:rsid w:val="00B52497"/>
    <w:rsid w:val="00B541A4"/>
    <w:rsid w:val="00B620B6"/>
    <w:rsid w:val="00B642B9"/>
    <w:rsid w:val="00B6724F"/>
    <w:rsid w:val="00B8414E"/>
    <w:rsid w:val="00B94449"/>
    <w:rsid w:val="00BA3CE3"/>
    <w:rsid w:val="00BA6841"/>
    <w:rsid w:val="00BB4C53"/>
    <w:rsid w:val="00BC2367"/>
    <w:rsid w:val="00BD44EF"/>
    <w:rsid w:val="00BD730B"/>
    <w:rsid w:val="00BE0A18"/>
    <w:rsid w:val="00C0018C"/>
    <w:rsid w:val="00C113B4"/>
    <w:rsid w:val="00C22407"/>
    <w:rsid w:val="00C35DCF"/>
    <w:rsid w:val="00C43B0E"/>
    <w:rsid w:val="00C44BEC"/>
    <w:rsid w:val="00C47DE1"/>
    <w:rsid w:val="00C50DB6"/>
    <w:rsid w:val="00C64966"/>
    <w:rsid w:val="00C67FBB"/>
    <w:rsid w:val="00C8176D"/>
    <w:rsid w:val="00C8291F"/>
    <w:rsid w:val="00C84B08"/>
    <w:rsid w:val="00C85B4C"/>
    <w:rsid w:val="00C875CC"/>
    <w:rsid w:val="00C91A9A"/>
    <w:rsid w:val="00C91F9E"/>
    <w:rsid w:val="00CA2E0B"/>
    <w:rsid w:val="00CA4216"/>
    <w:rsid w:val="00CB4ED0"/>
    <w:rsid w:val="00CC02EE"/>
    <w:rsid w:val="00CD45CF"/>
    <w:rsid w:val="00CD66F6"/>
    <w:rsid w:val="00CE2A37"/>
    <w:rsid w:val="00CE7437"/>
    <w:rsid w:val="00CF24F8"/>
    <w:rsid w:val="00CF3A75"/>
    <w:rsid w:val="00D029C0"/>
    <w:rsid w:val="00D21B15"/>
    <w:rsid w:val="00D35624"/>
    <w:rsid w:val="00D35941"/>
    <w:rsid w:val="00D4781F"/>
    <w:rsid w:val="00D47E7C"/>
    <w:rsid w:val="00D51F9A"/>
    <w:rsid w:val="00D60EE2"/>
    <w:rsid w:val="00D65AC0"/>
    <w:rsid w:val="00D67C2C"/>
    <w:rsid w:val="00D73EE2"/>
    <w:rsid w:val="00D87A78"/>
    <w:rsid w:val="00DB5CA0"/>
    <w:rsid w:val="00DC552B"/>
    <w:rsid w:val="00DF1F1C"/>
    <w:rsid w:val="00E038FE"/>
    <w:rsid w:val="00E15352"/>
    <w:rsid w:val="00E203D8"/>
    <w:rsid w:val="00E227D1"/>
    <w:rsid w:val="00E314D5"/>
    <w:rsid w:val="00E419B6"/>
    <w:rsid w:val="00E45271"/>
    <w:rsid w:val="00E55549"/>
    <w:rsid w:val="00E55709"/>
    <w:rsid w:val="00E81924"/>
    <w:rsid w:val="00E878B5"/>
    <w:rsid w:val="00E90B59"/>
    <w:rsid w:val="00E92B00"/>
    <w:rsid w:val="00E95063"/>
    <w:rsid w:val="00EA21B1"/>
    <w:rsid w:val="00EB1BF2"/>
    <w:rsid w:val="00EB7EBF"/>
    <w:rsid w:val="00EC038C"/>
    <w:rsid w:val="00ED3CBC"/>
    <w:rsid w:val="00EE7A6A"/>
    <w:rsid w:val="00EF0CBA"/>
    <w:rsid w:val="00EF3678"/>
    <w:rsid w:val="00EF6EC4"/>
    <w:rsid w:val="00EF7181"/>
    <w:rsid w:val="00F01197"/>
    <w:rsid w:val="00F11D30"/>
    <w:rsid w:val="00F1338A"/>
    <w:rsid w:val="00F1761C"/>
    <w:rsid w:val="00F2384E"/>
    <w:rsid w:val="00F263A1"/>
    <w:rsid w:val="00F32D9A"/>
    <w:rsid w:val="00F34870"/>
    <w:rsid w:val="00F362DD"/>
    <w:rsid w:val="00F5201D"/>
    <w:rsid w:val="00F54991"/>
    <w:rsid w:val="00F71D37"/>
    <w:rsid w:val="00F8141B"/>
    <w:rsid w:val="00F8205C"/>
    <w:rsid w:val="00F95511"/>
    <w:rsid w:val="00FA4F03"/>
    <w:rsid w:val="00FB45BA"/>
    <w:rsid w:val="00FB7DC2"/>
    <w:rsid w:val="00FE0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5F"/>
  </w:style>
  <w:style w:type="paragraph" w:styleId="Heading1">
    <w:name w:val="heading 1"/>
    <w:basedOn w:val="Normal"/>
    <w:next w:val="Normal"/>
    <w:link w:val="Heading1Char"/>
    <w:uiPriority w:val="9"/>
    <w:qFormat/>
    <w:rsid w:val="00946F5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46F5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6F5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6F5F"/>
    <w:pPr>
      <w:spacing w:after="0" w:line="240" w:lineRule="auto"/>
    </w:pPr>
  </w:style>
  <w:style w:type="character" w:customStyle="1" w:styleId="NoSpacingChar">
    <w:name w:val="No Spacing Char"/>
    <w:basedOn w:val="DefaultParagraphFont"/>
    <w:link w:val="NoSpacing"/>
    <w:uiPriority w:val="1"/>
    <w:rsid w:val="00101683"/>
  </w:style>
  <w:style w:type="paragraph" w:styleId="ListParagraph">
    <w:name w:val="List Paragraph"/>
    <w:aliases w:val="List Paragraph 1,normal,footer text,Bullets,Table of contents numbered,List Paragraph1"/>
    <w:basedOn w:val="Normal"/>
    <w:link w:val="ListParagraphChar"/>
    <w:uiPriority w:val="34"/>
    <w:qFormat/>
    <w:rsid w:val="00101683"/>
    <w:pPr>
      <w:ind w:left="720"/>
      <w:contextualSpacing/>
    </w:pPr>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101683"/>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NormalWeb">
    <w:name w:val="Normal (Web)"/>
    <w:basedOn w:val="Normal"/>
    <w:uiPriority w:val="99"/>
    <w:semiHidden/>
    <w:unhideWhenUsed/>
    <w:rsid w:val="00174502"/>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946F5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46F5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6F5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6F5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6F5F"/>
    <w:pPr>
      <w:spacing w:line="240" w:lineRule="auto"/>
    </w:pPr>
    <w:rPr>
      <w:b/>
      <w:bCs/>
      <w:smallCaps/>
      <w:color w:val="44546A" w:themeColor="text2"/>
    </w:rPr>
  </w:style>
  <w:style w:type="paragraph" w:styleId="Title">
    <w:name w:val="Title"/>
    <w:basedOn w:val="Normal"/>
    <w:next w:val="Normal"/>
    <w:link w:val="TitleChar"/>
    <w:uiPriority w:val="10"/>
    <w:qFormat/>
    <w:rsid w:val="00946F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6F5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6F5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6F5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6F5F"/>
    <w:rPr>
      <w:b/>
      <w:bCs/>
    </w:rPr>
  </w:style>
  <w:style w:type="character" w:styleId="Emphasis">
    <w:name w:val="Emphasis"/>
    <w:basedOn w:val="DefaultParagraphFont"/>
    <w:uiPriority w:val="20"/>
    <w:qFormat/>
    <w:rsid w:val="00946F5F"/>
    <w:rPr>
      <w:i/>
      <w:iCs/>
    </w:rPr>
  </w:style>
  <w:style w:type="paragraph" w:styleId="Quote">
    <w:name w:val="Quote"/>
    <w:basedOn w:val="Normal"/>
    <w:next w:val="Normal"/>
    <w:link w:val="QuoteChar"/>
    <w:uiPriority w:val="29"/>
    <w:qFormat/>
    <w:rsid w:val="00946F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6F5F"/>
    <w:rPr>
      <w:color w:val="44546A" w:themeColor="text2"/>
      <w:sz w:val="24"/>
      <w:szCs w:val="24"/>
    </w:rPr>
  </w:style>
  <w:style w:type="paragraph" w:styleId="IntenseQuote">
    <w:name w:val="Intense Quote"/>
    <w:basedOn w:val="Normal"/>
    <w:next w:val="Normal"/>
    <w:link w:val="IntenseQuoteChar"/>
    <w:uiPriority w:val="30"/>
    <w:qFormat/>
    <w:rsid w:val="0094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6F5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6F5F"/>
    <w:rPr>
      <w:i/>
      <w:iCs/>
      <w:color w:val="595959" w:themeColor="text1" w:themeTint="A6"/>
    </w:rPr>
  </w:style>
  <w:style w:type="character" w:styleId="IntenseEmphasis">
    <w:name w:val="Intense Emphasis"/>
    <w:basedOn w:val="DefaultParagraphFont"/>
    <w:uiPriority w:val="21"/>
    <w:qFormat/>
    <w:rsid w:val="00946F5F"/>
    <w:rPr>
      <w:b/>
      <w:bCs/>
      <w:i/>
      <w:iCs/>
    </w:rPr>
  </w:style>
  <w:style w:type="character" w:styleId="SubtleReference">
    <w:name w:val="Subtle Reference"/>
    <w:basedOn w:val="DefaultParagraphFont"/>
    <w:uiPriority w:val="31"/>
    <w:qFormat/>
    <w:rsid w:val="0094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6F5F"/>
    <w:rPr>
      <w:b/>
      <w:bCs/>
      <w:smallCaps/>
      <w:color w:val="44546A" w:themeColor="text2"/>
      <w:u w:val="single"/>
    </w:rPr>
  </w:style>
  <w:style w:type="character" w:styleId="BookTitle">
    <w:name w:val="Book Title"/>
    <w:basedOn w:val="DefaultParagraphFont"/>
    <w:uiPriority w:val="33"/>
    <w:qFormat/>
    <w:rsid w:val="00946F5F"/>
    <w:rPr>
      <w:b/>
      <w:bCs/>
      <w:smallCaps/>
      <w:spacing w:val="10"/>
    </w:rPr>
  </w:style>
  <w:style w:type="paragraph" w:styleId="TOCHeading">
    <w:name w:val="TOC Heading"/>
    <w:basedOn w:val="Heading1"/>
    <w:next w:val="Normal"/>
    <w:uiPriority w:val="39"/>
    <w:semiHidden/>
    <w:unhideWhenUsed/>
    <w:qFormat/>
    <w:rsid w:val="00946F5F"/>
    <w:pPr>
      <w:outlineLvl w:val="9"/>
    </w:pPr>
  </w:style>
</w:styles>
</file>

<file path=word/webSettings.xml><?xml version="1.0" encoding="utf-8"?>
<w:webSettings xmlns:r="http://schemas.openxmlformats.org/officeDocument/2006/relationships" xmlns:w="http://schemas.openxmlformats.org/wordprocessingml/2006/main">
  <w:divs>
    <w:div w:id="59377132">
      <w:bodyDiv w:val="1"/>
      <w:marLeft w:val="0"/>
      <w:marRight w:val="0"/>
      <w:marTop w:val="0"/>
      <w:marBottom w:val="0"/>
      <w:divBdr>
        <w:top w:val="none" w:sz="0" w:space="0" w:color="auto"/>
        <w:left w:val="none" w:sz="0" w:space="0" w:color="auto"/>
        <w:bottom w:val="none" w:sz="0" w:space="0" w:color="auto"/>
        <w:right w:val="none" w:sz="0" w:space="0" w:color="auto"/>
      </w:divBdr>
      <w:divsChild>
        <w:div w:id="1603679953">
          <w:marLeft w:val="547"/>
          <w:marRight w:val="0"/>
          <w:marTop w:val="0"/>
          <w:marBottom w:val="0"/>
          <w:divBdr>
            <w:top w:val="none" w:sz="0" w:space="0" w:color="auto"/>
            <w:left w:val="none" w:sz="0" w:space="0" w:color="auto"/>
            <w:bottom w:val="none" w:sz="0" w:space="0" w:color="auto"/>
            <w:right w:val="none" w:sz="0" w:space="0" w:color="auto"/>
          </w:divBdr>
        </w:div>
      </w:divsChild>
    </w:div>
    <w:div w:id="67770386">
      <w:bodyDiv w:val="1"/>
      <w:marLeft w:val="0"/>
      <w:marRight w:val="0"/>
      <w:marTop w:val="0"/>
      <w:marBottom w:val="0"/>
      <w:divBdr>
        <w:top w:val="none" w:sz="0" w:space="0" w:color="auto"/>
        <w:left w:val="none" w:sz="0" w:space="0" w:color="auto"/>
        <w:bottom w:val="none" w:sz="0" w:space="0" w:color="auto"/>
        <w:right w:val="none" w:sz="0" w:space="0" w:color="auto"/>
      </w:divBdr>
      <w:divsChild>
        <w:div w:id="23598642">
          <w:marLeft w:val="446"/>
          <w:marRight w:val="0"/>
          <w:marTop w:val="0"/>
          <w:marBottom w:val="0"/>
          <w:divBdr>
            <w:top w:val="none" w:sz="0" w:space="0" w:color="auto"/>
            <w:left w:val="none" w:sz="0" w:space="0" w:color="auto"/>
            <w:bottom w:val="none" w:sz="0" w:space="0" w:color="auto"/>
            <w:right w:val="none" w:sz="0" w:space="0" w:color="auto"/>
          </w:divBdr>
        </w:div>
      </w:divsChild>
    </w:div>
    <w:div w:id="299262903">
      <w:bodyDiv w:val="1"/>
      <w:marLeft w:val="0"/>
      <w:marRight w:val="0"/>
      <w:marTop w:val="0"/>
      <w:marBottom w:val="0"/>
      <w:divBdr>
        <w:top w:val="none" w:sz="0" w:space="0" w:color="auto"/>
        <w:left w:val="none" w:sz="0" w:space="0" w:color="auto"/>
        <w:bottom w:val="none" w:sz="0" w:space="0" w:color="auto"/>
        <w:right w:val="none" w:sz="0" w:space="0" w:color="auto"/>
      </w:divBdr>
    </w:div>
    <w:div w:id="327831884">
      <w:bodyDiv w:val="1"/>
      <w:marLeft w:val="0"/>
      <w:marRight w:val="0"/>
      <w:marTop w:val="0"/>
      <w:marBottom w:val="0"/>
      <w:divBdr>
        <w:top w:val="none" w:sz="0" w:space="0" w:color="auto"/>
        <w:left w:val="none" w:sz="0" w:space="0" w:color="auto"/>
        <w:bottom w:val="none" w:sz="0" w:space="0" w:color="auto"/>
        <w:right w:val="none" w:sz="0" w:space="0" w:color="auto"/>
      </w:divBdr>
    </w:div>
    <w:div w:id="412554290">
      <w:bodyDiv w:val="1"/>
      <w:marLeft w:val="0"/>
      <w:marRight w:val="0"/>
      <w:marTop w:val="0"/>
      <w:marBottom w:val="0"/>
      <w:divBdr>
        <w:top w:val="none" w:sz="0" w:space="0" w:color="auto"/>
        <w:left w:val="none" w:sz="0" w:space="0" w:color="auto"/>
        <w:bottom w:val="none" w:sz="0" w:space="0" w:color="auto"/>
        <w:right w:val="none" w:sz="0" w:space="0" w:color="auto"/>
      </w:divBdr>
    </w:div>
    <w:div w:id="588999111">
      <w:bodyDiv w:val="1"/>
      <w:marLeft w:val="0"/>
      <w:marRight w:val="0"/>
      <w:marTop w:val="0"/>
      <w:marBottom w:val="0"/>
      <w:divBdr>
        <w:top w:val="none" w:sz="0" w:space="0" w:color="auto"/>
        <w:left w:val="none" w:sz="0" w:space="0" w:color="auto"/>
        <w:bottom w:val="none" w:sz="0" w:space="0" w:color="auto"/>
        <w:right w:val="none" w:sz="0" w:space="0" w:color="auto"/>
      </w:divBdr>
    </w:div>
    <w:div w:id="605232858">
      <w:bodyDiv w:val="1"/>
      <w:marLeft w:val="0"/>
      <w:marRight w:val="0"/>
      <w:marTop w:val="0"/>
      <w:marBottom w:val="0"/>
      <w:divBdr>
        <w:top w:val="none" w:sz="0" w:space="0" w:color="auto"/>
        <w:left w:val="none" w:sz="0" w:space="0" w:color="auto"/>
        <w:bottom w:val="none" w:sz="0" w:space="0" w:color="auto"/>
        <w:right w:val="none" w:sz="0" w:space="0" w:color="auto"/>
      </w:divBdr>
    </w:div>
    <w:div w:id="653997918">
      <w:bodyDiv w:val="1"/>
      <w:marLeft w:val="0"/>
      <w:marRight w:val="0"/>
      <w:marTop w:val="0"/>
      <w:marBottom w:val="0"/>
      <w:divBdr>
        <w:top w:val="none" w:sz="0" w:space="0" w:color="auto"/>
        <w:left w:val="none" w:sz="0" w:space="0" w:color="auto"/>
        <w:bottom w:val="none" w:sz="0" w:space="0" w:color="auto"/>
        <w:right w:val="none" w:sz="0" w:space="0" w:color="auto"/>
      </w:divBdr>
    </w:div>
    <w:div w:id="734396714">
      <w:bodyDiv w:val="1"/>
      <w:marLeft w:val="0"/>
      <w:marRight w:val="0"/>
      <w:marTop w:val="0"/>
      <w:marBottom w:val="0"/>
      <w:divBdr>
        <w:top w:val="none" w:sz="0" w:space="0" w:color="auto"/>
        <w:left w:val="none" w:sz="0" w:space="0" w:color="auto"/>
        <w:bottom w:val="none" w:sz="0" w:space="0" w:color="auto"/>
        <w:right w:val="none" w:sz="0" w:space="0" w:color="auto"/>
      </w:divBdr>
    </w:div>
    <w:div w:id="745691119">
      <w:bodyDiv w:val="1"/>
      <w:marLeft w:val="0"/>
      <w:marRight w:val="0"/>
      <w:marTop w:val="0"/>
      <w:marBottom w:val="0"/>
      <w:divBdr>
        <w:top w:val="none" w:sz="0" w:space="0" w:color="auto"/>
        <w:left w:val="none" w:sz="0" w:space="0" w:color="auto"/>
        <w:bottom w:val="none" w:sz="0" w:space="0" w:color="auto"/>
        <w:right w:val="none" w:sz="0" w:space="0" w:color="auto"/>
      </w:divBdr>
    </w:div>
    <w:div w:id="745999421">
      <w:bodyDiv w:val="1"/>
      <w:marLeft w:val="0"/>
      <w:marRight w:val="0"/>
      <w:marTop w:val="0"/>
      <w:marBottom w:val="0"/>
      <w:divBdr>
        <w:top w:val="none" w:sz="0" w:space="0" w:color="auto"/>
        <w:left w:val="none" w:sz="0" w:space="0" w:color="auto"/>
        <w:bottom w:val="none" w:sz="0" w:space="0" w:color="auto"/>
        <w:right w:val="none" w:sz="0" w:space="0" w:color="auto"/>
      </w:divBdr>
    </w:div>
    <w:div w:id="760611600">
      <w:bodyDiv w:val="1"/>
      <w:marLeft w:val="0"/>
      <w:marRight w:val="0"/>
      <w:marTop w:val="0"/>
      <w:marBottom w:val="0"/>
      <w:divBdr>
        <w:top w:val="none" w:sz="0" w:space="0" w:color="auto"/>
        <w:left w:val="none" w:sz="0" w:space="0" w:color="auto"/>
        <w:bottom w:val="none" w:sz="0" w:space="0" w:color="auto"/>
        <w:right w:val="none" w:sz="0" w:space="0" w:color="auto"/>
      </w:divBdr>
      <w:divsChild>
        <w:div w:id="1977180822">
          <w:marLeft w:val="446"/>
          <w:marRight w:val="0"/>
          <w:marTop w:val="0"/>
          <w:marBottom w:val="0"/>
          <w:divBdr>
            <w:top w:val="none" w:sz="0" w:space="0" w:color="auto"/>
            <w:left w:val="none" w:sz="0" w:space="0" w:color="auto"/>
            <w:bottom w:val="none" w:sz="0" w:space="0" w:color="auto"/>
            <w:right w:val="none" w:sz="0" w:space="0" w:color="auto"/>
          </w:divBdr>
        </w:div>
      </w:divsChild>
    </w:div>
    <w:div w:id="784929301">
      <w:bodyDiv w:val="1"/>
      <w:marLeft w:val="0"/>
      <w:marRight w:val="0"/>
      <w:marTop w:val="0"/>
      <w:marBottom w:val="0"/>
      <w:divBdr>
        <w:top w:val="none" w:sz="0" w:space="0" w:color="auto"/>
        <w:left w:val="none" w:sz="0" w:space="0" w:color="auto"/>
        <w:bottom w:val="none" w:sz="0" w:space="0" w:color="auto"/>
        <w:right w:val="none" w:sz="0" w:space="0" w:color="auto"/>
      </w:divBdr>
      <w:divsChild>
        <w:div w:id="1208372189">
          <w:marLeft w:val="446"/>
          <w:marRight w:val="0"/>
          <w:marTop w:val="0"/>
          <w:marBottom w:val="0"/>
          <w:divBdr>
            <w:top w:val="none" w:sz="0" w:space="0" w:color="auto"/>
            <w:left w:val="none" w:sz="0" w:space="0" w:color="auto"/>
            <w:bottom w:val="none" w:sz="0" w:space="0" w:color="auto"/>
            <w:right w:val="none" w:sz="0" w:space="0" w:color="auto"/>
          </w:divBdr>
        </w:div>
        <w:div w:id="721490420">
          <w:marLeft w:val="1166"/>
          <w:marRight w:val="0"/>
          <w:marTop w:val="0"/>
          <w:marBottom w:val="0"/>
          <w:divBdr>
            <w:top w:val="none" w:sz="0" w:space="0" w:color="auto"/>
            <w:left w:val="none" w:sz="0" w:space="0" w:color="auto"/>
            <w:bottom w:val="none" w:sz="0" w:space="0" w:color="auto"/>
            <w:right w:val="none" w:sz="0" w:space="0" w:color="auto"/>
          </w:divBdr>
        </w:div>
        <w:div w:id="1259484638">
          <w:marLeft w:val="1166"/>
          <w:marRight w:val="0"/>
          <w:marTop w:val="0"/>
          <w:marBottom w:val="0"/>
          <w:divBdr>
            <w:top w:val="none" w:sz="0" w:space="0" w:color="auto"/>
            <w:left w:val="none" w:sz="0" w:space="0" w:color="auto"/>
            <w:bottom w:val="none" w:sz="0" w:space="0" w:color="auto"/>
            <w:right w:val="none" w:sz="0" w:space="0" w:color="auto"/>
          </w:divBdr>
        </w:div>
      </w:divsChild>
    </w:div>
    <w:div w:id="928542157">
      <w:bodyDiv w:val="1"/>
      <w:marLeft w:val="0"/>
      <w:marRight w:val="0"/>
      <w:marTop w:val="0"/>
      <w:marBottom w:val="0"/>
      <w:divBdr>
        <w:top w:val="none" w:sz="0" w:space="0" w:color="auto"/>
        <w:left w:val="none" w:sz="0" w:space="0" w:color="auto"/>
        <w:bottom w:val="none" w:sz="0" w:space="0" w:color="auto"/>
        <w:right w:val="none" w:sz="0" w:space="0" w:color="auto"/>
      </w:divBdr>
    </w:div>
    <w:div w:id="959647667">
      <w:bodyDiv w:val="1"/>
      <w:marLeft w:val="0"/>
      <w:marRight w:val="0"/>
      <w:marTop w:val="0"/>
      <w:marBottom w:val="0"/>
      <w:divBdr>
        <w:top w:val="none" w:sz="0" w:space="0" w:color="auto"/>
        <w:left w:val="none" w:sz="0" w:space="0" w:color="auto"/>
        <w:bottom w:val="none" w:sz="0" w:space="0" w:color="auto"/>
        <w:right w:val="none" w:sz="0" w:space="0" w:color="auto"/>
      </w:divBdr>
      <w:divsChild>
        <w:div w:id="2001080390">
          <w:marLeft w:val="547"/>
          <w:marRight w:val="0"/>
          <w:marTop w:val="0"/>
          <w:marBottom w:val="0"/>
          <w:divBdr>
            <w:top w:val="none" w:sz="0" w:space="0" w:color="auto"/>
            <w:left w:val="none" w:sz="0" w:space="0" w:color="auto"/>
            <w:bottom w:val="none" w:sz="0" w:space="0" w:color="auto"/>
            <w:right w:val="none" w:sz="0" w:space="0" w:color="auto"/>
          </w:divBdr>
        </w:div>
        <w:div w:id="1036085213">
          <w:marLeft w:val="547"/>
          <w:marRight w:val="0"/>
          <w:marTop w:val="0"/>
          <w:marBottom w:val="0"/>
          <w:divBdr>
            <w:top w:val="none" w:sz="0" w:space="0" w:color="auto"/>
            <w:left w:val="none" w:sz="0" w:space="0" w:color="auto"/>
            <w:bottom w:val="none" w:sz="0" w:space="0" w:color="auto"/>
            <w:right w:val="none" w:sz="0" w:space="0" w:color="auto"/>
          </w:divBdr>
        </w:div>
      </w:divsChild>
    </w:div>
    <w:div w:id="1092629840">
      <w:bodyDiv w:val="1"/>
      <w:marLeft w:val="0"/>
      <w:marRight w:val="0"/>
      <w:marTop w:val="0"/>
      <w:marBottom w:val="0"/>
      <w:divBdr>
        <w:top w:val="none" w:sz="0" w:space="0" w:color="auto"/>
        <w:left w:val="none" w:sz="0" w:space="0" w:color="auto"/>
        <w:bottom w:val="none" w:sz="0" w:space="0" w:color="auto"/>
        <w:right w:val="none" w:sz="0" w:space="0" w:color="auto"/>
      </w:divBdr>
    </w:div>
    <w:div w:id="1096711198">
      <w:bodyDiv w:val="1"/>
      <w:marLeft w:val="0"/>
      <w:marRight w:val="0"/>
      <w:marTop w:val="0"/>
      <w:marBottom w:val="0"/>
      <w:divBdr>
        <w:top w:val="none" w:sz="0" w:space="0" w:color="auto"/>
        <w:left w:val="none" w:sz="0" w:space="0" w:color="auto"/>
        <w:bottom w:val="none" w:sz="0" w:space="0" w:color="auto"/>
        <w:right w:val="none" w:sz="0" w:space="0" w:color="auto"/>
      </w:divBdr>
      <w:divsChild>
        <w:div w:id="348876552">
          <w:marLeft w:val="547"/>
          <w:marRight w:val="0"/>
          <w:marTop w:val="0"/>
          <w:marBottom w:val="0"/>
          <w:divBdr>
            <w:top w:val="none" w:sz="0" w:space="0" w:color="auto"/>
            <w:left w:val="none" w:sz="0" w:space="0" w:color="auto"/>
            <w:bottom w:val="none" w:sz="0" w:space="0" w:color="auto"/>
            <w:right w:val="none" w:sz="0" w:space="0" w:color="auto"/>
          </w:divBdr>
        </w:div>
      </w:divsChild>
    </w:div>
    <w:div w:id="1454323990">
      <w:bodyDiv w:val="1"/>
      <w:marLeft w:val="0"/>
      <w:marRight w:val="0"/>
      <w:marTop w:val="0"/>
      <w:marBottom w:val="0"/>
      <w:divBdr>
        <w:top w:val="none" w:sz="0" w:space="0" w:color="auto"/>
        <w:left w:val="none" w:sz="0" w:space="0" w:color="auto"/>
        <w:bottom w:val="none" w:sz="0" w:space="0" w:color="auto"/>
        <w:right w:val="none" w:sz="0" w:space="0" w:color="auto"/>
      </w:divBdr>
      <w:divsChild>
        <w:div w:id="1510682636">
          <w:marLeft w:val="446"/>
          <w:marRight w:val="0"/>
          <w:marTop w:val="0"/>
          <w:marBottom w:val="0"/>
          <w:divBdr>
            <w:top w:val="none" w:sz="0" w:space="0" w:color="auto"/>
            <w:left w:val="none" w:sz="0" w:space="0" w:color="auto"/>
            <w:bottom w:val="none" w:sz="0" w:space="0" w:color="auto"/>
            <w:right w:val="none" w:sz="0" w:space="0" w:color="auto"/>
          </w:divBdr>
        </w:div>
      </w:divsChild>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2671324">
      <w:bodyDiv w:val="1"/>
      <w:marLeft w:val="0"/>
      <w:marRight w:val="0"/>
      <w:marTop w:val="0"/>
      <w:marBottom w:val="0"/>
      <w:divBdr>
        <w:top w:val="none" w:sz="0" w:space="0" w:color="auto"/>
        <w:left w:val="none" w:sz="0" w:space="0" w:color="auto"/>
        <w:bottom w:val="none" w:sz="0" w:space="0" w:color="auto"/>
        <w:right w:val="none" w:sz="0" w:space="0" w:color="auto"/>
      </w:divBdr>
    </w:div>
    <w:div w:id="1557859661">
      <w:bodyDiv w:val="1"/>
      <w:marLeft w:val="0"/>
      <w:marRight w:val="0"/>
      <w:marTop w:val="0"/>
      <w:marBottom w:val="0"/>
      <w:divBdr>
        <w:top w:val="none" w:sz="0" w:space="0" w:color="auto"/>
        <w:left w:val="none" w:sz="0" w:space="0" w:color="auto"/>
        <w:bottom w:val="none" w:sz="0" w:space="0" w:color="auto"/>
        <w:right w:val="none" w:sz="0" w:space="0" w:color="auto"/>
      </w:divBdr>
      <w:divsChild>
        <w:div w:id="1159419028">
          <w:marLeft w:val="547"/>
          <w:marRight w:val="0"/>
          <w:marTop w:val="0"/>
          <w:marBottom w:val="0"/>
          <w:divBdr>
            <w:top w:val="none" w:sz="0" w:space="0" w:color="auto"/>
            <w:left w:val="none" w:sz="0" w:space="0" w:color="auto"/>
            <w:bottom w:val="none" w:sz="0" w:space="0" w:color="auto"/>
            <w:right w:val="none" w:sz="0" w:space="0" w:color="auto"/>
          </w:divBdr>
        </w:div>
      </w:divsChild>
    </w:div>
    <w:div w:id="1647278898">
      <w:bodyDiv w:val="1"/>
      <w:marLeft w:val="0"/>
      <w:marRight w:val="0"/>
      <w:marTop w:val="0"/>
      <w:marBottom w:val="0"/>
      <w:divBdr>
        <w:top w:val="none" w:sz="0" w:space="0" w:color="auto"/>
        <w:left w:val="none" w:sz="0" w:space="0" w:color="auto"/>
        <w:bottom w:val="none" w:sz="0" w:space="0" w:color="auto"/>
        <w:right w:val="none" w:sz="0" w:space="0" w:color="auto"/>
      </w:divBdr>
      <w:divsChild>
        <w:div w:id="1918976063">
          <w:marLeft w:val="547"/>
          <w:marRight w:val="0"/>
          <w:marTop w:val="0"/>
          <w:marBottom w:val="0"/>
          <w:divBdr>
            <w:top w:val="none" w:sz="0" w:space="0" w:color="auto"/>
            <w:left w:val="none" w:sz="0" w:space="0" w:color="auto"/>
            <w:bottom w:val="none" w:sz="0" w:space="0" w:color="auto"/>
            <w:right w:val="none" w:sz="0" w:space="0" w:color="auto"/>
          </w:divBdr>
        </w:div>
        <w:div w:id="1590121664">
          <w:marLeft w:val="547"/>
          <w:marRight w:val="0"/>
          <w:marTop w:val="0"/>
          <w:marBottom w:val="0"/>
          <w:divBdr>
            <w:top w:val="none" w:sz="0" w:space="0" w:color="auto"/>
            <w:left w:val="none" w:sz="0" w:space="0" w:color="auto"/>
            <w:bottom w:val="none" w:sz="0" w:space="0" w:color="auto"/>
            <w:right w:val="none" w:sz="0" w:space="0" w:color="auto"/>
          </w:divBdr>
        </w:div>
      </w:divsChild>
    </w:div>
    <w:div w:id="1768696877">
      <w:bodyDiv w:val="1"/>
      <w:marLeft w:val="0"/>
      <w:marRight w:val="0"/>
      <w:marTop w:val="0"/>
      <w:marBottom w:val="0"/>
      <w:divBdr>
        <w:top w:val="none" w:sz="0" w:space="0" w:color="auto"/>
        <w:left w:val="none" w:sz="0" w:space="0" w:color="auto"/>
        <w:bottom w:val="none" w:sz="0" w:space="0" w:color="auto"/>
        <w:right w:val="none" w:sz="0" w:space="0" w:color="auto"/>
      </w:divBdr>
      <w:divsChild>
        <w:div w:id="852720348">
          <w:marLeft w:val="547"/>
          <w:marRight w:val="0"/>
          <w:marTop w:val="0"/>
          <w:marBottom w:val="0"/>
          <w:divBdr>
            <w:top w:val="none" w:sz="0" w:space="0" w:color="auto"/>
            <w:left w:val="none" w:sz="0" w:space="0" w:color="auto"/>
            <w:bottom w:val="none" w:sz="0" w:space="0" w:color="auto"/>
            <w:right w:val="none" w:sz="0" w:space="0" w:color="auto"/>
          </w:divBdr>
        </w:div>
      </w:divsChild>
    </w:div>
    <w:div w:id="1789466158">
      <w:bodyDiv w:val="1"/>
      <w:marLeft w:val="0"/>
      <w:marRight w:val="0"/>
      <w:marTop w:val="0"/>
      <w:marBottom w:val="0"/>
      <w:divBdr>
        <w:top w:val="none" w:sz="0" w:space="0" w:color="auto"/>
        <w:left w:val="none" w:sz="0" w:space="0" w:color="auto"/>
        <w:bottom w:val="none" w:sz="0" w:space="0" w:color="auto"/>
        <w:right w:val="none" w:sz="0" w:space="0" w:color="auto"/>
      </w:divBdr>
      <w:divsChild>
        <w:div w:id="887180899">
          <w:marLeft w:val="446"/>
          <w:marRight w:val="0"/>
          <w:marTop w:val="0"/>
          <w:marBottom w:val="0"/>
          <w:divBdr>
            <w:top w:val="none" w:sz="0" w:space="0" w:color="auto"/>
            <w:left w:val="none" w:sz="0" w:space="0" w:color="auto"/>
            <w:bottom w:val="none" w:sz="0" w:space="0" w:color="auto"/>
            <w:right w:val="none" w:sz="0" w:space="0" w:color="auto"/>
          </w:divBdr>
        </w:div>
        <w:div w:id="337469286">
          <w:marLeft w:val="446"/>
          <w:marRight w:val="0"/>
          <w:marTop w:val="0"/>
          <w:marBottom w:val="0"/>
          <w:divBdr>
            <w:top w:val="none" w:sz="0" w:space="0" w:color="auto"/>
            <w:left w:val="none" w:sz="0" w:space="0" w:color="auto"/>
            <w:bottom w:val="none" w:sz="0" w:space="0" w:color="auto"/>
            <w:right w:val="none" w:sz="0" w:space="0" w:color="auto"/>
          </w:divBdr>
        </w:div>
      </w:divsChild>
    </w:div>
    <w:div w:id="1872768954">
      <w:bodyDiv w:val="1"/>
      <w:marLeft w:val="0"/>
      <w:marRight w:val="0"/>
      <w:marTop w:val="0"/>
      <w:marBottom w:val="0"/>
      <w:divBdr>
        <w:top w:val="none" w:sz="0" w:space="0" w:color="auto"/>
        <w:left w:val="none" w:sz="0" w:space="0" w:color="auto"/>
        <w:bottom w:val="none" w:sz="0" w:space="0" w:color="auto"/>
        <w:right w:val="none" w:sz="0" w:space="0" w:color="auto"/>
      </w:divBdr>
    </w:div>
    <w:div w:id="1878930153">
      <w:bodyDiv w:val="1"/>
      <w:marLeft w:val="0"/>
      <w:marRight w:val="0"/>
      <w:marTop w:val="0"/>
      <w:marBottom w:val="0"/>
      <w:divBdr>
        <w:top w:val="none" w:sz="0" w:space="0" w:color="auto"/>
        <w:left w:val="none" w:sz="0" w:space="0" w:color="auto"/>
        <w:bottom w:val="none" w:sz="0" w:space="0" w:color="auto"/>
        <w:right w:val="none" w:sz="0" w:space="0" w:color="auto"/>
      </w:divBdr>
    </w:div>
    <w:div w:id="1979458343">
      <w:bodyDiv w:val="1"/>
      <w:marLeft w:val="0"/>
      <w:marRight w:val="0"/>
      <w:marTop w:val="0"/>
      <w:marBottom w:val="0"/>
      <w:divBdr>
        <w:top w:val="none" w:sz="0" w:space="0" w:color="auto"/>
        <w:left w:val="none" w:sz="0" w:space="0" w:color="auto"/>
        <w:bottom w:val="none" w:sz="0" w:space="0" w:color="auto"/>
        <w:right w:val="none" w:sz="0" w:space="0" w:color="auto"/>
      </w:divBdr>
      <w:divsChild>
        <w:div w:id="1420907325">
          <w:marLeft w:val="547"/>
          <w:marRight w:val="0"/>
          <w:marTop w:val="0"/>
          <w:marBottom w:val="0"/>
          <w:divBdr>
            <w:top w:val="none" w:sz="0" w:space="0" w:color="auto"/>
            <w:left w:val="none" w:sz="0" w:space="0" w:color="auto"/>
            <w:bottom w:val="none" w:sz="0" w:space="0" w:color="auto"/>
            <w:right w:val="none" w:sz="0" w:space="0" w:color="auto"/>
          </w:divBdr>
        </w:div>
      </w:divsChild>
    </w:div>
    <w:div w:id="2078937340">
      <w:bodyDiv w:val="1"/>
      <w:marLeft w:val="0"/>
      <w:marRight w:val="0"/>
      <w:marTop w:val="0"/>
      <w:marBottom w:val="0"/>
      <w:divBdr>
        <w:top w:val="none" w:sz="0" w:space="0" w:color="auto"/>
        <w:left w:val="none" w:sz="0" w:space="0" w:color="auto"/>
        <w:bottom w:val="none" w:sz="0" w:space="0" w:color="auto"/>
        <w:right w:val="none" w:sz="0" w:space="0" w:color="auto"/>
      </w:divBdr>
    </w:div>
    <w:div w:id="2128811120">
      <w:bodyDiv w:val="1"/>
      <w:marLeft w:val="0"/>
      <w:marRight w:val="0"/>
      <w:marTop w:val="0"/>
      <w:marBottom w:val="0"/>
      <w:divBdr>
        <w:top w:val="none" w:sz="0" w:space="0" w:color="auto"/>
        <w:left w:val="none" w:sz="0" w:space="0" w:color="auto"/>
        <w:bottom w:val="none" w:sz="0" w:space="0" w:color="auto"/>
        <w:right w:val="none" w:sz="0" w:space="0" w:color="auto"/>
      </w:divBdr>
      <w:divsChild>
        <w:div w:id="2028174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50DD-C11C-43D3-8BD8-80C8FC05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User</cp:lastModifiedBy>
  <cp:revision>2</cp:revision>
  <dcterms:created xsi:type="dcterms:W3CDTF">2022-03-24T21:02:00Z</dcterms:created>
  <dcterms:modified xsi:type="dcterms:W3CDTF">2022-03-24T21:02:00Z</dcterms:modified>
</cp:coreProperties>
</file>