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1D" w:rsidRPr="00C4202E" w:rsidRDefault="00C4451D" w:rsidP="003473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4202E">
        <w:rPr>
          <w:rFonts w:ascii="Arial" w:hAnsi="Arial" w:cs="Arial"/>
          <w:b/>
          <w:color w:val="000000" w:themeColor="text1"/>
          <w:sz w:val="20"/>
          <w:szCs w:val="20"/>
        </w:rPr>
        <w:t xml:space="preserve">Report of the Portfolio Committee on Justice and Correctional Services on </w:t>
      </w:r>
      <w:r w:rsidR="004200F5" w:rsidRPr="00C4202E">
        <w:rPr>
          <w:rFonts w:ascii="Arial" w:hAnsi="Arial" w:cs="Arial"/>
          <w:b/>
          <w:color w:val="000000" w:themeColor="text1"/>
          <w:sz w:val="20"/>
          <w:szCs w:val="20"/>
        </w:rPr>
        <w:t>Amendments to Regulations for approval in terms of section 97(2) of the Child Justice Act, 2008 (Act No. 75 of 2008)</w:t>
      </w:r>
      <w:r w:rsidRPr="00C4202E">
        <w:rPr>
          <w:rFonts w:ascii="Arial" w:hAnsi="Arial" w:cs="Arial"/>
          <w:b/>
          <w:color w:val="000000" w:themeColor="text1"/>
          <w:sz w:val="20"/>
          <w:szCs w:val="20"/>
        </w:rPr>
        <w:t xml:space="preserve">, dated </w:t>
      </w:r>
      <w:r w:rsidR="00F14070" w:rsidRPr="00C4202E">
        <w:rPr>
          <w:rFonts w:ascii="Arial" w:hAnsi="Arial" w:cs="Arial"/>
          <w:b/>
          <w:color w:val="000000" w:themeColor="text1"/>
          <w:sz w:val="20"/>
          <w:szCs w:val="20"/>
        </w:rPr>
        <w:t>23</w:t>
      </w:r>
      <w:r w:rsidR="004200F5" w:rsidRPr="00C4202E">
        <w:rPr>
          <w:rFonts w:ascii="Arial" w:hAnsi="Arial" w:cs="Arial"/>
          <w:b/>
          <w:color w:val="000000" w:themeColor="text1"/>
          <w:sz w:val="20"/>
          <w:szCs w:val="20"/>
        </w:rPr>
        <w:t xml:space="preserve"> March 2022</w:t>
      </w:r>
    </w:p>
    <w:p w:rsidR="00C4451D" w:rsidRPr="00C4202E" w:rsidRDefault="00C4451D" w:rsidP="003473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96F23" w:rsidRPr="00C4202E" w:rsidRDefault="00C4451D" w:rsidP="0034738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4202E">
        <w:rPr>
          <w:rFonts w:ascii="Arial" w:hAnsi="Arial" w:cs="Arial"/>
          <w:color w:val="000000" w:themeColor="text1"/>
          <w:sz w:val="20"/>
          <w:szCs w:val="20"/>
        </w:rPr>
        <w:t xml:space="preserve">The Portfolio Committee on </w:t>
      </w:r>
      <w:bookmarkStart w:id="0" w:name="_GoBack"/>
      <w:r w:rsidRPr="00C4202E">
        <w:rPr>
          <w:rFonts w:ascii="Arial" w:hAnsi="Arial" w:cs="Arial"/>
          <w:color w:val="000000" w:themeColor="text1"/>
          <w:sz w:val="20"/>
          <w:szCs w:val="20"/>
        </w:rPr>
        <w:t>Justice</w:t>
      </w:r>
      <w:r w:rsidR="00592CD9" w:rsidRPr="00C4202E">
        <w:rPr>
          <w:rFonts w:ascii="Arial" w:hAnsi="Arial" w:cs="Arial"/>
          <w:color w:val="000000" w:themeColor="text1"/>
          <w:sz w:val="20"/>
          <w:szCs w:val="20"/>
        </w:rPr>
        <w:t xml:space="preserve"> and Correctional Services</w:t>
      </w:r>
      <w:bookmarkEnd w:id="0"/>
      <w:r w:rsidR="00592CD9" w:rsidRPr="00C4202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F36F4" w:rsidRPr="00C4202E">
        <w:rPr>
          <w:rFonts w:ascii="Arial" w:hAnsi="Arial" w:cs="Arial"/>
          <w:color w:val="000000" w:themeColor="text1"/>
          <w:sz w:val="20"/>
          <w:szCs w:val="20"/>
        </w:rPr>
        <w:t>having considered the</w:t>
      </w:r>
      <w:r w:rsidR="004200F5" w:rsidRPr="00C4202E">
        <w:rPr>
          <w:rFonts w:ascii="Arial" w:hAnsi="Arial" w:cs="Arial"/>
          <w:color w:val="000000" w:themeColor="text1"/>
          <w:sz w:val="20"/>
          <w:szCs w:val="20"/>
        </w:rPr>
        <w:t xml:space="preserve"> Amendments to Regulations for approval in terms of section 97(2) of the Child Justice Act, 2008 (Act No. 75 of 2008)</w:t>
      </w:r>
      <w:r w:rsidRPr="00C4202E">
        <w:rPr>
          <w:rFonts w:ascii="Arial" w:hAnsi="Arial" w:cs="Arial"/>
          <w:color w:val="000000" w:themeColor="text1"/>
          <w:sz w:val="20"/>
          <w:szCs w:val="20"/>
        </w:rPr>
        <w:t>, re</w:t>
      </w:r>
      <w:r w:rsidR="00496F23" w:rsidRPr="00C4202E">
        <w:rPr>
          <w:rFonts w:ascii="Arial" w:hAnsi="Arial" w:cs="Arial"/>
          <w:color w:val="000000" w:themeColor="text1"/>
          <w:sz w:val="20"/>
          <w:szCs w:val="20"/>
        </w:rPr>
        <w:t>ports as follows:</w:t>
      </w:r>
    </w:p>
    <w:p w:rsidR="00C4451D" w:rsidRPr="00C4202E" w:rsidRDefault="00C4451D" w:rsidP="0034738E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03381A" w:rsidRPr="00C4202E" w:rsidRDefault="0003381A" w:rsidP="0034738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color w:val="000000" w:themeColor="text1"/>
          <w:sz w:val="20"/>
          <w:szCs w:val="20"/>
        </w:rPr>
      </w:pPr>
      <w:r w:rsidRPr="00C4202E">
        <w:rPr>
          <w:rFonts w:ascii="Arial" w:hAnsi="Arial" w:cs="Arial"/>
          <w:color w:val="000000" w:themeColor="text1"/>
          <w:sz w:val="20"/>
          <w:szCs w:val="20"/>
        </w:rPr>
        <w:t xml:space="preserve">Amendments to Regulations for approval in terms of section 97(2) of the Child Justice Act. 75 of 2008 </w:t>
      </w:r>
      <w:r w:rsidRPr="00C4202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were tabled on 15 February 2022 and referred to the Committee for consideration and report.</w:t>
      </w:r>
    </w:p>
    <w:p w:rsidR="0003381A" w:rsidRPr="00C4202E" w:rsidRDefault="0003381A" w:rsidP="0034738E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200F5" w:rsidRPr="00C4202E" w:rsidRDefault="00523CA6" w:rsidP="0034738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GB"/>
        </w:rPr>
        <w:t xml:space="preserve">Section 97(1) of the </w:t>
      </w:r>
      <w:r w:rsidR="00442D56" w:rsidRPr="00C4202E">
        <w:rPr>
          <w:rFonts w:ascii="Arial" w:hAnsi="Arial" w:cs="Arial"/>
          <w:color w:val="000000" w:themeColor="text1"/>
          <w:sz w:val="20"/>
          <w:szCs w:val="20"/>
        </w:rPr>
        <w:t>Child Justice Act</w:t>
      </w:r>
      <w:r w:rsidR="0003381A" w:rsidRPr="00C4202E">
        <w:rPr>
          <w:rFonts w:ascii="Arial" w:hAnsi="Arial" w:cs="Arial"/>
          <w:color w:val="000000" w:themeColor="text1"/>
          <w:sz w:val="20"/>
          <w:szCs w:val="20"/>
        </w:rPr>
        <w:t>, 2</w:t>
      </w:r>
      <w:r w:rsidR="00442D56" w:rsidRPr="00C4202E">
        <w:rPr>
          <w:rFonts w:ascii="Arial" w:hAnsi="Arial" w:cs="Arial"/>
          <w:color w:val="000000" w:themeColor="text1"/>
          <w:sz w:val="20"/>
          <w:szCs w:val="20"/>
        </w:rPr>
        <w:t>008</w:t>
      </w:r>
      <w:r w:rsidR="0003381A" w:rsidRPr="00C4202E">
        <w:rPr>
          <w:rFonts w:ascii="Arial" w:hAnsi="Arial" w:cs="Arial"/>
          <w:color w:val="000000" w:themeColor="text1"/>
          <w:sz w:val="20"/>
          <w:szCs w:val="20"/>
        </w:rPr>
        <w:t>,</w:t>
      </w:r>
      <w:r w:rsidRPr="00C4202E">
        <w:rPr>
          <w:rFonts w:ascii="Arial" w:hAnsi="Arial" w:cs="Arial"/>
          <w:bCs/>
          <w:sz w:val="20"/>
          <w:szCs w:val="20"/>
          <w:lang w:val="en-GB"/>
        </w:rPr>
        <w:t xml:space="preserve"> empowers the Minister to make Regulations after </w:t>
      </w:r>
      <w:r w:rsidR="00A25574" w:rsidRPr="00C4202E">
        <w:rPr>
          <w:rFonts w:ascii="Arial" w:hAnsi="Arial" w:cs="Arial"/>
          <w:bCs/>
          <w:sz w:val="20"/>
          <w:szCs w:val="20"/>
          <w:lang w:val="en-GB"/>
        </w:rPr>
        <w:t xml:space="preserve">consultation, where appropriate, with Cabinet members responsible for social development, safety and security, education, correctional services and health. </w:t>
      </w:r>
      <w:r w:rsidR="0082016A" w:rsidRPr="00C4202E">
        <w:rPr>
          <w:rFonts w:ascii="Arial" w:hAnsi="Arial" w:cs="Arial"/>
          <w:bCs/>
          <w:sz w:val="20"/>
          <w:szCs w:val="20"/>
          <w:lang w:val="en-GB"/>
        </w:rPr>
        <w:t>In terms of s</w:t>
      </w:r>
      <w:r w:rsidR="0082016A" w:rsidRPr="00C4202E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 xml:space="preserve">ection 97(2) of the Act, the </w:t>
      </w:r>
      <w:r w:rsidR="00442D56" w:rsidRPr="00C4202E">
        <w:rPr>
          <w:rFonts w:ascii="Arial" w:hAnsi="Arial" w:cs="Arial"/>
          <w:bCs/>
          <w:sz w:val="20"/>
          <w:szCs w:val="20"/>
          <w:lang w:val="en-GB"/>
        </w:rPr>
        <w:t>Regulations must be referred to Parliament for approval</w:t>
      </w:r>
      <w:r w:rsidR="00442D56" w:rsidRPr="00C4202E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.</w:t>
      </w:r>
    </w:p>
    <w:p w:rsidR="004200F5" w:rsidRPr="00C4202E" w:rsidRDefault="004200F5" w:rsidP="0034738E">
      <w:pPr>
        <w:pStyle w:val="ListParagraph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F51369" w:rsidRPr="00C4202E" w:rsidRDefault="00A25574" w:rsidP="0034738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GB"/>
        </w:rPr>
        <w:t>Regulations were published by Government Notice No. R. 251 of 31 March 2010, and amended by Government Notice No. R. 1337 of 1 December 2017</w:t>
      </w:r>
      <w:r w:rsidR="004200F5" w:rsidRPr="00C4202E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4200F5" w:rsidRPr="00C4202E" w:rsidRDefault="004200F5" w:rsidP="0034738E">
      <w:pPr>
        <w:pStyle w:val="ListParagraph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03381A" w:rsidRPr="00C4202E" w:rsidRDefault="00523CA6" w:rsidP="0034738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GB"/>
        </w:rPr>
        <w:t>The</w:t>
      </w:r>
      <w:r w:rsidR="0082016A" w:rsidRPr="00C4202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3381A" w:rsidRPr="00C4202E">
        <w:rPr>
          <w:rFonts w:ascii="Arial" w:hAnsi="Arial" w:cs="Arial"/>
          <w:bCs/>
          <w:sz w:val="20"/>
          <w:szCs w:val="20"/>
          <w:lang w:val="en-GB"/>
        </w:rPr>
        <w:t xml:space="preserve">Act </w:t>
      </w:r>
      <w:r w:rsidR="0082016A" w:rsidRPr="00C4202E">
        <w:rPr>
          <w:rFonts w:ascii="Arial" w:hAnsi="Arial" w:cs="Arial"/>
          <w:bCs/>
          <w:sz w:val="20"/>
          <w:szCs w:val="20"/>
          <w:lang w:val="en-GB"/>
        </w:rPr>
        <w:t xml:space="preserve">is amended by the </w:t>
      </w:r>
      <w:r w:rsidRPr="00C4202E">
        <w:rPr>
          <w:rFonts w:ascii="Arial" w:hAnsi="Arial" w:cs="Arial"/>
          <w:bCs/>
          <w:sz w:val="20"/>
          <w:szCs w:val="20"/>
          <w:lang w:val="en-GB"/>
        </w:rPr>
        <w:t>C</w:t>
      </w:r>
      <w:r w:rsidR="00442D56" w:rsidRPr="00C4202E">
        <w:rPr>
          <w:rFonts w:ascii="Arial" w:hAnsi="Arial" w:cs="Arial"/>
          <w:bCs/>
          <w:sz w:val="20"/>
          <w:szCs w:val="20"/>
          <w:lang w:val="en-GB"/>
        </w:rPr>
        <w:t xml:space="preserve">hild </w:t>
      </w:r>
      <w:r w:rsidRPr="00C4202E">
        <w:rPr>
          <w:rFonts w:ascii="Arial" w:hAnsi="Arial" w:cs="Arial"/>
          <w:bCs/>
          <w:sz w:val="20"/>
          <w:szCs w:val="20"/>
          <w:lang w:val="en-GB"/>
        </w:rPr>
        <w:t>J</w:t>
      </w:r>
      <w:r w:rsidR="00442D56" w:rsidRPr="00C4202E">
        <w:rPr>
          <w:rFonts w:ascii="Arial" w:hAnsi="Arial" w:cs="Arial"/>
          <w:bCs/>
          <w:sz w:val="20"/>
          <w:szCs w:val="20"/>
          <w:lang w:val="en-GB"/>
        </w:rPr>
        <w:t xml:space="preserve">ustice </w:t>
      </w:r>
      <w:r w:rsidRPr="00C4202E">
        <w:rPr>
          <w:rFonts w:ascii="Arial" w:hAnsi="Arial" w:cs="Arial"/>
          <w:bCs/>
          <w:sz w:val="20"/>
          <w:szCs w:val="20"/>
          <w:lang w:val="en-GB"/>
        </w:rPr>
        <w:t>A</w:t>
      </w:r>
      <w:r w:rsidR="00442D56" w:rsidRPr="00C4202E">
        <w:rPr>
          <w:rFonts w:ascii="Arial" w:hAnsi="Arial" w:cs="Arial"/>
          <w:bCs/>
          <w:sz w:val="20"/>
          <w:szCs w:val="20"/>
          <w:lang w:val="en-GB"/>
        </w:rPr>
        <w:t xml:space="preserve">mendment </w:t>
      </w:r>
      <w:r w:rsidRPr="00C4202E">
        <w:rPr>
          <w:rFonts w:ascii="Arial" w:hAnsi="Arial" w:cs="Arial"/>
          <w:bCs/>
          <w:sz w:val="20"/>
          <w:szCs w:val="20"/>
          <w:lang w:val="en-GB"/>
        </w:rPr>
        <w:t>A</w:t>
      </w:r>
      <w:r w:rsidR="00442D56" w:rsidRPr="00C4202E">
        <w:rPr>
          <w:rFonts w:ascii="Arial" w:hAnsi="Arial" w:cs="Arial"/>
          <w:bCs/>
          <w:sz w:val="20"/>
          <w:szCs w:val="20"/>
          <w:lang w:val="en-GB"/>
        </w:rPr>
        <w:t>ct</w:t>
      </w:r>
      <w:r w:rsidR="0082016A" w:rsidRPr="00C4202E">
        <w:rPr>
          <w:rFonts w:ascii="Arial" w:hAnsi="Arial" w:cs="Arial"/>
          <w:bCs/>
          <w:sz w:val="20"/>
          <w:szCs w:val="20"/>
          <w:lang w:val="en-GB"/>
        </w:rPr>
        <w:t xml:space="preserve"> 28 of 2019</w:t>
      </w:r>
      <w:r w:rsidR="00442D56" w:rsidRPr="00C4202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2016A" w:rsidRPr="00C4202E">
        <w:rPr>
          <w:rFonts w:ascii="Arial" w:hAnsi="Arial" w:cs="Arial"/>
          <w:bCs/>
          <w:sz w:val="20"/>
          <w:szCs w:val="20"/>
          <w:lang w:val="en-GB"/>
        </w:rPr>
        <w:t xml:space="preserve">and it is </w:t>
      </w:r>
      <w:r w:rsidR="00442D56" w:rsidRPr="00C4202E">
        <w:rPr>
          <w:rFonts w:ascii="Arial" w:hAnsi="Arial" w:cs="Arial"/>
          <w:bCs/>
          <w:sz w:val="20"/>
          <w:szCs w:val="20"/>
          <w:lang w:val="en-GB"/>
        </w:rPr>
        <w:t xml:space="preserve">necessary to amend the </w:t>
      </w:r>
      <w:r w:rsidRPr="00C4202E">
        <w:rPr>
          <w:rFonts w:ascii="Arial" w:hAnsi="Arial" w:cs="Arial"/>
          <w:bCs/>
          <w:sz w:val="20"/>
          <w:szCs w:val="20"/>
          <w:lang w:val="en-GB"/>
        </w:rPr>
        <w:t xml:space="preserve">Regulations to align them with the changes brought about by the </w:t>
      </w:r>
      <w:r w:rsidR="0003381A" w:rsidRPr="00C4202E">
        <w:rPr>
          <w:rFonts w:ascii="Arial" w:hAnsi="Arial" w:cs="Arial"/>
          <w:bCs/>
          <w:sz w:val="20"/>
          <w:szCs w:val="20"/>
          <w:lang w:val="en-GB"/>
        </w:rPr>
        <w:t>Amendment Act.</w:t>
      </w:r>
      <w:r w:rsidR="00CE5908" w:rsidRPr="00C4202E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03381A" w:rsidRPr="00C4202E" w:rsidRDefault="0003381A" w:rsidP="0034738E">
      <w:pPr>
        <w:pStyle w:val="ListParagraph"/>
        <w:spacing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442D56" w:rsidRPr="00C4202E" w:rsidRDefault="00CE5908" w:rsidP="0034738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GB"/>
        </w:rPr>
        <w:t>The proposed amendments to the Regulations are largely consequential and include:</w:t>
      </w:r>
    </w:p>
    <w:p w:rsidR="00CE5908" w:rsidRPr="00C4202E" w:rsidRDefault="00CE5908" w:rsidP="0034738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GB"/>
        </w:rPr>
        <w:t xml:space="preserve">The increase of the minimum age of criminal capacity from 10 years to 12 years. </w:t>
      </w:r>
    </w:p>
    <w:p w:rsidR="00CE5908" w:rsidRPr="00C4202E" w:rsidRDefault="00CE5908" w:rsidP="0034738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GB"/>
        </w:rPr>
        <w:t>Retention of the rebuttable presumption for children who are older than 12 years, but younger than 14 years.</w:t>
      </w:r>
    </w:p>
    <w:p w:rsidR="00CE5908" w:rsidRPr="00C4202E" w:rsidRDefault="00CE5908" w:rsidP="0034738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GB"/>
        </w:rPr>
        <w:t>The manner of dealing with a child, depending on the age of the child, from the time of arrest to assessment, preliminary inquiry and until trial at the child justice court.</w:t>
      </w:r>
    </w:p>
    <w:p w:rsidR="00CE5908" w:rsidRPr="00C4202E" w:rsidRDefault="00CE5908" w:rsidP="0034738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GB"/>
        </w:rPr>
        <w:t>The removal of the requirement that prosecutors must consider the cognitive ability of children when determining whether to prosecute a child.</w:t>
      </w:r>
    </w:p>
    <w:p w:rsidR="00CE5908" w:rsidRPr="00C4202E" w:rsidRDefault="00CE5908" w:rsidP="0034738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GB"/>
        </w:rPr>
        <w:t>That the criminal capacity of the child will only be addressed during a plea and trial in a child justice court and not during the preliminary enquiry and for diversion purposes.</w:t>
      </w:r>
    </w:p>
    <w:p w:rsidR="00CE5908" w:rsidRPr="00C4202E" w:rsidRDefault="00CE5908" w:rsidP="0034738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GB"/>
        </w:rPr>
        <w:t>Prohibiting a magistrate from dispensing with a pre-sentence report where the court may impose a sentence involving compulsory residence in a child and youth care centre or imprisonment.</w:t>
      </w:r>
    </w:p>
    <w:p w:rsidR="0003381A" w:rsidRPr="00C4202E" w:rsidRDefault="0003381A" w:rsidP="0034738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GB"/>
        </w:rPr>
        <w:t>Technical amendments.</w:t>
      </w:r>
    </w:p>
    <w:p w:rsidR="00442D56" w:rsidRPr="00C4202E" w:rsidRDefault="00442D56" w:rsidP="0034738E">
      <w:pPr>
        <w:pStyle w:val="ListParagraph"/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523CA6" w:rsidRPr="00C4202E" w:rsidRDefault="0082016A" w:rsidP="0034738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bCs/>
          <w:sz w:val="20"/>
          <w:szCs w:val="20"/>
        </w:rPr>
      </w:pPr>
      <w:r w:rsidRPr="00C4202E">
        <w:rPr>
          <w:rFonts w:ascii="Arial" w:hAnsi="Arial" w:cs="Arial"/>
          <w:bCs/>
          <w:sz w:val="20"/>
          <w:szCs w:val="20"/>
          <w:lang w:val="en-US"/>
        </w:rPr>
        <w:t>T</w:t>
      </w:r>
      <w:r w:rsidR="00523CA6" w:rsidRPr="00C4202E">
        <w:rPr>
          <w:rFonts w:ascii="Arial" w:hAnsi="Arial" w:cs="Arial"/>
          <w:bCs/>
          <w:sz w:val="20"/>
          <w:szCs w:val="20"/>
          <w:lang w:val="en-US"/>
        </w:rPr>
        <w:t xml:space="preserve">he Amendment Act </w:t>
      </w:r>
      <w:r w:rsidR="0003381A" w:rsidRPr="00C4202E">
        <w:rPr>
          <w:rFonts w:ascii="Arial" w:hAnsi="Arial" w:cs="Arial"/>
          <w:bCs/>
          <w:sz w:val="20"/>
          <w:szCs w:val="20"/>
          <w:lang w:val="en-US"/>
        </w:rPr>
        <w:t xml:space="preserve">has not yet come into </w:t>
      </w:r>
      <w:r w:rsidR="00523CA6" w:rsidRPr="00C4202E">
        <w:rPr>
          <w:rFonts w:ascii="Arial" w:hAnsi="Arial" w:cs="Arial"/>
          <w:bCs/>
          <w:sz w:val="20"/>
          <w:szCs w:val="20"/>
          <w:lang w:val="en-US"/>
        </w:rPr>
        <w:t>operation</w:t>
      </w:r>
      <w:r w:rsidR="0003381A" w:rsidRPr="00C4202E">
        <w:rPr>
          <w:rFonts w:ascii="Arial" w:hAnsi="Arial" w:cs="Arial"/>
          <w:bCs/>
          <w:sz w:val="20"/>
          <w:szCs w:val="20"/>
          <w:lang w:val="en-US"/>
        </w:rPr>
        <w:t xml:space="preserve">, as it is envisaged that the draft Regulations </w:t>
      </w:r>
      <w:r w:rsidR="00CE5908" w:rsidRPr="00C4202E">
        <w:rPr>
          <w:rFonts w:ascii="Arial" w:hAnsi="Arial" w:cs="Arial"/>
          <w:bCs/>
          <w:sz w:val="20"/>
          <w:szCs w:val="20"/>
          <w:lang w:val="en-US"/>
        </w:rPr>
        <w:t xml:space="preserve">will come into operation on the same date. </w:t>
      </w:r>
      <w:r w:rsidR="0003381A" w:rsidRPr="00C4202E">
        <w:rPr>
          <w:rFonts w:ascii="Arial" w:hAnsi="Arial" w:cs="Arial"/>
          <w:bCs/>
          <w:sz w:val="20"/>
          <w:szCs w:val="20"/>
          <w:lang w:val="en-US"/>
        </w:rPr>
        <w:t>Therefore, u</w:t>
      </w:r>
      <w:r w:rsidR="00CE5908" w:rsidRPr="00C4202E">
        <w:rPr>
          <w:rFonts w:ascii="Arial" w:hAnsi="Arial" w:cs="Arial"/>
          <w:bCs/>
          <w:sz w:val="20"/>
          <w:szCs w:val="20"/>
          <w:lang w:val="en-US"/>
        </w:rPr>
        <w:t xml:space="preserve">ntil </w:t>
      </w:r>
      <w:r w:rsidR="00523CA6" w:rsidRPr="00C4202E">
        <w:rPr>
          <w:rFonts w:ascii="Arial" w:hAnsi="Arial" w:cs="Arial"/>
          <w:bCs/>
          <w:sz w:val="20"/>
          <w:szCs w:val="20"/>
          <w:lang w:val="en-US"/>
        </w:rPr>
        <w:t xml:space="preserve">Parliament </w:t>
      </w:r>
      <w:r w:rsidR="00CE5908" w:rsidRPr="00C4202E">
        <w:rPr>
          <w:rFonts w:ascii="Arial" w:hAnsi="Arial" w:cs="Arial"/>
          <w:bCs/>
          <w:sz w:val="20"/>
          <w:szCs w:val="20"/>
          <w:lang w:val="en-US"/>
        </w:rPr>
        <w:t xml:space="preserve">has approved the amendments to the </w:t>
      </w:r>
      <w:r w:rsidRPr="00C4202E">
        <w:rPr>
          <w:rFonts w:ascii="Arial" w:hAnsi="Arial" w:cs="Arial"/>
          <w:bCs/>
          <w:sz w:val="20"/>
          <w:szCs w:val="20"/>
          <w:lang w:val="en-US"/>
        </w:rPr>
        <w:t>Regulations</w:t>
      </w:r>
      <w:r w:rsidR="0003381A" w:rsidRPr="00C4202E">
        <w:rPr>
          <w:rFonts w:ascii="Arial" w:hAnsi="Arial" w:cs="Arial"/>
          <w:bCs/>
          <w:sz w:val="20"/>
          <w:szCs w:val="20"/>
          <w:lang w:val="en-US"/>
        </w:rPr>
        <w:t>, a commencement date for the Amendment Act cannot be determined.</w:t>
      </w:r>
    </w:p>
    <w:p w:rsidR="00C4451D" w:rsidRPr="00C4202E" w:rsidRDefault="00C4451D" w:rsidP="0034738E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4451D" w:rsidRPr="00C4202E" w:rsidRDefault="00C4451D" w:rsidP="0034738E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4202E">
        <w:rPr>
          <w:rFonts w:ascii="Arial" w:hAnsi="Arial" w:cs="Arial"/>
          <w:b/>
          <w:color w:val="000000" w:themeColor="text1"/>
          <w:sz w:val="20"/>
          <w:szCs w:val="20"/>
        </w:rPr>
        <w:t>Recommendation</w:t>
      </w:r>
    </w:p>
    <w:p w:rsidR="0071451A" w:rsidRPr="00C4202E" w:rsidRDefault="0071451A" w:rsidP="0034738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4451D" w:rsidRPr="00C4202E" w:rsidRDefault="00C4451D" w:rsidP="0034738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C4202E">
        <w:rPr>
          <w:rFonts w:ascii="Arial" w:hAnsi="Arial" w:cs="Arial"/>
          <w:sz w:val="20"/>
          <w:szCs w:val="20"/>
        </w:rPr>
        <w:t>The</w:t>
      </w:r>
      <w:r w:rsidRPr="00C4202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Committee</w:t>
      </w:r>
      <w:r w:rsidR="00592CD9" w:rsidRPr="00C4202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Pr="00C4202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recommends that the National Assembly approve</w:t>
      </w:r>
      <w:r w:rsidR="0003381A" w:rsidRPr="00C4202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03381A" w:rsidRPr="00C4202E">
        <w:rPr>
          <w:rFonts w:ascii="Arial" w:hAnsi="Arial" w:cs="Arial"/>
          <w:color w:val="000000" w:themeColor="text1"/>
          <w:sz w:val="20"/>
          <w:szCs w:val="20"/>
        </w:rPr>
        <w:t>Amendments to Regulations for approval in terms of section 97(2) of the Child Justice Act, 2008 (Act No. 75 of 2008)</w:t>
      </w:r>
      <w:r w:rsidRPr="00C4202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. </w:t>
      </w:r>
    </w:p>
    <w:p w:rsidR="00C4451D" w:rsidRPr="00C4202E" w:rsidRDefault="00C4451D" w:rsidP="0034738E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620D8" w:rsidRPr="00C4202E" w:rsidRDefault="005F4079" w:rsidP="0034738E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4202E">
        <w:rPr>
          <w:rFonts w:ascii="Arial" w:hAnsi="Arial" w:cs="Arial"/>
          <w:b/>
          <w:bCs/>
          <w:sz w:val="20"/>
          <w:szCs w:val="20"/>
          <w:lang w:val="en-US"/>
        </w:rPr>
        <w:t>Report to be considered</w:t>
      </w:r>
    </w:p>
    <w:sectPr w:rsidR="008620D8" w:rsidRPr="00C4202E" w:rsidSect="0036205D">
      <w:headerReference w:type="even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FC" w:rsidRDefault="004A7DFC">
      <w:pPr>
        <w:spacing w:line="240" w:lineRule="auto"/>
      </w:pPr>
      <w:r>
        <w:separator/>
      </w:r>
    </w:p>
  </w:endnote>
  <w:endnote w:type="continuationSeparator" w:id="0">
    <w:p w:rsidR="004A7DFC" w:rsidRDefault="004A7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FC" w:rsidRDefault="004A7DFC">
      <w:pPr>
        <w:spacing w:line="240" w:lineRule="auto"/>
      </w:pPr>
      <w:r>
        <w:separator/>
      </w:r>
    </w:p>
  </w:footnote>
  <w:footnote w:type="continuationSeparator" w:id="0">
    <w:p w:rsidR="004A7DFC" w:rsidRDefault="004A7D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84" w:rsidRDefault="0036205D">
    <w:pPr>
      <w:pStyle w:val="Header"/>
    </w:pPr>
    <w:r w:rsidRPr="0036205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7" o:sp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  <w:r w:rsidRPr="0036205D">
      <w:rPr>
        <w:noProof/>
        <w:lang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0;margin-top:0;width:462.75pt;height:173.5pt;rotation:-45;z-index:-25165721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655A9B" w:rsidRDefault="00C4451D" w:rsidP="00655A9B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color w:val="AEAAAA" w:themeColor="background2" w:themeShade="BF"/>
                    <w:sz w:val="2"/>
                    <w:szCs w:val="2"/>
                  </w:rPr>
                  <w:t>1st 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84" w:rsidRDefault="0036205D">
    <w:pPr>
      <w:pStyle w:val="Header"/>
    </w:pPr>
    <w:r w:rsidRPr="0036205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6" o:spid="_x0000_s2049" type="#_x0000_t136" style="position:absolute;margin-left:0;margin-top:0;width:363.6pt;height:272.7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61A"/>
    <w:multiLevelType w:val="hybridMultilevel"/>
    <w:tmpl w:val="65FCF9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0CB"/>
    <w:multiLevelType w:val="hybridMultilevel"/>
    <w:tmpl w:val="61F2D5BE"/>
    <w:lvl w:ilvl="0" w:tplc="7FA6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03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65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6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2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C3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E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6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82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D67705"/>
    <w:multiLevelType w:val="hybridMultilevel"/>
    <w:tmpl w:val="7A185FC4"/>
    <w:lvl w:ilvl="0" w:tplc="4F167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8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CC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86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D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24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6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8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C21062"/>
    <w:multiLevelType w:val="hybridMultilevel"/>
    <w:tmpl w:val="5F68A0E6"/>
    <w:lvl w:ilvl="0" w:tplc="07825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A8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0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21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8D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69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09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0B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5A6088"/>
    <w:multiLevelType w:val="hybridMultilevel"/>
    <w:tmpl w:val="144AB5DA"/>
    <w:lvl w:ilvl="0" w:tplc="E8A82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0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EC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84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E9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28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A2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E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D75"/>
    <w:multiLevelType w:val="hybridMultilevel"/>
    <w:tmpl w:val="8C44B1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D0BCB"/>
    <w:multiLevelType w:val="hybridMultilevel"/>
    <w:tmpl w:val="1D2C82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22EB"/>
    <w:multiLevelType w:val="hybridMultilevel"/>
    <w:tmpl w:val="B9661774"/>
    <w:lvl w:ilvl="0" w:tplc="3A6E0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A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A5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6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05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6F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C6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48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AC3055"/>
    <w:multiLevelType w:val="hybridMultilevel"/>
    <w:tmpl w:val="C9D8E6B8"/>
    <w:lvl w:ilvl="0" w:tplc="C3808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0A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4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2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8D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A4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07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A8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A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2F788A"/>
    <w:multiLevelType w:val="hybridMultilevel"/>
    <w:tmpl w:val="2D88070C"/>
    <w:lvl w:ilvl="0" w:tplc="974E0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8B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6E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1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CF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6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2A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68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4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B47056"/>
    <w:multiLevelType w:val="hybridMultilevel"/>
    <w:tmpl w:val="E68C3394"/>
    <w:lvl w:ilvl="0" w:tplc="1BD8B65C">
      <w:start w:val="1"/>
      <w:numFmt w:val="lowerLetter"/>
      <w:lvlText w:val="(%1)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80BB70">
      <w:start w:val="1"/>
      <w:numFmt w:val="lowerRoman"/>
      <w:lvlText w:val="(%2)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4169E">
      <w:start w:val="1"/>
      <w:numFmt w:val="lowerRoman"/>
      <w:lvlText w:val="%3"/>
      <w:lvlJc w:val="left"/>
      <w:pPr>
        <w:ind w:left="2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0AFFE">
      <w:start w:val="1"/>
      <w:numFmt w:val="decimal"/>
      <w:lvlText w:val="%4"/>
      <w:lvlJc w:val="left"/>
      <w:pPr>
        <w:ind w:left="3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0F434">
      <w:start w:val="1"/>
      <w:numFmt w:val="lowerLetter"/>
      <w:lvlText w:val="%5"/>
      <w:lvlJc w:val="left"/>
      <w:pPr>
        <w:ind w:left="3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58735A">
      <w:start w:val="1"/>
      <w:numFmt w:val="lowerRoman"/>
      <w:lvlText w:val="%6"/>
      <w:lvlJc w:val="left"/>
      <w:pPr>
        <w:ind w:left="4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C825E">
      <w:start w:val="1"/>
      <w:numFmt w:val="decimal"/>
      <w:lvlText w:val="%7"/>
      <w:lvlJc w:val="left"/>
      <w:pPr>
        <w:ind w:left="5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C833A">
      <w:start w:val="1"/>
      <w:numFmt w:val="lowerLetter"/>
      <w:lvlText w:val="%8"/>
      <w:lvlJc w:val="left"/>
      <w:pPr>
        <w:ind w:left="6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761194">
      <w:start w:val="1"/>
      <w:numFmt w:val="lowerRoman"/>
      <w:lvlText w:val="%9"/>
      <w:lvlJc w:val="left"/>
      <w:pPr>
        <w:ind w:left="6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451D"/>
    <w:rsid w:val="0003381A"/>
    <w:rsid w:val="00053CCB"/>
    <w:rsid w:val="000F5A8F"/>
    <w:rsid w:val="001738B4"/>
    <w:rsid w:val="001A54EF"/>
    <w:rsid w:val="001F7DC8"/>
    <w:rsid w:val="00273A98"/>
    <w:rsid w:val="00344BAC"/>
    <w:rsid w:val="0034738E"/>
    <w:rsid w:val="0036205D"/>
    <w:rsid w:val="004200F5"/>
    <w:rsid w:val="00442D56"/>
    <w:rsid w:val="00443AC7"/>
    <w:rsid w:val="00496F23"/>
    <w:rsid w:val="004A7DFC"/>
    <w:rsid w:val="004B6BA2"/>
    <w:rsid w:val="004C6947"/>
    <w:rsid w:val="004E645B"/>
    <w:rsid w:val="00523CA6"/>
    <w:rsid w:val="00580528"/>
    <w:rsid w:val="00592CD9"/>
    <w:rsid w:val="005F4079"/>
    <w:rsid w:val="006200EE"/>
    <w:rsid w:val="0064111F"/>
    <w:rsid w:val="007019C6"/>
    <w:rsid w:val="00703487"/>
    <w:rsid w:val="0071451A"/>
    <w:rsid w:val="00786D5D"/>
    <w:rsid w:val="007F3670"/>
    <w:rsid w:val="0082016A"/>
    <w:rsid w:val="008620D8"/>
    <w:rsid w:val="009E5B0F"/>
    <w:rsid w:val="00A25574"/>
    <w:rsid w:val="00A57771"/>
    <w:rsid w:val="00A676C4"/>
    <w:rsid w:val="00A83463"/>
    <w:rsid w:val="00AD2064"/>
    <w:rsid w:val="00B0557C"/>
    <w:rsid w:val="00B36599"/>
    <w:rsid w:val="00B550FD"/>
    <w:rsid w:val="00B81C6F"/>
    <w:rsid w:val="00C20FCB"/>
    <w:rsid w:val="00C4202E"/>
    <w:rsid w:val="00C4451D"/>
    <w:rsid w:val="00C7682F"/>
    <w:rsid w:val="00CD2EB0"/>
    <w:rsid w:val="00CE5908"/>
    <w:rsid w:val="00D2474B"/>
    <w:rsid w:val="00D2719A"/>
    <w:rsid w:val="00DC7176"/>
    <w:rsid w:val="00DF36F4"/>
    <w:rsid w:val="00E07219"/>
    <w:rsid w:val="00E62536"/>
    <w:rsid w:val="00E96A87"/>
    <w:rsid w:val="00EA58AD"/>
    <w:rsid w:val="00F14070"/>
    <w:rsid w:val="00F51369"/>
    <w:rsid w:val="00F5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1D"/>
  </w:style>
  <w:style w:type="paragraph" w:styleId="Heading2">
    <w:name w:val="heading 2"/>
    <w:next w:val="Normal"/>
    <w:link w:val="Heading2Char"/>
    <w:uiPriority w:val="9"/>
    <w:unhideWhenUsed/>
    <w:qFormat/>
    <w:rsid w:val="0064111F"/>
    <w:pPr>
      <w:keepNext/>
      <w:keepLines/>
      <w:spacing w:line="216" w:lineRule="auto"/>
      <w:ind w:left="14" w:right="7881" w:firstLine="14"/>
      <w:jc w:val="center"/>
      <w:outlineLvl w:val="1"/>
    </w:pPr>
    <w:rPr>
      <w:rFonts w:ascii="Calibri" w:eastAsia="Calibri" w:hAnsi="Calibri" w:cs="Calibri"/>
      <w:color w:val="000000"/>
      <w:sz w:val="3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5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1D"/>
  </w:style>
  <w:style w:type="paragraph" w:styleId="NormalWeb">
    <w:name w:val="Normal (Web)"/>
    <w:basedOn w:val="Normal"/>
    <w:uiPriority w:val="99"/>
    <w:semiHidden/>
    <w:unhideWhenUsed/>
    <w:rsid w:val="00C445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64111F"/>
    <w:rPr>
      <w:rFonts w:ascii="Calibri" w:eastAsia="Calibri" w:hAnsi="Calibri" w:cs="Calibri"/>
      <w:color w:val="000000"/>
      <w:sz w:val="30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E851-E744-4300-BF92-9687E1A9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Silkstone</dc:creator>
  <cp:lastModifiedBy>User</cp:lastModifiedBy>
  <cp:revision>2</cp:revision>
  <dcterms:created xsi:type="dcterms:W3CDTF">2022-03-23T16:32:00Z</dcterms:created>
  <dcterms:modified xsi:type="dcterms:W3CDTF">2022-03-23T16:32:00Z</dcterms:modified>
</cp:coreProperties>
</file>