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9C" w:rsidRPr="00CE2B73" w:rsidRDefault="00CE2B73" w:rsidP="00CE2B73">
      <w:pPr>
        <w:spacing w:after="0" w:line="240" w:lineRule="auto"/>
        <w:rPr>
          <w:rFonts w:ascii="Arial" w:eastAsia="Times New Roman" w:hAnsi="Arial" w:cs="Arial"/>
          <w:b/>
          <w:sz w:val="20"/>
          <w:szCs w:val="20"/>
        </w:rPr>
      </w:pPr>
      <w:r w:rsidRPr="00CE2B73">
        <w:rPr>
          <w:rFonts w:ascii="Arial" w:eastAsia="Times New Roman" w:hAnsi="Arial" w:cs="Arial"/>
          <w:b/>
          <w:sz w:val="20"/>
          <w:szCs w:val="20"/>
        </w:rPr>
        <w:t>Report of the Standing Committee on Appropriations on the Division of Revenue Bill [B6–2022] (National Assembly – Section 76), Dated 22 March 2022</w:t>
      </w:r>
    </w:p>
    <w:p w:rsidR="00DB279C" w:rsidRPr="00CE2B73" w:rsidRDefault="00DB279C" w:rsidP="00CE2B73">
      <w:pPr>
        <w:spacing w:after="0" w:line="240" w:lineRule="auto"/>
        <w:rPr>
          <w:rFonts w:ascii="Arial" w:eastAsia="Times New Roman" w:hAnsi="Arial" w:cs="Arial"/>
          <w:b/>
          <w:sz w:val="20"/>
          <w:szCs w:val="20"/>
          <w:highlight w:val="yellow"/>
        </w:rPr>
      </w:pPr>
    </w:p>
    <w:p w:rsidR="00DB279C" w:rsidRPr="00CE2B73" w:rsidRDefault="00DB279C" w:rsidP="00CE2B73">
      <w:pPr>
        <w:autoSpaceDE w:val="0"/>
        <w:autoSpaceDN w:val="0"/>
        <w:adjustRightInd w:val="0"/>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Standing Committee on </w:t>
      </w:r>
      <w:bookmarkStart w:id="0" w:name="_GoBack"/>
      <w:r w:rsidRPr="00CE2B73">
        <w:rPr>
          <w:rFonts w:ascii="Arial" w:eastAsia="Times New Roman" w:hAnsi="Arial" w:cs="Arial"/>
          <w:sz w:val="20"/>
          <w:szCs w:val="20"/>
        </w:rPr>
        <w:t xml:space="preserve">Appropriations </w:t>
      </w:r>
      <w:bookmarkEnd w:id="0"/>
      <w:r w:rsidRPr="00CE2B73">
        <w:rPr>
          <w:rFonts w:ascii="Arial" w:eastAsia="Times New Roman" w:hAnsi="Arial" w:cs="Arial"/>
          <w:sz w:val="20"/>
          <w:szCs w:val="20"/>
        </w:rPr>
        <w:t xml:space="preserve">(the Committee), having considered the </w:t>
      </w:r>
      <w:r w:rsidRPr="00CE2B73">
        <w:rPr>
          <w:rFonts w:ascii="Arial" w:eastAsia="Times New Roman" w:hAnsi="Arial" w:cs="Arial"/>
          <w:b/>
          <w:bCs/>
          <w:i/>
          <w:iCs/>
          <w:sz w:val="20"/>
          <w:szCs w:val="20"/>
        </w:rPr>
        <w:t>Division of Revenue Bill [</w:t>
      </w:r>
      <w:r w:rsidRPr="00CE2B73">
        <w:rPr>
          <w:rFonts w:ascii="Arial" w:eastAsia="Times New Roman" w:hAnsi="Arial" w:cs="Arial"/>
          <w:b/>
          <w:i/>
          <w:sz w:val="20"/>
          <w:szCs w:val="20"/>
        </w:rPr>
        <w:t xml:space="preserve">B6-2022] </w:t>
      </w:r>
      <w:r w:rsidRPr="00CE2B73">
        <w:rPr>
          <w:rFonts w:ascii="Arial" w:eastAsia="Times New Roman" w:hAnsi="Arial" w:cs="Arial"/>
          <w:sz w:val="20"/>
          <w:szCs w:val="20"/>
        </w:rPr>
        <w:t>(National Assembly), referred to it on 9 March 2022</w:t>
      </w:r>
      <w:r w:rsidRPr="00CE2B73">
        <w:rPr>
          <w:rFonts w:ascii="Arial" w:eastAsia="Times New Roman" w:hAnsi="Arial" w:cs="Arial"/>
          <w:color w:val="FF0000"/>
          <w:sz w:val="20"/>
          <w:szCs w:val="20"/>
        </w:rPr>
        <w:t xml:space="preserve"> </w:t>
      </w:r>
      <w:r w:rsidRPr="00CE2B73">
        <w:rPr>
          <w:rFonts w:ascii="Arial" w:eastAsia="Times New Roman" w:hAnsi="Arial" w:cs="Arial"/>
          <w:sz w:val="20"/>
          <w:szCs w:val="20"/>
        </w:rPr>
        <w:t>and tagged as a section 76 Bill, reports as follows:</w:t>
      </w:r>
    </w:p>
    <w:p w:rsidR="00DB279C" w:rsidRPr="00CE2B73" w:rsidRDefault="00DB279C" w:rsidP="00CE2B73">
      <w:pPr>
        <w:spacing w:after="0" w:line="240" w:lineRule="auto"/>
        <w:rPr>
          <w:rFonts w:ascii="Arial" w:eastAsia="Times New Roman" w:hAnsi="Arial" w:cs="Arial"/>
          <w:b/>
          <w:sz w:val="20"/>
          <w:szCs w:val="20"/>
          <w:highlight w:val="yellow"/>
        </w:rPr>
      </w:pPr>
    </w:p>
    <w:p w:rsidR="00DB279C" w:rsidRPr="00CE2B73" w:rsidRDefault="00DB279C" w:rsidP="00CE2B73">
      <w:pPr>
        <w:numPr>
          <w:ilvl w:val="0"/>
          <w:numId w:val="1"/>
        </w:numPr>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Introduction</w:t>
      </w:r>
    </w:p>
    <w:p w:rsidR="00DB279C" w:rsidRPr="00CE2B73" w:rsidRDefault="00DB279C" w:rsidP="00CE2B73">
      <w:pPr>
        <w:spacing w:after="0" w:line="240" w:lineRule="auto"/>
        <w:rPr>
          <w:rFonts w:ascii="Arial" w:eastAsia="Times New Roman" w:hAnsi="Arial" w:cs="Arial"/>
          <w:sz w:val="20"/>
          <w:szCs w:val="20"/>
          <w:highlight w:val="yellow"/>
        </w:rPr>
      </w:pPr>
    </w:p>
    <w:p w:rsidR="00DB279C" w:rsidRPr="00CE2B73" w:rsidRDefault="00DB279C"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Section 214(1) of the Constitution of 1996 (the Constitution) requires th</w:t>
      </w:r>
      <w:r w:rsidR="00591B2F" w:rsidRPr="00CE2B73">
        <w:rPr>
          <w:rFonts w:ascii="Arial" w:eastAsia="Times New Roman" w:hAnsi="Arial" w:cs="Arial"/>
          <w:sz w:val="20"/>
          <w:szCs w:val="20"/>
        </w:rPr>
        <w:t>at a Division of Revenue Act (Do</w:t>
      </w:r>
      <w:r w:rsidRPr="00CE2B73">
        <w:rPr>
          <w:rFonts w:ascii="Arial" w:eastAsia="Times New Roman" w:hAnsi="Arial" w:cs="Arial"/>
          <w:sz w:val="20"/>
          <w:szCs w:val="20"/>
        </w:rPr>
        <w:t>RA) determines the equitable division of nationally raised revenue among the three spheres of government (National, Provincial and Local). This is intended to foster transparency in the sharing of nationally raised revenue and ensure smooth intergovernmental relations. The Intergovernmental Fiscal Relations Act, No. 97 of 1997 prescribes the process for the determination of an equitable sharing and allocation of revenue raised nationally. Sections 9 and 10 (4) of this Act set out the consultation process to be followed with the Finan</w:t>
      </w:r>
      <w:r w:rsidR="00591B2F" w:rsidRPr="00CE2B73">
        <w:rPr>
          <w:rFonts w:ascii="Arial" w:eastAsia="Times New Roman" w:hAnsi="Arial" w:cs="Arial"/>
          <w:sz w:val="20"/>
          <w:szCs w:val="20"/>
        </w:rPr>
        <w:t>cial and Fiscal Commission</w:t>
      </w:r>
      <w:r w:rsidRPr="00CE2B73">
        <w:rPr>
          <w:rFonts w:ascii="Arial" w:eastAsia="Times New Roman" w:hAnsi="Arial" w:cs="Arial"/>
          <w:sz w:val="20"/>
          <w:szCs w:val="20"/>
        </w:rPr>
        <w:t>, including the process of considering recommendations made with regard to the equitable division of nationally raised revenue.</w:t>
      </w:r>
    </w:p>
    <w:p w:rsidR="00DB279C" w:rsidRPr="00CE2B73" w:rsidRDefault="00DB279C" w:rsidP="00CE2B73">
      <w:pPr>
        <w:spacing w:after="0" w:line="240" w:lineRule="auto"/>
        <w:rPr>
          <w:rFonts w:ascii="Arial" w:eastAsia="Times New Roman" w:hAnsi="Arial" w:cs="Arial"/>
          <w:sz w:val="20"/>
          <w:szCs w:val="20"/>
        </w:rPr>
      </w:pPr>
    </w:p>
    <w:p w:rsidR="00DB279C" w:rsidRPr="00CE2B73" w:rsidRDefault="006F566F"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In giving effect to s</w:t>
      </w:r>
      <w:r w:rsidR="00DB279C" w:rsidRPr="00CE2B73">
        <w:rPr>
          <w:rFonts w:ascii="Arial" w:eastAsia="Times New Roman" w:hAnsi="Arial" w:cs="Arial"/>
          <w:sz w:val="20"/>
          <w:szCs w:val="20"/>
        </w:rPr>
        <w:t xml:space="preserve">ection 73 of the Constitution, the Money Bills Amendment Procedure and Related Matters Act, No. 9 of 2009 (the Money Bills Act) as amended by the Money Bills Amendment </w:t>
      </w:r>
      <w:r w:rsidR="006007ED" w:rsidRPr="00CE2B73">
        <w:rPr>
          <w:rFonts w:ascii="Arial" w:eastAsia="Times New Roman" w:hAnsi="Arial" w:cs="Arial"/>
          <w:sz w:val="20"/>
          <w:szCs w:val="20"/>
        </w:rPr>
        <w:t xml:space="preserve">Procedure and </w:t>
      </w:r>
      <w:r w:rsidR="00DB279C" w:rsidRPr="00CE2B73">
        <w:rPr>
          <w:rFonts w:ascii="Arial" w:eastAsia="Times New Roman" w:hAnsi="Arial" w:cs="Arial"/>
          <w:sz w:val="20"/>
          <w:szCs w:val="20"/>
        </w:rPr>
        <w:t>Related Matters Amendment Act No.13 of 2018 was enacted. In line with Section 7(1 and</w:t>
      </w:r>
      <w:r w:rsidRPr="00CE2B73">
        <w:rPr>
          <w:rFonts w:ascii="Arial" w:eastAsia="Times New Roman" w:hAnsi="Arial" w:cs="Arial"/>
          <w:sz w:val="20"/>
          <w:szCs w:val="20"/>
        </w:rPr>
        <w:t xml:space="preserve"> 3) of the Money Bills Act and s</w:t>
      </w:r>
      <w:r w:rsidR="00DB279C" w:rsidRPr="00CE2B73">
        <w:rPr>
          <w:rFonts w:ascii="Arial" w:eastAsia="Times New Roman" w:hAnsi="Arial" w:cs="Arial"/>
          <w:sz w:val="20"/>
          <w:szCs w:val="20"/>
        </w:rPr>
        <w:t>ection 27 of the Public Finan</w:t>
      </w:r>
      <w:r w:rsidRPr="00CE2B73">
        <w:rPr>
          <w:rFonts w:ascii="Arial" w:eastAsia="Times New Roman" w:hAnsi="Arial" w:cs="Arial"/>
          <w:sz w:val="20"/>
          <w:szCs w:val="20"/>
        </w:rPr>
        <w:t>ce Management Act No. 1 of 1999</w:t>
      </w:r>
      <w:r w:rsidR="00591B2F" w:rsidRPr="00CE2B73">
        <w:rPr>
          <w:rFonts w:ascii="Arial" w:eastAsia="Times New Roman" w:hAnsi="Arial" w:cs="Arial"/>
          <w:sz w:val="20"/>
          <w:szCs w:val="20"/>
        </w:rPr>
        <w:t xml:space="preserve"> (PFMA)</w:t>
      </w:r>
      <w:r w:rsidRPr="00CE2B73">
        <w:rPr>
          <w:rFonts w:ascii="Arial" w:eastAsia="Times New Roman" w:hAnsi="Arial" w:cs="Arial"/>
          <w:sz w:val="20"/>
          <w:szCs w:val="20"/>
        </w:rPr>
        <w:t>,</w:t>
      </w:r>
      <w:r w:rsidR="00DB279C" w:rsidRPr="00CE2B73">
        <w:rPr>
          <w:rFonts w:ascii="Arial" w:eastAsia="Times New Roman" w:hAnsi="Arial" w:cs="Arial"/>
          <w:sz w:val="20"/>
          <w:szCs w:val="20"/>
        </w:rPr>
        <w:t xml:space="preserve"> the Min</w:t>
      </w:r>
      <w:r w:rsidR="003C47F2" w:rsidRPr="00CE2B73">
        <w:rPr>
          <w:rFonts w:ascii="Arial" w:eastAsia="Times New Roman" w:hAnsi="Arial" w:cs="Arial"/>
          <w:sz w:val="20"/>
          <w:szCs w:val="20"/>
        </w:rPr>
        <w:t>ister of Finance tabled the 2022</w:t>
      </w:r>
      <w:r w:rsidR="00DB279C" w:rsidRPr="00CE2B73">
        <w:rPr>
          <w:rFonts w:ascii="Arial" w:eastAsia="Times New Roman" w:hAnsi="Arial" w:cs="Arial"/>
          <w:sz w:val="20"/>
          <w:szCs w:val="20"/>
        </w:rPr>
        <w:t xml:space="preserve"> Na</w:t>
      </w:r>
      <w:r w:rsidR="003C47F2" w:rsidRPr="00CE2B73">
        <w:rPr>
          <w:rFonts w:ascii="Arial" w:eastAsia="Times New Roman" w:hAnsi="Arial" w:cs="Arial"/>
          <w:sz w:val="20"/>
          <w:szCs w:val="20"/>
        </w:rPr>
        <w:t>tional Budget including the 2022</w:t>
      </w:r>
      <w:r w:rsidR="00DB279C" w:rsidRPr="00CE2B73">
        <w:rPr>
          <w:rFonts w:ascii="Arial" w:eastAsia="Times New Roman" w:hAnsi="Arial" w:cs="Arial"/>
          <w:sz w:val="20"/>
          <w:szCs w:val="20"/>
        </w:rPr>
        <w:t xml:space="preserve"> Division of the Revenue Bill (the Bill) on 23 February 2022. The Bill was then referred to the Committee on 9 March 2022 in line with Section 9 (1) of the Money Bills Act. </w:t>
      </w:r>
    </w:p>
    <w:p w:rsidR="00DB279C" w:rsidRPr="00CE2B73" w:rsidRDefault="00DB279C" w:rsidP="00CE2B73">
      <w:pPr>
        <w:spacing w:after="0" w:line="240" w:lineRule="auto"/>
        <w:rPr>
          <w:rFonts w:ascii="Arial" w:eastAsia="Times New Roman" w:hAnsi="Arial" w:cs="Arial"/>
          <w:sz w:val="20"/>
          <w:szCs w:val="20"/>
        </w:rPr>
      </w:pPr>
    </w:p>
    <w:p w:rsidR="00DB279C" w:rsidRPr="00CE2B73" w:rsidRDefault="00DB279C" w:rsidP="00CE2B73">
      <w:pPr>
        <w:shd w:val="clear" w:color="auto" w:fill="FFFFFF"/>
        <w:spacing w:after="0" w:line="240" w:lineRule="auto"/>
        <w:contextualSpacing/>
        <w:rPr>
          <w:rFonts w:ascii="Arial" w:eastAsia="Times New Roman" w:hAnsi="Arial" w:cs="Arial"/>
          <w:sz w:val="20"/>
          <w:szCs w:val="20"/>
          <w:lang w:eastAsia="en-ZA"/>
        </w:rPr>
      </w:pPr>
      <w:r w:rsidRPr="00CE2B73">
        <w:rPr>
          <w:rFonts w:ascii="Arial" w:eastAsia="Times New Roman" w:hAnsi="Arial" w:cs="Arial"/>
          <w:sz w:val="20"/>
          <w:szCs w:val="20"/>
        </w:rPr>
        <w:t>Subsequent to the Bill being referred to the Committee, the Committee received a briefing from National Treasury and the Parliamentary Budget Office. The Committee also had engagements with the Financial and Fiscal Commission as required by Section 9 (7) (a) of the Money Bills Act. Furthermore, a briefing was received from the South African Local Government Association as required by Section 214 (2) of the Constitution of the Republic. I</w:t>
      </w:r>
      <w:r w:rsidRPr="00CE2B73">
        <w:rPr>
          <w:rFonts w:ascii="Arial" w:eastAsia="Times New Roman" w:hAnsi="Arial" w:cs="Arial"/>
          <w:sz w:val="20"/>
          <w:szCs w:val="20"/>
          <w:lang w:eastAsia="en-ZA"/>
        </w:rPr>
        <w:t xml:space="preserve">n line with section 9 (5) (b) of the Money Bills Act, the Committee is required to hold public hearings on the Division of Revenue Bill. To this end, adverts calling for public submissions on the Bill were published in regional radio stations as well as in both national and local print media from 25 February to 4 March 2022. Public hearings </w:t>
      </w:r>
      <w:r w:rsidR="002D3F59" w:rsidRPr="00CE2B73">
        <w:rPr>
          <w:rFonts w:ascii="Arial" w:eastAsia="Times New Roman" w:hAnsi="Arial" w:cs="Arial"/>
          <w:sz w:val="20"/>
          <w:szCs w:val="20"/>
          <w:lang w:eastAsia="en-ZA"/>
        </w:rPr>
        <w:t xml:space="preserve">on the Bill </w:t>
      </w:r>
      <w:r w:rsidRPr="00CE2B73">
        <w:rPr>
          <w:rFonts w:ascii="Arial" w:eastAsia="Times New Roman" w:hAnsi="Arial" w:cs="Arial"/>
          <w:sz w:val="20"/>
          <w:szCs w:val="20"/>
          <w:lang w:eastAsia="en-ZA"/>
        </w:rPr>
        <w:t xml:space="preserve">were held on 16 March 2022 with the </w:t>
      </w:r>
      <w:r w:rsidR="006F566F" w:rsidRPr="00CE2B73">
        <w:rPr>
          <w:rFonts w:ascii="Arial" w:eastAsia="Times New Roman" w:hAnsi="Arial" w:cs="Arial"/>
          <w:sz w:val="20"/>
          <w:szCs w:val="20"/>
          <w:lang w:eastAsia="en-ZA"/>
        </w:rPr>
        <w:t xml:space="preserve">following parties who had made </w:t>
      </w:r>
      <w:r w:rsidRPr="00CE2B73">
        <w:rPr>
          <w:rFonts w:ascii="Arial" w:eastAsia="Times New Roman" w:hAnsi="Arial" w:cs="Arial"/>
          <w:sz w:val="20"/>
          <w:szCs w:val="20"/>
          <w:lang w:eastAsia="en-ZA"/>
        </w:rPr>
        <w:t>submissions:</w:t>
      </w:r>
    </w:p>
    <w:p w:rsidR="00DB279C" w:rsidRPr="00CE2B73" w:rsidRDefault="00DB279C" w:rsidP="00CE2B73">
      <w:pPr>
        <w:shd w:val="clear" w:color="auto" w:fill="FFFFFF"/>
        <w:spacing w:after="0" w:line="240" w:lineRule="auto"/>
        <w:contextualSpacing/>
        <w:rPr>
          <w:rFonts w:ascii="Arial" w:eastAsia="Times New Roman" w:hAnsi="Arial" w:cs="Arial"/>
          <w:sz w:val="20"/>
          <w:szCs w:val="20"/>
          <w:lang w:eastAsia="en-ZA"/>
        </w:rPr>
      </w:pPr>
    </w:p>
    <w:p w:rsidR="00DB279C" w:rsidRPr="00CE2B73" w:rsidRDefault="00DB279C" w:rsidP="00CE2B73">
      <w:pPr>
        <w:numPr>
          <w:ilvl w:val="0"/>
          <w:numId w:val="4"/>
        </w:numPr>
        <w:autoSpaceDE w:val="0"/>
        <w:autoSpaceDN w:val="0"/>
        <w:adjustRightInd w:val="0"/>
        <w:spacing w:after="0" w:line="240" w:lineRule="auto"/>
        <w:ind w:firstLine="66"/>
        <w:contextualSpacing/>
        <w:rPr>
          <w:rFonts w:ascii="Arial" w:eastAsia="Times New Roman" w:hAnsi="Arial" w:cs="Arial"/>
          <w:sz w:val="20"/>
          <w:szCs w:val="20"/>
        </w:rPr>
      </w:pPr>
      <w:r w:rsidRPr="00CE2B73">
        <w:rPr>
          <w:rFonts w:ascii="Arial" w:eastAsia="Times New Roman" w:hAnsi="Arial" w:cs="Arial"/>
          <w:sz w:val="20"/>
          <w:szCs w:val="20"/>
        </w:rPr>
        <w:t>Women on Farms Project; and</w:t>
      </w:r>
    </w:p>
    <w:p w:rsidR="00DB279C" w:rsidRPr="00CE2B73" w:rsidRDefault="00DB279C" w:rsidP="00CE2B73">
      <w:pPr>
        <w:numPr>
          <w:ilvl w:val="0"/>
          <w:numId w:val="4"/>
        </w:numPr>
        <w:autoSpaceDE w:val="0"/>
        <w:autoSpaceDN w:val="0"/>
        <w:adjustRightInd w:val="0"/>
        <w:spacing w:after="0" w:line="240" w:lineRule="auto"/>
        <w:ind w:firstLine="66"/>
        <w:contextualSpacing/>
        <w:rPr>
          <w:rFonts w:ascii="Arial" w:eastAsia="Times New Roman" w:hAnsi="Arial" w:cs="Arial"/>
          <w:sz w:val="20"/>
          <w:szCs w:val="20"/>
        </w:rPr>
      </w:pPr>
      <w:r w:rsidRPr="00CE2B73">
        <w:rPr>
          <w:rFonts w:ascii="Arial" w:eastAsia="Times New Roman" w:hAnsi="Arial" w:cs="Arial"/>
          <w:sz w:val="20"/>
          <w:szCs w:val="20"/>
        </w:rPr>
        <w:t>Amandla.mobi.</w:t>
      </w:r>
    </w:p>
    <w:p w:rsidR="00DB279C" w:rsidRPr="00CE2B73" w:rsidRDefault="00DB279C" w:rsidP="00CE2B73">
      <w:pPr>
        <w:autoSpaceDE w:val="0"/>
        <w:autoSpaceDN w:val="0"/>
        <w:adjustRightInd w:val="0"/>
        <w:spacing w:after="0" w:line="240" w:lineRule="auto"/>
        <w:contextualSpacing/>
        <w:rPr>
          <w:rFonts w:ascii="Arial" w:eastAsia="Times New Roman" w:hAnsi="Arial" w:cs="Arial"/>
          <w:sz w:val="20"/>
          <w:szCs w:val="20"/>
        </w:rPr>
      </w:pPr>
    </w:p>
    <w:p w:rsidR="00DB279C" w:rsidRPr="00CE2B73" w:rsidRDefault="00DB279C" w:rsidP="00CE2B73">
      <w:pPr>
        <w:numPr>
          <w:ilvl w:val="0"/>
          <w:numId w:val="1"/>
        </w:numPr>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Division of Revenue Bill 2022</w:t>
      </w:r>
    </w:p>
    <w:p w:rsidR="00DB279C" w:rsidRPr="00CE2B73" w:rsidRDefault="00DB279C" w:rsidP="00CE2B73">
      <w:pPr>
        <w:spacing w:after="0" w:line="240" w:lineRule="auto"/>
        <w:rPr>
          <w:rFonts w:ascii="Arial" w:hAnsi="Arial" w:cs="Arial"/>
          <w:color w:val="000000" w:themeColor="text1"/>
          <w:sz w:val="20"/>
          <w:szCs w:val="20"/>
        </w:rPr>
      </w:pPr>
    </w:p>
    <w:p w:rsidR="00837BD2" w:rsidRPr="00CE2B73" w:rsidRDefault="00837BD2" w:rsidP="00CE2B73">
      <w:pPr>
        <w:spacing w:after="0" w:line="240" w:lineRule="auto"/>
        <w:rPr>
          <w:rFonts w:ascii="Arial" w:hAnsi="Arial" w:cs="Arial"/>
          <w:color w:val="000000" w:themeColor="text1"/>
          <w:sz w:val="20"/>
          <w:szCs w:val="20"/>
        </w:rPr>
      </w:pPr>
      <w:r w:rsidRPr="00CE2B73">
        <w:rPr>
          <w:rFonts w:ascii="Arial" w:hAnsi="Arial" w:cs="Arial"/>
          <w:color w:val="000000" w:themeColor="text1"/>
          <w:sz w:val="20"/>
          <w:szCs w:val="20"/>
        </w:rPr>
        <w:t>The mediu</w:t>
      </w:r>
      <w:r w:rsidR="002D3F59" w:rsidRPr="00CE2B73">
        <w:rPr>
          <w:rFonts w:ascii="Arial" w:hAnsi="Arial" w:cs="Arial"/>
          <w:color w:val="000000" w:themeColor="text1"/>
          <w:sz w:val="20"/>
          <w:szCs w:val="20"/>
        </w:rPr>
        <w:t>m term fiscal policy focuses</w:t>
      </w:r>
      <w:r w:rsidRPr="00CE2B73">
        <w:rPr>
          <w:rFonts w:ascii="Arial" w:hAnsi="Arial" w:cs="Arial"/>
          <w:color w:val="000000" w:themeColor="text1"/>
          <w:sz w:val="20"/>
          <w:szCs w:val="20"/>
        </w:rPr>
        <w:t xml:space="preserve"> on reducing the budget deficit and stabilising the debt-to-GDP ratio. Over the medium </w:t>
      </w:r>
      <w:r w:rsidR="0047762E" w:rsidRPr="00CE2B73">
        <w:rPr>
          <w:rFonts w:ascii="Arial" w:hAnsi="Arial" w:cs="Arial"/>
          <w:color w:val="000000" w:themeColor="text1"/>
          <w:sz w:val="20"/>
          <w:szCs w:val="20"/>
        </w:rPr>
        <w:t>term,</w:t>
      </w:r>
      <w:r w:rsidRPr="00CE2B73">
        <w:rPr>
          <w:rFonts w:ascii="Arial" w:hAnsi="Arial" w:cs="Arial"/>
          <w:color w:val="000000" w:themeColor="text1"/>
          <w:sz w:val="20"/>
          <w:szCs w:val="20"/>
        </w:rPr>
        <w:t xml:space="preserve"> government commits to restoring fiscal sustainability through continued restraint in expenditure growth and other reform</w:t>
      </w:r>
      <w:r w:rsidR="0047762E" w:rsidRPr="00CE2B73">
        <w:rPr>
          <w:rFonts w:ascii="Arial" w:hAnsi="Arial" w:cs="Arial"/>
          <w:color w:val="000000" w:themeColor="text1"/>
          <w:sz w:val="20"/>
          <w:szCs w:val="20"/>
        </w:rPr>
        <w:t>s</w:t>
      </w:r>
      <w:r w:rsidRPr="00CE2B73">
        <w:rPr>
          <w:rFonts w:ascii="Arial" w:hAnsi="Arial" w:cs="Arial"/>
          <w:color w:val="000000" w:themeColor="text1"/>
          <w:sz w:val="20"/>
          <w:szCs w:val="20"/>
        </w:rPr>
        <w:t xml:space="preserve"> to raise economic growth. The 2022 budget proposes: </w:t>
      </w:r>
    </w:p>
    <w:p w:rsidR="00837BD2" w:rsidRPr="00CE2B73" w:rsidRDefault="00837BD2" w:rsidP="00CE2B73">
      <w:pPr>
        <w:numPr>
          <w:ilvl w:val="0"/>
          <w:numId w:val="5"/>
        </w:numPr>
        <w:spacing w:after="0" w:line="240" w:lineRule="auto"/>
        <w:contextualSpacing/>
        <w:rPr>
          <w:rFonts w:ascii="Arial" w:hAnsi="Arial" w:cs="Arial"/>
          <w:color w:val="000000" w:themeColor="text1"/>
          <w:sz w:val="20"/>
          <w:szCs w:val="20"/>
        </w:rPr>
      </w:pPr>
      <w:r w:rsidRPr="00CE2B73">
        <w:rPr>
          <w:rFonts w:ascii="Arial" w:hAnsi="Arial" w:cs="Arial"/>
          <w:color w:val="000000" w:themeColor="text1"/>
          <w:sz w:val="20"/>
          <w:szCs w:val="20"/>
        </w:rPr>
        <w:t xml:space="preserve">Additional allocation to address immediate spending pressures, including extending the special Covid-19 social relief of distress grant for 12 months until March 2023, and bolstering provincial transfers for health and education. </w:t>
      </w:r>
    </w:p>
    <w:p w:rsidR="00837BD2" w:rsidRPr="00CE2B73" w:rsidRDefault="00837BD2" w:rsidP="00CE2B73">
      <w:pPr>
        <w:numPr>
          <w:ilvl w:val="0"/>
          <w:numId w:val="5"/>
        </w:numPr>
        <w:spacing w:after="0" w:line="240" w:lineRule="auto"/>
        <w:contextualSpacing/>
        <w:rPr>
          <w:rFonts w:ascii="Arial" w:hAnsi="Arial" w:cs="Arial"/>
          <w:color w:val="000000" w:themeColor="text1"/>
          <w:sz w:val="20"/>
          <w:szCs w:val="20"/>
        </w:rPr>
      </w:pPr>
      <w:r w:rsidRPr="00CE2B73">
        <w:rPr>
          <w:rFonts w:ascii="Arial" w:hAnsi="Arial" w:cs="Arial"/>
          <w:color w:val="000000" w:themeColor="text1"/>
          <w:sz w:val="20"/>
          <w:szCs w:val="20"/>
        </w:rPr>
        <w:t xml:space="preserve">Setting aside a portion of higher than expected revenue to narrow the budget deficit. This in turn mitigates the impact of higher interest rates on debt-service costs and improves the </w:t>
      </w:r>
      <w:r w:rsidR="00704B5A" w:rsidRPr="00CE2B73">
        <w:rPr>
          <w:rFonts w:ascii="Arial" w:hAnsi="Arial" w:cs="Arial"/>
          <w:color w:val="000000" w:themeColor="text1"/>
          <w:sz w:val="20"/>
          <w:szCs w:val="20"/>
        </w:rPr>
        <w:t>long-term</w:t>
      </w:r>
      <w:r w:rsidRPr="00CE2B73">
        <w:rPr>
          <w:rFonts w:ascii="Arial" w:hAnsi="Arial" w:cs="Arial"/>
          <w:color w:val="000000" w:themeColor="text1"/>
          <w:sz w:val="20"/>
          <w:szCs w:val="20"/>
        </w:rPr>
        <w:t xml:space="preserve"> debt outlook. </w:t>
      </w:r>
    </w:p>
    <w:p w:rsidR="00837BD2" w:rsidRPr="00CE2B73" w:rsidRDefault="00837BD2" w:rsidP="00CE2B73">
      <w:pPr>
        <w:numPr>
          <w:ilvl w:val="0"/>
          <w:numId w:val="5"/>
        </w:numPr>
        <w:spacing w:after="0" w:line="240" w:lineRule="auto"/>
        <w:contextualSpacing/>
        <w:rPr>
          <w:rFonts w:ascii="Arial" w:hAnsi="Arial" w:cs="Arial"/>
          <w:color w:val="000000" w:themeColor="text1"/>
          <w:sz w:val="20"/>
          <w:szCs w:val="20"/>
        </w:rPr>
      </w:pPr>
      <w:r w:rsidRPr="00CE2B73">
        <w:rPr>
          <w:rFonts w:ascii="Arial" w:hAnsi="Arial" w:cs="Arial"/>
          <w:color w:val="000000" w:themeColor="text1"/>
          <w:sz w:val="20"/>
          <w:szCs w:val="20"/>
        </w:rPr>
        <w:t xml:space="preserve">Supporting growth through a range of reforms, including the infrastructure-build programme financed through innovative funding mechanisms and supported by improved technical capacities.  </w:t>
      </w:r>
    </w:p>
    <w:p w:rsidR="00837BD2" w:rsidRPr="00CE2B73" w:rsidRDefault="00837BD2" w:rsidP="00CE2B73">
      <w:pPr>
        <w:spacing w:after="0" w:line="240" w:lineRule="auto"/>
        <w:rPr>
          <w:rFonts w:ascii="Arial" w:hAnsi="Arial" w:cs="Arial"/>
          <w:sz w:val="20"/>
          <w:szCs w:val="20"/>
        </w:rPr>
      </w:pPr>
    </w:p>
    <w:p w:rsidR="00837BD2" w:rsidRPr="00CE2B73" w:rsidRDefault="00837BD2" w:rsidP="00CE2B73">
      <w:pPr>
        <w:spacing w:after="0" w:line="240" w:lineRule="auto"/>
        <w:rPr>
          <w:rFonts w:ascii="Arial" w:hAnsi="Arial" w:cs="Arial"/>
          <w:sz w:val="20"/>
          <w:szCs w:val="20"/>
        </w:rPr>
      </w:pPr>
      <w:r w:rsidRPr="00CE2B73">
        <w:rPr>
          <w:rFonts w:ascii="Arial" w:hAnsi="Arial" w:cs="Arial"/>
          <w:sz w:val="20"/>
          <w:szCs w:val="20"/>
        </w:rPr>
        <w:t xml:space="preserve">The 2022 budget continues to consolidate public finances while providing immediate support for the response to the Covid-19 pandemic, job creation and social protection, as set out in </w:t>
      </w:r>
      <w:r w:rsidRPr="00CE2B73">
        <w:rPr>
          <w:rFonts w:ascii="Arial" w:hAnsi="Arial" w:cs="Arial"/>
          <w:sz w:val="20"/>
          <w:szCs w:val="20"/>
        </w:rPr>
        <w:lastRenderedPageBreak/>
        <w:t>the 2021 Medium Term Budget Policy Statement (MTBPS). Table 1 below indicates overall share of nationally raised revenue between national, provincial and local sph</w:t>
      </w:r>
      <w:r w:rsidR="00277F09" w:rsidRPr="00CE2B73">
        <w:rPr>
          <w:rFonts w:ascii="Arial" w:hAnsi="Arial" w:cs="Arial"/>
          <w:sz w:val="20"/>
          <w:szCs w:val="20"/>
        </w:rPr>
        <w:t xml:space="preserve">eres of government for 2022/23, 2023/24 and </w:t>
      </w:r>
      <w:r w:rsidRPr="00CE2B73">
        <w:rPr>
          <w:rFonts w:ascii="Arial" w:hAnsi="Arial" w:cs="Arial"/>
          <w:sz w:val="20"/>
          <w:szCs w:val="20"/>
        </w:rPr>
        <w:t xml:space="preserve">2024/25 financial years respectively. </w:t>
      </w:r>
    </w:p>
    <w:p w:rsidR="00837BD2" w:rsidRPr="00CE2B73" w:rsidRDefault="00837BD2" w:rsidP="00CE2B73">
      <w:pPr>
        <w:spacing w:after="0" w:line="240" w:lineRule="auto"/>
        <w:rPr>
          <w:rFonts w:ascii="Arial" w:hAnsi="Arial" w:cs="Arial"/>
          <w:color w:val="000000" w:themeColor="text1"/>
          <w:sz w:val="20"/>
          <w:szCs w:val="20"/>
        </w:rPr>
      </w:pPr>
    </w:p>
    <w:p w:rsidR="00837BD2" w:rsidRPr="00CE2B73" w:rsidRDefault="00837BD2" w:rsidP="00CE2B73">
      <w:pPr>
        <w:spacing w:after="0" w:line="240" w:lineRule="auto"/>
        <w:rPr>
          <w:rFonts w:ascii="Arial" w:hAnsi="Arial" w:cs="Arial"/>
          <w:color w:val="000000" w:themeColor="text1"/>
          <w:sz w:val="20"/>
          <w:szCs w:val="20"/>
        </w:rPr>
      </w:pPr>
    </w:p>
    <w:p w:rsidR="00837BD2" w:rsidRPr="00CE2B73" w:rsidRDefault="00837BD2" w:rsidP="00CE2B73">
      <w:pPr>
        <w:spacing w:after="0" w:line="240" w:lineRule="auto"/>
        <w:rPr>
          <w:rFonts w:ascii="Arial" w:hAnsi="Arial" w:cs="Arial"/>
          <w:color w:val="000000" w:themeColor="text1"/>
          <w:sz w:val="20"/>
          <w:szCs w:val="20"/>
        </w:rPr>
      </w:pPr>
    </w:p>
    <w:p w:rsidR="00837BD2" w:rsidRPr="00CE2B73" w:rsidRDefault="00837BD2" w:rsidP="00CE2B73">
      <w:pPr>
        <w:spacing w:after="0" w:line="240" w:lineRule="auto"/>
        <w:rPr>
          <w:rFonts w:ascii="Arial" w:hAnsi="Arial" w:cs="Arial"/>
          <w:b/>
          <w:color w:val="000000" w:themeColor="text1"/>
          <w:sz w:val="20"/>
          <w:szCs w:val="20"/>
        </w:rPr>
      </w:pPr>
      <w:r w:rsidRPr="00CE2B73">
        <w:rPr>
          <w:rFonts w:ascii="Arial" w:hAnsi="Arial" w:cs="Arial"/>
          <w:b/>
          <w:color w:val="000000" w:themeColor="text1"/>
          <w:sz w:val="20"/>
          <w:szCs w:val="20"/>
        </w:rPr>
        <w:t xml:space="preserve">Table 1: </w:t>
      </w:r>
      <w:r w:rsidRPr="00CE2B73">
        <w:rPr>
          <w:rFonts w:ascii="Arial" w:hAnsi="Arial" w:cs="Arial"/>
          <w:sz w:val="20"/>
          <w:szCs w:val="20"/>
        </w:rPr>
        <w:t>Equitable Division of Revenue Raised Nationally</w:t>
      </w:r>
    </w:p>
    <w:tbl>
      <w:tblPr>
        <w:tblW w:w="8370" w:type="dxa"/>
        <w:tblInd w:w="-5" w:type="dxa"/>
        <w:tblLook w:val="04A0"/>
      </w:tblPr>
      <w:tblGrid>
        <w:gridCol w:w="2700"/>
        <w:gridCol w:w="2160"/>
        <w:gridCol w:w="1710"/>
        <w:gridCol w:w="1800"/>
      </w:tblGrid>
      <w:tr w:rsidR="00837BD2" w:rsidRPr="00CE2B73" w:rsidTr="00944753">
        <w:trPr>
          <w:trHeight w:val="374"/>
        </w:trPr>
        <w:tc>
          <w:tcPr>
            <w:tcW w:w="2700" w:type="dxa"/>
            <w:vMerge w:val="restart"/>
            <w:tcBorders>
              <w:top w:val="single" w:sz="4" w:space="0" w:color="auto"/>
              <w:left w:val="single" w:sz="4" w:space="0" w:color="auto"/>
              <w:right w:val="single" w:sz="12" w:space="0" w:color="auto"/>
            </w:tcBorders>
            <w:shd w:val="clear" w:color="auto" w:fill="auto"/>
            <w:noWrap/>
            <w:vAlign w:val="center"/>
            <w:hideMark/>
          </w:tcPr>
          <w:p w:rsidR="00837BD2" w:rsidRPr="00CE2B73" w:rsidRDefault="00837BD2" w:rsidP="00CE2B73">
            <w:pPr>
              <w:spacing w:after="0" w:line="240" w:lineRule="auto"/>
              <w:rPr>
                <w:rFonts w:ascii="Arial" w:eastAsia="Times New Roman" w:hAnsi="Arial" w:cs="Arial"/>
                <w:b/>
                <w:bCs/>
                <w:sz w:val="20"/>
                <w:szCs w:val="20"/>
              </w:rPr>
            </w:pPr>
            <w:r w:rsidRPr="00CE2B73">
              <w:rPr>
                <w:rFonts w:ascii="Arial" w:eastAsia="Times New Roman" w:hAnsi="Arial" w:cs="Arial"/>
                <w:b/>
                <w:bCs/>
                <w:sz w:val="20"/>
                <w:szCs w:val="20"/>
              </w:rPr>
              <w:t>Spheres of Government</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CE2B73" w:rsidRDefault="00837BD2" w:rsidP="00CE2B73">
            <w:pPr>
              <w:spacing w:after="0" w:line="240" w:lineRule="auto"/>
              <w:rPr>
                <w:rFonts w:ascii="Arial" w:eastAsia="Times New Roman" w:hAnsi="Arial" w:cs="Arial"/>
                <w:b/>
                <w:bCs/>
                <w:sz w:val="20"/>
                <w:szCs w:val="20"/>
              </w:rPr>
            </w:pPr>
            <w:r w:rsidRPr="00CE2B73">
              <w:rPr>
                <w:rFonts w:ascii="Arial" w:eastAsia="Times New Roman" w:hAnsi="Arial" w:cs="Arial"/>
                <w:b/>
                <w:bCs/>
                <w:sz w:val="20"/>
                <w:szCs w:val="20"/>
              </w:rPr>
              <w:t>Column A</w:t>
            </w:r>
          </w:p>
        </w:tc>
        <w:tc>
          <w:tcPr>
            <w:tcW w:w="351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CE2B73" w:rsidRDefault="00837BD2" w:rsidP="00CE2B73">
            <w:pPr>
              <w:spacing w:after="0" w:line="240" w:lineRule="auto"/>
              <w:rPr>
                <w:rFonts w:ascii="Arial" w:eastAsia="Times New Roman" w:hAnsi="Arial" w:cs="Arial"/>
                <w:b/>
                <w:bCs/>
                <w:sz w:val="20"/>
                <w:szCs w:val="20"/>
              </w:rPr>
            </w:pPr>
            <w:r w:rsidRPr="00CE2B73">
              <w:rPr>
                <w:rFonts w:ascii="Arial" w:eastAsia="Times New Roman" w:hAnsi="Arial" w:cs="Arial"/>
                <w:b/>
                <w:bCs/>
                <w:sz w:val="20"/>
                <w:szCs w:val="20"/>
              </w:rPr>
              <w:t>Column B</w:t>
            </w:r>
          </w:p>
        </w:tc>
      </w:tr>
      <w:tr w:rsidR="00837BD2" w:rsidRPr="00CE2B73" w:rsidTr="00944753">
        <w:trPr>
          <w:trHeight w:val="374"/>
        </w:trPr>
        <w:tc>
          <w:tcPr>
            <w:tcW w:w="2700" w:type="dxa"/>
            <w:vMerge/>
            <w:tcBorders>
              <w:left w:val="single" w:sz="4" w:space="0" w:color="auto"/>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sz w:val="20"/>
                <w:szCs w:val="20"/>
              </w:rPr>
            </w:pPr>
          </w:p>
        </w:tc>
        <w:tc>
          <w:tcPr>
            <w:tcW w:w="2160" w:type="dxa"/>
            <w:vMerge w:val="restart"/>
            <w:tcBorders>
              <w:top w:val="single" w:sz="12" w:space="0" w:color="auto"/>
              <w:left w:val="single" w:sz="12" w:space="0" w:color="auto"/>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b/>
                <w:bCs/>
                <w:sz w:val="20"/>
                <w:szCs w:val="20"/>
              </w:rPr>
            </w:pP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b/>
                <w:bCs/>
                <w:sz w:val="20"/>
                <w:szCs w:val="20"/>
              </w:rPr>
              <w:t xml:space="preserve">2022/23 </w:t>
            </w:r>
          </w:p>
        </w:tc>
        <w:tc>
          <w:tcPr>
            <w:tcW w:w="3510" w:type="dxa"/>
            <w:gridSpan w:val="2"/>
            <w:tcBorders>
              <w:top w:val="single" w:sz="12" w:space="0" w:color="auto"/>
              <w:left w:val="single" w:sz="12" w:space="0" w:color="auto"/>
              <w:bottom w:val="single" w:sz="12" w:space="0" w:color="auto"/>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b/>
                <w:sz w:val="20"/>
                <w:szCs w:val="20"/>
              </w:rPr>
            </w:pPr>
            <w:r w:rsidRPr="00CE2B73">
              <w:rPr>
                <w:rFonts w:ascii="Arial" w:eastAsia="Times New Roman" w:hAnsi="Arial" w:cs="Arial"/>
                <w:b/>
                <w:sz w:val="20"/>
                <w:szCs w:val="20"/>
              </w:rPr>
              <w:t>Forward Estimates</w:t>
            </w:r>
          </w:p>
        </w:tc>
      </w:tr>
      <w:tr w:rsidR="00837BD2" w:rsidRPr="00CE2B73" w:rsidTr="00944753">
        <w:trPr>
          <w:trHeight w:val="24"/>
        </w:trPr>
        <w:tc>
          <w:tcPr>
            <w:tcW w:w="2700" w:type="dxa"/>
            <w:vMerge/>
            <w:tcBorders>
              <w:left w:val="single" w:sz="4" w:space="0" w:color="auto"/>
              <w:bottom w:val="nil"/>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sz w:val="20"/>
                <w:szCs w:val="20"/>
              </w:rPr>
            </w:pPr>
          </w:p>
        </w:tc>
        <w:tc>
          <w:tcPr>
            <w:tcW w:w="2160" w:type="dxa"/>
            <w:vMerge/>
            <w:tcBorders>
              <w:left w:val="single" w:sz="12" w:space="0" w:color="auto"/>
              <w:bottom w:val="single" w:sz="12" w:space="0" w:color="auto"/>
              <w:right w:val="single" w:sz="12" w:space="0" w:color="auto"/>
            </w:tcBorders>
            <w:shd w:val="clear" w:color="auto" w:fill="auto"/>
            <w:noWrap/>
            <w:vAlign w:val="center"/>
          </w:tcPr>
          <w:p w:rsidR="00837BD2" w:rsidRPr="00CE2B73" w:rsidRDefault="00837BD2" w:rsidP="00CE2B73">
            <w:pPr>
              <w:spacing w:after="0" w:line="240" w:lineRule="auto"/>
              <w:rPr>
                <w:rFonts w:ascii="Arial" w:eastAsia="Times New Roman" w:hAnsi="Arial" w:cs="Arial"/>
                <w:sz w:val="20"/>
                <w:szCs w:val="20"/>
              </w:rPr>
            </w:pP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b/>
                <w:bCs/>
                <w:sz w:val="20"/>
                <w:szCs w:val="20"/>
              </w:rPr>
              <w:t>2023/24</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b/>
                <w:bCs/>
                <w:sz w:val="20"/>
                <w:szCs w:val="20"/>
              </w:rPr>
              <w:t>2024/25</w:t>
            </w:r>
          </w:p>
        </w:tc>
      </w:tr>
      <w:tr w:rsidR="00837BD2" w:rsidRPr="00CE2B73" w:rsidTr="00944753">
        <w:trPr>
          <w:trHeight w:val="858"/>
        </w:trPr>
        <w:tc>
          <w:tcPr>
            <w:tcW w:w="2700" w:type="dxa"/>
            <w:tcBorders>
              <w:top w:val="single" w:sz="4" w:space="0" w:color="000000"/>
              <w:left w:val="single" w:sz="4" w:space="0" w:color="auto"/>
              <w:bottom w:val="nil"/>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sz w:val="20"/>
                <w:szCs w:val="20"/>
              </w:rPr>
            </w:pP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National allocations</w:t>
            </w:r>
            <w:r w:rsidRPr="00CE2B73">
              <w:rPr>
                <w:rFonts w:ascii="Arial" w:eastAsia="Times New Roman" w:hAnsi="Arial" w:cs="Arial"/>
                <w:b/>
                <w:sz w:val="20"/>
                <w:szCs w:val="20"/>
                <w:vertAlign w:val="superscript"/>
              </w:rPr>
              <w:t>1,2</w:t>
            </w:r>
          </w:p>
        </w:tc>
        <w:tc>
          <w:tcPr>
            <w:tcW w:w="2160" w:type="dxa"/>
            <w:vMerge w:val="restart"/>
            <w:tcBorders>
              <w:top w:val="single" w:sz="12" w:space="0" w:color="auto"/>
              <w:left w:val="single" w:sz="12" w:space="0" w:color="auto"/>
              <w:bottom w:val="nil"/>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b/>
                <w:sz w:val="20"/>
                <w:szCs w:val="20"/>
              </w:rPr>
            </w:pPr>
            <w:r w:rsidRPr="00CE2B73">
              <w:rPr>
                <w:rFonts w:ascii="Arial" w:eastAsia="Times New Roman" w:hAnsi="Arial" w:cs="Arial"/>
                <w:b/>
                <w:sz w:val="20"/>
                <w:szCs w:val="20"/>
              </w:rPr>
              <w:t>R’000</w:t>
            </w: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1 327 188 238     </w:t>
            </w: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   560 756 789  </w:t>
            </w:r>
          </w:p>
          <w:p w:rsidR="00837BD2" w:rsidRPr="00CE2B73" w:rsidRDefault="00837BD2" w:rsidP="00CE2B73">
            <w:pPr>
              <w:spacing w:after="0" w:line="240" w:lineRule="auto"/>
              <w:rPr>
                <w:rFonts w:ascii="Arial" w:eastAsia="Times New Roman" w:hAnsi="Arial" w:cs="Arial"/>
                <w:b/>
                <w:sz w:val="20"/>
                <w:szCs w:val="20"/>
              </w:rPr>
            </w:pPr>
            <w:r w:rsidRPr="00CE2B73">
              <w:rPr>
                <w:rFonts w:ascii="Arial" w:eastAsia="Times New Roman" w:hAnsi="Arial" w:cs="Arial"/>
                <w:sz w:val="20"/>
                <w:szCs w:val="20"/>
              </w:rPr>
              <w:t xml:space="preserve">     87 311 493 </w:t>
            </w:r>
          </w:p>
        </w:tc>
        <w:tc>
          <w:tcPr>
            <w:tcW w:w="1710" w:type="dxa"/>
            <w:vMerge w:val="restart"/>
            <w:tcBorders>
              <w:top w:val="single" w:sz="12" w:space="0" w:color="auto"/>
              <w:left w:val="single" w:sz="12" w:space="0" w:color="auto"/>
              <w:bottom w:val="nil"/>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b/>
                <w:sz w:val="20"/>
                <w:szCs w:val="20"/>
              </w:rPr>
            </w:pPr>
            <w:r w:rsidRPr="00CE2B73">
              <w:rPr>
                <w:rFonts w:ascii="Arial" w:eastAsia="Times New Roman" w:hAnsi="Arial" w:cs="Arial"/>
                <w:b/>
                <w:sz w:val="20"/>
                <w:szCs w:val="20"/>
              </w:rPr>
              <w:t>R’000</w:t>
            </w: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1 354 771 376   </w:t>
            </w: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   543 149 099 </w:t>
            </w:r>
          </w:p>
          <w:p w:rsidR="00837BD2" w:rsidRPr="00CE2B73" w:rsidRDefault="00837BD2" w:rsidP="00CE2B73">
            <w:pPr>
              <w:spacing w:after="0" w:line="240" w:lineRule="auto"/>
              <w:rPr>
                <w:rFonts w:ascii="Arial" w:eastAsia="Times New Roman" w:hAnsi="Arial" w:cs="Arial"/>
                <w:b/>
                <w:sz w:val="20"/>
                <w:szCs w:val="20"/>
              </w:rPr>
            </w:pPr>
            <w:r w:rsidRPr="00CE2B73">
              <w:rPr>
                <w:rFonts w:ascii="Arial" w:eastAsia="Times New Roman" w:hAnsi="Arial" w:cs="Arial"/>
                <w:sz w:val="20"/>
                <w:szCs w:val="20"/>
              </w:rPr>
              <w:t xml:space="preserve">     94 086 549 </w:t>
            </w:r>
          </w:p>
        </w:tc>
        <w:tc>
          <w:tcPr>
            <w:tcW w:w="1800" w:type="dxa"/>
            <w:vMerge w:val="restart"/>
            <w:tcBorders>
              <w:top w:val="single" w:sz="12" w:space="0" w:color="auto"/>
              <w:left w:val="single" w:sz="12" w:space="0" w:color="auto"/>
              <w:bottom w:val="nil"/>
              <w:right w:val="single" w:sz="12" w:space="0" w:color="auto"/>
            </w:tcBorders>
            <w:shd w:val="clear" w:color="auto" w:fill="auto"/>
            <w:noWrap/>
          </w:tcPr>
          <w:p w:rsidR="00837BD2" w:rsidRPr="00CE2B73" w:rsidRDefault="00837BD2" w:rsidP="00CE2B73">
            <w:pPr>
              <w:spacing w:after="0" w:line="240" w:lineRule="auto"/>
              <w:rPr>
                <w:rFonts w:ascii="Arial" w:eastAsia="Times New Roman" w:hAnsi="Arial" w:cs="Arial"/>
                <w:b/>
                <w:sz w:val="20"/>
                <w:szCs w:val="20"/>
              </w:rPr>
            </w:pPr>
            <w:r w:rsidRPr="00CE2B73">
              <w:rPr>
                <w:rFonts w:ascii="Arial" w:eastAsia="Times New Roman" w:hAnsi="Arial" w:cs="Arial"/>
                <w:b/>
                <w:sz w:val="20"/>
                <w:szCs w:val="20"/>
              </w:rPr>
              <w:t>R’000</w:t>
            </w: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1 433 054 261    </w:t>
            </w:r>
          </w:p>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   562 018 365 </w:t>
            </w:r>
          </w:p>
          <w:p w:rsidR="00837BD2" w:rsidRPr="00CE2B73" w:rsidRDefault="00837BD2" w:rsidP="00CE2B73">
            <w:pPr>
              <w:spacing w:after="0" w:line="240" w:lineRule="auto"/>
              <w:rPr>
                <w:rFonts w:ascii="Arial" w:eastAsia="Times New Roman" w:hAnsi="Arial" w:cs="Arial"/>
                <w:b/>
                <w:sz w:val="20"/>
                <w:szCs w:val="20"/>
              </w:rPr>
            </w:pPr>
            <w:r w:rsidRPr="00CE2B73">
              <w:rPr>
                <w:rFonts w:ascii="Arial" w:eastAsia="Times New Roman" w:hAnsi="Arial" w:cs="Arial"/>
                <w:sz w:val="20"/>
                <w:szCs w:val="20"/>
              </w:rPr>
              <w:t xml:space="preserve">   101 486 470 </w:t>
            </w:r>
          </w:p>
        </w:tc>
      </w:tr>
      <w:tr w:rsidR="00837BD2" w:rsidRPr="00CE2B73" w:rsidTr="00944753">
        <w:trPr>
          <w:trHeight w:val="339"/>
        </w:trPr>
        <w:tc>
          <w:tcPr>
            <w:tcW w:w="2700" w:type="dxa"/>
            <w:tcBorders>
              <w:top w:val="nil"/>
              <w:left w:val="single" w:sz="4" w:space="0" w:color="auto"/>
              <w:bottom w:val="nil"/>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Provincial allocations</w:t>
            </w:r>
          </w:p>
        </w:tc>
        <w:tc>
          <w:tcPr>
            <w:tcW w:w="2160" w:type="dxa"/>
            <w:vMerge/>
            <w:tcBorders>
              <w:left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sz w:val="20"/>
                <w:szCs w:val="20"/>
              </w:rPr>
            </w:pPr>
          </w:p>
        </w:tc>
        <w:tc>
          <w:tcPr>
            <w:tcW w:w="1710" w:type="dxa"/>
            <w:vMerge/>
            <w:tcBorders>
              <w:left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sz w:val="20"/>
                <w:szCs w:val="20"/>
              </w:rPr>
            </w:pPr>
          </w:p>
        </w:tc>
        <w:tc>
          <w:tcPr>
            <w:tcW w:w="1800" w:type="dxa"/>
            <w:vMerge/>
            <w:tcBorders>
              <w:left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sz w:val="20"/>
                <w:szCs w:val="20"/>
              </w:rPr>
            </w:pPr>
          </w:p>
        </w:tc>
      </w:tr>
      <w:tr w:rsidR="00837BD2" w:rsidRPr="00CE2B73" w:rsidTr="00944753">
        <w:trPr>
          <w:trHeight w:val="312"/>
        </w:trPr>
        <w:tc>
          <w:tcPr>
            <w:tcW w:w="2700" w:type="dxa"/>
            <w:tcBorders>
              <w:top w:val="nil"/>
              <w:left w:val="single" w:sz="4"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color w:val="000000"/>
                <w:sz w:val="20"/>
                <w:szCs w:val="20"/>
              </w:rPr>
            </w:pPr>
            <w:r w:rsidRPr="00CE2B73">
              <w:rPr>
                <w:rFonts w:ascii="Arial" w:eastAsia="Times New Roman" w:hAnsi="Arial" w:cs="Arial"/>
                <w:color w:val="000000"/>
                <w:sz w:val="20"/>
                <w:szCs w:val="20"/>
              </w:rPr>
              <w:t>Local government allocations</w:t>
            </w:r>
          </w:p>
        </w:tc>
        <w:tc>
          <w:tcPr>
            <w:tcW w:w="2160" w:type="dxa"/>
            <w:vMerge/>
            <w:tcBorders>
              <w:left w:val="single" w:sz="12"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sz w:val="20"/>
                <w:szCs w:val="20"/>
              </w:rPr>
            </w:pPr>
          </w:p>
        </w:tc>
        <w:tc>
          <w:tcPr>
            <w:tcW w:w="1710" w:type="dxa"/>
            <w:vMerge/>
            <w:tcBorders>
              <w:left w:val="single" w:sz="12"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sz w:val="20"/>
                <w:szCs w:val="20"/>
              </w:rPr>
            </w:pPr>
          </w:p>
        </w:tc>
        <w:tc>
          <w:tcPr>
            <w:tcW w:w="1800" w:type="dxa"/>
            <w:vMerge/>
            <w:tcBorders>
              <w:left w:val="single" w:sz="12"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sz w:val="20"/>
                <w:szCs w:val="20"/>
              </w:rPr>
            </w:pPr>
          </w:p>
        </w:tc>
      </w:tr>
      <w:tr w:rsidR="00837BD2" w:rsidRPr="00CE2B73" w:rsidTr="00944753">
        <w:trPr>
          <w:trHeight w:val="374"/>
        </w:trPr>
        <w:tc>
          <w:tcPr>
            <w:tcW w:w="2700" w:type="dxa"/>
            <w:tcBorders>
              <w:top w:val="single" w:sz="4" w:space="0" w:color="000000"/>
              <w:left w:val="single" w:sz="12"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b/>
                <w:bCs/>
                <w:color w:val="000000"/>
                <w:sz w:val="20"/>
                <w:szCs w:val="20"/>
              </w:rPr>
            </w:pPr>
            <w:r w:rsidRPr="00CE2B73">
              <w:rPr>
                <w:rFonts w:ascii="Arial" w:eastAsia="Times New Roman" w:hAnsi="Arial" w:cs="Arial"/>
                <w:b/>
                <w:bCs/>
                <w:color w:val="000000"/>
                <w:sz w:val="20"/>
                <w:szCs w:val="20"/>
              </w:rPr>
              <w:t>Total allocations</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b/>
                <w:bCs/>
                <w:sz w:val="20"/>
                <w:szCs w:val="20"/>
              </w:rPr>
            </w:pPr>
            <w:r w:rsidRPr="00CE2B73">
              <w:rPr>
                <w:rFonts w:ascii="Arial" w:eastAsia="Times New Roman" w:hAnsi="Arial" w:cs="Arial"/>
                <w:b/>
                <w:bCs/>
                <w:sz w:val="20"/>
                <w:szCs w:val="20"/>
              </w:rPr>
              <w:t xml:space="preserve">1 975 256 520   </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b/>
                <w:bCs/>
                <w:sz w:val="20"/>
                <w:szCs w:val="20"/>
              </w:rPr>
            </w:pPr>
            <w:r w:rsidRPr="00CE2B73">
              <w:rPr>
                <w:rFonts w:ascii="Arial" w:eastAsia="Times New Roman" w:hAnsi="Arial" w:cs="Arial"/>
                <w:b/>
                <w:bCs/>
                <w:sz w:val="20"/>
                <w:szCs w:val="20"/>
              </w:rPr>
              <w:t xml:space="preserve">1  992 007 024 </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hideMark/>
          </w:tcPr>
          <w:p w:rsidR="00837BD2" w:rsidRPr="00CE2B73" w:rsidRDefault="00837BD2" w:rsidP="00CE2B73">
            <w:pPr>
              <w:spacing w:after="0" w:line="240" w:lineRule="auto"/>
              <w:rPr>
                <w:rFonts w:ascii="Arial" w:eastAsia="Times New Roman" w:hAnsi="Arial" w:cs="Arial"/>
                <w:b/>
                <w:bCs/>
                <w:sz w:val="20"/>
                <w:szCs w:val="20"/>
              </w:rPr>
            </w:pPr>
            <w:r w:rsidRPr="00CE2B73">
              <w:rPr>
                <w:rFonts w:ascii="Arial" w:eastAsia="Times New Roman" w:hAnsi="Arial" w:cs="Arial"/>
                <w:b/>
                <w:bCs/>
                <w:sz w:val="20"/>
                <w:szCs w:val="20"/>
              </w:rPr>
              <w:t xml:space="preserve">2 096 559 096 </w:t>
            </w:r>
          </w:p>
        </w:tc>
      </w:tr>
    </w:tbl>
    <w:p w:rsidR="00837BD2" w:rsidRPr="00CE2B73" w:rsidRDefault="00837BD2" w:rsidP="00CE2B73">
      <w:pPr>
        <w:numPr>
          <w:ilvl w:val="0"/>
          <w:numId w:val="3"/>
        </w:numPr>
        <w:spacing w:after="0" w:line="240" w:lineRule="auto"/>
        <w:contextualSpacing/>
        <w:rPr>
          <w:rFonts w:ascii="Arial" w:hAnsi="Arial" w:cs="Arial"/>
          <w:i/>
          <w:color w:val="000000" w:themeColor="text1"/>
          <w:sz w:val="20"/>
          <w:szCs w:val="20"/>
        </w:rPr>
      </w:pPr>
      <w:r w:rsidRPr="00CE2B73">
        <w:rPr>
          <w:rFonts w:ascii="Arial" w:hAnsi="Arial" w:cs="Arial"/>
          <w:i/>
          <w:color w:val="000000" w:themeColor="text1"/>
          <w:sz w:val="20"/>
          <w:szCs w:val="20"/>
        </w:rPr>
        <w:t>National share includes conditional allocations to provincial and local spheres, general fuel levy sharing with metropolitan municipalities, debt-service costs, the contingency reserve and provisional allocation</w:t>
      </w:r>
    </w:p>
    <w:p w:rsidR="00837BD2" w:rsidRPr="00CE2B73" w:rsidRDefault="00837BD2" w:rsidP="00CE2B73">
      <w:pPr>
        <w:numPr>
          <w:ilvl w:val="0"/>
          <w:numId w:val="3"/>
        </w:numPr>
        <w:spacing w:after="0" w:line="240" w:lineRule="auto"/>
        <w:contextualSpacing/>
        <w:rPr>
          <w:rFonts w:ascii="Arial" w:hAnsi="Arial" w:cs="Arial"/>
          <w:i/>
          <w:color w:val="000000" w:themeColor="text1"/>
          <w:sz w:val="20"/>
          <w:szCs w:val="20"/>
        </w:rPr>
      </w:pPr>
      <w:r w:rsidRPr="00CE2B73">
        <w:rPr>
          <w:rFonts w:ascii="Arial" w:hAnsi="Arial" w:cs="Arial"/>
          <w:i/>
          <w:color w:val="000000" w:themeColor="text1"/>
          <w:sz w:val="20"/>
          <w:szCs w:val="20"/>
        </w:rPr>
        <w:t>The direct charges for the provincial equitable share are netted out</w:t>
      </w:r>
    </w:p>
    <w:p w:rsidR="00837BD2" w:rsidRPr="00CE2B73" w:rsidRDefault="00837BD2" w:rsidP="00CE2B73">
      <w:pPr>
        <w:spacing w:after="0" w:line="240" w:lineRule="auto"/>
        <w:rPr>
          <w:rFonts w:ascii="Arial" w:hAnsi="Arial" w:cs="Arial"/>
          <w:b/>
          <w:i/>
          <w:color w:val="000000" w:themeColor="text1"/>
          <w:sz w:val="20"/>
          <w:szCs w:val="20"/>
        </w:rPr>
      </w:pPr>
      <w:r w:rsidRPr="00CE2B73">
        <w:rPr>
          <w:rFonts w:ascii="Arial" w:hAnsi="Arial" w:cs="Arial"/>
          <w:b/>
          <w:i/>
          <w:color w:val="000000" w:themeColor="text1"/>
          <w:sz w:val="20"/>
          <w:szCs w:val="20"/>
        </w:rPr>
        <w:t>Source: National Treasury (Division of Revenue Bill: 2022)</w:t>
      </w:r>
    </w:p>
    <w:p w:rsidR="00837BD2" w:rsidRPr="00CE2B73" w:rsidRDefault="00837BD2" w:rsidP="00CE2B73">
      <w:pPr>
        <w:spacing w:after="0" w:line="240" w:lineRule="auto"/>
        <w:rPr>
          <w:rFonts w:ascii="Arial" w:hAnsi="Arial" w:cs="Arial"/>
          <w:color w:val="000000" w:themeColor="text1"/>
          <w:sz w:val="20"/>
          <w:szCs w:val="20"/>
        </w:rPr>
      </w:pP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Main Budget Allocation </w:t>
      </w:r>
    </w:p>
    <w:p w:rsidR="00837BD2" w:rsidRPr="00CE2B73" w:rsidRDefault="00837BD2" w:rsidP="00CE2B73">
      <w:pPr>
        <w:tabs>
          <w:tab w:val="left" w:pos="284"/>
          <w:tab w:val="left" w:pos="567"/>
        </w:tabs>
        <w:spacing w:after="0" w:line="240" w:lineRule="auto"/>
        <w:ind w:left="360"/>
        <w:contextualSpacing/>
        <w:rPr>
          <w:rFonts w:ascii="Arial" w:eastAsia="Times New Roman" w:hAnsi="Arial" w:cs="Arial"/>
          <w:b/>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Over the 2022 medium-term expenditure framework (MTEF) period, after budgeting for debt service costs, the contingency reserve and provisional allocations, 48.8 per cent of nationally raised funds are allocated to national government, 41.4 per cent to provinces and 9.8 per cent to local government. Excluding the debt-service costs, and the contingency reserve, allocated expenditure shared across government amounts to R1.66 trillion in 2022/23, R1.60 trillion in 2023/24 and R1.67 trillion in 2024/25. The division of these funds between the three spheres of government takes into account government’s spending priorities, each sphere’s revenue-raising capacity and responsibilities, and inputs from various intergovernmental forums and the FFC. </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Government continues exercise restraint and is working on reducing the pressure exerted on the budget by the public service compensation costs. The 2022 budget increases the allocations for both provincial and local government to assist with urgent spending pressures. Relative to the 2021 budget, direct provincial allocations will increase by R74.1 billion over the medium term. The majority of this amount consist of R53 billion that is added to the provincial equitable share and R5.4 billion added to direct conditional grants following the 2021 MTBPS. Local government allocation is increased by a total of R30.7 billion over the medium term: R28.9 billion is added to the local government equitable share and R1.8 billion is added to direct conditional grants. </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The provincial share of nationally raised revenue grows by an annual average of 1.4 per cent over the medium term, including a growth in the equitable share by an annual average of 1 per cent and conditional grants growing by an annual average of 3.3 per cent over the same period. Local government share of nationally raised revenue grows by an annual average of 7.9 per cent over the medium term, including a growth in the equitable share by an annual average of 10.3 percent and conditional grants grow by an annual average of 5.3 per cent over the same period. In contrast, the national government share of nationally raised revenue declines by an annual average of 1 per cent over the medium term. The Division of Revenue Bill is redistributive as funds allocation are based on the demand for public service in each province and municipality, and even</w:t>
      </w:r>
      <w:r w:rsidR="006F566F" w:rsidRPr="00CE2B73">
        <w:rPr>
          <w:rFonts w:ascii="Arial" w:eastAsia="Times New Roman" w:hAnsi="Arial" w:cs="Arial"/>
          <w:sz w:val="20"/>
          <w:szCs w:val="20"/>
        </w:rPr>
        <w:t xml:space="preserve"> though urban provinces receive</w:t>
      </w:r>
      <w:r w:rsidRPr="00CE2B73">
        <w:rPr>
          <w:rFonts w:ascii="Arial" w:eastAsia="Times New Roman" w:hAnsi="Arial" w:cs="Arial"/>
          <w:sz w:val="20"/>
          <w:szCs w:val="20"/>
        </w:rPr>
        <w:t xml:space="preserve"> the higher proportion of f</w:t>
      </w:r>
      <w:r w:rsidR="006F566F" w:rsidRPr="00CE2B73">
        <w:rPr>
          <w:rFonts w:ascii="Arial" w:eastAsia="Times New Roman" w:hAnsi="Arial" w:cs="Arial"/>
          <w:sz w:val="20"/>
          <w:szCs w:val="20"/>
        </w:rPr>
        <w:t>unding, rural provinces receive</w:t>
      </w:r>
      <w:r w:rsidRPr="00CE2B73">
        <w:rPr>
          <w:rFonts w:ascii="Arial" w:eastAsia="Times New Roman" w:hAnsi="Arial" w:cs="Arial"/>
          <w:sz w:val="20"/>
          <w:szCs w:val="20"/>
        </w:rPr>
        <w:t xml:space="preserve"> more funding per capita as rural provinces and municipalities </w:t>
      </w:r>
      <w:r w:rsidRPr="00CE2B73">
        <w:rPr>
          <w:rFonts w:ascii="Arial" w:eastAsia="Times New Roman" w:hAnsi="Arial" w:cs="Arial"/>
          <w:sz w:val="20"/>
          <w:szCs w:val="20"/>
        </w:rPr>
        <w:lastRenderedPageBreak/>
        <w:t xml:space="preserve">have higher per capita cost of delivering most services due to lower population density. Table 2 below indicates the overview of the division of nationally raised revenue between the period 2018/19 and 2024/25. </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b/>
          <w:sz w:val="20"/>
          <w:szCs w:val="20"/>
        </w:rPr>
        <w:t xml:space="preserve">Table 2: </w:t>
      </w:r>
      <w:r w:rsidRPr="00CE2B73">
        <w:rPr>
          <w:rFonts w:ascii="Arial" w:eastAsia="Times New Roman" w:hAnsi="Arial" w:cs="Arial"/>
          <w:sz w:val="20"/>
          <w:szCs w:val="20"/>
        </w:rPr>
        <w:t xml:space="preserve">Division of nationally raised revenue </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hAnsi="Arial" w:cs="Arial"/>
          <w:noProof/>
          <w:sz w:val="20"/>
          <w:szCs w:val="20"/>
          <w:lang w:val="en-US"/>
        </w:rPr>
        <w:drawing>
          <wp:inline distT="0" distB="0" distL="0" distR="0">
            <wp:extent cx="5274310" cy="5425831"/>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5425831"/>
                    </a:xfrm>
                    <a:prstGeom prst="rect">
                      <a:avLst/>
                    </a:prstGeom>
                    <a:noFill/>
                    <a:ln>
                      <a:noFill/>
                    </a:ln>
                  </pic:spPr>
                </pic:pic>
              </a:graphicData>
            </a:graphic>
          </wp:inline>
        </w:drawing>
      </w:r>
    </w:p>
    <w:p w:rsidR="00837BD2" w:rsidRPr="00CE2B73" w:rsidRDefault="00837BD2" w:rsidP="00CE2B73">
      <w:pPr>
        <w:numPr>
          <w:ilvl w:val="0"/>
          <w:numId w:val="2"/>
        </w:numPr>
        <w:tabs>
          <w:tab w:val="left" w:pos="284"/>
          <w:tab w:val="left" w:pos="567"/>
        </w:tabs>
        <w:spacing w:after="0" w:line="240" w:lineRule="auto"/>
        <w:contextualSpacing/>
        <w:rPr>
          <w:rFonts w:ascii="Arial" w:eastAsia="Times New Roman" w:hAnsi="Arial" w:cs="Arial"/>
          <w:i/>
          <w:sz w:val="20"/>
          <w:szCs w:val="20"/>
        </w:rPr>
      </w:pPr>
      <w:r w:rsidRPr="00CE2B73">
        <w:rPr>
          <w:rFonts w:ascii="Arial" w:eastAsia="Times New Roman" w:hAnsi="Arial" w:cs="Arial"/>
          <w:i/>
          <w:sz w:val="20"/>
          <w:szCs w:val="20"/>
        </w:rPr>
        <w:t xml:space="preserve">Includes support to Eskom, amounts for Budget Facility for Infrastructure projects and other provisional allocations  </w:t>
      </w:r>
    </w:p>
    <w:p w:rsidR="00837BD2" w:rsidRPr="00CE2B73" w:rsidRDefault="00837BD2" w:rsidP="00CE2B73">
      <w:pPr>
        <w:tabs>
          <w:tab w:val="left" w:pos="284"/>
          <w:tab w:val="left" w:pos="567"/>
        </w:tabs>
        <w:spacing w:after="0" w:line="240" w:lineRule="auto"/>
        <w:rPr>
          <w:rFonts w:ascii="Arial" w:eastAsia="Times New Roman" w:hAnsi="Arial" w:cs="Arial"/>
          <w:b/>
          <w:i/>
          <w:sz w:val="20"/>
          <w:szCs w:val="20"/>
        </w:rPr>
      </w:pPr>
      <w:r w:rsidRPr="00CE2B73">
        <w:rPr>
          <w:rFonts w:ascii="Arial" w:eastAsia="Times New Roman" w:hAnsi="Arial" w:cs="Arial"/>
          <w:b/>
          <w:i/>
          <w:sz w:val="20"/>
          <w:szCs w:val="20"/>
        </w:rPr>
        <w:t>Source: National Treasury (Budget Review: 2022)</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numPr>
          <w:ilvl w:val="0"/>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Provincial allocations </w:t>
      </w:r>
    </w:p>
    <w:p w:rsidR="00837BD2" w:rsidRPr="00CE2B73" w:rsidRDefault="00837BD2" w:rsidP="00CE2B73">
      <w:pPr>
        <w:tabs>
          <w:tab w:val="left" w:pos="284"/>
          <w:tab w:val="left" w:pos="567"/>
        </w:tabs>
        <w:spacing w:after="0" w:line="240" w:lineRule="auto"/>
        <w:ind w:left="360"/>
        <w:contextualSpacing/>
        <w:rPr>
          <w:rFonts w:ascii="Arial" w:eastAsia="Times New Roman" w:hAnsi="Arial" w:cs="Arial"/>
          <w:b/>
          <w:sz w:val="20"/>
          <w:szCs w:val="20"/>
        </w:rPr>
      </w:pPr>
    </w:p>
    <w:p w:rsidR="00837BD2" w:rsidRPr="00CE2B73" w:rsidRDefault="00837BD2" w:rsidP="00CE2B73">
      <w:p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Provincial government receive two forms of allocations from nationally raised revenue, the equitable share and conditional grants. Having taken the revisions to the provincial fiscal framework into account, national transfers to provinces increases from R661 billion in 2021/22 to R682.5 billion in 2022/23, growing at an annual average of 1.4 per cent over the MTEF to R690.2 billion in 2024/25. A total of R560.8 billion is allocated to the provincial equitable share and R121.8 billion to conditional grants, </w:t>
      </w:r>
      <w:r w:rsidR="002E7AF2" w:rsidRPr="00CE2B73">
        <w:rPr>
          <w:rFonts w:ascii="Arial" w:eastAsia="Times New Roman" w:hAnsi="Arial" w:cs="Arial"/>
          <w:sz w:val="20"/>
          <w:szCs w:val="20"/>
        </w:rPr>
        <w:t>which includes</w:t>
      </w:r>
      <w:r w:rsidRPr="00CE2B73">
        <w:rPr>
          <w:rFonts w:ascii="Arial" w:eastAsia="Times New Roman" w:hAnsi="Arial" w:cs="Arial"/>
          <w:sz w:val="20"/>
          <w:szCs w:val="20"/>
        </w:rPr>
        <w:t xml:space="preserve"> an unallocated amount of R471 million for the </w:t>
      </w:r>
      <w:r w:rsidRPr="00CE2B73">
        <w:rPr>
          <w:rFonts w:ascii="Arial" w:eastAsia="Times New Roman" w:hAnsi="Arial" w:cs="Arial"/>
          <w:i/>
          <w:sz w:val="20"/>
          <w:szCs w:val="20"/>
        </w:rPr>
        <w:t xml:space="preserve">provincial disaster response grant </w:t>
      </w:r>
      <w:r w:rsidRPr="00CE2B73">
        <w:rPr>
          <w:rFonts w:ascii="Arial" w:eastAsia="Times New Roman" w:hAnsi="Arial" w:cs="Arial"/>
          <w:sz w:val="20"/>
          <w:szCs w:val="20"/>
        </w:rPr>
        <w:t>and</w:t>
      </w:r>
      <w:r w:rsidRPr="00CE2B73">
        <w:rPr>
          <w:rFonts w:ascii="Arial" w:eastAsia="Times New Roman" w:hAnsi="Arial" w:cs="Arial"/>
          <w:i/>
          <w:sz w:val="20"/>
          <w:szCs w:val="20"/>
        </w:rPr>
        <w:t xml:space="preserve"> the provincial emergency housing grant</w:t>
      </w:r>
      <w:r w:rsidRPr="00CE2B73">
        <w:rPr>
          <w:rFonts w:ascii="Arial" w:eastAsia="Times New Roman" w:hAnsi="Arial" w:cs="Arial"/>
          <w:sz w:val="20"/>
          <w:szCs w:val="20"/>
        </w:rPr>
        <w:t xml:space="preserve">. Due to their limited revenue raising abilities, provinces receives 41.4 per cent of nationally raised revenue over the medium term. In addition, provinces receive conditional grants to help them fulfil their mandates, and transfers to provinces accounts for over 95 per cent of their provincial revenue. </w:t>
      </w:r>
    </w:p>
    <w:p w:rsidR="00837BD2" w:rsidRPr="00CE2B73" w:rsidRDefault="00837BD2" w:rsidP="00CE2B73">
      <w:pPr>
        <w:tabs>
          <w:tab w:val="left" w:pos="284"/>
          <w:tab w:val="left" w:pos="567"/>
        </w:tabs>
        <w:spacing w:after="0" w:line="240" w:lineRule="auto"/>
        <w:contextualSpacing/>
        <w:rPr>
          <w:rFonts w:ascii="Arial" w:eastAsia="Times New Roman" w:hAnsi="Arial" w:cs="Arial"/>
          <w:b/>
          <w:sz w:val="20"/>
          <w:szCs w:val="20"/>
        </w:rPr>
      </w:pP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Changes to provincial equitable share allocations </w:t>
      </w:r>
    </w:p>
    <w:p w:rsidR="00837BD2" w:rsidRPr="00CE2B73" w:rsidRDefault="00837BD2" w:rsidP="00CE2B73">
      <w:pPr>
        <w:tabs>
          <w:tab w:val="left" w:pos="284"/>
          <w:tab w:val="left" w:pos="567"/>
        </w:tabs>
        <w:spacing w:after="0" w:line="240" w:lineRule="auto"/>
        <w:rPr>
          <w:rFonts w:ascii="Arial" w:eastAsia="Times New Roman" w:hAnsi="Arial" w:cs="Arial"/>
          <w:b/>
          <w:sz w:val="20"/>
          <w:szCs w:val="20"/>
        </w:rPr>
      </w:pPr>
    </w:p>
    <w:p w:rsidR="00837BD2" w:rsidRPr="00CE2B73" w:rsidRDefault="00837BD2" w:rsidP="00CE2B73">
      <w:pPr>
        <w:numPr>
          <w:ilvl w:val="0"/>
          <w:numId w:val="21"/>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The 2021 public sector wage agreement included a once off non-pensionable cash gratuity payment to all public servants in government. A proposed total of R14.7 billion is set aside for provinces to fund the preliminary carry through costs of the cash gratuity. Out of the proposed R14.7 billion, a total of R13.9 billion is added to the provincial equitable share and R809 million is added to several provincial grants that cover compensation of employees. </w:t>
      </w:r>
    </w:p>
    <w:p w:rsidR="00837BD2" w:rsidRPr="00CE2B73" w:rsidRDefault="00837BD2" w:rsidP="00CE2B73">
      <w:pPr>
        <w:numPr>
          <w:ilvl w:val="0"/>
          <w:numId w:val="20"/>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As part of the Presidential Employment Initiative, a proposed total of R12.7 billion (R6.2 billion in 2022/23 and R6.5 billion in 2023/24) is</w:t>
      </w:r>
      <w:r w:rsidR="002E7AF2" w:rsidRPr="00CE2B73">
        <w:rPr>
          <w:rFonts w:ascii="Arial" w:eastAsia="Times New Roman" w:hAnsi="Arial" w:cs="Arial"/>
          <w:sz w:val="20"/>
          <w:szCs w:val="20"/>
        </w:rPr>
        <w:t xml:space="preserve"> added for the provincial education</w:t>
      </w:r>
      <w:r w:rsidRPr="00CE2B73">
        <w:rPr>
          <w:rFonts w:ascii="Arial" w:eastAsia="Times New Roman" w:hAnsi="Arial" w:cs="Arial"/>
          <w:sz w:val="20"/>
          <w:szCs w:val="20"/>
        </w:rPr>
        <w:t xml:space="preserve"> department</w:t>
      </w:r>
      <w:r w:rsidR="002E7AF2" w:rsidRPr="00CE2B73">
        <w:rPr>
          <w:rFonts w:ascii="Arial" w:eastAsia="Times New Roman" w:hAnsi="Arial" w:cs="Arial"/>
          <w:sz w:val="20"/>
          <w:szCs w:val="20"/>
        </w:rPr>
        <w:t>s</w:t>
      </w:r>
      <w:r w:rsidRPr="00CE2B73">
        <w:rPr>
          <w:rFonts w:ascii="Arial" w:eastAsia="Times New Roman" w:hAnsi="Arial" w:cs="Arial"/>
          <w:sz w:val="20"/>
          <w:szCs w:val="20"/>
        </w:rPr>
        <w:t xml:space="preserve"> to continue hiring assistants in schools as part of the Presidential Employment Initia</w:t>
      </w:r>
      <w:r w:rsidR="000A49A9" w:rsidRPr="00CE2B73">
        <w:rPr>
          <w:rFonts w:ascii="Arial" w:eastAsia="Times New Roman" w:hAnsi="Arial" w:cs="Arial"/>
          <w:sz w:val="20"/>
          <w:szCs w:val="20"/>
        </w:rPr>
        <w:t>ti</w:t>
      </w:r>
      <w:r w:rsidRPr="00CE2B73">
        <w:rPr>
          <w:rFonts w:ascii="Arial" w:eastAsia="Times New Roman" w:hAnsi="Arial" w:cs="Arial"/>
          <w:sz w:val="20"/>
          <w:szCs w:val="20"/>
        </w:rPr>
        <w:t>ve.</w:t>
      </w:r>
    </w:p>
    <w:p w:rsidR="00837BD2" w:rsidRPr="00CE2B73" w:rsidRDefault="00837BD2" w:rsidP="00CE2B73">
      <w:pPr>
        <w:numPr>
          <w:ilvl w:val="0"/>
          <w:numId w:val="20"/>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proposed total of R24.6 billion (R9 billion in 2022/23, R7.6 billion in 2023/24 and R8 billion in 2024/25) is added to the provincial equitable share to support provincial education departments in addressing educator numbers and other shortfalls within the sector. </w:t>
      </w:r>
    </w:p>
    <w:p w:rsidR="00837BD2" w:rsidRPr="00CE2B73" w:rsidRDefault="00837BD2" w:rsidP="00CE2B73">
      <w:pPr>
        <w:numPr>
          <w:ilvl w:val="0"/>
          <w:numId w:val="20"/>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proposed total of R15.6 billion (R7.4 billion in 2022/23, R3.4 billion in 2023/23 and R4.7 billion in 2024/25) is added to the provincial equitable share to support the provincial departments of health to continue responding to the Covid-19 pandemic and to reduce the impact of budget reductions on essential medical goods services. </w:t>
      </w:r>
    </w:p>
    <w:p w:rsidR="00837BD2" w:rsidRPr="00CE2B73" w:rsidRDefault="00837BD2" w:rsidP="00CE2B73">
      <w:pPr>
        <w:numPr>
          <w:ilvl w:val="0"/>
          <w:numId w:val="20"/>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proposed total of R988 million (R204 million in 2022/23, R358 million in 2023/24 and R426 million in 2024/25) is added to the provincial equitable share to fund non-profit organisations tha</w:t>
      </w:r>
      <w:r w:rsidR="006F566F" w:rsidRPr="00CE2B73">
        <w:rPr>
          <w:rFonts w:ascii="Arial" w:eastAsia="Times New Roman" w:hAnsi="Arial" w:cs="Arial"/>
          <w:sz w:val="20"/>
          <w:szCs w:val="20"/>
        </w:rPr>
        <w:t xml:space="preserve">t are already contracted </w:t>
      </w:r>
      <w:r w:rsidRPr="00CE2B73">
        <w:rPr>
          <w:rFonts w:ascii="Arial" w:eastAsia="Times New Roman" w:hAnsi="Arial" w:cs="Arial"/>
          <w:sz w:val="20"/>
          <w:szCs w:val="20"/>
        </w:rPr>
        <w:t xml:space="preserve">by the provincial departments of social development to ensure that the social welfare budget grows in line with inflation. </w:t>
      </w: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Additions to provincial grants allocation </w:t>
      </w:r>
    </w:p>
    <w:p w:rsidR="00837BD2" w:rsidRPr="00CE2B73" w:rsidRDefault="00837BD2" w:rsidP="00CE2B73">
      <w:pPr>
        <w:tabs>
          <w:tab w:val="left" w:pos="284"/>
          <w:tab w:val="left" w:pos="567"/>
        </w:tabs>
        <w:spacing w:after="0" w:line="240" w:lineRule="auto"/>
        <w:ind w:left="360"/>
        <w:contextualSpacing/>
        <w:rPr>
          <w:rFonts w:ascii="Arial" w:eastAsia="Times New Roman" w:hAnsi="Arial" w:cs="Arial"/>
          <w:b/>
          <w:sz w:val="20"/>
          <w:szCs w:val="20"/>
        </w:rPr>
      </w:pPr>
    </w:p>
    <w:p w:rsidR="00837BD2" w:rsidRPr="00CE2B73" w:rsidRDefault="00837BD2" w:rsidP="00CE2B73">
      <w:pPr>
        <w:numPr>
          <w:ilvl w:val="0"/>
          <w:numId w:val="22"/>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sz w:val="20"/>
          <w:szCs w:val="20"/>
        </w:rPr>
        <w:t xml:space="preserve"> A proposed total of R3.3 billion is added to the </w:t>
      </w:r>
      <w:r w:rsidR="00591B2F" w:rsidRPr="00CE2B73">
        <w:rPr>
          <w:rFonts w:ascii="Arial" w:eastAsia="Times New Roman" w:hAnsi="Arial" w:cs="Arial"/>
          <w:i/>
          <w:sz w:val="20"/>
          <w:szCs w:val="20"/>
        </w:rPr>
        <w:t>Human Resources and T</w:t>
      </w:r>
      <w:r w:rsidRPr="00CE2B73">
        <w:rPr>
          <w:rFonts w:ascii="Arial" w:eastAsia="Times New Roman" w:hAnsi="Arial" w:cs="Arial"/>
          <w:i/>
          <w:sz w:val="20"/>
          <w:szCs w:val="20"/>
        </w:rPr>
        <w:t>raining grant</w:t>
      </w:r>
      <w:r w:rsidR="006F566F" w:rsidRPr="00CE2B73">
        <w:rPr>
          <w:rFonts w:ascii="Arial" w:eastAsia="Times New Roman" w:hAnsi="Arial" w:cs="Arial"/>
          <w:sz w:val="20"/>
          <w:szCs w:val="20"/>
        </w:rPr>
        <w:t xml:space="preserve"> to address funding of the </w:t>
      </w:r>
      <w:r w:rsidRPr="00CE2B73">
        <w:rPr>
          <w:rFonts w:ascii="Arial" w:eastAsia="Times New Roman" w:hAnsi="Arial" w:cs="Arial"/>
          <w:sz w:val="20"/>
          <w:szCs w:val="20"/>
        </w:rPr>
        <w:t xml:space="preserve">shortfall for medical interns and community services doctors. </w:t>
      </w:r>
    </w:p>
    <w:p w:rsidR="00837BD2" w:rsidRPr="00CE2B73" w:rsidRDefault="00837BD2" w:rsidP="00CE2B73">
      <w:pPr>
        <w:numPr>
          <w:ilvl w:val="0"/>
          <w:numId w:val="22"/>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sz w:val="20"/>
          <w:szCs w:val="20"/>
        </w:rPr>
        <w:t xml:space="preserve"> A proposed total </w:t>
      </w:r>
      <w:r w:rsidR="006F566F" w:rsidRPr="00CE2B73">
        <w:rPr>
          <w:rFonts w:ascii="Arial" w:eastAsia="Times New Roman" w:hAnsi="Arial" w:cs="Arial"/>
          <w:sz w:val="20"/>
          <w:szCs w:val="20"/>
        </w:rPr>
        <w:t xml:space="preserve">of </w:t>
      </w:r>
      <w:r w:rsidRPr="00CE2B73">
        <w:rPr>
          <w:rFonts w:ascii="Arial" w:eastAsia="Times New Roman" w:hAnsi="Arial" w:cs="Arial"/>
          <w:sz w:val="20"/>
          <w:szCs w:val="20"/>
        </w:rPr>
        <w:t xml:space="preserve">R1 billion is added in 2022/23 to the Covid-19 component of the </w:t>
      </w:r>
      <w:r w:rsidR="00591B2F" w:rsidRPr="00CE2B73">
        <w:rPr>
          <w:rFonts w:ascii="Arial" w:eastAsia="Times New Roman" w:hAnsi="Arial" w:cs="Arial"/>
          <w:i/>
          <w:sz w:val="20"/>
          <w:szCs w:val="20"/>
        </w:rPr>
        <w:t>District Health P</w:t>
      </w:r>
      <w:r w:rsidRPr="00CE2B73">
        <w:rPr>
          <w:rFonts w:ascii="Arial" w:eastAsia="Times New Roman" w:hAnsi="Arial" w:cs="Arial"/>
          <w:i/>
          <w:sz w:val="20"/>
          <w:szCs w:val="20"/>
        </w:rPr>
        <w:t>rogramme grant</w:t>
      </w:r>
      <w:r w:rsidRPr="00CE2B73">
        <w:rPr>
          <w:rFonts w:ascii="Arial" w:eastAsia="Times New Roman" w:hAnsi="Arial" w:cs="Arial"/>
          <w:sz w:val="20"/>
          <w:szCs w:val="20"/>
        </w:rPr>
        <w:t xml:space="preserve"> to fund the continuation of the Covid-19 vaccine rollout by provinces. </w:t>
      </w:r>
    </w:p>
    <w:p w:rsidR="00837BD2" w:rsidRPr="00CE2B73" w:rsidRDefault="00837BD2" w:rsidP="00CE2B73">
      <w:pPr>
        <w:numPr>
          <w:ilvl w:val="0"/>
          <w:numId w:val="22"/>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sz w:val="20"/>
          <w:szCs w:val="20"/>
        </w:rPr>
        <w:t xml:space="preserve"> A proposed total of R2.1 billion is added over the next two years for repairing of infrastructure damaged by storms and floods in KwaZulu-Natal in 2019 and 2020. This disaster funding is added to the </w:t>
      </w:r>
      <w:r w:rsidR="00591B2F" w:rsidRPr="00CE2B73">
        <w:rPr>
          <w:rFonts w:ascii="Arial" w:eastAsia="Times New Roman" w:hAnsi="Arial" w:cs="Arial"/>
          <w:i/>
          <w:sz w:val="20"/>
          <w:szCs w:val="20"/>
        </w:rPr>
        <w:t>Human Settlement D</w:t>
      </w:r>
      <w:r w:rsidRPr="00CE2B73">
        <w:rPr>
          <w:rFonts w:ascii="Arial" w:eastAsia="Times New Roman" w:hAnsi="Arial" w:cs="Arial"/>
          <w:i/>
          <w:sz w:val="20"/>
          <w:szCs w:val="20"/>
        </w:rPr>
        <w:t>evelopment grant</w:t>
      </w:r>
      <w:r w:rsidRPr="00CE2B73">
        <w:rPr>
          <w:rFonts w:ascii="Arial" w:eastAsia="Times New Roman" w:hAnsi="Arial" w:cs="Arial"/>
          <w:sz w:val="20"/>
          <w:szCs w:val="20"/>
        </w:rPr>
        <w:t xml:space="preserve"> for repairs of houses, the </w:t>
      </w:r>
      <w:r w:rsidR="00591B2F" w:rsidRPr="00CE2B73">
        <w:rPr>
          <w:rFonts w:ascii="Arial" w:eastAsia="Times New Roman" w:hAnsi="Arial" w:cs="Arial"/>
          <w:sz w:val="20"/>
          <w:szCs w:val="20"/>
        </w:rPr>
        <w:t>E</w:t>
      </w:r>
      <w:r w:rsidR="00591B2F" w:rsidRPr="00CE2B73">
        <w:rPr>
          <w:rFonts w:ascii="Arial" w:eastAsia="Times New Roman" w:hAnsi="Arial" w:cs="Arial"/>
          <w:i/>
          <w:sz w:val="20"/>
          <w:szCs w:val="20"/>
        </w:rPr>
        <w:t>ducation I</w:t>
      </w:r>
      <w:r w:rsidRPr="00CE2B73">
        <w:rPr>
          <w:rFonts w:ascii="Arial" w:eastAsia="Times New Roman" w:hAnsi="Arial" w:cs="Arial"/>
          <w:i/>
          <w:sz w:val="20"/>
          <w:szCs w:val="20"/>
        </w:rPr>
        <w:t>nfrastructure grant</w:t>
      </w:r>
      <w:r w:rsidR="00591B2F" w:rsidRPr="00CE2B73">
        <w:rPr>
          <w:rFonts w:ascii="Arial" w:eastAsia="Times New Roman" w:hAnsi="Arial" w:cs="Arial"/>
          <w:sz w:val="20"/>
          <w:szCs w:val="20"/>
        </w:rPr>
        <w:t xml:space="preserve"> for repairs of schools and </w:t>
      </w:r>
      <w:r w:rsidR="00591B2F" w:rsidRPr="00CE2B73">
        <w:rPr>
          <w:rFonts w:ascii="Arial" w:eastAsia="Times New Roman" w:hAnsi="Arial" w:cs="Arial"/>
          <w:i/>
          <w:sz w:val="20"/>
          <w:szCs w:val="20"/>
        </w:rPr>
        <w:t>P</w:t>
      </w:r>
      <w:r w:rsidRPr="00CE2B73">
        <w:rPr>
          <w:rFonts w:ascii="Arial" w:eastAsia="Times New Roman" w:hAnsi="Arial" w:cs="Arial"/>
          <w:i/>
          <w:sz w:val="20"/>
          <w:szCs w:val="20"/>
        </w:rPr>
        <w:t xml:space="preserve">rovincial </w:t>
      </w:r>
      <w:r w:rsidR="00591B2F" w:rsidRPr="00CE2B73">
        <w:rPr>
          <w:rFonts w:ascii="Arial" w:eastAsia="Times New Roman" w:hAnsi="Arial" w:cs="Arial"/>
          <w:i/>
          <w:sz w:val="20"/>
          <w:szCs w:val="20"/>
        </w:rPr>
        <w:t>Road M</w:t>
      </w:r>
      <w:r w:rsidRPr="00CE2B73">
        <w:rPr>
          <w:rFonts w:ascii="Arial" w:eastAsia="Times New Roman" w:hAnsi="Arial" w:cs="Arial"/>
          <w:i/>
          <w:sz w:val="20"/>
          <w:szCs w:val="20"/>
        </w:rPr>
        <w:t>aintenance grant</w:t>
      </w:r>
      <w:r w:rsidRPr="00CE2B73">
        <w:rPr>
          <w:rFonts w:ascii="Arial" w:eastAsia="Times New Roman" w:hAnsi="Arial" w:cs="Arial"/>
          <w:sz w:val="20"/>
          <w:szCs w:val="20"/>
        </w:rPr>
        <w:t xml:space="preserve"> for the repairs of provincial roads, as follows:</w:t>
      </w:r>
    </w:p>
    <w:p w:rsidR="00837BD2" w:rsidRPr="00CE2B73" w:rsidRDefault="00837BD2" w:rsidP="00CE2B73">
      <w:pPr>
        <w:numPr>
          <w:ilvl w:val="0"/>
          <w:numId w:val="23"/>
        </w:numPr>
        <w:tabs>
          <w:tab w:val="left" w:pos="284"/>
          <w:tab w:val="left" w:pos="567"/>
        </w:tabs>
        <w:spacing w:after="0" w:line="240" w:lineRule="auto"/>
        <w:ind w:left="1418" w:hanging="284"/>
        <w:contextualSpacing/>
        <w:rPr>
          <w:rFonts w:ascii="Arial" w:eastAsia="Times New Roman" w:hAnsi="Arial" w:cs="Arial"/>
          <w:sz w:val="20"/>
          <w:szCs w:val="20"/>
        </w:rPr>
      </w:pPr>
      <w:r w:rsidRPr="00CE2B73">
        <w:rPr>
          <w:rFonts w:ascii="Arial" w:eastAsia="Times New Roman" w:hAnsi="Arial" w:cs="Arial"/>
          <w:i/>
          <w:sz w:val="20"/>
          <w:szCs w:val="20"/>
        </w:rPr>
        <w:t>Human Settlements Development Grant</w:t>
      </w:r>
      <w:r w:rsidRPr="00CE2B73">
        <w:rPr>
          <w:rFonts w:ascii="Arial" w:eastAsia="Times New Roman" w:hAnsi="Arial" w:cs="Arial"/>
          <w:sz w:val="20"/>
          <w:szCs w:val="20"/>
        </w:rPr>
        <w:t>: R398 million in 2022</w:t>
      </w:r>
      <w:r w:rsidR="00B1187D" w:rsidRPr="00CE2B73">
        <w:rPr>
          <w:rFonts w:ascii="Arial" w:eastAsia="Times New Roman" w:hAnsi="Arial" w:cs="Arial"/>
          <w:sz w:val="20"/>
          <w:szCs w:val="20"/>
        </w:rPr>
        <w:t>/23 and R475 million in 2023/24;</w:t>
      </w:r>
    </w:p>
    <w:p w:rsidR="00837BD2" w:rsidRPr="00CE2B73" w:rsidRDefault="00837BD2" w:rsidP="00CE2B73">
      <w:pPr>
        <w:numPr>
          <w:ilvl w:val="0"/>
          <w:numId w:val="23"/>
        </w:numPr>
        <w:tabs>
          <w:tab w:val="left" w:pos="284"/>
          <w:tab w:val="left" w:pos="567"/>
        </w:tabs>
        <w:spacing w:after="0" w:line="240" w:lineRule="auto"/>
        <w:ind w:left="1418" w:hanging="284"/>
        <w:contextualSpacing/>
        <w:rPr>
          <w:rFonts w:ascii="Arial" w:eastAsia="Times New Roman" w:hAnsi="Arial" w:cs="Arial"/>
          <w:sz w:val="20"/>
          <w:szCs w:val="20"/>
        </w:rPr>
      </w:pPr>
      <w:r w:rsidRPr="00CE2B73">
        <w:rPr>
          <w:rFonts w:ascii="Arial" w:eastAsia="Times New Roman" w:hAnsi="Arial" w:cs="Arial"/>
          <w:i/>
          <w:sz w:val="20"/>
          <w:szCs w:val="20"/>
        </w:rPr>
        <w:t xml:space="preserve">Education Infrastructure Grant: </w:t>
      </w:r>
      <w:r w:rsidRPr="00CE2B73">
        <w:rPr>
          <w:rFonts w:ascii="Arial" w:eastAsia="Times New Roman" w:hAnsi="Arial" w:cs="Arial"/>
          <w:sz w:val="20"/>
          <w:szCs w:val="20"/>
        </w:rPr>
        <w:t>R145 million in 2022</w:t>
      </w:r>
      <w:r w:rsidR="00B1187D" w:rsidRPr="00CE2B73">
        <w:rPr>
          <w:rFonts w:ascii="Arial" w:eastAsia="Times New Roman" w:hAnsi="Arial" w:cs="Arial"/>
          <w:sz w:val="20"/>
          <w:szCs w:val="20"/>
        </w:rPr>
        <w:t>/23 and R326 million in 2023/24; and</w:t>
      </w:r>
    </w:p>
    <w:p w:rsidR="00837BD2" w:rsidRPr="00CE2B73" w:rsidRDefault="00837BD2" w:rsidP="00CE2B73">
      <w:pPr>
        <w:numPr>
          <w:ilvl w:val="0"/>
          <w:numId w:val="23"/>
        </w:numPr>
        <w:tabs>
          <w:tab w:val="left" w:pos="284"/>
          <w:tab w:val="left" w:pos="567"/>
        </w:tabs>
        <w:spacing w:after="0" w:line="240" w:lineRule="auto"/>
        <w:ind w:left="1418" w:hanging="284"/>
        <w:contextualSpacing/>
        <w:rPr>
          <w:rFonts w:ascii="Arial" w:eastAsia="Times New Roman" w:hAnsi="Arial" w:cs="Arial"/>
          <w:sz w:val="20"/>
          <w:szCs w:val="20"/>
        </w:rPr>
      </w:pPr>
      <w:r w:rsidRPr="00CE2B73">
        <w:rPr>
          <w:rFonts w:ascii="Arial" w:eastAsia="Times New Roman" w:hAnsi="Arial" w:cs="Arial"/>
          <w:i/>
          <w:sz w:val="20"/>
          <w:szCs w:val="20"/>
        </w:rPr>
        <w:t xml:space="preserve">Provincial Roads Maintenance Grant: </w:t>
      </w:r>
      <w:r w:rsidRPr="00CE2B73">
        <w:rPr>
          <w:rFonts w:ascii="Arial" w:eastAsia="Times New Roman" w:hAnsi="Arial" w:cs="Arial"/>
          <w:sz w:val="20"/>
          <w:szCs w:val="20"/>
        </w:rPr>
        <w:t>R490 million in 2022/23 and R294 million in 2023/24.</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Reprioritisation and reductions of provincial grants allocation </w:t>
      </w:r>
    </w:p>
    <w:p w:rsidR="00837BD2" w:rsidRPr="00CE2B73" w:rsidRDefault="00837BD2" w:rsidP="00CE2B73">
      <w:pPr>
        <w:tabs>
          <w:tab w:val="left" w:pos="284"/>
          <w:tab w:val="left" w:pos="567"/>
        </w:tabs>
        <w:spacing w:after="0" w:line="240" w:lineRule="auto"/>
        <w:ind w:left="360"/>
        <w:contextualSpacing/>
        <w:rPr>
          <w:rFonts w:ascii="Arial" w:eastAsia="Times New Roman" w:hAnsi="Arial" w:cs="Arial"/>
          <w:b/>
          <w:sz w:val="20"/>
          <w:szCs w:val="20"/>
        </w:rPr>
      </w:pPr>
    </w:p>
    <w:p w:rsidR="00837BD2" w:rsidRPr="00CE2B73" w:rsidRDefault="00837BD2" w:rsidP="00CE2B73">
      <w:pPr>
        <w:numPr>
          <w:ilvl w:val="0"/>
          <w:numId w:val="22"/>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sz w:val="20"/>
          <w:szCs w:val="20"/>
        </w:rPr>
        <w:t xml:space="preserve">To address funding shortfalls for medical internship and community services posts in provinces over the 2022 MTEF period, a proposed total of R745 million is reprioritised </w:t>
      </w:r>
      <w:r w:rsidRPr="00CE2B73">
        <w:rPr>
          <w:rFonts w:ascii="Arial" w:eastAsia="Times New Roman" w:hAnsi="Arial" w:cs="Arial"/>
          <w:sz w:val="20"/>
          <w:szCs w:val="20"/>
        </w:rPr>
        <w:lastRenderedPageBreak/>
        <w:t xml:space="preserve">to the </w:t>
      </w:r>
      <w:r w:rsidRPr="00CE2B73">
        <w:rPr>
          <w:rFonts w:ascii="Arial" w:eastAsia="Times New Roman" w:hAnsi="Arial" w:cs="Arial"/>
          <w:i/>
          <w:sz w:val="20"/>
          <w:szCs w:val="20"/>
        </w:rPr>
        <w:t>human resources and training grant</w:t>
      </w:r>
      <w:r w:rsidRPr="00CE2B73">
        <w:rPr>
          <w:rFonts w:ascii="Arial" w:eastAsia="Times New Roman" w:hAnsi="Arial" w:cs="Arial"/>
          <w:sz w:val="20"/>
          <w:szCs w:val="20"/>
        </w:rPr>
        <w:t xml:space="preserve">. These proposed funding is made available through reprioritising R345 million from the </w:t>
      </w:r>
      <w:r w:rsidR="00295D23" w:rsidRPr="00CE2B73">
        <w:rPr>
          <w:rFonts w:ascii="Arial" w:eastAsia="Times New Roman" w:hAnsi="Arial" w:cs="Arial"/>
          <w:i/>
          <w:sz w:val="20"/>
          <w:szCs w:val="20"/>
        </w:rPr>
        <w:t>Health Facility R</w:t>
      </w:r>
      <w:r w:rsidRPr="00CE2B73">
        <w:rPr>
          <w:rFonts w:ascii="Arial" w:eastAsia="Times New Roman" w:hAnsi="Arial" w:cs="Arial"/>
          <w:i/>
          <w:sz w:val="20"/>
          <w:szCs w:val="20"/>
        </w:rPr>
        <w:t>evitalisation grant</w:t>
      </w:r>
      <w:r w:rsidRPr="00CE2B73">
        <w:rPr>
          <w:rFonts w:ascii="Arial" w:eastAsia="Times New Roman" w:hAnsi="Arial" w:cs="Arial"/>
          <w:sz w:val="20"/>
          <w:szCs w:val="20"/>
        </w:rPr>
        <w:t xml:space="preserve"> and R400 million from the </w:t>
      </w:r>
      <w:r w:rsidRPr="00CE2B73">
        <w:rPr>
          <w:rFonts w:ascii="Arial" w:eastAsia="Times New Roman" w:hAnsi="Arial" w:cs="Arial"/>
          <w:i/>
          <w:sz w:val="20"/>
          <w:szCs w:val="20"/>
        </w:rPr>
        <w:t>national health insurance indirect grant</w:t>
      </w:r>
      <w:r w:rsidRPr="00CE2B73">
        <w:rPr>
          <w:rFonts w:ascii="Arial" w:eastAsia="Times New Roman" w:hAnsi="Arial" w:cs="Arial"/>
          <w:sz w:val="20"/>
          <w:szCs w:val="20"/>
        </w:rPr>
        <w:t xml:space="preserve"> over the 2022 MTEF period.</w:t>
      </w:r>
    </w:p>
    <w:p w:rsidR="00837BD2" w:rsidRPr="00CE2B73" w:rsidRDefault="00837BD2" w:rsidP="00CE2B73">
      <w:pPr>
        <w:numPr>
          <w:ilvl w:val="0"/>
          <w:numId w:val="22"/>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sz w:val="20"/>
          <w:szCs w:val="20"/>
        </w:rPr>
        <w:t xml:space="preserve"> A proposed total of R1.7 billion is reduced from the </w:t>
      </w:r>
      <w:r w:rsidR="00295D23" w:rsidRPr="00CE2B73">
        <w:rPr>
          <w:rFonts w:ascii="Arial" w:eastAsia="Times New Roman" w:hAnsi="Arial" w:cs="Arial"/>
          <w:i/>
          <w:sz w:val="20"/>
          <w:szCs w:val="20"/>
        </w:rPr>
        <w:t>Provincial Roads M</w:t>
      </w:r>
      <w:r w:rsidRPr="00CE2B73">
        <w:rPr>
          <w:rFonts w:ascii="Arial" w:eastAsia="Times New Roman" w:hAnsi="Arial" w:cs="Arial"/>
          <w:i/>
          <w:sz w:val="20"/>
          <w:szCs w:val="20"/>
        </w:rPr>
        <w:t>aintenance grant</w:t>
      </w:r>
      <w:r w:rsidRPr="00CE2B73">
        <w:rPr>
          <w:rFonts w:ascii="Arial" w:eastAsia="Times New Roman" w:hAnsi="Arial" w:cs="Arial"/>
          <w:sz w:val="20"/>
          <w:szCs w:val="20"/>
        </w:rPr>
        <w:t xml:space="preserve"> in 2022/23. These funds were set aside in the baseline for the conditional grant in the 2021 MTEF as an incentive portion allocated to provinces based on their performance within the grant. For the 2022/23 financial year, the incentive portion will not be allocated to provinces as the sector is in the process of developing and finalising a clear and objective criterion for the incentive. </w:t>
      </w:r>
    </w:p>
    <w:p w:rsidR="00837BD2" w:rsidRPr="00CE2B73" w:rsidRDefault="009E37C2" w:rsidP="00CE2B73">
      <w:pPr>
        <w:numPr>
          <w:ilvl w:val="0"/>
          <w:numId w:val="24"/>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A proposed </w:t>
      </w:r>
      <w:r w:rsidR="00837BD2" w:rsidRPr="00CE2B73">
        <w:rPr>
          <w:rFonts w:ascii="Arial" w:eastAsia="Times New Roman" w:hAnsi="Arial" w:cs="Arial"/>
          <w:sz w:val="20"/>
          <w:szCs w:val="20"/>
        </w:rPr>
        <w:t xml:space="preserve">R15 million in 2022/23, R20 million in 2023/24 and R30 million in 2024/25 will be reprioritised from the </w:t>
      </w:r>
      <w:r w:rsidR="00295D23" w:rsidRPr="00CE2B73">
        <w:rPr>
          <w:rFonts w:ascii="Arial" w:eastAsia="Times New Roman" w:hAnsi="Arial" w:cs="Arial"/>
          <w:i/>
          <w:sz w:val="20"/>
          <w:szCs w:val="20"/>
        </w:rPr>
        <w:t>Provincial Roads M</w:t>
      </w:r>
      <w:r w:rsidR="00837BD2" w:rsidRPr="00CE2B73">
        <w:rPr>
          <w:rFonts w:ascii="Arial" w:eastAsia="Times New Roman" w:hAnsi="Arial" w:cs="Arial"/>
          <w:i/>
          <w:sz w:val="20"/>
          <w:szCs w:val="20"/>
        </w:rPr>
        <w:t xml:space="preserve">aintenance grant </w:t>
      </w:r>
      <w:r w:rsidR="00837BD2" w:rsidRPr="00CE2B73">
        <w:rPr>
          <w:rFonts w:ascii="Arial" w:eastAsia="Times New Roman" w:hAnsi="Arial" w:cs="Arial"/>
          <w:sz w:val="20"/>
          <w:szCs w:val="20"/>
        </w:rPr>
        <w:t>to the Department of Transport to fund a system that will be used to centralise collected road data.</w:t>
      </w:r>
    </w:p>
    <w:p w:rsidR="00837BD2" w:rsidRPr="00CE2B73" w:rsidRDefault="00837BD2" w:rsidP="00CE2B73">
      <w:pPr>
        <w:tabs>
          <w:tab w:val="left" w:pos="284"/>
          <w:tab w:val="left" w:pos="567"/>
        </w:tabs>
        <w:spacing w:after="0" w:line="240" w:lineRule="auto"/>
        <w:rPr>
          <w:rFonts w:ascii="Arial" w:eastAsia="Times New Roman" w:hAnsi="Arial" w:cs="Arial"/>
          <w:b/>
          <w:sz w:val="20"/>
          <w:szCs w:val="20"/>
        </w:rPr>
      </w:pP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Correction to the District Health Programmes Grant framework</w:t>
      </w:r>
    </w:p>
    <w:p w:rsidR="00837BD2" w:rsidRPr="00CE2B73" w:rsidRDefault="00837BD2" w:rsidP="00CE2B73">
      <w:pPr>
        <w:tabs>
          <w:tab w:val="left" w:pos="284"/>
          <w:tab w:val="left" w:pos="567"/>
        </w:tabs>
        <w:spacing w:after="0" w:line="240" w:lineRule="auto"/>
        <w:rPr>
          <w:rFonts w:ascii="Arial" w:eastAsia="Times New Roman" w:hAnsi="Arial" w:cs="Arial"/>
          <w:b/>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overarching framework for the </w:t>
      </w:r>
      <w:r w:rsidR="00ED1771" w:rsidRPr="00CE2B73">
        <w:rPr>
          <w:rFonts w:ascii="Arial" w:eastAsia="Times New Roman" w:hAnsi="Arial" w:cs="Arial"/>
          <w:sz w:val="20"/>
          <w:szCs w:val="20"/>
        </w:rPr>
        <w:t>District Health P</w:t>
      </w:r>
      <w:r w:rsidRPr="00CE2B73">
        <w:rPr>
          <w:rFonts w:ascii="Arial" w:eastAsia="Times New Roman" w:hAnsi="Arial" w:cs="Arial"/>
          <w:sz w:val="20"/>
          <w:szCs w:val="20"/>
        </w:rPr>
        <w:t>rogrammes grant</w:t>
      </w:r>
      <w:r w:rsidRPr="00CE2B73">
        <w:rPr>
          <w:rFonts w:ascii="Arial" w:eastAsia="Times New Roman" w:hAnsi="Arial" w:cs="Arial"/>
          <w:i/>
          <w:sz w:val="20"/>
          <w:szCs w:val="20"/>
        </w:rPr>
        <w:t xml:space="preserve"> </w:t>
      </w:r>
      <w:r w:rsidRPr="00CE2B73">
        <w:rPr>
          <w:rFonts w:ascii="Arial" w:eastAsia="Times New Roman" w:hAnsi="Arial" w:cs="Arial"/>
          <w:sz w:val="20"/>
          <w:szCs w:val="20"/>
        </w:rPr>
        <w:t>framework indicates the target for human papillomav</w:t>
      </w:r>
      <w:r w:rsidR="006F566F" w:rsidRPr="00CE2B73">
        <w:rPr>
          <w:rFonts w:ascii="Arial" w:eastAsia="Times New Roman" w:hAnsi="Arial" w:cs="Arial"/>
          <w:sz w:val="20"/>
          <w:szCs w:val="20"/>
        </w:rPr>
        <w:t>irus vaccination programme to the</w:t>
      </w:r>
      <w:r w:rsidRPr="00CE2B73">
        <w:rPr>
          <w:rFonts w:ascii="Arial" w:eastAsia="Times New Roman" w:hAnsi="Arial" w:cs="Arial"/>
          <w:sz w:val="20"/>
          <w:szCs w:val="20"/>
        </w:rPr>
        <w:t xml:space="preserve"> grade seven school girls. However, the grant funds a human papillomavirus vaccination programme that is targeted at grade five girls in public schools and special schools. The grant framework for the District Health component shows the correct target for human papillomavirus vaccination programme. The error does not affect allocations per province; however, it creates confusion on the targeted grade for human papillomavirus vaccination programme in schools. National Treasury requests the Standing Committee on Appropriations to recommend that the conditional grant framework be corrected as part of the gazette that will be issued in terms of section 15 of the Act, once the Bill is enacted.</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Changes and renaming of provincial grants </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295D23" w:rsidP="00CE2B73">
      <w:pPr>
        <w:numPr>
          <w:ilvl w:val="0"/>
          <w:numId w:val="26"/>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i/>
          <w:sz w:val="20"/>
          <w:szCs w:val="20"/>
        </w:rPr>
        <w:t xml:space="preserve">  The HIV, TB, M</w:t>
      </w:r>
      <w:r w:rsidR="00837BD2" w:rsidRPr="00CE2B73">
        <w:rPr>
          <w:rFonts w:ascii="Arial" w:eastAsia="Times New Roman" w:hAnsi="Arial" w:cs="Arial"/>
          <w:i/>
          <w:sz w:val="20"/>
          <w:szCs w:val="20"/>
        </w:rPr>
        <w:t>alaria an</w:t>
      </w:r>
      <w:r w:rsidRPr="00CE2B73">
        <w:rPr>
          <w:rFonts w:ascii="Arial" w:eastAsia="Times New Roman" w:hAnsi="Arial" w:cs="Arial"/>
          <w:i/>
          <w:sz w:val="20"/>
          <w:szCs w:val="20"/>
        </w:rPr>
        <w:t>d Community O</w:t>
      </w:r>
      <w:r w:rsidR="00837BD2" w:rsidRPr="00CE2B73">
        <w:rPr>
          <w:rFonts w:ascii="Arial" w:eastAsia="Times New Roman" w:hAnsi="Arial" w:cs="Arial"/>
          <w:i/>
          <w:sz w:val="20"/>
          <w:szCs w:val="20"/>
        </w:rPr>
        <w:t xml:space="preserve">utreach grant </w:t>
      </w:r>
      <w:r w:rsidR="00837BD2" w:rsidRPr="00CE2B73">
        <w:rPr>
          <w:rFonts w:ascii="Arial" w:eastAsia="Times New Roman" w:hAnsi="Arial" w:cs="Arial"/>
          <w:sz w:val="20"/>
          <w:szCs w:val="20"/>
        </w:rPr>
        <w:t xml:space="preserve">is renamed to </w:t>
      </w:r>
      <w:r w:rsidRPr="00CE2B73">
        <w:rPr>
          <w:rFonts w:ascii="Arial" w:eastAsia="Times New Roman" w:hAnsi="Arial" w:cs="Arial"/>
          <w:i/>
          <w:sz w:val="20"/>
          <w:szCs w:val="20"/>
        </w:rPr>
        <w:t>District H</w:t>
      </w:r>
      <w:r w:rsidR="00837BD2" w:rsidRPr="00CE2B73">
        <w:rPr>
          <w:rFonts w:ascii="Arial" w:eastAsia="Times New Roman" w:hAnsi="Arial" w:cs="Arial"/>
          <w:i/>
          <w:sz w:val="20"/>
          <w:szCs w:val="20"/>
        </w:rPr>
        <w:t>ealth programme grant</w:t>
      </w:r>
      <w:r w:rsidR="00837BD2" w:rsidRPr="00CE2B73">
        <w:rPr>
          <w:rFonts w:ascii="Arial" w:eastAsia="Times New Roman" w:hAnsi="Arial" w:cs="Arial"/>
          <w:sz w:val="20"/>
          <w:szCs w:val="20"/>
        </w:rPr>
        <w:t xml:space="preserve">. Though it will still be used for the same purpose, the number of components within the grant will be reduced to two. The mental health services component and the oncology service component of the previous grant is shifted to the </w:t>
      </w:r>
      <w:r w:rsidRPr="00CE2B73">
        <w:rPr>
          <w:rFonts w:ascii="Arial" w:eastAsia="Times New Roman" w:hAnsi="Arial" w:cs="Arial"/>
          <w:i/>
          <w:sz w:val="20"/>
          <w:szCs w:val="20"/>
        </w:rPr>
        <w:t>National H</w:t>
      </w:r>
      <w:r w:rsidR="00837BD2" w:rsidRPr="00CE2B73">
        <w:rPr>
          <w:rFonts w:ascii="Arial" w:eastAsia="Times New Roman" w:hAnsi="Arial" w:cs="Arial"/>
          <w:i/>
          <w:sz w:val="20"/>
          <w:szCs w:val="20"/>
        </w:rPr>
        <w:t>ealth insurance grant</w:t>
      </w:r>
      <w:r w:rsidR="00837BD2" w:rsidRPr="00CE2B73">
        <w:rPr>
          <w:rFonts w:ascii="Arial" w:eastAsia="Times New Roman" w:hAnsi="Arial" w:cs="Arial"/>
          <w:sz w:val="20"/>
          <w:szCs w:val="20"/>
        </w:rPr>
        <w:t xml:space="preserve">. </w:t>
      </w:r>
    </w:p>
    <w:p w:rsidR="00837BD2" w:rsidRPr="00CE2B73" w:rsidRDefault="00837BD2" w:rsidP="00CE2B73">
      <w:pPr>
        <w:numPr>
          <w:ilvl w:val="0"/>
          <w:numId w:val="26"/>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The early childhood development programm</w:t>
      </w:r>
      <w:r w:rsidR="00065D52" w:rsidRPr="00CE2B73">
        <w:rPr>
          <w:rFonts w:ascii="Arial" w:eastAsia="Times New Roman" w:hAnsi="Arial" w:cs="Arial"/>
          <w:sz w:val="20"/>
          <w:szCs w:val="20"/>
        </w:rPr>
        <w:t>e will be transferred from the D</w:t>
      </w:r>
      <w:r w:rsidRPr="00CE2B73">
        <w:rPr>
          <w:rFonts w:ascii="Arial" w:eastAsia="Times New Roman" w:hAnsi="Arial" w:cs="Arial"/>
          <w:sz w:val="20"/>
          <w:szCs w:val="20"/>
        </w:rPr>
        <w:t xml:space="preserve">epartment of Social Development to the Department of Basic Education from April 2022. As a result, the </w:t>
      </w:r>
      <w:r w:rsidR="00295D23" w:rsidRPr="00CE2B73">
        <w:rPr>
          <w:rFonts w:ascii="Arial" w:eastAsia="Times New Roman" w:hAnsi="Arial" w:cs="Arial"/>
          <w:i/>
          <w:sz w:val="20"/>
          <w:szCs w:val="20"/>
        </w:rPr>
        <w:t>E</w:t>
      </w:r>
      <w:r w:rsidRPr="00CE2B73">
        <w:rPr>
          <w:rFonts w:ascii="Arial" w:eastAsia="Times New Roman" w:hAnsi="Arial" w:cs="Arial"/>
          <w:i/>
          <w:sz w:val="20"/>
          <w:szCs w:val="20"/>
        </w:rPr>
        <w:t>arly</w:t>
      </w:r>
      <w:r w:rsidRPr="00CE2B73">
        <w:rPr>
          <w:rFonts w:ascii="Arial" w:eastAsia="Times New Roman" w:hAnsi="Arial" w:cs="Arial"/>
          <w:sz w:val="20"/>
          <w:szCs w:val="20"/>
        </w:rPr>
        <w:t xml:space="preserve"> </w:t>
      </w:r>
      <w:r w:rsidR="00295D23" w:rsidRPr="00CE2B73">
        <w:rPr>
          <w:rFonts w:ascii="Arial" w:eastAsia="Times New Roman" w:hAnsi="Arial" w:cs="Arial"/>
          <w:sz w:val="20"/>
          <w:szCs w:val="20"/>
        </w:rPr>
        <w:t>C</w:t>
      </w:r>
      <w:r w:rsidR="00295D23" w:rsidRPr="00CE2B73">
        <w:rPr>
          <w:rFonts w:ascii="Arial" w:eastAsia="Times New Roman" w:hAnsi="Arial" w:cs="Arial"/>
          <w:i/>
          <w:sz w:val="20"/>
          <w:szCs w:val="20"/>
        </w:rPr>
        <w:t>hildhood D</w:t>
      </w:r>
      <w:r w:rsidRPr="00CE2B73">
        <w:rPr>
          <w:rFonts w:ascii="Arial" w:eastAsia="Times New Roman" w:hAnsi="Arial" w:cs="Arial"/>
          <w:i/>
          <w:sz w:val="20"/>
          <w:szCs w:val="20"/>
        </w:rPr>
        <w:t>evelopment grant</w:t>
      </w:r>
      <w:r w:rsidRPr="00CE2B73">
        <w:rPr>
          <w:rFonts w:ascii="Arial" w:eastAsia="Times New Roman" w:hAnsi="Arial" w:cs="Arial"/>
          <w:sz w:val="20"/>
          <w:szCs w:val="20"/>
        </w:rPr>
        <w:t xml:space="preserve"> will be moved from the Department of social Development to the Department of Basic Education. </w:t>
      </w:r>
    </w:p>
    <w:p w:rsidR="00837BD2" w:rsidRPr="00CE2B73" w:rsidRDefault="00837BD2" w:rsidP="00CE2B73">
      <w:pPr>
        <w:numPr>
          <w:ilvl w:val="0"/>
          <w:numId w:val="26"/>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The name of the </w:t>
      </w:r>
      <w:r w:rsidR="00585FA6" w:rsidRPr="00CE2B73">
        <w:rPr>
          <w:rFonts w:ascii="Arial" w:eastAsia="Times New Roman" w:hAnsi="Arial" w:cs="Arial"/>
          <w:i/>
          <w:sz w:val="20"/>
          <w:szCs w:val="20"/>
        </w:rPr>
        <w:t>Provincial Disaster R</w:t>
      </w:r>
      <w:r w:rsidRPr="00CE2B73">
        <w:rPr>
          <w:rFonts w:ascii="Arial" w:eastAsia="Times New Roman" w:hAnsi="Arial" w:cs="Arial"/>
          <w:i/>
          <w:sz w:val="20"/>
          <w:szCs w:val="20"/>
        </w:rPr>
        <w:t>elief grant</w:t>
      </w:r>
      <w:r w:rsidRPr="00CE2B73">
        <w:rPr>
          <w:rFonts w:ascii="Arial" w:eastAsia="Times New Roman" w:hAnsi="Arial" w:cs="Arial"/>
          <w:sz w:val="20"/>
          <w:szCs w:val="20"/>
        </w:rPr>
        <w:t xml:space="preserve"> is renamed to </w:t>
      </w:r>
      <w:r w:rsidR="00295D23" w:rsidRPr="00CE2B73">
        <w:rPr>
          <w:rFonts w:ascii="Arial" w:eastAsia="Times New Roman" w:hAnsi="Arial" w:cs="Arial"/>
          <w:i/>
          <w:sz w:val="20"/>
          <w:szCs w:val="20"/>
        </w:rPr>
        <w:t>Provincial Disaster R</w:t>
      </w:r>
      <w:r w:rsidRPr="00CE2B73">
        <w:rPr>
          <w:rFonts w:ascii="Arial" w:eastAsia="Times New Roman" w:hAnsi="Arial" w:cs="Arial"/>
          <w:i/>
          <w:sz w:val="20"/>
          <w:szCs w:val="20"/>
        </w:rPr>
        <w:t>esponse grant</w:t>
      </w:r>
      <w:r w:rsidRPr="00CE2B73">
        <w:rPr>
          <w:rFonts w:ascii="Arial" w:eastAsia="Times New Roman" w:hAnsi="Arial" w:cs="Arial"/>
          <w:sz w:val="20"/>
          <w:szCs w:val="20"/>
        </w:rPr>
        <w:t xml:space="preserve">, to align the existing processes and actions that are followed by the National Disaster Management Centre in responding to disasters, including the provision of relief where it is needed. </w:t>
      </w:r>
    </w:p>
    <w:p w:rsidR="00837BD2" w:rsidRPr="00CE2B73" w:rsidRDefault="00837BD2" w:rsidP="00CE2B73">
      <w:pPr>
        <w:tabs>
          <w:tab w:val="left" w:pos="284"/>
          <w:tab w:val="left" w:pos="567"/>
        </w:tabs>
        <w:spacing w:after="0" w:line="240" w:lineRule="auto"/>
        <w:rPr>
          <w:rFonts w:ascii="Arial" w:eastAsia="Times New Roman" w:hAnsi="Arial" w:cs="Arial"/>
          <w:b/>
          <w:sz w:val="20"/>
          <w:szCs w:val="20"/>
        </w:rPr>
      </w:pPr>
    </w:p>
    <w:p w:rsidR="00837BD2" w:rsidRPr="00CE2B73" w:rsidRDefault="00837BD2" w:rsidP="00CE2B73">
      <w:pPr>
        <w:numPr>
          <w:ilvl w:val="0"/>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Local government fiscal framework and allocations </w:t>
      </w:r>
    </w:p>
    <w:p w:rsidR="00837BD2" w:rsidRPr="00CE2B73" w:rsidRDefault="00837BD2" w:rsidP="00CE2B73">
      <w:pPr>
        <w:tabs>
          <w:tab w:val="left" w:pos="284"/>
          <w:tab w:val="left" w:pos="567"/>
        </w:tabs>
        <w:spacing w:after="0" w:line="240" w:lineRule="auto"/>
        <w:rPr>
          <w:rFonts w:ascii="Arial" w:eastAsia="Times New Roman" w:hAnsi="Arial" w:cs="Arial"/>
          <w:b/>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Funds raised by national government are transferred to municipalities through conditional and unconditional grants. Over the 2022 MTEF period, R481.3 billion will be directly transferred to local government, and a further R25.4 billion is allocated through indirect gra</w:t>
      </w:r>
      <w:r w:rsidR="006F566F" w:rsidRPr="00CE2B73">
        <w:rPr>
          <w:rFonts w:ascii="Arial" w:eastAsia="Times New Roman" w:hAnsi="Arial" w:cs="Arial"/>
          <w:sz w:val="20"/>
          <w:szCs w:val="20"/>
        </w:rPr>
        <w:t>nts. National transfers account</w:t>
      </w:r>
      <w:r w:rsidRPr="00CE2B73">
        <w:rPr>
          <w:rFonts w:ascii="Arial" w:eastAsia="Times New Roman" w:hAnsi="Arial" w:cs="Arial"/>
          <w:sz w:val="20"/>
          <w:szCs w:val="20"/>
        </w:rPr>
        <w:t xml:space="preserve"> for a relatively small portion of the local government fiscal framework, with the majority of local government revenues being raised by municipalities themselves through their substantial revenue-raising powers. Direct transfers to local government over the medium term accounts for 9.8 per cent of national government’s non-interest expenditure. When adding indirect transfers, total spending on local government increases to 10.3 per cent of national government’s non-interest expenditure. However, due to the variations in municipalities, poor rural municipalities rely on receiving most of their revenue from transfers, while urban municipalities raise the majority of their own revenue. Consequently, transfers per household to the most rural municipalities are more than twice as large as those in metropolitan municipalities. Allocatio</w:t>
      </w:r>
      <w:r w:rsidR="006F566F" w:rsidRPr="00CE2B73">
        <w:rPr>
          <w:rFonts w:ascii="Arial" w:eastAsia="Times New Roman" w:hAnsi="Arial" w:cs="Arial"/>
          <w:sz w:val="20"/>
          <w:szCs w:val="20"/>
        </w:rPr>
        <w:t>ns to local government increase</w:t>
      </w:r>
      <w:r w:rsidRPr="00CE2B73">
        <w:rPr>
          <w:rFonts w:ascii="Arial" w:eastAsia="Times New Roman" w:hAnsi="Arial" w:cs="Arial"/>
          <w:sz w:val="20"/>
          <w:szCs w:val="20"/>
        </w:rPr>
        <w:t xml:space="preserve"> by R31.5 billion relative to the indicative allocations in the 2021 budget. However, since the 2021 MTBPS, local </w:t>
      </w:r>
      <w:r w:rsidRPr="00CE2B73">
        <w:rPr>
          <w:rFonts w:ascii="Arial" w:eastAsia="Times New Roman" w:hAnsi="Arial" w:cs="Arial"/>
          <w:sz w:val="20"/>
          <w:szCs w:val="20"/>
        </w:rPr>
        <w:lastRenderedPageBreak/>
        <w:t xml:space="preserve">government allocations have been increased by R30.7 billion, consisting of R28.9 billion to the local government equitable share and R1.8 billion in indirect conditional grants. </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sz w:val="20"/>
          <w:szCs w:val="20"/>
        </w:rPr>
        <w:t xml:space="preserve"> </w:t>
      </w:r>
      <w:r w:rsidRPr="00CE2B73">
        <w:rPr>
          <w:rFonts w:ascii="Arial" w:eastAsia="Times New Roman" w:hAnsi="Arial" w:cs="Arial"/>
          <w:b/>
          <w:sz w:val="20"/>
          <w:szCs w:val="20"/>
        </w:rPr>
        <w:t>Changes to local government equitable share allocations</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Over the 2022 MTEF, the local government equitable share is increased by R28.9 billion (R4.2 billion in 2022/23, R10.5 billion in 2023/24 and R14.2 billion in 2024/25) to expand the provision of free basic services to poor households.  </w:t>
      </w:r>
    </w:p>
    <w:p w:rsidR="00837BD2" w:rsidRPr="00CE2B73" w:rsidRDefault="00837BD2" w:rsidP="00CE2B73">
      <w:pPr>
        <w:tabs>
          <w:tab w:val="left" w:pos="284"/>
          <w:tab w:val="left" w:pos="567"/>
        </w:tabs>
        <w:spacing w:after="0" w:line="240" w:lineRule="auto"/>
        <w:rPr>
          <w:rFonts w:ascii="Arial" w:eastAsia="Times New Roman" w:hAnsi="Arial" w:cs="Arial"/>
          <w:sz w:val="20"/>
          <w:szCs w:val="20"/>
        </w:rPr>
      </w:pP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Additions to the local government conditional grants allocation</w:t>
      </w:r>
    </w:p>
    <w:p w:rsidR="00837BD2" w:rsidRPr="00CE2B73" w:rsidRDefault="00837BD2" w:rsidP="00CE2B73">
      <w:pPr>
        <w:tabs>
          <w:tab w:val="left" w:pos="284"/>
          <w:tab w:val="left" w:pos="567"/>
        </w:tabs>
        <w:spacing w:after="0" w:line="240" w:lineRule="auto"/>
        <w:ind w:left="360"/>
        <w:contextualSpacing/>
        <w:rPr>
          <w:rFonts w:ascii="Arial" w:eastAsia="Times New Roman" w:hAnsi="Arial" w:cs="Arial"/>
          <w:b/>
          <w:sz w:val="20"/>
          <w:szCs w:val="20"/>
        </w:rPr>
      </w:pPr>
    </w:p>
    <w:p w:rsidR="00837BD2" w:rsidRPr="00CE2B73" w:rsidRDefault="00837BD2" w:rsidP="00CE2B73">
      <w:pPr>
        <w:numPr>
          <w:ilvl w:val="0"/>
          <w:numId w:val="25"/>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sz w:val="20"/>
          <w:szCs w:val="20"/>
        </w:rPr>
        <w:t xml:space="preserve">  A proposed total of R1 billion is added to the direct </w:t>
      </w:r>
      <w:r w:rsidR="00295D23" w:rsidRPr="00CE2B73">
        <w:rPr>
          <w:rFonts w:ascii="Arial" w:eastAsia="Times New Roman" w:hAnsi="Arial" w:cs="Arial"/>
          <w:i/>
          <w:sz w:val="20"/>
          <w:szCs w:val="20"/>
        </w:rPr>
        <w:t>Regional Bulk I</w:t>
      </w:r>
      <w:r w:rsidRPr="00CE2B73">
        <w:rPr>
          <w:rFonts w:ascii="Arial" w:eastAsia="Times New Roman" w:hAnsi="Arial" w:cs="Arial"/>
          <w:i/>
          <w:sz w:val="20"/>
          <w:szCs w:val="20"/>
        </w:rPr>
        <w:t>nfrastructure grant</w:t>
      </w:r>
      <w:r w:rsidRPr="00CE2B73">
        <w:rPr>
          <w:rFonts w:ascii="Arial" w:eastAsia="Times New Roman" w:hAnsi="Arial" w:cs="Arial"/>
          <w:sz w:val="20"/>
          <w:szCs w:val="20"/>
        </w:rPr>
        <w:t xml:space="preserve"> for George Local Municipality to implement the po</w:t>
      </w:r>
      <w:r w:rsidR="008E29AB" w:rsidRPr="00CE2B73">
        <w:rPr>
          <w:rFonts w:ascii="Arial" w:eastAsia="Times New Roman" w:hAnsi="Arial" w:cs="Arial"/>
          <w:sz w:val="20"/>
          <w:szCs w:val="20"/>
        </w:rPr>
        <w:t>r</w:t>
      </w:r>
      <w:r w:rsidRPr="00CE2B73">
        <w:rPr>
          <w:rFonts w:ascii="Arial" w:eastAsia="Times New Roman" w:hAnsi="Arial" w:cs="Arial"/>
          <w:sz w:val="20"/>
          <w:szCs w:val="20"/>
        </w:rPr>
        <w:t xml:space="preserve">table water security and remedial works project over the medium term. This is funded from the Budget Facility for Infrastructure (BIF). </w:t>
      </w:r>
    </w:p>
    <w:p w:rsidR="00837BD2" w:rsidRPr="00CE2B73" w:rsidRDefault="00837BD2" w:rsidP="00CE2B73">
      <w:pPr>
        <w:numPr>
          <w:ilvl w:val="0"/>
          <w:numId w:val="25"/>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proposed total of R1.7 billion (R800 million in 2022/23 and R856 million in 2023/24) is added to the</w:t>
      </w:r>
      <w:r w:rsidR="00FE54FC" w:rsidRPr="00CE2B73">
        <w:rPr>
          <w:rFonts w:ascii="Arial" w:eastAsia="Times New Roman" w:hAnsi="Arial" w:cs="Arial"/>
          <w:sz w:val="20"/>
          <w:szCs w:val="20"/>
        </w:rPr>
        <w:t xml:space="preserve"> direct</w:t>
      </w:r>
      <w:r w:rsidRPr="00CE2B73">
        <w:rPr>
          <w:rFonts w:ascii="Arial" w:eastAsia="Times New Roman" w:hAnsi="Arial" w:cs="Arial"/>
          <w:sz w:val="20"/>
          <w:szCs w:val="20"/>
        </w:rPr>
        <w:t xml:space="preserve"> </w:t>
      </w:r>
      <w:r w:rsidR="00295D23" w:rsidRPr="00CE2B73">
        <w:rPr>
          <w:rFonts w:ascii="Arial" w:eastAsia="Times New Roman" w:hAnsi="Arial" w:cs="Arial"/>
          <w:i/>
          <w:sz w:val="20"/>
          <w:szCs w:val="20"/>
        </w:rPr>
        <w:t>N</w:t>
      </w:r>
      <w:r w:rsidRPr="00CE2B73">
        <w:rPr>
          <w:rFonts w:ascii="Arial" w:eastAsia="Times New Roman" w:hAnsi="Arial" w:cs="Arial"/>
          <w:i/>
          <w:sz w:val="20"/>
          <w:szCs w:val="20"/>
        </w:rPr>
        <w:t>eighbo</w:t>
      </w:r>
      <w:r w:rsidR="00295D23" w:rsidRPr="00CE2B73">
        <w:rPr>
          <w:rFonts w:ascii="Arial" w:eastAsia="Times New Roman" w:hAnsi="Arial" w:cs="Arial"/>
          <w:i/>
          <w:sz w:val="20"/>
          <w:szCs w:val="20"/>
        </w:rPr>
        <w:t>urhood Development P</w:t>
      </w:r>
      <w:r w:rsidRPr="00CE2B73">
        <w:rPr>
          <w:rFonts w:ascii="Arial" w:eastAsia="Times New Roman" w:hAnsi="Arial" w:cs="Arial"/>
          <w:i/>
          <w:sz w:val="20"/>
          <w:szCs w:val="20"/>
        </w:rPr>
        <w:t>artnership grant</w:t>
      </w:r>
      <w:r w:rsidRPr="00CE2B73">
        <w:rPr>
          <w:rFonts w:ascii="Arial" w:eastAsia="Times New Roman" w:hAnsi="Arial" w:cs="Arial"/>
          <w:sz w:val="20"/>
          <w:szCs w:val="20"/>
        </w:rPr>
        <w:t xml:space="preserve"> to fund the continuation</w:t>
      </w:r>
      <w:r w:rsidR="00FE54FC" w:rsidRPr="00CE2B73">
        <w:rPr>
          <w:rFonts w:ascii="Arial" w:eastAsia="Times New Roman" w:hAnsi="Arial" w:cs="Arial"/>
          <w:sz w:val="20"/>
          <w:szCs w:val="20"/>
        </w:rPr>
        <w:t xml:space="preserve"> of government’s response to job losses due to the impact of Covid-19 through </w:t>
      </w:r>
      <w:r w:rsidRPr="00CE2B73">
        <w:rPr>
          <w:rFonts w:ascii="Arial" w:eastAsia="Times New Roman" w:hAnsi="Arial" w:cs="Arial"/>
          <w:sz w:val="20"/>
          <w:szCs w:val="20"/>
        </w:rPr>
        <w:t xml:space="preserve">city led public employment programmes as part of the Presidential Employment Initiative over the next two years. </w:t>
      </w:r>
    </w:p>
    <w:p w:rsidR="00837BD2" w:rsidRPr="00CE2B73" w:rsidRDefault="008E29AB" w:rsidP="00CE2B73">
      <w:pPr>
        <w:numPr>
          <w:ilvl w:val="0"/>
          <w:numId w:val="25"/>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w:t>
      </w:r>
      <w:r w:rsidR="006F566F" w:rsidRPr="00CE2B73">
        <w:rPr>
          <w:rFonts w:ascii="Arial" w:eastAsia="Times New Roman" w:hAnsi="Arial" w:cs="Arial"/>
          <w:sz w:val="20"/>
          <w:szCs w:val="20"/>
        </w:rPr>
        <w:t>roposed reduction</w:t>
      </w:r>
      <w:r w:rsidR="00837BD2" w:rsidRPr="00CE2B73">
        <w:rPr>
          <w:rFonts w:ascii="Arial" w:eastAsia="Times New Roman" w:hAnsi="Arial" w:cs="Arial"/>
          <w:sz w:val="20"/>
          <w:szCs w:val="20"/>
        </w:rPr>
        <w:t xml:space="preserve"> of R754 million in 2022/23 and R105 million in 2023/24 and an increase of R 621 million in 2024/25 in the </w:t>
      </w:r>
      <w:r w:rsidR="00295D23" w:rsidRPr="00CE2B73">
        <w:rPr>
          <w:rFonts w:ascii="Arial" w:eastAsia="Times New Roman" w:hAnsi="Arial" w:cs="Arial"/>
          <w:i/>
          <w:sz w:val="20"/>
          <w:szCs w:val="20"/>
        </w:rPr>
        <w:t>Public Transport N</w:t>
      </w:r>
      <w:r w:rsidR="00837BD2" w:rsidRPr="00CE2B73">
        <w:rPr>
          <w:rFonts w:ascii="Arial" w:eastAsia="Times New Roman" w:hAnsi="Arial" w:cs="Arial"/>
          <w:i/>
          <w:sz w:val="20"/>
          <w:szCs w:val="20"/>
        </w:rPr>
        <w:t>etwork grant</w:t>
      </w:r>
      <w:r w:rsidR="00837BD2" w:rsidRPr="00CE2B73">
        <w:rPr>
          <w:rFonts w:ascii="Arial" w:eastAsia="Times New Roman" w:hAnsi="Arial" w:cs="Arial"/>
          <w:sz w:val="20"/>
          <w:szCs w:val="20"/>
        </w:rPr>
        <w:t xml:space="preserve"> to align </w:t>
      </w:r>
      <w:r w:rsidRPr="00CE2B73">
        <w:rPr>
          <w:rFonts w:ascii="Arial" w:eastAsia="Times New Roman" w:hAnsi="Arial" w:cs="Arial"/>
          <w:sz w:val="20"/>
          <w:szCs w:val="20"/>
        </w:rPr>
        <w:t xml:space="preserve">it </w:t>
      </w:r>
      <w:r w:rsidR="00837BD2" w:rsidRPr="00CE2B73">
        <w:rPr>
          <w:rFonts w:ascii="Arial" w:eastAsia="Times New Roman" w:hAnsi="Arial" w:cs="Arial"/>
          <w:sz w:val="20"/>
          <w:szCs w:val="20"/>
        </w:rPr>
        <w:t>to the revised implementation plan and cash flow projections for the City of Cape Town’s MyCiti public transport network.</w:t>
      </w:r>
    </w:p>
    <w:p w:rsidR="00837BD2" w:rsidRPr="00CE2B73" w:rsidRDefault="00837BD2" w:rsidP="00CE2B73">
      <w:pPr>
        <w:numPr>
          <w:ilvl w:val="0"/>
          <w:numId w:val="25"/>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proposed total of R347 million (R26 million in 2022/23 and R321 million in 2023/24) is allocated over the next two years to fund the introduction of the </w:t>
      </w:r>
      <w:r w:rsidR="00295D23" w:rsidRPr="00CE2B73">
        <w:rPr>
          <w:rFonts w:ascii="Arial" w:eastAsia="Times New Roman" w:hAnsi="Arial" w:cs="Arial"/>
          <w:i/>
          <w:sz w:val="20"/>
          <w:szCs w:val="20"/>
        </w:rPr>
        <w:t>Municipal Disaster R</w:t>
      </w:r>
      <w:r w:rsidRPr="00CE2B73">
        <w:rPr>
          <w:rFonts w:ascii="Arial" w:eastAsia="Times New Roman" w:hAnsi="Arial" w:cs="Arial"/>
          <w:i/>
          <w:sz w:val="20"/>
          <w:szCs w:val="20"/>
        </w:rPr>
        <w:t>ecovery grant</w:t>
      </w:r>
      <w:r w:rsidRPr="00CE2B73">
        <w:rPr>
          <w:rFonts w:ascii="Arial" w:eastAsia="Times New Roman" w:hAnsi="Arial" w:cs="Arial"/>
          <w:sz w:val="20"/>
          <w:szCs w:val="20"/>
        </w:rPr>
        <w:t xml:space="preserve">. The grant is introduced to fund repairs of municipal infrastructure in KwaZulu-Natal that was damaged by natural disasters that took place between October 2019 and January 2020. </w:t>
      </w:r>
    </w:p>
    <w:p w:rsidR="00837BD2" w:rsidRPr="00CE2B73" w:rsidRDefault="00837BD2" w:rsidP="00CE2B73">
      <w:pPr>
        <w:tabs>
          <w:tab w:val="left" w:pos="284"/>
          <w:tab w:val="left" w:pos="567"/>
        </w:tabs>
        <w:spacing w:after="0" w:line="240" w:lineRule="auto"/>
        <w:rPr>
          <w:rFonts w:ascii="Arial" w:eastAsia="Times New Roman" w:hAnsi="Arial" w:cs="Arial"/>
          <w:b/>
          <w:sz w:val="20"/>
          <w:szCs w:val="20"/>
        </w:rPr>
      </w:pPr>
    </w:p>
    <w:p w:rsidR="00837BD2" w:rsidRPr="00CE2B73" w:rsidRDefault="00ED1771"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w:t>
      </w:r>
      <w:r w:rsidR="00837BD2" w:rsidRPr="00CE2B73">
        <w:rPr>
          <w:rFonts w:ascii="Arial" w:eastAsia="Times New Roman" w:hAnsi="Arial" w:cs="Arial"/>
          <w:b/>
          <w:sz w:val="20"/>
          <w:szCs w:val="20"/>
        </w:rPr>
        <w:t>Reprioritisation of local government conditional grants</w:t>
      </w:r>
    </w:p>
    <w:p w:rsidR="00837BD2" w:rsidRPr="00CE2B73" w:rsidRDefault="00837BD2" w:rsidP="00CE2B73">
      <w:pPr>
        <w:tabs>
          <w:tab w:val="left" w:pos="284"/>
          <w:tab w:val="left" w:pos="567"/>
        </w:tabs>
        <w:spacing w:after="0" w:line="240" w:lineRule="auto"/>
        <w:ind w:left="360"/>
        <w:contextualSpacing/>
        <w:rPr>
          <w:rFonts w:ascii="Arial" w:eastAsia="Times New Roman" w:hAnsi="Arial" w:cs="Arial"/>
          <w:b/>
          <w:sz w:val="20"/>
          <w:szCs w:val="20"/>
        </w:rPr>
      </w:pPr>
    </w:p>
    <w:p w:rsidR="00837BD2" w:rsidRPr="00CE2B73" w:rsidRDefault="00837BD2" w:rsidP="00CE2B73">
      <w:pPr>
        <w:numPr>
          <w:ilvl w:val="0"/>
          <w:numId w:val="25"/>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proposed total of R8 million in 2022/23 and 2023/24 respectively is reprioritised from the </w:t>
      </w:r>
      <w:r w:rsidR="00295D23" w:rsidRPr="00CE2B73">
        <w:rPr>
          <w:rFonts w:ascii="Arial" w:eastAsia="Times New Roman" w:hAnsi="Arial" w:cs="Arial"/>
          <w:i/>
          <w:sz w:val="20"/>
          <w:szCs w:val="20"/>
        </w:rPr>
        <w:t>Energy Efficiency and D</w:t>
      </w:r>
      <w:r w:rsidRPr="00CE2B73">
        <w:rPr>
          <w:rFonts w:ascii="Arial" w:eastAsia="Times New Roman" w:hAnsi="Arial" w:cs="Arial"/>
          <w:i/>
          <w:sz w:val="20"/>
          <w:szCs w:val="20"/>
        </w:rPr>
        <w:t xml:space="preserve">emand </w:t>
      </w:r>
      <w:r w:rsidR="00295D23" w:rsidRPr="00CE2B73">
        <w:rPr>
          <w:rFonts w:ascii="Arial" w:eastAsia="Times New Roman" w:hAnsi="Arial" w:cs="Arial"/>
          <w:i/>
          <w:sz w:val="20"/>
          <w:szCs w:val="20"/>
        </w:rPr>
        <w:t>Side M</w:t>
      </w:r>
      <w:r w:rsidRPr="00CE2B73">
        <w:rPr>
          <w:rFonts w:ascii="Arial" w:eastAsia="Times New Roman" w:hAnsi="Arial" w:cs="Arial"/>
          <w:i/>
          <w:sz w:val="20"/>
          <w:szCs w:val="20"/>
        </w:rPr>
        <w:t xml:space="preserve">anagement grant </w:t>
      </w:r>
      <w:r w:rsidRPr="00CE2B73">
        <w:rPr>
          <w:rFonts w:ascii="Arial" w:eastAsia="Times New Roman" w:hAnsi="Arial" w:cs="Arial"/>
          <w:sz w:val="20"/>
          <w:szCs w:val="20"/>
        </w:rPr>
        <w:t>to finance the operational requirements within the vote of the Department of Mineral Resources and Energy.</w:t>
      </w:r>
    </w:p>
    <w:p w:rsidR="00837BD2" w:rsidRPr="00CE2B73" w:rsidRDefault="00837BD2" w:rsidP="00CE2B73">
      <w:pPr>
        <w:numPr>
          <w:ilvl w:val="0"/>
          <w:numId w:val="25"/>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A proposed total of R50 million has been reprioritised from the </w:t>
      </w:r>
      <w:r w:rsidRPr="00CE2B73">
        <w:rPr>
          <w:rFonts w:ascii="Arial" w:eastAsia="Times New Roman" w:hAnsi="Arial" w:cs="Arial"/>
          <w:i/>
          <w:sz w:val="20"/>
          <w:szCs w:val="20"/>
        </w:rPr>
        <w:t>Integrated National Electrification Programme (Eskom) Grant</w:t>
      </w:r>
      <w:r w:rsidRPr="00CE2B73">
        <w:rPr>
          <w:rFonts w:ascii="Arial" w:eastAsia="Times New Roman" w:hAnsi="Arial" w:cs="Arial"/>
          <w:sz w:val="20"/>
          <w:szCs w:val="20"/>
        </w:rPr>
        <w:t xml:space="preserve"> to finance the operational requirements of the Independent Power Producer Office in 2022/23</w:t>
      </w:r>
    </w:p>
    <w:p w:rsidR="00837BD2" w:rsidRPr="00CE2B73" w:rsidRDefault="008E29AB" w:rsidP="00CE2B73">
      <w:pPr>
        <w:numPr>
          <w:ilvl w:val="0"/>
          <w:numId w:val="25"/>
        </w:num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   </w:t>
      </w:r>
      <w:r w:rsidR="00837BD2" w:rsidRPr="00CE2B73">
        <w:rPr>
          <w:rFonts w:ascii="Arial" w:eastAsia="Times New Roman" w:hAnsi="Arial" w:cs="Arial"/>
          <w:sz w:val="20"/>
          <w:szCs w:val="20"/>
        </w:rPr>
        <w:t xml:space="preserve">A proposed R10 million is shifted from the sport component of the </w:t>
      </w:r>
      <w:r w:rsidR="00837BD2" w:rsidRPr="00CE2B73">
        <w:rPr>
          <w:rFonts w:ascii="Arial" w:eastAsia="Times New Roman" w:hAnsi="Arial" w:cs="Arial"/>
          <w:i/>
          <w:sz w:val="20"/>
          <w:szCs w:val="20"/>
        </w:rPr>
        <w:t>municipal infra</w:t>
      </w:r>
      <w:r w:rsidR="00295D23" w:rsidRPr="00CE2B73">
        <w:rPr>
          <w:rFonts w:ascii="Arial" w:eastAsia="Times New Roman" w:hAnsi="Arial" w:cs="Arial"/>
          <w:i/>
          <w:sz w:val="20"/>
          <w:szCs w:val="20"/>
        </w:rPr>
        <w:t xml:space="preserve">structure grant to the Integrated Urban Development grant </w:t>
      </w:r>
      <w:r w:rsidR="00837BD2" w:rsidRPr="00CE2B73">
        <w:rPr>
          <w:rFonts w:ascii="Arial" w:eastAsia="Times New Roman" w:hAnsi="Arial" w:cs="Arial"/>
          <w:sz w:val="20"/>
          <w:szCs w:val="20"/>
        </w:rPr>
        <w:t>in 2022/23 to fund a sport project in Polokwane Local Municipality.</w:t>
      </w:r>
    </w:p>
    <w:p w:rsidR="00837BD2" w:rsidRPr="00CE2B73" w:rsidRDefault="00837BD2" w:rsidP="00CE2B73">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t xml:space="preserve"> Amendment to the Local Government Financial Management Grant (FMG) framework</w:t>
      </w:r>
    </w:p>
    <w:p w:rsidR="00837BD2" w:rsidRPr="00CE2B73" w:rsidRDefault="00837BD2" w:rsidP="00CE2B73">
      <w:pPr>
        <w:tabs>
          <w:tab w:val="left" w:pos="284"/>
          <w:tab w:val="left" w:pos="567"/>
        </w:tabs>
        <w:spacing w:after="0" w:line="240" w:lineRule="auto"/>
        <w:contextualSpacing/>
        <w:rPr>
          <w:rFonts w:ascii="Arial" w:eastAsia="Times New Roman" w:hAnsi="Arial" w:cs="Arial"/>
          <w:b/>
          <w:sz w:val="20"/>
          <w:szCs w:val="20"/>
        </w:rPr>
      </w:pPr>
    </w:p>
    <w:p w:rsidR="00837BD2" w:rsidRPr="00CE2B73" w:rsidRDefault="00837BD2" w:rsidP="00CE2B73">
      <w:pPr>
        <w:tabs>
          <w:tab w:val="left" w:pos="284"/>
          <w:tab w:val="left" w:pos="567"/>
        </w:tabs>
        <w:spacing w:after="0" w:line="240" w:lineRule="auto"/>
        <w:contextualSpacing/>
        <w:rPr>
          <w:rFonts w:ascii="Arial" w:eastAsia="Times New Roman" w:hAnsi="Arial" w:cs="Arial"/>
          <w:sz w:val="20"/>
          <w:szCs w:val="20"/>
        </w:rPr>
      </w:pPr>
      <w:r w:rsidRPr="00CE2B73">
        <w:rPr>
          <w:rFonts w:ascii="Arial" w:eastAsia="Times New Roman" w:hAnsi="Arial" w:cs="Arial"/>
          <w:sz w:val="20"/>
          <w:szCs w:val="20"/>
        </w:rPr>
        <w:t xml:space="preserve">From 2022/23, the FMG will make provision for the preparation of asset registers. The </w:t>
      </w:r>
      <w:r w:rsidR="00585FA6" w:rsidRPr="00CE2B73">
        <w:rPr>
          <w:rFonts w:ascii="Arial" w:eastAsia="Times New Roman" w:hAnsi="Arial" w:cs="Arial"/>
          <w:i/>
          <w:sz w:val="20"/>
          <w:szCs w:val="20"/>
        </w:rPr>
        <w:t>Municipal I</w:t>
      </w:r>
      <w:r w:rsidRPr="00CE2B73">
        <w:rPr>
          <w:rFonts w:ascii="Arial" w:eastAsia="Times New Roman" w:hAnsi="Arial" w:cs="Arial"/>
          <w:i/>
          <w:sz w:val="20"/>
          <w:szCs w:val="20"/>
        </w:rPr>
        <w:t>nfrastructure grant</w:t>
      </w:r>
      <w:r w:rsidRPr="00CE2B73">
        <w:rPr>
          <w:rFonts w:ascii="Arial" w:eastAsia="Times New Roman" w:hAnsi="Arial" w:cs="Arial"/>
          <w:sz w:val="20"/>
          <w:szCs w:val="20"/>
        </w:rPr>
        <w:t xml:space="preserve">, administered by the Department of Cooperative Governance (DCoG), has a similar provision, but broader funding the development of Asset Management Plans. The submission of audited asset registers is a </w:t>
      </w:r>
      <w:r w:rsidR="008E29AB" w:rsidRPr="00CE2B73">
        <w:rPr>
          <w:rFonts w:ascii="Arial" w:eastAsia="Times New Roman" w:hAnsi="Arial" w:cs="Arial"/>
          <w:sz w:val="20"/>
          <w:szCs w:val="20"/>
        </w:rPr>
        <w:t>pre-</w:t>
      </w:r>
      <w:r w:rsidRPr="00CE2B73">
        <w:rPr>
          <w:rFonts w:ascii="Arial" w:eastAsia="Times New Roman" w:hAnsi="Arial" w:cs="Arial"/>
          <w:sz w:val="20"/>
          <w:szCs w:val="20"/>
        </w:rPr>
        <w:t>requisite for e</w:t>
      </w:r>
      <w:r w:rsidR="008E29AB" w:rsidRPr="00CE2B73">
        <w:rPr>
          <w:rFonts w:ascii="Arial" w:eastAsia="Times New Roman" w:hAnsi="Arial" w:cs="Arial"/>
          <w:sz w:val="20"/>
          <w:szCs w:val="20"/>
        </w:rPr>
        <w:t xml:space="preserve">ligibility for this provision. </w:t>
      </w:r>
      <w:r w:rsidRPr="00CE2B73">
        <w:rPr>
          <w:rFonts w:ascii="Arial" w:eastAsia="Times New Roman" w:hAnsi="Arial" w:cs="Arial"/>
          <w:sz w:val="20"/>
          <w:szCs w:val="20"/>
        </w:rPr>
        <w:t xml:space="preserve">Where the asset registers need updating, </w:t>
      </w:r>
      <w:r w:rsidR="008E29AB" w:rsidRPr="00CE2B73">
        <w:rPr>
          <w:rFonts w:ascii="Arial" w:eastAsia="Times New Roman" w:hAnsi="Arial" w:cs="Arial"/>
          <w:sz w:val="20"/>
          <w:szCs w:val="20"/>
        </w:rPr>
        <w:t>DCoG can provide this support.</w:t>
      </w:r>
      <w:r w:rsidRPr="00CE2B73">
        <w:rPr>
          <w:rFonts w:ascii="Arial" w:eastAsia="Times New Roman" w:hAnsi="Arial" w:cs="Arial"/>
          <w:sz w:val="20"/>
          <w:szCs w:val="20"/>
        </w:rPr>
        <w:t xml:space="preserve"> National Treasury added a requirement in the responsibilities of the administrators of the FMG, to ensure that there is no duplication of effort and funding for municipalit</w:t>
      </w:r>
      <w:r w:rsidR="008E29AB" w:rsidRPr="00CE2B73">
        <w:rPr>
          <w:rFonts w:ascii="Arial" w:eastAsia="Times New Roman" w:hAnsi="Arial" w:cs="Arial"/>
          <w:sz w:val="20"/>
          <w:szCs w:val="20"/>
        </w:rPr>
        <w:t xml:space="preserve">ies targeted for this support.  </w:t>
      </w:r>
      <w:r w:rsidRPr="00CE2B73">
        <w:rPr>
          <w:rFonts w:ascii="Arial" w:eastAsia="Times New Roman" w:hAnsi="Arial" w:cs="Arial"/>
          <w:sz w:val="20"/>
          <w:szCs w:val="20"/>
        </w:rPr>
        <w:t>The phrasing of this requirement in the framework tabled on 23 February 2022, needs to be amended to highlight the need for alignment between the provisions in both grants. This will be done through improved collaboration between the two grant administering departments when support is provided in the preparation of asset registers.</w:t>
      </w:r>
      <w:r w:rsidRPr="00CE2B73">
        <w:rPr>
          <w:rFonts w:ascii="Arial" w:hAnsi="Arial" w:cs="Arial"/>
          <w:sz w:val="20"/>
          <w:szCs w:val="20"/>
        </w:rPr>
        <w:t xml:space="preserve"> </w:t>
      </w:r>
      <w:r w:rsidRPr="00CE2B73">
        <w:rPr>
          <w:rFonts w:ascii="Arial" w:eastAsia="Times New Roman" w:hAnsi="Arial" w:cs="Arial"/>
          <w:sz w:val="20"/>
          <w:szCs w:val="20"/>
        </w:rPr>
        <w:t xml:space="preserve">National Treasury requests the Standing Committee on Appropriations to recommend that the conditional grant framework be corrected as part of the gazette that will be issued in terms of section 15 of the Act, once the Bill is enacted. </w:t>
      </w:r>
    </w:p>
    <w:p w:rsidR="00DB279C" w:rsidRPr="00CE2B73" w:rsidRDefault="00DB279C" w:rsidP="00CE2B73">
      <w:pPr>
        <w:tabs>
          <w:tab w:val="left" w:pos="284"/>
          <w:tab w:val="left" w:pos="567"/>
        </w:tabs>
        <w:spacing w:after="0" w:line="240" w:lineRule="auto"/>
        <w:contextualSpacing/>
        <w:rPr>
          <w:rFonts w:ascii="Arial" w:eastAsia="Times New Roman" w:hAnsi="Arial" w:cs="Arial"/>
          <w:b/>
          <w:sz w:val="20"/>
          <w:szCs w:val="20"/>
        </w:rPr>
      </w:pPr>
    </w:p>
    <w:p w:rsidR="00DB279C" w:rsidRPr="00CE2B73" w:rsidRDefault="00DB279C" w:rsidP="00CE2B73">
      <w:pPr>
        <w:numPr>
          <w:ilvl w:val="0"/>
          <w:numId w:val="1"/>
        </w:numPr>
        <w:tabs>
          <w:tab w:val="left" w:pos="284"/>
          <w:tab w:val="left" w:pos="567"/>
        </w:tabs>
        <w:spacing w:after="0" w:line="240" w:lineRule="auto"/>
        <w:contextualSpacing/>
        <w:rPr>
          <w:rFonts w:ascii="Arial" w:eastAsia="Times New Roman" w:hAnsi="Arial" w:cs="Arial"/>
          <w:b/>
          <w:sz w:val="20"/>
          <w:szCs w:val="20"/>
        </w:rPr>
      </w:pPr>
      <w:r w:rsidRPr="00CE2B73">
        <w:rPr>
          <w:rFonts w:ascii="Arial" w:eastAsia="Times New Roman" w:hAnsi="Arial" w:cs="Arial"/>
          <w:b/>
          <w:sz w:val="20"/>
          <w:szCs w:val="20"/>
        </w:rPr>
        <w:lastRenderedPageBreak/>
        <w:t>Stakeholde</w:t>
      </w:r>
      <w:r w:rsidR="00B87B7E" w:rsidRPr="00CE2B73">
        <w:rPr>
          <w:rFonts w:ascii="Arial" w:eastAsia="Times New Roman" w:hAnsi="Arial" w:cs="Arial"/>
          <w:b/>
          <w:sz w:val="20"/>
          <w:szCs w:val="20"/>
        </w:rPr>
        <w:t>rs and Public Inputs on the 2022</w:t>
      </w:r>
      <w:r w:rsidRPr="00CE2B73">
        <w:rPr>
          <w:rFonts w:ascii="Arial" w:eastAsia="Times New Roman" w:hAnsi="Arial" w:cs="Arial"/>
          <w:b/>
          <w:sz w:val="20"/>
          <w:szCs w:val="20"/>
        </w:rPr>
        <w:t xml:space="preserve"> Division of Revenue Bill</w:t>
      </w:r>
    </w:p>
    <w:p w:rsidR="00DB279C" w:rsidRPr="00CE2B73" w:rsidRDefault="00DB279C" w:rsidP="00CE2B73">
      <w:pPr>
        <w:tabs>
          <w:tab w:val="left" w:pos="284"/>
          <w:tab w:val="left" w:pos="567"/>
        </w:tabs>
        <w:spacing w:after="0" w:line="240" w:lineRule="auto"/>
        <w:rPr>
          <w:rFonts w:ascii="Arial" w:eastAsia="Times New Roman" w:hAnsi="Arial" w:cs="Arial"/>
          <w:b/>
          <w:sz w:val="20"/>
          <w:szCs w:val="20"/>
        </w:rPr>
      </w:pPr>
    </w:p>
    <w:p w:rsidR="00DB279C" w:rsidRPr="00CE2B73" w:rsidRDefault="00DB279C"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This section provides an overview of the comments on the Bill from the </w:t>
      </w:r>
      <w:r w:rsidR="00B87B7E" w:rsidRPr="00CE2B73">
        <w:rPr>
          <w:rFonts w:ascii="Arial" w:eastAsia="Times New Roman" w:hAnsi="Arial" w:cs="Arial"/>
          <w:sz w:val="20"/>
          <w:szCs w:val="20"/>
        </w:rPr>
        <w:t xml:space="preserve">Parliamentary Budget Office, </w:t>
      </w:r>
      <w:r w:rsidRPr="00CE2B73">
        <w:rPr>
          <w:rFonts w:ascii="Arial" w:eastAsia="Times New Roman" w:hAnsi="Arial" w:cs="Arial"/>
          <w:sz w:val="20"/>
          <w:szCs w:val="20"/>
        </w:rPr>
        <w:t>Financial and Fiscal Commission</w:t>
      </w:r>
      <w:r w:rsidR="00B87B7E" w:rsidRPr="00CE2B73">
        <w:rPr>
          <w:rFonts w:ascii="Arial" w:eastAsia="Times New Roman" w:hAnsi="Arial" w:cs="Arial"/>
          <w:sz w:val="20"/>
          <w:szCs w:val="20"/>
        </w:rPr>
        <w:t xml:space="preserve"> </w:t>
      </w:r>
      <w:r w:rsidRPr="00CE2B73">
        <w:rPr>
          <w:rFonts w:ascii="Arial" w:eastAsia="Times New Roman" w:hAnsi="Arial" w:cs="Arial"/>
          <w:sz w:val="20"/>
          <w:szCs w:val="20"/>
        </w:rPr>
        <w:t>and the South African Local Government Association. Furthermore, this section will also provide a summary of pub</w:t>
      </w:r>
      <w:r w:rsidR="00B87B7E" w:rsidRPr="00CE2B73">
        <w:rPr>
          <w:rFonts w:ascii="Arial" w:eastAsia="Times New Roman" w:hAnsi="Arial" w:cs="Arial"/>
          <w:sz w:val="20"/>
          <w:szCs w:val="20"/>
        </w:rPr>
        <w:t>l</w:t>
      </w:r>
      <w:r w:rsidRPr="00CE2B73">
        <w:rPr>
          <w:rFonts w:ascii="Arial" w:eastAsia="Times New Roman" w:hAnsi="Arial" w:cs="Arial"/>
          <w:sz w:val="20"/>
          <w:szCs w:val="20"/>
        </w:rPr>
        <w:t xml:space="preserve">ic submissions received on the Bill. </w:t>
      </w:r>
    </w:p>
    <w:p w:rsidR="00DB279C" w:rsidRPr="00CE2B73" w:rsidRDefault="00DB279C" w:rsidP="00CE2B73">
      <w:pPr>
        <w:tabs>
          <w:tab w:val="left" w:pos="284"/>
          <w:tab w:val="left" w:pos="567"/>
        </w:tabs>
        <w:spacing w:after="0" w:line="240" w:lineRule="auto"/>
        <w:rPr>
          <w:rFonts w:ascii="Arial" w:eastAsia="Times New Roman" w:hAnsi="Arial" w:cs="Arial"/>
          <w:sz w:val="20"/>
          <w:szCs w:val="20"/>
        </w:rPr>
      </w:pPr>
    </w:p>
    <w:p w:rsidR="00EF14A1" w:rsidRPr="00CE2B73" w:rsidRDefault="00EF14A1" w:rsidP="00CE2B73">
      <w:pPr>
        <w:tabs>
          <w:tab w:val="left" w:pos="284"/>
          <w:tab w:val="left" w:pos="567"/>
        </w:tabs>
        <w:spacing w:after="0" w:line="240" w:lineRule="auto"/>
        <w:rPr>
          <w:rFonts w:ascii="Arial" w:eastAsia="Times New Roman" w:hAnsi="Arial" w:cs="Arial"/>
          <w:b/>
          <w:sz w:val="20"/>
          <w:szCs w:val="20"/>
        </w:rPr>
      </w:pPr>
      <w:r w:rsidRPr="00CE2B73">
        <w:rPr>
          <w:rFonts w:ascii="Arial" w:eastAsia="Times New Roman" w:hAnsi="Arial" w:cs="Arial"/>
          <w:b/>
          <w:sz w:val="20"/>
          <w:szCs w:val="20"/>
        </w:rPr>
        <w:t>3.1</w:t>
      </w:r>
      <w:r w:rsidRPr="00CE2B73">
        <w:rPr>
          <w:rFonts w:ascii="Arial" w:eastAsia="Times New Roman" w:hAnsi="Arial" w:cs="Arial"/>
          <w:b/>
          <w:sz w:val="20"/>
          <w:szCs w:val="20"/>
        </w:rPr>
        <w:tab/>
        <w:t>Parliamentary Budget Office</w:t>
      </w:r>
    </w:p>
    <w:p w:rsidR="00EF14A1" w:rsidRPr="00CE2B73" w:rsidRDefault="00EF14A1" w:rsidP="00CE2B73">
      <w:pPr>
        <w:tabs>
          <w:tab w:val="left" w:pos="284"/>
          <w:tab w:val="left" w:pos="567"/>
        </w:tabs>
        <w:spacing w:after="0" w:line="240" w:lineRule="auto"/>
        <w:rPr>
          <w:rFonts w:ascii="Arial" w:eastAsia="Times New Roman" w:hAnsi="Arial" w:cs="Arial"/>
          <w:b/>
          <w:sz w:val="20"/>
          <w:szCs w:val="20"/>
        </w:rPr>
      </w:pPr>
    </w:p>
    <w:p w:rsidR="00944753" w:rsidRPr="00CE2B73" w:rsidRDefault="00EF14A1"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The Parliamentar</w:t>
      </w:r>
      <w:r w:rsidR="00944753" w:rsidRPr="00CE2B73">
        <w:rPr>
          <w:rFonts w:ascii="Arial" w:eastAsia="Times New Roman" w:hAnsi="Arial" w:cs="Arial"/>
          <w:sz w:val="20"/>
          <w:szCs w:val="20"/>
        </w:rPr>
        <w:t xml:space="preserve">y Budget Office (PBO) gave an overview of the Bill and provided a situational analysis at national, provincial and local government. The PBO submitted that while the 2022 budget increased the local government equitable share by an average annual rate of 10.3 per cent, it does not guarantee that the needs of indigent households would be sufficiently met. The PBO stated that national transfers accounted for a relatively small proportion of the local government fiscal framework, with the majority of local government revenues being raised by municipalities. However, poor rural municipalities, received most of their revenue from transfers, while urban municipalities raised the majority of their own revenues. The PBO made reference to the research work undertaken by the Public Affairs Research Institute which found the following: </w:t>
      </w:r>
    </w:p>
    <w:p w:rsidR="00B1187D" w:rsidRPr="00CE2B73" w:rsidRDefault="00B1187D" w:rsidP="00CE2B73">
      <w:pPr>
        <w:tabs>
          <w:tab w:val="left" w:pos="284"/>
          <w:tab w:val="left" w:pos="567"/>
        </w:tabs>
        <w:spacing w:after="0" w:line="240" w:lineRule="auto"/>
        <w:rPr>
          <w:rFonts w:ascii="Arial" w:eastAsia="Times New Roman" w:hAnsi="Arial" w:cs="Arial"/>
          <w:sz w:val="20"/>
          <w:szCs w:val="20"/>
        </w:rPr>
      </w:pPr>
    </w:p>
    <w:p w:rsidR="00944753" w:rsidRPr="00CE2B73" w:rsidRDefault="00944753" w:rsidP="00CE2B73">
      <w:pPr>
        <w:pStyle w:val="ListParagraph"/>
        <w:numPr>
          <w:ilvl w:val="0"/>
          <w:numId w:val="2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challenges faced by local government were systemic and were the direct result of the unrealistic assumptions that were made in designing the funding model in the 1998 White Paper on Local Government. </w:t>
      </w:r>
    </w:p>
    <w:p w:rsidR="00EF14A1" w:rsidRPr="00CE2B73" w:rsidRDefault="00944753" w:rsidP="00CE2B73">
      <w:pPr>
        <w:pStyle w:val="ListParagraph"/>
        <w:numPr>
          <w:ilvl w:val="0"/>
          <w:numId w:val="2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White Paper assumed that local governments could raise over 70 per cent of their financing requirements through services charges and this also made them responsible for providing affordable services to households. </w:t>
      </w:r>
    </w:p>
    <w:p w:rsidR="00EF14A1" w:rsidRPr="00CE2B73" w:rsidRDefault="00EF14A1" w:rsidP="00CE2B73">
      <w:pPr>
        <w:tabs>
          <w:tab w:val="left" w:pos="284"/>
          <w:tab w:val="left" w:pos="567"/>
        </w:tabs>
        <w:spacing w:after="0" w:line="240" w:lineRule="auto"/>
        <w:rPr>
          <w:rFonts w:ascii="Arial" w:eastAsia="Times New Roman" w:hAnsi="Arial" w:cs="Arial"/>
          <w:sz w:val="20"/>
          <w:szCs w:val="20"/>
        </w:rPr>
      </w:pPr>
    </w:p>
    <w:p w:rsidR="00904217" w:rsidRPr="00CE2B73" w:rsidRDefault="0054327B"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The PBO made r</w:t>
      </w:r>
      <w:r w:rsidR="00904217" w:rsidRPr="00CE2B73">
        <w:rPr>
          <w:rFonts w:ascii="Arial" w:eastAsia="Times New Roman" w:hAnsi="Arial" w:cs="Arial"/>
          <w:sz w:val="20"/>
          <w:szCs w:val="20"/>
        </w:rPr>
        <w:t xml:space="preserve">eference to </w:t>
      </w:r>
      <w:r w:rsidRPr="00CE2B73">
        <w:rPr>
          <w:rFonts w:ascii="Arial" w:eastAsia="Times New Roman" w:hAnsi="Arial" w:cs="Arial"/>
          <w:sz w:val="20"/>
          <w:szCs w:val="20"/>
        </w:rPr>
        <w:t xml:space="preserve">the </w:t>
      </w:r>
      <w:r w:rsidR="00904217" w:rsidRPr="00CE2B73">
        <w:rPr>
          <w:rFonts w:ascii="Arial" w:eastAsia="Times New Roman" w:hAnsi="Arial" w:cs="Arial"/>
          <w:sz w:val="20"/>
          <w:szCs w:val="20"/>
        </w:rPr>
        <w:t xml:space="preserve">capital and operating revenue trends at local government, and the PBO underscored that poor revenue management and an inability to efficiently raise own revenue was one of the biggest causes of financial distress in municipalities. Furthermore, a number of municipalities failed to deliver services effectively due to poor governance, financial mismanagement and insufficient capacity. The PBO also stated that the key issues in municipal budgets included growing grant dependence, inadequate maintenance expenditure, outstanding customer debt, and under-pricing of services. </w:t>
      </w:r>
    </w:p>
    <w:p w:rsidR="00904217" w:rsidRPr="00CE2B73" w:rsidRDefault="00904217" w:rsidP="00CE2B73">
      <w:pPr>
        <w:tabs>
          <w:tab w:val="left" w:pos="284"/>
          <w:tab w:val="left" w:pos="567"/>
        </w:tabs>
        <w:spacing w:after="0" w:line="240" w:lineRule="auto"/>
        <w:rPr>
          <w:rFonts w:ascii="Arial" w:eastAsia="Times New Roman" w:hAnsi="Arial" w:cs="Arial"/>
          <w:sz w:val="20"/>
          <w:szCs w:val="20"/>
        </w:rPr>
      </w:pPr>
    </w:p>
    <w:p w:rsidR="00EF14A1" w:rsidRPr="00CE2B73" w:rsidRDefault="00904217"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The PBO</w:t>
      </w:r>
      <w:r w:rsidR="00944753" w:rsidRPr="00CE2B73">
        <w:rPr>
          <w:rFonts w:ascii="Arial" w:eastAsia="Times New Roman" w:hAnsi="Arial" w:cs="Arial"/>
          <w:sz w:val="20"/>
          <w:szCs w:val="20"/>
        </w:rPr>
        <w:t xml:space="preserve">, in summary recommended that national departments must monitor information on financial and non-financial performance of programmes partially or fully funded by </w:t>
      </w:r>
      <w:r w:rsidRPr="00CE2B73">
        <w:rPr>
          <w:rFonts w:ascii="Arial" w:eastAsia="Times New Roman" w:hAnsi="Arial" w:cs="Arial"/>
          <w:sz w:val="20"/>
          <w:szCs w:val="20"/>
        </w:rPr>
        <w:t xml:space="preserve">an allocation made in the DoRA. </w:t>
      </w:r>
      <w:r w:rsidR="00944753" w:rsidRPr="00CE2B73">
        <w:rPr>
          <w:rFonts w:ascii="Arial" w:eastAsia="Times New Roman" w:hAnsi="Arial" w:cs="Arial"/>
          <w:sz w:val="20"/>
          <w:szCs w:val="20"/>
        </w:rPr>
        <w:t>The mandates of the different spheres of government are addressed by the division of revenue considering the demographic social and econ</w:t>
      </w:r>
      <w:r w:rsidRPr="00CE2B73">
        <w:rPr>
          <w:rFonts w:ascii="Arial" w:eastAsia="Times New Roman" w:hAnsi="Arial" w:cs="Arial"/>
          <w:sz w:val="20"/>
          <w:szCs w:val="20"/>
        </w:rPr>
        <w:t>omic needs of the environment. The PBO emphasised that r</w:t>
      </w:r>
      <w:r w:rsidR="00944753" w:rsidRPr="00CE2B73">
        <w:rPr>
          <w:rFonts w:ascii="Arial" w:eastAsia="Times New Roman" w:hAnsi="Arial" w:cs="Arial"/>
          <w:sz w:val="20"/>
          <w:szCs w:val="20"/>
        </w:rPr>
        <w:t>elevant up</w:t>
      </w:r>
      <w:r w:rsidRPr="00CE2B73">
        <w:rPr>
          <w:rFonts w:ascii="Arial" w:eastAsia="Times New Roman" w:hAnsi="Arial" w:cs="Arial"/>
          <w:sz w:val="20"/>
          <w:szCs w:val="20"/>
        </w:rPr>
        <w:t>-to-</w:t>
      </w:r>
      <w:r w:rsidR="00944753" w:rsidRPr="00CE2B73">
        <w:rPr>
          <w:rFonts w:ascii="Arial" w:eastAsia="Times New Roman" w:hAnsi="Arial" w:cs="Arial"/>
          <w:sz w:val="20"/>
          <w:szCs w:val="20"/>
        </w:rPr>
        <w:t>da</w:t>
      </w:r>
      <w:r w:rsidRPr="00CE2B73">
        <w:rPr>
          <w:rFonts w:ascii="Arial" w:eastAsia="Times New Roman" w:hAnsi="Arial" w:cs="Arial"/>
          <w:sz w:val="20"/>
          <w:szCs w:val="20"/>
        </w:rPr>
        <w:t>te official statistical data was</w:t>
      </w:r>
      <w:r w:rsidR="00944753" w:rsidRPr="00CE2B73">
        <w:rPr>
          <w:rFonts w:ascii="Arial" w:eastAsia="Times New Roman" w:hAnsi="Arial" w:cs="Arial"/>
          <w:sz w:val="20"/>
          <w:szCs w:val="20"/>
        </w:rPr>
        <w:t>, however, not always available to inform policy and funding decisions</w:t>
      </w:r>
      <w:r w:rsidRPr="00CE2B73">
        <w:rPr>
          <w:rFonts w:ascii="Arial" w:eastAsia="Times New Roman" w:hAnsi="Arial" w:cs="Arial"/>
          <w:sz w:val="20"/>
          <w:szCs w:val="20"/>
        </w:rPr>
        <w:t xml:space="preserve">. </w:t>
      </w:r>
    </w:p>
    <w:p w:rsidR="00904217" w:rsidRPr="00CE2B73" w:rsidRDefault="00904217" w:rsidP="00CE2B73">
      <w:pPr>
        <w:tabs>
          <w:tab w:val="left" w:pos="284"/>
          <w:tab w:val="left" w:pos="567"/>
        </w:tabs>
        <w:spacing w:after="0" w:line="240" w:lineRule="auto"/>
        <w:rPr>
          <w:rFonts w:ascii="Arial" w:eastAsia="Times New Roman" w:hAnsi="Arial" w:cs="Arial"/>
          <w:sz w:val="20"/>
          <w:szCs w:val="20"/>
        </w:rPr>
      </w:pPr>
    </w:p>
    <w:p w:rsidR="00B1187D" w:rsidRPr="00CE2B73" w:rsidRDefault="00B1187D" w:rsidP="00CE2B73">
      <w:pPr>
        <w:tabs>
          <w:tab w:val="left" w:pos="284"/>
          <w:tab w:val="left" w:pos="567"/>
        </w:tabs>
        <w:spacing w:after="0" w:line="240" w:lineRule="auto"/>
        <w:rPr>
          <w:rFonts w:ascii="Arial" w:eastAsia="Times New Roman" w:hAnsi="Arial" w:cs="Arial"/>
          <w:sz w:val="20"/>
          <w:szCs w:val="20"/>
        </w:rPr>
      </w:pPr>
    </w:p>
    <w:p w:rsidR="00B1187D" w:rsidRPr="00CE2B73" w:rsidRDefault="00B1187D" w:rsidP="00CE2B73">
      <w:pPr>
        <w:tabs>
          <w:tab w:val="left" w:pos="284"/>
          <w:tab w:val="left" w:pos="567"/>
        </w:tabs>
        <w:spacing w:after="0" w:line="240" w:lineRule="auto"/>
        <w:rPr>
          <w:rFonts w:ascii="Arial" w:eastAsia="Times New Roman" w:hAnsi="Arial" w:cs="Arial"/>
          <w:sz w:val="20"/>
          <w:szCs w:val="20"/>
        </w:rPr>
      </w:pPr>
    </w:p>
    <w:p w:rsidR="00B1187D" w:rsidRPr="00CE2B73" w:rsidRDefault="00B1187D" w:rsidP="00CE2B73">
      <w:pPr>
        <w:tabs>
          <w:tab w:val="left" w:pos="284"/>
          <w:tab w:val="left" w:pos="567"/>
        </w:tabs>
        <w:spacing w:after="0" w:line="240" w:lineRule="auto"/>
        <w:rPr>
          <w:rFonts w:ascii="Arial" w:eastAsia="Times New Roman" w:hAnsi="Arial" w:cs="Arial"/>
          <w:sz w:val="20"/>
          <w:szCs w:val="20"/>
        </w:rPr>
      </w:pPr>
    </w:p>
    <w:p w:rsidR="00DB279C" w:rsidRPr="00CE2B73" w:rsidRDefault="00DB279C" w:rsidP="00CE2B73">
      <w:pPr>
        <w:pStyle w:val="ListParagraph"/>
        <w:numPr>
          <w:ilvl w:val="1"/>
          <w:numId w:val="18"/>
        </w:numPr>
        <w:tabs>
          <w:tab w:val="left" w:pos="284"/>
          <w:tab w:val="left" w:pos="567"/>
        </w:tabs>
        <w:spacing w:after="0" w:line="240" w:lineRule="auto"/>
        <w:rPr>
          <w:rFonts w:ascii="Arial" w:eastAsia="Times New Roman" w:hAnsi="Arial" w:cs="Arial"/>
          <w:b/>
          <w:sz w:val="20"/>
          <w:szCs w:val="20"/>
        </w:rPr>
      </w:pPr>
      <w:r w:rsidRPr="00CE2B73">
        <w:rPr>
          <w:rFonts w:ascii="Arial" w:eastAsia="Times New Roman" w:hAnsi="Arial" w:cs="Arial"/>
          <w:b/>
          <w:sz w:val="20"/>
          <w:szCs w:val="20"/>
        </w:rPr>
        <w:t>Financial and Fiscal Commission</w:t>
      </w:r>
    </w:p>
    <w:p w:rsidR="00DB279C" w:rsidRPr="00CE2B73" w:rsidRDefault="00DB279C" w:rsidP="00CE2B73">
      <w:pPr>
        <w:tabs>
          <w:tab w:val="left" w:pos="284"/>
          <w:tab w:val="left" w:pos="567"/>
        </w:tabs>
        <w:spacing w:after="0" w:line="240" w:lineRule="auto"/>
        <w:rPr>
          <w:rFonts w:ascii="Arial" w:eastAsia="Times New Roman" w:hAnsi="Arial" w:cs="Arial"/>
          <w:sz w:val="20"/>
          <w:szCs w:val="20"/>
        </w:rPr>
      </w:pPr>
    </w:p>
    <w:p w:rsidR="00DB279C" w:rsidRPr="00CE2B73" w:rsidRDefault="00DB279C"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Financial and Fiscal Commission (FFC) </w:t>
      </w:r>
      <w:r w:rsidR="00A05286" w:rsidRPr="00CE2B73">
        <w:rPr>
          <w:rFonts w:ascii="Arial" w:eastAsia="Times New Roman" w:hAnsi="Arial" w:cs="Arial"/>
          <w:sz w:val="20"/>
          <w:szCs w:val="20"/>
        </w:rPr>
        <w:t xml:space="preserve">submitted that he 2022 budget proposed a total allocation </w:t>
      </w:r>
      <w:r w:rsidR="008E29AB" w:rsidRPr="00CE2B73">
        <w:rPr>
          <w:rFonts w:ascii="Arial" w:eastAsia="Times New Roman" w:hAnsi="Arial" w:cs="Arial"/>
          <w:sz w:val="20"/>
          <w:szCs w:val="20"/>
        </w:rPr>
        <w:t xml:space="preserve">of </w:t>
      </w:r>
      <w:r w:rsidR="00A05286" w:rsidRPr="00CE2B73">
        <w:rPr>
          <w:rFonts w:ascii="Arial" w:eastAsia="Times New Roman" w:hAnsi="Arial" w:cs="Arial"/>
          <w:sz w:val="20"/>
          <w:szCs w:val="20"/>
        </w:rPr>
        <w:t xml:space="preserve">R682 billion over the </w:t>
      </w:r>
      <w:r w:rsidR="008E29AB" w:rsidRPr="00CE2B73">
        <w:rPr>
          <w:rFonts w:ascii="Arial" w:eastAsia="Times New Roman" w:hAnsi="Arial" w:cs="Arial"/>
          <w:sz w:val="20"/>
          <w:szCs w:val="20"/>
        </w:rPr>
        <w:t xml:space="preserve">2022 </w:t>
      </w:r>
      <w:r w:rsidR="00A05286" w:rsidRPr="00CE2B73">
        <w:rPr>
          <w:rFonts w:ascii="Arial" w:eastAsia="Times New Roman" w:hAnsi="Arial" w:cs="Arial"/>
          <w:sz w:val="20"/>
          <w:szCs w:val="20"/>
        </w:rPr>
        <w:t>MTEF to the provincial fiscal framework which represented a slight improvement to the 202l MTBPS estimate of R658 billion. However, the FFC submitted that notwithstanding the upward adjustment, the 2022 MTEF allocations remained below pre-C</w:t>
      </w:r>
      <w:r w:rsidR="000A49A9" w:rsidRPr="00CE2B73">
        <w:rPr>
          <w:rFonts w:ascii="Arial" w:eastAsia="Times New Roman" w:hAnsi="Arial" w:cs="Arial"/>
          <w:sz w:val="20"/>
          <w:szCs w:val="20"/>
        </w:rPr>
        <w:t>ovid-</w:t>
      </w:r>
      <w:r w:rsidR="00A05286" w:rsidRPr="00CE2B73">
        <w:rPr>
          <w:rFonts w:ascii="Arial" w:eastAsia="Times New Roman" w:hAnsi="Arial" w:cs="Arial"/>
          <w:sz w:val="20"/>
          <w:szCs w:val="20"/>
        </w:rPr>
        <w:t xml:space="preserve">19 projections. The FFC recommended that provinces identify selected </w:t>
      </w:r>
      <w:r w:rsidR="00402667" w:rsidRPr="00CE2B73">
        <w:rPr>
          <w:rFonts w:ascii="Arial" w:eastAsia="Times New Roman" w:hAnsi="Arial" w:cs="Arial"/>
          <w:sz w:val="20"/>
          <w:szCs w:val="20"/>
        </w:rPr>
        <w:t xml:space="preserve">service </w:t>
      </w:r>
      <w:r w:rsidR="00A05286" w:rsidRPr="00CE2B73">
        <w:rPr>
          <w:rFonts w:ascii="Arial" w:eastAsia="Times New Roman" w:hAnsi="Arial" w:cs="Arial"/>
          <w:sz w:val="20"/>
          <w:szCs w:val="20"/>
        </w:rPr>
        <w:t>delivery indicators and provide assessments of service levels using 2020 financial year as a point of reference to determine the impact of stagnant alloc</w:t>
      </w:r>
      <w:r w:rsidR="00BA3469" w:rsidRPr="00CE2B73">
        <w:rPr>
          <w:rFonts w:ascii="Arial" w:eastAsia="Times New Roman" w:hAnsi="Arial" w:cs="Arial"/>
          <w:sz w:val="20"/>
          <w:szCs w:val="20"/>
        </w:rPr>
        <w:t>ations on service delivery. These</w:t>
      </w:r>
      <w:r w:rsidR="00A05286" w:rsidRPr="00CE2B73">
        <w:rPr>
          <w:rFonts w:ascii="Arial" w:eastAsia="Times New Roman" w:hAnsi="Arial" w:cs="Arial"/>
          <w:sz w:val="20"/>
          <w:szCs w:val="20"/>
        </w:rPr>
        <w:t xml:space="preserve"> assessments must also incorporate provincial conditional grant</w:t>
      </w:r>
      <w:r w:rsidR="008E29AB" w:rsidRPr="00CE2B73">
        <w:rPr>
          <w:rFonts w:ascii="Arial" w:eastAsia="Times New Roman" w:hAnsi="Arial" w:cs="Arial"/>
          <w:sz w:val="20"/>
          <w:szCs w:val="20"/>
        </w:rPr>
        <w:t>s</w:t>
      </w:r>
      <w:r w:rsidR="00A05286" w:rsidRPr="00CE2B73">
        <w:rPr>
          <w:rFonts w:ascii="Arial" w:eastAsia="Times New Roman" w:hAnsi="Arial" w:cs="Arial"/>
          <w:sz w:val="20"/>
          <w:szCs w:val="20"/>
        </w:rPr>
        <w:t xml:space="preserve"> delivery targets set out in the 2020 DoRA in comparison to the year of assessment. The FFC noted that despite the R24.6 billion allocation over the 2022 MTEF for provincial education departments to address the shortage of teachers, it recommended that the government consider the carry through cost for teachers going forward.</w:t>
      </w:r>
    </w:p>
    <w:p w:rsidR="00A05286" w:rsidRPr="00CE2B73" w:rsidRDefault="00A05286" w:rsidP="00CE2B73">
      <w:pPr>
        <w:tabs>
          <w:tab w:val="left" w:pos="284"/>
          <w:tab w:val="left" w:pos="567"/>
        </w:tabs>
        <w:spacing w:after="0" w:line="240" w:lineRule="auto"/>
        <w:rPr>
          <w:rFonts w:ascii="Arial" w:eastAsia="Times New Roman" w:hAnsi="Arial" w:cs="Arial"/>
          <w:sz w:val="20"/>
          <w:szCs w:val="20"/>
        </w:rPr>
      </w:pPr>
    </w:p>
    <w:p w:rsidR="00DB279C" w:rsidRPr="00CE2B73" w:rsidRDefault="00C94AF5"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lastRenderedPageBreak/>
        <w:t xml:space="preserve">Regarding </w:t>
      </w:r>
      <w:r w:rsidR="00641285" w:rsidRPr="00CE2B73">
        <w:rPr>
          <w:rFonts w:ascii="Arial" w:eastAsia="Times New Roman" w:hAnsi="Arial" w:cs="Arial"/>
          <w:sz w:val="20"/>
          <w:szCs w:val="20"/>
        </w:rPr>
        <w:t>local government, the FFC submitted that 2022 will be a challenging year for municipalities as the political landscape has changed drastically after the municipal elections with governance and fiscal challenges which have the potential to impact the delivery of basic services. Furthermore, these changes were taking place against the backdrop of Covid-19, which amplified challenges related to access to basic services (i.e. water, electricity, and sanitation) with wider fiscal gaps and municipalities (68 per cent of 278) which were in financial distress. The FFC made the following recommendations with regard to local government:</w:t>
      </w:r>
    </w:p>
    <w:p w:rsidR="00641285" w:rsidRPr="00CE2B73" w:rsidRDefault="00641285" w:rsidP="00CE2B73">
      <w:pPr>
        <w:tabs>
          <w:tab w:val="left" w:pos="284"/>
          <w:tab w:val="left" w:pos="567"/>
        </w:tabs>
        <w:spacing w:after="0" w:line="240" w:lineRule="auto"/>
        <w:rPr>
          <w:rFonts w:ascii="Arial" w:eastAsia="Times New Roman" w:hAnsi="Arial" w:cs="Arial"/>
          <w:sz w:val="20"/>
          <w:szCs w:val="20"/>
        </w:rPr>
      </w:pPr>
    </w:p>
    <w:p w:rsidR="00641285" w:rsidRPr="00CE2B73" w:rsidRDefault="00C94AF5" w:rsidP="00CE2B73">
      <w:pPr>
        <w:pStyle w:val="ListParagraph"/>
        <w:numPr>
          <w:ilvl w:val="0"/>
          <w:numId w:val="1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FFC </w:t>
      </w:r>
      <w:r w:rsidR="00641285" w:rsidRPr="00CE2B73">
        <w:rPr>
          <w:rFonts w:ascii="Arial" w:eastAsia="Times New Roman" w:hAnsi="Arial" w:cs="Arial"/>
          <w:sz w:val="20"/>
          <w:szCs w:val="20"/>
        </w:rPr>
        <w:t>welcomed</w:t>
      </w:r>
      <w:r w:rsidR="00944753" w:rsidRPr="00CE2B73">
        <w:rPr>
          <w:rFonts w:ascii="Arial" w:eastAsia="Times New Roman" w:hAnsi="Arial" w:cs="Arial"/>
          <w:sz w:val="20"/>
          <w:szCs w:val="20"/>
        </w:rPr>
        <w:t xml:space="preserve"> government's efforts to keep </w:t>
      </w:r>
      <w:r w:rsidR="00641285" w:rsidRPr="00CE2B73">
        <w:rPr>
          <w:rFonts w:ascii="Arial" w:eastAsia="Times New Roman" w:hAnsi="Arial" w:cs="Arial"/>
          <w:sz w:val="20"/>
          <w:szCs w:val="20"/>
        </w:rPr>
        <w:t xml:space="preserve">the </w:t>
      </w:r>
      <w:r w:rsidR="00944753" w:rsidRPr="00CE2B73">
        <w:rPr>
          <w:rFonts w:ascii="Arial" w:eastAsia="Times New Roman" w:hAnsi="Arial" w:cs="Arial"/>
          <w:sz w:val="20"/>
          <w:szCs w:val="20"/>
        </w:rPr>
        <w:t>LES gro</w:t>
      </w:r>
      <w:r w:rsidR="00641285" w:rsidRPr="00CE2B73">
        <w:rPr>
          <w:rFonts w:ascii="Arial" w:eastAsia="Times New Roman" w:hAnsi="Arial" w:cs="Arial"/>
          <w:sz w:val="20"/>
          <w:szCs w:val="20"/>
        </w:rPr>
        <w:t xml:space="preserve">wth rates above inflation as this </w:t>
      </w:r>
      <w:r w:rsidR="00944753" w:rsidRPr="00CE2B73">
        <w:rPr>
          <w:rFonts w:ascii="Arial" w:eastAsia="Times New Roman" w:hAnsi="Arial" w:cs="Arial"/>
          <w:sz w:val="20"/>
          <w:szCs w:val="20"/>
        </w:rPr>
        <w:t>will go a long way in offsetting the ever-increasing costs of basic services and enable the delivery of basic services to poor households. </w:t>
      </w:r>
    </w:p>
    <w:p w:rsidR="00641285" w:rsidRPr="00CE2B73" w:rsidRDefault="00C94AF5" w:rsidP="00CE2B73">
      <w:pPr>
        <w:pStyle w:val="ListParagraph"/>
        <w:numPr>
          <w:ilvl w:val="0"/>
          <w:numId w:val="1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FFC </w:t>
      </w:r>
      <w:r w:rsidR="00641285" w:rsidRPr="00CE2B73">
        <w:rPr>
          <w:rFonts w:ascii="Arial" w:eastAsia="Times New Roman" w:hAnsi="Arial" w:cs="Arial"/>
          <w:sz w:val="20"/>
          <w:szCs w:val="20"/>
        </w:rPr>
        <w:t>welcomed</w:t>
      </w:r>
      <w:r w:rsidR="00944753" w:rsidRPr="00CE2B73">
        <w:rPr>
          <w:rFonts w:ascii="Arial" w:eastAsia="Times New Roman" w:hAnsi="Arial" w:cs="Arial"/>
          <w:sz w:val="20"/>
          <w:szCs w:val="20"/>
        </w:rPr>
        <w:t xml:space="preserve"> the reviews of capacity-building systems and infrastru</w:t>
      </w:r>
      <w:r w:rsidR="00641285" w:rsidRPr="00CE2B73">
        <w:rPr>
          <w:rFonts w:ascii="Arial" w:eastAsia="Times New Roman" w:hAnsi="Arial" w:cs="Arial"/>
          <w:sz w:val="20"/>
          <w:szCs w:val="20"/>
        </w:rPr>
        <w:t xml:space="preserve">cture grants.  The FFC is </w:t>
      </w:r>
      <w:r w:rsidR="00944753" w:rsidRPr="00CE2B73">
        <w:rPr>
          <w:rFonts w:ascii="Arial" w:eastAsia="Times New Roman" w:hAnsi="Arial" w:cs="Arial"/>
          <w:sz w:val="20"/>
          <w:szCs w:val="20"/>
        </w:rPr>
        <w:t xml:space="preserve">of the view that such initiatives will enhance municipal </w:t>
      </w:r>
      <w:r w:rsidR="003229FC" w:rsidRPr="00CE2B73">
        <w:rPr>
          <w:rFonts w:ascii="Arial" w:eastAsia="Times New Roman" w:hAnsi="Arial" w:cs="Arial"/>
          <w:sz w:val="20"/>
          <w:szCs w:val="20"/>
        </w:rPr>
        <w:t>performance, move the local government sector forward,</w:t>
      </w:r>
      <w:r w:rsidR="00944753" w:rsidRPr="00CE2B73">
        <w:rPr>
          <w:rFonts w:ascii="Arial" w:eastAsia="Times New Roman" w:hAnsi="Arial" w:cs="Arial"/>
          <w:sz w:val="20"/>
          <w:szCs w:val="20"/>
        </w:rPr>
        <w:t xml:space="preserve"> and quicken the recovery process. </w:t>
      </w:r>
    </w:p>
    <w:p w:rsidR="0074247E" w:rsidRPr="00CE2B73" w:rsidRDefault="007C53DD" w:rsidP="00CE2B73">
      <w:pPr>
        <w:pStyle w:val="ListParagraph"/>
        <w:numPr>
          <w:ilvl w:val="0"/>
          <w:numId w:val="1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FFC </w:t>
      </w:r>
      <w:r w:rsidR="00641285" w:rsidRPr="00CE2B73">
        <w:rPr>
          <w:rFonts w:ascii="Arial" w:eastAsia="Times New Roman" w:hAnsi="Arial" w:cs="Arial"/>
          <w:sz w:val="20"/>
          <w:szCs w:val="20"/>
        </w:rPr>
        <w:t>further underscored that the aforementioned</w:t>
      </w:r>
      <w:r w:rsidR="00944753" w:rsidRPr="00CE2B73">
        <w:rPr>
          <w:rFonts w:ascii="Arial" w:eastAsia="Times New Roman" w:hAnsi="Arial" w:cs="Arial"/>
          <w:sz w:val="20"/>
          <w:szCs w:val="20"/>
        </w:rPr>
        <w:t xml:space="preserve"> review initiatives should be synchronised with the </w:t>
      </w:r>
      <w:r w:rsidR="00641285" w:rsidRPr="00CE2B73">
        <w:rPr>
          <w:rFonts w:ascii="Arial" w:eastAsia="Times New Roman" w:hAnsi="Arial" w:cs="Arial"/>
          <w:sz w:val="20"/>
          <w:szCs w:val="20"/>
        </w:rPr>
        <w:t>District Development Model, which seeks</w:t>
      </w:r>
      <w:r w:rsidR="00944753" w:rsidRPr="00CE2B73">
        <w:rPr>
          <w:rFonts w:ascii="Arial" w:eastAsia="Times New Roman" w:hAnsi="Arial" w:cs="Arial"/>
          <w:sz w:val="20"/>
          <w:szCs w:val="20"/>
        </w:rPr>
        <w:t xml:space="preserve"> to address critical issues of municipal finances</w:t>
      </w:r>
      <w:r w:rsidR="008E29AB" w:rsidRPr="00CE2B73">
        <w:rPr>
          <w:rFonts w:ascii="Arial" w:eastAsia="Times New Roman" w:hAnsi="Arial" w:cs="Arial"/>
          <w:sz w:val="20"/>
          <w:szCs w:val="20"/>
        </w:rPr>
        <w:t xml:space="preserve"> and</w:t>
      </w:r>
      <w:r w:rsidR="00944753" w:rsidRPr="00CE2B73">
        <w:rPr>
          <w:rFonts w:ascii="Arial" w:eastAsia="Times New Roman" w:hAnsi="Arial" w:cs="Arial"/>
          <w:sz w:val="20"/>
          <w:szCs w:val="20"/>
        </w:rPr>
        <w:t xml:space="preserve"> service delivery failures.</w:t>
      </w:r>
    </w:p>
    <w:p w:rsidR="00641285" w:rsidRPr="00CE2B73" w:rsidRDefault="007C53DD" w:rsidP="00CE2B73">
      <w:pPr>
        <w:pStyle w:val="ListParagraph"/>
        <w:numPr>
          <w:ilvl w:val="0"/>
          <w:numId w:val="1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Lastly, the FFC</w:t>
      </w:r>
      <w:r w:rsidR="00641285" w:rsidRPr="00CE2B73">
        <w:rPr>
          <w:rFonts w:ascii="Arial" w:eastAsia="Times New Roman" w:hAnsi="Arial" w:cs="Arial"/>
          <w:sz w:val="20"/>
          <w:szCs w:val="20"/>
        </w:rPr>
        <w:t xml:space="preserve"> </w:t>
      </w:r>
      <w:r w:rsidR="0074247E" w:rsidRPr="00CE2B73">
        <w:rPr>
          <w:rFonts w:ascii="Arial" w:eastAsia="Times New Roman" w:hAnsi="Arial" w:cs="Arial"/>
          <w:sz w:val="20"/>
          <w:szCs w:val="20"/>
        </w:rPr>
        <w:t>emphasised</w:t>
      </w:r>
      <w:r w:rsidR="00944753" w:rsidRPr="00CE2B73">
        <w:rPr>
          <w:rFonts w:ascii="Arial" w:eastAsia="Times New Roman" w:hAnsi="Arial" w:cs="Arial"/>
          <w:sz w:val="20"/>
          <w:szCs w:val="20"/>
        </w:rPr>
        <w:t xml:space="preserve"> that municipalities must improve the efficiency of sp</w:t>
      </w:r>
      <w:r w:rsidR="0074247E" w:rsidRPr="00CE2B73">
        <w:rPr>
          <w:rFonts w:ascii="Arial" w:eastAsia="Times New Roman" w:hAnsi="Arial" w:cs="Arial"/>
          <w:sz w:val="20"/>
          <w:szCs w:val="20"/>
        </w:rPr>
        <w:t>ending with cooperative support</w:t>
      </w:r>
      <w:r w:rsidR="00944753" w:rsidRPr="00CE2B73">
        <w:rPr>
          <w:rFonts w:ascii="Arial" w:eastAsia="Times New Roman" w:hAnsi="Arial" w:cs="Arial"/>
          <w:sz w:val="20"/>
          <w:szCs w:val="20"/>
        </w:rPr>
        <w:t xml:space="preserve"> from the national and provincial spheres of government through monitoring, reporting and evaluation to fulfil their constitutional mandates.</w:t>
      </w:r>
    </w:p>
    <w:p w:rsidR="00641285" w:rsidRPr="00CE2B73" w:rsidRDefault="00641285" w:rsidP="00CE2B73">
      <w:pPr>
        <w:tabs>
          <w:tab w:val="left" w:pos="284"/>
          <w:tab w:val="left" w:pos="567"/>
        </w:tabs>
        <w:spacing w:after="0" w:line="240" w:lineRule="auto"/>
        <w:rPr>
          <w:rFonts w:ascii="Arial" w:eastAsia="Times New Roman" w:hAnsi="Arial" w:cs="Arial"/>
          <w:sz w:val="20"/>
          <w:szCs w:val="20"/>
        </w:rPr>
      </w:pPr>
    </w:p>
    <w:p w:rsidR="00DB279C" w:rsidRPr="00CE2B73" w:rsidRDefault="00DB279C" w:rsidP="00CE2B73">
      <w:pPr>
        <w:pStyle w:val="ListParagraph"/>
        <w:numPr>
          <w:ilvl w:val="1"/>
          <w:numId w:val="18"/>
        </w:numPr>
        <w:tabs>
          <w:tab w:val="left" w:pos="284"/>
          <w:tab w:val="left" w:pos="567"/>
        </w:tabs>
        <w:spacing w:after="0" w:line="240" w:lineRule="auto"/>
        <w:rPr>
          <w:rFonts w:ascii="Arial" w:eastAsia="Times New Roman" w:hAnsi="Arial" w:cs="Arial"/>
          <w:b/>
          <w:sz w:val="20"/>
          <w:szCs w:val="20"/>
        </w:rPr>
      </w:pPr>
      <w:r w:rsidRPr="00CE2B73">
        <w:rPr>
          <w:rFonts w:ascii="Arial" w:eastAsia="Times New Roman" w:hAnsi="Arial" w:cs="Arial"/>
          <w:b/>
          <w:sz w:val="20"/>
          <w:szCs w:val="20"/>
        </w:rPr>
        <w:t>South African Local Government Association</w:t>
      </w:r>
    </w:p>
    <w:p w:rsidR="00DB279C" w:rsidRPr="00CE2B73" w:rsidRDefault="00DB279C" w:rsidP="00CE2B73">
      <w:pPr>
        <w:tabs>
          <w:tab w:val="left" w:pos="284"/>
          <w:tab w:val="left" w:pos="567"/>
        </w:tabs>
        <w:spacing w:after="0" w:line="240" w:lineRule="auto"/>
        <w:rPr>
          <w:rFonts w:ascii="Arial" w:eastAsia="Times New Roman" w:hAnsi="Arial" w:cs="Arial"/>
          <w:sz w:val="20"/>
          <w:szCs w:val="20"/>
          <w:lang w:val="en-US"/>
        </w:rPr>
      </w:pPr>
    </w:p>
    <w:p w:rsidR="009F2EDD" w:rsidRPr="00CE2B73" w:rsidRDefault="00DB279C"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lang w:val="en-US"/>
        </w:rPr>
        <w:t xml:space="preserve">The South African Local Government Association (SALGA) </w:t>
      </w:r>
      <w:r w:rsidR="009F2EDD" w:rsidRPr="00CE2B73">
        <w:rPr>
          <w:rFonts w:ascii="Arial" w:eastAsia="Times New Roman" w:hAnsi="Arial" w:cs="Arial"/>
          <w:sz w:val="20"/>
          <w:szCs w:val="20"/>
          <w:lang w:val="en-US"/>
        </w:rPr>
        <w:t xml:space="preserve">noted </w:t>
      </w:r>
      <w:r w:rsidR="000A49A9" w:rsidRPr="00CE2B73">
        <w:rPr>
          <w:rFonts w:ascii="Arial" w:eastAsia="Times New Roman" w:hAnsi="Arial" w:cs="Arial"/>
          <w:sz w:val="20"/>
          <w:szCs w:val="20"/>
        </w:rPr>
        <w:t xml:space="preserve">and supported </w:t>
      </w:r>
      <w:r w:rsidR="009F2EDD" w:rsidRPr="00CE2B73">
        <w:rPr>
          <w:rFonts w:ascii="Arial" w:eastAsia="Times New Roman" w:hAnsi="Arial" w:cs="Arial"/>
          <w:sz w:val="20"/>
          <w:szCs w:val="20"/>
        </w:rPr>
        <w:t>the fiscal consolidation course plotted by government to narrow the budget deficit and submitted that this was promising to bear results, notwithstanding the risk factors cited. SALGA welcomed the increased adjustment to the local government fiscal frameworks since this accorded with what the organisation has been lobbying and advocating for at the Budget Forum, Parliament and various other intergovernmental relations fora. SALGA submitted that the proposed increase in the allocation to local government over the MTEF cycle will gradually bring to reality the promise contained in the White Paper on Local Government of an equitable share of nationally raised revenue.</w:t>
      </w:r>
    </w:p>
    <w:p w:rsidR="009F2EDD" w:rsidRPr="00CE2B73" w:rsidRDefault="009F2EDD" w:rsidP="00CE2B73">
      <w:pPr>
        <w:tabs>
          <w:tab w:val="left" w:pos="284"/>
          <w:tab w:val="left" w:pos="567"/>
        </w:tabs>
        <w:spacing w:after="0" w:line="240" w:lineRule="auto"/>
        <w:rPr>
          <w:rFonts w:ascii="Arial" w:eastAsia="Times New Roman" w:hAnsi="Arial" w:cs="Arial"/>
          <w:sz w:val="20"/>
          <w:szCs w:val="20"/>
          <w:lang w:val="en-US"/>
        </w:rPr>
      </w:pPr>
    </w:p>
    <w:p w:rsidR="00D26125" w:rsidRPr="00CE2B73" w:rsidRDefault="00D26125"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lang w:val="en-US"/>
        </w:rPr>
        <w:t xml:space="preserve">With regard to the importance of effective municipal capacity building given the high number of municipalities currently under financial distress, SALGA submitted that it </w:t>
      </w:r>
      <w:r w:rsidRPr="00CE2B73">
        <w:rPr>
          <w:rFonts w:ascii="Arial" w:eastAsia="Times New Roman" w:hAnsi="Arial" w:cs="Arial"/>
          <w:sz w:val="20"/>
          <w:szCs w:val="20"/>
        </w:rPr>
        <w:t xml:space="preserve">has introduced the following: </w:t>
      </w:r>
    </w:p>
    <w:p w:rsidR="005B01B9" w:rsidRPr="00CE2B73" w:rsidRDefault="005B01B9" w:rsidP="00CE2B73">
      <w:pPr>
        <w:tabs>
          <w:tab w:val="left" w:pos="284"/>
          <w:tab w:val="left" w:pos="567"/>
        </w:tabs>
        <w:spacing w:after="0" w:line="240" w:lineRule="auto"/>
        <w:rPr>
          <w:rFonts w:ascii="Arial" w:eastAsia="Times New Roman" w:hAnsi="Arial" w:cs="Arial"/>
          <w:sz w:val="20"/>
          <w:szCs w:val="20"/>
        </w:rPr>
      </w:pPr>
    </w:p>
    <w:p w:rsidR="00D26125" w:rsidRPr="00CE2B73" w:rsidRDefault="00D26125" w:rsidP="00CE2B73">
      <w:pPr>
        <w:pStyle w:val="ListParagraph"/>
        <w:numPr>
          <w:ilvl w:val="0"/>
          <w:numId w:val="1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Development of a ‘Good Practice Guide on Municipal Financial Management’ with a view to improve the capacity of municipal officials and political leadership. Furthermore, it is in the process of rolling-out capacity building initiatives via the Municipal Finance Integrated Councillor Induction Programme (ICIP) and capacity building workshops targeting municipal officials. </w:t>
      </w:r>
    </w:p>
    <w:p w:rsidR="00AF55EE" w:rsidRPr="00CE2B73" w:rsidRDefault="005B01B9" w:rsidP="00CE2B73">
      <w:pPr>
        <w:pStyle w:val="ListParagraph"/>
        <w:numPr>
          <w:ilvl w:val="0"/>
          <w:numId w:val="1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In terms of </w:t>
      </w:r>
      <w:r w:rsidR="00D26125" w:rsidRPr="00CE2B73">
        <w:rPr>
          <w:rFonts w:ascii="Arial" w:eastAsia="Times New Roman" w:hAnsi="Arial" w:cs="Arial"/>
          <w:sz w:val="20"/>
          <w:szCs w:val="20"/>
        </w:rPr>
        <w:t xml:space="preserve">coordination of capacity building initiatives targeted at municipalities, the ICIP is offered in collaboration with National Treasury as well as Provincial Treasuries; Department of Cooperative Governance, South African </w:t>
      </w:r>
      <w:r w:rsidR="00AF55EE" w:rsidRPr="00CE2B73">
        <w:rPr>
          <w:rFonts w:ascii="Arial" w:eastAsia="Times New Roman" w:hAnsi="Arial" w:cs="Arial"/>
          <w:sz w:val="20"/>
          <w:szCs w:val="20"/>
        </w:rPr>
        <w:t>Revenue Services, and the Local Government Sector Education and Training Authority.</w:t>
      </w:r>
    </w:p>
    <w:p w:rsidR="009F2EDD" w:rsidRPr="00CE2B73" w:rsidRDefault="005B01B9" w:rsidP="00CE2B73">
      <w:pPr>
        <w:pStyle w:val="ListParagraph"/>
        <w:numPr>
          <w:ilvl w:val="0"/>
          <w:numId w:val="17"/>
        </w:numPr>
        <w:tabs>
          <w:tab w:val="left" w:pos="284"/>
          <w:tab w:val="left" w:pos="709"/>
        </w:tabs>
        <w:spacing w:after="0" w:line="240" w:lineRule="auto"/>
        <w:rPr>
          <w:rFonts w:ascii="Arial" w:eastAsia="Times New Roman" w:hAnsi="Arial" w:cs="Arial"/>
          <w:sz w:val="20"/>
          <w:szCs w:val="20"/>
        </w:rPr>
      </w:pPr>
      <w:r w:rsidRPr="00CE2B73">
        <w:rPr>
          <w:rFonts w:ascii="Arial" w:eastAsia="Times New Roman" w:hAnsi="Arial" w:cs="Arial"/>
          <w:sz w:val="20"/>
          <w:szCs w:val="20"/>
        </w:rPr>
        <w:t>D</w:t>
      </w:r>
      <w:r w:rsidR="00D26125" w:rsidRPr="00CE2B73">
        <w:rPr>
          <w:rFonts w:ascii="Arial" w:eastAsia="Times New Roman" w:hAnsi="Arial" w:cs="Arial"/>
          <w:sz w:val="20"/>
          <w:szCs w:val="20"/>
        </w:rPr>
        <w:t>evelopment of the accredited ‘Project Preparation and Financing’ capacity building initiative for major capital projects included piloted municipalities to ensure that the learning outcomes address the deficiencies agreed with municipalities</w:t>
      </w:r>
      <w:r w:rsidR="00F16B59" w:rsidRPr="00CE2B73">
        <w:rPr>
          <w:rFonts w:ascii="Arial" w:eastAsia="Times New Roman" w:hAnsi="Arial" w:cs="Arial"/>
          <w:sz w:val="20"/>
          <w:szCs w:val="20"/>
        </w:rPr>
        <w:t>.</w:t>
      </w:r>
    </w:p>
    <w:p w:rsidR="009F2EDD" w:rsidRPr="00CE2B73" w:rsidRDefault="009F2EDD" w:rsidP="00CE2B73">
      <w:pPr>
        <w:tabs>
          <w:tab w:val="left" w:pos="284"/>
          <w:tab w:val="left" w:pos="567"/>
        </w:tabs>
        <w:spacing w:after="0" w:line="240" w:lineRule="auto"/>
        <w:rPr>
          <w:rFonts w:ascii="Arial" w:eastAsia="Times New Roman" w:hAnsi="Arial" w:cs="Arial"/>
          <w:sz w:val="20"/>
          <w:szCs w:val="20"/>
          <w:lang w:val="en-US"/>
        </w:rPr>
      </w:pPr>
    </w:p>
    <w:p w:rsidR="00DB279C" w:rsidRPr="00CE2B73" w:rsidRDefault="00AF55EE" w:rsidP="00CE2B73">
      <w:pPr>
        <w:tabs>
          <w:tab w:val="left" w:pos="284"/>
          <w:tab w:val="left" w:pos="567"/>
        </w:tabs>
        <w:spacing w:after="0" w:line="240" w:lineRule="auto"/>
        <w:rPr>
          <w:rFonts w:ascii="Arial" w:eastAsia="Times New Roman" w:hAnsi="Arial" w:cs="Arial"/>
          <w:sz w:val="20"/>
          <w:szCs w:val="20"/>
          <w:lang w:val="en-US"/>
        </w:rPr>
      </w:pPr>
      <w:r w:rsidRPr="00CE2B73">
        <w:rPr>
          <w:rFonts w:ascii="Arial" w:eastAsia="Times New Roman" w:hAnsi="Arial" w:cs="Arial"/>
          <w:sz w:val="20"/>
          <w:szCs w:val="20"/>
          <w:lang w:val="en-US"/>
        </w:rPr>
        <w:t>In terms of municipal revenue, SALGA submitted that the</w:t>
      </w:r>
      <w:r w:rsidRPr="00CE2B73">
        <w:rPr>
          <w:rFonts w:ascii="Arial" w:eastAsia="Times New Roman" w:hAnsi="Arial" w:cs="Arial"/>
          <w:sz w:val="20"/>
          <w:szCs w:val="20"/>
        </w:rPr>
        <w:t xml:space="preserve"> National Conference resolved amongst others to encourage municipalities to strictly implement their credit control policies in an effort to manage escalatin</w:t>
      </w:r>
      <w:r w:rsidR="007C53DD" w:rsidRPr="00CE2B73">
        <w:rPr>
          <w:rFonts w:ascii="Arial" w:eastAsia="Times New Roman" w:hAnsi="Arial" w:cs="Arial"/>
          <w:sz w:val="20"/>
          <w:szCs w:val="20"/>
        </w:rPr>
        <w:t>g debt-owing to municipalities, p</w:t>
      </w:r>
      <w:r w:rsidRPr="00CE2B73">
        <w:rPr>
          <w:rFonts w:ascii="Arial" w:eastAsia="Times New Roman" w:hAnsi="Arial" w:cs="Arial"/>
          <w:sz w:val="20"/>
          <w:szCs w:val="20"/>
        </w:rPr>
        <w:t>articularly in collecting debt from customers who are able to pay but not willing as opposed to indigent customers.</w:t>
      </w:r>
    </w:p>
    <w:p w:rsidR="00DB279C" w:rsidRPr="00CE2B73" w:rsidRDefault="00DB279C" w:rsidP="00CE2B73">
      <w:pPr>
        <w:tabs>
          <w:tab w:val="left" w:pos="284"/>
          <w:tab w:val="left" w:pos="567"/>
        </w:tabs>
        <w:spacing w:after="0" w:line="240" w:lineRule="auto"/>
        <w:rPr>
          <w:rFonts w:ascii="Arial" w:eastAsia="Times New Roman" w:hAnsi="Arial" w:cs="Arial"/>
          <w:sz w:val="20"/>
          <w:szCs w:val="20"/>
          <w:lang w:val="en-US"/>
        </w:rPr>
      </w:pPr>
    </w:p>
    <w:p w:rsidR="001B76DD" w:rsidRPr="00CE2B73" w:rsidRDefault="00DB279C"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lang w:val="en-US"/>
        </w:rPr>
        <w:lastRenderedPageBreak/>
        <w:t xml:space="preserve">SALGA </w:t>
      </w:r>
      <w:r w:rsidR="001B76DD" w:rsidRPr="00CE2B73">
        <w:rPr>
          <w:rFonts w:ascii="Arial" w:eastAsia="Times New Roman" w:hAnsi="Arial" w:cs="Arial"/>
          <w:sz w:val="20"/>
          <w:szCs w:val="20"/>
          <w:lang w:val="en-US"/>
        </w:rPr>
        <w:t xml:space="preserve">made reference to the updated Municipal Borrowing Policy Framework, and stated that </w:t>
      </w:r>
      <w:r w:rsidR="001B76DD" w:rsidRPr="00CE2B73">
        <w:rPr>
          <w:rFonts w:ascii="Arial" w:eastAsia="Times New Roman" w:hAnsi="Arial" w:cs="Arial"/>
          <w:sz w:val="20"/>
          <w:szCs w:val="20"/>
        </w:rPr>
        <w:t xml:space="preserve">it is collaborating with the Development Bank of Southern Africa’s Infrastructure Fund in an effort to facilitate the uptake of long-term borrowing instruments for major capital projects. </w:t>
      </w:r>
    </w:p>
    <w:p w:rsidR="00030361" w:rsidRPr="00CE2B73" w:rsidRDefault="00030361" w:rsidP="00CE2B73">
      <w:pPr>
        <w:tabs>
          <w:tab w:val="left" w:pos="284"/>
          <w:tab w:val="left" w:pos="567"/>
        </w:tabs>
        <w:spacing w:after="0" w:line="240" w:lineRule="auto"/>
        <w:rPr>
          <w:rFonts w:ascii="Arial" w:eastAsia="Times New Roman" w:hAnsi="Arial" w:cs="Arial"/>
          <w:sz w:val="20"/>
          <w:szCs w:val="20"/>
        </w:rPr>
      </w:pPr>
    </w:p>
    <w:p w:rsidR="001B76DD" w:rsidRPr="00CE2B73" w:rsidRDefault="007F139F" w:rsidP="00CE2B73">
      <w:pPr>
        <w:tabs>
          <w:tab w:val="left" w:pos="284"/>
          <w:tab w:val="left" w:pos="567"/>
        </w:tabs>
        <w:spacing w:after="0" w:line="240" w:lineRule="auto"/>
        <w:rPr>
          <w:rFonts w:ascii="Arial" w:eastAsia="Times New Roman" w:hAnsi="Arial" w:cs="Arial"/>
          <w:sz w:val="20"/>
          <w:szCs w:val="20"/>
          <w:lang w:val="en-US"/>
        </w:rPr>
      </w:pPr>
      <w:r w:rsidRPr="00CE2B73">
        <w:rPr>
          <w:rFonts w:ascii="Arial" w:eastAsia="Times New Roman" w:hAnsi="Arial" w:cs="Arial"/>
          <w:sz w:val="20"/>
          <w:szCs w:val="20"/>
        </w:rPr>
        <w:t>SALGA welcomed</w:t>
      </w:r>
      <w:r w:rsidR="001B76DD" w:rsidRPr="00CE2B73">
        <w:rPr>
          <w:rFonts w:ascii="Arial" w:eastAsia="Times New Roman" w:hAnsi="Arial" w:cs="Arial"/>
          <w:sz w:val="20"/>
          <w:szCs w:val="20"/>
        </w:rPr>
        <w:t xml:space="preserve"> the allocations of R800 million in 2022/2</w:t>
      </w:r>
      <w:r w:rsidRPr="00CE2B73">
        <w:rPr>
          <w:rFonts w:ascii="Arial" w:eastAsia="Times New Roman" w:hAnsi="Arial" w:cs="Arial"/>
          <w:sz w:val="20"/>
          <w:szCs w:val="20"/>
        </w:rPr>
        <w:t>3 and R856 million in 2023/24 in respect of</w:t>
      </w:r>
      <w:r w:rsidR="001B76DD" w:rsidRPr="00CE2B73">
        <w:rPr>
          <w:rFonts w:ascii="Arial" w:eastAsia="Times New Roman" w:hAnsi="Arial" w:cs="Arial"/>
          <w:sz w:val="20"/>
          <w:szCs w:val="20"/>
        </w:rPr>
        <w:t xml:space="preserve"> </w:t>
      </w:r>
      <w:r w:rsidRPr="00CE2B73">
        <w:rPr>
          <w:rFonts w:ascii="Arial" w:eastAsia="Times New Roman" w:hAnsi="Arial" w:cs="Arial"/>
          <w:sz w:val="20"/>
          <w:szCs w:val="20"/>
        </w:rPr>
        <w:t xml:space="preserve">the </w:t>
      </w:r>
      <w:r w:rsidRPr="00CE2B73">
        <w:rPr>
          <w:rFonts w:ascii="Arial" w:eastAsia="Times New Roman" w:hAnsi="Arial" w:cs="Arial"/>
          <w:i/>
          <w:sz w:val="20"/>
          <w:szCs w:val="20"/>
        </w:rPr>
        <w:t>Neighbourho</w:t>
      </w:r>
      <w:r w:rsidR="00295D23" w:rsidRPr="00CE2B73">
        <w:rPr>
          <w:rFonts w:ascii="Arial" w:eastAsia="Times New Roman" w:hAnsi="Arial" w:cs="Arial"/>
          <w:i/>
          <w:sz w:val="20"/>
          <w:szCs w:val="20"/>
        </w:rPr>
        <w:t>od Development Partnership</w:t>
      </w:r>
      <w:r w:rsidRPr="00CE2B73">
        <w:rPr>
          <w:rFonts w:ascii="Arial" w:eastAsia="Times New Roman" w:hAnsi="Arial" w:cs="Arial"/>
          <w:i/>
          <w:sz w:val="20"/>
          <w:szCs w:val="20"/>
        </w:rPr>
        <w:t xml:space="preserve"> </w:t>
      </w:r>
      <w:r w:rsidR="00884154" w:rsidRPr="00CE2B73">
        <w:rPr>
          <w:rFonts w:ascii="Arial" w:eastAsia="Times New Roman" w:hAnsi="Arial" w:cs="Arial"/>
          <w:i/>
          <w:sz w:val="20"/>
          <w:szCs w:val="20"/>
        </w:rPr>
        <w:t>grant</w:t>
      </w:r>
      <w:r w:rsidR="00884154" w:rsidRPr="00CE2B73">
        <w:rPr>
          <w:rFonts w:ascii="Arial" w:eastAsia="Times New Roman" w:hAnsi="Arial" w:cs="Arial"/>
          <w:sz w:val="20"/>
          <w:szCs w:val="20"/>
        </w:rPr>
        <w:t xml:space="preserve"> </w:t>
      </w:r>
      <w:r w:rsidRPr="00CE2B73">
        <w:rPr>
          <w:rFonts w:ascii="Arial" w:eastAsia="Times New Roman" w:hAnsi="Arial" w:cs="Arial"/>
          <w:sz w:val="20"/>
          <w:szCs w:val="20"/>
        </w:rPr>
        <w:t xml:space="preserve">to </w:t>
      </w:r>
      <w:r w:rsidR="001B76DD" w:rsidRPr="00CE2B73">
        <w:rPr>
          <w:rFonts w:ascii="Arial" w:eastAsia="Times New Roman" w:hAnsi="Arial" w:cs="Arial"/>
          <w:sz w:val="20"/>
          <w:szCs w:val="20"/>
        </w:rPr>
        <w:t xml:space="preserve">continue with city-led employment programmes forming part of the presidential employment initiative. </w:t>
      </w:r>
      <w:r w:rsidRPr="00CE2B73">
        <w:rPr>
          <w:rFonts w:ascii="Arial" w:eastAsia="Times New Roman" w:hAnsi="Arial" w:cs="Arial"/>
          <w:sz w:val="20"/>
          <w:szCs w:val="20"/>
        </w:rPr>
        <w:t xml:space="preserve">However, it </w:t>
      </w:r>
      <w:r w:rsidR="001B76DD" w:rsidRPr="00CE2B73">
        <w:rPr>
          <w:rFonts w:ascii="Arial" w:eastAsia="Times New Roman" w:hAnsi="Arial" w:cs="Arial"/>
          <w:sz w:val="20"/>
          <w:szCs w:val="20"/>
        </w:rPr>
        <w:t xml:space="preserve">submitted that </w:t>
      </w:r>
      <w:r w:rsidRPr="00CE2B73">
        <w:rPr>
          <w:rFonts w:ascii="Arial" w:eastAsia="Times New Roman" w:hAnsi="Arial" w:cs="Arial"/>
          <w:sz w:val="20"/>
          <w:szCs w:val="20"/>
        </w:rPr>
        <w:t>these allocations</w:t>
      </w:r>
      <w:r w:rsidR="001B76DD" w:rsidRPr="00CE2B73">
        <w:rPr>
          <w:rFonts w:ascii="Arial" w:eastAsia="Times New Roman" w:hAnsi="Arial" w:cs="Arial"/>
          <w:sz w:val="20"/>
          <w:szCs w:val="20"/>
        </w:rPr>
        <w:t xml:space="preserve"> must be aligned to the local governmen</w:t>
      </w:r>
      <w:r w:rsidRPr="00CE2B73">
        <w:rPr>
          <w:rFonts w:ascii="Arial" w:eastAsia="Times New Roman" w:hAnsi="Arial" w:cs="Arial"/>
          <w:sz w:val="20"/>
          <w:szCs w:val="20"/>
        </w:rPr>
        <w:t>t</w:t>
      </w:r>
      <w:r w:rsidR="008E29AB" w:rsidRPr="00CE2B73">
        <w:rPr>
          <w:rFonts w:ascii="Arial" w:eastAsia="Times New Roman" w:hAnsi="Arial" w:cs="Arial"/>
          <w:sz w:val="20"/>
          <w:szCs w:val="20"/>
        </w:rPr>
        <w:t xml:space="preserve"> functions of the grant. SALGA acknowledged</w:t>
      </w:r>
      <w:r w:rsidR="001B76DD" w:rsidRPr="00CE2B73">
        <w:rPr>
          <w:rFonts w:ascii="Arial" w:eastAsia="Times New Roman" w:hAnsi="Arial" w:cs="Arial"/>
          <w:sz w:val="20"/>
          <w:szCs w:val="20"/>
        </w:rPr>
        <w:t xml:space="preserve"> the temporary nature of the initiative </w:t>
      </w:r>
      <w:r w:rsidRPr="00CE2B73">
        <w:rPr>
          <w:rFonts w:ascii="Arial" w:eastAsia="Times New Roman" w:hAnsi="Arial" w:cs="Arial"/>
          <w:sz w:val="20"/>
          <w:szCs w:val="20"/>
        </w:rPr>
        <w:t>due to its response to the impact of the Co</w:t>
      </w:r>
      <w:r w:rsidR="008E29AB" w:rsidRPr="00CE2B73">
        <w:rPr>
          <w:rFonts w:ascii="Arial" w:eastAsia="Times New Roman" w:hAnsi="Arial" w:cs="Arial"/>
          <w:sz w:val="20"/>
          <w:szCs w:val="20"/>
        </w:rPr>
        <w:t xml:space="preserve">vid-19 pandemic on the economy. Furthermore, </w:t>
      </w:r>
      <w:r w:rsidRPr="00CE2B73">
        <w:rPr>
          <w:rFonts w:ascii="Arial" w:eastAsia="Times New Roman" w:hAnsi="Arial" w:cs="Arial"/>
          <w:sz w:val="20"/>
          <w:szCs w:val="20"/>
        </w:rPr>
        <w:t>SALGA n</w:t>
      </w:r>
      <w:r w:rsidR="001B76DD" w:rsidRPr="00CE2B73">
        <w:rPr>
          <w:rFonts w:ascii="Arial" w:eastAsia="Times New Roman" w:hAnsi="Arial" w:cs="Arial"/>
          <w:sz w:val="20"/>
          <w:szCs w:val="20"/>
        </w:rPr>
        <w:t>ote</w:t>
      </w:r>
      <w:r w:rsidRPr="00CE2B73">
        <w:rPr>
          <w:rFonts w:ascii="Arial" w:eastAsia="Times New Roman" w:hAnsi="Arial" w:cs="Arial"/>
          <w:sz w:val="20"/>
          <w:szCs w:val="20"/>
        </w:rPr>
        <w:t>d</w:t>
      </w:r>
      <w:r w:rsidR="008E29AB" w:rsidRPr="00CE2B73">
        <w:rPr>
          <w:rFonts w:ascii="Arial" w:eastAsia="Times New Roman" w:hAnsi="Arial" w:cs="Arial"/>
          <w:sz w:val="20"/>
          <w:szCs w:val="20"/>
        </w:rPr>
        <w:t xml:space="preserve"> a risk of placing ex</w:t>
      </w:r>
      <w:r w:rsidR="001B76DD" w:rsidRPr="00CE2B73">
        <w:rPr>
          <w:rFonts w:ascii="Arial" w:eastAsia="Times New Roman" w:hAnsi="Arial" w:cs="Arial"/>
          <w:sz w:val="20"/>
          <w:szCs w:val="20"/>
        </w:rPr>
        <w:t>pectation</w:t>
      </w:r>
      <w:r w:rsidR="008E29AB" w:rsidRPr="00CE2B73">
        <w:rPr>
          <w:rFonts w:ascii="Arial" w:eastAsia="Times New Roman" w:hAnsi="Arial" w:cs="Arial"/>
          <w:sz w:val="20"/>
          <w:szCs w:val="20"/>
        </w:rPr>
        <w:t>s</w:t>
      </w:r>
      <w:r w:rsidR="001B76DD" w:rsidRPr="00CE2B73">
        <w:rPr>
          <w:rFonts w:ascii="Arial" w:eastAsia="Times New Roman" w:hAnsi="Arial" w:cs="Arial"/>
          <w:sz w:val="20"/>
          <w:szCs w:val="20"/>
        </w:rPr>
        <w:t xml:space="preserve"> on municipalities to provide this form of employment for medium to </w:t>
      </w:r>
      <w:r w:rsidR="0044523D" w:rsidRPr="00CE2B73">
        <w:rPr>
          <w:rFonts w:ascii="Arial" w:eastAsia="Times New Roman" w:hAnsi="Arial" w:cs="Arial"/>
          <w:sz w:val="20"/>
          <w:szCs w:val="20"/>
        </w:rPr>
        <w:t>long-term</w:t>
      </w:r>
      <w:r w:rsidR="001B76DD" w:rsidRPr="00CE2B73">
        <w:rPr>
          <w:rFonts w:ascii="Arial" w:eastAsia="Times New Roman" w:hAnsi="Arial" w:cs="Arial"/>
          <w:sz w:val="20"/>
          <w:szCs w:val="20"/>
        </w:rPr>
        <w:t xml:space="preserve"> </w:t>
      </w:r>
      <w:r w:rsidRPr="00CE2B73">
        <w:rPr>
          <w:rFonts w:ascii="Arial" w:eastAsia="Times New Roman" w:hAnsi="Arial" w:cs="Arial"/>
          <w:sz w:val="20"/>
          <w:szCs w:val="20"/>
        </w:rPr>
        <w:t>period even after the funds were</w:t>
      </w:r>
      <w:r w:rsidR="001B76DD" w:rsidRPr="00CE2B73">
        <w:rPr>
          <w:rFonts w:ascii="Arial" w:eastAsia="Times New Roman" w:hAnsi="Arial" w:cs="Arial"/>
          <w:sz w:val="20"/>
          <w:szCs w:val="20"/>
        </w:rPr>
        <w:t xml:space="preserve"> no longer available.</w:t>
      </w:r>
    </w:p>
    <w:p w:rsidR="0044523D" w:rsidRPr="00CE2B73" w:rsidRDefault="0044523D" w:rsidP="00CE2B73">
      <w:pPr>
        <w:tabs>
          <w:tab w:val="left" w:pos="284"/>
          <w:tab w:val="left" w:pos="567"/>
        </w:tabs>
        <w:spacing w:after="0" w:line="240" w:lineRule="auto"/>
        <w:rPr>
          <w:rFonts w:ascii="Arial" w:eastAsia="Times New Roman" w:hAnsi="Arial" w:cs="Arial"/>
          <w:sz w:val="20"/>
          <w:szCs w:val="20"/>
          <w:lang w:val="en-US"/>
        </w:rPr>
      </w:pPr>
    </w:p>
    <w:p w:rsidR="001B76DD" w:rsidRPr="00CE2B73" w:rsidRDefault="0044523D"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lang w:val="en-US"/>
        </w:rPr>
        <w:t xml:space="preserve">Regarding </w:t>
      </w:r>
      <w:r w:rsidR="00884154" w:rsidRPr="00CE2B73">
        <w:rPr>
          <w:rFonts w:ascii="Arial" w:eastAsia="Times New Roman" w:hAnsi="Arial" w:cs="Arial"/>
          <w:sz w:val="20"/>
          <w:szCs w:val="20"/>
          <w:lang w:val="en-US"/>
        </w:rPr>
        <w:t xml:space="preserve">the </w:t>
      </w:r>
      <w:r w:rsidR="00884154" w:rsidRPr="00CE2B73">
        <w:rPr>
          <w:rFonts w:ascii="Arial" w:eastAsia="Times New Roman" w:hAnsi="Arial" w:cs="Arial"/>
          <w:i/>
          <w:sz w:val="20"/>
          <w:szCs w:val="20"/>
          <w:lang w:val="en-US"/>
        </w:rPr>
        <w:t>M</w:t>
      </w:r>
      <w:r w:rsidR="00295D23" w:rsidRPr="00CE2B73">
        <w:rPr>
          <w:rFonts w:ascii="Arial" w:eastAsia="Times New Roman" w:hAnsi="Arial" w:cs="Arial"/>
          <w:i/>
          <w:sz w:val="20"/>
          <w:szCs w:val="20"/>
          <w:lang w:val="en-US"/>
        </w:rPr>
        <w:t>unicipal Disaster Recovery</w:t>
      </w:r>
      <w:r w:rsidR="00884154" w:rsidRPr="00CE2B73">
        <w:rPr>
          <w:rFonts w:ascii="Arial" w:eastAsia="Times New Roman" w:hAnsi="Arial" w:cs="Arial"/>
          <w:i/>
          <w:sz w:val="20"/>
          <w:szCs w:val="20"/>
          <w:lang w:val="en-US"/>
        </w:rPr>
        <w:t xml:space="preserve"> grant</w:t>
      </w:r>
      <w:r w:rsidR="00884154" w:rsidRPr="00CE2B73">
        <w:rPr>
          <w:rFonts w:ascii="Arial" w:eastAsia="Times New Roman" w:hAnsi="Arial" w:cs="Arial"/>
          <w:sz w:val="20"/>
          <w:szCs w:val="20"/>
          <w:lang w:val="en-US"/>
        </w:rPr>
        <w:t xml:space="preserve">, </w:t>
      </w:r>
      <w:r w:rsidR="00884154" w:rsidRPr="00CE2B73">
        <w:rPr>
          <w:rFonts w:ascii="Arial" w:eastAsia="Times New Roman" w:hAnsi="Arial" w:cs="Arial"/>
          <w:sz w:val="20"/>
          <w:szCs w:val="20"/>
        </w:rPr>
        <w:t>SALGA highlighted the need to factor-in rapid disbursements of the grant allocations to municipalities, in the case of a disaster. SALGA emphasised that the responsiveness in the disbursement of the said grant determined whether the grant would have the requisite impact in the event of disasters and it was therefore important to draw from lessons learnt during the Covid-19 hard lock-down responsiveness for disbursement of funds.</w:t>
      </w:r>
    </w:p>
    <w:p w:rsidR="000F182E" w:rsidRPr="00CE2B73" w:rsidRDefault="000F182E" w:rsidP="00CE2B73">
      <w:pPr>
        <w:tabs>
          <w:tab w:val="left" w:pos="284"/>
          <w:tab w:val="left" w:pos="567"/>
        </w:tabs>
        <w:spacing w:after="0" w:line="240" w:lineRule="auto"/>
        <w:rPr>
          <w:rFonts w:ascii="Arial" w:eastAsia="Times New Roman" w:hAnsi="Arial" w:cs="Arial"/>
          <w:sz w:val="20"/>
          <w:szCs w:val="20"/>
          <w:lang w:val="en-US"/>
        </w:rPr>
      </w:pPr>
    </w:p>
    <w:p w:rsidR="001B76DD" w:rsidRPr="00CE2B73" w:rsidRDefault="003517B1"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lang w:val="en-US"/>
        </w:rPr>
        <w:t xml:space="preserve">In conclusion, SALGA </w:t>
      </w:r>
      <w:r w:rsidR="00BE71FD" w:rsidRPr="00CE2B73">
        <w:rPr>
          <w:rFonts w:ascii="Arial" w:eastAsia="Times New Roman" w:hAnsi="Arial" w:cs="Arial"/>
          <w:sz w:val="20"/>
          <w:szCs w:val="20"/>
          <w:lang w:val="en-US"/>
        </w:rPr>
        <w:t xml:space="preserve">submitted that it supported the Bill and </w:t>
      </w:r>
      <w:r w:rsidRPr="00CE2B73">
        <w:rPr>
          <w:rFonts w:ascii="Arial" w:eastAsia="Times New Roman" w:hAnsi="Arial" w:cs="Arial"/>
          <w:sz w:val="20"/>
          <w:szCs w:val="20"/>
          <w:lang w:val="en-US"/>
        </w:rPr>
        <w:t>recommended that</w:t>
      </w:r>
      <w:r w:rsidRPr="00CE2B73">
        <w:rPr>
          <w:rFonts w:ascii="Arial" w:eastAsia="Times New Roman" w:hAnsi="Arial" w:cs="Arial"/>
          <w:sz w:val="20"/>
          <w:szCs w:val="20"/>
        </w:rPr>
        <w:t xml:space="preserve"> the upward trajectory in local government allocations from nationally raised revenue be maintained in order to realise the aspirations contained on the White Paper on Local Government, 1998 in respect of subsidising the provision of basic services. </w:t>
      </w:r>
    </w:p>
    <w:p w:rsidR="003517B1" w:rsidRPr="00CE2B73" w:rsidRDefault="003517B1" w:rsidP="00CE2B73">
      <w:pPr>
        <w:tabs>
          <w:tab w:val="left" w:pos="284"/>
          <w:tab w:val="left" w:pos="567"/>
        </w:tabs>
        <w:spacing w:after="0" w:line="240" w:lineRule="auto"/>
        <w:rPr>
          <w:rFonts w:ascii="Arial" w:eastAsia="Times New Roman" w:hAnsi="Arial" w:cs="Arial"/>
          <w:sz w:val="20"/>
          <w:szCs w:val="20"/>
          <w:lang w:val="en-US"/>
        </w:rPr>
      </w:pPr>
    </w:p>
    <w:p w:rsidR="00B87B7E" w:rsidRPr="00CE2B73" w:rsidRDefault="00B87B7E" w:rsidP="00CE2B73">
      <w:pPr>
        <w:pStyle w:val="ListParagraph"/>
        <w:numPr>
          <w:ilvl w:val="1"/>
          <w:numId w:val="18"/>
        </w:numPr>
        <w:tabs>
          <w:tab w:val="left" w:pos="284"/>
          <w:tab w:val="left" w:pos="567"/>
        </w:tabs>
        <w:spacing w:after="0" w:line="240" w:lineRule="auto"/>
        <w:rPr>
          <w:rFonts w:ascii="Arial" w:eastAsia="Times New Roman" w:hAnsi="Arial" w:cs="Arial"/>
          <w:b/>
          <w:sz w:val="20"/>
          <w:szCs w:val="20"/>
        </w:rPr>
      </w:pPr>
      <w:r w:rsidRPr="00CE2B73">
        <w:rPr>
          <w:rFonts w:ascii="Arial" w:eastAsia="Times New Roman" w:hAnsi="Arial" w:cs="Arial"/>
          <w:b/>
          <w:sz w:val="20"/>
          <w:szCs w:val="20"/>
        </w:rPr>
        <w:t>Women on Farms Project</w:t>
      </w:r>
    </w:p>
    <w:p w:rsidR="00B87B7E" w:rsidRPr="00CE2B73" w:rsidRDefault="00B87B7E" w:rsidP="00CE2B73">
      <w:pPr>
        <w:tabs>
          <w:tab w:val="left" w:pos="284"/>
          <w:tab w:val="left" w:pos="567"/>
        </w:tabs>
        <w:spacing w:after="0" w:line="240" w:lineRule="auto"/>
        <w:rPr>
          <w:rFonts w:ascii="Arial" w:eastAsia="Times New Roman" w:hAnsi="Arial" w:cs="Arial"/>
          <w:b/>
          <w:sz w:val="20"/>
          <w:szCs w:val="20"/>
        </w:rPr>
      </w:pPr>
    </w:p>
    <w:p w:rsidR="00FC189B" w:rsidRPr="00CE2B73" w:rsidRDefault="00FC189B"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Women on Farms Project (WFP) is a feminist non-governmental organisation that believes in feminist solutions for dignified lives for </w:t>
      </w:r>
      <w:r w:rsidR="007453BA" w:rsidRPr="00CE2B73">
        <w:rPr>
          <w:rFonts w:ascii="Arial" w:eastAsia="Times New Roman" w:hAnsi="Arial" w:cs="Arial"/>
          <w:sz w:val="20"/>
          <w:szCs w:val="20"/>
        </w:rPr>
        <w:t>farm</w:t>
      </w:r>
      <w:r w:rsidR="008E29AB" w:rsidRPr="00CE2B73">
        <w:rPr>
          <w:rFonts w:ascii="Arial" w:eastAsia="Times New Roman" w:hAnsi="Arial" w:cs="Arial"/>
          <w:sz w:val="20"/>
          <w:szCs w:val="20"/>
        </w:rPr>
        <w:t xml:space="preserve"> </w:t>
      </w:r>
      <w:r w:rsidR="007453BA" w:rsidRPr="00CE2B73">
        <w:rPr>
          <w:rFonts w:ascii="Arial" w:eastAsia="Times New Roman" w:hAnsi="Arial" w:cs="Arial"/>
          <w:sz w:val="20"/>
          <w:szCs w:val="20"/>
        </w:rPr>
        <w:t>women</w:t>
      </w:r>
      <w:r w:rsidRPr="00CE2B73">
        <w:rPr>
          <w:rFonts w:ascii="Arial" w:eastAsia="Times New Roman" w:hAnsi="Arial" w:cs="Arial"/>
          <w:sz w:val="20"/>
          <w:szCs w:val="20"/>
        </w:rPr>
        <w:t xml:space="preserve">. </w:t>
      </w:r>
      <w:r w:rsidR="00E505B6" w:rsidRPr="00CE2B73">
        <w:rPr>
          <w:rFonts w:ascii="Arial" w:eastAsia="Times New Roman" w:hAnsi="Arial" w:cs="Arial"/>
          <w:sz w:val="20"/>
          <w:szCs w:val="20"/>
        </w:rPr>
        <w:t>WFP welcomed</w:t>
      </w:r>
      <w:r w:rsidRPr="00CE2B73">
        <w:rPr>
          <w:rFonts w:ascii="Arial" w:eastAsia="Times New Roman" w:hAnsi="Arial" w:cs="Arial"/>
          <w:sz w:val="20"/>
          <w:szCs w:val="20"/>
        </w:rPr>
        <w:t xml:space="preserve"> the redistributive approach </w:t>
      </w:r>
      <w:r w:rsidR="00E505B6" w:rsidRPr="00CE2B73">
        <w:rPr>
          <w:rFonts w:ascii="Arial" w:eastAsia="Times New Roman" w:hAnsi="Arial" w:cs="Arial"/>
          <w:sz w:val="20"/>
          <w:szCs w:val="20"/>
        </w:rPr>
        <w:t xml:space="preserve">to budgeting as shown in the Bill, as rural and farm communities were the most historically deprived during apartheid and therefore required more resources. </w:t>
      </w:r>
      <w:r w:rsidR="00230022" w:rsidRPr="00CE2B73">
        <w:rPr>
          <w:rFonts w:ascii="Arial" w:eastAsia="Times New Roman" w:hAnsi="Arial" w:cs="Arial"/>
          <w:sz w:val="20"/>
          <w:szCs w:val="20"/>
        </w:rPr>
        <w:t>WFP contends</w:t>
      </w:r>
      <w:r w:rsidR="00E505B6" w:rsidRPr="00CE2B73">
        <w:rPr>
          <w:rFonts w:ascii="Arial" w:eastAsia="Times New Roman" w:hAnsi="Arial" w:cs="Arial"/>
          <w:sz w:val="20"/>
          <w:szCs w:val="20"/>
        </w:rPr>
        <w:t xml:space="preserve"> that the current budgetary allocations to rural areas were still inadequate to address the structural inequalities inherited from centuries of commercial agriculture, apartheid and racialised capitalism. To this end, the WFP</w:t>
      </w:r>
      <w:r w:rsidRPr="00CE2B73">
        <w:rPr>
          <w:rFonts w:ascii="Arial" w:eastAsia="Times New Roman" w:hAnsi="Arial" w:cs="Arial"/>
          <w:sz w:val="20"/>
          <w:szCs w:val="20"/>
        </w:rPr>
        <w:t xml:space="preserve"> </w:t>
      </w:r>
      <w:r w:rsidR="00230022" w:rsidRPr="00CE2B73">
        <w:rPr>
          <w:rFonts w:ascii="Arial" w:eastAsia="Times New Roman" w:hAnsi="Arial" w:cs="Arial"/>
          <w:sz w:val="20"/>
          <w:szCs w:val="20"/>
        </w:rPr>
        <w:t>recommended the foll</w:t>
      </w:r>
      <w:r w:rsidR="00F16B59" w:rsidRPr="00CE2B73">
        <w:rPr>
          <w:rFonts w:ascii="Arial" w:eastAsia="Times New Roman" w:hAnsi="Arial" w:cs="Arial"/>
          <w:sz w:val="20"/>
          <w:szCs w:val="20"/>
        </w:rPr>
        <w:t>o</w:t>
      </w:r>
      <w:r w:rsidR="00230022" w:rsidRPr="00CE2B73">
        <w:rPr>
          <w:rFonts w:ascii="Arial" w:eastAsia="Times New Roman" w:hAnsi="Arial" w:cs="Arial"/>
          <w:sz w:val="20"/>
          <w:szCs w:val="20"/>
        </w:rPr>
        <w:t>wing</w:t>
      </w:r>
      <w:r w:rsidRPr="00CE2B73">
        <w:rPr>
          <w:rFonts w:ascii="Arial" w:eastAsia="Times New Roman" w:hAnsi="Arial" w:cs="Arial"/>
          <w:sz w:val="20"/>
          <w:szCs w:val="20"/>
        </w:rPr>
        <w:t xml:space="preserve"> in the interests of women farm workers and dwellers, additional revenue be allocated to ensure the following public services: </w:t>
      </w:r>
    </w:p>
    <w:p w:rsidR="00FC189B" w:rsidRPr="00CE2B73" w:rsidRDefault="00FC189B" w:rsidP="00CE2B73">
      <w:pPr>
        <w:tabs>
          <w:tab w:val="left" w:pos="284"/>
          <w:tab w:val="left" w:pos="567"/>
        </w:tabs>
        <w:spacing w:after="0" w:line="240" w:lineRule="auto"/>
        <w:rPr>
          <w:rFonts w:ascii="Arial" w:eastAsia="Times New Roman" w:hAnsi="Arial" w:cs="Arial"/>
          <w:sz w:val="20"/>
          <w:szCs w:val="20"/>
        </w:rPr>
      </w:pPr>
    </w:p>
    <w:p w:rsidR="00E505B6" w:rsidRPr="00CE2B73" w:rsidRDefault="00E505B6" w:rsidP="00CE2B73">
      <w:pPr>
        <w:pStyle w:val="ListParagraph"/>
        <w:numPr>
          <w:ilvl w:val="0"/>
          <w:numId w:val="16"/>
        </w:numPr>
        <w:tabs>
          <w:tab w:val="left" w:pos="284"/>
          <w:tab w:val="left" w:pos="851"/>
        </w:tabs>
        <w:spacing w:after="0" w:line="240" w:lineRule="auto"/>
        <w:rPr>
          <w:rFonts w:ascii="Arial" w:eastAsia="Times New Roman" w:hAnsi="Arial" w:cs="Arial"/>
          <w:sz w:val="20"/>
          <w:szCs w:val="20"/>
        </w:rPr>
      </w:pPr>
      <w:r w:rsidRPr="00CE2B73">
        <w:rPr>
          <w:rFonts w:ascii="Arial" w:eastAsia="Times New Roman" w:hAnsi="Arial" w:cs="Arial"/>
          <w:b/>
          <w:sz w:val="20"/>
          <w:szCs w:val="20"/>
        </w:rPr>
        <w:t>Land R</w:t>
      </w:r>
      <w:r w:rsidR="00FC189B" w:rsidRPr="00CE2B73">
        <w:rPr>
          <w:rFonts w:ascii="Arial" w:eastAsia="Times New Roman" w:hAnsi="Arial" w:cs="Arial"/>
          <w:b/>
          <w:sz w:val="20"/>
          <w:szCs w:val="20"/>
        </w:rPr>
        <w:t xml:space="preserve">edistribution: </w:t>
      </w:r>
      <w:r w:rsidRPr="00CE2B73">
        <w:rPr>
          <w:rFonts w:ascii="Arial" w:eastAsia="Times New Roman" w:hAnsi="Arial" w:cs="Arial"/>
          <w:sz w:val="20"/>
          <w:szCs w:val="20"/>
        </w:rPr>
        <w:t>A</w:t>
      </w:r>
      <w:r w:rsidR="00FC189B" w:rsidRPr="00CE2B73">
        <w:rPr>
          <w:rFonts w:ascii="Arial" w:eastAsia="Times New Roman" w:hAnsi="Arial" w:cs="Arial"/>
          <w:sz w:val="20"/>
          <w:szCs w:val="20"/>
        </w:rPr>
        <w:t xml:space="preserve"> significantly increased budget allocation </w:t>
      </w:r>
      <w:r w:rsidRPr="00CE2B73">
        <w:rPr>
          <w:rFonts w:ascii="Arial" w:eastAsia="Times New Roman" w:hAnsi="Arial" w:cs="Arial"/>
          <w:sz w:val="20"/>
          <w:szCs w:val="20"/>
        </w:rPr>
        <w:t xml:space="preserve">was needed </w:t>
      </w:r>
      <w:r w:rsidR="00FC189B" w:rsidRPr="00CE2B73">
        <w:rPr>
          <w:rFonts w:ascii="Arial" w:eastAsia="Times New Roman" w:hAnsi="Arial" w:cs="Arial"/>
          <w:sz w:val="20"/>
          <w:szCs w:val="20"/>
        </w:rPr>
        <w:t xml:space="preserve">for the redistribution of land for women farm workers and dwellers, including unused state land and state land currently leased to commercial farmers. </w:t>
      </w:r>
    </w:p>
    <w:p w:rsidR="00E505B6" w:rsidRPr="00CE2B73" w:rsidRDefault="00E505B6" w:rsidP="00CE2B73">
      <w:pPr>
        <w:pStyle w:val="ListParagraph"/>
        <w:numPr>
          <w:ilvl w:val="0"/>
          <w:numId w:val="16"/>
        </w:numPr>
        <w:tabs>
          <w:tab w:val="left" w:pos="284"/>
          <w:tab w:val="left" w:pos="851"/>
        </w:tabs>
        <w:spacing w:after="0" w:line="240" w:lineRule="auto"/>
        <w:rPr>
          <w:rFonts w:ascii="Arial" w:eastAsia="Times New Roman" w:hAnsi="Arial" w:cs="Arial"/>
          <w:sz w:val="20"/>
          <w:szCs w:val="20"/>
        </w:rPr>
      </w:pPr>
      <w:r w:rsidRPr="00CE2B73">
        <w:rPr>
          <w:rFonts w:ascii="Arial" w:eastAsia="Times New Roman" w:hAnsi="Arial" w:cs="Arial"/>
          <w:b/>
          <w:sz w:val="20"/>
          <w:szCs w:val="20"/>
        </w:rPr>
        <w:t>Health:</w:t>
      </w:r>
      <w:r w:rsidRPr="00CE2B73">
        <w:rPr>
          <w:rFonts w:ascii="Arial" w:eastAsia="Times New Roman" w:hAnsi="Arial" w:cs="Arial"/>
          <w:sz w:val="20"/>
          <w:szCs w:val="20"/>
        </w:rPr>
        <w:t xml:space="preserve"> R</w:t>
      </w:r>
      <w:r w:rsidR="00FC189B" w:rsidRPr="00CE2B73">
        <w:rPr>
          <w:rFonts w:ascii="Arial" w:eastAsia="Times New Roman" w:hAnsi="Arial" w:cs="Arial"/>
          <w:sz w:val="20"/>
          <w:szCs w:val="20"/>
        </w:rPr>
        <w:t xml:space="preserve">ural clinics and hospitals </w:t>
      </w:r>
      <w:r w:rsidRPr="00CE2B73">
        <w:rPr>
          <w:rFonts w:ascii="Arial" w:eastAsia="Times New Roman" w:hAnsi="Arial" w:cs="Arial"/>
          <w:sz w:val="20"/>
          <w:szCs w:val="20"/>
        </w:rPr>
        <w:t xml:space="preserve">must </w:t>
      </w:r>
      <w:r w:rsidR="00FC189B" w:rsidRPr="00CE2B73">
        <w:rPr>
          <w:rFonts w:ascii="Arial" w:eastAsia="Times New Roman" w:hAnsi="Arial" w:cs="Arial"/>
          <w:sz w:val="20"/>
          <w:szCs w:val="20"/>
        </w:rPr>
        <w:t xml:space="preserve">be adequately staffed and resourced. Women’s specific health needs, such as sexual and reproductive healthcare services, need to be prioritised. In addition, community-driven health services must be created to deal with a range of health problems, from pesticide exposure to addictions and conditions caused by foetal alcohol syndrome, a legacy of the </w:t>
      </w:r>
      <w:r w:rsidRPr="00CE2B73">
        <w:rPr>
          <w:rFonts w:ascii="Arial" w:eastAsia="Times New Roman" w:hAnsi="Arial" w:cs="Arial"/>
          <w:sz w:val="20"/>
          <w:szCs w:val="20"/>
        </w:rPr>
        <w:t>‘</w:t>
      </w:r>
      <w:r w:rsidR="00FC189B" w:rsidRPr="00CE2B73">
        <w:rPr>
          <w:rFonts w:ascii="Arial" w:eastAsia="Times New Roman" w:hAnsi="Arial" w:cs="Arial"/>
          <w:sz w:val="20"/>
          <w:szCs w:val="20"/>
        </w:rPr>
        <w:t>dop</w:t>
      </w:r>
      <w:r w:rsidRPr="00CE2B73">
        <w:rPr>
          <w:rFonts w:ascii="Arial" w:eastAsia="Times New Roman" w:hAnsi="Arial" w:cs="Arial"/>
          <w:sz w:val="20"/>
          <w:szCs w:val="20"/>
        </w:rPr>
        <w:t>’ system. WFP also advocated</w:t>
      </w:r>
      <w:r w:rsidR="00FC189B" w:rsidRPr="00CE2B73">
        <w:rPr>
          <w:rFonts w:ascii="Arial" w:eastAsia="Times New Roman" w:hAnsi="Arial" w:cs="Arial"/>
          <w:sz w:val="20"/>
          <w:szCs w:val="20"/>
        </w:rPr>
        <w:t xml:space="preserve"> for the introduction of mobile clinics which provide psychosocial services for gender-based violence survivors, as well as government-financed shelters in all rural towns. </w:t>
      </w:r>
    </w:p>
    <w:p w:rsidR="00127E04" w:rsidRPr="00CE2B73" w:rsidRDefault="00FC189B" w:rsidP="00CE2B73">
      <w:pPr>
        <w:pStyle w:val="ListParagraph"/>
        <w:numPr>
          <w:ilvl w:val="0"/>
          <w:numId w:val="16"/>
        </w:numPr>
        <w:tabs>
          <w:tab w:val="left" w:pos="284"/>
          <w:tab w:val="left" w:pos="851"/>
        </w:tabs>
        <w:spacing w:after="0" w:line="240" w:lineRule="auto"/>
        <w:rPr>
          <w:rFonts w:ascii="Arial" w:eastAsia="Times New Roman" w:hAnsi="Arial" w:cs="Arial"/>
          <w:sz w:val="20"/>
          <w:szCs w:val="20"/>
        </w:rPr>
      </w:pPr>
      <w:r w:rsidRPr="00CE2B73">
        <w:rPr>
          <w:rFonts w:ascii="Arial" w:eastAsia="Times New Roman" w:hAnsi="Arial" w:cs="Arial"/>
          <w:b/>
          <w:sz w:val="20"/>
          <w:szCs w:val="20"/>
        </w:rPr>
        <w:t>Police:</w:t>
      </w:r>
      <w:r w:rsidRPr="00CE2B73">
        <w:rPr>
          <w:rFonts w:ascii="Arial" w:eastAsia="Times New Roman" w:hAnsi="Arial" w:cs="Arial"/>
          <w:sz w:val="20"/>
          <w:szCs w:val="20"/>
        </w:rPr>
        <w:t xml:space="preserve"> More funding</w:t>
      </w:r>
      <w:r w:rsidR="00E505B6" w:rsidRPr="00CE2B73">
        <w:rPr>
          <w:rFonts w:ascii="Arial" w:eastAsia="Times New Roman" w:hAnsi="Arial" w:cs="Arial"/>
          <w:sz w:val="20"/>
          <w:szCs w:val="20"/>
        </w:rPr>
        <w:t xml:space="preserve"> for rural police stations is needed as this will </w:t>
      </w:r>
      <w:r w:rsidR="00230022" w:rsidRPr="00CE2B73">
        <w:rPr>
          <w:rFonts w:ascii="Arial" w:eastAsia="Times New Roman" w:hAnsi="Arial" w:cs="Arial"/>
          <w:sz w:val="20"/>
          <w:szCs w:val="20"/>
        </w:rPr>
        <w:t>result</w:t>
      </w:r>
      <w:r w:rsidR="00230022" w:rsidRPr="00CE2B73">
        <w:rPr>
          <w:rFonts w:ascii="Arial" w:eastAsia="Times New Roman" w:hAnsi="Arial" w:cs="Arial"/>
          <w:i/>
          <w:sz w:val="20"/>
          <w:szCs w:val="20"/>
        </w:rPr>
        <w:t>,</w:t>
      </w:r>
      <w:r w:rsidRPr="00CE2B73">
        <w:rPr>
          <w:rFonts w:ascii="Arial" w:eastAsia="Times New Roman" w:hAnsi="Arial" w:cs="Arial"/>
          <w:i/>
          <w:sz w:val="20"/>
          <w:szCs w:val="20"/>
        </w:rPr>
        <w:t xml:space="preserve"> inter alia</w:t>
      </w:r>
      <w:r w:rsidR="00230022" w:rsidRPr="00CE2B73">
        <w:rPr>
          <w:rFonts w:ascii="Arial" w:eastAsia="Times New Roman" w:hAnsi="Arial" w:cs="Arial"/>
          <w:sz w:val="20"/>
          <w:szCs w:val="20"/>
        </w:rPr>
        <w:t>, to</w:t>
      </w:r>
      <w:r w:rsidRPr="00CE2B73">
        <w:rPr>
          <w:rFonts w:ascii="Arial" w:eastAsia="Times New Roman" w:hAnsi="Arial" w:cs="Arial"/>
          <w:sz w:val="20"/>
          <w:szCs w:val="20"/>
        </w:rPr>
        <w:t xml:space="preserve"> the appointment of more police officers, gender-sensitivity training for police officers, police vans, and trauma rooms at police stations, from which farm</w:t>
      </w:r>
      <w:r w:rsidR="00230022" w:rsidRPr="00CE2B73">
        <w:rPr>
          <w:rFonts w:ascii="Arial" w:eastAsia="Times New Roman" w:hAnsi="Arial" w:cs="Arial"/>
          <w:sz w:val="20"/>
          <w:szCs w:val="20"/>
        </w:rPr>
        <w:t xml:space="preserve"> </w:t>
      </w:r>
      <w:r w:rsidRPr="00CE2B73">
        <w:rPr>
          <w:rFonts w:ascii="Arial" w:eastAsia="Times New Roman" w:hAnsi="Arial" w:cs="Arial"/>
          <w:sz w:val="20"/>
          <w:szCs w:val="20"/>
        </w:rPr>
        <w:t xml:space="preserve">women will benefit when reporting gender-based violence, including the enforcement of Protection Orders. </w:t>
      </w:r>
    </w:p>
    <w:p w:rsidR="00127E04" w:rsidRPr="00CE2B73" w:rsidRDefault="00FC189B" w:rsidP="00CE2B73">
      <w:pPr>
        <w:pStyle w:val="ListParagraph"/>
        <w:numPr>
          <w:ilvl w:val="0"/>
          <w:numId w:val="16"/>
        </w:numPr>
        <w:tabs>
          <w:tab w:val="left" w:pos="284"/>
          <w:tab w:val="left" w:pos="851"/>
        </w:tabs>
        <w:spacing w:after="0" w:line="240" w:lineRule="auto"/>
        <w:rPr>
          <w:rFonts w:ascii="Arial" w:eastAsia="Times New Roman" w:hAnsi="Arial" w:cs="Arial"/>
          <w:sz w:val="20"/>
          <w:szCs w:val="20"/>
        </w:rPr>
      </w:pPr>
      <w:r w:rsidRPr="00CE2B73">
        <w:rPr>
          <w:rFonts w:ascii="Arial" w:eastAsia="Times New Roman" w:hAnsi="Arial" w:cs="Arial"/>
          <w:b/>
          <w:sz w:val="20"/>
          <w:szCs w:val="20"/>
        </w:rPr>
        <w:t>Justice and Courts:</w:t>
      </w:r>
      <w:r w:rsidRPr="00CE2B73">
        <w:rPr>
          <w:rFonts w:ascii="Arial" w:eastAsia="Times New Roman" w:hAnsi="Arial" w:cs="Arial"/>
          <w:sz w:val="20"/>
          <w:szCs w:val="20"/>
        </w:rPr>
        <w:t xml:space="preserve"> Additional revenue should be allocated to strengthening and resourcing rural courts, including more Sexual Offences Courts, increasing staff numbers and training staff to expeditiously deal with gender-based violence cases. </w:t>
      </w:r>
    </w:p>
    <w:p w:rsidR="00127E04" w:rsidRPr="00CE2B73" w:rsidRDefault="00FC189B" w:rsidP="00CE2B73">
      <w:pPr>
        <w:pStyle w:val="ListParagraph"/>
        <w:numPr>
          <w:ilvl w:val="0"/>
          <w:numId w:val="16"/>
        </w:numPr>
        <w:tabs>
          <w:tab w:val="left" w:pos="284"/>
          <w:tab w:val="left" w:pos="851"/>
        </w:tabs>
        <w:spacing w:after="0" w:line="240" w:lineRule="auto"/>
        <w:rPr>
          <w:rFonts w:ascii="Arial" w:eastAsia="Times New Roman" w:hAnsi="Arial" w:cs="Arial"/>
          <w:sz w:val="20"/>
          <w:szCs w:val="20"/>
        </w:rPr>
      </w:pPr>
      <w:r w:rsidRPr="00CE2B73">
        <w:rPr>
          <w:rFonts w:ascii="Arial" w:eastAsia="Times New Roman" w:hAnsi="Arial" w:cs="Arial"/>
          <w:b/>
          <w:sz w:val="20"/>
          <w:szCs w:val="20"/>
        </w:rPr>
        <w:t>Education:</w:t>
      </w:r>
      <w:r w:rsidRPr="00CE2B73">
        <w:rPr>
          <w:rFonts w:ascii="Arial" w:eastAsia="Times New Roman" w:hAnsi="Arial" w:cs="Arial"/>
          <w:sz w:val="20"/>
          <w:szCs w:val="20"/>
        </w:rPr>
        <w:t xml:space="preserve"> Rural schools are overcrowded, under-staffed and under-resourced. Farm children face additional constraints such as transport, discrimination, high </w:t>
      </w:r>
      <w:r w:rsidR="008A1E48" w:rsidRPr="00CE2B73">
        <w:rPr>
          <w:rFonts w:ascii="Arial" w:eastAsia="Times New Roman" w:hAnsi="Arial" w:cs="Arial"/>
          <w:sz w:val="20"/>
          <w:szCs w:val="20"/>
        </w:rPr>
        <w:t>dropout</w:t>
      </w:r>
      <w:r w:rsidRPr="00CE2B73">
        <w:rPr>
          <w:rFonts w:ascii="Arial" w:eastAsia="Times New Roman" w:hAnsi="Arial" w:cs="Arial"/>
          <w:sz w:val="20"/>
          <w:szCs w:val="20"/>
        </w:rPr>
        <w:t xml:space="preserve"> rates and aggravating factors such as evictions and seasonal household food </w:t>
      </w:r>
      <w:r w:rsidRPr="00CE2B73">
        <w:rPr>
          <w:rFonts w:ascii="Arial" w:eastAsia="Times New Roman" w:hAnsi="Arial" w:cs="Arial"/>
          <w:sz w:val="20"/>
          <w:szCs w:val="20"/>
        </w:rPr>
        <w:lastRenderedPageBreak/>
        <w:t xml:space="preserve">insecurity. Matriculants on farms often find themselves excluded from tertiary education opportunities due to geography and economic constraints. </w:t>
      </w:r>
    </w:p>
    <w:p w:rsidR="00FC189B" w:rsidRPr="00CE2B73" w:rsidRDefault="00FC189B" w:rsidP="00CE2B73">
      <w:pPr>
        <w:pStyle w:val="ListParagraph"/>
        <w:numPr>
          <w:ilvl w:val="0"/>
          <w:numId w:val="16"/>
        </w:numPr>
        <w:tabs>
          <w:tab w:val="left" w:pos="284"/>
          <w:tab w:val="left" w:pos="851"/>
        </w:tabs>
        <w:spacing w:after="0" w:line="240" w:lineRule="auto"/>
        <w:rPr>
          <w:rFonts w:ascii="Arial" w:eastAsia="Times New Roman" w:hAnsi="Arial" w:cs="Arial"/>
          <w:sz w:val="20"/>
          <w:szCs w:val="20"/>
        </w:rPr>
      </w:pPr>
      <w:r w:rsidRPr="00CE2B73">
        <w:rPr>
          <w:rFonts w:ascii="Arial" w:eastAsia="Times New Roman" w:hAnsi="Arial" w:cs="Arial"/>
          <w:b/>
          <w:sz w:val="20"/>
          <w:szCs w:val="20"/>
        </w:rPr>
        <w:t>Basic Income Grant:</w:t>
      </w:r>
      <w:r w:rsidR="00127E04" w:rsidRPr="00CE2B73">
        <w:rPr>
          <w:rFonts w:ascii="Arial" w:eastAsia="Times New Roman" w:hAnsi="Arial" w:cs="Arial"/>
          <w:sz w:val="20"/>
          <w:szCs w:val="20"/>
        </w:rPr>
        <w:t xml:space="preserve"> Whilst</w:t>
      </w:r>
      <w:r w:rsidRPr="00CE2B73">
        <w:rPr>
          <w:rFonts w:ascii="Arial" w:eastAsia="Times New Roman" w:hAnsi="Arial" w:cs="Arial"/>
          <w:sz w:val="20"/>
          <w:szCs w:val="20"/>
        </w:rPr>
        <w:t xml:space="preserve"> WFP welco</w:t>
      </w:r>
      <w:r w:rsidR="00127E04" w:rsidRPr="00CE2B73">
        <w:rPr>
          <w:rFonts w:ascii="Arial" w:eastAsia="Times New Roman" w:hAnsi="Arial" w:cs="Arial"/>
          <w:sz w:val="20"/>
          <w:szCs w:val="20"/>
        </w:rPr>
        <w:t>med</w:t>
      </w:r>
      <w:r w:rsidRPr="00CE2B73">
        <w:rPr>
          <w:rFonts w:ascii="Arial" w:eastAsia="Times New Roman" w:hAnsi="Arial" w:cs="Arial"/>
          <w:sz w:val="20"/>
          <w:szCs w:val="20"/>
        </w:rPr>
        <w:t xml:space="preserve"> the extension of the Social Relie</w:t>
      </w:r>
      <w:r w:rsidR="00127E04" w:rsidRPr="00CE2B73">
        <w:rPr>
          <w:rFonts w:ascii="Arial" w:eastAsia="Times New Roman" w:hAnsi="Arial" w:cs="Arial"/>
          <w:sz w:val="20"/>
          <w:szCs w:val="20"/>
        </w:rPr>
        <w:t>f of Distress grant for a further 12 months, this was</w:t>
      </w:r>
      <w:r w:rsidRPr="00CE2B73">
        <w:rPr>
          <w:rFonts w:ascii="Arial" w:eastAsia="Times New Roman" w:hAnsi="Arial" w:cs="Arial"/>
          <w:sz w:val="20"/>
          <w:szCs w:val="20"/>
        </w:rPr>
        <w:t>, however, significantly less than the Food Poverty Line of R624. Given the low wages, seasonality and precarity of farm</w:t>
      </w:r>
      <w:r w:rsidR="00230022" w:rsidRPr="00CE2B73">
        <w:rPr>
          <w:rFonts w:ascii="Arial" w:eastAsia="Times New Roman" w:hAnsi="Arial" w:cs="Arial"/>
          <w:sz w:val="20"/>
          <w:szCs w:val="20"/>
        </w:rPr>
        <w:t xml:space="preserve"> </w:t>
      </w:r>
      <w:r w:rsidRPr="00CE2B73">
        <w:rPr>
          <w:rFonts w:ascii="Arial" w:eastAsia="Times New Roman" w:hAnsi="Arial" w:cs="Arial"/>
          <w:sz w:val="20"/>
          <w:szCs w:val="20"/>
        </w:rPr>
        <w:t>women’s labour, growing mechanization on farms, et</w:t>
      </w:r>
      <w:r w:rsidR="00127E04" w:rsidRPr="00CE2B73">
        <w:rPr>
          <w:rFonts w:ascii="Arial" w:eastAsia="Times New Roman" w:hAnsi="Arial" w:cs="Arial"/>
          <w:sz w:val="20"/>
          <w:szCs w:val="20"/>
        </w:rPr>
        <w:t xml:space="preserve">c. WFP called </w:t>
      </w:r>
      <w:r w:rsidRPr="00CE2B73">
        <w:rPr>
          <w:rFonts w:ascii="Arial" w:eastAsia="Times New Roman" w:hAnsi="Arial" w:cs="Arial"/>
          <w:sz w:val="20"/>
          <w:szCs w:val="20"/>
        </w:rPr>
        <w:t xml:space="preserve">for a permanent </w:t>
      </w:r>
      <w:r w:rsidRPr="00CE2B73">
        <w:rPr>
          <w:rFonts w:ascii="Arial" w:eastAsia="Times New Roman" w:hAnsi="Arial" w:cs="Arial"/>
          <w:i/>
          <w:sz w:val="20"/>
          <w:szCs w:val="20"/>
        </w:rPr>
        <w:t>Basic Income Grant</w:t>
      </w:r>
      <w:r w:rsidRPr="00CE2B73">
        <w:rPr>
          <w:rFonts w:ascii="Arial" w:eastAsia="Times New Roman" w:hAnsi="Arial" w:cs="Arial"/>
          <w:sz w:val="20"/>
          <w:szCs w:val="20"/>
        </w:rPr>
        <w:t xml:space="preserve"> which will ensure food security (especially during the off-season period) and cover other critical household expenses.</w:t>
      </w:r>
    </w:p>
    <w:p w:rsidR="00230022" w:rsidRPr="00CE2B73" w:rsidRDefault="00230022" w:rsidP="00CE2B73">
      <w:pPr>
        <w:pStyle w:val="ListParagraph"/>
        <w:numPr>
          <w:ilvl w:val="0"/>
          <w:numId w:val="16"/>
        </w:numPr>
        <w:tabs>
          <w:tab w:val="left" w:pos="284"/>
          <w:tab w:val="left" w:pos="851"/>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WFP also called for the introduction of a wealth tax on the richest 1 per cent of South Africans. </w:t>
      </w:r>
    </w:p>
    <w:p w:rsidR="00FC189B" w:rsidRPr="00CE2B73" w:rsidRDefault="00FC189B" w:rsidP="00CE2B73">
      <w:pPr>
        <w:tabs>
          <w:tab w:val="left" w:pos="284"/>
          <w:tab w:val="left" w:pos="567"/>
        </w:tabs>
        <w:spacing w:after="0" w:line="240" w:lineRule="auto"/>
        <w:rPr>
          <w:rFonts w:ascii="Arial" w:eastAsia="Times New Roman" w:hAnsi="Arial" w:cs="Arial"/>
          <w:b/>
          <w:sz w:val="20"/>
          <w:szCs w:val="20"/>
        </w:rPr>
      </w:pPr>
    </w:p>
    <w:p w:rsidR="00B87B7E" w:rsidRPr="00CE2B73" w:rsidRDefault="009F0580"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In conclusion, WFP</w:t>
      </w:r>
      <w:r w:rsidR="00113B44" w:rsidRPr="00CE2B73">
        <w:rPr>
          <w:rFonts w:ascii="Arial" w:eastAsia="Times New Roman" w:hAnsi="Arial" w:cs="Arial"/>
          <w:sz w:val="20"/>
          <w:szCs w:val="20"/>
        </w:rPr>
        <w:t xml:space="preserve"> submitted that, based on the 2022 budget speech, it was evident that government was constrained by, </w:t>
      </w:r>
      <w:r w:rsidR="00113B44" w:rsidRPr="00CE2B73">
        <w:rPr>
          <w:rFonts w:ascii="Arial" w:eastAsia="Times New Roman" w:hAnsi="Arial" w:cs="Arial"/>
          <w:i/>
          <w:sz w:val="20"/>
          <w:szCs w:val="20"/>
        </w:rPr>
        <w:t>inter alia</w:t>
      </w:r>
      <w:r w:rsidR="00113B44" w:rsidRPr="00CE2B73">
        <w:rPr>
          <w:rFonts w:ascii="Arial" w:eastAsia="Times New Roman" w:hAnsi="Arial" w:cs="Arial"/>
          <w:sz w:val="20"/>
          <w:szCs w:val="20"/>
        </w:rPr>
        <w:t>, budgetary constraints and spending that worsened the</w:t>
      </w:r>
      <w:r w:rsidR="00230022" w:rsidRPr="00CE2B73">
        <w:rPr>
          <w:rFonts w:ascii="Arial" w:eastAsia="Times New Roman" w:hAnsi="Arial" w:cs="Arial"/>
          <w:sz w:val="20"/>
          <w:szCs w:val="20"/>
        </w:rPr>
        <w:t xml:space="preserve"> fiscal deficit. </w:t>
      </w:r>
    </w:p>
    <w:p w:rsidR="00113B44" w:rsidRPr="00CE2B73" w:rsidRDefault="00113B44" w:rsidP="00CE2B73">
      <w:pPr>
        <w:tabs>
          <w:tab w:val="left" w:pos="284"/>
          <w:tab w:val="left" w:pos="567"/>
        </w:tabs>
        <w:spacing w:after="0" w:line="240" w:lineRule="auto"/>
        <w:rPr>
          <w:rFonts w:ascii="Arial" w:eastAsia="Times New Roman" w:hAnsi="Arial" w:cs="Arial"/>
          <w:sz w:val="20"/>
          <w:szCs w:val="20"/>
        </w:rPr>
      </w:pPr>
    </w:p>
    <w:p w:rsidR="00DB279C" w:rsidRPr="00CE2B73" w:rsidRDefault="00DB279C" w:rsidP="00CE2B73">
      <w:pPr>
        <w:pStyle w:val="ListParagraph"/>
        <w:numPr>
          <w:ilvl w:val="1"/>
          <w:numId w:val="18"/>
        </w:numPr>
        <w:tabs>
          <w:tab w:val="left" w:pos="284"/>
          <w:tab w:val="left" w:pos="567"/>
        </w:tabs>
        <w:spacing w:after="0" w:line="240" w:lineRule="auto"/>
        <w:rPr>
          <w:rFonts w:ascii="Arial" w:eastAsia="Times New Roman" w:hAnsi="Arial" w:cs="Arial"/>
          <w:b/>
          <w:sz w:val="20"/>
          <w:szCs w:val="20"/>
        </w:rPr>
      </w:pPr>
      <w:r w:rsidRPr="00CE2B73">
        <w:rPr>
          <w:rFonts w:ascii="Arial" w:eastAsia="Times New Roman" w:hAnsi="Arial" w:cs="Arial"/>
          <w:b/>
          <w:sz w:val="20"/>
          <w:szCs w:val="20"/>
        </w:rPr>
        <w:t>Amandla.mobi</w:t>
      </w:r>
    </w:p>
    <w:p w:rsidR="00DB279C" w:rsidRPr="00CE2B73" w:rsidRDefault="00DB279C" w:rsidP="00CE2B73">
      <w:pPr>
        <w:pStyle w:val="ListParagraph"/>
        <w:tabs>
          <w:tab w:val="left" w:pos="284"/>
          <w:tab w:val="left" w:pos="567"/>
        </w:tabs>
        <w:spacing w:after="0" w:line="240" w:lineRule="auto"/>
        <w:ind w:left="360"/>
        <w:rPr>
          <w:rFonts w:ascii="Arial" w:eastAsia="Times New Roman" w:hAnsi="Arial" w:cs="Arial"/>
          <w:b/>
          <w:sz w:val="20"/>
          <w:szCs w:val="20"/>
        </w:rPr>
      </w:pPr>
    </w:p>
    <w:p w:rsidR="00DB279C" w:rsidRPr="00CE2B73" w:rsidRDefault="007C00EB" w:rsidP="00CE2B73">
      <w:pPr>
        <w:tabs>
          <w:tab w:val="left" w:pos="284"/>
          <w:tab w:val="left" w:pos="567"/>
        </w:tabs>
        <w:spacing w:after="0" w:line="240" w:lineRule="auto"/>
        <w:rPr>
          <w:rFonts w:ascii="Arial" w:eastAsia="Times New Roman" w:hAnsi="Arial" w:cs="Arial"/>
          <w:i/>
          <w:sz w:val="20"/>
          <w:szCs w:val="20"/>
        </w:rPr>
      </w:pPr>
      <w:r w:rsidRPr="00CE2B73">
        <w:rPr>
          <w:rFonts w:ascii="Arial" w:eastAsia="Times New Roman" w:hAnsi="Arial" w:cs="Arial"/>
          <w:sz w:val="20"/>
          <w:szCs w:val="20"/>
        </w:rPr>
        <w:t xml:space="preserve">Amandla.mobi welcomed the year-long extension of the R350 </w:t>
      </w:r>
      <w:r w:rsidR="00B404F8" w:rsidRPr="00CE2B73">
        <w:rPr>
          <w:rFonts w:ascii="Arial" w:eastAsia="Times New Roman" w:hAnsi="Arial" w:cs="Arial"/>
          <w:i/>
          <w:sz w:val="20"/>
          <w:szCs w:val="20"/>
        </w:rPr>
        <w:t>S</w:t>
      </w:r>
      <w:r w:rsidR="00295D23" w:rsidRPr="00CE2B73">
        <w:rPr>
          <w:rFonts w:ascii="Arial" w:eastAsia="Times New Roman" w:hAnsi="Arial" w:cs="Arial"/>
          <w:i/>
          <w:sz w:val="20"/>
          <w:szCs w:val="20"/>
        </w:rPr>
        <w:t xml:space="preserve">ocial Relief of Distressed </w:t>
      </w:r>
      <w:r w:rsidRPr="00CE2B73">
        <w:rPr>
          <w:rFonts w:ascii="Arial" w:eastAsia="Times New Roman" w:hAnsi="Arial" w:cs="Arial"/>
          <w:i/>
          <w:sz w:val="20"/>
          <w:szCs w:val="20"/>
        </w:rPr>
        <w:t>grant</w:t>
      </w:r>
      <w:r w:rsidRPr="00CE2B73">
        <w:rPr>
          <w:rFonts w:ascii="Arial" w:eastAsia="Times New Roman" w:hAnsi="Arial" w:cs="Arial"/>
          <w:sz w:val="20"/>
          <w:szCs w:val="20"/>
        </w:rPr>
        <w:t xml:space="preserve">, </w:t>
      </w:r>
      <w:r w:rsidR="00B404F8" w:rsidRPr="00CE2B73">
        <w:rPr>
          <w:rFonts w:ascii="Arial" w:eastAsia="Times New Roman" w:hAnsi="Arial" w:cs="Arial"/>
          <w:sz w:val="20"/>
          <w:szCs w:val="20"/>
        </w:rPr>
        <w:t>however it expressed</w:t>
      </w:r>
      <w:r w:rsidR="00230022" w:rsidRPr="00CE2B73">
        <w:rPr>
          <w:rFonts w:ascii="Arial" w:eastAsia="Times New Roman" w:hAnsi="Arial" w:cs="Arial"/>
          <w:sz w:val="20"/>
          <w:szCs w:val="20"/>
        </w:rPr>
        <w:t xml:space="preserve"> disappointment</w:t>
      </w:r>
      <w:r w:rsidRPr="00CE2B73">
        <w:rPr>
          <w:rFonts w:ascii="Arial" w:eastAsia="Times New Roman" w:hAnsi="Arial" w:cs="Arial"/>
          <w:sz w:val="20"/>
          <w:szCs w:val="20"/>
        </w:rPr>
        <w:t xml:space="preserve"> that the grant was not increased and expanded to include more people. </w:t>
      </w:r>
      <w:r w:rsidR="00B404F8" w:rsidRPr="00CE2B73">
        <w:rPr>
          <w:rFonts w:ascii="Arial" w:eastAsia="Times New Roman" w:hAnsi="Arial" w:cs="Arial"/>
          <w:sz w:val="20"/>
          <w:szCs w:val="20"/>
        </w:rPr>
        <w:t>It was</w:t>
      </w:r>
      <w:r w:rsidRPr="00CE2B73">
        <w:rPr>
          <w:rFonts w:ascii="Arial" w:eastAsia="Times New Roman" w:hAnsi="Arial" w:cs="Arial"/>
          <w:sz w:val="20"/>
          <w:szCs w:val="20"/>
        </w:rPr>
        <w:t xml:space="preserve"> disapp</w:t>
      </w:r>
      <w:r w:rsidR="00B404F8" w:rsidRPr="00CE2B73">
        <w:rPr>
          <w:rFonts w:ascii="Arial" w:eastAsia="Times New Roman" w:hAnsi="Arial" w:cs="Arial"/>
          <w:sz w:val="20"/>
          <w:szCs w:val="20"/>
        </w:rPr>
        <w:t>ointed by the 2022 national budget tabled by the Minister of Finance</w:t>
      </w:r>
      <w:r w:rsidRPr="00CE2B73">
        <w:rPr>
          <w:rFonts w:ascii="Arial" w:eastAsia="Times New Roman" w:hAnsi="Arial" w:cs="Arial"/>
          <w:sz w:val="20"/>
          <w:szCs w:val="20"/>
        </w:rPr>
        <w:t xml:space="preserve"> </w:t>
      </w:r>
      <w:r w:rsidR="00B404F8" w:rsidRPr="00CE2B73">
        <w:rPr>
          <w:rFonts w:ascii="Arial" w:eastAsia="Times New Roman" w:hAnsi="Arial" w:cs="Arial"/>
          <w:sz w:val="20"/>
          <w:szCs w:val="20"/>
        </w:rPr>
        <w:t xml:space="preserve">since it </w:t>
      </w:r>
      <w:r w:rsidRPr="00CE2B73">
        <w:rPr>
          <w:rFonts w:ascii="Arial" w:eastAsia="Times New Roman" w:hAnsi="Arial" w:cs="Arial"/>
          <w:sz w:val="20"/>
          <w:szCs w:val="20"/>
        </w:rPr>
        <w:t xml:space="preserve">did not mention anything about allocating funds towards </w:t>
      </w:r>
      <w:r w:rsidR="00B404F8" w:rsidRPr="00CE2B73">
        <w:rPr>
          <w:rFonts w:ascii="Arial" w:eastAsia="Times New Roman" w:hAnsi="Arial" w:cs="Arial"/>
          <w:sz w:val="20"/>
          <w:szCs w:val="20"/>
        </w:rPr>
        <w:t>the implementation of</w:t>
      </w:r>
      <w:r w:rsidRPr="00CE2B73">
        <w:rPr>
          <w:rFonts w:ascii="Arial" w:eastAsia="Times New Roman" w:hAnsi="Arial" w:cs="Arial"/>
          <w:sz w:val="20"/>
          <w:szCs w:val="20"/>
        </w:rPr>
        <w:t xml:space="preserve"> a </w:t>
      </w:r>
      <w:r w:rsidRPr="00CE2B73">
        <w:rPr>
          <w:rFonts w:ascii="Arial" w:eastAsia="Times New Roman" w:hAnsi="Arial" w:cs="Arial"/>
          <w:i/>
          <w:sz w:val="20"/>
          <w:szCs w:val="20"/>
        </w:rPr>
        <w:t>Basic Income Support</w:t>
      </w:r>
      <w:r w:rsidR="00B404F8" w:rsidRPr="00CE2B73">
        <w:rPr>
          <w:rFonts w:ascii="Arial" w:eastAsia="Times New Roman" w:hAnsi="Arial" w:cs="Arial"/>
          <w:i/>
          <w:sz w:val="20"/>
          <w:szCs w:val="20"/>
        </w:rPr>
        <w:t xml:space="preserve"> grant. </w:t>
      </w:r>
    </w:p>
    <w:p w:rsidR="00B404F8" w:rsidRPr="00CE2B73" w:rsidRDefault="00B404F8" w:rsidP="00CE2B73">
      <w:pPr>
        <w:tabs>
          <w:tab w:val="left" w:pos="284"/>
          <w:tab w:val="left" w:pos="567"/>
        </w:tabs>
        <w:spacing w:after="0" w:line="240" w:lineRule="auto"/>
        <w:rPr>
          <w:rFonts w:ascii="Arial" w:eastAsia="Times New Roman" w:hAnsi="Arial" w:cs="Arial"/>
          <w:sz w:val="20"/>
          <w:szCs w:val="20"/>
        </w:rPr>
      </w:pPr>
    </w:p>
    <w:p w:rsidR="00E81A97" w:rsidRPr="00CE2B73" w:rsidRDefault="00B404F8" w:rsidP="00CE2B73">
      <w:pPr>
        <w:tabs>
          <w:tab w:val="left" w:pos="284"/>
          <w:tab w:val="left" w:pos="567"/>
        </w:tabs>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Amandla.mobi re-emphasised its previous recommendations to the Committee, i.e. extension and increase of the SRD grant, immediate introduction of a </w:t>
      </w:r>
      <w:r w:rsidRPr="00CE2B73">
        <w:rPr>
          <w:rFonts w:ascii="Arial" w:eastAsia="Times New Roman" w:hAnsi="Arial" w:cs="Arial"/>
          <w:i/>
          <w:sz w:val="20"/>
          <w:szCs w:val="20"/>
        </w:rPr>
        <w:t>Basic Income Support grant</w:t>
      </w:r>
      <w:r w:rsidRPr="00CE2B73">
        <w:rPr>
          <w:rFonts w:ascii="Arial" w:eastAsia="Times New Roman" w:hAnsi="Arial" w:cs="Arial"/>
          <w:sz w:val="20"/>
          <w:szCs w:val="20"/>
        </w:rPr>
        <w:t>, expansion of the Child Support grant to include pregnant mothers, increase old-age pension to R2500 per month and giving them a 13</w:t>
      </w:r>
      <w:r w:rsidRPr="00CE2B73">
        <w:rPr>
          <w:rFonts w:ascii="Arial" w:eastAsia="Times New Roman" w:hAnsi="Arial" w:cs="Arial"/>
          <w:sz w:val="20"/>
          <w:szCs w:val="20"/>
          <w:vertAlign w:val="superscript"/>
        </w:rPr>
        <w:t>th</w:t>
      </w:r>
      <w:r w:rsidRPr="00CE2B73">
        <w:rPr>
          <w:rFonts w:ascii="Arial" w:eastAsia="Times New Roman" w:hAnsi="Arial" w:cs="Arial"/>
          <w:sz w:val="20"/>
          <w:szCs w:val="20"/>
        </w:rPr>
        <w:t xml:space="preserve"> cheque. Amandla.mobi further </w:t>
      </w:r>
      <w:r w:rsidR="00E81A97" w:rsidRPr="00CE2B73">
        <w:rPr>
          <w:rFonts w:ascii="Arial" w:eastAsia="Times New Roman" w:hAnsi="Arial" w:cs="Arial"/>
          <w:sz w:val="20"/>
          <w:szCs w:val="20"/>
        </w:rPr>
        <w:t xml:space="preserve">submitted that, as per its previous recommendations to the Committee, that the aforementioned should be funded through the introduction of a wealth tax on the richest 1 per cent of South Africans and the increase of the Sugary Drinks Tax to 20 percent. It further submitted that Parliament and the Committee Members must hold National Treasury, the Minister of Finance, the President of the Republic of South Africa, and the rest of the Executive to account for approving a budget which failed the poor majority. </w:t>
      </w:r>
    </w:p>
    <w:p w:rsidR="00D71DE2" w:rsidRPr="00CE2B73" w:rsidRDefault="00D71DE2" w:rsidP="00CE2B73">
      <w:pPr>
        <w:tabs>
          <w:tab w:val="left" w:pos="284"/>
          <w:tab w:val="left" w:pos="567"/>
        </w:tabs>
        <w:spacing w:after="0" w:line="240" w:lineRule="auto"/>
        <w:rPr>
          <w:rFonts w:ascii="Arial" w:eastAsia="Times New Roman" w:hAnsi="Arial" w:cs="Arial"/>
          <w:sz w:val="20"/>
          <w:szCs w:val="20"/>
          <w:lang w:val="en-US"/>
        </w:rPr>
      </w:pPr>
    </w:p>
    <w:p w:rsidR="00B404F8" w:rsidRPr="00CE2B73" w:rsidRDefault="000A7A40" w:rsidP="00CE2B73">
      <w:pPr>
        <w:tabs>
          <w:tab w:val="left" w:pos="284"/>
          <w:tab w:val="left" w:pos="567"/>
        </w:tabs>
        <w:spacing w:after="0" w:line="240" w:lineRule="auto"/>
        <w:rPr>
          <w:rFonts w:ascii="Arial" w:eastAsia="Times New Roman" w:hAnsi="Arial" w:cs="Arial"/>
          <w:sz w:val="20"/>
          <w:szCs w:val="20"/>
          <w:lang w:val="en-US"/>
        </w:rPr>
      </w:pPr>
      <w:r w:rsidRPr="00CE2B73">
        <w:rPr>
          <w:rFonts w:ascii="Arial" w:eastAsia="Times New Roman" w:hAnsi="Arial" w:cs="Arial"/>
          <w:sz w:val="20"/>
          <w:szCs w:val="20"/>
          <w:lang w:val="en-US"/>
        </w:rPr>
        <w:t xml:space="preserve">In conclusion, Amandla.mobi bemoaned </w:t>
      </w:r>
      <w:r w:rsidR="00230022" w:rsidRPr="00CE2B73">
        <w:rPr>
          <w:rFonts w:ascii="Arial" w:eastAsia="Times New Roman" w:hAnsi="Arial" w:cs="Arial"/>
          <w:sz w:val="20"/>
          <w:szCs w:val="20"/>
          <w:lang w:val="en-US"/>
        </w:rPr>
        <w:t xml:space="preserve">that </w:t>
      </w:r>
      <w:r w:rsidRPr="00CE2B73">
        <w:rPr>
          <w:rFonts w:ascii="Arial" w:eastAsia="Times New Roman" w:hAnsi="Arial" w:cs="Arial"/>
          <w:sz w:val="20"/>
          <w:szCs w:val="20"/>
        </w:rPr>
        <w:t>National Treasury’s current approach to public consultation and the creation of the budget appeared to be based on the principle of one rand, one vote. Those with the least money struggle the most to engage with National T</w:t>
      </w:r>
      <w:r w:rsidR="002D3074" w:rsidRPr="00CE2B73">
        <w:rPr>
          <w:rFonts w:ascii="Arial" w:eastAsia="Times New Roman" w:hAnsi="Arial" w:cs="Arial"/>
          <w:sz w:val="20"/>
          <w:szCs w:val="20"/>
        </w:rPr>
        <w:t>reasury and the budget process</w:t>
      </w:r>
      <w:r w:rsidR="00230022" w:rsidRPr="00CE2B73">
        <w:rPr>
          <w:rFonts w:ascii="Arial" w:eastAsia="Times New Roman" w:hAnsi="Arial" w:cs="Arial"/>
          <w:sz w:val="20"/>
          <w:szCs w:val="20"/>
        </w:rPr>
        <w:t>. M</w:t>
      </w:r>
      <w:r w:rsidRPr="00CE2B73">
        <w:rPr>
          <w:rFonts w:ascii="Arial" w:eastAsia="Times New Roman" w:hAnsi="Arial" w:cs="Arial"/>
          <w:sz w:val="20"/>
          <w:szCs w:val="20"/>
        </w:rPr>
        <w:t xml:space="preserve">any </w:t>
      </w:r>
      <w:r w:rsidR="002D3074" w:rsidRPr="00CE2B73">
        <w:rPr>
          <w:rFonts w:ascii="Arial" w:eastAsia="Times New Roman" w:hAnsi="Arial" w:cs="Arial"/>
          <w:sz w:val="20"/>
          <w:szCs w:val="20"/>
        </w:rPr>
        <w:t xml:space="preserve">people </w:t>
      </w:r>
      <w:r w:rsidRPr="00CE2B73">
        <w:rPr>
          <w:rFonts w:ascii="Arial" w:eastAsia="Times New Roman" w:hAnsi="Arial" w:cs="Arial"/>
          <w:sz w:val="20"/>
          <w:szCs w:val="20"/>
        </w:rPr>
        <w:t xml:space="preserve">still do not know about public hearings and participation and are thus left out of the </w:t>
      </w:r>
      <w:r w:rsidR="00230022" w:rsidRPr="00CE2B73">
        <w:rPr>
          <w:rFonts w:ascii="Arial" w:eastAsia="Times New Roman" w:hAnsi="Arial" w:cs="Arial"/>
          <w:sz w:val="20"/>
          <w:szCs w:val="20"/>
        </w:rPr>
        <w:t xml:space="preserve">budget </w:t>
      </w:r>
      <w:r w:rsidRPr="00CE2B73">
        <w:rPr>
          <w:rFonts w:ascii="Arial" w:eastAsia="Times New Roman" w:hAnsi="Arial" w:cs="Arial"/>
          <w:sz w:val="20"/>
          <w:szCs w:val="20"/>
        </w:rPr>
        <w:t xml:space="preserve">process. It further </w:t>
      </w:r>
      <w:r w:rsidR="002D3074" w:rsidRPr="00CE2B73">
        <w:rPr>
          <w:rFonts w:ascii="Arial" w:eastAsia="Times New Roman" w:hAnsi="Arial" w:cs="Arial"/>
          <w:sz w:val="20"/>
          <w:szCs w:val="20"/>
        </w:rPr>
        <w:t xml:space="preserve">submitted that many failed requests have been made to the former Minister of Finance for a meeting with the pensioners (gogos). To this end. Amandla.mobi requested that the Committee formally requests the current Minister of Finance to meet with the gogos and allow them to explain in detail why it is important that more funds be allocated towards the </w:t>
      </w:r>
      <w:r w:rsidR="002D3074" w:rsidRPr="00CE2B73">
        <w:rPr>
          <w:rFonts w:ascii="Arial" w:eastAsia="Times New Roman" w:hAnsi="Arial" w:cs="Arial"/>
          <w:i/>
          <w:sz w:val="20"/>
          <w:szCs w:val="20"/>
        </w:rPr>
        <w:t>Old-Age grant</w:t>
      </w:r>
      <w:r w:rsidR="002D3074" w:rsidRPr="00CE2B73">
        <w:rPr>
          <w:rFonts w:ascii="Arial" w:eastAsia="Times New Roman" w:hAnsi="Arial" w:cs="Arial"/>
          <w:sz w:val="20"/>
          <w:szCs w:val="20"/>
        </w:rPr>
        <w:t>.</w:t>
      </w:r>
    </w:p>
    <w:p w:rsidR="00DB279C" w:rsidRPr="00CE2B73" w:rsidRDefault="00DB279C" w:rsidP="00CE2B73">
      <w:pPr>
        <w:tabs>
          <w:tab w:val="left" w:pos="284"/>
          <w:tab w:val="left" w:pos="709"/>
        </w:tabs>
        <w:spacing w:after="0" w:line="240" w:lineRule="auto"/>
        <w:rPr>
          <w:rFonts w:ascii="Arial" w:eastAsia="Times New Roman" w:hAnsi="Arial" w:cs="Arial"/>
          <w:sz w:val="20"/>
          <w:szCs w:val="20"/>
          <w:lang w:val="en-US"/>
        </w:rPr>
      </w:pPr>
    </w:p>
    <w:p w:rsidR="00DB279C" w:rsidRPr="00CE2B73" w:rsidRDefault="00DB279C" w:rsidP="00CE2B73">
      <w:pPr>
        <w:numPr>
          <w:ilvl w:val="0"/>
          <w:numId w:val="1"/>
        </w:numPr>
        <w:spacing w:after="0" w:line="240" w:lineRule="auto"/>
        <w:ind w:left="567" w:hanging="567"/>
        <w:contextualSpacing/>
        <w:rPr>
          <w:rFonts w:ascii="Arial" w:eastAsia="Times New Roman" w:hAnsi="Arial" w:cs="Arial"/>
          <w:b/>
          <w:sz w:val="20"/>
          <w:szCs w:val="20"/>
        </w:rPr>
      </w:pPr>
      <w:r w:rsidRPr="00CE2B73">
        <w:rPr>
          <w:rFonts w:ascii="Arial" w:eastAsia="Times New Roman" w:hAnsi="Arial" w:cs="Arial"/>
          <w:b/>
          <w:sz w:val="20"/>
          <w:szCs w:val="20"/>
        </w:rPr>
        <w:t>Findings and Observations</w:t>
      </w:r>
    </w:p>
    <w:p w:rsidR="00DB279C" w:rsidRPr="00CE2B73" w:rsidRDefault="00DB279C" w:rsidP="00CE2B73">
      <w:pPr>
        <w:spacing w:after="0" w:line="240" w:lineRule="auto"/>
        <w:ind w:left="567"/>
        <w:contextualSpacing/>
        <w:rPr>
          <w:rFonts w:ascii="Arial" w:eastAsia="Times New Roman" w:hAnsi="Arial" w:cs="Arial"/>
          <w:b/>
          <w:sz w:val="20"/>
          <w:szCs w:val="20"/>
        </w:rPr>
      </w:pPr>
    </w:p>
    <w:p w:rsidR="00DB279C" w:rsidRPr="00CE2B73" w:rsidRDefault="00DB279C" w:rsidP="00CE2B73">
      <w:pPr>
        <w:spacing w:after="0" w:line="240" w:lineRule="auto"/>
        <w:ind w:left="360"/>
        <w:contextualSpacing/>
        <w:rPr>
          <w:rFonts w:ascii="Arial" w:eastAsia="Times New Roman" w:hAnsi="Arial" w:cs="Arial"/>
          <w:b/>
          <w:sz w:val="20"/>
          <w:szCs w:val="20"/>
        </w:rPr>
      </w:pPr>
    </w:p>
    <w:p w:rsidR="00DB279C" w:rsidRPr="00CE2B73" w:rsidRDefault="00DB279C"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Having deliberated and considered all the submissions made by the above stakeholders on Division of Revenue Bill </w:t>
      </w:r>
      <w:r w:rsidR="000A49A9" w:rsidRPr="00CE2B73">
        <w:rPr>
          <w:rFonts w:ascii="Arial" w:eastAsia="Times New Roman" w:hAnsi="Arial" w:cs="Arial"/>
          <w:sz w:val="20"/>
          <w:szCs w:val="20"/>
        </w:rPr>
        <w:t>(B6</w:t>
      </w:r>
      <w:r w:rsidRPr="00CE2B73">
        <w:rPr>
          <w:rFonts w:ascii="Arial" w:eastAsia="Times New Roman" w:hAnsi="Arial" w:cs="Arial"/>
          <w:sz w:val="20"/>
          <w:szCs w:val="20"/>
        </w:rPr>
        <w:t>-</w:t>
      </w:r>
      <w:r w:rsidR="000A49A9" w:rsidRPr="00CE2B73">
        <w:rPr>
          <w:rFonts w:ascii="Arial" w:eastAsia="Times New Roman" w:hAnsi="Arial" w:cs="Arial"/>
          <w:sz w:val="20"/>
          <w:szCs w:val="20"/>
        </w:rPr>
        <w:t>2022</w:t>
      </w:r>
      <w:r w:rsidRPr="00CE2B73">
        <w:rPr>
          <w:rFonts w:ascii="Arial" w:eastAsia="Times New Roman" w:hAnsi="Arial" w:cs="Arial"/>
          <w:sz w:val="20"/>
          <w:szCs w:val="20"/>
        </w:rPr>
        <w:t>), the Standing Committee on Appropriations makes the following findings and observations:</w:t>
      </w:r>
    </w:p>
    <w:p w:rsidR="00EF14E9" w:rsidRPr="00CE2B73" w:rsidRDefault="00EF14E9" w:rsidP="00CE2B73">
      <w:pPr>
        <w:spacing w:after="0" w:line="240" w:lineRule="auto"/>
        <w:rPr>
          <w:rFonts w:ascii="Arial" w:eastAsia="Times New Roman" w:hAnsi="Arial" w:cs="Arial"/>
          <w:sz w:val="20"/>
          <w:szCs w:val="20"/>
        </w:rPr>
      </w:pPr>
    </w:p>
    <w:p w:rsidR="0089702F" w:rsidRPr="00CE2B73" w:rsidRDefault="000A4433"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ab/>
      </w:r>
      <w:r w:rsidR="00854454" w:rsidRPr="00CE2B73">
        <w:rPr>
          <w:rFonts w:ascii="Arial" w:eastAsia="Times New Roman" w:hAnsi="Arial" w:cs="Arial"/>
          <w:sz w:val="20"/>
          <w:szCs w:val="20"/>
        </w:rPr>
        <w:t xml:space="preserve">The Committee notes and welcomes the </w:t>
      </w:r>
      <w:r w:rsidR="0089702F" w:rsidRPr="00CE2B73">
        <w:rPr>
          <w:rFonts w:ascii="Arial" w:eastAsia="Times New Roman" w:hAnsi="Arial" w:cs="Arial"/>
          <w:sz w:val="20"/>
          <w:szCs w:val="20"/>
        </w:rPr>
        <w:t xml:space="preserve">proposed </w:t>
      </w:r>
      <w:r w:rsidR="00854454" w:rsidRPr="00CE2B73">
        <w:rPr>
          <w:rFonts w:ascii="Arial" w:eastAsia="Times New Roman" w:hAnsi="Arial" w:cs="Arial"/>
          <w:sz w:val="20"/>
          <w:szCs w:val="20"/>
        </w:rPr>
        <w:t xml:space="preserve">annual average of 10.3 per cent increase in the local government equitable share over the 2022 MTEF. The Committee has always been emphasising on the need to increase the local government share of nationally raised revenue above inflation due to local government being in </w:t>
      </w:r>
      <w:r w:rsidR="0089702F" w:rsidRPr="00CE2B73">
        <w:rPr>
          <w:rFonts w:ascii="Arial" w:eastAsia="Times New Roman" w:hAnsi="Arial" w:cs="Arial"/>
          <w:sz w:val="20"/>
          <w:szCs w:val="20"/>
        </w:rPr>
        <w:t>coalface</w:t>
      </w:r>
      <w:r w:rsidR="00854454" w:rsidRPr="00CE2B73">
        <w:rPr>
          <w:rFonts w:ascii="Arial" w:eastAsia="Times New Roman" w:hAnsi="Arial" w:cs="Arial"/>
          <w:sz w:val="20"/>
          <w:szCs w:val="20"/>
        </w:rPr>
        <w:t xml:space="preserve"> of service delivery. </w:t>
      </w:r>
      <w:r w:rsidR="0089702F" w:rsidRPr="00CE2B73">
        <w:rPr>
          <w:rFonts w:ascii="Arial" w:eastAsia="Times New Roman" w:hAnsi="Arial" w:cs="Arial"/>
          <w:sz w:val="20"/>
          <w:szCs w:val="20"/>
        </w:rPr>
        <w:t xml:space="preserve">The Committee views this as an important step in ensuring that municipalities are able to provide </w:t>
      </w:r>
      <w:r w:rsidR="00606688" w:rsidRPr="00CE2B73">
        <w:rPr>
          <w:rFonts w:ascii="Arial" w:eastAsia="Times New Roman" w:hAnsi="Arial" w:cs="Arial"/>
          <w:sz w:val="20"/>
          <w:szCs w:val="20"/>
        </w:rPr>
        <w:t xml:space="preserve">free </w:t>
      </w:r>
      <w:r w:rsidR="0089702F" w:rsidRPr="00CE2B73">
        <w:rPr>
          <w:rFonts w:ascii="Arial" w:eastAsia="Times New Roman" w:hAnsi="Arial" w:cs="Arial"/>
          <w:sz w:val="20"/>
          <w:szCs w:val="20"/>
        </w:rPr>
        <w:t xml:space="preserve">basic services to poor households. </w:t>
      </w:r>
      <w:r w:rsidR="00FA047C" w:rsidRPr="00CE2B73">
        <w:rPr>
          <w:rFonts w:ascii="Arial" w:eastAsia="Times New Roman" w:hAnsi="Arial" w:cs="Arial"/>
          <w:sz w:val="20"/>
          <w:szCs w:val="20"/>
        </w:rPr>
        <w:t>However, the Committee would like to reiterate its concerns on the lack of consequence management and poor financial management within local governm</w:t>
      </w:r>
      <w:r w:rsidR="00B1187D" w:rsidRPr="00CE2B73">
        <w:rPr>
          <w:rFonts w:ascii="Arial" w:eastAsia="Times New Roman" w:hAnsi="Arial" w:cs="Arial"/>
          <w:sz w:val="20"/>
          <w:szCs w:val="20"/>
        </w:rPr>
        <w:t>ent, an issue that it</w:t>
      </w:r>
      <w:r w:rsidR="00FA047C" w:rsidRPr="00CE2B73">
        <w:rPr>
          <w:rFonts w:ascii="Arial" w:eastAsia="Times New Roman" w:hAnsi="Arial" w:cs="Arial"/>
          <w:sz w:val="20"/>
          <w:szCs w:val="20"/>
        </w:rPr>
        <w:t xml:space="preserve"> has raised on many occasions with SALGA. </w:t>
      </w:r>
    </w:p>
    <w:p w:rsidR="0089702F" w:rsidRPr="00CE2B73" w:rsidRDefault="0089702F" w:rsidP="00CE2B73">
      <w:pPr>
        <w:pStyle w:val="ListParagraph"/>
        <w:spacing w:after="0" w:line="240" w:lineRule="auto"/>
        <w:ind w:left="360"/>
        <w:rPr>
          <w:rFonts w:ascii="Arial" w:eastAsia="Times New Roman" w:hAnsi="Arial" w:cs="Arial"/>
          <w:sz w:val="20"/>
          <w:szCs w:val="20"/>
        </w:rPr>
      </w:pPr>
    </w:p>
    <w:p w:rsidR="00FD74ED" w:rsidRPr="00CE2B73" w:rsidRDefault="0089702F"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notes and welcomes the proposed additional R12.7 billion for the provincial education departments to continue hiring assistants in schools as part of the Presidential Employment Initiative for the first two years of the 2022 MTEF. The negative impact caused by Covid-19 pandemic, particularly on job </w:t>
      </w:r>
      <w:r w:rsidR="00B1187D" w:rsidRPr="00CE2B73">
        <w:rPr>
          <w:rFonts w:ascii="Arial" w:eastAsia="Times New Roman" w:hAnsi="Arial" w:cs="Arial"/>
          <w:sz w:val="20"/>
          <w:szCs w:val="20"/>
        </w:rPr>
        <w:t>losses</w:t>
      </w:r>
      <w:r w:rsidR="00364519" w:rsidRPr="00CE2B73">
        <w:rPr>
          <w:rFonts w:ascii="Arial" w:eastAsia="Times New Roman" w:hAnsi="Arial" w:cs="Arial"/>
          <w:sz w:val="20"/>
          <w:szCs w:val="20"/>
        </w:rPr>
        <w:t xml:space="preserve"> and the livelihoods of many South Africans</w:t>
      </w:r>
      <w:r w:rsidR="00B1187D" w:rsidRPr="00CE2B73">
        <w:rPr>
          <w:rFonts w:ascii="Arial" w:eastAsia="Times New Roman" w:hAnsi="Arial" w:cs="Arial"/>
          <w:sz w:val="20"/>
          <w:szCs w:val="20"/>
        </w:rPr>
        <w:t xml:space="preserve"> cannot be overemphasised. T</w:t>
      </w:r>
      <w:r w:rsidRPr="00CE2B73">
        <w:rPr>
          <w:rFonts w:ascii="Arial" w:eastAsia="Times New Roman" w:hAnsi="Arial" w:cs="Arial"/>
          <w:sz w:val="20"/>
          <w:szCs w:val="20"/>
        </w:rPr>
        <w:t xml:space="preserve">he Committee fully supports </w:t>
      </w:r>
      <w:r w:rsidR="00711F9B" w:rsidRPr="00CE2B73">
        <w:rPr>
          <w:rFonts w:ascii="Arial" w:eastAsia="Times New Roman" w:hAnsi="Arial" w:cs="Arial"/>
          <w:sz w:val="20"/>
          <w:szCs w:val="20"/>
        </w:rPr>
        <w:t xml:space="preserve">this government initiative to </w:t>
      </w:r>
      <w:r w:rsidR="005F0302" w:rsidRPr="00CE2B73">
        <w:rPr>
          <w:rFonts w:ascii="Arial" w:eastAsia="Times New Roman" w:hAnsi="Arial" w:cs="Arial"/>
          <w:sz w:val="20"/>
          <w:szCs w:val="20"/>
        </w:rPr>
        <w:t>create jobs in response to the number of jobs los</w:t>
      </w:r>
      <w:r w:rsidR="00230022" w:rsidRPr="00CE2B73">
        <w:rPr>
          <w:rFonts w:ascii="Arial" w:eastAsia="Times New Roman" w:hAnsi="Arial" w:cs="Arial"/>
          <w:sz w:val="20"/>
          <w:szCs w:val="20"/>
        </w:rPr>
        <w:t>s</w:t>
      </w:r>
      <w:r w:rsidR="005F0302" w:rsidRPr="00CE2B73">
        <w:rPr>
          <w:rFonts w:ascii="Arial" w:eastAsia="Times New Roman" w:hAnsi="Arial" w:cs="Arial"/>
          <w:sz w:val="20"/>
          <w:szCs w:val="20"/>
        </w:rPr>
        <w:t xml:space="preserve">es caused by the </w:t>
      </w:r>
      <w:r w:rsidR="00FD74ED" w:rsidRPr="00CE2B73">
        <w:rPr>
          <w:rFonts w:ascii="Arial" w:eastAsia="Times New Roman" w:hAnsi="Arial" w:cs="Arial"/>
          <w:sz w:val="20"/>
          <w:szCs w:val="20"/>
        </w:rPr>
        <w:t>Covid-19 pandemic.</w:t>
      </w:r>
      <w:r w:rsidR="00364519" w:rsidRPr="00CE2B73">
        <w:rPr>
          <w:rFonts w:ascii="Arial" w:eastAsia="Times New Roman" w:hAnsi="Arial" w:cs="Arial"/>
          <w:sz w:val="20"/>
          <w:szCs w:val="20"/>
        </w:rPr>
        <w:t xml:space="preserve"> However, the Committee would also like to re-emphasise on the need to use these resources in a manner that demonstrate the understanding of the scarcity of these resources and upholding the laws and regulations governing public finances in South Africa.</w:t>
      </w:r>
    </w:p>
    <w:p w:rsidR="00FD74ED" w:rsidRPr="00CE2B73" w:rsidRDefault="00FD74ED" w:rsidP="00CE2B73">
      <w:pPr>
        <w:pStyle w:val="ListParagraph"/>
        <w:spacing w:after="0" w:line="240" w:lineRule="auto"/>
        <w:rPr>
          <w:rFonts w:ascii="Arial" w:eastAsia="Times New Roman" w:hAnsi="Arial" w:cs="Arial"/>
          <w:sz w:val="20"/>
          <w:szCs w:val="20"/>
        </w:rPr>
      </w:pPr>
    </w:p>
    <w:p w:rsidR="00823A81" w:rsidRPr="00CE2B73" w:rsidRDefault="00823A81"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notes and welcomes the proposed additional R1.7 billion to the direct </w:t>
      </w:r>
      <w:r w:rsidR="00B1187D" w:rsidRPr="00CE2B73">
        <w:rPr>
          <w:rFonts w:ascii="Arial" w:eastAsia="Times New Roman" w:hAnsi="Arial" w:cs="Arial"/>
          <w:sz w:val="20"/>
          <w:szCs w:val="20"/>
        </w:rPr>
        <w:t>Neighbourhood Development P</w:t>
      </w:r>
      <w:r w:rsidRPr="00CE2B73">
        <w:rPr>
          <w:rFonts w:ascii="Arial" w:eastAsia="Times New Roman" w:hAnsi="Arial" w:cs="Arial"/>
          <w:sz w:val="20"/>
          <w:szCs w:val="20"/>
        </w:rPr>
        <w:t>artnership grant to fund the continuation of government’s response to job losses due to the impact of Covid-19 through city led public employment programmes as part of the Presidential Employment Initiative over the next two years.</w:t>
      </w:r>
    </w:p>
    <w:p w:rsidR="005F0302" w:rsidRPr="00CE2B73" w:rsidRDefault="005F0302" w:rsidP="00CE2B73">
      <w:pPr>
        <w:pStyle w:val="ListParagraph"/>
        <w:spacing w:after="0" w:line="240" w:lineRule="auto"/>
        <w:ind w:left="709"/>
        <w:rPr>
          <w:rFonts w:ascii="Arial" w:eastAsia="Times New Roman" w:hAnsi="Arial" w:cs="Arial"/>
          <w:sz w:val="20"/>
          <w:szCs w:val="20"/>
        </w:rPr>
      </w:pPr>
    </w:p>
    <w:p w:rsidR="00292560" w:rsidRPr="00CE2B73" w:rsidRDefault="005F0302"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notes and welcomes the proposed additional </w:t>
      </w:r>
      <w:r w:rsidR="00EF22D9" w:rsidRPr="00CE2B73">
        <w:rPr>
          <w:rFonts w:ascii="Arial" w:eastAsia="Times New Roman" w:hAnsi="Arial" w:cs="Arial"/>
          <w:sz w:val="20"/>
          <w:szCs w:val="20"/>
        </w:rPr>
        <w:t xml:space="preserve">R15.6 billion </w:t>
      </w:r>
      <w:r w:rsidR="00B1187D" w:rsidRPr="00CE2B73">
        <w:rPr>
          <w:rFonts w:ascii="Arial" w:eastAsia="Times New Roman" w:hAnsi="Arial" w:cs="Arial"/>
          <w:sz w:val="20"/>
          <w:szCs w:val="20"/>
        </w:rPr>
        <w:t>to the Provincial Equitable S</w:t>
      </w:r>
      <w:r w:rsidRPr="00CE2B73">
        <w:rPr>
          <w:rFonts w:ascii="Arial" w:eastAsia="Times New Roman" w:hAnsi="Arial" w:cs="Arial"/>
          <w:sz w:val="20"/>
          <w:szCs w:val="20"/>
        </w:rPr>
        <w:t xml:space="preserve">hare to support the provincial departments of health to continue responding to the Covid-19 pandemic and to reduce the impact of budget reductions on essential medical goods services. </w:t>
      </w:r>
    </w:p>
    <w:p w:rsidR="00292560" w:rsidRPr="00CE2B73" w:rsidRDefault="00292560" w:rsidP="00CE2B73">
      <w:pPr>
        <w:pStyle w:val="ListParagraph"/>
        <w:spacing w:after="0" w:line="240" w:lineRule="auto"/>
        <w:ind w:left="709"/>
        <w:rPr>
          <w:rFonts w:ascii="Arial" w:eastAsia="Times New Roman" w:hAnsi="Arial" w:cs="Arial"/>
          <w:sz w:val="20"/>
          <w:szCs w:val="20"/>
        </w:rPr>
      </w:pPr>
    </w:p>
    <w:p w:rsidR="00B1187D" w:rsidRPr="00CE2B73" w:rsidRDefault="00292560"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notes and welcomes the proposed additional R1 billion </w:t>
      </w:r>
      <w:r w:rsidR="00E758B1" w:rsidRPr="00CE2B73">
        <w:rPr>
          <w:rFonts w:ascii="Arial" w:eastAsia="Times New Roman" w:hAnsi="Arial" w:cs="Arial"/>
          <w:sz w:val="20"/>
          <w:szCs w:val="20"/>
        </w:rPr>
        <w:t xml:space="preserve">in </w:t>
      </w:r>
      <w:r w:rsidRPr="00CE2B73">
        <w:rPr>
          <w:rFonts w:ascii="Arial" w:eastAsia="Times New Roman" w:hAnsi="Arial" w:cs="Arial"/>
          <w:sz w:val="20"/>
          <w:szCs w:val="20"/>
        </w:rPr>
        <w:t xml:space="preserve">2022/23 to the Covid-19 component of the </w:t>
      </w:r>
      <w:r w:rsidR="00591B2F" w:rsidRPr="00CE2B73">
        <w:rPr>
          <w:rFonts w:ascii="Arial" w:eastAsia="Times New Roman" w:hAnsi="Arial" w:cs="Arial"/>
          <w:sz w:val="20"/>
          <w:szCs w:val="20"/>
        </w:rPr>
        <w:t>District Health P</w:t>
      </w:r>
      <w:r w:rsidRPr="00CE2B73">
        <w:rPr>
          <w:rFonts w:ascii="Arial" w:eastAsia="Times New Roman" w:hAnsi="Arial" w:cs="Arial"/>
          <w:sz w:val="20"/>
          <w:szCs w:val="20"/>
        </w:rPr>
        <w:t>rogramme</w:t>
      </w:r>
      <w:r w:rsidR="00591B2F" w:rsidRPr="00CE2B73">
        <w:rPr>
          <w:rFonts w:ascii="Arial" w:eastAsia="Times New Roman" w:hAnsi="Arial" w:cs="Arial"/>
          <w:sz w:val="20"/>
          <w:szCs w:val="20"/>
        </w:rPr>
        <w:t>s</w:t>
      </w:r>
      <w:r w:rsidRPr="00CE2B73">
        <w:rPr>
          <w:rFonts w:ascii="Arial" w:eastAsia="Times New Roman" w:hAnsi="Arial" w:cs="Arial"/>
          <w:sz w:val="20"/>
          <w:szCs w:val="20"/>
        </w:rPr>
        <w:t xml:space="preserve"> grant to fund the continuation of the Covid-19 vaccine rollout by provinces</w:t>
      </w:r>
      <w:r w:rsidR="002D2386" w:rsidRPr="00CE2B73">
        <w:rPr>
          <w:rFonts w:ascii="Arial" w:eastAsia="Times New Roman" w:hAnsi="Arial" w:cs="Arial"/>
          <w:sz w:val="20"/>
          <w:szCs w:val="20"/>
        </w:rPr>
        <w:t>.</w:t>
      </w:r>
      <w:r w:rsidRPr="00CE2B73">
        <w:rPr>
          <w:rFonts w:ascii="Arial" w:eastAsia="Times New Roman" w:hAnsi="Arial" w:cs="Arial"/>
          <w:sz w:val="20"/>
          <w:szCs w:val="20"/>
        </w:rPr>
        <w:t xml:space="preserve"> </w:t>
      </w:r>
      <w:r w:rsidR="00EF22D9" w:rsidRPr="00CE2B73">
        <w:rPr>
          <w:rFonts w:ascii="Arial" w:eastAsia="Times New Roman" w:hAnsi="Arial" w:cs="Arial"/>
          <w:sz w:val="20"/>
          <w:szCs w:val="20"/>
        </w:rPr>
        <w:t>The Committee has always been supportive of government’s efforts to speedily rollout the Covid-19 vaccination programmes</w:t>
      </w:r>
      <w:r w:rsidR="00230022" w:rsidRPr="00CE2B73">
        <w:rPr>
          <w:rFonts w:ascii="Arial" w:eastAsia="Times New Roman" w:hAnsi="Arial" w:cs="Arial"/>
          <w:sz w:val="20"/>
          <w:szCs w:val="20"/>
        </w:rPr>
        <w:t xml:space="preserve"> and encourages </w:t>
      </w:r>
      <w:r w:rsidR="00FE1E21" w:rsidRPr="00CE2B73">
        <w:rPr>
          <w:rFonts w:ascii="Arial" w:eastAsia="Times New Roman" w:hAnsi="Arial" w:cs="Arial"/>
          <w:sz w:val="20"/>
          <w:szCs w:val="20"/>
        </w:rPr>
        <w:t xml:space="preserve">all citizens to use this opportunity and take up the vaccine if the country is to defeat this pandemic and all its associated challenges. </w:t>
      </w:r>
    </w:p>
    <w:p w:rsidR="00B1187D" w:rsidRPr="00CE2B73" w:rsidRDefault="00B1187D" w:rsidP="00CE2B73">
      <w:pPr>
        <w:pStyle w:val="ListParagraph"/>
        <w:spacing w:after="0" w:line="240" w:lineRule="auto"/>
        <w:rPr>
          <w:rFonts w:ascii="Arial" w:eastAsia="Times New Roman" w:hAnsi="Arial" w:cs="Arial"/>
          <w:sz w:val="20"/>
          <w:szCs w:val="20"/>
        </w:rPr>
      </w:pPr>
    </w:p>
    <w:p w:rsidR="00C73262" w:rsidRPr="00CE2B73" w:rsidRDefault="00857789"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w:t>
      </w:r>
      <w:r w:rsidR="00C73262" w:rsidRPr="00CE2B73">
        <w:rPr>
          <w:rFonts w:ascii="Arial" w:eastAsia="Times New Roman" w:hAnsi="Arial" w:cs="Arial"/>
          <w:sz w:val="20"/>
          <w:szCs w:val="20"/>
        </w:rPr>
        <w:t>Committee notes and welcomes the proposed additional R24.6 billion over the medium term</w:t>
      </w:r>
      <w:r w:rsidR="00B1187D" w:rsidRPr="00CE2B73">
        <w:rPr>
          <w:rFonts w:ascii="Arial" w:eastAsia="Times New Roman" w:hAnsi="Arial" w:cs="Arial"/>
          <w:sz w:val="20"/>
          <w:szCs w:val="20"/>
        </w:rPr>
        <w:t xml:space="preserve"> to the Provincial Equitable S</w:t>
      </w:r>
      <w:r w:rsidR="00C73262" w:rsidRPr="00CE2B73">
        <w:rPr>
          <w:rFonts w:ascii="Arial" w:eastAsia="Times New Roman" w:hAnsi="Arial" w:cs="Arial"/>
          <w:sz w:val="20"/>
          <w:szCs w:val="20"/>
        </w:rPr>
        <w:t xml:space="preserve">hare to support provincial education departments in addressing educator numbers and other shortfalls within the sector. The Committee supports this proposed allocation due to the public outcry on both the shortage of </w:t>
      </w:r>
      <w:r w:rsidR="00BB3512" w:rsidRPr="00CE2B73">
        <w:rPr>
          <w:rFonts w:ascii="Arial" w:eastAsia="Times New Roman" w:hAnsi="Arial" w:cs="Arial"/>
          <w:sz w:val="20"/>
          <w:szCs w:val="20"/>
        </w:rPr>
        <w:t xml:space="preserve">teachers in schools and learner </w:t>
      </w:r>
      <w:r w:rsidR="00C73262" w:rsidRPr="00CE2B73">
        <w:rPr>
          <w:rFonts w:ascii="Arial" w:eastAsia="Times New Roman" w:hAnsi="Arial" w:cs="Arial"/>
          <w:sz w:val="20"/>
          <w:szCs w:val="20"/>
        </w:rPr>
        <w:t xml:space="preserve">teacher ratio that </w:t>
      </w:r>
      <w:r w:rsidRPr="00CE2B73">
        <w:rPr>
          <w:rFonts w:ascii="Arial" w:eastAsia="Times New Roman" w:hAnsi="Arial" w:cs="Arial"/>
          <w:sz w:val="20"/>
          <w:szCs w:val="20"/>
        </w:rPr>
        <w:t>need</w:t>
      </w:r>
      <w:r w:rsidR="00C73262" w:rsidRPr="00CE2B73">
        <w:rPr>
          <w:rFonts w:ascii="Arial" w:eastAsia="Times New Roman" w:hAnsi="Arial" w:cs="Arial"/>
          <w:sz w:val="20"/>
          <w:szCs w:val="20"/>
        </w:rPr>
        <w:t xml:space="preserve"> to be addressed urgently if the quality of education and education outcomes are to be improved. </w:t>
      </w:r>
    </w:p>
    <w:p w:rsidR="00F844A5" w:rsidRPr="00CE2B73" w:rsidRDefault="00F844A5" w:rsidP="00CE2B73">
      <w:pPr>
        <w:pStyle w:val="ListParagraph"/>
        <w:spacing w:after="0" w:line="240" w:lineRule="auto"/>
        <w:ind w:left="709"/>
        <w:rPr>
          <w:rFonts w:ascii="Arial" w:eastAsia="Times New Roman" w:hAnsi="Arial" w:cs="Arial"/>
          <w:sz w:val="20"/>
          <w:szCs w:val="20"/>
        </w:rPr>
      </w:pPr>
    </w:p>
    <w:p w:rsidR="00A053FE" w:rsidRPr="00CE2B73" w:rsidRDefault="00F844A5"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notes and welcomes the proposed allocation of R2.1 billion over the next two years for repairing of infrastructure damaged by storms and floods in KwaZulu-Natal in 2019 and 2020. The Committee is of the view that </w:t>
      </w:r>
      <w:r w:rsidR="00CB5195" w:rsidRPr="00CE2B73">
        <w:rPr>
          <w:rFonts w:ascii="Arial" w:eastAsia="Times New Roman" w:hAnsi="Arial" w:cs="Arial"/>
          <w:sz w:val="20"/>
          <w:szCs w:val="20"/>
        </w:rPr>
        <w:t>the speedily disbursement of these</w:t>
      </w:r>
      <w:r w:rsidRPr="00CE2B73">
        <w:rPr>
          <w:rFonts w:ascii="Arial" w:eastAsia="Times New Roman" w:hAnsi="Arial" w:cs="Arial"/>
          <w:sz w:val="20"/>
          <w:szCs w:val="20"/>
        </w:rPr>
        <w:t xml:space="preserve"> funds is critical </w:t>
      </w:r>
      <w:r w:rsidR="00487B9B" w:rsidRPr="00CE2B73">
        <w:rPr>
          <w:rFonts w:ascii="Arial" w:eastAsia="Times New Roman" w:hAnsi="Arial" w:cs="Arial"/>
          <w:sz w:val="20"/>
          <w:szCs w:val="20"/>
        </w:rPr>
        <w:t xml:space="preserve">in ensuring that </w:t>
      </w:r>
      <w:r w:rsidRPr="00CE2B73">
        <w:rPr>
          <w:rFonts w:ascii="Arial" w:eastAsia="Times New Roman" w:hAnsi="Arial" w:cs="Arial"/>
          <w:sz w:val="20"/>
          <w:szCs w:val="20"/>
        </w:rPr>
        <w:t xml:space="preserve">the victims of </w:t>
      </w:r>
      <w:r w:rsidR="00CB5195" w:rsidRPr="00CE2B73">
        <w:rPr>
          <w:rFonts w:ascii="Arial" w:eastAsia="Times New Roman" w:hAnsi="Arial" w:cs="Arial"/>
          <w:sz w:val="20"/>
          <w:szCs w:val="20"/>
        </w:rPr>
        <w:t>the</w:t>
      </w:r>
      <w:r w:rsidR="0006666F" w:rsidRPr="00CE2B73">
        <w:rPr>
          <w:rFonts w:ascii="Arial" w:eastAsia="Times New Roman" w:hAnsi="Arial" w:cs="Arial"/>
          <w:sz w:val="20"/>
          <w:szCs w:val="20"/>
        </w:rPr>
        <w:t xml:space="preserve"> natural disasters receive the required government assistance</w:t>
      </w:r>
      <w:r w:rsidR="00487B9B" w:rsidRPr="00CE2B73">
        <w:rPr>
          <w:rFonts w:ascii="Arial" w:eastAsia="Times New Roman" w:hAnsi="Arial" w:cs="Arial"/>
          <w:sz w:val="20"/>
          <w:szCs w:val="20"/>
        </w:rPr>
        <w:t xml:space="preserve"> </w:t>
      </w:r>
      <w:r w:rsidR="00CB5195" w:rsidRPr="00CE2B73">
        <w:rPr>
          <w:rFonts w:ascii="Arial" w:eastAsia="Times New Roman" w:hAnsi="Arial" w:cs="Arial"/>
          <w:sz w:val="20"/>
          <w:szCs w:val="20"/>
        </w:rPr>
        <w:t xml:space="preserve">timeously </w:t>
      </w:r>
      <w:r w:rsidR="00487B9B" w:rsidRPr="00CE2B73">
        <w:rPr>
          <w:rFonts w:ascii="Arial" w:eastAsia="Times New Roman" w:hAnsi="Arial" w:cs="Arial"/>
          <w:sz w:val="20"/>
          <w:szCs w:val="20"/>
        </w:rPr>
        <w:t>and public infrastructure is repaired to its functional level</w:t>
      </w:r>
      <w:r w:rsidR="0006666F" w:rsidRPr="00CE2B73">
        <w:rPr>
          <w:rFonts w:ascii="Arial" w:eastAsia="Times New Roman" w:hAnsi="Arial" w:cs="Arial"/>
          <w:sz w:val="20"/>
          <w:szCs w:val="20"/>
        </w:rPr>
        <w:t xml:space="preserve">. </w:t>
      </w:r>
    </w:p>
    <w:p w:rsidR="00A053FE" w:rsidRPr="00CE2B73" w:rsidRDefault="00A053FE" w:rsidP="00CE2B73">
      <w:pPr>
        <w:pStyle w:val="ListParagraph"/>
        <w:spacing w:after="0" w:line="240" w:lineRule="auto"/>
        <w:ind w:left="709"/>
        <w:rPr>
          <w:rFonts w:ascii="Arial" w:eastAsia="Times New Roman" w:hAnsi="Arial" w:cs="Arial"/>
          <w:sz w:val="20"/>
          <w:szCs w:val="20"/>
        </w:rPr>
      </w:pPr>
    </w:p>
    <w:p w:rsidR="00FD74ED" w:rsidRPr="00CE2B73" w:rsidRDefault="00BB0E5E"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w:t>
      </w:r>
      <w:r w:rsidR="003F4B48" w:rsidRPr="00CE2B73">
        <w:rPr>
          <w:rFonts w:ascii="Arial" w:eastAsia="Times New Roman" w:hAnsi="Arial" w:cs="Arial"/>
          <w:sz w:val="20"/>
          <w:szCs w:val="20"/>
        </w:rPr>
        <w:t>Committee notes with concern</w:t>
      </w:r>
      <w:r w:rsidRPr="00CE2B73">
        <w:rPr>
          <w:rFonts w:ascii="Arial" w:eastAsia="Times New Roman" w:hAnsi="Arial" w:cs="Arial"/>
          <w:sz w:val="20"/>
          <w:szCs w:val="20"/>
        </w:rPr>
        <w:t xml:space="preserve"> the proposed reduction of R1.7 billion from the </w:t>
      </w:r>
      <w:r w:rsidR="00B1187D" w:rsidRPr="00CE2B73">
        <w:rPr>
          <w:rFonts w:ascii="Arial" w:eastAsia="Times New Roman" w:hAnsi="Arial" w:cs="Arial"/>
          <w:i/>
          <w:sz w:val="20"/>
          <w:szCs w:val="20"/>
        </w:rPr>
        <w:t>Provincial Roads M</w:t>
      </w:r>
      <w:r w:rsidRPr="00CE2B73">
        <w:rPr>
          <w:rFonts w:ascii="Arial" w:eastAsia="Times New Roman" w:hAnsi="Arial" w:cs="Arial"/>
          <w:i/>
          <w:sz w:val="20"/>
          <w:szCs w:val="20"/>
        </w:rPr>
        <w:t>aintenance grant</w:t>
      </w:r>
      <w:r w:rsidRPr="00CE2B73">
        <w:rPr>
          <w:rFonts w:ascii="Arial" w:eastAsia="Times New Roman" w:hAnsi="Arial" w:cs="Arial"/>
          <w:sz w:val="20"/>
          <w:szCs w:val="20"/>
        </w:rPr>
        <w:t xml:space="preserve"> in 2022/23 for the incentives portion allocated to provinces</w:t>
      </w:r>
      <w:r w:rsidR="00CB5195" w:rsidRPr="00CE2B73">
        <w:rPr>
          <w:rFonts w:ascii="Arial" w:eastAsia="Times New Roman" w:hAnsi="Arial" w:cs="Arial"/>
          <w:sz w:val="20"/>
          <w:szCs w:val="20"/>
        </w:rPr>
        <w:t xml:space="preserve">.  </w:t>
      </w:r>
      <w:r w:rsidR="003F4B48" w:rsidRPr="00CE2B73">
        <w:rPr>
          <w:rFonts w:ascii="Arial" w:eastAsia="Times New Roman" w:hAnsi="Arial" w:cs="Arial"/>
          <w:sz w:val="20"/>
          <w:szCs w:val="20"/>
        </w:rPr>
        <w:t>This was done</w:t>
      </w:r>
      <w:r w:rsidRPr="00CE2B73">
        <w:rPr>
          <w:rFonts w:ascii="Arial" w:eastAsia="Times New Roman" w:hAnsi="Arial" w:cs="Arial"/>
          <w:sz w:val="20"/>
          <w:szCs w:val="20"/>
        </w:rPr>
        <w:t xml:space="preserve"> based on the</w:t>
      </w:r>
      <w:r w:rsidR="003F4B48" w:rsidRPr="00CE2B73">
        <w:rPr>
          <w:rFonts w:ascii="Arial" w:eastAsia="Times New Roman" w:hAnsi="Arial" w:cs="Arial"/>
          <w:sz w:val="20"/>
          <w:szCs w:val="20"/>
        </w:rPr>
        <w:t xml:space="preserve"> </w:t>
      </w:r>
      <w:r w:rsidRPr="00CE2B73">
        <w:rPr>
          <w:rFonts w:ascii="Arial" w:eastAsia="Times New Roman" w:hAnsi="Arial" w:cs="Arial"/>
          <w:sz w:val="20"/>
          <w:szCs w:val="20"/>
        </w:rPr>
        <w:t>performance within the grant</w:t>
      </w:r>
      <w:r w:rsidR="00A053FE" w:rsidRPr="00CE2B73">
        <w:rPr>
          <w:rFonts w:ascii="Arial" w:eastAsia="Times New Roman" w:hAnsi="Arial" w:cs="Arial"/>
          <w:sz w:val="20"/>
          <w:szCs w:val="20"/>
        </w:rPr>
        <w:t xml:space="preserve"> due to the sector being in the process of developing and finalising a clear and objective criterion for the incentive. The Committee has always been against random allocation of scarce resources without first having proper p</w:t>
      </w:r>
      <w:r w:rsidR="003F4B48" w:rsidRPr="00CE2B73">
        <w:rPr>
          <w:rFonts w:ascii="Arial" w:eastAsia="Times New Roman" w:hAnsi="Arial" w:cs="Arial"/>
          <w:sz w:val="20"/>
          <w:szCs w:val="20"/>
        </w:rPr>
        <w:t xml:space="preserve">lans on how these </w:t>
      </w:r>
      <w:r w:rsidR="00A053FE" w:rsidRPr="00CE2B73">
        <w:rPr>
          <w:rFonts w:ascii="Arial" w:eastAsia="Times New Roman" w:hAnsi="Arial" w:cs="Arial"/>
          <w:sz w:val="20"/>
          <w:szCs w:val="20"/>
        </w:rPr>
        <w:t xml:space="preserve">resources are to be utilised. </w:t>
      </w:r>
    </w:p>
    <w:p w:rsidR="00FD74ED" w:rsidRPr="00CE2B73" w:rsidRDefault="00FD74ED" w:rsidP="00CE2B73">
      <w:pPr>
        <w:pStyle w:val="ListParagraph"/>
        <w:spacing w:after="0" w:line="240" w:lineRule="auto"/>
        <w:ind w:left="709"/>
        <w:rPr>
          <w:rFonts w:ascii="Arial" w:eastAsia="Times New Roman" w:hAnsi="Arial" w:cs="Arial"/>
          <w:sz w:val="20"/>
          <w:szCs w:val="20"/>
        </w:rPr>
      </w:pPr>
    </w:p>
    <w:p w:rsidR="00CC1671" w:rsidRPr="00CE2B73" w:rsidRDefault="00030361"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notes </w:t>
      </w:r>
      <w:r w:rsidR="00682011" w:rsidRPr="00CE2B73">
        <w:rPr>
          <w:rFonts w:ascii="Arial" w:eastAsia="Times New Roman" w:hAnsi="Arial" w:cs="Arial"/>
          <w:sz w:val="20"/>
          <w:szCs w:val="20"/>
        </w:rPr>
        <w:t xml:space="preserve">and supports </w:t>
      </w:r>
      <w:r w:rsidRPr="00CE2B73">
        <w:rPr>
          <w:rFonts w:ascii="Arial" w:eastAsia="Times New Roman" w:hAnsi="Arial" w:cs="Arial"/>
          <w:sz w:val="20"/>
          <w:szCs w:val="20"/>
        </w:rPr>
        <w:t xml:space="preserve">National Treasury’s request to correct the grant framework of the </w:t>
      </w:r>
      <w:r w:rsidR="00D70854" w:rsidRPr="00CE2B73">
        <w:rPr>
          <w:rFonts w:ascii="Arial" w:eastAsia="Times New Roman" w:hAnsi="Arial" w:cs="Arial"/>
          <w:i/>
          <w:sz w:val="20"/>
          <w:szCs w:val="20"/>
        </w:rPr>
        <w:t>District Health P</w:t>
      </w:r>
      <w:r w:rsidRPr="00CE2B73">
        <w:rPr>
          <w:rFonts w:ascii="Arial" w:eastAsia="Times New Roman" w:hAnsi="Arial" w:cs="Arial"/>
          <w:i/>
          <w:sz w:val="20"/>
          <w:szCs w:val="20"/>
        </w:rPr>
        <w:t>rogrammes grant</w:t>
      </w:r>
      <w:r w:rsidRPr="00CE2B73">
        <w:rPr>
          <w:rFonts w:ascii="Arial" w:eastAsia="Times New Roman" w:hAnsi="Arial" w:cs="Arial"/>
          <w:sz w:val="20"/>
          <w:szCs w:val="20"/>
        </w:rPr>
        <w:t xml:space="preserve"> </w:t>
      </w:r>
      <w:r w:rsidR="00682011" w:rsidRPr="00CE2B73">
        <w:rPr>
          <w:rFonts w:ascii="Arial" w:eastAsia="Times New Roman" w:hAnsi="Arial" w:cs="Arial"/>
          <w:sz w:val="20"/>
          <w:szCs w:val="20"/>
        </w:rPr>
        <w:t xml:space="preserve">to </w:t>
      </w:r>
      <w:r w:rsidRPr="00CE2B73">
        <w:rPr>
          <w:rFonts w:ascii="Arial" w:eastAsia="Times New Roman" w:hAnsi="Arial" w:cs="Arial"/>
          <w:sz w:val="20"/>
          <w:szCs w:val="20"/>
        </w:rPr>
        <w:t>reflect the correct targets for the human papillomavirus vaccination programme</w:t>
      </w:r>
      <w:r w:rsidR="00CB5195" w:rsidRPr="00CE2B73">
        <w:rPr>
          <w:rFonts w:ascii="Arial" w:eastAsia="Times New Roman" w:hAnsi="Arial" w:cs="Arial"/>
          <w:sz w:val="20"/>
          <w:szCs w:val="20"/>
        </w:rPr>
        <w:t>. The</w:t>
      </w:r>
      <w:r w:rsidR="00682011" w:rsidRPr="00CE2B73">
        <w:rPr>
          <w:rFonts w:ascii="Arial" w:eastAsia="Times New Roman" w:hAnsi="Arial" w:cs="Arial"/>
          <w:sz w:val="20"/>
          <w:szCs w:val="20"/>
        </w:rPr>
        <w:t>s</w:t>
      </w:r>
      <w:r w:rsidR="00CB5195" w:rsidRPr="00CE2B73">
        <w:rPr>
          <w:rFonts w:ascii="Arial" w:eastAsia="Times New Roman" w:hAnsi="Arial" w:cs="Arial"/>
          <w:sz w:val="20"/>
          <w:szCs w:val="20"/>
        </w:rPr>
        <w:t>e</w:t>
      </w:r>
      <w:r w:rsidR="00682011" w:rsidRPr="00CE2B73">
        <w:rPr>
          <w:rFonts w:ascii="Arial" w:eastAsia="Times New Roman" w:hAnsi="Arial" w:cs="Arial"/>
          <w:sz w:val="20"/>
          <w:szCs w:val="20"/>
        </w:rPr>
        <w:t xml:space="preserve"> proposed correction</w:t>
      </w:r>
      <w:r w:rsidR="00D70854" w:rsidRPr="00CE2B73">
        <w:rPr>
          <w:rFonts w:ascii="Arial" w:eastAsia="Times New Roman" w:hAnsi="Arial" w:cs="Arial"/>
          <w:sz w:val="20"/>
          <w:szCs w:val="20"/>
        </w:rPr>
        <w:t>s</w:t>
      </w:r>
      <w:r w:rsidR="00682011" w:rsidRPr="00CE2B73">
        <w:rPr>
          <w:rFonts w:ascii="Arial" w:eastAsia="Times New Roman" w:hAnsi="Arial" w:cs="Arial"/>
          <w:sz w:val="20"/>
          <w:szCs w:val="20"/>
        </w:rPr>
        <w:t xml:space="preserve"> are to be </w:t>
      </w:r>
      <w:r w:rsidR="00CC1671" w:rsidRPr="00CE2B73">
        <w:rPr>
          <w:rFonts w:ascii="Arial" w:eastAsia="Times New Roman" w:hAnsi="Arial" w:cs="Arial"/>
          <w:sz w:val="20"/>
          <w:szCs w:val="20"/>
        </w:rPr>
        <w:t>effected</w:t>
      </w:r>
      <w:r w:rsidR="00682011" w:rsidRPr="00CE2B73">
        <w:rPr>
          <w:rFonts w:ascii="Arial" w:eastAsia="Times New Roman" w:hAnsi="Arial" w:cs="Arial"/>
          <w:sz w:val="20"/>
          <w:szCs w:val="20"/>
        </w:rPr>
        <w:t xml:space="preserve"> as part of the gazette that will be issued in terms of section 15 of the Act, once the Bill is enacted.</w:t>
      </w:r>
    </w:p>
    <w:p w:rsidR="00D70854" w:rsidRPr="00CE2B73" w:rsidRDefault="00D70854" w:rsidP="00CE2B73">
      <w:pPr>
        <w:pStyle w:val="ListParagraph"/>
        <w:spacing w:after="0" w:line="240" w:lineRule="auto"/>
        <w:rPr>
          <w:rFonts w:ascii="Arial" w:eastAsia="Times New Roman" w:hAnsi="Arial" w:cs="Arial"/>
          <w:sz w:val="20"/>
          <w:szCs w:val="20"/>
        </w:rPr>
      </w:pPr>
    </w:p>
    <w:p w:rsidR="00D70854" w:rsidRPr="00CE2B73" w:rsidRDefault="00D70854" w:rsidP="00CE2B73">
      <w:pPr>
        <w:spacing w:after="0" w:line="240" w:lineRule="auto"/>
        <w:rPr>
          <w:rFonts w:ascii="Arial" w:eastAsia="Times New Roman" w:hAnsi="Arial" w:cs="Arial"/>
          <w:sz w:val="20"/>
          <w:szCs w:val="20"/>
        </w:rPr>
      </w:pPr>
    </w:p>
    <w:p w:rsidR="00FA047C" w:rsidRPr="00CE2B73" w:rsidRDefault="001D4496"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lastRenderedPageBreak/>
        <w:t xml:space="preserve">The Committee notes and supports National Treasury’s request to </w:t>
      </w:r>
      <w:r w:rsidR="00CC1671" w:rsidRPr="00CE2B73">
        <w:rPr>
          <w:rFonts w:ascii="Arial" w:eastAsia="Times New Roman" w:hAnsi="Arial" w:cs="Arial"/>
          <w:sz w:val="20"/>
          <w:szCs w:val="20"/>
        </w:rPr>
        <w:t xml:space="preserve">amend the </w:t>
      </w:r>
      <w:r w:rsidR="00D70854" w:rsidRPr="00CE2B73">
        <w:rPr>
          <w:rFonts w:ascii="Arial" w:eastAsia="Times New Roman" w:hAnsi="Arial" w:cs="Arial"/>
          <w:i/>
          <w:sz w:val="20"/>
          <w:szCs w:val="20"/>
        </w:rPr>
        <w:t>Local Government F</w:t>
      </w:r>
      <w:r w:rsidR="00CC1671" w:rsidRPr="00CE2B73">
        <w:rPr>
          <w:rFonts w:ascii="Arial" w:eastAsia="Times New Roman" w:hAnsi="Arial" w:cs="Arial"/>
          <w:i/>
          <w:sz w:val="20"/>
          <w:szCs w:val="20"/>
        </w:rPr>
        <w:t xml:space="preserve">inancial </w:t>
      </w:r>
      <w:r w:rsidR="00D70854" w:rsidRPr="00CE2B73">
        <w:rPr>
          <w:rFonts w:ascii="Arial" w:eastAsia="Times New Roman" w:hAnsi="Arial" w:cs="Arial"/>
          <w:i/>
          <w:sz w:val="20"/>
          <w:szCs w:val="20"/>
        </w:rPr>
        <w:t>M</w:t>
      </w:r>
      <w:r w:rsidR="00CC1671" w:rsidRPr="00CE2B73">
        <w:rPr>
          <w:rFonts w:ascii="Arial" w:eastAsia="Times New Roman" w:hAnsi="Arial" w:cs="Arial"/>
          <w:i/>
          <w:sz w:val="20"/>
          <w:szCs w:val="20"/>
        </w:rPr>
        <w:t>anagement grant</w:t>
      </w:r>
      <w:r w:rsidR="00CC1671" w:rsidRPr="00CE2B73">
        <w:rPr>
          <w:rFonts w:ascii="Arial" w:eastAsia="Times New Roman" w:hAnsi="Arial" w:cs="Arial"/>
          <w:sz w:val="20"/>
          <w:szCs w:val="20"/>
        </w:rPr>
        <w:t xml:space="preserve"> to ensure that there is no do</w:t>
      </w:r>
      <w:r w:rsidR="00B14F55" w:rsidRPr="00CE2B73">
        <w:rPr>
          <w:rFonts w:ascii="Arial" w:eastAsia="Times New Roman" w:hAnsi="Arial" w:cs="Arial"/>
          <w:sz w:val="20"/>
          <w:szCs w:val="20"/>
        </w:rPr>
        <w:t>uble dipping on</w:t>
      </w:r>
      <w:r w:rsidR="00CC1671" w:rsidRPr="00CE2B73">
        <w:rPr>
          <w:rFonts w:ascii="Arial" w:eastAsia="Times New Roman" w:hAnsi="Arial" w:cs="Arial"/>
          <w:sz w:val="20"/>
          <w:szCs w:val="20"/>
        </w:rPr>
        <w:t xml:space="preserve"> </w:t>
      </w:r>
      <w:r w:rsidR="00383105" w:rsidRPr="00CE2B73">
        <w:rPr>
          <w:rFonts w:ascii="Arial" w:eastAsia="Times New Roman" w:hAnsi="Arial" w:cs="Arial"/>
          <w:sz w:val="20"/>
          <w:szCs w:val="20"/>
        </w:rPr>
        <w:t xml:space="preserve">scarce public </w:t>
      </w:r>
      <w:r w:rsidR="00CC1671" w:rsidRPr="00CE2B73">
        <w:rPr>
          <w:rFonts w:ascii="Arial" w:eastAsia="Times New Roman" w:hAnsi="Arial" w:cs="Arial"/>
          <w:sz w:val="20"/>
          <w:szCs w:val="20"/>
        </w:rPr>
        <w:t xml:space="preserve">resources for the same activities that are provided for within the municipal infrastructure grant, administered by the Department </w:t>
      </w:r>
      <w:r w:rsidR="00D70854" w:rsidRPr="00CE2B73">
        <w:rPr>
          <w:rFonts w:ascii="Arial" w:eastAsia="Times New Roman" w:hAnsi="Arial" w:cs="Arial"/>
          <w:sz w:val="20"/>
          <w:szCs w:val="20"/>
        </w:rPr>
        <w:t>of Cooperative Governance</w:t>
      </w:r>
      <w:r w:rsidR="00CC1671" w:rsidRPr="00CE2B73">
        <w:rPr>
          <w:rFonts w:ascii="Arial" w:eastAsia="Times New Roman" w:hAnsi="Arial" w:cs="Arial"/>
          <w:sz w:val="20"/>
          <w:szCs w:val="20"/>
        </w:rPr>
        <w:t>. This proposed am</w:t>
      </w:r>
      <w:r w:rsidR="00D70854" w:rsidRPr="00CE2B73">
        <w:rPr>
          <w:rFonts w:ascii="Arial" w:eastAsia="Times New Roman" w:hAnsi="Arial" w:cs="Arial"/>
          <w:sz w:val="20"/>
          <w:szCs w:val="20"/>
        </w:rPr>
        <w:t>endment is</w:t>
      </w:r>
      <w:r w:rsidR="00CC1671" w:rsidRPr="00CE2B73">
        <w:rPr>
          <w:rFonts w:ascii="Arial" w:eastAsia="Times New Roman" w:hAnsi="Arial" w:cs="Arial"/>
          <w:sz w:val="20"/>
          <w:szCs w:val="20"/>
        </w:rPr>
        <w:t xml:space="preserve"> to be effected as part of the gazette that will be issued in terms of section 15 of the Act, once the Bill is enacted.</w:t>
      </w:r>
    </w:p>
    <w:p w:rsidR="000020F0" w:rsidRPr="00CE2B73" w:rsidRDefault="000020F0" w:rsidP="00CE2B73">
      <w:pPr>
        <w:pStyle w:val="ListParagraph"/>
        <w:spacing w:after="0" w:line="240" w:lineRule="auto"/>
        <w:ind w:left="709"/>
        <w:rPr>
          <w:rFonts w:ascii="Arial" w:eastAsia="Times New Roman" w:hAnsi="Arial" w:cs="Arial"/>
          <w:sz w:val="20"/>
          <w:szCs w:val="20"/>
        </w:rPr>
      </w:pPr>
    </w:p>
    <w:p w:rsidR="000020F0" w:rsidRPr="00CE2B73" w:rsidRDefault="000020F0"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The Committee notes and welcomes the transfer of function of t</w:t>
      </w:r>
      <w:r w:rsidR="00D70854" w:rsidRPr="00CE2B73">
        <w:rPr>
          <w:rFonts w:ascii="Arial" w:eastAsia="Times New Roman" w:hAnsi="Arial" w:cs="Arial"/>
          <w:sz w:val="20"/>
          <w:szCs w:val="20"/>
        </w:rPr>
        <w:t>he Early Childhood D</w:t>
      </w:r>
      <w:r w:rsidRPr="00CE2B73">
        <w:rPr>
          <w:rFonts w:ascii="Arial" w:eastAsia="Times New Roman" w:hAnsi="Arial" w:cs="Arial"/>
          <w:sz w:val="20"/>
          <w:szCs w:val="20"/>
        </w:rPr>
        <w:t xml:space="preserve">evelopment </w:t>
      </w:r>
      <w:r w:rsidR="00D70854" w:rsidRPr="00CE2B73">
        <w:rPr>
          <w:rFonts w:ascii="Arial" w:eastAsia="Times New Roman" w:hAnsi="Arial" w:cs="Arial"/>
          <w:sz w:val="20"/>
          <w:szCs w:val="20"/>
        </w:rPr>
        <w:t xml:space="preserve">(ECD) </w:t>
      </w:r>
      <w:r w:rsidRPr="00CE2B73">
        <w:rPr>
          <w:rFonts w:ascii="Arial" w:eastAsia="Times New Roman" w:hAnsi="Arial" w:cs="Arial"/>
          <w:sz w:val="20"/>
          <w:szCs w:val="20"/>
        </w:rPr>
        <w:t xml:space="preserve">programme from the Department of Social Development to the Department of Basic Education from April 2022, with the associated funding. The Committee has always been of the view </w:t>
      </w:r>
      <w:r w:rsidR="00D70854" w:rsidRPr="00CE2B73">
        <w:rPr>
          <w:rFonts w:ascii="Arial" w:eastAsia="Times New Roman" w:hAnsi="Arial" w:cs="Arial"/>
          <w:sz w:val="20"/>
          <w:szCs w:val="20"/>
        </w:rPr>
        <w:t>that ECD</w:t>
      </w:r>
      <w:r w:rsidRPr="00CE2B73">
        <w:rPr>
          <w:rFonts w:ascii="Arial" w:eastAsia="Times New Roman" w:hAnsi="Arial" w:cs="Arial"/>
          <w:sz w:val="20"/>
          <w:szCs w:val="20"/>
        </w:rPr>
        <w:t xml:space="preserve"> is critical if a child has to be </w:t>
      </w:r>
      <w:r w:rsidR="009C59FE" w:rsidRPr="00CE2B73">
        <w:rPr>
          <w:rFonts w:ascii="Arial" w:eastAsia="Times New Roman" w:hAnsi="Arial" w:cs="Arial"/>
          <w:sz w:val="20"/>
          <w:szCs w:val="20"/>
        </w:rPr>
        <w:t xml:space="preserve">better prepared and </w:t>
      </w:r>
      <w:r w:rsidRPr="00CE2B73">
        <w:rPr>
          <w:rFonts w:ascii="Arial" w:eastAsia="Times New Roman" w:hAnsi="Arial" w:cs="Arial"/>
          <w:sz w:val="20"/>
          <w:szCs w:val="20"/>
        </w:rPr>
        <w:t xml:space="preserve">productive in later years of life. </w:t>
      </w:r>
    </w:p>
    <w:p w:rsidR="005D184C" w:rsidRPr="00CE2B73" w:rsidRDefault="005D184C" w:rsidP="00CE2B73">
      <w:pPr>
        <w:pStyle w:val="ListParagraph"/>
        <w:spacing w:after="0" w:line="240" w:lineRule="auto"/>
        <w:ind w:left="709"/>
        <w:rPr>
          <w:rFonts w:ascii="Arial" w:eastAsia="Times New Roman" w:hAnsi="Arial" w:cs="Arial"/>
          <w:sz w:val="20"/>
          <w:szCs w:val="20"/>
        </w:rPr>
      </w:pPr>
    </w:p>
    <w:p w:rsidR="005D184C" w:rsidRPr="00CE2B73" w:rsidRDefault="005D184C"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notes and welcomes SALGA’s initiatives in developing a Good Practice Guide on </w:t>
      </w:r>
      <w:r w:rsidR="00116F01" w:rsidRPr="00CE2B73">
        <w:rPr>
          <w:rFonts w:ascii="Arial" w:eastAsia="Times New Roman" w:hAnsi="Arial" w:cs="Arial"/>
          <w:sz w:val="20"/>
          <w:szCs w:val="20"/>
        </w:rPr>
        <w:t>Municipal Financial Management</w:t>
      </w:r>
      <w:r w:rsidRPr="00CE2B73">
        <w:rPr>
          <w:rFonts w:ascii="Arial" w:eastAsia="Times New Roman" w:hAnsi="Arial" w:cs="Arial"/>
          <w:sz w:val="20"/>
          <w:szCs w:val="20"/>
        </w:rPr>
        <w:t xml:space="preserve"> with a view to improve the capacity of municipal officials, councillors and political leadership. Given the current</w:t>
      </w:r>
      <w:r w:rsidR="00D70854" w:rsidRPr="00CE2B73">
        <w:rPr>
          <w:rFonts w:ascii="Arial" w:eastAsia="Times New Roman" w:hAnsi="Arial" w:cs="Arial"/>
          <w:sz w:val="20"/>
          <w:szCs w:val="20"/>
        </w:rPr>
        <w:t xml:space="preserve"> precarious</w:t>
      </w:r>
      <w:r w:rsidRPr="00CE2B73">
        <w:rPr>
          <w:rFonts w:ascii="Arial" w:eastAsia="Times New Roman" w:hAnsi="Arial" w:cs="Arial"/>
          <w:sz w:val="20"/>
          <w:szCs w:val="20"/>
        </w:rPr>
        <w:t xml:space="preserve"> </w:t>
      </w:r>
      <w:r w:rsidR="00D70854" w:rsidRPr="00CE2B73">
        <w:rPr>
          <w:rFonts w:ascii="Arial" w:eastAsia="Times New Roman" w:hAnsi="Arial" w:cs="Arial"/>
          <w:sz w:val="20"/>
          <w:szCs w:val="20"/>
        </w:rPr>
        <w:t>financial position of most</w:t>
      </w:r>
      <w:r w:rsidRPr="00CE2B73">
        <w:rPr>
          <w:rFonts w:ascii="Arial" w:eastAsia="Times New Roman" w:hAnsi="Arial" w:cs="Arial"/>
          <w:sz w:val="20"/>
          <w:szCs w:val="20"/>
        </w:rPr>
        <w:t xml:space="preserve"> municipalities</w:t>
      </w:r>
      <w:r w:rsidR="00116F01" w:rsidRPr="00CE2B73">
        <w:rPr>
          <w:rFonts w:ascii="Arial" w:eastAsia="Times New Roman" w:hAnsi="Arial" w:cs="Arial"/>
          <w:sz w:val="20"/>
          <w:szCs w:val="20"/>
        </w:rPr>
        <w:t>, the report on financial distressed municipalities by the National Treasury,</w:t>
      </w:r>
      <w:r w:rsidRPr="00CE2B73">
        <w:rPr>
          <w:rFonts w:ascii="Arial" w:eastAsia="Times New Roman" w:hAnsi="Arial" w:cs="Arial"/>
          <w:sz w:val="20"/>
          <w:szCs w:val="20"/>
        </w:rPr>
        <w:t xml:space="preserve"> and the report of the Auditor General of South Africa (AGSA) on the financial management in many</w:t>
      </w:r>
      <w:r w:rsidR="00116F01" w:rsidRPr="00CE2B73">
        <w:rPr>
          <w:rFonts w:ascii="Arial" w:eastAsia="Times New Roman" w:hAnsi="Arial" w:cs="Arial"/>
          <w:sz w:val="20"/>
          <w:szCs w:val="20"/>
        </w:rPr>
        <w:t xml:space="preserve"> municipalities;</w:t>
      </w:r>
      <w:r w:rsidRPr="00CE2B73">
        <w:rPr>
          <w:rFonts w:ascii="Arial" w:eastAsia="Times New Roman" w:hAnsi="Arial" w:cs="Arial"/>
          <w:sz w:val="20"/>
          <w:szCs w:val="20"/>
        </w:rPr>
        <w:t xml:space="preserve"> the Committee is encouraged by this support provided by SALGA in order to improve the overall capacity and fina</w:t>
      </w:r>
      <w:r w:rsidR="00116F01" w:rsidRPr="00CE2B73">
        <w:rPr>
          <w:rFonts w:ascii="Arial" w:eastAsia="Times New Roman" w:hAnsi="Arial" w:cs="Arial"/>
          <w:sz w:val="20"/>
          <w:szCs w:val="20"/>
        </w:rPr>
        <w:t>ncial management within the local sphere of government</w:t>
      </w:r>
      <w:r w:rsidRPr="00CE2B73">
        <w:rPr>
          <w:rFonts w:ascii="Arial" w:eastAsia="Times New Roman" w:hAnsi="Arial" w:cs="Arial"/>
          <w:sz w:val="20"/>
          <w:szCs w:val="20"/>
        </w:rPr>
        <w:t xml:space="preserve">. </w:t>
      </w:r>
      <w:r w:rsidR="00D70854" w:rsidRPr="00CE2B73">
        <w:rPr>
          <w:rFonts w:ascii="Arial" w:eastAsia="Times New Roman" w:hAnsi="Arial" w:cs="Arial"/>
          <w:sz w:val="20"/>
          <w:szCs w:val="20"/>
        </w:rPr>
        <w:t>However, the Committee is</w:t>
      </w:r>
      <w:r w:rsidR="00933B56" w:rsidRPr="00CE2B73">
        <w:rPr>
          <w:rFonts w:ascii="Arial" w:eastAsia="Times New Roman" w:hAnsi="Arial" w:cs="Arial"/>
          <w:sz w:val="20"/>
          <w:szCs w:val="20"/>
        </w:rPr>
        <w:t xml:space="preserve"> of the view that in addition to training, suitably qualified individuals should be appointed in critical position within municipalities. </w:t>
      </w:r>
    </w:p>
    <w:p w:rsidR="00F806D4" w:rsidRPr="00CE2B73" w:rsidRDefault="00F806D4" w:rsidP="00CE2B73">
      <w:pPr>
        <w:pStyle w:val="ListParagraph"/>
        <w:spacing w:after="0" w:line="240" w:lineRule="auto"/>
        <w:ind w:left="709"/>
        <w:rPr>
          <w:rFonts w:ascii="Arial" w:eastAsia="Times New Roman" w:hAnsi="Arial" w:cs="Arial"/>
          <w:sz w:val="20"/>
          <w:szCs w:val="20"/>
        </w:rPr>
      </w:pPr>
    </w:p>
    <w:p w:rsidR="00F806D4" w:rsidRPr="00CE2B73" w:rsidRDefault="00F806D4"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The Committee notes with concerns the sub</w:t>
      </w:r>
      <w:r w:rsidR="00D4029E" w:rsidRPr="00CE2B73">
        <w:rPr>
          <w:rFonts w:ascii="Arial" w:eastAsia="Times New Roman" w:hAnsi="Arial" w:cs="Arial"/>
          <w:sz w:val="20"/>
          <w:szCs w:val="20"/>
        </w:rPr>
        <w:t>mission by Amandla.m</w:t>
      </w:r>
      <w:r w:rsidRPr="00CE2B73">
        <w:rPr>
          <w:rFonts w:ascii="Arial" w:eastAsia="Times New Roman" w:hAnsi="Arial" w:cs="Arial"/>
          <w:sz w:val="20"/>
          <w:szCs w:val="20"/>
        </w:rPr>
        <w:t>obi that questions National Treasury’s budget consultation process, as well as the public consultation and participation processes in passing the budget.  The Committee subscribes to the Constitutional requirements on public participation and involvement and will thus engage with National Treasury, to see to it that the budget consultation processes reach more South Africans as far as possible</w:t>
      </w:r>
      <w:r w:rsidR="009C7AB1" w:rsidRPr="00CE2B73">
        <w:rPr>
          <w:rFonts w:ascii="Arial" w:eastAsia="Times New Roman" w:hAnsi="Arial" w:cs="Arial"/>
          <w:sz w:val="20"/>
          <w:szCs w:val="20"/>
        </w:rPr>
        <w:t>, the poor in particular</w:t>
      </w:r>
      <w:r w:rsidRPr="00CE2B73">
        <w:rPr>
          <w:rFonts w:ascii="Arial" w:eastAsia="Times New Roman" w:hAnsi="Arial" w:cs="Arial"/>
          <w:sz w:val="20"/>
          <w:szCs w:val="20"/>
        </w:rPr>
        <w:t xml:space="preserve">.  </w:t>
      </w:r>
    </w:p>
    <w:p w:rsidR="009F0580" w:rsidRPr="00CE2B73" w:rsidRDefault="009F0580" w:rsidP="00CE2B73">
      <w:pPr>
        <w:pStyle w:val="ListParagraph"/>
        <w:spacing w:after="0" w:line="240" w:lineRule="auto"/>
        <w:ind w:left="709"/>
        <w:rPr>
          <w:rFonts w:ascii="Arial" w:eastAsia="Times New Roman" w:hAnsi="Arial" w:cs="Arial"/>
          <w:sz w:val="20"/>
          <w:szCs w:val="20"/>
        </w:rPr>
      </w:pPr>
    </w:p>
    <w:p w:rsidR="00C8437D" w:rsidRPr="00CE2B73" w:rsidRDefault="009F0580" w:rsidP="00CE2B73">
      <w:pPr>
        <w:pStyle w:val="ListParagraph"/>
        <w:numPr>
          <w:ilvl w:val="1"/>
          <w:numId w:val="1"/>
        </w:numPr>
        <w:spacing w:after="0" w:line="240" w:lineRule="auto"/>
        <w:ind w:left="709" w:hanging="709"/>
        <w:rPr>
          <w:rFonts w:ascii="Arial" w:eastAsia="Times New Roman" w:hAnsi="Arial" w:cs="Arial"/>
          <w:sz w:val="20"/>
          <w:szCs w:val="20"/>
        </w:rPr>
      </w:pPr>
      <w:r w:rsidRPr="00CE2B73">
        <w:rPr>
          <w:rFonts w:ascii="Arial" w:eastAsia="Times New Roman" w:hAnsi="Arial" w:cs="Arial"/>
          <w:sz w:val="20"/>
          <w:szCs w:val="20"/>
        </w:rPr>
        <w:t xml:space="preserve">The Committee </w:t>
      </w:r>
      <w:r w:rsidR="00D4029E" w:rsidRPr="00CE2B73">
        <w:rPr>
          <w:rFonts w:ascii="Arial" w:eastAsia="Times New Roman" w:hAnsi="Arial" w:cs="Arial"/>
          <w:sz w:val="20"/>
          <w:szCs w:val="20"/>
        </w:rPr>
        <w:t>notes the call by both Amandla.m</w:t>
      </w:r>
      <w:r w:rsidRPr="00CE2B73">
        <w:rPr>
          <w:rFonts w:ascii="Arial" w:eastAsia="Times New Roman" w:hAnsi="Arial" w:cs="Arial"/>
          <w:sz w:val="20"/>
          <w:szCs w:val="20"/>
        </w:rPr>
        <w:t xml:space="preserve">obi and </w:t>
      </w:r>
      <w:r w:rsidR="00D4029E" w:rsidRPr="00CE2B73">
        <w:rPr>
          <w:rFonts w:ascii="Arial" w:eastAsia="Times New Roman" w:hAnsi="Arial" w:cs="Arial"/>
          <w:sz w:val="20"/>
          <w:szCs w:val="20"/>
        </w:rPr>
        <w:t xml:space="preserve">the WFP for the introduction of basic income </w:t>
      </w:r>
      <w:r w:rsidR="00EE56A0" w:rsidRPr="00CE2B73">
        <w:rPr>
          <w:rFonts w:ascii="Arial" w:eastAsia="Times New Roman" w:hAnsi="Arial" w:cs="Arial"/>
          <w:sz w:val="20"/>
          <w:szCs w:val="20"/>
        </w:rPr>
        <w:t>support grant</w:t>
      </w:r>
      <w:r w:rsidR="00D70854" w:rsidRPr="00CE2B73">
        <w:rPr>
          <w:rFonts w:ascii="Arial" w:eastAsia="Times New Roman" w:hAnsi="Arial" w:cs="Arial"/>
          <w:sz w:val="20"/>
          <w:szCs w:val="20"/>
        </w:rPr>
        <w:t>. However, note should be taken of</w:t>
      </w:r>
      <w:r w:rsidR="00EE56A0" w:rsidRPr="00CE2B73">
        <w:rPr>
          <w:rFonts w:ascii="Arial" w:eastAsia="Times New Roman" w:hAnsi="Arial" w:cs="Arial"/>
          <w:sz w:val="20"/>
          <w:szCs w:val="20"/>
        </w:rPr>
        <w:t xml:space="preserve"> government</w:t>
      </w:r>
      <w:r w:rsidR="00D70854" w:rsidRPr="00CE2B73">
        <w:rPr>
          <w:rFonts w:ascii="Arial" w:eastAsia="Times New Roman" w:hAnsi="Arial" w:cs="Arial"/>
          <w:sz w:val="20"/>
          <w:szCs w:val="20"/>
        </w:rPr>
        <w:t>’s</w:t>
      </w:r>
      <w:r w:rsidR="00EE56A0" w:rsidRPr="00CE2B73">
        <w:rPr>
          <w:rFonts w:ascii="Arial" w:eastAsia="Times New Roman" w:hAnsi="Arial" w:cs="Arial"/>
          <w:sz w:val="20"/>
          <w:szCs w:val="20"/>
        </w:rPr>
        <w:t xml:space="preserve"> competing priorities and limited revenue, made worse by the Covid-19 pandemic and its asso</w:t>
      </w:r>
      <w:r w:rsidR="00D70854" w:rsidRPr="00CE2B73">
        <w:rPr>
          <w:rFonts w:ascii="Arial" w:eastAsia="Times New Roman" w:hAnsi="Arial" w:cs="Arial"/>
          <w:sz w:val="20"/>
          <w:szCs w:val="20"/>
        </w:rPr>
        <w:t>ciates slow economic activities. T</w:t>
      </w:r>
      <w:r w:rsidR="00EE56A0" w:rsidRPr="00CE2B73">
        <w:rPr>
          <w:rFonts w:ascii="Arial" w:eastAsia="Times New Roman" w:hAnsi="Arial" w:cs="Arial"/>
          <w:sz w:val="20"/>
          <w:szCs w:val="20"/>
        </w:rPr>
        <w:t xml:space="preserve">he </w:t>
      </w:r>
      <w:r w:rsidR="00400EDE" w:rsidRPr="00CE2B73">
        <w:rPr>
          <w:rFonts w:ascii="Arial" w:eastAsia="Times New Roman" w:hAnsi="Arial" w:cs="Arial"/>
          <w:sz w:val="20"/>
          <w:szCs w:val="20"/>
        </w:rPr>
        <w:t xml:space="preserve">Committee </w:t>
      </w:r>
      <w:r w:rsidR="00CB5195" w:rsidRPr="00CE2B73">
        <w:rPr>
          <w:rFonts w:ascii="Arial" w:eastAsia="Times New Roman" w:hAnsi="Arial" w:cs="Arial"/>
          <w:sz w:val="20"/>
          <w:szCs w:val="20"/>
        </w:rPr>
        <w:t xml:space="preserve">however notes the current review process underway by government regarding the efficiency and effectiveness of the all grants. </w:t>
      </w:r>
    </w:p>
    <w:p w:rsidR="00D70854" w:rsidRPr="00CE2B73" w:rsidRDefault="00D70854" w:rsidP="00CE2B73">
      <w:pPr>
        <w:pStyle w:val="ListParagraph"/>
        <w:spacing w:after="0" w:line="240" w:lineRule="auto"/>
        <w:rPr>
          <w:rFonts w:ascii="Arial" w:eastAsia="Times New Roman" w:hAnsi="Arial" w:cs="Arial"/>
          <w:sz w:val="20"/>
          <w:szCs w:val="20"/>
        </w:rPr>
      </w:pPr>
    </w:p>
    <w:p w:rsidR="00D70854" w:rsidRPr="00CE2B73" w:rsidRDefault="00D70854" w:rsidP="00CE2B73">
      <w:pPr>
        <w:pStyle w:val="ListParagraph"/>
        <w:spacing w:after="0" w:line="240" w:lineRule="auto"/>
        <w:ind w:left="709"/>
        <w:rPr>
          <w:rFonts w:ascii="Arial" w:eastAsia="Times New Roman" w:hAnsi="Arial" w:cs="Arial"/>
          <w:sz w:val="20"/>
          <w:szCs w:val="20"/>
        </w:rPr>
      </w:pPr>
    </w:p>
    <w:p w:rsidR="00DB279C" w:rsidRPr="00CE2B73" w:rsidRDefault="00DB279C" w:rsidP="00CE2B73">
      <w:pPr>
        <w:pStyle w:val="ListParagraph"/>
        <w:numPr>
          <w:ilvl w:val="0"/>
          <w:numId w:val="1"/>
        </w:numPr>
        <w:spacing w:after="0" w:line="240" w:lineRule="auto"/>
        <w:rPr>
          <w:rFonts w:ascii="Arial" w:eastAsia="Times New Roman" w:hAnsi="Arial" w:cs="Arial"/>
          <w:b/>
          <w:sz w:val="20"/>
          <w:szCs w:val="20"/>
        </w:rPr>
      </w:pPr>
      <w:r w:rsidRPr="00CE2B73">
        <w:rPr>
          <w:rFonts w:ascii="Arial" w:eastAsia="Times New Roman" w:hAnsi="Arial" w:cs="Arial"/>
          <w:b/>
          <w:sz w:val="20"/>
          <w:szCs w:val="20"/>
        </w:rPr>
        <w:t xml:space="preserve">Recommendations </w:t>
      </w:r>
    </w:p>
    <w:p w:rsidR="00DB279C" w:rsidRPr="00CE2B73" w:rsidRDefault="00DB279C" w:rsidP="00CE2B73">
      <w:pPr>
        <w:spacing w:after="0" w:line="240" w:lineRule="auto"/>
        <w:rPr>
          <w:rFonts w:ascii="Arial" w:eastAsia="Times New Roman" w:hAnsi="Arial" w:cs="Arial"/>
          <w:b/>
          <w:sz w:val="20"/>
          <w:szCs w:val="20"/>
        </w:rPr>
      </w:pPr>
    </w:p>
    <w:p w:rsidR="00854454" w:rsidRPr="00CE2B73" w:rsidRDefault="00DB279C" w:rsidP="00CE2B73">
      <w:pPr>
        <w:spacing w:after="0" w:line="240" w:lineRule="auto"/>
        <w:rPr>
          <w:rFonts w:ascii="Arial" w:eastAsia="Times New Roman" w:hAnsi="Arial" w:cs="Arial"/>
          <w:color w:val="000000"/>
          <w:spacing w:val="6"/>
          <w:sz w:val="20"/>
          <w:szCs w:val="20"/>
          <w:lang w:eastAsia="en-GB"/>
        </w:rPr>
      </w:pPr>
      <w:r w:rsidRPr="00CE2B73">
        <w:rPr>
          <w:rFonts w:ascii="Arial" w:eastAsia="Times New Roman" w:hAnsi="Arial" w:cs="Arial"/>
          <w:color w:val="000000"/>
          <w:spacing w:val="6"/>
          <w:sz w:val="20"/>
          <w:szCs w:val="20"/>
          <w:lang w:eastAsia="en-GB"/>
        </w:rPr>
        <w:t>The Standing Committee on Appropriations, having considered submissions from various stakehold</w:t>
      </w:r>
      <w:r w:rsidR="000A49A9" w:rsidRPr="00CE2B73">
        <w:rPr>
          <w:rFonts w:ascii="Arial" w:eastAsia="Times New Roman" w:hAnsi="Arial" w:cs="Arial"/>
          <w:color w:val="000000"/>
          <w:spacing w:val="6"/>
          <w:sz w:val="20"/>
          <w:szCs w:val="20"/>
          <w:lang w:eastAsia="en-GB"/>
        </w:rPr>
        <w:t>ers on the Division of Bill (B6</w:t>
      </w:r>
      <w:r w:rsidRPr="00CE2B73">
        <w:rPr>
          <w:rFonts w:ascii="Arial" w:eastAsia="Times New Roman" w:hAnsi="Arial" w:cs="Arial"/>
          <w:color w:val="000000"/>
          <w:spacing w:val="6"/>
          <w:sz w:val="20"/>
          <w:szCs w:val="20"/>
          <w:lang w:eastAsia="en-GB"/>
        </w:rPr>
        <w:t>-</w:t>
      </w:r>
      <w:r w:rsidR="000A49A9" w:rsidRPr="00CE2B73">
        <w:rPr>
          <w:rFonts w:ascii="Arial" w:eastAsia="Times New Roman" w:hAnsi="Arial" w:cs="Arial"/>
          <w:color w:val="000000"/>
          <w:spacing w:val="6"/>
          <w:sz w:val="20"/>
          <w:szCs w:val="20"/>
          <w:lang w:eastAsia="en-GB"/>
        </w:rPr>
        <w:t>2022</w:t>
      </w:r>
      <w:r w:rsidRPr="00CE2B73">
        <w:rPr>
          <w:rFonts w:ascii="Arial" w:eastAsia="Times New Roman" w:hAnsi="Arial" w:cs="Arial"/>
          <w:color w:val="000000"/>
          <w:spacing w:val="6"/>
          <w:sz w:val="20"/>
          <w:szCs w:val="20"/>
          <w:lang w:eastAsia="en-GB"/>
        </w:rPr>
        <w:t>), recommends as follows:</w:t>
      </w:r>
    </w:p>
    <w:p w:rsidR="00854454" w:rsidRPr="00CE2B73" w:rsidRDefault="00854454" w:rsidP="00CE2B73">
      <w:pPr>
        <w:spacing w:after="0" w:line="240" w:lineRule="auto"/>
        <w:rPr>
          <w:rFonts w:ascii="Arial" w:eastAsia="Times New Roman" w:hAnsi="Arial" w:cs="Arial"/>
          <w:color w:val="000000"/>
          <w:spacing w:val="6"/>
          <w:sz w:val="20"/>
          <w:szCs w:val="20"/>
          <w:lang w:eastAsia="en-GB"/>
        </w:rPr>
      </w:pPr>
    </w:p>
    <w:p w:rsidR="00854454" w:rsidRPr="00CE2B73" w:rsidRDefault="00854454" w:rsidP="00CE2B73">
      <w:pPr>
        <w:pStyle w:val="ListParagraph"/>
        <w:numPr>
          <w:ilvl w:val="1"/>
          <w:numId w:val="31"/>
        </w:numPr>
        <w:tabs>
          <w:tab w:val="left" w:pos="810"/>
        </w:tabs>
        <w:spacing w:after="0" w:line="240" w:lineRule="auto"/>
        <w:ind w:left="567" w:hanging="567"/>
        <w:rPr>
          <w:rFonts w:ascii="Arial" w:eastAsia="Times New Roman" w:hAnsi="Arial" w:cs="Arial"/>
          <w:color w:val="000000"/>
          <w:spacing w:val="6"/>
          <w:sz w:val="20"/>
          <w:szCs w:val="20"/>
          <w:lang w:eastAsia="en-GB"/>
        </w:rPr>
      </w:pPr>
      <w:r w:rsidRPr="00CE2B73">
        <w:rPr>
          <w:rFonts w:ascii="Arial" w:hAnsi="Arial" w:cs="Arial"/>
          <w:bCs/>
          <w:sz w:val="20"/>
          <w:szCs w:val="20"/>
        </w:rPr>
        <w:t xml:space="preserve">That the Minister of Finance and the Presidential Management Office ensure that the funds allocated towards the Presidential Youth Initiatives are spent within the required guidelines and frameworks in order to avoid potential abuse and corruption. </w:t>
      </w:r>
    </w:p>
    <w:p w:rsidR="00F16B59" w:rsidRPr="00CE2B73" w:rsidRDefault="00F16B59" w:rsidP="00CE2B73">
      <w:pPr>
        <w:pStyle w:val="ListParagraph"/>
        <w:tabs>
          <w:tab w:val="left" w:pos="810"/>
        </w:tabs>
        <w:spacing w:after="0" w:line="240" w:lineRule="auto"/>
        <w:ind w:left="567"/>
        <w:rPr>
          <w:rFonts w:ascii="Arial" w:eastAsia="Times New Roman" w:hAnsi="Arial" w:cs="Arial"/>
          <w:color w:val="000000"/>
          <w:spacing w:val="6"/>
          <w:sz w:val="20"/>
          <w:szCs w:val="20"/>
          <w:lang w:eastAsia="en-GB"/>
        </w:rPr>
      </w:pPr>
    </w:p>
    <w:p w:rsidR="007A2663" w:rsidRPr="00CE2B73" w:rsidRDefault="00F16B59" w:rsidP="00CE2B73">
      <w:pPr>
        <w:pStyle w:val="ListParagraph"/>
        <w:numPr>
          <w:ilvl w:val="1"/>
          <w:numId w:val="31"/>
        </w:numPr>
        <w:tabs>
          <w:tab w:val="left" w:pos="810"/>
        </w:tabs>
        <w:spacing w:after="0" w:line="240" w:lineRule="auto"/>
        <w:ind w:left="567" w:hanging="567"/>
        <w:rPr>
          <w:rFonts w:ascii="Arial" w:eastAsia="Times New Roman" w:hAnsi="Arial" w:cs="Arial"/>
          <w:color w:val="000000"/>
          <w:spacing w:val="6"/>
          <w:sz w:val="20"/>
          <w:szCs w:val="20"/>
          <w:lang w:eastAsia="en-GB"/>
        </w:rPr>
      </w:pPr>
      <w:r w:rsidRPr="00CE2B73">
        <w:rPr>
          <w:rFonts w:ascii="Arial" w:hAnsi="Arial" w:cs="Arial"/>
          <w:bCs/>
          <w:sz w:val="20"/>
          <w:szCs w:val="20"/>
        </w:rPr>
        <w:t>That the Minister of F</w:t>
      </w:r>
      <w:r w:rsidR="00591B2F" w:rsidRPr="00CE2B73">
        <w:rPr>
          <w:rFonts w:ascii="Arial" w:hAnsi="Arial" w:cs="Arial"/>
          <w:bCs/>
          <w:sz w:val="20"/>
          <w:szCs w:val="20"/>
        </w:rPr>
        <w:t xml:space="preserve">inance </w:t>
      </w:r>
      <w:r w:rsidRPr="00CE2B73">
        <w:rPr>
          <w:rFonts w:ascii="Arial" w:hAnsi="Arial" w:cs="Arial"/>
          <w:bCs/>
          <w:sz w:val="20"/>
          <w:szCs w:val="20"/>
        </w:rPr>
        <w:t>ensure</w:t>
      </w:r>
      <w:r w:rsidR="00591B2F" w:rsidRPr="00CE2B73">
        <w:rPr>
          <w:rFonts w:ascii="Arial" w:hAnsi="Arial" w:cs="Arial"/>
          <w:bCs/>
          <w:sz w:val="20"/>
          <w:szCs w:val="20"/>
        </w:rPr>
        <w:t>s</w:t>
      </w:r>
      <w:r w:rsidRPr="00CE2B73">
        <w:rPr>
          <w:rFonts w:ascii="Arial" w:hAnsi="Arial" w:cs="Arial"/>
          <w:bCs/>
          <w:sz w:val="20"/>
          <w:szCs w:val="20"/>
        </w:rPr>
        <w:t xml:space="preserve"> </w:t>
      </w:r>
      <w:r w:rsidR="00F403B0" w:rsidRPr="00CE2B73">
        <w:rPr>
          <w:rFonts w:ascii="Arial" w:hAnsi="Arial" w:cs="Arial"/>
          <w:bCs/>
          <w:sz w:val="20"/>
          <w:szCs w:val="20"/>
        </w:rPr>
        <w:t>the following:</w:t>
      </w:r>
    </w:p>
    <w:p w:rsidR="007A2663" w:rsidRPr="00CE2B73" w:rsidRDefault="007A2663" w:rsidP="00CE2B73">
      <w:pPr>
        <w:pStyle w:val="ListParagraph"/>
        <w:spacing w:after="0" w:line="240" w:lineRule="auto"/>
        <w:rPr>
          <w:rFonts w:ascii="Arial" w:hAnsi="Arial" w:cs="Arial"/>
          <w:bCs/>
          <w:sz w:val="20"/>
          <w:szCs w:val="20"/>
        </w:rPr>
      </w:pPr>
    </w:p>
    <w:p w:rsidR="007A2663" w:rsidRPr="00CE2B73" w:rsidRDefault="007A2663" w:rsidP="00CE2B73">
      <w:pPr>
        <w:pStyle w:val="ListParagraph"/>
        <w:numPr>
          <w:ilvl w:val="2"/>
          <w:numId w:val="31"/>
        </w:numPr>
        <w:tabs>
          <w:tab w:val="left" w:pos="810"/>
        </w:tabs>
        <w:spacing w:after="0" w:line="240" w:lineRule="auto"/>
        <w:rPr>
          <w:rFonts w:ascii="Arial" w:eastAsia="Times New Roman" w:hAnsi="Arial" w:cs="Arial"/>
          <w:color w:val="000000"/>
          <w:spacing w:val="6"/>
          <w:sz w:val="20"/>
          <w:szCs w:val="20"/>
          <w:lang w:eastAsia="en-GB"/>
        </w:rPr>
      </w:pPr>
      <w:r w:rsidRPr="00CE2B73">
        <w:rPr>
          <w:rFonts w:ascii="Arial" w:hAnsi="Arial" w:cs="Arial"/>
          <w:bCs/>
          <w:sz w:val="20"/>
          <w:szCs w:val="20"/>
        </w:rPr>
        <w:t>T</w:t>
      </w:r>
      <w:r w:rsidR="00F16B59" w:rsidRPr="00CE2B73">
        <w:rPr>
          <w:rFonts w:ascii="Arial" w:hAnsi="Arial" w:cs="Arial"/>
          <w:bCs/>
          <w:sz w:val="20"/>
          <w:szCs w:val="20"/>
        </w:rPr>
        <w:t xml:space="preserve">hat National Treasury </w:t>
      </w:r>
      <w:r w:rsidR="00862513" w:rsidRPr="00CE2B73">
        <w:rPr>
          <w:rFonts w:ascii="Arial" w:hAnsi="Arial" w:cs="Arial"/>
          <w:bCs/>
          <w:sz w:val="20"/>
          <w:szCs w:val="20"/>
        </w:rPr>
        <w:t xml:space="preserve">introduces mechanisms to ensure the equitable spread of government work </w:t>
      </w:r>
      <w:r w:rsidR="00F16B59" w:rsidRPr="00CE2B73">
        <w:rPr>
          <w:rFonts w:ascii="Arial" w:hAnsi="Arial" w:cs="Arial"/>
          <w:bCs/>
          <w:sz w:val="20"/>
          <w:szCs w:val="20"/>
        </w:rPr>
        <w:t xml:space="preserve">to the service providers at the provincial and local spheres of government. </w:t>
      </w:r>
    </w:p>
    <w:p w:rsidR="007A2663" w:rsidRPr="00CE2B73" w:rsidRDefault="00862513" w:rsidP="00CE2B73">
      <w:pPr>
        <w:pStyle w:val="ListParagraph"/>
        <w:numPr>
          <w:ilvl w:val="2"/>
          <w:numId w:val="31"/>
        </w:numPr>
        <w:tabs>
          <w:tab w:val="left" w:pos="810"/>
        </w:tabs>
        <w:spacing w:after="0" w:line="240" w:lineRule="auto"/>
        <w:rPr>
          <w:rFonts w:ascii="Arial" w:eastAsia="Times New Roman" w:hAnsi="Arial" w:cs="Arial"/>
          <w:color w:val="000000"/>
          <w:spacing w:val="6"/>
          <w:sz w:val="20"/>
          <w:szCs w:val="20"/>
          <w:lang w:eastAsia="en-GB"/>
        </w:rPr>
      </w:pPr>
      <w:r w:rsidRPr="00CE2B73">
        <w:rPr>
          <w:rFonts w:ascii="Arial" w:eastAsia="Times New Roman" w:hAnsi="Arial" w:cs="Arial"/>
          <w:color w:val="000000"/>
          <w:spacing w:val="6"/>
          <w:sz w:val="20"/>
          <w:szCs w:val="20"/>
          <w:lang w:eastAsia="en-GB"/>
        </w:rPr>
        <w:t xml:space="preserve">That National Treasury ensure that the processes of procurement are credible and transparent and to ensure that we receive value-for-money. Furthermore, government should not overpay for goods and services. </w:t>
      </w:r>
    </w:p>
    <w:p w:rsidR="00862513" w:rsidRPr="00CE2B73" w:rsidRDefault="00862513" w:rsidP="00CE2B73">
      <w:pPr>
        <w:pStyle w:val="ListParagraph"/>
        <w:numPr>
          <w:ilvl w:val="2"/>
          <w:numId w:val="31"/>
        </w:numPr>
        <w:tabs>
          <w:tab w:val="left" w:pos="810"/>
        </w:tabs>
        <w:spacing w:after="0" w:line="240" w:lineRule="auto"/>
        <w:rPr>
          <w:rFonts w:ascii="Arial" w:eastAsia="Times New Roman" w:hAnsi="Arial" w:cs="Arial"/>
          <w:color w:val="000000"/>
          <w:spacing w:val="6"/>
          <w:sz w:val="20"/>
          <w:szCs w:val="20"/>
          <w:lang w:eastAsia="en-GB"/>
        </w:rPr>
      </w:pPr>
      <w:r w:rsidRPr="00CE2B73">
        <w:rPr>
          <w:rFonts w:ascii="Arial" w:eastAsia="Times New Roman" w:hAnsi="Arial" w:cs="Arial"/>
          <w:color w:val="000000"/>
          <w:spacing w:val="6"/>
          <w:sz w:val="20"/>
          <w:szCs w:val="20"/>
          <w:lang w:eastAsia="en-GB"/>
        </w:rPr>
        <w:t xml:space="preserve">That National Treasury provides, as part of in-year monitoring, comprehensive quarterly reports to the Committee on gross violations of the MFMA and PFMA, including the names of repeat offenders in failing to implement programmes and projects. </w:t>
      </w:r>
    </w:p>
    <w:p w:rsidR="00591B2F" w:rsidRPr="00CE2B73" w:rsidRDefault="00591B2F" w:rsidP="00CE2B73">
      <w:pPr>
        <w:pStyle w:val="ListParagraph"/>
        <w:tabs>
          <w:tab w:val="left" w:pos="810"/>
        </w:tabs>
        <w:spacing w:after="0" w:line="240" w:lineRule="auto"/>
        <w:ind w:left="360"/>
        <w:rPr>
          <w:rFonts w:ascii="Arial" w:eastAsia="Times New Roman" w:hAnsi="Arial" w:cs="Arial"/>
          <w:color w:val="000000"/>
          <w:spacing w:val="6"/>
          <w:sz w:val="20"/>
          <w:szCs w:val="20"/>
          <w:lang w:eastAsia="en-GB"/>
        </w:rPr>
      </w:pPr>
    </w:p>
    <w:p w:rsidR="00D70854" w:rsidRPr="00CE2B73" w:rsidRDefault="00194EEF" w:rsidP="00CE2B73">
      <w:pPr>
        <w:pStyle w:val="ListParagraph"/>
        <w:numPr>
          <w:ilvl w:val="1"/>
          <w:numId w:val="31"/>
        </w:numPr>
        <w:tabs>
          <w:tab w:val="left" w:pos="810"/>
        </w:tabs>
        <w:spacing w:after="0" w:line="240" w:lineRule="auto"/>
        <w:ind w:left="567" w:hanging="567"/>
        <w:rPr>
          <w:rFonts w:ascii="Arial" w:hAnsi="Arial" w:cs="Arial"/>
          <w:bCs/>
          <w:sz w:val="20"/>
          <w:szCs w:val="20"/>
        </w:rPr>
      </w:pPr>
      <w:r w:rsidRPr="00CE2B73">
        <w:rPr>
          <w:rFonts w:ascii="Arial" w:hAnsi="Arial" w:cs="Arial"/>
          <w:bCs/>
          <w:sz w:val="20"/>
          <w:szCs w:val="20"/>
        </w:rPr>
        <w:t xml:space="preserve">That the Minister of Basic Education </w:t>
      </w:r>
      <w:r w:rsidR="00D70854" w:rsidRPr="00CE2B73">
        <w:rPr>
          <w:rFonts w:ascii="Arial" w:hAnsi="Arial" w:cs="Arial"/>
          <w:bCs/>
          <w:sz w:val="20"/>
          <w:szCs w:val="20"/>
        </w:rPr>
        <w:t xml:space="preserve">ensures the following: </w:t>
      </w:r>
    </w:p>
    <w:p w:rsidR="00D70854" w:rsidRPr="00CE2B73" w:rsidRDefault="00D70854" w:rsidP="00CE2B73">
      <w:pPr>
        <w:pStyle w:val="ListParagraph"/>
        <w:spacing w:after="0" w:line="240" w:lineRule="auto"/>
        <w:rPr>
          <w:rFonts w:ascii="Arial" w:hAnsi="Arial" w:cs="Arial"/>
          <w:bCs/>
          <w:sz w:val="20"/>
          <w:szCs w:val="20"/>
        </w:rPr>
      </w:pPr>
    </w:p>
    <w:p w:rsidR="00D70854" w:rsidRPr="00CE2B73" w:rsidRDefault="00D70854" w:rsidP="00CE2B73">
      <w:pPr>
        <w:pStyle w:val="ListParagraph"/>
        <w:numPr>
          <w:ilvl w:val="2"/>
          <w:numId w:val="31"/>
        </w:numPr>
        <w:tabs>
          <w:tab w:val="left" w:pos="810"/>
        </w:tabs>
        <w:spacing w:after="0" w:line="240" w:lineRule="auto"/>
        <w:rPr>
          <w:rFonts w:ascii="Arial" w:hAnsi="Arial" w:cs="Arial"/>
          <w:bCs/>
          <w:sz w:val="20"/>
          <w:szCs w:val="20"/>
        </w:rPr>
      </w:pPr>
      <w:r w:rsidRPr="00CE2B73">
        <w:rPr>
          <w:rFonts w:ascii="Arial" w:hAnsi="Arial" w:cs="Arial"/>
          <w:bCs/>
          <w:sz w:val="20"/>
          <w:szCs w:val="20"/>
        </w:rPr>
        <w:t>That the D</w:t>
      </w:r>
      <w:r w:rsidR="00210B51" w:rsidRPr="00CE2B73">
        <w:rPr>
          <w:rFonts w:ascii="Arial" w:hAnsi="Arial" w:cs="Arial"/>
          <w:bCs/>
          <w:sz w:val="20"/>
          <w:szCs w:val="20"/>
        </w:rPr>
        <w:t xml:space="preserve">epartment </w:t>
      </w:r>
      <w:r w:rsidRPr="00CE2B73">
        <w:rPr>
          <w:rFonts w:ascii="Arial" w:hAnsi="Arial" w:cs="Arial"/>
          <w:bCs/>
          <w:sz w:val="20"/>
          <w:szCs w:val="20"/>
        </w:rPr>
        <w:t xml:space="preserve">of Basic Education </w:t>
      </w:r>
      <w:r w:rsidR="00210B51" w:rsidRPr="00CE2B73">
        <w:rPr>
          <w:rFonts w:ascii="Arial" w:hAnsi="Arial" w:cs="Arial"/>
          <w:bCs/>
          <w:sz w:val="20"/>
          <w:szCs w:val="20"/>
        </w:rPr>
        <w:t>provide</w:t>
      </w:r>
      <w:r w:rsidR="00194EEF" w:rsidRPr="00CE2B73">
        <w:rPr>
          <w:rFonts w:ascii="Arial" w:hAnsi="Arial" w:cs="Arial"/>
          <w:bCs/>
          <w:sz w:val="20"/>
          <w:szCs w:val="20"/>
        </w:rPr>
        <w:t xml:space="preserve"> the Committee with detailed plans on how the </w:t>
      </w:r>
      <w:r w:rsidR="00DA3484" w:rsidRPr="00CE2B73">
        <w:rPr>
          <w:rFonts w:ascii="Arial" w:hAnsi="Arial" w:cs="Arial"/>
          <w:bCs/>
          <w:sz w:val="20"/>
          <w:szCs w:val="20"/>
        </w:rPr>
        <w:t>additional R24.6 billion</w:t>
      </w:r>
      <w:r w:rsidR="00194EEF" w:rsidRPr="00CE2B73">
        <w:rPr>
          <w:rFonts w:ascii="Arial" w:hAnsi="Arial" w:cs="Arial"/>
          <w:bCs/>
          <w:sz w:val="20"/>
          <w:szCs w:val="20"/>
        </w:rPr>
        <w:t xml:space="preserve"> to provincial equitable share to address the shortages of teachers and materials will be spent and monitored to attain value for money. </w:t>
      </w:r>
    </w:p>
    <w:p w:rsidR="00194EEF" w:rsidRPr="00CE2B73" w:rsidRDefault="00D70854" w:rsidP="00CE2B73">
      <w:pPr>
        <w:pStyle w:val="ListParagraph"/>
        <w:numPr>
          <w:ilvl w:val="2"/>
          <w:numId w:val="31"/>
        </w:numPr>
        <w:tabs>
          <w:tab w:val="left" w:pos="810"/>
        </w:tabs>
        <w:spacing w:after="0" w:line="240" w:lineRule="auto"/>
        <w:rPr>
          <w:rFonts w:ascii="Arial" w:hAnsi="Arial" w:cs="Arial"/>
          <w:bCs/>
          <w:sz w:val="20"/>
          <w:szCs w:val="20"/>
        </w:rPr>
      </w:pPr>
      <w:r w:rsidRPr="00CE2B73">
        <w:rPr>
          <w:rFonts w:ascii="Arial" w:hAnsi="Arial" w:cs="Arial"/>
          <w:bCs/>
          <w:sz w:val="20"/>
          <w:szCs w:val="20"/>
        </w:rPr>
        <w:t>That D</w:t>
      </w:r>
      <w:r w:rsidR="00210B51" w:rsidRPr="00CE2B73">
        <w:rPr>
          <w:rFonts w:ascii="Arial" w:hAnsi="Arial" w:cs="Arial"/>
          <w:bCs/>
          <w:sz w:val="20"/>
          <w:szCs w:val="20"/>
        </w:rPr>
        <w:t xml:space="preserve">epartment </w:t>
      </w:r>
      <w:r w:rsidRPr="00CE2B73">
        <w:rPr>
          <w:rFonts w:ascii="Arial" w:hAnsi="Arial" w:cs="Arial"/>
          <w:bCs/>
          <w:sz w:val="20"/>
          <w:szCs w:val="20"/>
        </w:rPr>
        <w:t xml:space="preserve">of Basic Education </w:t>
      </w:r>
      <w:r w:rsidR="00210B51" w:rsidRPr="00CE2B73">
        <w:rPr>
          <w:rFonts w:ascii="Arial" w:hAnsi="Arial" w:cs="Arial"/>
          <w:bCs/>
          <w:sz w:val="20"/>
          <w:szCs w:val="20"/>
        </w:rPr>
        <w:t>provide</w:t>
      </w:r>
      <w:r w:rsidR="00194EEF" w:rsidRPr="00CE2B73">
        <w:rPr>
          <w:rFonts w:ascii="Arial" w:hAnsi="Arial" w:cs="Arial"/>
          <w:bCs/>
          <w:sz w:val="20"/>
          <w:szCs w:val="20"/>
        </w:rPr>
        <w:t xml:space="preserve"> the Committee with detailed plans on how the R12.7 billion added to the provincial equitable share to continue hiring assistants at schools as part of the Presidential Employment Initiatives will be spent and monitored to attain both value for money and ensure </w:t>
      </w:r>
      <w:r w:rsidR="003767AE" w:rsidRPr="00CE2B73">
        <w:rPr>
          <w:rFonts w:ascii="Arial" w:hAnsi="Arial" w:cs="Arial"/>
          <w:bCs/>
          <w:sz w:val="20"/>
          <w:szCs w:val="20"/>
        </w:rPr>
        <w:t xml:space="preserve">that </w:t>
      </w:r>
      <w:r w:rsidR="00194EEF" w:rsidRPr="00CE2B73">
        <w:rPr>
          <w:rFonts w:ascii="Arial" w:hAnsi="Arial" w:cs="Arial"/>
          <w:bCs/>
          <w:sz w:val="20"/>
          <w:szCs w:val="20"/>
        </w:rPr>
        <w:t xml:space="preserve">there is standardisation across provinces on the criteria and remuneration of the assistants. </w:t>
      </w:r>
    </w:p>
    <w:p w:rsidR="00862513" w:rsidRPr="00CE2B73" w:rsidRDefault="00862513" w:rsidP="00CE2B73">
      <w:pPr>
        <w:pStyle w:val="ListParagraph"/>
        <w:numPr>
          <w:ilvl w:val="2"/>
          <w:numId w:val="31"/>
        </w:numPr>
        <w:tabs>
          <w:tab w:val="left" w:pos="810"/>
        </w:tabs>
        <w:spacing w:after="0" w:line="240" w:lineRule="auto"/>
        <w:rPr>
          <w:rFonts w:ascii="Arial" w:hAnsi="Arial" w:cs="Arial"/>
          <w:bCs/>
          <w:sz w:val="20"/>
          <w:szCs w:val="20"/>
        </w:rPr>
      </w:pPr>
      <w:r w:rsidRPr="00CE2B73">
        <w:rPr>
          <w:rFonts w:ascii="Arial" w:hAnsi="Arial" w:cs="Arial"/>
          <w:bCs/>
          <w:sz w:val="20"/>
          <w:szCs w:val="20"/>
        </w:rPr>
        <w:t xml:space="preserve">That the Minister of Basic Education provides a report on the progress regarding the removal of pit-latrines within the schools across South Africa. </w:t>
      </w:r>
    </w:p>
    <w:p w:rsidR="00D70854" w:rsidRPr="00CE2B73" w:rsidRDefault="00D70854" w:rsidP="00CE2B73">
      <w:pPr>
        <w:tabs>
          <w:tab w:val="left" w:pos="810"/>
        </w:tabs>
        <w:spacing w:after="0" w:line="240" w:lineRule="auto"/>
        <w:rPr>
          <w:rFonts w:ascii="Arial" w:hAnsi="Arial" w:cs="Arial"/>
          <w:bCs/>
          <w:sz w:val="20"/>
          <w:szCs w:val="20"/>
        </w:rPr>
      </w:pPr>
    </w:p>
    <w:p w:rsidR="00210B51" w:rsidRPr="00CE2B73" w:rsidRDefault="00C8437D" w:rsidP="00CE2B73">
      <w:pPr>
        <w:pStyle w:val="ListParagraph"/>
        <w:numPr>
          <w:ilvl w:val="1"/>
          <w:numId w:val="31"/>
        </w:numPr>
        <w:tabs>
          <w:tab w:val="left" w:pos="810"/>
        </w:tabs>
        <w:spacing w:after="0" w:line="240" w:lineRule="auto"/>
        <w:ind w:left="567" w:hanging="567"/>
        <w:rPr>
          <w:rFonts w:ascii="Arial" w:hAnsi="Arial" w:cs="Arial"/>
          <w:bCs/>
          <w:sz w:val="20"/>
          <w:szCs w:val="20"/>
        </w:rPr>
      </w:pPr>
      <w:r w:rsidRPr="00CE2B73">
        <w:rPr>
          <w:rFonts w:ascii="Arial" w:hAnsi="Arial" w:cs="Arial"/>
          <w:bCs/>
          <w:sz w:val="20"/>
          <w:szCs w:val="20"/>
        </w:rPr>
        <w:t xml:space="preserve">That the </w:t>
      </w:r>
      <w:r w:rsidR="00210B51" w:rsidRPr="00CE2B73">
        <w:rPr>
          <w:rFonts w:ascii="Arial" w:hAnsi="Arial" w:cs="Arial"/>
          <w:bCs/>
          <w:sz w:val="20"/>
          <w:szCs w:val="20"/>
        </w:rPr>
        <w:t>Minister of Cooperative Governance</w:t>
      </w:r>
      <w:r w:rsidR="00D70854" w:rsidRPr="00CE2B73">
        <w:rPr>
          <w:rFonts w:ascii="Arial" w:hAnsi="Arial" w:cs="Arial"/>
          <w:bCs/>
          <w:sz w:val="20"/>
          <w:szCs w:val="20"/>
        </w:rPr>
        <w:t xml:space="preserve"> </w:t>
      </w:r>
      <w:r w:rsidR="00CB5195" w:rsidRPr="00CE2B73">
        <w:rPr>
          <w:rFonts w:ascii="Arial" w:hAnsi="Arial" w:cs="Arial"/>
          <w:bCs/>
          <w:sz w:val="20"/>
          <w:szCs w:val="20"/>
        </w:rPr>
        <w:t xml:space="preserve">and Traditional Affairs </w:t>
      </w:r>
      <w:r w:rsidR="00D70854" w:rsidRPr="00CE2B73">
        <w:rPr>
          <w:rFonts w:ascii="Arial" w:hAnsi="Arial" w:cs="Arial"/>
          <w:bCs/>
          <w:sz w:val="20"/>
          <w:szCs w:val="20"/>
        </w:rPr>
        <w:t>ensures that the D</w:t>
      </w:r>
      <w:r w:rsidR="00995BBA" w:rsidRPr="00CE2B73">
        <w:rPr>
          <w:rFonts w:ascii="Arial" w:hAnsi="Arial" w:cs="Arial"/>
          <w:bCs/>
          <w:sz w:val="20"/>
          <w:szCs w:val="20"/>
        </w:rPr>
        <w:t xml:space="preserve">epartment </w:t>
      </w:r>
      <w:r w:rsidR="00D70854" w:rsidRPr="00CE2B73">
        <w:rPr>
          <w:rFonts w:ascii="Arial" w:hAnsi="Arial" w:cs="Arial"/>
          <w:bCs/>
          <w:sz w:val="20"/>
          <w:szCs w:val="20"/>
        </w:rPr>
        <w:t xml:space="preserve">of Cooperative Governance </w:t>
      </w:r>
      <w:r w:rsidR="00995BBA" w:rsidRPr="00CE2B73">
        <w:rPr>
          <w:rFonts w:ascii="Arial" w:hAnsi="Arial" w:cs="Arial"/>
          <w:bCs/>
          <w:sz w:val="20"/>
          <w:szCs w:val="20"/>
        </w:rPr>
        <w:t>report to the Committee on the disbursement of the proposed R2.1 billion allocated towards repairing of infrastructure damaged by storm</w:t>
      </w:r>
      <w:r w:rsidR="00CB5195" w:rsidRPr="00CE2B73">
        <w:rPr>
          <w:rFonts w:ascii="Arial" w:hAnsi="Arial" w:cs="Arial"/>
          <w:bCs/>
          <w:sz w:val="20"/>
          <w:szCs w:val="20"/>
        </w:rPr>
        <w:t>s and floods</w:t>
      </w:r>
      <w:r w:rsidR="00995BBA" w:rsidRPr="00CE2B73">
        <w:rPr>
          <w:rFonts w:ascii="Arial" w:hAnsi="Arial" w:cs="Arial"/>
          <w:bCs/>
          <w:sz w:val="20"/>
          <w:szCs w:val="20"/>
        </w:rPr>
        <w:t xml:space="preserve"> in KwaZulu-Natal in 2019 and 2020. </w:t>
      </w:r>
    </w:p>
    <w:p w:rsidR="003767AE" w:rsidRPr="00CE2B73" w:rsidRDefault="003767AE" w:rsidP="00CE2B73">
      <w:pPr>
        <w:pStyle w:val="ListParagraph"/>
        <w:tabs>
          <w:tab w:val="left" w:pos="810"/>
        </w:tabs>
        <w:spacing w:after="0" w:line="240" w:lineRule="auto"/>
        <w:ind w:left="567"/>
        <w:rPr>
          <w:rFonts w:ascii="Arial" w:hAnsi="Arial" w:cs="Arial"/>
          <w:bCs/>
          <w:sz w:val="20"/>
          <w:szCs w:val="20"/>
        </w:rPr>
      </w:pPr>
    </w:p>
    <w:p w:rsidR="00995BBA" w:rsidRPr="00CE2B73" w:rsidRDefault="003767AE" w:rsidP="00CE2B73">
      <w:pPr>
        <w:pStyle w:val="ListParagraph"/>
        <w:numPr>
          <w:ilvl w:val="1"/>
          <w:numId w:val="31"/>
        </w:numPr>
        <w:tabs>
          <w:tab w:val="left" w:pos="810"/>
        </w:tabs>
        <w:spacing w:after="0" w:line="240" w:lineRule="auto"/>
        <w:ind w:left="567" w:hanging="567"/>
        <w:rPr>
          <w:rFonts w:ascii="Arial" w:hAnsi="Arial" w:cs="Arial"/>
          <w:bCs/>
          <w:sz w:val="20"/>
          <w:szCs w:val="20"/>
        </w:rPr>
      </w:pPr>
      <w:r w:rsidRPr="00CE2B73">
        <w:rPr>
          <w:rFonts w:ascii="Arial" w:hAnsi="Arial" w:cs="Arial"/>
          <w:bCs/>
          <w:sz w:val="20"/>
          <w:szCs w:val="20"/>
        </w:rPr>
        <w:t>That the Minister of Transport provide</w:t>
      </w:r>
      <w:r w:rsidR="00CB5195" w:rsidRPr="00CE2B73">
        <w:rPr>
          <w:rFonts w:ascii="Arial" w:hAnsi="Arial" w:cs="Arial"/>
          <w:bCs/>
          <w:sz w:val="20"/>
          <w:szCs w:val="20"/>
        </w:rPr>
        <w:t>s</w:t>
      </w:r>
      <w:r w:rsidRPr="00CE2B73">
        <w:rPr>
          <w:rFonts w:ascii="Arial" w:hAnsi="Arial" w:cs="Arial"/>
          <w:bCs/>
          <w:sz w:val="20"/>
          <w:szCs w:val="20"/>
        </w:rPr>
        <w:t xml:space="preserve"> the Committee with a status report on the development and finalisation of the clear and objective criteria that will be used to assess performance and qualify provinces for the incentives within the </w:t>
      </w:r>
      <w:r w:rsidR="00D70854" w:rsidRPr="00CE2B73">
        <w:rPr>
          <w:rFonts w:ascii="Arial" w:hAnsi="Arial" w:cs="Arial"/>
          <w:bCs/>
          <w:i/>
          <w:sz w:val="20"/>
          <w:szCs w:val="20"/>
        </w:rPr>
        <w:t>Provincial Roads M</w:t>
      </w:r>
      <w:r w:rsidRPr="00CE2B73">
        <w:rPr>
          <w:rFonts w:ascii="Arial" w:hAnsi="Arial" w:cs="Arial"/>
          <w:bCs/>
          <w:i/>
          <w:sz w:val="20"/>
          <w:szCs w:val="20"/>
        </w:rPr>
        <w:t>aintenance grant</w:t>
      </w:r>
      <w:r w:rsidRPr="00CE2B73">
        <w:rPr>
          <w:rFonts w:ascii="Arial" w:hAnsi="Arial" w:cs="Arial"/>
          <w:bCs/>
          <w:sz w:val="20"/>
          <w:szCs w:val="20"/>
        </w:rPr>
        <w:t xml:space="preserve">.  </w:t>
      </w:r>
    </w:p>
    <w:p w:rsidR="003767AE" w:rsidRPr="00CE2B73" w:rsidRDefault="003767AE" w:rsidP="00CE2B73">
      <w:pPr>
        <w:pStyle w:val="ListParagraph"/>
        <w:tabs>
          <w:tab w:val="left" w:pos="810"/>
        </w:tabs>
        <w:spacing w:after="0" w:line="240" w:lineRule="auto"/>
        <w:ind w:left="567"/>
        <w:rPr>
          <w:rFonts w:ascii="Arial" w:hAnsi="Arial" w:cs="Arial"/>
          <w:bCs/>
          <w:sz w:val="20"/>
          <w:szCs w:val="20"/>
        </w:rPr>
      </w:pPr>
    </w:p>
    <w:p w:rsidR="00995BBA" w:rsidRPr="00CE2B73" w:rsidRDefault="00D21925" w:rsidP="00CE2B73">
      <w:pPr>
        <w:pStyle w:val="ListParagraph"/>
        <w:numPr>
          <w:ilvl w:val="1"/>
          <w:numId w:val="31"/>
        </w:numPr>
        <w:tabs>
          <w:tab w:val="left" w:pos="810"/>
        </w:tabs>
        <w:spacing w:after="0" w:line="240" w:lineRule="auto"/>
        <w:ind w:left="567" w:hanging="567"/>
        <w:rPr>
          <w:rFonts w:ascii="Arial" w:hAnsi="Arial" w:cs="Arial"/>
          <w:bCs/>
          <w:sz w:val="20"/>
          <w:szCs w:val="20"/>
        </w:rPr>
      </w:pPr>
      <w:r w:rsidRPr="00CE2B73">
        <w:rPr>
          <w:rFonts w:ascii="Arial" w:hAnsi="Arial" w:cs="Arial"/>
          <w:bCs/>
          <w:sz w:val="20"/>
          <w:szCs w:val="20"/>
        </w:rPr>
        <w:t xml:space="preserve">That the Minister of Finance ensures that National Treasury corrects the grant framework of the </w:t>
      </w:r>
      <w:r w:rsidR="00591B2F" w:rsidRPr="00CE2B73">
        <w:rPr>
          <w:rFonts w:ascii="Arial" w:hAnsi="Arial" w:cs="Arial"/>
          <w:bCs/>
          <w:i/>
          <w:sz w:val="20"/>
          <w:szCs w:val="20"/>
        </w:rPr>
        <w:t>District Health P</w:t>
      </w:r>
      <w:r w:rsidRPr="00CE2B73">
        <w:rPr>
          <w:rFonts w:ascii="Arial" w:hAnsi="Arial" w:cs="Arial"/>
          <w:bCs/>
          <w:i/>
          <w:sz w:val="20"/>
          <w:szCs w:val="20"/>
        </w:rPr>
        <w:t>rogrammes grant</w:t>
      </w:r>
      <w:r w:rsidRPr="00CE2B73">
        <w:rPr>
          <w:rFonts w:ascii="Arial" w:hAnsi="Arial" w:cs="Arial"/>
          <w:bCs/>
          <w:sz w:val="20"/>
          <w:szCs w:val="20"/>
        </w:rPr>
        <w:t xml:space="preserve"> to reflect the correct targets for the human papillomavirus vaccination programme. This correction </w:t>
      </w:r>
      <w:r w:rsidR="00E97D7B" w:rsidRPr="00CE2B73">
        <w:rPr>
          <w:rFonts w:ascii="Arial" w:hAnsi="Arial" w:cs="Arial"/>
          <w:bCs/>
          <w:sz w:val="20"/>
          <w:szCs w:val="20"/>
        </w:rPr>
        <w:t xml:space="preserve">should </w:t>
      </w:r>
      <w:r w:rsidRPr="00CE2B73">
        <w:rPr>
          <w:rFonts w:ascii="Arial" w:hAnsi="Arial" w:cs="Arial"/>
          <w:bCs/>
          <w:sz w:val="20"/>
          <w:szCs w:val="20"/>
        </w:rPr>
        <w:t>be effected as part of the gazette that will be issued in terms of section 15 of the Act, once the Bill is enacted</w:t>
      </w:r>
      <w:r w:rsidR="00F45617" w:rsidRPr="00CE2B73">
        <w:rPr>
          <w:rFonts w:ascii="Arial" w:hAnsi="Arial" w:cs="Arial"/>
          <w:bCs/>
          <w:sz w:val="20"/>
          <w:szCs w:val="20"/>
        </w:rPr>
        <w:t xml:space="preserve">. </w:t>
      </w:r>
    </w:p>
    <w:p w:rsidR="00F45617" w:rsidRPr="00CE2B73" w:rsidRDefault="00F45617" w:rsidP="00CE2B73">
      <w:pPr>
        <w:pStyle w:val="ListParagraph"/>
        <w:tabs>
          <w:tab w:val="left" w:pos="810"/>
        </w:tabs>
        <w:spacing w:after="0" w:line="240" w:lineRule="auto"/>
        <w:ind w:left="567"/>
        <w:rPr>
          <w:rFonts w:ascii="Arial" w:hAnsi="Arial" w:cs="Arial"/>
          <w:bCs/>
          <w:sz w:val="20"/>
          <w:szCs w:val="20"/>
        </w:rPr>
      </w:pPr>
    </w:p>
    <w:p w:rsidR="00F45617" w:rsidRPr="00CE2B73" w:rsidRDefault="00F45617" w:rsidP="00CE2B73">
      <w:pPr>
        <w:pStyle w:val="ListParagraph"/>
        <w:numPr>
          <w:ilvl w:val="1"/>
          <w:numId w:val="31"/>
        </w:numPr>
        <w:tabs>
          <w:tab w:val="left" w:pos="810"/>
        </w:tabs>
        <w:spacing w:after="0" w:line="240" w:lineRule="auto"/>
        <w:ind w:left="567" w:hanging="567"/>
        <w:rPr>
          <w:rFonts w:ascii="Arial" w:hAnsi="Arial" w:cs="Arial"/>
          <w:bCs/>
          <w:sz w:val="20"/>
          <w:szCs w:val="20"/>
        </w:rPr>
      </w:pPr>
      <w:r w:rsidRPr="00CE2B73">
        <w:rPr>
          <w:rFonts w:ascii="Arial" w:hAnsi="Arial" w:cs="Arial"/>
          <w:bCs/>
          <w:sz w:val="20"/>
          <w:szCs w:val="20"/>
        </w:rPr>
        <w:t xml:space="preserve">That the Minister of Finance ensures that National Treasury </w:t>
      </w:r>
      <w:r w:rsidR="00CC1671" w:rsidRPr="00CE2B73">
        <w:rPr>
          <w:rFonts w:ascii="Arial" w:hAnsi="Arial" w:cs="Arial"/>
          <w:bCs/>
          <w:sz w:val="20"/>
          <w:szCs w:val="20"/>
        </w:rPr>
        <w:t>amend the local government financial management grant to ensure that there is no do</w:t>
      </w:r>
      <w:r w:rsidRPr="00CE2B73">
        <w:rPr>
          <w:rFonts w:ascii="Arial" w:hAnsi="Arial" w:cs="Arial"/>
          <w:bCs/>
          <w:sz w:val="20"/>
          <w:szCs w:val="20"/>
        </w:rPr>
        <w:t>uble dipping on</w:t>
      </w:r>
      <w:r w:rsidR="00CC1671" w:rsidRPr="00CE2B73">
        <w:rPr>
          <w:rFonts w:ascii="Arial" w:hAnsi="Arial" w:cs="Arial"/>
          <w:bCs/>
          <w:sz w:val="20"/>
          <w:szCs w:val="20"/>
        </w:rPr>
        <w:t xml:space="preserve"> resources for the same activities that are provided for within the municipal infrastructure grant, administered by the Department </w:t>
      </w:r>
      <w:r w:rsidR="00D70854" w:rsidRPr="00CE2B73">
        <w:rPr>
          <w:rFonts w:ascii="Arial" w:hAnsi="Arial" w:cs="Arial"/>
          <w:bCs/>
          <w:sz w:val="20"/>
          <w:szCs w:val="20"/>
        </w:rPr>
        <w:t>of Cooperative Governance</w:t>
      </w:r>
      <w:r w:rsidR="00CC1671" w:rsidRPr="00CE2B73">
        <w:rPr>
          <w:rFonts w:ascii="Arial" w:hAnsi="Arial" w:cs="Arial"/>
          <w:bCs/>
          <w:sz w:val="20"/>
          <w:szCs w:val="20"/>
        </w:rPr>
        <w:t>. T</w:t>
      </w:r>
      <w:r w:rsidR="00B14F55" w:rsidRPr="00CE2B73">
        <w:rPr>
          <w:rFonts w:ascii="Arial" w:hAnsi="Arial" w:cs="Arial"/>
          <w:bCs/>
          <w:sz w:val="20"/>
          <w:szCs w:val="20"/>
        </w:rPr>
        <w:t>his</w:t>
      </w:r>
      <w:r w:rsidR="00CC1671" w:rsidRPr="00CE2B73">
        <w:rPr>
          <w:rFonts w:ascii="Arial" w:hAnsi="Arial" w:cs="Arial"/>
          <w:bCs/>
          <w:sz w:val="20"/>
          <w:szCs w:val="20"/>
        </w:rPr>
        <w:t xml:space="preserve"> amendment </w:t>
      </w:r>
      <w:r w:rsidR="00B14F55" w:rsidRPr="00CE2B73">
        <w:rPr>
          <w:rFonts w:ascii="Arial" w:hAnsi="Arial" w:cs="Arial"/>
          <w:bCs/>
          <w:sz w:val="20"/>
          <w:szCs w:val="20"/>
        </w:rPr>
        <w:t xml:space="preserve">should </w:t>
      </w:r>
      <w:r w:rsidR="00CC1671" w:rsidRPr="00CE2B73">
        <w:rPr>
          <w:rFonts w:ascii="Arial" w:hAnsi="Arial" w:cs="Arial"/>
          <w:bCs/>
          <w:sz w:val="20"/>
          <w:szCs w:val="20"/>
        </w:rPr>
        <w:t>be effected as part of the gazette that will be issued in terms of section 15 of the Act, once the Bill is enacted.</w:t>
      </w:r>
    </w:p>
    <w:p w:rsidR="00854454" w:rsidRPr="00CE2B73" w:rsidRDefault="00854454" w:rsidP="00CE2B73">
      <w:pPr>
        <w:spacing w:after="0" w:line="240" w:lineRule="auto"/>
        <w:rPr>
          <w:rFonts w:ascii="Arial" w:eastAsia="Times New Roman" w:hAnsi="Arial" w:cs="Arial"/>
          <w:color w:val="000000"/>
          <w:spacing w:val="6"/>
          <w:sz w:val="20"/>
          <w:szCs w:val="20"/>
          <w:lang w:eastAsia="en-GB"/>
        </w:rPr>
      </w:pPr>
    </w:p>
    <w:p w:rsidR="00DB279C" w:rsidRPr="00CE2B73" w:rsidRDefault="00DB279C" w:rsidP="00CE2B73">
      <w:pPr>
        <w:numPr>
          <w:ilvl w:val="0"/>
          <w:numId w:val="1"/>
        </w:numPr>
        <w:spacing w:after="0" w:line="240" w:lineRule="auto"/>
        <w:contextualSpacing/>
        <w:rPr>
          <w:rFonts w:ascii="Arial" w:eastAsia="Times New Roman" w:hAnsi="Arial" w:cs="Arial"/>
          <w:b/>
          <w:color w:val="000000"/>
          <w:spacing w:val="6"/>
          <w:sz w:val="20"/>
          <w:szCs w:val="20"/>
          <w:lang w:eastAsia="en-GB"/>
        </w:rPr>
      </w:pPr>
      <w:r w:rsidRPr="00CE2B73">
        <w:rPr>
          <w:rFonts w:ascii="Arial" w:eastAsia="Times New Roman" w:hAnsi="Arial" w:cs="Arial"/>
          <w:b/>
          <w:color w:val="000000"/>
          <w:spacing w:val="6"/>
          <w:sz w:val="20"/>
          <w:szCs w:val="20"/>
          <w:lang w:eastAsia="en-GB"/>
        </w:rPr>
        <w:t>Committee Recommendation on the Bill</w:t>
      </w:r>
    </w:p>
    <w:p w:rsidR="00DB279C" w:rsidRPr="00CE2B73" w:rsidRDefault="00DB279C" w:rsidP="00CE2B73">
      <w:pPr>
        <w:spacing w:after="0" w:line="240" w:lineRule="auto"/>
        <w:rPr>
          <w:rFonts w:ascii="Arial" w:eastAsia="Times New Roman" w:hAnsi="Arial" w:cs="Arial"/>
          <w:sz w:val="20"/>
          <w:szCs w:val="20"/>
        </w:rPr>
      </w:pPr>
    </w:p>
    <w:p w:rsidR="00DB279C" w:rsidRPr="00CE2B73" w:rsidRDefault="00DB279C" w:rsidP="00CE2B73">
      <w:pPr>
        <w:spacing w:after="0" w:line="240" w:lineRule="auto"/>
        <w:rPr>
          <w:rFonts w:ascii="Arial" w:eastAsia="Times New Roman" w:hAnsi="Arial" w:cs="Arial"/>
          <w:spacing w:val="6"/>
          <w:sz w:val="20"/>
          <w:szCs w:val="20"/>
          <w:lang w:eastAsia="en-GB"/>
        </w:rPr>
      </w:pPr>
      <w:r w:rsidRPr="00CE2B73">
        <w:rPr>
          <w:rFonts w:ascii="Arial" w:eastAsia="Times New Roman" w:hAnsi="Arial" w:cs="Arial"/>
          <w:color w:val="000000"/>
          <w:spacing w:val="6"/>
          <w:sz w:val="20"/>
          <w:szCs w:val="20"/>
          <w:lang w:eastAsia="en-GB"/>
        </w:rPr>
        <w:t>The Standing Committee on Appropriations, having considered t</w:t>
      </w:r>
      <w:r w:rsidR="000A49A9" w:rsidRPr="00CE2B73">
        <w:rPr>
          <w:rFonts w:ascii="Arial" w:eastAsia="Times New Roman" w:hAnsi="Arial" w:cs="Arial"/>
          <w:color w:val="000000"/>
          <w:spacing w:val="6"/>
          <w:sz w:val="20"/>
          <w:szCs w:val="20"/>
          <w:lang w:eastAsia="en-GB"/>
        </w:rPr>
        <w:t>he Division of Revenue Bill [B6</w:t>
      </w:r>
      <w:r w:rsidRPr="00CE2B73">
        <w:rPr>
          <w:rFonts w:ascii="Arial" w:eastAsia="Times New Roman" w:hAnsi="Arial" w:cs="Arial"/>
          <w:color w:val="000000"/>
          <w:spacing w:val="6"/>
          <w:sz w:val="20"/>
          <w:szCs w:val="20"/>
          <w:lang w:eastAsia="en-GB"/>
        </w:rPr>
        <w:t>-</w:t>
      </w:r>
      <w:r w:rsidR="000A49A9" w:rsidRPr="00CE2B73">
        <w:rPr>
          <w:rFonts w:ascii="Arial" w:eastAsia="Times New Roman" w:hAnsi="Arial" w:cs="Arial"/>
          <w:color w:val="000000"/>
          <w:spacing w:val="6"/>
          <w:sz w:val="20"/>
          <w:szCs w:val="20"/>
          <w:lang w:eastAsia="en-GB"/>
        </w:rPr>
        <w:t>2022</w:t>
      </w:r>
      <w:r w:rsidRPr="00CE2B73">
        <w:rPr>
          <w:rFonts w:ascii="Arial" w:eastAsia="Times New Roman" w:hAnsi="Arial" w:cs="Arial"/>
          <w:color w:val="000000"/>
          <w:spacing w:val="6"/>
          <w:sz w:val="20"/>
          <w:szCs w:val="20"/>
          <w:lang w:eastAsia="en-GB"/>
        </w:rPr>
        <w:t>], (National Assembly) referred to it and classified by the Joint Tagging Mechanism (JTM) as a Section 76 Bill, recommends that the Bill be adopted, without amendments.</w:t>
      </w:r>
      <w:r w:rsidRPr="00CE2B73">
        <w:rPr>
          <w:rFonts w:ascii="Arial" w:eastAsia="Times New Roman" w:hAnsi="Arial" w:cs="Arial"/>
          <w:color w:val="FF0000"/>
          <w:spacing w:val="6"/>
          <w:sz w:val="20"/>
          <w:szCs w:val="20"/>
          <w:lang w:eastAsia="en-GB"/>
        </w:rPr>
        <w:t xml:space="preserve"> </w:t>
      </w:r>
    </w:p>
    <w:p w:rsidR="005F752B" w:rsidRPr="00CE2B73" w:rsidRDefault="005F752B" w:rsidP="00CE2B73">
      <w:pPr>
        <w:spacing w:after="0" w:line="240" w:lineRule="auto"/>
        <w:rPr>
          <w:rFonts w:ascii="Arial" w:eastAsia="Times New Roman" w:hAnsi="Arial" w:cs="Arial"/>
          <w:color w:val="FF0000"/>
          <w:spacing w:val="6"/>
          <w:sz w:val="20"/>
          <w:szCs w:val="20"/>
          <w:lang w:eastAsia="en-GB"/>
        </w:rPr>
      </w:pPr>
    </w:p>
    <w:p w:rsidR="00DB279C" w:rsidRPr="00CE2B73" w:rsidRDefault="00DB279C" w:rsidP="00CE2B73">
      <w:pPr>
        <w:pStyle w:val="ListParagraph"/>
        <w:numPr>
          <w:ilvl w:val="0"/>
          <w:numId w:val="1"/>
        </w:numPr>
        <w:spacing w:after="0" w:line="240" w:lineRule="auto"/>
        <w:rPr>
          <w:rFonts w:ascii="Arial" w:eastAsia="Times New Roman" w:hAnsi="Arial" w:cs="Arial"/>
          <w:b/>
          <w:sz w:val="20"/>
          <w:szCs w:val="20"/>
        </w:rPr>
      </w:pPr>
      <w:r w:rsidRPr="00CE2B73">
        <w:rPr>
          <w:rFonts w:ascii="Arial" w:eastAsia="Times New Roman" w:hAnsi="Arial" w:cs="Arial"/>
          <w:b/>
          <w:sz w:val="20"/>
          <w:szCs w:val="20"/>
        </w:rPr>
        <w:t>Conclusion</w:t>
      </w:r>
    </w:p>
    <w:p w:rsidR="00DB279C" w:rsidRPr="00CE2B73" w:rsidRDefault="00DB279C" w:rsidP="00CE2B73">
      <w:pPr>
        <w:spacing w:after="0" w:line="240" w:lineRule="auto"/>
        <w:rPr>
          <w:rFonts w:ascii="Arial" w:eastAsia="Times New Roman" w:hAnsi="Arial" w:cs="Arial"/>
          <w:b/>
          <w:sz w:val="20"/>
          <w:szCs w:val="20"/>
        </w:rPr>
      </w:pPr>
    </w:p>
    <w:p w:rsidR="00204333" w:rsidRPr="00CE2B73" w:rsidRDefault="003767AE" w:rsidP="00CE2B73">
      <w:pPr>
        <w:spacing w:after="0" w:line="240" w:lineRule="auto"/>
        <w:rPr>
          <w:rFonts w:ascii="Arial" w:eastAsia="Times New Roman" w:hAnsi="Arial" w:cs="Arial"/>
          <w:sz w:val="20"/>
          <w:szCs w:val="20"/>
        </w:rPr>
      </w:pPr>
      <w:r w:rsidRPr="00CE2B73">
        <w:rPr>
          <w:rFonts w:ascii="Arial" w:eastAsia="Times New Roman" w:hAnsi="Arial" w:cs="Arial"/>
          <w:sz w:val="20"/>
          <w:szCs w:val="20"/>
        </w:rPr>
        <w:t xml:space="preserve">The Committee would like to express its appreciation on the inputs, comments and proposals made by all the stakeholders who participated during the consultation processes of this Bill. All the inputs, comments and proposals are valuable to the Committee. Like all the </w:t>
      </w:r>
      <w:r w:rsidR="00204333" w:rsidRPr="00CE2B73">
        <w:rPr>
          <w:rFonts w:ascii="Arial" w:eastAsia="Times New Roman" w:hAnsi="Arial" w:cs="Arial"/>
          <w:sz w:val="20"/>
          <w:szCs w:val="20"/>
        </w:rPr>
        <w:t>stakeholders, the Committee is faced with very limited choices given the tight fiscal space that</w:t>
      </w:r>
      <w:r w:rsidR="005F752B" w:rsidRPr="00CE2B73">
        <w:rPr>
          <w:rFonts w:ascii="Arial" w:eastAsia="Times New Roman" w:hAnsi="Arial" w:cs="Arial"/>
          <w:sz w:val="20"/>
          <w:szCs w:val="20"/>
        </w:rPr>
        <w:t xml:space="preserve"> South Africa finds itself in. T</w:t>
      </w:r>
      <w:r w:rsidR="00204333" w:rsidRPr="00CE2B73">
        <w:rPr>
          <w:rFonts w:ascii="Arial" w:eastAsia="Times New Roman" w:hAnsi="Arial" w:cs="Arial"/>
          <w:sz w:val="20"/>
          <w:szCs w:val="20"/>
        </w:rPr>
        <w:t>he Committ</w:t>
      </w:r>
      <w:r w:rsidR="00CB5195" w:rsidRPr="00CE2B73">
        <w:rPr>
          <w:rFonts w:ascii="Arial" w:eastAsia="Times New Roman" w:hAnsi="Arial" w:cs="Arial"/>
          <w:sz w:val="20"/>
          <w:szCs w:val="20"/>
        </w:rPr>
        <w:t>ee would have loved to recommend</w:t>
      </w:r>
      <w:r w:rsidR="00204333" w:rsidRPr="00CE2B73">
        <w:rPr>
          <w:rFonts w:ascii="Arial" w:eastAsia="Times New Roman" w:hAnsi="Arial" w:cs="Arial"/>
          <w:sz w:val="20"/>
          <w:szCs w:val="20"/>
        </w:rPr>
        <w:t xml:space="preserve"> </w:t>
      </w:r>
      <w:r w:rsidR="00CB5195" w:rsidRPr="00CE2B73">
        <w:rPr>
          <w:rFonts w:ascii="Arial" w:eastAsia="Times New Roman" w:hAnsi="Arial" w:cs="Arial"/>
          <w:sz w:val="20"/>
          <w:szCs w:val="20"/>
        </w:rPr>
        <w:t xml:space="preserve">to the Executive </w:t>
      </w:r>
      <w:r w:rsidR="00204333" w:rsidRPr="00CE2B73">
        <w:rPr>
          <w:rFonts w:ascii="Arial" w:eastAsia="Times New Roman" w:hAnsi="Arial" w:cs="Arial"/>
          <w:sz w:val="20"/>
          <w:szCs w:val="20"/>
        </w:rPr>
        <w:t xml:space="preserve">most </w:t>
      </w:r>
      <w:r w:rsidR="00CB5195" w:rsidRPr="00CE2B73">
        <w:rPr>
          <w:rFonts w:ascii="Arial" w:eastAsia="Times New Roman" w:hAnsi="Arial" w:cs="Arial"/>
          <w:sz w:val="20"/>
          <w:szCs w:val="20"/>
        </w:rPr>
        <w:t xml:space="preserve">of </w:t>
      </w:r>
      <w:r w:rsidR="00204333" w:rsidRPr="00CE2B73">
        <w:rPr>
          <w:rFonts w:ascii="Arial" w:eastAsia="Times New Roman" w:hAnsi="Arial" w:cs="Arial"/>
          <w:sz w:val="20"/>
          <w:szCs w:val="20"/>
        </w:rPr>
        <w:t>the proposals made, however</w:t>
      </w:r>
      <w:r w:rsidR="00CB5195" w:rsidRPr="00CE2B73">
        <w:rPr>
          <w:rFonts w:ascii="Arial" w:eastAsia="Times New Roman" w:hAnsi="Arial" w:cs="Arial"/>
          <w:sz w:val="20"/>
          <w:szCs w:val="20"/>
        </w:rPr>
        <w:t>,</w:t>
      </w:r>
      <w:r w:rsidR="00204333" w:rsidRPr="00CE2B73">
        <w:rPr>
          <w:rFonts w:ascii="Arial" w:eastAsia="Times New Roman" w:hAnsi="Arial" w:cs="Arial"/>
          <w:sz w:val="20"/>
          <w:szCs w:val="20"/>
        </w:rPr>
        <w:t xml:space="preserve"> due to the scarcity of public resources, made worse by the Covid-19 pandemic, some of these proposals cannot be implemented immediately. The Committee would like to encourage all stakeholders to continue</w:t>
      </w:r>
      <w:r w:rsidR="00CB5195" w:rsidRPr="00CE2B73">
        <w:rPr>
          <w:rFonts w:ascii="Arial" w:eastAsia="Times New Roman" w:hAnsi="Arial" w:cs="Arial"/>
          <w:sz w:val="20"/>
          <w:szCs w:val="20"/>
        </w:rPr>
        <w:t xml:space="preserve"> to</w:t>
      </w:r>
      <w:r w:rsidR="00204333" w:rsidRPr="00CE2B73">
        <w:rPr>
          <w:rFonts w:ascii="Arial" w:eastAsia="Times New Roman" w:hAnsi="Arial" w:cs="Arial"/>
          <w:sz w:val="20"/>
          <w:szCs w:val="20"/>
        </w:rPr>
        <w:t xml:space="preserve"> engage with the Committee on these important topics of public interest. </w:t>
      </w:r>
    </w:p>
    <w:p w:rsidR="005F752B" w:rsidRPr="00CE2B73" w:rsidRDefault="005F752B" w:rsidP="00CE2B73">
      <w:pPr>
        <w:spacing w:after="0" w:line="240" w:lineRule="auto"/>
        <w:rPr>
          <w:rFonts w:ascii="Arial" w:eastAsia="Times New Roman" w:hAnsi="Arial" w:cs="Arial"/>
          <w:sz w:val="20"/>
          <w:szCs w:val="20"/>
        </w:rPr>
      </w:pPr>
    </w:p>
    <w:p w:rsidR="00DB279C" w:rsidRPr="00CE2B73" w:rsidRDefault="00DB279C" w:rsidP="00CE2B73">
      <w:pPr>
        <w:spacing w:after="0" w:line="240" w:lineRule="auto"/>
        <w:rPr>
          <w:rFonts w:ascii="Arial" w:eastAsia="Times New Roman" w:hAnsi="Arial" w:cs="Arial"/>
          <w:b/>
          <w:sz w:val="20"/>
          <w:szCs w:val="20"/>
        </w:rPr>
      </w:pPr>
      <w:r w:rsidRPr="00CE2B73">
        <w:rPr>
          <w:rFonts w:ascii="Arial" w:eastAsia="Times New Roman" w:hAnsi="Arial" w:cs="Arial"/>
          <w:sz w:val="20"/>
          <w:szCs w:val="20"/>
        </w:rPr>
        <w:t>The responses by the r</w:t>
      </w:r>
      <w:r w:rsidR="00CB5195" w:rsidRPr="00CE2B73">
        <w:rPr>
          <w:rFonts w:ascii="Arial" w:eastAsia="Times New Roman" w:hAnsi="Arial" w:cs="Arial"/>
          <w:sz w:val="20"/>
          <w:szCs w:val="20"/>
        </w:rPr>
        <w:t>elevant Executive Authorities, t</w:t>
      </w:r>
      <w:r w:rsidRPr="00CE2B73">
        <w:rPr>
          <w:rFonts w:ascii="Arial" w:eastAsia="Times New Roman" w:hAnsi="Arial" w:cs="Arial"/>
          <w:sz w:val="20"/>
          <w:szCs w:val="20"/>
        </w:rPr>
        <w:t>o the recommendations as</w:t>
      </w:r>
      <w:r w:rsidRPr="00CE2B73">
        <w:rPr>
          <w:rFonts w:ascii="Arial" w:eastAsia="Times New Roman" w:hAnsi="Arial" w:cs="Arial"/>
          <w:color w:val="000000"/>
          <w:spacing w:val="6"/>
          <w:sz w:val="20"/>
          <w:szCs w:val="20"/>
          <w:lang w:eastAsia="en-GB"/>
        </w:rPr>
        <w:t xml:space="preserve"> set out in section 7 above</w:t>
      </w:r>
      <w:r w:rsidR="00CB5195" w:rsidRPr="00CE2B73">
        <w:rPr>
          <w:rFonts w:ascii="Arial" w:eastAsia="Times New Roman" w:hAnsi="Arial" w:cs="Arial"/>
          <w:color w:val="000000"/>
          <w:spacing w:val="6"/>
          <w:sz w:val="20"/>
          <w:szCs w:val="20"/>
          <w:lang w:eastAsia="en-GB"/>
        </w:rPr>
        <w:t>,</w:t>
      </w:r>
      <w:r w:rsidRPr="00CE2B73">
        <w:rPr>
          <w:rFonts w:ascii="Arial" w:eastAsia="Times New Roman" w:hAnsi="Arial" w:cs="Arial"/>
          <w:color w:val="000000"/>
          <w:spacing w:val="6"/>
          <w:sz w:val="20"/>
          <w:szCs w:val="20"/>
          <w:lang w:eastAsia="en-GB"/>
        </w:rPr>
        <w:t xml:space="preserve"> must be sent </w:t>
      </w:r>
      <w:r w:rsidR="00CB5195" w:rsidRPr="00CE2B73">
        <w:rPr>
          <w:rFonts w:ascii="Arial" w:eastAsia="Times New Roman" w:hAnsi="Arial" w:cs="Arial"/>
          <w:color w:val="000000"/>
          <w:spacing w:val="6"/>
          <w:sz w:val="20"/>
          <w:szCs w:val="20"/>
          <w:lang w:eastAsia="en-GB"/>
        </w:rPr>
        <w:t xml:space="preserve">to Parliament within 60 days after </w:t>
      </w:r>
      <w:r w:rsidRPr="00CE2B73">
        <w:rPr>
          <w:rFonts w:ascii="Arial" w:eastAsia="Times New Roman" w:hAnsi="Arial" w:cs="Arial"/>
          <w:color w:val="000000"/>
          <w:spacing w:val="6"/>
          <w:sz w:val="20"/>
          <w:szCs w:val="20"/>
          <w:lang w:eastAsia="en-GB"/>
        </w:rPr>
        <w:t>the adoption of this report by the National Assembly.</w:t>
      </w:r>
    </w:p>
    <w:p w:rsidR="00DB279C" w:rsidRPr="00CE2B73" w:rsidRDefault="00DB279C" w:rsidP="00CE2B73">
      <w:pPr>
        <w:spacing w:after="0" w:line="240" w:lineRule="auto"/>
        <w:rPr>
          <w:rFonts w:ascii="Arial" w:eastAsia="Times New Roman" w:hAnsi="Arial" w:cs="Arial"/>
          <w:sz w:val="20"/>
          <w:szCs w:val="20"/>
        </w:rPr>
      </w:pPr>
    </w:p>
    <w:p w:rsidR="00CB5195" w:rsidRPr="00CE2B73" w:rsidRDefault="00CB5195" w:rsidP="00CE2B73">
      <w:pPr>
        <w:spacing w:after="0" w:line="240" w:lineRule="auto"/>
        <w:rPr>
          <w:rFonts w:ascii="Arial" w:eastAsia="Times New Roman" w:hAnsi="Arial" w:cs="Arial"/>
          <w:sz w:val="20"/>
          <w:szCs w:val="20"/>
        </w:rPr>
      </w:pPr>
    </w:p>
    <w:p w:rsidR="00DB279C" w:rsidRPr="00CE2B73" w:rsidRDefault="00DB279C" w:rsidP="00CE2B73">
      <w:pPr>
        <w:spacing w:after="0" w:line="240" w:lineRule="auto"/>
        <w:rPr>
          <w:rFonts w:ascii="Arial" w:eastAsia="Times New Roman" w:hAnsi="Arial" w:cs="Arial"/>
          <w:sz w:val="20"/>
          <w:szCs w:val="20"/>
        </w:rPr>
      </w:pPr>
    </w:p>
    <w:p w:rsidR="00A95518" w:rsidRPr="00CE2B73" w:rsidRDefault="00DB279C" w:rsidP="00CE2B73">
      <w:pPr>
        <w:spacing w:after="0" w:line="240" w:lineRule="auto"/>
        <w:rPr>
          <w:rFonts w:ascii="Arial" w:hAnsi="Arial" w:cs="Arial"/>
          <w:sz w:val="20"/>
          <w:szCs w:val="20"/>
        </w:rPr>
      </w:pPr>
      <w:r w:rsidRPr="00CE2B73">
        <w:rPr>
          <w:rFonts w:ascii="Arial" w:eastAsia="Times New Roman" w:hAnsi="Arial" w:cs="Arial"/>
          <w:sz w:val="20"/>
          <w:szCs w:val="20"/>
        </w:rPr>
        <w:t>Report to be considered.</w:t>
      </w:r>
    </w:p>
    <w:sectPr w:rsidR="00A95518" w:rsidRPr="00CE2B73" w:rsidSect="00944753">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8C" w:rsidRDefault="007A408C">
      <w:pPr>
        <w:spacing w:after="0" w:line="240" w:lineRule="auto"/>
      </w:pPr>
      <w:r>
        <w:separator/>
      </w:r>
    </w:p>
  </w:endnote>
  <w:endnote w:type="continuationSeparator" w:id="0">
    <w:p w:rsidR="007A408C" w:rsidRDefault="007A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AE" w:rsidRDefault="00301B40" w:rsidP="00944753">
    <w:pPr>
      <w:pStyle w:val="Footer"/>
      <w:framePr w:wrap="around" w:vAnchor="text" w:hAnchor="margin" w:xAlign="right" w:y="1"/>
      <w:rPr>
        <w:rStyle w:val="PageNumber"/>
      </w:rPr>
    </w:pPr>
    <w:r>
      <w:rPr>
        <w:rStyle w:val="PageNumber"/>
      </w:rPr>
      <w:fldChar w:fldCharType="begin"/>
    </w:r>
    <w:r w:rsidR="003767AE">
      <w:rPr>
        <w:rStyle w:val="PageNumber"/>
      </w:rPr>
      <w:instrText xml:space="preserve">PAGE  </w:instrText>
    </w:r>
    <w:r>
      <w:rPr>
        <w:rStyle w:val="PageNumber"/>
      </w:rPr>
      <w:fldChar w:fldCharType="end"/>
    </w:r>
  </w:p>
  <w:p w:rsidR="003767AE" w:rsidRDefault="003767AE" w:rsidP="00944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AE" w:rsidRDefault="00301B40">
    <w:pPr>
      <w:pStyle w:val="Footer"/>
      <w:jc w:val="right"/>
    </w:pPr>
    <w:r>
      <w:fldChar w:fldCharType="begin"/>
    </w:r>
    <w:r w:rsidR="003767AE">
      <w:instrText xml:space="preserve"> PAGE   \* MERGEFORMAT </w:instrText>
    </w:r>
    <w:r>
      <w:fldChar w:fldCharType="separate"/>
    </w:r>
    <w:r w:rsidR="00CE2B73">
      <w:rPr>
        <w:noProof/>
      </w:rPr>
      <w:t>1</w:t>
    </w:r>
    <w:r>
      <w:fldChar w:fldCharType="end"/>
    </w:r>
  </w:p>
  <w:p w:rsidR="003767AE" w:rsidRDefault="003767AE" w:rsidP="009447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8C" w:rsidRDefault="007A408C">
      <w:pPr>
        <w:spacing w:after="0" w:line="240" w:lineRule="auto"/>
      </w:pPr>
      <w:r>
        <w:separator/>
      </w:r>
    </w:p>
  </w:footnote>
  <w:footnote w:type="continuationSeparator" w:id="0">
    <w:p w:rsidR="007A408C" w:rsidRDefault="007A4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C22"/>
    <w:multiLevelType w:val="hybridMultilevel"/>
    <w:tmpl w:val="1BE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5026"/>
    <w:multiLevelType w:val="hybridMultilevel"/>
    <w:tmpl w:val="0BB47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B328EB"/>
    <w:multiLevelType w:val="hybridMultilevel"/>
    <w:tmpl w:val="DF927DAC"/>
    <w:lvl w:ilvl="0" w:tplc="D8A016D8">
      <w:start w:val="5"/>
      <w:numFmt w:val="bullet"/>
      <w:lvlText w:val="-"/>
      <w:lvlJc w:val="left"/>
      <w:pPr>
        <w:ind w:left="1364" w:hanging="360"/>
      </w:pPr>
      <w:rPr>
        <w:rFonts w:ascii="Arial" w:eastAsiaTheme="minorHAnsi" w:hAnsi="Arial" w:cs="Aria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0DDB4AB7"/>
    <w:multiLevelType w:val="hybridMultilevel"/>
    <w:tmpl w:val="DF8A3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9A4076"/>
    <w:multiLevelType w:val="multilevel"/>
    <w:tmpl w:val="99863F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0E60C87"/>
    <w:multiLevelType w:val="hybridMultilevel"/>
    <w:tmpl w:val="881614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1A05947"/>
    <w:multiLevelType w:val="hybridMultilevel"/>
    <w:tmpl w:val="98AC8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C6B52"/>
    <w:multiLevelType w:val="hybridMultilevel"/>
    <w:tmpl w:val="043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E7A61"/>
    <w:multiLevelType w:val="hybridMultilevel"/>
    <w:tmpl w:val="44DE8D8A"/>
    <w:lvl w:ilvl="0" w:tplc="4DCCE90A">
      <w:start w:val="1"/>
      <w:numFmt w:val="bullet"/>
      <w:lvlText w:val="•"/>
      <w:lvlJc w:val="left"/>
      <w:pPr>
        <w:tabs>
          <w:tab w:val="num" w:pos="720"/>
        </w:tabs>
        <w:ind w:left="720" w:hanging="360"/>
      </w:pPr>
      <w:rPr>
        <w:rFonts w:ascii="Arial" w:hAnsi="Arial" w:hint="default"/>
      </w:rPr>
    </w:lvl>
    <w:lvl w:ilvl="1" w:tplc="ABAA154C" w:tentative="1">
      <w:start w:val="1"/>
      <w:numFmt w:val="bullet"/>
      <w:lvlText w:val="•"/>
      <w:lvlJc w:val="left"/>
      <w:pPr>
        <w:tabs>
          <w:tab w:val="num" w:pos="1440"/>
        </w:tabs>
        <w:ind w:left="1440" w:hanging="360"/>
      </w:pPr>
      <w:rPr>
        <w:rFonts w:ascii="Arial" w:hAnsi="Arial" w:hint="default"/>
      </w:rPr>
    </w:lvl>
    <w:lvl w:ilvl="2" w:tplc="53181B74" w:tentative="1">
      <w:start w:val="1"/>
      <w:numFmt w:val="bullet"/>
      <w:lvlText w:val="•"/>
      <w:lvlJc w:val="left"/>
      <w:pPr>
        <w:tabs>
          <w:tab w:val="num" w:pos="2160"/>
        </w:tabs>
        <w:ind w:left="2160" w:hanging="360"/>
      </w:pPr>
      <w:rPr>
        <w:rFonts w:ascii="Arial" w:hAnsi="Arial" w:hint="default"/>
      </w:rPr>
    </w:lvl>
    <w:lvl w:ilvl="3" w:tplc="9230D386" w:tentative="1">
      <w:start w:val="1"/>
      <w:numFmt w:val="bullet"/>
      <w:lvlText w:val="•"/>
      <w:lvlJc w:val="left"/>
      <w:pPr>
        <w:tabs>
          <w:tab w:val="num" w:pos="2880"/>
        </w:tabs>
        <w:ind w:left="2880" w:hanging="360"/>
      </w:pPr>
      <w:rPr>
        <w:rFonts w:ascii="Arial" w:hAnsi="Arial" w:hint="default"/>
      </w:rPr>
    </w:lvl>
    <w:lvl w:ilvl="4" w:tplc="3D86BEA0" w:tentative="1">
      <w:start w:val="1"/>
      <w:numFmt w:val="bullet"/>
      <w:lvlText w:val="•"/>
      <w:lvlJc w:val="left"/>
      <w:pPr>
        <w:tabs>
          <w:tab w:val="num" w:pos="3600"/>
        </w:tabs>
        <w:ind w:left="3600" w:hanging="360"/>
      </w:pPr>
      <w:rPr>
        <w:rFonts w:ascii="Arial" w:hAnsi="Arial" w:hint="default"/>
      </w:rPr>
    </w:lvl>
    <w:lvl w:ilvl="5" w:tplc="AB904490" w:tentative="1">
      <w:start w:val="1"/>
      <w:numFmt w:val="bullet"/>
      <w:lvlText w:val="•"/>
      <w:lvlJc w:val="left"/>
      <w:pPr>
        <w:tabs>
          <w:tab w:val="num" w:pos="4320"/>
        </w:tabs>
        <w:ind w:left="4320" w:hanging="360"/>
      </w:pPr>
      <w:rPr>
        <w:rFonts w:ascii="Arial" w:hAnsi="Arial" w:hint="default"/>
      </w:rPr>
    </w:lvl>
    <w:lvl w:ilvl="6" w:tplc="B52A9DF0" w:tentative="1">
      <w:start w:val="1"/>
      <w:numFmt w:val="bullet"/>
      <w:lvlText w:val="•"/>
      <w:lvlJc w:val="left"/>
      <w:pPr>
        <w:tabs>
          <w:tab w:val="num" w:pos="5040"/>
        </w:tabs>
        <w:ind w:left="5040" w:hanging="360"/>
      </w:pPr>
      <w:rPr>
        <w:rFonts w:ascii="Arial" w:hAnsi="Arial" w:hint="default"/>
      </w:rPr>
    </w:lvl>
    <w:lvl w:ilvl="7" w:tplc="A1E2D084" w:tentative="1">
      <w:start w:val="1"/>
      <w:numFmt w:val="bullet"/>
      <w:lvlText w:val="•"/>
      <w:lvlJc w:val="left"/>
      <w:pPr>
        <w:tabs>
          <w:tab w:val="num" w:pos="5760"/>
        </w:tabs>
        <w:ind w:left="5760" w:hanging="360"/>
      </w:pPr>
      <w:rPr>
        <w:rFonts w:ascii="Arial" w:hAnsi="Arial" w:hint="default"/>
      </w:rPr>
    </w:lvl>
    <w:lvl w:ilvl="8" w:tplc="E6BC6F1E" w:tentative="1">
      <w:start w:val="1"/>
      <w:numFmt w:val="bullet"/>
      <w:lvlText w:val="•"/>
      <w:lvlJc w:val="left"/>
      <w:pPr>
        <w:tabs>
          <w:tab w:val="num" w:pos="6480"/>
        </w:tabs>
        <w:ind w:left="6480" w:hanging="360"/>
      </w:pPr>
      <w:rPr>
        <w:rFonts w:ascii="Arial" w:hAnsi="Arial" w:hint="default"/>
      </w:rPr>
    </w:lvl>
  </w:abstractNum>
  <w:abstractNum w:abstractNumId="9">
    <w:nsid w:val="1E5904EB"/>
    <w:multiLevelType w:val="hybridMultilevel"/>
    <w:tmpl w:val="C2A02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230563D"/>
    <w:multiLevelType w:val="hybridMultilevel"/>
    <w:tmpl w:val="51D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C0D73"/>
    <w:multiLevelType w:val="hybridMultilevel"/>
    <w:tmpl w:val="5A1AF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4DC3A38"/>
    <w:multiLevelType w:val="hybridMultilevel"/>
    <w:tmpl w:val="8C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13D29"/>
    <w:multiLevelType w:val="hybridMultilevel"/>
    <w:tmpl w:val="2624A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1B35FB"/>
    <w:multiLevelType w:val="hybridMultilevel"/>
    <w:tmpl w:val="35A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14956"/>
    <w:multiLevelType w:val="hybridMultilevel"/>
    <w:tmpl w:val="7E90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C7818"/>
    <w:multiLevelType w:val="multilevel"/>
    <w:tmpl w:val="B5F4F6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08E3E1A"/>
    <w:multiLevelType w:val="hybridMultilevel"/>
    <w:tmpl w:val="63E2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713109"/>
    <w:multiLevelType w:val="multilevel"/>
    <w:tmpl w:val="D3A046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6D3E6B"/>
    <w:multiLevelType w:val="multilevel"/>
    <w:tmpl w:val="953809CA"/>
    <w:lvl w:ilvl="0">
      <w:start w:val="7"/>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0">
    <w:nsid w:val="55172C36"/>
    <w:multiLevelType w:val="hybridMultilevel"/>
    <w:tmpl w:val="C43E1E56"/>
    <w:lvl w:ilvl="0" w:tplc="D8A016D8">
      <w:start w:val="5"/>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8711E7D"/>
    <w:multiLevelType w:val="hybridMultilevel"/>
    <w:tmpl w:val="C920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D6DC7"/>
    <w:multiLevelType w:val="hybridMultilevel"/>
    <w:tmpl w:val="C380B278"/>
    <w:lvl w:ilvl="0" w:tplc="6DFA9B32">
      <w:start w:val="2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BE65804"/>
    <w:multiLevelType w:val="hybridMultilevel"/>
    <w:tmpl w:val="AAB46F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C225392"/>
    <w:multiLevelType w:val="multilevel"/>
    <w:tmpl w:val="ABCAF3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6E77EE"/>
    <w:multiLevelType w:val="hybridMultilevel"/>
    <w:tmpl w:val="8A1CC140"/>
    <w:lvl w:ilvl="0" w:tplc="D8A016D8">
      <w:start w:val="5"/>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1FC5C75"/>
    <w:multiLevelType w:val="hybridMultilevel"/>
    <w:tmpl w:val="8A241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2D13202"/>
    <w:multiLevelType w:val="multilevel"/>
    <w:tmpl w:val="356278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B7A0025"/>
    <w:multiLevelType w:val="hybridMultilevel"/>
    <w:tmpl w:val="7F3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2251A"/>
    <w:multiLevelType w:val="hybridMultilevel"/>
    <w:tmpl w:val="37C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E409D"/>
    <w:multiLevelType w:val="multilevel"/>
    <w:tmpl w:val="5E2416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7"/>
  </w:num>
  <w:num w:numId="2">
    <w:abstractNumId w:val="6"/>
  </w:num>
  <w:num w:numId="3">
    <w:abstractNumId w:val="16"/>
  </w:num>
  <w:num w:numId="4">
    <w:abstractNumId w:val="17"/>
  </w:num>
  <w:num w:numId="5">
    <w:abstractNumId w:val="21"/>
  </w:num>
  <w:num w:numId="6">
    <w:abstractNumId w:val="10"/>
  </w:num>
  <w:num w:numId="7">
    <w:abstractNumId w:val="14"/>
  </w:num>
  <w:num w:numId="8">
    <w:abstractNumId w:val="7"/>
  </w:num>
  <w:num w:numId="9">
    <w:abstractNumId w:val="18"/>
  </w:num>
  <w:num w:numId="10">
    <w:abstractNumId w:val="3"/>
  </w:num>
  <w:num w:numId="11">
    <w:abstractNumId w:val="1"/>
  </w:num>
  <w:num w:numId="12">
    <w:abstractNumId w:val="15"/>
  </w:num>
  <w:num w:numId="13">
    <w:abstractNumId w:val="20"/>
  </w:num>
  <w:num w:numId="14">
    <w:abstractNumId w:val="26"/>
  </w:num>
  <w:num w:numId="15">
    <w:abstractNumId w:val="23"/>
  </w:num>
  <w:num w:numId="16">
    <w:abstractNumId w:val="9"/>
  </w:num>
  <w:num w:numId="17">
    <w:abstractNumId w:val="13"/>
  </w:num>
  <w:num w:numId="18">
    <w:abstractNumId w:val="24"/>
  </w:num>
  <w:num w:numId="19">
    <w:abstractNumId w:val="8"/>
  </w:num>
  <w:num w:numId="20">
    <w:abstractNumId w:val="12"/>
  </w:num>
  <w:num w:numId="21">
    <w:abstractNumId w:val="28"/>
  </w:num>
  <w:num w:numId="22">
    <w:abstractNumId w:val="5"/>
  </w:num>
  <w:num w:numId="23">
    <w:abstractNumId w:val="25"/>
  </w:num>
  <w:num w:numId="24">
    <w:abstractNumId w:val="2"/>
  </w:num>
  <w:num w:numId="25">
    <w:abstractNumId w:val="0"/>
  </w:num>
  <w:num w:numId="26">
    <w:abstractNumId w:val="29"/>
  </w:num>
  <w:num w:numId="27">
    <w:abstractNumId w:val="11"/>
  </w:num>
  <w:num w:numId="28">
    <w:abstractNumId w:val="22"/>
  </w:num>
  <w:num w:numId="29">
    <w:abstractNumId w:val="30"/>
  </w:num>
  <w:num w:numId="30">
    <w:abstractNumId w:val="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B279C"/>
    <w:rsid w:val="000020F0"/>
    <w:rsid w:val="00030361"/>
    <w:rsid w:val="00051985"/>
    <w:rsid w:val="00065D52"/>
    <w:rsid w:val="0006666F"/>
    <w:rsid w:val="000755C4"/>
    <w:rsid w:val="000A0BE3"/>
    <w:rsid w:val="000A4433"/>
    <w:rsid w:val="000A49A9"/>
    <w:rsid w:val="000A7A40"/>
    <w:rsid w:val="000B39CD"/>
    <w:rsid w:val="000F182E"/>
    <w:rsid w:val="00113B44"/>
    <w:rsid w:val="00116F01"/>
    <w:rsid w:val="00127E04"/>
    <w:rsid w:val="00140633"/>
    <w:rsid w:val="00183809"/>
    <w:rsid w:val="00185037"/>
    <w:rsid w:val="00194EEF"/>
    <w:rsid w:val="001B1CB5"/>
    <w:rsid w:val="001B76DD"/>
    <w:rsid w:val="001D4496"/>
    <w:rsid w:val="001E53CC"/>
    <w:rsid w:val="00204333"/>
    <w:rsid w:val="00210B51"/>
    <w:rsid w:val="00212424"/>
    <w:rsid w:val="0021502D"/>
    <w:rsid w:val="002209DE"/>
    <w:rsid w:val="00230022"/>
    <w:rsid w:val="00244BB3"/>
    <w:rsid w:val="00246BDC"/>
    <w:rsid w:val="00254D99"/>
    <w:rsid w:val="00277F09"/>
    <w:rsid w:val="00292560"/>
    <w:rsid w:val="00295309"/>
    <w:rsid w:val="00295D23"/>
    <w:rsid w:val="002B6624"/>
    <w:rsid w:val="002C7317"/>
    <w:rsid w:val="002D2386"/>
    <w:rsid w:val="002D3074"/>
    <w:rsid w:val="002D3F59"/>
    <w:rsid w:val="002E1BD8"/>
    <w:rsid w:val="002E7AF2"/>
    <w:rsid w:val="00301B40"/>
    <w:rsid w:val="003229FC"/>
    <w:rsid w:val="00337E6E"/>
    <w:rsid w:val="003517B1"/>
    <w:rsid w:val="00364519"/>
    <w:rsid w:val="003767AE"/>
    <w:rsid w:val="00383105"/>
    <w:rsid w:val="003C47F2"/>
    <w:rsid w:val="003F1CA7"/>
    <w:rsid w:val="003F468F"/>
    <w:rsid w:val="003F4B48"/>
    <w:rsid w:val="00400EDE"/>
    <w:rsid w:val="00402667"/>
    <w:rsid w:val="004103A0"/>
    <w:rsid w:val="00417056"/>
    <w:rsid w:val="00420630"/>
    <w:rsid w:val="0044523D"/>
    <w:rsid w:val="00470193"/>
    <w:rsid w:val="0047590A"/>
    <w:rsid w:val="0047762E"/>
    <w:rsid w:val="00487B9B"/>
    <w:rsid w:val="004C4BD6"/>
    <w:rsid w:val="0054327B"/>
    <w:rsid w:val="00585FA6"/>
    <w:rsid w:val="00586350"/>
    <w:rsid w:val="00591B2F"/>
    <w:rsid w:val="005B01B9"/>
    <w:rsid w:val="005D184C"/>
    <w:rsid w:val="005F0302"/>
    <w:rsid w:val="005F752B"/>
    <w:rsid w:val="006007ED"/>
    <w:rsid w:val="00606688"/>
    <w:rsid w:val="00616D84"/>
    <w:rsid w:val="00641285"/>
    <w:rsid w:val="00682011"/>
    <w:rsid w:val="006D4E1D"/>
    <w:rsid w:val="006F566F"/>
    <w:rsid w:val="00704B5A"/>
    <w:rsid w:val="00711F9B"/>
    <w:rsid w:val="00731A95"/>
    <w:rsid w:val="0074247E"/>
    <w:rsid w:val="007453BA"/>
    <w:rsid w:val="0075730D"/>
    <w:rsid w:val="00774F29"/>
    <w:rsid w:val="007A2663"/>
    <w:rsid w:val="007A408C"/>
    <w:rsid w:val="007C00EB"/>
    <w:rsid w:val="007C53DD"/>
    <w:rsid w:val="007F139F"/>
    <w:rsid w:val="00823A81"/>
    <w:rsid w:val="00837BD2"/>
    <w:rsid w:val="00842AF9"/>
    <w:rsid w:val="00854454"/>
    <w:rsid w:val="00857789"/>
    <w:rsid w:val="00862513"/>
    <w:rsid w:val="00884154"/>
    <w:rsid w:val="0089702F"/>
    <w:rsid w:val="008A1E48"/>
    <w:rsid w:val="008D613D"/>
    <w:rsid w:val="008E29AB"/>
    <w:rsid w:val="00904217"/>
    <w:rsid w:val="00913711"/>
    <w:rsid w:val="00933B56"/>
    <w:rsid w:val="00944753"/>
    <w:rsid w:val="00995BBA"/>
    <w:rsid w:val="009C59FE"/>
    <w:rsid w:val="009C7AB1"/>
    <w:rsid w:val="009C7D87"/>
    <w:rsid w:val="009E37C2"/>
    <w:rsid w:val="009F0580"/>
    <w:rsid w:val="009F2EDD"/>
    <w:rsid w:val="00A05286"/>
    <w:rsid w:val="00A053FE"/>
    <w:rsid w:val="00A368B2"/>
    <w:rsid w:val="00A95518"/>
    <w:rsid w:val="00AA22B2"/>
    <w:rsid w:val="00AC4195"/>
    <w:rsid w:val="00AD5D82"/>
    <w:rsid w:val="00AF55EE"/>
    <w:rsid w:val="00B1187D"/>
    <w:rsid w:val="00B14F55"/>
    <w:rsid w:val="00B21AAC"/>
    <w:rsid w:val="00B324E6"/>
    <w:rsid w:val="00B404F8"/>
    <w:rsid w:val="00B520C8"/>
    <w:rsid w:val="00B87B7E"/>
    <w:rsid w:val="00B87BAC"/>
    <w:rsid w:val="00BA3469"/>
    <w:rsid w:val="00BB0E5E"/>
    <w:rsid w:val="00BB3512"/>
    <w:rsid w:val="00BC15B1"/>
    <w:rsid w:val="00BD0EC3"/>
    <w:rsid w:val="00BE71FD"/>
    <w:rsid w:val="00C319F5"/>
    <w:rsid w:val="00C34939"/>
    <w:rsid w:val="00C467CE"/>
    <w:rsid w:val="00C73262"/>
    <w:rsid w:val="00C8437D"/>
    <w:rsid w:val="00C94AF5"/>
    <w:rsid w:val="00CB5195"/>
    <w:rsid w:val="00CC1671"/>
    <w:rsid w:val="00CD2357"/>
    <w:rsid w:val="00CE2B73"/>
    <w:rsid w:val="00CF6D0D"/>
    <w:rsid w:val="00D21925"/>
    <w:rsid w:val="00D26125"/>
    <w:rsid w:val="00D4029E"/>
    <w:rsid w:val="00D70854"/>
    <w:rsid w:val="00D71DE2"/>
    <w:rsid w:val="00DA3484"/>
    <w:rsid w:val="00DB279C"/>
    <w:rsid w:val="00DE2327"/>
    <w:rsid w:val="00DE3DA8"/>
    <w:rsid w:val="00E01E5C"/>
    <w:rsid w:val="00E06486"/>
    <w:rsid w:val="00E300E4"/>
    <w:rsid w:val="00E505B6"/>
    <w:rsid w:val="00E758B1"/>
    <w:rsid w:val="00E81A97"/>
    <w:rsid w:val="00E9455E"/>
    <w:rsid w:val="00E97D7B"/>
    <w:rsid w:val="00ED1771"/>
    <w:rsid w:val="00EE56A0"/>
    <w:rsid w:val="00EF14A1"/>
    <w:rsid w:val="00EF14E9"/>
    <w:rsid w:val="00EF22D9"/>
    <w:rsid w:val="00F16B59"/>
    <w:rsid w:val="00F403B0"/>
    <w:rsid w:val="00F45617"/>
    <w:rsid w:val="00F806D4"/>
    <w:rsid w:val="00F844A5"/>
    <w:rsid w:val="00FA047C"/>
    <w:rsid w:val="00FC189B"/>
    <w:rsid w:val="00FC2455"/>
    <w:rsid w:val="00FD74ED"/>
    <w:rsid w:val="00FE05A1"/>
    <w:rsid w:val="00FE1E21"/>
    <w:rsid w:val="00FE54FC"/>
    <w:rsid w:val="00FF0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9C"/>
  </w:style>
  <w:style w:type="character" w:styleId="PageNumber">
    <w:name w:val="page number"/>
    <w:uiPriority w:val="99"/>
    <w:rsid w:val="00DB279C"/>
    <w:rPr>
      <w:rFonts w:cs="Times New Roman"/>
    </w:rPr>
  </w:style>
  <w:style w:type="paragraph" w:styleId="ListParagraph">
    <w:name w:val="List Paragraph"/>
    <w:basedOn w:val="Normal"/>
    <w:uiPriority w:val="34"/>
    <w:qFormat/>
    <w:rsid w:val="00DB279C"/>
    <w:pPr>
      <w:ind w:left="720"/>
      <w:contextualSpacing/>
    </w:pPr>
  </w:style>
  <w:style w:type="paragraph" w:styleId="NormalWeb">
    <w:name w:val="Normal (Web)"/>
    <w:basedOn w:val="Normal"/>
    <w:uiPriority w:val="99"/>
    <w:unhideWhenUsed/>
    <w:rsid w:val="00DB279C"/>
    <w:pPr>
      <w:spacing w:before="100" w:beforeAutospacing="1" w:after="100" w:afterAutospacing="1" w:line="240" w:lineRule="auto"/>
    </w:pPr>
    <w:rPr>
      <w:rFonts w:ascii="Calibri" w:hAnsi="Calibri" w:cs="Calibri"/>
      <w:lang w:eastAsia="en-ZA"/>
    </w:rPr>
  </w:style>
  <w:style w:type="paragraph" w:styleId="Header">
    <w:name w:val="header"/>
    <w:basedOn w:val="Normal"/>
    <w:link w:val="HeaderChar"/>
    <w:uiPriority w:val="99"/>
    <w:unhideWhenUsed/>
    <w:rsid w:val="00DB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9C"/>
  </w:style>
  <w:style w:type="character" w:styleId="CommentReference">
    <w:name w:val="annotation reference"/>
    <w:basedOn w:val="DefaultParagraphFont"/>
    <w:uiPriority w:val="99"/>
    <w:semiHidden/>
    <w:unhideWhenUsed/>
    <w:rsid w:val="006F566F"/>
    <w:rPr>
      <w:sz w:val="16"/>
      <w:szCs w:val="16"/>
    </w:rPr>
  </w:style>
  <w:style w:type="paragraph" w:styleId="CommentText">
    <w:name w:val="annotation text"/>
    <w:basedOn w:val="Normal"/>
    <w:link w:val="CommentTextChar"/>
    <w:uiPriority w:val="99"/>
    <w:semiHidden/>
    <w:unhideWhenUsed/>
    <w:rsid w:val="006F566F"/>
    <w:pPr>
      <w:spacing w:line="240" w:lineRule="auto"/>
    </w:pPr>
    <w:rPr>
      <w:sz w:val="20"/>
      <w:szCs w:val="20"/>
    </w:rPr>
  </w:style>
  <w:style w:type="character" w:customStyle="1" w:styleId="CommentTextChar">
    <w:name w:val="Comment Text Char"/>
    <w:basedOn w:val="DefaultParagraphFont"/>
    <w:link w:val="CommentText"/>
    <w:uiPriority w:val="99"/>
    <w:semiHidden/>
    <w:rsid w:val="006F566F"/>
    <w:rPr>
      <w:sz w:val="20"/>
      <w:szCs w:val="20"/>
    </w:rPr>
  </w:style>
  <w:style w:type="paragraph" w:styleId="CommentSubject">
    <w:name w:val="annotation subject"/>
    <w:basedOn w:val="CommentText"/>
    <w:next w:val="CommentText"/>
    <w:link w:val="CommentSubjectChar"/>
    <w:uiPriority w:val="99"/>
    <w:semiHidden/>
    <w:unhideWhenUsed/>
    <w:rsid w:val="006F566F"/>
    <w:rPr>
      <w:b/>
      <w:bCs/>
    </w:rPr>
  </w:style>
  <w:style w:type="character" w:customStyle="1" w:styleId="CommentSubjectChar">
    <w:name w:val="Comment Subject Char"/>
    <w:basedOn w:val="CommentTextChar"/>
    <w:link w:val="CommentSubject"/>
    <w:uiPriority w:val="99"/>
    <w:semiHidden/>
    <w:rsid w:val="006F566F"/>
    <w:rPr>
      <w:b/>
      <w:bCs/>
      <w:sz w:val="20"/>
      <w:szCs w:val="20"/>
    </w:rPr>
  </w:style>
  <w:style w:type="paragraph" w:styleId="BalloonText">
    <w:name w:val="Balloon Text"/>
    <w:basedOn w:val="Normal"/>
    <w:link w:val="BalloonTextChar"/>
    <w:uiPriority w:val="99"/>
    <w:semiHidden/>
    <w:unhideWhenUsed/>
    <w:rsid w:val="006F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836718">
      <w:bodyDiv w:val="1"/>
      <w:marLeft w:val="0"/>
      <w:marRight w:val="0"/>
      <w:marTop w:val="0"/>
      <w:marBottom w:val="0"/>
      <w:divBdr>
        <w:top w:val="none" w:sz="0" w:space="0" w:color="auto"/>
        <w:left w:val="none" w:sz="0" w:space="0" w:color="auto"/>
        <w:bottom w:val="none" w:sz="0" w:space="0" w:color="auto"/>
        <w:right w:val="none" w:sz="0" w:space="0" w:color="auto"/>
      </w:divBdr>
      <w:divsChild>
        <w:div w:id="858542101">
          <w:marLeft w:val="547"/>
          <w:marRight w:val="0"/>
          <w:marTop w:val="77"/>
          <w:marBottom w:val="120"/>
          <w:divBdr>
            <w:top w:val="none" w:sz="0" w:space="0" w:color="auto"/>
            <w:left w:val="none" w:sz="0" w:space="0" w:color="auto"/>
            <w:bottom w:val="none" w:sz="0" w:space="0" w:color="auto"/>
            <w:right w:val="none" w:sz="0" w:space="0" w:color="auto"/>
          </w:divBdr>
        </w:div>
        <w:div w:id="907574794">
          <w:marLeft w:val="547"/>
          <w:marRight w:val="0"/>
          <w:marTop w:val="77"/>
          <w:marBottom w:val="120"/>
          <w:divBdr>
            <w:top w:val="none" w:sz="0" w:space="0" w:color="auto"/>
            <w:left w:val="none" w:sz="0" w:space="0" w:color="auto"/>
            <w:bottom w:val="none" w:sz="0" w:space="0" w:color="auto"/>
            <w:right w:val="none" w:sz="0" w:space="0" w:color="auto"/>
          </w:divBdr>
        </w:div>
        <w:div w:id="1862935588">
          <w:marLeft w:val="547"/>
          <w:marRight w:val="0"/>
          <w:marTop w:val="77"/>
          <w:marBottom w:val="120"/>
          <w:divBdr>
            <w:top w:val="none" w:sz="0" w:space="0" w:color="auto"/>
            <w:left w:val="none" w:sz="0" w:space="0" w:color="auto"/>
            <w:bottom w:val="none" w:sz="0" w:space="0" w:color="auto"/>
            <w:right w:val="none" w:sz="0" w:space="0" w:color="auto"/>
          </w:divBdr>
        </w:div>
        <w:div w:id="564029848">
          <w:marLeft w:val="547"/>
          <w:marRight w:val="0"/>
          <w:marTop w:val="77"/>
          <w:marBottom w:val="120"/>
          <w:divBdr>
            <w:top w:val="none" w:sz="0" w:space="0" w:color="auto"/>
            <w:left w:val="none" w:sz="0" w:space="0" w:color="auto"/>
            <w:bottom w:val="none" w:sz="0" w:space="0" w:color="auto"/>
            <w:right w:val="none" w:sz="0" w:space="0" w:color="auto"/>
          </w:divBdr>
        </w:div>
      </w:divsChild>
    </w:div>
    <w:div w:id="618754764">
      <w:bodyDiv w:val="1"/>
      <w:marLeft w:val="0"/>
      <w:marRight w:val="0"/>
      <w:marTop w:val="0"/>
      <w:marBottom w:val="0"/>
      <w:divBdr>
        <w:top w:val="none" w:sz="0" w:space="0" w:color="auto"/>
        <w:left w:val="none" w:sz="0" w:space="0" w:color="auto"/>
        <w:bottom w:val="none" w:sz="0" w:space="0" w:color="auto"/>
        <w:right w:val="none" w:sz="0" w:space="0" w:color="auto"/>
      </w:divBdr>
    </w:div>
    <w:div w:id="1162047554">
      <w:bodyDiv w:val="1"/>
      <w:marLeft w:val="0"/>
      <w:marRight w:val="0"/>
      <w:marTop w:val="0"/>
      <w:marBottom w:val="0"/>
      <w:divBdr>
        <w:top w:val="none" w:sz="0" w:space="0" w:color="auto"/>
        <w:left w:val="none" w:sz="0" w:space="0" w:color="auto"/>
        <w:bottom w:val="none" w:sz="0" w:space="0" w:color="auto"/>
        <w:right w:val="none" w:sz="0" w:space="0" w:color="auto"/>
      </w:divBdr>
      <w:divsChild>
        <w:div w:id="1371222110">
          <w:marLeft w:val="547"/>
          <w:marRight w:val="0"/>
          <w:marTop w:val="77"/>
          <w:marBottom w:val="0"/>
          <w:divBdr>
            <w:top w:val="none" w:sz="0" w:space="0" w:color="auto"/>
            <w:left w:val="none" w:sz="0" w:space="0" w:color="auto"/>
            <w:bottom w:val="none" w:sz="0" w:space="0" w:color="auto"/>
            <w:right w:val="none" w:sz="0" w:space="0" w:color="auto"/>
          </w:divBdr>
        </w:div>
        <w:div w:id="1890343193">
          <w:marLeft w:val="547"/>
          <w:marRight w:val="0"/>
          <w:marTop w:val="77"/>
          <w:marBottom w:val="0"/>
          <w:divBdr>
            <w:top w:val="none" w:sz="0" w:space="0" w:color="auto"/>
            <w:left w:val="none" w:sz="0" w:space="0" w:color="auto"/>
            <w:bottom w:val="none" w:sz="0" w:space="0" w:color="auto"/>
            <w:right w:val="none" w:sz="0" w:space="0" w:color="auto"/>
          </w:divBdr>
        </w:div>
      </w:divsChild>
    </w:div>
    <w:div w:id="1367295454">
      <w:bodyDiv w:val="1"/>
      <w:marLeft w:val="0"/>
      <w:marRight w:val="0"/>
      <w:marTop w:val="0"/>
      <w:marBottom w:val="0"/>
      <w:divBdr>
        <w:top w:val="none" w:sz="0" w:space="0" w:color="auto"/>
        <w:left w:val="none" w:sz="0" w:space="0" w:color="auto"/>
        <w:bottom w:val="none" w:sz="0" w:space="0" w:color="auto"/>
        <w:right w:val="none" w:sz="0" w:space="0" w:color="auto"/>
      </w:divBdr>
      <w:divsChild>
        <w:div w:id="170520641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7018</Words>
  <Characters>40004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2022-03-22T18:47:00Z</dcterms:created>
  <dcterms:modified xsi:type="dcterms:W3CDTF">2022-03-22T18:47:00Z</dcterms:modified>
</cp:coreProperties>
</file>