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2CB" w:rsidRPr="00545535" w:rsidRDefault="00542DB5" w:rsidP="00545535">
      <w:pPr>
        <w:pStyle w:val="Body"/>
        <w:spacing w:line="240" w:lineRule="auto"/>
        <w:jc w:val="left"/>
        <w:rPr>
          <w:rFonts w:eastAsia="Times New Roman" w:cs="Arial"/>
          <w:b/>
          <w:bCs/>
          <w:sz w:val="20"/>
          <w:szCs w:val="20"/>
        </w:rPr>
      </w:pPr>
      <w:r w:rsidRPr="00545535">
        <w:rPr>
          <w:rFonts w:cs="Arial"/>
          <w:b/>
          <w:bCs/>
          <w:sz w:val="20"/>
          <w:szCs w:val="20"/>
        </w:rPr>
        <w:t>Report of the Portfolio Committee on Trade</w:t>
      </w:r>
      <w:r w:rsidR="004C5DAD" w:rsidRPr="00545535">
        <w:rPr>
          <w:rFonts w:cs="Arial"/>
          <w:b/>
          <w:bCs/>
          <w:sz w:val="20"/>
          <w:szCs w:val="20"/>
        </w:rPr>
        <w:t xml:space="preserve"> and Industry on the Department</w:t>
      </w:r>
      <w:r w:rsidRPr="00545535">
        <w:rPr>
          <w:rFonts w:cs="Arial"/>
          <w:b/>
          <w:bCs/>
          <w:sz w:val="20"/>
          <w:szCs w:val="20"/>
        </w:rPr>
        <w:t xml:space="preserve"> of Trade, Industry and Competition’s Second and Third Quarter Financial and Non-Financial Performance </w:t>
      </w:r>
      <w:r w:rsidR="00D8136D" w:rsidRPr="00545535">
        <w:rPr>
          <w:rFonts w:cs="Arial"/>
          <w:b/>
          <w:bCs/>
          <w:sz w:val="20"/>
          <w:szCs w:val="20"/>
        </w:rPr>
        <w:t>for the 202</w:t>
      </w:r>
      <w:r w:rsidR="00DF2759" w:rsidRPr="00545535">
        <w:rPr>
          <w:rFonts w:cs="Arial"/>
          <w:b/>
          <w:bCs/>
          <w:sz w:val="20"/>
          <w:szCs w:val="20"/>
        </w:rPr>
        <w:t>1</w:t>
      </w:r>
      <w:r w:rsidR="00D8136D" w:rsidRPr="00545535">
        <w:rPr>
          <w:rFonts w:cs="Arial"/>
          <w:b/>
          <w:bCs/>
          <w:sz w:val="20"/>
          <w:szCs w:val="20"/>
        </w:rPr>
        <w:t>/2</w:t>
      </w:r>
      <w:r w:rsidR="00DF2759" w:rsidRPr="00545535">
        <w:rPr>
          <w:rFonts w:cs="Arial"/>
          <w:b/>
          <w:bCs/>
          <w:sz w:val="20"/>
          <w:szCs w:val="20"/>
        </w:rPr>
        <w:t>2</w:t>
      </w:r>
      <w:r w:rsidR="00D8136D" w:rsidRPr="00545535">
        <w:rPr>
          <w:rFonts w:cs="Arial"/>
          <w:b/>
          <w:bCs/>
          <w:sz w:val="20"/>
          <w:szCs w:val="20"/>
        </w:rPr>
        <w:t xml:space="preserve"> Financial Year, </w:t>
      </w:r>
      <w:r w:rsidRPr="00545535">
        <w:rPr>
          <w:rFonts w:cs="Arial"/>
          <w:b/>
          <w:bCs/>
          <w:sz w:val="20"/>
          <w:szCs w:val="20"/>
        </w:rPr>
        <w:t xml:space="preserve">dated </w:t>
      </w:r>
      <w:r w:rsidR="009C5F3A" w:rsidRPr="00545535">
        <w:rPr>
          <w:rFonts w:cs="Arial"/>
          <w:b/>
          <w:bCs/>
          <w:sz w:val="20"/>
          <w:szCs w:val="20"/>
        </w:rPr>
        <w:t>16</w:t>
      </w:r>
      <w:r w:rsidR="00927C92" w:rsidRPr="00545535">
        <w:rPr>
          <w:rFonts w:cs="Arial"/>
          <w:b/>
          <w:bCs/>
          <w:sz w:val="20"/>
          <w:szCs w:val="20"/>
        </w:rPr>
        <w:t xml:space="preserve"> </w:t>
      </w:r>
      <w:r w:rsidRPr="00545535">
        <w:rPr>
          <w:rFonts w:cs="Arial"/>
          <w:b/>
          <w:bCs/>
          <w:sz w:val="20"/>
          <w:szCs w:val="20"/>
        </w:rPr>
        <w:t>March 202</w:t>
      </w:r>
      <w:r w:rsidR="00DF2759" w:rsidRPr="00545535">
        <w:rPr>
          <w:rFonts w:cs="Arial"/>
          <w:b/>
          <w:bCs/>
          <w:sz w:val="20"/>
          <w:szCs w:val="20"/>
        </w:rPr>
        <w:t>2</w:t>
      </w:r>
    </w:p>
    <w:p w:rsidR="004802CB" w:rsidRPr="00545535" w:rsidRDefault="004802CB" w:rsidP="00545535">
      <w:pPr>
        <w:pStyle w:val="Body"/>
        <w:spacing w:line="240" w:lineRule="auto"/>
        <w:jc w:val="left"/>
        <w:rPr>
          <w:rFonts w:eastAsia="Times New Roman" w:cs="Arial"/>
          <w:sz w:val="20"/>
          <w:szCs w:val="20"/>
        </w:rPr>
      </w:pPr>
    </w:p>
    <w:p w:rsidR="004802CB" w:rsidRPr="00545535" w:rsidRDefault="00542DB5" w:rsidP="00545535">
      <w:pPr>
        <w:pStyle w:val="Body"/>
        <w:spacing w:line="240" w:lineRule="auto"/>
        <w:jc w:val="left"/>
        <w:rPr>
          <w:rFonts w:eastAsia="Times New Roman" w:cs="Arial"/>
          <w:sz w:val="20"/>
          <w:szCs w:val="20"/>
        </w:rPr>
      </w:pPr>
      <w:r w:rsidRPr="00545535">
        <w:rPr>
          <w:rFonts w:cs="Arial"/>
          <w:sz w:val="20"/>
          <w:szCs w:val="20"/>
        </w:rPr>
        <w:t>The Portfolio Committee on Trade and Industry, having assessed the service deliver</w:t>
      </w:r>
      <w:r w:rsidR="004C5DAD" w:rsidRPr="00545535">
        <w:rPr>
          <w:rFonts w:cs="Arial"/>
          <w:sz w:val="20"/>
          <w:szCs w:val="20"/>
        </w:rPr>
        <w:t>y performance of the Department</w:t>
      </w:r>
      <w:r w:rsidRPr="00545535">
        <w:rPr>
          <w:rFonts w:cs="Arial"/>
          <w:sz w:val="20"/>
          <w:szCs w:val="20"/>
        </w:rPr>
        <w:t xml:space="preserve"> of Trade, Industry and Competition (DTI</w:t>
      </w:r>
      <w:r w:rsidR="00D8136D" w:rsidRPr="00545535">
        <w:rPr>
          <w:rFonts w:cs="Arial"/>
          <w:sz w:val="20"/>
          <w:szCs w:val="20"/>
        </w:rPr>
        <w:t>C</w:t>
      </w:r>
      <w:r w:rsidRPr="00545535">
        <w:rPr>
          <w:rFonts w:cs="Arial"/>
          <w:sz w:val="20"/>
          <w:szCs w:val="20"/>
        </w:rPr>
        <w:t>), against its mandate and allocated resources, in particular the financial resources for the period 1 July to 31 December 202</w:t>
      </w:r>
      <w:r w:rsidR="00DF2759" w:rsidRPr="00545535">
        <w:rPr>
          <w:rFonts w:cs="Arial"/>
          <w:sz w:val="20"/>
          <w:szCs w:val="20"/>
        </w:rPr>
        <w:t>1</w:t>
      </w:r>
      <w:r w:rsidR="009C5F3A" w:rsidRPr="00545535">
        <w:rPr>
          <w:rFonts w:cs="Arial"/>
          <w:sz w:val="20"/>
          <w:szCs w:val="20"/>
        </w:rPr>
        <w:t>,</w:t>
      </w:r>
      <w:r w:rsidRPr="00545535">
        <w:rPr>
          <w:rFonts w:cs="Arial"/>
          <w:sz w:val="20"/>
          <w:szCs w:val="20"/>
        </w:rPr>
        <w:t xml:space="preserve"> on 1</w:t>
      </w:r>
      <w:r w:rsidR="00DF2759" w:rsidRPr="00545535">
        <w:rPr>
          <w:rFonts w:cs="Arial"/>
          <w:sz w:val="20"/>
          <w:szCs w:val="20"/>
        </w:rPr>
        <w:t>6</w:t>
      </w:r>
      <w:r w:rsidRPr="00545535">
        <w:rPr>
          <w:rFonts w:cs="Arial"/>
          <w:sz w:val="20"/>
          <w:szCs w:val="20"/>
        </w:rPr>
        <w:t xml:space="preserve"> February 202</w:t>
      </w:r>
      <w:r w:rsidR="00DF2759" w:rsidRPr="00545535">
        <w:rPr>
          <w:rFonts w:cs="Arial"/>
          <w:sz w:val="20"/>
          <w:szCs w:val="20"/>
        </w:rPr>
        <w:t>2</w:t>
      </w:r>
      <w:r w:rsidRPr="00545535">
        <w:rPr>
          <w:rFonts w:cs="Arial"/>
          <w:sz w:val="20"/>
          <w:szCs w:val="20"/>
        </w:rPr>
        <w:t>, reports as follows:</w:t>
      </w:r>
    </w:p>
    <w:p w:rsidR="004802CB" w:rsidRPr="00545535" w:rsidRDefault="004802CB" w:rsidP="00545535">
      <w:pPr>
        <w:pStyle w:val="Body"/>
        <w:spacing w:line="240" w:lineRule="auto"/>
        <w:jc w:val="left"/>
        <w:rPr>
          <w:rFonts w:eastAsia="Times New Roman" w:cs="Arial"/>
          <w:sz w:val="20"/>
          <w:szCs w:val="20"/>
        </w:rPr>
      </w:pPr>
    </w:p>
    <w:p w:rsidR="009556F0" w:rsidRPr="00545535" w:rsidRDefault="009556F0" w:rsidP="00545535">
      <w:pPr>
        <w:pStyle w:val="Heading1"/>
        <w:spacing w:before="0" w:line="240" w:lineRule="auto"/>
        <w:rPr>
          <w:rFonts w:ascii="Arial" w:hAnsi="Arial" w:cs="Arial"/>
          <w:sz w:val="20"/>
          <w:szCs w:val="20"/>
          <w:lang w:val="en-ZA"/>
        </w:rPr>
      </w:pPr>
      <w:bookmarkStart w:id="0" w:name="_gjdgxs"/>
      <w:bookmarkEnd w:id="0"/>
      <w:r w:rsidRPr="00545535">
        <w:rPr>
          <w:rFonts w:ascii="Arial" w:hAnsi="Arial" w:cs="Arial"/>
          <w:sz w:val="20"/>
          <w:szCs w:val="20"/>
          <w:lang w:val="en-ZA"/>
        </w:rPr>
        <w:t>Introduction</w:t>
      </w:r>
    </w:p>
    <w:p w:rsidR="004802CB" w:rsidRPr="00545535" w:rsidRDefault="004802CB" w:rsidP="00545535">
      <w:pPr>
        <w:pStyle w:val="Body"/>
        <w:spacing w:line="240" w:lineRule="auto"/>
        <w:jc w:val="left"/>
        <w:rPr>
          <w:rFonts w:eastAsia="Times New Roman" w:cs="Arial"/>
          <w:sz w:val="20"/>
          <w:szCs w:val="20"/>
        </w:rPr>
      </w:pPr>
    </w:p>
    <w:p w:rsidR="00FE6EAE" w:rsidRPr="00545535" w:rsidRDefault="00FE6EAE" w:rsidP="00545535">
      <w:pPr>
        <w:rPr>
          <w:rFonts w:ascii="Arial" w:hAnsi="Arial" w:cs="Arial"/>
          <w:sz w:val="20"/>
          <w:szCs w:val="20"/>
          <w:lang w:val="en-ZA"/>
        </w:rPr>
      </w:pPr>
      <w:r w:rsidRPr="00545535">
        <w:rPr>
          <w:rFonts w:ascii="Arial" w:hAnsi="Arial" w:cs="Arial"/>
          <w:sz w:val="20"/>
          <w:szCs w:val="20"/>
          <w:lang w:val="en-ZA"/>
        </w:rPr>
        <w:t xml:space="preserve">The second and third quarter </w:t>
      </w:r>
      <w:r w:rsidR="00FF12E9" w:rsidRPr="00545535">
        <w:rPr>
          <w:rFonts w:ascii="Arial" w:hAnsi="Arial" w:cs="Arial"/>
          <w:sz w:val="20"/>
          <w:szCs w:val="20"/>
          <w:lang w:val="en-ZA"/>
        </w:rPr>
        <w:t xml:space="preserve">of the 2021/22 financial year </w:t>
      </w:r>
      <w:r w:rsidR="00912DD2" w:rsidRPr="00545535">
        <w:rPr>
          <w:rFonts w:ascii="Arial" w:hAnsi="Arial" w:cs="Arial"/>
          <w:sz w:val="20"/>
          <w:szCs w:val="20"/>
          <w:lang w:val="en-ZA"/>
        </w:rPr>
        <w:t xml:space="preserve">was marked by continued economic recovery albeit slow with the gross domestic product  growing by 2,9 per cent since 2020.  However, the July unrest in the Gauteng and KwaZulu-Natal provinces had a significant negative impact on the economy during the third quarter of 2021. As a result of the unrest, the DTIC had to reprioritise some of its work and resources to assist affected businesses. This, combined with the </w:t>
      </w:r>
      <w:r w:rsidR="005E0958" w:rsidRPr="00545535">
        <w:rPr>
          <w:rFonts w:ascii="Arial" w:hAnsi="Arial" w:cs="Arial"/>
          <w:sz w:val="20"/>
          <w:szCs w:val="20"/>
          <w:lang w:val="en-ZA"/>
        </w:rPr>
        <w:t xml:space="preserve">continued </w:t>
      </w:r>
      <w:r w:rsidR="00912DD2" w:rsidRPr="00545535">
        <w:rPr>
          <w:rFonts w:ascii="Arial" w:hAnsi="Arial" w:cs="Arial"/>
          <w:sz w:val="20"/>
          <w:szCs w:val="20"/>
          <w:lang w:val="en-ZA"/>
        </w:rPr>
        <w:t xml:space="preserve">impact of the COVID-19 pandemic, negatively impacted the achievement of some of its targets during this period. </w:t>
      </w:r>
      <w:r w:rsidR="009C5F3A" w:rsidRPr="00545535">
        <w:rPr>
          <w:rFonts w:ascii="Arial" w:hAnsi="Arial" w:cs="Arial"/>
          <w:sz w:val="20"/>
          <w:szCs w:val="20"/>
          <w:lang w:val="en-ZA"/>
        </w:rPr>
        <w:t xml:space="preserve">As a result, </w:t>
      </w:r>
      <w:r w:rsidR="00912DD2" w:rsidRPr="00545535">
        <w:rPr>
          <w:rFonts w:ascii="Arial" w:hAnsi="Arial" w:cs="Arial"/>
          <w:sz w:val="20"/>
          <w:szCs w:val="20"/>
          <w:lang w:val="en-ZA"/>
        </w:rPr>
        <w:t xml:space="preserve">it had only achieved 85 per cent of its targets in the second quarter and 77 per cent in the third quarter of the 2021/22 financial year. </w:t>
      </w:r>
    </w:p>
    <w:p w:rsidR="00DF2759" w:rsidRPr="00545535" w:rsidRDefault="00DF2759" w:rsidP="00545535">
      <w:pPr>
        <w:pStyle w:val="Body"/>
        <w:spacing w:line="240" w:lineRule="auto"/>
        <w:jc w:val="left"/>
        <w:rPr>
          <w:rFonts w:eastAsia="Times New Roman" w:cs="Arial"/>
          <w:sz w:val="20"/>
          <w:szCs w:val="20"/>
        </w:rPr>
      </w:pPr>
    </w:p>
    <w:p w:rsidR="004802CB" w:rsidRPr="00545535" w:rsidRDefault="00542DB5" w:rsidP="00545535">
      <w:pPr>
        <w:pStyle w:val="Heading2"/>
        <w:spacing w:line="240" w:lineRule="auto"/>
        <w:jc w:val="left"/>
        <w:rPr>
          <w:rFonts w:ascii="Arial" w:eastAsia="Times New Roman" w:hAnsi="Arial" w:cs="Arial"/>
          <w:sz w:val="20"/>
          <w:szCs w:val="20"/>
        </w:rPr>
      </w:pPr>
      <w:bookmarkStart w:id="1" w:name="_j0zll"/>
      <w:bookmarkEnd w:id="1"/>
      <w:r w:rsidRPr="00545535">
        <w:rPr>
          <w:rFonts w:ascii="Arial" w:hAnsi="Arial" w:cs="Arial"/>
          <w:sz w:val="20"/>
          <w:szCs w:val="20"/>
        </w:rPr>
        <w:t xml:space="preserve">Mandate of the Committee </w:t>
      </w:r>
    </w:p>
    <w:p w:rsidR="004802CB" w:rsidRPr="00545535" w:rsidRDefault="00542DB5" w:rsidP="00545535">
      <w:pPr>
        <w:pStyle w:val="Body"/>
        <w:spacing w:line="240" w:lineRule="auto"/>
        <w:jc w:val="left"/>
        <w:rPr>
          <w:rFonts w:eastAsia="Times New Roman" w:cs="Arial"/>
          <w:sz w:val="20"/>
          <w:szCs w:val="20"/>
        </w:rPr>
      </w:pPr>
      <w:r w:rsidRPr="00545535">
        <w:rPr>
          <w:rFonts w:cs="Arial"/>
          <w:sz w:val="20"/>
          <w:szCs w:val="20"/>
        </w:rPr>
        <w:t xml:space="preserve">Section 5 of the Money Bills Amendment Procedure and Related Matters Act (No. 9 of 2009) requires the National Assembly, through its committees, to annually assess the performance of each national department over an 18-month period. This culminates in a committee submitting a report of this assessment known as a Budget Review and Recommendation (BRR) Report. The overarching purpose of the BRR Report is for the committee to make recommendations on the forward use of resources to address the implementation of policy priorities and services, as the relevant department may require additional, reduced or re-configured resources to achieve these priorities and services. This Act gives effect to Parliament’s constitutional powers to amend the budget in line with the fiscal framework. </w:t>
      </w:r>
    </w:p>
    <w:p w:rsidR="004802CB" w:rsidRPr="00545535" w:rsidRDefault="004802CB" w:rsidP="00545535">
      <w:pPr>
        <w:pStyle w:val="Body"/>
        <w:spacing w:line="240" w:lineRule="auto"/>
        <w:jc w:val="left"/>
        <w:rPr>
          <w:rFonts w:eastAsia="Times New Roman" w:cs="Arial"/>
          <w:sz w:val="20"/>
          <w:szCs w:val="20"/>
        </w:rPr>
      </w:pPr>
    </w:p>
    <w:p w:rsidR="004802CB" w:rsidRPr="00545535" w:rsidRDefault="00542DB5" w:rsidP="00545535">
      <w:pPr>
        <w:pStyle w:val="Body"/>
        <w:spacing w:line="240" w:lineRule="auto"/>
        <w:jc w:val="left"/>
        <w:rPr>
          <w:rFonts w:eastAsia="Times New Roman" w:cs="Arial"/>
          <w:sz w:val="20"/>
          <w:szCs w:val="20"/>
        </w:rPr>
      </w:pPr>
      <w:r w:rsidRPr="00545535">
        <w:rPr>
          <w:rFonts w:cs="Arial"/>
          <w:sz w:val="20"/>
          <w:szCs w:val="20"/>
        </w:rPr>
        <w:t>The current process forms part of ongoing oversight of the DTIC</w:t>
      </w:r>
      <w:r w:rsidR="004C5DAD" w:rsidRPr="00545535">
        <w:rPr>
          <w:rFonts w:cs="Arial"/>
          <w:sz w:val="20"/>
          <w:szCs w:val="20"/>
        </w:rPr>
        <w:t>’</w:t>
      </w:r>
      <w:r w:rsidRPr="00545535">
        <w:rPr>
          <w:rFonts w:cs="Arial"/>
          <w:sz w:val="20"/>
          <w:szCs w:val="20"/>
        </w:rPr>
        <w:t>s financial and non-financial performance. This will inform the next BRR process. Furthermore, Parliament’s Annual Performance Plan (APP) requires submission of reports on departments’ quarterly performance.</w:t>
      </w:r>
    </w:p>
    <w:p w:rsidR="004802CB" w:rsidRPr="00545535" w:rsidRDefault="004802CB" w:rsidP="00545535">
      <w:pPr>
        <w:pStyle w:val="Body"/>
        <w:spacing w:line="240" w:lineRule="auto"/>
        <w:jc w:val="left"/>
        <w:rPr>
          <w:rFonts w:eastAsia="Times New Roman" w:cs="Arial"/>
          <w:sz w:val="20"/>
          <w:szCs w:val="20"/>
        </w:rPr>
      </w:pPr>
    </w:p>
    <w:p w:rsidR="004802CB" w:rsidRPr="00545535" w:rsidRDefault="00542DB5" w:rsidP="00545535">
      <w:pPr>
        <w:pStyle w:val="Heading2"/>
        <w:spacing w:line="240" w:lineRule="auto"/>
        <w:jc w:val="left"/>
        <w:rPr>
          <w:rFonts w:ascii="Arial" w:hAnsi="Arial" w:cs="Arial"/>
          <w:sz w:val="20"/>
          <w:szCs w:val="20"/>
        </w:rPr>
      </w:pPr>
      <w:r w:rsidRPr="00545535">
        <w:rPr>
          <w:rFonts w:ascii="Arial" w:hAnsi="Arial" w:cs="Arial"/>
          <w:sz w:val="20"/>
          <w:szCs w:val="20"/>
        </w:rPr>
        <w:t xml:space="preserve">Purpose of the Report </w:t>
      </w:r>
    </w:p>
    <w:p w:rsidR="004802CB" w:rsidRPr="00545535" w:rsidRDefault="00542DB5" w:rsidP="00545535">
      <w:pPr>
        <w:pStyle w:val="Body"/>
        <w:spacing w:line="240" w:lineRule="auto"/>
        <w:jc w:val="left"/>
        <w:rPr>
          <w:rFonts w:eastAsia="Times New Roman" w:cs="Arial"/>
          <w:sz w:val="20"/>
          <w:szCs w:val="20"/>
        </w:rPr>
      </w:pPr>
      <w:r w:rsidRPr="00545535">
        <w:rPr>
          <w:rFonts w:cs="Arial"/>
          <w:sz w:val="20"/>
          <w:szCs w:val="20"/>
        </w:rPr>
        <w:t xml:space="preserve">The purpose of this report is to monitor the financial and non-financial performance of the DTIC against </w:t>
      </w:r>
      <w:r w:rsidR="00765303" w:rsidRPr="00545535">
        <w:rPr>
          <w:rFonts w:cs="Arial"/>
          <w:sz w:val="20"/>
          <w:szCs w:val="20"/>
        </w:rPr>
        <w:t xml:space="preserve">its </w:t>
      </w:r>
      <w:r w:rsidRPr="00545535">
        <w:rPr>
          <w:rFonts w:cs="Arial"/>
          <w:sz w:val="20"/>
          <w:szCs w:val="20"/>
        </w:rPr>
        <w:t xml:space="preserve">predetermined objectives and quarterly milestones as part of the Committee’s ongoing budgetary oversight. This report assesses the non-financial and financial performance </w:t>
      </w:r>
      <w:r w:rsidR="00C36D89" w:rsidRPr="00545535">
        <w:rPr>
          <w:rFonts w:cs="Arial"/>
          <w:sz w:val="20"/>
          <w:szCs w:val="20"/>
        </w:rPr>
        <w:t>for</w:t>
      </w:r>
      <w:r w:rsidRPr="00545535">
        <w:rPr>
          <w:rFonts w:cs="Arial"/>
          <w:sz w:val="20"/>
          <w:szCs w:val="20"/>
        </w:rPr>
        <w:t xml:space="preserve"> the seco</w:t>
      </w:r>
      <w:r w:rsidR="00DF2759" w:rsidRPr="00545535">
        <w:rPr>
          <w:rFonts w:cs="Arial"/>
          <w:sz w:val="20"/>
          <w:szCs w:val="20"/>
        </w:rPr>
        <w:t>nd and third quarter of the 2021</w:t>
      </w:r>
      <w:r w:rsidRPr="00545535">
        <w:rPr>
          <w:rFonts w:cs="Arial"/>
          <w:sz w:val="20"/>
          <w:szCs w:val="20"/>
        </w:rPr>
        <w:t>/2</w:t>
      </w:r>
      <w:r w:rsidR="00DF2759" w:rsidRPr="00545535">
        <w:rPr>
          <w:rFonts w:cs="Arial"/>
          <w:sz w:val="20"/>
          <w:szCs w:val="20"/>
        </w:rPr>
        <w:t>2</w:t>
      </w:r>
      <w:r w:rsidRPr="00545535">
        <w:rPr>
          <w:rFonts w:cs="Arial"/>
          <w:sz w:val="20"/>
          <w:szCs w:val="20"/>
        </w:rPr>
        <w:t xml:space="preserve"> financial year, namely fr</w:t>
      </w:r>
      <w:r w:rsidR="00DF2759" w:rsidRPr="00545535">
        <w:rPr>
          <w:rFonts w:cs="Arial"/>
          <w:sz w:val="20"/>
          <w:szCs w:val="20"/>
        </w:rPr>
        <w:t>om 1 July to 31 December 2021</w:t>
      </w:r>
      <w:r w:rsidRPr="00545535">
        <w:rPr>
          <w:rFonts w:cs="Arial"/>
          <w:sz w:val="20"/>
          <w:szCs w:val="20"/>
        </w:rPr>
        <w:t>.</w:t>
      </w:r>
    </w:p>
    <w:p w:rsidR="004802CB" w:rsidRPr="00545535" w:rsidRDefault="004802CB" w:rsidP="00545535">
      <w:pPr>
        <w:pStyle w:val="Body"/>
        <w:spacing w:line="240" w:lineRule="auto"/>
        <w:jc w:val="left"/>
        <w:rPr>
          <w:rFonts w:eastAsia="Times New Roman" w:cs="Arial"/>
          <w:sz w:val="20"/>
          <w:szCs w:val="20"/>
        </w:rPr>
      </w:pPr>
    </w:p>
    <w:p w:rsidR="004802CB" w:rsidRPr="00545535" w:rsidRDefault="0008374C" w:rsidP="00545535">
      <w:pPr>
        <w:pStyle w:val="Heading2"/>
        <w:spacing w:line="240" w:lineRule="auto"/>
        <w:jc w:val="left"/>
        <w:rPr>
          <w:rFonts w:ascii="Arial" w:hAnsi="Arial" w:cs="Arial"/>
          <w:sz w:val="20"/>
          <w:szCs w:val="20"/>
        </w:rPr>
      </w:pPr>
      <w:bookmarkStart w:id="2" w:name="_fob9te"/>
      <w:bookmarkEnd w:id="2"/>
      <w:r w:rsidRPr="00545535">
        <w:rPr>
          <w:rFonts w:ascii="Arial" w:hAnsi="Arial" w:cs="Arial"/>
          <w:sz w:val="20"/>
          <w:szCs w:val="20"/>
        </w:rPr>
        <w:t>Me</w:t>
      </w:r>
      <w:r w:rsidR="00542DB5" w:rsidRPr="00545535">
        <w:rPr>
          <w:rFonts w:ascii="Arial" w:hAnsi="Arial" w:cs="Arial"/>
          <w:sz w:val="20"/>
          <w:szCs w:val="20"/>
        </w:rPr>
        <w:t>thod</w:t>
      </w:r>
    </w:p>
    <w:p w:rsidR="004802CB" w:rsidRPr="00545535" w:rsidRDefault="00542DB5" w:rsidP="00545535">
      <w:pPr>
        <w:pStyle w:val="Body"/>
        <w:spacing w:line="240" w:lineRule="auto"/>
        <w:jc w:val="left"/>
        <w:rPr>
          <w:rFonts w:eastAsia="Times New Roman" w:cs="Arial"/>
          <w:sz w:val="20"/>
          <w:szCs w:val="20"/>
        </w:rPr>
      </w:pPr>
      <w:r w:rsidRPr="00545535">
        <w:rPr>
          <w:rFonts w:cs="Arial"/>
          <w:sz w:val="20"/>
          <w:szCs w:val="20"/>
        </w:rPr>
        <w:t>The Committee was briefed by the DTIC on their second and third quarter performance for the 202</w:t>
      </w:r>
      <w:r w:rsidR="00DF2759" w:rsidRPr="00545535">
        <w:rPr>
          <w:rFonts w:cs="Arial"/>
          <w:sz w:val="20"/>
          <w:szCs w:val="20"/>
        </w:rPr>
        <w:t>1</w:t>
      </w:r>
      <w:r w:rsidRPr="00545535">
        <w:rPr>
          <w:rFonts w:cs="Arial"/>
          <w:sz w:val="20"/>
          <w:szCs w:val="20"/>
        </w:rPr>
        <w:t>/2</w:t>
      </w:r>
      <w:r w:rsidR="00DF2759" w:rsidRPr="00545535">
        <w:rPr>
          <w:rFonts w:cs="Arial"/>
          <w:sz w:val="20"/>
          <w:szCs w:val="20"/>
        </w:rPr>
        <w:t>2</w:t>
      </w:r>
      <w:r w:rsidRPr="00545535">
        <w:rPr>
          <w:rFonts w:cs="Arial"/>
          <w:sz w:val="20"/>
          <w:szCs w:val="20"/>
        </w:rPr>
        <w:t xml:space="preserve"> financial year on </w:t>
      </w:r>
      <w:r w:rsidR="00765303" w:rsidRPr="00545535">
        <w:rPr>
          <w:rFonts w:cs="Arial"/>
          <w:sz w:val="20"/>
          <w:szCs w:val="20"/>
        </w:rPr>
        <w:t xml:space="preserve">Wednesday, </w:t>
      </w:r>
      <w:r w:rsidR="00DF2759" w:rsidRPr="00545535">
        <w:rPr>
          <w:rFonts w:cs="Arial"/>
          <w:sz w:val="20"/>
          <w:szCs w:val="20"/>
        </w:rPr>
        <w:t>16 February 2022</w:t>
      </w:r>
      <w:r w:rsidRPr="00545535">
        <w:rPr>
          <w:rFonts w:cs="Arial"/>
          <w:sz w:val="20"/>
          <w:szCs w:val="20"/>
        </w:rPr>
        <w:t xml:space="preserve">. </w:t>
      </w:r>
    </w:p>
    <w:p w:rsidR="004802CB" w:rsidRPr="00545535" w:rsidRDefault="004802CB" w:rsidP="00545535">
      <w:pPr>
        <w:pStyle w:val="Body"/>
        <w:spacing w:line="240" w:lineRule="auto"/>
        <w:jc w:val="left"/>
        <w:rPr>
          <w:rFonts w:eastAsia="Times New Roman" w:cs="Arial"/>
          <w:sz w:val="20"/>
          <w:szCs w:val="20"/>
        </w:rPr>
      </w:pPr>
    </w:p>
    <w:p w:rsidR="004802CB" w:rsidRPr="00545535" w:rsidRDefault="00C36D89" w:rsidP="00545535">
      <w:pPr>
        <w:pStyle w:val="Heading2"/>
        <w:spacing w:line="240" w:lineRule="auto"/>
        <w:jc w:val="left"/>
        <w:rPr>
          <w:rFonts w:ascii="Arial" w:eastAsia="Times New Roman" w:hAnsi="Arial" w:cs="Arial"/>
          <w:sz w:val="20"/>
          <w:szCs w:val="20"/>
        </w:rPr>
      </w:pPr>
      <w:bookmarkStart w:id="3" w:name="_znysh7"/>
      <w:bookmarkEnd w:id="3"/>
      <w:r w:rsidRPr="00545535">
        <w:rPr>
          <w:rFonts w:ascii="Arial" w:hAnsi="Arial" w:cs="Arial"/>
          <w:sz w:val="20"/>
          <w:szCs w:val="20"/>
        </w:rPr>
        <w:t>Outline</w:t>
      </w:r>
      <w:r w:rsidR="00542DB5" w:rsidRPr="00545535">
        <w:rPr>
          <w:rFonts w:ascii="Arial" w:hAnsi="Arial" w:cs="Arial"/>
          <w:sz w:val="20"/>
          <w:szCs w:val="20"/>
        </w:rPr>
        <w:t xml:space="preserve"> of the contents of the Report</w:t>
      </w:r>
    </w:p>
    <w:p w:rsidR="004802CB" w:rsidRPr="00545535" w:rsidRDefault="00542DB5" w:rsidP="00545535">
      <w:pPr>
        <w:pStyle w:val="Body"/>
        <w:spacing w:line="240" w:lineRule="auto"/>
        <w:jc w:val="left"/>
        <w:rPr>
          <w:rFonts w:eastAsia="Times New Roman" w:cs="Arial"/>
          <w:sz w:val="20"/>
          <w:szCs w:val="20"/>
        </w:rPr>
      </w:pPr>
      <w:r w:rsidRPr="00545535">
        <w:rPr>
          <w:rFonts w:cs="Arial"/>
          <w:sz w:val="20"/>
          <w:szCs w:val="20"/>
        </w:rPr>
        <w:t>Section 1 of the report provides an introduction to the report including its purpose, and method. Section 2 outlines the DTIC’s strategic objectives, assesses its financial and non-financial performa</w:t>
      </w:r>
      <w:r w:rsidR="00DF2759" w:rsidRPr="00545535">
        <w:rPr>
          <w:rFonts w:cs="Arial"/>
          <w:sz w:val="20"/>
          <w:szCs w:val="20"/>
        </w:rPr>
        <w:t>nce against its APP for the 2021</w:t>
      </w:r>
      <w:r w:rsidRPr="00545535">
        <w:rPr>
          <w:rFonts w:cs="Arial"/>
          <w:sz w:val="20"/>
          <w:szCs w:val="20"/>
        </w:rPr>
        <w:t>/2</w:t>
      </w:r>
      <w:r w:rsidR="00DF2759" w:rsidRPr="00545535">
        <w:rPr>
          <w:rFonts w:cs="Arial"/>
          <w:sz w:val="20"/>
          <w:szCs w:val="20"/>
        </w:rPr>
        <w:t>2</w:t>
      </w:r>
      <w:r w:rsidRPr="00545535">
        <w:rPr>
          <w:rFonts w:cs="Arial"/>
          <w:sz w:val="20"/>
          <w:szCs w:val="20"/>
        </w:rPr>
        <w:t xml:space="preserve"> financial year from 1</w:t>
      </w:r>
      <w:r w:rsidR="00DF2759" w:rsidRPr="00545535">
        <w:rPr>
          <w:rFonts w:cs="Arial"/>
          <w:sz w:val="20"/>
          <w:szCs w:val="20"/>
        </w:rPr>
        <w:t xml:space="preserve"> July to 31 December 2021</w:t>
      </w:r>
      <w:r w:rsidRPr="00545535">
        <w:rPr>
          <w:rFonts w:cs="Arial"/>
          <w:sz w:val="20"/>
          <w:szCs w:val="20"/>
        </w:rPr>
        <w:t xml:space="preserve"> and </w:t>
      </w:r>
      <w:r w:rsidR="00927C92" w:rsidRPr="00545535">
        <w:rPr>
          <w:rFonts w:cs="Arial"/>
          <w:sz w:val="20"/>
          <w:szCs w:val="20"/>
        </w:rPr>
        <w:t xml:space="preserve">Section 3 </w:t>
      </w:r>
      <w:r w:rsidRPr="00545535">
        <w:rPr>
          <w:rFonts w:cs="Arial"/>
          <w:sz w:val="20"/>
          <w:szCs w:val="20"/>
        </w:rPr>
        <w:t xml:space="preserve">outlines the key issues raised by the Committee during deliberations.  Section </w:t>
      </w:r>
      <w:r w:rsidR="00927C92" w:rsidRPr="00545535">
        <w:rPr>
          <w:rFonts w:cs="Arial"/>
          <w:sz w:val="20"/>
          <w:szCs w:val="20"/>
        </w:rPr>
        <w:t>4</w:t>
      </w:r>
      <w:r w:rsidRPr="00545535">
        <w:rPr>
          <w:rFonts w:cs="Arial"/>
          <w:sz w:val="20"/>
          <w:szCs w:val="20"/>
        </w:rPr>
        <w:t xml:space="preserve"> provides the Committee’s concluding remarks followed by a note of appreciation in Section </w:t>
      </w:r>
      <w:r w:rsidR="00927C92" w:rsidRPr="00545535">
        <w:rPr>
          <w:rFonts w:cs="Arial"/>
          <w:sz w:val="20"/>
          <w:szCs w:val="20"/>
        </w:rPr>
        <w:t>5</w:t>
      </w:r>
      <w:r w:rsidR="00C12ED5" w:rsidRPr="00545535">
        <w:rPr>
          <w:rFonts w:cs="Arial"/>
          <w:sz w:val="20"/>
          <w:szCs w:val="20"/>
        </w:rPr>
        <w:t xml:space="preserve"> and the recommendation in Section 6</w:t>
      </w:r>
      <w:r w:rsidRPr="00545535">
        <w:rPr>
          <w:rFonts w:cs="Arial"/>
          <w:sz w:val="20"/>
          <w:szCs w:val="20"/>
        </w:rPr>
        <w:t xml:space="preserve">. </w:t>
      </w:r>
    </w:p>
    <w:p w:rsidR="004802CB" w:rsidRPr="00545535" w:rsidRDefault="004802CB" w:rsidP="00545535">
      <w:pPr>
        <w:pStyle w:val="Body"/>
        <w:spacing w:line="240" w:lineRule="auto"/>
        <w:jc w:val="left"/>
        <w:rPr>
          <w:rFonts w:eastAsia="Times New Roman" w:cs="Arial"/>
          <w:b/>
          <w:bCs/>
          <w:sz w:val="20"/>
          <w:szCs w:val="20"/>
        </w:rPr>
      </w:pPr>
    </w:p>
    <w:p w:rsidR="00C12ED5" w:rsidRPr="00545535" w:rsidRDefault="00C12ED5" w:rsidP="00545535">
      <w:pPr>
        <w:pStyle w:val="Body"/>
        <w:spacing w:line="240" w:lineRule="auto"/>
        <w:jc w:val="left"/>
        <w:rPr>
          <w:rFonts w:eastAsia="Times New Roman" w:cs="Arial"/>
          <w:b/>
          <w:bCs/>
          <w:sz w:val="20"/>
          <w:szCs w:val="20"/>
        </w:rPr>
      </w:pPr>
    </w:p>
    <w:p w:rsidR="004802CB" w:rsidRPr="00545535" w:rsidRDefault="00542DB5" w:rsidP="00545535">
      <w:pPr>
        <w:pStyle w:val="Heading1"/>
        <w:spacing w:before="0" w:line="240" w:lineRule="auto"/>
        <w:rPr>
          <w:rFonts w:ascii="Arial" w:eastAsia="Times New Roman" w:hAnsi="Arial" w:cs="Arial"/>
          <w:sz w:val="20"/>
          <w:szCs w:val="20"/>
          <w:lang w:val="en-ZA"/>
        </w:rPr>
      </w:pPr>
      <w:bookmarkStart w:id="4" w:name="_et92p0"/>
      <w:bookmarkEnd w:id="4"/>
      <w:r w:rsidRPr="00545535">
        <w:rPr>
          <w:rFonts w:ascii="Arial" w:hAnsi="Arial" w:cs="Arial"/>
          <w:sz w:val="20"/>
          <w:szCs w:val="20"/>
          <w:lang w:val="en-ZA"/>
        </w:rPr>
        <w:t>DEPARTMENT OF TRADE, INDUSTRY AND COMPETITION</w:t>
      </w:r>
    </w:p>
    <w:p w:rsidR="004802CB" w:rsidRPr="00545535" w:rsidRDefault="004802CB" w:rsidP="00545535">
      <w:pPr>
        <w:pStyle w:val="Body"/>
        <w:spacing w:line="240" w:lineRule="auto"/>
        <w:ind w:left="360" w:hanging="360"/>
        <w:jc w:val="left"/>
        <w:rPr>
          <w:rFonts w:eastAsia="Times New Roman" w:cs="Arial"/>
          <w:smallCaps/>
          <w:sz w:val="20"/>
          <w:szCs w:val="20"/>
        </w:rPr>
      </w:pPr>
    </w:p>
    <w:p w:rsidR="004802CB" w:rsidRPr="00545535" w:rsidRDefault="00341AB5" w:rsidP="00545535">
      <w:pPr>
        <w:pStyle w:val="Heading2"/>
        <w:spacing w:line="240" w:lineRule="auto"/>
        <w:jc w:val="left"/>
        <w:rPr>
          <w:rFonts w:ascii="Arial" w:hAnsi="Arial" w:cs="Arial"/>
          <w:sz w:val="20"/>
          <w:szCs w:val="20"/>
        </w:rPr>
      </w:pPr>
      <w:r w:rsidRPr="00545535">
        <w:rPr>
          <w:rFonts w:ascii="Arial" w:hAnsi="Arial" w:cs="Arial"/>
          <w:sz w:val="20"/>
          <w:szCs w:val="20"/>
        </w:rPr>
        <w:lastRenderedPageBreak/>
        <w:t xml:space="preserve"> </w:t>
      </w:r>
      <w:r w:rsidR="00542DB5" w:rsidRPr="00545535">
        <w:rPr>
          <w:rFonts w:ascii="Arial" w:hAnsi="Arial" w:cs="Arial"/>
          <w:sz w:val="20"/>
          <w:szCs w:val="20"/>
        </w:rPr>
        <w:t>Strategic Goals</w:t>
      </w:r>
    </w:p>
    <w:p w:rsidR="004802CB" w:rsidRPr="00545535" w:rsidRDefault="00542DB5" w:rsidP="00545535">
      <w:pPr>
        <w:pStyle w:val="Body"/>
        <w:spacing w:line="240" w:lineRule="auto"/>
        <w:jc w:val="left"/>
        <w:rPr>
          <w:rFonts w:eastAsia="Times New Roman" w:cs="Arial"/>
          <w:sz w:val="20"/>
          <w:szCs w:val="20"/>
        </w:rPr>
      </w:pPr>
      <w:r w:rsidRPr="00545535">
        <w:rPr>
          <w:rFonts w:cs="Arial"/>
          <w:sz w:val="20"/>
          <w:szCs w:val="20"/>
        </w:rPr>
        <w:t>The DTIC’s performance was in line with its strategic objectives, which guided its work and was aligned to its programmes. The strategic goals were as follows</w:t>
      </w:r>
      <w:r w:rsidRPr="00545535">
        <w:rPr>
          <w:rFonts w:eastAsia="Times New Roman" w:cs="Arial"/>
          <w:sz w:val="20"/>
          <w:szCs w:val="20"/>
          <w:vertAlign w:val="superscript"/>
        </w:rPr>
        <w:footnoteReference w:id="2"/>
      </w:r>
      <w:r w:rsidRPr="00545535">
        <w:rPr>
          <w:rFonts w:cs="Arial"/>
          <w:sz w:val="20"/>
          <w:szCs w:val="20"/>
        </w:rPr>
        <w:t xml:space="preserve">: </w:t>
      </w:r>
    </w:p>
    <w:p w:rsidR="004802CB" w:rsidRPr="00545535" w:rsidRDefault="00542DB5" w:rsidP="00545535">
      <w:pPr>
        <w:pStyle w:val="ListParagraph"/>
        <w:numPr>
          <w:ilvl w:val="0"/>
          <w:numId w:val="33"/>
        </w:numPr>
        <w:spacing w:line="240" w:lineRule="auto"/>
        <w:jc w:val="left"/>
        <w:rPr>
          <w:rFonts w:ascii="Arial" w:hAnsi="Arial" w:cs="Arial"/>
          <w:sz w:val="20"/>
          <w:szCs w:val="20"/>
        </w:rPr>
      </w:pPr>
      <w:r w:rsidRPr="00545535">
        <w:rPr>
          <w:rFonts w:ascii="Arial" w:hAnsi="Arial" w:cs="Arial"/>
          <w:sz w:val="20"/>
          <w:szCs w:val="20"/>
        </w:rPr>
        <w:t>Promoting structural transformation, towards a dynamic industrial and globally competitive economy;</w:t>
      </w:r>
    </w:p>
    <w:p w:rsidR="004802CB" w:rsidRPr="00545535" w:rsidRDefault="00542DB5" w:rsidP="00545535">
      <w:pPr>
        <w:pStyle w:val="ListParagraph"/>
        <w:numPr>
          <w:ilvl w:val="0"/>
          <w:numId w:val="33"/>
        </w:numPr>
        <w:spacing w:line="240" w:lineRule="auto"/>
        <w:jc w:val="left"/>
        <w:rPr>
          <w:rFonts w:ascii="Arial" w:hAnsi="Arial" w:cs="Arial"/>
          <w:sz w:val="20"/>
          <w:szCs w:val="20"/>
        </w:rPr>
      </w:pPr>
      <w:r w:rsidRPr="00545535">
        <w:rPr>
          <w:rFonts w:ascii="Arial" w:hAnsi="Arial" w:cs="Arial"/>
          <w:sz w:val="20"/>
          <w:szCs w:val="20"/>
        </w:rPr>
        <w:t>Providing a predictable, competitive, equitable and socially responsible environment, conducive to investment, trade and enterprise development;</w:t>
      </w:r>
    </w:p>
    <w:p w:rsidR="004802CB" w:rsidRPr="00545535" w:rsidRDefault="00542DB5" w:rsidP="00545535">
      <w:pPr>
        <w:pStyle w:val="ListParagraph"/>
        <w:numPr>
          <w:ilvl w:val="0"/>
          <w:numId w:val="33"/>
        </w:numPr>
        <w:spacing w:line="240" w:lineRule="auto"/>
        <w:jc w:val="left"/>
        <w:rPr>
          <w:rFonts w:ascii="Arial" w:hAnsi="Arial" w:cs="Arial"/>
          <w:sz w:val="20"/>
          <w:szCs w:val="20"/>
        </w:rPr>
      </w:pPr>
      <w:r w:rsidRPr="00545535">
        <w:rPr>
          <w:rFonts w:ascii="Arial" w:hAnsi="Arial" w:cs="Arial"/>
          <w:sz w:val="20"/>
          <w:szCs w:val="20"/>
        </w:rPr>
        <w:t>Broadening participation in the economy to strengthen economic development;</w:t>
      </w:r>
    </w:p>
    <w:p w:rsidR="004802CB" w:rsidRPr="00545535" w:rsidRDefault="00542DB5" w:rsidP="00545535">
      <w:pPr>
        <w:pStyle w:val="ListParagraph"/>
        <w:numPr>
          <w:ilvl w:val="0"/>
          <w:numId w:val="33"/>
        </w:numPr>
        <w:spacing w:line="240" w:lineRule="auto"/>
        <w:jc w:val="left"/>
        <w:rPr>
          <w:rFonts w:ascii="Arial" w:hAnsi="Arial" w:cs="Arial"/>
          <w:sz w:val="20"/>
          <w:szCs w:val="20"/>
        </w:rPr>
      </w:pPr>
      <w:r w:rsidRPr="00545535">
        <w:rPr>
          <w:rFonts w:ascii="Arial" w:hAnsi="Arial" w:cs="Arial"/>
          <w:sz w:val="20"/>
          <w:szCs w:val="20"/>
        </w:rPr>
        <w:t>Continually improving the skills and capabilities of the department to effectively deliver on its mandate and respond to the needs of South Africa’s economic citizens;</w:t>
      </w:r>
    </w:p>
    <w:p w:rsidR="004802CB" w:rsidRPr="00545535" w:rsidRDefault="00542DB5" w:rsidP="00545535">
      <w:pPr>
        <w:pStyle w:val="ListParagraph"/>
        <w:numPr>
          <w:ilvl w:val="0"/>
          <w:numId w:val="33"/>
        </w:numPr>
        <w:spacing w:line="240" w:lineRule="auto"/>
        <w:jc w:val="left"/>
        <w:rPr>
          <w:rFonts w:ascii="Arial" w:hAnsi="Arial" w:cs="Arial"/>
          <w:sz w:val="20"/>
          <w:szCs w:val="20"/>
        </w:rPr>
      </w:pPr>
      <w:r w:rsidRPr="00545535">
        <w:rPr>
          <w:rFonts w:ascii="Arial" w:hAnsi="Arial" w:cs="Arial"/>
          <w:sz w:val="20"/>
          <w:szCs w:val="20"/>
        </w:rPr>
        <w:t>Coordinating the contributions of government departments, state entities and civil society to effect economic development; and</w:t>
      </w:r>
    </w:p>
    <w:p w:rsidR="004802CB" w:rsidRPr="00545535" w:rsidRDefault="00542DB5" w:rsidP="00545535">
      <w:pPr>
        <w:pStyle w:val="ListParagraph"/>
        <w:numPr>
          <w:ilvl w:val="0"/>
          <w:numId w:val="33"/>
        </w:numPr>
        <w:spacing w:line="240" w:lineRule="auto"/>
        <w:jc w:val="left"/>
        <w:rPr>
          <w:rFonts w:ascii="Arial" w:hAnsi="Arial" w:cs="Arial"/>
          <w:sz w:val="20"/>
          <w:szCs w:val="20"/>
        </w:rPr>
      </w:pPr>
      <w:r w:rsidRPr="00545535">
        <w:rPr>
          <w:rFonts w:ascii="Arial" w:hAnsi="Arial" w:cs="Arial"/>
          <w:sz w:val="20"/>
          <w:szCs w:val="20"/>
        </w:rPr>
        <w:t>Improving alignment between economic policies, plans of the state, its agencies, government’s political and economic objectives and mandate</w:t>
      </w:r>
      <w:r w:rsidR="00765303" w:rsidRPr="00545535">
        <w:rPr>
          <w:rFonts w:ascii="Arial" w:hAnsi="Arial" w:cs="Arial"/>
          <w:sz w:val="20"/>
          <w:szCs w:val="20"/>
        </w:rPr>
        <w:t>.</w:t>
      </w:r>
    </w:p>
    <w:p w:rsidR="004802CB" w:rsidRPr="00545535" w:rsidRDefault="004802CB" w:rsidP="00545535">
      <w:pPr>
        <w:pStyle w:val="Body"/>
        <w:spacing w:line="240" w:lineRule="auto"/>
        <w:jc w:val="left"/>
        <w:rPr>
          <w:rFonts w:eastAsia="Times New Roman" w:cs="Arial"/>
          <w:sz w:val="20"/>
          <w:szCs w:val="20"/>
        </w:rPr>
      </w:pPr>
    </w:p>
    <w:p w:rsidR="004802CB" w:rsidRPr="00545535" w:rsidRDefault="00542DB5" w:rsidP="00545535">
      <w:pPr>
        <w:pStyle w:val="Heading2"/>
        <w:spacing w:line="240" w:lineRule="auto"/>
        <w:jc w:val="left"/>
        <w:rPr>
          <w:rFonts w:ascii="Arial" w:hAnsi="Arial" w:cs="Arial"/>
          <w:sz w:val="20"/>
          <w:szCs w:val="20"/>
        </w:rPr>
      </w:pPr>
      <w:r w:rsidRPr="00545535">
        <w:rPr>
          <w:rFonts w:ascii="Arial" w:hAnsi="Arial" w:cs="Arial"/>
          <w:sz w:val="20"/>
          <w:szCs w:val="20"/>
        </w:rPr>
        <w:t>Overview and assessment of the financial and non-financial performance</w:t>
      </w:r>
      <w:r w:rsidR="007278B2" w:rsidRPr="00545535">
        <w:rPr>
          <w:rStyle w:val="FootnoteReference"/>
          <w:rFonts w:ascii="Arial" w:hAnsi="Arial" w:cs="Arial"/>
          <w:sz w:val="20"/>
          <w:szCs w:val="20"/>
        </w:rPr>
        <w:footnoteReference w:id="3"/>
      </w:r>
      <w:r w:rsidRPr="00545535">
        <w:rPr>
          <w:rFonts w:ascii="Arial" w:hAnsi="Arial" w:cs="Arial"/>
          <w:sz w:val="20"/>
          <w:szCs w:val="20"/>
        </w:rPr>
        <w:t xml:space="preserve"> </w:t>
      </w:r>
    </w:p>
    <w:p w:rsidR="004802CB" w:rsidRPr="00545535" w:rsidRDefault="00542DB5" w:rsidP="00545535">
      <w:pPr>
        <w:pStyle w:val="Body"/>
        <w:spacing w:line="240" w:lineRule="auto"/>
        <w:jc w:val="left"/>
        <w:rPr>
          <w:rFonts w:cs="Arial"/>
          <w:sz w:val="20"/>
          <w:szCs w:val="20"/>
        </w:rPr>
      </w:pPr>
      <w:r w:rsidRPr="00545535">
        <w:rPr>
          <w:rFonts w:cs="Arial"/>
          <w:sz w:val="20"/>
          <w:szCs w:val="20"/>
        </w:rPr>
        <w:t xml:space="preserve">This section provides a comparison between the DTIC’s second and third quarter </w:t>
      </w:r>
      <w:r w:rsidR="000676CA" w:rsidRPr="00545535">
        <w:rPr>
          <w:rFonts w:cs="Arial"/>
          <w:sz w:val="20"/>
          <w:szCs w:val="20"/>
        </w:rPr>
        <w:t xml:space="preserve">non-financial performance </w:t>
      </w:r>
      <w:r w:rsidRPr="00545535">
        <w:rPr>
          <w:rFonts w:cs="Arial"/>
          <w:sz w:val="20"/>
          <w:szCs w:val="20"/>
        </w:rPr>
        <w:t xml:space="preserve">milestones </w:t>
      </w:r>
      <w:r w:rsidR="000676CA" w:rsidRPr="00545535">
        <w:rPr>
          <w:rFonts w:cs="Arial"/>
          <w:sz w:val="20"/>
          <w:szCs w:val="20"/>
        </w:rPr>
        <w:t xml:space="preserve">as </w:t>
      </w:r>
      <w:r w:rsidRPr="00545535">
        <w:rPr>
          <w:rFonts w:cs="Arial"/>
          <w:sz w:val="20"/>
          <w:szCs w:val="20"/>
        </w:rPr>
        <w:t xml:space="preserve">outlined in its APP against its second and third quarter </w:t>
      </w:r>
      <w:r w:rsidR="00757862" w:rsidRPr="00545535">
        <w:rPr>
          <w:rFonts w:cs="Arial"/>
          <w:sz w:val="20"/>
          <w:szCs w:val="20"/>
        </w:rPr>
        <w:t xml:space="preserve">performance </w:t>
      </w:r>
      <w:r w:rsidRPr="00545535">
        <w:rPr>
          <w:rFonts w:cs="Arial"/>
          <w:sz w:val="20"/>
          <w:szCs w:val="20"/>
        </w:rPr>
        <w:t>report</w:t>
      </w:r>
      <w:r w:rsidR="000676CA" w:rsidRPr="00545535">
        <w:rPr>
          <w:rFonts w:cs="Arial"/>
          <w:sz w:val="20"/>
          <w:szCs w:val="20"/>
        </w:rPr>
        <w:t>s</w:t>
      </w:r>
      <w:r w:rsidR="00DF2759" w:rsidRPr="00545535">
        <w:rPr>
          <w:rFonts w:cs="Arial"/>
          <w:sz w:val="20"/>
          <w:szCs w:val="20"/>
        </w:rPr>
        <w:t xml:space="preserve"> for the 2021</w:t>
      </w:r>
      <w:r w:rsidRPr="00545535">
        <w:rPr>
          <w:rFonts w:cs="Arial"/>
          <w:sz w:val="20"/>
          <w:szCs w:val="20"/>
        </w:rPr>
        <w:t>/2</w:t>
      </w:r>
      <w:r w:rsidR="00DF2759" w:rsidRPr="00545535">
        <w:rPr>
          <w:rFonts w:cs="Arial"/>
          <w:sz w:val="20"/>
          <w:szCs w:val="20"/>
        </w:rPr>
        <w:t>2</w:t>
      </w:r>
      <w:r w:rsidRPr="00545535">
        <w:rPr>
          <w:rFonts w:cs="Arial"/>
          <w:sz w:val="20"/>
          <w:szCs w:val="20"/>
        </w:rPr>
        <w:t xml:space="preserve"> financial year, and outlines its financial performance</w:t>
      </w:r>
      <w:r w:rsidR="000676CA" w:rsidRPr="00545535">
        <w:rPr>
          <w:rFonts w:cs="Arial"/>
          <w:sz w:val="20"/>
          <w:szCs w:val="20"/>
        </w:rPr>
        <w:t xml:space="preserve"> for the period under review</w:t>
      </w:r>
      <w:r w:rsidRPr="00545535">
        <w:rPr>
          <w:rFonts w:cs="Arial"/>
          <w:sz w:val="20"/>
          <w:szCs w:val="20"/>
        </w:rPr>
        <w:t>.</w:t>
      </w:r>
      <w:r w:rsidR="000676CA" w:rsidRPr="00545535">
        <w:rPr>
          <w:rFonts w:cs="Arial"/>
          <w:sz w:val="20"/>
          <w:szCs w:val="20"/>
        </w:rPr>
        <w:t xml:space="preserve"> </w:t>
      </w:r>
      <w:r w:rsidRPr="00545535">
        <w:rPr>
          <w:rFonts w:cs="Arial"/>
          <w:sz w:val="20"/>
          <w:szCs w:val="20"/>
        </w:rPr>
        <w:t xml:space="preserve"> </w:t>
      </w:r>
    </w:p>
    <w:p w:rsidR="00C36D89" w:rsidRPr="00545535" w:rsidRDefault="00C36D89" w:rsidP="00545535">
      <w:pPr>
        <w:pStyle w:val="Body"/>
        <w:spacing w:line="240" w:lineRule="auto"/>
        <w:jc w:val="left"/>
        <w:rPr>
          <w:rFonts w:eastAsia="Times New Roman" w:cs="Arial"/>
          <w:dstrike/>
          <w:sz w:val="20"/>
          <w:szCs w:val="20"/>
          <w:shd w:val="clear" w:color="auto" w:fill="FFFF00"/>
        </w:rPr>
      </w:pPr>
    </w:p>
    <w:p w:rsidR="004802CB" w:rsidRPr="00545535" w:rsidRDefault="00542DB5" w:rsidP="00545535">
      <w:pPr>
        <w:pStyle w:val="Heading3"/>
        <w:rPr>
          <w:rFonts w:ascii="Arial" w:hAnsi="Arial" w:cs="Arial"/>
          <w:sz w:val="20"/>
          <w:szCs w:val="20"/>
          <w:lang w:val="en-ZA"/>
        </w:rPr>
      </w:pPr>
      <w:r w:rsidRPr="00545535">
        <w:rPr>
          <w:rFonts w:ascii="Arial" w:hAnsi="Arial" w:cs="Arial"/>
          <w:sz w:val="20"/>
          <w:szCs w:val="20"/>
          <w:lang w:val="en-ZA"/>
        </w:rPr>
        <w:t xml:space="preserve">Non-Financial Performance </w:t>
      </w:r>
    </w:p>
    <w:p w:rsidR="004802CB" w:rsidRPr="00545535" w:rsidRDefault="004802CB" w:rsidP="00545535">
      <w:pPr>
        <w:pStyle w:val="Body"/>
        <w:spacing w:line="240" w:lineRule="auto"/>
        <w:ind w:left="720"/>
        <w:jc w:val="left"/>
        <w:rPr>
          <w:rFonts w:eastAsia="Times New Roman" w:cs="Arial"/>
          <w:sz w:val="20"/>
          <w:szCs w:val="20"/>
        </w:rPr>
      </w:pPr>
    </w:p>
    <w:p w:rsidR="004802CB" w:rsidRPr="00545535" w:rsidRDefault="00542DB5" w:rsidP="00545535">
      <w:pPr>
        <w:pStyle w:val="Heading3"/>
        <w:numPr>
          <w:ilvl w:val="3"/>
          <w:numId w:val="29"/>
        </w:numPr>
        <w:ind w:left="426" w:hanging="426"/>
        <w:rPr>
          <w:rFonts w:ascii="Arial" w:hAnsi="Arial" w:cs="Arial"/>
          <w:sz w:val="20"/>
          <w:szCs w:val="20"/>
          <w:lang w:val="en-ZA"/>
        </w:rPr>
      </w:pPr>
      <w:r w:rsidRPr="00545535">
        <w:rPr>
          <w:rFonts w:ascii="Arial" w:hAnsi="Arial" w:cs="Arial"/>
          <w:sz w:val="20"/>
          <w:szCs w:val="20"/>
          <w:lang w:val="en-ZA"/>
        </w:rPr>
        <w:t>Second Quarter Performance</w:t>
      </w:r>
    </w:p>
    <w:p w:rsidR="004802CB" w:rsidRPr="00545535" w:rsidRDefault="004C5DAD" w:rsidP="00545535">
      <w:pPr>
        <w:pStyle w:val="NoSpacing"/>
        <w:spacing w:line="240" w:lineRule="auto"/>
        <w:jc w:val="left"/>
        <w:rPr>
          <w:rFonts w:ascii="Arial" w:eastAsia="Times New Roman" w:hAnsi="Arial" w:cs="Arial"/>
          <w:sz w:val="20"/>
          <w:szCs w:val="20"/>
          <w:lang w:val="en-ZA"/>
        </w:rPr>
      </w:pPr>
      <w:r w:rsidRPr="00545535">
        <w:rPr>
          <w:rFonts w:ascii="Arial" w:hAnsi="Arial" w:cs="Arial"/>
          <w:sz w:val="20"/>
          <w:szCs w:val="20"/>
          <w:lang w:val="en-ZA"/>
        </w:rPr>
        <w:t xml:space="preserve">The </w:t>
      </w:r>
      <w:r w:rsidR="00DF2759" w:rsidRPr="00545535">
        <w:rPr>
          <w:rFonts w:ascii="Arial" w:hAnsi="Arial" w:cs="Arial"/>
          <w:sz w:val="20"/>
          <w:szCs w:val="20"/>
          <w:lang w:val="en-ZA"/>
        </w:rPr>
        <w:t>DTIC had 40</w:t>
      </w:r>
      <w:r w:rsidR="00542DB5" w:rsidRPr="00545535">
        <w:rPr>
          <w:rFonts w:ascii="Arial" w:hAnsi="Arial" w:cs="Arial"/>
          <w:sz w:val="20"/>
          <w:szCs w:val="20"/>
          <w:lang w:val="en-ZA"/>
        </w:rPr>
        <w:t xml:space="preserve"> targets for th</w:t>
      </w:r>
      <w:r w:rsidR="00757862" w:rsidRPr="00545535">
        <w:rPr>
          <w:rFonts w:ascii="Arial" w:hAnsi="Arial" w:cs="Arial"/>
          <w:sz w:val="20"/>
          <w:szCs w:val="20"/>
          <w:lang w:val="en-ZA"/>
        </w:rPr>
        <w:t>is</w:t>
      </w:r>
      <w:r w:rsidR="00542DB5" w:rsidRPr="00545535">
        <w:rPr>
          <w:rFonts w:ascii="Arial" w:hAnsi="Arial" w:cs="Arial"/>
          <w:sz w:val="20"/>
          <w:szCs w:val="20"/>
          <w:lang w:val="en-ZA"/>
        </w:rPr>
        <w:t xml:space="preserve"> quarter, </w:t>
      </w:r>
      <w:r w:rsidR="00DF2759" w:rsidRPr="00545535">
        <w:rPr>
          <w:rFonts w:ascii="Arial" w:hAnsi="Arial" w:cs="Arial"/>
          <w:sz w:val="20"/>
          <w:szCs w:val="20"/>
          <w:lang w:val="en-ZA"/>
        </w:rPr>
        <w:t>six</w:t>
      </w:r>
      <w:r w:rsidR="00542DB5" w:rsidRPr="00545535">
        <w:rPr>
          <w:rFonts w:ascii="Arial" w:hAnsi="Arial" w:cs="Arial"/>
          <w:sz w:val="20"/>
          <w:szCs w:val="20"/>
          <w:lang w:val="en-ZA"/>
        </w:rPr>
        <w:t xml:space="preserve"> of which had not been achieved. This represent</w:t>
      </w:r>
      <w:r w:rsidR="000676CA" w:rsidRPr="00545535">
        <w:rPr>
          <w:rFonts w:ascii="Arial" w:hAnsi="Arial" w:cs="Arial"/>
          <w:sz w:val="20"/>
          <w:szCs w:val="20"/>
          <w:lang w:val="en-ZA"/>
        </w:rPr>
        <w:t>ed an</w:t>
      </w:r>
      <w:r w:rsidR="00DA5B5B" w:rsidRPr="00545535">
        <w:rPr>
          <w:rFonts w:ascii="Arial" w:hAnsi="Arial" w:cs="Arial"/>
          <w:sz w:val="20"/>
          <w:szCs w:val="20"/>
          <w:lang w:val="en-ZA"/>
        </w:rPr>
        <w:t xml:space="preserve"> 85</w:t>
      </w:r>
      <w:r w:rsidR="00542DB5" w:rsidRPr="00545535">
        <w:rPr>
          <w:rFonts w:ascii="Arial" w:hAnsi="Arial" w:cs="Arial"/>
          <w:sz w:val="20"/>
          <w:szCs w:val="20"/>
          <w:lang w:val="en-ZA"/>
        </w:rPr>
        <w:t xml:space="preserve"> per cent achievement of targets during the quarter. This is a</w:t>
      </w:r>
      <w:r w:rsidR="00DA5B5B" w:rsidRPr="00545535">
        <w:rPr>
          <w:rFonts w:ascii="Arial" w:hAnsi="Arial" w:cs="Arial"/>
          <w:sz w:val="20"/>
          <w:szCs w:val="20"/>
          <w:lang w:val="en-ZA"/>
        </w:rPr>
        <w:t xml:space="preserve"> decline </w:t>
      </w:r>
      <w:r w:rsidR="00542DB5" w:rsidRPr="00545535">
        <w:rPr>
          <w:rFonts w:ascii="Arial" w:hAnsi="Arial" w:cs="Arial"/>
          <w:sz w:val="20"/>
          <w:szCs w:val="20"/>
          <w:lang w:val="en-ZA"/>
        </w:rPr>
        <w:t xml:space="preserve">from the </w:t>
      </w:r>
      <w:r w:rsidR="00DA5B5B" w:rsidRPr="00545535">
        <w:rPr>
          <w:rFonts w:ascii="Arial" w:hAnsi="Arial" w:cs="Arial"/>
          <w:sz w:val="20"/>
          <w:szCs w:val="20"/>
          <w:lang w:val="en-ZA"/>
        </w:rPr>
        <w:t>93,3</w:t>
      </w:r>
      <w:r w:rsidR="00542DB5" w:rsidRPr="00545535">
        <w:rPr>
          <w:rFonts w:ascii="Arial" w:hAnsi="Arial" w:cs="Arial"/>
          <w:sz w:val="20"/>
          <w:szCs w:val="20"/>
          <w:lang w:val="en-ZA"/>
        </w:rPr>
        <w:t xml:space="preserve"> per cent</w:t>
      </w:r>
      <w:r w:rsidR="00DC7A70" w:rsidRPr="00545535">
        <w:rPr>
          <w:rFonts w:ascii="Arial" w:hAnsi="Arial" w:cs="Arial"/>
          <w:sz w:val="20"/>
          <w:szCs w:val="20"/>
          <w:lang w:val="en-ZA"/>
        </w:rPr>
        <w:t xml:space="preserve"> achievement of targets</w:t>
      </w:r>
      <w:r w:rsidR="00542DB5" w:rsidRPr="00545535">
        <w:rPr>
          <w:rFonts w:ascii="Arial" w:hAnsi="Arial" w:cs="Arial"/>
          <w:sz w:val="20"/>
          <w:szCs w:val="20"/>
          <w:lang w:val="en-ZA"/>
        </w:rPr>
        <w:t xml:space="preserve"> in </w:t>
      </w:r>
      <w:r w:rsidR="00DA5B5B" w:rsidRPr="00545535">
        <w:rPr>
          <w:rFonts w:ascii="Arial" w:hAnsi="Arial" w:cs="Arial"/>
          <w:sz w:val="20"/>
          <w:szCs w:val="20"/>
          <w:lang w:val="en-ZA"/>
        </w:rPr>
        <w:t>the first quarter where 28</w:t>
      </w:r>
      <w:r w:rsidR="00542DB5" w:rsidRPr="00545535">
        <w:rPr>
          <w:rFonts w:ascii="Arial" w:hAnsi="Arial" w:cs="Arial"/>
          <w:sz w:val="20"/>
          <w:szCs w:val="20"/>
          <w:lang w:val="en-ZA"/>
        </w:rPr>
        <w:t xml:space="preserve"> of the </w:t>
      </w:r>
      <w:r w:rsidR="00DA5B5B" w:rsidRPr="00545535">
        <w:rPr>
          <w:rFonts w:ascii="Arial" w:hAnsi="Arial" w:cs="Arial"/>
          <w:sz w:val="20"/>
          <w:szCs w:val="20"/>
          <w:lang w:val="en-ZA"/>
        </w:rPr>
        <w:t>30</w:t>
      </w:r>
      <w:r w:rsidR="000676CA" w:rsidRPr="00545535">
        <w:rPr>
          <w:rFonts w:ascii="Arial" w:hAnsi="Arial" w:cs="Arial"/>
          <w:sz w:val="20"/>
          <w:szCs w:val="20"/>
          <w:lang w:val="en-ZA"/>
        </w:rPr>
        <w:t xml:space="preserve"> targets had been met</w:t>
      </w:r>
      <w:r w:rsidR="00542DB5" w:rsidRPr="00545535">
        <w:rPr>
          <w:rFonts w:ascii="Arial" w:hAnsi="Arial" w:cs="Arial"/>
          <w:sz w:val="20"/>
          <w:szCs w:val="20"/>
          <w:lang w:val="en-ZA"/>
        </w:rPr>
        <w:t>.</w:t>
      </w:r>
    </w:p>
    <w:p w:rsidR="004802CB" w:rsidRPr="00545535" w:rsidRDefault="004802CB" w:rsidP="00545535">
      <w:pPr>
        <w:pStyle w:val="Body"/>
        <w:spacing w:line="240" w:lineRule="auto"/>
        <w:jc w:val="left"/>
        <w:rPr>
          <w:rFonts w:eastAsia="Times New Roman" w:cs="Arial"/>
          <w:b/>
          <w:bCs/>
          <w:sz w:val="20"/>
          <w:szCs w:val="20"/>
          <w:highlight w:val="yellow"/>
        </w:rPr>
      </w:pPr>
    </w:p>
    <w:p w:rsidR="007E70D6" w:rsidRPr="00545535" w:rsidRDefault="007E70D6" w:rsidP="00545535">
      <w:pPr>
        <w:pStyle w:val="Body"/>
        <w:spacing w:line="240" w:lineRule="auto"/>
        <w:jc w:val="left"/>
        <w:rPr>
          <w:rFonts w:eastAsia="Times New Roman" w:cs="Arial"/>
          <w:bCs/>
          <w:sz w:val="20"/>
          <w:szCs w:val="20"/>
        </w:rPr>
      </w:pPr>
      <w:r w:rsidRPr="00545535">
        <w:rPr>
          <w:rFonts w:eastAsia="Times New Roman" w:cs="Arial"/>
          <w:bCs/>
          <w:sz w:val="20"/>
          <w:szCs w:val="20"/>
        </w:rPr>
        <w:t>The six targets that had not been achieved were:</w:t>
      </w:r>
    </w:p>
    <w:p w:rsidR="009B4F58" w:rsidRPr="00545535" w:rsidRDefault="009B4F58" w:rsidP="00545535">
      <w:pPr>
        <w:pStyle w:val="Body"/>
        <w:numPr>
          <w:ilvl w:val="0"/>
          <w:numId w:val="36"/>
        </w:numPr>
        <w:spacing w:line="240" w:lineRule="auto"/>
        <w:jc w:val="left"/>
        <w:rPr>
          <w:rFonts w:eastAsia="Times New Roman" w:cs="Arial"/>
          <w:bCs/>
          <w:sz w:val="20"/>
          <w:szCs w:val="20"/>
        </w:rPr>
      </w:pPr>
      <w:r w:rsidRPr="00545535">
        <w:rPr>
          <w:rFonts w:eastAsia="Times New Roman" w:cs="Arial"/>
          <w:bCs/>
          <w:sz w:val="20"/>
          <w:szCs w:val="20"/>
        </w:rPr>
        <w:t xml:space="preserve">The target for the </w:t>
      </w:r>
      <w:r w:rsidR="00527503" w:rsidRPr="00545535">
        <w:rPr>
          <w:rFonts w:eastAsia="Times New Roman" w:cs="Arial"/>
          <w:bCs/>
          <w:sz w:val="20"/>
          <w:szCs w:val="20"/>
        </w:rPr>
        <w:t>implementation</w:t>
      </w:r>
      <w:r w:rsidRPr="00545535">
        <w:rPr>
          <w:rFonts w:eastAsia="Times New Roman" w:cs="Arial"/>
          <w:bCs/>
          <w:sz w:val="20"/>
          <w:szCs w:val="20"/>
        </w:rPr>
        <w:t xml:space="preserve"> of the Internal Capacity Building Plan had been 12 per cent completion by the end of the second quarter in terms of structure fit for purpose, culture change, coaching, upskilling and reskilling as well as recognition framework. However, </w:t>
      </w:r>
      <w:r w:rsidR="00757862" w:rsidRPr="00545535">
        <w:rPr>
          <w:rFonts w:eastAsia="Times New Roman" w:cs="Arial"/>
          <w:bCs/>
          <w:sz w:val="20"/>
          <w:szCs w:val="20"/>
        </w:rPr>
        <w:t xml:space="preserve">the DTIC </w:t>
      </w:r>
      <w:r w:rsidRPr="00545535">
        <w:rPr>
          <w:rFonts w:eastAsia="Times New Roman" w:cs="Arial"/>
          <w:bCs/>
          <w:sz w:val="20"/>
          <w:szCs w:val="20"/>
        </w:rPr>
        <w:t xml:space="preserve">had </w:t>
      </w:r>
      <w:r w:rsidR="00757862" w:rsidRPr="00545535">
        <w:rPr>
          <w:rFonts w:eastAsia="Times New Roman" w:cs="Arial"/>
          <w:bCs/>
          <w:sz w:val="20"/>
          <w:szCs w:val="20"/>
        </w:rPr>
        <w:t xml:space="preserve">only </w:t>
      </w:r>
      <w:r w:rsidRPr="00545535">
        <w:rPr>
          <w:rFonts w:eastAsia="Times New Roman" w:cs="Arial"/>
          <w:bCs/>
          <w:sz w:val="20"/>
          <w:szCs w:val="20"/>
        </w:rPr>
        <w:t>completed six per cent of the process in terms of structure fit for purpose, culture change, upskilling and reskilling as well as recognition framework. In relation to structure fit for purpose, the process change had been initiated by Executive Board decisions and the procurement process had not been initiated at that stage. In terms of the Culture Change Plan, this had been at an advanced stage due to early planning and commitment to the process.</w:t>
      </w:r>
    </w:p>
    <w:p w:rsidR="00D11895" w:rsidRPr="00545535" w:rsidRDefault="00D11895" w:rsidP="00545535">
      <w:pPr>
        <w:pStyle w:val="Body"/>
        <w:numPr>
          <w:ilvl w:val="0"/>
          <w:numId w:val="36"/>
        </w:numPr>
        <w:spacing w:line="240" w:lineRule="auto"/>
        <w:jc w:val="left"/>
        <w:rPr>
          <w:rFonts w:eastAsia="Times New Roman" w:cs="Arial"/>
          <w:bCs/>
          <w:sz w:val="20"/>
          <w:szCs w:val="20"/>
        </w:rPr>
      </w:pPr>
      <w:r w:rsidRPr="00545535">
        <w:rPr>
          <w:rFonts w:eastAsia="Times New Roman" w:cs="Arial"/>
          <w:bCs/>
          <w:sz w:val="20"/>
          <w:szCs w:val="20"/>
        </w:rPr>
        <w:t>In terms of the review of the governance framework</w:t>
      </w:r>
      <w:r w:rsidR="00757862" w:rsidRPr="00545535">
        <w:rPr>
          <w:rFonts w:eastAsia="Times New Roman" w:cs="Arial"/>
          <w:bCs/>
          <w:sz w:val="20"/>
          <w:szCs w:val="20"/>
        </w:rPr>
        <w:t xml:space="preserve"> for entities</w:t>
      </w:r>
      <w:r w:rsidRPr="00545535">
        <w:rPr>
          <w:rFonts w:eastAsia="Times New Roman" w:cs="Arial"/>
          <w:bCs/>
          <w:sz w:val="20"/>
          <w:szCs w:val="20"/>
        </w:rPr>
        <w:t xml:space="preserve"> and the identification of action areas, the review had not been completed due to a lack of resources. </w:t>
      </w:r>
    </w:p>
    <w:p w:rsidR="007E70D6" w:rsidRPr="00545535" w:rsidRDefault="004073E7" w:rsidP="00545535">
      <w:pPr>
        <w:pStyle w:val="Body"/>
        <w:numPr>
          <w:ilvl w:val="0"/>
          <w:numId w:val="36"/>
        </w:numPr>
        <w:spacing w:line="240" w:lineRule="auto"/>
        <w:jc w:val="left"/>
        <w:rPr>
          <w:rFonts w:eastAsia="Times New Roman" w:cs="Arial"/>
          <w:bCs/>
          <w:sz w:val="20"/>
          <w:szCs w:val="20"/>
        </w:rPr>
      </w:pPr>
      <w:r w:rsidRPr="00545535">
        <w:rPr>
          <w:rFonts w:eastAsia="Times New Roman" w:cs="Arial"/>
          <w:bCs/>
          <w:sz w:val="20"/>
          <w:szCs w:val="20"/>
        </w:rPr>
        <w:t xml:space="preserve">In terms of the target for three annual targets for revitalisation of industrial parks to be implemented, the DTIC </w:t>
      </w:r>
      <w:r w:rsidR="00757862" w:rsidRPr="00545535">
        <w:rPr>
          <w:rFonts w:eastAsia="Times New Roman" w:cs="Arial"/>
          <w:bCs/>
          <w:sz w:val="20"/>
          <w:szCs w:val="20"/>
        </w:rPr>
        <w:t xml:space="preserve">had </w:t>
      </w:r>
      <w:r w:rsidRPr="00545535">
        <w:rPr>
          <w:rFonts w:eastAsia="Times New Roman" w:cs="Arial"/>
          <w:bCs/>
          <w:sz w:val="20"/>
          <w:szCs w:val="20"/>
        </w:rPr>
        <w:t>reported that seven Industrial Parks had been in the revitalization process. However, this was misaligned to the quarterly target.</w:t>
      </w:r>
    </w:p>
    <w:p w:rsidR="00EB7C1E" w:rsidRPr="00545535" w:rsidRDefault="00EB7C1E" w:rsidP="00545535">
      <w:pPr>
        <w:pStyle w:val="Body"/>
        <w:numPr>
          <w:ilvl w:val="0"/>
          <w:numId w:val="36"/>
        </w:numPr>
        <w:spacing w:line="240" w:lineRule="auto"/>
        <w:jc w:val="left"/>
        <w:rPr>
          <w:rFonts w:eastAsia="Times New Roman" w:cs="Arial"/>
          <w:bCs/>
          <w:sz w:val="20"/>
          <w:szCs w:val="20"/>
        </w:rPr>
      </w:pPr>
      <w:r w:rsidRPr="00545535">
        <w:rPr>
          <w:rFonts w:eastAsia="Times New Roman" w:cs="Arial"/>
          <w:bCs/>
          <w:sz w:val="20"/>
          <w:szCs w:val="20"/>
        </w:rPr>
        <w:t xml:space="preserve">There had been a target to prepare and submit one detailed report of new products and/or amendments for designation under the Preferential Procurement </w:t>
      </w:r>
      <w:r w:rsidR="00460DF9" w:rsidRPr="00545535">
        <w:rPr>
          <w:rFonts w:eastAsia="Times New Roman" w:cs="Arial"/>
          <w:bCs/>
          <w:sz w:val="20"/>
          <w:szCs w:val="20"/>
        </w:rPr>
        <w:t xml:space="preserve">Policy </w:t>
      </w:r>
      <w:r w:rsidRPr="00545535">
        <w:rPr>
          <w:rFonts w:eastAsia="Times New Roman" w:cs="Arial"/>
          <w:bCs/>
          <w:sz w:val="20"/>
          <w:szCs w:val="20"/>
        </w:rPr>
        <w:t xml:space="preserve">Framework Act (Act No. </w:t>
      </w:r>
      <w:r w:rsidR="00460DF9" w:rsidRPr="00545535">
        <w:rPr>
          <w:rFonts w:eastAsia="Times New Roman" w:cs="Arial"/>
          <w:bCs/>
          <w:sz w:val="20"/>
          <w:szCs w:val="20"/>
        </w:rPr>
        <w:t xml:space="preserve">5 </w:t>
      </w:r>
      <w:r w:rsidRPr="00545535">
        <w:rPr>
          <w:rFonts w:eastAsia="Times New Roman" w:cs="Arial"/>
          <w:bCs/>
          <w:sz w:val="20"/>
          <w:szCs w:val="20"/>
        </w:rPr>
        <w:t xml:space="preserve">of </w:t>
      </w:r>
      <w:r w:rsidR="00460DF9" w:rsidRPr="00545535">
        <w:rPr>
          <w:rFonts w:eastAsia="Times New Roman" w:cs="Arial"/>
          <w:bCs/>
          <w:sz w:val="20"/>
          <w:szCs w:val="20"/>
        </w:rPr>
        <w:t>2000</w:t>
      </w:r>
      <w:r w:rsidRPr="00545535">
        <w:rPr>
          <w:rFonts w:eastAsia="Times New Roman" w:cs="Arial"/>
          <w:bCs/>
          <w:sz w:val="20"/>
          <w:szCs w:val="20"/>
        </w:rPr>
        <w:t>) to the Minister, as well as to review proposals for designation from the broader economic cluster. In this regard, research had been conducted, however, further interventions had been required before completion. The report had been expected to be submitted to the Minister in the third quarter.</w:t>
      </w:r>
    </w:p>
    <w:p w:rsidR="00EB7C1E" w:rsidRPr="00545535" w:rsidRDefault="00460DF9" w:rsidP="00545535">
      <w:pPr>
        <w:pStyle w:val="Body"/>
        <w:numPr>
          <w:ilvl w:val="0"/>
          <w:numId w:val="36"/>
        </w:numPr>
        <w:spacing w:line="240" w:lineRule="auto"/>
        <w:jc w:val="left"/>
        <w:rPr>
          <w:rFonts w:eastAsia="Times New Roman" w:cs="Arial"/>
          <w:bCs/>
          <w:sz w:val="20"/>
          <w:szCs w:val="20"/>
        </w:rPr>
      </w:pPr>
      <w:r w:rsidRPr="00545535">
        <w:rPr>
          <w:rFonts w:eastAsia="Times New Roman" w:cs="Arial"/>
          <w:bCs/>
          <w:sz w:val="20"/>
          <w:szCs w:val="20"/>
        </w:rPr>
        <w:t>Participation</w:t>
      </w:r>
      <w:r w:rsidR="00EB7C1E" w:rsidRPr="00545535">
        <w:rPr>
          <w:rFonts w:eastAsia="Times New Roman" w:cs="Arial"/>
          <w:bCs/>
          <w:sz w:val="20"/>
          <w:szCs w:val="20"/>
        </w:rPr>
        <w:t xml:space="preserve"> in key stakeholder engagements, including </w:t>
      </w:r>
      <w:r w:rsidRPr="00545535">
        <w:rPr>
          <w:rFonts w:eastAsia="Times New Roman" w:cs="Arial"/>
          <w:bCs/>
          <w:sz w:val="20"/>
          <w:szCs w:val="20"/>
        </w:rPr>
        <w:t xml:space="preserve">at </w:t>
      </w:r>
      <w:r w:rsidR="00757862" w:rsidRPr="00545535">
        <w:rPr>
          <w:rFonts w:eastAsia="Times New Roman" w:cs="Arial"/>
          <w:bCs/>
          <w:sz w:val="20"/>
          <w:szCs w:val="20"/>
        </w:rPr>
        <w:t>the National Economic Development and Labour Council,</w:t>
      </w:r>
      <w:r w:rsidR="00EB7C1E" w:rsidRPr="00545535">
        <w:rPr>
          <w:rFonts w:eastAsia="Times New Roman" w:cs="Arial"/>
          <w:bCs/>
          <w:sz w:val="20"/>
          <w:szCs w:val="20"/>
        </w:rPr>
        <w:t xml:space="preserve"> to ensure</w:t>
      </w:r>
      <w:r w:rsidRPr="00545535">
        <w:rPr>
          <w:rFonts w:eastAsia="Times New Roman" w:cs="Arial"/>
          <w:bCs/>
          <w:sz w:val="20"/>
          <w:szCs w:val="20"/>
        </w:rPr>
        <w:t xml:space="preserve"> </w:t>
      </w:r>
      <w:r w:rsidR="00EB7C1E" w:rsidRPr="00545535">
        <w:rPr>
          <w:rFonts w:eastAsia="Times New Roman" w:cs="Arial"/>
          <w:bCs/>
          <w:sz w:val="20"/>
          <w:szCs w:val="20"/>
        </w:rPr>
        <w:t xml:space="preserve">legislative support required </w:t>
      </w:r>
      <w:r w:rsidRPr="00545535">
        <w:rPr>
          <w:rFonts w:eastAsia="Times New Roman" w:cs="Arial"/>
          <w:bCs/>
          <w:sz w:val="20"/>
          <w:szCs w:val="20"/>
        </w:rPr>
        <w:t xml:space="preserve">for localisation </w:t>
      </w:r>
      <w:r w:rsidR="00EB7C1E" w:rsidRPr="00545535">
        <w:rPr>
          <w:rFonts w:eastAsia="Times New Roman" w:cs="Arial"/>
          <w:bCs/>
          <w:sz w:val="20"/>
          <w:szCs w:val="20"/>
        </w:rPr>
        <w:t>in the Procurement Bill.</w:t>
      </w:r>
      <w:r w:rsidR="00EB7C1E" w:rsidRPr="00545535">
        <w:rPr>
          <w:rFonts w:cs="Arial"/>
          <w:sz w:val="20"/>
          <w:szCs w:val="20"/>
        </w:rPr>
        <w:t xml:space="preserve"> </w:t>
      </w:r>
      <w:r w:rsidRPr="00545535">
        <w:rPr>
          <w:rFonts w:eastAsia="Times New Roman" w:cs="Arial"/>
          <w:bCs/>
          <w:sz w:val="20"/>
          <w:szCs w:val="20"/>
        </w:rPr>
        <w:t>The DTIC had not had any</w:t>
      </w:r>
      <w:r w:rsidR="00EB7C1E" w:rsidRPr="00545535">
        <w:rPr>
          <w:rFonts w:eastAsia="Times New Roman" w:cs="Arial"/>
          <w:bCs/>
          <w:sz w:val="20"/>
          <w:szCs w:val="20"/>
        </w:rPr>
        <w:t xml:space="preserve"> engagements nor </w:t>
      </w:r>
      <w:r w:rsidRPr="00545535">
        <w:rPr>
          <w:rFonts w:eastAsia="Times New Roman" w:cs="Arial"/>
          <w:bCs/>
          <w:sz w:val="20"/>
          <w:szCs w:val="20"/>
        </w:rPr>
        <w:t xml:space="preserve">submitted any </w:t>
      </w:r>
      <w:r w:rsidR="00EB7C1E" w:rsidRPr="00545535">
        <w:rPr>
          <w:rFonts w:eastAsia="Times New Roman" w:cs="Arial"/>
          <w:bCs/>
          <w:sz w:val="20"/>
          <w:szCs w:val="20"/>
        </w:rPr>
        <w:t xml:space="preserve">inputs </w:t>
      </w:r>
      <w:r w:rsidRPr="00545535">
        <w:rPr>
          <w:rFonts w:eastAsia="Times New Roman" w:cs="Arial"/>
          <w:bCs/>
          <w:sz w:val="20"/>
          <w:szCs w:val="20"/>
        </w:rPr>
        <w:t>during this quarter, as it was awaiting the engagements with the National Treasury.</w:t>
      </w:r>
    </w:p>
    <w:p w:rsidR="007E70D6" w:rsidRPr="00545535" w:rsidRDefault="00DD3D0A" w:rsidP="00545535">
      <w:pPr>
        <w:pStyle w:val="Body"/>
        <w:numPr>
          <w:ilvl w:val="0"/>
          <w:numId w:val="36"/>
        </w:numPr>
        <w:spacing w:line="240" w:lineRule="auto"/>
        <w:jc w:val="left"/>
        <w:rPr>
          <w:rFonts w:eastAsia="Times New Roman" w:cs="Arial"/>
          <w:bCs/>
          <w:sz w:val="20"/>
          <w:szCs w:val="20"/>
        </w:rPr>
      </w:pPr>
      <w:r w:rsidRPr="00545535">
        <w:rPr>
          <w:rFonts w:eastAsia="Times New Roman" w:cs="Arial"/>
          <w:bCs/>
          <w:sz w:val="20"/>
          <w:szCs w:val="20"/>
        </w:rPr>
        <w:t>In terms of the target to</w:t>
      </w:r>
      <w:r w:rsidRPr="00545535">
        <w:rPr>
          <w:rFonts w:cs="Arial"/>
          <w:sz w:val="20"/>
          <w:szCs w:val="20"/>
        </w:rPr>
        <w:t xml:space="preserve"> </w:t>
      </w:r>
      <w:r w:rsidRPr="00545535">
        <w:rPr>
          <w:rFonts w:eastAsia="Times New Roman" w:cs="Arial"/>
          <w:bCs/>
          <w:sz w:val="20"/>
          <w:szCs w:val="20"/>
        </w:rPr>
        <w:t xml:space="preserve">adjudicate applications for local productions of films and documentaries </w:t>
      </w:r>
      <w:r w:rsidRPr="00545535">
        <w:rPr>
          <w:rFonts w:eastAsia="Times New Roman" w:cs="Arial"/>
          <w:bCs/>
          <w:sz w:val="20"/>
          <w:szCs w:val="20"/>
        </w:rPr>
        <w:lastRenderedPageBreak/>
        <w:t xml:space="preserve">telling South African stories, a call </w:t>
      </w:r>
      <w:r w:rsidR="00757862" w:rsidRPr="00545535">
        <w:rPr>
          <w:rFonts w:eastAsia="Times New Roman" w:cs="Arial"/>
          <w:bCs/>
          <w:sz w:val="20"/>
          <w:szCs w:val="20"/>
        </w:rPr>
        <w:t xml:space="preserve">had been </w:t>
      </w:r>
      <w:r w:rsidRPr="00545535">
        <w:rPr>
          <w:rFonts w:eastAsia="Times New Roman" w:cs="Arial"/>
          <w:bCs/>
          <w:sz w:val="20"/>
          <w:szCs w:val="20"/>
        </w:rPr>
        <w:t xml:space="preserve">published; however, no applications had been received in this regard. </w:t>
      </w:r>
    </w:p>
    <w:p w:rsidR="00697AC1" w:rsidRPr="00545535" w:rsidRDefault="00697AC1" w:rsidP="00545535">
      <w:pPr>
        <w:pStyle w:val="Body"/>
        <w:spacing w:line="240" w:lineRule="auto"/>
        <w:jc w:val="left"/>
        <w:rPr>
          <w:rFonts w:eastAsia="Times New Roman" w:cs="Arial"/>
          <w:bCs/>
          <w:sz w:val="20"/>
          <w:szCs w:val="20"/>
        </w:rPr>
      </w:pPr>
    </w:p>
    <w:p w:rsidR="004802CB" w:rsidRPr="00545535" w:rsidRDefault="00542DB5" w:rsidP="00545535">
      <w:pPr>
        <w:pStyle w:val="Heading3"/>
        <w:numPr>
          <w:ilvl w:val="3"/>
          <w:numId w:val="29"/>
        </w:numPr>
        <w:ind w:left="426" w:hanging="426"/>
        <w:rPr>
          <w:rFonts w:ascii="Arial" w:hAnsi="Arial" w:cs="Arial"/>
          <w:sz w:val="20"/>
          <w:szCs w:val="20"/>
          <w:lang w:val="en-ZA"/>
        </w:rPr>
      </w:pPr>
      <w:r w:rsidRPr="00545535">
        <w:rPr>
          <w:rFonts w:ascii="Arial" w:hAnsi="Arial" w:cs="Arial"/>
          <w:sz w:val="20"/>
          <w:szCs w:val="20"/>
          <w:lang w:val="en-ZA"/>
        </w:rPr>
        <w:t xml:space="preserve">Third Quarter Performance  </w:t>
      </w:r>
    </w:p>
    <w:p w:rsidR="004802CB" w:rsidRPr="00545535" w:rsidRDefault="007E70D6" w:rsidP="00545535">
      <w:pPr>
        <w:pStyle w:val="Body"/>
        <w:spacing w:line="240" w:lineRule="auto"/>
        <w:jc w:val="left"/>
        <w:rPr>
          <w:rFonts w:eastAsia="Times New Roman" w:cs="Arial"/>
          <w:sz w:val="20"/>
          <w:szCs w:val="20"/>
        </w:rPr>
      </w:pPr>
      <w:r w:rsidRPr="00545535">
        <w:rPr>
          <w:rFonts w:cs="Arial"/>
          <w:sz w:val="20"/>
          <w:szCs w:val="20"/>
        </w:rPr>
        <w:t>The DTIC had 35</w:t>
      </w:r>
      <w:r w:rsidR="00542DB5" w:rsidRPr="00545535">
        <w:rPr>
          <w:rFonts w:cs="Arial"/>
          <w:sz w:val="20"/>
          <w:szCs w:val="20"/>
        </w:rPr>
        <w:t xml:space="preserve"> targets for th</w:t>
      </w:r>
      <w:r w:rsidR="00527C28" w:rsidRPr="00545535">
        <w:rPr>
          <w:rFonts w:cs="Arial"/>
          <w:sz w:val="20"/>
          <w:szCs w:val="20"/>
        </w:rPr>
        <w:t xml:space="preserve">is </w:t>
      </w:r>
      <w:r w:rsidR="00542DB5" w:rsidRPr="00545535">
        <w:rPr>
          <w:rFonts w:cs="Arial"/>
          <w:sz w:val="20"/>
          <w:szCs w:val="20"/>
        </w:rPr>
        <w:t xml:space="preserve">quarter, </w:t>
      </w:r>
      <w:r w:rsidRPr="00545535">
        <w:rPr>
          <w:rFonts w:cs="Arial"/>
          <w:sz w:val="20"/>
          <w:szCs w:val="20"/>
        </w:rPr>
        <w:t xml:space="preserve">of which 27 </w:t>
      </w:r>
      <w:r w:rsidR="000676CA" w:rsidRPr="00545535">
        <w:rPr>
          <w:rFonts w:cs="Arial"/>
          <w:sz w:val="20"/>
          <w:szCs w:val="20"/>
        </w:rPr>
        <w:t>had</w:t>
      </w:r>
      <w:r w:rsidR="00542DB5" w:rsidRPr="00545535">
        <w:rPr>
          <w:rFonts w:cs="Arial"/>
          <w:sz w:val="20"/>
          <w:szCs w:val="20"/>
        </w:rPr>
        <w:t xml:space="preserve"> </w:t>
      </w:r>
      <w:r w:rsidR="000676CA" w:rsidRPr="00545535">
        <w:rPr>
          <w:rFonts w:cs="Arial"/>
          <w:sz w:val="20"/>
          <w:szCs w:val="20"/>
        </w:rPr>
        <w:t xml:space="preserve">been </w:t>
      </w:r>
      <w:r w:rsidR="00542DB5" w:rsidRPr="00545535">
        <w:rPr>
          <w:rFonts w:cs="Arial"/>
          <w:sz w:val="20"/>
          <w:szCs w:val="20"/>
        </w:rPr>
        <w:t xml:space="preserve">achieved. This represents </w:t>
      </w:r>
      <w:r w:rsidR="00527C28" w:rsidRPr="00545535">
        <w:rPr>
          <w:rFonts w:cs="Arial"/>
          <w:sz w:val="20"/>
          <w:szCs w:val="20"/>
        </w:rPr>
        <w:t xml:space="preserve">a </w:t>
      </w:r>
      <w:r w:rsidRPr="00545535">
        <w:rPr>
          <w:rFonts w:cs="Arial"/>
          <w:sz w:val="20"/>
          <w:szCs w:val="20"/>
        </w:rPr>
        <w:t xml:space="preserve">77 </w:t>
      </w:r>
      <w:r w:rsidR="00542DB5" w:rsidRPr="00545535">
        <w:rPr>
          <w:rFonts w:cs="Arial"/>
          <w:sz w:val="20"/>
          <w:szCs w:val="20"/>
        </w:rPr>
        <w:t xml:space="preserve">per cent achievement of </w:t>
      </w:r>
      <w:r w:rsidR="00527C28" w:rsidRPr="00545535">
        <w:rPr>
          <w:rFonts w:cs="Arial"/>
          <w:sz w:val="20"/>
          <w:szCs w:val="20"/>
        </w:rPr>
        <w:t xml:space="preserve">its </w:t>
      </w:r>
      <w:r w:rsidR="00542DB5" w:rsidRPr="00545535">
        <w:rPr>
          <w:rFonts w:cs="Arial"/>
          <w:sz w:val="20"/>
          <w:szCs w:val="20"/>
        </w:rPr>
        <w:t xml:space="preserve">targets during the quarter under review. </w:t>
      </w:r>
    </w:p>
    <w:p w:rsidR="004802CB" w:rsidRPr="00545535" w:rsidRDefault="004802CB" w:rsidP="00545535">
      <w:pPr>
        <w:pStyle w:val="Body"/>
        <w:spacing w:line="240" w:lineRule="auto"/>
        <w:jc w:val="left"/>
        <w:rPr>
          <w:rFonts w:eastAsia="Times New Roman" w:cs="Arial"/>
          <w:sz w:val="20"/>
          <w:szCs w:val="20"/>
          <w:highlight w:val="yellow"/>
        </w:rPr>
      </w:pPr>
    </w:p>
    <w:p w:rsidR="007E70D6" w:rsidRPr="00545535" w:rsidRDefault="007E70D6" w:rsidP="00545535">
      <w:pPr>
        <w:pStyle w:val="Body"/>
        <w:spacing w:line="240" w:lineRule="auto"/>
        <w:jc w:val="left"/>
        <w:rPr>
          <w:rFonts w:eastAsia="Times New Roman" w:cs="Arial"/>
          <w:bCs/>
          <w:sz w:val="20"/>
          <w:szCs w:val="20"/>
        </w:rPr>
      </w:pPr>
      <w:r w:rsidRPr="00545535">
        <w:rPr>
          <w:rFonts w:eastAsia="Times New Roman" w:cs="Arial"/>
          <w:bCs/>
          <w:sz w:val="20"/>
          <w:szCs w:val="20"/>
        </w:rPr>
        <w:t>The eight targets that had not been achieved were:</w:t>
      </w:r>
    </w:p>
    <w:p w:rsidR="00527503" w:rsidRPr="00545535" w:rsidRDefault="00527503" w:rsidP="00545535">
      <w:pPr>
        <w:pStyle w:val="Body"/>
        <w:numPr>
          <w:ilvl w:val="0"/>
          <w:numId w:val="36"/>
        </w:numPr>
        <w:spacing w:line="240" w:lineRule="auto"/>
        <w:jc w:val="left"/>
        <w:rPr>
          <w:rFonts w:eastAsia="Times New Roman" w:cs="Arial"/>
          <w:bCs/>
          <w:sz w:val="20"/>
          <w:szCs w:val="20"/>
        </w:rPr>
      </w:pPr>
      <w:r w:rsidRPr="00545535">
        <w:rPr>
          <w:rFonts w:eastAsia="Times New Roman" w:cs="Arial"/>
          <w:bCs/>
          <w:sz w:val="20"/>
          <w:szCs w:val="20"/>
        </w:rPr>
        <w:t>The target for the implementation of the Internal Capacity Building Plan had been 13 per cent; however, only 6,5 per cent had been implemented by the end of the third quarter. In terms of structure fit for purpose, the process required an in-depth review and preparation after the Executive Board’s principle approval. In terms of the Culture Change Plan, there had been delays in the item being tabled at the Executive Board. As this was an Executive Board driven process, process buy-in and combination at top management level was key to the success of the intervention. Therefore, the approach would be that of an engag</w:t>
      </w:r>
      <w:r w:rsidR="00527C28" w:rsidRPr="00545535">
        <w:rPr>
          <w:rFonts w:eastAsia="Times New Roman" w:cs="Arial"/>
          <w:bCs/>
          <w:sz w:val="20"/>
          <w:szCs w:val="20"/>
        </w:rPr>
        <w:t>ement</w:t>
      </w:r>
      <w:r w:rsidRPr="00545535">
        <w:rPr>
          <w:rFonts w:eastAsia="Times New Roman" w:cs="Arial"/>
          <w:bCs/>
          <w:sz w:val="20"/>
          <w:szCs w:val="20"/>
        </w:rPr>
        <w:t xml:space="preserve"> process rather than project management.</w:t>
      </w:r>
    </w:p>
    <w:p w:rsidR="00B44505" w:rsidRPr="00545535" w:rsidRDefault="00943DB9" w:rsidP="00545535">
      <w:pPr>
        <w:pStyle w:val="Body"/>
        <w:numPr>
          <w:ilvl w:val="0"/>
          <w:numId w:val="36"/>
        </w:numPr>
        <w:spacing w:line="240" w:lineRule="auto"/>
        <w:jc w:val="left"/>
        <w:rPr>
          <w:rFonts w:eastAsia="Times New Roman" w:cs="Arial"/>
          <w:bCs/>
          <w:sz w:val="20"/>
          <w:szCs w:val="20"/>
        </w:rPr>
      </w:pPr>
      <w:r w:rsidRPr="00545535">
        <w:rPr>
          <w:rFonts w:eastAsia="Times New Roman" w:cs="Arial"/>
          <w:bCs/>
          <w:sz w:val="20"/>
          <w:szCs w:val="20"/>
        </w:rPr>
        <w:t>In terms of the g</w:t>
      </w:r>
      <w:r w:rsidR="00B44505" w:rsidRPr="00545535">
        <w:rPr>
          <w:rFonts w:eastAsia="Times New Roman" w:cs="Arial"/>
          <w:bCs/>
          <w:sz w:val="20"/>
          <w:szCs w:val="20"/>
        </w:rPr>
        <w:t>overnance framework</w:t>
      </w:r>
      <w:r w:rsidRPr="00545535">
        <w:rPr>
          <w:rFonts w:eastAsia="Times New Roman" w:cs="Arial"/>
          <w:bCs/>
          <w:sz w:val="20"/>
          <w:szCs w:val="20"/>
        </w:rPr>
        <w:t xml:space="preserve"> for entities</w:t>
      </w:r>
      <w:r w:rsidR="00B44505" w:rsidRPr="00545535">
        <w:rPr>
          <w:rFonts w:eastAsia="Times New Roman" w:cs="Arial"/>
          <w:bCs/>
          <w:sz w:val="20"/>
          <w:szCs w:val="20"/>
        </w:rPr>
        <w:t xml:space="preserve">, the target </w:t>
      </w:r>
      <w:r w:rsidRPr="00545535">
        <w:rPr>
          <w:rFonts w:eastAsia="Times New Roman" w:cs="Arial"/>
          <w:bCs/>
          <w:sz w:val="20"/>
          <w:szCs w:val="20"/>
        </w:rPr>
        <w:t xml:space="preserve">planned for this indicator was to </w:t>
      </w:r>
      <w:r w:rsidR="00B44505" w:rsidRPr="00545535">
        <w:rPr>
          <w:rFonts w:eastAsia="Times New Roman" w:cs="Arial"/>
          <w:bCs/>
          <w:sz w:val="20"/>
          <w:szCs w:val="20"/>
        </w:rPr>
        <w:t xml:space="preserve">finalise </w:t>
      </w:r>
      <w:r w:rsidRPr="00545535">
        <w:rPr>
          <w:rFonts w:eastAsia="Times New Roman" w:cs="Arial"/>
          <w:bCs/>
          <w:sz w:val="20"/>
          <w:szCs w:val="20"/>
        </w:rPr>
        <w:t xml:space="preserve">the </w:t>
      </w:r>
      <w:r w:rsidR="00B44505" w:rsidRPr="00545535">
        <w:rPr>
          <w:rFonts w:eastAsia="Times New Roman" w:cs="Arial"/>
          <w:bCs/>
          <w:sz w:val="20"/>
          <w:szCs w:val="20"/>
        </w:rPr>
        <w:t xml:space="preserve">review </w:t>
      </w:r>
      <w:r w:rsidRPr="00545535">
        <w:rPr>
          <w:rFonts w:eastAsia="Times New Roman" w:cs="Arial"/>
          <w:bCs/>
          <w:sz w:val="20"/>
          <w:szCs w:val="20"/>
        </w:rPr>
        <w:t xml:space="preserve">of the framework </w:t>
      </w:r>
      <w:r w:rsidR="00B44505" w:rsidRPr="00545535">
        <w:rPr>
          <w:rFonts w:eastAsia="Times New Roman" w:cs="Arial"/>
          <w:bCs/>
          <w:sz w:val="20"/>
          <w:szCs w:val="20"/>
        </w:rPr>
        <w:t xml:space="preserve">and submit </w:t>
      </w:r>
      <w:r w:rsidRPr="00545535">
        <w:rPr>
          <w:rFonts w:eastAsia="Times New Roman" w:cs="Arial"/>
          <w:bCs/>
          <w:sz w:val="20"/>
          <w:szCs w:val="20"/>
        </w:rPr>
        <w:t xml:space="preserve">this </w:t>
      </w:r>
      <w:r w:rsidR="00B44505" w:rsidRPr="00545535">
        <w:rPr>
          <w:rFonts w:eastAsia="Times New Roman" w:cs="Arial"/>
          <w:bCs/>
          <w:sz w:val="20"/>
          <w:szCs w:val="20"/>
        </w:rPr>
        <w:t xml:space="preserve">to </w:t>
      </w:r>
      <w:r w:rsidR="00527C28" w:rsidRPr="00545535">
        <w:rPr>
          <w:rFonts w:eastAsia="Times New Roman" w:cs="Arial"/>
          <w:bCs/>
          <w:sz w:val="20"/>
          <w:szCs w:val="20"/>
        </w:rPr>
        <w:t xml:space="preserve">the </w:t>
      </w:r>
      <w:r w:rsidR="00B44505" w:rsidRPr="00545535">
        <w:rPr>
          <w:rFonts w:eastAsia="Times New Roman" w:cs="Arial"/>
          <w:bCs/>
          <w:sz w:val="20"/>
          <w:szCs w:val="20"/>
        </w:rPr>
        <w:t>D</w:t>
      </w:r>
      <w:r w:rsidRPr="00545535">
        <w:rPr>
          <w:rFonts w:eastAsia="Times New Roman" w:cs="Arial"/>
          <w:bCs/>
          <w:sz w:val="20"/>
          <w:szCs w:val="20"/>
        </w:rPr>
        <w:t>irector-</w:t>
      </w:r>
      <w:r w:rsidR="00B44505" w:rsidRPr="00545535">
        <w:rPr>
          <w:rFonts w:eastAsia="Times New Roman" w:cs="Arial"/>
          <w:bCs/>
          <w:sz w:val="20"/>
          <w:szCs w:val="20"/>
        </w:rPr>
        <w:t>G</w:t>
      </w:r>
      <w:r w:rsidRPr="00545535">
        <w:rPr>
          <w:rFonts w:eastAsia="Times New Roman" w:cs="Arial"/>
          <w:bCs/>
          <w:sz w:val="20"/>
          <w:szCs w:val="20"/>
        </w:rPr>
        <w:t>eneral</w:t>
      </w:r>
      <w:r w:rsidR="00B44505" w:rsidRPr="00545535">
        <w:rPr>
          <w:rFonts w:eastAsia="Times New Roman" w:cs="Arial"/>
          <w:bCs/>
          <w:sz w:val="20"/>
          <w:szCs w:val="20"/>
        </w:rPr>
        <w:t xml:space="preserve"> and </w:t>
      </w:r>
      <w:r w:rsidRPr="00545535">
        <w:rPr>
          <w:rFonts w:eastAsia="Times New Roman" w:cs="Arial"/>
          <w:bCs/>
          <w:sz w:val="20"/>
          <w:szCs w:val="20"/>
        </w:rPr>
        <w:t xml:space="preserve">the </w:t>
      </w:r>
      <w:r w:rsidR="00B44505" w:rsidRPr="00545535">
        <w:rPr>
          <w:rFonts w:eastAsia="Times New Roman" w:cs="Arial"/>
          <w:bCs/>
          <w:sz w:val="20"/>
          <w:szCs w:val="20"/>
        </w:rPr>
        <w:t>Minister</w:t>
      </w:r>
      <w:r w:rsidRPr="00545535">
        <w:rPr>
          <w:rFonts w:eastAsia="Times New Roman" w:cs="Arial"/>
          <w:bCs/>
          <w:sz w:val="20"/>
          <w:szCs w:val="20"/>
        </w:rPr>
        <w:t>. At the end of the third quarter,</w:t>
      </w:r>
      <w:r w:rsidR="00B44505" w:rsidRPr="00545535">
        <w:rPr>
          <w:rFonts w:eastAsia="Times New Roman" w:cs="Arial"/>
          <w:bCs/>
          <w:sz w:val="20"/>
          <w:szCs w:val="20"/>
        </w:rPr>
        <w:t xml:space="preserve"> the review </w:t>
      </w:r>
      <w:r w:rsidRPr="00545535">
        <w:rPr>
          <w:rFonts w:eastAsia="Times New Roman" w:cs="Arial"/>
          <w:bCs/>
          <w:sz w:val="20"/>
          <w:szCs w:val="20"/>
        </w:rPr>
        <w:t>wa</w:t>
      </w:r>
      <w:r w:rsidR="00B44505" w:rsidRPr="00545535">
        <w:rPr>
          <w:rFonts w:eastAsia="Times New Roman" w:cs="Arial"/>
          <w:bCs/>
          <w:sz w:val="20"/>
          <w:szCs w:val="20"/>
        </w:rPr>
        <w:t xml:space="preserve">s still underway. The target </w:t>
      </w:r>
      <w:r w:rsidRPr="00545535">
        <w:rPr>
          <w:rFonts w:eastAsia="Times New Roman" w:cs="Arial"/>
          <w:bCs/>
          <w:sz w:val="20"/>
          <w:szCs w:val="20"/>
        </w:rPr>
        <w:t xml:space="preserve">had </w:t>
      </w:r>
      <w:r w:rsidR="00B44505" w:rsidRPr="00545535">
        <w:rPr>
          <w:rFonts w:eastAsia="Times New Roman" w:cs="Arial"/>
          <w:bCs/>
          <w:sz w:val="20"/>
          <w:szCs w:val="20"/>
        </w:rPr>
        <w:t xml:space="preserve">not </w:t>
      </w:r>
      <w:r w:rsidRPr="00545535">
        <w:rPr>
          <w:rFonts w:eastAsia="Times New Roman" w:cs="Arial"/>
          <w:bCs/>
          <w:sz w:val="20"/>
          <w:szCs w:val="20"/>
        </w:rPr>
        <w:t xml:space="preserve">been </w:t>
      </w:r>
      <w:r w:rsidR="00B44505" w:rsidRPr="00545535">
        <w:rPr>
          <w:rFonts w:eastAsia="Times New Roman" w:cs="Arial"/>
          <w:bCs/>
          <w:sz w:val="20"/>
          <w:szCs w:val="20"/>
        </w:rPr>
        <w:t xml:space="preserve">achieved due to </w:t>
      </w:r>
      <w:r w:rsidRPr="00545535">
        <w:rPr>
          <w:rFonts w:eastAsia="Times New Roman" w:cs="Arial"/>
          <w:bCs/>
          <w:sz w:val="20"/>
          <w:szCs w:val="20"/>
        </w:rPr>
        <w:t xml:space="preserve">a </w:t>
      </w:r>
      <w:r w:rsidR="00B44505" w:rsidRPr="00545535">
        <w:rPr>
          <w:rFonts w:eastAsia="Times New Roman" w:cs="Arial"/>
          <w:bCs/>
          <w:sz w:val="20"/>
          <w:szCs w:val="20"/>
        </w:rPr>
        <w:t>shortage of resources.</w:t>
      </w:r>
    </w:p>
    <w:p w:rsidR="00AA0C67" w:rsidRPr="00545535" w:rsidRDefault="00AA0C67" w:rsidP="00545535">
      <w:pPr>
        <w:pStyle w:val="Body"/>
        <w:numPr>
          <w:ilvl w:val="0"/>
          <w:numId w:val="36"/>
        </w:numPr>
        <w:spacing w:line="240" w:lineRule="auto"/>
        <w:jc w:val="left"/>
        <w:rPr>
          <w:rFonts w:eastAsia="Times New Roman" w:cs="Arial"/>
          <w:bCs/>
          <w:sz w:val="20"/>
          <w:szCs w:val="20"/>
        </w:rPr>
      </w:pPr>
      <w:r w:rsidRPr="00545535">
        <w:rPr>
          <w:rFonts w:eastAsia="Times New Roman" w:cs="Arial"/>
          <w:bCs/>
          <w:sz w:val="20"/>
          <w:szCs w:val="20"/>
        </w:rPr>
        <w:t xml:space="preserve">The quarterly target had been for two annual targets for the revitalisation of industrial parks to be implemented. However, it reported that five industrial parks had been under construction, namely Babelegi, Mogwaswa/Bodirelo, Vulindlela, Isithebe and Nkowankowa, while Dimbaza had been completed and two industrial parks had been nearing completion, namely Botshabelo and Komani. The DTIC indicated that there was a misalignment between the work that was currently being undertaken by the Spatial Industrial Development and Economic Transformation Branch in this regard and how the targets have been captured in the APP, these had been requested to be revised. </w:t>
      </w:r>
    </w:p>
    <w:p w:rsidR="007E70D6" w:rsidRPr="00545535" w:rsidRDefault="00EB1047" w:rsidP="00545535">
      <w:pPr>
        <w:pStyle w:val="Body"/>
        <w:numPr>
          <w:ilvl w:val="0"/>
          <w:numId w:val="36"/>
        </w:numPr>
        <w:spacing w:line="240" w:lineRule="auto"/>
        <w:jc w:val="left"/>
        <w:rPr>
          <w:rFonts w:eastAsia="Times New Roman" w:cs="Arial"/>
          <w:bCs/>
          <w:sz w:val="20"/>
          <w:szCs w:val="20"/>
        </w:rPr>
      </w:pPr>
      <w:r w:rsidRPr="00545535">
        <w:rPr>
          <w:rFonts w:eastAsia="Times New Roman" w:cs="Arial"/>
          <w:bCs/>
          <w:sz w:val="20"/>
          <w:szCs w:val="20"/>
        </w:rPr>
        <w:t xml:space="preserve">The quarterly target had been that a draft Master plan should have been developed as per the Re-imagined Industrial Strategy; however, the draft Master plan had been presented and was </w:t>
      </w:r>
      <w:r w:rsidR="00527C28" w:rsidRPr="00545535">
        <w:rPr>
          <w:rFonts w:eastAsia="Times New Roman" w:cs="Arial"/>
          <w:bCs/>
          <w:sz w:val="20"/>
          <w:szCs w:val="20"/>
        </w:rPr>
        <w:t xml:space="preserve">still </w:t>
      </w:r>
      <w:r w:rsidRPr="00545535">
        <w:rPr>
          <w:rFonts w:eastAsia="Times New Roman" w:cs="Arial"/>
          <w:bCs/>
          <w:sz w:val="20"/>
          <w:szCs w:val="20"/>
        </w:rPr>
        <w:t>awaiting final approval.</w:t>
      </w:r>
    </w:p>
    <w:p w:rsidR="007E70D6" w:rsidRPr="00545535" w:rsidRDefault="00F42C85" w:rsidP="00545535">
      <w:pPr>
        <w:pStyle w:val="Body"/>
        <w:numPr>
          <w:ilvl w:val="0"/>
          <w:numId w:val="36"/>
        </w:numPr>
        <w:spacing w:line="240" w:lineRule="auto"/>
        <w:jc w:val="left"/>
        <w:rPr>
          <w:rFonts w:eastAsia="Times New Roman" w:cs="Arial"/>
          <w:bCs/>
          <w:sz w:val="20"/>
          <w:szCs w:val="20"/>
        </w:rPr>
      </w:pPr>
      <w:r w:rsidRPr="00545535">
        <w:rPr>
          <w:rFonts w:eastAsia="Times New Roman" w:cs="Arial"/>
          <w:bCs/>
          <w:sz w:val="20"/>
          <w:szCs w:val="20"/>
        </w:rPr>
        <w:t>Only R9,7 billion of projected investments to be leveraged from projects/enterprises had been approved against a target of R13 billion. This was due to fewer applications with low investment values being received as a result of the economic downturn and the impact of the COVID-19 pandemic.</w:t>
      </w:r>
    </w:p>
    <w:p w:rsidR="00B24683" w:rsidRPr="00545535" w:rsidRDefault="00B24683" w:rsidP="00545535">
      <w:pPr>
        <w:pStyle w:val="Body"/>
        <w:numPr>
          <w:ilvl w:val="0"/>
          <w:numId w:val="36"/>
        </w:numPr>
        <w:spacing w:line="240" w:lineRule="auto"/>
        <w:jc w:val="left"/>
        <w:rPr>
          <w:rFonts w:eastAsia="Times New Roman" w:cs="Arial"/>
          <w:bCs/>
          <w:sz w:val="20"/>
          <w:szCs w:val="20"/>
        </w:rPr>
      </w:pPr>
      <w:r w:rsidRPr="00545535">
        <w:rPr>
          <w:rFonts w:eastAsia="Times New Roman" w:cs="Arial"/>
          <w:bCs/>
          <w:sz w:val="20"/>
          <w:szCs w:val="20"/>
        </w:rPr>
        <w:t>In terms of the call for investments in local film and television</w:t>
      </w:r>
      <w:r w:rsidR="00A90DB5" w:rsidRPr="00545535">
        <w:rPr>
          <w:rFonts w:eastAsia="Times New Roman" w:cs="Arial"/>
          <w:bCs/>
          <w:sz w:val="20"/>
          <w:szCs w:val="20"/>
        </w:rPr>
        <w:t xml:space="preserve"> (TV)</w:t>
      </w:r>
      <w:r w:rsidRPr="00545535">
        <w:rPr>
          <w:rFonts w:eastAsia="Times New Roman" w:cs="Arial"/>
          <w:bCs/>
          <w:sz w:val="20"/>
          <w:szCs w:val="20"/>
        </w:rPr>
        <w:t xml:space="preserve"> production, the target for adjudication of applications for local productions of films and documentaries telling South African stories had not been achieved, as the DTIC had not received applications </w:t>
      </w:r>
      <w:r w:rsidR="00527C28" w:rsidRPr="00545535">
        <w:rPr>
          <w:rFonts w:eastAsia="Times New Roman" w:cs="Arial"/>
          <w:bCs/>
          <w:sz w:val="20"/>
          <w:szCs w:val="20"/>
        </w:rPr>
        <w:t xml:space="preserve">in relation to the </w:t>
      </w:r>
      <w:r w:rsidRPr="00545535">
        <w:rPr>
          <w:rFonts w:eastAsia="Times New Roman" w:cs="Arial"/>
          <w:bCs/>
          <w:sz w:val="20"/>
          <w:szCs w:val="20"/>
        </w:rPr>
        <w:t xml:space="preserve">telling </w:t>
      </w:r>
      <w:r w:rsidR="00527C28" w:rsidRPr="00545535">
        <w:rPr>
          <w:rFonts w:eastAsia="Times New Roman" w:cs="Arial"/>
          <w:bCs/>
          <w:sz w:val="20"/>
          <w:szCs w:val="20"/>
        </w:rPr>
        <w:t xml:space="preserve">of </w:t>
      </w:r>
      <w:r w:rsidRPr="00545535">
        <w:rPr>
          <w:rFonts w:eastAsia="Times New Roman" w:cs="Arial"/>
          <w:bCs/>
          <w:sz w:val="20"/>
          <w:szCs w:val="20"/>
        </w:rPr>
        <w:t>South African stories.</w:t>
      </w:r>
    </w:p>
    <w:p w:rsidR="00B24683" w:rsidRPr="00545535" w:rsidRDefault="00B24683" w:rsidP="00545535">
      <w:pPr>
        <w:pStyle w:val="Body"/>
        <w:numPr>
          <w:ilvl w:val="0"/>
          <w:numId w:val="36"/>
        </w:numPr>
        <w:spacing w:line="240" w:lineRule="auto"/>
        <w:jc w:val="left"/>
        <w:rPr>
          <w:rFonts w:eastAsia="Times New Roman" w:cs="Arial"/>
          <w:bCs/>
          <w:sz w:val="20"/>
          <w:szCs w:val="20"/>
        </w:rPr>
      </w:pPr>
      <w:r w:rsidRPr="00545535">
        <w:rPr>
          <w:rFonts w:eastAsia="Times New Roman" w:cs="Arial"/>
          <w:bCs/>
          <w:sz w:val="20"/>
          <w:szCs w:val="20"/>
        </w:rPr>
        <w:t xml:space="preserve">The target for one statistical report on company registrations from the Companies and Intellectual Property Commission (CIPC) had not been achieved. The statistics provided by the CIPC </w:t>
      </w:r>
      <w:r w:rsidR="00527C28" w:rsidRPr="00545535">
        <w:rPr>
          <w:rFonts w:eastAsia="Times New Roman" w:cs="Arial"/>
          <w:bCs/>
          <w:sz w:val="20"/>
          <w:szCs w:val="20"/>
        </w:rPr>
        <w:t>ha</w:t>
      </w:r>
      <w:r w:rsidRPr="00545535">
        <w:rPr>
          <w:rFonts w:eastAsia="Times New Roman" w:cs="Arial"/>
          <w:bCs/>
          <w:sz w:val="20"/>
          <w:szCs w:val="20"/>
        </w:rPr>
        <w:t>d not address</w:t>
      </w:r>
      <w:r w:rsidR="00527C28" w:rsidRPr="00545535">
        <w:rPr>
          <w:rFonts w:eastAsia="Times New Roman" w:cs="Arial"/>
          <w:bCs/>
          <w:sz w:val="20"/>
          <w:szCs w:val="20"/>
        </w:rPr>
        <w:t>ed</w:t>
      </w:r>
      <w:r w:rsidRPr="00545535">
        <w:rPr>
          <w:rFonts w:eastAsia="Times New Roman" w:cs="Arial"/>
          <w:bCs/>
          <w:sz w:val="20"/>
          <w:szCs w:val="20"/>
        </w:rPr>
        <w:t xml:space="preserve"> the requirement of company registration being finalised within one day</w:t>
      </w:r>
      <w:r w:rsidR="00527C28" w:rsidRPr="00545535">
        <w:rPr>
          <w:rFonts w:eastAsia="Times New Roman" w:cs="Arial"/>
          <w:bCs/>
          <w:sz w:val="20"/>
          <w:szCs w:val="20"/>
        </w:rPr>
        <w:t xml:space="preserve">, although this </w:t>
      </w:r>
      <w:r w:rsidRPr="00545535">
        <w:rPr>
          <w:rFonts w:eastAsia="Times New Roman" w:cs="Arial"/>
          <w:bCs/>
          <w:sz w:val="20"/>
          <w:szCs w:val="20"/>
        </w:rPr>
        <w:t>was evident from the BizPortal data. Th</w:t>
      </w:r>
      <w:r w:rsidR="00527C28" w:rsidRPr="00545535">
        <w:rPr>
          <w:rFonts w:eastAsia="Times New Roman" w:cs="Arial"/>
          <w:bCs/>
          <w:sz w:val="20"/>
          <w:szCs w:val="20"/>
        </w:rPr>
        <w:t>e BizPortal</w:t>
      </w:r>
      <w:r w:rsidRPr="00545535">
        <w:rPr>
          <w:rFonts w:eastAsia="Times New Roman" w:cs="Arial"/>
          <w:bCs/>
          <w:sz w:val="20"/>
          <w:szCs w:val="20"/>
        </w:rPr>
        <w:t xml:space="preserve"> data had been extracted by the </w:t>
      </w:r>
      <w:r w:rsidR="00527C28" w:rsidRPr="00545535">
        <w:rPr>
          <w:rFonts w:eastAsia="Times New Roman" w:cs="Arial"/>
          <w:bCs/>
          <w:sz w:val="20"/>
          <w:szCs w:val="20"/>
        </w:rPr>
        <w:t xml:space="preserve">Inward Investment Attraction, Facilitation and After-care branch </w:t>
      </w:r>
      <w:r w:rsidRPr="00545535">
        <w:rPr>
          <w:rFonts w:eastAsia="Times New Roman" w:cs="Arial"/>
          <w:bCs/>
          <w:sz w:val="20"/>
          <w:szCs w:val="20"/>
        </w:rPr>
        <w:t xml:space="preserve">and attached as additional evidence for the third quarter. However, it had not been considered authentic, as it had not been included by the CIPC. The branch would subsequently request the CIPC to include this data </w:t>
      </w:r>
      <w:r w:rsidR="00527C28" w:rsidRPr="00545535">
        <w:rPr>
          <w:rFonts w:eastAsia="Times New Roman" w:cs="Arial"/>
          <w:bCs/>
          <w:sz w:val="20"/>
          <w:szCs w:val="20"/>
        </w:rPr>
        <w:t xml:space="preserve">in its report </w:t>
      </w:r>
      <w:r w:rsidRPr="00545535">
        <w:rPr>
          <w:rFonts w:eastAsia="Times New Roman" w:cs="Arial"/>
          <w:bCs/>
          <w:sz w:val="20"/>
          <w:szCs w:val="20"/>
        </w:rPr>
        <w:t>to address th</w:t>
      </w:r>
      <w:r w:rsidR="00527C28" w:rsidRPr="00545535">
        <w:rPr>
          <w:rFonts w:eastAsia="Times New Roman" w:cs="Arial"/>
          <w:bCs/>
          <w:sz w:val="20"/>
          <w:szCs w:val="20"/>
        </w:rPr>
        <w:t>is</w:t>
      </w:r>
      <w:r w:rsidRPr="00545535">
        <w:rPr>
          <w:rFonts w:eastAsia="Times New Roman" w:cs="Arial"/>
          <w:bCs/>
          <w:sz w:val="20"/>
          <w:szCs w:val="20"/>
        </w:rPr>
        <w:t xml:space="preserve"> anomaly</w:t>
      </w:r>
      <w:r w:rsidR="00527C28" w:rsidRPr="00545535">
        <w:rPr>
          <w:rFonts w:eastAsia="Times New Roman" w:cs="Arial"/>
          <w:bCs/>
          <w:sz w:val="20"/>
          <w:szCs w:val="20"/>
        </w:rPr>
        <w:t xml:space="preserve"> going forward</w:t>
      </w:r>
      <w:r w:rsidRPr="00545535">
        <w:rPr>
          <w:rFonts w:eastAsia="Times New Roman" w:cs="Arial"/>
          <w:bCs/>
          <w:sz w:val="20"/>
          <w:szCs w:val="20"/>
        </w:rPr>
        <w:t xml:space="preserve">. </w:t>
      </w:r>
    </w:p>
    <w:p w:rsidR="007E70D6" w:rsidRPr="00545535" w:rsidRDefault="00F824D5" w:rsidP="00545535">
      <w:pPr>
        <w:pStyle w:val="Body"/>
        <w:numPr>
          <w:ilvl w:val="0"/>
          <w:numId w:val="36"/>
        </w:numPr>
        <w:spacing w:line="240" w:lineRule="auto"/>
        <w:jc w:val="left"/>
        <w:rPr>
          <w:rFonts w:eastAsia="Times New Roman" w:cs="Arial"/>
          <w:bCs/>
          <w:sz w:val="20"/>
          <w:szCs w:val="20"/>
        </w:rPr>
      </w:pPr>
      <w:r w:rsidRPr="00545535">
        <w:rPr>
          <w:rFonts w:eastAsia="Times New Roman" w:cs="Arial"/>
          <w:bCs/>
          <w:sz w:val="20"/>
          <w:szCs w:val="20"/>
        </w:rPr>
        <w:t>A report on the impact of the DTIC and entities’ programmes on employment, economic growth, exports, imports and investment had not been published</w:t>
      </w:r>
      <w:r w:rsidR="00214638" w:rsidRPr="00545535">
        <w:rPr>
          <w:rFonts w:eastAsia="Times New Roman" w:cs="Arial"/>
          <w:bCs/>
          <w:sz w:val="20"/>
          <w:szCs w:val="20"/>
        </w:rPr>
        <w:t xml:space="preserve"> by the</w:t>
      </w:r>
      <w:r w:rsidR="00214638" w:rsidRPr="00545535">
        <w:rPr>
          <w:rFonts w:cs="Arial"/>
          <w:sz w:val="20"/>
          <w:szCs w:val="20"/>
        </w:rPr>
        <w:t xml:space="preserve"> </w:t>
      </w:r>
      <w:r w:rsidR="00214638" w:rsidRPr="00545535">
        <w:rPr>
          <w:rFonts w:eastAsia="Times New Roman" w:cs="Arial"/>
          <w:bCs/>
          <w:sz w:val="20"/>
          <w:szCs w:val="20"/>
        </w:rPr>
        <w:t>Economic Research and Coordination branch</w:t>
      </w:r>
      <w:r w:rsidRPr="00545535">
        <w:rPr>
          <w:rFonts w:eastAsia="Times New Roman" w:cs="Arial"/>
          <w:bCs/>
          <w:sz w:val="20"/>
          <w:szCs w:val="20"/>
        </w:rPr>
        <w:t>, as it required more time to monitor progress of these programmes and their impact.</w:t>
      </w:r>
    </w:p>
    <w:p w:rsidR="007E70D6" w:rsidRPr="00545535" w:rsidRDefault="007E70D6" w:rsidP="00545535">
      <w:pPr>
        <w:pStyle w:val="Body"/>
        <w:spacing w:line="240" w:lineRule="auto"/>
        <w:jc w:val="left"/>
        <w:rPr>
          <w:rFonts w:eastAsia="Times New Roman" w:cs="Arial"/>
          <w:sz w:val="20"/>
          <w:szCs w:val="20"/>
          <w:highlight w:val="yellow"/>
        </w:rPr>
      </w:pPr>
    </w:p>
    <w:p w:rsidR="004802CB" w:rsidRPr="00545535" w:rsidRDefault="00542DB5" w:rsidP="00545535">
      <w:pPr>
        <w:pStyle w:val="Heading3"/>
        <w:rPr>
          <w:rFonts w:ascii="Arial" w:hAnsi="Arial" w:cs="Arial"/>
          <w:sz w:val="20"/>
          <w:szCs w:val="20"/>
          <w:lang w:val="en-ZA"/>
        </w:rPr>
      </w:pPr>
      <w:r w:rsidRPr="00545535">
        <w:rPr>
          <w:rFonts w:ascii="Arial" w:hAnsi="Arial" w:cs="Arial"/>
          <w:sz w:val="20"/>
          <w:szCs w:val="20"/>
          <w:lang w:val="en-ZA"/>
        </w:rPr>
        <w:t xml:space="preserve">Financial Performance </w:t>
      </w:r>
    </w:p>
    <w:p w:rsidR="004802CB" w:rsidRPr="00545535" w:rsidRDefault="004802CB" w:rsidP="00545535">
      <w:pPr>
        <w:pStyle w:val="Body"/>
        <w:spacing w:line="240" w:lineRule="auto"/>
        <w:jc w:val="left"/>
        <w:rPr>
          <w:rFonts w:cs="Arial"/>
          <w:sz w:val="20"/>
          <w:szCs w:val="20"/>
        </w:rPr>
      </w:pPr>
    </w:p>
    <w:p w:rsidR="004802CB" w:rsidRPr="00545535" w:rsidRDefault="00542DB5" w:rsidP="00545535">
      <w:pPr>
        <w:pStyle w:val="Heading3"/>
        <w:numPr>
          <w:ilvl w:val="3"/>
          <w:numId w:val="29"/>
        </w:numPr>
        <w:ind w:left="426" w:hanging="426"/>
        <w:rPr>
          <w:rFonts w:ascii="Arial" w:hAnsi="Arial" w:cs="Arial"/>
          <w:sz w:val="20"/>
          <w:szCs w:val="20"/>
          <w:lang w:val="en-ZA"/>
        </w:rPr>
      </w:pPr>
      <w:r w:rsidRPr="00545535">
        <w:rPr>
          <w:rFonts w:ascii="Arial" w:hAnsi="Arial" w:cs="Arial"/>
          <w:sz w:val="20"/>
          <w:szCs w:val="20"/>
          <w:lang w:val="en-ZA"/>
        </w:rPr>
        <w:t xml:space="preserve">Second Quarter </w:t>
      </w:r>
    </w:p>
    <w:p w:rsidR="008E6C11" w:rsidRPr="00545535" w:rsidRDefault="00DA5B5B" w:rsidP="00545535">
      <w:pPr>
        <w:pStyle w:val="Body"/>
        <w:spacing w:line="240" w:lineRule="auto"/>
        <w:jc w:val="left"/>
        <w:rPr>
          <w:rFonts w:cs="Arial"/>
          <w:sz w:val="20"/>
          <w:szCs w:val="20"/>
        </w:rPr>
      </w:pPr>
      <w:r w:rsidRPr="00545535">
        <w:rPr>
          <w:rFonts w:cs="Arial"/>
          <w:sz w:val="20"/>
          <w:szCs w:val="20"/>
        </w:rPr>
        <w:t xml:space="preserve">Of the R6,3 billion </w:t>
      </w:r>
      <w:r w:rsidR="006B18E1" w:rsidRPr="00545535">
        <w:rPr>
          <w:rFonts w:cs="Arial"/>
          <w:sz w:val="20"/>
          <w:szCs w:val="20"/>
        </w:rPr>
        <w:t xml:space="preserve">projected </w:t>
      </w:r>
      <w:r w:rsidRPr="00545535">
        <w:rPr>
          <w:rFonts w:cs="Arial"/>
          <w:sz w:val="20"/>
          <w:szCs w:val="20"/>
        </w:rPr>
        <w:t xml:space="preserve">budget </w:t>
      </w:r>
      <w:r w:rsidR="006B18E1" w:rsidRPr="00545535">
        <w:rPr>
          <w:rFonts w:cs="Arial"/>
          <w:sz w:val="20"/>
          <w:szCs w:val="20"/>
        </w:rPr>
        <w:t>up to the 30 September 2021, R6,1 billion had been</w:t>
      </w:r>
      <w:r w:rsidRPr="00545535">
        <w:rPr>
          <w:rFonts w:cs="Arial"/>
          <w:sz w:val="20"/>
          <w:szCs w:val="20"/>
        </w:rPr>
        <w:t xml:space="preserve"> actually spent</w:t>
      </w:r>
      <w:r w:rsidR="00214638" w:rsidRPr="00545535">
        <w:rPr>
          <w:rFonts w:cs="Arial"/>
          <w:sz w:val="20"/>
          <w:szCs w:val="20"/>
        </w:rPr>
        <w:t xml:space="preserve"> by 30 September 2021</w:t>
      </w:r>
      <w:r w:rsidRPr="00545535">
        <w:rPr>
          <w:rFonts w:cs="Arial"/>
          <w:sz w:val="20"/>
          <w:szCs w:val="20"/>
        </w:rPr>
        <w:t xml:space="preserve">. This resulted in an under-expenditure of R612,9 million (8,8 per cent </w:t>
      </w:r>
      <w:r w:rsidR="00214638" w:rsidRPr="00545535">
        <w:rPr>
          <w:rFonts w:cs="Arial"/>
          <w:sz w:val="20"/>
          <w:szCs w:val="20"/>
        </w:rPr>
        <w:t xml:space="preserve">of </w:t>
      </w:r>
      <w:r w:rsidRPr="00545535">
        <w:rPr>
          <w:rFonts w:cs="Arial"/>
          <w:sz w:val="20"/>
          <w:szCs w:val="20"/>
        </w:rPr>
        <w:t xml:space="preserve">the </w:t>
      </w:r>
      <w:r w:rsidR="00214638" w:rsidRPr="00545535">
        <w:rPr>
          <w:rFonts w:cs="Arial"/>
          <w:sz w:val="20"/>
          <w:szCs w:val="20"/>
        </w:rPr>
        <w:t xml:space="preserve">projected </w:t>
      </w:r>
      <w:r w:rsidRPr="00545535">
        <w:rPr>
          <w:rFonts w:cs="Arial"/>
          <w:sz w:val="20"/>
          <w:szCs w:val="20"/>
        </w:rPr>
        <w:t>year-to-date expenditure</w:t>
      </w:r>
      <w:r w:rsidR="006B18E1" w:rsidRPr="00545535">
        <w:rPr>
          <w:rFonts w:cs="Arial"/>
          <w:sz w:val="20"/>
          <w:szCs w:val="20"/>
        </w:rPr>
        <w:t>)</w:t>
      </w:r>
      <w:r w:rsidR="00353A74" w:rsidRPr="00545535">
        <w:rPr>
          <w:rFonts w:cs="Arial"/>
          <w:sz w:val="20"/>
          <w:szCs w:val="20"/>
        </w:rPr>
        <w:t xml:space="preserve">. </w:t>
      </w:r>
      <w:r w:rsidRPr="00545535">
        <w:rPr>
          <w:rFonts w:cs="Arial"/>
          <w:sz w:val="20"/>
          <w:szCs w:val="20"/>
        </w:rPr>
        <w:t xml:space="preserve">The table below details second quarter expenditure by </w:t>
      </w:r>
      <w:r w:rsidRPr="00545535">
        <w:rPr>
          <w:rFonts w:cs="Arial"/>
          <w:sz w:val="20"/>
          <w:szCs w:val="20"/>
        </w:rPr>
        <w:lastRenderedPageBreak/>
        <w:t>programme.</w:t>
      </w:r>
    </w:p>
    <w:p w:rsidR="00DA5B5B" w:rsidRPr="00545535" w:rsidRDefault="00DA5B5B" w:rsidP="00545535">
      <w:pPr>
        <w:pStyle w:val="Body"/>
        <w:spacing w:line="240" w:lineRule="auto"/>
        <w:jc w:val="left"/>
        <w:rPr>
          <w:rFonts w:eastAsia="Times New Roman" w:cs="Arial"/>
          <w:sz w:val="20"/>
          <w:szCs w:val="20"/>
        </w:rPr>
      </w:pPr>
    </w:p>
    <w:p w:rsidR="004802CB" w:rsidRPr="00545535" w:rsidRDefault="00542DB5" w:rsidP="00545535">
      <w:pPr>
        <w:pStyle w:val="Body"/>
        <w:spacing w:line="240" w:lineRule="auto"/>
        <w:jc w:val="left"/>
        <w:rPr>
          <w:rFonts w:eastAsia="Times New Roman" w:cs="Arial"/>
          <w:b/>
          <w:bCs/>
          <w:sz w:val="20"/>
          <w:szCs w:val="20"/>
        </w:rPr>
      </w:pPr>
      <w:r w:rsidRPr="00545535">
        <w:rPr>
          <w:rFonts w:cs="Arial"/>
          <w:b/>
          <w:bCs/>
          <w:sz w:val="20"/>
          <w:szCs w:val="20"/>
        </w:rPr>
        <w:t xml:space="preserve">Table 1: Second Quarter Expenditure by Programme </w:t>
      </w:r>
      <w:r w:rsidR="00CC33E3" w:rsidRPr="00545535">
        <w:rPr>
          <w:rFonts w:cs="Arial"/>
          <w:b/>
          <w:bCs/>
          <w:sz w:val="20"/>
          <w:szCs w:val="20"/>
        </w:rPr>
        <w:t>as at 30 S</w:t>
      </w:r>
      <w:r w:rsidR="007234F8" w:rsidRPr="00545535">
        <w:rPr>
          <w:rFonts w:cs="Arial"/>
          <w:b/>
          <w:bCs/>
          <w:sz w:val="20"/>
          <w:szCs w:val="20"/>
        </w:rPr>
        <w:t>eptember 2021</w:t>
      </w:r>
    </w:p>
    <w:tbl>
      <w:tblPr>
        <w:tblW w:w="10671" w:type="dxa"/>
        <w:tblInd w:w="-856" w:type="dxa"/>
        <w:tblLook w:val="04A0"/>
      </w:tblPr>
      <w:tblGrid>
        <w:gridCol w:w="3128"/>
        <w:gridCol w:w="1259"/>
        <w:gridCol w:w="1381"/>
        <w:gridCol w:w="1372"/>
        <w:gridCol w:w="1372"/>
        <w:gridCol w:w="1100"/>
        <w:gridCol w:w="1059"/>
      </w:tblGrid>
      <w:tr w:rsidR="00E338A3" w:rsidRPr="00545535" w:rsidTr="007234F8">
        <w:tc>
          <w:tcPr>
            <w:tcW w:w="3252"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Programme</w:t>
            </w:r>
          </w:p>
        </w:tc>
        <w:tc>
          <w:tcPr>
            <w:tcW w:w="1285"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E338A3" w:rsidRPr="00545535" w:rsidRDefault="006F12A3" w:rsidP="00545535">
            <w:pPr>
              <w:rPr>
                <w:rFonts w:ascii="Arial" w:hAnsi="Arial" w:cs="Arial"/>
                <w:b/>
                <w:bCs/>
                <w:sz w:val="20"/>
                <w:szCs w:val="20"/>
                <w:lang w:val="en-ZA" w:eastAsia="en-ZA"/>
              </w:rPr>
            </w:pPr>
            <w:r w:rsidRPr="00545535">
              <w:rPr>
                <w:rFonts w:ascii="Arial" w:hAnsi="Arial" w:cs="Arial"/>
                <w:b/>
                <w:bCs/>
                <w:sz w:val="20"/>
                <w:szCs w:val="20"/>
                <w:lang w:val="en-ZA" w:eastAsia="en-ZA"/>
              </w:rPr>
              <w:t>Budget 2021/22 (R’</w:t>
            </w:r>
            <w:r w:rsidR="00E338A3" w:rsidRPr="00545535">
              <w:rPr>
                <w:rFonts w:ascii="Arial" w:hAnsi="Arial" w:cs="Arial"/>
                <w:b/>
                <w:bCs/>
                <w:sz w:val="20"/>
                <w:szCs w:val="20"/>
                <w:lang w:val="en-ZA" w:eastAsia="en-ZA"/>
              </w:rPr>
              <w:t>000)</w:t>
            </w:r>
          </w:p>
        </w:tc>
        <w:tc>
          <w:tcPr>
            <w:tcW w:w="1404"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E338A3" w:rsidRPr="00545535" w:rsidRDefault="006F12A3" w:rsidP="00545535">
            <w:pPr>
              <w:rPr>
                <w:rFonts w:ascii="Arial" w:hAnsi="Arial" w:cs="Arial"/>
                <w:b/>
                <w:bCs/>
                <w:sz w:val="20"/>
                <w:szCs w:val="20"/>
                <w:lang w:val="en-ZA" w:eastAsia="en-ZA"/>
              </w:rPr>
            </w:pPr>
            <w:r w:rsidRPr="00545535">
              <w:rPr>
                <w:rFonts w:ascii="Arial" w:hAnsi="Arial" w:cs="Arial"/>
                <w:b/>
                <w:bCs/>
                <w:sz w:val="20"/>
                <w:szCs w:val="20"/>
                <w:lang w:val="en-ZA" w:eastAsia="en-ZA"/>
              </w:rPr>
              <w:t>Available Budget (R’</w:t>
            </w:r>
            <w:r w:rsidR="00E338A3" w:rsidRPr="00545535">
              <w:rPr>
                <w:rFonts w:ascii="Arial" w:hAnsi="Arial" w:cs="Arial"/>
                <w:b/>
                <w:bCs/>
                <w:sz w:val="20"/>
                <w:szCs w:val="20"/>
                <w:lang w:val="en-ZA" w:eastAsia="en-ZA"/>
              </w:rPr>
              <w:t>000)</w:t>
            </w:r>
          </w:p>
        </w:tc>
        <w:tc>
          <w:tcPr>
            <w:tcW w:w="4730"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338A3" w:rsidRPr="00545535" w:rsidRDefault="007234F8" w:rsidP="00545535">
            <w:pPr>
              <w:rPr>
                <w:rFonts w:ascii="Arial" w:hAnsi="Arial" w:cs="Arial"/>
                <w:b/>
                <w:bCs/>
                <w:sz w:val="20"/>
                <w:szCs w:val="20"/>
                <w:lang w:val="en-ZA" w:eastAsia="en-ZA"/>
              </w:rPr>
            </w:pPr>
            <w:r w:rsidRPr="00545535">
              <w:rPr>
                <w:rFonts w:ascii="Arial" w:hAnsi="Arial" w:cs="Arial"/>
                <w:b/>
                <w:bCs/>
                <w:sz w:val="20"/>
                <w:szCs w:val="20"/>
                <w:lang w:val="en-ZA" w:eastAsia="en-ZA"/>
              </w:rPr>
              <w:t>Year-to-date</w:t>
            </w:r>
          </w:p>
        </w:tc>
      </w:tr>
      <w:tr w:rsidR="00E338A3" w:rsidRPr="00545535" w:rsidTr="007234F8">
        <w:tc>
          <w:tcPr>
            <w:tcW w:w="3252"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E338A3" w:rsidRPr="00545535" w:rsidRDefault="00E338A3" w:rsidP="00545535">
            <w:pPr>
              <w:rPr>
                <w:rFonts w:ascii="Arial" w:hAnsi="Arial" w:cs="Arial"/>
                <w:b/>
                <w:bCs/>
                <w:sz w:val="20"/>
                <w:szCs w:val="20"/>
                <w:lang w:val="en-ZA" w:eastAsia="en-ZA"/>
              </w:rPr>
            </w:pPr>
          </w:p>
        </w:tc>
        <w:tc>
          <w:tcPr>
            <w:tcW w:w="1285"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E338A3" w:rsidRPr="00545535" w:rsidRDefault="00E338A3" w:rsidP="00545535">
            <w:pPr>
              <w:rPr>
                <w:rFonts w:ascii="Arial" w:hAnsi="Arial" w:cs="Arial"/>
                <w:b/>
                <w:bCs/>
                <w:sz w:val="20"/>
                <w:szCs w:val="20"/>
                <w:lang w:val="en-ZA" w:eastAsia="en-ZA"/>
              </w:rPr>
            </w:pPr>
          </w:p>
        </w:tc>
        <w:tc>
          <w:tcPr>
            <w:tcW w:w="1404"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E338A3" w:rsidRPr="00545535" w:rsidRDefault="00E338A3" w:rsidP="00545535">
            <w:pPr>
              <w:rPr>
                <w:rFonts w:ascii="Arial" w:hAnsi="Arial" w:cs="Arial"/>
                <w:b/>
                <w:bCs/>
                <w:sz w:val="20"/>
                <w:szCs w:val="20"/>
                <w:lang w:val="en-ZA" w:eastAsia="en-ZA"/>
              </w:rPr>
            </w:pPr>
          </w:p>
        </w:tc>
        <w:tc>
          <w:tcPr>
            <w:tcW w:w="1283" w:type="dxa"/>
            <w:tcBorders>
              <w:top w:val="nil"/>
              <w:left w:val="nil"/>
              <w:bottom w:val="single" w:sz="4" w:space="0" w:color="auto"/>
              <w:right w:val="single" w:sz="4" w:space="0" w:color="auto"/>
            </w:tcBorders>
            <w:shd w:val="clear" w:color="auto" w:fill="BFBFBF" w:themeFill="background1" w:themeFillShade="BF"/>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Projected Expenditure (</w:t>
            </w:r>
            <w:r w:rsidR="006F12A3" w:rsidRPr="00545535">
              <w:rPr>
                <w:rFonts w:ascii="Arial" w:hAnsi="Arial" w:cs="Arial"/>
                <w:b/>
                <w:bCs/>
                <w:sz w:val="20"/>
                <w:szCs w:val="20"/>
                <w:lang w:val="en-ZA" w:eastAsia="en-ZA"/>
              </w:rPr>
              <w:t>R’</w:t>
            </w:r>
            <w:r w:rsidRPr="00545535">
              <w:rPr>
                <w:rFonts w:ascii="Arial" w:hAnsi="Arial" w:cs="Arial"/>
                <w:b/>
                <w:bCs/>
                <w:sz w:val="20"/>
                <w:szCs w:val="20"/>
                <w:lang w:val="en-ZA" w:eastAsia="en-ZA"/>
              </w:rPr>
              <w:t>000)</w:t>
            </w:r>
          </w:p>
        </w:tc>
        <w:tc>
          <w:tcPr>
            <w:tcW w:w="1283" w:type="dxa"/>
            <w:tcBorders>
              <w:top w:val="nil"/>
              <w:left w:val="nil"/>
              <w:bottom w:val="single" w:sz="4" w:space="0" w:color="auto"/>
              <w:right w:val="single" w:sz="4" w:space="0" w:color="auto"/>
            </w:tcBorders>
            <w:shd w:val="clear" w:color="auto" w:fill="BFBFBF" w:themeFill="background1" w:themeFillShade="BF"/>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A</w:t>
            </w:r>
            <w:r w:rsidR="006F12A3" w:rsidRPr="00545535">
              <w:rPr>
                <w:rFonts w:ascii="Arial" w:hAnsi="Arial" w:cs="Arial"/>
                <w:b/>
                <w:bCs/>
                <w:sz w:val="20"/>
                <w:szCs w:val="20"/>
                <w:lang w:val="en-ZA" w:eastAsia="en-ZA"/>
              </w:rPr>
              <w:t>ctual Expenditure (R’</w:t>
            </w:r>
            <w:r w:rsidRPr="00545535">
              <w:rPr>
                <w:rFonts w:ascii="Arial" w:hAnsi="Arial" w:cs="Arial"/>
                <w:b/>
                <w:bCs/>
                <w:sz w:val="20"/>
                <w:szCs w:val="20"/>
                <w:lang w:val="en-ZA" w:eastAsia="en-ZA"/>
              </w:rPr>
              <w:t>000)</w:t>
            </w:r>
          </w:p>
        </w:tc>
        <w:tc>
          <w:tcPr>
            <w:tcW w:w="1104" w:type="dxa"/>
            <w:tcBorders>
              <w:top w:val="nil"/>
              <w:left w:val="nil"/>
              <w:bottom w:val="single" w:sz="4" w:space="0" w:color="auto"/>
              <w:right w:val="single" w:sz="4" w:space="0" w:color="auto"/>
            </w:tcBorders>
            <w:shd w:val="clear" w:color="auto" w:fill="BFBFBF" w:themeFill="background1" w:themeFillShade="BF"/>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 xml:space="preserve">Variance </w:t>
            </w:r>
            <w:r w:rsidR="006F12A3" w:rsidRPr="00545535">
              <w:rPr>
                <w:rFonts w:ascii="Arial" w:hAnsi="Arial" w:cs="Arial"/>
                <w:b/>
                <w:bCs/>
                <w:sz w:val="20"/>
                <w:szCs w:val="20"/>
                <w:lang w:val="en-ZA" w:eastAsia="en-ZA"/>
              </w:rPr>
              <w:t>(R’</w:t>
            </w:r>
            <w:r w:rsidRPr="00545535">
              <w:rPr>
                <w:rFonts w:ascii="Arial" w:hAnsi="Arial" w:cs="Arial"/>
                <w:b/>
                <w:bCs/>
                <w:sz w:val="20"/>
                <w:szCs w:val="20"/>
                <w:lang w:val="en-ZA" w:eastAsia="en-ZA"/>
              </w:rPr>
              <w:t>000)</w:t>
            </w:r>
          </w:p>
        </w:tc>
        <w:tc>
          <w:tcPr>
            <w:tcW w:w="1060" w:type="dxa"/>
            <w:tcBorders>
              <w:top w:val="nil"/>
              <w:left w:val="nil"/>
              <w:bottom w:val="single" w:sz="4" w:space="0" w:color="auto"/>
              <w:right w:val="single" w:sz="4" w:space="0" w:color="auto"/>
            </w:tcBorders>
            <w:shd w:val="clear" w:color="auto" w:fill="BFBFBF" w:themeFill="background1" w:themeFillShade="BF"/>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 xml:space="preserve">% Variance </w:t>
            </w:r>
          </w:p>
        </w:tc>
      </w:tr>
      <w:tr w:rsidR="00E338A3" w:rsidRPr="00545535" w:rsidTr="007234F8">
        <w:tc>
          <w:tcPr>
            <w:tcW w:w="3252" w:type="dxa"/>
            <w:tcBorders>
              <w:top w:val="nil"/>
              <w:left w:val="single" w:sz="4" w:space="0" w:color="auto"/>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1: Administration</w:t>
            </w:r>
          </w:p>
        </w:tc>
        <w:tc>
          <w:tcPr>
            <w:tcW w:w="1285"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857 651</w:t>
            </w:r>
          </w:p>
        </w:tc>
        <w:tc>
          <w:tcPr>
            <w:tcW w:w="1404"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507 790</w:t>
            </w:r>
          </w:p>
        </w:tc>
        <w:tc>
          <w:tcPr>
            <w:tcW w:w="1283"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374 966</w:t>
            </w:r>
          </w:p>
        </w:tc>
        <w:tc>
          <w:tcPr>
            <w:tcW w:w="1283"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349 861</w:t>
            </w:r>
          </w:p>
        </w:tc>
        <w:tc>
          <w:tcPr>
            <w:tcW w:w="1104"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25 105</w:t>
            </w:r>
          </w:p>
        </w:tc>
        <w:tc>
          <w:tcPr>
            <w:tcW w:w="1060"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6,7%</w:t>
            </w:r>
          </w:p>
        </w:tc>
      </w:tr>
      <w:tr w:rsidR="00E338A3" w:rsidRPr="00545535" w:rsidTr="007234F8">
        <w:tc>
          <w:tcPr>
            <w:tcW w:w="3252" w:type="dxa"/>
            <w:tcBorders>
              <w:top w:val="nil"/>
              <w:left w:val="single" w:sz="4" w:space="0" w:color="auto"/>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2: Trade Policy, Negotiations and Cooperation</w:t>
            </w:r>
          </w:p>
        </w:tc>
        <w:tc>
          <w:tcPr>
            <w:tcW w:w="1285"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233 066</w:t>
            </w:r>
          </w:p>
        </w:tc>
        <w:tc>
          <w:tcPr>
            <w:tcW w:w="1404"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83 121</w:t>
            </w:r>
          </w:p>
        </w:tc>
        <w:tc>
          <w:tcPr>
            <w:tcW w:w="1283"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152 801</w:t>
            </w:r>
          </w:p>
        </w:tc>
        <w:tc>
          <w:tcPr>
            <w:tcW w:w="1283"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149 945</w:t>
            </w:r>
          </w:p>
        </w:tc>
        <w:tc>
          <w:tcPr>
            <w:tcW w:w="1104"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2 856</w:t>
            </w:r>
          </w:p>
        </w:tc>
        <w:tc>
          <w:tcPr>
            <w:tcW w:w="1060"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1,9%</w:t>
            </w:r>
          </w:p>
        </w:tc>
      </w:tr>
      <w:tr w:rsidR="00E338A3" w:rsidRPr="00545535" w:rsidTr="007234F8">
        <w:tc>
          <w:tcPr>
            <w:tcW w:w="3252" w:type="dxa"/>
            <w:tcBorders>
              <w:top w:val="nil"/>
              <w:left w:val="single" w:sz="4" w:space="0" w:color="auto"/>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3:</w:t>
            </w:r>
            <w:r w:rsidR="006F12A3" w:rsidRPr="00545535">
              <w:rPr>
                <w:rFonts w:ascii="Arial" w:hAnsi="Arial" w:cs="Arial"/>
                <w:sz w:val="20"/>
                <w:szCs w:val="20"/>
                <w:lang w:val="en-ZA" w:eastAsia="en-ZA"/>
              </w:rPr>
              <w:t xml:space="preserve"> </w:t>
            </w:r>
            <w:r w:rsidRPr="00545535">
              <w:rPr>
                <w:rFonts w:ascii="Arial" w:hAnsi="Arial" w:cs="Arial"/>
                <w:sz w:val="20"/>
                <w:szCs w:val="20"/>
                <w:lang w:val="en-ZA" w:eastAsia="en-ZA"/>
              </w:rPr>
              <w:t>Spatial Industrial Development and Economic Transformation</w:t>
            </w:r>
          </w:p>
        </w:tc>
        <w:tc>
          <w:tcPr>
            <w:tcW w:w="1285"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183 352</w:t>
            </w:r>
          </w:p>
        </w:tc>
        <w:tc>
          <w:tcPr>
            <w:tcW w:w="1404"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124 607</w:t>
            </w:r>
          </w:p>
        </w:tc>
        <w:tc>
          <w:tcPr>
            <w:tcW w:w="1283"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80 555</w:t>
            </w:r>
          </w:p>
        </w:tc>
        <w:tc>
          <w:tcPr>
            <w:tcW w:w="1283"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58 745</w:t>
            </w:r>
          </w:p>
        </w:tc>
        <w:tc>
          <w:tcPr>
            <w:tcW w:w="1104"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21 810</w:t>
            </w:r>
          </w:p>
        </w:tc>
        <w:tc>
          <w:tcPr>
            <w:tcW w:w="1060"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27,1%</w:t>
            </w:r>
          </w:p>
        </w:tc>
      </w:tr>
      <w:tr w:rsidR="00E338A3" w:rsidRPr="00545535" w:rsidTr="007234F8">
        <w:tc>
          <w:tcPr>
            <w:tcW w:w="3252" w:type="dxa"/>
            <w:tcBorders>
              <w:top w:val="nil"/>
              <w:left w:val="single" w:sz="4" w:space="0" w:color="auto"/>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4: Industrial Competitive and Growth</w:t>
            </w:r>
          </w:p>
        </w:tc>
        <w:tc>
          <w:tcPr>
            <w:tcW w:w="1285"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1 762 605</w:t>
            </w:r>
          </w:p>
        </w:tc>
        <w:tc>
          <w:tcPr>
            <w:tcW w:w="1404"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527 629</w:t>
            </w:r>
          </w:p>
        </w:tc>
        <w:tc>
          <w:tcPr>
            <w:tcW w:w="1283"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1 245 065</w:t>
            </w:r>
          </w:p>
        </w:tc>
        <w:tc>
          <w:tcPr>
            <w:tcW w:w="1283"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1 234 976</w:t>
            </w:r>
          </w:p>
        </w:tc>
        <w:tc>
          <w:tcPr>
            <w:tcW w:w="1104"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10 089</w:t>
            </w:r>
          </w:p>
        </w:tc>
        <w:tc>
          <w:tcPr>
            <w:tcW w:w="1060"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0,8%</w:t>
            </w:r>
          </w:p>
        </w:tc>
      </w:tr>
      <w:tr w:rsidR="00E338A3" w:rsidRPr="00545535" w:rsidTr="007234F8">
        <w:tc>
          <w:tcPr>
            <w:tcW w:w="3252" w:type="dxa"/>
            <w:tcBorders>
              <w:top w:val="nil"/>
              <w:left w:val="single" w:sz="4" w:space="0" w:color="auto"/>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 xml:space="preserve">5: Consumer and Corporate Regulation </w:t>
            </w:r>
          </w:p>
        </w:tc>
        <w:tc>
          <w:tcPr>
            <w:tcW w:w="1285"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333 282</w:t>
            </w:r>
          </w:p>
        </w:tc>
        <w:tc>
          <w:tcPr>
            <w:tcW w:w="1404"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119 193</w:t>
            </w:r>
          </w:p>
        </w:tc>
        <w:tc>
          <w:tcPr>
            <w:tcW w:w="1283"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210 714</w:t>
            </w:r>
          </w:p>
        </w:tc>
        <w:tc>
          <w:tcPr>
            <w:tcW w:w="1283"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214 089</w:t>
            </w:r>
          </w:p>
        </w:tc>
        <w:tc>
          <w:tcPr>
            <w:tcW w:w="1104"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-3 375</w:t>
            </w:r>
          </w:p>
        </w:tc>
        <w:tc>
          <w:tcPr>
            <w:tcW w:w="1060"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-1,6%</w:t>
            </w:r>
          </w:p>
        </w:tc>
      </w:tr>
      <w:tr w:rsidR="00E338A3" w:rsidRPr="00545535" w:rsidTr="007234F8">
        <w:tc>
          <w:tcPr>
            <w:tcW w:w="3252" w:type="dxa"/>
            <w:tcBorders>
              <w:top w:val="nil"/>
              <w:left w:val="single" w:sz="4" w:space="0" w:color="auto"/>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6: Industrial Financing</w:t>
            </w:r>
          </w:p>
        </w:tc>
        <w:tc>
          <w:tcPr>
            <w:tcW w:w="1285"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4 871 050</w:t>
            </w:r>
          </w:p>
        </w:tc>
        <w:tc>
          <w:tcPr>
            <w:tcW w:w="1404"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1 403 750</w:t>
            </w:r>
          </w:p>
        </w:tc>
        <w:tc>
          <w:tcPr>
            <w:tcW w:w="1283"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3 879 222</w:t>
            </w:r>
          </w:p>
        </w:tc>
        <w:tc>
          <w:tcPr>
            <w:tcW w:w="1283"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3 467 300</w:t>
            </w:r>
          </w:p>
        </w:tc>
        <w:tc>
          <w:tcPr>
            <w:tcW w:w="1104"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411 922</w:t>
            </w:r>
          </w:p>
        </w:tc>
        <w:tc>
          <w:tcPr>
            <w:tcW w:w="1060"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10,6%</w:t>
            </w:r>
          </w:p>
        </w:tc>
      </w:tr>
      <w:tr w:rsidR="00E338A3" w:rsidRPr="00545535" w:rsidTr="007234F8">
        <w:tc>
          <w:tcPr>
            <w:tcW w:w="3252" w:type="dxa"/>
            <w:tcBorders>
              <w:top w:val="nil"/>
              <w:left w:val="single" w:sz="4" w:space="0" w:color="auto"/>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7: Export Development, Promotion and Outward Investments</w:t>
            </w:r>
          </w:p>
        </w:tc>
        <w:tc>
          <w:tcPr>
            <w:tcW w:w="1285"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440 285</w:t>
            </w:r>
          </w:p>
        </w:tc>
        <w:tc>
          <w:tcPr>
            <w:tcW w:w="1404"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150 218</w:t>
            </w:r>
          </w:p>
        </w:tc>
        <w:tc>
          <w:tcPr>
            <w:tcW w:w="1283"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313 880</w:t>
            </w:r>
          </w:p>
        </w:tc>
        <w:tc>
          <w:tcPr>
            <w:tcW w:w="1283"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290 067</w:t>
            </w:r>
          </w:p>
        </w:tc>
        <w:tc>
          <w:tcPr>
            <w:tcW w:w="1104"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23 813</w:t>
            </w:r>
          </w:p>
        </w:tc>
        <w:tc>
          <w:tcPr>
            <w:tcW w:w="1060"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7,6%</w:t>
            </w:r>
          </w:p>
        </w:tc>
      </w:tr>
      <w:tr w:rsidR="00E338A3" w:rsidRPr="00545535" w:rsidTr="007234F8">
        <w:tc>
          <w:tcPr>
            <w:tcW w:w="3252" w:type="dxa"/>
            <w:tcBorders>
              <w:top w:val="nil"/>
              <w:left w:val="single" w:sz="4" w:space="0" w:color="auto"/>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8: Inward Investment Attraction, Facilitation and After-care</w:t>
            </w:r>
          </w:p>
        </w:tc>
        <w:tc>
          <w:tcPr>
            <w:tcW w:w="1285"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70 161</w:t>
            </w:r>
          </w:p>
        </w:tc>
        <w:tc>
          <w:tcPr>
            <w:tcW w:w="1404"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46 053</w:t>
            </w:r>
          </w:p>
        </w:tc>
        <w:tc>
          <w:tcPr>
            <w:tcW w:w="1283"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21 508</w:t>
            </w:r>
          </w:p>
        </w:tc>
        <w:tc>
          <w:tcPr>
            <w:tcW w:w="1283"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24 108</w:t>
            </w:r>
          </w:p>
        </w:tc>
        <w:tc>
          <w:tcPr>
            <w:tcW w:w="1104"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-2 600</w:t>
            </w:r>
          </w:p>
        </w:tc>
        <w:tc>
          <w:tcPr>
            <w:tcW w:w="1060"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-12,1%</w:t>
            </w:r>
          </w:p>
        </w:tc>
      </w:tr>
      <w:tr w:rsidR="00E338A3" w:rsidRPr="00545535" w:rsidTr="007234F8">
        <w:tc>
          <w:tcPr>
            <w:tcW w:w="3252" w:type="dxa"/>
            <w:tcBorders>
              <w:top w:val="nil"/>
              <w:left w:val="single" w:sz="4" w:space="0" w:color="auto"/>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9: Competition Policy and Economic Planning</w:t>
            </w:r>
          </w:p>
        </w:tc>
        <w:tc>
          <w:tcPr>
            <w:tcW w:w="1285"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906 262</w:t>
            </w:r>
          </w:p>
        </w:tc>
        <w:tc>
          <w:tcPr>
            <w:tcW w:w="1404"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392 713</w:t>
            </w:r>
          </w:p>
        </w:tc>
        <w:tc>
          <w:tcPr>
            <w:tcW w:w="1283"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638 446</w:t>
            </w:r>
          </w:p>
        </w:tc>
        <w:tc>
          <w:tcPr>
            <w:tcW w:w="1283"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513 549</w:t>
            </w:r>
          </w:p>
        </w:tc>
        <w:tc>
          <w:tcPr>
            <w:tcW w:w="1104"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124 897</w:t>
            </w:r>
          </w:p>
        </w:tc>
        <w:tc>
          <w:tcPr>
            <w:tcW w:w="1060"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19,6%</w:t>
            </w:r>
          </w:p>
        </w:tc>
      </w:tr>
      <w:tr w:rsidR="00E338A3" w:rsidRPr="00545535" w:rsidTr="007234F8">
        <w:tc>
          <w:tcPr>
            <w:tcW w:w="3252" w:type="dxa"/>
            <w:tcBorders>
              <w:top w:val="nil"/>
              <w:left w:val="single" w:sz="4" w:space="0" w:color="auto"/>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10: Economic Research and Coordination</w:t>
            </w:r>
          </w:p>
        </w:tc>
        <w:tc>
          <w:tcPr>
            <w:tcW w:w="1285"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78 859</w:t>
            </w:r>
          </w:p>
        </w:tc>
        <w:tc>
          <w:tcPr>
            <w:tcW w:w="1404"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59 412</w:t>
            </w:r>
          </w:p>
        </w:tc>
        <w:tc>
          <w:tcPr>
            <w:tcW w:w="1283"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17 917</w:t>
            </w:r>
          </w:p>
        </w:tc>
        <w:tc>
          <w:tcPr>
            <w:tcW w:w="1283"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19 447</w:t>
            </w:r>
          </w:p>
        </w:tc>
        <w:tc>
          <w:tcPr>
            <w:tcW w:w="1104"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-1 530</w:t>
            </w:r>
          </w:p>
        </w:tc>
        <w:tc>
          <w:tcPr>
            <w:tcW w:w="1060"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-8,5%</w:t>
            </w:r>
          </w:p>
        </w:tc>
      </w:tr>
      <w:tr w:rsidR="00E338A3" w:rsidRPr="00545535" w:rsidTr="007234F8">
        <w:tc>
          <w:tcPr>
            <w:tcW w:w="3252" w:type="dxa"/>
            <w:tcBorders>
              <w:top w:val="nil"/>
              <w:left w:val="single" w:sz="4" w:space="0" w:color="auto"/>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Total</w:t>
            </w:r>
          </w:p>
        </w:tc>
        <w:tc>
          <w:tcPr>
            <w:tcW w:w="1285"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9 736 573</w:t>
            </w:r>
          </w:p>
        </w:tc>
        <w:tc>
          <w:tcPr>
            <w:tcW w:w="1404"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3 414 486</w:t>
            </w:r>
          </w:p>
        </w:tc>
        <w:tc>
          <w:tcPr>
            <w:tcW w:w="1283"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6 935 074</w:t>
            </w:r>
          </w:p>
        </w:tc>
        <w:tc>
          <w:tcPr>
            <w:tcW w:w="1283" w:type="dxa"/>
            <w:tcBorders>
              <w:top w:val="nil"/>
              <w:left w:val="nil"/>
              <w:bottom w:val="single" w:sz="4" w:space="0" w:color="auto"/>
              <w:right w:val="single" w:sz="4" w:space="0" w:color="auto"/>
            </w:tcBorders>
            <w:shd w:val="clear" w:color="auto" w:fill="auto"/>
            <w:vAlign w:val="center"/>
            <w:hideMark/>
          </w:tcPr>
          <w:p w:rsidR="00E338A3" w:rsidRPr="00545535" w:rsidRDefault="00B26DE9" w:rsidP="00545535">
            <w:pPr>
              <w:rPr>
                <w:rFonts w:ascii="Arial" w:hAnsi="Arial" w:cs="Arial"/>
                <w:b/>
                <w:bCs/>
                <w:sz w:val="20"/>
                <w:szCs w:val="20"/>
                <w:lang w:val="en-ZA" w:eastAsia="en-ZA"/>
              </w:rPr>
            </w:pPr>
            <w:r w:rsidRPr="00545535">
              <w:rPr>
                <w:rFonts w:ascii="Arial" w:hAnsi="Arial" w:cs="Arial"/>
                <w:b/>
                <w:bCs/>
                <w:sz w:val="20"/>
                <w:szCs w:val="20"/>
                <w:lang w:val="en-ZA" w:eastAsia="en-ZA"/>
              </w:rPr>
              <w:t>6 322 087</w:t>
            </w:r>
          </w:p>
        </w:tc>
        <w:tc>
          <w:tcPr>
            <w:tcW w:w="1104" w:type="dxa"/>
            <w:tcBorders>
              <w:top w:val="nil"/>
              <w:left w:val="nil"/>
              <w:bottom w:val="single" w:sz="4" w:space="0" w:color="auto"/>
              <w:right w:val="single" w:sz="4" w:space="0" w:color="auto"/>
            </w:tcBorders>
            <w:shd w:val="clear" w:color="auto" w:fill="auto"/>
            <w:vAlign w:val="center"/>
            <w:hideMark/>
          </w:tcPr>
          <w:p w:rsidR="00E338A3" w:rsidRPr="00545535" w:rsidRDefault="00B26DE9" w:rsidP="00545535">
            <w:pPr>
              <w:rPr>
                <w:rFonts w:ascii="Arial" w:hAnsi="Arial" w:cs="Arial"/>
                <w:b/>
                <w:bCs/>
                <w:sz w:val="20"/>
                <w:szCs w:val="20"/>
                <w:lang w:val="en-ZA" w:eastAsia="en-ZA"/>
              </w:rPr>
            </w:pPr>
            <w:r w:rsidRPr="00545535">
              <w:rPr>
                <w:rFonts w:ascii="Arial" w:hAnsi="Arial" w:cs="Arial"/>
                <w:b/>
                <w:bCs/>
                <w:sz w:val="20"/>
                <w:szCs w:val="20"/>
                <w:lang w:val="en-ZA" w:eastAsia="en-ZA"/>
              </w:rPr>
              <w:t>612 987</w:t>
            </w:r>
          </w:p>
        </w:tc>
        <w:tc>
          <w:tcPr>
            <w:tcW w:w="1060"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sz w:val="20"/>
                <w:szCs w:val="20"/>
                <w:lang w:val="en-ZA" w:eastAsia="en-ZA"/>
              </w:rPr>
            </w:pPr>
            <w:r w:rsidRPr="00545535">
              <w:rPr>
                <w:rFonts w:ascii="Arial" w:hAnsi="Arial" w:cs="Arial"/>
                <w:b/>
                <w:sz w:val="20"/>
                <w:szCs w:val="20"/>
                <w:lang w:val="en-ZA" w:eastAsia="en-ZA"/>
              </w:rPr>
              <w:t>8,8%</w:t>
            </w:r>
          </w:p>
        </w:tc>
      </w:tr>
    </w:tbl>
    <w:p w:rsidR="004802CB" w:rsidRPr="00545535" w:rsidRDefault="00542DB5" w:rsidP="00545535">
      <w:pPr>
        <w:pStyle w:val="Body"/>
        <w:spacing w:line="240" w:lineRule="auto"/>
        <w:jc w:val="left"/>
        <w:rPr>
          <w:rFonts w:eastAsia="Times New Roman" w:cs="Arial"/>
          <w:sz w:val="20"/>
          <w:szCs w:val="20"/>
        </w:rPr>
      </w:pPr>
      <w:r w:rsidRPr="00545535">
        <w:rPr>
          <w:rFonts w:cs="Arial"/>
          <w:sz w:val="20"/>
          <w:szCs w:val="20"/>
        </w:rPr>
        <w:t>Source: DTIC (2021a</w:t>
      </w:r>
      <w:r w:rsidR="00214638" w:rsidRPr="00545535">
        <w:rPr>
          <w:rFonts w:cs="Arial"/>
          <w:sz w:val="20"/>
          <w:szCs w:val="20"/>
        </w:rPr>
        <w:t xml:space="preserve"> and 2021b</w:t>
      </w:r>
      <w:r w:rsidRPr="00545535">
        <w:rPr>
          <w:rFonts w:cs="Arial"/>
          <w:sz w:val="20"/>
          <w:szCs w:val="20"/>
        </w:rPr>
        <w:t>)</w:t>
      </w:r>
    </w:p>
    <w:p w:rsidR="00353A74" w:rsidRPr="00545535" w:rsidRDefault="00353A74" w:rsidP="00545535">
      <w:pPr>
        <w:pStyle w:val="Body"/>
        <w:spacing w:line="240" w:lineRule="auto"/>
        <w:jc w:val="left"/>
        <w:rPr>
          <w:rFonts w:cs="Arial"/>
          <w:sz w:val="20"/>
          <w:szCs w:val="20"/>
        </w:rPr>
      </w:pPr>
    </w:p>
    <w:p w:rsidR="00353A74" w:rsidRPr="00545535" w:rsidRDefault="00353A74" w:rsidP="00545535">
      <w:pPr>
        <w:pStyle w:val="Body"/>
        <w:spacing w:line="240" w:lineRule="auto"/>
        <w:jc w:val="left"/>
        <w:rPr>
          <w:rFonts w:cs="Arial"/>
          <w:sz w:val="20"/>
          <w:szCs w:val="20"/>
        </w:rPr>
      </w:pPr>
      <w:r w:rsidRPr="00545535">
        <w:rPr>
          <w:rFonts w:cs="Arial"/>
          <w:sz w:val="20"/>
          <w:szCs w:val="20"/>
        </w:rPr>
        <w:t>The main contributors to underspending had been the Industrial Financing programme with an under-expenditure of R411,9 million and the Competition Policy and Economic Planning programme with under-expenditure of R124,9 million. Other programmes that incurred significant underspending had been the Administration programme (under-expenditure of R25,1 million); the Export Development, Promotion and Outward Investments programme (under-expenditure of R23,8 million); and the Spatial Industrial Development and Economic Transformation programme (under-expenditure of R21,8 million).</w:t>
      </w:r>
    </w:p>
    <w:p w:rsidR="00353A74" w:rsidRPr="00545535" w:rsidRDefault="00353A74" w:rsidP="00545535">
      <w:pPr>
        <w:pStyle w:val="Body"/>
        <w:spacing w:line="240" w:lineRule="auto"/>
        <w:jc w:val="left"/>
        <w:rPr>
          <w:rFonts w:cs="Arial"/>
          <w:sz w:val="20"/>
          <w:szCs w:val="20"/>
        </w:rPr>
      </w:pPr>
    </w:p>
    <w:p w:rsidR="00353A74" w:rsidRPr="00545535" w:rsidRDefault="00353A74" w:rsidP="00545535">
      <w:pPr>
        <w:pStyle w:val="Body"/>
        <w:spacing w:line="240" w:lineRule="auto"/>
        <w:jc w:val="left"/>
        <w:rPr>
          <w:rFonts w:eastAsia="Times New Roman" w:cs="Arial"/>
          <w:sz w:val="20"/>
          <w:szCs w:val="20"/>
        </w:rPr>
      </w:pPr>
      <w:r w:rsidRPr="00545535">
        <w:rPr>
          <w:rFonts w:cs="Arial"/>
          <w:sz w:val="20"/>
          <w:szCs w:val="20"/>
        </w:rPr>
        <w:t xml:space="preserve">Similarly, these programmes also incurred significant underspending in the first quarter due </w:t>
      </w:r>
      <w:r w:rsidR="004D4D3E" w:rsidRPr="00545535">
        <w:rPr>
          <w:rFonts w:cs="Arial"/>
          <w:sz w:val="20"/>
          <w:szCs w:val="20"/>
        </w:rPr>
        <w:t xml:space="preserve">to </w:t>
      </w:r>
      <w:r w:rsidRPr="00545535">
        <w:rPr>
          <w:rFonts w:cs="Arial"/>
          <w:sz w:val="20"/>
          <w:szCs w:val="20"/>
        </w:rPr>
        <w:t xml:space="preserve">the slowdown in economic activities as a result of </w:t>
      </w:r>
      <w:r w:rsidR="004D4D3E" w:rsidRPr="00545535">
        <w:rPr>
          <w:rFonts w:cs="Arial"/>
          <w:sz w:val="20"/>
          <w:szCs w:val="20"/>
        </w:rPr>
        <w:t xml:space="preserve">the impact of the </w:t>
      </w:r>
      <w:r w:rsidRPr="00545535">
        <w:rPr>
          <w:rFonts w:cs="Arial"/>
          <w:sz w:val="20"/>
          <w:szCs w:val="20"/>
        </w:rPr>
        <w:t>COVID-19</w:t>
      </w:r>
      <w:r w:rsidR="004D4D3E" w:rsidRPr="00545535">
        <w:rPr>
          <w:rFonts w:cs="Arial"/>
          <w:sz w:val="20"/>
          <w:szCs w:val="20"/>
        </w:rPr>
        <w:t xml:space="preserve"> pandemic</w:t>
      </w:r>
      <w:r w:rsidRPr="00545535">
        <w:rPr>
          <w:rFonts w:cs="Arial"/>
          <w:sz w:val="20"/>
          <w:szCs w:val="20"/>
        </w:rPr>
        <w:t>. Expenditure i</w:t>
      </w:r>
      <w:r w:rsidR="004554E1" w:rsidRPr="00545535">
        <w:rPr>
          <w:rFonts w:cs="Arial"/>
          <w:sz w:val="20"/>
          <w:szCs w:val="20"/>
        </w:rPr>
        <w:t>n the Industrial Financing</w:t>
      </w:r>
      <w:r w:rsidRPr="00545535">
        <w:rPr>
          <w:rFonts w:cs="Arial"/>
          <w:sz w:val="20"/>
          <w:szCs w:val="20"/>
        </w:rPr>
        <w:t xml:space="preserve"> programme </w:t>
      </w:r>
      <w:r w:rsidR="004D4D3E" w:rsidRPr="00545535">
        <w:rPr>
          <w:rFonts w:cs="Arial"/>
          <w:sz w:val="20"/>
          <w:szCs w:val="20"/>
        </w:rPr>
        <w:t>had been</w:t>
      </w:r>
      <w:r w:rsidRPr="00545535">
        <w:rPr>
          <w:rFonts w:cs="Arial"/>
          <w:sz w:val="20"/>
          <w:szCs w:val="20"/>
        </w:rPr>
        <w:t xml:space="preserve"> expected to peak in the s</w:t>
      </w:r>
      <w:r w:rsidR="004D4D3E" w:rsidRPr="00545535">
        <w:rPr>
          <w:rFonts w:cs="Arial"/>
          <w:sz w:val="20"/>
          <w:szCs w:val="20"/>
        </w:rPr>
        <w:t>econd quarter, however, that had</w:t>
      </w:r>
      <w:r w:rsidRPr="00545535">
        <w:rPr>
          <w:rFonts w:cs="Arial"/>
          <w:sz w:val="20"/>
          <w:szCs w:val="20"/>
        </w:rPr>
        <w:t xml:space="preserve"> not happened.</w:t>
      </w:r>
    </w:p>
    <w:p w:rsidR="00353A74" w:rsidRPr="00545535" w:rsidRDefault="00353A74" w:rsidP="00545535">
      <w:pPr>
        <w:pStyle w:val="Body"/>
        <w:spacing w:line="240" w:lineRule="auto"/>
        <w:jc w:val="left"/>
        <w:rPr>
          <w:rFonts w:cs="Arial"/>
          <w:sz w:val="20"/>
          <w:szCs w:val="20"/>
        </w:rPr>
      </w:pPr>
    </w:p>
    <w:p w:rsidR="004802CB" w:rsidRPr="00545535" w:rsidRDefault="00DA5B5B" w:rsidP="00545535">
      <w:pPr>
        <w:pStyle w:val="Body"/>
        <w:spacing w:line="240" w:lineRule="auto"/>
        <w:jc w:val="left"/>
        <w:rPr>
          <w:rFonts w:cs="Arial"/>
          <w:sz w:val="20"/>
          <w:szCs w:val="20"/>
        </w:rPr>
      </w:pPr>
      <w:r w:rsidRPr="00545535">
        <w:rPr>
          <w:rFonts w:cs="Arial"/>
          <w:sz w:val="20"/>
          <w:szCs w:val="20"/>
        </w:rPr>
        <w:t>Similar to the first quarter</w:t>
      </w:r>
      <w:r w:rsidR="004D4D3E" w:rsidRPr="00545535">
        <w:rPr>
          <w:rFonts w:cs="Arial"/>
          <w:sz w:val="20"/>
          <w:szCs w:val="20"/>
        </w:rPr>
        <w:t>,</w:t>
      </w:r>
      <w:r w:rsidRPr="00545535">
        <w:rPr>
          <w:rFonts w:cs="Arial"/>
          <w:sz w:val="20"/>
          <w:szCs w:val="20"/>
        </w:rPr>
        <w:t xml:space="preserve"> there </w:t>
      </w:r>
      <w:r w:rsidR="004D4D3E" w:rsidRPr="00545535">
        <w:rPr>
          <w:rFonts w:cs="Arial"/>
          <w:sz w:val="20"/>
          <w:szCs w:val="20"/>
        </w:rPr>
        <w:t xml:space="preserve">had been </w:t>
      </w:r>
      <w:r w:rsidRPr="00545535">
        <w:rPr>
          <w:rFonts w:cs="Arial"/>
          <w:sz w:val="20"/>
          <w:szCs w:val="20"/>
        </w:rPr>
        <w:t>significant underspending in transfers and subsidies. However, the underspending grew from R416,5 million in the first quarter to R533,7 million in the second quarter The under-expenditure on the procurement of goods and services grew from R75,9 million to R80,6 million from the first</w:t>
      </w:r>
      <w:r w:rsidR="004D4D3E" w:rsidRPr="00545535">
        <w:rPr>
          <w:rFonts w:cs="Arial"/>
          <w:sz w:val="20"/>
          <w:szCs w:val="20"/>
        </w:rPr>
        <w:t xml:space="preserve"> quarter</w:t>
      </w:r>
      <w:r w:rsidRPr="00545535">
        <w:rPr>
          <w:rFonts w:cs="Arial"/>
          <w:sz w:val="20"/>
          <w:szCs w:val="20"/>
        </w:rPr>
        <w:t xml:space="preserve"> to the second quarter. As </w:t>
      </w:r>
      <w:r w:rsidR="004D4D3E" w:rsidRPr="00545535">
        <w:rPr>
          <w:rFonts w:cs="Arial"/>
          <w:sz w:val="20"/>
          <w:szCs w:val="20"/>
        </w:rPr>
        <w:t>alluded to previously, this was</w:t>
      </w:r>
      <w:r w:rsidRPr="00545535">
        <w:rPr>
          <w:rFonts w:cs="Arial"/>
          <w:sz w:val="20"/>
          <w:szCs w:val="20"/>
        </w:rPr>
        <w:t xml:space="preserve"> due to the impact of</w:t>
      </w:r>
      <w:r w:rsidR="004D4D3E" w:rsidRPr="00545535">
        <w:rPr>
          <w:rFonts w:cs="Arial"/>
          <w:sz w:val="20"/>
          <w:szCs w:val="20"/>
        </w:rPr>
        <w:t xml:space="preserve"> the COVID-</w:t>
      </w:r>
      <w:r w:rsidRPr="00545535">
        <w:rPr>
          <w:rFonts w:cs="Arial"/>
          <w:sz w:val="20"/>
          <w:szCs w:val="20"/>
        </w:rPr>
        <w:t>19</w:t>
      </w:r>
      <w:r w:rsidR="004D4D3E" w:rsidRPr="00545535">
        <w:rPr>
          <w:rFonts w:cs="Arial"/>
          <w:sz w:val="20"/>
          <w:szCs w:val="20"/>
        </w:rPr>
        <w:t xml:space="preserve"> pandemic which had</w:t>
      </w:r>
      <w:r w:rsidRPr="00545535">
        <w:rPr>
          <w:rFonts w:cs="Arial"/>
          <w:sz w:val="20"/>
          <w:szCs w:val="20"/>
        </w:rPr>
        <w:t xml:space="preserve"> caused a slowdown in economic activities. Depicted in the table below is the financial performance </w:t>
      </w:r>
      <w:r w:rsidR="004D4D3E" w:rsidRPr="00545535">
        <w:rPr>
          <w:rFonts w:cs="Arial"/>
          <w:sz w:val="20"/>
          <w:szCs w:val="20"/>
        </w:rPr>
        <w:t xml:space="preserve">in terms of the </w:t>
      </w:r>
      <w:r w:rsidRPr="00545535">
        <w:rPr>
          <w:rFonts w:cs="Arial"/>
          <w:sz w:val="20"/>
          <w:szCs w:val="20"/>
        </w:rPr>
        <w:t>economic classification.</w:t>
      </w:r>
    </w:p>
    <w:p w:rsidR="00E338A3" w:rsidRPr="00545535" w:rsidRDefault="00E338A3" w:rsidP="00545535">
      <w:pPr>
        <w:pStyle w:val="Body"/>
        <w:spacing w:line="240" w:lineRule="auto"/>
        <w:jc w:val="left"/>
        <w:rPr>
          <w:rFonts w:cs="Arial"/>
          <w:sz w:val="20"/>
          <w:szCs w:val="20"/>
        </w:rPr>
      </w:pPr>
    </w:p>
    <w:p w:rsidR="00E338A3" w:rsidRPr="00545535" w:rsidRDefault="00E338A3" w:rsidP="00545535">
      <w:pPr>
        <w:tabs>
          <w:tab w:val="left" w:pos="720"/>
        </w:tabs>
        <w:rPr>
          <w:rFonts w:ascii="Arial" w:hAnsi="Arial" w:cs="Arial"/>
          <w:b/>
          <w:sz w:val="20"/>
          <w:szCs w:val="20"/>
          <w:lang w:val="en-ZA"/>
        </w:rPr>
      </w:pPr>
      <w:r w:rsidRPr="00545535">
        <w:rPr>
          <w:rFonts w:ascii="Arial" w:hAnsi="Arial" w:cs="Arial"/>
          <w:b/>
          <w:sz w:val="20"/>
          <w:szCs w:val="20"/>
          <w:lang w:val="en-ZA"/>
        </w:rPr>
        <w:t xml:space="preserve">Table 2: Second Quarter Expenditure by Economic Classification </w:t>
      </w:r>
      <w:r w:rsidR="00CC33E3" w:rsidRPr="00545535">
        <w:rPr>
          <w:rFonts w:ascii="Arial" w:hAnsi="Arial" w:cs="Arial"/>
          <w:b/>
          <w:sz w:val="20"/>
          <w:szCs w:val="20"/>
          <w:lang w:val="en-ZA"/>
        </w:rPr>
        <w:t xml:space="preserve">as at 30 September </w:t>
      </w:r>
      <w:r w:rsidRPr="00545535">
        <w:rPr>
          <w:rFonts w:ascii="Arial" w:hAnsi="Arial" w:cs="Arial"/>
          <w:b/>
          <w:sz w:val="20"/>
          <w:szCs w:val="20"/>
          <w:lang w:val="en-ZA"/>
        </w:rPr>
        <w:t>2021</w:t>
      </w:r>
    </w:p>
    <w:tbl>
      <w:tblPr>
        <w:tblW w:w="10774" w:type="dxa"/>
        <w:tblInd w:w="-856" w:type="dxa"/>
        <w:tblLook w:val="04A0"/>
      </w:tblPr>
      <w:tblGrid>
        <w:gridCol w:w="3128"/>
        <w:gridCol w:w="1253"/>
        <w:gridCol w:w="1323"/>
        <w:gridCol w:w="1409"/>
        <w:gridCol w:w="1409"/>
        <w:gridCol w:w="1126"/>
        <w:gridCol w:w="1126"/>
      </w:tblGrid>
      <w:tr w:rsidR="00E338A3" w:rsidRPr="00545535" w:rsidTr="007234F8">
        <w:tc>
          <w:tcPr>
            <w:tcW w:w="326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8A3" w:rsidRPr="00545535" w:rsidRDefault="00E338A3" w:rsidP="00545535">
            <w:pPr>
              <w:ind w:left="37"/>
              <w:rPr>
                <w:rFonts w:ascii="Arial" w:hAnsi="Arial" w:cs="Arial"/>
                <w:b/>
                <w:bCs/>
                <w:sz w:val="20"/>
                <w:szCs w:val="20"/>
                <w:lang w:val="en-ZA" w:eastAsia="en-ZA"/>
              </w:rPr>
            </w:pPr>
            <w:r w:rsidRPr="00545535">
              <w:rPr>
                <w:rFonts w:ascii="Arial" w:hAnsi="Arial" w:cs="Arial"/>
                <w:b/>
                <w:bCs/>
                <w:sz w:val="20"/>
                <w:szCs w:val="20"/>
                <w:lang w:val="en-ZA" w:eastAsia="en-ZA"/>
              </w:rPr>
              <w:t>Description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8A3" w:rsidRPr="00545535" w:rsidRDefault="006F45CE" w:rsidP="00545535">
            <w:pPr>
              <w:ind w:left="37"/>
              <w:rPr>
                <w:rFonts w:ascii="Arial" w:hAnsi="Arial" w:cs="Arial"/>
                <w:b/>
                <w:bCs/>
                <w:sz w:val="20"/>
                <w:szCs w:val="20"/>
                <w:lang w:val="en-ZA" w:eastAsia="en-ZA"/>
              </w:rPr>
            </w:pPr>
            <w:r w:rsidRPr="00545535">
              <w:rPr>
                <w:rFonts w:ascii="Arial" w:hAnsi="Arial" w:cs="Arial"/>
                <w:b/>
                <w:bCs/>
                <w:sz w:val="20"/>
                <w:szCs w:val="20"/>
                <w:lang w:val="en-ZA" w:eastAsia="en-ZA"/>
              </w:rPr>
              <w:t>Budget 2021/22 (R’</w:t>
            </w:r>
            <w:r w:rsidR="00E338A3" w:rsidRPr="00545535">
              <w:rPr>
                <w:rFonts w:ascii="Arial" w:hAnsi="Arial" w:cs="Arial"/>
                <w:b/>
                <w:bCs/>
                <w:sz w:val="20"/>
                <w:szCs w:val="20"/>
                <w:lang w:val="en-ZA" w:eastAsia="en-ZA"/>
              </w:rPr>
              <w:t>000)</w:t>
            </w:r>
          </w:p>
        </w:tc>
        <w:tc>
          <w:tcPr>
            <w:tcW w:w="133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8A3" w:rsidRPr="00545535" w:rsidRDefault="006F45CE" w:rsidP="00545535">
            <w:pPr>
              <w:ind w:left="37"/>
              <w:rPr>
                <w:rFonts w:ascii="Arial" w:hAnsi="Arial" w:cs="Arial"/>
                <w:b/>
                <w:bCs/>
                <w:sz w:val="20"/>
                <w:szCs w:val="20"/>
                <w:lang w:val="en-ZA" w:eastAsia="en-ZA"/>
              </w:rPr>
            </w:pPr>
            <w:r w:rsidRPr="00545535">
              <w:rPr>
                <w:rFonts w:ascii="Arial" w:hAnsi="Arial" w:cs="Arial"/>
                <w:b/>
                <w:bCs/>
                <w:sz w:val="20"/>
                <w:szCs w:val="20"/>
                <w:lang w:val="en-ZA" w:eastAsia="en-ZA"/>
              </w:rPr>
              <w:t>Available Budget (R’</w:t>
            </w:r>
            <w:r w:rsidR="00E338A3" w:rsidRPr="00545535">
              <w:rPr>
                <w:rFonts w:ascii="Arial" w:hAnsi="Arial" w:cs="Arial"/>
                <w:b/>
                <w:bCs/>
                <w:sz w:val="20"/>
                <w:szCs w:val="20"/>
                <w:lang w:val="en-ZA" w:eastAsia="en-ZA"/>
              </w:rPr>
              <w:t>000)</w:t>
            </w:r>
          </w:p>
        </w:tc>
        <w:tc>
          <w:tcPr>
            <w:tcW w:w="4898"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338A3" w:rsidRPr="00545535" w:rsidRDefault="00CC33E3" w:rsidP="00545535">
            <w:pPr>
              <w:ind w:left="37"/>
              <w:rPr>
                <w:rFonts w:ascii="Arial" w:hAnsi="Arial" w:cs="Arial"/>
                <w:b/>
                <w:bCs/>
                <w:sz w:val="20"/>
                <w:szCs w:val="20"/>
                <w:lang w:val="en-ZA" w:eastAsia="en-ZA"/>
              </w:rPr>
            </w:pPr>
            <w:r w:rsidRPr="00545535">
              <w:rPr>
                <w:rFonts w:ascii="Arial" w:hAnsi="Arial" w:cs="Arial"/>
                <w:b/>
                <w:bCs/>
                <w:sz w:val="20"/>
                <w:szCs w:val="20"/>
                <w:lang w:val="en-ZA" w:eastAsia="en-ZA"/>
              </w:rPr>
              <w:t>Year-to-date</w:t>
            </w:r>
          </w:p>
        </w:tc>
      </w:tr>
      <w:tr w:rsidR="00E338A3" w:rsidRPr="00545535" w:rsidTr="007234F8">
        <w:tc>
          <w:tcPr>
            <w:tcW w:w="326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8A3" w:rsidRPr="00545535" w:rsidRDefault="00E338A3" w:rsidP="00545535">
            <w:pPr>
              <w:ind w:left="37"/>
              <w:rPr>
                <w:rFonts w:ascii="Arial" w:hAnsi="Arial" w:cs="Arial"/>
                <w:b/>
                <w:bCs/>
                <w:sz w:val="20"/>
                <w:szCs w:val="20"/>
                <w:lang w:val="en-ZA" w:eastAsia="en-ZA"/>
              </w:rPr>
            </w:pPr>
          </w:p>
        </w:tc>
        <w:tc>
          <w:tcPr>
            <w:tcW w:w="127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8A3" w:rsidRPr="00545535" w:rsidRDefault="00E338A3" w:rsidP="00545535">
            <w:pPr>
              <w:ind w:left="37"/>
              <w:rPr>
                <w:rFonts w:ascii="Arial" w:hAnsi="Arial" w:cs="Arial"/>
                <w:b/>
                <w:bCs/>
                <w:sz w:val="20"/>
                <w:szCs w:val="20"/>
                <w:lang w:val="en-ZA" w:eastAsia="en-ZA"/>
              </w:rPr>
            </w:pPr>
          </w:p>
        </w:tc>
        <w:tc>
          <w:tcPr>
            <w:tcW w:w="1339"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8A3" w:rsidRPr="00545535" w:rsidRDefault="00E338A3" w:rsidP="00545535">
            <w:pPr>
              <w:ind w:left="37"/>
              <w:rPr>
                <w:rFonts w:ascii="Arial" w:hAnsi="Arial" w:cs="Arial"/>
                <w:b/>
                <w:bCs/>
                <w:sz w:val="20"/>
                <w:szCs w:val="20"/>
                <w:lang w:val="en-ZA" w:eastAsia="en-ZA"/>
              </w:rPr>
            </w:pPr>
          </w:p>
        </w:tc>
        <w:tc>
          <w:tcPr>
            <w:tcW w:w="1320" w:type="dxa"/>
            <w:tcBorders>
              <w:top w:val="nil"/>
              <w:left w:val="nil"/>
              <w:bottom w:val="single" w:sz="4" w:space="0" w:color="auto"/>
              <w:right w:val="single" w:sz="4" w:space="0" w:color="auto"/>
            </w:tcBorders>
            <w:shd w:val="clear" w:color="auto" w:fill="BFBFBF" w:themeFill="background1" w:themeFillShade="BF"/>
            <w:vAlign w:val="center"/>
            <w:hideMark/>
          </w:tcPr>
          <w:p w:rsidR="00E338A3" w:rsidRPr="00545535" w:rsidRDefault="006F45CE" w:rsidP="00545535">
            <w:pPr>
              <w:ind w:left="37"/>
              <w:rPr>
                <w:rFonts w:ascii="Arial" w:hAnsi="Arial" w:cs="Arial"/>
                <w:b/>
                <w:bCs/>
                <w:sz w:val="20"/>
                <w:szCs w:val="20"/>
                <w:lang w:val="en-ZA" w:eastAsia="en-ZA"/>
              </w:rPr>
            </w:pPr>
            <w:r w:rsidRPr="00545535">
              <w:rPr>
                <w:rFonts w:ascii="Arial" w:hAnsi="Arial" w:cs="Arial"/>
                <w:b/>
                <w:bCs/>
                <w:sz w:val="20"/>
                <w:szCs w:val="20"/>
                <w:lang w:val="en-ZA" w:eastAsia="en-ZA"/>
              </w:rPr>
              <w:t>Projected Expenditure (R’</w:t>
            </w:r>
            <w:r w:rsidR="00E338A3" w:rsidRPr="00545535">
              <w:rPr>
                <w:rFonts w:ascii="Arial" w:hAnsi="Arial" w:cs="Arial"/>
                <w:b/>
                <w:bCs/>
                <w:sz w:val="20"/>
                <w:szCs w:val="20"/>
                <w:lang w:val="en-ZA" w:eastAsia="en-ZA"/>
              </w:rPr>
              <w:t>000)</w:t>
            </w:r>
          </w:p>
        </w:tc>
        <w:tc>
          <w:tcPr>
            <w:tcW w:w="1320" w:type="dxa"/>
            <w:tcBorders>
              <w:top w:val="nil"/>
              <w:left w:val="nil"/>
              <w:bottom w:val="single" w:sz="4" w:space="0" w:color="auto"/>
              <w:right w:val="single" w:sz="4" w:space="0" w:color="auto"/>
            </w:tcBorders>
            <w:shd w:val="clear" w:color="auto" w:fill="BFBFBF" w:themeFill="background1" w:themeFillShade="BF"/>
            <w:vAlign w:val="center"/>
            <w:hideMark/>
          </w:tcPr>
          <w:p w:rsidR="00E338A3" w:rsidRPr="00545535" w:rsidRDefault="006F45CE" w:rsidP="00545535">
            <w:pPr>
              <w:ind w:left="37"/>
              <w:rPr>
                <w:rFonts w:ascii="Arial" w:hAnsi="Arial" w:cs="Arial"/>
                <w:b/>
                <w:bCs/>
                <w:sz w:val="20"/>
                <w:szCs w:val="20"/>
                <w:lang w:val="en-ZA" w:eastAsia="en-ZA"/>
              </w:rPr>
            </w:pPr>
            <w:r w:rsidRPr="00545535">
              <w:rPr>
                <w:rFonts w:ascii="Arial" w:hAnsi="Arial" w:cs="Arial"/>
                <w:b/>
                <w:bCs/>
                <w:sz w:val="20"/>
                <w:szCs w:val="20"/>
                <w:lang w:val="en-ZA" w:eastAsia="en-ZA"/>
              </w:rPr>
              <w:t>Actual Expenditure (R’</w:t>
            </w:r>
            <w:r w:rsidR="00E338A3" w:rsidRPr="00545535">
              <w:rPr>
                <w:rFonts w:ascii="Arial" w:hAnsi="Arial" w:cs="Arial"/>
                <w:b/>
                <w:bCs/>
                <w:sz w:val="20"/>
                <w:szCs w:val="20"/>
                <w:lang w:val="en-ZA" w:eastAsia="en-ZA"/>
              </w:rPr>
              <w:t>000)</w:t>
            </w:r>
          </w:p>
        </w:tc>
        <w:tc>
          <w:tcPr>
            <w:tcW w:w="1129" w:type="dxa"/>
            <w:tcBorders>
              <w:top w:val="nil"/>
              <w:left w:val="nil"/>
              <w:bottom w:val="single" w:sz="4" w:space="0" w:color="auto"/>
              <w:right w:val="single" w:sz="4" w:space="0" w:color="auto"/>
            </w:tcBorders>
            <w:shd w:val="clear" w:color="auto" w:fill="BFBFBF" w:themeFill="background1" w:themeFillShade="BF"/>
            <w:vAlign w:val="center"/>
            <w:hideMark/>
          </w:tcPr>
          <w:p w:rsidR="00E338A3" w:rsidRPr="00545535" w:rsidRDefault="00E338A3" w:rsidP="00545535">
            <w:pPr>
              <w:ind w:left="37"/>
              <w:rPr>
                <w:rFonts w:ascii="Arial" w:hAnsi="Arial" w:cs="Arial"/>
                <w:b/>
                <w:bCs/>
                <w:sz w:val="20"/>
                <w:szCs w:val="20"/>
                <w:lang w:val="en-ZA" w:eastAsia="en-ZA"/>
              </w:rPr>
            </w:pPr>
            <w:r w:rsidRPr="00545535">
              <w:rPr>
                <w:rFonts w:ascii="Arial" w:hAnsi="Arial" w:cs="Arial"/>
                <w:b/>
                <w:bCs/>
                <w:sz w:val="20"/>
                <w:szCs w:val="20"/>
                <w:lang w:val="en-ZA" w:eastAsia="en-ZA"/>
              </w:rPr>
              <w:t>Varian</w:t>
            </w:r>
            <w:r w:rsidR="006F45CE" w:rsidRPr="00545535">
              <w:rPr>
                <w:rFonts w:ascii="Arial" w:hAnsi="Arial" w:cs="Arial"/>
                <w:b/>
                <w:bCs/>
                <w:sz w:val="20"/>
                <w:szCs w:val="20"/>
                <w:lang w:val="en-ZA" w:eastAsia="en-ZA"/>
              </w:rPr>
              <w:t>ce (R’</w:t>
            </w:r>
            <w:r w:rsidRPr="00545535">
              <w:rPr>
                <w:rFonts w:ascii="Arial" w:hAnsi="Arial" w:cs="Arial"/>
                <w:b/>
                <w:bCs/>
                <w:sz w:val="20"/>
                <w:szCs w:val="20"/>
                <w:lang w:val="en-ZA" w:eastAsia="en-ZA"/>
              </w:rPr>
              <w:t>000)</w:t>
            </w:r>
          </w:p>
        </w:tc>
        <w:tc>
          <w:tcPr>
            <w:tcW w:w="1129" w:type="dxa"/>
            <w:tcBorders>
              <w:top w:val="nil"/>
              <w:left w:val="nil"/>
              <w:bottom w:val="single" w:sz="4" w:space="0" w:color="auto"/>
              <w:right w:val="single" w:sz="4" w:space="0" w:color="auto"/>
            </w:tcBorders>
            <w:shd w:val="clear" w:color="auto" w:fill="BFBFBF" w:themeFill="background1" w:themeFillShade="BF"/>
            <w:vAlign w:val="center"/>
            <w:hideMark/>
          </w:tcPr>
          <w:p w:rsidR="00E338A3" w:rsidRPr="00545535" w:rsidRDefault="00E338A3" w:rsidP="00545535">
            <w:pPr>
              <w:ind w:left="37"/>
              <w:rPr>
                <w:rFonts w:ascii="Arial" w:hAnsi="Arial" w:cs="Arial"/>
                <w:b/>
                <w:bCs/>
                <w:sz w:val="20"/>
                <w:szCs w:val="20"/>
                <w:lang w:val="en-ZA" w:eastAsia="en-ZA"/>
              </w:rPr>
            </w:pPr>
            <w:r w:rsidRPr="00545535">
              <w:rPr>
                <w:rFonts w:ascii="Arial" w:hAnsi="Arial" w:cs="Arial"/>
                <w:b/>
                <w:bCs/>
                <w:sz w:val="20"/>
                <w:szCs w:val="20"/>
                <w:lang w:val="en-ZA" w:eastAsia="en-ZA"/>
              </w:rPr>
              <w:t xml:space="preserve">% Variance </w:t>
            </w:r>
          </w:p>
        </w:tc>
      </w:tr>
      <w:tr w:rsidR="00E338A3" w:rsidRPr="00545535" w:rsidTr="007234F8">
        <w:tc>
          <w:tcPr>
            <w:tcW w:w="3261" w:type="dxa"/>
            <w:tcBorders>
              <w:top w:val="nil"/>
              <w:left w:val="single" w:sz="4" w:space="0" w:color="auto"/>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Current payments</w:t>
            </w:r>
          </w:p>
        </w:tc>
        <w:tc>
          <w:tcPr>
            <w:tcW w:w="1276"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1 871 796</w:t>
            </w:r>
          </w:p>
        </w:tc>
        <w:tc>
          <w:tcPr>
            <w:tcW w:w="1339"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1 142 140</w:t>
            </w:r>
          </w:p>
        </w:tc>
        <w:tc>
          <w:tcPr>
            <w:tcW w:w="1320"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805 734</w:t>
            </w:r>
          </w:p>
        </w:tc>
        <w:tc>
          <w:tcPr>
            <w:tcW w:w="1320"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729 656</w:t>
            </w:r>
          </w:p>
        </w:tc>
        <w:tc>
          <w:tcPr>
            <w:tcW w:w="1129"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76 078</w:t>
            </w:r>
          </w:p>
        </w:tc>
        <w:tc>
          <w:tcPr>
            <w:tcW w:w="1129"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9,4%</w:t>
            </w:r>
          </w:p>
        </w:tc>
      </w:tr>
      <w:tr w:rsidR="00E338A3" w:rsidRPr="00545535" w:rsidTr="007234F8">
        <w:tc>
          <w:tcPr>
            <w:tcW w:w="3261" w:type="dxa"/>
            <w:tcBorders>
              <w:top w:val="nil"/>
              <w:left w:val="single" w:sz="4" w:space="0" w:color="auto"/>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Compensation of employees</w:t>
            </w:r>
          </w:p>
        </w:tc>
        <w:tc>
          <w:tcPr>
            <w:tcW w:w="1276"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1 046 619</w:t>
            </w:r>
          </w:p>
        </w:tc>
        <w:tc>
          <w:tcPr>
            <w:tcW w:w="1339"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545 759</w:t>
            </w:r>
          </w:p>
        </w:tc>
        <w:tc>
          <w:tcPr>
            <w:tcW w:w="1320"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496 336</w:t>
            </w:r>
          </w:p>
        </w:tc>
        <w:tc>
          <w:tcPr>
            <w:tcW w:w="1320"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500 860</w:t>
            </w:r>
          </w:p>
        </w:tc>
        <w:tc>
          <w:tcPr>
            <w:tcW w:w="1129"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Cs/>
                <w:sz w:val="20"/>
                <w:szCs w:val="20"/>
                <w:lang w:val="en-ZA" w:eastAsia="en-ZA"/>
              </w:rPr>
            </w:pPr>
            <w:r w:rsidRPr="00545535">
              <w:rPr>
                <w:rFonts w:ascii="Arial" w:hAnsi="Arial" w:cs="Arial"/>
                <w:bCs/>
                <w:sz w:val="20"/>
                <w:szCs w:val="20"/>
                <w:lang w:val="en-ZA" w:eastAsia="en-ZA"/>
              </w:rPr>
              <w:t>-4 524</w:t>
            </w:r>
          </w:p>
        </w:tc>
        <w:tc>
          <w:tcPr>
            <w:tcW w:w="1129"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-0,9%</w:t>
            </w:r>
          </w:p>
        </w:tc>
      </w:tr>
      <w:tr w:rsidR="00E338A3" w:rsidRPr="00545535" w:rsidTr="007234F8">
        <w:tc>
          <w:tcPr>
            <w:tcW w:w="3261" w:type="dxa"/>
            <w:tcBorders>
              <w:top w:val="nil"/>
              <w:left w:val="single" w:sz="4" w:space="0" w:color="auto"/>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Goods and services</w:t>
            </w:r>
          </w:p>
        </w:tc>
        <w:tc>
          <w:tcPr>
            <w:tcW w:w="1276"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825 177</w:t>
            </w:r>
          </w:p>
        </w:tc>
        <w:tc>
          <w:tcPr>
            <w:tcW w:w="1339"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596 381</w:t>
            </w:r>
          </w:p>
        </w:tc>
        <w:tc>
          <w:tcPr>
            <w:tcW w:w="1320"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309 398</w:t>
            </w:r>
          </w:p>
        </w:tc>
        <w:tc>
          <w:tcPr>
            <w:tcW w:w="1320"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228 796</w:t>
            </w:r>
          </w:p>
        </w:tc>
        <w:tc>
          <w:tcPr>
            <w:tcW w:w="1129"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Cs/>
                <w:sz w:val="20"/>
                <w:szCs w:val="20"/>
                <w:lang w:val="en-ZA" w:eastAsia="en-ZA"/>
              </w:rPr>
            </w:pPr>
            <w:r w:rsidRPr="00545535">
              <w:rPr>
                <w:rFonts w:ascii="Arial" w:hAnsi="Arial" w:cs="Arial"/>
                <w:bCs/>
                <w:sz w:val="20"/>
                <w:szCs w:val="20"/>
                <w:lang w:val="en-ZA" w:eastAsia="en-ZA"/>
              </w:rPr>
              <w:t>80 602</w:t>
            </w:r>
          </w:p>
        </w:tc>
        <w:tc>
          <w:tcPr>
            <w:tcW w:w="1129"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26,1%</w:t>
            </w:r>
          </w:p>
        </w:tc>
      </w:tr>
      <w:tr w:rsidR="00E338A3" w:rsidRPr="00545535" w:rsidTr="007234F8">
        <w:tc>
          <w:tcPr>
            <w:tcW w:w="3261" w:type="dxa"/>
            <w:tcBorders>
              <w:top w:val="nil"/>
              <w:left w:val="single" w:sz="4" w:space="0" w:color="auto"/>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lastRenderedPageBreak/>
              <w:t>Transfers and subsidies</w:t>
            </w:r>
          </w:p>
        </w:tc>
        <w:tc>
          <w:tcPr>
            <w:tcW w:w="1276"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7 828 423</w:t>
            </w:r>
          </w:p>
        </w:tc>
        <w:tc>
          <w:tcPr>
            <w:tcW w:w="1339"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2 236 330</w:t>
            </w:r>
          </w:p>
        </w:tc>
        <w:tc>
          <w:tcPr>
            <w:tcW w:w="1320"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6 125 754</w:t>
            </w:r>
          </w:p>
        </w:tc>
        <w:tc>
          <w:tcPr>
            <w:tcW w:w="1320"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5 592 093</w:t>
            </w:r>
          </w:p>
        </w:tc>
        <w:tc>
          <w:tcPr>
            <w:tcW w:w="1129"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533 661</w:t>
            </w:r>
          </w:p>
        </w:tc>
        <w:tc>
          <w:tcPr>
            <w:tcW w:w="1129"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8,7%</w:t>
            </w:r>
          </w:p>
        </w:tc>
      </w:tr>
      <w:tr w:rsidR="00E338A3" w:rsidRPr="00545535" w:rsidTr="007234F8">
        <w:tc>
          <w:tcPr>
            <w:tcW w:w="3261" w:type="dxa"/>
            <w:tcBorders>
              <w:top w:val="nil"/>
              <w:left w:val="single" w:sz="4" w:space="0" w:color="auto"/>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Payments for capital assets</w:t>
            </w:r>
          </w:p>
        </w:tc>
        <w:tc>
          <w:tcPr>
            <w:tcW w:w="1276"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36 354</w:t>
            </w:r>
          </w:p>
        </w:tc>
        <w:tc>
          <w:tcPr>
            <w:tcW w:w="1339"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36 023</w:t>
            </w:r>
          </w:p>
        </w:tc>
        <w:tc>
          <w:tcPr>
            <w:tcW w:w="1320"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3 586</w:t>
            </w:r>
          </w:p>
        </w:tc>
        <w:tc>
          <w:tcPr>
            <w:tcW w:w="1320"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331</w:t>
            </w:r>
          </w:p>
        </w:tc>
        <w:tc>
          <w:tcPr>
            <w:tcW w:w="1129"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3 255</w:t>
            </w:r>
          </w:p>
        </w:tc>
        <w:tc>
          <w:tcPr>
            <w:tcW w:w="1129"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90,8%</w:t>
            </w:r>
          </w:p>
        </w:tc>
      </w:tr>
      <w:tr w:rsidR="00E338A3" w:rsidRPr="00545535" w:rsidTr="007234F8">
        <w:tc>
          <w:tcPr>
            <w:tcW w:w="3261" w:type="dxa"/>
            <w:tcBorders>
              <w:top w:val="nil"/>
              <w:left w:val="single" w:sz="4" w:space="0" w:color="auto"/>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Payments for financial assets</w:t>
            </w:r>
          </w:p>
        </w:tc>
        <w:tc>
          <w:tcPr>
            <w:tcW w:w="1276"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w:t>
            </w:r>
          </w:p>
        </w:tc>
        <w:tc>
          <w:tcPr>
            <w:tcW w:w="1339"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-7</w:t>
            </w:r>
          </w:p>
        </w:tc>
        <w:tc>
          <w:tcPr>
            <w:tcW w:w="1320"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w:t>
            </w:r>
          </w:p>
        </w:tc>
        <w:tc>
          <w:tcPr>
            <w:tcW w:w="1320"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7</w:t>
            </w:r>
          </w:p>
        </w:tc>
        <w:tc>
          <w:tcPr>
            <w:tcW w:w="1129"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-7</w:t>
            </w:r>
          </w:p>
        </w:tc>
        <w:tc>
          <w:tcPr>
            <w:tcW w:w="1129"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0,0%</w:t>
            </w:r>
          </w:p>
        </w:tc>
      </w:tr>
      <w:tr w:rsidR="00E338A3" w:rsidRPr="00545535" w:rsidTr="007234F8">
        <w:tc>
          <w:tcPr>
            <w:tcW w:w="3261" w:type="dxa"/>
            <w:tcBorders>
              <w:top w:val="nil"/>
              <w:left w:val="single" w:sz="4" w:space="0" w:color="auto"/>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Total</w:t>
            </w:r>
          </w:p>
        </w:tc>
        <w:tc>
          <w:tcPr>
            <w:tcW w:w="1276"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9 736 573</w:t>
            </w:r>
          </w:p>
        </w:tc>
        <w:tc>
          <w:tcPr>
            <w:tcW w:w="1339" w:type="dxa"/>
            <w:tcBorders>
              <w:top w:val="nil"/>
              <w:left w:val="nil"/>
              <w:bottom w:val="single" w:sz="4" w:space="0" w:color="auto"/>
              <w:right w:val="single" w:sz="4" w:space="0" w:color="auto"/>
            </w:tcBorders>
            <w:shd w:val="clear" w:color="auto" w:fill="auto"/>
            <w:vAlign w:val="center"/>
            <w:hideMark/>
          </w:tcPr>
          <w:p w:rsidR="00E338A3" w:rsidRPr="00545535" w:rsidRDefault="00B26DE9" w:rsidP="00545535">
            <w:pPr>
              <w:rPr>
                <w:rFonts w:ascii="Arial" w:hAnsi="Arial" w:cs="Arial"/>
                <w:b/>
                <w:bCs/>
                <w:sz w:val="20"/>
                <w:szCs w:val="20"/>
                <w:lang w:val="en-ZA" w:eastAsia="en-ZA"/>
              </w:rPr>
            </w:pPr>
            <w:r w:rsidRPr="00545535">
              <w:rPr>
                <w:rFonts w:ascii="Arial" w:hAnsi="Arial" w:cs="Arial"/>
                <w:b/>
                <w:bCs/>
                <w:sz w:val="20"/>
                <w:szCs w:val="20"/>
                <w:lang w:val="en-ZA" w:eastAsia="en-ZA"/>
              </w:rPr>
              <w:t>3 414 486</w:t>
            </w:r>
          </w:p>
        </w:tc>
        <w:tc>
          <w:tcPr>
            <w:tcW w:w="1320"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6 935 074</w:t>
            </w:r>
          </w:p>
        </w:tc>
        <w:tc>
          <w:tcPr>
            <w:tcW w:w="1320"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6 322 08</w:t>
            </w:r>
            <w:r w:rsidR="00B26DE9" w:rsidRPr="00545535">
              <w:rPr>
                <w:rFonts w:ascii="Arial" w:hAnsi="Arial" w:cs="Arial"/>
                <w:b/>
                <w:bCs/>
                <w:sz w:val="20"/>
                <w:szCs w:val="20"/>
                <w:lang w:val="en-ZA" w:eastAsia="en-ZA"/>
              </w:rPr>
              <w:t>7</w:t>
            </w:r>
          </w:p>
        </w:tc>
        <w:tc>
          <w:tcPr>
            <w:tcW w:w="1129" w:type="dxa"/>
            <w:tcBorders>
              <w:top w:val="nil"/>
              <w:left w:val="nil"/>
              <w:bottom w:val="single" w:sz="4" w:space="0" w:color="auto"/>
              <w:right w:val="single" w:sz="4" w:space="0" w:color="auto"/>
            </w:tcBorders>
            <w:shd w:val="clear" w:color="auto" w:fill="auto"/>
            <w:vAlign w:val="center"/>
            <w:hideMark/>
          </w:tcPr>
          <w:p w:rsidR="00E338A3" w:rsidRPr="00545535" w:rsidRDefault="00B26DE9" w:rsidP="00545535">
            <w:pPr>
              <w:rPr>
                <w:rFonts w:ascii="Arial" w:hAnsi="Arial" w:cs="Arial"/>
                <w:b/>
                <w:bCs/>
                <w:sz w:val="20"/>
                <w:szCs w:val="20"/>
                <w:lang w:val="en-ZA" w:eastAsia="en-ZA"/>
              </w:rPr>
            </w:pPr>
            <w:r w:rsidRPr="00545535">
              <w:rPr>
                <w:rFonts w:ascii="Arial" w:hAnsi="Arial" w:cs="Arial"/>
                <w:b/>
                <w:bCs/>
                <w:sz w:val="20"/>
                <w:szCs w:val="20"/>
                <w:lang w:val="en-ZA" w:eastAsia="en-ZA"/>
              </w:rPr>
              <w:t>612 987</w:t>
            </w:r>
          </w:p>
        </w:tc>
        <w:tc>
          <w:tcPr>
            <w:tcW w:w="1129"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8,8%</w:t>
            </w:r>
          </w:p>
        </w:tc>
      </w:tr>
    </w:tbl>
    <w:p w:rsidR="00E338A3" w:rsidRPr="00545535" w:rsidRDefault="00E338A3" w:rsidP="00545535">
      <w:pPr>
        <w:rPr>
          <w:rFonts w:ascii="Arial" w:hAnsi="Arial" w:cs="Arial"/>
          <w:sz w:val="20"/>
          <w:szCs w:val="20"/>
        </w:rPr>
      </w:pPr>
      <w:r w:rsidRPr="00545535">
        <w:rPr>
          <w:rFonts w:ascii="Arial" w:hAnsi="Arial" w:cs="Arial"/>
          <w:sz w:val="20"/>
          <w:szCs w:val="20"/>
        </w:rPr>
        <w:t>Source: DTIC (2021</w:t>
      </w:r>
      <w:r w:rsidR="00214638" w:rsidRPr="00545535">
        <w:rPr>
          <w:rFonts w:ascii="Arial" w:hAnsi="Arial" w:cs="Arial"/>
          <w:sz w:val="20"/>
          <w:szCs w:val="20"/>
        </w:rPr>
        <w:t>a and 2021b</w:t>
      </w:r>
      <w:r w:rsidRPr="00545535">
        <w:rPr>
          <w:rFonts w:ascii="Arial" w:hAnsi="Arial" w:cs="Arial"/>
          <w:sz w:val="20"/>
          <w:szCs w:val="20"/>
        </w:rPr>
        <w:t>)</w:t>
      </w:r>
    </w:p>
    <w:p w:rsidR="00DA5B5B" w:rsidRPr="00545535" w:rsidRDefault="00DA5B5B" w:rsidP="00545535">
      <w:pPr>
        <w:pStyle w:val="Body"/>
        <w:spacing w:line="240" w:lineRule="auto"/>
        <w:jc w:val="left"/>
        <w:rPr>
          <w:rFonts w:eastAsia="Times New Roman" w:cs="Arial"/>
          <w:sz w:val="20"/>
          <w:szCs w:val="20"/>
        </w:rPr>
      </w:pPr>
    </w:p>
    <w:p w:rsidR="00A6639F" w:rsidRPr="00545535" w:rsidRDefault="00A6639F" w:rsidP="00545535">
      <w:pPr>
        <w:pStyle w:val="Heading3"/>
        <w:numPr>
          <w:ilvl w:val="3"/>
          <w:numId w:val="29"/>
        </w:numPr>
        <w:ind w:left="426" w:hanging="426"/>
        <w:rPr>
          <w:rFonts w:ascii="Arial" w:hAnsi="Arial" w:cs="Arial"/>
          <w:sz w:val="20"/>
          <w:szCs w:val="20"/>
          <w:lang w:val="en-ZA"/>
        </w:rPr>
      </w:pPr>
      <w:r w:rsidRPr="00545535">
        <w:rPr>
          <w:rFonts w:ascii="Arial" w:hAnsi="Arial" w:cs="Arial"/>
          <w:sz w:val="20"/>
          <w:szCs w:val="20"/>
          <w:lang w:val="en-ZA"/>
        </w:rPr>
        <w:t xml:space="preserve">Third Quarter Performance </w:t>
      </w:r>
    </w:p>
    <w:p w:rsidR="00A6639F" w:rsidRPr="00545535" w:rsidRDefault="00A6639F" w:rsidP="00545535">
      <w:pPr>
        <w:pStyle w:val="Body"/>
        <w:spacing w:line="240" w:lineRule="auto"/>
        <w:jc w:val="left"/>
        <w:rPr>
          <w:rFonts w:eastAsia="Times New Roman" w:cs="Arial"/>
          <w:sz w:val="20"/>
          <w:szCs w:val="20"/>
        </w:rPr>
      </w:pPr>
      <w:r w:rsidRPr="00545535">
        <w:rPr>
          <w:rFonts w:eastAsia="Times New Roman" w:cs="Arial"/>
          <w:sz w:val="20"/>
          <w:szCs w:val="20"/>
        </w:rPr>
        <w:t xml:space="preserve">Expenditure </w:t>
      </w:r>
      <w:r w:rsidR="00A3748E" w:rsidRPr="00545535">
        <w:rPr>
          <w:rFonts w:eastAsia="Times New Roman" w:cs="Arial"/>
          <w:sz w:val="20"/>
          <w:szCs w:val="20"/>
        </w:rPr>
        <w:t>recovered</w:t>
      </w:r>
      <w:r w:rsidRPr="00545535">
        <w:rPr>
          <w:rFonts w:eastAsia="Times New Roman" w:cs="Arial"/>
          <w:sz w:val="20"/>
          <w:szCs w:val="20"/>
        </w:rPr>
        <w:t xml:space="preserve"> in the third quarter from the slow expenditure in the first two quarters. Projected expenditure was R8,8 million while actual expenditure was R8,5 million. This resulted in under-expenditure being reduced from R612,9 million </w:t>
      </w:r>
      <w:r w:rsidR="00A3748E" w:rsidRPr="00545535">
        <w:rPr>
          <w:rFonts w:eastAsia="Times New Roman" w:cs="Arial"/>
          <w:sz w:val="20"/>
          <w:szCs w:val="20"/>
        </w:rPr>
        <w:t>in</w:t>
      </w:r>
      <w:r w:rsidRPr="00545535">
        <w:rPr>
          <w:rFonts w:eastAsia="Times New Roman" w:cs="Arial"/>
          <w:sz w:val="20"/>
          <w:szCs w:val="20"/>
        </w:rPr>
        <w:t xml:space="preserve"> the second </w:t>
      </w:r>
      <w:r w:rsidR="00A3748E" w:rsidRPr="00545535">
        <w:rPr>
          <w:rFonts w:eastAsia="Times New Roman" w:cs="Arial"/>
          <w:sz w:val="20"/>
          <w:szCs w:val="20"/>
        </w:rPr>
        <w:t xml:space="preserve">quarter </w:t>
      </w:r>
      <w:r w:rsidRPr="00545535">
        <w:rPr>
          <w:rFonts w:eastAsia="Times New Roman" w:cs="Arial"/>
          <w:sz w:val="20"/>
          <w:szCs w:val="20"/>
        </w:rPr>
        <w:t>expenditure to R296,7 million in the third quarter</w:t>
      </w:r>
      <w:r w:rsidR="00A3748E" w:rsidRPr="00545535">
        <w:rPr>
          <w:rFonts w:eastAsia="Times New Roman" w:cs="Arial"/>
          <w:sz w:val="20"/>
          <w:szCs w:val="20"/>
        </w:rPr>
        <w:t>.</w:t>
      </w:r>
      <w:r w:rsidRPr="00545535">
        <w:rPr>
          <w:rFonts w:eastAsia="Times New Roman" w:cs="Arial"/>
          <w:sz w:val="20"/>
          <w:szCs w:val="20"/>
        </w:rPr>
        <w:t xml:space="preserve"> The impact of COVID-19 on expenditure </w:t>
      </w:r>
      <w:r w:rsidR="00A3748E" w:rsidRPr="00545535">
        <w:rPr>
          <w:rFonts w:eastAsia="Times New Roman" w:cs="Arial"/>
          <w:sz w:val="20"/>
          <w:szCs w:val="20"/>
        </w:rPr>
        <w:t xml:space="preserve">was reported to </w:t>
      </w:r>
      <w:r w:rsidRPr="00545535">
        <w:rPr>
          <w:rFonts w:eastAsia="Times New Roman" w:cs="Arial"/>
          <w:sz w:val="20"/>
          <w:szCs w:val="20"/>
        </w:rPr>
        <w:t xml:space="preserve">finally </w:t>
      </w:r>
      <w:r w:rsidR="00A3748E" w:rsidRPr="00545535">
        <w:rPr>
          <w:rFonts w:eastAsia="Times New Roman" w:cs="Arial"/>
          <w:sz w:val="20"/>
          <w:szCs w:val="20"/>
        </w:rPr>
        <w:t xml:space="preserve">have </w:t>
      </w:r>
      <w:r w:rsidRPr="00545535">
        <w:rPr>
          <w:rFonts w:eastAsia="Times New Roman" w:cs="Arial"/>
          <w:sz w:val="20"/>
          <w:szCs w:val="20"/>
        </w:rPr>
        <w:t xml:space="preserve">subsided in the third quarter. Therefore, under-expenditure in the key programmes </w:t>
      </w:r>
      <w:r w:rsidR="00A3748E" w:rsidRPr="00545535">
        <w:rPr>
          <w:rFonts w:eastAsia="Times New Roman" w:cs="Arial"/>
          <w:sz w:val="20"/>
          <w:szCs w:val="20"/>
        </w:rPr>
        <w:t>had been</w:t>
      </w:r>
      <w:r w:rsidRPr="00545535">
        <w:rPr>
          <w:rFonts w:eastAsia="Times New Roman" w:cs="Arial"/>
          <w:sz w:val="20"/>
          <w:szCs w:val="20"/>
        </w:rPr>
        <w:t xml:space="preserve"> significantly reduced. The table below details </w:t>
      </w:r>
      <w:r w:rsidR="00A3748E" w:rsidRPr="00545535">
        <w:rPr>
          <w:rFonts w:eastAsia="Times New Roman" w:cs="Arial"/>
          <w:sz w:val="20"/>
          <w:szCs w:val="20"/>
        </w:rPr>
        <w:t>third</w:t>
      </w:r>
      <w:r w:rsidRPr="00545535">
        <w:rPr>
          <w:rFonts w:eastAsia="Times New Roman" w:cs="Arial"/>
          <w:sz w:val="20"/>
          <w:szCs w:val="20"/>
        </w:rPr>
        <w:t xml:space="preserve"> quarter expenditure by programme.</w:t>
      </w:r>
    </w:p>
    <w:p w:rsidR="00A6639F" w:rsidRPr="00545535" w:rsidRDefault="00A6639F" w:rsidP="00545535">
      <w:pPr>
        <w:pStyle w:val="Body"/>
        <w:spacing w:line="240" w:lineRule="auto"/>
        <w:jc w:val="left"/>
        <w:rPr>
          <w:rFonts w:eastAsia="Times New Roman" w:cs="Arial"/>
          <w:sz w:val="20"/>
          <w:szCs w:val="20"/>
        </w:rPr>
      </w:pPr>
    </w:p>
    <w:p w:rsidR="00A6639F" w:rsidRPr="00545535" w:rsidRDefault="00A6639F" w:rsidP="00545535">
      <w:pPr>
        <w:pStyle w:val="Body"/>
        <w:spacing w:line="240" w:lineRule="auto"/>
        <w:jc w:val="left"/>
        <w:rPr>
          <w:rFonts w:eastAsia="Times New Roman" w:cs="Arial"/>
          <w:sz w:val="20"/>
          <w:szCs w:val="20"/>
        </w:rPr>
      </w:pPr>
      <w:r w:rsidRPr="00545535">
        <w:rPr>
          <w:rFonts w:eastAsia="Times New Roman" w:cs="Arial"/>
          <w:b/>
          <w:sz w:val="20"/>
          <w:szCs w:val="20"/>
        </w:rPr>
        <w:t>Table 3:</w:t>
      </w:r>
      <w:r w:rsidRPr="00545535">
        <w:rPr>
          <w:rFonts w:eastAsia="Times New Roman" w:cs="Arial"/>
          <w:sz w:val="20"/>
          <w:szCs w:val="20"/>
        </w:rPr>
        <w:t xml:space="preserve"> </w:t>
      </w:r>
      <w:r w:rsidRPr="00545535">
        <w:rPr>
          <w:rFonts w:cs="Arial"/>
          <w:b/>
          <w:bCs/>
          <w:sz w:val="20"/>
          <w:szCs w:val="20"/>
        </w:rPr>
        <w:t>Third Quarter Expenditure by Programme</w:t>
      </w:r>
      <w:r w:rsidR="00A3748E" w:rsidRPr="00545535">
        <w:rPr>
          <w:rFonts w:cs="Arial"/>
          <w:b/>
          <w:bCs/>
          <w:sz w:val="20"/>
          <w:szCs w:val="20"/>
        </w:rPr>
        <w:t xml:space="preserve"> as at 31 December 2021</w:t>
      </w:r>
    </w:p>
    <w:tbl>
      <w:tblPr>
        <w:tblW w:w="10632" w:type="dxa"/>
        <w:tblInd w:w="-856" w:type="dxa"/>
        <w:tblLook w:val="04A0"/>
      </w:tblPr>
      <w:tblGrid>
        <w:gridCol w:w="3105"/>
        <w:gridCol w:w="1245"/>
        <w:gridCol w:w="1367"/>
        <w:gridCol w:w="1372"/>
        <w:gridCol w:w="1372"/>
        <w:gridCol w:w="1121"/>
        <w:gridCol w:w="1050"/>
      </w:tblGrid>
      <w:tr w:rsidR="00E338A3" w:rsidRPr="00545535" w:rsidTr="00A3748E">
        <w:tc>
          <w:tcPr>
            <w:tcW w:w="3261"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Programme</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E338A3" w:rsidRPr="00545535" w:rsidRDefault="00317B87" w:rsidP="00545535">
            <w:pPr>
              <w:rPr>
                <w:rFonts w:ascii="Arial" w:hAnsi="Arial" w:cs="Arial"/>
                <w:b/>
                <w:bCs/>
                <w:sz w:val="20"/>
                <w:szCs w:val="20"/>
                <w:lang w:val="en-ZA" w:eastAsia="en-ZA"/>
              </w:rPr>
            </w:pPr>
            <w:r w:rsidRPr="00545535">
              <w:rPr>
                <w:rFonts w:ascii="Arial" w:hAnsi="Arial" w:cs="Arial"/>
                <w:b/>
                <w:bCs/>
                <w:sz w:val="20"/>
                <w:szCs w:val="20"/>
                <w:lang w:val="en-ZA" w:eastAsia="en-ZA"/>
              </w:rPr>
              <w:t>Budget 2021/22 (R’</w:t>
            </w:r>
            <w:r w:rsidR="00E338A3" w:rsidRPr="00545535">
              <w:rPr>
                <w:rFonts w:ascii="Arial" w:hAnsi="Arial" w:cs="Arial"/>
                <w:b/>
                <w:bCs/>
                <w:sz w:val="20"/>
                <w:szCs w:val="20"/>
                <w:lang w:val="en-ZA" w:eastAsia="en-ZA"/>
              </w:rPr>
              <w:t>000)</w:t>
            </w:r>
          </w:p>
        </w:tc>
        <w:tc>
          <w:tcPr>
            <w:tcW w:w="1394"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Available Budget (</w:t>
            </w:r>
            <w:r w:rsidR="004A3F4D" w:rsidRPr="00545535">
              <w:rPr>
                <w:rFonts w:ascii="Arial" w:hAnsi="Arial" w:cs="Arial"/>
                <w:b/>
                <w:bCs/>
                <w:sz w:val="20"/>
                <w:szCs w:val="20"/>
                <w:lang w:val="en-ZA" w:eastAsia="en-ZA"/>
              </w:rPr>
              <w:t>R’</w:t>
            </w:r>
            <w:r w:rsidRPr="00545535">
              <w:rPr>
                <w:rFonts w:ascii="Arial" w:hAnsi="Arial" w:cs="Arial"/>
                <w:b/>
                <w:bCs/>
                <w:sz w:val="20"/>
                <w:szCs w:val="20"/>
                <w:lang w:val="en-ZA" w:eastAsia="en-ZA"/>
              </w:rPr>
              <w:t>000)</w:t>
            </w:r>
          </w:p>
        </w:tc>
        <w:tc>
          <w:tcPr>
            <w:tcW w:w="4701"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Year-to-d</w:t>
            </w:r>
            <w:r w:rsidR="00A3748E" w:rsidRPr="00545535">
              <w:rPr>
                <w:rFonts w:ascii="Arial" w:hAnsi="Arial" w:cs="Arial"/>
                <w:b/>
                <w:bCs/>
                <w:sz w:val="20"/>
                <w:szCs w:val="20"/>
                <w:lang w:val="en-ZA" w:eastAsia="en-ZA"/>
              </w:rPr>
              <w:t>ate</w:t>
            </w:r>
          </w:p>
        </w:tc>
      </w:tr>
      <w:tr w:rsidR="006F45CE" w:rsidRPr="00545535" w:rsidTr="00A3748E">
        <w:tc>
          <w:tcPr>
            <w:tcW w:w="3261"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E338A3" w:rsidRPr="00545535" w:rsidRDefault="00E338A3" w:rsidP="00545535">
            <w:pPr>
              <w:rPr>
                <w:rFonts w:ascii="Arial" w:hAnsi="Arial" w:cs="Arial"/>
                <w:b/>
                <w:bCs/>
                <w:sz w:val="20"/>
                <w:szCs w:val="20"/>
                <w:lang w:val="en-ZA" w:eastAsia="en-ZA"/>
              </w:rPr>
            </w:pPr>
          </w:p>
        </w:tc>
        <w:tc>
          <w:tcPr>
            <w:tcW w:w="1276"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E338A3" w:rsidRPr="00545535" w:rsidRDefault="00E338A3" w:rsidP="00545535">
            <w:pPr>
              <w:rPr>
                <w:rFonts w:ascii="Arial" w:hAnsi="Arial" w:cs="Arial"/>
                <w:b/>
                <w:bCs/>
                <w:sz w:val="20"/>
                <w:szCs w:val="20"/>
                <w:lang w:val="en-ZA" w:eastAsia="en-ZA"/>
              </w:rPr>
            </w:pPr>
          </w:p>
        </w:tc>
        <w:tc>
          <w:tcPr>
            <w:tcW w:w="1394"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E338A3" w:rsidRPr="00545535" w:rsidRDefault="00E338A3" w:rsidP="00545535">
            <w:pPr>
              <w:rPr>
                <w:rFonts w:ascii="Arial" w:hAnsi="Arial" w:cs="Arial"/>
                <w:b/>
                <w:bCs/>
                <w:sz w:val="20"/>
                <w:szCs w:val="20"/>
                <w:lang w:val="en-ZA" w:eastAsia="en-ZA"/>
              </w:rPr>
            </w:pPr>
          </w:p>
        </w:tc>
        <w:tc>
          <w:tcPr>
            <w:tcW w:w="1287" w:type="dxa"/>
            <w:tcBorders>
              <w:top w:val="nil"/>
              <w:left w:val="nil"/>
              <w:bottom w:val="single" w:sz="4" w:space="0" w:color="auto"/>
              <w:right w:val="single" w:sz="4" w:space="0" w:color="auto"/>
            </w:tcBorders>
            <w:shd w:val="clear" w:color="auto" w:fill="BFBFBF" w:themeFill="background1" w:themeFillShade="BF"/>
            <w:vAlign w:val="center"/>
            <w:hideMark/>
          </w:tcPr>
          <w:p w:rsidR="00E338A3" w:rsidRPr="00545535" w:rsidRDefault="004A3F4D" w:rsidP="00545535">
            <w:pPr>
              <w:rPr>
                <w:rFonts w:ascii="Arial" w:hAnsi="Arial" w:cs="Arial"/>
                <w:b/>
                <w:bCs/>
                <w:sz w:val="20"/>
                <w:szCs w:val="20"/>
                <w:lang w:val="en-ZA" w:eastAsia="en-ZA"/>
              </w:rPr>
            </w:pPr>
            <w:r w:rsidRPr="00545535">
              <w:rPr>
                <w:rFonts w:ascii="Arial" w:hAnsi="Arial" w:cs="Arial"/>
                <w:b/>
                <w:bCs/>
                <w:sz w:val="20"/>
                <w:szCs w:val="20"/>
                <w:lang w:val="en-ZA" w:eastAsia="en-ZA"/>
              </w:rPr>
              <w:t>Projected Expenditure (R’</w:t>
            </w:r>
            <w:r w:rsidR="00E338A3" w:rsidRPr="00545535">
              <w:rPr>
                <w:rFonts w:ascii="Arial" w:hAnsi="Arial" w:cs="Arial"/>
                <w:b/>
                <w:bCs/>
                <w:sz w:val="20"/>
                <w:szCs w:val="20"/>
                <w:lang w:val="en-ZA" w:eastAsia="en-ZA"/>
              </w:rPr>
              <w:t>000)</w:t>
            </w:r>
          </w:p>
        </w:tc>
        <w:tc>
          <w:tcPr>
            <w:tcW w:w="1288" w:type="dxa"/>
            <w:tcBorders>
              <w:top w:val="nil"/>
              <w:left w:val="nil"/>
              <w:bottom w:val="single" w:sz="4" w:space="0" w:color="auto"/>
              <w:right w:val="single" w:sz="4" w:space="0" w:color="auto"/>
            </w:tcBorders>
            <w:shd w:val="clear" w:color="auto" w:fill="BFBFBF" w:themeFill="background1" w:themeFillShade="BF"/>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 xml:space="preserve">Actual Expenditure </w:t>
            </w:r>
            <w:r w:rsidR="004A3F4D" w:rsidRPr="00545535">
              <w:rPr>
                <w:rFonts w:ascii="Arial" w:hAnsi="Arial" w:cs="Arial"/>
                <w:b/>
                <w:bCs/>
                <w:sz w:val="20"/>
                <w:szCs w:val="20"/>
                <w:lang w:val="en-ZA" w:eastAsia="en-ZA"/>
              </w:rPr>
              <w:t>(R’</w:t>
            </w:r>
            <w:r w:rsidRPr="00545535">
              <w:rPr>
                <w:rFonts w:ascii="Arial" w:hAnsi="Arial" w:cs="Arial"/>
                <w:b/>
                <w:bCs/>
                <w:sz w:val="20"/>
                <w:szCs w:val="20"/>
                <w:lang w:val="en-ZA" w:eastAsia="en-ZA"/>
              </w:rPr>
              <w:t>000)</w:t>
            </w:r>
          </w:p>
        </w:tc>
        <w:tc>
          <w:tcPr>
            <w:tcW w:w="1128" w:type="dxa"/>
            <w:tcBorders>
              <w:top w:val="nil"/>
              <w:left w:val="nil"/>
              <w:bottom w:val="single" w:sz="4" w:space="0" w:color="auto"/>
              <w:right w:val="single" w:sz="4" w:space="0" w:color="auto"/>
            </w:tcBorders>
            <w:shd w:val="clear" w:color="auto" w:fill="BFBFBF" w:themeFill="background1" w:themeFillShade="BF"/>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Varian</w:t>
            </w:r>
            <w:r w:rsidR="004A3F4D" w:rsidRPr="00545535">
              <w:rPr>
                <w:rFonts w:ascii="Arial" w:hAnsi="Arial" w:cs="Arial"/>
                <w:b/>
                <w:bCs/>
                <w:sz w:val="20"/>
                <w:szCs w:val="20"/>
                <w:lang w:val="en-ZA" w:eastAsia="en-ZA"/>
              </w:rPr>
              <w:t>ce (R’</w:t>
            </w:r>
            <w:r w:rsidRPr="00545535">
              <w:rPr>
                <w:rFonts w:ascii="Arial" w:hAnsi="Arial" w:cs="Arial"/>
                <w:b/>
                <w:bCs/>
                <w:sz w:val="20"/>
                <w:szCs w:val="20"/>
                <w:lang w:val="en-ZA" w:eastAsia="en-ZA"/>
              </w:rPr>
              <w:t>000)</w:t>
            </w:r>
          </w:p>
        </w:tc>
        <w:tc>
          <w:tcPr>
            <w:tcW w:w="998" w:type="dxa"/>
            <w:tcBorders>
              <w:top w:val="nil"/>
              <w:left w:val="nil"/>
              <w:bottom w:val="single" w:sz="4" w:space="0" w:color="auto"/>
              <w:right w:val="single" w:sz="4" w:space="0" w:color="auto"/>
            </w:tcBorders>
            <w:shd w:val="clear" w:color="auto" w:fill="BFBFBF" w:themeFill="background1" w:themeFillShade="BF"/>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 xml:space="preserve">% Variance </w:t>
            </w:r>
          </w:p>
        </w:tc>
      </w:tr>
      <w:tr w:rsidR="00A3748E" w:rsidRPr="00545535" w:rsidTr="00A3748E">
        <w:tc>
          <w:tcPr>
            <w:tcW w:w="3261" w:type="dxa"/>
            <w:tcBorders>
              <w:top w:val="nil"/>
              <w:left w:val="single" w:sz="4" w:space="0" w:color="auto"/>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1: Administration</w:t>
            </w:r>
          </w:p>
        </w:tc>
        <w:tc>
          <w:tcPr>
            <w:tcW w:w="1276"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857 651</w:t>
            </w:r>
          </w:p>
        </w:tc>
        <w:tc>
          <w:tcPr>
            <w:tcW w:w="1394" w:type="dxa"/>
            <w:tcBorders>
              <w:top w:val="nil"/>
              <w:left w:val="nil"/>
              <w:bottom w:val="single" w:sz="4" w:space="0" w:color="auto"/>
              <w:right w:val="single" w:sz="4" w:space="0" w:color="auto"/>
            </w:tcBorders>
            <w:shd w:val="clear" w:color="auto" w:fill="auto"/>
            <w:vAlign w:val="center"/>
            <w:hideMark/>
          </w:tcPr>
          <w:p w:rsidR="00E338A3" w:rsidRPr="00545535" w:rsidRDefault="00B26DE9" w:rsidP="00545535">
            <w:pPr>
              <w:rPr>
                <w:rFonts w:ascii="Arial" w:hAnsi="Arial" w:cs="Arial"/>
                <w:sz w:val="20"/>
                <w:szCs w:val="20"/>
                <w:lang w:val="en-ZA" w:eastAsia="en-ZA"/>
              </w:rPr>
            </w:pPr>
            <w:r w:rsidRPr="00545535">
              <w:rPr>
                <w:rFonts w:ascii="Arial" w:hAnsi="Arial" w:cs="Arial"/>
                <w:sz w:val="20"/>
                <w:szCs w:val="20"/>
                <w:lang w:val="en-ZA" w:eastAsia="en-ZA"/>
              </w:rPr>
              <w:t>338 401</w:t>
            </w:r>
          </w:p>
        </w:tc>
        <w:tc>
          <w:tcPr>
            <w:tcW w:w="1287"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580 707</w:t>
            </w:r>
          </w:p>
        </w:tc>
        <w:tc>
          <w:tcPr>
            <w:tcW w:w="1288" w:type="dxa"/>
            <w:tcBorders>
              <w:top w:val="nil"/>
              <w:left w:val="nil"/>
              <w:bottom w:val="single" w:sz="4" w:space="0" w:color="auto"/>
              <w:right w:val="single" w:sz="4" w:space="0" w:color="auto"/>
            </w:tcBorders>
            <w:shd w:val="clear" w:color="auto" w:fill="auto"/>
            <w:vAlign w:val="center"/>
            <w:hideMark/>
          </w:tcPr>
          <w:p w:rsidR="00E338A3" w:rsidRPr="00545535" w:rsidRDefault="00B26DE9" w:rsidP="00545535">
            <w:pPr>
              <w:rPr>
                <w:rFonts w:ascii="Arial" w:hAnsi="Arial" w:cs="Arial"/>
                <w:sz w:val="20"/>
                <w:szCs w:val="20"/>
                <w:lang w:val="en-ZA" w:eastAsia="en-ZA"/>
              </w:rPr>
            </w:pPr>
            <w:r w:rsidRPr="00545535">
              <w:rPr>
                <w:rFonts w:ascii="Arial" w:hAnsi="Arial" w:cs="Arial"/>
                <w:sz w:val="20"/>
                <w:szCs w:val="20"/>
                <w:lang w:val="en-ZA" w:eastAsia="en-ZA"/>
              </w:rPr>
              <w:t>519 250</w:t>
            </w:r>
          </w:p>
        </w:tc>
        <w:tc>
          <w:tcPr>
            <w:tcW w:w="1128" w:type="dxa"/>
            <w:tcBorders>
              <w:top w:val="nil"/>
              <w:left w:val="nil"/>
              <w:bottom w:val="single" w:sz="4" w:space="0" w:color="auto"/>
              <w:right w:val="single" w:sz="4" w:space="0" w:color="auto"/>
            </w:tcBorders>
            <w:shd w:val="clear" w:color="auto" w:fill="auto"/>
            <w:vAlign w:val="center"/>
            <w:hideMark/>
          </w:tcPr>
          <w:p w:rsidR="00E338A3" w:rsidRPr="00545535" w:rsidRDefault="00B26DE9" w:rsidP="00545535">
            <w:pPr>
              <w:rPr>
                <w:rFonts w:ascii="Arial" w:hAnsi="Arial" w:cs="Arial"/>
                <w:sz w:val="20"/>
                <w:szCs w:val="20"/>
                <w:lang w:val="en-ZA" w:eastAsia="en-ZA"/>
              </w:rPr>
            </w:pPr>
            <w:r w:rsidRPr="00545535">
              <w:rPr>
                <w:rFonts w:ascii="Arial" w:hAnsi="Arial" w:cs="Arial"/>
                <w:sz w:val="20"/>
                <w:szCs w:val="20"/>
                <w:lang w:val="en-ZA" w:eastAsia="en-ZA"/>
              </w:rPr>
              <w:t>61 457</w:t>
            </w:r>
          </w:p>
        </w:tc>
        <w:tc>
          <w:tcPr>
            <w:tcW w:w="998"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10,6%</w:t>
            </w:r>
          </w:p>
        </w:tc>
      </w:tr>
      <w:tr w:rsidR="00A3748E" w:rsidRPr="00545535" w:rsidTr="00A3748E">
        <w:tc>
          <w:tcPr>
            <w:tcW w:w="3261" w:type="dxa"/>
            <w:tcBorders>
              <w:top w:val="nil"/>
              <w:left w:val="single" w:sz="4" w:space="0" w:color="auto"/>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2: Trade Policy, Negotiations and Cooperation</w:t>
            </w:r>
          </w:p>
        </w:tc>
        <w:tc>
          <w:tcPr>
            <w:tcW w:w="1276"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233 066</w:t>
            </w:r>
          </w:p>
        </w:tc>
        <w:tc>
          <w:tcPr>
            <w:tcW w:w="1394"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46 990</w:t>
            </w:r>
          </w:p>
        </w:tc>
        <w:tc>
          <w:tcPr>
            <w:tcW w:w="1287"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175 930</w:t>
            </w:r>
          </w:p>
        </w:tc>
        <w:tc>
          <w:tcPr>
            <w:tcW w:w="1288"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186 076</w:t>
            </w:r>
          </w:p>
        </w:tc>
        <w:tc>
          <w:tcPr>
            <w:tcW w:w="1128" w:type="dxa"/>
            <w:tcBorders>
              <w:top w:val="nil"/>
              <w:left w:val="nil"/>
              <w:bottom w:val="single" w:sz="4" w:space="0" w:color="auto"/>
              <w:right w:val="single" w:sz="4" w:space="0" w:color="auto"/>
            </w:tcBorders>
            <w:shd w:val="clear" w:color="auto" w:fill="auto"/>
            <w:vAlign w:val="center"/>
            <w:hideMark/>
          </w:tcPr>
          <w:p w:rsidR="00E338A3" w:rsidRPr="00545535" w:rsidRDefault="004B7E82" w:rsidP="00545535">
            <w:pPr>
              <w:rPr>
                <w:rFonts w:ascii="Arial" w:hAnsi="Arial" w:cs="Arial"/>
                <w:sz w:val="20"/>
                <w:szCs w:val="20"/>
                <w:lang w:val="en-ZA" w:eastAsia="en-ZA"/>
              </w:rPr>
            </w:pPr>
            <w:r w:rsidRPr="00545535">
              <w:rPr>
                <w:rFonts w:ascii="Arial" w:hAnsi="Arial" w:cs="Arial"/>
                <w:sz w:val="20"/>
                <w:szCs w:val="20"/>
                <w:lang w:val="en-ZA" w:eastAsia="en-ZA"/>
              </w:rPr>
              <w:t>-</w:t>
            </w:r>
            <w:r w:rsidR="00E338A3" w:rsidRPr="00545535">
              <w:rPr>
                <w:rFonts w:ascii="Arial" w:hAnsi="Arial" w:cs="Arial"/>
                <w:sz w:val="20"/>
                <w:szCs w:val="20"/>
                <w:lang w:val="en-ZA" w:eastAsia="en-ZA"/>
              </w:rPr>
              <w:t>10 146</w:t>
            </w:r>
          </w:p>
        </w:tc>
        <w:tc>
          <w:tcPr>
            <w:tcW w:w="998"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-5,8%</w:t>
            </w:r>
          </w:p>
        </w:tc>
      </w:tr>
      <w:tr w:rsidR="00A3748E" w:rsidRPr="00545535" w:rsidTr="00A3748E">
        <w:tc>
          <w:tcPr>
            <w:tcW w:w="3261" w:type="dxa"/>
            <w:tcBorders>
              <w:top w:val="nil"/>
              <w:left w:val="single" w:sz="4" w:space="0" w:color="auto"/>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3:Spatial Industrial Development and Economic Transformation</w:t>
            </w:r>
          </w:p>
        </w:tc>
        <w:tc>
          <w:tcPr>
            <w:tcW w:w="1276"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183 352</w:t>
            </w:r>
          </w:p>
        </w:tc>
        <w:tc>
          <w:tcPr>
            <w:tcW w:w="1394"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89 608</w:t>
            </w:r>
          </w:p>
        </w:tc>
        <w:tc>
          <w:tcPr>
            <w:tcW w:w="1287"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140 017</w:t>
            </w:r>
          </w:p>
        </w:tc>
        <w:tc>
          <w:tcPr>
            <w:tcW w:w="1288"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93 744</w:t>
            </w:r>
          </w:p>
        </w:tc>
        <w:tc>
          <w:tcPr>
            <w:tcW w:w="1128"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46 273</w:t>
            </w:r>
          </w:p>
        </w:tc>
        <w:tc>
          <w:tcPr>
            <w:tcW w:w="998"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33,0%</w:t>
            </w:r>
          </w:p>
        </w:tc>
      </w:tr>
      <w:tr w:rsidR="00A3748E" w:rsidRPr="00545535" w:rsidTr="00A3748E">
        <w:tc>
          <w:tcPr>
            <w:tcW w:w="3261" w:type="dxa"/>
            <w:tcBorders>
              <w:top w:val="nil"/>
              <w:left w:val="single" w:sz="4" w:space="0" w:color="auto"/>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4: Industrial Competitive and Growth</w:t>
            </w:r>
          </w:p>
        </w:tc>
        <w:tc>
          <w:tcPr>
            <w:tcW w:w="1276"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1 762 605</w:t>
            </w:r>
          </w:p>
        </w:tc>
        <w:tc>
          <w:tcPr>
            <w:tcW w:w="1394"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254 528</w:t>
            </w:r>
          </w:p>
        </w:tc>
        <w:tc>
          <w:tcPr>
            <w:tcW w:w="1287"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1 521 389</w:t>
            </w:r>
          </w:p>
        </w:tc>
        <w:tc>
          <w:tcPr>
            <w:tcW w:w="1288"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1 508 077</w:t>
            </w:r>
          </w:p>
        </w:tc>
        <w:tc>
          <w:tcPr>
            <w:tcW w:w="1128"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13 312</w:t>
            </w:r>
          </w:p>
        </w:tc>
        <w:tc>
          <w:tcPr>
            <w:tcW w:w="998"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0,9%</w:t>
            </w:r>
          </w:p>
        </w:tc>
      </w:tr>
      <w:tr w:rsidR="00A3748E" w:rsidRPr="00545535" w:rsidTr="00A3748E">
        <w:tc>
          <w:tcPr>
            <w:tcW w:w="3261" w:type="dxa"/>
            <w:tcBorders>
              <w:top w:val="nil"/>
              <w:left w:val="single" w:sz="4" w:space="0" w:color="auto"/>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5: Consumer and Corporate Regulation Division</w:t>
            </w:r>
          </w:p>
        </w:tc>
        <w:tc>
          <w:tcPr>
            <w:tcW w:w="1276"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333 282</w:t>
            </w:r>
          </w:p>
        </w:tc>
        <w:tc>
          <w:tcPr>
            <w:tcW w:w="1394"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37 170</w:t>
            </w:r>
          </w:p>
        </w:tc>
        <w:tc>
          <w:tcPr>
            <w:tcW w:w="1287"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302 152</w:t>
            </w:r>
          </w:p>
        </w:tc>
        <w:tc>
          <w:tcPr>
            <w:tcW w:w="1288"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296 112</w:t>
            </w:r>
          </w:p>
        </w:tc>
        <w:tc>
          <w:tcPr>
            <w:tcW w:w="1128"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6 040</w:t>
            </w:r>
          </w:p>
        </w:tc>
        <w:tc>
          <w:tcPr>
            <w:tcW w:w="998"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2,0%</w:t>
            </w:r>
          </w:p>
        </w:tc>
      </w:tr>
      <w:tr w:rsidR="00A3748E" w:rsidRPr="00545535" w:rsidTr="00A3748E">
        <w:tc>
          <w:tcPr>
            <w:tcW w:w="3261" w:type="dxa"/>
            <w:tcBorders>
              <w:top w:val="nil"/>
              <w:left w:val="single" w:sz="4" w:space="0" w:color="auto"/>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6: Industrial Financing</w:t>
            </w:r>
          </w:p>
        </w:tc>
        <w:tc>
          <w:tcPr>
            <w:tcW w:w="1276"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4 871 050</w:t>
            </w:r>
          </w:p>
        </w:tc>
        <w:tc>
          <w:tcPr>
            <w:tcW w:w="1394"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132 259</w:t>
            </w:r>
          </w:p>
        </w:tc>
        <w:tc>
          <w:tcPr>
            <w:tcW w:w="1287"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4 803 868</w:t>
            </w:r>
          </w:p>
        </w:tc>
        <w:tc>
          <w:tcPr>
            <w:tcW w:w="1288"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4 738 791</w:t>
            </w:r>
          </w:p>
        </w:tc>
        <w:tc>
          <w:tcPr>
            <w:tcW w:w="1128"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65 077</w:t>
            </w:r>
          </w:p>
        </w:tc>
        <w:tc>
          <w:tcPr>
            <w:tcW w:w="998"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1,4%</w:t>
            </w:r>
          </w:p>
        </w:tc>
      </w:tr>
      <w:tr w:rsidR="00A3748E" w:rsidRPr="00545535" w:rsidTr="00A3748E">
        <w:tc>
          <w:tcPr>
            <w:tcW w:w="3261" w:type="dxa"/>
            <w:tcBorders>
              <w:top w:val="nil"/>
              <w:left w:val="single" w:sz="4" w:space="0" w:color="auto"/>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7: Export Development, Promotion and Outward Investments</w:t>
            </w:r>
          </w:p>
        </w:tc>
        <w:tc>
          <w:tcPr>
            <w:tcW w:w="1276"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440 285</w:t>
            </w:r>
          </w:p>
        </w:tc>
        <w:tc>
          <w:tcPr>
            <w:tcW w:w="1394"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95 258</w:t>
            </w:r>
          </w:p>
        </w:tc>
        <w:tc>
          <w:tcPr>
            <w:tcW w:w="1287"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375 791</w:t>
            </w:r>
          </w:p>
        </w:tc>
        <w:tc>
          <w:tcPr>
            <w:tcW w:w="1288"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345 027</w:t>
            </w:r>
          </w:p>
        </w:tc>
        <w:tc>
          <w:tcPr>
            <w:tcW w:w="1128"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30 764</w:t>
            </w:r>
          </w:p>
        </w:tc>
        <w:tc>
          <w:tcPr>
            <w:tcW w:w="998"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8,2%</w:t>
            </w:r>
          </w:p>
        </w:tc>
      </w:tr>
      <w:tr w:rsidR="00A3748E" w:rsidRPr="00545535" w:rsidTr="00A3748E">
        <w:tc>
          <w:tcPr>
            <w:tcW w:w="3261" w:type="dxa"/>
            <w:tcBorders>
              <w:top w:val="nil"/>
              <w:left w:val="single" w:sz="4" w:space="0" w:color="auto"/>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8: Inward Investment Attraction, Facilitation and After-care</w:t>
            </w:r>
          </w:p>
        </w:tc>
        <w:tc>
          <w:tcPr>
            <w:tcW w:w="1276"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70 161</w:t>
            </w:r>
          </w:p>
        </w:tc>
        <w:tc>
          <w:tcPr>
            <w:tcW w:w="1394"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34 072</w:t>
            </w:r>
          </w:p>
        </w:tc>
        <w:tc>
          <w:tcPr>
            <w:tcW w:w="1287"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36 573</w:t>
            </w:r>
          </w:p>
        </w:tc>
        <w:tc>
          <w:tcPr>
            <w:tcW w:w="1288"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36 089</w:t>
            </w:r>
          </w:p>
        </w:tc>
        <w:tc>
          <w:tcPr>
            <w:tcW w:w="1128"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484</w:t>
            </w:r>
          </w:p>
        </w:tc>
        <w:tc>
          <w:tcPr>
            <w:tcW w:w="998"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1,3%</w:t>
            </w:r>
          </w:p>
        </w:tc>
      </w:tr>
      <w:tr w:rsidR="00A3748E" w:rsidRPr="00545535" w:rsidTr="00A3748E">
        <w:tc>
          <w:tcPr>
            <w:tcW w:w="3261" w:type="dxa"/>
            <w:tcBorders>
              <w:top w:val="nil"/>
              <w:left w:val="single" w:sz="4" w:space="0" w:color="auto"/>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9: Competition Policy and Economic Planning</w:t>
            </w:r>
          </w:p>
        </w:tc>
        <w:tc>
          <w:tcPr>
            <w:tcW w:w="1276"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906 262</w:t>
            </w:r>
          </w:p>
        </w:tc>
        <w:tc>
          <w:tcPr>
            <w:tcW w:w="1394" w:type="dxa"/>
            <w:tcBorders>
              <w:top w:val="nil"/>
              <w:left w:val="nil"/>
              <w:bottom w:val="single" w:sz="4" w:space="0" w:color="auto"/>
              <w:right w:val="single" w:sz="4" w:space="0" w:color="auto"/>
            </w:tcBorders>
            <w:shd w:val="clear" w:color="auto" w:fill="auto"/>
            <w:vAlign w:val="center"/>
            <w:hideMark/>
          </w:tcPr>
          <w:p w:rsidR="00E338A3" w:rsidRPr="00545535" w:rsidRDefault="00A3748E" w:rsidP="00545535">
            <w:pPr>
              <w:rPr>
                <w:rFonts w:ascii="Arial" w:hAnsi="Arial" w:cs="Arial"/>
                <w:sz w:val="20"/>
                <w:szCs w:val="20"/>
                <w:lang w:val="en-ZA" w:eastAsia="en-ZA"/>
              </w:rPr>
            </w:pPr>
            <w:r w:rsidRPr="00545535">
              <w:rPr>
                <w:rFonts w:ascii="Arial" w:hAnsi="Arial" w:cs="Arial"/>
                <w:sz w:val="20"/>
                <w:szCs w:val="20"/>
                <w:lang w:val="en-ZA" w:eastAsia="en-ZA"/>
              </w:rPr>
              <w:t>100 431</w:t>
            </w:r>
          </w:p>
        </w:tc>
        <w:tc>
          <w:tcPr>
            <w:tcW w:w="1287"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889 043</w:t>
            </w:r>
          </w:p>
        </w:tc>
        <w:tc>
          <w:tcPr>
            <w:tcW w:w="1288"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805 831</w:t>
            </w:r>
          </w:p>
        </w:tc>
        <w:tc>
          <w:tcPr>
            <w:tcW w:w="1128"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83 212</w:t>
            </w:r>
          </w:p>
        </w:tc>
        <w:tc>
          <w:tcPr>
            <w:tcW w:w="998"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9,4%</w:t>
            </w:r>
          </w:p>
        </w:tc>
      </w:tr>
      <w:tr w:rsidR="00A3748E" w:rsidRPr="00545535" w:rsidTr="00A3748E">
        <w:tc>
          <w:tcPr>
            <w:tcW w:w="3261" w:type="dxa"/>
            <w:tcBorders>
              <w:top w:val="nil"/>
              <w:left w:val="single" w:sz="4" w:space="0" w:color="auto"/>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10: Economic Research and Coordination</w:t>
            </w:r>
          </w:p>
        </w:tc>
        <w:tc>
          <w:tcPr>
            <w:tcW w:w="1276"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78 859</w:t>
            </w:r>
          </w:p>
        </w:tc>
        <w:tc>
          <w:tcPr>
            <w:tcW w:w="1394"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50 834</w:t>
            </w:r>
          </w:p>
        </w:tc>
        <w:tc>
          <w:tcPr>
            <w:tcW w:w="1287"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28 245</w:t>
            </w:r>
          </w:p>
        </w:tc>
        <w:tc>
          <w:tcPr>
            <w:tcW w:w="1288"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28 025</w:t>
            </w:r>
          </w:p>
        </w:tc>
        <w:tc>
          <w:tcPr>
            <w:tcW w:w="1128"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220</w:t>
            </w:r>
          </w:p>
        </w:tc>
        <w:tc>
          <w:tcPr>
            <w:tcW w:w="998"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sz w:val="20"/>
                <w:szCs w:val="20"/>
                <w:lang w:val="en-ZA" w:eastAsia="en-ZA"/>
              </w:rPr>
            </w:pPr>
            <w:r w:rsidRPr="00545535">
              <w:rPr>
                <w:rFonts w:ascii="Arial" w:hAnsi="Arial" w:cs="Arial"/>
                <w:sz w:val="20"/>
                <w:szCs w:val="20"/>
                <w:lang w:val="en-ZA" w:eastAsia="en-ZA"/>
              </w:rPr>
              <w:t>0,8%</w:t>
            </w:r>
          </w:p>
        </w:tc>
      </w:tr>
      <w:tr w:rsidR="00A3748E" w:rsidRPr="00545535" w:rsidTr="00A3748E">
        <w:tc>
          <w:tcPr>
            <w:tcW w:w="3261" w:type="dxa"/>
            <w:tcBorders>
              <w:top w:val="nil"/>
              <w:left w:val="single" w:sz="4" w:space="0" w:color="auto"/>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Total</w:t>
            </w:r>
          </w:p>
        </w:tc>
        <w:tc>
          <w:tcPr>
            <w:tcW w:w="1276"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9 736 573</w:t>
            </w:r>
          </w:p>
        </w:tc>
        <w:tc>
          <w:tcPr>
            <w:tcW w:w="1394" w:type="dxa"/>
            <w:tcBorders>
              <w:top w:val="nil"/>
              <w:left w:val="nil"/>
              <w:bottom w:val="single" w:sz="4" w:space="0" w:color="auto"/>
              <w:right w:val="single" w:sz="4" w:space="0" w:color="auto"/>
            </w:tcBorders>
            <w:shd w:val="clear" w:color="auto" w:fill="auto"/>
            <w:vAlign w:val="center"/>
            <w:hideMark/>
          </w:tcPr>
          <w:p w:rsidR="00E338A3" w:rsidRPr="00545535" w:rsidRDefault="00B26DE9" w:rsidP="00545535">
            <w:pPr>
              <w:rPr>
                <w:rFonts w:ascii="Arial" w:hAnsi="Arial" w:cs="Arial"/>
                <w:b/>
                <w:bCs/>
                <w:sz w:val="20"/>
                <w:szCs w:val="20"/>
                <w:lang w:val="en-ZA" w:eastAsia="en-ZA"/>
              </w:rPr>
            </w:pPr>
            <w:r w:rsidRPr="00545535">
              <w:rPr>
                <w:rFonts w:ascii="Arial" w:hAnsi="Arial" w:cs="Arial"/>
                <w:b/>
                <w:bCs/>
                <w:sz w:val="20"/>
                <w:szCs w:val="20"/>
                <w:lang w:val="en-ZA" w:eastAsia="en-ZA"/>
              </w:rPr>
              <w:t>1 179 551</w:t>
            </w:r>
          </w:p>
        </w:tc>
        <w:tc>
          <w:tcPr>
            <w:tcW w:w="1287"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bCs/>
                <w:sz w:val="20"/>
                <w:szCs w:val="20"/>
                <w:lang w:val="en-ZA" w:eastAsia="en-ZA"/>
              </w:rPr>
            </w:pPr>
            <w:r w:rsidRPr="00545535">
              <w:rPr>
                <w:rFonts w:ascii="Arial" w:hAnsi="Arial" w:cs="Arial"/>
                <w:b/>
                <w:bCs/>
                <w:sz w:val="20"/>
                <w:szCs w:val="20"/>
                <w:lang w:val="en-ZA" w:eastAsia="en-ZA"/>
              </w:rPr>
              <w:t>8 853 715</w:t>
            </w:r>
          </w:p>
        </w:tc>
        <w:tc>
          <w:tcPr>
            <w:tcW w:w="1288" w:type="dxa"/>
            <w:tcBorders>
              <w:top w:val="nil"/>
              <w:left w:val="nil"/>
              <w:bottom w:val="single" w:sz="4" w:space="0" w:color="auto"/>
              <w:right w:val="single" w:sz="4" w:space="0" w:color="auto"/>
            </w:tcBorders>
            <w:shd w:val="clear" w:color="auto" w:fill="auto"/>
            <w:vAlign w:val="center"/>
            <w:hideMark/>
          </w:tcPr>
          <w:p w:rsidR="00E338A3" w:rsidRPr="00545535" w:rsidRDefault="00B26DE9" w:rsidP="00545535">
            <w:pPr>
              <w:rPr>
                <w:rFonts w:ascii="Arial" w:hAnsi="Arial" w:cs="Arial"/>
                <w:b/>
                <w:bCs/>
                <w:sz w:val="20"/>
                <w:szCs w:val="20"/>
                <w:lang w:val="en-ZA" w:eastAsia="en-ZA"/>
              </w:rPr>
            </w:pPr>
            <w:r w:rsidRPr="00545535">
              <w:rPr>
                <w:rFonts w:ascii="Arial" w:hAnsi="Arial" w:cs="Arial"/>
                <w:b/>
                <w:bCs/>
                <w:sz w:val="20"/>
                <w:szCs w:val="20"/>
                <w:lang w:val="en-ZA" w:eastAsia="en-ZA"/>
              </w:rPr>
              <w:t>8 557 022</w:t>
            </w:r>
          </w:p>
        </w:tc>
        <w:tc>
          <w:tcPr>
            <w:tcW w:w="1128" w:type="dxa"/>
            <w:tcBorders>
              <w:top w:val="nil"/>
              <w:left w:val="nil"/>
              <w:bottom w:val="single" w:sz="4" w:space="0" w:color="auto"/>
              <w:right w:val="single" w:sz="4" w:space="0" w:color="auto"/>
            </w:tcBorders>
            <w:shd w:val="clear" w:color="auto" w:fill="auto"/>
            <w:vAlign w:val="center"/>
            <w:hideMark/>
          </w:tcPr>
          <w:p w:rsidR="00E338A3" w:rsidRPr="00545535" w:rsidRDefault="00A3748E" w:rsidP="00545535">
            <w:pPr>
              <w:rPr>
                <w:rFonts w:ascii="Arial" w:hAnsi="Arial" w:cs="Arial"/>
                <w:b/>
                <w:bCs/>
                <w:sz w:val="20"/>
                <w:szCs w:val="20"/>
                <w:lang w:val="en-ZA" w:eastAsia="en-ZA"/>
              </w:rPr>
            </w:pPr>
            <w:r w:rsidRPr="00545535">
              <w:rPr>
                <w:rFonts w:ascii="Arial" w:hAnsi="Arial" w:cs="Arial"/>
                <w:b/>
                <w:bCs/>
                <w:sz w:val="20"/>
                <w:szCs w:val="20"/>
                <w:lang w:val="en-ZA" w:eastAsia="en-ZA"/>
              </w:rPr>
              <w:t>296</w:t>
            </w:r>
            <w:r w:rsidR="00B26DE9" w:rsidRPr="00545535">
              <w:rPr>
                <w:rFonts w:ascii="Arial" w:hAnsi="Arial" w:cs="Arial"/>
                <w:b/>
                <w:bCs/>
                <w:sz w:val="20"/>
                <w:szCs w:val="20"/>
                <w:lang w:val="en-ZA" w:eastAsia="en-ZA"/>
              </w:rPr>
              <w:t xml:space="preserve"> 693</w:t>
            </w:r>
          </w:p>
        </w:tc>
        <w:tc>
          <w:tcPr>
            <w:tcW w:w="998" w:type="dxa"/>
            <w:tcBorders>
              <w:top w:val="nil"/>
              <w:left w:val="nil"/>
              <w:bottom w:val="single" w:sz="4" w:space="0" w:color="auto"/>
              <w:right w:val="single" w:sz="4" w:space="0" w:color="auto"/>
            </w:tcBorders>
            <w:shd w:val="clear" w:color="auto" w:fill="auto"/>
            <w:vAlign w:val="center"/>
            <w:hideMark/>
          </w:tcPr>
          <w:p w:rsidR="00E338A3" w:rsidRPr="00545535" w:rsidRDefault="00E338A3" w:rsidP="00545535">
            <w:pPr>
              <w:rPr>
                <w:rFonts w:ascii="Arial" w:hAnsi="Arial" w:cs="Arial"/>
                <w:b/>
                <w:sz w:val="20"/>
                <w:szCs w:val="20"/>
                <w:lang w:val="en-ZA" w:eastAsia="en-ZA"/>
              </w:rPr>
            </w:pPr>
            <w:r w:rsidRPr="00545535">
              <w:rPr>
                <w:rFonts w:ascii="Arial" w:hAnsi="Arial" w:cs="Arial"/>
                <w:b/>
                <w:sz w:val="20"/>
                <w:szCs w:val="20"/>
                <w:lang w:val="en-ZA" w:eastAsia="en-ZA"/>
              </w:rPr>
              <w:t>3,4%</w:t>
            </w:r>
          </w:p>
        </w:tc>
      </w:tr>
    </w:tbl>
    <w:p w:rsidR="00E338A3" w:rsidRPr="00545535" w:rsidRDefault="00E338A3" w:rsidP="00545535">
      <w:pPr>
        <w:rPr>
          <w:rFonts w:ascii="Arial" w:hAnsi="Arial" w:cs="Arial"/>
          <w:sz w:val="20"/>
          <w:szCs w:val="20"/>
        </w:rPr>
      </w:pPr>
      <w:r w:rsidRPr="00545535">
        <w:rPr>
          <w:rFonts w:ascii="Arial" w:hAnsi="Arial" w:cs="Arial"/>
          <w:sz w:val="20"/>
          <w:szCs w:val="20"/>
        </w:rPr>
        <w:t>Source: DTIC (2022)</w:t>
      </w:r>
    </w:p>
    <w:p w:rsidR="00A6639F" w:rsidRPr="00545535" w:rsidRDefault="00A6639F" w:rsidP="00545535">
      <w:pPr>
        <w:pStyle w:val="Body"/>
        <w:spacing w:line="240" w:lineRule="auto"/>
        <w:jc w:val="left"/>
        <w:rPr>
          <w:rFonts w:eastAsia="Times New Roman" w:cs="Arial"/>
          <w:sz w:val="20"/>
          <w:szCs w:val="20"/>
        </w:rPr>
      </w:pPr>
    </w:p>
    <w:p w:rsidR="00A6639F" w:rsidRPr="00545535" w:rsidRDefault="00A6639F" w:rsidP="00545535">
      <w:pPr>
        <w:pStyle w:val="Body"/>
        <w:spacing w:line="240" w:lineRule="auto"/>
        <w:jc w:val="left"/>
        <w:rPr>
          <w:rFonts w:eastAsia="Times New Roman" w:cs="Arial"/>
          <w:sz w:val="20"/>
          <w:szCs w:val="20"/>
        </w:rPr>
      </w:pPr>
      <w:r w:rsidRPr="00545535">
        <w:rPr>
          <w:rFonts w:eastAsia="Times New Roman" w:cs="Arial"/>
          <w:sz w:val="20"/>
          <w:szCs w:val="20"/>
        </w:rPr>
        <w:t xml:space="preserve">In terms of </w:t>
      </w:r>
      <w:r w:rsidR="00A3748E" w:rsidRPr="00545535">
        <w:rPr>
          <w:rFonts w:eastAsia="Times New Roman" w:cs="Arial"/>
          <w:sz w:val="20"/>
          <w:szCs w:val="20"/>
        </w:rPr>
        <w:t xml:space="preserve">the </w:t>
      </w:r>
      <w:r w:rsidRPr="00545535">
        <w:rPr>
          <w:rFonts w:eastAsia="Times New Roman" w:cs="Arial"/>
          <w:sz w:val="20"/>
          <w:szCs w:val="20"/>
        </w:rPr>
        <w:t xml:space="preserve">economic classification, the recovery in expenditure </w:t>
      </w:r>
      <w:r w:rsidR="00A3748E" w:rsidRPr="00545535">
        <w:rPr>
          <w:rFonts w:eastAsia="Times New Roman" w:cs="Arial"/>
          <w:sz w:val="20"/>
          <w:szCs w:val="20"/>
        </w:rPr>
        <w:t>wa</w:t>
      </w:r>
      <w:r w:rsidRPr="00545535">
        <w:rPr>
          <w:rFonts w:eastAsia="Times New Roman" w:cs="Arial"/>
          <w:sz w:val="20"/>
          <w:szCs w:val="20"/>
        </w:rPr>
        <w:t xml:space="preserve">s evident except in </w:t>
      </w:r>
      <w:r w:rsidR="00A3748E" w:rsidRPr="00545535">
        <w:rPr>
          <w:rFonts w:eastAsia="Times New Roman" w:cs="Arial"/>
          <w:sz w:val="20"/>
          <w:szCs w:val="20"/>
        </w:rPr>
        <w:t xml:space="preserve">relation to </w:t>
      </w:r>
      <w:r w:rsidRPr="00545535">
        <w:rPr>
          <w:rFonts w:eastAsia="Times New Roman" w:cs="Arial"/>
          <w:sz w:val="20"/>
          <w:szCs w:val="20"/>
        </w:rPr>
        <w:t>the procurement of goods and services where th</w:t>
      </w:r>
      <w:r w:rsidR="00A3748E" w:rsidRPr="00545535">
        <w:rPr>
          <w:rFonts w:eastAsia="Times New Roman" w:cs="Arial"/>
          <w:sz w:val="20"/>
          <w:szCs w:val="20"/>
        </w:rPr>
        <w:t>ere wa</w:t>
      </w:r>
      <w:r w:rsidRPr="00545535">
        <w:rPr>
          <w:rFonts w:eastAsia="Times New Roman" w:cs="Arial"/>
          <w:sz w:val="20"/>
          <w:szCs w:val="20"/>
        </w:rPr>
        <w:t>s still underspending of 33,8 per cent (</w:t>
      </w:r>
      <w:r w:rsidR="00214638" w:rsidRPr="00545535">
        <w:rPr>
          <w:rFonts w:eastAsia="Times New Roman" w:cs="Arial"/>
          <w:sz w:val="20"/>
          <w:szCs w:val="20"/>
        </w:rPr>
        <w:t xml:space="preserve">or </w:t>
      </w:r>
      <w:r w:rsidRPr="00545535">
        <w:rPr>
          <w:rFonts w:eastAsia="Times New Roman" w:cs="Arial"/>
          <w:sz w:val="20"/>
          <w:szCs w:val="20"/>
        </w:rPr>
        <w:t>R175,8 </w:t>
      </w:r>
      <w:r w:rsidR="00A3748E" w:rsidRPr="00545535">
        <w:rPr>
          <w:rFonts w:eastAsia="Times New Roman" w:cs="Arial"/>
          <w:sz w:val="20"/>
          <w:szCs w:val="20"/>
        </w:rPr>
        <w:t>million). There had also been over-</w:t>
      </w:r>
      <w:r w:rsidRPr="00545535">
        <w:rPr>
          <w:rFonts w:eastAsia="Times New Roman" w:cs="Arial"/>
          <w:sz w:val="20"/>
          <w:szCs w:val="20"/>
        </w:rPr>
        <w:t>expenditure of over R3,5 million in the compensation of employees.</w:t>
      </w:r>
    </w:p>
    <w:p w:rsidR="00A6639F" w:rsidRPr="00545535" w:rsidRDefault="00A6639F" w:rsidP="00545535">
      <w:pPr>
        <w:pStyle w:val="Body"/>
        <w:spacing w:line="240" w:lineRule="auto"/>
        <w:jc w:val="left"/>
        <w:rPr>
          <w:rFonts w:eastAsia="Times New Roman" w:cs="Arial"/>
          <w:sz w:val="20"/>
          <w:szCs w:val="20"/>
        </w:rPr>
      </w:pPr>
    </w:p>
    <w:p w:rsidR="004802CB" w:rsidRPr="00545535" w:rsidRDefault="00542DB5" w:rsidP="00545535">
      <w:pPr>
        <w:pStyle w:val="Body"/>
        <w:spacing w:line="240" w:lineRule="auto"/>
        <w:jc w:val="left"/>
        <w:rPr>
          <w:rFonts w:eastAsia="Times New Roman" w:cs="Arial"/>
          <w:b/>
          <w:bCs/>
          <w:sz w:val="20"/>
          <w:szCs w:val="20"/>
        </w:rPr>
      </w:pPr>
      <w:r w:rsidRPr="00545535">
        <w:rPr>
          <w:rFonts w:cs="Arial"/>
          <w:b/>
          <w:bCs/>
          <w:sz w:val="20"/>
          <w:szCs w:val="20"/>
        </w:rPr>
        <w:t xml:space="preserve">Table 4: Third Quarter Expenditure by Economic Classification </w:t>
      </w:r>
      <w:r w:rsidR="00A3748E" w:rsidRPr="00545535">
        <w:rPr>
          <w:rFonts w:cs="Arial"/>
          <w:b/>
          <w:bCs/>
          <w:sz w:val="20"/>
          <w:szCs w:val="20"/>
        </w:rPr>
        <w:t>as at 31 December 2021</w:t>
      </w:r>
    </w:p>
    <w:tbl>
      <w:tblPr>
        <w:tblW w:w="10632" w:type="dxa"/>
        <w:tblInd w:w="-856" w:type="dxa"/>
        <w:tblLook w:val="04A0"/>
      </w:tblPr>
      <w:tblGrid>
        <w:gridCol w:w="3099"/>
        <w:gridCol w:w="1245"/>
        <w:gridCol w:w="1370"/>
        <w:gridCol w:w="1372"/>
        <w:gridCol w:w="1372"/>
        <w:gridCol w:w="1124"/>
        <w:gridCol w:w="1050"/>
      </w:tblGrid>
      <w:tr w:rsidR="00E540BA" w:rsidRPr="00545535" w:rsidTr="00A3748E">
        <w:tc>
          <w:tcPr>
            <w:tcW w:w="326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540BA" w:rsidRPr="00545535" w:rsidRDefault="00E540BA" w:rsidP="00545535">
            <w:pPr>
              <w:rPr>
                <w:rFonts w:ascii="Arial" w:hAnsi="Arial" w:cs="Arial"/>
                <w:b/>
                <w:bCs/>
                <w:sz w:val="20"/>
                <w:szCs w:val="20"/>
                <w:lang w:val="en-ZA" w:eastAsia="en-ZA"/>
              </w:rPr>
            </w:pPr>
            <w:r w:rsidRPr="00545535">
              <w:rPr>
                <w:rFonts w:ascii="Arial" w:hAnsi="Arial" w:cs="Arial"/>
                <w:b/>
                <w:bCs/>
                <w:sz w:val="20"/>
                <w:szCs w:val="20"/>
                <w:lang w:val="en-ZA" w:eastAsia="en-ZA"/>
              </w:rPr>
              <w:t>Description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540BA" w:rsidRPr="00545535" w:rsidRDefault="00E540BA" w:rsidP="00545535">
            <w:pPr>
              <w:rPr>
                <w:rFonts w:ascii="Arial" w:hAnsi="Arial" w:cs="Arial"/>
                <w:b/>
                <w:bCs/>
                <w:sz w:val="20"/>
                <w:szCs w:val="20"/>
                <w:lang w:val="en-ZA" w:eastAsia="en-ZA"/>
              </w:rPr>
            </w:pPr>
            <w:r w:rsidRPr="00545535">
              <w:rPr>
                <w:rFonts w:ascii="Arial" w:hAnsi="Arial" w:cs="Arial"/>
                <w:b/>
                <w:bCs/>
                <w:sz w:val="20"/>
                <w:szCs w:val="20"/>
                <w:lang w:val="en-ZA" w:eastAsia="en-ZA"/>
              </w:rPr>
              <w:t>Budget 2021/22 (</w:t>
            </w:r>
            <w:r w:rsidR="00BB3E22" w:rsidRPr="00545535">
              <w:rPr>
                <w:rFonts w:ascii="Arial" w:hAnsi="Arial" w:cs="Arial"/>
                <w:b/>
                <w:bCs/>
                <w:sz w:val="20"/>
                <w:szCs w:val="20"/>
                <w:lang w:val="en-ZA" w:eastAsia="en-ZA"/>
              </w:rPr>
              <w:t>R’</w:t>
            </w:r>
            <w:r w:rsidRPr="00545535">
              <w:rPr>
                <w:rFonts w:ascii="Arial" w:hAnsi="Arial" w:cs="Arial"/>
                <w:b/>
                <w:bCs/>
                <w:sz w:val="20"/>
                <w:szCs w:val="20"/>
                <w:lang w:val="en-ZA" w:eastAsia="en-ZA"/>
              </w:rPr>
              <w:t>000)</w:t>
            </w:r>
          </w:p>
        </w:tc>
        <w:tc>
          <w:tcPr>
            <w:tcW w:w="139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540BA" w:rsidRPr="00545535" w:rsidRDefault="00241567" w:rsidP="00545535">
            <w:pPr>
              <w:rPr>
                <w:rFonts w:ascii="Arial" w:hAnsi="Arial" w:cs="Arial"/>
                <w:b/>
                <w:bCs/>
                <w:sz w:val="20"/>
                <w:szCs w:val="20"/>
                <w:lang w:val="en-ZA" w:eastAsia="en-ZA"/>
              </w:rPr>
            </w:pPr>
            <w:r w:rsidRPr="00545535">
              <w:rPr>
                <w:rFonts w:ascii="Arial" w:hAnsi="Arial" w:cs="Arial"/>
                <w:b/>
                <w:bCs/>
                <w:sz w:val="20"/>
                <w:szCs w:val="20"/>
                <w:lang w:val="en-ZA" w:eastAsia="en-ZA"/>
              </w:rPr>
              <w:t>Available Budget (R’</w:t>
            </w:r>
            <w:r w:rsidR="00E540BA" w:rsidRPr="00545535">
              <w:rPr>
                <w:rFonts w:ascii="Arial" w:hAnsi="Arial" w:cs="Arial"/>
                <w:b/>
                <w:bCs/>
                <w:sz w:val="20"/>
                <w:szCs w:val="20"/>
                <w:lang w:val="en-ZA" w:eastAsia="en-ZA"/>
              </w:rPr>
              <w:t>000)</w:t>
            </w:r>
          </w:p>
        </w:tc>
        <w:tc>
          <w:tcPr>
            <w:tcW w:w="4697"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540BA" w:rsidRPr="00545535" w:rsidRDefault="00E540BA" w:rsidP="00545535">
            <w:pPr>
              <w:rPr>
                <w:rFonts w:ascii="Arial" w:hAnsi="Arial" w:cs="Arial"/>
                <w:b/>
                <w:bCs/>
                <w:sz w:val="20"/>
                <w:szCs w:val="20"/>
                <w:lang w:val="en-ZA" w:eastAsia="en-ZA"/>
              </w:rPr>
            </w:pPr>
            <w:r w:rsidRPr="00545535">
              <w:rPr>
                <w:rFonts w:ascii="Arial" w:hAnsi="Arial" w:cs="Arial"/>
                <w:b/>
                <w:bCs/>
                <w:sz w:val="20"/>
                <w:szCs w:val="20"/>
                <w:lang w:val="en-ZA" w:eastAsia="en-ZA"/>
              </w:rPr>
              <w:t xml:space="preserve">Year-to-date </w:t>
            </w:r>
          </w:p>
        </w:tc>
      </w:tr>
      <w:tr w:rsidR="00A3748E" w:rsidRPr="00545535" w:rsidTr="00A3748E">
        <w:tc>
          <w:tcPr>
            <w:tcW w:w="3261"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540BA" w:rsidRPr="00545535" w:rsidRDefault="00E540BA" w:rsidP="00545535">
            <w:pPr>
              <w:rPr>
                <w:rFonts w:ascii="Arial" w:hAnsi="Arial" w:cs="Arial"/>
                <w:b/>
                <w:bCs/>
                <w:sz w:val="20"/>
                <w:szCs w:val="20"/>
                <w:lang w:val="en-ZA" w:eastAsia="en-ZA"/>
              </w:rPr>
            </w:pPr>
          </w:p>
        </w:tc>
        <w:tc>
          <w:tcPr>
            <w:tcW w:w="127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540BA" w:rsidRPr="00545535" w:rsidRDefault="00E540BA" w:rsidP="00545535">
            <w:pPr>
              <w:rPr>
                <w:rFonts w:ascii="Arial" w:hAnsi="Arial" w:cs="Arial"/>
                <w:b/>
                <w:bCs/>
                <w:sz w:val="20"/>
                <w:szCs w:val="20"/>
                <w:lang w:val="en-ZA" w:eastAsia="en-ZA"/>
              </w:rPr>
            </w:pPr>
          </w:p>
        </w:tc>
        <w:tc>
          <w:tcPr>
            <w:tcW w:w="139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540BA" w:rsidRPr="00545535" w:rsidRDefault="00E540BA" w:rsidP="00545535">
            <w:pPr>
              <w:rPr>
                <w:rFonts w:ascii="Arial" w:hAnsi="Arial" w:cs="Arial"/>
                <w:b/>
                <w:bCs/>
                <w:sz w:val="20"/>
                <w:szCs w:val="20"/>
                <w:lang w:val="en-ZA" w:eastAsia="en-ZA"/>
              </w:rPr>
            </w:pPr>
          </w:p>
        </w:tc>
        <w:tc>
          <w:tcPr>
            <w:tcW w:w="1283" w:type="dxa"/>
            <w:tcBorders>
              <w:top w:val="nil"/>
              <w:left w:val="nil"/>
              <w:bottom w:val="single" w:sz="4" w:space="0" w:color="auto"/>
              <w:right w:val="single" w:sz="4" w:space="0" w:color="auto"/>
            </w:tcBorders>
            <w:shd w:val="clear" w:color="auto" w:fill="BFBFBF" w:themeFill="background1" w:themeFillShade="BF"/>
            <w:vAlign w:val="center"/>
            <w:hideMark/>
          </w:tcPr>
          <w:p w:rsidR="00E540BA" w:rsidRPr="00545535" w:rsidRDefault="00241567" w:rsidP="00545535">
            <w:pPr>
              <w:rPr>
                <w:rFonts w:ascii="Arial" w:hAnsi="Arial" w:cs="Arial"/>
                <w:b/>
                <w:bCs/>
                <w:sz w:val="20"/>
                <w:szCs w:val="20"/>
                <w:lang w:val="en-ZA" w:eastAsia="en-ZA"/>
              </w:rPr>
            </w:pPr>
            <w:r w:rsidRPr="00545535">
              <w:rPr>
                <w:rFonts w:ascii="Arial" w:hAnsi="Arial" w:cs="Arial"/>
                <w:b/>
                <w:bCs/>
                <w:sz w:val="20"/>
                <w:szCs w:val="20"/>
                <w:lang w:val="en-ZA" w:eastAsia="en-ZA"/>
              </w:rPr>
              <w:t>Projected Expenditure (R’</w:t>
            </w:r>
            <w:r w:rsidR="00E540BA" w:rsidRPr="00545535">
              <w:rPr>
                <w:rFonts w:ascii="Arial" w:hAnsi="Arial" w:cs="Arial"/>
                <w:b/>
                <w:bCs/>
                <w:sz w:val="20"/>
                <w:szCs w:val="20"/>
                <w:lang w:val="en-ZA" w:eastAsia="en-ZA"/>
              </w:rPr>
              <w:t>000)</w:t>
            </w:r>
          </w:p>
        </w:tc>
        <w:tc>
          <w:tcPr>
            <w:tcW w:w="1288" w:type="dxa"/>
            <w:tcBorders>
              <w:top w:val="nil"/>
              <w:left w:val="nil"/>
              <w:bottom w:val="single" w:sz="4" w:space="0" w:color="auto"/>
              <w:right w:val="single" w:sz="4" w:space="0" w:color="auto"/>
            </w:tcBorders>
            <w:shd w:val="clear" w:color="auto" w:fill="BFBFBF" w:themeFill="background1" w:themeFillShade="BF"/>
            <w:vAlign w:val="center"/>
            <w:hideMark/>
          </w:tcPr>
          <w:p w:rsidR="00E540BA" w:rsidRPr="00545535" w:rsidRDefault="00241567" w:rsidP="00545535">
            <w:pPr>
              <w:rPr>
                <w:rFonts w:ascii="Arial" w:hAnsi="Arial" w:cs="Arial"/>
                <w:b/>
                <w:bCs/>
                <w:sz w:val="20"/>
                <w:szCs w:val="20"/>
                <w:lang w:val="en-ZA" w:eastAsia="en-ZA"/>
              </w:rPr>
            </w:pPr>
            <w:r w:rsidRPr="00545535">
              <w:rPr>
                <w:rFonts w:ascii="Arial" w:hAnsi="Arial" w:cs="Arial"/>
                <w:b/>
                <w:bCs/>
                <w:sz w:val="20"/>
                <w:szCs w:val="20"/>
                <w:lang w:val="en-ZA" w:eastAsia="en-ZA"/>
              </w:rPr>
              <w:t>Actual Expenditure (R’</w:t>
            </w:r>
            <w:r w:rsidR="00E540BA" w:rsidRPr="00545535">
              <w:rPr>
                <w:rFonts w:ascii="Arial" w:hAnsi="Arial" w:cs="Arial"/>
                <w:b/>
                <w:bCs/>
                <w:sz w:val="20"/>
                <w:szCs w:val="20"/>
                <w:lang w:val="en-ZA" w:eastAsia="en-ZA"/>
              </w:rPr>
              <w:t>000)</w:t>
            </w:r>
          </w:p>
        </w:tc>
        <w:tc>
          <w:tcPr>
            <w:tcW w:w="1132" w:type="dxa"/>
            <w:tcBorders>
              <w:top w:val="nil"/>
              <w:left w:val="nil"/>
              <w:bottom w:val="single" w:sz="4" w:space="0" w:color="auto"/>
              <w:right w:val="single" w:sz="4" w:space="0" w:color="auto"/>
            </w:tcBorders>
            <w:shd w:val="clear" w:color="auto" w:fill="BFBFBF" w:themeFill="background1" w:themeFillShade="BF"/>
            <w:vAlign w:val="center"/>
            <w:hideMark/>
          </w:tcPr>
          <w:p w:rsidR="00E540BA" w:rsidRPr="00545535" w:rsidRDefault="00E540BA" w:rsidP="00545535">
            <w:pPr>
              <w:rPr>
                <w:rFonts w:ascii="Arial" w:hAnsi="Arial" w:cs="Arial"/>
                <w:b/>
                <w:bCs/>
                <w:sz w:val="20"/>
                <w:szCs w:val="20"/>
                <w:lang w:val="en-ZA" w:eastAsia="en-ZA"/>
              </w:rPr>
            </w:pPr>
            <w:r w:rsidRPr="00545535">
              <w:rPr>
                <w:rFonts w:ascii="Arial" w:hAnsi="Arial" w:cs="Arial"/>
                <w:b/>
                <w:bCs/>
                <w:sz w:val="20"/>
                <w:szCs w:val="20"/>
                <w:lang w:val="en-ZA" w:eastAsia="en-ZA"/>
              </w:rPr>
              <w:t>Varian</w:t>
            </w:r>
            <w:r w:rsidR="00241567" w:rsidRPr="00545535">
              <w:rPr>
                <w:rFonts w:ascii="Arial" w:hAnsi="Arial" w:cs="Arial"/>
                <w:b/>
                <w:bCs/>
                <w:sz w:val="20"/>
                <w:szCs w:val="20"/>
                <w:lang w:val="en-ZA" w:eastAsia="en-ZA"/>
              </w:rPr>
              <w:t>ce (R’</w:t>
            </w:r>
            <w:r w:rsidRPr="00545535">
              <w:rPr>
                <w:rFonts w:ascii="Arial" w:hAnsi="Arial" w:cs="Arial"/>
                <w:b/>
                <w:bCs/>
                <w:sz w:val="20"/>
                <w:szCs w:val="20"/>
                <w:lang w:val="en-ZA" w:eastAsia="en-ZA"/>
              </w:rPr>
              <w:t>000)</w:t>
            </w:r>
          </w:p>
        </w:tc>
        <w:tc>
          <w:tcPr>
            <w:tcW w:w="994" w:type="dxa"/>
            <w:tcBorders>
              <w:top w:val="nil"/>
              <w:left w:val="nil"/>
              <w:bottom w:val="single" w:sz="4" w:space="0" w:color="auto"/>
              <w:right w:val="single" w:sz="4" w:space="0" w:color="auto"/>
            </w:tcBorders>
            <w:shd w:val="clear" w:color="auto" w:fill="BFBFBF" w:themeFill="background1" w:themeFillShade="BF"/>
            <w:vAlign w:val="center"/>
            <w:hideMark/>
          </w:tcPr>
          <w:p w:rsidR="00E540BA" w:rsidRPr="00545535" w:rsidRDefault="00A3748E" w:rsidP="00545535">
            <w:pPr>
              <w:rPr>
                <w:rFonts w:ascii="Arial" w:hAnsi="Arial" w:cs="Arial"/>
                <w:b/>
                <w:bCs/>
                <w:sz w:val="20"/>
                <w:szCs w:val="20"/>
                <w:lang w:val="en-ZA" w:eastAsia="en-ZA"/>
              </w:rPr>
            </w:pPr>
            <w:r w:rsidRPr="00545535">
              <w:rPr>
                <w:rFonts w:ascii="Arial" w:hAnsi="Arial" w:cs="Arial"/>
                <w:b/>
                <w:bCs/>
                <w:sz w:val="20"/>
                <w:szCs w:val="20"/>
                <w:lang w:val="en-ZA" w:eastAsia="en-ZA"/>
              </w:rPr>
              <w:t>% Variance</w:t>
            </w:r>
          </w:p>
        </w:tc>
      </w:tr>
      <w:tr w:rsidR="00E540BA" w:rsidRPr="00545535" w:rsidTr="00A3748E">
        <w:tc>
          <w:tcPr>
            <w:tcW w:w="3261" w:type="dxa"/>
            <w:tcBorders>
              <w:top w:val="nil"/>
              <w:left w:val="single" w:sz="4" w:space="0" w:color="auto"/>
              <w:bottom w:val="single" w:sz="4" w:space="0" w:color="auto"/>
              <w:right w:val="single" w:sz="4" w:space="0" w:color="auto"/>
            </w:tcBorders>
            <w:shd w:val="clear" w:color="auto" w:fill="auto"/>
            <w:vAlign w:val="center"/>
            <w:hideMark/>
          </w:tcPr>
          <w:p w:rsidR="00E540BA" w:rsidRPr="00545535" w:rsidRDefault="00E540BA" w:rsidP="00545535">
            <w:pPr>
              <w:rPr>
                <w:rFonts w:ascii="Arial" w:hAnsi="Arial" w:cs="Arial"/>
                <w:b/>
                <w:bCs/>
                <w:sz w:val="20"/>
                <w:szCs w:val="20"/>
                <w:lang w:val="en-ZA" w:eastAsia="en-ZA"/>
              </w:rPr>
            </w:pPr>
            <w:r w:rsidRPr="00545535">
              <w:rPr>
                <w:rFonts w:ascii="Arial" w:hAnsi="Arial" w:cs="Arial"/>
                <w:b/>
                <w:bCs/>
                <w:sz w:val="20"/>
                <w:szCs w:val="20"/>
                <w:lang w:val="en-ZA" w:eastAsia="en-ZA"/>
              </w:rPr>
              <w:t>Current payments</w:t>
            </w:r>
          </w:p>
        </w:tc>
        <w:tc>
          <w:tcPr>
            <w:tcW w:w="1276" w:type="dxa"/>
            <w:tcBorders>
              <w:top w:val="nil"/>
              <w:left w:val="nil"/>
              <w:bottom w:val="single" w:sz="4" w:space="0" w:color="auto"/>
              <w:right w:val="single" w:sz="4" w:space="0" w:color="auto"/>
            </w:tcBorders>
            <w:shd w:val="clear" w:color="auto" w:fill="auto"/>
            <w:vAlign w:val="center"/>
            <w:hideMark/>
          </w:tcPr>
          <w:p w:rsidR="00E540BA" w:rsidRPr="00545535" w:rsidRDefault="00E540BA" w:rsidP="00545535">
            <w:pPr>
              <w:rPr>
                <w:rFonts w:ascii="Arial" w:hAnsi="Arial" w:cs="Arial"/>
                <w:b/>
                <w:bCs/>
                <w:sz w:val="20"/>
                <w:szCs w:val="20"/>
                <w:lang w:val="en-ZA" w:eastAsia="en-ZA"/>
              </w:rPr>
            </w:pPr>
            <w:r w:rsidRPr="00545535">
              <w:rPr>
                <w:rFonts w:ascii="Arial" w:hAnsi="Arial" w:cs="Arial"/>
                <w:b/>
                <w:bCs/>
                <w:sz w:val="20"/>
                <w:szCs w:val="20"/>
                <w:lang w:val="en-ZA" w:eastAsia="en-ZA"/>
              </w:rPr>
              <w:t>1 871 796</w:t>
            </w:r>
          </w:p>
        </w:tc>
        <w:tc>
          <w:tcPr>
            <w:tcW w:w="1398" w:type="dxa"/>
            <w:tcBorders>
              <w:top w:val="nil"/>
              <w:left w:val="nil"/>
              <w:bottom w:val="single" w:sz="4" w:space="0" w:color="auto"/>
              <w:right w:val="single" w:sz="4" w:space="0" w:color="auto"/>
            </w:tcBorders>
            <w:shd w:val="clear" w:color="auto" w:fill="auto"/>
            <w:vAlign w:val="center"/>
            <w:hideMark/>
          </w:tcPr>
          <w:p w:rsidR="00E540BA" w:rsidRPr="00545535" w:rsidRDefault="00E540BA" w:rsidP="00545535">
            <w:pPr>
              <w:rPr>
                <w:rFonts w:ascii="Arial" w:hAnsi="Arial" w:cs="Arial"/>
                <w:b/>
                <w:bCs/>
                <w:sz w:val="20"/>
                <w:szCs w:val="20"/>
                <w:lang w:val="en-ZA" w:eastAsia="en-ZA"/>
              </w:rPr>
            </w:pPr>
            <w:r w:rsidRPr="00545535">
              <w:rPr>
                <w:rFonts w:ascii="Arial" w:hAnsi="Arial" w:cs="Arial"/>
                <w:b/>
                <w:bCs/>
                <w:sz w:val="20"/>
                <w:szCs w:val="20"/>
                <w:lang w:val="en-ZA" w:eastAsia="en-ZA"/>
              </w:rPr>
              <w:t>767 760</w:t>
            </w:r>
          </w:p>
        </w:tc>
        <w:tc>
          <w:tcPr>
            <w:tcW w:w="1283" w:type="dxa"/>
            <w:tcBorders>
              <w:top w:val="nil"/>
              <w:left w:val="nil"/>
              <w:bottom w:val="single" w:sz="4" w:space="0" w:color="auto"/>
              <w:right w:val="single" w:sz="4" w:space="0" w:color="auto"/>
            </w:tcBorders>
            <w:shd w:val="clear" w:color="auto" w:fill="auto"/>
            <w:vAlign w:val="center"/>
            <w:hideMark/>
          </w:tcPr>
          <w:p w:rsidR="00E540BA" w:rsidRPr="00545535" w:rsidRDefault="00E540BA" w:rsidP="00545535">
            <w:pPr>
              <w:rPr>
                <w:rFonts w:ascii="Arial" w:hAnsi="Arial" w:cs="Arial"/>
                <w:b/>
                <w:bCs/>
                <w:sz w:val="20"/>
                <w:szCs w:val="20"/>
                <w:lang w:val="en-ZA" w:eastAsia="en-ZA"/>
              </w:rPr>
            </w:pPr>
            <w:r w:rsidRPr="00545535">
              <w:rPr>
                <w:rFonts w:ascii="Arial" w:hAnsi="Arial" w:cs="Arial"/>
                <w:b/>
                <w:bCs/>
                <w:sz w:val="20"/>
                <w:szCs w:val="20"/>
                <w:lang w:val="en-ZA" w:eastAsia="en-ZA"/>
              </w:rPr>
              <w:t>1 276 276</w:t>
            </w:r>
          </w:p>
        </w:tc>
        <w:tc>
          <w:tcPr>
            <w:tcW w:w="1288" w:type="dxa"/>
            <w:tcBorders>
              <w:top w:val="nil"/>
              <w:left w:val="nil"/>
              <w:bottom w:val="single" w:sz="4" w:space="0" w:color="auto"/>
              <w:right w:val="single" w:sz="4" w:space="0" w:color="auto"/>
            </w:tcBorders>
            <w:shd w:val="clear" w:color="auto" w:fill="auto"/>
            <w:vAlign w:val="center"/>
            <w:hideMark/>
          </w:tcPr>
          <w:p w:rsidR="00E540BA" w:rsidRPr="00545535" w:rsidRDefault="00E540BA" w:rsidP="00545535">
            <w:pPr>
              <w:rPr>
                <w:rFonts w:ascii="Arial" w:hAnsi="Arial" w:cs="Arial"/>
                <w:b/>
                <w:bCs/>
                <w:sz w:val="20"/>
                <w:szCs w:val="20"/>
                <w:lang w:val="en-ZA" w:eastAsia="en-ZA"/>
              </w:rPr>
            </w:pPr>
            <w:r w:rsidRPr="00545535">
              <w:rPr>
                <w:rFonts w:ascii="Arial" w:hAnsi="Arial" w:cs="Arial"/>
                <w:b/>
                <w:bCs/>
                <w:sz w:val="20"/>
                <w:szCs w:val="20"/>
                <w:lang w:val="en-ZA" w:eastAsia="en-ZA"/>
              </w:rPr>
              <w:t>1 104 036</w:t>
            </w:r>
          </w:p>
        </w:tc>
        <w:tc>
          <w:tcPr>
            <w:tcW w:w="1132" w:type="dxa"/>
            <w:tcBorders>
              <w:top w:val="nil"/>
              <w:left w:val="nil"/>
              <w:bottom w:val="single" w:sz="4" w:space="0" w:color="auto"/>
              <w:right w:val="single" w:sz="4" w:space="0" w:color="auto"/>
            </w:tcBorders>
            <w:shd w:val="clear" w:color="auto" w:fill="auto"/>
            <w:vAlign w:val="center"/>
            <w:hideMark/>
          </w:tcPr>
          <w:p w:rsidR="00E540BA" w:rsidRPr="00545535" w:rsidRDefault="00E540BA" w:rsidP="00545535">
            <w:pPr>
              <w:rPr>
                <w:rFonts w:ascii="Arial" w:hAnsi="Arial" w:cs="Arial"/>
                <w:b/>
                <w:bCs/>
                <w:sz w:val="20"/>
                <w:szCs w:val="20"/>
                <w:lang w:val="en-ZA" w:eastAsia="en-ZA"/>
              </w:rPr>
            </w:pPr>
            <w:r w:rsidRPr="00545535">
              <w:rPr>
                <w:rFonts w:ascii="Arial" w:hAnsi="Arial" w:cs="Arial"/>
                <w:b/>
                <w:bCs/>
                <w:sz w:val="20"/>
                <w:szCs w:val="20"/>
                <w:lang w:val="en-ZA" w:eastAsia="en-ZA"/>
              </w:rPr>
              <w:t>172 240</w:t>
            </w:r>
          </w:p>
        </w:tc>
        <w:tc>
          <w:tcPr>
            <w:tcW w:w="994" w:type="dxa"/>
            <w:tcBorders>
              <w:top w:val="nil"/>
              <w:left w:val="nil"/>
              <w:bottom w:val="single" w:sz="4" w:space="0" w:color="auto"/>
              <w:right w:val="single" w:sz="4" w:space="0" w:color="auto"/>
            </w:tcBorders>
            <w:shd w:val="clear" w:color="auto" w:fill="auto"/>
            <w:vAlign w:val="center"/>
            <w:hideMark/>
          </w:tcPr>
          <w:p w:rsidR="00E540BA" w:rsidRPr="00545535" w:rsidRDefault="00E540BA" w:rsidP="00545535">
            <w:pPr>
              <w:rPr>
                <w:rFonts w:ascii="Arial" w:hAnsi="Arial" w:cs="Arial"/>
                <w:b/>
                <w:bCs/>
                <w:sz w:val="20"/>
                <w:szCs w:val="20"/>
                <w:lang w:val="en-ZA" w:eastAsia="en-ZA"/>
              </w:rPr>
            </w:pPr>
            <w:r w:rsidRPr="00545535">
              <w:rPr>
                <w:rFonts w:ascii="Arial" w:hAnsi="Arial" w:cs="Arial"/>
                <w:b/>
                <w:bCs/>
                <w:sz w:val="20"/>
                <w:szCs w:val="20"/>
                <w:lang w:val="en-ZA" w:eastAsia="en-ZA"/>
              </w:rPr>
              <w:t>13,5%</w:t>
            </w:r>
          </w:p>
        </w:tc>
      </w:tr>
      <w:tr w:rsidR="00E540BA" w:rsidRPr="00545535" w:rsidTr="00A3748E">
        <w:tc>
          <w:tcPr>
            <w:tcW w:w="3261" w:type="dxa"/>
            <w:tcBorders>
              <w:top w:val="nil"/>
              <w:left w:val="single" w:sz="4" w:space="0" w:color="auto"/>
              <w:bottom w:val="single" w:sz="4" w:space="0" w:color="auto"/>
              <w:right w:val="single" w:sz="4" w:space="0" w:color="auto"/>
            </w:tcBorders>
            <w:shd w:val="clear" w:color="auto" w:fill="auto"/>
            <w:vAlign w:val="center"/>
            <w:hideMark/>
          </w:tcPr>
          <w:p w:rsidR="00E540BA" w:rsidRPr="00545535" w:rsidRDefault="00E540BA" w:rsidP="00545535">
            <w:pPr>
              <w:rPr>
                <w:rFonts w:ascii="Arial" w:hAnsi="Arial" w:cs="Arial"/>
                <w:sz w:val="20"/>
                <w:szCs w:val="20"/>
                <w:lang w:val="en-ZA" w:eastAsia="en-ZA"/>
              </w:rPr>
            </w:pPr>
            <w:r w:rsidRPr="00545535">
              <w:rPr>
                <w:rFonts w:ascii="Arial" w:hAnsi="Arial" w:cs="Arial"/>
                <w:sz w:val="20"/>
                <w:szCs w:val="20"/>
                <w:lang w:val="en-ZA" w:eastAsia="en-ZA"/>
              </w:rPr>
              <w:t>Compensation of employees</w:t>
            </w:r>
          </w:p>
        </w:tc>
        <w:tc>
          <w:tcPr>
            <w:tcW w:w="1276" w:type="dxa"/>
            <w:tcBorders>
              <w:top w:val="nil"/>
              <w:left w:val="nil"/>
              <w:bottom w:val="single" w:sz="4" w:space="0" w:color="auto"/>
              <w:right w:val="single" w:sz="4" w:space="0" w:color="auto"/>
            </w:tcBorders>
            <w:shd w:val="clear" w:color="auto" w:fill="auto"/>
            <w:vAlign w:val="center"/>
            <w:hideMark/>
          </w:tcPr>
          <w:p w:rsidR="00E540BA" w:rsidRPr="00545535" w:rsidRDefault="00E540BA" w:rsidP="00545535">
            <w:pPr>
              <w:rPr>
                <w:rFonts w:ascii="Arial" w:hAnsi="Arial" w:cs="Arial"/>
                <w:sz w:val="20"/>
                <w:szCs w:val="20"/>
                <w:lang w:val="en-ZA" w:eastAsia="en-ZA"/>
              </w:rPr>
            </w:pPr>
            <w:r w:rsidRPr="00545535">
              <w:rPr>
                <w:rFonts w:ascii="Arial" w:hAnsi="Arial" w:cs="Arial"/>
                <w:sz w:val="20"/>
                <w:szCs w:val="20"/>
                <w:lang w:val="en-ZA" w:eastAsia="en-ZA"/>
              </w:rPr>
              <w:t>1 046 619</w:t>
            </w:r>
          </w:p>
        </w:tc>
        <w:tc>
          <w:tcPr>
            <w:tcW w:w="1398" w:type="dxa"/>
            <w:tcBorders>
              <w:top w:val="nil"/>
              <w:left w:val="nil"/>
              <w:bottom w:val="single" w:sz="4" w:space="0" w:color="auto"/>
              <w:right w:val="single" w:sz="4" w:space="0" w:color="auto"/>
            </w:tcBorders>
            <w:shd w:val="clear" w:color="auto" w:fill="auto"/>
            <w:vAlign w:val="center"/>
            <w:hideMark/>
          </w:tcPr>
          <w:p w:rsidR="00E540BA" w:rsidRPr="00545535" w:rsidRDefault="00E540BA" w:rsidP="00545535">
            <w:pPr>
              <w:rPr>
                <w:rFonts w:ascii="Arial" w:hAnsi="Arial" w:cs="Arial"/>
                <w:sz w:val="20"/>
                <w:szCs w:val="20"/>
                <w:lang w:val="en-ZA" w:eastAsia="en-ZA"/>
              </w:rPr>
            </w:pPr>
            <w:r w:rsidRPr="00545535">
              <w:rPr>
                <w:rFonts w:ascii="Arial" w:hAnsi="Arial" w:cs="Arial"/>
                <w:sz w:val="20"/>
                <w:szCs w:val="20"/>
                <w:lang w:val="en-ZA" w:eastAsia="en-ZA"/>
              </w:rPr>
              <w:t>286 678</w:t>
            </w:r>
          </w:p>
        </w:tc>
        <w:tc>
          <w:tcPr>
            <w:tcW w:w="1283" w:type="dxa"/>
            <w:tcBorders>
              <w:top w:val="nil"/>
              <w:left w:val="nil"/>
              <w:bottom w:val="single" w:sz="4" w:space="0" w:color="auto"/>
              <w:right w:val="single" w:sz="4" w:space="0" w:color="auto"/>
            </w:tcBorders>
            <w:shd w:val="clear" w:color="auto" w:fill="auto"/>
            <w:vAlign w:val="center"/>
            <w:hideMark/>
          </w:tcPr>
          <w:p w:rsidR="00E540BA" w:rsidRPr="00545535" w:rsidRDefault="00E540BA" w:rsidP="00545535">
            <w:pPr>
              <w:rPr>
                <w:rFonts w:ascii="Arial" w:hAnsi="Arial" w:cs="Arial"/>
                <w:sz w:val="20"/>
                <w:szCs w:val="20"/>
                <w:lang w:val="en-ZA" w:eastAsia="en-ZA"/>
              </w:rPr>
            </w:pPr>
            <w:r w:rsidRPr="00545535">
              <w:rPr>
                <w:rFonts w:ascii="Arial" w:hAnsi="Arial" w:cs="Arial"/>
                <w:sz w:val="20"/>
                <w:szCs w:val="20"/>
                <w:lang w:val="en-ZA" w:eastAsia="en-ZA"/>
              </w:rPr>
              <w:t>756 362</w:t>
            </w:r>
          </w:p>
        </w:tc>
        <w:tc>
          <w:tcPr>
            <w:tcW w:w="1288" w:type="dxa"/>
            <w:tcBorders>
              <w:top w:val="nil"/>
              <w:left w:val="nil"/>
              <w:bottom w:val="single" w:sz="4" w:space="0" w:color="auto"/>
              <w:right w:val="single" w:sz="4" w:space="0" w:color="auto"/>
            </w:tcBorders>
            <w:shd w:val="clear" w:color="auto" w:fill="auto"/>
            <w:vAlign w:val="center"/>
            <w:hideMark/>
          </w:tcPr>
          <w:p w:rsidR="00E540BA" w:rsidRPr="00545535" w:rsidRDefault="00E540BA" w:rsidP="00545535">
            <w:pPr>
              <w:rPr>
                <w:rFonts w:ascii="Arial" w:hAnsi="Arial" w:cs="Arial"/>
                <w:sz w:val="20"/>
                <w:szCs w:val="20"/>
                <w:lang w:val="en-ZA" w:eastAsia="en-ZA"/>
              </w:rPr>
            </w:pPr>
            <w:r w:rsidRPr="00545535">
              <w:rPr>
                <w:rFonts w:ascii="Arial" w:hAnsi="Arial" w:cs="Arial"/>
                <w:sz w:val="20"/>
                <w:szCs w:val="20"/>
                <w:lang w:val="en-ZA" w:eastAsia="en-ZA"/>
              </w:rPr>
              <w:t>759 941</w:t>
            </w:r>
          </w:p>
        </w:tc>
        <w:tc>
          <w:tcPr>
            <w:tcW w:w="1132" w:type="dxa"/>
            <w:tcBorders>
              <w:top w:val="nil"/>
              <w:left w:val="nil"/>
              <w:bottom w:val="single" w:sz="4" w:space="0" w:color="auto"/>
              <w:right w:val="single" w:sz="4" w:space="0" w:color="auto"/>
            </w:tcBorders>
            <w:shd w:val="clear" w:color="auto" w:fill="auto"/>
            <w:vAlign w:val="center"/>
            <w:hideMark/>
          </w:tcPr>
          <w:p w:rsidR="00E540BA" w:rsidRPr="00545535" w:rsidRDefault="0073515B" w:rsidP="00545535">
            <w:pPr>
              <w:rPr>
                <w:rFonts w:ascii="Arial" w:hAnsi="Arial" w:cs="Arial"/>
                <w:bCs/>
                <w:sz w:val="20"/>
                <w:szCs w:val="20"/>
                <w:lang w:val="en-ZA" w:eastAsia="en-ZA"/>
              </w:rPr>
            </w:pPr>
            <w:r w:rsidRPr="00545535">
              <w:rPr>
                <w:rFonts w:ascii="Arial" w:hAnsi="Arial" w:cs="Arial"/>
                <w:bCs/>
                <w:sz w:val="20"/>
                <w:szCs w:val="20"/>
                <w:lang w:val="en-ZA" w:eastAsia="en-ZA"/>
              </w:rPr>
              <w:t>-</w:t>
            </w:r>
            <w:r w:rsidR="00E540BA" w:rsidRPr="00545535">
              <w:rPr>
                <w:rFonts w:ascii="Arial" w:hAnsi="Arial" w:cs="Arial"/>
                <w:bCs/>
                <w:sz w:val="20"/>
                <w:szCs w:val="20"/>
                <w:lang w:val="en-ZA" w:eastAsia="en-ZA"/>
              </w:rPr>
              <w:t>3 579</w:t>
            </w:r>
          </w:p>
        </w:tc>
        <w:tc>
          <w:tcPr>
            <w:tcW w:w="994" w:type="dxa"/>
            <w:tcBorders>
              <w:top w:val="nil"/>
              <w:left w:val="nil"/>
              <w:bottom w:val="single" w:sz="4" w:space="0" w:color="auto"/>
              <w:right w:val="single" w:sz="4" w:space="0" w:color="auto"/>
            </w:tcBorders>
            <w:shd w:val="clear" w:color="auto" w:fill="auto"/>
            <w:vAlign w:val="center"/>
            <w:hideMark/>
          </w:tcPr>
          <w:p w:rsidR="00E540BA" w:rsidRPr="00545535" w:rsidRDefault="00E540BA" w:rsidP="00545535">
            <w:pPr>
              <w:rPr>
                <w:rFonts w:ascii="Arial" w:hAnsi="Arial" w:cs="Arial"/>
                <w:bCs/>
                <w:sz w:val="20"/>
                <w:szCs w:val="20"/>
                <w:lang w:val="en-ZA" w:eastAsia="en-ZA"/>
              </w:rPr>
            </w:pPr>
            <w:r w:rsidRPr="00545535">
              <w:rPr>
                <w:rFonts w:ascii="Arial" w:hAnsi="Arial" w:cs="Arial"/>
                <w:bCs/>
                <w:sz w:val="20"/>
                <w:szCs w:val="20"/>
                <w:lang w:val="en-ZA" w:eastAsia="en-ZA"/>
              </w:rPr>
              <w:t>-0,5%</w:t>
            </w:r>
          </w:p>
        </w:tc>
      </w:tr>
      <w:tr w:rsidR="00E540BA" w:rsidRPr="00545535" w:rsidTr="00A3748E">
        <w:tc>
          <w:tcPr>
            <w:tcW w:w="3261" w:type="dxa"/>
            <w:tcBorders>
              <w:top w:val="nil"/>
              <w:left w:val="single" w:sz="4" w:space="0" w:color="auto"/>
              <w:bottom w:val="single" w:sz="4" w:space="0" w:color="auto"/>
              <w:right w:val="single" w:sz="4" w:space="0" w:color="auto"/>
            </w:tcBorders>
            <w:shd w:val="clear" w:color="auto" w:fill="auto"/>
            <w:vAlign w:val="center"/>
            <w:hideMark/>
          </w:tcPr>
          <w:p w:rsidR="00E540BA" w:rsidRPr="00545535" w:rsidRDefault="00E540BA" w:rsidP="00545535">
            <w:pPr>
              <w:rPr>
                <w:rFonts w:ascii="Arial" w:hAnsi="Arial" w:cs="Arial"/>
                <w:sz w:val="20"/>
                <w:szCs w:val="20"/>
                <w:lang w:val="en-ZA" w:eastAsia="en-ZA"/>
              </w:rPr>
            </w:pPr>
            <w:r w:rsidRPr="00545535">
              <w:rPr>
                <w:rFonts w:ascii="Arial" w:hAnsi="Arial" w:cs="Arial"/>
                <w:sz w:val="20"/>
                <w:szCs w:val="20"/>
                <w:lang w:val="en-ZA" w:eastAsia="en-ZA"/>
              </w:rPr>
              <w:t>Goods and services</w:t>
            </w:r>
          </w:p>
        </w:tc>
        <w:tc>
          <w:tcPr>
            <w:tcW w:w="1276" w:type="dxa"/>
            <w:tcBorders>
              <w:top w:val="nil"/>
              <w:left w:val="nil"/>
              <w:bottom w:val="single" w:sz="4" w:space="0" w:color="auto"/>
              <w:right w:val="single" w:sz="4" w:space="0" w:color="auto"/>
            </w:tcBorders>
            <w:shd w:val="clear" w:color="auto" w:fill="auto"/>
            <w:vAlign w:val="center"/>
            <w:hideMark/>
          </w:tcPr>
          <w:p w:rsidR="00E540BA" w:rsidRPr="00545535" w:rsidRDefault="00B26DE9" w:rsidP="00545535">
            <w:pPr>
              <w:rPr>
                <w:rFonts w:ascii="Arial" w:hAnsi="Arial" w:cs="Arial"/>
                <w:sz w:val="20"/>
                <w:szCs w:val="20"/>
                <w:lang w:val="en-ZA" w:eastAsia="en-ZA"/>
              </w:rPr>
            </w:pPr>
            <w:r w:rsidRPr="00545535">
              <w:rPr>
                <w:rFonts w:ascii="Arial" w:hAnsi="Arial" w:cs="Arial"/>
                <w:sz w:val="20"/>
                <w:szCs w:val="20"/>
                <w:lang w:val="en-ZA" w:eastAsia="en-ZA"/>
              </w:rPr>
              <w:t>824 84</w:t>
            </w:r>
            <w:r w:rsidR="00E540BA" w:rsidRPr="00545535">
              <w:rPr>
                <w:rFonts w:ascii="Arial" w:hAnsi="Arial" w:cs="Arial"/>
                <w:sz w:val="20"/>
                <w:szCs w:val="20"/>
                <w:lang w:val="en-ZA" w:eastAsia="en-ZA"/>
              </w:rPr>
              <w:t>7</w:t>
            </w:r>
          </w:p>
        </w:tc>
        <w:tc>
          <w:tcPr>
            <w:tcW w:w="1398" w:type="dxa"/>
            <w:tcBorders>
              <w:top w:val="nil"/>
              <w:left w:val="nil"/>
              <w:bottom w:val="single" w:sz="4" w:space="0" w:color="auto"/>
              <w:right w:val="single" w:sz="4" w:space="0" w:color="auto"/>
            </w:tcBorders>
            <w:shd w:val="clear" w:color="auto" w:fill="auto"/>
            <w:vAlign w:val="center"/>
            <w:hideMark/>
          </w:tcPr>
          <w:p w:rsidR="00E540BA" w:rsidRPr="00545535" w:rsidRDefault="00B26DE9" w:rsidP="00545535">
            <w:pPr>
              <w:rPr>
                <w:rFonts w:ascii="Arial" w:hAnsi="Arial" w:cs="Arial"/>
                <w:sz w:val="20"/>
                <w:szCs w:val="20"/>
                <w:lang w:val="en-ZA" w:eastAsia="en-ZA"/>
              </w:rPr>
            </w:pPr>
            <w:r w:rsidRPr="00545535">
              <w:rPr>
                <w:rFonts w:ascii="Arial" w:hAnsi="Arial" w:cs="Arial"/>
                <w:sz w:val="20"/>
                <w:szCs w:val="20"/>
                <w:lang w:val="en-ZA" w:eastAsia="en-ZA"/>
              </w:rPr>
              <w:t>480 743</w:t>
            </w:r>
          </w:p>
        </w:tc>
        <w:tc>
          <w:tcPr>
            <w:tcW w:w="1283" w:type="dxa"/>
            <w:tcBorders>
              <w:top w:val="nil"/>
              <w:left w:val="nil"/>
              <w:bottom w:val="single" w:sz="4" w:space="0" w:color="auto"/>
              <w:right w:val="single" w:sz="4" w:space="0" w:color="auto"/>
            </w:tcBorders>
            <w:shd w:val="clear" w:color="auto" w:fill="auto"/>
            <w:vAlign w:val="center"/>
            <w:hideMark/>
          </w:tcPr>
          <w:p w:rsidR="00E540BA" w:rsidRPr="00545535" w:rsidRDefault="00E540BA" w:rsidP="00545535">
            <w:pPr>
              <w:rPr>
                <w:rFonts w:ascii="Arial" w:hAnsi="Arial" w:cs="Arial"/>
                <w:sz w:val="20"/>
                <w:szCs w:val="20"/>
                <w:lang w:val="en-ZA" w:eastAsia="en-ZA"/>
              </w:rPr>
            </w:pPr>
            <w:r w:rsidRPr="00545535">
              <w:rPr>
                <w:rFonts w:ascii="Arial" w:hAnsi="Arial" w:cs="Arial"/>
                <w:sz w:val="20"/>
                <w:szCs w:val="20"/>
                <w:lang w:val="en-ZA" w:eastAsia="en-ZA"/>
              </w:rPr>
              <w:t>519 914</w:t>
            </w:r>
          </w:p>
        </w:tc>
        <w:tc>
          <w:tcPr>
            <w:tcW w:w="1288" w:type="dxa"/>
            <w:tcBorders>
              <w:top w:val="nil"/>
              <w:left w:val="nil"/>
              <w:bottom w:val="single" w:sz="4" w:space="0" w:color="auto"/>
              <w:right w:val="single" w:sz="4" w:space="0" w:color="auto"/>
            </w:tcBorders>
            <w:shd w:val="clear" w:color="auto" w:fill="auto"/>
            <w:vAlign w:val="center"/>
            <w:hideMark/>
          </w:tcPr>
          <w:p w:rsidR="00E540BA" w:rsidRPr="00545535" w:rsidRDefault="00B26DE9" w:rsidP="00545535">
            <w:pPr>
              <w:rPr>
                <w:rFonts w:ascii="Arial" w:hAnsi="Arial" w:cs="Arial"/>
                <w:sz w:val="20"/>
                <w:szCs w:val="20"/>
                <w:lang w:val="en-ZA" w:eastAsia="en-ZA"/>
              </w:rPr>
            </w:pPr>
            <w:r w:rsidRPr="00545535">
              <w:rPr>
                <w:rFonts w:ascii="Arial" w:hAnsi="Arial" w:cs="Arial"/>
                <w:sz w:val="20"/>
                <w:szCs w:val="20"/>
                <w:lang w:val="en-ZA" w:eastAsia="en-ZA"/>
              </w:rPr>
              <w:t>344 104</w:t>
            </w:r>
          </w:p>
        </w:tc>
        <w:tc>
          <w:tcPr>
            <w:tcW w:w="1132" w:type="dxa"/>
            <w:tcBorders>
              <w:top w:val="nil"/>
              <w:left w:val="nil"/>
              <w:bottom w:val="single" w:sz="4" w:space="0" w:color="auto"/>
              <w:right w:val="single" w:sz="4" w:space="0" w:color="auto"/>
            </w:tcBorders>
            <w:shd w:val="clear" w:color="auto" w:fill="auto"/>
            <w:vAlign w:val="center"/>
            <w:hideMark/>
          </w:tcPr>
          <w:p w:rsidR="00E540BA" w:rsidRPr="00545535" w:rsidRDefault="00B26DE9" w:rsidP="00545535">
            <w:pPr>
              <w:rPr>
                <w:rFonts w:ascii="Arial" w:hAnsi="Arial" w:cs="Arial"/>
                <w:bCs/>
                <w:sz w:val="20"/>
                <w:szCs w:val="20"/>
                <w:lang w:val="en-ZA" w:eastAsia="en-ZA"/>
              </w:rPr>
            </w:pPr>
            <w:r w:rsidRPr="00545535">
              <w:rPr>
                <w:rFonts w:ascii="Arial" w:hAnsi="Arial" w:cs="Arial"/>
                <w:bCs/>
                <w:sz w:val="20"/>
                <w:szCs w:val="20"/>
                <w:lang w:val="en-ZA" w:eastAsia="en-ZA"/>
              </w:rPr>
              <w:t>175 810</w:t>
            </w:r>
          </w:p>
        </w:tc>
        <w:tc>
          <w:tcPr>
            <w:tcW w:w="994" w:type="dxa"/>
            <w:tcBorders>
              <w:top w:val="nil"/>
              <w:left w:val="nil"/>
              <w:bottom w:val="single" w:sz="4" w:space="0" w:color="auto"/>
              <w:right w:val="single" w:sz="4" w:space="0" w:color="auto"/>
            </w:tcBorders>
            <w:shd w:val="clear" w:color="auto" w:fill="auto"/>
            <w:vAlign w:val="center"/>
            <w:hideMark/>
          </w:tcPr>
          <w:p w:rsidR="00E540BA" w:rsidRPr="00545535" w:rsidRDefault="00E540BA" w:rsidP="00545535">
            <w:pPr>
              <w:rPr>
                <w:rFonts w:ascii="Arial" w:hAnsi="Arial" w:cs="Arial"/>
                <w:bCs/>
                <w:sz w:val="20"/>
                <w:szCs w:val="20"/>
                <w:lang w:val="en-ZA" w:eastAsia="en-ZA"/>
              </w:rPr>
            </w:pPr>
            <w:r w:rsidRPr="00545535">
              <w:rPr>
                <w:rFonts w:ascii="Arial" w:hAnsi="Arial" w:cs="Arial"/>
                <w:bCs/>
                <w:sz w:val="20"/>
                <w:szCs w:val="20"/>
                <w:lang w:val="en-ZA" w:eastAsia="en-ZA"/>
              </w:rPr>
              <w:t>33,8%</w:t>
            </w:r>
          </w:p>
        </w:tc>
      </w:tr>
      <w:tr w:rsidR="00E540BA" w:rsidRPr="00545535" w:rsidTr="00A3748E">
        <w:tc>
          <w:tcPr>
            <w:tcW w:w="3261" w:type="dxa"/>
            <w:tcBorders>
              <w:top w:val="nil"/>
              <w:left w:val="single" w:sz="4" w:space="0" w:color="auto"/>
              <w:bottom w:val="single" w:sz="4" w:space="0" w:color="auto"/>
              <w:right w:val="single" w:sz="4" w:space="0" w:color="auto"/>
            </w:tcBorders>
            <w:shd w:val="clear" w:color="auto" w:fill="auto"/>
            <w:vAlign w:val="center"/>
            <w:hideMark/>
          </w:tcPr>
          <w:p w:rsidR="00E540BA" w:rsidRPr="00545535" w:rsidRDefault="00E540BA" w:rsidP="00545535">
            <w:pPr>
              <w:rPr>
                <w:rFonts w:ascii="Arial" w:hAnsi="Arial" w:cs="Arial"/>
                <w:b/>
                <w:bCs/>
                <w:sz w:val="20"/>
                <w:szCs w:val="20"/>
                <w:lang w:val="en-ZA" w:eastAsia="en-ZA"/>
              </w:rPr>
            </w:pPr>
            <w:r w:rsidRPr="00545535">
              <w:rPr>
                <w:rFonts w:ascii="Arial" w:hAnsi="Arial" w:cs="Arial"/>
                <w:b/>
                <w:bCs/>
                <w:sz w:val="20"/>
                <w:szCs w:val="20"/>
                <w:lang w:val="en-ZA" w:eastAsia="en-ZA"/>
              </w:rPr>
              <w:t>Transfers and subsidies</w:t>
            </w:r>
          </w:p>
        </w:tc>
        <w:tc>
          <w:tcPr>
            <w:tcW w:w="1276" w:type="dxa"/>
            <w:tcBorders>
              <w:top w:val="nil"/>
              <w:left w:val="nil"/>
              <w:bottom w:val="single" w:sz="4" w:space="0" w:color="auto"/>
              <w:right w:val="single" w:sz="4" w:space="0" w:color="auto"/>
            </w:tcBorders>
            <w:shd w:val="clear" w:color="auto" w:fill="auto"/>
            <w:vAlign w:val="center"/>
            <w:hideMark/>
          </w:tcPr>
          <w:p w:rsidR="00E540BA" w:rsidRPr="00545535" w:rsidRDefault="00876752" w:rsidP="00545535">
            <w:pPr>
              <w:rPr>
                <w:rFonts w:ascii="Arial" w:hAnsi="Arial" w:cs="Arial"/>
                <w:b/>
                <w:bCs/>
                <w:sz w:val="20"/>
                <w:szCs w:val="20"/>
                <w:lang w:val="en-ZA" w:eastAsia="en-ZA"/>
              </w:rPr>
            </w:pPr>
            <w:r w:rsidRPr="00545535">
              <w:rPr>
                <w:rFonts w:ascii="Arial" w:hAnsi="Arial" w:cs="Arial"/>
                <w:b/>
                <w:bCs/>
                <w:sz w:val="20"/>
                <w:szCs w:val="20"/>
                <w:lang w:val="en-ZA" w:eastAsia="en-ZA"/>
              </w:rPr>
              <w:t>7 824</w:t>
            </w:r>
            <w:r w:rsidR="00E540BA" w:rsidRPr="00545535">
              <w:rPr>
                <w:rFonts w:ascii="Arial" w:hAnsi="Arial" w:cs="Arial"/>
                <w:b/>
                <w:bCs/>
                <w:sz w:val="20"/>
                <w:szCs w:val="20"/>
                <w:lang w:val="en-ZA" w:eastAsia="en-ZA"/>
              </w:rPr>
              <w:t xml:space="preserve"> </w:t>
            </w:r>
            <w:r w:rsidRPr="00545535">
              <w:rPr>
                <w:rFonts w:ascii="Arial" w:hAnsi="Arial" w:cs="Arial"/>
                <w:b/>
                <w:bCs/>
                <w:sz w:val="20"/>
                <w:szCs w:val="20"/>
                <w:lang w:val="en-ZA" w:eastAsia="en-ZA"/>
              </w:rPr>
              <w:t>8</w:t>
            </w:r>
            <w:r w:rsidR="00E540BA" w:rsidRPr="00545535">
              <w:rPr>
                <w:rFonts w:ascii="Arial" w:hAnsi="Arial" w:cs="Arial"/>
                <w:b/>
                <w:bCs/>
                <w:sz w:val="20"/>
                <w:szCs w:val="20"/>
                <w:lang w:val="en-ZA" w:eastAsia="en-ZA"/>
              </w:rPr>
              <w:t>3</w:t>
            </w:r>
            <w:r w:rsidRPr="00545535">
              <w:rPr>
                <w:rFonts w:ascii="Arial" w:hAnsi="Arial" w:cs="Arial"/>
                <w:b/>
                <w:bCs/>
                <w:sz w:val="20"/>
                <w:szCs w:val="20"/>
                <w:lang w:val="en-ZA" w:eastAsia="en-ZA"/>
              </w:rPr>
              <w:t>1</w:t>
            </w:r>
          </w:p>
        </w:tc>
        <w:tc>
          <w:tcPr>
            <w:tcW w:w="1398" w:type="dxa"/>
            <w:tcBorders>
              <w:top w:val="nil"/>
              <w:left w:val="nil"/>
              <w:bottom w:val="single" w:sz="4" w:space="0" w:color="auto"/>
              <w:right w:val="single" w:sz="4" w:space="0" w:color="auto"/>
            </w:tcBorders>
            <w:shd w:val="clear" w:color="auto" w:fill="auto"/>
            <w:vAlign w:val="center"/>
            <w:hideMark/>
          </w:tcPr>
          <w:p w:rsidR="00E540BA" w:rsidRPr="00545535" w:rsidRDefault="00876752" w:rsidP="00545535">
            <w:pPr>
              <w:rPr>
                <w:rFonts w:ascii="Arial" w:hAnsi="Arial" w:cs="Arial"/>
                <w:b/>
                <w:bCs/>
                <w:sz w:val="20"/>
                <w:szCs w:val="20"/>
                <w:lang w:val="en-ZA" w:eastAsia="en-ZA"/>
              </w:rPr>
            </w:pPr>
            <w:r w:rsidRPr="00545535">
              <w:rPr>
                <w:rFonts w:ascii="Arial" w:hAnsi="Arial" w:cs="Arial"/>
                <w:b/>
                <w:bCs/>
                <w:sz w:val="20"/>
                <w:szCs w:val="20"/>
                <w:lang w:val="en-ZA" w:eastAsia="en-ZA"/>
              </w:rPr>
              <w:t>3</w:t>
            </w:r>
            <w:r w:rsidR="00E540BA" w:rsidRPr="00545535">
              <w:rPr>
                <w:rFonts w:ascii="Arial" w:hAnsi="Arial" w:cs="Arial"/>
                <w:b/>
                <w:bCs/>
                <w:sz w:val="20"/>
                <w:szCs w:val="20"/>
                <w:lang w:val="en-ZA" w:eastAsia="en-ZA"/>
              </w:rPr>
              <w:t>73 070</w:t>
            </w:r>
          </w:p>
        </w:tc>
        <w:tc>
          <w:tcPr>
            <w:tcW w:w="1283" w:type="dxa"/>
            <w:tcBorders>
              <w:top w:val="nil"/>
              <w:left w:val="nil"/>
              <w:bottom w:val="single" w:sz="4" w:space="0" w:color="auto"/>
              <w:right w:val="single" w:sz="4" w:space="0" w:color="auto"/>
            </w:tcBorders>
            <w:shd w:val="clear" w:color="auto" w:fill="auto"/>
            <w:vAlign w:val="center"/>
            <w:hideMark/>
          </w:tcPr>
          <w:p w:rsidR="00E540BA" w:rsidRPr="00545535" w:rsidRDefault="00E540BA" w:rsidP="00545535">
            <w:pPr>
              <w:rPr>
                <w:rFonts w:ascii="Arial" w:hAnsi="Arial" w:cs="Arial"/>
                <w:b/>
                <w:bCs/>
                <w:sz w:val="20"/>
                <w:szCs w:val="20"/>
                <w:lang w:val="en-ZA" w:eastAsia="en-ZA"/>
              </w:rPr>
            </w:pPr>
            <w:r w:rsidRPr="00545535">
              <w:rPr>
                <w:rFonts w:ascii="Arial" w:hAnsi="Arial" w:cs="Arial"/>
                <w:b/>
                <w:bCs/>
                <w:sz w:val="20"/>
                <w:szCs w:val="20"/>
                <w:lang w:val="en-ZA" w:eastAsia="en-ZA"/>
              </w:rPr>
              <w:t>7 571 953</w:t>
            </w:r>
          </w:p>
        </w:tc>
        <w:tc>
          <w:tcPr>
            <w:tcW w:w="1288" w:type="dxa"/>
            <w:tcBorders>
              <w:top w:val="nil"/>
              <w:left w:val="nil"/>
              <w:bottom w:val="single" w:sz="4" w:space="0" w:color="auto"/>
              <w:right w:val="single" w:sz="4" w:space="0" w:color="auto"/>
            </w:tcBorders>
            <w:shd w:val="clear" w:color="auto" w:fill="auto"/>
            <w:vAlign w:val="center"/>
            <w:hideMark/>
          </w:tcPr>
          <w:p w:rsidR="00E540BA" w:rsidRPr="00545535" w:rsidRDefault="00E540BA" w:rsidP="00545535">
            <w:pPr>
              <w:rPr>
                <w:rFonts w:ascii="Arial" w:hAnsi="Arial" w:cs="Arial"/>
                <w:b/>
                <w:bCs/>
                <w:sz w:val="20"/>
                <w:szCs w:val="20"/>
                <w:lang w:val="en-ZA" w:eastAsia="en-ZA"/>
              </w:rPr>
            </w:pPr>
            <w:r w:rsidRPr="00545535">
              <w:rPr>
                <w:rFonts w:ascii="Arial" w:hAnsi="Arial" w:cs="Arial"/>
                <w:b/>
                <w:bCs/>
                <w:sz w:val="20"/>
                <w:szCs w:val="20"/>
                <w:lang w:val="en-ZA" w:eastAsia="en-ZA"/>
              </w:rPr>
              <w:t>7 451 761</w:t>
            </w:r>
          </w:p>
        </w:tc>
        <w:tc>
          <w:tcPr>
            <w:tcW w:w="1132" w:type="dxa"/>
            <w:tcBorders>
              <w:top w:val="nil"/>
              <w:left w:val="nil"/>
              <w:bottom w:val="single" w:sz="4" w:space="0" w:color="auto"/>
              <w:right w:val="single" w:sz="4" w:space="0" w:color="auto"/>
            </w:tcBorders>
            <w:shd w:val="clear" w:color="auto" w:fill="auto"/>
            <w:vAlign w:val="center"/>
            <w:hideMark/>
          </w:tcPr>
          <w:p w:rsidR="00E540BA" w:rsidRPr="00545535" w:rsidRDefault="00E540BA" w:rsidP="00545535">
            <w:pPr>
              <w:rPr>
                <w:rFonts w:ascii="Arial" w:hAnsi="Arial" w:cs="Arial"/>
                <w:b/>
                <w:bCs/>
                <w:sz w:val="20"/>
                <w:szCs w:val="20"/>
                <w:lang w:val="en-ZA" w:eastAsia="en-ZA"/>
              </w:rPr>
            </w:pPr>
            <w:r w:rsidRPr="00545535">
              <w:rPr>
                <w:rFonts w:ascii="Arial" w:hAnsi="Arial" w:cs="Arial"/>
                <w:b/>
                <w:bCs/>
                <w:sz w:val="20"/>
                <w:szCs w:val="20"/>
                <w:lang w:val="en-ZA" w:eastAsia="en-ZA"/>
              </w:rPr>
              <w:t>120 192</w:t>
            </w:r>
          </w:p>
        </w:tc>
        <w:tc>
          <w:tcPr>
            <w:tcW w:w="994" w:type="dxa"/>
            <w:tcBorders>
              <w:top w:val="nil"/>
              <w:left w:val="nil"/>
              <w:bottom w:val="single" w:sz="4" w:space="0" w:color="auto"/>
              <w:right w:val="single" w:sz="4" w:space="0" w:color="auto"/>
            </w:tcBorders>
            <w:shd w:val="clear" w:color="auto" w:fill="auto"/>
            <w:vAlign w:val="center"/>
            <w:hideMark/>
          </w:tcPr>
          <w:p w:rsidR="00E540BA" w:rsidRPr="00545535" w:rsidRDefault="00E540BA" w:rsidP="00545535">
            <w:pPr>
              <w:rPr>
                <w:rFonts w:ascii="Arial" w:hAnsi="Arial" w:cs="Arial"/>
                <w:b/>
                <w:bCs/>
                <w:sz w:val="20"/>
                <w:szCs w:val="20"/>
                <w:lang w:val="en-ZA" w:eastAsia="en-ZA"/>
              </w:rPr>
            </w:pPr>
            <w:r w:rsidRPr="00545535">
              <w:rPr>
                <w:rFonts w:ascii="Arial" w:hAnsi="Arial" w:cs="Arial"/>
                <w:b/>
                <w:bCs/>
                <w:sz w:val="20"/>
                <w:szCs w:val="20"/>
                <w:lang w:val="en-ZA" w:eastAsia="en-ZA"/>
              </w:rPr>
              <w:t>1,6%</w:t>
            </w:r>
          </w:p>
        </w:tc>
      </w:tr>
      <w:tr w:rsidR="00E540BA" w:rsidRPr="00545535" w:rsidTr="00A3748E">
        <w:tc>
          <w:tcPr>
            <w:tcW w:w="3261" w:type="dxa"/>
            <w:tcBorders>
              <w:top w:val="nil"/>
              <w:left w:val="single" w:sz="4" w:space="0" w:color="auto"/>
              <w:bottom w:val="single" w:sz="4" w:space="0" w:color="auto"/>
              <w:right w:val="single" w:sz="4" w:space="0" w:color="auto"/>
            </w:tcBorders>
            <w:shd w:val="clear" w:color="auto" w:fill="auto"/>
            <w:vAlign w:val="center"/>
            <w:hideMark/>
          </w:tcPr>
          <w:p w:rsidR="00E540BA" w:rsidRPr="00545535" w:rsidRDefault="00E540BA" w:rsidP="00545535">
            <w:pPr>
              <w:rPr>
                <w:rFonts w:ascii="Arial" w:hAnsi="Arial" w:cs="Arial"/>
                <w:b/>
                <w:bCs/>
                <w:sz w:val="20"/>
                <w:szCs w:val="20"/>
                <w:lang w:val="en-ZA" w:eastAsia="en-ZA"/>
              </w:rPr>
            </w:pPr>
            <w:r w:rsidRPr="00545535">
              <w:rPr>
                <w:rFonts w:ascii="Arial" w:hAnsi="Arial" w:cs="Arial"/>
                <w:b/>
                <w:bCs/>
                <w:sz w:val="20"/>
                <w:szCs w:val="20"/>
                <w:lang w:val="en-ZA" w:eastAsia="en-ZA"/>
              </w:rPr>
              <w:t>Payments for capital assets</w:t>
            </w:r>
          </w:p>
        </w:tc>
        <w:tc>
          <w:tcPr>
            <w:tcW w:w="1276" w:type="dxa"/>
            <w:tcBorders>
              <w:top w:val="nil"/>
              <w:left w:val="nil"/>
              <w:bottom w:val="single" w:sz="4" w:space="0" w:color="auto"/>
              <w:right w:val="single" w:sz="4" w:space="0" w:color="auto"/>
            </w:tcBorders>
            <w:shd w:val="clear" w:color="auto" w:fill="auto"/>
            <w:vAlign w:val="center"/>
            <w:hideMark/>
          </w:tcPr>
          <w:p w:rsidR="00E540BA" w:rsidRPr="00545535" w:rsidRDefault="00E540BA" w:rsidP="00545535">
            <w:pPr>
              <w:rPr>
                <w:rFonts w:ascii="Arial" w:hAnsi="Arial" w:cs="Arial"/>
                <w:b/>
                <w:bCs/>
                <w:sz w:val="20"/>
                <w:szCs w:val="20"/>
                <w:lang w:val="en-ZA" w:eastAsia="en-ZA"/>
              </w:rPr>
            </w:pPr>
            <w:r w:rsidRPr="00545535">
              <w:rPr>
                <w:rFonts w:ascii="Arial" w:hAnsi="Arial" w:cs="Arial"/>
                <w:b/>
                <w:bCs/>
                <w:sz w:val="20"/>
                <w:szCs w:val="20"/>
                <w:lang w:val="en-ZA" w:eastAsia="en-ZA"/>
              </w:rPr>
              <w:t>36 354</w:t>
            </w:r>
          </w:p>
        </w:tc>
        <w:tc>
          <w:tcPr>
            <w:tcW w:w="1398" w:type="dxa"/>
            <w:tcBorders>
              <w:top w:val="nil"/>
              <w:left w:val="nil"/>
              <w:bottom w:val="single" w:sz="4" w:space="0" w:color="auto"/>
              <w:right w:val="single" w:sz="4" w:space="0" w:color="auto"/>
            </w:tcBorders>
            <w:shd w:val="clear" w:color="auto" w:fill="auto"/>
            <w:vAlign w:val="center"/>
            <w:hideMark/>
          </w:tcPr>
          <w:p w:rsidR="00E540BA" w:rsidRPr="00545535" w:rsidRDefault="00876752" w:rsidP="00545535">
            <w:pPr>
              <w:rPr>
                <w:rFonts w:ascii="Arial" w:hAnsi="Arial" w:cs="Arial"/>
                <w:b/>
                <w:bCs/>
                <w:sz w:val="20"/>
                <w:szCs w:val="20"/>
                <w:lang w:val="en-ZA" w:eastAsia="en-ZA"/>
              </w:rPr>
            </w:pPr>
            <w:r w:rsidRPr="00545535">
              <w:rPr>
                <w:rFonts w:ascii="Arial" w:hAnsi="Arial" w:cs="Arial"/>
                <w:b/>
                <w:bCs/>
                <w:sz w:val="20"/>
                <w:szCs w:val="20"/>
                <w:lang w:val="en-ZA" w:eastAsia="en-ZA"/>
              </w:rPr>
              <w:t>3</w:t>
            </w:r>
            <w:r w:rsidR="00E540BA" w:rsidRPr="00545535">
              <w:rPr>
                <w:rFonts w:ascii="Arial" w:hAnsi="Arial" w:cs="Arial"/>
                <w:b/>
                <w:bCs/>
                <w:sz w:val="20"/>
                <w:szCs w:val="20"/>
                <w:lang w:val="en-ZA" w:eastAsia="en-ZA"/>
              </w:rPr>
              <w:t>5 156</w:t>
            </w:r>
          </w:p>
        </w:tc>
        <w:tc>
          <w:tcPr>
            <w:tcW w:w="1283" w:type="dxa"/>
            <w:tcBorders>
              <w:top w:val="nil"/>
              <w:left w:val="nil"/>
              <w:bottom w:val="single" w:sz="4" w:space="0" w:color="auto"/>
              <w:right w:val="single" w:sz="4" w:space="0" w:color="auto"/>
            </w:tcBorders>
            <w:shd w:val="clear" w:color="auto" w:fill="auto"/>
            <w:vAlign w:val="center"/>
            <w:hideMark/>
          </w:tcPr>
          <w:p w:rsidR="00E540BA" w:rsidRPr="00545535" w:rsidRDefault="00E540BA" w:rsidP="00545535">
            <w:pPr>
              <w:rPr>
                <w:rFonts w:ascii="Arial" w:hAnsi="Arial" w:cs="Arial"/>
                <w:b/>
                <w:bCs/>
                <w:sz w:val="20"/>
                <w:szCs w:val="20"/>
                <w:lang w:val="en-ZA" w:eastAsia="en-ZA"/>
              </w:rPr>
            </w:pPr>
            <w:r w:rsidRPr="00545535">
              <w:rPr>
                <w:rFonts w:ascii="Arial" w:hAnsi="Arial" w:cs="Arial"/>
                <w:b/>
                <w:bCs/>
                <w:sz w:val="20"/>
                <w:szCs w:val="20"/>
                <w:lang w:val="en-ZA" w:eastAsia="en-ZA"/>
              </w:rPr>
              <w:t>5 486</w:t>
            </w:r>
          </w:p>
        </w:tc>
        <w:tc>
          <w:tcPr>
            <w:tcW w:w="1288" w:type="dxa"/>
            <w:tcBorders>
              <w:top w:val="nil"/>
              <w:left w:val="nil"/>
              <w:bottom w:val="single" w:sz="4" w:space="0" w:color="auto"/>
              <w:right w:val="single" w:sz="4" w:space="0" w:color="auto"/>
            </w:tcBorders>
            <w:shd w:val="clear" w:color="auto" w:fill="auto"/>
            <w:vAlign w:val="center"/>
            <w:hideMark/>
          </w:tcPr>
          <w:p w:rsidR="00E540BA" w:rsidRPr="00545535" w:rsidRDefault="00E540BA" w:rsidP="00545535">
            <w:pPr>
              <w:rPr>
                <w:rFonts w:ascii="Arial" w:hAnsi="Arial" w:cs="Arial"/>
                <w:b/>
                <w:bCs/>
                <w:sz w:val="20"/>
                <w:szCs w:val="20"/>
                <w:lang w:val="en-ZA" w:eastAsia="en-ZA"/>
              </w:rPr>
            </w:pPr>
            <w:r w:rsidRPr="00545535">
              <w:rPr>
                <w:rFonts w:ascii="Arial" w:hAnsi="Arial" w:cs="Arial"/>
                <w:b/>
                <w:bCs/>
                <w:sz w:val="20"/>
                <w:szCs w:val="20"/>
                <w:lang w:val="en-ZA" w:eastAsia="en-ZA"/>
              </w:rPr>
              <w:t>1 198</w:t>
            </w:r>
          </w:p>
        </w:tc>
        <w:tc>
          <w:tcPr>
            <w:tcW w:w="1132" w:type="dxa"/>
            <w:tcBorders>
              <w:top w:val="nil"/>
              <w:left w:val="nil"/>
              <w:bottom w:val="single" w:sz="4" w:space="0" w:color="auto"/>
              <w:right w:val="single" w:sz="4" w:space="0" w:color="auto"/>
            </w:tcBorders>
            <w:shd w:val="clear" w:color="auto" w:fill="auto"/>
            <w:vAlign w:val="center"/>
            <w:hideMark/>
          </w:tcPr>
          <w:p w:rsidR="00E540BA" w:rsidRPr="00545535" w:rsidRDefault="00E540BA" w:rsidP="00545535">
            <w:pPr>
              <w:rPr>
                <w:rFonts w:ascii="Arial" w:hAnsi="Arial" w:cs="Arial"/>
                <w:b/>
                <w:bCs/>
                <w:sz w:val="20"/>
                <w:szCs w:val="20"/>
                <w:lang w:val="en-ZA" w:eastAsia="en-ZA"/>
              </w:rPr>
            </w:pPr>
            <w:r w:rsidRPr="00545535">
              <w:rPr>
                <w:rFonts w:ascii="Arial" w:hAnsi="Arial" w:cs="Arial"/>
                <w:b/>
                <w:bCs/>
                <w:sz w:val="20"/>
                <w:szCs w:val="20"/>
                <w:lang w:val="en-ZA" w:eastAsia="en-ZA"/>
              </w:rPr>
              <w:t>4 288</w:t>
            </w:r>
          </w:p>
        </w:tc>
        <w:tc>
          <w:tcPr>
            <w:tcW w:w="994" w:type="dxa"/>
            <w:tcBorders>
              <w:top w:val="nil"/>
              <w:left w:val="nil"/>
              <w:bottom w:val="single" w:sz="4" w:space="0" w:color="auto"/>
              <w:right w:val="single" w:sz="4" w:space="0" w:color="auto"/>
            </w:tcBorders>
            <w:shd w:val="clear" w:color="auto" w:fill="auto"/>
            <w:vAlign w:val="center"/>
            <w:hideMark/>
          </w:tcPr>
          <w:p w:rsidR="00E540BA" w:rsidRPr="00545535" w:rsidRDefault="00E540BA" w:rsidP="00545535">
            <w:pPr>
              <w:rPr>
                <w:rFonts w:ascii="Arial" w:hAnsi="Arial" w:cs="Arial"/>
                <w:b/>
                <w:bCs/>
                <w:sz w:val="20"/>
                <w:szCs w:val="20"/>
                <w:lang w:val="en-ZA" w:eastAsia="en-ZA"/>
              </w:rPr>
            </w:pPr>
            <w:r w:rsidRPr="00545535">
              <w:rPr>
                <w:rFonts w:ascii="Arial" w:hAnsi="Arial" w:cs="Arial"/>
                <w:b/>
                <w:bCs/>
                <w:sz w:val="20"/>
                <w:szCs w:val="20"/>
                <w:lang w:val="en-ZA" w:eastAsia="en-ZA"/>
              </w:rPr>
              <w:t>78,2%</w:t>
            </w:r>
          </w:p>
        </w:tc>
      </w:tr>
      <w:tr w:rsidR="00E540BA" w:rsidRPr="00545535" w:rsidTr="00A3748E">
        <w:tc>
          <w:tcPr>
            <w:tcW w:w="3261" w:type="dxa"/>
            <w:tcBorders>
              <w:top w:val="nil"/>
              <w:left w:val="single" w:sz="4" w:space="0" w:color="auto"/>
              <w:bottom w:val="single" w:sz="4" w:space="0" w:color="auto"/>
              <w:right w:val="single" w:sz="4" w:space="0" w:color="auto"/>
            </w:tcBorders>
            <w:shd w:val="clear" w:color="auto" w:fill="auto"/>
            <w:vAlign w:val="center"/>
            <w:hideMark/>
          </w:tcPr>
          <w:p w:rsidR="00E540BA" w:rsidRPr="00545535" w:rsidRDefault="00E540BA" w:rsidP="00545535">
            <w:pPr>
              <w:rPr>
                <w:rFonts w:ascii="Arial" w:hAnsi="Arial" w:cs="Arial"/>
                <w:b/>
                <w:bCs/>
                <w:sz w:val="20"/>
                <w:szCs w:val="20"/>
                <w:lang w:val="en-ZA" w:eastAsia="en-ZA"/>
              </w:rPr>
            </w:pPr>
            <w:r w:rsidRPr="00545535">
              <w:rPr>
                <w:rFonts w:ascii="Arial" w:hAnsi="Arial" w:cs="Arial"/>
                <w:b/>
                <w:bCs/>
                <w:sz w:val="20"/>
                <w:szCs w:val="20"/>
                <w:lang w:val="en-ZA" w:eastAsia="en-ZA"/>
              </w:rPr>
              <w:t>Payments for financial assets</w:t>
            </w:r>
          </w:p>
        </w:tc>
        <w:tc>
          <w:tcPr>
            <w:tcW w:w="1276" w:type="dxa"/>
            <w:tcBorders>
              <w:top w:val="nil"/>
              <w:left w:val="nil"/>
              <w:bottom w:val="single" w:sz="4" w:space="0" w:color="auto"/>
              <w:right w:val="single" w:sz="4" w:space="0" w:color="auto"/>
            </w:tcBorders>
            <w:shd w:val="clear" w:color="auto" w:fill="auto"/>
            <w:vAlign w:val="center"/>
            <w:hideMark/>
          </w:tcPr>
          <w:p w:rsidR="00E540BA" w:rsidRPr="00545535" w:rsidRDefault="00E540BA" w:rsidP="00545535">
            <w:pPr>
              <w:rPr>
                <w:rFonts w:ascii="Arial" w:hAnsi="Arial" w:cs="Arial"/>
                <w:b/>
                <w:bCs/>
                <w:sz w:val="20"/>
                <w:szCs w:val="20"/>
                <w:lang w:val="en-ZA" w:eastAsia="en-ZA"/>
              </w:rPr>
            </w:pPr>
            <w:r w:rsidRPr="00545535">
              <w:rPr>
                <w:rFonts w:ascii="Arial" w:hAnsi="Arial" w:cs="Arial"/>
                <w:b/>
                <w:bCs/>
                <w:sz w:val="20"/>
                <w:szCs w:val="20"/>
                <w:lang w:val="en-ZA" w:eastAsia="en-ZA"/>
              </w:rPr>
              <w:t>-</w:t>
            </w:r>
          </w:p>
        </w:tc>
        <w:tc>
          <w:tcPr>
            <w:tcW w:w="1398" w:type="dxa"/>
            <w:tcBorders>
              <w:top w:val="nil"/>
              <w:left w:val="nil"/>
              <w:bottom w:val="single" w:sz="4" w:space="0" w:color="auto"/>
              <w:right w:val="single" w:sz="4" w:space="0" w:color="auto"/>
            </w:tcBorders>
            <w:shd w:val="clear" w:color="auto" w:fill="auto"/>
            <w:vAlign w:val="center"/>
            <w:hideMark/>
          </w:tcPr>
          <w:p w:rsidR="00E540BA" w:rsidRPr="00545535" w:rsidRDefault="00E540BA" w:rsidP="00545535">
            <w:pPr>
              <w:rPr>
                <w:rFonts w:ascii="Arial" w:hAnsi="Arial" w:cs="Arial"/>
                <w:b/>
                <w:bCs/>
                <w:sz w:val="20"/>
                <w:szCs w:val="20"/>
                <w:lang w:val="en-ZA" w:eastAsia="en-ZA"/>
              </w:rPr>
            </w:pPr>
            <w:r w:rsidRPr="00545535">
              <w:rPr>
                <w:rFonts w:ascii="Arial" w:hAnsi="Arial" w:cs="Arial"/>
                <w:b/>
                <w:bCs/>
                <w:sz w:val="20"/>
                <w:szCs w:val="20"/>
                <w:lang w:val="en-ZA" w:eastAsia="en-ZA"/>
              </w:rPr>
              <w:t>26</w:t>
            </w:r>
          </w:p>
        </w:tc>
        <w:tc>
          <w:tcPr>
            <w:tcW w:w="1283" w:type="dxa"/>
            <w:tcBorders>
              <w:top w:val="nil"/>
              <w:left w:val="nil"/>
              <w:bottom w:val="single" w:sz="4" w:space="0" w:color="auto"/>
              <w:right w:val="single" w:sz="4" w:space="0" w:color="auto"/>
            </w:tcBorders>
            <w:shd w:val="clear" w:color="auto" w:fill="auto"/>
            <w:vAlign w:val="center"/>
            <w:hideMark/>
          </w:tcPr>
          <w:p w:rsidR="00E540BA" w:rsidRPr="00545535" w:rsidRDefault="00E540BA" w:rsidP="00545535">
            <w:pPr>
              <w:rPr>
                <w:rFonts w:ascii="Arial" w:hAnsi="Arial" w:cs="Arial"/>
                <w:b/>
                <w:bCs/>
                <w:sz w:val="20"/>
                <w:szCs w:val="20"/>
                <w:lang w:val="en-ZA" w:eastAsia="en-ZA"/>
              </w:rPr>
            </w:pPr>
            <w:r w:rsidRPr="00545535">
              <w:rPr>
                <w:rFonts w:ascii="Arial" w:hAnsi="Arial" w:cs="Arial"/>
                <w:b/>
                <w:bCs/>
                <w:sz w:val="20"/>
                <w:szCs w:val="20"/>
                <w:lang w:val="en-ZA" w:eastAsia="en-ZA"/>
              </w:rPr>
              <w:t>-</w:t>
            </w:r>
          </w:p>
        </w:tc>
        <w:tc>
          <w:tcPr>
            <w:tcW w:w="1288" w:type="dxa"/>
            <w:tcBorders>
              <w:top w:val="nil"/>
              <w:left w:val="nil"/>
              <w:bottom w:val="single" w:sz="4" w:space="0" w:color="auto"/>
              <w:right w:val="single" w:sz="4" w:space="0" w:color="auto"/>
            </w:tcBorders>
            <w:shd w:val="clear" w:color="auto" w:fill="auto"/>
            <w:vAlign w:val="center"/>
            <w:hideMark/>
          </w:tcPr>
          <w:p w:rsidR="00E540BA" w:rsidRPr="00545535" w:rsidRDefault="00E540BA" w:rsidP="00545535">
            <w:pPr>
              <w:rPr>
                <w:rFonts w:ascii="Arial" w:hAnsi="Arial" w:cs="Arial"/>
                <w:b/>
                <w:bCs/>
                <w:sz w:val="20"/>
                <w:szCs w:val="20"/>
                <w:lang w:val="en-ZA" w:eastAsia="en-ZA"/>
              </w:rPr>
            </w:pPr>
            <w:r w:rsidRPr="00545535">
              <w:rPr>
                <w:rFonts w:ascii="Arial" w:hAnsi="Arial" w:cs="Arial"/>
                <w:b/>
                <w:bCs/>
                <w:sz w:val="20"/>
                <w:szCs w:val="20"/>
                <w:lang w:val="en-ZA" w:eastAsia="en-ZA"/>
              </w:rPr>
              <w:t>26</w:t>
            </w:r>
          </w:p>
        </w:tc>
        <w:tc>
          <w:tcPr>
            <w:tcW w:w="1132" w:type="dxa"/>
            <w:tcBorders>
              <w:top w:val="nil"/>
              <w:left w:val="nil"/>
              <w:bottom w:val="single" w:sz="4" w:space="0" w:color="auto"/>
              <w:right w:val="single" w:sz="4" w:space="0" w:color="auto"/>
            </w:tcBorders>
            <w:shd w:val="clear" w:color="auto" w:fill="auto"/>
            <w:vAlign w:val="center"/>
            <w:hideMark/>
          </w:tcPr>
          <w:p w:rsidR="00E540BA" w:rsidRPr="00545535" w:rsidRDefault="00E540BA" w:rsidP="00545535">
            <w:pPr>
              <w:rPr>
                <w:rFonts w:ascii="Arial" w:hAnsi="Arial" w:cs="Arial"/>
                <w:b/>
                <w:bCs/>
                <w:sz w:val="20"/>
                <w:szCs w:val="20"/>
                <w:lang w:val="en-ZA" w:eastAsia="en-ZA"/>
              </w:rPr>
            </w:pPr>
            <w:r w:rsidRPr="00545535">
              <w:rPr>
                <w:rFonts w:ascii="Arial" w:hAnsi="Arial" w:cs="Arial"/>
                <w:b/>
                <w:bCs/>
                <w:sz w:val="20"/>
                <w:szCs w:val="20"/>
                <w:lang w:val="en-ZA" w:eastAsia="en-ZA"/>
              </w:rPr>
              <w:t>-26</w:t>
            </w:r>
          </w:p>
        </w:tc>
        <w:tc>
          <w:tcPr>
            <w:tcW w:w="994" w:type="dxa"/>
            <w:tcBorders>
              <w:top w:val="nil"/>
              <w:left w:val="nil"/>
              <w:bottom w:val="single" w:sz="4" w:space="0" w:color="auto"/>
              <w:right w:val="single" w:sz="4" w:space="0" w:color="auto"/>
            </w:tcBorders>
            <w:shd w:val="clear" w:color="auto" w:fill="auto"/>
            <w:vAlign w:val="center"/>
            <w:hideMark/>
          </w:tcPr>
          <w:p w:rsidR="00E540BA" w:rsidRPr="00545535" w:rsidRDefault="00E540BA" w:rsidP="00545535">
            <w:pPr>
              <w:rPr>
                <w:rFonts w:ascii="Arial" w:hAnsi="Arial" w:cs="Arial"/>
                <w:b/>
                <w:bCs/>
                <w:sz w:val="20"/>
                <w:szCs w:val="20"/>
                <w:lang w:val="en-ZA" w:eastAsia="en-ZA"/>
              </w:rPr>
            </w:pPr>
            <w:r w:rsidRPr="00545535">
              <w:rPr>
                <w:rFonts w:ascii="Arial" w:hAnsi="Arial" w:cs="Arial"/>
                <w:b/>
                <w:bCs/>
                <w:sz w:val="20"/>
                <w:szCs w:val="20"/>
                <w:lang w:val="en-ZA" w:eastAsia="en-ZA"/>
              </w:rPr>
              <w:t>0,0%</w:t>
            </w:r>
          </w:p>
        </w:tc>
      </w:tr>
      <w:tr w:rsidR="00E540BA" w:rsidRPr="00545535" w:rsidTr="00A3748E">
        <w:tc>
          <w:tcPr>
            <w:tcW w:w="3261" w:type="dxa"/>
            <w:tcBorders>
              <w:top w:val="nil"/>
              <w:left w:val="single" w:sz="4" w:space="0" w:color="auto"/>
              <w:bottom w:val="single" w:sz="4" w:space="0" w:color="auto"/>
              <w:right w:val="single" w:sz="4" w:space="0" w:color="auto"/>
            </w:tcBorders>
            <w:shd w:val="clear" w:color="auto" w:fill="auto"/>
            <w:vAlign w:val="center"/>
            <w:hideMark/>
          </w:tcPr>
          <w:p w:rsidR="00E540BA" w:rsidRPr="00545535" w:rsidRDefault="00E540BA" w:rsidP="00545535">
            <w:pPr>
              <w:rPr>
                <w:rFonts w:ascii="Arial" w:hAnsi="Arial" w:cs="Arial"/>
                <w:b/>
                <w:bCs/>
                <w:sz w:val="20"/>
                <w:szCs w:val="20"/>
                <w:lang w:val="en-ZA" w:eastAsia="en-ZA"/>
              </w:rPr>
            </w:pPr>
            <w:r w:rsidRPr="00545535">
              <w:rPr>
                <w:rFonts w:ascii="Arial" w:hAnsi="Arial" w:cs="Arial"/>
                <w:b/>
                <w:bCs/>
                <w:sz w:val="20"/>
                <w:szCs w:val="20"/>
                <w:lang w:val="en-ZA" w:eastAsia="en-ZA"/>
              </w:rPr>
              <w:t>Total</w:t>
            </w:r>
          </w:p>
        </w:tc>
        <w:tc>
          <w:tcPr>
            <w:tcW w:w="1276" w:type="dxa"/>
            <w:tcBorders>
              <w:top w:val="nil"/>
              <w:left w:val="nil"/>
              <w:bottom w:val="single" w:sz="4" w:space="0" w:color="auto"/>
              <w:right w:val="single" w:sz="4" w:space="0" w:color="auto"/>
            </w:tcBorders>
            <w:shd w:val="clear" w:color="auto" w:fill="auto"/>
            <w:vAlign w:val="center"/>
            <w:hideMark/>
          </w:tcPr>
          <w:p w:rsidR="00E540BA" w:rsidRPr="00545535" w:rsidRDefault="00B26DE9" w:rsidP="00545535">
            <w:pPr>
              <w:rPr>
                <w:rFonts w:ascii="Arial" w:hAnsi="Arial" w:cs="Arial"/>
                <w:b/>
                <w:bCs/>
                <w:sz w:val="20"/>
                <w:szCs w:val="20"/>
                <w:lang w:val="en-ZA" w:eastAsia="en-ZA"/>
              </w:rPr>
            </w:pPr>
            <w:r w:rsidRPr="00545535">
              <w:rPr>
                <w:rFonts w:ascii="Arial" w:hAnsi="Arial" w:cs="Arial"/>
                <w:b/>
                <w:bCs/>
                <w:sz w:val="20"/>
                <w:szCs w:val="20"/>
                <w:lang w:val="en-ZA" w:eastAsia="en-ZA"/>
              </w:rPr>
              <w:t>9 736</w:t>
            </w:r>
            <w:r w:rsidR="00876752" w:rsidRPr="00545535">
              <w:rPr>
                <w:rFonts w:ascii="Arial" w:hAnsi="Arial" w:cs="Arial"/>
                <w:b/>
                <w:bCs/>
                <w:sz w:val="20"/>
                <w:szCs w:val="20"/>
                <w:lang w:val="en-ZA" w:eastAsia="en-ZA"/>
              </w:rPr>
              <w:t xml:space="preserve"> </w:t>
            </w:r>
            <w:r w:rsidRPr="00545535">
              <w:rPr>
                <w:rFonts w:ascii="Arial" w:hAnsi="Arial" w:cs="Arial"/>
                <w:b/>
                <w:bCs/>
                <w:sz w:val="20"/>
                <w:szCs w:val="20"/>
                <w:lang w:val="en-ZA" w:eastAsia="en-ZA"/>
              </w:rPr>
              <w:t>573</w:t>
            </w:r>
          </w:p>
        </w:tc>
        <w:tc>
          <w:tcPr>
            <w:tcW w:w="1398" w:type="dxa"/>
            <w:tcBorders>
              <w:top w:val="nil"/>
              <w:left w:val="nil"/>
              <w:bottom w:val="single" w:sz="4" w:space="0" w:color="auto"/>
              <w:right w:val="single" w:sz="4" w:space="0" w:color="auto"/>
            </w:tcBorders>
            <w:shd w:val="clear" w:color="auto" w:fill="auto"/>
            <w:vAlign w:val="center"/>
            <w:hideMark/>
          </w:tcPr>
          <w:p w:rsidR="00E540BA" w:rsidRPr="00545535" w:rsidRDefault="00E540BA" w:rsidP="00545535">
            <w:pPr>
              <w:rPr>
                <w:rFonts w:ascii="Arial" w:hAnsi="Arial" w:cs="Arial"/>
                <w:b/>
                <w:bCs/>
                <w:sz w:val="20"/>
                <w:szCs w:val="20"/>
                <w:lang w:val="en-ZA" w:eastAsia="en-ZA"/>
              </w:rPr>
            </w:pPr>
            <w:r w:rsidRPr="00545535">
              <w:rPr>
                <w:rFonts w:ascii="Arial" w:hAnsi="Arial" w:cs="Arial"/>
                <w:b/>
                <w:bCs/>
                <w:sz w:val="20"/>
                <w:szCs w:val="20"/>
                <w:lang w:val="en-ZA" w:eastAsia="en-ZA"/>
              </w:rPr>
              <w:t>1</w:t>
            </w:r>
            <w:r w:rsidR="00B26DE9" w:rsidRPr="00545535">
              <w:rPr>
                <w:rFonts w:ascii="Arial" w:hAnsi="Arial" w:cs="Arial"/>
                <w:b/>
                <w:bCs/>
                <w:sz w:val="20"/>
                <w:szCs w:val="20"/>
                <w:lang w:val="en-ZA" w:eastAsia="en-ZA"/>
              </w:rPr>
              <w:t> 17</w:t>
            </w:r>
            <w:r w:rsidRPr="00545535">
              <w:rPr>
                <w:rFonts w:ascii="Arial" w:hAnsi="Arial" w:cs="Arial"/>
                <w:b/>
                <w:bCs/>
                <w:sz w:val="20"/>
                <w:szCs w:val="20"/>
                <w:lang w:val="en-ZA" w:eastAsia="en-ZA"/>
              </w:rPr>
              <w:t>9</w:t>
            </w:r>
            <w:r w:rsidR="00B26DE9" w:rsidRPr="00545535">
              <w:rPr>
                <w:rFonts w:ascii="Arial" w:hAnsi="Arial" w:cs="Arial"/>
                <w:b/>
                <w:bCs/>
                <w:sz w:val="20"/>
                <w:szCs w:val="20"/>
                <w:lang w:val="en-ZA" w:eastAsia="en-ZA"/>
              </w:rPr>
              <w:t xml:space="preserve"> 551</w:t>
            </w:r>
          </w:p>
        </w:tc>
        <w:tc>
          <w:tcPr>
            <w:tcW w:w="1283" w:type="dxa"/>
            <w:tcBorders>
              <w:top w:val="nil"/>
              <w:left w:val="nil"/>
              <w:bottom w:val="single" w:sz="4" w:space="0" w:color="auto"/>
              <w:right w:val="single" w:sz="4" w:space="0" w:color="auto"/>
            </w:tcBorders>
            <w:shd w:val="clear" w:color="auto" w:fill="auto"/>
            <w:vAlign w:val="center"/>
            <w:hideMark/>
          </w:tcPr>
          <w:p w:rsidR="00E540BA" w:rsidRPr="00545535" w:rsidRDefault="00E540BA" w:rsidP="00545535">
            <w:pPr>
              <w:rPr>
                <w:rFonts w:ascii="Arial" w:hAnsi="Arial" w:cs="Arial"/>
                <w:b/>
                <w:bCs/>
                <w:sz w:val="20"/>
                <w:szCs w:val="20"/>
                <w:lang w:val="en-ZA" w:eastAsia="en-ZA"/>
              </w:rPr>
            </w:pPr>
            <w:r w:rsidRPr="00545535">
              <w:rPr>
                <w:rFonts w:ascii="Arial" w:hAnsi="Arial" w:cs="Arial"/>
                <w:b/>
                <w:bCs/>
                <w:sz w:val="20"/>
                <w:szCs w:val="20"/>
                <w:lang w:val="en-ZA" w:eastAsia="en-ZA"/>
              </w:rPr>
              <w:t>8 853 715</w:t>
            </w:r>
          </w:p>
        </w:tc>
        <w:tc>
          <w:tcPr>
            <w:tcW w:w="1288" w:type="dxa"/>
            <w:tcBorders>
              <w:top w:val="nil"/>
              <w:left w:val="nil"/>
              <w:bottom w:val="single" w:sz="4" w:space="0" w:color="auto"/>
              <w:right w:val="single" w:sz="4" w:space="0" w:color="auto"/>
            </w:tcBorders>
            <w:shd w:val="clear" w:color="auto" w:fill="auto"/>
            <w:vAlign w:val="center"/>
            <w:hideMark/>
          </w:tcPr>
          <w:p w:rsidR="00E540BA" w:rsidRPr="00545535" w:rsidRDefault="00B26DE9" w:rsidP="00545535">
            <w:pPr>
              <w:rPr>
                <w:rFonts w:ascii="Arial" w:hAnsi="Arial" w:cs="Arial"/>
                <w:b/>
                <w:bCs/>
                <w:sz w:val="20"/>
                <w:szCs w:val="20"/>
                <w:lang w:val="en-ZA" w:eastAsia="en-ZA"/>
              </w:rPr>
            </w:pPr>
            <w:r w:rsidRPr="00545535">
              <w:rPr>
                <w:rFonts w:ascii="Arial" w:hAnsi="Arial" w:cs="Arial"/>
                <w:b/>
                <w:bCs/>
                <w:sz w:val="20"/>
                <w:szCs w:val="20"/>
                <w:lang w:val="en-ZA" w:eastAsia="en-ZA"/>
              </w:rPr>
              <w:t>8 557 022</w:t>
            </w:r>
          </w:p>
        </w:tc>
        <w:tc>
          <w:tcPr>
            <w:tcW w:w="1132" w:type="dxa"/>
            <w:tcBorders>
              <w:top w:val="nil"/>
              <w:left w:val="nil"/>
              <w:bottom w:val="single" w:sz="4" w:space="0" w:color="auto"/>
              <w:right w:val="single" w:sz="4" w:space="0" w:color="auto"/>
            </w:tcBorders>
            <w:shd w:val="clear" w:color="auto" w:fill="auto"/>
            <w:vAlign w:val="center"/>
            <w:hideMark/>
          </w:tcPr>
          <w:p w:rsidR="00E540BA" w:rsidRPr="00545535" w:rsidRDefault="00B26DE9" w:rsidP="00545535">
            <w:pPr>
              <w:rPr>
                <w:rFonts w:ascii="Arial" w:hAnsi="Arial" w:cs="Arial"/>
                <w:b/>
                <w:bCs/>
                <w:sz w:val="20"/>
                <w:szCs w:val="20"/>
                <w:lang w:val="en-ZA" w:eastAsia="en-ZA"/>
              </w:rPr>
            </w:pPr>
            <w:r w:rsidRPr="00545535">
              <w:rPr>
                <w:rFonts w:ascii="Arial" w:hAnsi="Arial" w:cs="Arial"/>
                <w:b/>
                <w:bCs/>
                <w:sz w:val="20"/>
                <w:szCs w:val="20"/>
                <w:lang w:val="en-ZA" w:eastAsia="en-ZA"/>
              </w:rPr>
              <w:t>296 693</w:t>
            </w:r>
          </w:p>
        </w:tc>
        <w:tc>
          <w:tcPr>
            <w:tcW w:w="994" w:type="dxa"/>
            <w:tcBorders>
              <w:top w:val="nil"/>
              <w:left w:val="nil"/>
              <w:bottom w:val="single" w:sz="4" w:space="0" w:color="auto"/>
              <w:right w:val="single" w:sz="4" w:space="0" w:color="auto"/>
            </w:tcBorders>
            <w:shd w:val="clear" w:color="auto" w:fill="auto"/>
            <w:vAlign w:val="center"/>
            <w:hideMark/>
          </w:tcPr>
          <w:p w:rsidR="00E540BA" w:rsidRPr="00545535" w:rsidRDefault="00E540BA" w:rsidP="00545535">
            <w:pPr>
              <w:rPr>
                <w:rFonts w:ascii="Arial" w:hAnsi="Arial" w:cs="Arial"/>
                <w:b/>
                <w:bCs/>
                <w:sz w:val="20"/>
                <w:szCs w:val="20"/>
                <w:lang w:val="en-ZA" w:eastAsia="en-ZA"/>
              </w:rPr>
            </w:pPr>
            <w:r w:rsidRPr="00545535">
              <w:rPr>
                <w:rFonts w:ascii="Arial" w:hAnsi="Arial" w:cs="Arial"/>
                <w:b/>
                <w:bCs/>
                <w:sz w:val="20"/>
                <w:szCs w:val="20"/>
                <w:lang w:val="en-ZA" w:eastAsia="en-ZA"/>
              </w:rPr>
              <w:t>3,4%</w:t>
            </w:r>
          </w:p>
        </w:tc>
      </w:tr>
    </w:tbl>
    <w:p w:rsidR="004802CB" w:rsidRPr="00545535" w:rsidRDefault="00876752" w:rsidP="00545535">
      <w:pPr>
        <w:pStyle w:val="Body"/>
        <w:spacing w:line="240" w:lineRule="auto"/>
        <w:jc w:val="left"/>
        <w:rPr>
          <w:rFonts w:eastAsia="Times New Roman" w:cs="Arial"/>
          <w:sz w:val="20"/>
          <w:szCs w:val="20"/>
        </w:rPr>
      </w:pPr>
      <w:r w:rsidRPr="00545535">
        <w:rPr>
          <w:rFonts w:cs="Arial"/>
          <w:sz w:val="20"/>
          <w:szCs w:val="20"/>
        </w:rPr>
        <w:lastRenderedPageBreak/>
        <w:t>Source: DTIC (2022</w:t>
      </w:r>
      <w:r w:rsidR="00542DB5" w:rsidRPr="00545535">
        <w:rPr>
          <w:rFonts w:cs="Arial"/>
          <w:sz w:val="20"/>
          <w:szCs w:val="20"/>
        </w:rPr>
        <w:t>)</w:t>
      </w:r>
    </w:p>
    <w:p w:rsidR="004802CB" w:rsidRPr="00545535" w:rsidRDefault="004802CB" w:rsidP="00545535">
      <w:pPr>
        <w:pStyle w:val="Body"/>
        <w:tabs>
          <w:tab w:val="left" w:pos="2918"/>
        </w:tabs>
        <w:spacing w:line="240" w:lineRule="auto"/>
        <w:jc w:val="left"/>
        <w:rPr>
          <w:rFonts w:cs="Arial"/>
          <w:sz w:val="20"/>
          <w:szCs w:val="20"/>
        </w:rPr>
      </w:pPr>
    </w:p>
    <w:p w:rsidR="004802CB" w:rsidRPr="00545535" w:rsidRDefault="004802CB" w:rsidP="00545535">
      <w:pPr>
        <w:pStyle w:val="Body"/>
        <w:spacing w:line="240" w:lineRule="auto"/>
        <w:jc w:val="left"/>
        <w:rPr>
          <w:rFonts w:eastAsia="Times New Roman" w:cs="Arial"/>
          <w:sz w:val="20"/>
          <w:szCs w:val="20"/>
        </w:rPr>
      </w:pPr>
    </w:p>
    <w:p w:rsidR="004802CB" w:rsidRPr="00545535" w:rsidRDefault="00542DB5" w:rsidP="00545535">
      <w:pPr>
        <w:pStyle w:val="Heading1"/>
        <w:spacing w:before="0" w:line="240" w:lineRule="auto"/>
        <w:rPr>
          <w:rFonts w:ascii="Arial" w:hAnsi="Arial" w:cs="Arial"/>
          <w:sz w:val="20"/>
          <w:szCs w:val="20"/>
          <w:lang w:val="en-ZA"/>
        </w:rPr>
      </w:pPr>
      <w:r w:rsidRPr="00545535">
        <w:rPr>
          <w:rFonts w:ascii="Arial" w:hAnsi="Arial" w:cs="Arial"/>
          <w:sz w:val="20"/>
          <w:szCs w:val="20"/>
          <w:lang w:val="en-ZA"/>
        </w:rPr>
        <w:t xml:space="preserve">Issues raised during the deliberations </w:t>
      </w:r>
    </w:p>
    <w:p w:rsidR="00296E8D" w:rsidRPr="00545535" w:rsidRDefault="00296E8D" w:rsidP="00545535">
      <w:pPr>
        <w:pStyle w:val="Body"/>
        <w:spacing w:line="240" w:lineRule="auto"/>
        <w:jc w:val="left"/>
        <w:rPr>
          <w:rFonts w:cs="Arial"/>
          <w:color w:val="auto"/>
          <w:sz w:val="20"/>
          <w:szCs w:val="20"/>
        </w:rPr>
      </w:pPr>
    </w:p>
    <w:p w:rsidR="0038423C" w:rsidRPr="00545535" w:rsidRDefault="00542DB5" w:rsidP="00545535">
      <w:pPr>
        <w:pStyle w:val="Body"/>
        <w:spacing w:line="240" w:lineRule="auto"/>
        <w:jc w:val="left"/>
        <w:rPr>
          <w:rFonts w:cs="Arial"/>
          <w:color w:val="auto"/>
          <w:sz w:val="20"/>
          <w:szCs w:val="20"/>
        </w:rPr>
      </w:pPr>
      <w:r w:rsidRPr="00545535">
        <w:rPr>
          <w:rFonts w:cs="Arial"/>
          <w:color w:val="auto"/>
          <w:sz w:val="20"/>
          <w:szCs w:val="20"/>
        </w:rPr>
        <w:t>The following issues relat</w:t>
      </w:r>
      <w:r w:rsidR="00214638" w:rsidRPr="00545535">
        <w:rPr>
          <w:rFonts w:cs="Arial"/>
          <w:color w:val="auto"/>
          <w:sz w:val="20"/>
          <w:szCs w:val="20"/>
        </w:rPr>
        <w:t>ing</w:t>
      </w:r>
      <w:r w:rsidRPr="00545535">
        <w:rPr>
          <w:rFonts w:cs="Arial"/>
          <w:color w:val="auto"/>
          <w:sz w:val="20"/>
          <w:szCs w:val="20"/>
        </w:rPr>
        <w:t xml:space="preserve"> to the performance of the DTIC were raised during the Committee’s deliberations:</w:t>
      </w:r>
    </w:p>
    <w:p w:rsidR="0038423C" w:rsidRPr="00545535" w:rsidRDefault="0038423C" w:rsidP="00545535">
      <w:pPr>
        <w:pStyle w:val="Body"/>
        <w:spacing w:line="240" w:lineRule="auto"/>
        <w:jc w:val="left"/>
        <w:rPr>
          <w:rFonts w:cs="Arial"/>
          <w:color w:val="auto"/>
          <w:sz w:val="20"/>
          <w:szCs w:val="20"/>
        </w:rPr>
      </w:pPr>
    </w:p>
    <w:p w:rsidR="00F3166F" w:rsidRPr="00545535" w:rsidRDefault="00970236" w:rsidP="00545535">
      <w:pPr>
        <w:pStyle w:val="ListParagraph"/>
        <w:spacing w:line="240" w:lineRule="auto"/>
        <w:ind w:hanging="720"/>
        <w:jc w:val="left"/>
        <w:rPr>
          <w:rFonts w:ascii="Arial" w:hAnsi="Arial" w:cs="Arial"/>
          <w:color w:val="auto"/>
          <w:sz w:val="20"/>
          <w:szCs w:val="20"/>
        </w:rPr>
      </w:pPr>
      <w:r w:rsidRPr="00545535">
        <w:rPr>
          <w:rFonts w:ascii="Arial" w:hAnsi="Arial" w:cs="Arial"/>
          <w:i/>
          <w:color w:val="auto"/>
          <w:sz w:val="20"/>
          <w:szCs w:val="20"/>
        </w:rPr>
        <w:t xml:space="preserve">The </w:t>
      </w:r>
      <w:r w:rsidR="00214638" w:rsidRPr="00545535">
        <w:rPr>
          <w:rFonts w:ascii="Arial" w:hAnsi="Arial" w:cs="Arial"/>
          <w:i/>
          <w:color w:val="auto"/>
          <w:sz w:val="20"/>
          <w:szCs w:val="20"/>
        </w:rPr>
        <w:t xml:space="preserve">Industrial Financing programme’s </w:t>
      </w:r>
      <w:r w:rsidRPr="00545535">
        <w:rPr>
          <w:rFonts w:ascii="Arial" w:hAnsi="Arial" w:cs="Arial"/>
          <w:i/>
          <w:color w:val="auto"/>
          <w:sz w:val="20"/>
          <w:szCs w:val="20"/>
        </w:rPr>
        <w:t>target in relation to investment leveraged</w:t>
      </w:r>
      <w:r w:rsidRPr="00545535">
        <w:rPr>
          <w:rFonts w:ascii="Arial" w:hAnsi="Arial" w:cs="Arial"/>
          <w:color w:val="auto"/>
          <w:sz w:val="20"/>
          <w:szCs w:val="20"/>
        </w:rPr>
        <w:t xml:space="preserve">: Under the Industrial Financing Programme, the DTIC had only leveraged R9,7 billion in investment against a target of R13 billion as at 31 December 2021. The Committee enquired what factors had contributed to this target not being met. The </w:t>
      </w:r>
      <w:r w:rsidR="00571661" w:rsidRPr="00545535">
        <w:rPr>
          <w:rFonts w:ascii="Arial" w:hAnsi="Arial" w:cs="Arial"/>
          <w:color w:val="auto"/>
          <w:sz w:val="20"/>
          <w:szCs w:val="20"/>
        </w:rPr>
        <w:t xml:space="preserve">DTIC </w:t>
      </w:r>
      <w:r w:rsidRPr="00545535">
        <w:rPr>
          <w:rFonts w:ascii="Arial" w:hAnsi="Arial" w:cs="Arial"/>
          <w:color w:val="auto"/>
          <w:sz w:val="20"/>
          <w:szCs w:val="20"/>
        </w:rPr>
        <w:t xml:space="preserve">responded that </w:t>
      </w:r>
      <w:r w:rsidR="00F3166F" w:rsidRPr="00545535">
        <w:rPr>
          <w:rFonts w:ascii="Arial" w:hAnsi="Arial" w:cs="Arial"/>
          <w:color w:val="auto"/>
          <w:sz w:val="20"/>
          <w:szCs w:val="20"/>
        </w:rPr>
        <w:t>the contraction in private sector investment remain</w:t>
      </w:r>
      <w:r w:rsidR="00571661" w:rsidRPr="00545535">
        <w:rPr>
          <w:rFonts w:ascii="Arial" w:hAnsi="Arial" w:cs="Arial"/>
          <w:color w:val="auto"/>
          <w:sz w:val="20"/>
          <w:szCs w:val="20"/>
        </w:rPr>
        <w:t>ed</w:t>
      </w:r>
      <w:r w:rsidR="00F3166F" w:rsidRPr="00545535">
        <w:rPr>
          <w:rFonts w:ascii="Arial" w:hAnsi="Arial" w:cs="Arial"/>
          <w:color w:val="auto"/>
          <w:sz w:val="20"/>
          <w:szCs w:val="20"/>
        </w:rPr>
        <w:t xml:space="preserve"> a key concern for it given the immense downward pressure on company revenues and supply demand, brought about by the COV</w:t>
      </w:r>
      <w:r w:rsidR="00571661" w:rsidRPr="00545535">
        <w:rPr>
          <w:rFonts w:ascii="Arial" w:hAnsi="Arial" w:cs="Arial"/>
          <w:color w:val="auto"/>
          <w:sz w:val="20"/>
          <w:szCs w:val="20"/>
        </w:rPr>
        <w:t>ID</w:t>
      </w:r>
      <w:r w:rsidR="00F3166F" w:rsidRPr="00545535">
        <w:rPr>
          <w:rFonts w:ascii="Arial" w:hAnsi="Arial" w:cs="Arial"/>
          <w:color w:val="auto"/>
          <w:sz w:val="20"/>
          <w:szCs w:val="20"/>
        </w:rPr>
        <w:t>-</w:t>
      </w:r>
      <w:r w:rsidR="00571661" w:rsidRPr="00545535">
        <w:rPr>
          <w:rFonts w:ascii="Arial" w:hAnsi="Arial" w:cs="Arial"/>
          <w:color w:val="auto"/>
          <w:sz w:val="20"/>
          <w:szCs w:val="20"/>
        </w:rPr>
        <w:t>19</w:t>
      </w:r>
      <w:r w:rsidR="00F3166F" w:rsidRPr="00545535">
        <w:rPr>
          <w:rFonts w:ascii="Arial" w:hAnsi="Arial" w:cs="Arial"/>
          <w:color w:val="auto"/>
          <w:sz w:val="20"/>
          <w:szCs w:val="20"/>
        </w:rPr>
        <w:t xml:space="preserve"> pandemic and the July 2021 unrest in </w:t>
      </w:r>
      <w:r w:rsidR="00A90DB5" w:rsidRPr="00545535">
        <w:rPr>
          <w:rFonts w:ascii="Arial" w:hAnsi="Arial" w:cs="Arial"/>
          <w:color w:val="auto"/>
          <w:sz w:val="20"/>
          <w:szCs w:val="20"/>
        </w:rPr>
        <w:t xml:space="preserve">the </w:t>
      </w:r>
      <w:r w:rsidR="00F3166F" w:rsidRPr="00545535">
        <w:rPr>
          <w:rFonts w:ascii="Arial" w:hAnsi="Arial" w:cs="Arial"/>
          <w:color w:val="auto"/>
          <w:sz w:val="20"/>
          <w:szCs w:val="20"/>
        </w:rPr>
        <w:t>K</w:t>
      </w:r>
      <w:r w:rsidR="00571661" w:rsidRPr="00545535">
        <w:rPr>
          <w:rFonts w:ascii="Arial" w:hAnsi="Arial" w:cs="Arial"/>
          <w:color w:val="auto"/>
          <w:sz w:val="20"/>
          <w:szCs w:val="20"/>
        </w:rPr>
        <w:t>wa</w:t>
      </w:r>
      <w:r w:rsidR="00F3166F" w:rsidRPr="00545535">
        <w:rPr>
          <w:rFonts w:ascii="Arial" w:hAnsi="Arial" w:cs="Arial"/>
          <w:color w:val="auto"/>
          <w:sz w:val="20"/>
          <w:szCs w:val="20"/>
        </w:rPr>
        <w:t>Z</w:t>
      </w:r>
      <w:r w:rsidR="00571661" w:rsidRPr="00545535">
        <w:rPr>
          <w:rFonts w:ascii="Arial" w:hAnsi="Arial" w:cs="Arial"/>
          <w:color w:val="auto"/>
          <w:sz w:val="20"/>
          <w:szCs w:val="20"/>
        </w:rPr>
        <w:t>ulu-</w:t>
      </w:r>
      <w:r w:rsidR="00F3166F" w:rsidRPr="00545535">
        <w:rPr>
          <w:rFonts w:ascii="Arial" w:hAnsi="Arial" w:cs="Arial"/>
          <w:color w:val="auto"/>
          <w:sz w:val="20"/>
          <w:szCs w:val="20"/>
        </w:rPr>
        <w:t>N</w:t>
      </w:r>
      <w:r w:rsidR="00571661" w:rsidRPr="00545535">
        <w:rPr>
          <w:rFonts w:ascii="Arial" w:hAnsi="Arial" w:cs="Arial"/>
          <w:color w:val="auto"/>
          <w:sz w:val="20"/>
          <w:szCs w:val="20"/>
        </w:rPr>
        <w:t>atal</w:t>
      </w:r>
      <w:r w:rsidR="00F3166F" w:rsidRPr="00545535">
        <w:rPr>
          <w:rFonts w:ascii="Arial" w:hAnsi="Arial" w:cs="Arial"/>
          <w:color w:val="auto"/>
          <w:sz w:val="20"/>
          <w:szCs w:val="20"/>
        </w:rPr>
        <w:t xml:space="preserve"> and Gauteng </w:t>
      </w:r>
      <w:r w:rsidR="00A90DB5" w:rsidRPr="00545535">
        <w:rPr>
          <w:rFonts w:ascii="Arial" w:hAnsi="Arial" w:cs="Arial"/>
          <w:color w:val="auto"/>
          <w:sz w:val="20"/>
          <w:szCs w:val="20"/>
        </w:rPr>
        <w:t>p</w:t>
      </w:r>
      <w:r w:rsidR="00F3166F" w:rsidRPr="00545535">
        <w:rPr>
          <w:rFonts w:ascii="Arial" w:hAnsi="Arial" w:cs="Arial"/>
          <w:color w:val="auto"/>
          <w:sz w:val="20"/>
          <w:szCs w:val="20"/>
        </w:rPr>
        <w:t>rovinces</w:t>
      </w:r>
      <w:r w:rsidR="00A90DB5" w:rsidRPr="00545535">
        <w:rPr>
          <w:rFonts w:ascii="Arial" w:hAnsi="Arial" w:cs="Arial"/>
          <w:color w:val="auto"/>
          <w:sz w:val="20"/>
          <w:szCs w:val="20"/>
        </w:rPr>
        <w:t>.</w:t>
      </w:r>
      <w:r w:rsidR="00F3166F" w:rsidRPr="00545535">
        <w:rPr>
          <w:rFonts w:ascii="Arial" w:hAnsi="Arial" w:cs="Arial"/>
          <w:color w:val="auto"/>
          <w:sz w:val="20"/>
          <w:szCs w:val="20"/>
        </w:rPr>
        <w:t xml:space="preserve"> </w:t>
      </w:r>
      <w:r w:rsidR="00A90DB5" w:rsidRPr="00545535">
        <w:rPr>
          <w:rFonts w:ascii="Arial" w:hAnsi="Arial" w:cs="Arial"/>
          <w:color w:val="auto"/>
          <w:sz w:val="20"/>
          <w:szCs w:val="20"/>
        </w:rPr>
        <w:t xml:space="preserve">This had </w:t>
      </w:r>
      <w:r w:rsidR="00F3166F" w:rsidRPr="00545535">
        <w:rPr>
          <w:rFonts w:ascii="Arial" w:hAnsi="Arial" w:cs="Arial"/>
          <w:color w:val="auto"/>
          <w:sz w:val="20"/>
          <w:szCs w:val="20"/>
        </w:rPr>
        <w:t>affected enterprise confidence and commitments to investments result</w:t>
      </w:r>
      <w:r w:rsidR="00571661" w:rsidRPr="00545535">
        <w:rPr>
          <w:rFonts w:ascii="Arial" w:hAnsi="Arial" w:cs="Arial"/>
          <w:color w:val="auto"/>
          <w:sz w:val="20"/>
          <w:szCs w:val="20"/>
        </w:rPr>
        <w:t>ing</w:t>
      </w:r>
      <w:r w:rsidR="00F3166F" w:rsidRPr="00545535">
        <w:rPr>
          <w:rFonts w:ascii="Arial" w:hAnsi="Arial" w:cs="Arial"/>
          <w:color w:val="auto"/>
          <w:sz w:val="20"/>
          <w:szCs w:val="20"/>
        </w:rPr>
        <w:t xml:space="preserve"> in a snowball effect across the country. Wh</w:t>
      </w:r>
      <w:r w:rsidR="00571661" w:rsidRPr="00545535">
        <w:rPr>
          <w:rFonts w:ascii="Arial" w:hAnsi="Arial" w:cs="Arial"/>
          <w:color w:val="auto"/>
          <w:sz w:val="20"/>
          <w:szCs w:val="20"/>
        </w:rPr>
        <w:t>il</w:t>
      </w:r>
      <w:r w:rsidR="00F3166F" w:rsidRPr="00545535">
        <w:rPr>
          <w:rFonts w:ascii="Arial" w:hAnsi="Arial" w:cs="Arial"/>
          <w:color w:val="auto"/>
          <w:sz w:val="20"/>
          <w:szCs w:val="20"/>
        </w:rPr>
        <w:t>e the DTIC remain</w:t>
      </w:r>
      <w:r w:rsidR="00571661" w:rsidRPr="00545535">
        <w:rPr>
          <w:rFonts w:ascii="Arial" w:hAnsi="Arial" w:cs="Arial"/>
          <w:color w:val="auto"/>
          <w:sz w:val="20"/>
          <w:szCs w:val="20"/>
        </w:rPr>
        <w:t>ed</w:t>
      </w:r>
      <w:r w:rsidR="00F3166F" w:rsidRPr="00545535">
        <w:rPr>
          <w:rFonts w:ascii="Arial" w:hAnsi="Arial" w:cs="Arial"/>
          <w:color w:val="auto"/>
          <w:sz w:val="20"/>
          <w:szCs w:val="20"/>
        </w:rPr>
        <w:t xml:space="preserve"> committed to discharg</w:t>
      </w:r>
      <w:r w:rsidR="00571661" w:rsidRPr="00545535">
        <w:rPr>
          <w:rFonts w:ascii="Arial" w:hAnsi="Arial" w:cs="Arial"/>
          <w:color w:val="auto"/>
          <w:sz w:val="20"/>
          <w:szCs w:val="20"/>
        </w:rPr>
        <w:t>ing</w:t>
      </w:r>
      <w:r w:rsidR="00F3166F" w:rsidRPr="00545535">
        <w:rPr>
          <w:rFonts w:ascii="Arial" w:hAnsi="Arial" w:cs="Arial"/>
          <w:color w:val="auto"/>
          <w:sz w:val="20"/>
          <w:szCs w:val="20"/>
        </w:rPr>
        <w:t xml:space="preserve"> all of its funding obligations during the entire pandemic, it </w:t>
      </w:r>
      <w:r w:rsidR="00A90DB5" w:rsidRPr="00545535">
        <w:rPr>
          <w:rFonts w:ascii="Arial" w:hAnsi="Arial" w:cs="Arial"/>
          <w:color w:val="auto"/>
          <w:sz w:val="20"/>
          <w:szCs w:val="20"/>
        </w:rPr>
        <w:t xml:space="preserve">could </w:t>
      </w:r>
      <w:r w:rsidR="00F3166F" w:rsidRPr="00545535">
        <w:rPr>
          <w:rFonts w:ascii="Arial" w:hAnsi="Arial" w:cs="Arial"/>
          <w:color w:val="auto"/>
          <w:sz w:val="20"/>
          <w:szCs w:val="20"/>
        </w:rPr>
        <w:t>only d</w:t>
      </w:r>
      <w:r w:rsidR="00571661" w:rsidRPr="00545535">
        <w:rPr>
          <w:rFonts w:ascii="Arial" w:hAnsi="Arial" w:cs="Arial"/>
          <w:color w:val="auto"/>
          <w:sz w:val="20"/>
          <w:szCs w:val="20"/>
        </w:rPr>
        <w:t xml:space="preserve">isburse funds when </w:t>
      </w:r>
      <w:r w:rsidR="00F3166F" w:rsidRPr="00545535">
        <w:rPr>
          <w:rFonts w:ascii="Arial" w:hAnsi="Arial" w:cs="Arial"/>
          <w:color w:val="auto"/>
          <w:sz w:val="20"/>
          <w:szCs w:val="20"/>
        </w:rPr>
        <w:t xml:space="preserve">actual investment </w:t>
      </w:r>
      <w:r w:rsidR="00571661" w:rsidRPr="00545535">
        <w:rPr>
          <w:rFonts w:ascii="Arial" w:hAnsi="Arial" w:cs="Arial"/>
          <w:color w:val="auto"/>
          <w:sz w:val="20"/>
          <w:szCs w:val="20"/>
        </w:rPr>
        <w:t>ha</w:t>
      </w:r>
      <w:r w:rsidR="00A90DB5" w:rsidRPr="00545535">
        <w:rPr>
          <w:rFonts w:ascii="Arial" w:hAnsi="Arial" w:cs="Arial"/>
          <w:color w:val="auto"/>
          <w:sz w:val="20"/>
          <w:szCs w:val="20"/>
        </w:rPr>
        <w:t>d</w:t>
      </w:r>
      <w:r w:rsidR="00571661" w:rsidRPr="00545535">
        <w:rPr>
          <w:rFonts w:ascii="Arial" w:hAnsi="Arial" w:cs="Arial"/>
          <w:color w:val="auto"/>
          <w:sz w:val="20"/>
          <w:szCs w:val="20"/>
        </w:rPr>
        <w:t xml:space="preserve"> been verified </w:t>
      </w:r>
      <w:r w:rsidR="00F3166F" w:rsidRPr="00545535">
        <w:rPr>
          <w:rFonts w:ascii="Arial" w:hAnsi="Arial" w:cs="Arial"/>
          <w:color w:val="auto"/>
          <w:sz w:val="20"/>
          <w:szCs w:val="20"/>
        </w:rPr>
        <w:t xml:space="preserve">by approved private sector enterprises. </w:t>
      </w:r>
    </w:p>
    <w:p w:rsidR="00F3166F" w:rsidRPr="00545535" w:rsidRDefault="00F3166F" w:rsidP="00545535">
      <w:pPr>
        <w:rPr>
          <w:rFonts w:ascii="Arial" w:hAnsi="Arial" w:cs="Arial"/>
          <w:sz w:val="20"/>
          <w:szCs w:val="20"/>
        </w:rPr>
      </w:pPr>
    </w:p>
    <w:p w:rsidR="00F3166F" w:rsidRPr="00545535" w:rsidRDefault="00571661" w:rsidP="00545535">
      <w:pPr>
        <w:pStyle w:val="ListParagraph"/>
        <w:numPr>
          <w:ilvl w:val="0"/>
          <w:numId w:val="0"/>
        </w:numPr>
        <w:spacing w:line="240" w:lineRule="auto"/>
        <w:ind w:left="720"/>
        <w:jc w:val="left"/>
        <w:rPr>
          <w:rFonts w:ascii="Arial" w:hAnsi="Arial" w:cs="Arial"/>
          <w:color w:val="auto"/>
          <w:sz w:val="20"/>
          <w:szCs w:val="20"/>
        </w:rPr>
      </w:pPr>
      <w:r w:rsidRPr="00545535">
        <w:rPr>
          <w:rFonts w:ascii="Arial" w:hAnsi="Arial" w:cs="Arial"/>
          <w:color w:val="auto"/>
          <w:sz w:val="20"/>
          <w:szCs w:val="20"/>
        </w:rPr>
        <w:t>While the third quarter investment target had not been met, t</w:t>
      </w:r>
      <w:r w:rsidR="00F3166F" w:rsidRPr="00545535">
        <w:rPr>
          <w:rFonts w:ascii="Arial" w:hAnsi="Arial" w:cs="Arial"/>
          <w:color w:val="auto"/>
          <w:sz w:val="20"/>
          <w:szCs w:val="20"/>
        </w:rPr>
        <w:t xml:space="preserve">he </w:t>
      </w:r>
      <w:r w:rsidR="00CF1119" w:rsidRPr="00545535">
        <w:rPr>
          <w:rFonts w:ascii="Arial" w:hAnsi="Arial" w:cs="Arial"/>
          <w:color w:val="auto"/>
          <w:sz w:val="20"/>
          <w:szCs w:val="20"/>
        </w:rPr>
        <w:t>cumulative target of R23 </w:t>
      </w:r>
      <w:r w:rsidRPr="00545535">
        <w:rPr>
          <w:rFonts w:ascii="Arial" w:hAnsi="Arial" w:cs="Arial"/>
          <w:color w:val="auto"/>
          <w:sz w:val="20"/>
          <w:szCs w:val="20"/>
        </w:rPr>
        <w:t xml:space="preserve">million </w:t>
      </w:r>
      <w:r w:rsidR="00B625EE" w:rsidRPr="00545535">
        <w:rPr>
          <w:rFonts w:ascii="Arial" w:hAnsi="Arial" w:cs="Arial"/>
          <w:color w:val="auto"/>
          <w:sz w:val="20"/>
          <w:szCs w:val="20"/>
        </w:rPr>
        <w:t>in</w:t>
      </w:r>
      <w:r w:rsidR="00F3166F" w:rsidRPr="00545535">
        <w:rPr>
          <w:rFonts w:ascii="Arial" w:hAnsi="Arial" w:cs="Arial"/>
          <w:color w:val="auto"/>
          <w:sz w:val="20"/>
          <w:szCs w:val="20"/>
        </w:rPr>
        <w:t xml:space="preserve"> projected investments to be leveraged from enterprises/projects approved </w:t>
      </w:r>
      <w:r w:rsidRPr="00545535">
        <w:rPr>
          <w:rFonts w:ascii="Arial" w:hAnsi="Arial" w:cs="Arial"/>
          <w:color w:val="auto"/>
          <w:sz w:val="20"/>
          <w:szCs w:val="20"/>
        </w:rPr>
        <w:t xml:space="preserve">had been </w:t>
      </w:r>
      <w:r w:rsidR="00F3166F" w:rsidRPr="00545535">
        <w:rPr>
          <w:rFonts w:ascii="Arial" w:hAnsi="Arial" w:cs="Arial"/>
          <w:color w:val="auto"/>
          <w:sz w:val="20"/>
          <w:szCs w:val="20"/>
        </w:rPr>
        <w:t xml:space="preserve">exceeded </w:t>
      </w:r>
      <w:r w:rsidRPr="00545535">
        <w:rPr>
          <w:rFonts w:ascii="Arial" w:hAnsi="Arial" w:cs="Arial"/>
          <w:color w:val="auto"/>
          <w:sz w:val="20"/>
          <w:szCs w:val="20"/>
        </w:rPr>
        <w:t xml:space="preserve">by 31 December 2021. In this regard, </w:t>
      </w:r>
      <w:r w:rsidR="00F3166F" w:rsidRPr="00545535">
        <w:rPr>
          <w:rFonts w:ascii="Arial" w:hAnsi="Arial" w:cs="Arial"/>
          <w:color w:val="auto"/>
          <w:sz w:val="20"/>
          <w:szCs w:val="20"/>
        </w:rPr>
        <w:t>R27</w:t>
      </w:r>
      <w:r w:rsidRPr="00545535">
        <w:rPr>
          <w:rFonts w:ascii="Arial" w:hAnsi="Arial" w:cs="Arial"/>
          <w:color w:val="auto"/>
          <w:sz w:val="20"/>
          <w:szCs w:val="20"/>
        </w:rPr>
        <w:t>,</w:t>
      </w:r>
      <w:r w:rsidR="00F3166F" w:rsidRPr="00545535">
        <w:rPr>
          <w:rFonts w:ascii="Arial" w:hAnsi="Arial" w:cs="Arial"/>
          <w:color w:val="auto"/>
          <w:sz w:val="20"/>
          <w:szCs w:val="20"/>
        </w:rPr>
        <w:t>7</w:t>
      </w:r>
      <w:r w:rsidRPr="00545535">
        <w:rPr>
          <w:rFonts w:ascii="Arial" w:hAnsi="Arial" w:cs="Arial"/>
          <w:color w:val="auto"/>
          <w:sz w:val="20"/>
          <w:szCs w:val="20"/>
        </w:rPr>
        <w:t xml:space="preserve"> </w:t>
      </w:r>
      <w:r w:rsidR="00F3166F" w:rsidRPr="00545535">
        <w:rPr>
          <w:rFonts w:ascii="Arial" w:hAnsi="Arial" w:cs="Arial"/>
          <w:color w:val="auto"/>
          <w:sz w:val="20"/>
          <w:szCs w:val="20"/>
        </w:rPr>
        <w:t>b</w:t>
      </w:r>
      <w:r w:rsidRPr="00545535">
        <w:rPr>
          <w:rFonts w:ascii="Arial" w:hAnsi="Arial" w:cs="Arial"/>
          <w:color w:val="auto"/>
          <w:sz w:val="20"/>
          <w:szCs w:val="20"/>
        </w:rPr>
        <w:t>illio</w:t>
      </w:r>
      <w:r w:rsidR="00F3166F" w:rsidRPr="00545535">
        <w:rPr>
          <w:rFonts w:ascii="Arial" w:hAnsi="Arial" w:cs="Arial"/>
          <w:color w:val="auto"/>
          <w:sz w:val="20"/>
          <w:szCs w:val="20"/>
        </w:rPr>
        <w:t>n</w:t>
      </w:r>
      <w:r w:rsidRPr="00545535">
        <w:rPr>
          <w:rFonts w:ascii="Arial" w:hAnsi="Arial" w:cs="Arial"/>
          <w:color w:val="auto"/>
          <w:sz w:val="20"/>
          <w:szCs w:val="20"/>
        </w:rPr>
        <w:t xml:space="preserve"> had been leveraged over the</w:t>
      </w:r>
      <w:r w:rsidR="00A90DB5" w:rsidRPr="00545535">
        <w:rPr>
          <w:rFonts w:ascii="Arial" w:hAnsi="Arial" w:cs="Arial"/>
          <w:color w:val="auto"/>
          <w:sz w:val="20"/>
          <w:szCs w:val="20"/>
        </w:rPr>
        <w:t xml:space="preserve"> first</w:t>
      </w:r>
      <w:r w:rsidRPr="00545535">
        <w:rPr>
          <w:rFonts w:ascii="Arial" w:hAnsi="Arial" w:cs="Arial"/>
          <w:color w:val="auto"/>
          <w:sz w:val="20"/>
          <w:szCs w:val="20"/>
        </w:rPr>
        <w:t xml:space="preserve"> three quarters of the financial year</w:t>
      </w:r>
      <w:r w:rsidR="00F3166F" w:rsidRPr="00545535">
        <w:rPr>
          <w:rFonts w:ascii="Arial" w:hAnsi="Arial" w:cs="Arial"/>
          <w:color w:val="auto"/>
          <w:sz w:val="20"/>
          <w:szCs w:val="20"/>
        </w:rPr>
        <w:t>.</w:t>
      </w:r>
    </w:p>
    <w:p w:rsidR="00970236" w:rsidRPr="00545535" w:rsidRDefault="00970236" w:rsidP="00545535">
      <w:pPr>
        <w:rPr>
          <w:rFonts w:ascii="Arial" w:hAnsi="Arial" w:cs="Arial"/>
          <w:i/>
          <w:sz w:val="20"/>
          <w:szCs w:val="20"/>
        </w:rPr>
      </w:pPr>
    </w:p>
    <w:p w:rsidR="00D24A11" w:rsidRPr="00545535" w:rsidRDefault="00D24A11" w:rsidP="00545535">
      <w:pPr>
        <w:pStyle w:val="ListParagraph"/>
        <w:spacing w:line="240" w:lineRule="auto"/>
        <w:ind w:hanging="720"/>
        <w:jc w:val="left"/>
        <w:rPr>
          <w:rFonts w:ascii="Arial" w:hAnsi="Arial" w:cs="Arial"/>
          <w:sz w:val="20"/>
          <w:szCs w:val="20"/>
        </w:rPr>
      </w:pPr>
      <w:r w:rsidRPr="00545535">
        <w:rPr>
          <w:rFonts w:ascii="Arial" w:hAnsi="Arial" w:cs="Arial"/>
          <w:i/>
          <w:color w:val="auto"/>
          <w:sz w:val="20"/>
          <w:szCs w:val="20"/>
        </w:rPr>
        <w:t xml:space="preserve">Lack of uptake of the Film and TV Incentive Programme: </w:t>
      </w:r>
      <w:r w:rsidRPr="00545535">
        <w:rPr>
          <w:rFonts w:ascii="Arial" w:hAnsi="Arial" w:cs="Arial"/>
          <w:color w:val="auto"/>
          <w:sz w:val="20"/>
          <w:szCs w:val="20"/>
        </w:rPr>
        <w:t>In its presentation, the DTIC had reported that it had published a call for submission of film proposals with African local themes or stories, under the Film and TV Incentive Programme. However, there had been no uptake in this regard. The Committee enquired why there had been no responses, given that previous engagements the Committee had had with stakeholders highlighted the need for more local stories to be produced. The Committee was of the view that film-making in South Africa, especially in Cape Town, is dominated by international companies, and is not convinced that there is a dearth in stories with African literary appeal. The Cape Town film studios, being the first world-class Hollywood style film studio complex in Africa</w:t>
      </w:r>
      <w:r w:rsidR="00A90DB5" w:rsidRPr="00545535">
        <w:rPr>
          <w:rFonts w:ascii="Arial" w:hAnsi="Arial" w:cs="Arial"/>
          <w:color w:val="auto"/>
          <w:sz w:val="20"/>
          <w:szCs w:val="20"/>
        </w:rPr>
        <w:t>,</w:t>
      </w:r>
      <w:r w:rsidRPr="00545535">
        <w:rPr>
          <w:rFonts w:ascii="Arial" w:hAnsi="Arial" w:cs="Arial"/>
          <w:color w:val="auto"/>
          <w:sz w:val="20"/>
          <w:szCs w:val="20"/>
        </w:rPr>
        <w:t xml:space="preserve"> should have been producing more films with African flair. It </w:t>
      </w:r>
      <w:r w:rsidR="00A90DB5" w:rsidRPr="00545535">
        <w:rPr>
          <w:rFonts w:ascii="Arial" w:hAnsi="Arial" w:cs="Arial"/>
          <w:color w:val="auto"/>
          <w:sz w:val="20"/>
          <w:szCs w:val="20"/>
        </w:rPr>
        <w:t>wa</w:t>
      </w:r>
      <w:r w:rsidRPr="00545535">
        <w:rPr>
          <w:rFonts w:ascii="Arial" w:hAnsi="Arial" w:cs="Arial"/>
          <w:color w:val="auto"/>
          <w:sz w:val="20"/>
          <w:szCs w:val="20"/>
        </w:rPr>
        <w:t xml:space="preserve">s important to educate both </w:t>
      </w:r>
      <w:r w:rsidR="00A90DB5" w:rsidRPr="00545535">
        <w:rPr>
          <w:rFonts w:ascii="Arial" w:hAnsi="Arial" w:cs="Arial"/>
          <w:color w:val="auto"/>
          <w:sz w:val="20"/>
          <w:szCs w:val="20"/>
        </w:rPr>
        <w:t xml:space="preserve">local </w:t>
      </w:r>
      <w:r w:rsidRPr="00545535">
        <w:rPr>
          <w:rFonts w:ascii="Arial" w:hAnsi="Arial" w:cs="Arial"/>
          <w:color w:val="auto"/>
          <w:sz w:val="20"/>
          <w:szCs w:val="20"/>
        </w:rPr>
        <w:t xml:space="preserve">screenwriters and producers to </w:t>
      </w:r>
      <w:r w:rsidR="00A90DB5" w:rsidRPr="00545535">
        <w:rPr>
          <w:rFonts w:ascii="Arial" w:hAnsi="Arial" w:cs="Arial"/>
          <w:color w:val="auto"/>
          <w:sz w:val="20"/>
          <w:szCs w:val="20"/>
        </w:rPr>
        <w:t xml:space="preserve">also </w:t>
      </w:r>
      <w:r w:rsidRPr="00545535">
        <w:rPr>
          <w:rFonts w:ascii="Arial" w:hAnsi="Arial" w:cs="Arial"/>
          <w:color w:val="auto"/>
          <w:sz w:val="20"/>
          <w:szCs w:val="20"/>
        </w:rPr>
        <w:t>pursue the African themes. According to the DTIC, after publication of the call, it had engaged with local filmmakers through a webinar on the matter. Unfortunately, and subsequently, no applications had been received from prospective filmmakers. It had also shared the information with all the Provincial Departments of Sports, Arts and Culture, as well as Film Commissions or Entities, to encourage filmmakers to take-on this opportunity. Furthermore, it was looking at placing the call on different advertorial platforms to create more awareness with a focus on the South African Broadcasting Corporation, as it has a broader reach and appeal in the rural areas and most other distributors are not attracted to this genre due to marginally lower revenues compared to other genres.</w:t>
      </w:r>
    </w:p>
    <w:p w:rsidR="00D24A11" w:rsidRPr="00545535" w:rsidRDefault="00D24A11" w:rsidP="00545535">
      <w:pPr>
        <w:rPr>
          <w:rFonts w:ascii="Arial" w:hAnsi="Arial" w:cs="Arial"/>
          <w:i/>
          <w:sz w:val="20"/>
          <w:szCs w:val="20"/>
        </w:rPr>
      </w:pPr>
    </w:p>
    <w:p w:rsidR="00A34CC4" w:rsidRPr="00545535" w:rsidRDefault="00943DB9" w:rsidP="00545535">
      <w:pPr>
        <w:pStyle w:val="ListParagraph"/>
        <w:spacing w:line="240" w:lineRule="auto"/>
        <w:ind w:hanging="720"/>
        <w:jc w:val="left"/>
        <w:rPr>
          <w:rFonts w:ascii="Arial" w:hAnsi="Arial" w:cs="Arial"/>
          <w:sz w:val="20"/>
          <w:szCs w:val="20"/>
        </w:rPr>
      </w:pPr>
      <w:r w:rsidRPr="00545535">
        <w:rPr>
          <w:rFonts w:ascii="Arial" w:hAnsi="Arial" w:cs="Arial"/>
          <w:i/>
          <w:sz w:val="20"/>
          <w:szCs w:val="20"/>
        </w:rPr>
        <w:t>Support to enterprises under the Workplace Challenge Programme</w:t>
      </w:r>
      <w:r w:rsidR="00935686" w:rsidRPr="00545535">
        <w:rPr>
          <w:rFonts w:ascii="Arial" w:hAnsi="Arial" w:cs="Arial"/>
          <w:sz w:val="20"/>
          <w:szCs w:val="20"/>
        </w:rPr>
        <w:t xml:space="preserve">: </w:t>
      </w:r>
      <w:r w:rsidR="00A34CC4" w:rsidRPr="00545535">
        <w:rPr>
          <w:rFonts w:ascii="Arial" w:hAnsi="Arial" w:cs="Arial"/>
          <w:sz w:val="20"/>
          <w:szCs w:val="20"/>
        </w:rPr>
        <w:t xml:space="preserve">Of the 47 </w:t>
      </w:r>
      <w:r w:rsidR="00794677" w:rsidRPr="00545535">
        <w:rPr>
          <w:rFonts w:ascii="Arial" w:hAnsi="Arial" w:cs="Arial"/>
          <w:sz w:val="20"/>
          <w:szCs w:val="20"/>
        </w:rPr>
        <w:t>enterprises</w:t>
      </w:r>
      <w:r w:rsidR="00A34CC4" w:rsidRPr="00545535">
        <w:rPr>
          <w:rFonts w:ascii="Arial" w:hAnsi="Arial" w:cs="Arial"/>
          <w:sz w:val="20"/>
          <w:szCs w:val="20"/>
        </w:rPr>
        <w:t xml:space="preserve"> supported</w:t>
      </w:r>
      <w:r w:rsidR="00794677" w:rsidRPr="00545535">
        <w:rPr>
          <w:rFonts w:ascii="Arial" w:hAnsi="Arial" w:cs="Arial"/>
          <w:sz w:val="20"/>
          <w:szCs w:val="20"/>
        </w:rPr>
        <w:t xml:space="preserve"> through the </w:t>
      </w:r>
      <w:r w:rsidR="00794677" w:rsidRPr="00545535">
        <w:rPr>
          <w:rFonts w:ascii="Arial" w:hAnsi="Arial" w:cs="Arial"/>
          <w:color w:val="auto"/>
          <w:sz w:val="20"/>
          <w:szCs w:val="20"/>
        </w:rPr>
        <w:t>Enterprise Support through Workplace Challenge Programme</w:t>
      </w:r>
      <w:r w:rsidR="00A34CC4" w:rsidRPr="00545535">
        <w:rPr>
          <w:rFonts w:ascii="Arial" w:hAnsi="Arial" w:cs="Arial"/>
          <w:sz w:val="20"/>
          <w:szCs w:val="20"/>
        </w:rPr>
        <w:t xml:space="preserve">, the Committee requested a breakdown of how many were </w:t>
      </w:r>
      <w:r w:rsidR="00794677" w:rsidRPr="00545535">
        <w:rPr>
          <w:rFonts w:ascii="Arial" w:hAnsi="Arial" w:cs="Arial"/>
          <w:sz w:val="20"/>
          <w:szCs w:val="20"/>
        </w:rPr>
        <w:t xml:space="preserve">black-, </w:t>
      </w:r>
      <w:r w:rsidR="00A34CC4" w:rsidRPr="00545535">
        <w:rPr>
          <w:rFonts w:ascii="Arial" w:hAnsi="Arial" w:cs="Arial"/>
          <w:sz w:val="20"/>
          <w:szCs w:val="20"/>
        </w:rPr>
        <w:t>women- and youth-owned. In addition, what had been the impact of this support offered on township development. Furthermore, the Committee enquired what measures were being implemented to ensure their financial sustainability and longevity.</w:t>
      </w:r>
      <w:r w:rsidR="00940948" w:rsidRPr="00545535">
        <w:rPr>
          <w:rFonts w:ascii="Arial" w:hAnsi="Arial" w:cs="Arial"/>
          <w:sz w:val="20"/>
          <w:szCs w:val="20"/>
        </w:rPr>
        <w:t xml:space="preserve"> </w:t>
      </w:r>
      <w:r w:rsidR="002556FC" w:rsidRPr="00545535">
        <w:rPr>
          <w:rFonts w:ascii="Arial" w:hAnsi="Arial" w:cs="Arial"/>
          <w:sz w:val="20"/>
          <w:szCs w:val="20"/>
        </w:rPr>
        <w:t xml:space="preserve"> The DTIC informed the Committee that the Workplace Challenge Programme is offered as a non-financial support intervention with the objectives of enabling participating companies to be</w:t>
      </w:r>
      <w:r w:rsidR="00252D66" w:rsidRPr="00545535">
        <w:rPr>
          <w:rFonts w:ascii="Arial" w:hAnsi="Arial" w:cs="Arial"/>
          <w:sz w:val="20"/>
          <w:szCs w:val="20"/>
        </w:rPr>
        <w:t>come more</w:t>
      </w:r>
      <w:r w:rsidR="002556FC" w:rsidRPr="00545535">
        <w:rPr>
          <w:rFonts w:ascii="Arial" w:hAnsi="Arial" w:cs="Arial"/>
          <w:sz w:val="20"/>
          <w:szCs w:val="20"/>
        </w:rPr>
        <w:t xml:space="preserve"> sustainable, enhance </w:t>
      </w:r>
      <w:r w:rsidR="00252D66" w:rsidRPr="00545535">
        <w:rPr>
          <w:rFonts w:ascii="Arial" w:hAnsi="Arial" w:cs="Arial"/>
          <w:sz w:val="20"/>
          <w:szCs w:val="20"/>
        </w:rPr>
        <w:t xml:space="preserve">their </w:t>
      </w:r>
      <w:r w:rsidR="002556FC" w:rsidRPr="00545535">
        <w:rPr>
          <w:rFonts w:ascii="Arial" w:hAnsi="Arial" w:cs="Arial"/>
          <w:sz w:val="20"/>
          <w:szCs w:val="20"/>
        </w:rPr>
        <w:t xml:space="preserve">productivity, compete in the global market and </w:t>
      </w:r>
      <w:r w:rsidR="00252D66" w:rsidRPr="00545535">
        <w:rPr>
          <w:rFonts w:ascii="Arial" w:hAnsi="Arial" w:cs="Arial"/>
          <w:sz w:val="20"/>
          <w:szCs w:val="20"/>
        </w:rPr>
        <w:t xml:space="preserve">provide </w:t>
      </w:r>
      <w:r w:rsidR="002556FC" w:rsidRPr="00545535">
        <w:rPr>
          <w:rFonts w:ascii="Arial" w:hAnsi="Arial" w:cs="Arial"/>
          <w:sz w:val="20"/>
          <w:szCs w:val="20"/>
        </w:rPr>
        <w:t xml:space="preserve">employment security through growth. </w:t>
      </w:r>
      <w:r w:rsidR="00940948" w:rsidRPr="00545535">
        <w:rPr>
          <w:rFonts w:ascii="Arial" w:hAnsi="Arial" w:cs="Arial"/>
          <w:sz w:val="20"/>
          <w:szCs w:val="20"/>
        </w:rPr>
        <w:t>The DTIC noted that</w:t>
      </w:r>
      <w:r w:rsidR="00794677" w:rsidRPr="00545535">
        <w:rPr>
          <w:rFonts w:ascii="Arial" w:hAnsi="Arial" w:cs="Arial"/>
          <w:sz w:val="20"/>
          <w:szCs w:val="20"/>
        </w:rPr>
        <w:t>, in the second quarter,</w:t>
      </w:r>
      <w:r w:rsidR="00940948" w:rsidRPr="00545535">
        <w:rPr>
          <w:rFonts w:ascii="Arial" w:hAnsi="Arial" w:cs="Arial"/>
          <w:sz w:val="20"/>
          <w:szCs w:val="20"/>
        </w:rPr>
        <w:t xml:space="preserve"> </w:t>
      </w:r>
      <w:r w:rsidR="00794677" w:rsidRPr="00545535">
        <w:rPr>
          <w:rFonts w:ascii="Arial" w:hAnsi="Arial" w:cs="Arial"/>
          <w:sz w:val="20"/>
          <w:szCs w:val="20"/>
        </w:rPr>
        <w:t xml:space="preserve">44 of the 47 enterprises </w:t>
      </w:r>
      <w:r w:rsidR="00252D66" w:rsidRPr="00545535">
        <w:rPr>
          <w:rFonts w:ascii="Arial" w:hAnsi="Arial" w:cs="Arial"/>
          <w:sz w:val="20"/>
          <w:szCs w:val="20"/>
        </w:rPr>
        <w:t xml:space="preserve">had been </w:t>
      </w:r>
      <w:r w:rsidR="00794677" w:rsidRPr="00545535">
        <w:rPr>
          <w:rFonts w:ascii="Arial" w:hAnsi="Arial" w:cs="Arial"/>
          <w:sz w:val="20"/>
          <w:szCs w:val="20"/>
        </w:rPr>
        <w:t xml:space="preserve">black-owned enterprises, while 23 and 12 </w:t>
      </w:r>
      <w:r w:rsidR="00252D66" w:rsidRPr="00545535">
        <w:rPr>
          <w:rFonts w:ascii="Arial" w:hAnsi="Arial" w:cs="Arial"/>
          <w:sz w:val="20"/>
          <w:szCs w:val="20"/>
        </w:rPr>
        <w:t xml:space="preserve">had been </w:t>
      </w:r>
      <w:r w:rsidR="00794677" w:rsidRPr="00545535">
        <w:rPr>
          <w:rFonts w:ascii="Arial" w:hAnsi="Arial" w:cs="Arial"/>
          <w:sz w:val="20"/>
          <w:szCs w:val="20"/>
        </w:rPr>
        <w:t xml:space="preserve">women- and youth-owned enterprises respectively. </w:t>
      </w:r>
      <w:r w:rsidR="002556FC" w:rsidRPr="00545535">
        <w:rPr>
          <w:rFonts w:ascii="Arial" w:hAnsi="Arial" w:cs="Arial"/>
          <w:sz w:val="20"/>
          <w:szCs w:val="20"/>
        </w:rPr>
        <w:t xml:space="preserve">There had also been a total of seven enterprises supported within townships, namely four in Limpopo; two in Gauteng; and one in Eastern Cape. </w:t>
      </w:r>
      <w:r w:rsidR="00794677" w:rsidRPr="00545535">
        <w:rPr>
          <w:rFonts w:ascii="Arial" w:hAnsi="Arial" w:cs="Arial"/>
          <w:sz w:val="20"/>
          <w:szCs w:val="20"/>
        </w:rPr>
        <w:t xml:space="preserve">In the third quarter, there had been 67 </w:t>
      </w:r>
      <w:r w:rsidR="00794677" w:rsidRPr="00545535">
        <w:rPr>
          <w:rFonts w:ascii="Arial" w:hAnsi="Arial" w:cs="Arial"/>
          <w:sz w:val="20"/>
          <w:szCs w:val="20"/>
        </w:rPr>
        <w:lastRenderedPageBreak/>
        <w:t>supported enterprises. Of these, 59 had been black-owned, 33 women-owned and 18 youth-owned enterprises.</w:t>
      </w:r>
      <w:r w:rsidRPr="00545535">
        <w:rPr>
          <w:rFonts w:ascii="Arial" w:hAnsi="Arial" w:cs="Arial"/>
          <w:sz w:val="20"/>
          <w:szCs w:val="20"/>
        </w:rPr>
        <w:t xml:space="preserve"> </w:t>
      </w:r>
      <w:r w:rsidR="002556FC" w:rsidRPr="00545535">
        <w:rPr>
          <w:rFonts w:ascii="Arial" w:hAnsi="Arial" w:cs="Arial"/>
          <w:sz w:val="20"/>
          <w:szCs w:val="20"/>
        </w:rPr>
        <w:t>T</w:t>
      </w:r>
      <w:r w:rsidRPr="00545535">
        <w:rPr>
          <w:rFonts w:ascii="Arial" w:hAnsi="Arial" w:cs="Arial"/>
          <w:sz w:val="20"/>
          <w:szCs w:val="20"/>
        </w:rPr>
        <w:t xml:space="preserve">here had been a total of seven enterprises supported within Gauteng townships. </w:t>
      </w:r>
    </w:p>
    <w:p w:rsidR="00775ED7" w:rsidRPr="00545535" w:rsidRDefault="00775ED7" w:rsidP="00545535">
      <w:pPr>
        <w:rPr>
          <w:rFonts w:ascii="Arial" w:hAnsi="Arial" w:cs="Arial"/>
          <w:sz w:val="20"/>
          <w:szCs w:val="20"/>
        </w:rPr>
      </w:pPr>
    </w:p>
    <w:p w:rsidR="00D847D8" w:rsidRPr="00545535" w:rsidRDefault="00ED1324" w:rsidP="00545535">
      <w:pPr>
        <w:pStyle w:val="ListParagraph"/>
        <w:spacing w:line="240" w:lineRule="auto"/>
        <w:ind w:hanging="720"/>
        <w:jc w:val="left"/>
        <w:rPr>
          <w:rFonts w:ascii="Arial" w:hAnsi="Arial" w:cs="Arial"/>
          <w:color w:val="auto"/>
          <w:sz w:val="20"/>
          <w:szCs w:val="20"/>
        </w:rPr>
      </w:pPr>
      <w:r w:rsidRPr="00545535">
        <w:rPr>
          <w:rFonts w:ascii="Arial" w:hAnsi="Arial" w:cs="Arial"/>
          <w:bCs w:val="0"/>
          <w:i/>
          <w:color w:val="auto"/>
          <w:sz w:val="20"/>
          <w:szCs w:val="20"/>
        </w:rPr>
        <w:t>Special Economic Zones (</w:t>
      </w:r>
      <w:r w:rsidR="00935686" w:rsidRPr="00545535">
        <w:rPr>
          <w:rFonts w:ascii="Arial" w:hAnsi="Arial" w:cs="Arial"/>
          <w:bCs w:val="0"/>
          <w:i/>
          <w:color w:val="auto"/>
          <w:sz w:val="20"/>
          <w:szCs w:val="20"/>
        </w:rPr>
        <w:t>SEZs</w:t>
      </w:r>
      <w:r w:rsidRPr="00545535">
        <w:rPr>
          <w:rFonts w:ascii="Arial" w:hAnsi="Arial" w:cs="Arial"/>
          <w:bCs w:val="0"/>
          <w:i/>
          <w:color w:val="auto"/>
          <w:sz w:val="20"/>
          <w:szCs w:val="20"/>
        </w:rPr>
        <w:t>)</w:t>
      </w:r>
      <w:r w:rsidR="00935686" w:rsidRPr="00545535">
        <w:rPr>
          <w:rFonts w:ascii="Arial" w:hAnsi="Arial" w:cs="Arial"/>
          <w:bCs w:val="0"/>
          <w:i/>
          <w:color w:val="auto"/>
          <w:sz w:val="20"/>
          <w:szCs w:val="20"/>
        </w:rPr>
        <w:t xml:space="preserve"> as a vehicle for job creation: </w:t>
      </w:r>
      <w:r w:rsidR="00A34CC4" w:rsidRPr="00545535">
        <w:rPr>
          <w:rFonts w:ascii="Arial" w:hAnsi="Arial" w:cs="Arial"/>
          <w:bCs w:val="0"/>
          <w:color w:val="auto"/>
          <w:sz w:val="20"/>
          <w:szCs w:val="20"/>
        </w:rPr>
        <w:t>Under the SEZ Programme, there are a number of investments, which are expected to create jobs. Given the high level of unemployment, it is critical that government creates a conducive environment for business to thrive and create more sustainable jobs. However, the Committee enquired how many actual jobs have been created.</w:t>
      </w:r>
      <w:r w:rsidR="00D77569" w:rsidRPr="00545535">
        <w:rPr>
          <w:rFonts w:ascii="Arial" w:hAnsi="Arial" w:cs="Arial"/>
          <w:bCs w:val="0"/>
          <w:color w:val="auto"/>
          <w:sz w:val="20"/>
          <w:szCs w:val="20"/>
        </w:rPr>
        <w:t xml:space="preserve"> </w:t>
      </w:r>
      <w:r w:rsidR="00D847D8" w:rsidRPr="00545535">
        <w:rPr>
          <w:rFonts w:ascii="Arial" w:hAnsi="Arial" w:cs="Arial"/>
          <w:color w:val="auto"/>
          <w:sz w:val="20"/>
          <w:szCs w:val="20"/>
        </w:rPr>
        <w:t xml:space="preserve">The </w:t>
      </w:r>
      <w:r w:rsidR="00D77569" w:rsidRPr="00545535">
        <w:rPr>
          <w:rFonts w:ascii="Arial" w:hAnsi="Arial" w:cs="Arial"/>
          <w:color w:val="auto"/>
          <w:sz w:val="20"/>
          <w:szCs w:val="20"/>
        </w:rPr>
        <w:t xml:space="preserve">DTIC informed the Committee that there were </w:t>
      </w:r>
      <w:r w:rsidR="00D847D8" w:rsidRPr="00545535">
        <w:rPr>
          <w:rFonts w:ascii="Arial" w:hAnsi="Arial" w:cs="Arial"/>
          <w:color w:val="auto"/>
          <w:sz w:val="20"/>
          <w:szCs w:val="20"/>
        </w:rPr>
        <w:t>167 operational investments located in SEZs</w:t>
      </w:r>
      <w:r w:rsidR="00D77569" w:rsidRPr="00545535">
        <w:rPr>
          <w:rFonts w:ascii="Arial" w:hAnsi="Arial" w:cs="Arial"/>
          <w:color w:val="auto"/>
          <w:sz w:val="20"/>
          <w:szCs w:val="20"/>
        </w:rPr>
        <w:t>. These investments</w:t>
      </w:r>
      <w:r w:rsidR="00D847D8" w:rsidRPr="00545535">
        <w:rPr>
          <w:rFonts w:ascii="Arial" w:hAnsi="Arial" w:cs="Arial"/>
          <w:color w:val="auto"/>
          <w:sz w:val="20"/>
          <w:szCs w:val="20"/>
        </w:rPr>
        <w:t xml:space="preserve"> </w:t>
      </w:r>
      <w:r w:rsidR="009710CF" w:rsidRPr="00545535">
        <w:rPr>
          <w:rFonts w:ascii="Arial" w:hAnsi="Arial" w:cs="Arial"/>
          <w:color w:val="auto"/>
          <w:sz w:val="20"/>
          <w:szCs w:val="20"/>
        </w:rPr>
        <w:t xml:space="preserve">had </w:t>
      </w:r>
      <w:r w:rsidR="00D847D8" w:rsidRPr="00545535">
        <w:rPr>
          <w:rFonts w:ascii="Arial" w:hAnsi="Arial" w:cs="Arial"/>
          <w:color w:val="auto"/>
          <w:sz w:val="20"/>
          <w:szCs w:val="20"/>
        </w:rPr>
        <w:t>generated an estimated 18 996 direct</w:t>
      </w:r>
      <w:r w:rsidR="00D77569" w:rsidRPr="00545535">
        <w:rPr>
          <w:rFonts w:ascii="Arial" w:hAnsi="Arial" w:cs="Arial"/>
          <w:color w:val="auto"/>
          <w:sz w:val="20"/>
          <w:szCs w:val="20"/>
        </w:rPr>
        <w:t>,</w:t>
      </w:r>
      <w:r w:rsidR="00D847D8" w:rsidRPr="00545535">
        <w:rPr>
          <w:rFonts w:ascii="Arial" w:hAnsi="Arial" w:cs="Arial"/>
          <w:color w:val="auto"/>
          <w:sz w:val="20"/>
          <w:szCs w:val="20"/>
        </w:rPr>
        <w:t xml:space="preserve"> gainful jobs as </w:t>
      </w:r>
      <w:r w:rsidR="009710CF" w:rsidRPr="00545535">
        <w:rPr>
          <w:rFonts w:ascii="Arial" w:hAnsi="Arial" w:cs="Arial"/>
          <w:color w:val="auto"/>
          <w:sz w:val="20"/>
          <w:szCs w:val="20"/>
        </w:rPr>
        <w:t>at</w:t>
      </w:r>
      <w:r w:rsidR="00D847D8" w:rsidRPr="00545535">
        <w:rPr>
          <w:rFonts w:ascii="Arial" w:hAnsi="Arial" w:cs="Arial"/>
          <w:color w:val="auto"/>
          <w:sz w:val="20"/>
          <w:szCs w:val="20"/>
        </w:rPr>
        <w:t xml:space="preserve"> the end of </w:t>
      </w:r>
      <w:r w:rsidR="00D77569" w:rsidRPr="00545535">
        <w:rPr>
          <w:rFonts w:ascii="Arial" w:hAnsi="Arial" w:cs="Arial"/>
          <w:color w:val="auto"/>
          <w:sz w:val="20"/>
          <w:szCs w:val="20"/>
        </w:rPr>
        <w:t xml:space="preserve">December </w:t>
      </w:r>
      <w:r w:rsidR="00D847D8" w:rsidRPr="00545535">
        <w:rPr>
          <w:rFonts w:ascii="Arial" w:hAnsi="Arial" w:cs="Arial"/>
          <w:color w:val="auto"/>
          <w:sz w:val="20"/>
          <w:szCs w:val="20"/>
        </w:rPr>
        <w:t>2021.</w:t>
      </w:r>
    </w:p>
    <w:p w:rsidR="00A34CC4" w:rsidRPr="00545535" w:rsidRDefault="00A34CC4" w:rsidP="00545535">
      <w:pPr>
        <w:pStyle w:val="NoSpacing"/>
        <w:spacing w:line="240" w:lineRule="auto"/>
        <w:jc w:val="left"/>
        <w:rPr>
          <w:rFonts w:ascii="Arial" w:hAnsi="Arial" w:cs="Arial"/>
          <w:sz w:val="20"/>
          <w:szCs w:val="20"/>
          <w:lang w:val="en-ZA"/>
        </w:rPr>
      </w:pPr>
    </w:p>
    <w:p w:rsidR="007E3CCB" w:rsidRPr="00545535" w:rsidRDefault="00935686" w:rsidP="00545535">
      <w:pPr>
        <w:pStyle w:val="ListParagraph"/>
        <w:spacing w:line="240" w:lineRule="auto"/>
        <w:ind w:hanging="720"/>
        <w:jc w:val="left"/>
        <w:rPr>
          <w:rFonts w:ascii="Arial" w:hAnsi="Arial" w:cs="Arial"/>
          <w:i/>
          <w:color w:val="auto"/>
          <w:sz w:val="20"/>
          <w:szCs w:val="20"/>
        </w:rPr>
      </w:pPr>
      <w:r w:rsidRPr="00545535">
        <w:rPr>
          <w:rFonts w:ascii="Arial" w:hAnsi="Arial" w:cs="Arial"/>
          <w:i/>
          <w:color w:val="auto"/>
          <w:sz w:val="20"/>
          <w:szCs w:val="20"/>
        </w:rPr>
        <w:t xml:space="preserve">Infrastructure to enable well-functioning rural SEZs: </w:t>
      </w:r>
      <w:r w:rsidR="00A34CC4" w:rsidRPr="00545535">
        <w:rPr>
          <w:rFonts w:ascii="Arial" w:hAnsi="Arial" w:cs="Arial"/>
          <w:color w:val="auto"/>
          <w:sz w:val="20"/>
          <w:szCs w:val="20"/>
        </w:rPr>
        <w:t xml:space="preserve">Many SEZs in rural areas are faced with infrastructure challenges, particularly in relation to water and energy supply. Where these challenges </w:t>
      </w:r>
      <w:r w:rsidR="007E3CCB" w:rsidRPr="00545535">
        <w:rPr>
          <w:rFonts w:ascii="Arial" w:hAnsi="Arial" w:cs="Arial"/>
          <w:color w:val="auto"/>
          <w:sz w:val="20"/>
          <w:szCs w:val="20"/>
        </w:rPr>
        <w:t xml:space="preserve">are </w:t>
      </w:r>
      <w:r w:rsidR="00A34CC4" w:rsidRPr="00545535">
        <w:rPr>
          <w:rFonts w:ascii="Arial" w:hAnsi="Arial" w:cs="Arial"/>
          <w:color w:val="auto"/>
          <w:sz w:val="20"/>
          <w:szCs w:val="20"/>
        </w:rPr>
        <w:t>persistent and pervasive, investors would be discouraged from establishing in these SEZs. The Committee enquired what measures the DTIC was implementing to address these challenges. Furthermore, what was the progress made in addressing these challenges and attracting investment into the Nkomazi and Bojanala SEZs to facilitate job creation in the surrounding areas.</w:t>
      </w:r>
      <w:r w:rsidR="007E3CCB" w:rsidRPr="00545535">
        <w:rPr>
          <w:rFonts w:ascii="Arial" w:hAnsi="Arial" w:cs="Arial"/>
          <w:color w:val="auto"/>
          <w:sz w:val="20"/>
          <w:szCs w:val="20"/>
        </w:rPr>
        <w:t xml:space="preserve"> In the development of the SEZ Program, the DTIC informed the Committee that the responsible Policy Authorities were well aware of the structural deficiencies of the required infrastructure for building an industrial base that is characterised by globally competitive industrial clusters. To this effect, the DTIC had established, among other things, a dedicated </w:t>
      </w:r>
      <w:r w:rsidR="00ED1324" w:rsidRPr="00545535">
        <w:rPr>
          <w:rFonts w:ascii="Arial" w:hAnsi="Arial" w:cs="Arial"/>
          <w:color w:val="auto"/>
          <w:sz w:val="20"/>
          <w:szCs w:val="20"/>
        </w:rPr>
        <w:t>SEZ</w:t>
      </w:r>
      <w:r w:rsidR="007E3CCB" w:rsidRPr="00545535">
        <w:rPr>
          <w:rFonts w:ascii="Arial" w:hAnsi="Arial" w:cs="Arial"/>
          <w:color w:val="auto"/>
          <w:sz w:val="20"/>
          <w:szCs w:val="20"/>
        </w:rPr>
        <w:t xml:space="preserve"> Fund that has sought to serve as a catalyst for developing pro-industrialisation platforms such as bulk infrastructure as well as top structures. The foregoing initiative is currently being buttressed by the District Development Model, which essentially seeks to recalibrate government efforts so that the different spheres of government work toward a common vision, particularly where economic development is concerned.</w:t>
      </w:r>
    </w:p>
    <w:p w:rsidR="007E3CCB" w:rsidRPr="00545535" w:rsidRDefault="007E3CCB" w:rsidP="00545535">
      <w:pPr>
        <w:pStyle w:val="ListParagraph"/>
        <w:numPr>
          <w:ilvl w:val="0"/>
          <w:numId w:val="0"/>
        </w:numPr>
        <w:spacing w:line="240" w:lineRule="auto"/>
        <w:ind w:left="720"/>
        <w:jc w:val="left"/>
        <w:rPr>
          <w:rFonts w:ascii="Arial" w:hAnsi="Arial" w:cs="Arial"/>
          <w:color w:val="auto"/>
          <w:sz w:val="20"/>
          <w:szCs w:val="20"/>
        </w:rPr>
      </w:pPr>
    </w:p>
    <w:p w:rsidR="007E3CCB" w:rsidRPr="00545535" w:rsidRDefault="007E3CCB" w:rsidP="00545535">
      <w:pPr>
        <w:pStyle w:val="ListParagraph"/>
        <w:numPr>
          <w:ilvl w:val="0"/>
          <w:numId w:val="0"/>
        </w:numPr>
        <w:spacing w:line="240" w:lineRule="auto"/>
        <w:ind w:left="720"/>
        <w:jc w:val="left"/>
        <w:rPr>
          <w:rFonts w:ascii="Arial" w:hAnsi="Arial" w:cs="Arial"/>
          <w:color w:val="auto"/>
          <w:sz w:val="20"/>
          <w:szCs w:val="20"/>
        </w:rPr>
      </w:pPr>
      <w:r w:rsidRPr="00545535">
        <w:rPr>
          <w:rFonts w:ascii="Arial" w:hAnsi="Arial" w:cs="Arial"/>
          <w:color w:val="auto"/>
          <w:sz w:val="20"/>
          <w:szCs w:val="20"/>
        </w:rPr>
        <w:t xml:space="preserve">Whilst government has made a concerted effort to ensure that the socio-economic impact of the SEZ Program is optimised, a few performance areas of concern have been identified. The main area of concern has been the lacklustre investment attraction performance displayed by some SEZs, including the Nkomazi SEZ. In an attempt to rectify the foregoing, a special technical task team (which includes Senior Managers of the DTIC) has been deployed to these SEZs. The work of the team is supported by that of the national Project Management Unit, which has been established for the purposes of </w:t>
      </w:r>
      <w:r w:rsidRPr="00545535">
        <w:rPr>
          <w:rFonts w:ascii="Arial" w:hAnsi="Arial" w:cs="Arial"/>
          <w:i/>
          <w:color w:val="auto"/>
          <w:sz w:val="20"/>
          <w:szCs w:val="20"/>
        </w:rPr>
        <w:t>inter alia</w:t>
      </w:r>
      <w:r w:rsidRPr="00545535">
        <w:rPr>
          <w:rFonts w:ascii="Arial" w:hAnsi="Arial" w:cs="Arial"/>
          <w:color w:val="auto"/>
          <w:sz w:val="20"/>
          <w:szCs w:val="20"/>
        </w:rPr>
        <w:t xml:space="preserve"> bolstering the capacity of some of these SEZs as well as improving their investment attraction record. </w:t>
      </w:r>
    </w:p>
    <w:p w:rsidR="007E3CCB" w:rsidRPr="00545535" w:rsidRDefault="007E3CCB" w:rsidP="00545535">
      <w:pPr>
        <w:pStyle w:val="ListParagraph"/>
        <w:numPr>
          <w:ilvl w:val="0"/>
          <w:numId w:val="0"/>
        </w:numPr>
        <w:spacing w:line="240" w:lineRule="auto"/>
        <w:ind w:left="720"/>
        <w:jc w:val="left"/>
        <w:rPr>
          <w:rFonts w:ascii="Arial" w:hAnsi="Arial" w:cs="Arial"/>
          <w:color w:val="auto"/>
          <w:sz w:val="20"/>
          <w:szCs w:val="20"/>
        </w:rPr>
      </w:pPr>
    </w:p>
    <w:p w:rsidR="007E3CCB" w:rsidRPr="00545535" w:rsidRDefault="007E3CCB" w:rsidP="00545535">
      <w:pPr>
        <w:pStyle w:val="ListParagraph"/>
        <w:numPr>
          <w:ilvl w:val="0"/>
          <w:numId w:val="0"/>
        </w:numPr>
        <w:spacing w:line="240" w:lineRule="auto"/>
        <w:ind w:left="720"/>
        <w:jc w:val="left"/>
        <w:rPr>
          <w:rFonts w:ascii="Arial" w:hAnsi="Arial" w:cs="Arial"/>
          <w:color w:val="auto"/>
          <w:sz w:val="20"/>
          <w:szCs w:val="20"/>
        </w:rPr>
      </w:pPr>
      <w:r w:rsidRPr="00545535">
        <w:rPr>
          <w:rFonts w:ascii="Arial" w:hAnsi="Arial" w:cs="Arial"/>
          <w:color w:val="auto"/>
          <w:sz w:val="20"/>
          <w:szCs w:val="20"/>
        </w:rPr>
        <w:t>Since the DTIC’s intervention in</w:t>
      </w:r>
      <w:r w:rsidR="00ED1324" w:rsidRPr="00545535">
        <w:rPr>
          <w:rFonts w:ascii="Arial" w:hAnsi="Arial" w:cs="Arial"/>
          <w:color w:val="auto"/>
          <w:sz w:val="20"/>
          <w:szCs w:val="20"/>
        </w:rPr>
        <w:t xml:space="preserve"> the</w:t>
      </w:r>
      <w:r w:rsidRPr="00545535">
        <w:rPr>
          <w:rFonts w:ascii="Arial" w:hAnsi="Arial" w:cs="Arial"/>
          <w:color w:val="auto"/>
          <w:sz w:val="20"/>
          <w:szCs w:val="20"/>
        </w:rPr>
        <w:t xml:space="preserve"> Nkomazi</w:t>
      </w:r>
      <w:r w:rsidR="00ED1324" w:rsidRPr="00545535">
        <w:rPr>
          <w:rFonts w:ascii="Arial" w:hAnsi="Arial" w:cs="Arial"/>
          <w:color w:val="auto"/>
          <w:sz w:val="20"/>
          <w:szCs w:val="20"/>
        </w:rPr>
        <w:t xml:space="preserve"> SEZ</w:t>
      </w:r>
      <w:r w:rsidRPr="00545535">
        <w:rPr>
          <w:rFonts w:ascii="Arial" w:hAnsi="Arial" w:cs="Arial"/>
          <w:color w:val="auto"/>
          <w:sz w:val="20"/>
          <w:szCs w:val="20"/>
        </w:rPr>
        <w:t>, there has been significant progress recorded.  Key achievements included the establishment of the entity to manage and develop the zone; and the appointment of the board.  The current work package includes the planning and development of infrastructure.</w:t>
      </w:r>
    </w:p>
    <w:p w:rsidR="007E3CCB" w:rsidRPr="00545535" w:rsidRDefault="007E3CCB" w:rsidP="00545535">
      <w:pPr>
        <w:pStyle w:val="ListParagraph"/>
        <w:numPr>
          <w:ilvl w:val="0"/>
          <w:numId w:val="0"/>
        </w:numPr>
        <w:spacing w:line="240" w:lineRule="auto"/>
        <w:ind w:left="720"/>
        <w:jc w:val="left"/>
        <w:rPr>
          <w:rFonts w:ascii="Arial" w:hAnsi="Arial" w:cs="Arial"/>
          <w:color w:val="auto"/>
          <w:sz w:val="20"/>
          <w:szCs w:val="20"/>
        </w:rPr>
      </w:pPr>
    </w:p>
    <w:p w:rsidR="002804BC" w:rsidRPr="00545535" w:rsidRDefault="002804BC" w:rsidP="00545535">
      <w:pPr>
        <w:pStyle w:val="ListParagraph"/>
        <w:numPr>
          <w:ilvl w:val="0"/>
          <w:numId w:val="0"/>
        </w:numPr>
        <w:spacing w:line="240" w:lineRule="auto"/>
        <w:ind w:left="720"/>
        <w:jc w:val="left"/>
        <w:rPr>
          <w:rFonts w:ascii="Arial" w:hAnsi="Arial" w:cs="Arial"/>
          <w:color w:val="auto"/>
          <w:sz w:val="20"/>
          <w:szCs w:val="20"/>
        </w:rPr>
      </w:pPr>
      <w:r w:rsidRPr="00545535">
        <w:rPr>
          <w:rFonts w:ascii="Arial" w:hAnsi="Arial" w:cs="Arial"/>
          <w:color w:val="auto"/>
          <w:sz w:val="20"/>
          <w:szCs w:val="20"/>
        </w:rPr>
        <w:t xml:space="preserve">The DTIC </w:t>
      </w:r>
      <w:r w:rsidR="007E3CCB" w:rsidRPr="00545535">
        <w:rPr>
          <w:rFonts w:ascii="Arial" w:hAnsi="Arial" w:cs="Arial"/>
          <w:color w:val="auto"/>
          <w:sz w:val="20"/>
          <w:szCs w:val="20"/>
        </w:rPr>
        <w:t xml:space="preserve">further noted </w:t>
      </w:r>
      <w:r w:rsidRPr="00545535">
        <w:rPr>
          <w:rFonts w:ascii="Arial" w:hAnsi="Arial" w:cs="Arial"/>
          <w:color w:val="auto"/>
          <w:sz w:val="20"/>
          <w:szCs w:val="20"/>
        </w:rPr>
        <w:t xml:space="preserve">that </w:t>
      </w:r>
      <w:r w:rsidR="007E3CCB" w:rsidRPr="00545535">
        <w:rPr>
          <w:rFonts w:ascii="Arial" w:hAnsi="Arial" w:cs="Arial"/>
          <w:color w:val="auto"/>
          <w:sz w:val="20"/>
          <w:szCs w:val="20"/>
        </w:rPr>
        <w:t xml:space="preserve">the proposed Bojanala SEZ, in the North West Province, had not been </w:t>
      </w:r>
      <w:r w:rsidRPr="00545535">
        <w:rPr>
          <w:rFonts w:ascii="Arial" w:hAnsi="Arial" w:cs="Arial"/>
          <w:color w:val="auto"/>
          <w:sz w:val="20"/>
          <w:szCs w:val="20"/>
        </w:rPr>
        <w:t xml:space="preserve">designated </w:t>
      </w:r>
      <w:r w:rsidR="007E3CCB" w:rsidRPr="00545535">
        <w:rPr>
          <w:rFonts w:ascii="Arial" w:hAnsi="Arial" w:cs="Arial"/>
          <w:color w:val="auto"/>
          <w:sz w:val="20"/>
          <w:szCs w:val="20"/>
        </w:rPr>
        <w:t>yet and</w:t>
      </w:r>
      <w:r w:rsidRPr="00545535">
        <w:rPr>
          <w:rFonts w:ascii="Arial" w:hAnsi="Arial" w:cs="Arial"/>
          <w:color w:val="auto"/>
          <w:sz w:val="20"/>
          <w:szCs w:val="20"/>
        </w:rPr>
        <w:t xml:space="preserve"> </w:t>
      </w:r>
      <w:r w:rsidR="007E3CCB" w:rsidRPr="00545535">
        <w:rPr>
          <w:rFonts w:ascii="Arial" w:hAnsi="Arial" w:cs="Arial"/>
          <w:color w:val="auto"/>
          <w:sz w:val="20"/>
          <w:szCs w:val="20"/>
        </w:rPr>
        <w:t xml:space="preserve">was </w:t>
      </w:r>
      <w:r w:rsidRPr="00545535">
        <w:rPr>
          <w:rFonts w:ascii="Arial" w:hAnsi="Arial" w:cs="Arial"/>
          <w:color w:val="auto"/>
          <w:sz w:val="20"/>
          <w:szCs w:val="20"/>
        </w:rPr>
        <w:t xml:space="preserve">still undergoing an assessment process. The latest proposal </w:t>
      </w:r>
      <w:r w:rsidR="007E3CCB" w:rsidRPr="00545535">
        <w:rPr>
          <w:rFonts w:ascii="Arial" w:hAnsi="Arial" w:cs="Arial"/>
          <w:color w:val="auto"/>
          <w:sz w:val="20"/>
          <w:szCs w:val="20"/>
        </w:rPr>
        <w:t xml:space="preserve">had been </w:t>
      </w:r>
      <w:r w:rsidRPr="00545535">
        <w:rPr>
          <w:rFonts w:ascii="Arial" w:hAnsi="Arial" w:cs="Arial"/>
          <w:color w:val="auto"/>
          <w:sz w:val="20"/>
          <w:szCs w:val="20"/>
        </w:rPr>
        <w:t xml:space="preserve">that it </w:t>
      </w:r>
      <w:r w:rsidR="007E3CCB" w:rsidRPr="00545535">
        <w:rPr>
          <w:rFonts w:ascii="Arial" w:hAnsi="Arial" w:cs="Arial"/>
          <w:color w:val="auto"/>
          <w:sz w:val="20"/>
          <w:szCs w:val="20"/>
        </w:rPr>
        <w:t xml:space="preserve">should </w:t>
      </w:r>
      <w:r w:rsidRPr="00545535">
        <w:rPr>
          <w:rFonts w:ascii="Arial" w:hAnsi="Arial" w:cs="Arial"/>
          <w:color w:val="auto"/>
          <w:sz w:val="20"/>
          <w:szCs w:val="20"/>
        </w:rPr>
        <w:t xml:space="preserve">initially be phased in </w:t>
      </w:r>
      <w:r w:rsidR="007E3CCB" w:rsidRPr="00545535">
        <w:rPr>
          <w:rFonts w:ascii="Arial" w:hAnsi="Arial" w:cs="Arial"/>
          <w:color w:val="auto"/>
          <w:sz w:val="20"/>
          <w:szCs w:val="20"/>
        </w:rPr>
        <w:t xml:space="preserve">as </w:t>
      </w:r>
      <w:r w:rsidRPr="00545535">
        <w:rPr>
          <w:rFonts w:ascii="Arial" w:hAnsi="Arial" w:cs="Arial"/>
          <w:color w:val="auto"/>
          <w:sz w:val="20"/>
          <w:szCs w:val="20"/>
        </w:rPr>
        <w:t>an Industrial Park, whil</w:t>
      </w:r>
      <w:r w:rsidR="007E3CCB" w:rsidRPr="00545535">
        <w:rPr>
          <w:rFonts w:ascii="Arial" w:hAnsi="Arial" w:cs="Arial"/>
          <w:color w:val="auto"/>
          <w:sz w:val="20"/>
          <w:szCs w:val="20"/>
        </w:rPr>
        <w:t>e</w:t>
      </w:r>
      <w:r w:rsidRPr="00545535">
        <w:rPr>
          <w:rFonts w:ascii="Arial" w:hAnsi="Arial" w:cs="Arial"/>
          <w:color w:val="auto"/>
          <w:sz w:val="20"/>
          <w:szCs w:val="20"/>
        </w:rPr>
        <w:t xml:space="preserve"> simultaneously enhancing its business case and related investment pipeline. Once this has been achieved, it </w:t>
      </w:r>
      <w:r w:rsidR="007E3CCB" w:rsidRPr="00545535">
        <w:rPr>
          <w:rFonts w:ascii="Arial" w:hAnsi="Arial" w:cs="Arial"/>
          <w:color w:val="auto"/>
          <w:sz w:val="20"/>
          <w:szCs w:val="20"/>
        </w:rPr>
        <w:t xml:space="preserve">would </w:t>
      </w:r>
      <w:r w:rsidRPr="00545535">
        <w:rPr>
          <w:rFonts w:ascii="Arial" w:hAnsi="Arial" w:cs="Arial"/>
          <w:color w:val="auto"/>
          <w:sz w:val="20"/>
          <w:szCs w:val="20"/>
        </w:rPr>
        <w:t>then be reconsidered for designation as an SEZ.</w:t>
      </w:r>
    </w:p>
    <w:p w:rsidR="00A34CC4" w:rsidRPr="00545535" w:rsidRDefault="00A34CC4" w:rsidP="00545535">
      <w:pPr>
        <w:rPr>
          <w:rFonts w:ascii="Arial" w:hAnsi="Arial" w:cs="Arial"/>
          <w:sz w:val="20"/>
          <w:szCs w:val="20"/>
        </w:rPr>
      </w:pPr>
    </w:p>
    <w:p w:rsidR="00FA3EA5" w:rsidRPr="00545535" w:rsidRDefault="007749D2" w:rsidP="00545535">
      <w:pPr>
        <w:pStyle w:val="ListParagraph"/>
        <w:spacing w:line="240" w:lineRule="auto"/>
        <w:ind w:hanging="720"/>
        <w:jc w:val="left"/>
        <w:rPr>
          <w:rFonts w:ascii="Arial" w:hAnsi="Arial" w:cs="Arial"/>
          <w:color w:val="auto"/>
          <w:sz w:val="20"/>
          <w:szCs w:val="20"/>
        </w:rPr>
      </w:pPr>
      <w:r w:rsidRPr="00545535">
        <w:rPr>
          <w:rFonts w:ascii="Arial" w:hAnsi="Arial" w:cs="Arial"/>
          <w:i/>
          <w:color w:val="auto"/>
          <w:sz w:val="20"/>
          <w:szCs w:val="20"/>
        </w:rPr>
        <w:t xml:space="preserve">Benefits of the </w:t>
      </w:r>
      <w:r w:rsidR="00ED1324" w:rsidRPr="00545535">
        <w:rPr>
          <w:rFonts w:ascii="Arial" w:hAnsi="Arial" w:cs="Arial"/>
          <w:i/>
          <w:color w:val="auto"/>
          <w:sz w:val="20"/>
          <w:szCs w:val="20"/>
        </w:rPr>
        <w:t>African Continental Free Trade Area (</w:t>
      </w:r>
      <w:r w:rsidRPr="00545535">
        <w:rPr>
          <w:rFonts w:ascii="Arial" w:hAnsi="Arial" w:cs="Arial"/>
          <w:i/>
          <w:color w:val="auto"/>
          <w:sz w:val="20"/>
          <w:szCs w:val="20"/>
        </w:rPr>
        <w:t>AfCFTA</w:t>
      </w:r>
      <w:r w:rsidR="00ED1324" w:rsidRPr="00545535">
        <w:rPr>
          <w:rFonts w:ascii="Arial" w:hAnsi="Arial" w:cs="Arial"/>
          <w:i/>
          <w:color w:val="auto"/>
          <w:sz w:val="20"/>
          <w:szCs w:val="20"/>
        </w:rPr>
        <w:t>)</w:t>
      </w:r>
      <w:r w:rsidRPr="00545535">
        <w:rPr>
          <w:rFonts w:ascii="Arial" w:hAnsi="Arial" w:cs="Arial"/>
          <w:i/>
          <w:color w:val="auto"/>
          <w:sz w:val="20"/>
          <w:szCs w:val="20"/>
        </w:rPr>
        <w:t xml:space="preserve"> in relation to other trading partners</w:t>
      </w:r>
      <w:r w:rsidRPr="00545535">
        <w:rPr>
          <w:rFonts w:ascii="Arial" w:hAnsi="Arial" w:cs="Arial"/>
          <w:color w:val="auto"/>
          <w:sz w:val="20"/>
          <w:szCs w:val="20"/>
        </w:rPr>
        <w:t xml:space="preserve">: </w:t>
      </w:r>
      <w:r w:rsidR="00A34CC4" w:rsidRPr="00545535">
        <w:rPr>
          <w:rFonts w:ascii="Arial" w:hAnsi="Arial" w:cs="Arial"/>
          <w:color w:val="auto"/>
          <w:sz w:val="20"/>
          <w:szCs w:val="20"/>
        </w:rPr>
        <w:t xml:space="preserve">The AfCFTA is intended to link the African countries into a single regional market worth </w:t>
      </w:r>
      <w:r w:rsidR="00780D59" w:rsidRPr="00545535">
        <w:rPr>
          <w:rFonts w:ascii="Arial" w:hAnsi="Arial" w:cs="Arial"/>
          <w:color w:val="auto"/>
          <w:sz w:val="20"/>
          <w:szCs w:val="20"/>
        </w:rPr>
        <w:t xml:space="preserve">about </w:t>
      </w:r>
      <w:r w:rsidR="00ED1324" w:rsidRPr="00545535">
        <w:rPr>
          <w:rFonts w:ascii="Arial" w:hAnsi="Arial" w:cs="Arial"/>
          <w:color w:val="auto"/>
          <w:sz w:val="20"/>
          <w:szCs w:val="20"/>
        </w:rPr>
        <w:t>US$</w:t>
      </w:r>
      <w:r w:rsidR="00A34CC4" w:rsidRPr="00545535">
        <w:rPr>
          <w:rFonts w:ascii="Arial" w:hAnsi="Arial" w:cs="Arial"/>
          <w:color w:val="auto"/>
          <w:sz w:val="20"/>
          <w:szCs w:val="20"/>
        </w:rPr>
        <w:t>3,</w:t>
      </w:r>
      <w:r w:rsidR="00ED1324" w:rsidRPr="00545535">
        <w:rPr>
          <w:rFonts w:ascii="Arial" w:hAnsi="Arial" w:cs="Arial"/>
          <w:color w:val="auto"/>
          <w:sz w:val="20"/>
          <w:szCs w:val="20"/>
        </w:rPr>
        <w:t>4</w:t>
      </w:r>
      <w:r w:rsidR="00A34CC4" w:rsidRPr="00545535">
        <w:rPr>
          <w:rFonts w:ascii="Arial" w:hAnsi="Arial" w:cs="Arial"/>
          <w:color w:val="auto"/>
          <w:sz w:val="20"/>
          <w:szCs w:val="20"/>
        </w:rPr>
        <w:t xml:space="preserve"> trillion with </w:t>
      </w:r>
      <w:r w:rsidR="00780D59" w:rsidRPr="00545535">
        <w:rPr>
          <w:rFonts w:ascii="Arial" w:hAnsi="Arial" w:cs="Arial"/>
          <w:color w:val="auto"/>
          <w:sz w:val="20"/>
          <w:szCs w:val="20"/>
        </w:rPr>
        <w:t xml:space="preserve">approximately </w:t>
      </w:r>
      <w:r w:rsidR="00A34CC4" w:rsidRPr="00545535">
        <w:rPr>
          <w:rFonts w:ascii="Arial" w:hAnsi="Arial" w:cs="Arial"/>
          <w:color w:val="auto"/>
          <w:sz w:val="20"/>
          <w:szCs w:val="20"/>
        </w:rPr>
        <w:t>1,</w:t>
      </w:r>
      <w:r w:rsidR="00ED1324" w:rsidRPr="00545535">
        <w:rPr>
          <w:rFonts w:ascii="Arial" w:hAnsi="Arial" w:cs="Arial"/>
          <w:color w:val="auto"/>
          <w:sz w:val="20"/>
          <w:szCs w:val="20"/>
        </w:rPr>
        <w:t>3</w:t>
      </w:r>
      <w:r w:rsidR="00A34CC4" w:rsidRPr="00545535">
        <w:rPr>
          <w:rFonts w:ascii="Arial" w:hAnsi="Arial" w:cs="Arial"/>
          <w:color w:val="auto"/>
          <w:sz w:val="20"/>
          <w:szCs w:val="20"/>
        </w:rPr>
        <w:t xml:space="preserve"> billion people</w:t>
      </w:r>
      <w:r w:rsidR="00ED1324" w:rsidRPr="00545535">
        <w:rPr>
          <w:rStyle w:val="FootnoteReference"/>
          <w:rFonts w:ascii="Arial" w:hAnsi="Arial" w:cs="Arial"/>
          <w:color w:val="auto"/>
          <w:sz w:val="20"/>
          <w:szCs w:val="20"/>
        </w:rPr>
        <w:footnoteReference w:id="4"/>
      </w:r>
      <w:r w:rsidR="00A34CC4" w:rsidRPr="00545535">
        <w:rPr>
          <w:rFonts w:ascii="Arial" w:hAnsi="Arial" w:cs="Arial"/>
          <w:color w:val="auto"/>
          <w:sz w:val="20"/>
          <w:szCs w:val="20"/>
        </w:rPr>
        <w:t>. However, there is a need to ensure industrialisation and regional economic integration for this to directly benefit intr</w:t>
      </w:r>
      <w:r w:rsidR="00780D59" w:rsidRPr="00545535">
        <w:rPr>
          <w:rFonts w:ascii="Arial" w:hAnsi="Arial" w:cs="Arial"/>
          <w:color w:val="auto"/>
          <w:sz w:val="20"/>
          <w:szCs w:val="20"/>
        </w:rPr>
        <w:t>a</w:t>
      </w:r>
      <w:r w:rsidR="00A34CC4" w:rsidRPr="00545535">
        <w:rPr>
          <w:rFonts w:ascii="Arial" w:hAnsi="Arial" w:cs="Arial"/>
          <w:color w:val="auto"/>
          <w:sz w:val="20"/>
          <w:szCs w:val="20"/>
        </w:rPr>
        <w:t xml:space="preserve">-African trade. The Committee enquired what value the AfCFTA </w:t>
      </w:r>
      <w:r w:rsidR="00780D59" w:rsidRPr="00545535">
        <w:rPr>
          <w:rFonts w:ascii="Arial" w:hAnsi="Arial" w:cs="Arial"/>
          <w:color w:val="auto"/>
          <w:sz w:val="20"/>
          <w:szCs w:val="20"/>
        </w:rPr>
        <w:t xml:space="preserve">would </w:t>
      </w:r>
      <w:r w:rsidR="00A34CC4" w:rsidRPr="00545535">
        <w:rPr>
          <w:rFonts w:ascii="Arial" w:hAnsi="Arial" w:cs="Arial"/>
          <w:color w:val="auto"/>
          <w:sz w:val="20"/>
          <w:szCs w:val="20"/>
        </w:rPr>
        <w:t>create for South Africa in relation to economic development and growth in comparison to other existing trade agreements.</w:t>
      </w:r>
      <w:r w:rsidR="00FA3EA5" w:rsidRPr="00545535">
        <w:rPr>
          <w:rFonts w:ascii="Arial" w:hAnsi="Arial" w:cs="Arial"/>
          <w:color w:val="auto"/>
          <w:sz w:val="20"/>
          <w:szCs w:val="20"/>
        </w:rPr>
        <w:t xml:space="preserve"> </w:t>
      </w:r>
      <w:r w:rsidR="00AA7920" w:rsidRPr="00545535">
        <w:rPr>
          <w:rFonts w:ascii="Arial" w:hAnsi="Arial" w:cs="Arial"/>
          <w:color w:val="auto"/>
          <w:sz w:val="20"/>
          <w:szCs w:val="20"/>
        </w:rPr>
        <w:t xml:space="preserve">The </w:t>
      </w:r>
      <w:r w:rsidR="00E1172D" w:rsidRPr="00545535">
        <w:rPr>
          <w:rFonts w:ascii="Arial" w:hAnsi="Arial" w:cs="Arial"/>
          <w:color w:val="auto"/>
          <w:sz w:val="20"/>
          <w:szCs w:val="20"/>
        </w:rPr>
        <w:t xml:space="preserve">DTIC </w:t>
      </w:r>
      <w:r w:rsidR="001F31DC" w:rsidRPr="00545535">
        <w:rPr>
          <w:rFonts w:ascii="Arial" w:hAnsi="Arial" w:cs="Arial"/>
          <w:color w:val="auto"/>
          <w:sz w:val="20"/>
          <w:szCs w:val="20"/>
        </w:rPr>
        <w:t>noted</w:t>
      </w:r>
      <w:r w:rsidR="00E1172D" w:rsidRPr="00545535">
        <w:rPr>
          <w:rFonts w:ascii="Arial" w:hAnsi="Arial" w:cs="Arial"/>
          <w:color w:val="auto"/>
          <w:sz w:val="20"/>
          <w:szCs w:val="20"/>
        </w:rPr>
        <w:t xml:space="preserve"> that</w:t>
      </w:r>
      <w:r w:rsidR="00A64404" w:rsidRPr="00545535">
        <w:rPr>
          <w:rFonts w:ascii="Arial" w:hAnsi="Arial" w:cs="Arial"/>
          <w:color w:val="auto"/>
          <w:sz w:val="20"/>
          <w:szCs w:val="20"/>
        </w:rPr>
        <w:t xml:space="preserve"> s</w:t>
      </w:r>
      <w:r w:rsidR="00FA3EA5" w:rsidRPr="00545535">
        <w:rPr>
          <w:rFonts w:ascii="Arial" w:hAnsi="Arial" w:cs="Arial"/>
          <w:color w:val="auto"/>
          <w:sz w:val="20"/>
          <w:szCs w:val="20"/>
        </w:rPr>
        <w:t xml:space="preserve">everal preferential </w:t>
      </w:r>
      <w:r w:rsidR="007A1ABC" w:rsidRPr="00545535">
        <w:rPr>
          <w:rFonts w:ascii="Arial" w:hAnsi="Arial" w:cs="Arial"/>
          <w:color w:val="auto"/>
          <w:sz w:val="20"/>
          <w:szCs w:val="20"/>
        </w:rPr>
        <w:t xml:space="preserve">and free </w:t>
      </w:r>
      <w:r w:rsidR="00FA3EA5" w:rsidRPr="00545535">
        <w:rPr>
          <w:rFonts w:ascii="Arial" w:hAnsi="Arial" w:cs="Arial"/>
          <w:color w:val="auto"/>
          <w:sz w:val="20"/>
          <w:szCs w:val="20"/>
        </w:rPr>
        <w:t>trade agreements ha</w:t>
      </w:r>
      <w:r w:rsidR="00A64404" w:rsidRPr="00545535">
        <w:rPr>
          <w:rFonts w:ascii="Arial" w:hAnsi="Arial" w:cs="Arial"/>
          <w:color w:val="auto"/>
          <w:sz w:val="20"/>
          <w:szCs w:val="20"/>
        </w:rPr>
        <w:t>d</w:t>
      </w:r>
      <w:r w:rsidR="00FA3EA5" w:rsidRPr="00545535">
        <w:rPr>
          <w:rFonts w:ascii="Arial" w:hAnsi="Arial" w:cs="Arial"/>
          <w:color w:val="auto"/>
          <w:sz w:val="20"/>
          <w:szCs w:val="20"/>
        </w:rPr>
        <w:t xml:space="preserve"> been </w:t>
      </w:r>
      <w:r w:rsidR="00FA3EA5" w:rsidRPr="00545535">
        <w:rPr>
          <w:rFonts w:ascii="Arial" w:hAnsi="Arial" w:cs="Arial"/>
          <w:color w:val="auto"/>
          <w:sz w:val="20"/>
          <w:szCs w:val="20"/>
        </w:rPr>
        <w:lastRenderedPageBreak/>
        <w:t>concluded since the late 1990s. The</w:t>
      </w:r>
      <w:r w:rsidR="00A64404" w:rsidRPr="00545535">
        <w:rPr>
          <w:rFonts w:ascii="Arial" w:hAnsi="Arial" w:cs="Arial"/>
          <w:color w:val="auto"/>
          <w:sz w:val="20"/>
          <w:szCs w:val="20"/>
        </w:rPr>
        <w:t>se</w:t>
      </w:r>
      <w:r w:rsidR="00FA3EA5" w:rsidRPr="00545535">
        <w:rPr>
          <w:rFonts w:ascii="Arial" w:hAnsi="Arial" w:cs="Arial"/>
          <w:color w:val="auto"/>
          <w:sz w:val="20"/>
          <w:szCs w:val="20"/>
        </w:rPr>
        <w:t xml:space="preserve"> </w:t>
      </w:r>
      <w:r w:rsidR="00A64404" w:rsidRPr="00545535">
        <w:rPr>
          <w:rFonts w:ascii="Arial" w:hAnsi="Arial" w:cs="Arial"/>
          <w:color w:val="auto"/>
          <w:sz w:val="20"/>
          <w:szCs w:val="20"/>
        </w:rPr>
        <w:t xml:space="preserve">had been </w:t>
      </w:r>
      <w:r w:rsidR="00FA3EA5" w:rsidRPr="00545535">
        <w:rPr>
          <w:rFonts w:ascii="Arial" w:hAnsi="Arial" w:cs="Arial"/>
          <w:color w:val="auto"/>
          <w:sz w:val="20"/>
          <w:szCs w:val="20"/>
        </w:rPr>
        <w:t>intended to increase South Africa’s trade with the</w:t>
      </w:r>
      <w:r w:rsidR="00A64404" w:rsidRPr="00545535">
        <w:rPr>
          <w:rFonts w:ascii="Arial" w:hAnsi="Arial" w:cs="Arial"/>
          <w:color w:val="auto"/>
          <w:sz w:val="20"/>
          <w:szCs w:val="20"/>
        </w:rPr>
        <w:t xml:space="preserve"> </w:t>
      </w:r>
      <w:r w:rsidR="001F31DC" w:rsidRPr="00545535">
        <w:rPr>
          <w:rFonts w:ascii="Arial" w:hAnsi="Arial" w:cs="Arial"/>
          <w:color w:val="auto"/>
          <w:sz w:val="20"/>
          <w:szCs w:val="20"/>
        </w:rPr>
        <w:t xml:space="preserve">respective </w:t>
      </w:r>
      <w:r w:rsidR="00FA3EA5" w:rsidRPr="00545535">
        <w:rPr>
          <w:rFonts w:ascii="Arial" w:hAnsi="Arial" w:cs="Arial"/>
          <w:color w:val="auto"/>
          <w:sz w:val="20"/>
          <w:szCs w:val="20"/>
        </w:rPr>
        <w:t>partners, and also to shift the content of S</w:t>
      </w:r>
      <w:r w:rsidR="00A64404" w:rsidRPr="00545535">
        <w:rPr>
          <w:rFonts w:ascii="Arial" w:hAnsi="Arial" w:cs="Arial"/>
          <w:color w:val="auto"/>
          <w:sz w:val="20"/>
          <w:szCs w:val="20"/>
        </w:rPr>
        <w:t xml:space="preserve">outh </w:t>
      </w:r>
      <w:r w:rsidR="00FA3EA5" w:rsidRPr="00545535">
        <w:rPr>
          <w:rFonts w:ascii="Arial" w:hAnsi="Arial" w:cs="Arial"/>
          <w:color w:val="auto"/>
          <w:sz w:val="20"/>
          <w:szCs w:val="20"/>
        </w:rPr>
        <w:t>A</w:t>
      </w:r>
      <w:r w:rsidR="00A64404" w:rsidRPr="00545535">
        <w:rPr>
          <w:rFonts w:ascii="Arial" w:hAnsi="Arial" w:cs="Arial"/>
          <w:color w:val="auto"/>
          <w:sz w:val="20"/>
          <w:szCs w:val="20"/>
        </w:rPr>
        <w:t>frican</w:t>
      </w:r>
      <w:r w:rsidR="00FA3EA5" w:rsidRPr="00545535">
        <w:rPr>
          <w:rFonts w:ascii="Arial" w:hAnsi="Arial" w:cs="Arial"/>
          <w:color w:val="auto"/>
          <w:sz w:val="20"/>
          <w:szCs w:val="20"/>
        </w:rPr>
        <w:t xml:space="preserve"> exports to include more value-added/manufactured products.  </w:t>
      </w:r>
    </w:p>
    <w:p w:rsidR="00FA3EA5" w:rsidRPr="00545535" w:rsidRDefault="00FA3EA5" w:rsidP="00545535">
      <w:pPr>
        <w:pStyle w:val="ListParagraph"/>
        <w:numPr>
          <w:ilvl w:val="0"/>
          <w:numId w:val="0"/>
        </w:numPr>
        <w:spacing w:line="240" w:lineRule="auto"/>
        <w:ind w:left="720"/>
        <w:jc w:val="left"/>
        <w:rPr>
          <w:rFonts w:ascii="Arial" w:hAnsi="Arial" w:cs="Arial"/>
          <w:color w:val="auto"/>
          <w:sz w:val="20"/>
          <w:szCs w:val="20"/>
        </w:rPr>
      </w:pPr>
    </w:p>
    <w:p w:rsidR="00A34CC4" w:rsidRPr="00545535" w:rsidRDefault="00FA3EA5" w:rsidP="00545535">
      <w:pPr>
        <w:pStyle w:val="ListParagraph"/>
        <w:numPr>
          <w:ilvl w:val="0"/>
          <w:numId w:val="0"/>
        </w:numPr>
        <w:spacing w:line="240" w:lineRule="auto"/>
        <w:ind w:left="720"/>
        <w:jc w:val="left"/>
        <w:rPr>
          <w:rFonts w:ascii="Arial" w:hAnsi="Arial" w:cs="Arial"/>
          <w:color w:val="auto"/>
          <w:sz w:val="20"/>
          <w:szCs w:val="20"/>
        </w:rPr>
      </w:pPr>
      <w:r w:rsidRPr="00545535">
        <w:rPr>
          <w:rFonts w:ascii="Arial" w:hAnsi="Arial" w:cs="Arial"/>
          <w:color w:val="auto"/>
          <w:sz w:val="20"/>
          <w:szCs w:val="20"/>
        </w:rPr>
        <w:t>While South Africa/</w:t>
      </w:r>
      <w:r w:rsidR="00780D59" w:rsidRPr="00545535">
        <w:rPr>
          <w:rFonts w:ascii="Arial" w:hAnsi="Arial" w:cs="Arial"/>
          <w:color w:val="auto"/>
          <w:sz w:val="20"/>
          <w:szCs w:val="20"/>
        </w:rPr>
        <w:t>Southern African Customs Union’s (</w:t>
      </w:r>
      <w:r w:rsidRPr="00545535">
        <w:rPr>
          <w:rFonts w:ascii="Arial" w:hAnsi="Arial" w:cs="Arial"/>
          <w:color w:val="auto"/>
          <w:sz w:val="20"/>
          <w:szCs w:val="20"/>
        </w:rPr>
        <w:t>SACU</w:t>
      </w:r>
      <w:r w:rsidR="00780D59" w:rsidRPr="00545535">
        <w:rPr>
          <w:rFonts w:ascii="Arial" w:hAnsi="Arial" w:cs="Arial"/>
          <w:color w:val="auto"/>
          <w:sz w:val="20"/>
          <w:szCs w:val="20"/>
        </w:rPr>
        <w:t>)</w:t>
      </w:r>
      <w:r w:rsidRPr="00545535">
        <w:rPr>
          <w:rFonts w:ascii="Arial" w:hAnsi="Arial" w:cs="Arial"/>
          <w:color w:val="auto"/>
          <w:sz w:val="20"/>
          <w:szCs w:val="20"/>
        </w:rPr>
        <w:t xml:space="preserve"> trade agreements with the European Union, United Kingdom and </w:t>
      </w:r>
      <w:r w:rsidR="00780D59" w:rsidRPr="00545535">
        <w:rPr>
          <w:rFonts w:ascii="Arial" w:hAnsi="Arial" w:cs="Arial"/>
          <w:color w:val="auto"/>
          <w:sz w:val="20"/>
          <w:szCs w:val="20"/>
        </w:rPr>
        <w:t xml:space="preserve">the </w:t>
      </w:r>
      <w:r w:rsidRPr="00545535">
        <w:rPr>
          <w:rFonts w:ascii="Arial" w:hAnsi="Arial" w:cs="Arial"/>
          <w:color w:val="auto"/>
          <w:sz w:val="20"/>
          <w:szCs w:val="20"/>
        </w:rPr>
        <w:t>European Free Trade Association are typical reciprocal free trade agreements (FTA</w:t>
      </w:r>
      <w:r w:rsidR="00A64404" w:rsidRPr="00545535">
        <w:rPr>
          <w:rFonts w:ascii="Arial" w:hAnsi="Arial" w:cs="Arial"/>
          <w:color w:val="auto"/>
          <w:sz w:val="20"/>
          <w:szCs w:val="20"/>
        </w:rPr>
        <w:t>s</w:t>
      </w:r>
      <w:r w:rsidRPr="00545535">
        <w:rPr>
          <w:rFonts w:ascii="Arial" w:hAnsi="Arial" w:cs="Arial"/>
          <w:color w:val="auto"/>
          <w:sz w:val="20"/>
          <w:szCs w:val="20"/>
        </w:rPr>
        <w:t xml:space="preserve">), the AfCFTA </w:t>
      </w:r>
      <w:r w:rsidR="00780D59" w:rsidRPr="00545535">
        <w:rPr>
          <w:rFonts w:ascii="Arial" w:hAnsi="Arial" w:cs="Arial"/>
          <w:color w:val="auto"/>
          <w:sz w:val="20"/>
          <w:szCs w:val="20"/>
        </w:rPr>
        <w:t>i</w:t>
      </w:r>
      <w:r w:rsidRPr="00545535">
        <w:rPr>
          <w:rFonts w:ascii="Arial" w:hAnsi="Arial" w:cs="Arial"/>
          <w:color w:val="auto"/>
          <w:sz w:val="20"/>
          <w:szCs w:val="20"/>
        </w:rPr>
        <w:t xml:space="preserve">s embedded in a developmental integration framework. </w:t>
      </w:r>
      <w:r w:rsidR="007A1ABC" w:rsidRPr="00545535">
        <w:rPr>
          <w:rFonts w:ascii="Arial" w:hAnsi="Arial" w:cs="Arial"/>
          <w:color w:val="auto"/>
          <w:sz w:val="20"/>
          <w:szCs w:val="20"/>
        </w:rPr>
        <w:t>Under</w:t>
      </w:r>
      <w:r w:rsidRPr="00545535">
        <w:rPr>
          <w:rFonts w:ascii="Arial" w:hAnsi="Arial" w:cs="Arial"/>
          <w:color w:val="auto"/>
          <w:sz w:val="20"/>
          <w:szCs w:val="20"/>
        </w:rPr>
        <w:t xml:space="preserve"> this approach, the AfCFTA constitutes the market integration component alongside </w:t>
      </w:r>
      <w:r w:rsidR="007A1ABC" w:rsidRPr="00545535">
        <w:rPr>
          <w:rFonts w:ascii="Arial" w:hAnsi="Arial" w:cs="Arial"/>
          <w:color w:val="auto"/>
          <w:sz w:val="20"/>
          <w:szCs w:val="20"/>
        </w:rPr>
        <w:t xml:space="preserve">other </w:t>
      </w:r>
      <w:r w:rsidRPr="00545535">
        <w:rPr>
          <w:rFonts w:ascii="Arial" w:hAnsi="Arial" w:cs="Arial"/>
          <w:color w:val="auto"/>
          <w:sz w:val="20"/>
          <w:szCs w:val="20"/>
        </w:rPr>
        <w:t>programmes to promote industrial and infrastructure development. This c</w:t>
      </w:r>
      <w:r w:rsidR="007A1ABC" w:rsidRPr="00545535">
        <w:rPr>
          <w:rFonts w:ascii="Arial" w:hAnsi="Arial" w:cs="Arial"/>
          <w:color w:val="auto"/>
          <w:sz w:val="20"/>
          <w:szCs w:val="20"/>
        </w:rPr>
        <w:t>ould</w:t>
      </w:r>
      <w:r w:rsidRPr="00545535">
        <w:rPr>
          <w:rFonts w:ascii="Arial" w:hAnsi="Arial" w:cs="Arial"/>
          <w:color w:val="auto"/>
          <w:sz w:val="20"/>
          <w:szCs w:val="20"/>
        </w:rPr>
        <w:t xml:space="preserve"> foster potential benefits beyond market access, </w:t>
      </w:r>
      <w:r w:rsidR="00923829" w:rsidRPr="00545535">
        <w:rPr>
          <w:rFonts w:ascii="Arial" w:hAnsi="Arial" w:cs="Arial"/>
          <w:color w:val="auto"/>
          <w:sz w:val="20"/>
          <w:szCs w:val="20"/>
        </w:rPr>
        <w:t>for example,</w:t>
      </w:r>
      <w:r w:rsidRPr="00545535">
        <w:rPr>
          <w:rFonts w:ascii="Arial" w:hAnsi="Arial" w:cs="Arial"/>
          <w:color w:val="auto"/>
          <w:sz w:val="20"/>
          <w:szCs w:val="20"/>
        </w:rPr>
        <w:t xml:space="preserve"> opportunities for S</w:t>
      </w:r>
      <w:r w:rsidR="007A1ABC" w:rsidRPr="00545535">
        <w:rPr>
          <w:rFonts w:ascii="Arial" w:hAnsi="Arial" w:cs="Arial"/>
          <w:color w:val="auto"/>
          <w:sz w:val="20"/>
          <w:szCs w:val="20"/>
        </w:rPr>
        <w:t xml:space="preserve">outh </w:t>
      </w:r>
      <w:r w:rsidRPr="00545535">
        <w:rPr>
          <w:rFonts w:ascii="Arial" w:hAnsi="Arial" w:cs="Arial"/>
          <w:color w:val="auto"/>
          <w:sz w:val="20"/>
          <w:szCs w:val="20"/>
        </w:rPr>
        <w:t>A</w:t>
      </w:r>
      <w:r w:rsidR="007A1ABC" w:rsidRPr="00545535">
        <w:rPr>
          <w:rFonts w:ascii="Arial" w:hAnsi="Arial" w:cs="Arial"/>
          <w:color w:val="auto"/>
          <w:sz w:val="20"/>
          <w:szCs w:val="20"/>
        </w:rPr>
        <w:t>frican</w:t>
      </w:r>
      <w:r w:rsidRPr="00545535">
        <w:rPr>
          <w:rFonts w:ascii="Arial" w:hAnsi="Arial" w:cs="Arial"/>
          <w:color w:val="auto"/>
          <w:sz w:val="20"/>
          <w:szCs w:val="20"/>
        </w:rPr>
        <w:t xml:space="preserve"> invest</w:t>
      </w:r>
      <w:r w:rsidR="001F31DC" w:rsidRPr="00545535">
        <w:rPr>
          <w:rFonts w:ascii="Arial" w:hAnsi="Arial" w:cs="Arial"/>
          <w:color w:val="auto"/>
          <w:sz w:val="20"/>
          <w:szCs w:val="20"/>
        </w:rPr>
        <w:t>ment</w:t>
      </w:r>
      <w:r w:rsidRPr="00545535">
        <w:rPr>
          <w:rFonts w:ascii="Arial" w:hAnsi="Arial" w:cs="Arial"/>
          <w:color w:val="auto"/>
          <w:sz w:val="20"/>
          <w:szCs w:val="20"/>
        </w:rPr>
        <w:t xml:space="preserve"> in</w:t>
      </w:r>
      <w:r w:rsidR="001F31DC" w:rsidRPr="00545535">
        <w:rPr>
          <w:rFonts w:ascii="Arial" w:hAnsi="Arial" w:cs="Arial"/>
          <w:color w:val="auto"/>
          <w:sz w:val="20"/>
          <w:szCs w:val="20"/>
        </w:rPr>
        <w:t>to</w:t>
      </w:r>
      <w:r w:rsidRPr="00545535">
        <w:rPr>
          <w:rFonts w:ascii="Arial" w:hAnsi="Arial" w:cs="Arial"/>
          <w:color w:val="auto"/>
          <w:sz w:val="20"/>
          <w:szCs w:val="20"/>
        </w:rPr>
        <w:t xml:space="preserve"> manufacturing capacity and value chain</w:t>
      </w:r>
      <w:r w:rsidR="001F31DC" w:rsidRPr="00545535">
        <w:rPr>
          <w:rFonts w:ascii="Arial" w:hAnsi="Arial" w:cs="Arial"/>
          <w:color w:val="auto"/>
          <w:sz w:val="20"/>
          <w:szCs w:val="20"/>
        </w:rPr>
        <w:t xml:space="preserve"> integration</w:t>
      </w:r>
      <w:r w:rsidRPr="00545535">
        <w:rPr>
          <w:rFonts w:ascii="Arial" w:hAnsi="Arial" w:cs="Arial"/>
          <w:color w:val="auto"/>
          <w:sz w:val="20"/>
          <w:szCs w:val="20"/>
        </w:rPr>
        <w:t xml:space="preserve"> on the continent</w:t>
      </w:r>
      <w:r w:rsidR="001F31DC" w:rsidRPr="00545535">
        <w:rPr>
          <w:rFonts w:ascii="Arial" w:hAnsi="Arial" w:cs="Arial"/>
          <w:color w:val="auto"/>
          <w:sz w:val="20"/>
          <w:szCs w:val="20"/>
        </w:rPr>
        <w:t>;</w:t>
      </w:r>
      <w:r w:rsidRPr="00545535">
        <w:rPr>
          <w:rFonts w:ascii="Arial" w:hAnsi="Arial" w:cs="Arial"/>
          <w:color w:val="auto"/>
          <w:sz w:val="20"/>
          <w:szCs w:val="20"/>
        </w:rPr>
        <w:t xml:space="preserve"> business opportunities in infrastructure development</w:t>
      </w:r>
      <w:r w:rsidR="001F31DC" w:rsidRPr="00545535">
        <w:rPr>
          <w:rFonts w:ascii="Arial" w:hAnsi="Arial" w:cs="Arial"/>
          <w:color w:val="auto"/>
          <w:sz w:val="20"/>
          <w:szCs w:val="20"/>
        </w:rPr>
        <w:t>;</w:t>
      </w:r>
      <w:r w:rsidRPr="00545535">
        <w:rPr>
          <w:rFonts w:ascii="Arial" w:hAnsi="Arial" w:cs="Arial"/>
          <w:color w:val="auto"/>
          <w:sz w:val="20"/>
          <w:szCs w:val="20"/>
        </w:rPr>
        <w:t xml:space="preserve"> and the availability of improved infrastructure that would make S</w:t>
      </w:r>
      <w:r w:rsidR="007A1ABC" w:rsidRPr="00545535">
        <w:rPr>
          <w:rFonts w:ascii="Arial" w:hAnsi="Arial" w:cs="Arial"/>
          <w:color w:val="auto"/>
          <w:sz w:val="20"/>
          <w:szCs w:val="20"/>
        </w:rPr>
        <w:t xml:space="preserve">outh </w:t>
      </w:r>
      <w:r w:rsidRPr="00545535">
        <w:rPr>
          <w:rFonts w:ascii="Arial" w:hAnsi="Arial" w:cs="Arial"/>
          <w:color w:val="auto"/>
          <w:sz w:val="20"/>
          <w:szCs w:val="20"/>
        </w:rPr>
        <w:t>A</w:t>
      </w:r>
      <w:r w:rsidR="007A1ABC" w:rsidRPr="00545535">
        <w:rPr>
          <w:rFonts w:ascii="Arial" w:hAnsi="Arial" w:cs="Arial"/>
          <w:color w:val="auto"/>
          <w:sz w:val="20"/>
          <w:szCs w:val="20"/>
        </w:rPr>
        <w:t>frican</w:t>
      </w:r>
      <w:r w:rsidRPr="00545535">
        <w:rPr>
          <w:rFonts w:ascii="Arial" w:hAnsi="Arial" w:cs="Arial"/>
          <w:color w:val="auto"/>
          <w:sz w:val="20"/>
          <w:szCs w:val="20"/>
        </w:rPr>
        <w:t xml:space="preserve"> trade with the continent more cost</w:t>
      </w:r>
      <w:r w:rsidR="007A1ABC" w:rsidRPr="00545535">
        <w:rPr>
          <w:rFonts w:ascii="Arial" w:hAnsi="Arial" w:cs="Arial"/>
          <w:color w:val="auto"/>
          <w:sz w:val="20"/>
          <w:szCs w:val="20"/>
        </w:rPr>
        <w:t>-</w:t>
      </w:r>
      <w:r w:rsidRPr="00545535">
        <w:rPr>
          <w:rFonts w:ascii="Arial" w:hAnsi="Arial" w:cs="Arial"/>
          <w:color w:val="auto"/>
          <w:sz w:val="20"/>
          <w:szCs w:val="20"/>
        </w:rPr>
        <w:t>efficient.</w:t>
      </w:r>
    </w:p>
    <w:p w:rsidR="00AA7920" w:rsidRPr="00545535" w:rsidRDefault="00AA7920" w:rsidP="00545535">
      <w:pPr>
        <w:pStyle w:val="ListParagraph"/>
        <w:numPr>
          <w:ilvl w:val="0"/>
          <w:numId w:val="0"/>
        </w:numPr>
        <w:spacing w:line="240" w:lineRule="auto"/>
        <w:ind w:left="720"/>
        <w:jc w:val="left"/>
        <w:rPr>
          <w:rFonts w:ascii="Arial" w:hAnsi="Arial" w:cs="Arial"/>
          <w:color w:val="auto"/>
          <w:sz w:val="20"/>
          <w:szCs w:val="20"/>
        </w:rPr>
      </w:pPr>
    </w:p>
    <w:p w:rsidR="00AA7920" w:rsidRPr="00545535" w:rsidRDefault="002F25B0" w:rsidP="00545535">
      <w:pPr>
        <w:pStyle w:val="ListParagraph"/>
        <w:numPr>
          <w:ilvl w:val="0"/>
          <w:numId w:val="0"/>
        </w:numPr>
        <w:spacing w:line="240" w:lineRule="auto"/>
        <w:ind w:left="720"/>
        <w:jc w:val="left"/>
        <w:rPr>
          <w:rFonts w:ascii="Arial" w:hAnsi="Arial" w:cs="Arial"/>
          <w:color w:val="auto"/>
          <w:sz w:val="20"/>
          <w:szCs w:val="20"/>
        </w:rPr>
      </w:pPr>
      <w:r w:rsidRPr="00545535">
        <w:rPr>
          <w:rFonts w:ascii="Arial" w:hAnsi="Arial" w:cs="Arial"/>
          <w:color w:val="auto"/>
          <w:sz w:val="20"/>
          <w:szCs w:val="20"/>
        </w:rPr>
        <w:t xml:space="preserve">In relation to </w:t>
      </w:r>
      <w:r w:rsidR="00AA7920" w:rsidRPr="00545535">
        <w:rPr>
          <w:rFonts w:ascii="Arial" w:hAnsi="Arial" w:cs="Arial"/>
          <w:color w:val="auto"/>
          <w:sz w:val="20"/>
          <w:szCs w:val="20"/>
        </w:rPr>
        <w:t xml:space="preserve">Industrial Development, </w:t>
      </w:r>
      <w:r w:rsidRPr="00545535">
        <w:rPr>
          <w:rFonts w:ascii="Arial" w:hAnsi="Arial" w:cs="Arial"/>
          <w:color w:val="auto"/>
          <w:sz w:val="20"/>
          <w:szCs w:val="20"/>
        </w:rPr>
        <w:t xml:space="preserve">there has been much work </w:t>
      </w:r>
      <w:r w:rsidR="00AA7920" w:rsidRPr="00545535">
        <w:rPr>
          <w:rFonts w:ascii="Arial" w:hAnsi="Arial" w:cs="Arial"/>
          <w:color w:val="auto"/>
          <w:sz w:val="20"/>
          <w:szCs w:val="20"/>
        </w:rPr>
        <w:t xml:space="preserve">at </w:t>
      </w:r>
      <w:r w:rsidRPr="00545535">
        <w:rPr>
          <w:rFonts w:ascii="Arial" w:hAnsi="Arial" w:cs="Arial"/>
          <w:color w:val="auto"/>
          <w:sz w:val="20"/>
          <w:szCs w:val="20"/>
        </w:rPr>
        <w:t xml:space="preserve">the </w:t>
      </w:r>
      <w:r w:rsidR="00AA7920" w:rsidRPr="00545535">
        <w:rPr>
          <w:rFonts w:ascii="Arial" w:hAnsi="Arial" w:cs="Arial"/>
          <w:color w:val="auto"/>
          <w:sz w:val="20"/>
          <w:szCs w:val="20"/>
        </w:rPr>
        <w:t>SACU level</w:t>
      </w:r>
      <w:r w:rsidRPr="00545535">
        <w:rPr>
          <w:rFonts w:ascii="Arial" w:hAnsi="Arial" w:cs="Arial"/>
          <w:color w:val="auto"/>
          <w:sz w:val="20"/>
          <w:szCs w:val="20"/>
        </w:rPr>
        <w:t xml:space="preserve"> to prepare </w:t>
      </w:r>
      <w:r w:rsidR="00AA7920" w:rsidRPr="00545535">
        <w:rPr>
          <w:rFonts w:ascii="Arial" w:hAnsi="Arial" w:cs="Arial"/>
          <w:color w:val="auto"/>
          <w:sz w:val="20"/>
          <w:szCs w:val="20"/>
        </w:rPr>
        <w:t xml:space="preserve">to take advantage of the </w:t>
      </w:r>
      <w:r w:rsidRPr="00545535">
        <w:rPr>
          <w:rFonts w:ascii="Arial" w:hAnsi="Arial" w:cs="Arial"/>
          <w:color w:val="auto"/>
          <w:sz w:val="20"/>
          <w:szCs w:val="20"/>
        </w:rPr>
        <w:t xml:space="preserve">opportunities that will become available through the </w:t>
      </w:r>
      <w:r w:rsidR="00AA7920" w:rsidRPr="00545535">
        <w:rPr>
          <w:rFonts w:ascii="Arial" w:hAnsi="Arial" w:cs="Arial"/>
          <w:color w:val="auto"/>
          <w:sz w:val="20"/>
          <w:szCs w:val="20"/>
        </w:rPr>
        <w:t xml:space="preserve">AfCFTA.  </w:t>
      </w:r>
      <w:r w:rsidRPr="00545535">
        <w:rPr>
          <w:rFonts w:ascii="Arial" w:hAnsi="Arial" w:cs="Arial"/>
          <w:color w:val="auto"/>
          <w:sz w:val="20"/>
          <w:szCs w:val="20"/>
        </w:rPr>
        <w:t xml:space="preserve">There has been an emphasis around value chain mapping in the following areas: </w:t>
      </w:r>
      <w:r w:rsidR="00AA7920" w:rsidRPr="00545535">
        <w:rPr>
          <w:rFonts w:ascii="Arial" w:hAnsi="Arial" w:cs="Arial"/>
          <w:color w:val="auto"/>
          <w:sz w:val="20"/>
          <w:szCs w:val="20"/>
        </w:rPr>
        <w:t>Leather and Leather Products, Fruits and Vegetables, Meat and Meat Products</w:t>
      </w:r>
      <w:r w:rsidR="00BC3FF3" w:rsidRPr="00545535">
        <w:rPr>
          <w:rFonts w:ascii="Arial" w:hAnsi="Arial" w:cs="Arial"/>
          <w:color w:val="auto"/>
          <w:sz w:val="20"/>
          <w:szCs w:val="20"/>
        </w:rPr>
        <w:t>,</w:t>
      </w:r>
      <w:r w:rsidR="00AA7920" w:rsidRPr="00545535">
        <w:rPr>
          <w:rFonts w:ascii="Arial" w:hAnsi="Arial" w:cs="Arial"/>
          <w:color w:val="auto"/>
          <w:sz w:val="20"/>
          <w:szCs w:val="20"/>
        </w:rPr>
        <w:t xml:space="preserve"> Textiles and Clothing</w:t>
      </w:r>
      <w:r w:rsidRPr="00545535">
        <w:rPr>
          <w:rFonts w:ascii="Arial" w:hAnsi="Arial" w:cs="Arial"/>
          <w:color w:val="auto"/>
          <w:sz w:val="20"/>
          <w:szCs w:val="20"/>
        </w:rPr>
        <w:t>,</w:t>
      </w:r>
      <w:r w:rsidR="00AA7920" w:rsidRPr="00545535">
        <w:rPr>
          <w:rFonts w:ascii="Arial" w:hAnsi="Arial" w:cs="Arial"/>
          <w:color w:val="auto"/>
          <w:sz w:val="20"/>
          <w:szCs w:val="20"/>
        </w:rPr>
        <w:t xml:space="preserve"> </w:t>
      </w:r>
      <w:r w:rsidRPr="00545535">
        <w:rPr>
          <w:rFonts w:ascii="Arial" w:hAnsi="Arial" w:cs="Arial"/>
          <w:color w:val="auto"/>
          <w:sz w:val="20"/>
          <w:szCs w:val="20"/>
        </w:rPr>
        <w:t xml:space="preserve">and </w:t>
      </w:r>
      <w:r w:rsidR="00AA7920" w:rsidRPr="00545535">
        <w:rPr>
          <w:rFonts w:ascii="Arial" w:hAnsi="Arial" w:cs="Arial"/>
          <w:color w:val="auto"/>
          <w:sz w:val="20"/>
          <w:szCs w:val="20"/>
        </w:rPr>
        <w:t xml:space="preserve">Pharmaceuticals and Chemicals. </w:t>
      </w:r>
      <w:r w:rsidR="00965715" w:rsidRPr="00545535">
        <w:rPr>
          <w:rFonts w:ascii="Arial" w:hAnsi="Arial" w:cs="Arial"/>
          <w:color w:val="auto"/>
          <w:sz w:val="20"/>
          <w:szCs w:val="20"/>
        </w:rPr>
        <w:t xml:space="preserve">At the AfCFTA level, developing and concluding </w:t>
      </w:r>
      <w:r w:rsidR="00AA7920" w:rsidRPr="00545535">
        <w:rPr>
          <w:rFonts w:ascii="Arial" w:hAnsi="Arial" w:cs="Arial"/>
          <w:color w:val="auto"/>
          <w:sz w:val="20"/>
          <w:szCs w:val="20"/>
        </w:rPr>
        <w:t>Rules of Origin that encourage greater levels of African production and African content in intra-African trade</w:t>
      </w:r>
      <w:r w:rsidR="00965715" w:rsidRPr="00545535">
        <w:rPr>
          <w:rFonts w:ascii="Arial" w:hAnsi="Arial" w:cs="Arial"/>
          <w:color w:val="auto"/>
          <w:sz w:val="20"/>
          <w:szCs w:val="20"/>
        </w:rPr>
        <w:t xml:space="preserve">. This </w:t>
      </w:r>
      <w:r w:rsidR="00AA7920" w:rsidRPr="00545535">
        <w:rPr>
          <w:rFonts w:ascii="Arial" w:hAnsi="Arial" w:cs="Arial"/>
          <w:color w:val="auto"/>
          <w:sz w:val="20"/>
          <w:szCs w:val="20"/>
        </w:rPr>
        <w:t>is an essential component of the negotiating process to reduce tariffs on 90</w:t>
      </w:r>
      <w:r w:rsidR="00780D59" w:rsidRPr="00545535">
        <w:rPr>
          <w:rFonts w:ascii="Arial" w:hAnsi="Arial" w:cs="Arial"/>
          <w:color w:val="auto"/>
          <w:sz w:val="20"/>
          <w:szCs w:val="20"/>
        </w:rPr>
        <w:t xml:space="preserve"> per cent</w:t>
      </w:r>
      <w:r w:rsidR="00AA7920" w:rsidRPr="00545535">
        <w:rPr>
          <w:rFonts w:ascii="Arial" w:hAnsi="Arial" w:cs="Arial"/>
          <w:color w:val="auto"/>
          <w:sz w:val="20"/>
          <w:szCs w:val="20"/>
        </w:rPr>
        <w:t xml:space="preserve"> of products</w:t>
      </w:r>
      <w:r w:rsidR="00965715" w:rsidRPr="00545535">
        <w:rPr>
          <w:rFonts w:ascii="Arial" w:hAnsi="Arial" w:cs="Arial"/>
          <w:color w:val="auto"/>
          <w:sz w:val="20"/>
          <w:szCs w:val="20"/>
        </w:rPr>
        <w:t xml:space="preserve">, as it </w:t>
      </w:r>
      <w:r w:rsidR="00780D59" w:rsidRPr="00545535">
        <w:rPr>
          <w:rFonts w:ascii="Arial" w:hAnsi="Arial" w:cs="Arial"/>
          <w:color w:val="auto"/>
          <w:sz w:val="20"/>
          <w:szCs w:val="20"/>
        </w:rPr>
        <w:t xml:space="preserve">should </w:t>
      </w:r>
      <w:r w:rsidR="00965715" w:rsidRPr="00545535">
        <w:rPr>
          <w:rFonts w:ascii="Arial" w:hAnsi="Arial" w:cs="Arial"/>
          <w:color w:val="auto"/>
          <w:sz w:val="20"/>
          <w:szCs w:val="20"/>
        </w:rPr>
        <w:t>encourage industrial development</w:t>
      </w:r>
      <w:r w:rsidR="00AA7920" w:rsidRPr="00545535">
        <w:rPr>
          <w:rFonts w:ascii="Arial" w:hAnsi="Arial" w:cs="Arial"/>
          <w:color w:val="auto"/>
          <w:sz w:val="20"/>
          <w:szCs w:val="20"/>
        </w:rPr>
        <w:t xml:space="preserve">. </w:t>
      </w:r>
    </w:p>
    <w:p w:rsidR="00AA7920" w:rsidRPr="00545535" w:rsidRDefault="00AA7920" w:rsidP="00545535">
      <w:pPr>
        <w:pStyle w:val="ListParagraph"/>
        <w:numPr>
          <w:ilvl w:val="0"/>
          <w:numId w:val="0"/>
        </w:numPr>
        <w:spacing w:line="240" w:lineRule="auto"/>
        <w:ind w:left="720"/>
        <w:jc w:val="left"/>
        <w:rPr>
          <w:rFonts w:ascii="Arial" w:hAnsi="Arial" w:cs="Arial"/>
          <w:color w:val="auto"/>
          <w:sz w:val="20"/>
          <w:szCs w:val="20"/>
        </w:rPr>
      </w:pPr>
    </w:p>
    <w:p w:rsidR="00AA7920" w:rsidRPr="00545535" w:rsidRDefault="00CE1CA7" w:rsidP="00545535">
      <w:pPr>
        <w:pStyle w:val="ListParagraph"/>
        <w:numPr>
          <w:ilvl w:val="0"/>
          <w:numId w:val="0"/>
        </w:numPr>
        <w:spacing w:line="240" w:lineRule="auto"/>
        <w:ind w:left="720"/>
        <w:jc w:val="left"/>
        <w:rPr>
          <w:rFonts w:ascii="Arial" w:hAnsi="Arial" w:cs="Arial"/>
          <w:color w:val="auto"/>
          <w:sz w:val="20"/>
          <w:szCs w:val="20"/>
        </w:rPr>
      </w:pPr>
      <w:r w:rsidRPr="00545535">
        <w:rPr>
          <w:rFonts w:ascii="Arial" w:hAnsi="Arial" w:cs="Arial"/>
          <w:color w:val="auto"/>
          <w:sz w:val="20"/>
          <w:szCs w:val="20"/>
        </w:rPr>
        <w:t>Furthermore, t</w:t>
      </w:r>
      <w:r w:rsidR="00970216" w:rsidRPr="00545535">
        <w:rPr>
          <w:rFonts w:ascii="Arial" w:hAnsi="Arial" w:cs="Arial"/>
          <w:color w:val="auto"/>
          <w:sz w:val="20"/>
          <w:szCs w:val="20"/>
        </w:rPr>
        <w:t xml:space="preserve">he </w:t>
      </w:r>
      <w:r w:rsidRPr="00545535">
        <w:rPr>
          <w:rFonts w:ascii="Arial" w:hAnsi="Arial" w:cs="Arial"/>
          <w:color w:val="auto"/>
          <w:sz w:val="20"/>
          <w:szCs w:val="20"/>
        </w:rPr>
        <w:t xml:space="preserve">DTIC </w:t>
      </w:r>
      <w:r w:rsidR="00970216" w:rsidRPr="00545535">
        <w:rPr>
          <w:rFonts w:ascii="Arial" w:hAnsi="Arial" w:cs="Arial"/>
          <w:color w:val="auto"/>
          <w:sz w:val="20"/>
          <w:szCs w:val="20"/>
        </w:rPr>
        <w:t xml:space="preserve">has </w:t>
      </w:r>
      <w:r w:rsidR="00AA7920" w:rsidRPr="00545535">
        <w:rPr>
          <w:rFonts w:ascii="Arial" w:hAnsi="Arial" w:cs="Arial"/>
          <w:color w:val="auto"/>
          <w:sz w:val="20"/>
          <w:szCs w:val="20"/>
        </w:rPr>
        <w:t>initiat</w:t>
      </w:r>
      <w:r w:rsidR="00970216" w:rsidRPr="00545535">
        <w:rPr>
          <w:rFonts w:ascii="Arial" w:hAnsi="Arial" w:cs="Arial"/>
          <w:color w:val="auto"/>
          <w:sz w:val="20"/>
          <w:szCs w:val="20"/>
        </w:rPr>
        <w:t>ed</w:t>
      </w:r>
      <w:r w:rsidR="00AA7920" w:rsidRPr="00545535">
        <w:rPr>
          <w:rFonts w:ascii="Arial" w:hAnsi="Arial" w:cs="Arial"/>
          <w:color w:val="auto"/>
          <w:sz w:val="20"/>
          <w:szCs w:val="20"/>
        </w:rPr>
        <w:t xml:space="preserve"> work at the AfCFTA on an investment protocol. This would set a framework that should encourage greater investment into Africa in productive sectors, on products for export under the AfCFTA tariff preferences. The protocol will thus complement the market integration framework to support industrialisation in Africa. </w:t>
      </w:r>
      <w:r w:rsidRPr="00545535">
        <w:rPr>
          <w:rFonts w:ascii="Arial" w:hAnsi="Arial" w:cs="Arial"/>
          <w:color w:val="auto"/>
          <w:sz w:val="20"/>
          <w:szCs w:val="20"/>
        </w:rPr>
        <w:t>In conjunction with this, t</w:t>
      </w:r>
      <w:r w:rsidR="00970216" w:rsidRPr="00545535">
        <w:rPr>
          <w:rFonts w:ascii="Arial" w:hAnsi="Arial" w:cs="Arial"/>
          <w:color w:val="auto"/>
          <w:sz w:val="20"/>
          <w:szCs w:val="20"/>
        </w:rPr>
        <w:t xml:space="preserve">he </w:t>
      </w:r>
      <w:r w:rsidR="00AA7920" w:rsidRPr="00545535">
        <w:rPr>
          <w:rFonts w:ascii="Arial" w:hAnsi="Arial" w:cs="Arial"/>
          <w:color w:val="auto"/>
          <w:sz w:val="20"/>
          <w:szCs w:val="20"/>
        </w:rPr>
        <w:t xml:space="preserve">AfCFTA Secretariat and </w:t>
      </w:r>
      <w:r w:rsidR="00027224" w:rsidRPr="00545535">
        <w:rPr>
          <w:rFonts w:ascii="Arial" w:hAnsi="Arial" w:cs="Arial"/>
          <w:color w:val="auto"/>
          <w:sz w:val="20"/>
          <w:szCs w:val="20"/>
        </w:rPr>
        <w:t>African Export-Import Bank (</w:t>
      </w:r>
      <w:r w:rsidR="00AA7920" w:rsidRPr="00545535">
        <w:rPr>
          <w:rFonts w:ascii="Arial" w:hAnsi="Arial" w:cs="Arial"/>
          <w:color w:val="auto"/>
          <w:sz w:val="20"/>
          <w:szCs w:val="20"/>
        </w:rPr>
        <w:t>Afreximbank</w:t>
      </w:r>
      <w:r w:rsidR="00027224" w:rsidRPr="00545535">
        <w:rPr>
          <w:rFonts w:ascii="Arial" w:hAnsi="Arial" w:cs="Arial"/>
          <w:color w:val="auto"/>
          <w:sz w:val="20"/>
          <w:szCs w:val="20"/>
        </w:rPr>
        <w:t>)</w:t>
      </w:r>
      <w:r w:rsidR="00AA7920" w:rsidRPr="00545535">
        <w:rPr>
          <w:rFonts w:ascii="Arial" w:hAnsi="Arial" w:cs="Arial"/>
          <w:color w:val="auto"/>
          <w:sz w:val="20"/>
          <w:szCs w:val="20"/>
        </w:rPr>
        <w:t xml:space="preserve"> are establishing an AfCFTA Adjustment Fund to address near-term disruptions as tariff revenues are reduced</w:t>
      </w:r>
      <w:r w:rsidRPr="00545535">
        <w:rPr>
          <w:rFonts w:ascii="Arial" w:hAnsi="Arial" w:cs="Arial"/>
          <w:color w:val="auto"/>
          <w:sz w:val="20"/>
          <w:szCs w:val="20"/>
        </w:rPr>
        <w:t xml:space="preserve"> and to </w:t>
      </w:r>
      <w:r w:rsidR="00AA7920" w:rsidRPr="00545535">
        <w:rPr>
          <w:rFonts w:ascii="Arial" w:hAnsi="Arial" w:cs="Arial"/>
          <w:color w:val="auto"/>
          <w:sz w:val="20"/>
          <w:szCs w:val="20"/>
        </w:rPr>
        <w:t xml:space="preserve">provide funding for industrial development projects. </w:t>
      </w:r>
      <w:r w:rsidRPr="00545535">
        <w:rPr>
          <w:rFonts w:ascii="Arial" w:hAnsi="Arial" w:cs="Arial"/>
          <w:color w:val="auto"/>
          <w:sz w:val="20"/>
          <w:szCs w:val="20"/>
        </w:rPr>
        <w:t>In this regard,</w:t>
      </w:r>
      <w:r w:rsidR="00AA7920" w:rsidRPr="00545535">
        <w:rPr>
          <w:rFonts w:ascii="Arial" w:hAnsi="Arial" w:cs="Arial"/>
          <w:color w:val="auto"/>
          <w:sz w:val="20"/>
          <w:szCs w:val="20"/>
        </w:rPr>
        <w:t xml:space="preserve"> the Afreximbank has mobilised a facility of US$1</w:t>
      </w:r>
      <w:r w:rsidR="00476DD6" w:rsidRPr="00545535">
        <w:rPr>
          <w:rFonts w:ascii="Arial" w:hAnsi="Arial" w:cs="Arial"/>
          <w:color w:val="auto"/>
          <w:sz w:val="20"/>
          <w:szCs w:val="20"/>
        </w:rPr>
        <w:t> </w:t>
      </w:r>
      <w:r w:rsidR="00AA7920" w:rsidRPr="00545535">
        <w:rPr>
          <w:rFonts w:ascii="Arial" w:hAnsi="Arial" w:cs="Arial"/>
          <w:color w:val="auto"/>
          <w:sz w:val="20"/>
          <w:szCs w:val="20"/>
        </w:rPr>
        <w:t xml:space="preserve">billion for the development of the automotive sector, to support industrialisation in Africa. </w:t>
      </w:r>
      <w:r w:rsidR="00476DD6" w:rsidRPr="00545535">
        <w:rPr>
          <w:rFonts w:ascii="Arial" w:hAnsi="Arial" w:cs="Arial"/>
          <w:color w:val="auto"/>
          <w:sz w:val="20"/>
          <w:szCs w:val="20"/>
        </w:rPr>
        <w:t>Furthermore, t</w:t>
      </w:r>
      <w:r w:rsidR="00AA7920" w:rsidRPr="00545535">
        <w:rPr>
          <w:rFonts w:ascii="Arial" w:hAnsi="Arial" w:cs="Arial"/>
          <w:color w:val="auto"/>
          <w:sz w:val="20"/>
          <w:szCs w:val="20"/>
        </w:rPr>
        <w:t xml:space="preserve">he AfCFTA Council of Ministers is finalising a proposal to establish an AfCFTA Trade and Industrial Development Advisory Council. This </w:t>
      </w:r>
      <w:r w:rsidR="00027224" w:rsidRPr="00545535">
        <w:rPr>
          <w:rFonts w:ascii="Arial" w:hAnsi="Arial" w:cs="Arial"/>
          <w:color w:val="auto"/>
          <w:sz w:val="20"/>
          <w:szCs w:val="20"/>
        </w:rPr>
        <w:t>C</w:t>
      </w:r>
      <w:r w:rsidR="00AA7920" w:rsidRPr="00545535">
        <w:rPr>
          <w:rFonts w:ascii="Arial" w:hAnsi="Arial" w:cs="Arial"/>
          <w:color w:val="auto"/>
          <w:sz w:val="20"/>
          <w:szCs w:val="20"/>
        </w:rPr>
        <w:t>ouncil will provide policy and practical guidance to further work on industrialisation in Africa.</w:t>
      </w:r>
    </w:p>
    <w:p w:rsidR="00AA7920" w:rsidRPr="00545535" w:rsidRDefault="00AA7920" w:rsidP="00545535">
      <w:pPr>
        <w:pStyle w:val="ListParagraph"/>
        <w:numPr>
          <w:ilvl w:val="0"/>
          <w:numId w:val="0"/>
        </w:numPr>
        <w:spacing w:line="240" w:lineRule="auto"/>
        <w:ind w:left="720"/>
        <w:jc w:val="left"/>
        <w:rPr>
          <w:rFonts w:ascii="Arial" w:hAnsi="Arial" w:cs="Arial"/>
          <w:color w:val="auto"/>
          <w:sz w:val="20"/>
          <w:szCs w:val="20"/>
        </w:rPr>
      </w:pPr>
    </w:p>
    <w:p w:rsidR="00AA7920" w:rsidRPr="00545535" w:rsidRDefault="00AA7920" w:rsidP="00545535">
      <w:pPr>
        <w:pStyle w:val="ListParagraph"/>
        <w:numPr>
          <w:ilvl w:val="0"/>
          <w:numId w:val="0"/>
        </w:numPr>
        <w:spacing w:line="240" w:lineRule="auto"/>
        <w:ind w:left="720"/>
        <w:jc w:val="left"/>
        <w:rPr>
          <w:rFonts w:ascii="Arial" w:hAnsi="Arial" w:cs="Arial"/>
          <w:color w:val="auto"/>
          <w:sz w:val="20"/>
          <w:szCs w:val="20"/>
        </w:rPr>
      </w:pPr>
      <w:r w:rsidRPr="00545535">
        <w:rPr>
          <w:rFonts w:ascii="Arial" w:hAnsi="Arial" w:cs="Arial"/>
          <w:color w:val="auto"/>
          <w:sz w:val="20"/>
          <w:szCs w:val="20"/>
        </w:rPr>
        <w:t>Currently, 98</w:t>
      </w:r>
      <w:r w:rsidR="00027224" w:rsidRPr="00545535">
        <w:rPr>
          <w:rFonts w:ascii="Arial" w:hAnsi="Arial" w:cs="Arial"/>
          <w:color w:val="auto"/>
          <w:sz w:val="20"/>
          <w:szCs w:val="20"/>
        </w:rPr>
        <w:t xml:space="preserve"> per cent</w:t>
      </w:r>
      <w:r w:rsidRPr="00545535">
        <w:rPr>
          <w:rFonts w:ascii="Arial" w:hAnsi="Arial" w:cs="Arial"/>
          <w:color w:val="auto"/>
          <w:sz w:val="20"/>
          <w:szCs w:val="20"/>
        </w:rPr>
        <w:t xml:space="preserve"> of South Africa’s exports into the Rest of Africa is by road due to poor air, maritime and rail connectivity along with other inherent supply chain deficiencies.</w:t>
      </w:r>
      <w:r w:rsidR="00476DD6" w:rsidRPr="00545535">
        <w:rPr>
          <w:rFonts w:ascii="Arial" w:hAnsi="Arial" w:cs="Arial"/>
          <w:color w:val="auto"/>
          <w:sz w:val="20"/>
          <w:szCs w:val="20"/>
        </w:rPr>
        <w:t xml:space="preserve"> </w:t>
      </w:r>
      <w:r w:rsidRPr="00545535">
        <w:rPr>
          <w:rFonts w:ascii="Arial" w:hAnsi="Arial" w:cs="Arial"/>
          <w:color w:val="auto"/>
          <w:sz w:val="20"/>
          <w:szCs w:val="20"/>
        </w:rPr>
        <w:t>The I</w:t>
      </w:r>
      <w:r w:rsidR="00476DD6" w:rsidRPr="00545535">
        <w:rPr>
          <w:rFonts w:ascii="Arial" w:hAnsi="Arial" w:cs="Arial"/>
          <w:color w:val="auto"/>
          <w:sz w:val="20"/>
          <w:szCs w:val="20"/>
        </w:rPr>
        <w:t xml:space="preserve">nternational </w:t>
      </w:r>
      <w:r w:rsidRPr="00545535">
        <w:rPr>
          <w:rFonts w:ascii="Arial" w:hAnsi="Arial" w:cs="Arial"/>
          <w:color w:val="auto"/>
          <w:sz w:val="20"/>
          <w:szCs w:val="20"/>
        </w:rPr>
        <w:t>M</w:t>
      </w:r>
      <w:r w:rsidR="00476DD6" w:rsidRPr="00545535">
        <w:rPr>
          <w:rFonts w:ascii="Arial" w:hAnsi="Arial" w:cs="Arial"/>
          <w:color w:val="auto"/>
          <w:sz w:val="20"/>
          <w:szCs w:val="20"/>
        </w:rPr>
        <w:t xml:space="preserve">onetary </w:t>
      </w:r>
      <w:r w:rsidRPr="00545535">
        <w:rPr>
          <w:rFonts w:ascii="Arial" w:hAnsi="Arial" w:cs="Arial"/>
          <w:color w:val="auto"/>
          <w:sz w:val="20"/>
          <w:szCs w:val="20"/>
        </w:rPr>
        <w:t>F</w:t>
      </w:r>
      <w:r w:rsidR="00476DD6" w:rsidRPr="00545535">
        <w:rPr>
          <w:rFonts w:ascii="Arial" w:hAnsi="Arial" w:cs="Arial"/>
          <w:color w:val="auto"/>
          <w:sz w:val="20"/>
          <w:szCs w:val="20"/>
        </w:rPr>
        <w:t>und</w:t>
      </w:r>
      <w:r w:rsidRPr="00545535">
        <w:rPr>
          <w:rFonts w:ascii="Arial" w:hAnsi="Arial" w:cs="Arial"/>
          <w:color w:val="auto"/>
          <w:sz w:val="20"/>
          <w:szCs w:val="20"/>
        </w:rPr>
        <w:t xml:space="preserve"> and </w:t>
      </w:r>
      <w:r w:rsidR="00476DD6" w:rsidRPr="00545535">
        <w:rPr>
          <w:rFonts w:ascii="Arial" w:hAnsi="Arial" w:cs="Arial"/>
          <w:color w:val="auto"/>
          <w:sz w:val="20"/>
          <w:szCs w:val="20"/>
        </w:rPr>
        <w:t xml:space="preserve">the </w:t>
      </w:r>
      <w:r w:rsidRPr="00545535">
        <w:rPr>
          <w:rFonts w:ascii="Arial" w:hAnsi="Arial" w:cs="Arial"/>
          <w:color w:val="auto"/>
          <w:sz w:val="20"/>
          <w:szCs w:val="20"/>
        </w:rPr>
        <w:t>U</w:t>
      </w:r>
      <w:r w:rsidR="00476DD6" w:rsidRPr="00545535">
        <w:rPr>
          <w:rFonts w:ascii="Arial" w:hAnsi="Arial" w:cs="Arial"/>
          <w:color w:val="auto"/>
          <w:sz w:val="20"/>
          <w:szCs w:val="20"/>
        </w:rPr>
        <w:t xml:space="preserve">nited </w:t>
      </w:r>
      <w:r w:rsidRPr="00545535">
        <w:rPr>
          <w:rFonts w:ascii="Arial" w:hAnsi="Arial" w:cs="Arial"/>
          <w:color w:val="auto"/>
          <w:sz w:val="20"/>
          <w:szCs w:val="20"/>
        </w:rPr>
        <w:t>N</w:t>
      </w:r>
      <w:r w:rsidR="00476DD6" w:rsidRPr="00545535">
        <w:rPr>
          <w:rFonts w:ascii="Arial" w:hAnsi="Arial" w:cs="Arial"/>
          <w:color w:val="auto"/>
          <w:sz w:val="20"/>
          <w:szCs w:val="20"/>
        </w:rPr>
        <w:t xml:space="preserve">ations </w:t>
      </w:r>
      <w:r w:rsidRPr="00545535">
        <w:rPr>
          <w:rFonts w:ascii="Arial" w:hAnsi="Arial" w:cs="Arial"/>
          <w:color w:val="auto"/>
          <w:sz w:val="20"/>
          <w:szCs w:val="20"/>
        </w:rPr>
        <w:t>C</w:t>
      </w:r>
      <w:r w:rsidR="00476DD6" w:rsidRPr="00545535">
        <w:rPr>
          <w:rFonts w:ascii="Arial" w:hAnsi="Arial" w:cs="Arial"/>
          <w:color w:val="auto"/>
          <w:sz w:val="20"/>
          <w:szCs w:val="20"/>
        </w:rPr>
        <w:t xml:space="preserve">onference on </w:t>
      </w:r>
      <w:r w:rsidRPr="00545535">
        <w:rPr>
          <w:rFonts w:ascii="Arial" w:hAnsi="Arial" w:cs="Arial"/>
          <w:color w:val="auto"/>
          <w:sz w:val="20"/>
          <w:szCs w:val="20"/>
        </w:rPr>
        <w:t>T</w:t>
      </w:r>
      <w:r w:rsidR="00476DD6" w:rsidRPr="00545535">
        <w:rPr>
          <w:rFonts w:ascii="Arial" w:hAnsi="Arial" w:cs="Arial"/>
          <w:color w:val="auto"/>
          <w:sz w:val="20"/>
          <w:szCs w:val="20"/>
        </w:rPr>
        <w:t xml:space="preserve">rade and </w:t>
      </w:r>
      <w:r w:rsidRPr="00545535">
        <w:rPr>
          <w:rFonts w:ascii="Arial" w:hAnsi="Arial" w:cs="Arial"/>
          <w:color w:val="auto"/>
          <w:sz w:val="20"/>
          <w:szCs w:val="20"/>
        </w:rPr>
        <w:t>D</w:t>
      </w:r>
      <w:r w:rsidR="00476DD6" w:rsidRPr="00545535">
        <w:rPr>
          <w:rFonts w:ascii="Arial" w:hAnsi="Arial" w:cs="Arial"/>
          <w:color w:val="auto"/>
          <w:sz w:val="20"/>
          <w:szCs w:val="20"/>
        </w:rPr>
        <w:t>evelopment</w:t>
      </w:r>
      <w:r w:rsidRPr="00545535">
        <w:rPr>
          <w:rFonts w:ascii="Arial" w:hAnsi="Arial" w:cs="Arial"/>
          <w:color w:val="auto"/>
          <w:sz w:val="20"/>
          <w:szCs w:val="20"/>
        </w:rPr>
        <w:t xml:space="preserve"> claim that improving trade logistics, such as customs services, and addressing poor infrastructure could be up to four times more effective in boosting intra-African trade than tariff reductions. Th</w:t>
      </w:r>
      <w:r w:rsidR="00476DD6" w:rsidRPr="00545535">
        <w:rPr>
          <w:rFonts w:ascii="Arial" w:hAnsi="Arial" w:cs="Arial"/>
          <w:color w:val="auto"/>
          <w:sz w:val="20"/>
          <w:szCs w:val="20"/>
        </w:rPr>
        <w:t xml:space="preserve">erefore, </w:t>
      </w:r>
      <w:r w:rsidRPr="00545535">
        <w:rPr>
          <w:rFonts w:ascii="Arial" w:hAnsi="Arial" w:cs="Arial"/>
          <w:color w:val="auto"/>
          <w:sz w:val="20"/>
          <w:szCs w:val="20"/>
        </w:rPr>
        <w:t xml:space="preserve">the implementation of </w:t>
      </w:r>
      <w:r w:rsidR="00476DD6" w:rsidRPr="00545535">
        <w:rPr>
          <w:rFonts w:ascii="Arial" w:hAnsi="Arial" w:cs="Arial"/>
          <w:color w:val="auto"/>
          <w:sz w:val="20"/>
          <w:szCs w:val="20"/>
        </w:rPr>
        <w:t>the Programme for Infrastructure Development in Africa (</w:t>
      </w:r>
      <w:r w:rsidRPr="00545535">
        <w:rPr>
          <w:rFonts w:ascii="Arial" w:hAnsi="Arial" w:cs="Arial"/>
          <w:color w:val="auto"/>
          <w:sz w:val="20"/>
          <w:szCs w:val="20"/>
        </w:rPr>
        <w:t>PIDA</w:t>
      </w:r>
      <w:r w:rsidR="00476DD6" w:rsidRPr="00545535">
        <w:rPr>
          <w:rFonts w:ascii="Arial" w:hAnsi="Arial" w:cs="Arial"/>
          <w:color w:val="auto"/>
          <w:sz w:val="20"/>
          <w:szCs w:val="20"/>
        </w:rPr>
        <w:t>)</w:t>
      </w:r>
      <w:r w:rsidRPr="00545535">
        <w:rPr>
          <w:rFonts w:ascii="Arial" w:hAnsi="Arial" w:cs="Arial"/>
          <w:color w:val="auto"/>
          <w:sz w:val="20"/>
          <w:szCs w:val="20"/>
        </w:rPr>
        <w:t xml:space="preserve"> and other related initiatives (such as the North</w:t>
      </w:r>
      <w:r w:rsidR="00B81632" w:rsidRPr="00545535">
        <w:rPr>
          <w:rFonts w:ascii="Arial" w:hAnsi="Arial" w:cs="Arial"/>
          <w:color w:val="auto"/>
          <w:sz w:val="20"/>
          <w:szCs w:val="20"/>
        </w:rPr>
        <w:t>-</w:t>
      </w:r>
      <w:r w:rsidRPr="00545535">
        <w:rPr>
          <w:rFonts w:ascii="Arial" w:hAnsi="Arial" w:cs="Arial"/>
          <w:color w:val="auto"/>
          <w:sz w:val="20"/>
          <w:szCs w:val="20"/>
        </w:rPr>
        <w:t>South Corridor) is crucial to improve trade infrastructure connectivity and enhance supply chain efficiencies between S</w:t>
      </w:r>
      <w:r w:rsidR="00476DD6" w:rsidRPr="00545535">
        <w:rPr>
          <w:rFonts w:ascii="Arial" w:hAnsi="Arial" w:cs="Arial"/>
          <w:color w:val="auto"/>
          <w:sz w:val="20"/>
          <w:szCs w:val="20"/>
        </w:rPr>
        <w:t xml:space="preserve">outh </w:t>
      </w:r>
      <w:r w:rsidRPr="00545535">
        <w:rPr>
          <w:rFonts w:ascii="Arial" w:hAnsi="Arial" w:cs="Arial"/>
          <w:color w:val="auto"/>
          <w:sz w:val="20"/>
          <w:szCs w:val="20"/>
        </w:rPr>
        <w:t>A</w:t>
      </w:r>
      <w:r w:rsidR="00476DD6" w:rsidRPr="00545535">
        <w:rPr>
          <w:rFonts w:ascii="Arial" w:hAnsi="Arial" w:cs="Arial"/>
          <w:color w:val="auto"/>
          <w:sz w:val="20"/>
          <w:szCs w:val="20"/>
        </w:rPr>
        <w:t>frica</w:t>
      </w:r>
      <w:r w:rsidRPr="00545535">
        <w:rPr>
          <w:rFonts w:ascii="Arial" w:hAnsi="Arial" w:cs="Arial"/>
          <w:color w:val="auto"/>
          <w:sz w:val="20"/>
          <w:szCs w:val="20"/>
        </w:rPr>
        <w:t xml:space="preserve"> and other African countries and to capitalise on the opportunities that the AfCFTA presents. Failure to provide logistics capacity will stifle any planned trade expansions, including the implementation of the AfCFTA. </w:t>
      </w:r>
    </w:p>
    <w:p w:rsidR="00AA7920" w:rsidRPr="00545535" w:rsidRDefault="00AA7920" w:rsidP="00545535">
      <w:pPr>
        <w:pStyle w:val="ListParagraph"/>
        <w:numPr>
          <w:ilvl w:val="0"/>
          <w:numId w:val="0"/>
        </w:numPr>
        <w:spacing w:line="240" w:lineRule="auto"/>
        <w:ind w:left="720"/>
        <w:jc w:val="left"/>
        <w:rPr>
          <w:rFonts w:ascii="Arial" w:hAnsi="Arial" w:cs="Arial"/>
          <w:color w:val="auto"/>
          <w:sz w:val="20"/>
          <w:szCs w:val="20"/>
        </w:rPr>
      </w:pPr>
    </w:p>
    <w:p w:rsidR="00751C2B" w:rsidRPr="00545535" w:rsidRDefault="00AA7920" w:rsidP="00545535">
      <w:pPr>
        <w:pStyle w:val="ListParagraph"/>
        <w:numPr>
          <w:ilvl w:val="0"/>
          <w:numId w:val="0"/>
        </w:numPr>
        <w:spacing w:line="240" w:lineRule="auto"/>
        <w:ind w:left="720"/>
        <w:jc w:val="left"/>
        <w:rPr>
          <w:rFonts w:ascii="Arial" w:hAnsi="Arial" w:cs="Arial"/>
          <w:color w:val="auto"/>
          <w:sz w:val="20"/>
          <w:szCs w:val="20"/>
        </w:rPr>
      </w:pPr>
      <w:r w:rsidRPr="00545535">
        <w:rPr>
          <w:rFonts w:ascii="Arial" w:hAnsi="Arial" w:cs="Arial"/>
          <w:color w:val="auto"/>
          <w:sz w:val="20"/>
          <w:szCs w:val="20"/>
        </w:rPr>
        <w:t>Africa’s response to the infrastructure deficit has been comprehensive and decisive. The continental effort is anchored by the PIDA and the various regional infrastructure master plans covering energy, I</w:t>
      </w:r>
      <w:r w:rsidR="00B81632" w:rsidRPr="00545535">
        <w:rPr>
          <w:rFonts w:ascii="Arial" w:hAnsi="Arial" w:cs="Arial"/>
          <w:color w:val="auto"/>
          <w:sz w:val="20"/>
          <w:szCs w:val="20"/>
        </w:rPr>
        <w:t xml:space="preserve">nformation and </w:t>
      </w:r>
      <w:r w:rsidRPr="00545535">
        <w:rPr>
          <w:rFonts w:ascii="Arial" w:hAnsi="Arial" w:cs="Arial"/>
          <w:color w:val="auto"/>
          <w:sz w:val="20"/>
          <w:szCs w:val="20"/>
        </w:rPr>
        <w:t>C</w:t>
      </w:r>
      <w:r w:rsidR="00B81632" w:rsidRPr="00545535">
        <w:rPr>
          <w:rFonts w:ascii="Arial" w:hAnsi="Arial" w:cs="Arial"/>
          <w:color w:val="auto"/>
          <w:sz w:val="20"/>
          <w:szCs w:val="20"/>
        </w:rPr>
        <w:t xml:space="preserve">ommunication </w:t>
      </w:r>
      <w:r w:rsidRPr="00545535">
        <w:rPr>
          <w:rFonts w:ascii="Arial" w:hAnsi="Arial" w:cs="Arial"/>
          <w:color w:val="auto"/>
          <w:sz w:val="20"/>
          <w:szCs w:val="20"/>
        </w:rPr>
        <w:t>T</w:t>
      </w:r>
      <w:r w:rsidR="00B81632" w:rsidRPr="00545535">
        <w:rPr>
          <w:rFonts w:ascii="Arial" w:hAnsi="Arial" w:cs="Arial"/>
          <w:color w:val="auto"/>
          <w:sz w:val="20"/>
          <w:szCs w:val="20"/>
        </w:rPr>
        <w:t>echnology</w:t>
      </w:r>
      <w:r w:rsidRPr="00545535">
        <w:rPr>
          <w:rFonts w:ascii="Arial" w:hAnsi="Arial" w:cs="Arial"/>
          <w:color w:val="auto"/>
          <w:sz w:val="20"/>
          <w:szCs w:val="20"/>
        </w:rPr>
        <w:t>, transport (airports, ports, rail and roads) and transboundary water resources. PIDA Priority Action Plan</w:t>
      </w:r>
      <w:r w:rsidR="00BF7556" w:rsidRPr="00545535">
        <w:rPr>
          <w:rFonts w:ascii="Arial" w:hAnsi="Arial" w:cs="Arial"/>
          <w:color w:val="auto"/>
          <w:sz w:val="20"/>
          <w:szCs w:val="20"/>
        </w:rPr>
        <w:t xml:space="preserve"> (PAP)</w:t>
      </w:r>
      <w:r w:rsidRPr="00545535">
        <w:rPr>
          <w:rFonts w:ascii="Arial" w:hAnsi="Arial" w:cs="Arial"/>
          <w:color w:val="auto"/>
          <w:sz w:val="20"/>
          <w:szCs w:val="20"/>
        </w:rPr>
        <w:t xml:space="preserve"> 1 </w:t>
      </w:r>
      <w:r w:rsidR="00476DD6" w:rsidRPr="00545535">
        <w:rPr>
          <w:rFonts w:ascii="Arial" w:hAnsi="Arial" w:cs="Arial"/>
          <w:color w:val="auto"/>
          <w:sz w:val="20"/>
          <w:szCs w:val="20"/>
        </w:rPr>
        <w:t xml:space="preserve">was </w:t>
      </w:r>
      <w:r w:rsidRPr="00545535">
        <w:rPr>
          <w:rFonts w:ascii="Arial" w:hAnsi="Arial" w:cs="Arial"/>
          <w:color w:val="auto"/>
          <w:sz w:val="20"/>
          <w:szCs w:val="20"/>
        </w:rPr>
        <w:t>comprised of 51 programmes incorporating a total of 433 projects valued at U</w:t>
      </w:r>
      <w:r w:rsidR="00476DD6" w:rsidRPr="00545535">
        <w:rPr>
          <w:rFonts w:ascii="Arial" w:hAnsi="Arial" w:cs="Arial"/>
          <w:color w:val="auto"/>
          <w:sz w:val="20"/>
          <w:szCs w:val="20"/>
        </w:rPr>
        <w:t>S</w:t>
      </w:r>
      <w:r w:rsidRPr="00545535">
        <w:rPr>
          <w:rFonts w:ascii="Arial" w:hAnsi="Arial" w:cs="Arial"/>
          <w:color w:val="auto"/>
          <w:sz w:val="20"/>
          <w:szCs w:val="20"/>
        </w:rPr>
        <w:t>$68</w:t>
      </w:r>
      <w:r w:rsidR="00476DD6" w:rsidRPr="00545535">
        <w:rPr>
          <w:rFonts w:ascii="Arial" w:hAnsi="Arial" w:cs="Arial"/>
          <w:color w:val="auto"/>
          <w:sz w:val="20"/>
          <w:szCs w:val="20"/>
        </w:rPr>
        <w:t> </w:t>
      </w:r>
      <w:r w:rsidRPr="00545535">
        <w:rPr>
          <w:rFonts w:ascii="Arial" w:hAnsi="Arial" w:cs="Arial"/>
          <w:color w:val="auto"/>
          <w:sz w:val="20"/>
          <w:szCs w:val="20"/>
        </w:rPr>
        <w:t xml:space="preserve">billion for the period 2010-2020. As </w:t>
      </w:r>
      <w:r w:rsidR="00476DD6" w:rsidRPr="00545535">
        <w:rPr>
          <w:rFonts w:ascii="Arial" w:hAnsi="Arial" w:cs="Arial"/>
          <w:color w:val="auto"/>
          <w:sz w:val="20"/>
          <w:szCs w:val="20"/>
        </w:rPr>
        <w:t xml:space="preserve">at </w:t>
      </w:r>
      <w:r w:rsidRPr="00545535">
        <w:rPr>
          <w:rFonts w:ascii="Arial" w:hAnsi="Arial" w:cs="Arial"/>
          <w:color w:val="auto"/>
          <w:sz w:val="20"/>
          <w:szCs w:val="20"/>
        </w:rPr>
        <w:t xml:space="preserve">the end of 2019, a total of 329 projects </w:t>
      </w:r>
      <w:r w:rsidR="00476DD6" w:rsidRPr="00545535">
        <w:rPr>
          <w:rFonts w:ascii="Arial" w:hAnsi="Arial" w:cs="Arial"/>
          <w:color w:val="auto"/>
          <w:sz w:val="20"/>
          <w:szCs w:val="20"/>
        </w:rPr>
        <w:t xml:space="preserve">had been </w:t>
      </w:r>
      <w:r w:rsidRPr="00545535">
        <w:rPr>
          <w:rFonts w:ascii="Arial" w:hAnsi="Arial" w:cs="Arial"/>
          <w:color w:val="auto"/>
          <w:sz w:val="20"/>
          <w:szCs w:val="20"/>
        </w:rPr>
        <w:t>at different stages of implementation</w:t>
      </w:r>
      <w:r w:rsidR="00751C2B" w:rsidRPr="00545535">
        <w:rPr>
          <w:rFonts w:ascii="Arial" w:hAnsi="Arial" w:cs="Arial"/>
          <w:color w:val="auto"/>
          <w:sz w:val="20"/>
          <w:szCs w:val="20"/>
        </w:rPr>
        <w:t>.</w:t>
      </w:r>
    </w:p>
    <w:p w:rsidR="00AA7920" w:rsidRPr="00545535" w:rsidRDefault="00AA7920" w:rsidP="00545535">
      <w:pPr>
        <w:pStyle w:val="ListParagraph"/>
        <w:numPr>
          <w:ilvl w:val="0"/>
          <w:numId w:val="0"/>
        </w:numPr>
        <w:spacing w:line="240" w:lineRule="auto"/>
        <w:ind w:left="720"/>
        <w:jc w:val="left"/>
        <w:rPr>
          <w:rFonts w:ascii="Arial" w:hAnsi="Arial" w:cs="Arial"/>
          <w:color w:val="auto"/>
          <w:sz w:val="20"/>
          <w:szCs w:val="20"/>
        </w:rPr>
      </w:pPr>
      <w:r w:rsidRPr="00545535">
        <w:rPr>
          <w:rFonts w:ascii="Arial" w:hAnsi="Arial" w:cs="Arial"/>
          <w:color w:val="auto"/>
          <w:sz w:val="20"/>
          <w:szCs w:val="20"/>
        </w:rPr>
        <w:t xml:space="preserve"> </w:t>
      </w:r>
    </w:p>
    <w:p w:rsidR="00AA7920" w:rsidRPr="00545535" w:rsidRDefault="00AA7920" w:rsidP="00545535">
      <w:pPr>
        <w:pStyle w:val="ListParagraph"/>
        <w:numPr>
          <w:ilvl w:val="0"/>
          <w:numId w:val="0"/>
        </w:numPr>
        <w:spacing w:line="240" w:lineRule="auto"/>
        <w:ind w:left="720"/>
        <w:jc w:val="left"/>
        <w:rPr>
          <w:rFonts w:ascii="Arial" w:hAnsi="Arial" w:cs="Arial"/>
          <w:color w:val="auto"/>
          <w:sz w:val="20"/>
          <w:szCs w:val="20"/>
        </w:rPr>
      </w:pPr>
      <w:r w:rsidRPr="00545535">
        <w:rPr>
          <w:rFonts w:ascii="Arial" w:hAnsi="Arial" w:cs="Arial"/>
          <w:color w:val="auto"/>
          <w:sz w:val="20"/>
          <w:szCs w:val="20"/>
        </w:rPr>
        <w:t xml:space="preserve">PIDA PAP 2 (2020-2030) </w:t>
      </w:r>
      <w:r w:rsidR="00476DD6" w:rsidRPr="00545535">
        <w:rPr>
          <w:rFonts w:ascii="Arial" w:hAnsi="Arial" w:cs="Arial"/>
          <w:color w:val="auto"/>
          <w:sz w:val="20"/>
          <w:szCs w:val="20"/>
        </w:rPr>
        <w:t>wa</w:t>
      </w:r>
      <w:r w:rsidRPr="00545535">
        <w:rPr>
          <w:rFonts w:ascii="Arial" w:hAnsi="Arial" w:cs="Arial"/>
          <w:color w:val="auto"/>
          <w:sz w:val="20"/>
          <w:szCs w:val="20"/>
        </w:rPr>
        <w:t>s currently under development and w</w:t>
      </w:r>
      <w:r w:rsidR="00476DD6" w:rsidRPr="00545535">
        <w:rPr>
          <w:rFonts w:ascii="Arial" w:hAnsi="Arial" w:cs="Arial"/>
          <w:color w:val="auto"/>
          <w:sz w:val="20"/>
          <w:szCs w:val="20"/>
        </w:rPr>
        <w:t>ould</w:t>
      </w:r>
      <w:r w:rsidRPr="00545535">
        <w:rPr>
          <w:rFonts w:ascii="Arial" w:hAnsi="Arial" w:cs="Arial"/>
          <w:color w:val="auto"/>
          <w:sz w:val="20"/>
          <w:szCs w:val="20"/>
        </w:rPr>
        <w:t xml:space="preserve"> focus on catalysing investments into critical infrastructure along strategic corridors across Africa. The combined </w:t>
      </w:r>
      <w:r w:rsidRPr="00545535">
        <w:rPr>
          <w:rFonts w:ascii="Arial" w:hAnsi="Arial" w:cs="Arial"/>
          <w:color w:val="auto"/>
          <w:sz w:val="20"/>
          <w:szCs w:val="20"/>
        </w:rPr>
        <w:lastRenderedPageBreak/>
        <w:t>estimated value of PIDA PAP 1 and PIDA PAP 2 stands at approximately U</w:t>
      </w:r>
      <w:r w:rsidR="00476DD6" w:rsidRPr="00545535">
        <w:rPr>
          <w:rFonts w:ascii="Arial" w:hAnsi="Arial" w:cs="Arial"/>
          <w:color w:val="auto"/>
          <w:sz w:val="20"/>
          <w:szCs w:val="20"/>
        </w:rPr>
        <w:t>S</w:t>
      </w:r>
      <w:r w:rsidRPr="00545535">
        <w:rPr>
          <w:rFonts w:ascii="Arial" w:hAnsi="Arial" w:cs="Arial"/>
          <w:color w:val="auto"/>
          <w:sz w:val="20"/>
          <w:szCs w:val="20"/>
        </w:rPr>
        <w:t>$360</w:t>
      </w:r>
      <w:r w:rsidR="00476DD6" w:rsidRPr="00545535">
        <w:rPr>
          <w:rFonts w:ascii="Arial" w:hAnsi="Arial" w:cs="Arial"/>
          <w:color w:val="auto"/>
          <w:sz w:val="20"/>
          <w:szCs w:val="20"/>
        </w:rPr>
        <w:t> </w:t>
      </w:r>
      <w:r w:rsidRPr="00545535">
        <w:rPr>
          <w:rFonts w:ascii="Arial" w:hAnsi="Arial" w:cs="Arial"/>
          <w:color w:val="auto"/>
          <w:sz w:val="20"/>
          <w:szCs w:val="20"/>
        </w:rPr>
        <w:t>billion.</w:t>
      </w:r>
    </w:p>
    <w:p w:rsidR="00AA7920" w:rsidRPr="00545535" w:rsidRDefault="00AA7920" w:rsidP="00545535">
      <w:pPr>
        <w:pStyle w:val="ListParagraph"/>
        <w:numPr>
          <w:ilvl w:val="0"/>
          <w:numId w:val="0"/>
        </w:numPr>
        <w:spacing w:line="240" w:lineRule="auto"/>
        <w:ind w:left="720"/>
        <w:jc w:val="left"/>
        <w:rPr>
          <w:rFonts w:ascii="Arial" w:hAnsi="Arial" w:cs="Arial"/>
          <w:color w:val="auto"/>
          <w:sz w:val="20"/>
          <w:szCs w:val="20"/>
        </w:rPr>
      </w:pPr>
    </w:p>
    <w:p w:rsidR="007C75D3" w:rsidRPr="00545535" w:rsidRDefault="007C75D3" w:rsidP="00545535">
      <w:pPr>
        <w:pStyle w:val="ListParagraph"/>
        <w:spacing w:line="240" w:lineRule="auto"/>
        <w:ind w:hanging="720"/>
        <w:jc w:val="left"/>
        <w:rPr>
          <w:rFonts w:ascii="Arial" w:hAnsi="Arial" w:cs="Arial"/>
          <w:color w:val="auto"/>
          <w:sz w:val="20"/>
          <w:szCs w:val="20"/>
        </w:rPr>
      </w:pPr>
      <w:r w:rsidRPr="00545535">
        <w:rPr>
          <w:rFonts w:ascii="Arial" w:hAnsi="Arial" w:cs="Arial"/>
          <w:i/>
          <w:color w:val="auto"/>
          <w:sz w:val="20"/>
          <w:szCs w:val="20"/>
        </w:rPr>
        <w:t>Mergers and the risk of over-concentration</w:t>
      </w:r>
      <w:r w:rsidRPr="00545535">
        <w:rPr>
          <w:rFonts w:ascii="Arial" w:hAnsi="Arial" w:cs="Arial"/>
          <w:color w:val="auto"/>
          <w:sz w:val="20"/>
          <w:szCs w:val="20"/>
        </w:rPr>
        <w:t xml:space="preserve">: The DTIC had reported that there had been 90 notifications of mergers submitted as at 31 December 2021. Mergers could result in more concentration in the economy and lead to higher prices impacting on consumers. The Committee enquired whether the DTIC was implementing any measures to avoid excessive concentration of sectors in the economy. </w:t>
      </w:r>
      <w:r w:rsidR="00C60D21" w:rsidRPr="00545535">
        <w:rPr>
          <w:rFonts w:ascii="Arial" w:hAnsi="Arial" w:cs="Arial"/>
          <w:color w:val="auto"/>
          <w:sz w:val="20"/>
          <w:szCs w:val="20"/>
        </w:rPr>
        <w:t>T</w:t>
      </w:r>
      <w:r w:rsidRPr="00545535">
        <w:rPr>
          <w:rFonts w:ascii="Arial" w:hAnsi="Arial" w:cs="Arial"/>
          <w:color w:val="auto"/>
          <w:sz w:val="20"/>
          <w:szCs w:val="20"/>
        </w:rPr>
        <w:t xml:space="preserve">he DTIC </w:t>
      </w:r>
      <w:r w:rsidR="00C60D21" w:rsidRPr="00545535">
        <w:rPr>
          <w:rFonts w:ascii="Arial" w:hAnsi="Arial" w:cs="Arial"/>
          <w:color w:val="auto"/>
          <w:sz w:val="20"/>
          <w:szCs w:val="20"/>
        </w:rPr>
        <w:t xml:space="preserve">indicated </w:t>
      </w:r>
      <w:r w:rsidRPr="00545535">
        <w:rPr>
          <w:rFonts w:ascii="Arial" w:hAnsi="Arial" w:cs="Arial"/>
          <w:color w:val="auto"/>
          <w:sz w:val="20"/>
          <w:szCs w:val="20"/>
        </w:rPr>
        <w:t xml:space="preserve">that it was difficult to predict merger activity with certainty since merger activity </w:t>
      </w:r>
      <w:r w:rsidR="00C60D21" w:rsidRPr="00545535">
        <w:rPr>
          <w:rFonts w:ascii="Arial" w:hAnsi="Arial" w:cs="Arial"/>
          <w:color w:val="auto"/>
          <w:sz w:val="20"/>
          <w:szCs w:val="20"/>
        </w:rPr>
        <w:t>wa</w:t>
      </w:r>
      <w:r w:rsidRPr="00545535">
        <w:rPr>
          <w:rFonts w:ascii="Arial" w:hAnsi="Arial" w:cs="Arial"/>
          <w:color w:val="auto"/>
          <w:sz w:val="20"/>
          <w:szCs w:val="20"/>
        </w:rPr>
        <w:t>s an outcome of market conditions and firm activity</w:t>
      </w:r>
      <w:r w:rsidR="00EA4868" w:rsidRPr="00545535">
        <w:rPr>
          <w:rFonts w:ascii="Arial" w:hAnsi="Arial" w:cs="Arial"/>
          <w:color w:val="auto"/>
          <w:sz w:val="20"/>
          <w:szCs w:val="20"/>
        </w:rPr>
        <w:t>.</w:t>
      </w:r>
      <w:r w:rsidRPr="00545535">
        <w:rPr>
          <w:rFonts w:ascii="Arial" w:hAnsi="Arial" w:cs="Arial"/>
          <w:color w:val="auto"/>
          <w:sz w:val="20"/>
          <w:szCs w:val="20"/>
        </w:rPr>
        <w:t xml:space="preserve"> </w:t>
      </w:r>
      <w:r w:rsidR="00EA4868" w:rsidRPr="00545535">
        <w:rPr>
          <w:rFonts w:ascii="Arial" w:hAnsi="Arial" w:cs="Arial"/>
          <w:color w:val="auto"/>
          <w:sz w:val="20"/>
          <w:szCs w:val="20"/>
        </w:rPr>
        <w:t>H</w:t>
      </w:r>
      <w:r w:rsidRPr="00545535">
        <w:rPr>
          <w:rFonts w:ascii="Arial" w:hAnsi="Arial" w:cs="Arial"/>
          <w:color w:val="auto"/>
          <w:sz w:val="20"/>
          <w:szCs w:val="20"/>
        </w:rPr>
        <w:t xml:space="preserve">owever, merger control is a tool that can prevent </w:t>
      </w:r>
      <w:r w:rsidR="00EA4868" w:rsidRPr="00545535">
        <w:rPr>
          <w:rFonts w:ascii="Arial" w:hAnsi="Arial" w:cs="Arial"/>
          <w:color w:val="auto"/>
          <w:sz w:val="20"/>
          <w:szCs w:val="20"/>
        </w:rPr>
        <w:t xml:space="preserve">excessive </w:t>
      </w:r>
      <w:r w:rsidRPr="00545535">
        <w:rPr>
          <w:rFonts w:ascii="Arial" w:hAnsi="Arial" w:cs="Arial"/>
          <w:color w:val="auto"/>
          <w:sz w:val="20"/>
          <w:szCs w:val="20"/>
        </w:rPr>
        <w:t xml:space="preserve">concentration and/or mitigate negative competition or public interest impacts. </w:t>
      </w:r>
      <w:r w:rsidR="00EA4868" w:rsidRPr="00545535">
        <w:rPr>
          <w:rFonts w:ascii="Arial" w:hAnsi="Arial" w:cs="Arial"/>
          <w:color w:val="auto"/>
          <w:sz w:val="20"/>
          <w:szCs w:val="20"/>
        </w:rPr>
        <w:t>Therefore, e</w:t>
      </w:r>
      <w:r w:rsidRPr="00545535">
        <w:rPr>
          <w:rFonts w:ascii="Arial" w:hAnsi="Arial" w:cs="Arial"/>
          <w:color w:val="auto"/>
          <w:sz w:val="20"/>
          <w:szCs w:val="20"/>
        </w:rPr>
        <w:t>ach merger is assessed on a case by case basis and conditions are imposed where required to address competition and/or public interest concerns.</w:t>
      </w:r>
    </w:p>
    <w:p w:rsidR="00D5110F" w:rsidRPr="00545535" w:rsidRDefault="00D5110F" w:rsidP="00545535">
      <w:pPr>
        <w:pStyle w:val="ListParagraph"/>
        <w:numPr>
          <w:ilvl w:val="0"/>
          <w:numId w:val="0"/>
        </w:numPr>
        <w:spacing w:line="240" w:lineRule="auto"/>
        <w:ind w:left="720"/>
        <w:jc w:val="left"/>
        <w:rPr>
          <w:rFonts w:ascii="Arial" w:hAnsi="Arial" w:cs="Arial"/>
          <w:color w:val="auto"/>
          <w:sz w:val="20"/>
          <w:szCs w:val="20"/>
        </w:rPr>
      </w:pPr>
    </w:p>
    <w:p w:rsidR="007C75D3" w:rsidRPr="00545535" w:rsidRDefault="00D5110F" w:rsidP="00545535">
      <w:pPr>
        <w:pStyle w:val="ListParagraph"/>
        <w:numPr>
          <w:ilvl w:val="0"/>
          <w:numId w:val="0"/>
        </w:numPr>
        <w:spacing w:line="240" w:lineRule="auto"/>
        <w:ind w:left="720"/>
        <w:jc w:val="left"/>
        <w:rPr>
          <w:rFonts w:ascii="Arial" w:hAnsi="Arial" w:cs="Arial"/>
          <w:color w:val="auto"/>
          <w:sz w:val="20"/>
          <w:szCs w:val="20"/>
        </w:rPr>
      </w:pPr>
      <w:r w:rsidRPr="00545535">
        <w:rPr>
          <w:rFonts w:ascii="Arial" w:hAnsi="Arial" w:cs="Arial"/>
          <w:color w:val="auto"/>
          <w:sz w:val="20"/>
          <w:szCs w:val="20"/>
        </w:rPr>
        <w:t>In this regard, t</w:t>
      </w:r>
      <w:r w:rsidR="007C75D3" w:rsidRPr="00545535">
        <w:rPr>
          <w:rFonts w:ascii="Arial" w:hAnsi="Arial" w:cs="Arial"/>
          <w:color w:val="auto"/>
          <w:sz w:val="20"/>
          <w:szCs w:val="20"/>
        </w:rPr>
        <w:t>he recent amendments to the Competition Act strengthened the Competition Commission’s enforcement capacity to reduce concentration and tackle abuse of dominance. Furthermore, the Competition Commission had recently conducted a study which sought to deepen an understanding of the patterns of concentration and participation in the South African economy. The study, and other previous studies</w:t>
      </w:r>
      <w:r w:rsidR="00973088" w:rsidRPr="00545535">
        <w:rPr>
          <w:rFonts w:ascii="Arial" w:hAnsi="Arial" w:cs="Arial"/>
          <w:color w:val="auto"/>
          <w:sz w:val="20"/>
          <w:szCs w:val="20"/>
        </w:rPr>
        <w:t>,</w:t>
      </w:r>
      <w:r w:rsidR="007C75D3" w:rsidRPr="00545535">
        <w:rPr>
          <w:rFonts w:ascii="Arial" w:hAnsi="Arial" w:cs="Arial"/>
          <w:color w:val="auto"/>
          <w:sz w:val="20"/>
          <w:szCs w:val="20"/>
        </w:rPr>
        <w:t xml:space="preserve"> sought to provide the basis for more strategic enforcement and policy around concentration in the economy.</w:t>
      </w:r>
    </w:p>
    <w:p w:rsidR="007C75D3" w:rsidRPr="00545535" w:rsidRDefault="007C75D3" w:rsidP="00545535">
      <w:pPr>
        <w:pStyle w:val="ListParagraph"/>
        <w:numPr>
          <w:ilvl w:val="0"/>
          <w:numId w:val="0"/>
        </w:numPr>
        <w:spacing w:line="240" w:lineRule="auto"/>
        <w:ind w:left="720"/>
        <w:jc w:val="left"/>
        <w:rPr>
          <w:rFonts w:ascii="Arial" w:hAnsi="Arial" w:cs="Arial"/>
          <w:color w:val="auto"/>
          <w:sz w:val="20"/>
          <w:szCs w:val="20"/>
        </w:rPr>
      </w:pPr>
    </w:p>
    <w:p w:rsidR="0080197A" w:rsidRPr="00545535" w:rsidRDefault="00EE269B" w:rsidP="00545535">
      <w:pPr>
        <w:pStyle w:val="ListParagraph"/>
        <w:spacing w:line="240" w:lineRule="auto"/>
        <w:ind w:hanging="720"/>
        <w:jc w:val="left"/>
        <w:rPr>
          <w:rFonts w:ascii="Arial" w:eastAsia="Times New Roman" w:hAnsi="Arial" w:cs="Arial"/>
          <w:color w:val="auto"/>
          <w:sz w:val="20"/>
          <w:szCs w:val="20"/>
        </w:rPr>
      </w:pPr>
      <w:r w:rsidRPr="00545535">
        <w:rPr>
          <w:rFonts w:ascii="Arial" w:hAnsi="Arial" w:cs="Arial"/>
          <w:i/>
          <w:color w:val="auto"/>
          <w:sz w:val="20"/>
          <w:szCs w:val="20"/>
        </w:rPr>
        <w:t>Concentration within the farming sector versus access for smaller farmers</w:t>
      </w:r>
      <w:r w:rsidRPr="00545535">
        <w:rPr>
          <w:rFonts w:ascii="Arial" w:hAnsi="Arial" w:cs="Arial"/>
          <w:color w:val="auto"/>
          <w:sz w:val="20"/>
          <w:szCs w:val="20"/>
        </w:rPr>
        <w:t xml:space="preserve">: </w:t>
      </w:r>
      <w:r w:rsidR="00A34CC4" w:rsidRPr="00545535">
        <w:rPr>
          <w:rFonts w:ascii="Arial" w:hAnsi="Arial" w:cs="Arial"/>
          <w:color w:val="auto"/>
          <w:sz w:val="20"/>
          <w:szCs w:val="20"/>
        </w:rPr>
        <w:t xml:space="preserve">According to the Competition Commission’s 2021 </w:t>
      </w:r>
      <w:r w:rsidR="00A34CC4" w:rsidRPr="00545535">
        <w:rPr>
          <w:rFonts w:ascii="Arial" w:hAnsi="Arial" w:cs="Arial"/>
          <w:i/>
          <w:color w:val="auto"/>
          <w:sz w:val="20"/>
          <w:szCs w:val="20"/>
        </w:rPr>
        <w:t>Essential Food Pricing Monitoring</w:t>
      </w:r>
      <w:r w:rsidR="00A34CC4" w:rsidRPr="00545535">
        <w:rPr>
          <w:rFonts w:ascii="Arial" w:hAnsi="Arial" w:cs="Arial"/>
          <w:color w:val="auto"/>
          <w:sz w:val="20"/>
          <w:szCs w:val="20"/>
        </w:rPr>
        <w:t xml:space="preserve"> report, there had been a sharp decline in the number of commercial farms leading to a concentration in the market since January 2007. This highlight</w:t>
      </w:r>
      <w:r w:rsidR="00520771" w:rsidRPr="00545535">
        <w:rPr>
          <w:rFonts w:ascii="Arial" w:hAnsi="Arial" w:cs="Arial"/>
          <w:color w:val="auto"/>
          <w:sz w:val="20"/>
          <w:szCs w:val="20"/>
        </w:rPr>
        <w:t>ed</w:t>
      </w:r>
      <w:r w:rsidR="00A34CC4" w:rsidRPr="00545535">
        <w:rPr>
          <w:rFonts w:ascii="Arial" w:hAnsi="Arial" w:cs="Arial"/>
          <w:color w:val="auto"/>
          <w:sz w:val="20"/>
          <w:szCs w:val="20"/>
        </w:rPr>
        <w:t xml:space="preserve"> the difficulties and barriers to trade experienced by smaller farmers, which may lead to increasing prices for essential food in the future and may threaten food security.</w:t>
      </w:r>
      <w:r w:rsidR="00DC0E79" w:rsidRPr="00545535">
        <w:rPr>
          <w:rStyle w:val="FootnoteReference"/>
          <w:rFonts w:ascii="Arial" w:hAnsi="Arial" w:cs="Arial"/>
          <w:color w:val="auto"/>
          <w:sz w:val="20"/>
          <w:szCs w:val="20"/>
        </w:rPr>
        <w:footnoteReference w:id="5"/>
      </w:r>
      <w:r w:rsidR="00A34CC4" w:rsidRPr="00545535">
        <w:rPr>
          <w:rFonts w:ascii="Arial" w:hAnsi="Arial" w:cs="Arial"/>
          <w:color w:val="auto"/>
          <w:sz w:val="20"/>
          <w:szCs w:val="20"/>
        </w:rPr>
        <w:t xml:space="preserve"> The Committee enquired what remedial action has the DTIC taken to avoid continued concentration of the market and what measures have been implemented to support small-scale farmers to facilitate competition in the food market.</w:t>
      </w:r>
      <w:r w:rsidR="0080197A" w:rsidRPr="00545535">
        <w:rPr>
          <w:rFonts w:ascii="Arial" w:hAnsi="Arial" w:cs="Arial"/>
          <w:color w:val="auto"/>
          <w:sz w:val="20"/>
          <w:szCs w:val="20"/>
        </w:rPr>
        <w:t xml:space="preserve"> </w:t>
      </w:r>
      <w:r w:rsidR="00520771" w:rsidRPr="00545535">
        <w:rPr>
          <w:rFonts w:ascii="Arial" w:hAnsi="Arial" w:cs="Arial"/>
          <w:color w:val="auto"/>
          <w:sz w:val="20"/>
          <w:szCs w:val="20"/>
        </w:rPr>
        <w:t>The DTIC reported that</w:t>
      </w:r>
      <w:r w:rsidR="0080197A" w:rsidRPr="00545535">
        <w:rPr>
          <w:rFonts w:ascii="Arial" w:hAnsi="Arial" w:cs="Arial"/>
          <w:color w:val="auto"/>
          <w:sz w:val="20"/>
          <w:szCs w:val="20"/>
        </w:rPr>
        <w:t xml:space="preserve"> the </w:t>
      </w:r>
      <w:r w:rsidR="0080197A" w:rsidRPr="00545535">
        <w:rPr>
          <w:rFonts w:ascii="Arial" w:eastAsia="Times New Roman" w:hAnsi="Arial" w:cs="Arial"/>
          <w:color w:val="auto"/>
          <w:sz w:val="20"/>
          <w:szCs w:val="20"/>
        </w:rPr>
        <w:t xml:space="preserve">Commission continues to prioritise food markets for enforcement and merger control oversight. The </w:t>
      </w:r>
      <w:r w:rsidR="00520771" w:rsidRPr="00545535">
        <w:rPr>
          <w:rFonts w:ascii="Arial" w:eastAsia="Times New Roman" w:hAnsi="Arial" w:cs="Arial"/>
          <w:color w:val="auto"/>
          <w:sz w:val="20"/>
          <w:szCs w:val="20"/>
        </w:rPr>
        <w:t xml:space="preserve">recent </w:t>
      </w:r>
      <w:r w:rsidR="0080197A" w:rsidRPr="00545535">
        <w:rPr>
          <w:rFonts w:ascii="Arial" w:eastAsia="Times New Roman" w:hAnsi="Arial" w:cs="Arial"/>
          <w:color w:val="auto"/>
          <w:sz w:val="20"/>
          <w:szCs w:val="20"/>
        </w:rPr>
        <w:t xml:space="preserve">amendments provide the basis to examine both price discrimination in inputs and buyer power on outputs that may be placing </w:t>
      </w:r>
      <w:r w:rsidR="00520771" w:rsidRPr="00545535">
        <w:rPr>
          <w:rFonts w:ascii="Arial" w:eastAsia="Times New Roman" w:hAnsi="Arial" w:cs="Arial"/>
          <w:color w:val="auto"/>
          <w:sz w:val="20"/>
          <w:szCs w:val="20"/>
        </w:rPr>
        <w:t xml:space="preserve">financial pressure on </w:t>
      </w:r>
      <w:r w:rsidR="0080197A" w:rsidRPr="00545535">
        <w:rPr>
          <w:rFonts w:ascii="Arial" w:eastAsia="Times New Roman" w:hAnsi="Arial" w:cs="Arial"/>
          <w:color w:val="auto"/>
          <w:sz w:val="20"/>
          <w:szCs w:val="20"/>
        </w:rPr>
        <w:t xml:space="preserve">smaller farmers. </w:t>
      </w:r>
    </w:p>
    <w:p w:rsidR="0080197A" w:rsidRPr="00545535" w:rsidRDefault="0080197A" w:rsidP="00545535">
      <w:pPr>
        <w:pStyle w:val="ListParagraph"/>
        <w:numPr>
          <w:ilvl w:val="0"/>
          <w:numId w:val="0"/>
        </w:numPr>
        <w:spacing w:line="240" w:lineRule="auto"/>
        <w:ind w:left="720"/>
        <w:jc w:val="left"/>
        <w:rPr>
          <w:rFonts w:ascii="Arial" w:eastAsia="Times New Roman" w:hAnsi="Arial" w:cs="Arial"/>
          <w:color w:val="auto"/>
          <w:sz w:val="20"/>
          <w:szCs w:val="20"/>
        </w:rPr>
      </w:pPr>
    </w:p>
    <w:p w:rsidR="0080197A" w:rsidRPr="00545535" w:rsidRDefault="00A53625" w:rsidP="00545535">
      <w:pPr>
        <w:pStyle w:val="ListParagraph"/>
        <w:numPr>
          <w:ilvl w:val="0"/>
          <w:numId w:val="0"/>
        </w:numPr>
        <w:spacing w:line="240" w:lineRule="auto"/>
        <w:ind w:left="720"/>
        <w:jc w:val="left"/>
        <w:rPr>
          <w:rFonts w:ascii="Arial" w:eastAsia="Times New Roman" w:hAnsi="Arial" w:cs="Arial"/>
          <w:color w:val="auto"/>
          <w:sz w:val="20"/>
          <w:szCs w:val="20"/>
        </w:rPr>
      </w:pPr>
      <w:r w:rsidRPr="00545535">
        <w:rPr>
          <w:rFonts w:ascii="Arial" w:eastAsia="Times New Roman" w:hAnsi="Arial" w:cs="Arial"/>
          <w:color w:val="auto"/>
          <w:sz w:val="20"/>
          <w:szCs w:val="20"/>
        </w:rPr>
        <w:t>There have also been a</w:t>
      </w:r>
      <w:r w:rsidR="0080197A" w:rsidRPr="00545535">
        <w:rPr>
          <w:rFonts w:ascii="Arial" w:eastAsia="Times New Roman" w:hAnsi="Arial" w:cs="Arial"/>
          <w:color w:val="auto"/>
          <w:sz w:val="20"/>
          <w:szCs w:val="20"/>
        </w:rPr>
        <w:t xml:space="preserve">greements reached with a number of merging companies that </w:t>
      </w:r>
      <w:r w:rsidRPr="00545535">
        <w:rPr>
          <w:rFonts w:ascii="Arial" w:eastAsia="Times New Roman" w:hAnsi="Arial" w:cs="Arial"/>
          <w:color w:val="auto"/>
          <w:sz w:val="20"/>
          <w:szCs w:val="20"/>
        </w:rPr>
        <w:t xml:space="preserve">contain specific provisions to support emerging farmers and increase procurement from them. These agreements have </w:t>
      </w:r>
      <w:r w:rsidR="0080197A" w:rsidRPr="00545535">
        <w:rPr>
          <w:rFonts w:ascii="Arial" w:eastAsia="Times New Roman" w:hAnsi="Arial" w:cs="Arial"/>
          <w:color w:val="auto"/>
          <w:sz w:val="20"/>
          <w:szCs w:val="20"/>
        </w:rPr>
        <w:t xml:space="preserve">since </w:t>
      </w:r>
      <w:r w:rsidRPr="00545535">
        <w:rPr>
          <w:rFonts w:ascii="Arial" w:eastAsia="Times New Roman" w:hAnsi="Arial" w:cs="Arial"/>
          <w:color w:val="auto"/>
          <w:sz w:val="20"/>
          <w:szCs w:val="20"/>
        </w:rPr>
        <w:t xml:space="preserve">been </w:t>
      </w:r>
      <w:r w:rsidR="0080197A" w:rsidRPr="00545535">
        <w:rPr>
          <w:rFonts w:ascii="Arial" w:eastAsia="Times New Roman" w:hAnsi="Arial" w:cs="Arial"/>
          <w:color w:val="auto"/>
          <w:sz w:val="20"/>
          <w:szCs w:val="20"/>
        </w:rPr>
        <w:t>made orders of the Competition Tribunal.</w:t>
      </w:r>
    </w:p>
    <w:p w:rsidR="006525B7" w:rsidRPr="00545535" w:rsidRDefault="006525B7" w:rsidP="00545535">
      <w:pPr>
        <w:pStyle w:val="ListParagraph"/>
        <w:numPr>
          <w:ilvl w:val="0"/>
          <w:numId w:val="0"/>
        </w:numPr>
        <w:spacing w:line="240" w:lineRule="auto"/>
        <w:ind w:left="720"/>
        <w:jc w:val="left"/>
        <w:rPr>
          <w:rFonts w:ascii="Arial" w:eastAsia="Times New Roman" w:hAnsi="Arial" w:cs="Arial"/>
          <w:color w:val="auto"/>
          <w:sz w:val="20"/>
          <w:szCs w:val="20"/>
        </w:rPr>
      </w:pPr>
    </w:p>
    <w:p w:rsidR="0080197A" w:rsidRPr="00545535" w:rsidRDefault="00572257" w:rsidP="00545535">
      <w:pPr>
        <w:pStyle w:val="ListParagraph"/>
        <w:numPr>
          <w:ilvl w:val="0"/>
          <w:numId w:val="0"/>
        </w:numPr>
        <w:spacing w:line="240" w:lineRule="auto"/>
        <w:ind w:left="720"/>
        <w:jc w:val="left"/>
        <w:rPr>
          <w:rFonts w:ascii="Arial" w:eastAsia="Times New Roman" w:hAnsi="Arial" w:cs="Arial"/>
          <w:color w:val="auto"/>
          <w:sz w:val="20"/>
          <w:szCs w:val="20"/>
        </w:rPr>
      </w:pPr>
      <w:r w:rsidRPr="00545535">
        <w:rPr>
          <w:rFonts w:ascii="Arial" w:eastAsia="Times New Roman" w:hAnsi="Arial" w:cs="Arial"/>
          <w:color w:val="auto"/>
          <w:sz w:val="20"/>
          <w:szCs w:val="20"/>
        </w:rPr>
        <w:t>In addition,</w:t>
      </w:r>
      <w:r w:rsidR="0080197A" w:rsidRPr="00545535">
        <w:rPr>
          <w:rFonts w:ascii="Arial" w:eastAsia="Times New Roman" w:hAnsi="Arial" w:cs="Arial"/>
          <w:color w:val="auto"/>
          <w:sz w:val="20"/>
          <w:szCs w:val="20"/>
        </w:rPr>
        <w:t xml:space="preserve"> the Concentration Study ha</w:t>
      </w:r>
      <w:r w:rsidRPr="00545535">
        <w:rPr>
          <w:rFonts w:ascii="Arial" w:eastAsia="Times New Roman" w:hAnsi="Arial" w:cs="Arial"/>
          <w:color w:val="auto"/>
          <w:sz w:val="20"/>
          <w:szCs w:val="20"/>
        </w:rPr>
        <w:t>d</w:t>
      </w:r>
      <w:r w:rsidR="0080197A" w:rsidRPr="00545535">
        <w:rPr>
          <w:rFonts w:ascii="Arial" w:eastAsia="Times New Roman" w:hAnsi="Arial" w:cs="Arial"/>
          <w:color w:val="auto"/>
          <w:sz w:val="20"/>
          <w:szCs w:val="20"/>
        </w:rPr>
        <w:t xml:space="preserve"> proposed that there </w:t>
      </w:r>
      <w:r w:rsidRPr="00545535">
        <w:rPr>
          <w:rFonts w:ascii="Arial" w:eastAsia="Times New Roman" w:hAnsi="Arial" w:cs="Arial"/>
          <w:color w:val="auto"/>
          <w:sz w:val="20"/>
          <w:szCs w:val="20"/>
        </w:rPr>
        <w:t xml:space="preserve">should be </w:t>
      </w:r>
      <w:r w:rsidR="0080197A" w:rsidRPr="00545535">
        <w:rPr>
          <w:rFonts w:ascii="Arial" w:eastAsia="Times New Roman" w:hAnsi="Arial" w:cs="Arial"/>
          <w:color w:val="auto"/>
          <w:sz w:val="20"/>
          <w:szCs w:val="20"/>
        </w:rPr>
        <w:t xml:space="preserve">greater coordination across government in order to consistently address concentration which the </w:t>
      </w:r>
      <w:r w:rsidR="006525B7" w:rsidRPr="00545535">
        <w:rPr>
          <w:rFonts w:ascii="Arial" w:eastAsia="Times New Roman" w:hAnsi="Arial" w:cs="Arial"/>
          <w:color w:val="auto"/>
          <w:sz w:val="20"/>
          <w:szCs w:val="20"/>
        </w:rPr>
        <w:t>DTIC</w:t>
      </w:r>
      <w:r w:rsidR="0080197A" w:rsidRPr="00545535">
        <w:rPr>
          <w:rFonts w:ascii="Arial" w:eastAsia="Times New Roman" w:hAnsi="Arial" w:cs="Arial"/>
          <w:color w:val="auto"/>
          <w:sz w:val="20"/>
          <w:szCs w:val="20"/>
        </w:rPr>
        <w:t xml:space="preserve"> supports.</w:t>
      </w:r>
      <w:r w:rsidRPr="00545535">
        <w:rPr>
          <w:rFonts w:ascii="Arial" w:eastAsia="Times New Roman" w:hAnsi="Arial" w:cs="Arial"/>
          <w:color w:val="auto"/>
          <w:sz w:val="20"/>
          <w:szCs w:val="20"/>
        </w:rPr>
        <w:t xml:space="preserve"> In this regard, closer relations with the Department of Agriculture, Land Reform and Rural Development, under which agriculture falls, should be fostered.</w:t>
      </w:r>
    </w:p>
    <w:p w:rsidR="00116684" w:rsidRPr="00545535" w:rsidRDefault="00116684" w:rsidP="00545535">
      <w:pPr>
        <w:pStyle w:val="Body"/>
        <w:spacing w:line="240" w:lineRule="auto"/>
        <w:jc w:val="left"/>
        <w:rPr>
          <w:rFonts w:eastAsia="Times New Roman" w:cs="Arial"/>
          <w:color w:val="auto"/>
          <w:sz w:val="20"/>
          <w:szCs w:val="20"/>
        </w:rPr>
      </w:pPr>
    </w:p>
    <w:p w:rsidR="00E84455" w:rsidRPr="00545535" w:rsidRDefault="00EE269B" w:rsidP="00545535">
      <w:pPr>
        <w:pStyle w:val="ListParagraph"/>
        <w:spacing w:line="240" w:lineRule="auto"/>
        <w:ind w:hanging="720"/>
        <w:jc w:val="left"/>
        <w:rPr>
          <w:rFonts w:ascii="Arial" w:hAnsi="Arial" w:cs="Arial"/>
          <w:color w:val="auto"/>
          <w:sz w:val="20"/>
          <w:szCs w:val="20"/>
        </w:rPr>
      </w:pPr>
      <w:r w:rsidRPr="00545535">
        <w:rPr>
          <w:rFonts w:ascii="Arial" w:hAnsi="Arial" w:cs="Arial"/>
          <w:i/>
          <w:color w:val="auto"/>
          <w:sz w:val="20"/>
          <w:szCs w:val="20"/>
        </w:rPr>
        <w:t>Competition in the retail pharmacy sector</w:t>
      </w:r>
      <w:r w:rsidRPr="00545535">
        <w:rPr>
          <w:rFonts w:ascii="Arial" w:hAnsi="Arial" w:cs="Arial"/>
          <w:color w:val="auto"/>
          <w:sz w:val="20"/>
          <w:szCs w:val="20"/>
        </w:rPr>
        <w:t xml:space="preserve">: </w:t>
      </w:r>
      <w:r w:rsidR="00A34CC4" w:rsidRPr="00545535">
        <w:rPr>
          <w:rFonts w:ascii="Arial" w:hAnsi="Arial" w:cs="Arial"/>
          <w:color w:val="auto"/>
          <w:sz w:val="20"/>
          <w:szCs w:val="20"/>
        </w:rPr>
        <w:t>In relation to the retail pharmacy market, the market is currently concentrated between Dischem and Clicks, which has led to a lack of competition and an increase in prices for consumers. The Committee enquired what mitigating measures the DTIC were implementing to address any negative pricing implications that such concentration created in the sector.</w:t>
      </w:r>
      <w:r w:rsidR="005749C2" w:rsidRPr="00545535">
        <w:rPr>
          <w:rFonts w:ascii="Arial" w:hAnsi="Arial" w:cs="Arial"/>
          <w:color w:val="auto"/>
          <w:sz w:val="20"/>
          <w:szCs w:val="20"/>
        </w:rPr>
        <w:t xml:space="preserve"> The DTIC indicated that the sector is made up of independent pharmacies and larger groups of pharmacies. To assess the impact of any acquisitions of independent pharmacies, the Competition Commission required that all acquisitions from Clicks and Dischem Groups be notified. </w:t>
      </w:r>
      <w:r w:rsidR="00E84455" w:rsidRPr="00545535">
        <w:rPr>
          <w:rFonts w:ascii="Arial" w:hAnsi="Arial" w:cs="Arial"/>
          <w:sz w:val="20"/>
          <w:szCs w:val="20"/>
        </w:rPr>
        <w:t xml:space="preserve">The Commission was also undertaking further research into the </w:t>
      </w:r>
      <w:r w:rsidR="00F90E36" w:rsidRPr="00545535">
        <w:rPr>
          <w:rFonts w:ascii="Arial" w:hAnsi="Arial" w:cs="Arial"/>
          <w:sz w:val="20"/>
          <w:szCs w:val="20"/>
        </w:rPr>
        <w:t xml:space="preserve">retail </w:t>
      </w:r>
      <w:r w:rsidR="00E84455" w:rsidRPr="00545535">
        <w:rPr>
          <w:rFonts w:ascii="Arial" w:hAnsi="Arial" w:cs="Arial"/>
          <w:sz w:val="20"/>
          <w:szCs w:val="20"/>
        </w:rPr>
        <w:t xml:space="preserve">pharmacy sector to better understand the impact and some of the driving forces behind consolidation to inform both merger analysis and whether </w:t>
      </w:r>
      <w:r w:rsidR="005749C2" w:rsidRPr="00545535">
        <w:rPr>
          <w:rFonts w:ascii="Arial" w:hAnsi="Arial" w:cs="Arial"/>
          <w:sz w:val="20"/>
          <w:szCs w:val="20"/>
        </w:rPr>
        <w:t xml:space="preserve">additional or alternative </w:t>
      </w:r>
      <w:r w:rsidR="00E84455" w:rsidRPr="00545535">
        <w:rPr>
          <w:rFonts w:ascii="Arial" w:hAnsi="Arial" w:cs="Arial"/>
          <w:sz w:val="20"/>
          <w:szCs w:val="20"/>
        </w:rPr>
        <w:t xml:space="preserve">interventions are required. </w:t>
      </w:r>
      <w:r w:rsidR="00E84455" w:rsidRPr="00545535">
        <w:rPr>
          <w:rFonts w:ascii="Arial" w:hAnsi="Arial" w:cs="Arial"/>
          <w:color w:val="auto"/>
          <w:sz w:val="20"/>
          <w:szCs w:val="20"/>
        </w:rPr>
        <w:t xml:space="preserve">The DTIC </w:t>
      </w:r>
      <w:r w:rsidR="005749C2" w:rsidRPr="00545535">
        <w:rPr>
          <w:rFonts w:ascii="Arial" w:hAnsi="Arial" w:cs="Arial"/>
          <w:color w:val="auto"/>
          <w:sz w:val="20"/>
          <w:szCs w:val="20"/>
        </w:rPr>
        <w:t xml:space="preserve">noted the Department of Health’s role in this regard, </w:t>
      </w:r>
      <w:r w:rsidR="00E84455" w:rsidRPr="00545535">
        <w:rPr>
          <w:rFonts w:ascii="Arial" w:hAnsi="Arial" w:cs="Arial"/>
          <w:color w:val="auto"/>
          <w:sz w:val="20"/>
          <w:szCs w:val="20"/>
        </w:rPr>
        <w:t xml:space="preserve">as pharmacies are licensed. </w:t>
      </w:r>
    </w:p>
    <w:p w:rsidR="00E84455" w:rsidRPr="00545535" w:rsidRDefault="00E84455" w:rsidP="00545535">
      <w:pPr>
        <w:pStyle w:val="ListParagraph"/>
        <w:numPr>
          <w:ilvl w:val="0"/>
          <w:numId w:val="0"/>
        </w:numPr>
        <w:spacing w:line="240" w:lineRule="auto"/>
        <w:ind w:left="720"/>
        <w:jc w:val="left"/>
        <w:rPr>
          <w:rFonts w:ascii="Arial" w:hAnsi="Arial" w:cs="Arial"/>
          <w:color w:val="auto"/>
          <w:sz w:val="20"/>
          <w:szCs w:val="20"/>
        </w:rPr>
      </w:pPr>
    </w:p>
    <w:p w:rsidR="00645AD5" w:rsidRPr="00545535" w:rsidRDefault="00E84455" w:rsidP="00545535">
      <w:pPr>
        <w:pStyle w:val="ListParagraph"/>
        <w:numPr>
          <w:ilvl w:val="0"/>
          <w:numId w:val="0"/>
        </w:numPr>
        <w:spacing w:line="240" w:lineRule="auto"/>
        <w:ind w:left="720"/>
        <w:jc w:val="left"/>
        <w:rPr>
          <w:rFonts w:ascii="Arial" w:hAnsi="Arial" w:cs="Arial"/>
          <w:color w:val="auto"/>
          <w:sz w:val="20"/>
          <w:szCs w:val="20"/>
        </w:rPr>
      </w:pPr>
      <w:r w:rsidRPr="00545535">
        <w:rPr>
          <w:rFonts w:ascii="Arial" w:hAnsi="Arial" w:cs="Arial"/>
          <w:color w:val="auto"/>
          <w:sz w:val="20"/>
          <w:szCs w:val="20"/>
        </w:rPr>
        <w:t xml:space="preserve">The Commission’s Concentration Study identified </w:t>
      </w:r>
      <w:r w:rsidR="005749C2" w:rsidRPr="00545535">
        <w:rPr>
          <w:rFonts w:ascii="Arial" w:hAnsi="Arial" w:cs="Arial"/>
          <w:color w:val="auto"/>
          <w:sz w:val="20"/>
          <w:szCs w:val="20"/>
        </w:rPr>
        <w:t xml:space="preserve">the </w:t>
      </w:r>
      <w:r w:rsidRPr="00545535">
        <w:rPr>
          <w:rFonts w:ascii="Arial" w:hAnsi="Arial" w:cs="Arial"/>
          <w:color w:val="auto"/>
          <w:sz w:val="20"/>
          <w:szCs w:val="20"/>
        </w:rPr>
        <w:t xml:space="preserve">retail pharmacy </w:t>
      </w:r>
      <w:r w:rsidR="005749C2" w:rsidRPr="00545535">
        <w:rPr>
          <w:rFonts w:ascii="Arial" w:hAnsi="Arial" w:cs="Arial"/>
          <w:color w:val="auto"/>
          <w:sz w:val="20"/>
          <w:szCs w:val="20"/>
        </w:rPr>
        <w:t xml:space="preserve">sector </w:t>
      </w:r>
      <w:r w:rsidRPr="00545535">
        <w:rPr>
          <w:rFonts w:ascii="Arial" w:hAnsi="Arial" w:cs="Arial"/>
          <w:color w:val="auto"/>
          <w:sz w:val="20"/>
          <w:szCs w:val="20"/>
        </w:rPr>
        <w:t xml:space="preserve">as one area in </w:t>
      </w:r>
      <w:r w:rsidRPr="00545535">
        <w:rPr>
          <w:rFonts w:ascii="Arial" w:hAnsi="Arial" w:cs="Arial"/>
          <w:color w:val="auto"/>
          <w:sz w:val="20"/>
          <w:szCs w:val="20"/>
        </w:rPr>
        <w:lastRenderedPageBreak/>
        <w:t xml:space="preserve">which there could be better coordination across Regulators and Government Departments to address growing concentration. The DTIC had supported </w:t>
      </w:r>
      <w:r w:rsidR="005749C2" w:rsidRPr="00545535">
        <w:rPr>
          <w:rFonts w:ascii="Arial" w:hAnsi="Arial" w:cs="Arial"/>
          <w:color w:val="auto"/>
          <w:sz w:val="20"/>
          <w:szCs w:val="20"/>
        </w:rPr>
        <w:t xml:space="preserve">a </w:t>
      </w:r>
      <w:r w:rsidRPr="00545535">
        <w:rPr>
          <w:rFonts w:ascii="Arial" w:hAnsi="Arial" w:cs="Arial"/>
          <w:color w:val="auto"/>
          <w:sz w:val="20"/>
          <w:szCs w:val="20"/>
        </w:rPr>
        <w:t>call for a regulators</w:t>
      </w:r>
      <w:r w:rsidR="005749C2" w:rsidRPr="00545535">
        <w:rPr>
          <w:rFonts w:ascii="Arial" w:hAnsi="Arial" w:cs="Arial"/>
          <w:color w:val="auto"/>
          <w:sz w:val="20"/>
          <w:szCs w:val="20"/>
        </w:rPr>
        <w:t>’</w:t>
      </w:r>
      <w:r w:rsidRPr="00545535">
        <w:rPr>
          <w:rFonts w:ascii="Arial" w:hAnsi="Arial" w:cs="Arial"/>
          <w:color w:val="auto"/>
          <w:sz w:val="20"/>
          <w:szCs w:val="20"/>
        </w:rPr>
        <w:t xml:space="preserve"> forum in the Cabinet meeting where the concentration study </w:t>
      </w:r>
      <w:r w:rsidR="005749C2" w:rsidRPr="00545535">
        <w:rPr>
          <w:rFonts w:ascii="Arial" w:hAnsi="Arial" w:cs="Arial"/>
          <w:color w:val="auto"/>
          <w:sz w:val="20"/>
          <w:szCs w:val="20"/>
        </w:rPr>
        <w:t xml:space="preserve">had been </w:t>
      </w:r>
      <w:r w:rsidRPr="00545535">
        <w:rPr>
          <w:rFonts w:ascii="Arial" w:hAnsi="Arial" w:cs="Arial"/>
          <w:color w:val="auto"/>
          <w:sz w:val="20"/>
          <w:szCs w:val="20"/>
        </w:rPr>
        <w:t>presented.</w:t>
      </w:r>
    </w:p>
    <w:p w:rsidR="00A34CC4" w:rsidRPr="00545535" w:rsidRDefault="00A34CC4" w:rsidP="00545535">
      <w:pPr>
        <w:ind w:left="360"/>
        <w:rPr>
          <w:rFonts w:ascii="Arial" w:hAnsi="Arial" w:cs="Arial"/>
          <w:sz w:val="20"/>
          <w:szCs w:val="20"/>
        </w:rPr>
      </w:pPr>
    </w:p>
    <w:p w:rsidR="00A34CC4" w:rsidRPr="00545535" w:rsidRDefault="00E657EB" w:rsidP="00545535">
      <w:pPr>
        <w:pStyle w:val="ListParagraph"/>
        <w:spacing w:line="240" w:lineRule="auto"/>
        <w:ind w:hanging="720"/>
        <w:jc w:val="left"/>
        <w:rPr>
          <w:rFonts w:ascii="Arial" w:hAnsi="Arial" w:cs="Arial"/>
          <w:color w:val="auto"/>
          <w:sz w:val="20"/>
          <w:szCs w:val="20"/>
        </w:rPr>
      </w:pPr>
      <w:r w:rsidRPr="00545535">
        <w:rPr>
          <w:rFonts w:ascii="Arial" w:hAnsi="Arial" w:cs="Arial"/>
          <w:i/>
          <w:sz w:val="20"/>
          <w:szCs w:val="20"/>
        </w:rPr>
        <w:t>Appropriateness of the DTIC’s key performance indicators and/or targets</w:t>
      </w:r>
      <w:r w:rsidRPr="00545535">
        <w:rPr>
          <w:rFonts w:ascii="Arial" w:hAnsi="Arial" w:cs="Arial"/>
          <w:sz w:val="20"/>
          <w:szCs w:val="20"/>
        </w:rPr>
        <w:t xml:space="preserve">: </w:t>
      </w:r>
      <w:r w:rsidR="00A34CC4" w:rsidRPr="00545535">
        <w:rPr>
          <w:rFonts w:ascii="Arial" w:hAnsi="Arial" w:cs="Arial"/>
          <w:sz w:val="20"/>
          <w:szCs w:val="20"/>
        </w:rPr>
        <w:t xml:space="preserve">There was a perception expressed that the DTIC should be shifting its key performance targets to focus on increasing investment, the lowering of the unemployment rate, the cost-competitiveness of manufacturing, and the improvement of the ease of doing business. The Committee enquired what measures the DTIC was implementing to improve South Africa’s cost-competitiveness, such as improving the movement of containers through the Durban Port. </w:t>
      </w:r>
      <w:r w:rsidR="008D48EF" w:rsidRPr="00545535">
        <w:rPr>
          <w:rFonts w:ascii="Arial" w:hAnsi="Arial" w:cs="Arial"/>
          <w:sz w:val="20"/>
          <w:szCs w:val="20"/>
        </w:rPr>
        <w:t>The DTIC advised the Committee that it has a Directorate/team through InvestSA which engages Transnet National Ports Authority to fast-track and unblock container clearances through ports.</w:t>
      </w:r>
      <w:r w:rsidR="002556FC" w:rsidRPr="00545535">
        <w:rPr>
          <w:rFonts w:ascii="Arial" w:hAnsi="Arial" w:cs="Arial"/>
          <w:sz w:val="20"/>
          <w:szCs w:val="20"/>
        </w:rPr>
        <w:t xml:space="preserve"> Furthermore, </w:t>
      </w:r>
      <w:r w:rsidR="002556FC" w:rsidRPr="00545535">
        <w:rPr>
          <w:rFonts w:ascii="Arial" w:hAnsi="Arial" w:cs="Arial"/>
          <w:color w:val="auto"/>
          <w:sz w:val="20"/>
          <w:szCs w:val="20"/>
        </w:rPr>
        <w:t>InvestSA leads the Ease of Doing Business programme and has made progress on the following indicators: starting a business; dealing with construction permits; registering property; and paying taxes. Through technical working groups, processes have been streamlined and automated. In addition, there has been improved transparency on websites in terms of available information.</w:t>
      </w:r>
    </w:p>
    <w:p w:rsidR="004802CB" w:rsidRPr="00545535" w:rsidRDefault="004802CB" w:rsidP="00545535">
      <w:pPr>
        <w:pStyle w:val="Body"/>
        <w:spacing w:line="240" w:lineRule="auto"/>
        <w:jc w:val="left"/>
        <w:rPr>
          <w:rFonts w:eastAsia="Times New Roman" w:cs="Arial"/>
          <w:color w:val="auto"/>
          <w:sz w:val="20"/>
          <w:szCs w:val="20"/>
        </w:rPr>
      </w:pPr>
    </w:p>
    <w:p w:rsidR="00D84575" w:rsidRPr="00545535" w:rsidRDefault="00E8077B" w:rsidP="00545535">
      <w:pPr>
        <w:pStyle w:val="ListParagraph"/>
        <w:spacing w:line="240" w:lineRule="auto"/>
        <w:ind w:hanging="720"/>
        <w:jc w:val="left"/>
        <w:rPr>
          <w:rFonts w:ascii="Arial" w:hAnsi="Arial" w:cs="Arial"/>
          <w:sz w:val="20"/>
          <w:szCs w:val="20"/>
        </w:rPr>
      </w:pPr>
      <w:r w:rsidRPr="00545535">
        <w:rPr>
          <w:rFonts w:ascii="Arial" w:hAnsi="Arial" w:cs="Arial"/>
          <w:i/>
          <w:sz w:val="20"/>
          <w:szCs w:val="20"/>
        </w:rPr>
        <w:t>Delays in finalising the review of the entities’ governance framework</w:t>
      </w:r>
      <w:r w:rsidRPr="00545535">
        <w:rPr>
          <w:rFonts w:ascii="Arial" w:hAnsi="Arial" w:cs="Arial"/>
          <w:sz w:val="20"/>
          <w:szCs w:val="20"/>
        </w:rPr>
        <w:t xml:space="preserve">: </w:t>
      </w:r>
      <w:r w:rsidR="00A34CC4" w:rsidRPr="00545535">
        <w:rPr>
          <w:rFonts w:ascii="Arial" w:hAnsi="Arial" w:cs="Arial"/>
          <w:sz w:val="20"/>
          <w:szCs w:val="20"/>
        </w:rPr>
        <w:t xml:space="preserve">Under Programme 1, the review of the entities’ governance framework had not been finalised due to a shortage of resources. The Committee requested the DTIC to clarify what the “shortage of resources” </w:t>
      </w:r>
      <w:r w:rsidR="004E067F" w:rsidRPr="00545535">
        <w:rPr>
          <w:rFonts w:ascii="Arial" w:hAnsi="Arial" w:cs="Arial"/>
          <w:sz w:val="20"/>
          <w:szCs w:val="20"/>
        </w:rPr>
        <w:t xml:space="preserve">was </w:t>
      </w:r>
      <w:r w:rsidR="00A34CC4" w:rsidRPr="00545535">
        <w:rPr>
          <w:rFonts w:ascii="Arial" w:hAnsi="Arial" w:cs="Arial"/>
          <w:sz w:val="20"/>
          <w:szCs w:val="20"/>
        </w:rPr>
        <w:t xml:space="preserve">and what plans it had </w:t>
      </w:r>
      <w:r w:rsidR="004E067F" w:rsidRPr="00545535">
        <w:rPr>
          <w:rFonts w:ascii="Arial" w:hAnsi="Arial" w:cs="Arial"/>
          <w:sz w:val="20"/>
          <w:szCs w:val="20"/>
        </w:rPr>
        <w:t xml:space="preserve">implemented </w:t>
      </w:r>
      <w:r w:rsidR="00A34CC4" w:rsidRPr="00545535">
        <w:rPr>
          <w:rFonts w:ascii="Arial" w:hAnsi="Arial" w:cs="Arial"/>
          <w:sz w:val="20"/>
          <w:szCs w:val="20"/>
        </w:rPr>
        <w:t>to mitigate this to ensure that going forward interventions were sustainable and effective to meet the intended objectives.</w:t>
      </w:r>
      <w:r w:rsidR="004E067F" w:rsidRPr="00545535">
        <w:rPr>
          <w:rFonts w:ascii="Arial" w:hAnsi="Arial" w:cs="Arial"/>
          <w:sz w:val="20"/>
          <w:szCs w:val="20"/>
        </w:rPr>
        <w:t xml:space="preserve"> </w:t>
      </w:r>
      <w:r w:rsidR="00F90E36" w:rsidRPr="00545535">
        <w:rPr>
          <w:rFonts w:ascii="Arial" w:hAnsi="Arial" w:cs="Arial"/>
          <w:sz w:val="20"/>
          <w:szCs w:val="20"/>
        </w:rPr>
        <w:t xml:space="preserve">The DTIC acknowledged the importance of finalising the review to ensure that key areas of governance were adequately dealt with for the 18 agencies reporting to it to function </w:t>
      </w:r>
      <w:r w:rsidR="000F1AC7" w:rsidRPr="00545535">
        <w:rPr>
          <w:rFonts w:ascii="Arial" w:hAnsi="Arial" w:cs="Arial"/>
          <w:sz w:val="20"/>
          <w:szCs w:val="20"/>
        </w:rPr>
        <w:t>effectively</w:t>
      </w:r>
      <w:r w:rsidR="00F90E36" w:rsidRPr="00545535">
        <w:rPr>
          <w:rFonts w:ascii="Arial" w:hAnsi="Arial" w:cs="Arial"/>
          <w:sz w:val="20"/>
          <w:szCs w:val="20"/>
        </w:rPr>
        <w:t xml:space="preserve">. The review was also necessary to ensure improved audit outcomes in a number of areas. </w:t>
      </w:r>
      <w:r w:rsidR="004E067F" w:rsidRPr="00545535">
        <w:rPr>
          <w:rFonts w:ascii="Arial" w:hAnsi="Arial" w:cs="Arial"/>
          <w:sz w:val="20"/>
          <w:szCs w:val="20"/>
        </w:rPr>
        <w:t>While t</w:t>
      </w:r>
      <w:r w:rsidR="00D84575" w:rsidRPr="00545535">
        <w:rPr>
          <w:rFonts w:ascii="Arial" w:hAnsi="Arial" w:cs="Arial"/>
          <w:sz w:val="20"/>
          <w:szCs w:val="20"/>
        </w:rPr>
        <w:t>he DTIC conceded that it had not achieved the governance framework indicator</w:t>
      </w:r>
      <w:r w:rsidR="004E067F" w:rsidRPr="00545535">
        <w:rPr>
          <w:rFonts w:ascii="Arial" w:hAnsi="Arial" w:cs="Arial"/>
          <w:sz w:val="20"/>
          <w:szCs w:val="20"/>
        </w:rPr>
        <w:t>; it</w:t>
      </w:r>
      <w:r w:rsidR="00D84575" w:rsidRPr="00545535">
        <w:rPr>
          <w:rFonts w:ascii="Arial" w:hAnsi="Arial" w:cs="Arial"/>
          <w:sz w:val="20"/>
          <w:szCs w:val="20"/>
        </w:rPr>
        <w:t xml:space="preserve"> attributed </w:t>
      </w:r>
      <w:r w:rsidR="004E067F" w:rsidRPr="00545535">
        <w:rPr>
          <w:rFonts w:ascii="Arial" w:hAnsi="Arial" w:cs="Arial"/>
          <w:sz w:val="20"/>
          <w:szCs w:val="20"/>
        </w:rPr>
        <w:t xml:space="preserve">this </w:t>
      </w:r>
      <w:r w:rsidR="00D84575" w:rsidRPr="00545535">
        <w:rPr>
          <w:rFonts w:ascii="Arial" w:hAnsi="Arial" w:cs="Arial"/>
          <w:sz w:val="20"/>
          <w:szCs w:val="20"/>
        </w:rPr>
        <w:t>to resource constraints</w:t>
      </w:r>
      <w:r w:rsidR="00F90E36" w:rsidRPr="00545535">
        <w:rPr>
          <w:rFonts w:ascii="Arial" w:hAnsi="Arial" w:cs="Arial"/>
          <w:sz w:val="20"/>
          <w:szCs w:val="20"/>
        </w:rPr>
        <w:t xml:space="preserve"> in terms of </w:t>
      </w:r>
      <w:r w:rsidR="001F7BAA" w:rsidRPr="00545535">
        <w:rPr>
          <w:rFonts w:ascii="Arial" w:hAnsi="Arial" w:cs="Arial"/>
          <w:color w:val="auto"/>
          <w:sz w:val="20"/>
          <w:szCs w:val="20"/>
        </w:rPr>
        <w:t xml:space="preserve">key vacancies in the area. </w:t>
      </w:r>
      <w:r w:rsidR="00066DB2" w:rsidRPr="00545535">
        <w:rPr>
          <w:rFonts w:ascii="Arial" w:hAnsi="Arial" w:cs="Arial"/>
          <w:color w:val="auto"/>
          <w:sz w:val="20"/>
          <w:szCs w:val="20"/>
        </w:rPr>
        <w:t>In this regard, t</w:t>
      </w:r>
      <w:r w:rsidR="001F7BAA" w:rsidRPr="00545535">
        <w:rPr>
          <w:rFonts w:ascii="Arial" w:hAnsi="Arial" w:cs="Arial"/>
          <w:color w:val="auto"/>
          <w:sz w:val="20"/>
          <w:szCs w:val="20"/>
        </w:rPr>
        <w:t>he Chief Director post had been vacant since June 2019 and the Director post had been vacant since May 2019. However, the way forward with regard to the filling of the</w:t>
      </w:r>
      <w:r w:rsidR="00F90E36" w:rsidRPr="00545535">
        <w:rPr>
          <w:rFonts w:ascii="Arial" w:hAnsi="Arial" w:cs="Arial"/>
          <w:color w:val="auto"/>
          <w:sz w:val="20"/>
          <w:szCs w:val="20"/>
        </w:rPr>
        <w:t>se</w:t>
      </w:r>
      <w:r w:rsidR="001F7BAA" w:rsidRPr="00545535">
        <w:rPr>
          <w:rFonts w:ascii="Arial" w:hAnsi="Arial" w:cs="Arial"/>
          <w:color w:val="auto"/>
          <w:sz w:val="20"/>
          <w:szCs w:val="20"/>
        </w:rPr>
        <w:t xml:space="preserve"> posts would be determined through the Structure Fit for Purpose processes. </w:t>
      </w:r>
      <w:r w:rsidR="00066DB2" w:rsidRPr="00545535">
        <w:rPr>
          <w:rFonts w:ascii="Arial" w:hAnsi="Arial" w:cs="Arial"/>
          <w:sz w:val="20"/>
          <w:szCs w:val="20"/>
        </w:rPr>
        <w:t>Given the importance of the review, in the interim</w:t>
      </w:r>
      <w:r w:rsidR="00490E5E" w:rsidRPr="00545535">
        <w:rPr>
          <w:rStyle w:val="CommentReference"/>
          <w:rFonts w:ascii="Arial" w:hAnsi="Arial" w:cs="Arial"/>
          <w:bCs w:val="0"/>
          <w:color w:val="auto"/>
          <w:sz w:val="20"/>
          <w:szCs w:val="20"/>
          <w:lang w:val="en-US" w:eastAsia="en-US"/>
        </w:rPr>
        <w:t>,</w:t>
      </w:r>
      <w:r w:rsidR="00490E5E" w:rsidRPr="00545535">
        <w:rPr>
          <w:rFonts w:ascii="Arial" w:hAnsi="Arial" w:cs="Arial"/>
          <w:sz w:val="20"/>
          <w:szCs w:val="20"/>
        </w:rPr>
        <w:t xml:space="preserve"> DTIC officials were working with the Executive team to endeavour to achieve the said performance indicator by </w:t>
      </w:r>
      <w:r w:rsidR="000F1AC7" w:rsidRPr="00545535">
        <w:rPr>
          <w:rFonts w:ascii="Arial" w:hAnsi="Arial" w:cs="Arial"/>
          <w:sz w:val="20"/>
          <w:szCs w:val="20"/>
        </w:rPr>
        <w:t>the end of the financial</w:t>
      </w:r>
      <w:r w:rsidR="00490E5E" w:rsidRPr="00545535">
        <w:rPr>
          <w:rFonts w:ascii="Arial" w:hAnsi="Arial" w:cs="Arial"/>
          <w:sz w:val="20"/>
          <w:szCs w:val="20"/>
        </w:rPr>
        <w:t>.</w:t>
      </w:r>
    </w:p>
    <w:p w:rsidR="00A34CC4" w:rsidRPr="00545535" w:rsidRDefault="00A34CC4" w:rsidP="00545535">
      <w:pPr>
        <w:rPr>
          <w:rFonts w:ascii="Arial" w:hAnsi="Arial" w:cs="Arial"/>
          <w:sz w:val="20"/>
          <w:szCs w:val="20"/>
          <w:lang w:val="en-ZA"/>
        </w:rPr>
      </w:pPr>
    </w:p>
    <w:p w:rsidR="00A34CC4" w:rsidRPr="00545535" w:rsidRDefault="001873E3" w:rsidP="00545535">
      <w:pPr>
        <w:pStyle w:val="ListParagraph"/>
        <w:spacing w:line="240" w:lineRule="auto"/>
        <w:ind w:hanging="720"/>
        <w:jc w:val="left"/>
        <w:rPr>
          <w:rFonts w:ascii="Arial" w:hAnsi="Arial" w:cs="Arial"/>
          <w:color w:val="auto"/>
          <w:sz w:val="20"/>
          <w:szCs w:val="20"/>
        </w:rPr>
      </w:pPr>
      <w:r w:rsidRPr="00545535">
        <w:rPr>
          <w:rFonts w:ascii="Arial" w:hAnsi="Arial" w:cs="Arial"/>
          <w:i/>
          <w:color w:val="auto"/>
          <w:sz w:val="20"/>
          <w:szCs w:val="20"/>
        </w:rPr>
        <w:t xml:space="preserve">Challenges faced by the </w:t>
      </w:r>
      <w:r w:rsidR="00066DB2" w:rsidRPr="00545535">
        <w:rPr>
          <w:rFonts w:ascii="Arial" w:hAnsi="Arial" w:cs="Arial"/>
          <w:i/>
          <w:color w:val="auto"/>
          <w:sz w:val="20"/>
          <w:szCs w:val="20"/>
        </w:rPr>
        <w:t>Broad-based Black Economic Empowerment (</w:t>
      </w:r>
      <w:r w:rsidRPr="00545535">
        <w:rPr>
          <w:rFonts w:ascii="Arial" w:hAnsi="Arial" w:cs="Arial"/>
          <w:i/>
          <w:color w:val="auto"/>
          <w:sz w:val="20"/>
          <w:szCs w:val="20"/>
        </w:rPr>
        <w:t>B-BBEE</w:t>
      </w:r>
      <w:r w:rsidR="00066DB2" w:rsidRPr="00545535">
        <w:rPr>
          <w:rFonts w:ascii="Arial" w:hAnsi="Arial" w:cs="Arial"/>
          <w:i/>
          <w:color w:val="auto"/>
          <w:sz w:val="20"/>
          <w:szCs w:val="20"/>
        </w:rPr>
        <w:t>)</w:t>
      </w:r>
      <w:r w:rsidRPr="00545535">
        <w:rPr>
          <w:rFonts w:ascii="Arial" w:hAnsi="Arial" w:cs="Arial"/>
          <w:i/>
          <w:color w:val="auto"/>
          <w:sz w:val="20"/>
          <w:szCs w:val="20"/>
        </w:rPr>
        <w:t xml:space="preserve"> Commission as a trading entity</w:t>
      </w:r>
      <w:r w:rsidRPr="00545535">
        <w:rPr>
          <w:rFonts w:ascii="Arial" w:hAnsi="Arial" w:cs="Arial"/>
          <w:color w:val="auto"/>
          <w:sz w:val="20"/>
          <w:szCs w:val="20"/>
        </w:rPr>
        <w:t xml:space="preserve">: </w:t>
      </w:r>
      <w:r w:rsidR="00A34CC4" w:rsidRPr="00545535">
        <w:rPr>
          <w:rFonts w:ascii="Arial" w:hAnsi="Arial" w:cs="Arial"/>
          <w:color w:val="auto"/>
          <w:sz w:val="20"/>
          <w:szCs w:val="20"/>
        </w:rPr>
        <w:t>The B-BBEE Commission is currently a trading entity operating under the DTIC. I</w:t>
      </w:r>
      <w:r w:rsidR="00066DB2" w:rsidRPr="00545535">
        <w:rPr>
          <w:rFonts w:ascii="Arial" w:hAnsi="Arial" w:cs="Arial"/>
          <w:color w:val="auto"/>
          <w:sz w:val="20"/>
          <w:szCs w:val="20"/>
        </w:rPr>
        <w:t>n a previous meeting, i</w:t>
      </w:r>
      <w:r w:rsidR="00A34CC4" w:rsidRPr="00545535">
        <w:rPr>
          <w:rFonts w:ascii="Arial" w:hAnsi="Arial" w:cs="Arial"/>
          <w:color w:val="auto"/>
          <w:sz w:val="20"/>
          <w:szCs w:val="20"/>
        </w:rPr>
        <w:t>t ha</w:t>
      </w:r>
      <w:r w:rsidR="00066DB2" w:rsidRPr="00545535">
        <w:rPr>
          <w:rFonts w:ascii="Arial" w:hAnsi="Arial" w:cs="Arial"/>
          <w:color w:val="auto"/>
          <w:sz w:val="20"/>
          <w:szCs w:val="20"/>
        </w:rPr>
        <w:t>d</w:t>
      </w:r>
      <w:r w:rsidR="00A34CC4" w:rsidRPr="00545535">
        <w:rPr>
          <w:rFonts w:ascii="Arial" w:hAnsi="Arial" w:cs="Arial"/>
          <w:color w:val="auto"/>
          <w:sz w:val="20"/>
          <w:szCs w:val="20"/>
        </w:rPr>
        <w:t xml:space="preserve"> asserted that its challenges in relation to limited financial and human resources was impeding its ability to effectively enforce B-BBEE legislation, in particular curbing the unscrupulous practices of fronting, to achieve effective economic transformation. The Committee enquired what remedial action was being taken to resolve these challenges.</w:t>
      </w:r>
    </w:p>
    <w:p w:rsidR="00066DB2" w:rsidRPr="00545535" w:rsidRDefault="00066DB2" w:rsidP="00545535">
      <w:pPr>
        <w:rPr>
          <w:rFonts w:ascii="Arial" w:hAnsi="Arial" w:cs="Arial"/>
          <w:sz w:val="20"/>
          <w:szCs w:val="20"/>
        </w:rPr>
      </w:pPr>
    </w:p>
    <w:p w:rsidR="00D41ABC" w:rsidRPr="00545535" w:rsidRDefault="00D41ABC" w:rsidP="00545535">
      <w:pPr>
        <w:pStyle w:val="ListParagraph"/>
        <w:numPr>
          <w:ilvl w:val="0"/>
          <w:numId w:val="0"/>
        </w:numPr>
        <w:tabs>
          <w:tab w:val="center" w:pos="4870"/>
        </w:tabs>
        <w:spacing w:line="240" w:lineRule="auto"/>
        <w:ind w:left="720"/>
        <w:jc w:val="left"/>
        <w:rPr>
          <w:rFonts w:ascii="Arial" w:hAnsi="Arial" w:cs="Arial"/>
          <w:color w:val="auto"/>
          <w:sz w:val="20"/>
          <w:szCs w:val="20"/>
        </w:rPr>
      </w:pPr>
      <w:r w:rsidRPr="00545535">
        <w:rPr>
          <w:rFonts w:ascii="Arial" w:hAnsi="Arial" w:cs="Arial"/>
          <w:color w:val="auto"/>
          <w:sz w:val="20"/>
          <w:szCs w:val="20"/>
        </w:rPr>
        <w:t xml:space="preserve">The </w:t>
      </w:r>
      <w:r w:rsidR="00490E5E" w:rsidRPr="00545535">
        <w:rPr>
          <w:rFonts w:ascii="Arial" w:hAnsi="Arial" w:cs="Arial"/>
          <w:color w:val="auto"/>
          <w:sz w:val="20"/>
          <w:szCs w:val="20"/>
        </w:rPr>
        <w:t xml:space="preserve">DTIC confirmed </w:t>
      </w:r>
      <w:r w:rsidRPr="00545535">
        <w:rPr>
          <w:rFonts w:ascii="Arial" w:hAnsi="Arial" w:cs="Arial"/>
          <w:color w:val="auto"/>
          <w:sz w:val="20"/>
          <w:szCs w:val="20"/>
        </w:rPr>
        <w:t>that the B-BBEE Commission is not a listed public entity under the P</w:t>
      </w:r>
      <w:r w:rsidR="00490E5E" w:rsidRPr="00545535">
        <w:rPr>
          <w:rFonts w:ascii="Arial" w:hAnsi="Arial" w:cs="Arial"/>
          <w:color w:val="auto"/>
          <w:sz w:val="20"/>
          <w:szCs w:val="20"/>
        </w:rPr>
        <w:t xml:space="preserve">ublic </w:t>
      </w:r>
      <w:r w:rsidRPr="00545535">
        <w:rPr>
          <w:rFonts w:ascii="Arial" w:hAnsi="Arial" w:cs="Arial"/>
          <w:color w:val="auto"/>
          <w:sz w:val="20"/>
          <w:szCs w:val="20"/>
        </w:rPr>
        <w:t>F</w:t>
      </w:r>
      <w:r w:rsidR="00490E5E" w:rsidRPr="00545535">
        <w:rPr>
          <w:rFonts w:ascii="Arial" w:hAnsi="Arial" w:cs="Arial"/>
          <w:color w:val="auto"/>
          <w:sz w:val="20"/>
          <w:szCs w:val="20"/>
        </w:rPr>
        <w:t xml:space="preserve">inance </w:t>
      </w:r>
      <w:r w:rsidRPr="00545535">
        <w:rPr>
          <w:rFonts w:ascii="Arial" w:hAnsi="Arial" w:cs="Arial"/>
          <w:color w:val="auto"/>
          <w:sz w:val="20"/>
          <w:szCs w:val="20"/>
        </w:rPr>
        <w:t>M</w:t>
      </w:r>
      <w:r w:rsidR="00490E5E" w:rsidRPr="00545535">
        <w:rPr>
          <w:rFonts w:ascii="Arial" w:hAnsi="Arial" w:cs="Arial"/>
          <w:color w:val="auto"/>
          <w:sz w:val="20"/>
          <w:szCs w:val="20"/>
        </w:rPr>
        <w:t xml:space="preserve">anagement </w:t>
      </w:r>
      <w:r w:rsidRPr="00545535">
        <w:rPr>
          <w:rFonts w:ascii="Arial" w:hAnsi="Arial" w:cs="Arial"/>
          <w:color w:val="auto"/>
          <w:sz w:val="20"/>
          <w:szCs w:val="20"/>
        </w:rPr>
        <w:t>A</w:t>
      </w:r>
      <w:r w:rsidR="00490E5E" w:rsidRPr="00545535">
        <w:rPr>
          <w:rFonts w:ascii="Arial" w:hAnsi="Arial" w:cs="Arial"/>
          <w:color w:val="auto"/>
          <w:sz w:val="20"/>
          <w:szCs w:val="20"/>
        </w:rPr>
        <w:t>ct (Act No. 1 of 1999)</w:t>
      </w:r>
      <w:r w:rsidRPr="00545535">
        <w:rPr>
          <w:rFonts w:ascii="Arial" w:hAnsi="Arial" w:cs="Arial"/>
          <w:color w:val="auto"/>
          <w:sz w:val="20"/>
          <w:szCs w:val="20"/>
        </w:rPr>
        <w:t xml:space="preserve"> and forms part of </w:t>
      </w:r>
      <w:r w:rsidR="00066DB2" w:rsidRPr="00545535">
        <w:rPr>
          <w:rFonts w:ascii="Arial" w:hAnsi="Arial" w:cs="Arial"/>
          <w:color w:val="auto"/>
          <w:sz w:val="20"/>
          <w:szCs w:val="20"/>
        </w:rPr>
        <w:t>the DTIC’s</w:t>
      </w:r>
      <w:r w:rsidR="00A06E3B" w:rsidRPr="00545535">
        <w:rPr>
          <w:rFonts w:ascii="Arial" w:hAnsi="Arial" w:cs="Arial"/>
          <w:color w:val="auto"/>
          <w:sz w:val="20"/>
          <w:szCs w:val="20"/>
        </w:rPr>
        <w:t xml:space="preserve"> </w:t>
      </w:r>
      <w:r w:rsidRPr="00545535">
        <w:rPr>
          <w:rFonts w:ascii="Arial" w:hAnsi="Arial" w:cs="Arial"/>
          <w:color w:val="auto"/>
          <w:sz w:val="20"/>
          <w:szCs w:val="20"/>
        </w:rPr>
        <w:t xml:space="preserve">structure under </w:t>
      </w:r>
      <w:r w:rsidR="00A06E3B" w:rsidRPr="00545535">
        <w:rPr>
          <w:rFonts w:ascii="Arial" w:hAnsi="Arial" w:cs="Arial"/>
          <w:color w:val="auto"/>
          <w:sz w:val="20"/>
          <w:szCs w:val="20"/>
        </w:rPr>
        <w:t xml:space="preserve">the Spatial Industrial Development and Economic Transformation </w:t>
      </w:r>
      <w:r w:rsidRPr="00545535">
        <w:rPr>
          <w:rFonts w:ascii="Arial" w:hAnsi="Arial" w:cs="Arial"/>
          <w:color w:val="auto"/>
          <w:sz w:val="20"/>
          <w:szCs w:val="20"/>
        </w:rPr>
        <w:t>programme. Th</w:t>
      </w:r>
      <w:r w:rsidR="00A06E3B" w:rsidRPr="00545535">
        <w:rPr>
          <w:rFonts w:ascii="Arial" w:hAnsi="Arial" w:cs="Arial"/>
          <w:color w:val="auto"/>
          <w:sz w:val="20"/>
          <w:szCs w:val="20"/>
        </w:rPr>
        <w:t>us the</w:t>
      </w:r>
      <w:r w:rsidRPr="00545535">
        <w:rPr>
          <w:rFonts w:ascii="Arial" w:hAnsi="Arial" w:cs="Arial"/>
          <w:color w:val="auto"/>
          <w:sz w:val="20"/>
          <w:szCs w:val="20"/>
        </w:rPr>
        <w:t xml:space="preserve"> </w:t>
      </w:r>
      <w:r w:rsidR="00A06E3B" w:rsidRPr="00545535">
        <w:rPr>
          <w:rFonts w:ascii="Arial" w:hAnsi="Arial" w:cs="Arial"/>
          <w:color w:val="auto"/>
          <w:sz w:val="20"/>
          <w:szCs w:val="20"/>
        </w:rPr>
        <w:t xml:space="preserve">DTIC </w:t>
      </w:r>
      <w:r w:rsidRPr="00545535">
        <w:rPr>
          <w:rFonts w:ascii="Arial" w:hAnsi="Arial" w:cs="Arial"/>
          <w:color w:val="auto"/>
          <w:sz w:val="20"/>
          <w:szCs w:val="20"/>
        </w:rPr>
        <w:t xml:space="preserve">provides back office support to the </w:t>
      </w:r>
      <w:r w:rsidR="00A06E3B" w:rsidRPr="00545535">
        <w:rPr>
          <w:rFonts w:ascii="Arial" w:hAnsi="Arial" w:cs="Arial"/>
          <w:color w:val="auto"/>
          <w:sz w:val="20"/>
          <w:szCs w:val="20"/>
        </w:rPr>
        <w:t xml:space="preserve">B-BBEE </w:t>
      </w:r>
      <w:r w:rsidRPr="00545535">
        <w:rPr>
          <w:rFonts w:ascii="Arial" w:hAnsi="Arial" w:cs="Arial"/>
          <w:color w:val="auto"/>
          <w:sz w:val="20"/>
          <w:szCs w:val="20"/>
        </w:rPr>
        <w:t>Commission in the form of its corporate services</w:t>
      </w:r>
      <w:r w:rsidR="00066DB2" w:rsidRPr="00545535">
        <w:rPr>
          <w:rFonts w:ascii="Arial" w:hAnsi="Arial" w:cs="Arial"/>
          <w:color w:val="auto"/>
          <w:sz w:val="20"/>
          <w:szCs w:val="20"/>
        </w:rPr>
        <w:t>, namely</w:t>
      </w:r>
      <w:r w:rsidRPr="00545535">
        <w:rPr>
          <w:rFonts w:ascii="Arial" w:hAnsi="Arial" w:cs="Arial"/>
          <w:color w:val="auto"/>
          <w:sz w:val="20"/>
          <w:szCs w:val="20"/>
        </w:rPr>
        <w:t xml:space="preserve"> financial management, supply chain management, human resource management and facilities management. To further support the work of the Commission, a panel of researchers ha</w:t>
      </w:r>
      <w:r w:rsidR="00A06E3B" w:rsidRPr="00545535">
        <w:rPr>
          <w:rFonts w:ascii="Arial" w:hAnsi="Arial" w:cs="Arial"/>
          <w:color w:val="auto"/>
          <w:sz w:val="20"/>
          <w:szCs w:val="20"/>
        </w:rPr>
        <w:t>d</w:t>
      </w:r>
      <w:r w:rsidRPr="00545535">
        <w:rPr>
          <w:rFonts w:ascii="Arial" w:hAnsi="Arial" w:cs="Arial"/>
          <w:color w:val="auto"/>
          <w:sz w:val="20"/>
          <w:szCs w:val="20"/>
        </w:rPr>
        <w:t xml:space="preserve"> been procured to provide deepe</w:t>
      </w:r>
      <w:r w:rsidR="00A06E3B" w:rsidRPr="00545535">
        <w:rPr>
          <w:rFonts w:ascii="Arial" w:hAnsi="Arial" w:cs="Arial"/>
          <w:color w:val="auto"/>
          <w:sz w:val="20"/>
          <w:szCs w:val="20"/>
        </w:rPr>
        <w:t>r</w:t>
      </w:r>
      <w:r w:rsidRPr="00545535">
        <w:rPr>
          <w:rFonts w:ascii="Arial" w:hAnsi="Arial" w:cs="Arial"/>
          <w:color w:val="auto"/>
          <w:sz w:val="20"/>
          <w:szCs w:val="20"/>
        </w:rPr>
        <w:t xml:space="preserve"> insights and analysis on compliance reports, major B-BBEE transactions, benchmarks and impact assessments. Other outsourced services include</w:t>
      </w:r>
      <w:r w:rsidR="00A06E3B" w:rsidRPr="00545535">
        <w:rPr>
          <w:rFonts w:ascii="Arial" w:hAnsi="Arial" w:cs="Arial"/>
          <w:color w:val="auto"/>
          <w:sz w:val="20"/>
          <w:szCs w:val="20"/>
        </w:rPr>
        <w:t>d</w:t>
      </w:r>
      <w:r w:rsidRPr="00545535">
        <w:rPr>
          <w:rFonts w:ascii="Arial" w:hAnsi="Arial" w:cs="Arial"/>
          <w:color w:val="auto"/>
          <w:sz w:val="20"/>
          <w:szCs w:val="20"/>
        </w:rPr>
        <w:t xml:space="preserve"> investigative capacity, stakeholder relations and communications</w:t>
      </w:r>
      <w:r w:rsidR="00A06E3B" w:rsidRPr="00545535">
        <w:rPr>
          <w:rFonts w:ascii="Arial" w:hAnsi="Arial" w:cs="Arial"/>
          <w:color w:val="auto"/>
          <w:sz w:val="20"/>
          <w:szCs w:val="20"/>
        </w:rPr>
        <w:t>,</w:t>
      </w:r>
      <w:r w:rsidRPr="00545535">
        <w:rPr>
          <w:rFonts w:ascii="Arial" w:hAnsi="Arial" w:cs="Arial"/>
          <w:color w:val="auto"/>
          <w:sz w:val="20"/>
          <w:szCs w:val="20"/>
        </w:rPr>
        <w:t xml:space="preserve"> as well as Corporate Governance training in </w:t>
      </w:r>
      <w:r w:rsidR="00A06E3B" w:rsidRPr="00545535">
        <w:rPr>
          <w:rFonts w:ascii="Arial" w:hAnsi="Arial" w:cs="Arial"/>
          <w:color w:val="auto"/>
          <w:sz w:val="20"/>
          <w:szCs w:val="20"/>
        </w:rPr>
        <w:t>eight</w:t>
      </w:r>
      <w:r w:rsidRPr="00545535">
        <w:rPr>
          <w:rFonts w:ascii="Arial" w:hAnsi="Arial" w:cs="Arial"/>
          <w:color w:val="auto"/>
          <w:sz w:val="20"/>
          <w:szCs w:val="20"/>
        </w:rPr>
        <w:t xml:space="preserve"> provinces.</w:t>
      </w:r>
    </w:p>
    <w:p w:rsidR="00D41ABC" w:rsidRPr="00545535" w:rsidRDefault="00D41ABC" w:rsidP="00545535">
      <w:pPr>
        <w:pStyle w:val="ListParagraph"/>
        <w:numPr>
          <w:ilvl w:val="0"/>
          <w:numId w:val="0"/>
        </w:numPr>
        <w:spacing w:line="240" w:lineRule="auto"/>
        <w:ind w:left="720"/>
        <w:jc w:val="left"/>
        <w:rPr>
          <w:rFonts w:ascii="Arial" w:hAnsi="Arial" w:cs="Arial"/>
          <w:color w:val="auto"/>
          <w:sz w:val="20"/>
          <w:szCs w:val="20"/>
        </w:rPr>
      </w:pPr>
    </w:p>
    <w:p w:rsidR="00A34CC4" w:rsidRPr="00545535" w:rsidRDefault="00D453E3" w:rsidP="00545535">
      <w:pPr>
        <w:pStyle w:val="ListParagraph"/>
        <w:spacing w:line="240" w:lineRule="auto"/>
        <w:ind w:hanging="720"/>
        <w:jc w:val="left"/>
        <w:rPr>
          <w:rFonts w:ascii="Arial" w:hAnsi="Arial" w:cs="Arial"/>
          <w:color w:val="auto"/>
          <w:sz w:val="20"/>
          <w:szCs w:val="20"/>
        </w:rPr>
      </w:pPr>
      <w:r w:rsidRPr="00545535">
        <w:rPr>
          <w:rFonts w:ascii="Arial" w:hAnsi="Arial" w:cs="Arial"/>
          <w:i/>
          <w:color w:val="auto"/>
          <w:sz w:val="20"/>
          <w:szCs w:val="20"/>
        </w:rPr>
        <w:t>Impact of under-spending on transfers and subsidies on the economy</w:t>
      </w:r>
      <w:r w:rsidRPr="00545535">
        <w:rPr>
          <w:rFonts w:ascii="Arial" w:hAnsi="Arial" w:cs="Arial"/>
          <w:color w:val="auto"/>
          <w:sz w:val="20"/>
          <w:szCs w:val="20"/>
        </w:rPr>
        <w:t xml:space="preserve">: </w:t>
      </w:r>
      <w:r w:rsidR="00A34CC4" w:rsidRPr="00545535">
        <w:rPr>
          <w:rFonts w:ascii="Arial" w:hAnsi="Arial" w:cs="Arial"/>
          <w:color w:val="auto"/>
          <w:sz w:val="20"/>
          <w:szCs w:val="20"/>
        </w:rPr>
        <w:t xml:space="preserve">The DTIC had an underspending of 8,7 per cent on its transfers and subsidies budget during the second quarter, particularly in relation to incentive payments (10,7 per cent) and external programmes (13,3 per cent). This later reduced to an underspending of 1,6 per cent at the end of the third quarter. The Committee enquired how underspending on transfers and subsidies has impacted businesses, especially in terms of the retention and creation of jobs </w:t>
      </w:r>
      <w:r w:rsidR="00A34CC4" w:rsidRPr="00545535">
        <w:rPr>
          <w:rFonts w:ascii="Arial" w:hAnsi="Arial" w:cs="Arial"/>
          <w:color w:val="auto"/>
          <w:sz w:val="20"/>
          <w:szCs w:val="20"/>
        </w:rPr>
        <w:lastRenderedPageBreak/>
        <w:t>and the impact on the broader economy.</w:t>
      </w:r>
      <w:r w:rsidR="00AC0E6E" w:rsidRPr="00545535">
        <w:rPr>
          <w:rFonts w:ascii="Arial" w:hAnsi="Arial" w:cs="Arial"/>
          <w:color w:val="auto"/>
          <w:sz w:val="20"/>
          <w:szCs w:val="20"/>
        </w:rPr>
        <w:t xml:space="preserve"> </w:t>
      </w:r>
      <w:r w:rsidR="00D60FC0" w:rsidRPr="00545535">
        <w:rPr>
          <w:rFonts w:ascii="Arial" w:hAnsi="Arial" w:cs="Arial"/>
          <w:color w:val="auto"/>
          <w:sz w:val="20"/>
          <w:szCs w:val="20"/>
        </w:rPr>
        <w:t>The DTIC reported that, i</w:t>
      </w:r>
      <w:r w:rsidR="00AC0E6E" w:rsidRPr="00545535">
        <w:rPr>
          <w:rFonts w:ascii="Arial" w:hAnsi="Arial" w:cs="Arial"/>
          <w:color w:val="auto"/>
          <w:sz w:val="20"/>
          <w:szCs w:val="20"/>
        </w:rPr>
        <w:t>n the area of incentive programmes, while R3</w:t>
      </w:r>
      <w:r w:rsidR="00D60FC0" w:rsidRPr="00545535">
        <w:rPr>
          <w:rFonts w:ascii="Arial" w:hAnsi="Arial" w:cs="Arial"/>
          <w:color w:val="auto"/>
          <w:sz w:val="20"/>
          <w:szCs w:val="20"/>
        </w:rPr>
        <w:t>,</w:t>
      </w:r>
      <w:r w:rsidR="00AC0E6E" w:rsidRPr="00545535">
        <w:rPr>
          <w:rFonts w:ascii="Arial" w:hAnsi="Arial" w:cs="Arial"/>
          <w:color w:val="auto"/>
          <w:sz w:val="20"/>
          <w:szCs w:val="20"/>
        </w:rPr>
        <w:t xml:space="preserve">4 billion in financial support </w:t>
      </w:r>
      <w:r w:rsidR="00D60FC0" w:rsidRPr="00545535">
        <w:rPr>
          <w:rFonts w:ascii="Arial" w:hAnsi="Arial" w:cs="Arial"/>
          <w:color w:val="auto"/>
          <w:sz w:val="20"/>
          <w:szCs w:val="20"/>
        </w:rPr>
        <w:t xml:space="preserve">had been </w:t>
      </w:r>
      <w:r w:rsidR="005E54D0" w:rsidRPr="00545535">
        <w:rPr>
          <w:rFonts w:ascii="Arial" w:hAnsi="Arial" w:cs="Arial"/>
          <w:color w:val="auto"/>
          <w:sz w:val="20"/>
          <w:szCs w:val="20"/>
        </w:rPr>
        <w:t xml:space="preserve">disbursed </w:t>
      </w:r>
      <w:r w:rsidR="00AC0E6E" w:rsidRPr="00545535">
        <w:rPr>
          <w:rFonts w:ascii="Arial" w:hAnsi="Arial" w:cs="Arial"/>
          <w:color w:val="auto"/>
          <w:sz w:val="20"/>
          <w:szCs w:val="20"/>
        </w:rPr>
        <w:t xml:space="preserve">to date, slower incentive disbursements had been reported in certain areas as some of the investment milestones on approved projects </w:t>
      </w:r>
      <w:r w:rsidR="005E54D0" w:rsidRPr="00545535">
        <w:rPr>
          <w:rFonts w:ascii="Arial" w:hAnsi="Arial" w:cs="Arial"/>
          <w:color w:val="auto"/>
          <w:sz w:val="20"/>
          <w:szCs w:val="20"/>
        </w:rPr>
        <w:t>we</w:t>
      </w:r>
      <w:r w:rsidR="00AC0E6E" w:rsidRPr="00545535">
        <w:rPr>
          <w:rFonts w:ascii="Arial" w:hAnsi="Arial" w:cs="Arial"/>
          <w:color w:val="auto"/>
          <w:sz w:val="20"/>
          <w:szCs w:val="20"/>
        </w:rPr>
        <w:t>re being deferred by the applicants.</w:t>
      </w:r>
    </w:p>
    <w:p w:rsidR="00A34CC4" w:rsidRPr="00545535" w:rsidRDefault="00A34CC4" w:rsidP="00545535">
      <w:pPr>
        <w:pStyle w:val="Body"/>
        <w:spacing w:line="240" w:lineRule="auto"/>
        <w:jc w:val="left"/>
        <w:rPr>
          <w:rFonts w:eastAsia="Times New Roman" w:cs="Arial"/>
          <w:color w:val="auto"/>
          <w:sz w:val="20"/>
          <w:szCs w:val="20"/>
        </w:rPr>
      </w:pPr>
    </w:p>
    <w:p w:rsidR="00066DB2" w:rsidRPr="00545535" w:rsidRDefault="00066DB2" w:rsidP="00545535">
      <w:pPr>
        <w:pStyle w:val="Body"/>
        <w:spacing w:line="240" w:lineRule="auto"/>
        <w:jc w:val="left"/>
        <w:rPr>
          <w:rFonts w:eastAsia="Times New Roman" w:cs="Arial"/>
          <w:color w:val="auto"/>
          <w:sz w:val="20"/>
          <w:szCs w:val="20"/>
        </w:rPr>
      </w:pPr>
    </w:p>
    <w:p w:rsidR="004802CB" w:rsidRPr="00545535" w:rsidRDefault="00542DB5" w:rsidP="00545535">
      <w:pPr>
        <w:pStyle w:val="Heading1"/>
        <w:spacing w:before="0" w:line="240" w:lineRule="auto"/>
        <w:rPr>
          <w:rFonts w:ascii="Arial" w:hAnsi="Arial" w:cs="Arial"/>
          <w:sz w:val="20"/>
          <w:szCs w:val="20"/>
          <w:lang w:val="en-ZA"/>
        </w:rPr>
      </w:pPr>
      <w:r w:rsidRPr="00545535">
        <w:rPr>
          <w:rFonts w:ascii="Arial" w:hAnsi="Arial" w:cs="Arial"/>
          <w:sz w:val="20"/>
          <w:szCs w:val="20"/>
          <w:lang w:val="en-ZA"/>
        </w:rPr>
        <w:t>Conclusions</w:t>
      </w:r>
    </w:p>
    <w:p w:rsidR="00296E8D" w:rsidRPr="00545535" w:rsidRDefault="00296E8D" w:rsidP="00545535">
      <w:pPr>
        <w:rPr>
          <w:rFonts w:ascii="Arial" w:eastAsia="Times New Roman" w:hAnsi="Arial" w:cs="Arial"/>
          <w:sz w:val="20"/>
          <w:szCs w:val="20"/>
          <w:lang w:val="en-ZA"/>
        </w:rPr>
      </w:pPr>
    </w:p>
    <w:p w:rsidR="00B36B24" w:rsidRPr="00545535" w:rsidRDefault="00B36B24" w:rsidP="00545535">
      <w:pPr>
        <w:rPr>
          <w:rFonts w:ascii="Arial" w:eastAsia="Times New Roman" w:hAnsi="Arial" w:cs="Arial"/>
          <w:sz w:val="20"/>
          <w:szCs w:val="20"/>
          <w:lang w:val="en-ZA"/>
        </w:rPr>
      </w:pPr>
      <w:r w:rsidRPr="00545535">
        <w:rPr>
          <w:rFonts w:ascii="Arial" w:eastAsia="Times New Roman" w:hAnsi="Arial" w:cs="Arial"/>
          <w:sz w:val="20"/>
          <w:szCs w:val="20"/>
          <w:lang w:val="en-ZA"/>
        </w:rPr>
        <w:t>Based on its deliberations, the Committee drew the following conclusions:</w:t>
      </w:r>
    </w:p>
    <w:p w:rsidR="00B36B24" w:rsidRPr="00545535" w:rsidRDefault="00B36B24" w:rsidP="00545535">
      <w:pPr>
        <w:ind w:left="240"/>
        <w:rPr>
          <w:rFonts w:ascii="Arial" w:eastAsia="Times New Roman" w:hAnsi="Arial" w:cs="Arial"/>
          <w:sz w:val="20"/>
          <w:szCs w:val="20"/>
          <w:lang w:val="en-ZA"/>
        </w:rPr>
      </w:pPr>
    </w:p>
    <w:p w:rsidR="00B36B24" w:rsidRPr="00545535" w:rsidRDefault="00CF1CB9" w:rsidP="00545535">
      <w:pPr>
        <w:pStyle w:val="ListParagraph"/>
        <w:numPr>
          <w:ilvl w:val="1"/>
          <w:numId w:val="28"/>
        </w:numPr>
        <w:spacing w:line="240" w:lineRule="auto"/>
        <w:ind w:hanging="600"/>
        <w:jc w:val="left"/>
        <w:rPr>
          <w:rFonts w:ascii="Arial" w:hAnsi="Arial" w:cs="Arial"/>
          <w:color w:val="auto"/>
          <w:sz w:val="20"/>
          <w:szCs w:val="20"/>
        </w:rPr>
      </w:pPr>
      <w:r w:rsidRPr="00545535">
        <w:rPr>
          <w:rFonts w:ascii="Arial" w:hAnsi="Arial" w:cs="Arial"/>
          <w:color w:val="auto"/>
          <w:sz w:val="20"/>
          <w:szCs w:val="20"/>
        </w:rPr>
        <w:t>The Committee noted that although there had been an 85</w:t>
      </w:r>
      <w:r w:rsidR="00BF7556" w:rsidRPr="00545535">
        <w:rPr>
          <w:rFonts w:ascii="Arial" w:hAnsi="Arial" w:cs="Arial"/>
          <w:color w:val="auto"/>
          <w:sz w:val="20"/>
          <w:szCs w:val="20"/>
        </w:rPr>
        <w:t xml:space="preserve"> per cent</w:t>
      </w:r>
      <w:r w:rsidRPr="00545535">
        <w:rPr>
          <w:rFonts w:ascii="Arial" w:hAnsi="Arial" w:cs="Arial"/>
          <w:color w:val="auto"/>
          <w:sz w:val="20"/>
          <w:szCs w:val="20"/>
        </w:rPr>
        <w:t xml:space="preserve"> achievement</w:t>
      </w:r>
      <w:r w:rsidR="00EE7780" w:rsidRPr="00545535">
        <w:rPr>
          <w:rFonts w:ascii="Arial" w:hAnsi="Arial" w:cs="Arial"/>
          <w:color w:val="auto"/>
          <w:sz w:val="20"/>
          <w:szCs w:val="20"/>
        </w:rPr>
        <w:t xml:space="preserve"> in the second quarter</w:t>
      </w:r>
      <w:r w:rsidRPr="00545535">
        <w:rPr>
          <w:rFonts w:ascii="Arial" w:hAnsi="Arial" w:cs="Arial"/>
          <w:color w:val="auto"/>
          <w:sz w:val="20"/>
          <w:szCs w:val="20"/>
        </w:rPr>
        <w:t>, with six targets</w:t>
      </w:r>
      <w:r w:rsidR="000F1AC7" w:rsidRPr="00545535">
        <w:rPr>
          <w:rFonts w:ascii="Arial" w:hAnsi="Arial" w:cs="Arial"/>
          <w:color w:val="auto"/>
          <w:sz w:val="20"/>
          <w:szCs w:val="20"/>
        </w:rPr>
        <w:t xml:space="preserve"> not met</w:t>
      </w:r>
      <w:r w:rsidRPr="00545535">
        <w:rPr>
          <w:rFonts w:ascii="Arial" w:hAnsi="Arial" w:cs="Arial"/>
          <w:color w:val="auto"/>
          <w:sz w:val="20"/>
          <w:szCs w:val="20"/>
        </w:rPr>
        <w:t xml:space="preserve">, and as a result such a decline </w:t>
      </w:r>
      <w:r w:rsidR="00EE7780" w:rsidRPr="00545535">
        <w:rPr>
          <w:rFonts w:ascii="Arial" w:hAnsi="Arial" w:cs="Arial"/>
          <w:color w:val="auto"/>
          <w:sz w:val="20"/>
          <w:szCs w:val="20"/>
        </w:rPr>
        <w:t xml:space="preserve">in </w:t>
      </w:r>
      <w:r w:rsidR="000F1AC7" w:rsidRPr="00545535">
        <w:rPr>
          <w:rFonts w:ascii="Arial" w:hAnsi="Arial" w:cs="Arial"/>
          <w:color w:val="auto"/>
          <w:sz w:val="20"/>
          <w:szCs w:val="20"/>
        </w:rPr>
        <w:t>performance</w:t>
      </w:r>
      <w:r w:rsidR="00EE7780" w:rsidRPr="00545535">
        <w:rPr>
          <w:rFonts w:ascii="Arial" w:hAnsi="Arial" w:cs="Arial"/>
          <w:color w:val="auto"/>
          <w:sz w:val="20"/>
          <w:szCs w:val="20"/>
        </w:rPr>
        <w:t xml:space="preserve"> </w:t>
      </w:r>
      <w:r w:rsidRPr="00545535">
        <w:rPr>
          <w:rFonts w:ascii="Arial" w:hAnsi="Arial" w:cs="Arial"/>
          <w:color w:val="auto"/>
          <w:sz w:val="20"/>
          <w:szCs w:val="20"/>
        </w:rPr>
        <w:t xml:space="preserve">is significant. The Committee </w:t>
      </w:r>
      <w:r w:rsidR="00EE7780" w:rsidRPr="00545535">
        <w:rPr>
          <w:rFonts w:ascii="Arial" w:hAnsi="Arial" w:cs="Arial"/>
          <w:color w:val="auto"/>
          <w:sz w:val="20"/>
          <w:szCs w:val="20"/>
        </w:rPr>
        <w:t>wa</w:t>
      </w:r>
      <w:r w:rsidRPr="00545535">
        <w:rPr>
          <w:rFonts w:ascii="Arial" w:hAnsi="Arial" w:cs="Arial"/>
          <w:color w:val="auto"/>
          <w:sz w:val="20"/>
          <w:szCs w:val="20"/>
        </w:rPr>
        <w:t>s of the view that all the directorates concerned should work on the respective mandates to achieve maximum success.</w:t>
      </w:r>
    </w:p>
    <w:p w:rsidR="00B36B24" w:rsidRPr="00545535" w:rsidRDefault="00B36B24" w:rsidP="00545535">
      <w:pPr>
        <w:pStyle w:val="NoSpacing"/>
        <w:spacing w:line="240" w:lineRule="auto"/>
        <w:ind w:hanging="600"/>
        <w:jc w:val="left"/>
        <w:rPr>
          <w:rFonts w:ascii="Arial" w:hAnsi="Arial" w:cs="Arial"/>
          <w:sz w:val="20"/>
          <w:szCs w:val="20"/>
          <w:lang w:val="en-ZA"/>
        </w:rPr>
      </w:pPr>
    </w:p>
    <w:p w:rsidR="00CF1CB9" w:rsidRPr="00545535" w:rsidRDefault="00CF1CB9" w:rsidP="00545535">
      <w:pPr>
        <w:pStyle w:val="NoSpacing"/>
        <w:numPr>
          <w:ilvl w:val="1"/>
          <w:numId w:val="28"/>
        </w:numPr>
        <w:spacing w:line="240" w:lineRule="auto"/>
        <w:ind w:hanging="600"/>
        <w:jc w:val="left"/>
        <w:rPr>
          <w:rFonts w:ascii="Arial" w:eastAsia="Times New Roman" w:hAnsi="Arial" w:cs="Arial"/>
          <w:sz w:val="20"/>
          <w:szCs w:val="20"/>
        </w:rPr>
      </w:pPr>
      <w:r w:rsidRPr="00545535">
        <w:rPr>
          <w:rFonts w:ascii="Arial" w:eastAsia="Times New Roman" w:hAnsi="Arial" w:cs="Arial"/>
          <w:sz w:val="20"/>
          <w:szCs w:val="20"/>
        </w:rPr>
        <w:t xml:space="preserve">Given the importance of industrialization to develop and grow the economy, the Committee urged the DTIC, in conjunction with relevant government departments and entities, to continue to address structural reforms needed to drive both foreign and local investment. </w:t>
      </w:r>
    </w:p>
    <w:p w:rsidR="00CF1CB9" w:rsidRPr="00545535" w:rsidRDefault="00CF1CB9" w:rsidP="00545535">
      <w:pPr>
        <w:pStyle w:val="NoSpacing"/>
        <w:spacing w:line="240" w:lineRule="auto"/>
        <w:ind w:left="240" w:hanging="600"/>
        <w:jc w:val="left"/>
        <w:rPr>
          <w:rFonts w:ascii="Arial" w:eastAsia="Times New Roman" w:hAnsi="Arial" w:cs="Arial"/>
          <w:sz w:val="20"/>
          <w:szCs w:val="20"/>
        </w:rPr>
      </w:pPr>
    </w:p>
    <w:p w:rsidR="00B36B24" w:rsidRPr="00545535" w:rsidRDefault="00CF1CB9" w:rsidP="00545535">
      <w:pPr>
        <w:pStyle w:val="ListParagraph"/>
        <w:numPr>
          <w:ilvl w:val="1"/>
          <w:numId w:val="28"/>
        </w:numPr>
        <w:spacing w:line="240" w:lineRule="auto"/>
        <w:ind w:hanging="600"/>
        <w:jc w:val="left"/>
        <w:rPr>
          <w:rFonts w:ascii="Arial" w:hAnsi="Arial" w:cs="Arial"/>
          <w:color w:val="auto"/>
          <w:sz w:val="20"/>
          <w:szCs w:val="20"/>
        </w:rPr>
      </w:pPr>
      <w:r w:rsidRPr="00545535">
        <w:rPr>
          <w:rFonts w:ascii="Arial" w:hAnsi="Arial" w:cs="Arial"/>
          <w:color w:val="auto"/>
          <w:sz w:val="20"/>
          <w:szCs w:val="20"/>
        </w:rPr>
        <w:t>The Committee was of the view that S</w:t>
      </w:r>
      <w:r w:rsidR="00BF7556" w:rsidRPr="00545535">
        <w:rPr>
          <w:rFonts w:ascii="Arial" w:hAnsi="Arial" w:cs="Arial"/>
          <w:color w:val="auto"/>
          <w:sz w:val="20"/>
          <w:szCs w:val="20"/>
        </w:rPr>
        <w:t xml:space="preserve">pecial </w:t>
      </w:r>
      <w:r w:rsidRPr="00545535">
        <w:rPr>
          <w:rFonts w:ascii="Arial" w:hAnsi="Arial" w:cs="Arial"/>
          <w:color w:val="auto"/>
          <w:sz w:val="20"/>
          <w:szCs w:val="20"/>
        </w:rPr>
        <w:t>E</w:t>
      </w:r>
      <w:r w:rsidR="00BF7556" w:rsidRPr="00545535">
        <w:rPr>
          <w:rFonts w:ascii="Arial" w:hAnsi="Arial" w:cs="Arial"/>
          <w:color w:val="auto"/>
          <w:sz w:val="20"/>
          <w:szCs w:val="20"/>
        </w:rPr>
        <w:t xml:space="preserve">conomic </w:t>
      </w:r>
      <w:r w:rsidRPr="00545535">
        <w:rPr>
          <w:rFonts w:ascii="Arial" w:hAnsi="Arial" w:cs="Arial"/>
          <w:color w:val="auto"/>
          <w:sz w:val="20"/>
          <w:szCs w:val="20"/>
        </w:rPr>
        <w:t>Z</w:t>
      </w:r>
      <w:r w:rsidR="00BF7556" w:rsidRPr="00545535">
        <w:rPr>
          <w:rFonts w:ascii="Arial" w:hAnsi="Arial" w:cs="Arial"/>
          <w:color w:val="auto"/>
          <w:sz w:val="20"/>
          <w:szCs w:val="20"/>
        </w:rPr>
        <w:t>one</w:t>
      </w:r>
      <w:r w:rsidRPr="00545535">
        <w:rPr>
          <w:rFonts w:ascii="Arial" w:hAnsi="Arial" w:cs="Arial"/>
          <w:color w:val="auto"/>
          <w:sz w:val="20"/>
          <w:szCs w:val="20"/>
        </w:rPr>
        <w:t>s are important to stimulate the economy by creating economies of scale and jobs, particularly for the surrounding areas/communities. Therefore, the investment in infrastructure and top structures supporting these S</w:t>
      </w:r>
      <w:r w:rsidR="00BF7556" w:rsidRPr="00545535">
        <w:rPr>
          <w:rFonts w:ascii="Arial" w:hAnsi="Arial" w:cs="Arial"/>
          <w:color w:val="auto"/>
          <w:sz w:val="20"/>
          <w:szCs w:val="20"/>
        </w:rPr>
        <w:t xml:space="preserve">pecial </w:t>
      </w:r>
      <w:r w:rsidRPr="00545535">
        <w:rPr>
          <w:rFonts w:ascii="Arial" w:hAnsi="Arial" w:cs="Arial"/>
          <w:color w:val="auto"/>
          <w:sz w:val="20"/>
          <w:szCs w:val="20"/>
        </w:rPr>
        <w:t>E</w:t>
      </w:r>
      <w:r w:rsidR="00BF7556" w:rsidRPr="00545535">
        <w:rPr>
          <w:rFonts w:ascii="Arial" w:hAnsi="Arial" w:cs="Arial"/>
          <w:color w:val="auto"/>
          <w:sz w:val="20"/>
          <w:szCs w:val="20"/>
        </w:rPr>
        <w:t xml:space="preserve">conomic </w:t>
      </w:r>
      <w:r w:rsidRPr="00545535">
        <w:rPr>
          <w:rFonts w:ascii="Arial" w:hAnsi="Arial" w:cs="Arial"/>
          <w:color w:val="auto"/>
          <w:sz w:val="20"/>
          <w:szCs w:val="20"/>
        </w:rPr>
        <w:t>Z</w:t>
      </w:r>
      <w:r w:rsidR="00BF7556" w:rsidRPr="00545535">
        <w:rPr>
          <w:rFonts w:ascii="Arial" w:hAnsi="Arial" w:cs="Arial"/>
          <w:color w:val="auto"/>
          <w:sz w:val="20"/>
          <w:szCs w:val="20"/>
        </w:rPr>
        <w:t>one</w:t>
      </w:r>
      <w:r w:rsidRPr="00545535">
        <w:rPr>
          <w:rFonts w:ascii="Arial" w:hAnsi="Arial" w:cs="Arial"/>
          <w:color w:val="auto"/>
          <w:sz w:val="20"/>
          <w:szCs w:val="20"/>
        </w:rPr>
        <w:t>s is imperative. Much support and focus should be targeted at S</w:t>
      </w:r>
      <w:r w:rsidR="00BF7556" w:rsidRPr="00545535">
        <w:rPr>
          <w:rFonts w:ascii="Arial" w:hAnsi="Arial" w:cs="Arial"/>
          <w:color w:val="auto"/>
          <w:sz w:val="20"/>
          <w:szCs w:val="20"/>
        </w:rPr>
        <w:t xml:space="preserve">pecial </w:t>
      </w:r>
      <w:r w:rsidRPr="00545535">
        <w:rPr>
          <w:rFonts w:ascii="Arial" w:hAnsi="Arial" w:cs="Arial"/>
          <w:color w:val="auto"/>
          <w:sz w:val="20"/>
          <w:szCs w:val="20"/>
        </w:rPr>
        <w:t>E</w:t>
      </w:r>
      <w:r w:rsidR="00BF7556" w:rsidRPr="00545535">
        <w:rPr>
          <w:rFonts w:ascii="Arial" w:hAnsi="Arial" w:cs="Arial"/>
          <w:color w:val="auto"/>
          <w:sz w:val="20"/>
          <w:szCs w:val="20"/>
        </w:rPr>
        <w:t xml:space="preserve">conomic </w:t>
      </w:r>
      <w:r w:rsidRPr="00545535">
        <w:rPr>
          <w:rFonts w:ascii="Arial" w:hAnsi="Arial" w:cs="Arial"/>
          <w:color w:val="auto"/>
          <w:sz w:val="20"/>
          <w:szCs w:val="20"/>
        </w:rPr>
        <w:t>Z</w:t>
      </w:r>
      <w:r w:rsidR="00BF7556" w:rsidRPr="00545535">
        <w:rPr>
          <w:rFonts w:ascii="Arial" w:hAnsi="Arial" w:cs="Arial"/>
          <w:color w:val="auto"/>
          <w:sz w:val="20"/>
          <w:szCs w:val="20"/>
        </w:rPr>
        <w:t>one</w:t>
      </w:r>
      <w:r w:rsidRPr="00545535">
        <w:rPr>
          <w:rFonts w:ascii="Arial" w:hAnsi="Arial" w:cs="Arial"/>
          <w:color w:val="auto"/>
          <w:sz w:val="20"/>
          <w:szCs w:val="20"/>
        </w:rPr>
        <w:t>s in rural and under-developed provinces to assist them to attract investment through the implementation of the District Development Model. The Committee emphasised that a seamless, inter-governmental approach across the three spheres of government was critical to ensure the success of the S</w:t>
      </w:r>
      <w:r w:rsidR="00BF7556" w:rsidRPr="00545535">
        <w:rPr>
          <w:rFonts w:ascii="Arial" w:hAnsi="Arial" w:cs="Arial"/>
          <w:color w:val="auto"/>
          <w:sz w:val="20"/>
          <w:szCs w:val="20"/>
        </w:rPr>
        <w:t xml:space="preserve">pecial </w:t>
      </w:r>
      <w:r w:rsidRPr="00545535">
        <w:rPr>
          <w:rFonts w:ascii="Arial" w:hAnsi="Arial" w:cs="Arial"/>
          <w:color w:val="auto"/>
          <w:sz w:val="20"/>
          <w:szCs w:val="20"/>
        </w:rPr>
        <w:t>E</w:t>
      </w:r>
      <w:r w:rsidR="00BF7556" w:rsidRPr="00545535">
        <w:rPr>
          <w:rFonts w:ascii="Arial" w:hAnsi="Arial" w:cs="Arial"/>
          <w:color w:val="auto"/>
          <w:sz w:val="20"/>
          <w:szCs w:val="20"/>
        </w:rPr>
        <w:t xml:space="preserve">conomic </w:t>
      </w:r>
      <w:r w:rsidRPr="00545535">
        <w:rPr>
          <w:rFonts w:ascii="Arial" w:hAnsi="Arial" w:cs="Arial"/>
          <w:color w:val="auto"/>
          <w:sz w:val="20"/>
          <w:szCs w:val="20"/>
        </w:rPr>
        <w:t>Z</w:t>
      </w:r>
      <w:r w:rsidR="00BF7556" w:rsidRPr="00545535">
        <w:rPr>
          <w:rFonts w:ascii="Arial" w:hAnsi="Arial" w:cs="Arial"/>
          <w:color w:val="auto"/>
          <w:sz w:val="20"/>
          <w:szCs w:val="20"/>
        </w:rPr>
        <w:t>ones</w:t>
      </w:r>
      <w:r w:rsidRPr="00545535">
        <w:rPr>
          <w:rFonts w:ascii="Arial" w:hAnsi="Arial" w:cs="Arial"/>
          <w:color w:val="auto"/>
          <w:sz w:val="20"/>
          <w:szCs w:val="20"/>
        </w:rPr>
        <w:t xml:space="preserve"> Programme.</w:t>
      </w:r>
    </w:p>
    <w:p w:rsidR="00B36B24" w:rsidRPr="00545535" w:rsidRDefault="00B36B24" w:rsidP="00545535">
      <w:pPr>
        <w:pStyle w:val="NoSpacing"/>
        <w:spacing w:line="240" w:lineRule="auto"/>
        <w:ind w:hanging="600"/>
        <w:jc w:val="left"/>
        <w:rPr>
          <w:rFonts w:ascii="Arial" w:hAnsi="Arial" w:cs="Arial"/>
          <w:sz w:val="20"/>
          <w:szCs w:val="20"/>
          <w:highlight w:val="yellow"/>
          <w:lang w:val="en-ZA"/>
        </w:rPr>
      </w:pPr>
    </w:p>
    <w:p w:rsidR="00B36B24" w:rsidRPr="00545535" w:rsidRDefault="00CF1CB9" w:rsidP="00545535">
      <w:pPr>
        <w:pStyle w:val="ListParagraph"/>
        <w:numPr>
          <w:ilvl w:val="1"/>
          <w:numId w:val="28"/>
        </w:numPr>
        <w:spacing w:line="240" w:lineRule="auto"/>
        <w:ind w:hanging="600"/>
        <w:jc w:val="left"/>
        <w:rPr>
          <w:rFonts w:ascii="Arial" w:hAnsi="Arial" w:cs="Arial"/>
          <w:color w:val="auto"/>
          <w:sz w:val="20"/>
          <w:szCs w:val="20"/>
        </w:rPr>
      </w:pPr>
      <w:r w:rsidRPr="00545535">
        <w:rPr>
          <w:rFonts w:ascii="Arial" w:hAnsi="Arial" w:cs="Arial"/>
          <w:color w:val="auto"/>
          <w:sz w:val="20"/>
          <w:szCs w:val="20"/>
        </w:rPr>
        <w:t>The Committee urged the DTIC to accelerate the revitalisation of Industrial Parks and to ensure that this infrastructure investment is secured to ensure that they can facilitate entrepreneurial and employment opportunities in rural areas. In the view of the Committee, this should significantly contribute to industrialisation, beneficiation and localisation imperatives.</w:t>
      </w:r>
    </w:p>
    <w:p w:rsidR="00B36B24" w:rsidRPr="00545535" w:rsidRDefault="00B36B24" w:rsidP="00545535">
      <w:pPr>
        <w:ind w:hanging="600"/>
        <w:rPr>
          <w:rFonts w:ascii="Arial" w:eastAsia="Times New Roman" w:hAnsi="Arial" w:cs="Arial"/>
          <w:sz w:val="20"/>
          <w:szCs w:val="20"/>
          <w:lang w:val="en-ZA"/>
        </w:rPr>
      </w:pPr>
    </w:p>
    <w:p w:rsidR="00CF1CB9" w:rsidRPr="00545535" w:rsidRDefault="00CF1CB9" w:rsidP="00545535">
      <w:pPr>
        <w:pStyle w:val="ListParagraph"/>
        <w:numPr>
          <w:ilvl w:val="1"/>
          <w:numId w:val="28"/>
        </w:numPr>
        <w:spacing w:line="240" w:lineRule="auto"/>
        <w:ind w:hanging="600"/>
        <w:jc w:val="left"/>
        <w:rPr>
          <w:rFonts w:ascii="Arial" w:hAnsi="Arial" w:cs="Arial"/>
          <w:color w:val="auto"/>
          <w:sz w:val="20"/>
          <w:szCs w:val="20"/>
        </w:rPr>
      </w:pPr>
      <w:r w:rsidRPr="00545535">
        <w:rPr>
          <w:rFonts w:ascii="Arial" w:hAnsi="Arial" w:cs="Arial"/>
          <w:color w:val="auto"/>
          <w:sz w:val="20"/>
          <w:szCs w:val="20"/>
        </w:rPr>
        <w:t xml:space="preserve">Although the Committee welcomed that several Master Plans had been signed and agreed to, it was of the view that it would be equally important to focus on the implementation thereof and </w:t>
      </w:r>
      <w:r w:rsidR="00231115" w:rsidRPr="00545535">
        <w:rPr>
          <w:rFonts w:ascii="Arial" w:hAnsi="Arial" w:cs="Arial"/>
          <w:color w:val="auto"/>
          <w:sz w:val="20"/>
          <w:szCs w:val="20"/>
        </w:rPr>
        <w:t xml:space="preserve">to </w:t>
      </w:r>
      <w:r w:rsidRPr="00545535">
        <w:rPr>
          <w:rFonts w:ascii="Arial" w:hAnsi="Arial" w:cs="Arial"/>
          <w:color w:val="auto"/>
          <w:sz w:val="20"/>
          <w:szCs w:val="20"/>
        </w:rPr>
        <w:t>raise awareness of their relevance in growing the economy and creating jobs.</w:t>
      </w:r>
    </w:p>
    <w:p w:rsidR="00CF1CB9" w:rsidRPr="00545535" w:rsidRDefault="00CF1CB9" w:rsidP="00545535">
      <w:pPr>
        <w:ind w:left="720" w:hanging="600"/>
        <w:rPr>
          <w:rFonts w:ascii="Arial" w:hAnsi="Arial" w:cs="Arial"/>
          <w:sz w:val="20"/>
          <w:szCs w:val="20"/>
        </w:rPr>
      </w:pPr>
    </w:p>
    <w:p w:rsidR="00B36B24" w:rsidRPr="00545535" w:rsidRDefault="00CF1CB9" w:rsidP="00545535">
      <w:pPr>
        <w:pStyle w:val="ListParagraph"/>
        <w:numPr>
          <w:ilvl w:val="1"/>
          <w:numId w:val="28"/>
        </w:numPr>
        <w:spacing w:line="240" w:lineRule="auto"/>
        <w:ind w:hanging="600"/>
        <w:jc w:val="left"/>
        <w:rPr>
          <w:rFonts w:ascii="Arial" w:hAnsi="Arial" w:cs="Arial"/>
          <w:color w:val="auto"/>
          <w:sz w:val="20"/>
          <w:szCs w:val="20"/>
        </w:rPr>
      </w:pPr>
      <w:r w:rsidRPr="00545535">
        <w:rPr>
          <w:rFonts w:ascii="Arial" w:hAnsi="Arial" w:cs="Arial"/>
          <w:color w:val="auto"/>
          <w:sz w:val="20"/>
          <w:szCs w:val="20"/>
        </w:rPr>
        <w:t>The Committee noted with concern the continued underspending in the Industrial Financing programme. It encouraged the DTIC to find mechanisms to reduce the time lag between the approval and disbursement of funds, such as providing non-financial support to beneficiaries to meet their disbursement requirements.</w:t>
      </w:r>
    </w:p>
    <w:p w:rsidR="00B36B24" w:rsidRPr="00545535" w:rsidRDefault="00B36B24" w:rsidP="00545535">
      <w:pPr>
        <w:pStyle w:val="NoSpacing"/>
        <w:spacing w:line="240" w:lineRule="auto"/>
        <w:ind w:hanging="600"/>
        <w:jc w:val="left"/>
        <w:rPr>
          <w:rFonts w:ascii="Arial" w:hAnsi="Arial" w:cs="Arial"/>
          <w:sz w:val="20"/>
          <w:szCs w:val="20"/>
          <w:lang w:val="en-ZA"/>
        </w:rPr>
      </w:pPr>
    </w:p>
    <w:p w:rsidR="00CF1CB9" w:rsidRPr="00545535" w:rsidRDefault="00CF1CB9" w:rsidP="00545535">
      <w:pPr>
        <w:pStyle w:val="NoSpacing"/>
        <w:numPr>
          <w:ilvl w:val="1"/>
          <w:numId w:val="28"/>
        </w:numPr>
        <w:spacing w:line="240" w:lineRule="auto"/>
        <w:ind w:hanging="600"/>
        <w:jc w:val="left"/>
        <w:rPr>
          <w:rFonts w:ascii="Arial" w:eastAsia="Times New Roman" w:hAnsi="Arial" w:cs="Arial"/>
          <w:sz w:val="20"/>
          <w:szCs w:val="20"/>
        </w:rPr>
      </w:pPr>
      <w:r w:rsidRPr="00545535">
        <w:rPr>
          <w:rFonts w:ascii="Arial" w:eastAsia="Times New Roman" w:hAnsi="Arial" w:cs="Arial"/>
          <w:sz w:val="20"/>
          <w:szCs w:val="20"/>
        </w:rPr>
        <w:t xml:space="preserve">The Committee is concerned about the </w:t>
      </w:r>
      <w:r w:rsidRPr="00545535">
        <w:rPr>
          <w:rFonts w:ascii="Arial" w:hAnsi="Arial" w:cs="Arial"/>
          <w:sz w:val="20"/>
          <w:szCs w:val="20"/>
        </w:rPr>
        <w:t>l</w:t>
      </w:r>
      <w:r w:rsidRPr="00545535">
        <w:rPr>
          <w:rFonts w:ascii="Arial" w:eastAsia="Times New Roman" w:hAnsi="Arial" w:cs="Arial"/>
          <w:sz w:val="20"/>
          <w:szCs w:val="20"/>
        </w:rPr>
        <w:t>ack of uptake of the Film and T</w:t>
      </w:r>
      <w:r w:rsidR="00BF7556" w:rsidRPr="00545535">
        <w:rPr>
          <w:rFonts w:ascii="Arial" w:eastAsia="Times New Roman" w:hAnsi="Arial" w:cs="Arial"/>
          <w:sz w:val="20"/>
          <w:szCs w:val="20"/>
        </w:rPr>
        <w:t>elevision</w:t>
      </w:r>
      <w:r w:rsidRPr="00545535">
        <w:rPr>
          <w:rFonts w:ascii="Arial" w:eastAsia="Times New Roman" w:hAnsi="Arial" w:cs="Arial"/>
          <w:sz w:val="20"/>
          <w:szCs w:val="20"/>
        </w:rPr>
        <w:t xml:space="preserve"> Incentive Programme in terms of the call and increased support for local content. It has observed that there is a need for funding for local content in the sector. </w:t>
      </w:r>
      <w:r w:rsidR="00231115" w:rsidRPr="00545535">
        <w:rPr>
          <w:rFonts w:ascii="Arial" w:eastAsia="Times New Roman" w:hAnsi="Arial" w:cs="Arial"/>
          <w:sz w:val="20"/>
          <w:szCs w:val="20"/>
        </w:rPr>
        <w:t>It further</w:t>
      </w:r>
      <w:r w:rsidRPr="00545535">
        <w:rPr>
          <w:rFonts w:ascii="Arial" w:eastAsia="Times New Roman" w:hAnsi="Arial" w:cs="Arial"/>
          <w:sz w:val="20"/>
          <w:szCs w:val="20"/>
        </w:rPr>
        <w:t xml:space="preserve"> noted that it is important to raise awareness among both </w:t>
      </w:r>
      <w:r w:rsidR="00231115" w:rsidRPr="00545535">
        <w:rPr>
          <w:rFonts w:ascii="Arial" w:eastAsia="Times New Roman" w:hAnsi="Arial" w:cs="Arial"/>
          <w:sz w:val="20"/>
          <w:szCs w:val="20"/>
        </w:rPr>
        <w:t xml:space="preserve">local </w:t>
      </w:r>
      <w:r w:rsidRPr="00545535">
        <w:rPr>
          <w:rFonts w:ascii="Arial" w:eastAsia="Times New Roman" w:hAnsi="Arial" w:cs="Arial"/>
          <w:sz w:val="20"/>
          <w:szCs w:val="20"/>
        </w:rPr>
        <w:t>screenwriters and producers that funding for local content, in particular South African stories, is available and encouraged the DTIC to continue with its efforts in this regard.</w:t>
      </w:r>
    </w:p>
    <w:p w:rsidR="00CF1CB9" w:rsidRPr="00545535" w:rsidRDefault="00CF1CB9" w:rsidP="00545535">
      <w:pPr>
        <w:ind w:left="720" w:hanging="600"/>
        <w:rPr>
          <w:rFonts w:ascii="Arial" w:eastAsia="Times New Roman" w:hAnsi="Arial" w:cs="Arial"/>
          <w:sz w:val="20"/>
          <w:szCs w:val="20"/>
        </w:rPr>
      </w:pPr>
    </w:p>
    <w:p w:rsidR="00B36B24" w:rsidRPr="00545535" w:rsidRDefault="00CF1CB9" w:rsidP="00545535">
      <w:pPr>
        <w:pStyle w:val="ListParagraph"/>
        <w:numPr>
          <w:ilvl w:val="1"/>
          <w:numId w:val="28"/>
        </w:numPr>
        <w:spacing w:line="240" w:lineRule="auto"/>
        <w:ind w:hanging="600"/>
        <w:jc w:val="left"/>
        <w:rPr>
          <w:rFonts w:ascii="Arial" w:hAnsi="Arial" w:cs="Arial"/>
          <w:color w:val="auto"/>
          <w:sz w:val="20"/>
          <w:szCs w:val="20"/>
        </w:rPr>
      </w:pPr>
      <w:r w:rsidRPr="00545535">
        <w:rPr>
          <w:rFonts w:ascii="Arial" w:hAnsi="Arial" w:cs="Arial"/>
          <w:color w:val="auto"/>
          <w:sz w:val="20"/>
          <w:szCs w:val="20"/>
        </w:rPr>
        <w:t>The Committee was concerned about the financial sustainability of black industrialists and implored the DTIC to ensure that non-financial support was provided to ensure the longevity of these companies. Similarly, as mentioned above, the Black Industrialist Scheme is notably not attracting a lot of rural-based black industrialist</w:t>
      </w:r>
      <w:r w:rsidR="00231115" w:rsidRPr="00545535">
        <w:rPr>
          <w:rFonts w:ascii="Arial" w:hAnsi="Arial" w:cs="Arial"/>
          <w:color w:val="auto"/>
          <w:sz w:val="20"/>
          <w:szCs w:val="20"/>
        </w:rPr>
        <w:t>s</w:t>
      </w:r>
      <w:r w:rsidRPr="00545535">
        <w:rPr>
          <w:rFonts w:ascii="Arial" w:hAnsi="Arial" w:cs="Arial"/>
          <w:color w:val="auto"/>
          <w:sz w:val="20"/>
          <w:szCs w:val="20"/>
        </w:rPr>
        <w:t xml:space="preserve"> and there is a need to mitigate such a gap.</w:t>
      </w:r>
    </w:p>
    <w:p w:rsidR="00B36B24" w:rsidRPr="00545535" w:rsidRDefault="00B36B24" w:rsidP="00545535">
      <w:pPr>
        <w:pStyle w:val="NoSpacing"/>
        <w:spacing w:line="240" w:lineRule="auto"/>
        <w:ind w:hanging="600"/>
        <w:jc w:val="left"/>
        <w:rPr>
          <w:rFonts w:ascii="Arial" w:hAnsi="Arial" w:cs="Arial"/>
          <w:sz w:val="20"/>
          <w:szCs w:val="20"/>
          <w:lang w:val="en-ZA"/>
        </w:rPr>
      </w:pPr>
    </w:p>
    <w:p w:rsidR="00B36B24" w:rsidRPr="00545535" w:rsidRDefault="00CF1CB9" w:rsidP="00545535">
      <w:pPr>
        <w:pStyle w:val="ListParagraph"/>
        <w:numPr>
          <w:ilvl w:val="1"/>
          <w:numId w:val="28"/>
        </w:numPr>
        <w:spacing w:line="240" w:lineRule="auto"/>
        <w:ind w:hanging="600"/>
        <w:jc w:val="left"/>
        <w:rPr>
          <w:rFonts w:ascii="Arial" w:hAnsi="Arial" w:cs="Arial"/>
          <w:color w:val="auto"/>
          <w:sz w:val="20"/>
          <w:szCs w:val="20"/>
        </w:rPr>
      </w:pPr>
      <w:r w:rsidRPr="00545535">
        <w:rPr>
          <w:rFonts w:ascii="Arial" w:hAnsi="Arial" w:cs="Arial"/>
          <w:color w:val="auto"/>
          <w:sz w:val="20"/>
          <w:szCs w:val="20"/>
        </w:rPr>
        <w:t xml:space="preserve">The Committee noted the extensive work done by the DTIC and </w:t>
      </w:r>
      <w:r w:rsidR="00231115" w:rsidRPr="00545535">
        <w:rPr>
          <w:rFonts w:ascii="Arial" w:hAnsi="Arial" w:cs="Arial"/>
          <w:color w:val="auto"/>
          <w:sz w:val="20"/>
          <w:szCs w:val="20"/>
        </w:rPr>
        <w:t>the</w:t>
      </w:r>
      <w:r w:rsidRPr="00545535">
        <w:rPr>
          <w:rFonts w:ascii="Arial" w:hAnsi="Arial" w:cs="Arial"/>
          <w:color w:val="auto"/>
          <w:sz w:val="20"/>
          <w:szCs w:val="20"/>
        </w:rPr>
        <w:t xml:space="preserve"> S</w:t>
      </w:r>
      <w:r w:rsidR="00BF7556" w:rsidRPr="00545535">
        <w:rPr>
          <w:rFonts w:ascii="Arial" w:hAnsi="Arial" w:cs="Arial"/>
          <w:color w:val="auto"/>
          <w:sz w:val="20"/>
          <w:szCs w:val="20"/>
        </w:rPr>
        <w:t xml:space="preserve">outhern </w:t>
      </w:r>
      <w:r w:rsidRPr="00545535">
        <w:rPr>
          <w:rFonts w:ascii="Arial" w:hAnsi="Arial" w:cs="Arial"/>
          <w:color w:val="auto"/>
          <w:sz w:val="20"/>
          <w:szCs w:val="20"/>
        </w:rPr>
        <w:t>A</w:t>
      </w:r>
      <w:r w:rsidR="00BF7556" w:rsidRPr="00545535">
        <w:rPr>
          <w:rFonts w:ascii="Arial" w:hAnsi="Arial" w:cs="Arial"/>
          <w:color w:val="auto"/>
          <w:sz w:val="20"/>
          <w:szCs w:val="20"/>
        </w:rPr>
        <w:t xml:space="preserve">frican </w:t>
      </w:r>
      <w:r w:rsidRPr="00545535">
        <w:rPr>
          <w:rFonts w:ascii="Arial" w:hAnsi="Arial" w:cs="Arial"/>
          <w:color w:val="auto"/>
          <w:sz w:val="20"/>
          <w:szCs w:val="20"/>
        </w:rPr>
        <w:t>C</w:t>
      </w:r>
      <w:r w:rsidR="00BF7556" w:rsidRPr="00545535">
        <w:rPr>
          <w:rFonts w:ascii="Arial" w:hAnsi="Arial" w:cs="Arial"/>
          <w:color w:val="auto"/>
          <w:sz w:val="20"/>
          <w:szCs w:val="20"/>
        </w:rPr>
        <w:t xml:space="preserve">ustoms </w:t>
      </w:r>
      <w:r w:rsidRPr="00545535">
        <w:rPr>
          <w:rFonts w:ascii="Arial" w:hAnsi="Arial" w:cs="Arial"/>
          <w:color w:val="auto"/>
          <w:sz w:val="20"/>
          <w:szCs w:val="20"/>
        </w:rPr>
        <w:t>U</w:t>
      </w:r>
      <w:r w:rsidR="00BF7556" w:rsidRPr="00545535">
        <w:rPr>
          <w:rFonts w:ascii="Arial" w:hAnsi="Arial" w:cs="Arial"/>
          <w:color w:val="auto"/>
          <w:sz w:val="20"/>
          <w:szCs w:val="20"/>
        </w:rPr>
        <w:t>nion</w:t>
      </w:r>
      <w:r w:rsidRPr="00545535">
        <w:rPr>
          <w:rFonts w:ascii="Arial" w:hAnsi="Arial" w:cs="Arial"/>
          <w:color w:val="auto"/>
          <w:sz w:val="20"/>
          <w:szCs w:val="20"/>
        </w:rPr>
        <w:t xml:space="preserve"> </w:t>
      </w:r>
      <w:r w:rsidR="00231115" w:rsidRPr="00545535">
        <w:rPr>
          <w:rFonts w:ascii="Arial" w:hAnsi="Arial" w:cs="Arial"/>
          <w:color w:val="auto"/>
          <w:sz w:val="20"/>
          <w:szCs w:val="20"/>
        </w:rPr>
        <w:t xml:space="preserve">Member States’ counterparts </w:t>
      </w:r>
      <w:r w:rsidRPr="00545535">
        <w:rPr>
          <w:rFonts w:ascii="Arial" w:hAnsi="Arial" w:cs="Arial"/>
          <w:color w:val="auto"/>
          <w:sz w:val="20"/>
          <w:szCs w:val="20"/>
        </w:rPr>
        <w:t>in preparing for the finalisation and implementation of the Af</w:t>
      </w:r>
      <w:r w:rsidR="00BF7556" w:rsidRPr="00545535">
        <w:rPr>
          <w:rFonts w:ascii="Arial" w:hAnsi="Arial" w:cs="Arial"/>
          <w:color w:val="auto"/>
          <w:sz w:val="20"/>
          <w:szCs w:val="20"/>
        </w:rPr>
        <w:t xml:space="preserve">rican </w:t>
      </w:r>
      <w:r w:rsidRPr="00545535">
        <w:rPr>
          <w:rFonts w:ascii="Arial" w:hAnsi="Arial" w:cs="Arial"/>
          <w:color w:val="auto"/>
          <w:sz w:val="20"/>
          <w:szCs w:val="20"/>
        </w:rPr>
        <w:t>C</w:t>
      </w:r>
      <w:r w:rsidR="00BF7556" w:rsidRPr="00545535">
        <w:rPr>
          <w:rFonts w:ascii="Arial" w:hAnsi="Arial" w:cs="Arial"/>
          <w:color w:val="auto"/>
          <w:sz w:val="20"/>
          <w:szCs w:val="20"/>
        </w:rPr>
        <w:t xml:space="preserve">ontinental </w:t>
      </w:r>
      <w:r w:rsidRPr="00545535">
        <w:rPr>
          <w:rFonts w:ascii="Arial" w:hAnsi="Arial" w:cs="Arial"/>
          <w:color w:val="auto"/>
          <w:sz w:val="20"/>
          <w:szCs w:val="20"/>
        </w:rPr>
        <w:t>F</w:t>
      </w:r>
      <w:r w:rsidR="00BF7556" w:rsidRPr="00545535">
        <w:rPr>
          <w:rFonts w:ascii="Arial" w:hAnsi="Arial" w:cs="Arial"/>
          <w:color w:val="auto"/>
          <w:sz w:val="20"/>
          <w:szCs w:val="20"/>
        </w:rPr>
        <w:t xml:space="preserve">ree </w:t>
      </w:r>
      <w:r w:rsidRPr="00545535">
        <w:rPr>
          <w:rFonts w:ascii="Arial" w:hAnsi="Arial" w:cs="Arial"/>
          <w:color w:val="auto"/>
          <w:sz w:val="20"/>
          <w:szCs w:val="20"/>
        </w:rPr>
        <w:t>T</w:t>
      </w:r>
      <w:r w:rsidR="00BF7556" w:rsidRPr="00545535">
        <w:rPr>
          <w:rFonts w:ascii="Arial" w:hAnsi="Arial" w:cs="Arial"/>
          <w:color w:val="auto"/>
          <w:sz w:val="20"/>
          <w:szCs w:val="20"/>
        </w:rPr>
        <w:t xml:space="preserve">rade </w:t>
      </w:r>
      <w:r w:rsidRPr="00545535">
        <w:rPr>
          <w:rFonts w:ascii="Arial" w:hAnsi="Arial" w:cs="Arial"/>
          <w:color w:val="auto"/>
          <w:sz w:val="20"/>
          <w:szCs w:val="20"/>
        </w:rPr>
        <w:t>A</w:t>
      </w:r>
      <w:r w:rsidR="00BF7556" w:rsidRPr="00545535">
        <w:rPr>
          <w:rFonts w:ascii="Arial" w:hAnsi="Arial" w:cs="Arial"/>
          <w:color w:val="auto"/>
          <w:sz w:val="20"/>
          <w:szCs w:val="20"/>
        </w:rPr>
        <w:t>rea</w:t>
      </w:r>
      <w:r w:rsidRPr="00545535">
        <w:rPr>
          <w:rFonts w:ascii="Arial" w:hAnsi="Arial" w:cs="Arial"/>
          <w:color w:val="auto"/>
          <w:sz w:val="20"/>
          <w:szCs w:val="20"/>
        </w:rPr>
        <w:t>. It further noted the need for effective implementation of the industriali</w:t>
      </w:r>
      <w:r w:rsidR="00231115" w:rsidRPr="00545535">
        <w:rPr>
          <w:rFonts w:ascii="Arial" w:hAnsi="Arial" w:cs="Arial"/>
          <w:color w:val="auto"/>
          <w:sz w:val="20"/>
          <w:szCs w:val="20"/>
        </w:rPr>
        <w:t>s</w:t>
      </w:r>
      <w:r w:rsidRPr="00545535">
        <w:rPr>
          <w:rFonts w:ascii="Arial" w:hAnsi="Arial" w:cs="Arial"/>
          <w:color w:val="auto"/>
          <w:sz w:val="20"/>
          <w:szCs w:val="20"/>
        </w:rPr>
        <w:t>ation and regional economic integration programme</w:t>
      </w:r>
      <w:r w:rsidR="00231115" w:rsidRPr="00545535">
        <w:rPr>
          <w:rFonts w:ascii="Arial" w:hAnsi="Arial" w:cs="Arial"/>
          <w:color w:val="auto"/>
          <w:sz w:val="20"/>
          <w:szCs w:val="20"/>
        </w:rPr>
        <w:t>s</w:t>
      </w:r>
      <w:r w:rsidRPr="00545535">
        <w:rPr>
          <w:rFonts w:ascii="Arial" w:hAnsi="Arial" w:cs="Arial"/>
          <w:color w:val="auto"/>
          <w:sz w:val="20"/>
          <w:szCs w:val="20"/>
        </w:rPr>
        <w:t>, which will directly benefit intr</w:t>
      </w:r>
      <w:r w:rsidR="00231115" w:rsidRPr="00545535">
        <w:rPr>
          <w:rFonts w:ascii="Arial" w:hAnsi="Arial" w:cs="Arial"/>
          <w:color w:val="auto"/>
          <w:sz w:val="20"/>
          <w:szCs w:val="20"/>
        </w:rPr>
        <w:t>a</w:t>
      </w:r>
      <w:r w:rsidRPr="00545535">
        <w:rPr>
          <w:rFonts w:ascii="Arial" w:hAnsi="Arial" w:cs="Arial"/>
          <w:color w:val="auto"/>
          <w:sz w:val="20"/>
          <w:szCs w:val="20"/>
        </w:rPr>
        <w:t>-African trade and regional development.</w:t>
      </w:r>
    </w:p>
    <w:p w:rsidR="00B36B24" w:rsidRPr="00545535" w:rsidRDefault="00B36B24" w:rsidP="00545535">
      <w:pPr>
        <w:pStyle w:val="NoSpacing"/>
        <w:spacing w:line="240" w:lineRule="auto"/>
        <w:ind w:hanging="600"/>
        <w:jc w:val="left"/>
        <w:rPr>
          <w:rFonts w:ascii="Arial" w:hAnsi="Arial" w:cs="Arial"/>
          <w:sz w:val="20"/>
          <w:szCs w:val="20"/>
          <w:lang w:val="en-ZA"/>
        </w:rPr>
      </w:pPr>
    </w:p>
    <w:p w:rsidR="004802CB" w:rsidRPr="00545535" w:rsidRDefault="00CF1CB9" w:rsidP="00545535">
      <w:pPr>
        <w:pStyle w:val="ListParagraph"/>
        <w:numPr>
          <w:ilvl w:val="1"/>
          <w:numId w:val="28"/>
        </w:numPr>
        <w:spacing w:line="240" w:lineRule="auto"/>
        <w:ind w:hanging="600"/>
        <w:jc w:val="left"/>
        <w:rPr>
          <w:rFonts w:ascii="Arial" w:hAnsi="Arial" w:cs="Arial"/>
          <w:color w:val="auto"/>
          <w:sz w:val="20"/>
          <w:szCs w:val="20"/>
        </w:rPr>
      </w:pPr>
      <w:r w:rsidRPr="00545535">
        <w:rPr>
          <w:rFonts w:ascii="Arial" w:hAnsi="Arial" w:cs="Arial"/>
          <w:color w:val="auto"/>
          <w:sz w:val="20"/>
          <w:szCs w:val="20"/>
        </w:rPr>
        <w:t xml:space="preserve">The Committee emphasised that while mergers may not be prevented, there is a need for the DTIC and the Competition Commission to ensure that mergers are effectively regulated to prevent over-concentration in the market. Excessive concentration may negatively impact on consumers and create barriers to trade for smaller competitors or suppliers. </w:t>
      </w:r>
    </w:p>
    <w:p w:rsidR="00CF1CB9" w:rsidRPr="00545535" w:rsidRDefault="00CF1CB9" w:rsidP="00545535">
      <w:pPr>
        <w:ind w:left="720" w:hanging="600"/>
        <w:rPr>
          <w:rFonts w:ascii="Arial" w:hAnsi="Arial" w:cs="Arial"/>
          <w:sz w:val="20"/>
          <w:szCs w:val="20"/>
        </w:rPr>
      </w:pPr>
    </w:p>
    <w:p w:rsidR="00CF1CB9" w:rsidRPr="00545535" w:rsidRDefault="00CF1CB9" w:rsidP="00545535">
      <w:pPr>
        <w:pStyle w:val="ListParagraph"/>
        <w:numPr>
          <w:ilvl w:val="1"/>
          <w:numId w:val="28"/>
        </w:numPr>
        <w:spacing w:line="240" w:lineRule="auto"/>
        <w:ind w:hanging="600"/>
        <w:jc w:val="left"/>
        <w:rPr>
          <w:rFonts w:ascii="Arial" w:hAnsi="Arial" w:cs="Arial"/>
          <w:color w:val="auto"/>
          <w:sz w:val="20"/>
          <w:szCs w:val="20"/>
        </w:rPr>
      </w:pPr>
      <w:r w:rsidRPr="00545535">
        <w:rPr>
          <w:rFonts w:ascii="Arial" w:hAnsi="Arial" w:cs="Arial"/>
          <w:color w:val="auto"/>
          <w:sz w:val="20"/>
          <w:szCs w:val="20"/>
        </w:rPr>
        <w:t>While the Committee acknowledges the administrative and other support offered by the DTIC to the B</w:t>
      </w:r>
      <w:r w:rsidR="00BF7556" w:rsidRPr="00545535">
        <w:rPr>
          <w:rFonts w:ascii="Arial" w:hAnsi="Arial" w:cs="Arial"/>
          <w:color w:val="auto"/>
          <w:sz w:val="20"/>
          <w:szCs w:val="20"/>
        </w:rPr>
        <w:t>road</w:t>
      </w:r>
      <w:r w:rsidRPr="00545535">
        <w:rPr>
          <w:rFonts w:ascii="Arial" w:hAnsi="Arial" w:cs="Arial"/>
          <w:color w:val="auto"/>
          <w:sz w:val="20"/>
          <w:szCs w:val="20"/>
        </w:rPr>
        <w:t>-</w:t>
      </w:r>
      <w:r w:rsidR="00BF7556" w:rsidRPr="00545535">
        <w:rPr>
          <w:rFonts w:ascii="Arial" w:hAnsi="Arial" w:cs="Arial"/>
          <w:color w:val="auto"/>
          <w:sz w:val="20"/>
          <w:szCs w:val="20"/>
        </w:rPr>
        <w:t xml:space="preserve">based </w:t>
      </w:r>
      <w:r w:rsidRPr="00545535">
        <w:rPr>
          <w:rFonts w:ascii="Arial" w:hAnsi="Arial" w:cs="Arial"/>
          <w:color w:val="auto"/>
          <w:sz w:val="20"/>
          <w:szCs w:val="20"/>
        </w:rPr>
        <w:t>B</w:t>
      </w:r>
      <w:r w:rsidR="00BF7556" w:rsidRPr="00545535">
        <w:rPr>
          <w:rFonts w:ascii="Arial" w:hAnsi="Arial" w:cs="Arial"/>
          <w:color w:val="auto"/>
          <w:sz w:val="20"/>
          <w:szCs w:val="20"/>
        </w:rPr>
        <w:t xml:space="preserve">lack </w:t>
      </w:r>
      <w:r w:rsidRPr="00545535">
        <w:rPr>
          <w:rFonts w:ascii="Arial" w:hAnsi="Arial" w:cs="Arial"/>
          <w:color w:val="auto"/>
          <w:sz w:val="20"/>
          <w:szCs w:val="20"/>
        </w:rPr>
        <w:t>E</w:t>
      </w:r>
      <w:r w:rsidR="00BF7556" w:rsidRPr="00545535">
        <w:rPr>
          <w:rFonts w:ascii="Arial" w:hAnsi="Arial" w:cs="Arial"/>
          <w:color w:val="auto"/>
          <w:sz w:val="20"/>
          <w:szCs w:val="20"/>
        </w:rPr>
        <w:t xml:space="preserve">conomic </w:t>
      </w:r>
      <w:r w:rsidRPr="00545535">
        <w:rPr>
          <w:rFonts w:ascii="Arial" w:hAnsi="Arial" w:cs="Arial"/>
          <w:color w:val="auto"/>
          <w:sz w:val="20"/>
          <w:szCs w:val="20"/>
        </w:rPr>
        <w:t>E</w:t>
      </w:r>
      <w:r w:rsidR="00BF7556" w:rsidRPr="00545535">
        <w:rPr>
          <w:rFonts w:ascii="Arial" w:hAnsi="Arial" w:cs="Arial"/>
          <w:color w:val="auto"/>
          <w:sz w:val="20"/>
          <w:szCs w:val="20"/>
        </w:rPr>
        <w:t>mpowerment</w:t>
      </w:r>
      <w:r w:rsidRPr="00545535">
        <w:rPr>
          <w:rFonts w:ascii="Arial" w:hAnsi="Arial" w:cs="Arial"/>
          <w:color w:val="auto"/>
          <w:sz w:val="20"/>
          <w:szCs w:val="20"/>
        </w:rPr>
        <w:t xml:space="preserve"> Commission, it remains concerned that the Commission is a trading entity rather than an independent entity. It is of the view, that this classification inhibits the Commission’s powers and access to financial and human resources, hence its ability to execute its mandate.</w:t>
      </w:r>
    </w:p>
    <w:p w:rsidR="006D323B" w:rsidRPr="00545535" w:rsidRDefault="006D323B" w:rsidP="00545535">
      <w:pPr>
        <w:rPr>
          <w:rFonts w:ascii="Arial" w:hAnsi="Arial" w:cs="Arial"/>
          <w:sz w:val="20"/>
          <w:szCs w:val="20"/>
          <w:lang w:val="en-ZA"/>
        </w:rPr>
      </w:pPr>
    </w:p>
    <w:p w:rsidR="00296E8D" w:rsidRPr="00545535" w:rsidRDefault="00296E8D" w:rsidP="00545535">
      <w:pPr>
        <w:rPr>
          <w:rFonts w:ascii="Arial" w:hAnsi="Arial" w:cs="Arial"/>
          <w:sz w:val="20"/>
          <w:szCs w:val="20"/>
          <w:lang w:val="en-ZA"/>
        </w:rPr>
      </w:pPr>
    </w:p>
    <w:p w:rsidR="004802CB" w:rsidRPr="00545535" w:rsidRDefault="00542DB5" w:rsidP="00545535">
      <w:pPr>
        <w:pStyle w:val="Heading1"/>
        <w:spacing w:before="0" w:line="240" w:lineRule="auto"/>
        <w:rPr>
          <w:rFonts w:ascii="Arial" w:eastAsia="Times New Roman" w:hAnsi="Arial" w:cs="Arial"/>
          <w:sz w:val="20"/>
          <w:szCs w:val="20"/>
          <w:lang w:val="en-ZA"/>
        </w:rPr>
      </w:pPr>
      <w:bookmarkStart w:id="5" w:name="_d34og8"/>
      <w:bookmarkEnd w:id="5"/>
      <w:r w:rsidRPr="00545535">
        <w:rPr>
          <w:rFonts w:ascii="Arial" w:hAnsi="Arial" w:cs="Arial"/>
          <w:sz w:val="20"/>
          <w:szCs w:val="20"/>
          <w:lang w:val="en-ZA"/>
        </w:rPr>
        <w:t>Appreciation</w:t>
      </w:r>
    </w:p>
    <w:p w:rsidR="00231115" w:rsidRPr="00545535" w:rsidRDefault="00231115" w:rsidP="00545535">
      <w:pPr>
        <w:pStyle w:val="Body"/>
        <w:spacing w:line="240" w:lineRule="auto"/>
        <w:jc w:val="left"/>
        <w:rPr>
          <w:rFonts w:cs="Arial"/>
          <w:color w:val="auto"/>
          <w:sz w:val="20"/>
          <w:szCs w:val="20"/>
        </w:rPr>
      </w:pPr>
    </w:p>
    <w:p w:rsidR="004802CB" w:rsidRPr="00545535" w:rsidRDefault="00542DB5" w:rsidP="00545535">
      <w:pPr>
        <w:pStyle w:val="Body"/>
        <w:spacing w:line="240" w:lineRule="auto"/>
        <w:jc w:val="left"/>
        <w:rPr>
          <w:rFonts w:eastAsia="Times New Roman" w:cs="Arial"/>
          <w:color w:val="auto"/>
          <w:sz w:val="20"/>
          <w:szCs w:val="20"/>
        </w:rPr>
      </w:pPr>
      <w:r w:rsidRPr="00545535">
        <w:rPr>
          <w:rFonts w:cs="Arial"/>
          <w:color w:val="auto"/>
          <w:sz w:val="20"/>
          <w:szCs w:val="20"/>
        </w:rPr>
        <w:t xml:space="preserve">The Committee would like to thank the </w:t>
      </w:r>
      <w:r w:rsidR="00A6639F" w:rsidRPr="00545535">
        <w:rPr>
          <w:rFonts w:cs="Arial"/>
          <w:color w:val="auto"/>
          <w:sz w:val="20"/>
          <w:szCs w:val="20"/>
        </w:rPr>
        <w:t xml:space="preserve">Acting </w:t>
      </w:r>
      <w:r w:rsidRPr="00545535">
        <w:rPr>
          <w:rFonts w:cs="Arial"/>
          <w:color w:val="auto"/>
          <w:sz w:val="20"/>
          <w:szCs w:val="20"/>
        </w:rPr>
        <w:t xml:space="preserve">Director-General of the Department of Trade, Industry, and Competition, Mr </w:t>
      </w:r>
      <w:r w:rsidR="00A6639F" w:rsidRPr="00545535">
        <w:rPr>
          <w:rFonts w:cs="Arial"/>
          <w:color w:val="auto"/>
          <w:sz w:val="20"/>
          <w:szCs w:val="20"/>
        </w:rPr>
        <w:t>S Khan</w:t>
      </w:r>
      <w:r w:rsidRPr="00545535">
        <w:rPr>
          <w:rFonts w:cs="Arial"/>
          <w:color w:val="auto"/>
          <w:sz w:val="20"/>
          <w:szCs w:val="20"/>
        </w:rPr>
        <w:t>,</w:t>
      </w:r>
      <w:r w:rsidR="006A3D36" w:rsidRPr="00545535">
        <w:rPr>
          <w:rFonts w:cs="Arial"/>
          <w:color w:val="auto"/>
          <w:sz w:val="20"/>
          <w:szCs w:val="20"/>
        </w:rPr>
        <w:t xml:space="preserve"> </w:t>
      </w:r>
      <w:r w:rsidRPr="00545535">
        <w:rPr>
          <w:rFonts w:cs="Arial"/>
          <w:color w:val="auto"/>
          <w:sz w:val="20"/>
          <w:szCs w:val="20"/>
        </w:rPr>
        <w:t>as well as their team, for their cooperation and transparency during this process. The Committee also wishes to thank its support staff, in pa</w:t>
      </w:r>
      <w:r w:rsidR="00A6639F" w:rsidRPr="00545535">
        <w:rPr>
          <w:rFonts w:cs="Arial"/>
          <w:color w:val="auto"/>
          <w:sz w:val="20"/>
          <w:szCs w:val="20"/>
        </w:rPr>
        <w:t>rticular the committee secretaries</w:t>
      </w:r>
      <w:r w:rsidRPr="00545535">
        <w:rPr>
          <w:rFonts w:cs="Arial"/>
          <w:color w:val="auto"/>
          <w:sz w:val="20"/>
          <w:szCs w:val="20"/>
        </w:rPr>
        <w:t>, Mr A Hermans</w:t>
      </w:r>
      <w:r w:rsidR="00A6639F" w:rsidRPr="00545535">
        <w:rPr>
          <w:rFonts w:cs="Arial"/>
          <w:color w:val="auto"/>
          <w:sz w:val="20"/>
          <w:szCs w:val="20"/>
        </w:rPr>
        <w:t xml:space="preserve"> and Mr T Madima</w:t>
      </w:r>
      <w:r w:rsidR="009A4AA3" w:rsidRPr="00545535">
        <w:rPr>
          <w:rFonts w:cs="Arial"/>
          <w:color w:val="auto"/>
          <w:sz w:val="20"/>
          <w:szCs w:val="20"/>
        </w:rPr>
        <w:t>;</w:t>
      </w:r>
      <w:r w:rsidRPr="00545535">
        <w:rPr>
          <w:rFonts w:cs="Arial"/>
          <w:color w:val="auto"/>
          <w:sz w:val="20"/>
          <w:szCs w:val="20"/>
        </w:rPr>
        <w:t xml:space="preserve"> the researcher, Ms Z Madalane</w:t>
      </w:r>
      <w:r w:rsidR="009A4AA3" w:rsidRPr="00545535">
        <w:rPr>
          <w:rFonts w:cs="Arial"/>
          <w:color w:val="auto"/>
          <w:sz w:val="20"/>
          <w:szCs w:val="20"/>
        </w:rPr>
        <w:t>;</w:t>
      </w:r>
      <w:r w:rsidRPr="00545535">
        <w:rPr>
          <w:rFonts w:cs="Arial"/>
          <w:color w:val="auto"/>
          <w:sz w:val="20"/>
          <w:szCs w:val="20"/>
        </w:rPr>
        <w:t xml:space="preserve"> </w:t>
      </w:r>
      <w:r w:rsidR="006078C7" w:rsidRPr="00545535">
        <w:rPr>
          <w:rFonts w:cs="Arial"/>
          <w:color w:val="auto"/>
          <w:sz w:val="20"/>
          <w:szCs w:val="20"/>
        </w:rPr>
        <w:t xml:space="preserve">the content advisor, Ms M Sheldon; </w:t>
      </w:r>
      <w:r w:rsidRPr="00545535">
        <w:rPr>
          <w:rFonts w:cs="Arial"/>
          <w:color w:val="auto"/>
          <w:sz w:val="20"/>
          <w:szCs w:val="20"/>
        </w:rPr>
        <w:t>the committee assistant, Ms Y Manakaza</w:t>
      </w:r>
      <w:r w:rsidR="009A4AA3" w:rsidRPr="00545535">
        <w:rPr>
          <w:rFonts w:cs="Arial"/>
          <w:color w:val="auto"/>
          <w:sz w:val="20"/>
          <w:szCs w:val="20"/>
        </w:rPr>
        <w:t>;</w:t>
      </w:r>
      <w:r w:rsidRPr="00545535">
        <w:rPr>
          <w:rFonts w:cs="Arial"/>
          <w:color w:val="auto"/>
          <w:sz w:val="20"/>
          <w:szCs w:val="20"/>
        </w:rPr>
        <w:t xml:space="preserve"> and the executive secretary, Ms T Macanda, for their professional support and conscientious commitment and dedication to their work.  The Chairperson wishes to thank all Members of the Committee for their active participation during the process of engagement and deliberations and their constructive </w:t>
      </w:r>
      <w:r w:rsidR="006078C7" w:rsidRPr="00545535">
        <w:rPr>
          <w:rFonts w:cs="Arial"/>
          <w:color w:val="auto"/>
          <w:sz w:val="20"/>
          <w:szCs w:val="20"/>
        </w:rPr>
        <w:t xml:space="preserve">concluding remarks </w:t>
      </w:r>
      <w:r w:rsidRPr="00545535">
        <w:rPr>
          <w:rFonts w:cs="Arial"/>
          <w:color w:val="auto"/>
          <w:sz w:val="20"/>
          <w:szCs w:val="20"/>
        </w:rPr>
        <w:t xml:space="preserve">reflected in this report. </w:t>
      </w:r>
    </w:p>
    <w:p w:rsidR="004802CB" w:rsidRPr="00545535" w:rsidRDefault="004802CB" w:rsidP="0054553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rPr>
          <w:rFonts w:eastAsia="Times New Roman" w:cs="Arial"/>
          <w:color w:val="auto"/>
          <w:sz w:val="20"/>
          <w:szCs w:val="20"/>
        </w:rPr>
      </w:pPr>
      <w:bookmarkStart w:id="6" w:name="_s8eyo1"/>
      <w:bookmarkEnd w:id="6"/>
    </w:p>
    <w:p w:rsidR="008A49A1" w:rsidRPr="00545535" w:rsidRDefault="008A49A1" w:rsidP="0054553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rPr>
          <w:rFonts w:eastAsia="Times New Roman" w:cs="Arial"/>
          <w:color w:val="auto"/>
          <w:sz w:val="20"/>
          <w:szCs w:val="20"/>
        </w:rPr>
      </w:pPr>
    </w:p>
    <w:p w:rsidR="006078C7" w:rsidRPr="00545535" w:rsidRDefault="006078C7" w:rsidP="0054553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rPr>
          <w:rFonts w:eastAsia="Times New Roman" w:cs="Arial"/>
          <w:color w:val="auto"/>
          <w:sz w:val="20"/>
          <w:szCs w:val="20"/>
        </w:rPr>
      </w:pPr>
    </w:p>
    <w:p w:rsidR="00A6639F" w:rsidRPr="00545535" w:rsidRDefault="00A6639F" w:rsidP="00545535">
      <w:pPr>
        <w:pStyle w:val="Heading1"/>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hAnsi="Arial" w:cs="Arial"/>
          <w:sz w:val="20"/>
          <w:szCs w:val="20"/>
          <w:lang w:val="en-ZA"/>
        </w:rPr>
      </w:pPr>
      <w:r w:rsidRPr="00545535">
        <w:rPr>
          <w:rFonts w:ascii="Arial" w:hAnsi="Arial" w:cs="Arial"/>
          <w:sz w:val="20"/>
          <w:szCs w:val="20"/>
          <w:lang w:val="en-ZA"/>
        </w:rPr>
        <w:t>Recommendations</w:t>
      </w:r>
    </w:p>
    <w:p w:rsidR="00A6639F" w:rsidRPr="00545535" w:rsidRDefault="00A6639F" w:rsidP="00545535">
      <w:pPr>
        <w:pStyle w:val="Body"/>
        <w:pBdr>
          <w:bottom w:val="single" w:sz="12" w:space="0" w:color="000000"/>
        </w:pBdr>
        <w:spacing w:line="240" w:lineRule="auto"/>
        <w:jc w:val="left"/>
        <w:rPr>
          <w:rFonts w:eastAsia="Times New Roman" w:cs="Arial"/>
          <w:color w:val="auto"/>
          <w:sz w:val="20"/>
          <w:szCs w:val="20"/>
        </w:rPr>
      </w:pPr>
    </w:p>
    <w:p w:rsidR="00CF1CB9" w:rsidRPr="00545535" w:rsidRDefault="003A1991" w:rsidP="00545535">
      <w:pPr>
        <w:pStyle w:val="Body"/>
        <w:pBdr>
          <w:bottom w:val="single" w:sz="12" w:space="0" w:color="000000"/>
        </w:pBdr>
        <w:spacing w:line="240" w:lineRule="auto"/>
        <w:jc w:val="left"/>
        <w:rPr>
          <w:rFonts w:eastAsia="Times New Roman" w:cs="Arial"/>
          <w:color w:val="auto"/>
          <w:sz w:val="20"/>
          <w:szCs w:val="20"/>
        </w:rPr>
      </w:pPr>
      <w:r w:rsidRPr="00545535">
        <w:rPr>
          <w:rFonts w:eastAsia="Times New Roman" w:cs="Arial"/>
          <w:color w:val="auto"/>
          <w:sz w:val="20"/>
          <w:szCs w:val="20"/>
        </w:rPr>
        <w:t>Informed by its deliberations, t</w:t>
      </w:r>
      <w:r w:rsidR="00CF1CB9" w:rsidRPr="00545535">
        <w:rPr>
          <w:rFonts w:eastAsia="Times New Roman" w:cs="Arial"/>
          <w:color w:val="auto"/>
          <w:sz w:val="20"/>
          <w:szCs w:val="20"/>
        </w:rPr>
        <w:t>he Committee recommends that the House request</w:t>
      </w:r>
      <w:r w:rsidRPr="00545535">
        <w:rPr>
          <w:rFonts w:eastAsia="Times New Roman" w:cs="Arial"/>
          <w:color w:val="auto"/>
          <w:sz w:val="20"/>
          <w:szCs w:val="20"/>
        </w:rPr>
        <w:t>s that</w:t>
      </w:r>
      <w:r w:rsidR="00CF1CB9" w:rsidRPr="00545535">
        <w:rPr>
          <w:rFonts w:eastAsia="Times New Roman" w:cs="Arial"/>
          <w:color w:val="auto"/>
          <w:sz w:val="20"/>
          <w:szCs w:val="20"/>
        </w:rPr>
        <w:t xml:space="preserve"> the Minister </w:t>
      </w:r>
      <w:r w:rsidRPr="00545535">
        <w:rPr>
          <w:rFonts w:eastAsia="Times New Roman" w:cs="Arial"/>
          <w:color w:val="auto"/>
          <w:sz w:val="20"/>
          <w:szCs w:val="20"/>
        </w:rPr>
        <w:t xml:space="preserve">of </w:t>
      </w:r>
      <w:r w:rsidR="008A49A1" w:rsidRPr="00545535">
        <w:rPr>
          <w:rFonts w:eastAsia="Times New Roman" w:cs="Arial"/>
          <w:color w:val="auto"/>
          <w:sz w:val="20"/>
          <w:szCs w:val="20"/>
        </w:rPr>
        <w:t>T</w:t>
      </w:r>
      <w:r w:rsidRPr="00545535">
        <w:rPr>
          <w:rFonts w:eastAsia="Times New Roman" w:cs="Arial"/>
          <w:color w:val="auto"/>
          <w:sz w:val="20"/>
          <w:szCs w:val="20"/>
        </w:rPr>
        <w:t xml:space="preserve">rade, Industry and Competition should </w:t>
      </w:r>
      <w:r w:rsidR="00CF1CB9" w:rsidRPr="00545535">
        <w:rPr>
          <w:rFonts w:eastAsia="Times New Roman" w:cs="Arial"/>
          <w:color w:val="auto"/>
          <w:sz w:val="20"/>
          <w:szCs w:val="20"/>
        </w:rPr>
        <w:t>consider developing an incentive to support the establishment of film studios in other provinces.</w:t>
      </w:r>
    </w:p>
    <w:p w:rsidR="00A72876" w:rsidRPr="00545535" w:rsidRDefault="00A72876" w:rsidP="00545535">
      <w:pPr>
        <w:pStyle w:val="Body"/>
        <w:pBdr>
          <w:bottom w:val="single" w:sz="12" w:space="0" w:color="000000"/>
        </w:pBdr>
        <w:spacing w:line="240" w:lineRule="auto"/>
        <w:jc w:val="left"/>
        <w:rPr>
          <w:rFonts w:eastAsia="Times New Roman" w:cs="Arial"/>
          <w:color w:val="auto"/>
          <w:sz w:val="20"/>
          <w:szCs w:val="20"/>
        </w:rPr>
      </w:pPr>
    </w:p>
    <w:p w:rsidR="00A72876" w:rsidRPr="00545535" w:rsidRDefault="00A72876" w:rsidP="00545535">
      <w:pPr>
        <w:pStyle w:val="Body"/>
        <w:pBdr>
          <w:bottom w:val="single" w:sz="12" w:space="0" w:color="000000"/>
        </w:pBdr>
        <w:spacing w:line="240" w:lineRule="auto"/>
        <w:jc w:val="left"/>
        <w:rPr>
          <w:rFonts w:eastAsia="Times New Roman" w:cs="Arial"/>
          <w:color w:val="auto"/>
          <w:sz w:val="20"/>
          <w:szCs w:val="20"/>
        </w:rPr>
      </w:pPr>
      <w:r w:rsidRPr="00545535">
        <w:rPr>
          <w:rFonts w:eastAsia="Times New Roman" w:cs="Arial"/>
          <w:color w:val="auto"/>
          <w:sz w:val="20"/>
          <w:szCs w:val="20"/>
        </w:rPr>
        <w:t>Report to be considered.</w:t>
      </w:r>
    </w:p>
    <w:p w:rsidR="00A6639F" w:rsidRPr="00545535" w:rsidRDefault="00A6639F" w:rsidP="00545535">
      <w:pPr>
        <w:pStyle w:val="Body"/>
        <w:pBdr>
          <w:bottom w:val="single" w:sz="12" w:space="0" w:color="000000"/>
        </w:pBdr>
        <w:spacing w:line="240" w:lineRule="auto"/>
        <w:jc w:val="left"/>
        <w:rPr>
          <w:rFonts w:eastAsia="Times New Roman" w:cs="Arial"/>
          <w:color w:val="auto"/>
          <w:sz w:val="20"/>
          <w:szCs w:val="20"/>
        </w:rPr>
      </w:pPr>
    </w:p>
    <w:p w:rsidR="004802CB" w:rsidRPr="00545535" w:rsidRDefault="004802CB" w:rsidP="00545535">
      <w:pPr>
        <w:pStyle w:val="Body"/>
        <w:spacing w:line="240" w:lineRule="auto"/>
        <w:jc w:val="left"/>
        <w:rPr>
          <w:rFonts w:eastAsia="Times New Roman" w:cs="Arial"/>
          <w:color w:val="auto"/>
          <w:sz w:val="20"/>
          <w:szCs w:val="20"/>
        </w:rPr>
      </w:pPr>
    </w:p>
    <w:p w:rsidR="004802CB" w:rsidRPr="00545535" w:rsidRDefault="00542DB5" w:rsidP="00545535">
      <w:pPr>
        <w:pStyle w:val="Body"/>
        <w:spacing w:line="240" w:lineRule="auto"/>
        <w:jc w:val="left"/>
        <w:rPr>
          <w:rFonts w:eastAsia="Times New Roman" w:cs="Arial"/>
          <w:b/>
          <w:bCs/>
          <w:caps/>
          <w:color w:val="auto"/>
          <w:sz w:val="20"/>
          <w:szCs w:val="20"/>
        </w:rPr>
      </w:pPr>
      <w:bookmarkStart w:id="7" w:name="_dp8vu"/>
      <w:bookmarkEnd w:id="7"/>
      <w:r w:rsidRPr="00545535">
        <w:rPr>
          <w:rFonts w:cs="Arial"/>
          <w:b/>
          <w:bCs/>
          <w:caps/>
          <w:color w:val="auto"/>
          <w:sz w:val="20"/>
          <w:szCs w:val="20"/>
        </w:rPr>
        <w:t>References</w:t>
      </w:r>
    </w:p>
    <w:p w:rsidR="004802CB" w:rsidRPr="00545535" w:rsidRDefault="004802CB" w:rsidP="00545535">
      <w:pPr>
        <w:pStyle w:val="Body"/>
        <w:spacing w:line="240" w:lineRule="auto"/>
        <w:jc w:val="left"/>
        <w:rPr>
          <w:rFonts w:eastAsia="Times New Roman" w:cs="Arial"/>
          <w:color w:val="auto"/>
          <w:sz w:val="20"/>
          <w:szCs w:val="20"/>
        </w:rPr>
      </w:pPr>
    </w:p>
    <w:p w:rsidR="00141090" w:rsidRPr="00545535" w:rsidRDefault="00141090" w:rsidP="00545535">
      <w:pPr>
        <w:pStyle w:val="Body"/>
        <w:spacing w:line="240" w:lineRule="auto"/>
        <w:jc w:val="left"/>
        <w:rPr>
          <w:rFonts w:cs="Arial"/>
          <w:sz w:val="20"/>
          <w:szCs w:val="20"/>
        </w:rPr>
      </w:pPr>
      <w:r w:rsidRPr="00545535">
        <w:rPr>
          <w:rFonts w:cs="Arial"/>
          <w:sz w:val="20"/>
          <w:szCs w:val="20"/>
        </w:rPr>
        <w:t>Competition Commission (2021) Essential Food Pricing Monitoring, August. [Accessed on 8 March 2022 from https://www.compcom.co.za/wp-content/uploads/2021/09/EFPM-Report_Aug-2021.pdf].</w:t>
      </w:r>
    </w:p>
    <w:p w:rsidR="00141090" w:rsidRPr="00545535" w:rsidRDefault="00141090" w:rsidP="00545535">
      <w:pPr>
        <w:pStyle w:val="Body"/>
        <w:spacing w:line="240" w:lineRule="auto"/>
        <w:jc w:val="left"/>
        <w:rPr>
          <w:rFonts w:cs="Arial"/>
          <w:color w:val="auto"/>
          <w:sz w:val="20"/>
          <w:szCs w:val="20"/>
        </w:rPr>
      </w:pPr>
    </w:p>
    <w:p w:rsidR="005B376E" w:rsidRPr="00545535" w:rsidRDefault="005B376E" w:rsidP="00545535">
      <w:pPr>
        <w:pStyle w:val="Body"/>
        <w:spacing w:line="240" w:lineRule="auto"/>
        <w:jc w:val="left"/>
        <w:rPr>
          <w:rFonts w:cs="Arial"/>
          <w:color w:val="auto"/>
          <w:sz w:val="20"/>
          <w:szCs w:val="20"/>
        </w:rPr>
      </w:pPr>
      <w:r w:rsidRPr="00545535">
        <w:rPr>
          <w:rFonts w:cs="Arial"/>
          <w:color w:val="auto"/>
          <w:sz w:val="20"/>
          <w:szCs w:val="20"/>
        </w:rPr>
        <w:t>Department of Trade, Industry, and Competition (2021a) Annual Performance Plan 2021/22. [Accessed on 20 October 2021 from http://www.thedtic.gov.za/wp-content/uploads/DTIC-2021-2022-Annual-Performance-Plan-March2021.pdf].</w:t>
      </w:r>
    </w:p>
    <w:p w:rsidR="005B376E" w:rsidRPr="00545535" w:rsidRDefault="005B376E" w:rsidP="00545535">
      <w:pPr>
        <w:pStyle w:val="Body"/>
        <w:spacing w:line="240" w:lineRule="auto"/>
        <w:jc w:val="left"/>
        <w:rPr>
          <w:rFonts w:cs="Arial"/>
          <w:color w:val="auto"/>
          <w:sz w:val="20"/>
          <w:szCs w:val="20"/>
        </w:rPr>
      </w:pPr>
    </w:p>
    <w:p w:rsidR="00C12ED5" w:rsidRPr="00545535" w:rsidRDefault="00C12ED5" w:rsidP="00545535">
      <w:pPr>
        <w:pStyle w:val="Body"/>
        <w:spacing w:line="240" w:lineRule="auto"/>
        <w:jc w:val="left"/>
        <w:rPr>
          <w:rFonts w:cs="Arial"/>
          <w:color w:val="auto"/>
          <w:sz w:val="20"/>
          <w:szCs w:val="20"/>
        </w:rPr>
      </w:pPr>
      <w:r w:rsidRPr="00545535">
        <w:rPr>
          <w:rFonts w:cs="Arial"/>
          <w:color w:val="auto"/>
          <w:sz w:val="20"/>
          <w:szCs w:val="20"/>
        </w:rPr>
        <w:t>Department of T</w:t>
      </w:r>
      <w:r w:rsidR="003E4E7A" w:rsidRPr="00545535">
        <w:rPr>
          <w:rFonts w:cs="Arial"/>
          <w:color w:val="auto"/>
          <w:sz w:val="20"/>
          <w:szCs w:val="20"/>
        </w:rPr>
        <w:t>rade, Industry, and Competition</w:t>
      </w:r>
      <w:r w:rsidRPr="00545535">
        <w:rPr>
          <w:rFonts w:cs="Arial"/>
          <w:color w:val="auto"/>
          <w:sz w:val="20"/>
          <w:szCs w:val="20"/>
        </w:rPr>
        <w:t xml:space="preserve"> (2021b</w:t>
      </w:r>
      <w:r w:rsidR="003E4E7A" w:rsidRPr="00545535">
        <w:rPr>
          <w:rFonts w:cs="Arial"/>
          <w:color w:val="auto"/>
          <w:sz w:val="20"/>
          <w:szCs w:val="20"/>
        </w:rPr>
        <w:t>)</w:t>
      </w:r>
      <w:r w:rsidRPr="00545535">
        <w:rPr>
          <w:rFonts w:cs="Arial"/>
          <w:color w:val="auto"/>
          <w:sz w:val="20"/>
          <w:szCs w:val="20"/>
        </w:rPr>
        <w:t xml:space="preserve"> Second Quarter Report for the 2020/21 Financial Year.</w:t>
      </w:r>
    </w:p>
    <w:p w:rsidR="00C12ED5" w:rsidRPr="00545535" w:rsidRDefault="00C12ED5" w:rsidP="00545535">
      <w:pPr>
        <w:pStyle w:val="Body"/>
        <w:spacing w:line="240" w:lineRule="auto"/>
        <w:jc w:val="left"/>
        <w:rPr>
          <w:rFonts w:cs="Arial"/>
          <w:color w:val="auto"/>
          <w:sz w:val="20"/>
          <w:szCs w:val="20"/>
        </w:rPr>
      </w:pPr>
    </w:p>
    <w:p w:rsidR="00C12ED5" w:rsidRPr="00545535" w:rsidRDefault="00C12ED5" w:rsidP="00545535">
      <w:pPr>
        <w:pStyle w:val="Body"/>
        <w:spacing w:line="240" w:lineRule="auto"/>
        <w:jc w:val="left"/>
        <w:rPr>
          <w:rFonts w:cs="Arial"/>
          <w:color w:val="auto"/>
          <w:sz w:val="20"/>
          <w:szCs w:val="20"/>
        </w:rPr>
      </w:pPr>
      <w:r w:rsidRPr="00545535">
        <w:rPr>
          <w:rFonts w:cs="Arial"/>
          <w:color w:val="auto"/>
          <w:sz w:val="20"/>
          <w:szCs w:val="20"/>
        </w:rPr>
        <w:t>Department of Trade, Industry, and Competition (2022) Third Quarter Report for the 2020/21 Financial Year.</w:t>
      </w:r>
    </w:p>
    <w:p w:rsidR="00C12ED5" w:rsidRPr="00545535" w:rsidRDefault="00C12ED5" w:rsidP="00545535">
      <w:pPr>
        <w:pStyle w:val="Body"/>
        <w:spacing w:line="240" w:lineRule="auto"/>
        <w:jc w:val="left"/>
        <w:rPr>
          <w:rFonts w:cs="Arial"/>
          <w:color w:val="auto"/>
          <w:sz w:val="20"/>
          <w:szCs w:val="20"/>
        </w:rPr>
      </w:pPr>
    </w:p>
    <w:p w:rsidR="001051D4" w:rsidRPr="00545535" w:rsidRDefault="00954A2D" w:rsidP="00545535">
      <w:pPr>
        <w:rPr>
          <w:rFonts w:ascii="Arial" w:hAnsi="Arial" w:cs="Arial"/>
          <w:sz w:val="20"/>
          <w:szCs w:val="20"/>
          <w:lang w:val="en-ZA" w:eastAsia="en-ZA"/>
        </w:rPr>
      </w:pPr>
      <w:r w:rsidRPr="00545535">
        <w:rPr>
          <w:rFonts w:ascii="Arial" w:hAnsi="Arial" w:cs="Arial"/>
          <w:sz w:val="20"/>
          <w:szCs w:val="20"/>
        </w:rPr>
        <w:t>The World Bank (2020) The African Continental Free Trade Area. [Accessed on 16 March 2022 from https://www.worldbank.org/en/topic/trade/publication/the-african-continental-free-trade-area].</w:t>
      </w:r>
    </w:p>
    <w:p w:rsidR="001051D4" w:rsidRPr="00545535" w:rsidRDefault="001051D4" w:rsidP="00545535">
      <w:pPr>
        <w:rPr>
          <w:rFonts w:ascii="Arial" w:hAnsi="Arial" w:cs="Arial"/>
          <w:sz w:val="20"/>
          <w:szCs w:val="20"/>
          <w:lang w:val="en-ZA" w:eastAsia="en-ZA"/>
        </w:rPr>
      </w:pPr>
    </w:p>
    <w:p w:rsidR="001051D4" w:rsidRPr="00545535" w:rsidRDefault="001051D4" w:rsidP="00545535">
      <w:pPr>
        <w:rPr>
          <w:rFonts w:ascii="Arial" w:hAnsi="Arial" w:cs="Arial"/>
          <w:sz w:val="20"/>
          <w:szCs w:val="20"/>
          <w:lang w:val="en-ZA" w:eastAsia="en-ZA"/>
        </w:rPr>
      </w:pPr>
    </w:p>
    <w:p w:rsidR="001051D4" w:rsidRPr="00545535" w:rsidRDefault="001051D4" w:rsidP="00545535">
      <w:pPr>
        <w:rPr>
          <w:rFonts w:ascii="Arial" w:hAnsi="Arial" w:cs="Arial"/>
          <w:sz w:val="20"/>
          <w:szCs w:val="20"/>
          <w:lang w:val="en-ZA" w:eastAsia="en-ZA"/>
        </w:rPr>
      </w:pPr>
    </w:p>
    <w:p w:rsidR="001051D4" w:rsidRPr="00545535" w:rsidRDefault="001051D4" w:rsidP="00545535">
      <w:pPr>
        <w:rPr>
          <w:rFonts w:ascii="Arial" w:hAnsi="Arial" w:cs="Arial"/>
          <w:sz w:val="20"/>
          <w:szCs w:val="20"/>
          <w:lang w:val="en-ZA" w:eastAsia="en-ZA"/>
        </w:rPr>
      </w:pPr>
    </w:p>
    <w:sectPr w:rsidR="001051D4" w:rsidRPr="00545535" w:rsidSect="00585D25">
      <w:footerReference w:type="default" r:id="rId8"/>
      <w:pgSz w:w="11900" w:h="16840"/>
      <w:pgMar w:top="1440" w:right="1440" w:bottom="1440" w:left="1440" w:header="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880" w:rsidRDefault="00400880">
      <w:r>
        <w:separator/>
      </w:r>
    </w:p>
  </w:endnote>
  <w:endnote w:type="continuationSeparator" w:id="0">
    <w:p w:rsidR="00400880" w:rsidRDefault="004008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F3A" w:rsidRDefault="00585D25">
    <w:pPr>
      <w:pStyle w:val="Body"/>
      <w:tabs>
        <w:tab w:val="center" w:pos="4513"/>
        <w:tab w:val="right" w:pos="9000"/>
      </w:tabs>
      <w:spacing w:after="709" w:line="240" w:lineRule="auto"/>
      <w:jc w:val="right"/>
    </w:pPr>
    <w:r>
      <w:rPr>
        <w:rFonts w:ascii="Times New Roman" w:hAnsi="Times New Roman"/>
        <w:sz w:val="24"/>
        <w:szCs w:val="24"/>
      </w:rPr>
      <w:fldChar w:fldCharType="begin"/>
    </w:r>
    <w:r w:rsidR="009C5F3A">
      <w:rPr>
        <w:rFonts w:ascii="Times New Roman" w:hAnsi="Times New Roman"/>
        <w:sz w:val="24"/>
        <w:szCs w:val="24"/>
      </w:rPr>
      <w:instrText xml:space="preserve"> PAGE </w:instrText>
    </w:r>
    <w:r>
      <w:rPr>
        <w:rFonts w:ascii="Times New Roman" w:hAnsi="Times New Roman"/>
        <w:sz w:val="24"/>
        <w:szCs w:val="24"/>
      </w:rPr>
      <w:fldChar w:fldCharType="separate"/>
    </w:r>
    <w:r w:rsidR="00545535">
      <w:rPr>
        <w:rFonts w:ascii="Times New Roman" w:hAnsi="Times New Roman"/>
        <w:noProof/>
        <w:sz w:val="24"/>
        <w:szCs w:val="24"/>
      </w:rPr>
      <w:t>1</w:t>
    </w:r>
    <w:r>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880" w:rsidRDefault="00400880">
      <w:r>
        <w:separator/>
      </w:r>
    </w:p>
  </w:footnote>
  <w:footnote w:type="continuationSeparator" w:id="0">
    <w:p w:rsidR="00400880" w:rsidRDefault="00400880">
      <w:r>
        <w:continuationSeparator/>
      </w:r>
    </w:p>
  </w:footnote>
  <w:footnote w:type="continuationNotice" w:id="1">
    <w:p w:rsidR="00400880" w:rsidRDefault="00400880"/>
  </w:footnote>
  <w:footnote w:id="2">
    <w:p w:rsidR="009C5F3A" w:rsidRDefault="009C5F3A">
      <w:pPr>
        <w:pStyle w:val="Body"/>
        <w:spacing w:line="360" w:lineRule="auto"/>
      </w:pPr>
      <w:r>
        <w:rPr>
          <w:rFonts w:ascii="Times New Roman" w:eastAsia="Times New Roman" w:hAnsi="Times New Roman" w:cs="Times New Roman"/>
          <w:sz w:val="24"/>
          <w:szCs w:val="24"/>
          <w:vertAlign w:val="superscript"/>
        </w:rPr>
        <w:footnoteRef/>
      </w:r>
      <w:r>
        <w:rPr>
          <w:rFonts w:ascii="Times New Roman" w:hAnsi="Times New Roman"/>
          <w:sz w:val="20"/>
          <w:szCs w:val="20"/>
        </w:rPr>
        <w:t xml:space="preserve"> DTIC (</w:t>
      </w:r>
      <w:r w:rsidRPr="000F1AC7">
        <w:rPr>
          <w:rFonts w:ascii="Times New Roman" w:hAnsi="Times New Roman"/>
          <w:sz w:val="20"/>
          <w:szCs w:val="20"/>
        </w:rPr>
        <w:t>2021</w:t>
      </w:r>
      <w:r w:rsidR="00C12ED5">
        <w:rPr>
          <w:rFonts w:ascii="Times New Roman" w:hAnsi="Times New Roman"/>
          <w:sz w:val="20"/>
          <w:szCs w:val="20"/>
        </w:rPr>
        <w:t>a</w:t>
      </w:r>
      <w:r>
        <w:rPr>
          <w:rFonts w:ascii="Times New Roman" w:hAnsi="Times New Roman"/>
          <w:sz w:val="20"/>
          <w:szCs w:val="20"/>
        </w:rPr>
        <w:t>)</w:t>
      </w:r>
    </w:p>
  </w:footnote>
  <w:footnote w:id="3">
    <w:p w:rsidR="009C5F3A" w:rsidRPr="007278B2" w:rsidRDefault="009C5F3A">
      <w:pPr>
        <w:pStyle w:val="FootnoteText"/>
        <w:rPr>
          <w:rFonts w:ascii="Times New Roman" w:hAnsi="Times New Roman" w:cs="Times New Roman"/>
          <w:sz w:val="20"/>
          <w:szCs w:val="20"/>
          <w:lang w:val="en-ZA"/>
        </w:rPr>
      </w:pPr>
      <w:r w:rsidRPr="007278B2">
        <w:rPr>
          <w:rStyle w:val="FootnoteReference"/>
          <w:rFonts w:ascii="Times New Roman" w:hAnsi="Times New Roman" w:cs="Times New Roman"/>
          <w:sz w:val="20"/>
          <w:szCs w:val="20"/>
        </w:rPr>
        <w:footnoteRef/>
      </w:r>
      <w:r w:rsidRPr="007278B2">
        <w:rPr>
          <w:rFonts w:ascii="Times New Roman" w:hAnsi="Times New Roman" w:cs="Times New Roman"/>
          <w:sz w:val="20"/>
          <w:szCs w:val="20"/>
        </w:rPr>
        <w:t xml:space="preserve"> </w:t>
      </w:r>
      <w:r w:rsidRPr="007278B2">
        <w:rPr>
          <w:rFonts w:ascii="Times New Roman" w:hAnsi="Times New Roman" w:cs="Times New Roman"/>
          <w:sz w:val="20"/>
          <w:szCs w:val="20"/>
          <w:lang w:val="en-ZA"/>
        </w:rPr>
        <w:t>DTIC (2021a) and (2021b)</w:t>
      </w:r>
    </w:p>
  </w:footnote>
  <w:footnote w:id="4">
    <w:p w:rsidR="00ED1324" w:rsidRPr="000F1AC7" w:rsidRDefault="00ED1324">
      <w:pPr>
        <w:pStyle w:val="FootnoteText"/>
        <w:rPr>
          <w:rFonts w:ascii="Times New Roman" w:hAnsi="Times New Roman" w:cs="Times New Roman"/>
          <w:lang w:val="en-ZA"/>
        </w:rPr>
      </w:pPr>
      <w:r w:rsidRPr="000F1AC7">
        <w:rPr>
          <w:rStyle w:val="FootnoteReference"/>
          <w:rFonts w:ascii="Times New Roman" w:hAnsi="Times New Roman" w:cs="Times New Roman"/>
          <w:sz w:val="20"/>
        </w:rPr>
        <w:footnoteRef/>
      </w:r>
      <w:r w:rsidRPr="000F1AC7">
        <w:rPr>
          <w:rFonts w:ascii="Times New Roman" w:hAnsi="Times New Roman" w:cs="Times New Roman"/>
          <w:sz w:val="20"/>
        </w:rPr>
        <w:t xml:space="preserve"> </w:t>
      </w:r>
      <w:r>
        <w:rPr>
          <w:rFonts w:ascii="Times New Roman" w:hAnsi="Times New Roman" w:cs="Times New Roman"/>
          <w:sz w:val="20"/>
        </w:rPr>
        <w:t xml:space="preserve">The </w:t>
      </w:r>
      <w:r w:rsidRPr="000F1AC7">
        <w:rPr>
          <w:rFonts w:ascii="Times New Roman" w:hAnsi="Times New Roman" w:cs="Times New Roman"/>
          <w:sz w:val="20"/>
          <w:lang w:val="en-ZA"/>
        </w:rPr>
        <w:t>World Bank (2020)</w:t>
      </w:r>
    </w:p>
  </w:footnote>
  <w:footnote w:id="5">
    <w:p w:rsidR="00DC0E79" w:rsidRPr="00D75D14" w:rsidRDefault="00DC0E79" w:rsidP="00DC0E79">
      <w:pPr>
        <w:pStyle w:val="FootnoteText"/>
        <w:rPr>
          <w:rFonts w:ascii="Times New Roman" w:hAnsi="Times New Roman" w:cs="Times New Roman"/>
          <w:lang w:val="en-ZA"/>
        </w:rPr>
      </w:pPr>
      <w:r w:rsidRPr="000F1AC7">
        <w:rPr>
          <w:rStyle w:val="FootnoteReference"/>
          <w:rFonts w:ascii="Times New Roman" w:hAnsi="Times New Roman" w:cs="Times New Roman"/>
          <w:sz w:val="20"/>
        </w:rPr>
        <w:footnoteRef/>
      </w:r>
      <w:r w:rsidRPr="000F1AC7">
        <w:rPr>
          <w:rFonts w:ascii="Times New Roman" w:hAnsi="Times New Roman" w:cs="Times New Roman"/>
          <w:sz w:val="20"/>
        </w:rPr>
        <w:t xml:space="preserve"> </w:t>
      </w:r>
      <w:r w:rsidRPr="000F1AC7">
        <w:rPr>
          <w:rFonts w:ascii="Times New Roman" w:hAnsi="Times New Roman" w:cs="Times New Roman"/>
          <w:sz w:val="20"/>
          <w:lang w:val="en-ZA"/>
        </w:rPr>
        <w:t>Competition Commission (2021: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69E"/>
    <w:multiLevelType w:val="hybridMultilevel"/>
    <w:tmpl w:val="427E6786"/>
    <w:styleLink w:val="ImportedStyle11"/>
    <w:lvl w:ilvl="0" w:tplc="0E3C8638">
      <w:start w:val="1"/>
      <w:numFmt w:val="decimal"/>
      <w:lvlText w:val="%1."/>
      <w:lvlJc w:val="left"/>
      <w:pPr>
        <w:tabs>
          <w:tab w:val="left" w:pos="720"/>
          <w:tab w:val="num" w:pos="1440"/>
        </w:tabs>
        <w:ind w:left="720" w:firstLine="0"/>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 w:ilvl="1" w:tplc="B4C2E75E">
      <w:start w:val="1"/>
      <w:numFmt w:val="decimal"/>
      <w:lvlText w:val="%2."/>
      <w:lvlJc w:val="left"/>
      <w:pPr>
        <w:tabs>
          <w:tab w:val="left" w:pos="720"/>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BAE8EF10">
      <w:start w:val="1"/>
      <w:numFmt w:val="decimal"/>
      <w:lvlText w:val="%3."/>
      <w:lvlJc w:val="left"/>
      <w:pPr>
        <w:tabs>
          <w:tab w:val="left" w:pos="720"/>
          <w:tab w:val="num" w:pos="288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D2405720">
      <w:start w:val="1"/>
      <w:numFmt w:val="decimal"/>
      <w:lvlText w:val="%4."/>
      <w:lvlJc w:val="left"/>
      <w:pPr>
        <w:tabs>
          <w:tab w:val="left" w:pos="720"/>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E686778">
      <w:start w:val="1"/>
      <w:numFmt w:val="decimal"/>
      <w:lvlText w:val="%5."/>
      <w:lvlJc w:val="left"/>
      <w:pPr>
        <w:tabs>
          <w:tab w:val="left" w:pos="720"/>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8380120">
      <w:start w:val="1"/>
      <w:numFmt w:val="decimal"/>
      <w:lvlText w:val="%6."/>
      <w:lvlJc w:val="left"/>
      <w:pPr>
        <w:tabs>
          <w:tab w:val="left" w:pos="720"/>
          <w:tab w:val="num" w:pos="504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3286FDC">
      <w:start w:val="1"/>
      <w:numFmt w:val="decimal"/>
      <w:lvlText w:val="%7."/>
      <w:lvlJc w:val="left"/>
      <w:pPr>
        <w:tabs>
          <w:tab w:val="left" w:pos="720"/>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A2AC42A8">
      <w:start w:val="1"/>
      <w:numFmt w:val="decimal"/>
      <w:lvlText w:val="%8."/>
      <w:lvlJc w:val="left"/>
      <w:pPr>
        <w:tabs>
          <w:tab w:val="left" w:pos="720"/>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A7A2774">
      <w:start w:val="1"/>
      <w:numFmt w:val="decimal"/>
      <w:lvlText w:val="%9."/>
      <w:lvlJc w:val="left"/>
      <w:pPr>
        <w:tabs>
          <w:tab w:val="left" w:pos="720"/>
          <w:tab w:val="num" w:pos="720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6035C28"/>
    <w:multiLevelType w:val="hybridMultilevel"/>
    <w:tmpl w:val="730C1794"/>
    <w:styleLink w:val="ImportedStyle3"/>
    <w:lvl w:ilvl="0" w:tplc="0582AC40">
      <w:start w:val="1"/>
      <w:numFmt w:val="lowerLetter"/>
      <w:lvlText w:val="(%1)"/>
      <w:lvlJc w:val="left"/>
      <w:pPr>
        <w:ind w:left="7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C3B6D3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4A5D9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5625B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8E0F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F40ED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D46F1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EC2C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28835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C456192"/>
    <w:multiLevelType w:val="multilevel"/>
    <w:tmpl w:val="F0EAE47E"/>
    <w:styleLink w:val="ImportedStyle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DD97589"/>
    <w:multiLevelType w:val="hybridMultilevel"/>
    <w:tmpl w:val="9300F2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F973D2D"/>
    <w:multiLevelType w:val="hybridMultilevel"/>
    <w:tmpl w:val="5CAEE16A"/>
    <w:styleLink w:val="ImportedStyle5"/>
    <w:lvl w:ilvl="0" w:tplc="4A8E852A">
      <w:start w:val="1"/>
      <w:numFmt w:val="lowerRoman"/>
      <w:lvlText w:val="%1."/>
      <w:lvlJc w:val="left"/>
      <w:pPr>
        <w:ind w:left="72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09AA09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6681E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DE8CA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7A38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8C6B9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B605E4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5CD0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1453A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84D6C6E"/>
    <w:multiLevelType w:val="hybridMultilevel"/>
    <w:tmpl w:val="F0A22862"/>
    <w:styleLink w:val="ImportedStyle18"/>
    <w:lvl w:ilvl="0" w:tplc="7D8CD40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A8178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FC1BC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F6456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64570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9A5B9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302CA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5ABF7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E07F9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37744D8"/>
    <w:multiLevelType w:val="hybridMultilevel"/>
    <w:tmpl w:val="84C889A6"/>
    <w:styleLink w:val="ImportedStyle22"/>
    <w:lvl w:ilvl="0" w:tplc="22C65AA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1DC53B4">
      <w:start w:val="1"/>
      <w:numFmt w:val="bullet"/>
      <w:lvlText w:val="·"/>
      <w:lvlJc w:val="left"/>
      <w:pPr>
        <w:tabs>
          <w:tab w:val="left" w:pos="10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A202CDE">
      <w:start w:val="1"/>
      <w:numFmt w:val="bullet"/>
      <w:lvlText w:val="·"/>
      <w:lvlJc w:val="left"/>
      <w:pPr>
        <w:tabs>
          <w:tab w:val="left" w:pos="108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774FCC4">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4AA732E">
      <w:start w:val="1"/>
      <w:numFmt w:val="bullet"/>
      <w:lvlText w:val="·"/>
      <w:lvlJc w:val="left"/>
      <w:pPr>
        <w:tabs>
          <w:tab w:val="left" w:pos="108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E282636">
      <w:start w:val="1"/>
      <w:numFmt w:val="bullet"/>
      <w:lvlText w:val="·"/>
      <w:lvlJc w:val="left"/>
      <w:pPr>
        <w:tabs>
          <w:tab w:val="left" w:pos="108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CB441C6">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5D07786">
      <w:start w:val="1"/>
      <w:numFmt w:val="bullet"/>
      <w:lvlText w:val="·"/>
      <w:lvlJc w:val="left"/>
      <w:pPr>
        <w:tabs>
          <w:tab w:val="left" w:pos="108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11253AA">
      <w:start w:val="1"/>
      <w:numFmt w:val="bullet"/>
      <w:lvlText w:val="·"/>
      <w:lvlJc w:val="left"/>
      <w:pPr>
        <w:tabs>
          <w:tab w:val="left" w:pos="1080"/>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nsid w:val="278F6244"/>
    <w:multiLevelType w:val="hybridMultilevel"/>
    <w:tmpl w:val="361C383C"/>
    <w:styleLink w:val="ImportedStyle4"/>
    <w:lvl w:ilvl="0" w:tplc="B4C68592">
      <w:start w:val="1"/>
      <w:numFmt w:val="lowerLetter"/>
      <w:lvlText w:val="(%1)"/>
      <w:lvlJc w:val="left"/>
      <w:pPr>
        <w:ind w:left="7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1" w:tplc="A3AA50A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99E7010">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88F48E7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53E838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61230E4">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FF68C1F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A9852F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FBCB0E6">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31AF504E"/>
    <w:multiLevelType w:val="hybridMultilevel"/>
    <w:tmpl w:val="16505CDC"/>
    <w:lvl w:ilvl="0" w:tplc="C2DAD852">
      <w:start w:val="1"/>
      <w:numFmt w:val="decimal"/>
      <w:pStyle w:val="ListParagraph"/>
      <w:lvlText w:val="3.%1."/>
      <w:lvlJc w:val="left"/>
      <w:pPr>
        <w:ind w:left="720" w:hanging="360"/>
      </w:pPr>
      <w:rPr>
        <w:rFonts w:ascii="Times New Roman" w:hAnsi="Times New Roman" w:cs="Times New Roman" w:hint="default"/>
        <w:b w:val="0"/>
        <w:i w:val="0"/>
        <w:iCs w:val="0"/>
        <w:caps w:val="0"/>
        <w:smallCaps w:val="0"/>
        <w:strike w:val="0"/>
        <w:dstrike w:val="0"/>
        <w:outline w:val="0"/>
        <w:shadow w:val="0"/>
        <w:emboss w:val="0"/>
        <w:imprint w:val="0"/>
        <w:vanish w:val="0"/>
        <w:color w:val="000000"/>
        <w:spacing w:val="0"/>
        <w:kern w:val="0"/>
        <w:position w:val="0"/>
        <w:u w:val="none" w:color="000000"/>
        <w:effect w:val="none"/>
        <w:vertAlign w:val="baseline"/>
        <w:em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6CA1486"/>
    <w:multiLevelType w:val="hybridMultilevel"/>
    <w:tmpl w:val="2F4A8F6E"/>
    <w:styleLink w:val="ImportedStyle8"/>
    <w:lvl w:ilvl="0" w:tplc="F15ACA0A">
      <w:start w:val="1"/>
      <w:numFmt w:val="lowerLetter"/>
      <w:lvlText w:val="(%1)"/>
      <w:lvlJc w:val="left"/>
      <w:pPr>
        <w:ind w:left="72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0A019E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7C042AE">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719AB7A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B12D6B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EA83BC2">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EF22991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97C678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FBEDB10">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36E079E3"/>
    <w:multiLevelType w:val="hybridMultilevel"/>
    <w:tmpl w:val="B85E5C74"/>
    <w:styleLink w:val="ImportedStyle9"/>
    <w:lvl w:ilvl="0" w:tplc="5B8A59EE">
      <w:start w:val="1"/>
      <w:numFmt w:val="lowerRoman"/>
      <w:lvlText w:val="%1."/>
      <w:lvlJc w:val="left"/>
      <w:pPr>
        <w:ind w:left="72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8E3E49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B273F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B8E76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024B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C09DC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E548E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B89C2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CCC6C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98D1507"/>
    <w:multiLevelType w:val="hybridMultilevel"/>
    <w:tmpl w:val="931E88DA"/>
    <w:numStyleLink w:val="ImportedStyle7"/>
  </w:abstractNum>
  <w:abstractNum w:abstractNumId="12">
    <w:nsid w:val="3A9E7773"/>
    <w:multiLevelType w:val="hybridMultilevel"/>
    <w:tmpl w:val="735282D8"/>
    <w:styleLink w:val="ImportedStyle21"/>
    <w:lvl w:ilvl="0" w:tplc="0194F4D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8F6213E">
      <w:start w:val="1"/>
      <w:numFmt w:val="bullet"/>
      <w:lvlText w:val="·"/>
      <w:lvlJc w:val="left"/>
      <w:pPr>
        <w:tabs>
          <w:tab w:val="left" w:pos="10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BF422A8">
      <w:start w:val="1"/>
      <w:numFmt w:val="bullet"/>
      <w:lvlText w:val="·"/>
      <w:lvlJc w:val="left"/>
      <w:pPr>
        <w:tabs>
          <w:tab w:val="left" w:pos="108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71A587A">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778F0BC">
      <w:start w:val="1"/>
      <w:numFmt w:val="bullet"/>
      <w:lvlText w:val="·"/>
      <w:lvlJc w:val="left"/>
      <w:pPr>
        <w:tabs>
          <w:tab w:val="left" w:pos="108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E16569C">
      <w:start w:val="1"/>
      <w:numFmt w:val="bullet"/>
      <w:lvlText w:val="·"/>
      <w:lvlJc w:val="left"/>
      <w:pPr>
        <w:tabs>
          <w:tab w:val="left" w:pos="108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AEE99D8">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57C776A">
      <w:start w:val="1"/>
      <w:numFmt w:val="bullet"/>
      <w:lvlText w:val="·"/>
      <w:lvlJc w:val="left"/>
      <w:pPr>
        <w:tabs>
          <w:tab w:val="left" w:pos="108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E78AC72">
      <w:start w:val="1"/>
      <w:numFmt w:val="bullet"/>
      <w:lvlText w:val="·"/>
      <w:lvlJc w:val="left"/>
      <w:pPr>
        <w:tabs>
          <w:tab w:val="left" w:pos="1080"/>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
    <w:nsid w:val="4C5C1DB8"/>
    <w:multiLevelType w:val="multilevel"/>
    <w:tmpl w:val="2500D1E0"/>
    <w:styleLink w:val="ImportedStyle2"/>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08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44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44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80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80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4CD0011E"/>
    <w:multiLevelType w:val="hybridMultilevel"/>
    <w:tmpl w:val="2B5A5FD6"/>
    <w:styleLink w:val="ImportedStyle12"/>
    <w:lvl w:ilvl="0" w:tplc="F0A6A1FA">
      <w:start w:val="1"/>
      <w:numFmt w:val="lowerLetter"/>
      <w:lvlText w:val="(%1)"/>
      <w:lvlJc w:val="left"/>
      <w:pPr>
        <w:ind w:left="7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95401D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BC90A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56437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B90DC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7C5D1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6A59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AA33C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3058E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4E5D1277"/>
    <w:multiLevelType w:val="hybridMultilevel"/>
    <w:tmpl w:val="0158DA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59990169"/>
    <w:multiLevelType w:val="hybridMultilevel"/>
    <w:tmpl w:val="AF98EFD2"/>
    <w:styleLink w:val="ImportedStyle15"/>
    <w:lvl w:ilvl="0" w:tplc="F3EEB87E">
      <w:start w:val="1"/>
      <w:numFmt w:val="bullet"/>
      <w:lvlText w:val="·"/>
      <w:lvlJc w:val="left"/>
      <w:pPr>
        <w:tabs>
          <w:tab w:val="num" w:pos="1440"/>
        </w:tabs>
        <w:ind w:left="731" w:hanging="2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B49EC4">
      <w:start w:val="1"/>
      <w:numFmt w:val="bullet"/>
      <w:lvlText w:val="o"/>
      <w:lvlJc w:val="left"/>
      <w:pPr>
        <w:tabs>
          <w:tab w:val="num" w:pos="2149"/>
        </w:tabs>
        <w:ind w:left="1440" w:hanging="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4ED8E2">
      <w:start w:val="1"/>
      <w:numFmt w:val="bullet"/>
      <w:lvlText w:val="▪"/>
      <w:lvlJc w:val="left"/>
      <w:pPr>
        <w:tabs>
          <w:tab w:val="num" w:pos="2869"/>
        </w:tabs>
        <w:ind w:left="2160" w:hanging="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A61DD6">
      <w:start w:val="1"/>
      <w:numFmt w:val="bullet"/>
      <w:lvlText w:val="·"/>
      <w:lvlJc w:val="left"/>
      <w:pPr>
        <w:tabs>
          <w:tab w:val="num" w:pos="3589"/>
        </w:tabs>
        <w:ind w:left="2880" w:hanging="2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8254A4">
      <w:start w:val="1"/>
      <w:numFmt w:val="bullet"/>
      <w:lvlText w:val="o"/>
      <w:lvlJc w:val="left"/>
      <w:pPr>
        <w:tabs>
          <w:tab w:val="num" w:pos="4309"/>
        </w:tabs>
        <w:ind w:left="3600" w:hanging="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AA1F06">
      <w:start w:val="1"/>
      <w:numFmt w:val="bullet"/>
      <w:lvlText w:val="▪"/>
      <w:lvlJc w:val="left"/>
      <w:pPr>
        <w:tabs>
          <w:tab w:val="num" w:pos="5029"/>
        </w:tabs>
        <w:ind w:left="4320" w:hanging="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64293C">
      <w:start w:val="1"/>
      <w:numFmt w:val="bullet"/>
      <w:lvlText w:val="·"/>
      <w:lvlJc w:val="left"/>
      <w:pPr>
        <w:tabs>
          <w:tab w:val="num" w:pos="5749"/>
        </w:tabs>
        <w:ind w:left="5040" w:hanging="2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F82C8C">
      <w:start w:val="1"/>
      <w:numFmt w:val="bullet"/>
      <w:lvlText w:val="o"/>
      <w:lvlJc w:val="left"/>
      <w:pPr>
        <w:tabs>
          <w:tab w:val="num" w:pos="6469"/>
        </w:tabs>
        <w:ind w:left="5760" w:hanging="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864902">
      <w:start w:val="1"/>
      <w:numFmt w:val="bullet"/>
      <w:lvlText w:val="▪"/>
      <w:lvlJc w:val="left"/>
      <w:pPr>
        <w:tabs>
          <w:tab w:val="num" w:pos="7189"/>
        </w:tabs>
        <w:ind w:left="6480" w:hanging="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5A287CAC"/>
    <w:multiLevelType w:val="hybridMultilevel"/>
    <w:tmpl w:val="3078ED26"/>
    <w:styleLink w:val="ImportedStyle16"/>
    <w:lvl w:ilvl="0" w:tplc="524C933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F21B9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4FAD9E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EB245D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14004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8700AF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6C00C6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BCAF7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9B4A1F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5B2C7714"/>
    <w:multiLevelType w:val="hybridMultilevel"/>
    <w:tmpl w:val="21D2D2FE"/>
    <w:styleLink w:val="ImportedStyle19"/>
    <w:lvl w:ilvl="0" w:tplc="D84ECBB6">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B1046AE">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D7A1D2E">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F847E10">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B06CF36">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C116F23A">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5925294">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EBEA9D2">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3DA3576">
      <w:start w:val="1"/>
      <w:numFmt w:val="bullet"/>
      <w:lvlText w:val="·"/>
      <w:lvlJc w:val="left"/>
      <w:pPr>
        <w:tabs>
          <w:tab w:val="left" w:pos="720"/>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9">
    <w:nsid w:val="5C4747EB"/>
    <w:multiLevelType w:val="hybridMultilevel"/>
    <w:tmpl w:val="931E88DA"/>
    <w:styleLink w:val="ImportedStyle7"/>
    <w:lvl w:ilvl="0" w:tplc="7AA0E8AA">
      <w:start w:val="1"/>
      <w:numFmt w:val="low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747090D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DEA911E">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9C7E3A0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8D0F38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1C6A640">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7376089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BEE8A2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F82C6E8">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nsid w:val="5CCB0FD9"/>
    <w:multiLevelType w:val="hybridMultilevel"/>
    <w:tmpl w:val="436272F6"/>
    <w:lvl w:ilvl="0" w:tplc="E834A314">
      <w:start w:val="1"/>
      <w:numFmt w:val="lowerLetter"/>
      <w:pStyle w:val="Title"/>
      <w:lvlText w:val="(%1)"/>
      <w:lvlJc w:val="center"/>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E7B58DE"/>
    <w:multiLevelType w:val="hybridMultilevel"/>
    <w:tmpl w:val="1B864F78"/>
    <w:styleLink w:val="ImportedStyle6"/>
    <w:lvl w:ilvl="0" w:tplc="0B6EE6E2">
      <w:start w:val="1"/>
      <w:numFmt w:val="lowerRoman"/>
      <w:lvlText w:val="%1."/>
      <w:lvlJc w:val="left"/>
      <w:pPr>
        <w:ind w:left="72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18861B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34CA9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DE8D31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D24D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C2EF4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69A93C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14C2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2869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607F3AE7"/>
    <w:multiLevelType w:val="hybridMultilevel"/>
    <w:tmpl w:val="F1AA8DA6"/>
    <w:lvl w:ilvl="0" w:tplc="1C090001">
      <w:start w:val="1"/>
      <w:numFmt w:val="bullet"/>
      <w:lvlText w:val=""/>
      <w:lvlJc w:val="left"/>
      <w:pPr>
        <w:ind w:left="420" w:hanging="42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CBC0275A">
      <w:start w:val="1"/>
      <w:numFmt w:val="lowerLetter"/>
      <w:lvlText w:val="%2."/>
      <w:lvlJc w:val="left"/>
      <w:pPr>
        <w:ind w:left="11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BA5CB4">
      <w:start w:val="1"/>
      <w:numFmt w:val="lowerRoman"/>
      <w:lvlText w:val="%3."/>
      <w:lvlJc w:val="left"/>
      <w:pPr>
        <w:ind w:left="18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66079F4">
      <w:start w:val="1"/>
      <w:numFmt w:val="decimal"/>
      <w:lvlText w:val="%4."/>
      <w:lvlJc w:val="left"/>
      <w:pPr>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446A68">
      <w:start w:val="1"/>
      <w:numFmt w:val="lowerLetter"/>
      <w:lvlText w:val="%5."/>
      <w:lvlJc w:val="left"/>
      <w:pPr>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8C2D86">
      <w:start w:val="1"/>
      <w:numFmt w:val="lowerRoman"/>
      <w:lvlText w:val="%6."/>
      <w:lvlJc w:val="left"/>
      <w:pPr>
        <w:ind w:left="40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DE86A2A">
      <w:start w:val="1"/>
      <w:numFmt w:val="decimal"/>
      <w:lvlText w:val="%7."/>
      <w:lvlJc w:val="left"/>
      <w:pPr>
        <w:ind w:left="47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8880BE">
      <w:start w:val="1"/>
      <w:numFmt w:val="lowerLetter"/>
      <w:lvlText w:val="%8."/>
      <w:lvlJc w:val="left"/>
      <w:pPr>
        <w:ind w:left="54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12616E">
      <w:start w:val="1"/>
      <w:numFmt w:val="lowerRoman"/>
      <w:lvlText w:val="%9."/>
      <w:lvlJc w:val="left"/>
      <w:pPr>
        <w:ind w:left="6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61E96A82"/>
    <w:multiLevelType w:val="hybridMultilevel"/>
    <w:tmpl w:val="BCBE5A40"/>
    <w:styleLink w:val="ImportedStyle20"/>
    <w:lvl w:ilvl="0" w:tplc="A2DE9F2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2EC31B2">
      <w:start w:val="1"/>
      <w:numFmt w:val="bullet"/>
      <w:lvlText w:val="·"/>
      <w:lvlJc w:val="left"/>
      <w:pPr>
        <w:tabs>
          <w:tab w:val="left" w:pos="10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3DE9978">
      <w:start w:val="1"/>
      <w:numFmt w:val="bullet"/>
      <w:lvlText w:val="·"/>
      <w:lvlJc w:val="left"/>
      <w:pPr>
        <w:tabs>
          <w:tab w:val="left" w:pos="108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4B0A6F4">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D0A52F2">
      <w:start w:val="1"/>
      <w:numFmt w:val="bullet"/>
      <w:lvlText w:val="·"/>
      <w:lvlJc w:val="left"/>
      <w:pPr>
        <w:tabs>
          <w:tab w:val="left" w:pos="108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90A2C48">
      <w:start w:val="1"/>
      <w:numFmt w:val="bullet"/>
      <w:lvlText w:val="·"/>
      <w:lvlJc w:val="left"/>
      <w:pPr>
        <w:tabs>
          <w:tab w:val="left" w:pos="108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BC681B0">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D32F9DA">
      <w:start w:val="1"/>
      <w:numFmt w:val="bullet"/>
      <w:lvlText w:val="·"/>
      <w:lvlJc w:val="left"/>
      <w:pPr>
        <w:tabs>
          <w:tab w:val="left" w:pos="108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B86B38E">
      <w:start w:val="1"/>
      <w:numFmt w:val="bullet"/>
      <w:lvlText w:val="·"/>
      <w:lvlJc w:val="left"/>
      <w:pPr>
        <w:tabs>
          <w:tab w:val="left" w:pos="1080"/>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4">
    <w:nsid w:val="641E2CE5"/>
    <w:multiLevelType w:val="multilevel"/>
    <w:tmpl w:val="39DE46DC"/>
    <w:lvl w:ilvl="0">
      <w:start w:val="1"/>
      <w:numFmt w:val="decimal"/>
      <w:pStyle w:val="Heading1"/>
      <w:lvlText w:val="%1."/>
      <w:lvlJc w:val="left"/>
      <w:pPr>
        <w:ind w:left="567" w:hanging="567"/>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rPr>
    </w:lvl>
    <w:lvl w:ilvl="1">
      <w:start w:val="1"/>
      <w:numFmt w:val="decimal"/>
      <w:pStyle w:val="Heading2"/>
      <w:isLgl/>
      <w:lvlText w:val="%1.%2."/>
      <w:lvlJc w:val="left"/>
      <w:pPr>
        <w:ind w:left="567" w:hanging="567"/>
      </w:pPr>
      <w:rPr>
        <w:rFonts w:hint="default"/>
        <w:b/>
        <w:i w:val="0"/>
      </w:rPr>
    </w:lvl>
    <w:lvl w:ilvl="2">
      <w:start w:val="1"/>
      <w:numFmt w:val="decimal"/>
      <w:pStyle w:val="Heading3"/>
      <w:isLgl/>
      <w:lvlText w:val="%1.%2.%3."/>
      <w:lvlJc w:val="left"/>
      <w:pPr>
        <w:ind w:left="720" w:hanging="720"/>
      </w:pPr>
      <w:rPr>
        <w:rFonts w:ascii="Times New Roman" w:hAnsi="Times New Roman" w:hint="default"/>
        <w:b/>
        <w:i w:val="0"/>
        <w:sz w:val="24"/>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5">
    <w:nsid w:val="68000EA5"/>
    <w:multiLevelType w:val="hybridMultilevel"/>
    <w:tmpl w:val="EB98D0D8"/>
    <w:styleLink w:val="ImportedStyle14"/>
    <w:lvl w:ilvl="0" w:tplc="72522E78">
      <w:start w:val="1"/>
      <w:numFmt w:val="bullet"/>
      <w:lvlText w:val="·"/>
      <w:lvlJc w:val="left"/>
      <w:pPr>
        <w:ind w:left="1440" w:hanging="7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867B00">
      <w:start w:val="1"/>
      <w:numFmt w:val="bullet"/>
      <w:lvlText w:val="o"/>
      <w:lvlJc w:val="left"/>
      <w:pPr>
        <w:ind w:left="2160"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2089C0">
      <w:start w:val="1"/>
      <w:numFmt w:val="bullet"/>
      <w:lvlText w:val="▪"/>
      <w:lvlJc w:val="left"/>
      <w:pPr>
        <w:ind w:left="2880"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408D00">
      <w:start w:val="1"/>
      <w:numFmt w:val="bullet"/>
      <w:lvlText w:val="·"/>
      <w:lvlJc w:val="left"/>
      <w:pPr>
        <w:ind w:left="3600" w:hanging="7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FE01EC">
      <w:start w:val="1"/>
      <w:numFmt w:val="bullet"/>
      <w:lvlText w:val="o"/>
      <w:lvlJc w:val="left"/>
      <w:pPr>
        <w:ind w:left="4320"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E46B9C">
      <w:start w:val="1"/>
      <w:numFmt w:val="bullet"/>
      <w:lvlText w:val="▪"/>
      <w:lvlJc w:val="left"/>
      <w:pPr>
        <w:ind w:left="5040"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2478F8">
      <w:start w:val="1"/>
      <w:numFmt w:val="bullet"/>
      <w:lvlText w:val="·"/>
      <w:lvlJc w:val="left"/>
      <w:pPr>
        <w:ind w:left="5760" w:hanging="7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4A8C5C">
      <w:start w:val="1"/>
      <w:numFmt w:val="bullet"/>
      <w:lvlText w:val="o"/>
      <w:lvlJc w:val="left"/>
      <w:pPr>
        <w:ind w:left="6480"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72EF8E">
      <w:start w:val="1"/>
      <w:numFmt w:val="bullet"/>
      <w:lvlText w:val="▪"/>
      <w:lvlJc w:val="left"/>
      <w:pPr>
        <w:ind w:left="7200" w:hanging="7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6E8F23E1"/>
    <w:multiLevelType w:val="multilevel"/>
    <w:tmpl w:val="2C066C9A"/>
    <w:styleLink w:val="ImportedStyle26"/>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287"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647"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007" w:hanging="20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6F3D49B7"/>
    <w:multiLevelType w:val="multilevel"/>
    <w:tmpl w:val="DF14BA34"/>
    <w:styleLink w:val="ImportedStyle13"/>
    <w:lvl w:ilvl="0">
      <w:start w:val="1"/>
      <w:numFmt w:val="decimal"/>
      <w:lvlText w:val="%1."/>
      <w:lvlJc w:val="left"/>
      <w:pPr>
        <w:ind w:left="524" w:hanging="5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24" w:hanging="52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3.%4.%5.%6."/>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3.%4.%5.%6.%7."/>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3.%4.%5.%6.%7.%8."/>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3.%4.%5.%6.%7.%8.%9."/>
      <w:lvlJc w:val="left"/>
      <w:pPr>
        <w:ind w:left="180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nsid w:val="7019471D"/>
    <w:multiLevelType w:val="multilevel"/>
    <w:tmpl w:val="B5061F5E"/>
    <w:lvl w:ilvl="0">
      <w:start w:val="4"/>
      <w:numFmt w:val="decimal"/>
      <w:lvlText w:val="%1."/>
      <w:lvlJc w:val="left"/>
      <w:pPr>
        <w:ind w:left="600" w:hanging="360"/>
      </w:pPr>
      <w:rPr>
        <w:rFonts w:hint="default"/>
        <w:b/>
      </w:rPr>
    </w:lvl>
    <w:lvl w:ilvl="1">
      <w:start w:val="1"/>
      <w:numFmt w:val="decimal"/>
      <w:isLgl/>
      <w:lvlText w:val="%1.%2"/>
      <w:lvlJc w:val="left"/>
      <w:pPr>
        <w:ind w:left="60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29">
    <w:nsid w:val="70A77FB7"/>
    <w:multiLevelType w:val="multilevel"/>
    <w:tmpl w:val="0F9C5600"/>
    <w:styleLink w:val="ImportedStyle24"/>
    <w:lvl w:ilvl="0">
      <w:start w:val="1"/>
      <w:numFmt w:val="decimal"/>
      <w:lvlText w:val="%1."/>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78FB18BB"/>
    <w:multiLevelType w:val="hybridMultilevel"/>
    <w:tmpl w:val="D96A38B0"/>
    <w:lvl w:ilvl="0" w:tplc="26CCD7E4">
      <w:start w:val="1"/>
      <w:numFmt w:val="decimal"/>
      <w:pStyle w:val="Heading4"/>
      <w:lvlText w:val="1.%1."/>
      <w:lvlJc w:val="right"/>
      <w:pPr>
        <w:ind w:left="720" w:hanging="360"/>
      </w:pPr>
      <w:rPr>
        <w:rFonts w:hint="default"/>
        <w:b/>
        <w:bCs w:val="0"/>
        <w:i w:val="0"/>
        <w:iCs w:val="0"/>
        <w:caps w:val="0"/>
        <w:strike w:val="0"/>
        <w:dstrike w:val="0"/>
        <w:outline w:val="0"/>
        <w:shadow w:val="0"/>
        <w:emboss w:val="0"/>
        <w:imprint w:val="0"/>
        <w:vanish w:val="0"/>
        <w:color w:val="auto"/>
        <w:spacing w:val="0"/>
        <w:kern w:val="0"/>
        <w:position w:val="0"/>
        <w:u w:val="none"/>
        <w:effect w:val="none"/>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9004DB7"/>
    <w:multiLevelType w:val="hybridMultilevel"/>
    <w:tmpl w:val="6DE08EC0"/>
    <w:styleLink w:val="ImportedStyle23"/>
    <w:lvl w:ilvl="0" w:tplc="FDF2C1D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9FE0128">
      <w:start w:val="1"/>
      <w:numFmt w:val="bullet"/>
      <w:lvlText w:val="·"/>
      <w:lvlJc w:val="left"/>
      <w:pPr>
        <w:tabs>
          <w:tab w:val="left" w:pos="10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9AED17E">
      <w:start w:val="1"/>
      <w:numFmt w:val="bullet"/>
      <w:lvlText w:val="·"/>
      <w:lvlJc w:val="left"/>
      <w:pPr>
        <w:tabs>
          <w:tab w:val="left" w:pos="108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AE8F22E">
      <w:start w:val="1"/>
      <w:numFmt w:val="bullet"/>
      <w:lvlText w:val="·"/>
      <w:lvlJc w:val="left"/>
      <w:pPr>
        <w:tabs>
          <w:tab w:val="left" w:pos="108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B9EB224">
      <w:start w:val="1"/>
      <w:numFmt w:val="bullet"/>
      <w:lvlText w:val="·"/>
      <w:lvlJc w:val="left"/>
      <w:pPr>
        <w:tabs>
          <w:tab w:val="left" w:pos="108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A0A38F8">
      <w:start w:val="1"/>
      <w:numFmt w:val="bullet"/>
      <w:lvlText w:val="·"/>
      <w:lvlJc w:val="left"/>
      <w:pPr>
        <w:tabs>
          <w:tab w:val="left" w:pos="108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EB6C64C">
      <w:start w:val="1"/>
      <w:numFmt w:val="bullet"/>
      <w:lvlText w:val="·"/>
      <w:lvlJc w:val="left"/>
      <w:pPr>
        <w:tabs>
          <w:tab w:val="left" w:pos="108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F7A004A">
      <w:start w:val="1"/>
      <w:numFmt w:val="bullet"/>
      <w:lvlText w:val="·"/>
      <w:lvlJc w:val="left"/>
      <w:pPr>
        <w:tabs>
          <w:tab w:val="left" w:pos="108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1045636">
      <w:start w:val="1"/>
      <w:numFmt w:val="bullet"/>
      <w:lvlText w:val="·"/>
      <w:lvlJc w:val="left"/>
      <w:pPr>
        <w:tabs>
          <w:tab w:val="left" w:pos="1080"/>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2">
    <w:nsid w:val="7C1B5A73"/>
    <w:multiLevelType w:val="hybridMultilevel"/>
    <w:tmpl w:val="7CEE2EBE"/>
    <w:styleLink w:val="ImportedStyle10"/>
    <w:lvl w:ilvl="0" w:tplc="B07C1250">
      <w:start w:val="1"/>
      <w:numFmt w:val="lowerLetter"/>
      <w:lvlText w:val="(%1)"/>
      <w:lvlJc w:val="left"/>
      <w:pPr>
        <w:ind w:left="7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0622C2C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08B72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B32A28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B2780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E062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3EEE2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B40FC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AC3AD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7D4C19B9"/>
    <w:multiLevelType w:val="hybridMultilevel"/>
    <w:tmpl w:val="5CAEE16A"/>
    <w:numStyleLink w:val="ImportedStyle5"/>
  </w:abstractNum>
  <w:abstractNum w:abstractNumId="34">
    <w:nsid w:val="7F024488"/>
    <w:multiLevelType w:val="multilevel"/>
    <w:tmpl w:val="9B6E38A8"/>
    <w:styleLink w:val="ImportedStyle17"/>
    <w:lvl w:ilvl="0">
      <w:start w:val="1"/>
      <w:numFmt w:val="decimal"/>
      <w:lvlText w:val="%1."/>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3"/>
  </w:num>
  <w:num w:numId="3">
    <w:abstractNumId w:val="1"/>
  </w:num>
  <w:num w:numId="4">
    <w:abstractNumId w:val="7"/>
  </w:num>
  <w:num w:numId="5">
    <w:abstractNumId w:val="4"/>
  </w:num>
  <w:num w:numId="6">
    <w:abstractNumId w:val="33"/>
  </w:num>
  <w:num w:numId="7">
    <w:abstractNumId w:val="21"/>
  </w:num>
  <w:num w:numId="8">
    <w:abstractNumId w:val="19"/>
  </w:num>
  <w:num w:numId="9">
    <w:abstractNumId w:val="11"/>
    <w:lvlOverride w:ilvl="0">
      <w:lvl w:ilvl="0" w:tplc="F698BDD2">
        <w:start w:val="1"/>
        <w:numFmt w:val="lowerRoman"/>
        <w:lvlText w:val="%1."/>
        <w:lvlJc w:val="left"/>
        <w:pPr>
          <w:ind w:left="720" w:hanging="48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10">
    <w:abstractNumId w:val="9"/>
  </w:num>
  <w:num w:numId="11">
    <w:abstractNumId w:val="10"/>
  </w:num>
  <w:num w:numId="12">
    <w:abstractNumId w:val="32"/>
  </w:num>
  <w:num w:numId="13">
    <w:abstractNumId w:val="0"/>
  </w:num>
  <w:num w:numId="14">
    <w:abstractNumId w:val="14"/>
  </w:num>
  <w:num w:numId="15">
    <w:abstractNumId w:val="27"/>
  </w:num>
  <w:num w:numId="16">
    <w:abstractNumId w:val="25"/>
  </w:num>
  <w:num w:numId="17">
    <w:abstractNumId w:val="16"/>
  </w:num>
  <w:num w:numId="18">
    <w:abstractNumId w:val="17"/>
  </w:num>
  <w:num w:numId="19">
    <w:abstractNumId w:val="34"/>
  </w:num>
  <w:num w:numId="20">
    <w:abstractNumId w:val="5"/>
  </w:num>
  <w:num w:numId="21">
    <w:abstractNumId w:val="18"/>
  </w:num>
  <w:num w:numId="22">
    <w:abstractNumId w:val="23"/>
  </w:num>
  <w:num w:numId="23">
    <w:abstractNumId w:val="12"/>
  </w:num>
  <w:num w:numId="24">
    <w:abstractNumId w:val="6"/>
  </w:num>
  <w:num w:numId="25">
    <w:abstractNumId w:val="31"/>
  </w:num>
  <w:num w:numId="26">
    <w:abstractNumId w:val="29"/>
  </w:num>
  <w:num w:numId="27">
    <w:abstractNumId w:val="26"/>
  </w:num>
  <w:num w:numId="28">
    <w:abstractNumId w:val="28"/>
  </w:num>
  <w:num w:numId="29">
    <w:abstractNumId w:val="24"/>
  </w:num>
  <w:num w:numId="30">
    <w:abstractNumId w:val="20"/>
  </w:num>
  <w:num w:numId="31">
    <w:abstractNumId w:val="30"/>
  </w:num>
  <w:num w:numId="32">
    <w:abstractNumId w:val="8"/>
  </w:num>
  <w:num w:numId="33">
    <w:abstractNumId w:val="22"/>
  </w:num>
  <w:num w:numId="34">
    <w:abstractNumId w:val="24"/>
  </w:num>
  <w:num w:numId="35">
    <w:abstractNumId w:val="24"/>
  </w:num>
  <w:num w:numId="36">
    <w:abstractNumId w:val="15"/>
  </w:num>
  <w:num w:numId="37">
    <w:abstractNumId w:val="3"/>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5122"/>
  </w:hdrShapeDefaults>
  <w:footnotePr>
    <w:footnote w:id="-1"/>
    <w:footnote w:id="0"/>
    <w:footnote w:id="1"/>
  </w:footnotePr>
  <w:endnotePr>
    <w:endnote w:id="-1"/>
    <w:endnote w:id="0"/>
  </w:endnotePr>
  <w:compat>
    <w:useFELayout/>
  </w:compat>
  <w:rsids>
    <w:rsidRoot w:val="004802CB"/>
    <w:rsid w:val="000105DF"/>
    <w:rsid w:val="00027224"/>
    <w:rsid w:val="0003574C"/>
    <w:rsid w:val="0003667F"/>
    <w:rsid w:val="00066DB2"/>
    <w:rsid w:val="000676CA"/>
    <w:rsid w:val="00081AD4"/>
    <w:rsid w:val="0008374C"/>
    <w:rsid w:val="000A2AEB"/>
    <w:rsid w:val="000B389E"/>
    <w:rsid w:val="000C6811"/>
    <w:rsid w:val="000D4380"/>
    <w:rsid w:val="000F1AC7"/>
    <w:rsid w:val="00102ACC"/>
    <w:rsid w:val="0010386A"/>
    <w:rsid w:val="001051D4"/>
    <w:rsid w:val="00114685"/>
    <w:rsid w:val="00114B19"/>
    <w:rsid w:val="00116684"/>
    <w:rsid w:val="00121F1D"/>
    <w:rsid w:val="00122D78"/>
    <w:rsid w:val="00127758"/>
    <w:rsid w:val="00141090"/>
    <w:rsid w:val="00144E53"/>
    <w:rsid w:val="001473D0"/>
    <w:rsid w:val="0016657B"/>
    <w:rsid w:val="001873E3"/>
    <w:rsid w:val="00187619"/>
    <w:rsid w:val="00193EEB"/>
    <w:rsid w:val="00194C93"/>
    <w:rsid w:val="001B54BA"/>
    <w:rsid w:val="001C5293"/>
    <w:rsid w:val="001E0275"/>
    <w:rsid w:val="001E6F01"/>
    <w:rsid w:val="001E7D86"/>
    <w:rsid w:val="001F31DC"/>
    <w:rsid w:val="001F5A1F"/>
    <w:rsid w:val="001F7BAA"/>
    <w:rsid w:val="00214638"/>
    <w:rsid w:val="00222B72"/>
    <w:rsid w:val="00223D5A"/>
    <w:rsid w:val="00231115"/>
    <w:rsid w:val="00231118"/>
    <w:rsid w:val="00237D94"/>
    <w:rsid w:val="00241567"/>
    <w:rsid w:val="00245686"/>
    <w:rsid w:val="00252801"/>
    <w:rsid w:val="00252D66"/>
    <w:rsid w:val="002556FC"/>
    <w:rsid w:val="002726F6"/>
    <w:rsid w:val="002804BC"/>
    <w:rsid w:val="00296E8D"/>
    <w:rsid w:val="002B740F"/>
    <w:rsid w:val="002C4255"/>
    <w:rsid w:val="002C7152"/>
    <w:rsid w:val="002C7718"/>
    <w:rsid w:val="002D3676"/>
    <w:rsid w:val="002E4A86"/>
    <w:rsid w:val="002F2368"/>
    <w:rsid w:val="002F25B0"/>
    <w:rsid w:val="003035D5"/>
    <w:rsid w:val="003102C8"/>
    <w:rsid w:val="00311E31"/>
    <w:rsid w:val="00317B87"/>
    <w:rsid w:val="00341AB5"/>
    <w:rsid w:val="00353A74"/>
    <w:rsid w:val="00360AAE"/>
    <w:rsid w:val="00367FC8"/>
    <w:rsid w:val="0038423C"/>
    <w:rsid w:val="003850A6"/>
    <w:rsid w:val="003A1991"/>
    <w:rsid w:val="003B6653"/>
    <w:rsid w:val="003E4E7A"/>
    <w:rsid w:val="003E4FC5"/>
    <w:rsid w:val="003F0854"/>
    <w:rsid w:val="00400880"/>
    <w:rsid w:val="004041BC"/>
    <w:rsid w:val="0040544B"/>
    <w:rsid w:val="004073E7"/>
    <w:rsid w:val="004167E3"/>
    <w:rsid w:val="0042234D"/>
    <w:rsid w:val="004258D3"/>
    <w:rsid w:val="0043020A"/>
    <w:rsid w:val="00446635"/>
    <w:rsid w:val="00450C42"/>
    <w:rsid w:val="004554E1"/>
    <w:rsid w:val="00460DF9"/>
    <w:rsid w:val="00476DD6"/>
    <w:rsid w:val="004802CB"/>
    <w:rsid w:val="00487349"/>
    <w:rsid w:val="004878E9"/>
    <w:rsid w:val="00490D7A"/>
    <w:rsid w:val="00490E5E"/>
    <w:rsid w:val="004A3F4D"/>
    <w:rsid w:val="004B4506"/>
    <w:rsid w:val="004B7E82"/>
    <w:rsid w:val="004C3F50"/>
    <w:rsid w:val="004C5DAD"/>
    <w:rsid w:val="004D4D3E"/>
    <w:rsid w:val="004E067F"/>
    <w:rsid w:val="004E6991"/>
    <w:rsid w:val="004F4BEE"/>
    <w:rsid w:val="00520771"/>
    <w:rsid w:val="005230D0"/>
    <w:rsid w:val="00527503"/>
    <w:rsid w:val="00527C28"/>
    <w:rsid w:val="005325F3"/>
    <w:rsid w:val="00542DB5"/>
    <w:rsid w:val="00545535"/>
    <w:rsid w:val="005623E4"/>
    <w:rsid w:val="00571661"/>
    <w:rsid w:val="00572257"/>
    <w:rsid w:val="005749C2"/>
    <w:rsid w:val="00582545"/>
    <w:rsid w:val="00585D25"/>
    <w:rsid w:val="005B376E"/>
    <w:rsid w:val="005B53A4"/>
    <w:rsid w:val="005E0958"/>
    <w:rsid w:val="005E4CBD"/>
    <w:rsid w:val="005E54D0"/>
    <w:rsid w:val="005F0D30"/>
    <w:rsid w:val="0060320C"/>
    <w:rsid w:val="006078C7"/>
    <w:rsid w:val="00627C56"/>
    <w:rsid w:val="00633316"/>
    <w:rsid w:val="00642484"/>
    <w:rsid w:val="00645AD5"/>
    <w:rsid w:val="006525B7"/>
    <w:rsid w:val="0065581B"/>
    <w:rsid w:val="006866D6"/>
    <w:rsid w:val="00697AC1"/>
    <w:rsid w:val="006A3D36"/>
    <w:rsid w:val="006A7598"/>
    <w:rsid w:val="006B18E1"/>
    <w:rsid w:val="006C0119"/>
    <w:rsid w:val="006C6CC3"/>
    <w:rsid w:val="006D323B"/>
    <w:rsid w:val="006F12A3"/>
    <w:rsid w:val="006F45CE"/>
    <w:rsid w:val="00720008"/>
    <w:rsid w:val="007234F8"/>
    <w:rsid w:val="007278B2"/>
    <w:rsid w:val="00727BCB"/>
    <w:rsid w:val="0073515B"/>
    <w:rsid w:val="007516D3"/>
    <w:rsid w:val="00751C2B"/>
    <w:rsid w:val="00757862"/>
    <w:rsid w:val="00761462"/>
    <w:rsid w:val="00761DFF"/>
    <w:rsid w:val="00765303"/>
    <w:rsid w:val="007669E7"/>
    <w:rsid w:val="00774561"/>
    <w:rsid w:val="007749D2"/>
    <w:rsid w:val="00775ED7"/>
    <w:rsid w:val="00776F2A"/>
    <w:rsid w:val="00780D59"/>
    <w:rsid w:val="0078747D"/>
    <w:rsid w:val="00794677"/>
    <w:rsid w:val="007A1ABC"/>
    <w:rsid w:val="007B379D"/>
    <w:rsid w:val="007C0998"/>
    <w:rsid w:val="007C09BF"/>
    <w:rsid w:val="007C4CA2"/>
    <w:rsid w:val="007C75D3"/>
    <w:rsid w:val="007D2E10"/>
    <w:rsid w:val="007E3CCB"/>
    <w:rsid w:val="007E70D6"/>
    <w:rsid w:val="0080197A"/>
    <w:rsid w:val="008024EA"/>
    <w:rsid w:val="00804F89"/>
    <w:rsid w:val="00816F02"/>
    <w:rsid w:val="008202AA"/>
    <w:rsid w:val="00823216"/>
    <w:rsid w:val="00833E87"/>
    <w:rsid w:val="008412CF"/>
    <w:rsid w:val="0084299B"/>
    <w:rsid w:val="00876752"/>
    <w:rsid w:val="00890341"/>
    <w:rsid w:val="00890D8C"/>
    <w:rsid w:val="008A49A1"/>
    <w:rsid w:val="008A74AE"/>
    <w:rsid w:val="008C197C"/>
    <w:rsid w:val="008D48EF"/>
    <w:rsid w:val="008D6CBE"/>
    <w:rsid w:val="008E56C3"/>
    <w:rsid w:val="008E6C11"/>
    <w:rsid w:val="00904B37"/>
    <w:rsid w:val="00912DD2"/>
    <w:rsid w:val="00923829"/>
    <w:rsid w:val="00927C92"/>
    <w:rsid w:val="00933668"/>
    <w:rsid w:val="00935528"/>
    <w:rsid w:val="00935686"/>
    <w:rsid w:val="00936562"/>
    <w:rsid w:val="00940948"/>
    <w:rsid w:val="00943DB9"/>
    <w:rsid w:val="00947CD2"/>
    <w:rsid w:val="00954A2D"/>
    <w:rsid w:val="009556F0"/>
    <w:rsid w:val="00960A0A"/>
    <w:rsid w:val="0096516E"/>
    <w:rsid w:val="00965715"/>
    <w:rsid w:val="00966748"/>
    <w:rsid w:val="0096713D"/>
    <w:rsid w:val="00970216"/>
    <w:rsid w:val="00970236"/>
    <w:rsid w:val="009710CF"/>
    <w:rsid w:val="00973088"/>
    <w:rsid w:val="00990976"/>
    <w:rsid w:val="009A4AA3"/>
    <w:rsid w:val="009A5541"/>
    <w:rsid w:val="009B4F58"/>
    <w:rsid w:val="009C1669"/>
    <w:rsid w:val="009C569B"/>
    <w:rsid w:val="009C5F3A"/>
    <w:rsid w:val="009C6499"/>
    <w:rsid w:val="009C67F0"/>
    <w:rsid w:val="009D24AC"/>
    <w:rsid w:val="009E6E34"/>
    <w:rsid w:val="00A001DB"/>
    <w:rsid w:val="00A01138"/>
    <w:rsid w:val="00A0240B"/>
    <w:rsid w:val="00A06E3B"/>
    <w:rsid w:val="00A139BA"/>
    <w:rsid w:val="00A14BD1"/>
    <w:rsid w:val="00A25C71"/>
    <w:rsid w:val="00A34CC4"/>
    <w:rsid w:val="00A3748E"/>
    <w:rsid w:val="00A402BF"/>
    <w:rsid w:val="00A53625"/>
    <w:rsid w:val="00A63DA4"/>
    <w:rsid w:val="00A64404"/>
    <w:rsid w:val="00A6639F"/>
    <w:rsid w:val="00A72876"/>
    <w:rsid w:val="00A872D8"/>
    <w:rsid w:val="00A87768"/>
    <w:rsid w:val="00A90DB5"/>
    <w:rsid w:val="00A9734F"/>
    <w:rsid w:val="00AA0C67"/>
    <w:rsid w:val="00AA4610"/>
    <w:rsid w:val="00AA7920"/>
    <w:rsid w:val="00AC0E6E"/>
    <w:rsid w:val="00AC47D8"/>
    <w:rsid w:val="00AC5E44"/>
    <w:rsid w:val="00AD614C"/>
    <w:rsid w:val="00AE32F0"/>
    <w:rsid w:val="00AF2795"/>
    <w:rsid w:val="00AF4C0F"/>
    <w:rsid w:val="00AF5288"/>
    <w:rsid w:val="00B24683"/>
    <w:rsid w:val="00B25B61"/>
    <w:rsid w:val="00B26DE9"/>
    <w:rsid w:val="00B27871"/>
    <w:rsid w:val="00B36B24"/>
    <w:rsid w:val="00B44505"/>
    <w:rsid w:val="00B514C8"/>
    <w:rsid w:val="00B625EE"/>
    <w:rsid w:val="00B62D86"/>
    <w:rsid w:val="00B81632"/>
    <w:rsid w:val="00BB2E1E"/>
    <w:rsid w:val="00BB3E22"/>
    <w:rsid w:val="00BC0D60"/>
    <w:rsid w:val="00BC3FF3"/>
    <w:rsid w:val="00BE6237"/>
    <w:rsid w:val="00BF5980"/>
    <w:rsid w:val="00BF7556"/>
    <w:rsid w:val="00C12ED5"/>
    <w:rsid w:val="00C363A3"/>
    <w:rsid w:val="00C36D89"/>
    <w:rsid w:val="00C5301E"/>
    <w:rsid w:val="00C54E05"/>
    <w:rsid w:val="00C60D21"/>
    <w:rsid w:val="00C6282D"/>
    <w:rsid w:val="00C923E8"/>
    <w:rsid w:val="00CA0080"/>
    <w:rsid w:val="00CC33E3"/>
    <w:rsid w:val="00CC52C4"/>
    <w:rsid w:val="00CE1CA7"/>
    <w:rsid w:val="00CE4343"/>
    <w:rsid w:val="00CF1119"/>
    <w:rsid w:val="00CF1CB9"/>
    <w:rsid w:val="00CF7886"/>
    <w:rsid w:val="00D11895"/>
    <w:rsid w:val="00D24A11"/>
    <w:rsid w:val="00D2608E"/>
    <w:rsid w:val="00D31DCD"/>
    <w:rsid w:val="00D31EDF"/>
    <w:rsid w:val="00D3378F"/>
    <w:rsid w:val="00D35B7D"/>
    <w:rsid w:val="00D35B84"/>
    <w:rsid w:val="00D400B1"/>
    <w:rsid w:val="00D41ABC"/>
    <w:rsid w:val="00D453E3"/>
    <w:rsid w:val="00D5110F"/>
    <w:rsid w:val="00D5747B"/>
    <w:rsid w:val="00D60FC0"/>
    <w:rsid w:val="00D7196A"/>
    <w:rsid w:val="00D74C17"/>
    <w:rsid w:val="00D77569"/>
    <w:rsid w:val="00D8136D"/>
    <w:rsid w:val="00D84575"/>
    <w:rsid w:val="00D847D8"/>
    <w:rsid w:val="00DA5B5B"/>
    <w:rsid w:val="00DA5CDE"/>
    <w:rsid w:val="00DB4D63"/>
    <w:rsid w:val="00DC0E79"/>
    <w:rsid w:val="00DC7A70"/>
    <w:rsid w:val="00DD071F"/>
    <w:rsid w:val="00DD2955"/>
    <w:rsid w:val="00DD3D0A"/>
    <w:rsid w:val="00DE4A0E"/>
    <w:rsid w:val="00DF013E"/>
    <w:rsid w:val="00DF2759"/>
    <w:rsid w:val="00E1172D"/>
    <w:rsid w:val="00E338A3"/>
    <w:rsid w:val="00E540BA"/>
    <w:rsid w:val="00E56AFA"/>
    <w:rsid w:val="00E645FD"/>
    <w:rsid w:val="00E657EB"/>
    <w:rsid w:val="00E7765D"/>
    <w:rsid w:val="00E80258"/>
    <w:rsid w:val="00E8077B"/>
    <w:rsid w:val="00E84455"/>
    <w:rsid w:val="00E866EB"/>
    <w:rsid w:val="00E93EDA"/>
    <w:rsid w:val="00E94C78"/>
    <w:rsid w:val="00EA4868"/>
    <w:rsid w:val="00EB1047"/>
    <w:rsid w:val="00EB3E36"/>
    <w:rsid w:val="00EB7C1E"/>
    <w:rsid w:val="00ED1324"/>
    <w:rsid w:val="00ED1DE3"/>
    <w:rsid w:val="00EE269B"/>
    <w:rsid w:val="00EE7780"/>
    <w:rsid w:val="00F071D7"/>
    <w:rsid w:val="00F15323"/>
    <w:rsid w:val="00F27DB8"/>
    <w:rsid w:val="00F3166F"/>
    <w:rsid w:val="00F42C85"/>
    <w:rsid w:val="00F81323"/>
    <w:rsid w:val="00F824D5"/>
    <w:rsid w:val="00F83F33"/>
    <w:rsid w:val="00F84D07"/>
    <w:rsid w:val="00F87635"/>
    <w:rsid w:val="00F90E36"/>
    <w:rsid w:val="00FA3EA5"/>
    <w:rsid w:val="00FA7497"/>
    <w:rsid w:val="00FB7B1B"/>
    <w:rsid w:val="00FE6EAE"/>
    <w:rsid w:val="00FF12E9"/>
    <w:rsid w:val="00FF42CF"/>
    <w:rsid w:val="00FF4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5D25"/>
    <w:rPr>
      <w:sz w:val="24"/>
      <w:szCs w:val="24"/>
      <w:lang w:val="en-US" w:eastAsia="en-US"/>
    </w:rPr>
  </w:style>
  <w:style w:type="paragraph" w:styleId="Heading1">
    <w:name w:val="heading 1"/>
    <w:basedOn w:val="Normal"/>
    <w:next w:val="Normal"/>
    <w:link w:val="Heading1Char"/>
    <w:uiPriority w:val="9"/>
    <w:qFormat/>
    <w:rsid w:val="000105DF"/>
    <w:pPr>
      <w:keepNext/>
      <w:keepLines/>
      <w:numPr>
        <w:numId w:val="29"/>
      </w:numPr>
      <w:spacing w:before="120" w:line="360" w:lineRule="auto"/>
      <w:outlineLvl w:val="0"/>
    </w:pPr>
    <w:rPr>
      <w:rFonts w:eastAsiaTheme="majorEastAsia"/>
      <w:b/>
      <w:caps/>
      <w:szCs w:val="32"/>
    </w:rPr>
  </w:style>
  <w:style w:type="paragraph" w:styleId="Heading2">
    <w:name w:val="heading 2"/>
    <w:basedOn w:val="Body"/>
    <w:next w:val="Normal"/>
    <w:link w:val="Heading2Char"/>
    <w:uiPriority w:val="9"/>
    <w:unhideWhenUsed/>
    <w:qFormat/>
    <w:rsid w:val="00C36D89"/>
    <w:pPr>
      <w:numPr>
        <w:ilvl w:val="1"/>
        <w:numId w:val="29"/>
      </w:numPr>
      <w:spacing w:line="36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C36D89"/>
    <w:pPr>
      <w:keepNext/>
      <w:keepLines/>
      <w:numPr>
        <w:ilvl w:val="2"/>
        <w:numId w:val="29"/>
      </w:numPr>
      <w:outlineLvl w:val="2"/>
    </w:pPr>
    <w:rPr>
      <w:rFonts w:eastAsiaTheme="majorEastAsia" w:cstheme="majorBidi"/>
      <w:b/>
      <w:color w:val="0D0D0D" w:themeColor="text1" w:themeTint="F2"/>
    </w:rPr>
  </w:style>
  <w:style w:type="paragraph" w:styleId="Heading4">
    <w:name w:val="heading 4"/>
    <w:basedOn w:val="Normal"/>
    <w:next w:val="Normal"/>
    <w:link w:val="Heading4Char"/>
    <w:uiPriority w:val="9"/>
    <w:semiHidden/>
    <w:unhideWhenUsed/>
    <w:qFormat/>
    <w:rsid w:val="00D2608E"/>
    <w:pPr>
      <w:keepNext/>
      <w:keepLines/>
      <w:numPr>
        <w:numId w:val="31"/>
      </w:numPr>
      <w:spacing w:before="40"/>
      <w:jc w:val="both"/>
      <w:outlineLvl w:val="3"/>
    </w:pPr>
    <w:rPr>
      <w:rFonts w:eastAsiaTheme="majorEastAsia" w:cstheme="majorBidi"/>
      <w:b/>
      <w:i/>
      <w:iCs/>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5D25"/>
    <w:rPr>
      <w:u w:val="single"/>
    </w:rPr>
  </w:style>
  <w:style w:type="paragraph" w:customStyle="1" w:styleId="HeaderFooter">
    <w:name w:val="Header &amp; Footer"/>
    <w:rsid w:val="00585D25"/>
    <w:pPr>
      <w:tabs>
        <w:tab w:val="right" w:pos="9020"/>
      </w:tabs>
    </w:pPr>
    <w:rPr>
      <w:rFonts w:ascii="Helvetica Neue" w:hAnsi="Helvetica Neue" w:cs="Arial Unicode MS"/>
      <w:color w:val="000000"/>
      <w:sz w:val="24"/>
      <w:szCs w:val="24"/>
    </w:rPr>
  </w:style>
  <w:style w:type="paragraph" w:customStyle="1" w:styleId="Body">
    <w:name w:val="Body"/>
    <w:rsid w:val="00585D25"/>
    <w:pPr>
      <w:widowControl w:val="0"/>
      <w:spacing w:line="280" w:lineRule="auto"/>
      <w:jc w:val="both"/>
    </w:pPr>
    <w:rPr>
      <w:rFonts w:ascii="Arial" w:hAnsi="Arial" w:cs="Arial Unicode MS"/>
      <w:color w:val="000000"/>
      <w:sz w:val="22"/>
      <w:szCs w:val="22"/>
      <w:u w:color="000000"/>
    </w:rPr>
  </w:style>
  <w:style w:type="numbering" w:customStyle="1" w:styleId="ImportedStyle1">
    <w:name w:val="Imported Style 1"/>
    <w:rsid w:val="00585D25"/>
    <w:pPr>
      <w:numPr>
        <w:numId w:val="1"/>
      </w:numPr>
    </w:pPr>
  </w:style>
  <w:style w:type="numbering" w:customStyle="1" w:styleId="ImportedStyle2">
    <w:name w:val="Imported Style 2"/>
    <w:rsid w:val="00585D25"/>
    <w:pPr>
      <w:numPr>
        <w:numId w:val="2"/>
      </w:numPr>
    </w:pPr>
  </w:style>
  <w:style w:type="paragraph" w:styleId="ListParagraph">
    <w:name w:val="List Paragraph"/>
    <w:aliases w:val="List Paragraph 1,Bullets,Recommendation,List Paragraph1,Table of contents numbered"/>
    <w:basedOn w:val="Heading2"/>
    <w:link w:val="ListParagraphChar"/>
    <w:uiPriority w:val="34"/>
    <w:qFormat/>
    <w:rsid w:val="007D2E10"/>
    <w:pPr>
      <w:numPr>
        <w:ilvl w:val="0"/>
        <w:numId w:val="32"/>
      </w:numPr>
    </w:pPr>
    <w:rPr>
      <w:b w:val="0"/>
    </w:rPr>
  </w:style>
  <w:style w:type="numbering" w:customStyle="1" w:styleId="ImportedStyle3">
    <w:name w:val="Imported Style 3"/>
    <w:rsid w:val="00585D25"/>
    <w:pPr>
      <w:numPr>
        <w:numId w:val="3"/>
      </w:numPr>
    </w:pPr>
  </w:style>
  <w:style w:type="numbering" w:customStyle="1" w:styleId="ImportedStyle4">
    <w:name w:val="Imported Style 4"/>
    <w:rsid w:val="00585D25"/>
    <w:pPr>
      <w:numPr>
        <w:numId w:val="4"/>
      </w:numPr>
    </w:pPr>
  </w:style>
  <w:style w:type="numbering" w:customStyle="1" w:styleId="ImportedStyle5">
    <w:name w:val="Imported Style 5"/>
    <w:rsid w:val="00585D25"/>
    <w:pPr>
      <w:numPr>
        <w:numId w:val="5"/>
      </w:numPr>
    </w:pPr>
  </w:style>
  <w:style w:type="numbering" w:customStyle="1" w:styleId="ImportedStyle6">
    <w:name w:val="Imported Style 6"/>
    <w:rsid w:val="00585D25"/>
    <w:pPr>
      <w:numPr>
        <w:numId w:val="7"/>
      </w:numPr>
    </w:pPr>
  </w:style>
  <w:style w:type="paragraph" w:customStyle="1" w:styleId="Default">
    <w:name w:val="Default"/>
    <w:rsid w:val="00585D25"/>
    <w:pPr>
      <w:spacing w:before="160"/>
    </w:pPr>
    <w:rPr>
      <w:rFonts w:ascii="Helvetica Neue" w:eastAsia="Helvetica Neue" w:hAnsi="Helvetica Neue" w:cs="Helvetica Neue"/>
      <w:color w:val="000000"/>
      <w:sz w:val="24"/>
      <w:szCs w:val="24"/>
    </w:rPr>
  </w:style>
  <w:style w:type="numbering" w:customStyle="1" w:styleId="ImportedStyle7">
    <w:name w:val="Imported Style 7"/>
    <w:rsid w:val="00585D25"/>
    <w:pPr>
      <w:numPr>
        <w:numId w:val="8"/>
      </w:numPr>
    </w:pPr>
  </w:style>
  <w:style w:type="numbering" w:customStyle="1" w:styleId="ImportedStyle8">
    <w:name w:val="Imported Style 8"/>
    <w:rsid w:val="00585D25"/>
    <w:pPr>
      <w:numPr>
        <w:numId w:val="10"/>
      </w:numPr>
    </w:pPr>
  </w:style>
  <w:style w:type="numbering" w:customStyle="1" w:styleId="ImportedStyle9">
    <w:name w:val="Imported Style 9"/>
    <w:rsid w:val="00585D25"/>
    <w:pPr>
      <w:numPr>
        <w:numId w:val="11"/>
      </w:numPr>
    </w:pPr>
  </w:style>
  <w:style w:type="numbering" w:customStyle="1" w:styleId="ImportedStyle10">
    <w:name w:val="Imported Style 10"/>
    <w:rsid w:val="00585D25"/>
    <w:pPr>
      <w:numPr>
        <w:numId w:val="12"/>
      </w:numPr>
    </w:pPr>
  </w:style>
  <w:style w:type="numbering" w:customStyle="1" w:styleId="ImportedStyle11">
    <w:name w:val="Imported Style 11"/>
    <w:rsid w:val="00585D25"/>
    <w:pPr>
      <w:numPr>
        <w:numId w:val="13"/>
      </w:numPr>
    </w:pPr>
  </w:style>
  <w:style w:type="numbering" w:customStyle="1" w:styleId="ImportedStyle12">
    <w:name w:val="Imported Style 12"/>
    <w:rsid w:val="00585D25"/>
    <w:pPr>
      <w:numPr>
        <w:numId w:val="14"/>
      </w:numPr>
    </w:pPr>
  </w:style>
  <w:style w:type="numbering" w:customStyle="1" w:styleId="ImportedStyle13">
    <w:name w:val="Imported Style 13"/>
    <w:rsid w:val="00585D25"/>
    <w:pPr>
      <w:numPr>
        <w:numId w:val="15"/>
      </w:numPr>
    </w:pPr>
  </w:style>
  <w:style w:type="numbering" w:customStyle="1" w:styleId="ImportedStyle14">
    <w:name w:val="Imported Style 14"/>
    <w:rsid w:val="00585D25"/>
    <w:pPr>
      <w:numPr>
        <w:numId w:val="16"/>
      </w:numPr>
    </w:pPr>
  </w:style>
  <w:style w:type="numbering" w:customStyle="1" w:styleId="ImportedStyle15">
    <w:name w:val="Imported Style 15"/>
    <w:rsid w:val="00585D25"/>
    <w:pPr>
      <w:numPr>
        <w:numId w:val="17"/>
      </w:numPr>
    </w:pPr>
  </w:style>
  <w:style w:type="numbering" w:customStyle="1" w:styleId="ImportedStyle16">
    <w:name w:val="Imported Style 16"/>
    <w:rsid w:val="00585D25"/>
    <w:pPr>
      <w:numPr>
        <w:numId w:val="18"/>
      </w:numPr>
    </w:pPr>
  </w:style>
  <w:style w:type="numbering" w:customStyle="1" w:styleId="ImportedStyle17">
    <w:name w:val="Imported Style 17"/>
    <w:rsid w:val="00585D25"/>
    <w:pPr>
      <w:numPr>
        <w:numId w:val="19"/>
      </w:numPr>
    </w:pPr>
  </w:style>
  <w:style w:type="numbering" w:customStyle="1" w:styleId="ImportedStyle18">
    <w:name w:val="Imported Style 18"/>
    <w:rsid w:val="00585D25"/>
    <w:pPr>
      <w:numPr>
        <w:numId w:val="20"/>
      </w:numPr>
    </w:pPr>
  </w:style>
  <w:style w:type="numbering" w:customStyle="1" w:styleId="ImportedStyle19">
    <w:name w:val="Imported Style 19"/>
    <w:rsid w:val="00585D25"/>
    <w:pPr>
      <w:numPr>
        <w:numId w:val="21"/>
      </w:numPr>
    </w:pPr>
  </w:style>
  <w:style w:type="numbering" w:customStyle="1" w:styleId="ImportedStyle20">
    <w:name w:val="Imported Style 20"/>
    <w:rsid w:val="00585D25"/>
    <w:pPr>
      <w:numPr>
        <w:numId w:val="22"/>
      </w:numPr>
    </w:pPr>
  </w:style>
  <w:style w:type="numbering" w:customStyle="1" w:styleId="ImportedStyle21">
    <w:name w:val="Imported Style 21"/>
    <w:rsid w:val="00585D25"/>
    <w:pPr>
      <w:numPr>
        <w:numId w:val="23"/>
      </w:numPr>
    </w:pPr>
  </w:style>
  <w:style w:type="numbering" w:customStyle="1" w:styleId="ImportedStyle22">
    <w:name w:val="Imported Style 22"/>
    <w:rsid w:val="00585D25"/>
    <w:pPr>
      <w:numPr>
        <w:numId w:val="24"/>
      </w:numPr>
    </w:pPr>
  </w:style>
  <w:style w:type="numbering" w:customStyle="1" w:styleId="ImportedStyle23">
    <w:name w:val="Imported Style 23"/>
    <w:rsid w:val="00585D25"/>
    <w:pPr>
      <w:numPr>
        <w:numId w:val="25"/>
      </w:numPr>
    </w:pPr>
  </w:style>
  <w:style w:type="numbering" w:customStyle="1" w:styleId="ImportedStyle24">
    <w:name w:val="Imported Style 24"/>
    <w:rsid w:val="00585D25"/>
    <w:pPr>
      <w:numPr>
        <w:numId w:val="26"/>
      </w:numPr>
    </w:pPr>
  </w:style>
  <w:style w:type="paragraph" w:styleId="FootnoteText">
    <w:name w:val="footnote text"/>
    <w:rsid w:val="00585D25"/>
    <w:pPr>
      <w:spacing w:line="360" w:lineRule="auto"/>
      <w:jc w:val="both"/>
    </w:pPr>
    <w:rPr>
      <w:rFonts w:ascii="Arial" w:hAnsi="Arial" w:cs="Arial Unicode MS"/>
      <w:color w:val="000000"/>
      <w:sz w:val="22"/>
      <w:szCs w:val="22"/>
      <w:u w:color="000000"/>
      <w:lang w:val="en-US"/>
    </w:rPr>
  </w:style>
  <w:style w:type="numbering" w:customStyle="1" w:styleId="ImportedStyle26">
    <w:name w:val="Imported Style 26"/>
    <w:rsid w:val="00585D25"/>
    <w:pPr>
      <w:numPr>
        <w:numId w:val="27"/>
      </w:numPr>
    </w:pPr>
  </w:style>
  <w:style w:type="paragraph" w:styleId="CommentText">
    <w:name w:val="annotation text"/>
    <w:basedOn w:val="Normal"/>
    <w:link w:val="CommentTextChar"/>
    <w:uiPriority w:val="99"/>
    <w:semiHidden/>
    <w:unhideWhenUsed/>
    <w:rsid w:val="00585D25"/>
    <w:rPr>
      <w:sz w:val="20"/>
      <w:szCs w:val="20"/>
    </w:rPr>
  </w:style>
  <w:style w:type="character" w:customStyle="1" w:styleId="CommentTextChar">
    <w:name w:val="Comment Text Char"/>
    <w:basedOn w:val="DefaultParagraphFont"/>
    <w:link w:val="CommentText"/>
    <w:uiPriority w:val="99"/>
    <w:semiHidden/>
    <w:rsid w:val="00585D25"/>
    <w:rPr>
      <w:lang w:val="en-US" w:eastAsia="en-US"/>
    </w:rPr>
  </w:style>
  <w:style w:type="character" w:styleId="CommentReference">
    <w:name w:val="annotation reference"/>
    <w:basedOn w:val="DefaultParagraphFont"/>
    <w:uiPriority w:val="99"/>
    <w:semiHidden/>
    <w:unhideWhenUsed/>
    <w:rsid w:val="00585D25"/>
    <w:rPr>
      <w:sz w:val="16"/>
      <w:szCs w:val="16"/>
    </w:rPr>
  </w:style>
  <w:style w:type="paragraph" w:styleId="BalloonText">
    <w:name w:val="Balloon Text"/>
    <w:basedOn w:val="Normal"/>
    <w:link w:val="BalloonTextChar"/>
    <w:uiPriority w:val="99"/>
    <w:semiHidden/>
    <w:unhideWhenUsed/>
    <w:rsid w:val="00446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635"/>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446635"/>
    <w:rPr>
      <w:b/>
      <w:bCs/>
    </w:rPr>
  </w:style>
  <w:style w:type="character" w:customStyle="1" w:styleId="CommentSubjectChar">
    <w:name w:val="Comment Subject Char"/>
    <w:basedOn w:val="CommentTextChar"/>
    <w:link w:val="CommentSubject"/>
    <w:uiPriority w:val="99"/>
    <w:semiHidden/>
    <w:rsid w:val="00446635"/>
    <w:rPr>
      <w:b/>
      <w:bCs/>
      <w:lang w:val="en-US" w:eastAsia="en-US"/>
    </w:rPr>
  </w:style>
  <w:style w:type="character" w:customStyle="1" w:styleId="ListParagraphChar">
    <w:name w:val="List Paragraph Char"/>
    <w:aliases w:val="List Paragraph 1 Char,Bullets Char,Recommendation Char,List Paragraph1 Char,Table of contents numbered Char"/>
    <w:basedOn w:val="DefaultParagraphFont"/>
    <w:link w:val="ListParagraph"/>
    <w:uiPriority w:val="34"/>
    <w:locked/>
    <w:rsid w:val="007D2E10"/>
    <w:rPr>
      <w:bCs/>
      <w:color w:val="000000"/>
      <w:sz w:val="24"/>
      <w:szCs w:val="24"/>
      <w:u w:color="000000"/>
    </w:rPr>
  </w:style>
  <w:style w:type="character" w:customStyle="1" w:styleId="Heading1Char">
    <w:name w:val="Heading 1 Char"/>
    <w:basedOn w:val="DefaultParagraphFont"/>
    <w:link w:val="Heading1"/>
    <w:uiPriority w:val="9"/>
    <w:rsid w:val="000105DF"/>
    <w:rPr>
      <w:rFonts w:eastAsiaTheme="majorEastAsia"/>
      <w:b/>
      <w:caps/>
      <w:sz w:val="24"/>
      <w:szCs w:val="32"/>
      <w:lang w:val="en-US" w:eastAsia="en-US"/>
    </w:rPr>
  </w:style>
  <w:style w:type="character" w:customStyle="1" w:styleId="Heading2Char">
    <w:name w:val="Heading 2 Char"/>
    <w:basedOn w:val="DefaultParagraphFont"/>
    <w:link w:val="Heading2"/>
    <w:uiPriority w:val="9"/>
    <w:rsid w:val="00C36D89"/>
    <w:rPr>
      <w:b/>
      <w:bCs/>
      <w:color w:val="000000"/>
      <w:sz w:val="24"/>
      <w:szCs w:val="24"/>
      <w:u w:color="000000"/>
    </w:rPr>
  </w:style>
  <w:style w:type="character" w:customStyle="1" w:styleId="Heading3Char">
    <w:name w:val="Heading 3 Char"/>
    <w:basedOn w:val="DefaultParagraphFont"/>
    <w:link w:val="Heading3"/>
    <w:uiPriority w:val="9"/>
    <w:rsid w:val="00C36D89"/>
    <w:rPr>
      <w:rFonts w:eastAsiaTheme="majorEastAsia" w:cstheme="majorBidi"/>
      <w:b/>
      <w:color w:val="0D0D0D" w:themeColor="text1" w:themeTint="F2"/>
      <w:sz w:val="24"/>
      <w:szCs w:val="24"/>
      <w:lang w:val="en-US" w:eastAsia="en-US"/>
    </w:rPr>
  </w:style>
  <w:style w:type="paragraph" w:styleId="Title">
    <w:name w:val="Title"/>
    <w:basedOn w:val="Normal"/>
    <w:next w:val="Normal"/>
    <w:link w:val="TitleChar"/>
    <w:uiPriority w:val="10"/>
    <w:qFormat/>
    <w:rsid w:val="00121F1D"/>
    <w:pPr>
      <w:numPr>
        <w:numId w:val="30"/>
      </w:numPr>
      <w:spacing w:before="120" w:after="120"/>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121F1D"/>
    <w:rPr>
      <w:rFonts w:eastAsiaTheme="majorEastAsia" w:cstheme="majorBidi"/>
      <w:b/>
      <w:spacing w:val="-10"/>
      <w:kern w:val="28"/>
      <w:sz w:val="24"/>
      <w:szCs w:val="56"/>
      <w:lang w:val="en-US" w:eastAsia="en-US"/>
    </w:rPr>
  </w:style>
  <w:style w:type="character" w:customStyle="1" w:styleId="Heading4Char">
    <w:name w:val="Heading 4 Char"/>
    <w:basedOn w:val="DefaultParagraphFont"/>
    <w:link w:val="Heading4"/>
    <w:uiPriority w:val="9"/>
    <w:semiHidden/>
    <w:rsid w:val="00D2608E"/>
    <w:rPr>
      <w:rFonts w:eastAsiaTheme="majorEastAsia" w:cstheme="majorBidi"/>
      <w:b/>
      <w:i/>
      <w:iCs/>
      <w:color w:val="0D0D0D" w:themeColor="text1" w:themeTint="F2"/>
      <w:sz w:val="24"/>
      <w:szCs w:val="24"/>
      <w:lang w:val="en-US" w:eastAsia="en-US"/>
    </w:rPr>
  </w:style>
  <w:style w:type="character" w:styleId="FootnoteReference">
    <w:name w:val="footnote reference"/>
    <w:basedOn w:val="DefaultParagraphFont"/>
    <w:uiPriority w:val="99"/>
    <w:semiHidden/>
    <w:unhideWhenUsed/>
    <w:rsid w:val="007278B2"/>
    <w:rPr>
      <w:vertAlign w:val="superscript"/>
    </w:rPr>
  </w:style>
  <w:style w:type="paragraph" w:styleId="NoSpacing">
    <w:name w:val="No Spacing"/>
    <w:uiPriority w:val="1"/>
    <w:qFormat/>
    <w:rsid w:val="00E56AFA"/>
    <w:pPr>
      <w:spacing w:line="360" w:lineRule="auto"/>
      <w:jc w:val="both"/>
    </w:pPr>
    <w:rPr>
      <w:sz w:val="24"/>
      <w:szCs w:val="24"/>
      <w:lang w:val="en-US" w:eastAsia="en-US"/>
    </w:rPr>
  </w:style>
  <w:style w:type="paragraph" w:styleId="Header">
    <w:name w:val="header"/>
    <w:basedOn w:val="Normal"/>
    <w:link w:val="HeaderChar"/>
    <w:uiPriority w:val="99"/>
    <w:unhideWhenUsed/>
    <w:rsid w:val="0016657B"/>
    <w:pPr>
      <w:tabs>
        <w:tab w:val="center" w:pos="4513"/>
        <w:tab w:val="right" w:pos="9026"/>
      </w:tabs>
    </w:pPr>
  </w:style>
  <w:style w:type="character" w:customStyle="1" w:styleId="HeaderChar">
    <w:name w:val="Header Char"/>
    <w:basedOn w:val="DefaultParagraphFont"/>
    <w:link w:val="Header"/>
    <w:uiPriority w:val="99"/>
    <w:rsid w:val="0016657B"/>
    <w:rPr>
      <w:sz w:val="24"/>
      <w:szCs w:val="24"/>
      <w:lang w:val="en-US" w:eastAsia="en-US"/>
    </w:rPr>
  </w:style>
  <w:style w:type="paragraph" w:styleId="Footer">
    <w:name w:val="footer"/>
    <w:basedOn w:val="Normal"/>
    <w:link w:val="FooterChar"/>
    <w:uiPriority w:val="99"/>
    <w:unhideWhenUsed/>
    <w:rsid w:val="0016657B"/>
    <w:pPr>
      <w:tabs>
        <w:tab w:val="center" w:pos="4513"/>
        <w:tab w:val="right" w:pos="9026"/>
      </w:tabs>
    </w:pPr>
  </w:style>
  <w:style w:type="character" w:customStyle="1" w:styleId="FooterChar">
    <w:name w:val="Footer Char"/>
    <w:basedOn w:val="DefaultParagraphFont"/>
    <w:link w:val="Footer"/>
    <w:uiPriority w:val="99"/>
    <w:rsid w:val="0016657B"/>
    <w:rPr>
      <w:sz w:val="24"/>
      <w:szCs w:val="24"/>
      <w:lang w:val="en-US" w:eastAsia="en-US"/>
    </w:rPr>
  </w:style>
  <w:style w:type="paragraph" w:styleId="Revision">
    <w:name w:val="Revision"/>
    <w:hidden/>
    <w:uiPriority w:val="99"/>
    <w:semiHidden/>
    <w:rsid w:val="009C5F3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59F0B43-3F43-44C5-8C89-78B72DFD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6881</Words>
  <Characters>39227</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Hermans</dc:creator>
  <cp:lastModifiedBy>User</cp:lastModifiedBy>
  <cp:revision>2</cp:revision>
  <dcterms:created xsi:type="dcterms:W3CDTF">2022-03-22T19:05:00Z</dcterms:created>
  <dcterms:modified xsi:type="dcterms:W3CDTF">2022-03-22T19:05:00Z</dcterms:modified>
</cp:coreProperties>
</file>