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78" w:rsidRDefault="008D126F" w:rsidP="006301D2">
      <w:pPr>
        <w:ind w:left="-1134" w:firstLine="1134"/>
      </w:pPr>
      <w:r>
        <w:rPr>
          <w:noProof/>
          <w:lang w:val="en-US"/>
        </w:rPr>
        <w:drawing>
          <wp:anchor distT="0" distB="0" distL="114300" distR="114300" simplePos="0" relativeHeight="251657728" behindDoc="0" locked="0" layoutInCell="1" allowOverlap="1">
            <wp:simplePos x="0" y="0"/>
            <wp:positionH relativeFrom="column">
              <wp:posOffset>1919605</wp:posOffset>
            </wp:positionH>
            <wp:positionV relativeFrom="paragraph">
              <wp:posOffset>-289560</wp:posOffset>
            </wp:positionV>
            <wp:extent cx="4352290" cy="504825"/>
            <wp:effectExtent l="0" t="0" r="0" b="0"/>
            <wp:wrapSquare wrapText="bothSides"/>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229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680" behindDoc="0" locked="0" layoutInCell="1" allowOverlap="1">
                <wp:simplePos x="0" y="0"/>
                <wp:positionH relativeFrom="column">
                  <wp:posOffset>106045</wp:posOffset>
                </wp:positionH>
                <wp:positionV relativeFrom="paragraph">
                  <wp:posOffset>-401955</wp:posOffset>
                </wp:positionV>
                <wp:extent cx="8693150" cy="121920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3150" cy="1219200"/>
                        </a:xfrm>
                        <a:prstGeom prst="flowChartAlternateProcess">
                          <a:avLst/>
                        </a:prstGeom>
                        <a:solidFill>
                          <a:srgbClr val="FFFFFF">
                            <a:alpha val="56000"/>
                          </a:srgbClr>
                        </a:solidFill>
                        <a:ln w="9525">
                          <a:solidFill>
                            <a:srgbClr val="000000"/>
                          </a:solidFill>
                          <a:miter lim="800000"/>
                          <a:headEnd/>
                          <a:tailEnd/>
                        </a:ln>
                      </wps:spPr>
                      <wps:txbx>
                        <w:txbxContent>
                          <w:p w:rsidR="00632686" w:rsidRDefault="00632686" w:rsidP="00632686">
                            <w:pPr>
                              <w:pStyle w:val="BodyText"/>
                              <w:jc w:val="center"/>
                              <w:rPr>
                                <w:szCs w:val="16"/>
                              </w:rPr>
                            </w:pPr>
                          </w:p>
                          <w:p w:rsidR="00632686" w:rsidRPr="000359A7" w:rsidRDefault="00632686" w:rsidP="00632686">
                            <w:pPr>
                              <w:pStyle w:val="BodyText"/>
                              <w:jc w:val="center"/>
                              <w:rPr>
                                <w:szCs w:val="16"/>
                              </w:rPr>
                            </w:pPr>
                          </w:p>
                          <w:p w:rsidR="0062451B" w:rsidRDefault="0062451B" w:rsidP="00632686">
                            <w:pPr>
                              <w:pStyle w:val="BodyText"/>
                              <w:jc w:val="center"/>
                              <w:rPr>
                                <w:b/>
                                <w:sz w:val="20"/>
                                <w:szCs w:val="20"/>
                              </w:rPr>
                            </w:pPr>
                          </w:p>
                          <w:p w:rsidR="00632686" w:rsidRPr="00814ECB" w:rsidRDefault="00632686" w:rsidP="00632686">
                            <w:pPr>
                              <w:pStyle w:val="BodyText"/>
                              <w:jc w:val="center"/>
                              <w:rPr>
                                <w:b/>
                                <w:sz w:val="20"/>
                                <w:szCs w:val="20"/>
                              </w:rPr>
                            </w:pPr>
                            <w:r w:rsidRPr="00814ECB">
                              <w:rPr>
                                <w:b/>
                                <w:sz w:val="20"/>
                                <w:szCs w:val="20"/>
                              </w:rPr>
                              <w:t>DEPARTMENT OF</w:t>
                            </w:r>
                          </w:p>
                          <w:p w:rsidR="00632686" w:rsidRPr="00814ECB" w:rsidRDefault="00EB24DE" w:rsidP="00632686">
                            <w:pPr>
                              <w:pStyle w:val="BodyText"/>
                              <w:jc w:val="center"/>
                              <w:rPr>
                                <w:rFonts w:ascii="Arial" w:hAnsi="Arial" w:cs="Arial"/>
                                <w:b/>
                                <w:sz w:val="28"/>
                                <w:szCs w:val="28"/>
                              </w:rPr>
                            </w:pPr>
                            <w:r>
                              <w:rPr>
                                <w:rFonts w:ascii="Arial" w:hAnsi="Arial" w:cs="Arial"/>
                                <w:b/>
                                <w:sz w:val="28"/>
                                <w:szCs w:val="28"/>
                              </w:rPr>
                              <w:t xml:space="preserve">HEALTH </w:t>
                            </w:r>
                          </w:p>
                          <w:p w:rsidR="00632686" w:rsidRPr="00FE6FCC" w:rsidRDefault="00632686" w:rsidP="00632686">
                            <w:pPr>
                              <w:jc w:val="center"/>
                              <w:rPr>
                                <w:rFonts w:ascii="Arial" w:hAnsi="Arial" w:cs="Arial"/>
                                <w:color w:val="FFFFFF"/>
                                <w:sz w:val="16"/>
                                <w:szCs w:val="16"/>
                              </w:rPr>
                            </w:pPr>
                            <w:r w:rsidRPr="00FE6FCC">
                              <w:rPr>
                                <w:rFonts w:ascii="Arial" w:hAnsi="Arial" w:cs="Arial"/>
                                <w:color w:val="FFFFFF"/>
                                <w:sz w:val="16"/>
                                <w:szCs w:val="16"/>
                              </w:rPr>
                              <w:t>The heartland of southern Africa – development is about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2" o:spid="_x0000_s1026" type="#_x0000_t176" style="position:absolute;left:0;text-align:left;margin-left:8.35pt;margin-top:-31.65pt;width:684.5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">
                <v:fill opacity="36751f"/>
                <v:path arrowok="t"/>
                <v:textbox>
                  <w:txbxContent>
                    <w:p w:rsidR="00632686" w:rsidRDefault="00632686" w:rsidP="00632686">
                      <w:pPr>
                        <w:pStyle w:val="BodyText"/>
                        <w:jc w:val="center"/>
                        <w:rPr>
                          <w:szCs w:val="16"/>
                        </w:rPr>
                      </w:pPr>
                    </w:p>
                    <w:p w:rsidR="00632686" w:rsidRPr="000359A7" w:rsidRDefault="00632686" w:rsidP="00632686">
                      <w:pPr>
                        <w:pStyle w:val="BodyText"/>
                        <w:jc w:val="center"/>
                        <w:rPr>
                          <w:szCs w:val="16"/>
                        </w:rPr>
                      </w:pPr>
                    </w:p>
                    <w:p w:rsidR="0062451B" w:rsidRDefault="0062451B" w:rsidP="00632686">
                      <w:pPr>
                        <w:pStyle w:val="BodyText"/>
                        <w:jc w:val="center"/>
                        <w:rPr>
                          <w:b/>
                          <w:sz w:val="20"/>
                          <w:szCs w:val="20"/>
                        </w:rPr>
                      </w:pPr>
                    </w:p>
                    <w:p w:rsidR="00632686" w:rsidRPr="00814ECB" w:rsidRDefault="00632686" w:rsidP="00632686">
                      <w:pPr>
                        <w:pStyle w:val="BodyText"/>
                        <w:jc w:val="center"/>
                        <w:rPr>
                          <w:b/>
                          <w:sz w:val="20"/>
                          <w:szCs w:val="20"/>
                        </w:rPr>
                      </w:pPr>
                      <w:r w:rsidRPr="00814ECB">
                        <w:rPr>
                          <w:b/>
                          <w:sz w:val="20"/>
                          <w:szCs w:val="20"/>
                        </w:rPr>
                        <w:t>DEPARTMENT OF</w:t>
                      </w:r>
                    </w:p>
                    <w:p w:rsidR="00632686" w:rsidRPr="00814ECB" w:rsidRDefault="00EB24DE" w:rsidP="00632686">
                      <w:pPr>
                        <w:pStyle w:val="BodyText"/>
                        <w:jc w:val="center"/>
                        <w:rPr>
                          <w:rFonts w:ascii="Arial" w:hAnsi="Arial" w:cs="Arial"/>
                          <w:b/>
                          <w:sz w:val="28"/>
                          <w:szCs w:val="28"/>
                        </w:rPr>
                      </w:pPr>
                      <w:r>
                        <w:rPr>
                          <w:rFonts w:ascii="Arial" w:hAnsi="Arial" w:cs="Arial"/>
                          <w:b/>
                          <w:sz w:val="28"/>
                          <w:szCs w:val="28"/>
                        </w:rPr>
                        <w:t xml:space="preserve">HEALTH </w:t>
                      </w:r>
                    </w:p>
                    <w:p w:rsidR="00632686" w:rsidRPr="00FE6FCC" w:rsidRDefault="00632686" w:rsidP="00632686">
                      <w:pPr>
                        <w:jc w:val="center"/>
                        <w:rPr>
                          <w:rFonts w:ascii="Arial" w:hAnsi="Arial" w:cs="Arial"/>
                          <w:color w:val="FFFFFF"/>
                          <w:sz w:val="16"/>
                          <w:szCs w:val="16"/>
                        </w:rPr>
                      </w:pPr>
                      <w:r w:rsidRPr="00FE6FCC">
                        <w:rPr>
                          <w:rFonts w:ascii="Arial" w:hAnsi="Arial" w:cs="Arial"/>
                          <w:color w:val="FFFFFF"/>
                          <w:sz w:val="16"/>
                          <w:szCs w:val="16"/>
                        </w:rPr>
                        <w:t>The heartland of southern Africa – development is about people</w:t>
                      </w:r>
                    </w:p>
                  </w:txbxContent>
                </v:textbox>
              </v:shape>
            </w:pict>
          </mc:Fallback>
        </mc:AlternateContent>
      </w:r>
    </w:p>
    <w:p w:rsidR="00AD39AF" w:rsidRDefault="00AD39AF"/>
    <w:p w:rsidR="001B3678" w:rsidRDefault="001B3678">
      <w:pPr>
        <w:pStyle w:val="Heading1"/>
        <w:jc w:val="center"/>
      </w:pPr>
    </w:p>
    <w:p w:rsidR="0000671E" w:rsidRDefault="008D126F" w:rsidP="0000671E">
      <w:r>
        <w:rPr>
          <w:noProof/>
          <w:lang w:val="en-US"/>
        </w:rPr>
        <mc:AlternateContent>
          <mc:Choice Requires="wps">
            <w:drawing>
              <wp:anchor distT="0" distB="0" distL="114300" distR="114300" simplePos="0" relativeHeight="251656704" behindDoc="0" locked="0" layoutInCell="1" allowOverlap="1">
                <wp:simplePos x="0" y="0"/>
                <wp:positionH relativeFrom="column">
                  <wp:posOffset>352425</wp:posOffset>
                </wp:positionH>
                <wp:positionV relativeFrom="paragraph">
                  <wp:posOffset>49530</wp:posOffset>
                </wp:positionV>
                <wp:extent cx="7506970" cy="85725"/>
                <wp:effectExtent l="38100" t="0" r="55880" b="9525"/>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6970" cy="85725"/>
                        </a:xfrm>
                        <a:prstGeom prst="flowChartMerge">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66F00E" id="_x0000_t128" coordsize="21600,21600" o:spt="128" path="m,l21600,,10800,21600xe">
                <v:stroke joinstyle="miter"/>
                <v:path gradientshapeok="t" o:connecttype="custom" o:connectlocs="10800,0;5400,10800;10800,21600;16200,10800" textboxrect="5400,0,16200,10800"/>
              </v:shapetype>
              <v:shape id=" 3" o:spid="_x0000_s1026" type="#_x0000_t128" style="position:absolute;margin-left:27.75pt;margin-top:3.9pt;width:591.1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" fillcolor="green" strokecolor="green">
                <v:path arrowok="t"/>
              </v:shape>
            </w:pict>
          </mc:Fallback>
        </mc:AlternateContent>
      </w:r>
    </w:p>
    <w:p w:rsidR="0000671E" w:rsidRDefault="0000671E" w:rsidP="0000671E">
      <w:bookmarkStart w:id="0" w:name="_GoBack"/>
    </w:p>
    <w:p w:rsidR="0000671E" w:rsidRPr="0000671E" w:rsidRDefault="0000671E" w:rsidP="0000671E"/>
    <w:p w:rsidR="001B3678" w:rsidRPr="002B5D6D" w:rsidRDefault="00B4329E">
      <w:pPr>
        <w:pStyle w:val="Heading2"/>
        <w:jc w:val="center"/>
        <w:rPr>
          <w:sz w:val="44"/>
          <w:szCs w:val="44"/>
        </w:rPr>
      </w:pPr>
      <w:r>
        <w:rPr>
          <w:sz w:val="44"/>
          <w:szCs w:val="44"/>
        </w:rPr>
        <w:t>PORTFOLIO COMM</w:t>
      </w:r>
      <w:bookmarkEnd w:id="0"/>
      <w:r>
        <w:rPr>
          <w:sz w:val="44"/>
          <w:szCs w:val="44"/>
        </w:rPr>
        <w:t>ITTEE BRIEFING</w:t>
      </w:r>
    </w:p>
    <w:p w:rsidR="001B3678" w:rsidRDefault="001B3678">
      <w:pPr>
        <w:tabs>
          <w:tab w:val="right" w:pos="8280"/>
        </w:tabs>
        <w:rPr>
          <w:u w:val="thick"/>
        </w:rPr>
      </w:pPr>
      <w:r>
        <w:rPr>
          <w:u w:val="thick"/>
        </w:rPr>
        <w:tab/>
      </w:r>
      <w:r w:rsidR="00231769">
        <w:rPr>
          <w:u w:val="thick"/>
        </w:rPr>
        <w:t>____________________________________________________________________________________________________________________</w:t>
      </w:r>
    </w:p>
    <w:p w:rsidR="00943180" w:rsidRDefault="00943180">
      <w:pPr>
        <w:rPr>
          <w:rFonts w:ascii="Tahoma" w:hAnsi="Tahoma" w:cs="Tahoma"/>
          <w:sz w:val="20"/>
          <w:szCs w:val="20"/>
        </w:rPr>
      </w:pPr>
    </w:p>
    <w:p w:rsidR="00943180" w:rsidRDefault="00943180">
      <w:pPr>
        <w:rPr>
          <w:rFonts w:ascii="Tahoma" w:hAnsi="Tahoma" w:cs="Tahoma"/>
        </w:rPr>
      </w:pPr>
    </w:p>
    <w:p w:rsidR="00D57080" w:rsidRPr="00943180" w:rsidRDefault="00D57080">
      <w:pPr>
        <w:rPr>
          <w:rFonts w:ascii="Tahoma" w:hAnsi="Tahoma" w:cs="Tahoma"/>
        </w:rPr>
      </w:pPr>
    </w:p>
    <w:p w:rsidR="002B5D6D" w:rsidRDefault="00231769" w:rsidP="00231769">
      <w:pPr>
        <w:pBdr>
          <w:top w:val="single" w:sz="4" w:space="1" w:color="auto"/>
          <w:left w:val="single" w:sz="4" w:space="4" w:color="auto"/>
          <w:bottom w:val="single" w:sz="4" w:space="1" w:color="auto"/>
          <w:right w:val="single" w:sz="4" w:space="4" w:color="auto"/>
        </w:pBdr>
        <w:jc w:val="center"/>
        <w:rPr>
          <w:rFonts w:ascii="Tahoma" w:hAnsi="Tahoma" w:cs="Tahoma"/>
          <w:b/>
          <w:bCs/>
          <w:sz w:val="28"/>
        </w:rPr>
      </w:pPr>
      <w:r>
        <w:rPr>
          <w:rFonts w:ascii="Tahoma" w:hAnsi="Tahoma" w:cs="Tahoma"/>
          <w:b/>
          <w:bCs/>
          <w:sz w:val="28"/>
        </w:rPr>
        <w:t>SECOND SPECIAL AUDIT REPORT</w:t>
      </w:r>
    </w:p>
    <w:p w:rsidR="00D57080" w:rsidRDefault="00D57080" w:rsidP="00B4329E">
      <w:pPr>
        <w:rPr>
          <w:rFonts w:ascii="Tahoma" w:hAnsi="Tahoma" w:cs="Tahoma"/>
          <w:b/>
          <w:bCs/>
          <w:sz w:val="28"/>
        </w:rPr>
      </w:pPr>
    </w:p>
    <w:p w:rsidR="00B4329E" w:rsidRDefault="00B4329E" w:rsidP="00B4329E">
      <w:pPr>
        <w:rPr>
          <w:rFonts w:ascii="Tahoma" w:hAnsi="Tahoma" w:cs="Tahoma"/>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25"/>
        <w:gridCol w:w="8655"/>
      </w:tblGrid>
      <w:tr w:rsidR="00D57080" w:rsidRPr="00565948" w:rsidTr="004D6ADF">
        <w:trPr>
          <w:tblHeader/>
        </w:trPr>
        <w:tc>
          <w:tcPr>
            <w:tcW w:w="1384" w:type="dxa"/>
            <w:shd w:val="clear" w:color="auto" w:fill="BFBFBF"/>
          </w:tcPr>
          <w:p w:rsidR="00D57080" w:rsidRPr="00565948" w:rsidRDefault="00D57080" w:rsidP="00231769">
            <w:pPr>
              <w:rPr>
                <w:rFonts w:ascii="Tahoma" w:hAnsi="Tahoma" w:cs="Tahoma"/>
                <w:b/>
                <w:bCs/>
                <w:sz w:val="28"/>
              </w:rPr>
            </w:pPr>
            <w:r>
              <w:rPr>
                <w:rFonts w:ascii="Tahoma" w:hAnsi="Tahoma" w:cs="Tahoma"/>
                <w:b/>
                <w:bCs/>
                <w:sz w:val="28"/>
              </w:rPr>
              <w:t>NO</w:t>
            </w:r>
          </w:p>
        </w:tc>
        <w:tc>
          <w:tcPr>
            <w:tcW w:w="3969" w:type="dxa"/>
            <w:shd w:val="clear" w:color="auto" w:fill="BFBFBF"/>
          </w:tcPr>
          <w:p w:rsidR="00D57080" w:rsidRPr="00565948" w:rsidRDefault="00D57080" w:rsidP="00231769">
            <w:pPr>
              <w:rPr>
                <w:rFonts w:ascii="Tahoma" w:hAnsi="Tahoma" w:cs="Tahoma"/>
                <w:b/>
                <w:bCs/>
                <w:sz w:val="28"/>
              </w:rPr>
            </w:pPr>
            <w:r>
              <w:rPr>
                <w:rFonts w:ascii="Tahoma" w:hAnsi="Tahoma" w:cs="Tahoma"/>
                <w:b/>
                <w:bCs/>
                <w:sz w:val="28"/>
              </w:rPr>
              <w:t>TITLE</w:t>
            </w:r>
          </w:p>
        </w:tc>
        <w:tc>
          <w:tcPr>
            <w:tcW w:w="8789" w:type="dxa"/>
            <w:shd w:val="clear" w:color="auto" w:fill="BFBFBF"/>
          </w:tcPr>
          <w:p w:rsidR="00D57080" w:rsidRPr="00565948" w:rsidRDefault="00D57080" w:rsidP="00231769">
            <w:pPr>
              <w:rPr>
                <w:rFonts w:ascii="Tahoma" w:hAnsi="Tahoma" w:cs="Tahoma"/>
                <w:b/>
                <w:bCs/>
                <w:sz w:val="28"/>
              </w:rPr>
            </w:pPr>
            <w:r>
              <w:rPr>
                <w:rFonts w:ascii="Tahoma" w:hAnsi="Tahoma" w:cs="Tahoma"/>
                <w:b/>
                <w:bCs/>
                <w:sz w:val="28"/>
              </w:rPr>
              <w:t>COMMENTS</w:t>
            </w:r>
          </w:p>
        </w:tc>
      </w:tr>
      <w:tr w:rsidR="00FF38F2" w:rsidRPr="00565948" w:rsidTr="00D57080">
        <w:tc>
          <w:tcPr>
            <w:tcW w:w="1384" w:type="dxa"/>
            <w:shd w:val="clear" w:color="auto" w:fill="auto"/>
          </w:tcPr>
          <w:p w:rsidR="00FF38F2" w:rsidRDefault="00FF38F2" w:rsidP="00231769">
            <w:pPr>
              <w:rPr>
                <w:rFonts w:ascii="Tahoma" w:hAnsi="Tahoma" w:cs="Tahoma"/>
                <w:bCs/>
                <w:sz w:val="22"/>
                <w:szCs w:val="22"/>
              </w:rPr>
            </w:pPr>
          </w:p>
        </w:tc>
        <w:tc>
          <w:tcPr>
            <w:tcW w:w="3969" w:type="dxa"/>
            <w:shd w:val="clear" w:color="auto" w:fill="auto"/>
          </w:tcPr>
          <w:p w:rsidR="00FF38F2" w:rsidRPr="00D57080" w:rsidRDefault="00FF38F2" w:rsidP="00231769">
            <w:pPr>
              <w:rPr>
                <w:rFonts w:ascii="Tahoma" w:hAnsi="Tahoma" w:cs="Tahoma"/>
                <w:bCs/>
                <w:sz w:val="22"/>
                <w:szCs w:val="22"/>
              </w:rPr>
            </w:pPr>
          </w:p>
        </w:tc>
        <w:tc>
          <w:tcPr>
            <w:tcW w:w="8789" w:type="dxa"/>
            <w:shd w:val="clear" w:color="auto" w:fill="auto"/>
          </w:tcPr>
          <w:p w:rsidR="00FF38F2" w:rsidRPr="00B35A53" w:rsidRDefault="00FF38F2" w:rsidP="00231769">
            <w:pPr>
              <w:rPr>
                <w:rFonts w:ascii="Tahoma" w:hAnsi="Tahoma" w:cs="Tahoma"/>
                <w:bCs/>
                <w:sz w:val="22"/>
                <w:szCs w:val="22"/>
              </w:rPr>
            </w:pPr>
          </w:p>
        </w:tc>
      </w:tr>
      <w:tr w:rsidR="00FF38F2" w:rsidRPr="00565948" w:rsidTr="004D6ADF">
        <w:tc>
          <w:tcPr>
            <w:tcW w:w="14142" w:type="dxa"/>
            <w:gridSpan w:val="3"/>
            <w:shd w:val="clear" w:color="auto" w:fill="BFBFBF"/>
          </w:tcPr>
          <w:p w:rsidR="00FF38F2" w:rsidRPr="001C7CBD" w:rsidRDefault="001C7CBD" w:rsidP="00231769">
            <w:pPr>
              <w:rPr>
                <w:rFonts w:ascii="Tahoma" w:hAnsi="Tahoma" w:cs="Tahoma"/>
                <w:b/>
                <w:bCs/>
              </w:rPr>
            </w:pPr>
            <w:r w:rsidRPr="001C7CBD">
              <w:rPr>
                <w:rFonts w:ascii="Tahoma" w:hAnsi="Tahoma" w:cs="Tahoma"/>
                <w:b/>
                <w:bCs/>
              </w:rPr>
              <w:t>Procurement and contract management</w:t>
            </w:r>
          </w:p>
        </w:tc>
      </w:tr>
      <w:tr w:rsidR="00D57080" w:rsidRPr="00565948" w:rsidTr="00D57080">
        <w:tc>
          <w:tcPr>
            <w:tcW w:w="1384" w:type="dxa"/>
            <w:shd w:val="clear" w:color="auto" w:fill="auto"/>
          </w:tcPr>
          <w:p w:rsidR="00D57080" w:rsidRPr="00D57080" w:rsidRDefault="00D57080" w:rsidP="00231769">
            <w:pPr>
              <w:rPr>
                <w:rFonts w:ascii="Tahoma" w:hAnsi="Tahoma" w:cs="Tahoma"/>
                <w:bCs/>
                <w:sz w:val="22"/>
                <w:szCs w:val="22"/>
              </w:rPr>
            </w:pPr>
            <w:r>
              <w:rPr>
                <w:rFonts w:ascii="Tahoma" w:hAnsi="Tahoma" w:cs="Tahoma"/>
                <w:bCs/>
                <w:sz w:val="22"/>
                <w:szCs w:val="22"/>
              </w:rPr>
              <w:t>1</w:t>
            </w:r>
          </w:p>
        </w:tc>
        <w:tc>
          <w:tcPr>
            <w:tcW w:w="3969" w:type="dxa"/>
            <w:shd w:val="clear" w:color="auto" w:fill="auto"/>
          </w:tcPr>
          <w:p w:rsidR="00D57080" w:rsidRPr="00D57080" w:rsidRDefault="00D57080" w:rsidP="00231769">
            <w:pPr>
              <w:rPr>
                <w:rFonts w:ascii="Tahoma" w:hAnsi="Tahoma" w:cs="Tahoma"/>
                <w:bCs/>
                <w:sz w:val="22"/>
                <w:szCs w:val="22"/>
              </w:rPr>
            </w:pPr>
            <w:r w:rsidRPr="00D57080">
              <w:rPr>
                <w:rFonts w:ascii="Tahoma" w:hAnsi="Tahoma" w:cs="Tahoma"/>
                <w:bCs/>
                <w:sz w:val="22"/>
                <w:szCs w:val="22"/>
              </w:rPr>
              <w:t>A</w:t>
            </w:r>
            <w:r>
              <w:rPr>
                <w:rFonts w:ascii="Tahoma" w:hAnsi="Tahoma" w:cs="Tahoma"/>
                <w:bCs/>
                <w:sz w:val="22"/>
                <w:szCs w:val="22"/>
              </w:rPr>
              <w:t>udit Finding</w:t>
            </w:r>
          </w:p>
        </w:tc>
        <w:tc>
          <w:tcPr>
            <w:tcW w:w="8789" w:type="dxa"/>
            <w:shd w:val="clear" w:color="auto" w:fill="auto"/>
          </w:tcPr>
          <w:p w:rsidR="00D57080" w:rsidRPr="00D57080" w:rsidRDefault="00B35A53" w:rsidP="00231769">
            <w:pPr>
              <w:rPr>
                <w:rFonts w:ascii="Tahoma" w:hAnsi="Tahoma" w:cs="Tahoma"/>
                <w:bCs/>
                <w:sz w:val="22"/>
                <w:szCs w:val="22"/>
              </w:rPr>
            </w:pPr>
            <w:r w:rsidRPr="00B35A53">
              <w:rPr>
                <w:rFonts w:ascii="Tahoma" w:hAnsi="Tahoma" w:cs="Tahoma"/>
                <w:bCs/>
                <w:sz w:val="22"/>
                <w:szCs w:val="22"/>
              </w:rPr>
              <w:t>Reasons for deviation not recorded and approved as per approved delegation of authority</w:t>
            </w:r>
          </w:p>
        </w:tc>
      </w:tr>
      <w:tr w:rsidR="00B35A53" w:rsidRPr="00565948" w:rsidTr="00D57080">
        <w:tc>
          <w:tcPr>
            <w:tcW w:w="1384" w:type="dxa"/>
            <w:shd w:val="clear" w:color="auto" w:fill="auto"/>
          </w:tcPr>
          <w:p w:rsidR="00B35A53" w:rsidRDefault="00B35A53" w:rsidP="00231769">
            <w:pPr>
              <w:rPr>
                <w:rFonts w:ascii="Tahoma" w:hAnsi="Tahoma" w:cs="Tahoma"/>
                <w:bCs/>
                <w:sz w:val="22"/>
                <w:szCs w:val="22"/>
              </w:rPr>
            </w:pPr>
          </w:p>
        </w:tc>
        <w:tc>
          <w:tcPr>
            <w:tcW w:w="3969" w:type="dxa"/>
            <w:shd w:val="clear" w:color="auto" w:fill="auto"/>
          </w:tcPr>
          <w:p w:rsidR="00B35A53" w:rsidRPr="00D57080" w:rsidRDefault="00553FB5" w:rsidP="00231769">
            <w:pPr>
              <w:rPr>
                <w:rFonts w:ascii="Tahoma" w:hAnsi="Tahoma" w:cs="Tahoma"/>
                <w:bCs/>
                <w:sz w:val="22"/>
                <w:szCs w:val="22"/>
              </w:rPr>
            </w:pPr>
            <w:r>
              <w:rPr>
                <w:rFonts w:ascii="Tahoma" w:hAnsi="Tahoma" w:cs="Tahoma"/>
                <w:bCs/>
                <w:sz w:val="22"/>
                <w:szCs w:val="22"/>
              </w:rPr>
              <w:t>Finding d</w:t>
            </w:r>
            <w:r w:rsidR="00B35A53">
              <w:rPr>
                <w:rFonts w:ascii="Tahoma" w:hAnsi="Tahoma" w:cs="Tahoma"/>
                <w:bCs/>
                <w:sz w:val="22"/>
                <w:szCs w:val="22"/>
              </w:rPr>
              <w:t>etails</w:t>
            </w:r>
          </w:p>
        </w:tc>
        <w:tc>
          <w:tcPr>
            <w:tcW w:w="8789" w:type="dxa"/>
            <w:shd w:val="clear" w:color="auto" w:fill="auto"/>
          </w:tcPr>
          <w:p w:rsidR="00B35A53" w:rsidRPr="00B35A53" w:rsidRDefault="00B35A53" w:rsidP="00B35A53">
            <w:pPr>
              <w:spacing w:line="328" w:lineRule="auto"/>
              <w:ind w:left="7" w:right="180"/>
              <w:rPr>
                <w:rFonts w:ascii="Arial" w:eastAsia="Arial" w:hAnsi="Arial" w:cs="Arial"/>
                <w:color w:val="333333"/>
                <w:sz w:val="18"/>
                <w:szCs w:val="20"/>
                <w:lang w:val="en-ZA" w:eastAsia="en-ZA"/>
              </w:rPr>
            </w:pPr>
            <w:r w:rsidRPr="00B35A53">
              <w:rPr>
                <w:rFonts w:ascii="Tahoma" w:hAnsi="Tahoma" w:cs="Tahoma"/>
                <w:bCs/>
                <w:sz w:val="22"/>
                <w:szCs w:val="22"/>
              </w:rPr>
              <w:t>On 13 April 2020, the accounting officer in Limpopo approved a request to appoint service providers, on an emergency procurement basis, for the supply and delivery of 100 000 units of 350 ml hand sanitiser rubs at R29,90 per unit. However, the department awarded the contract to a supplier for the supply and delivery of 300 000 units; 200 000 above the quantity approved by the accounting officer, resulting in a difference of R5,98 million.</w:t>
            </w:r>
          </w:p>
        </w:tc>
      </w:tr>
      <w:tr w:rsidR="00D57080" w:rsidRPr="00565948" w:rsidTr="00D57080">
        <w:tc>
          <w:tcPr>
            <w:tcW w:w="1384" w:type="dxa"/>
            <w:shd w:val="clear" w:color="auto" w:fill="auto"/>
          </w:tcPr>
          <w:p w:rsidR="00D57080" w:rsidRPr="00D57080" w:rsidRDefault="00D57080" w:rsidP="00231769">
            <w:pPr>
              <w:rPr>
                <w:rFonts w:ascii="Tahoma" w:hAnsi="Tahoma" w:cs="Tahoma"/>
                <w:bCs/>
                <w:sz w:val="22"/>
                <w:szCs w:val="22"/>
              </w:rPr>
            </w:pPr>
          </w:p>
        </w:tc>
        <w:tc>
          <w:tcPr>
            <w:tcW w:w="3969" w:type="dxa"/>
            <w:shd w:val="clear" w:color="auto" w:fill="auto"/>
          </w:tcPr>
          <w:p w:rsidR="00D57080" w:rsidRPr="00D57080" w:rsidRDefault="00D57080" w:rsidP="00231769">
            <w:pPr>
              <w:rPr>
                <w:rFonts w:ascii="Tahoma" w:hAnsi="Tahoma" w:cs="Tahoma"/>
                <w:bCs/>
                <w:sz w:val="22"/>
                <w:szCs w:val="22"/>
              </w:rPr>
            </w:pPr>
            <w:r>
              <w:rPr>
                <w:rFonts w:ascii="Tahoma" w:hAnsi="Tahoma" w:cs="Tahoma"/>
                <w:bCs/>
                <w:sz w:val="22"/>
                <w:szCs w:val="22"/>
              </w:rPr>
              <w:t>AGSA Recommendations</w:t>
            </w:r>
          </w:p>
        </w:tc>
        <w:tc>
          <w:tcPr>
            <w:tcW w:w="8789" w:type="dxa"/>
            <w:shd w:val="clear" w:color="auto" w:fill="auto"/>
          </w:tcPr>
          <w:p w:rsidR="00D57080" w:rsidRPr="000B527E" w:rsidRDefault="000B527E" w:rsidP="000B527E">
            <w:pPr>
              <w:numPr>
                <w:ilvl w:val="0"/>
                <w:numId w:val="36"/>
              </w:numPr>
              <w:rPr>
                <w:rFonts w:ascii="Tahoma" w:hAnsi="Tahoma" w:cs="Tahoma"/>
                <w:bCs/>
                <w:sz w:val="22"/>
                <w:szCs w:val="22"/>
              </w:rPr>
            </w:pPr>
            <w:r w:rsidRPr="000B527E">
              <w:rPr>
                <w:rFonts w:ascii="Tahoma" w:hAnsi="Tahoma" w:cs="Tahoma"/>
                <w:bCs/>
                <w:sz w:val="22"/>
                <w:szCs w:val="22"/>
              </w:rPr>
              <w:t>Management should implement controls to ensure compliance with the instruction notes and relevant SCM prescripts to prevent the misuse/exploitation of emergency procurement legislation</w:t>
            </w:r>
          </w:p>
          <w:p w:rsidR="000B527E" w:rsidRPr="000B527E" w:rsidRDefault="000B527E" w:rsidP="000B527E">
            <w:pPr>
              <w:numPr>
                <w:ilvl w:val="0"/>
                <w:numId w:val="36"/>
              </w:numPr>
              <w:rPr>
                <w:rFonts w:ascii="Tahoma" w:hAnsi="Tahoma" w:cs="Tahoma"/>
                <w:bCs/>
                <w:sz w:val="22"/>
                <w:szCs w:val="22"/>
              </w:rPr>
            </w:pPr>
            <w:r w:rsidRPr="000B527E">
              <w:rPr>
                <w:rFonts w:ascii="Tahoma" w:hAnsi="Tahoma" w:cs="Tahoma"/>
                <w:bCs/>
                <w:sz w:val="22"/>
                <w:szCs w:val="22"/>
              </w:rPr>
              <w:t>Management should implement a review process and improve the effectiveness of controls in place over the process of approving deviations to ensure that a properly delegated official approves the deviation as per the SCM delegation of authority policy and enable compliance with section 44(1) of the Public Finance Management Act</w:t>
            </w:r>
          </w:p>
          <w:p w:rsidR="000B527E" w:rsidRPr="00D57080" w:rsidRDefault="000B527E" w:rsidP="000B527E">
            <w:pPr>
              <w:numPr>
                <w:ilvl w:val="0"/>
                <w:numId w:val="36"/>
              </w:numPr>
              <w:rPr>
                <w:rFonts w:ascii="Tahoma" w:hAnsi="Tahoma" w:cs="Tahoma"/>
                <w:bCs/>
                <w:sz w:val="22"/>
                <w:szCs w:val="22"/>
              </w:rPr>
            </w:pPr>
            <w:r w:rsidRPr="000B527E">
              <w:rPr>
                <w:rFonts w:ascii="Tahoma" w:hAnsi="Tahoma" w:cs="Tahoma"/>
                <w:bCs/>
                <w:sz w:val="22"/>
                <w:szCs w:val="22"/>
              </w:rPr>
              <w:t>Management should implement consequence management processes against officials contravening laws and regulations.</w:t>
            </w:r>
          </w:p>
        </w:tc>
      </w:tr>
      <w:tr w:rsidR="00D57080" w:rsidRPr="00565948" w:rsidTr="00D57080">
        <w:tc>
          <w:tcPr>
            <w:tcW w:w="1384" w:type="dxa"/>
            <w:shd w:val="clear" w:color="auto" w:fill="auto"/>
          </w:tcPr>
          <w:p w:rsidR="00D57080" w:rsidRPr="00D57080" w:rsidRDefault="00D57080" w:rsidP="00231769">
            <w:pPr>
              <w:rPr>
                <w:rFonts w:ascii="Tahoma" w:hAnsi="Tahoma" w:cs="Tahoma"/>
                <w:bCs/>
                <w:sz w:val="22"/>
                <w:szCs w:val="22"/>
              </w:rPr>
            </w:pPr>
          </w:p>
        </w:tc>
        <w:tc>
          <w:tcPr>
            <w:tcW w:w="3969" w:type="dxa"/>
            <w:shd w:val="clear" w:color="auto" w:fill="auto"/>
          </w:tcPr>
          <w:p w:rsidR="00D57080" w:rsidRPr="00D57080" w:rsidRDefault="00D57080" w:rsidP="00231769">
            <w:pPr>
              <w:rPr>
                <w:rFonts w:ascii="Tahoma" w:hAnsi="Tahoma" w:cs="Tahoma"/>
                <w:bCs/>
                <w:sz w:val="22"/>
                <w:szCs w:val="22"/>
              </w:rPr>
            </w:pPr>
            <w:r>
              <w:rPr>
                <w:rFonts w:ascii="Tahoma" w:hAnsi="Tahoma" w:cs="Tahoma"/>
                <w:bCs/>
                <w:sz w:val="22"/>
                <w:szCs w:val="22"/>
              </w:rPr>
              <w:t>Departmental Progress made</w:t>
            </w:r>
          </w:p>
        </w:tc>
        <w:tc>
          <w:tcPr>
            <w:tcW w:w="8789" w:type="dxa"/>
            <w:shd w:val="clear" w:color="auto" w:fill="auto"/>
          </w:tcPr>
          <w:p w:rsidR="00CA080A" w:rsidRPr="00D57080" w:rsidRDefault="00B4329E" w:rsidP="00231769">
            <w:pPr>
              <w:rPr>
                <w:rFonts w:ascii="Tahoma" w:hAnsi="Tahoma" w:cs="Tahoma"/>
                <w:bCs/>
                <w:sz w:val="22"/>
                <w:szCs w:val="22"/>
              </w:rPr>
            </w:pPr>
            <w:r>
              <w:rPr>
                <w:rFonts w:ascii="Tahoma" w:hAnsi="Tahoma" w:cs="Tahoma"/>
                <w:bCs/>
                <w:sz w:val="22"/>
                <w:szCs w:val="22"/>
              </w:rPr>
              <w:t>The process of ratifying the matter is in progress and is expected to be implemented by the 31</w:t>
            </w:r>
            <w:r w:rsidRPr="00B4329E">
              <w:rPr>
                <w:rFonts w:ascii="Tahoma" w:hAnsi="Tahoma" w:cs="Tahoma"/>
                <w:bCs/>
                <w:sz w:val="22"/>
                <w:szCs w:val="22"/>
                <w:vertAlign w:val="superscript"/>
              </w:rPr>
              <w:t>st</w:t>
            </w:r>
            <w:r>
              <w:rPr>
                <w:rFonts w:ascii="Tahoma" w:hAnsi="Tahoma" w:cs="Tahoma"/>
                <w:bCs/>
                <w:sz w:val="22"/>
                <w:szCs w:val="22"/>
              </w:rPr>
              <w:t xml:space="preserve"> of March 2022. </w:t>
            </w:r>
          </w:p>
        </w:tc>
      </w:tr>
      <w:tr w:rsidR="00D57080" w:rsidRPr="00565948" w:rsidTr="004D6ADF">
        <w:tc>
          <w:tcPr>
            <w:tcW w:w="1384" w:type="dxa"/>
            <w:shd w:val="clear" w:color="auto" w:fill="BFBFBF"/>
          </w:tcPr>
          <w:p w:rsidR="00D57080" w:rsidRPr="00D57080" w:rsidRDefault="00D57080" w:rsidP="00231769">
            <w:pPr>
              <w:rPr>
                <w:rFonts w:ascii="Tahoma" w:hAnsi="Tahoma" w:cs="Tahoma"/>
                <w:bCs/>
                <w:sz w:val="8"/>
                <w:szCs w:val="8"/>
              </w:rPr>
            </w:pPr>
          </w:p>
        </w:tc>
        <w:tc>
          <w:tcPr>
            <w:tcW w:w="3969" w:type="dxa"/>
            <w:shd w:val="clear" w:color="auto" w:fill="BFBFBF"/>
          </w:tcPr>
          <w:p w:rsidR="00D57080" w:rsidRPr="00D57080" w:rsidRDefault="00D57080" w:rsidP="00231769">
            <w:pPr>
              <w:rPr>
                <w:rFonts w:ascii="Tahoma" w:hAnsi="Tahoma" w:cs="Tahoma"/>
                <w:bCs/>
                <w:sz w:val="8"/>
                <w:szCs w:val="8"/>
              </w:rPr>
            </w:pPr>
          </w:p>
        </w:tc>
        <w:tc>
          <w:tcPr>
            <w:tcW w:w="8789" w:type="dxa"/>
            <w:shd w:val="clear" w:color="auto" w:fill="BFBFBF"/>
          </w:tcPr>
          <w:p w:rsidR="00D57080" w:rsidRPr="00D57080" w:rsidRDefault="00D57080" w:rsidP="00231769">
            <w:pPr>
              <w:rPr>
                <w:rFonts w:ascii="Tahoma" w:hAnsi="Tahoma" w:cs="Tahoma"/>
                <w:bCs/>
                <w:sz w:val="8"/>
                <w:szCs w:val="8"/>
              </w:rPr>
            </w:pP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2</w:t>
            </w:r>
          </w:p>
        </w:tc>
        <w:tc>
          <w:tcPr>
            <w:tcW w:w="3969" w:type="dxa"/>
            <w:shd w:val="clear" w:color="auto" w:fill="auto"/>
          </w:tcPr>
          <w:p w:rsidR="00D57080" w:rsidRPr="00D57080" w:rsidRDefault="00D57080" w:rsidP="00D57080">
            <w:pPr>
              <w:rPr>
                <w:rFonts w:ascii="Tahoma" w:hAnsi="Tahoma" w:cs="Tahoma"/>
                <w:bCs/>
                <w:sz w:val="22"/>
                <w:szCs w:val="22"/>
              </w:rPr>
            </w:pPr>
            <w:r w:rsidRPr="00D57080">
              <w:rPr>
                <w:rFonts w:ascii="Tahoma" w:hAnsi="Tahoma" w:cs="Tahoma"/>
                <w:bCs/>
                <w:sz w:val="22"/>
                <w:szCs w:val="22"/>
              </w:rPr>
              <w:t>A</w:t>
            </w:r>
            <w:r>
              <w:rPr>
                <w:rFonts w:ascii="Tahoma" w:hAnsi="Tahoma" w:cs="Tahoma"/>
                <w:bCs/>
                <w:sz w:val="22"/>
                <w:szCs w:val="22"/>
              </w:rPr>
              <w:t>udit Finding</w:t>
            </w:r>
          </w:p>
        </w:tc>
        <w:tc>
          <w:tcPr>
            <w:tcW w:w="8789" w:type="dxa"/>
            <w:shd w:val="clear" w:color="auto" w:fill="auto"/>
          </w:tcPr>
          <w:p w:rsidR="00553FB5" w:rsidRPr="00553FB5" w:rsidRDefault="00553FB5" w:rsidP="00553FB5">
            <w:pPr>
              <w:rPr>
                <w:rFonts w:ascii="Tahoma" w:hAnsi="Tahoma" w:cs="Tahoma"/>
                <w:bCs/>
                <w:sz w:val="22"/>
                <w:szCs w:val="22"/>
              </w:rPr>
            </w:pPr>
            <w:r w:rsidRPr="00553FB5">
              <w:rPr>
                <w:rFonts w:ascii="Tahoma" w:hAnsi="Tahoma" w:cs="Tahoma"/>
                <w:bCs/>
                <w:sz w:val="22"/>
                <w:szCs w:val="22"/>
              </w:rPr>
              <w:t>Discrepancies in the RFQs sent to suppliers resulting in unfair procurement</w:t>
            </w:r>
          </w:p>
          <w:p w:rsidR="00D57080" w:rsidRPr="00D57080" w:rsidRDefault="00553FB5" w:rsidP="00553FB5">
            <w:pPr>
              <w:rPr>
                <w:rFonts w:ascii="Tahoma" w:hAnsi="Tahoma" w:cs="Tahoma"/>
                <w:bCs/>
                <w:sz w:val="22"/>
                <w:szCs w:val="22"/>
              </w:rPr>
            </w:pPr>
            <w:r w:rsidRPr="00553FB5">
              <w:rPr>
                <w:rFonts w:ascii="Tahoma" w:hAnsi="Tahoma" w:cs="Tahoma"/>
                <w:bCs/>
                <w:sz w:val="22"/>
                <w:szCs w:val="22"/>
              </w:rPr>
              <w:t>Practices</w:t>
            </w:r>
          </w:p>
        </w:tc>
      </w:tr>
      <w:tr w:rsidR="00553FB5" w:rsidRPr="00565948" w:rsidTr="00D57080">
        <w:tc>
          <w:tcPr>
            <w:tcW w:w="1384" w:type="dxa"/>
            <w:shd w:val="clear" w:color="auto" w:fill="auto"/>
          </w:tcPr>
          <w:p w:rsidR="00553FB5" w:rsidRDefault="00553FB5" w:rsidP="00D57080">
            <w:pPr>
              <w:rPr>
                <w:rFonts w:ascii="Tahoma" w:hAnsi="Tahoma" w:cs="Tahoma"/>
                <w:bCs/>
                <w:sz w:val="22"/>
                <w:szCs w:val="22"/>
              </w:rPr>
            </w:pPr>
          </w:p>
        </w:tc>
        <w:tc>
          <w:tcPr>
            <w:tcW w:w="3969" w:type="dxa"/>
            <w:shd w:val="clear" w:color="auto" w:fill="auto"/>
          </w:tcPr>
          <w:p w:rsidR="00553FB5" w:rsidRPr="00D57080" w:rsidRDefault="00553FB5" w:rsidP="00D57080">
            <w:pPr>
              <w:rPr>
                <w:rFonts w:ascii="Tahoma" w:hAnsi="Tahoma" w:cs="Tahoma"/>
                <w:bCs/>
                <w:sz w:val="22"/>
                <w:szCs w:val="22"/>
              </w:rPr>
            </w:pPr>
            <w:r>
              <w:rPr>
                <w:rFonts w:ascii="Tahoma" w:hAnsi="Tahoma" w:cs="Tahoma"/>
                <w:bCs/>
                <w:sz w:val="22"/>
                <w:szCs w:val="22"/>
              </w:rPr>
              <w:t>Finding details</w:t>
            </w:r>
          </w:p>
        </w:tc>
        <w:tc>
          <w:tcPr>
            <w:tcW w:w="8789" w:type="dxa"/>
            <w:shd w:val="clear" w:color="auto" w:fill="auto"/>
          </w:tcPr>
          <w:p w:rsidR="00553FB5" w:rsidRPr="00052923" w:rsidRDefault="00052923" w:rsidP="00553FB5">
            <w:pPr>
              <w:rPr>
                <w:rFonts w:ascii="Tahoma" w:hAnsi="Tahoma" w:cs="Tahoma"/>
                <w:b/>
                <w:bCs/>
                <w:sz w:val="22"/>
                <w:szCs w:val="22"/>
              </w:rPr>
            </w:pPr>
            <w:r>
              <w:rPr>
                <w:rFonts w:ascii="Tahoma" w:hAnsi="Tahoma" w:cs="Tahoma"/>
                <w:b/>
                <w:bCs/>
                <w:sz w:val="22"/>
                <w:szCs w:val="22"/>
              </w:rPr>
              <w:t>Refer to page 96 of the report.</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AGSA Recommendations</w:t>
            </w:r>
          </w:p>
        </w:tc>
        <w:tc>
          <w:tcPr>
            <w:tcW w:w="8789" w:type="dxa"/>
            <w:shd w:val="clear" w:color="auto" w:fill="auto"/>
          </w:tcPr>
          <w:p w:rsidR="00B05439" w:rsidRPr="00B05439" w:rsidRDefault="00B05439" w:rsidP="00B05439">
            <w:pPr>
              <w:rPr>
                <w:rFonts w:ascii="Tahoma" w:hAnsi="Tahoma" w:cs="Tahoma"/>
                <w:bCs/>
                <w:sz w:val="22"/>
                <w:szCs w:val="22"/>
              </w:rPr>
            </w:pPr>
            <w:r w:rsidRPr="00B05439">
              <w:rPr>
                <w:rFonts w:ascii="Tahoma" w:hAnsi="Tahoma" w:cs="Tahoma"/>
                <w:bCs/>
                <w:sz w:val="22"/>
                <w:szCs w:val="22"/>
              </w:rPr>
              <w:t>The accounting officer should maintain a system of procurement that is fair, equitable, transparent, competitive and cost-effec</w:t>
            </w:r>
            <w:r w:rsidR="005E1B6A">
              <w:rPr>
                <w:rFonts w:ascii="Tahoma" w:hAnsi="Tahoma" w:cs="Tahoma"/>
                <w:bCs/>
                <w:sz w:val="22"/>
                <w:szCs w:val="22"/>
              </w:rPr>
              <w:t>tive by ensuring the following:</w:t>
            </w:r>
          </w:p>
          <w:p w:rsidR="00B05439" w:rsidRPr="004D6ADF" w:rsidRDefault="008D126F" w:rsidP="00B05439">
            <w:pPr>
              <w:spacing w:line="20" w:lineRule="exact"/>
              <w:rPr>
                <w:rFonts w:cs="Arial"/>
                <w:color w:val="FFFFFF"/>
                <w:sz w:val="20"/>
                <w:szCs w:val="20"/>
                <w:lang w:val="en-ZA" w:eastAsia="en-ZA"/>
              </w:rPr>
            </w:pPr>
            <w:r w:rsidRPr="00B05439">
              <w:rPr>
                <w:rFonts w:ascii="Arial" w:eastAsia="Arial" w:hAnsi="Arial" w:cs="Arial"/>
                <w:noProof/>
                <w:color w:val="333333"/>
                <w:sz w:val="18"/>
                <w:szCs w:val="20"/>
                <w:lang w:val="en-US"/>
              </w:rPr>
              <mc:AlternateContent>
                <mc:Choice Requires="wps">
                  <w:drawing>
                    <wp:anchor distT="0" distB="0" distL="114300" distR="114300" simplePos="0" relativeHeight="251658752" behindDoc="1" locked="0" layoutInCell="1" allowOverlap="1">
                      <wp:simplePos x="0" y="0"/>
                      <wp:positionH relativeFrom="column">
                        <wp:posOffset>-17780</wp:posOffset>
                      </wp:positionH>
                      <wp:positionV relativeFrom="paragraph">
                        <wp:posOffset>-187960</wp:posOffset>
                      </wp:positionV>
                      <wp:extent cx="6157595" cy="254000"/>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7595" cy="254000"/>
                              </a:xfrm>
                              <a:prstGeom prst="rect">
                                <a:avLst/>
                              </a:prstGeom>
                              <a:solidFill>
                                <a:srgbClr val="D9E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55E09E" id=" 5" o:spid="_x0000_s1026" style="position:absolute;margin-left:-1.4pt;margin-top:-14.8pt;width:484.8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" fillcolor="#d9e2f3" strokecolor="white">
                      <v:path arrowok="t"/>
                    </v:rect>
                  </w:pict>
                </mc:Fallback>
              </mc:AlternateContent>
            </w:r>
            <w:r w:rsidRPr="00B05439">
              <w:rPr>
                <w:rFonts w:ascii="Arial" w:eastAsia="Arial" w:hAnsi="Arial" w:cs="Arial"/>
                <w:noProof/>
                <w:color w:val="333333"/>
                <w:sz w:val="18"/>
                <w:szCs w:val="20"/>
                <w:lang w:val="en-US"/>
              </w:rPr>
              <mc:AlternateContent>
                <mc:Choice Requires="wps">
                  <w:drawing>
                    <wp:anchor distT="0" distB="0" distL="114300" distR="114300" simplePos="0" relativeHeight="251659776" behindDoc="1" locked="0" layoutInCell="1" allowOverlap="1">
                      <wp:simplePos x="0" y="0"/>
                      <wp:positionH relativeFrom="column">
                        <wp:posOffset>-17780</wp:posOffset>
                      </wp:positionH>
                      <wp:positionV relativeFrom="paragraph">
                        <wp:posOffset>66040</wp:posOffset>
                      </wp:positionV>
                      <wp:extent cx="6157595" cy="178435"/>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7595" cy="178435"/>
                              </a:xfrm>
                              <a:prstGeom prst="rect">
                                <a:avLst/>
                              </a:prstGeom>
                              <a:solidFill>
                                <a:srgbClr val="D9E2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D14810" id=" 6" o:spid="_x0000_s1026" style="position:absolute;margin-left:-1.4pt;margin-top:5.2pt;width:484.85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" fillcolor="#d9e2f3" strokecolor="white">
                      <v:path arrowok="t"/>
                    </v:rect>
                  </w:pict>
                </mc:Fallback>
              </mc:AlternateContent>
            </w:r>
          </w:p>
          <w:p w:rsidR="00B05439" w:rsidRPr="00B05439" w:rsidRDefault="00B05439" w:rsidP="00B05439">
            <w:pPr>
              <w:spacing w:line="85" w:lineRule="exact"/>
              <w:rPr>
                <w:rFonts w:cs="Arial"/>
                <w:sz w:val="20"/>
                <w:szCs w:val="20"/>
                <w:lang w:val="en-ZA" w:eastAsia="en-ZA"/>
              </w:rPr>
            </w:pPr>
          </w:p>
          <w:p w:rsidR="00B05439" w:rsidRDefault="00B05439" w:rsidP="00B05439">
            <w:pPr>
              <w:rPr>
                <w:rFonts w:ascii="Tahoma" w:hAnsi="Tahoma" w:cs="Tahoma"/>
                <w:bCs/>
                <w:sz w:val="22"/>
                <w:szCs w:val="22"/>
              </w:rPr>
            </w:pPr>
          </w:p>
          <w:p w:rsidR="00B05439" w:rsidRPr="00B05439" w:rsidRDefault="00B05439" w:rsidP="00B05439">
            <w:pPr>
              <w:numPr>
                <w:ilvl w:val="0"/>
                <w:numId w:val="42"/>
              </w:numPr>
              <w:rPr>
                <w:rFonts w:ascii="Tahoma" w:hAnsi="Tahoma" w:cs="Tahoma"/>
                <w:bCs/>
                <w:sz w:val="22"/>
                <w:szCs w:val="22"/>
              </w:rPr>
            </w:pPr>
            <w:r w:rsidRPr="00B05439">
              <w:rPr>
                <w:rFonts w:ascii="Tahoma" w:hAnsi="Tahoma" w:cs="Tahoma"/>
                <w:bCs/>
                <w:sz w:val="22"/>
                <w:szCs w:val="22"/>
              </w:rPr>
              <w:t>The same RFQ is issued to suppliers during the procurement of the same goods or services.</w:t>
            </w:r>
          </w:p>
          <w:p w:rsidR="00B05439" w:rsidRPr="00B05439" w:rsidRDefault="00B05439" w:rsidP="00B05439">
            <w:pPr>
              <w:rPr>
                <w:rFonts w:ascii="Tahoma" w:hAnsi="Tahoma" w:cs="Tahoma"/>
                <w:bCs/>
                <w:sz w:val="22"/>
                <w:szCs w:val="22"/>
              </w:rPr>
            </w:pPr>
          </w:p>
          <w:p w:rsidR="00B05439" w:rsidRPr="00B05439" w:rsidRDefault="00B05439" w:rsidP="00B05439">
            <w:pPr>
              <w:numPr>
                <w:ilvl w:val="0"/>
                <w:numId w:val="42"/>
              </w:numPr>
              <w:rPr>
                <w:rFonts w:ascii="Tahoma" w:hAnsi="Tahoma" w:cs="Tahoma"/>
                <w:bCs/>
                <w:sz w:val="22"/>
                <w:szCs w:val="22"/>
              </w:rPr>
            </w:pPr>
            <w:r w:rsidRPr="00B05439">
              <w:rPr>
                <w:rFonts w:ascii="Tahoma" w:hAnsi="Tahoma" w:cs="Tahoma"/>
                <w:bCs/>
                <w:sz w:val="22"/>
                <w:szCs w:val="22"/>
              </w:rPr>
              <w:t>Specifications of the RFQ are not amended without informing all suppliers who had quoted.</w:t>
            </w:r>
          </w:p>
          <w:p w:rsidR="00B05439" w:rsidRPr="00B05439" w:rsidRDefault="00B05439" w:rsidP="00B05439">
            <w:pPr>
              <w:rPr>
                <w:rFonts w:ascii="Tahoma" w:hAnsi="Tahoma" w:cs="Tahoma"/>
                <w:bCs/>
                <w:sz w:val="22"/>
                <w:szCs w:val="22"/>
              </w:rPr>
            </w:pPr>
          </w:p>
          <w:p w:rsidR="00B05439" w:rsidRPr="00B05439" w:rsidRDefault="00B05439" w:rsidP="00B05439">
            <w:pPr>
              <w:numPr>
                <w:ilvl w:val="0"/>
                <w:numId w:val="42"/>
              </w:numPr>
              <w:rPr>
                <w:rFonts w:ascii="Tahoma" w:hAnsi="Tahoma" w:cs="Tahoma"/>
                <w:bCs/>
                <w:sz w:val="22"/>
                <w:szCs w:val="22"/>
              </w:rPr>
            </w:pPr>
            <w:r w:rsidRPr="00B05439">
              <w:rPr>
                <w:rFonts w:ascii="Tahoma" w:hAnsi="Tahoma" w:cs="Tahoma"/>
                <w:bCs/>
                <w:sz w:val="22"/>
                <w:szCs w:val="22"/>
              </w:rPr>
              <w:t>Suppliers are evaluated based on criteria that are clearly stipulated in the RFQ document.</w:t>
            </w:r>
          </w:p>
          <w:p w:rsidR="00B05439" w:rsidRPr="00B05439" w:rsidRDefault="00B05439" w:rsidP="00B05439">
            <w:pPr>
              <w:rPr>
                <w:rFonts w:ascii="Tahoma" w:hAnsi="Tahoma" w:cs="Tahoma"/>
                <w:bCs/>
                <w:sz w:val="22"/>
                <w:szCs w:val="22"/>
              </w:rPr>
            </w:pPr>
          </w:p>
          <w:p w:rsidR="00B05439" w:rsidRPr="00B05439" w:rsidRDefault="00B05439" w:rsidP="00B05439">
            <w:pPr>
              <w:numPr>
                <w:ilvl w:val="0"/>
                <w:numId w:val="42"/>
              </w:numPr>
              <w:rPr>
                <w:rFonts w:ascii="Tahoma" w:hAnsi="Tahoma" w:cs="Tahoma"/>
                <w:bCs/>
                <w:sz w:val="22"/>
                <w:szCs w:val="22"/>
              </w:rPr>
            </w:pPr>
            <w:r w:rsidRPr="00B05439">
              <w:rPr>
                <w:rFonts w:ascii="Tahoma" w:hAnsi="Tahoma" w:cs="Tahoma"/>
                <w:bCs/>
                <w:sz w:val="22"/>
                <w:szCs w:val="22"/>
              </w:rPr>
              <w:t>The internal controls established for the procurement and provisioning systems are adhered to.</w:t>
            </w:r>
          </w:p>
          <w:p w:rsidR="00B05439" w:rsidRPr="00B05439" w:rsidRDefault="00B05439" w:rsidP="00B05439">
            <w:pPr>
              <w:rPr>
                <w:rFonts w:ascii="Tahoma" w:hAnsi="Tahoma" w:cs="Tahoma"/>
                <w:bCs/>
                <w:sz w:val="22"/>
                <w:szCs w:val="22"/>
              </w:rPr>
            </w:pPr>
          </w:p>
          <w:p w:rsidR="00B05439" w:rsidRPr="00B05439" w:rsidRDefault="00B05439" w:rsidP="00B05439">
            <w:pPr>
              <w:numPr>
                <w:ilvl w:val="0"/>
                <w:numId w:val="42"/>
              </w:numPr>
              <w:rPr>
                <w:rFonts w:ascii="Tahoma" w:hAnsi="Tahoma" w:cs="Tahoma"/>
                <w:bCs/>
                <w:sz w:val="22"/>
                <w:szCs w:val="22"/>
              </w:rPr>
            </w:pPr>
            <w:r w:rsidRPr="00B05439">
              <w:rPr>
                <w:rFonts w:ascii="Tahoma" w:hAnsi="Tahoma" w:cs="Tahoma"/>
                <w:bCs/>
                <w:sz w:val="22"/>
                <w:szCs w:val="22"/>
              </w:rPr>
              <w:t>An investigation is conducted into the cause of the irregular expenditure amounting to R71,64 million and effective and appropriate corrective action is taken against any official who caused the potentially irregular expenditure.</w:t>
            </w:r>
          </w:p>
          <w:p w:rsidR="00D57080" w:rsidRPr="00D57080" w:rsidRDefault="00D57080" w:rsidP="00D57080">
            <w:pPr>
              <w:rPr>
                <w:rFonts w:ascii="Tahoma" w:hAnsi="Tahoma" w:cs="Tahoma"/>
                <w:bCs/>
                <w:sz w:val="22"/>
                <w:szCs w:val="22"/>
              </w:rPr>
            </w:pP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Departmental Progress made</w:t>
            </w:r>
          </w:p>
        </w:tc>
        <w:tc>
          <w:tcPr>
            <w:tcW w:w="8789" w:type="dxa"/>
            <w:shd w:val="clear" w:color="auto" w:fill="auto"/>
          </w:tcPr>
          <w:p w:rsidR="00B4329E" w:rsidRPr="00D57080" w:rsidRDefault="00B4329E" w:rsidP="00D57080">
            <w:pPr>
              <w:rPr>
                <w:rFonts w:ascii="Tahoma" w:hAnsi="Tahoma" w:cs="Tahoma"/>
                <w:bCs/>
                <w:sz w:val="22"/>
                <w:szCs w:val="22"/>
              </w:rPr>
            </w:pPr>
            <w:r>
              <w:rPr>
                <w:rFonts w:ascii="Tahoma" w:hAnsi="Tahoma" w:cs="Tahoma"/>
                <w:bCs/>
                <w:sz w:val="22"/>
                <w:szCs w:val="22"/>
              </w:rPr>
              <w:t>The Department has recorded the expenditure under the irregular expenditure note as under determination pending finalisation between the Department and AGSA. Furthermore, the matter has been investigated by the SIU and the accounting officer is implementing the recommendations of the SIU.</w:t>
            </w:r>
          </w:p>
        </w:tc>
      </w:tr>
      <w:tr w:rsidR="00FF38F2" w:rsidRPr="00565948" w:rsidTr="004D6ADF">
        <w:tc>
          <w:tcPr>
            <w:tcW w:w="14142" w:type="dxa"/>
            <w:gridSpan w:val="3"/>
            <w:shd w:val="clear" w:color="auto" w:fill="BFBFBF"/>
          </w:tcPr>
          <w:p w:rsidR="00FF38F2" w:rsidRPr="001C7CBD" w:rsidRDefault="001C7CBD" w:rsidP="00D57080">
            <w:pPr>
              <w:rPr>
                <w:rFonts w:ascii="Tahoma" w:hAnsi="Tahoma" w:cs="Tahoma"/>
                <w:b/>
                <w:bCs/>
              </w:rPr>
            </w:pPr>
            <w:r w:rsidRPr="001C7CBD">
              <w:rPr>
                <w:rFonts w:ascii="Tahoma" w:hAnsi="Tahoma" w:cs="Tahoma"/>
                <w:b/>
                <w:bCs/>
              </w:rPr>
              <w:t>Internal control deficiencies</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3</w:t>
            </w:r>
          </w:p>
        </w:tc>
        <w:tc>
          <w:tcPr>
            <w:tcW w:w="3969" w:type="dxa"/>
            <w:shd w:val="clear" w:color="auto" w:fill="auto"/>
          </w:tcPr>
          <w:p w:rsidR="00D57080" w:rsidRPr="00D57080" w:rsidRDefault="00D57080" w:rsidP="00D57080">
            <w:pPr>
              <w:rPr>
                <w:rFonts w:ascii="Tahoma" w:hAnsi="Tahoma" w:cs="Tahoma"/>
                <w:bCs/>
                <w:sz w:val="22"/>
                <w:szCs w:val="22"/>
              </w:rPr>
            </w:pPr>
            <w:r w:rsidRPr="00D57080">
              <w:rPr>
                <w:rFonts w:ascii="Tahoma" w:hAnsi="Tahoma" w:cs="Tahoma"/>
                <w:bCs/>
                <w:sz w:val="22"/>
                <w:szCs w:val="22"/>
              </w:rPr>
              <w:t>A</w:t>
            </w:r>
            <w:r>
              <w:rPr>
                <w:rFonts w:ascii="Tahoma" w:hAnsi="Tahoma" w:cs="Tahoma"/>
                <w:bCs/>
                <w:sz w:val="22"/>
                <w:szCs w:val="22"/>
              </w:rPr>
              <w:t>udit Finding</w:t>
            </w:r>
          </w:p>
        </w:tc>
        <w:tc>
          <w:tcPr>
            <w:tcW w:w="8789" w:type="dxa"/>
            <w:shd w:val="clear" w:color="auto" w:fill="auto"/>
          </w:tcPr>
          <w:p w:rsidR="00D57080" w:rsidRPr="00D57080" w:rsidRDefault="00553FB5" w:rsidP="00D57080">
            <w:pPr>
              <w:rPr>
                <w:rFonts w:ascii="Tahoma" w:hAnsi="Tahoma" w:cs="Tahoma"/>
                <w:bCs/>
                <w:sz w:val="22"/>
                <w:szCs w:val="22"/>
              </w:rPr>
            </w:pPr>
            <w:r w:rsidRPr="00553FB5">
              <w:rPr>
                <w:rFonts w:ascii="Tahoma" w:hAnsi="Tahoma" w:cs="Tahoma"/>
                <w:bCs/>
                <w:sz w:val="22"/>
                <w:szCs w:val="22"/>
              </w:rPr>
              <w:t>Insufficient controls over receipt of goods and services</w:t>
            </w:r>
          </w:p>
        </w:tc>
      </w:tr>
      <w:tr w:rsidR="00553FB5" w:rsidRPr="00565948" w:rsidTr="00D57080">
        <w:tc>
          <w:tcPr>
            <w:tcW w:w="1384" w:type="dxa"/>
            <w:shd w:val="clear" w:color="auto" w:fill="auto"/>
          </w:tcPr>
          <w:p w:rsidR="00553FB5" w:rsidRDefault="00553FB5" w:rsidP="00D57080">
            <w:pPr>
              <w:rPr>
                <w:rFonts w:ascii="Tahoma" w:hAnsi="Tahoma" w:cs="Tahoma"/>
                <w:bCs/>
                <w:sz w:val="22"/>
                <w:szCs w:val="22"/>
              </w:rPr>
            </w:pPr>
          </w:p>
        </w:tc>
        <w:tc>
          <w:tcPr>
            <w:tcW w:w="3969" w:type="dxa"/>
            <w:shd w:val="clear" w:color="auto" w:fill="auto"/>
          </w:tcPr>
          <w:p w:rsidR="00553FB5" w:rsidRPr="00D57080" w:rsidRDefault="00553FB5" w:rsidP="00D57080">
            <w:pPr>
              <w:rPr>
                <w:rFonts w:ascii="Tahoma" w:hAnsi="Tahoma" w:cs="Tahoma"/>
                <w:bCs/>
                <w:sz w:val="22"/>
                <w:szCs w:val="22"/>
              </w:rPr>
            </w:pPr>
            <w:r>
              <w:rPr>
                <w:rFonts w:ascii="Tahoma" w:hAnsi="Tahoma" w:cs="Tahoma"/>
                <w:bCs/>
                <w:sz w:val="22"/>
                <w:szCs w:val="22"/>
              </w:rPr>
              <w:t>Finding details</w:t>
            </w:r>
          </w:p>
        </w:tc>
        <w:tc>
          <w:tcPr>
            <w:tcW w:w="8789" w:type="dxa"/>
            <w:shd w:val="clear" w:color="auto" w:fill="auto"/>
          </w:tcPr>
          <w:p w:rsidR="00BE54F1" w:rsidRPr="00BE54F1" w:rsidRDefault="00BE54F1" w:rsidP="00BE54F1">
            <w:pPr>
              <w:rPr>
                <w:rFonts w:ascii="Tahoma" w:hAnsi="Tahoma" w:cs="Tahoma"/>
                <w:b/>
                <w:bCs/>
                <w:sz w:val="22"/>
                <w:szCs w:val="22"/>
                <w:u w:val="single"/>
              </w:rPr>
            </w:pPr>
            <w:r w:rsidRPr="00BE54F1">
              <w:rPr>
                <w:rFonts w:ascii="Tahoma" w:hAnsi="Tahoma" w:cs="Tahoma"/>
                <w:b/>
                <w:bCs/>
                <w:sz w:val="22"/>
                <w:szCs w:val="22"/>
                <w:u w:val="single"/>
              </w:rPr>
              <w:t>Inventory invoice from depot did not agree with goods received note from institution (LP)</w:t>
            </w:r>
          </w:p>
          <w:p w:rsidR="00BE54F1" w:rsidRPr="00BE54F1" w:rsidRDefault="00BE54F1" w:rsidP="00BE54F1">
            <w:pPr>
              <w:rPr>
                <w:rFonts w:ascii="Tahoma" w:hAnsi="Tahoma" w:cs="Tahoma"/>
                <w:bCs/>
                <w:sz w:val="22"/>
                <w:szCs w:val="22"/>
              </w:rPr>
            </w:pPr>
          </w:p>
          <w:p w:rsidR="00BE54F1" w:rsidRPr="00BE54F1" w:rsidRDefault="00BE54F1" w:rsidP="00BE54F1">
            <w:pPr>
              <w:numPr>
                <w:ilvl w:val="0"/>
                <w:numId w:val="37"/>
              </w:numPr>
              <w:rPr>
                <w:rFonts w:ascii="Tahoma" w:hAnsi="Tahoma" w:cs="Tahoma"/>
                <w:bCs/>
                <w:sz w:val="22"/>
                <w:szCs w:val="22"/>
              </w:rPr>
            </w:pPr>
            <w:r w:rsidRPr="00BE54F1">
              <w:rPr>
                <w:rFonts w:ascii="Tahoma" w:hAnsi="Tahoma" w:cs="Tahoma"/>
                <w:bCs/>
                <w:sz w:val="22"/>
                <w:szCs w:val="22"/>
              </w:rPr>
              <w:t>PPE delivered to a health institution did not agree with the goods received note and evidence could not be provided to confirm whether the institution had communicated with the medical depot on the differences between the goods received note and the invoice.</w:t>
            </w:r>
          </w:p>
          <w:p w:rsidR="00553FB5" w:rsidRPr="00553FB5" w:rsidRDefault="00BE54F1" w:rsidP="00BE54F1">
            <w:pPr>
              <w:numPr>
                <w:ilvl w:val="0"/>
                <w:numId w:val="37"/>
              </w:numPr>
              <w:rPr>
                <w:rFonts w:ascii="Tahoma" w:hAnsi="Tahoma" w:cs="Tahoma"/>
                <w:bCs/>
                <w:sz w:val="22"/>
                <w:szCs w:val="22"/>
              </w:rPr>
            </w:pPr>
            <w:r w:rsidRPr="00BE54F1">
              <w:rPr>
                <w:rFonts w:ascii="Tahoma" w:hAnsi="Tahoma" w:cs="Tahoma"/>
                <w:bCs/>
                <w:sz w:val="22"/>
                <w:szCs w:val="22"/>
              </w:rPr>
              <w:t>In some instances, the quantity on the invoice was more than the quantity on the goods received note, or vice versa.</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AGSA Recommendations</w:t>
            </w:r>
          </w:p>
        </w:tc>
        <w:tc>
          <w:tcPr>
            <w:tcW w:w="8789" w:type="dxa"/>
            <w:shd w:val="clear" w:color="auto" w:fill="auto"/>
          </w:tcPr>
          <w:p w:rsidR="00D57080" w:rsidRPr="00D57080" w:rsidRDefault="00BE54F1" w:rsidP="00D57080">
            <w:pPr>
              <w:rPr>
                <w:rFonts w:ascii="Tahoma" w:hAnsi="Tahoma" w:cs="Tahoma"/>
                <w:bCs/>
                <w:sz w:val="22"/>
                <w:szCs w:val="22"/>
              </w:rPr>
            </w:pPr>
            <w:r w:rsidRPr="00BE54F1">
              <w:rPr>
                <w:rFonts w:ascii="Tahoma" w:hAnsi="Tahoma" w:cs="Tahoma"/>
                <w:bCs/>
                <w:sz w:val="22"/>
                <w:szCs w:val="22"/>
              </w:rPr>
              <w:t>The SCM unit should reassess all controls over the receiving of goods to confirm that sufficient processes are in place and are correctly implemented to ensure that all goods received are in line with goods ordered and that all documentation required to accompany the goods purchased has been submitted. This will ensure that payments are made for only valid goods ordered, delivered and received.</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Departmental Progress made</w:t>
            </w:r>
          </w:p>
        </w:tc>
        <w:tc>
          <w:tcPr>
            <w:tcW w:w="8789" w:type="dxa"/>
            <w:shd w:val="clear" w:color="auto" w:fill="auto"/>
          </w:tcPr>
          <w:p w:rsidR="00D57080" w:rsidRDefault="00936641" w:rsidP="00D57080">
            <w:pPr>
              <w:rPr>
                <w:rFonts w:ascii="Tahoma" w:hAnsi="Tahoma" w:cs="Tahoma"/>
                <w:bCs/>
                <w:sz w:val="22"/>
                <w:szCs w:val="22"/>
              </w:rPr>
            </w:pPr>
            <w:r>
              <w:rPr>
                <w:rFonts w:ascii="Tahoma" w:hAnsi="Tahoma" w:cs="Tahoma"/>
                <w:bCs/>
                <w:sz w:val="22"/>
                <w:szCs w:val="22"/>
              </w:rPr>
              <w:t xml:space="preserve">The issue identified by AGSA was an anomaly and internal controls are in place to address the issue. The finding related to internal deliveries of goods between the Depot and the Facility. There is no financial impact that could result in fruitless expenditure. </w:t>
            </w:r>
          </w:p>
          <w:p w:rsidR="00936641" w:rsidRDefault="00936641" w:rsidP="00D57080">
            <w:pPr>
              <w:rPr>
                <w:rFonts w:ascii="Tahoma" w:hAnsi="Tahoma" w:cs="Tahoma"/>
                <w:bCs/>
                <w:sz w:val="22"/>
                <w:szCs w:val="22"/>
              </w:rPr>
            </w:pPr>
          </w:p>
          <w:p w:rsidR="00936641" w:rsidRDefault="00936641" w:rsidP="00D57080">
            <w:pPr>
              <w:rPr>
                <w:rFonts w:ascii="Tahoma" w:hAnsi="Tahoma" w:cs="Tahoma"/>
                <w:bCs/>
                <w:sz w:val="22"/>
                <w:szCs w:val="22"/>
              </w:rPr>
            </w:pPr>
            <w:r>
              <w:rPr>
                <w:rFonts w:ascii="Tahoma" w:hAnsi="Tahoma" w:cs="Tahoma"/>
                <w:bCs/>
                <w:sz w:val="22"/>
                <w:szCs w:val="22"/>
              </w:rPr>
              <w:t xml:space="preserve">Subsequent to the audit the goods received note was reconciled to the actual quantities delivered to the facility. </w:t>
            </w:r>
          </w:p>
          <w:p w:rsidR="00936641" w:rsidRDefault="00936641" w:rsidP="00D57080">
            <w:pPr>
              <w:rPr>
                <w:rFonts w:ascii="Tahoma" w:hAnsi="Tahoma" w:cs="Tahoma"/>
                <w:bCs/>
                <w:sz w:val="22"/>
                <w:szCs w:val="22"/>
              </w:rPr>
            </w:pPr>
          </w:p>
          <w:p w:rsidR="00936641" w:rsidRDefault="00936641" w:rsidP="00D57080">
            <w:pPr>
              <w:rPr>
                <w:rFonts w:ascii="Tahoma" w:hAnsi="Tahoma" w:cs="Tahoma"/>
                <w:bCs/>
                <w:sz w:val="22"/>
                <w:szCs w:val="22"/>
              </w:rPr>
            </w:pPr>
            <w:r>
              <w:rPr>
                <w:rFonts w:ascii="Tahoma" w:hAnsi="Tahoma" w:cs="Tahoma"/>
                <w:bCs/>
                <w:sz w:val="22"/>
                <w:szCs w:val="22"/>
              </w:rPr>
              <w:t>Controls in place are described as follows:</w:t>
            </w:r>
          </w:p>
          <w:p w:rsidR="00936641" w:rsidRDefault="00936641" w:rsidP="00936641">
            <w:pPr>
              <w:rPr>
                <w:rFonts w:ascii="Tahoma" w:hAnsi="Tahoma" w:cs="Tahoma"/>
                <w:bCs/>
                <w:sz w:val="22"/>
                <w:szCs w:val="22"/>
              </w:rPr>
            </w:pPr>
            <w:r>
              <w:rPr>
                <w:rFonts w:ascii="Tahoma" w:hAnsi="Tahoma" w:cs="Tahoma"/>
                <w:bCs/>
                <w:sz w:val="22"/>
                <w:szCs w:val="22"/>
              </w:rPr>
              <w:t xml:space="preserve">When the Depot issues stock to the facility, an invoice to the facility and a proof of delivery is prepared. </w:t>
            </w:r>
          </w:p>
          <w:p w:rsidR="00936641" w:rsidRDefault="00936641" w:rsidP="00936641">
            <w:pPr>
              <w:rPr>
                <w:rFonts w:ascii="Tahoma" w:hAnsi="Tahoma" w:cs="Tahoma"/>
                <w:bCs/>
                <w:sz w:val="22"/>
                <w:szCs w:val="22"/>
              </w:rPr>
            </w:pPr>
            <w:r>
              <w:rPr>
                <w:rFonts w:ascii="Tahoma" w:hAnsi="Tahoma" w:cs="Tahoma"/>
                <w:bCs/>
                <w:sz w:val="22"/>
                <w:szCs w:val="22"/>
              </w:rPr>
              <w:t xml:space="preserve">The stock to be delivered is counted at the Depot and the receiving facility against the proof of delivery and the invoice. This ensures that stock that left the Depot agrees with the stock that has been received by the Facility. </w:t>
            </w:r>
          </w:p>
          <w:p w:rsidR="00936641" w:rsidRDefault="00936641" w:rsidP="00936641">
            <w:pPr>
              <w:rPr>
                <w:rFonts w:ascii="Tahoma" w:hAnsi="Tahoma" w:cs="Tahoma"/>
                <w:bCs/>
                <w:sz w:val="22"/>
                <w:szCs w:val="22"/>
              </w:rPr>
            </w:pPr>
          </w:p>
          <w:p w:rsidR="00936641" w:rsidRDefault="00936641" w:rsidP="00936641">
            <w:pPr>
              <w:rPr>
                <w:rFonts w:ascii="Tahoma" w:hAnsi="Tahoma" w:cs="Tahoma"/>
                <w:bCs/>
                <w:sz w:val="22"/>
                <w:szCs w:val="22"/>
              </w:rPr>
            </w:pPr>
            <w:r>
              <w:rPr>
                <w:rFonts w:ascii="Tahoma" w:hAnsi="Tahoma" w:cs="Tahoma"/>
                <w:bCs/>
                <w:sz w:val="22"/>
                <w:szCs w:val="22"/>
              </w:rPr>
              <w:t xml:space="preserve">The facility captured the invoice on RX solutions (inventory system) and the system generates a Goods received note. </w:t>
            </w:r>
            <w:r w:rsidR="00D85143">
              <w:rPr>
                <w:rFonts w:ascii="Tahoma" w:hAnsi="Tahoma" w:cs="Tahoma"/>
                <w:bCs/>
                <w:sz w:val="22"/>
                <w:szCs w:val="22"/>
              </w:rPr>
              <w:t xml:space="preserve">The system Goods received note is also checked against the actual quantities. </w:t>
            </w:r>
          </w:p>
          <w:p w:rsidR="00D85143" w:rsidRDefault="00D85143" w:rsidP="00936641">
            <w:pPr>
              <w:rPr>
                <w:rFonts w:ascii="Tahoma" w:hAnsi="Tahoma" w:cs="Tahoma"/>
                <w:bCs/>
                <w:sz w:val="22"/>
                <w:szCs w:val="22"/>
              </w:rPr>
            </w:pPr>
          </w:p>
          <w:p w:rsidR="00D85143" w:rsidRDefault="00D85143" w:rsidP="00936641">
            <w:pPr>
              <w:rPr>
                <w:rFonts w:ascii="Tahoma" w:hAnsi="Tahoma" w:cs="Tahoma"/>
                <w:bCs/>
                <w:sz w:val="22"/>
                <w:szCs w:val="22"/>
              </w:rPr>
            </w:pPr>
            <w:r>
              <w:rPr>
                <w:rFonts w:ascii="Tahoma" w:hAnsi="Tahoma" w:cs="Tahoma"/>
                <w:bCs/>
                <w:sz w:val="22"/>
                <w:szCs w:val="22"/>
              </w:rPr>
              <w:t xml:space="preserve">Therefore, the recommendation has been implemented. </w:t>
            </w:r>
          </w:p>
          <w:p w:rsidR="00D85143" w:rsidRDefault="00D85143" w:rsidP="00936641">
            <w:pPr>
              <w:rPr>
                <w:rFonts w:ascii="Tahoma" w:hAnsi="Tahoma" w:cs="Tahoma"/>
                <w:bCs/>
                <w:sz w:val="22"/>
                <w:szCs w:val="22"/>
              </w:rPr>
            </w:pPr>
          </w:p>
          <w:p w:rsidR="00D85143" w:rsidRPr="00D57080" w:rsidRDefault="00D85143" w:rsidP="00936641">
            <w:pPr>
              <w:rPr>
                <w:rFonts w:ascii="Tahoma" w:hAnsi="Tahoma" w:cs="Tahoma"/>
                <w:bCs/>
                <w:sz w:val="22"/>
                <w:szCs w:val="22"/>
              </w:rPr>
            </w:pPr>
          </w:p>
        </w:tc>
      </w:tr>
      <w:tr w:rsidR="00FF38F2" w:rsidRPr="00565948" w:rsidTr="004D6ADF">
        <w:tc>
          <w:tcPr>
            <w:tcW w:w="14142" w:type="dxa"/>
            <w:gridSpan w:val="3"/>
            <w:shd w:val="clear" w:color="auto" w:fill="BFBFBF"/>
          </w:tcPr>
          <w:p w:rsidR="00FF38F2" w:rsidRPr="001C7CBD" w:rsidRDefault="001C7CBD" w:rsidP="00D57080">
            <w:pPr>
              <w:rPr>
                <w:rFonts w:ascii="Tahoma" w:hAnsi="Tahoma" w:cs="Tahoma"/>
                <w:b/>
                <w:bCs/>
              </w:rPr>
            </w:pPr>
            <w:r w:rsidRPr="001C7CBD">
              <w:rPr>
                <w:rFonts w:ascii="Tahoma" w:hAnsi="Tahoma" w:cs="Tahoma"/>
                <w:b/>
                <w:bCs/>
              </w:rPr>
              <w:t>Recording, storage and/or distribution of PPE</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4</w:t>
            </w:r>
          </w:p>
        </w:tc>
        <w:tc>
          <w:tcPr>
            <w:tcW w:w="3969" w:type="dxa"/>
            <w:shd w:val="clear" w:color="auto" w:fill="auto"/>
          </w:tcPr>
          <w:p w:rsidR="00D57080" w:rsidRPr="00D57080" w:rsidRDefault="00D57080" w:rsidP="00D57080">
            <w:pPr>
              <w:rPr>
                <w:rFonts w:ascii="Tahoma" w:hAnsi="Tahoma" w:cs="Tahoma"/>
                <w:bCs/>
                <w:sz w:val="22"/>
                <w:szCs w:val="22"/>
              </w:rPr>
            </w:pPr>
            <w:r w:rsidRPr="00D57080">
              <w:rPr>
                <w:rFonts w:ascii="Tahoma" w:hAnsi="Tahoma" w:cs="Tahoma"/>
                <w:bCs/>
                <w:sz w:val="22"/>
                <w:szCs w:val="22"/>
              </w:rPr>
              <w:t>A</w:t>
            </w:r>
            <w:r>
              <w:rPr>
                <w:rFonts w:ascii="Tahoma" w:hAnsi="Tahoma" w:cs="Tahoma"/>
                <w:bCs/>
                <w:sz w:val="22"/>
                <w:szCs w:val="22"/>
              </w:rPr>
              <w:t>udit Finding</w:t>
            </w:r>
          </w:p>
        </w:tc>
        <w:tc>
          <w:tcPr>
            <w:tcW w:w="8789" w:type="dxa"/>
            <w:shd w:val="clear" w:color="auto" w:fill="auto"/>
          </w:tcPr>
          <w:p w:rsidR="00553FB5" w:rsidRPr="00553FB5" w:rsidRDefault="00553FB5" w:rsidP="00553FB5">
            <w:pPr>
              <w:rPr>
                <w:rFonts w:ascii="Tahoma" w:hAnsi="Tahoma" w:cs="Tahoma"/>
                <w:bCs/>
                <w:sz w:val="22"/>
                <w:szCs w:val="22"/>
              </w:rPr>
            </w:pPr>
            <w:r w:rsidRPr="00553FB5">
              <w:rPr>
                <w:rFonts w:ascii="Tahoma" w:hAnsi="Tahoma" w:cs="Tahoma"/>
                <w:bCs/>
                <w:sz w:val="22"/>
                <w:szCs w:val="22"/>
              </w:rPr>
              <w:t>PPE not distributed in complete and/or timely manner to healthcare</w:t>
            </w:r>
          </w:p>
          <w:p w:rsidR="00D57080" w:rsidRPr="00D57080" w:rsidRDefault="00553FB5" w:rsidP="00553FB5">
            <w:pPr>
              <w:rPr>
                <w:rFonts w:ascii="Tahoma" w:hAnsi="Tahoma" w:cs="Tahoma"/>
                <w:bCs/>
                <w:sz w:val="22"/>
                <w:szCs w:val="22"/>
              </w:rPr>
            </w:pPr>
            <w:r w:rsidRPr="00553FB5">
              <w:rPr>
                <w:rFonts w:ascii="Tahoma" w:hAnsi="Tahoma" w:cs="Tahoma"/>
                <w:bCs/>
                <w:sz w:val="22"/>
                <w:szCs w:val="22"/>
              </w:rPr>
              <w:t>Facilities</w:t>
            </w:r>
          </w:p>
        </w:tc>
      </w:tr>
      <w:tr w:rsidR="00553FB5" w:rsidRPr="00565948" w:rsidTr="00D57080">
        <w:tc>
          <w:tcPr>
            <w:tcW w:w="1384" w:type="dxa"/>
            <w:shd w:val="clear" w:color="auto" w:fill="auto"/>
          </w:tcPr>
          <w:p w:rsidR="00553FB5" w:rsidRDefault="00553FB5" w:rsidP="00D57080">
            <w:pPr>
              <w:rPr>
                <w:rFonts w:ascii="Tahoma" w:hAnsi="Tahoma" w:cs="Tahoma"/>
                <w:bCs/>
                <w:sz w:val="22"/>
                <w:szCs w:val="22"/>
              </w:rPr>
            </w:pPr>
          </w:p>
        </w:tc>
        <w:tc>
          <w:tcPr>
            <w:tcW w:w="3969" w:type="dxa"/>
            <w:shd w:val="clear" w:color="auto" w:fill="auto"/>
          </w:tcPr>
          <w:p w:rsidR="00553FB5" w:rsidRPr="00D57080" w:rsidRDefault="00553FB5" w:rsidP="00D57080">
            <w:pPr>
              <w:rPr>
                <w:rFonts w:ascii="Tahoma" w:hAnsi="Tahoma" w:cs="Tahoma"/>
                <w:bCs/>
                <w:sz w:val="22"/>
                <w:szCs w:val="22"/>
              </w:rPr>
            </w:pPr>
            <w:r>
              <w:rPr>
                <w:rFonts w:ascii="Tahoma" w:hAnsi="Tahoma" w:cs="Tahoma"/>
                <w:bCs/>
                <w:sz w:val="22"/>
                <w:szCs w:val="22"/>
              </w:rPr>
              <w:t>Finding details</w:t>
            </w:r>
          </w:p>
        </w:tc>
        <w:tc>
          <w:tcPr>
            <w:tcW w:w="8789" w:type="dxa"/>
            <w:shd w:val="clear" w:color="auto" w:fill="auto"/>
          </w:tcPr>
          <w:p w:rsidR="000E60F4" w:rsidRPr="000E60F4" w:rsidRDefault="000E60F4" w:rsidP="000E60F4">
            <w:pPr>
              <w:numPr>
                <w:ilvl w:val="0"/>
                <w:numId w:val="38"/>
              </w:numPr>
              <w:rPr>
                <w:rFonts w:ascii="Tahoma" w:hAnsi="Tahoma" w:cs="Tahoma"/>
                <w:bCs/>
                <w:sz w:val="22"/>
                <w:szCs w:val="22"/>
              </w:rPr>
            </w:pPr>
            <w:r w:rsidRPr="000E60F4">
              <w:rPr>
                <w:rFonts w:ascii="Tahoma" w:hAnsi="Tahoma" w:cs="Tahoma"/>
                <w:bCs/>
                <w:sz w:val="22"/>
                <w:szCs w:val="22"/>
              </w:rPr>
              <w:t>The bulk storage facilities could not always provide the requested PPE in a complete and/or timely manner to the healthcare facilities because of stock-outs or low stock levels. This was mainly due to suppliers’ extended lead times to deliver during the pandemic. As a result, the bulk storage facilities had to ration the quantities issued to the healthcare facilities based on the amount of PPE on hand. This was to ensure that all healthcare facilities had some PPE.</w:t>
            </w:r>
          </w:p>
          <w:p w:rsidR="00553FB5" w:rsidRPr="00553FB5" w:rsidRDefault="000E60F4" w:rsidP="000E60F4">
            <w:pPr>
              <w:numPr>
                <w:ilvl w:val="0"/>
                <w:numId w:val="38"/>
              </w:numPr>
              <w:rPr>
                <w:rFonts w:ascii="Tahoma" w:hAnsi="Tahoma" w:cs="Tahoma"/>
                <w:bCs/>
                <w:sz w:val="22"/>
                <w:szCs w:val="22"/>
              </w:rPr>
            </w:pPr>
            <w:r w:rsidRPr="000E60F4">
              <w:rPr>
                <w:rFonts w:ascii="Tahoma" w:hAnsi="Tahoma" w:cs="Tahoma"/>
                <w:bCs/>
                <w:sz w:val="22"/>
                <w:szCs w:val="22"/>
              </w:rPr>
              <w:t>As PPE was not always distributed in a complete and/or timely manner, some healthcare facilities experienced stock-outs or low stock levels of certain PPE items at times. To ensure continuous service delivery, the healthcare facilities had to borrow, share or exchange PPE among themselves. In some instances, alternative PPE was used by healthcare workers or PPE was purchased directly from the suppliers</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AGSA Recommendations</w:t>
            </w:r>
          </w:p>
        </w:tc>
        <w:tc>
          <w:tcPr>
            <w:tcW w:w="8789" w:type="dxa"/>
            <w:shd w:val="clear" w:color="auto" w:fill="auto"/>
          </w:tcPr>
          <w:p w:rsidR="00D57080" w:rsidRPr="00D57080" w:rsidRDefault="00D331C3" w:rsidP="00D57080">
            <w:pPr>
              <w:rPr>
                <w:rFonts w:ascii="Tahoma" w:hAnsi="Tahoma" w:cs="Tahoma"/>
                <w:bCs/>
                <w:sz w:val="22"/>
                <w:szCs w:val="22"/>
              </w:rPr>
            </w:pPr>
            <w:r w:rsidRPr="00D331C3">
              <w:rPr>
                <w:rFonts w:ascii="Tahoma" w:hAnsi="Tahoma" w:cs="Tahoma"/>
                <w:bCs/>
                <w:sz w:val="22"/>
                <w:szCs w:val="22"/>
              </w:rPr>
              <w:t>Departments should regularly follow up on long-outstanding orders. Where suppliers repeatedly fail to deliver orders within a reasonable time and without justifiable reasons, departments should consider not placing orders with these suppliers in future</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Departmental Progress made</w:t>
            </w:r>
          </w:p>
        </w:tc>
        <w:tc>
          <w:tcPr>
            <w:tcW w:w="8789" w:type="dxa"/>
            <w:shd w:val="clear" w:color="auto" w:fill="auto"/>
          </w:tcPr>
          <w:p w:rsidR="00D57080" w:rsidRPr="00D57080" w:rsidRDefault="00D85143" w:rsidP="00D85143">
            <w:pPr>
              <w:rPr>
                <w:rFonts w:ascii="Tahoma" w:hAnsi="Tahoma" w:cs="Tahoma"/>
                <w:bCs/>
                <w:sz w:val="22"/>
                <w:szCs w:val="22"/>
              </w:rPr>
            </w:pPr>
            <w:r>
              <w:rPr>
                <w:rFonts w:ascii="Tahoma" w:hAnsi="Tahoma" w:cs="Tahoma"/>
                <w:bCs/>
                <w:sz w:val="22"/>
                <w:szCs w:val="22"/>
              </w:rPr>
              <w:t>At the onset of the pandemic, there were global shortage of PPE and the Department</w:t>
            </w:r>
            <w:r w:rsidR="00557FCD" w:rsidRPr="00557FCD">
              <w:rPr>
                <w:rFonts w:ascii="Tahoma" w:hAnsi="Tahoma" w:cs="Tahoma"/>
                <w:bCs/>
                <w:sz w:val="22"/>
                <w:szCs w:val="22"/>
              </w:rPr>
              <w:t xml:space="preserve"> distributed PPE to healthcare facilities based on its own demand calculations as an emergency intervention during the pandemic</w:t>
            </w:r>
            <w:r>
              <w:rPr>
                <w:rFonts w:ascii="Tahoma" w:hAnsi="Tahoma" w:cs="Tahoma"/>
                <w:bCs/>
                <w:sz w:val="22"/>
                <w:szCs w:val="22"/>
              </w:rPr>
              <w:t>. T</w:t>
            </w:r>
            <w:r w:rsidR="00557FCD" w:rsidRPr="00557FCD">
              <w:rPr>
                <w:rFonts w:ascii="Tahoma" w:hAnsi="Tahoma" w:cs="Tahoma"/>
                <w:bCs/>
                <w:sz w:val="22"/>
                <w:szCs w:val="22"/>
              </w:rPr>
              <w:t>he</w:t>
            </w:r>
            <w:r>
              <w:rPr>
                <w:rFonts w:ascii="Tahoma" w:hAnsi="Tahoma" w:cs="Tahoma"/>
                <w:bCs/>
                <w:sz w:val="22"/>
                <w:szCs w:val="22"/>
              </w:rPr>
              <w:t xml:space="preserve"> market for PPEs has stabilised and the Department is able to sought PPEs in sufficient quantities to meet the demand of Health facilities.</w:t>
            </w:r>
          </w:p>
        </w:tc>
      </w:tr>
      <w:tr w:rsidR="00D57080" w:rsidRPr="00565948" w:rsidTr="004D6ADF">
        <w:tc>
          <w:tcPr>
            <w:tcW w:w="1384" w:type="dxa"/>
            <w:shd w:val="clear" w:color="auto" w:fill="BFBFBF"/>
          </w:tcPr>
          <w:p w:rsidR="00D57080" w:rsidRPr="00D57080" w:rsidRDefault="00D57080" w:rsidP="00D57080">
            <w:pPr>
              <w:rPr>
                <w:rFonts w:ascii="Tahoma" w:hAnsi="Tahoma" w:cs="Tahoma"/>
                <w:bCs/>
                <w:sz w:val="8"/>
                <w:szCs w:val="8"/>
              </w:rPr>
            </w:pPr>
          </w:p>
        </w:tc>
        <w:tc>
          <w:tcPr>
            <w:tcW w:w="3969" w:type="dxa"/>
            <w:shd w:val="clear" w:color="auto" w:fill="BFBFBF"/>
          </w:tcPr>
          <w:p w:rsidR="00D57080" w:rsidRPr="00D57080" w:rsidRDefault="00D57080" w:rsidP="00D57080">
            <w:pPr>
              <w:rPr>
                <w:rFonts w:ascii="Tahoma" w:hAnsi="Tahoma" w:cs="Tahoma"/>
                <w:bCs/>
                <w:sz w:val="8"/>
                <w:szCs w:val="8"/>
              </w:rPr>
            </w:pPr>
          </w:p>
        </w:tc>
        <w:tc>
          <w:tcPr>
            <w:tcW w:w="8789" w:type="dxa"/>
            <w:shd w:val="clear" w:color="auto" w:fill="BFBFBF"/>
          </w:tcPr>
          <w:p w:rsidR="00D57080" w:rsidRPr="00D57080" w:rsidRDefault="00D57080" w:rsidP="00D57080">
            <w:pPr>
              <w:rPr>
                <w:rFonts w:ascii="Tahoma" w:hAnsi="Tahoma" w:cs="Tahoma"/>
                <w:bCs/>
                <w:sz w:val="8"/>
                <w:szCs w:val="8"/>
              </w:rPr>
            </w:pP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5</w:t>
            </w:r>
          </w:p>
        </w:tc>
        <w:tc>
          <w:tcPr>
            <w:tcW w:w="3969" w:type="dxa"/>
            <w:shd w:val="clear" w:color="auto" w:fill="auto"/>
          </w:tcPr>
          <w:p w:rsidR="00D57080" w:rsidRPr="00D57080" w:rsidRDefault="00D57080" w:rsidP="00D57080">
            <w:pPr>
              <w:rPr>
                <w:rFonts w:ascii="Tahoma" w:hAnsi="Tahoma" w:cs="Tahoma"/>
                <w:bCs/>
                <w:sz w:val="22"/>
                <w:szCs w:val="22"/>
              </w:rPr>
            </w:pPr>
            <w:r w:rsidRPr="00D57080">
              <w:rPr>
                <w:rFonts w:ascii="Tahoma" w:hAnsi="Tahoma" w:cs="Tahoma"/>
                <w:bCs/>
                <w:sz w:val="22"/>
                <w:szCs w:val="22"/>
              </w:rPr>
              <w:t>A</w:t>
            </w:r>
            <w:r>
              <w:rPr>
                <w:rFonts w:ascii="Tahoma" w:hAnsi="Tahoma" w:cs="Tahoma"/>
                <w:bCs/>
                <w:sz w:val="22"/>
                <w:szCs w:val="22"/>
              </w:rPr>
              <w:t>udit Finding</w:t>
            </w:r>
          </w:p>
        </w:tc>
        <w:tc>
          <w:tcPr>
            <w:tcW w:w="8789" w:type="dxa"/>
            <w:shd w:val="clear" w:color="auto" w:fill="auto"/>
          </w:tcPr>
          <w:p w:rsidR="00D57080" w:rsidRPr="00D57080" w:rsidRDefault="00553FB5" w:rsidP="00D57080">
            <w:pPr>
              <w:rPr>
                <w:rFonts w:ascii="Tahoma" w:hAnsi="Tahoma" w:cs="Tahoma"/>
                <w:bCs/>
                <w:sz w:val="22"/>
                <w:szCs w:val="22"/>
              </w:rPr>
            </w:pPr>
            <w:r w:rsidRPr="00553FB5">
              <w:rPr>
                <w:rFonts w:ascii="Tahoma" w:hAnsi="Tahoma" w:cs="Tahoma"/>
                <w:bCs/>
                <w:sz w:val="22"/>
                <w:szCs w:val="22"/>
              </w:rPr>
              <w:t>Poor storage practices at bulk storage and healthcare facilities</w:t>
            </w:r>
          </w:p>
        </w:tc>
      </w:tr>
      <w:tr w:rsidR="00553FB5" w:rsidRPr="00565948" w:rsidTr="00D57080">
        <w:tc>
          <w:tcPr>
            <w:tcW w:w="1384" w:type="dxa"/>
            <w:shd w:val="clear" w:color="auto" w:fill="auto"/>
          </w:tcPr>
          <w:p w:rsidR="00553FB5" w:rsidRDefault="00553FB5" w:rsidP="00D57080">
            <w:pPr>
              <w:rPr>
                <w:rFonts w:ascii="Tahoma" w:hAnsi="Tahoma" w:cs="Tahoma"/>
                <w:bCs/>
                <w:sz w:val="22"/>
                <w:szCs w:val="22"/>
              </w:rPr>
            </w:pPr>
          </w:p>
        </w:tc>
        <w:tc>
          <w:tcPr>
            <w:tcW w:w="3969" w:type="dxa"/>
            <w:shd w:val="clear" w:color="auto" w:fill="auto"/>
          </w:tcPr>
          <w:p w:rsidR="00553FB5" w:rsidRPr="00D57080" w:rsidRDefault="00553FB5" w:rsidP="00D57080">
            <w:pPr>
              <w:rPr>
                <w:rFonts w:ascii="Tahoma" w:hAnsi="Tahoma" w:cs="Tahoma"/>
                <w:bCs/>
                <w:sz w:val="22"/>
                <w:szCs w:val="22"/>
              </w:rPr>
            </w:pPr>
            <w:r>
              <w:rPr>
                <w:rFonts w:ascii="Tahoma" w:hAnsi="Tahoma" w:cs="Tahoma"/>
                <w:bCs/>
                <w:sz w:val="22"/>
                <w:szCs w:val="22"/>
              </w:rPr>
              <w:t>Finding details</w:t>
            </w:r>
          </w:p>
        </w:tc>
        <w:tc>
          <w:tcPr>
            <w:tcW w:w="8789" w:type="dxa"/>
            <w:shd w:val="clear" w:color="auto" w:fill="auto"/>
          </w:tcPr>
          <w:p w:rsidR="007B33F7" w:rsidRPr="007B33F7" w:rsidRDefault="007B33F7" w:rsidP="007B33F7">
            <w:pPr>
              <w:rPr>
                <w:rFonts w:ascii="Tahoma" w:hAnsi="Tahoma" w:cs="Tahoma"/>
                <w:bCs/>
                <w:sz w:val="22"/>
                <w:szCs w:val="22"/>
              </w:rPr>
            </w:pPr>
            <w:r w:rsidRPr="007B33F7">
              <w:rPr>
                <w:rFonts w:ascii="Tahoma" w:hAnsi="Tahoma" w:cs="Tahoma"/>
                <w:bCs/>
                <w:sz w:val="22"/>
                <w:szCs w:val="22"/>
              </w:rPr>
              <w:t>The following practices hampered the optimal storage of PPE at some of these bulk storage and healthcare facilities:</w:t>
            </w:r>
          </w:p>
          <w:p w:rsidR="007B33F7" w:rsidRPr="007B33F7" w:rsidRDefault="007B33F7" w:rsidP="007B33F7">
            <w:pPr>
              <w:rPr>
                <w:rFonts w:ascii="Tahoma" w:hAnsi="Tahoma" w:cs="Tahoma"/>
                <w:bCs/>
                <w:sz w:val="22"/>
                <w:szCs w:val="22"/>
              </w:rPr>
            </w:pPr>
          </w:p>
          <w:p w:rsidR="00553FB5" w:rsidRPr="00553FB5" w:rsidRDefault="007B33F7" w:rsidP="007B33F7">
            <w:pPr>
              <w:numPr>
                <w:ilvl w:val="0"/>
                <w:numId w:val="39"/>
              </w:numPr>
              <w:rPr>
                <w:rFonts w:ascii="Tahoma" w:hAnsi="Tahoma" w:cs="Tahoma"/>
                <w:bCs/>
                <w:sz w:val="22"/>
                <w:szCs w:val="22"/>
              </w:rPr>
            </w:pPr>
            <w:r w:rsidRPr="007B33F7">
              <w:rPr>
                <w:rFonts w:ascii="Tahoma" w:hAnsi="Tahoma" w:cs="Tahoma"/>
                <w:bCs/>
                <w:sz w:val="22"/>
                <w:szCs w:val="22"/>
              </w:rPr>
              <w:t>Facilities did not have enough space and/or shelving to store the PPE stock on hand. The PPE was then stored in the walkways, passages, against the walls on top of each other, in open areas, on the floor, outside the boxes and/or stacked to the ceilings. At some of the medical depots, there was limited or no room for forklifts to upload and move the PPE stock in the medical depots and the staff responsible for picking, packing and/or issuing the PPE items had restricted access to such stock. At the healthcare facilities, some PPE was stored in offices, boardrooms, kitchens, an electrical switch room and/or cleaning material rooms. Storage practices like this made it difficult for staff to record and account for all the PPE stock on hand.</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AGSA Recommendations</w:t>
            </w:r>
          </w:p>
        </w:tc>
        <w:tc>
          <w:tcPr>
            <w:tcW w:w="8789" w:type="dxa"/>
            <w:shd w:val="clear" w:color="auto" w:fill="auto"/>
          </w:tcPr>
          <w:p w:rsidR="007479FF" w:rsidRPr="007479FF" w:rsidRDefault="007479FF" w:rsidP="007479FF">
            <w:pPr>
              <w:numPr>
                <w:ilvl w:val="0"/>
                <w:numId w:val="40"/>
              </w:numPr>
              <w:rPr>
                <w:rFonts w:ascii="Tahoma" w:hAnsi="Tahoma" w:cs="Tahoma"/>
                <w:bCs/>
                <w:sz w:val="22"/>
                <w:szCs w:val="22"/>
              </w:rPr>
            </w:pPr>
            <w:r w:rsidRPr="007479FF">
              <w:rPr>
                <w:rFonts w:ascii="Tahoma" w:hAnsi="Tahoma" w:cs="Tahoma"/>
                <w:bCs/>
                <w:sz w:val="22"/>
                <w:szCs w:val="22"/>
              </w:rPr>
              <w:t>To improve the storage practices, departments should institute measures to ensure that the staff responsible for stock management at the bulk storage and healthcare facilities, as far as possible under the circumstances, comply with the prescripts relating to good storage practices. Compliance with these prescripts should be monitored regularly and any non-adherence addressed.</w:t>
            </w:r>
          </w:p>
          <w:p w:rsidR="007479FF" w:rsidRPr="007479FF" w:rsidRDefault="007479FF" w:rsidP="007479FF">
            <w:pPr>
              <w:rPr>
                <w:rFonts w:ascii="Tahoma" w:hAnsi="Tahoma" w:cs="Tahoma"/>
                <w:bCs/>
                <w:sz w:val="22"/>
                <w:szCs w:val="22"/>
              </w:rPr>
            </w:pPr>
          </w:p>
          <w:p w:rsidR="00D57080" w:rsidRPr="00D57080" w:rsidRDefault="007479FF" w:rsidP="007479FF">
            <w:pPr>
              <w:numPr>
                <w:ilvl w:val="0"/>
                <w:numId w:val="40"/>
              </w:numPr>
              <w:rPr>
                <w:rFonts w:ascii="Tahoma" w:hAnsi="Tahoma" w:cs="Tahoma"/>
                <w:bCs/>
                <w:sz w:val="22"/>
                <w:szCs w:val="22"/>
              </w:rPr>
            </w:pPr>
            <w:r w:rsidRPr="007479FF">
              <w:rPr>
                <w:rFonts w:ascii="Tahoma" w:hAnsi="Tahoma" w:cs="Tahoma"/>
                <w:bCs/>
                <w:sz w:val="22"/>
                <w:szCs w:val="22"/>
              </w:rPr>
              <w:t>Departments should consider assessing the bulk storage and healthcare facilities to determine the best areas in these facilities where PPE can be stored, thereby using the available space in an optimal manner. If the existing facilities are still not suitable, the departments should consider increasing their storage capacity by identifying alternative but suitable facilities for the storage of PPE during the pandemic.</w:t>
            </w:r>
          </w:p>
        </w:tc>
      </w:tr>
      <w:tr w:rsidR="00D57080" w:rsidRPr="00565948" w:rsidTr="00D57080">
        <w:tc>
          <w:tcPr>
            <w:tcW w:w="1384" w:type="dxa"/>
            <w:shd w:val="clear" w:color="auto" w:fill="auto"/>
          </w:tcPr>
          <w:p w:rsidR="00D57080" w:rsidRPr="00D57080" w:rsidRDefault="00D57080" w:rsidP="00D57080">
            <w:pPr>
              <w:rPr>
                <w:rFonts w:ascii="Tahoma" w:hAnsi="Tahoma" w:cs="Tahoma"/>
                <w:bCs/>
                <w:sz w:val="22"/>
                <w:szCs w:val="22"/>
              </w:rPr>
            </w:pPr>
          </w:p>
        </w:tc>
        <w:tc>
          <w:tcPr>
            <w:tcW w:w="3969" w:type="dxa"/>
            <w:shd w:val="clear" w:color="auto" w:fill="auto"/>
          </w:tcPr>
          <w:p w:rsidR="00D57080" w:rsidRPr="00D57080" w:rsidRDefault="00D57080" w:rsidP="00D57080">
            <w:pPr>
              <w:rPr>
                <w:rFonts w:ascii="Tahoma" w:hAnsi="Tahoma" w:cs="Tahoma"/>
                <w:bCs/>
                <w:sz w:val="22"/>
                <w:szCs w:val="22"/>
              </w:rPr>
            </w:pPr>
            <w:r>
              <w:rPr>
                <w:rFonts w:ascii="Tahoma" w:hAnsi="Tahoma" w:cs="Tahoma"/>
                <w:bCs/>
                <w:sz w:val="22"/>
                <w:szCs w:val="22"/>
              </w:rPr>
              <w:t>Departmental Progress made</w:t>
            </w:r>
          </w:p>
        </w:tc>
        <w:tc>
          <w:tcPr>
            <w:tcW w:w="8789" w:type="dxa"/>
            <w:shd w:val="clear" w:color="auto" w:fill="auto"/>
          </w:tcPr>
          <w:p w:rsidR="00D85143" w:rsidRDefault="00D85143" w:rsidP="00D85143">
            <w:pPr>
              <w:rPr>
                <w:rFonts w:ascii="Tahoma" w:hAnsi="Tahoma" w:cs="Tahoma"/>
                <w:bCs/>
                <w:sz w:val="22"/>
                <w:szCs w:val="22"/>
              </w:rPr>
            </w:pPr>
            <w:r>
              <w:rPr>
                <w:rFonts w:ascii="Tahoma" w:hAnsi="Tahoma" w:cs="Tahoma"/>
                <w:bCs/>
                <w:sz w:val="22"/>
                <w:szCs w:val="22"/>
              </w:rPr>
              <w:t>The Limpopo DoH advertised</w:t>
            </w:r>
            <w:r w:rsidR="007479FF" w:rsidRPr="007479FF">
              <w:rPr>
                <w:rFonts w:ascii="Tahoma" w:hAnsi="Tahoma" w:cs="Tahoma"/>
                <w:bCs/>
                <w:sz w:val="22"/>
                <w:szCs w:val="22"/>
              </w:rPr>
              <w:t xml:space="preserve"> tender</w:t>
            </w:r>
            <w:r>
              <w:rPr>
                <w:rFonts w:ascii="Tahoma" w:hAnsi="Tahoma" w:cs="Tahoma"/>
                <w:bCs/>
                <w:sz w:val="22"/>
                <w:szCs w:val="22"/>
              </w:rPr>
              <w:t xml:space="preserve"> </w:t>
            </w:r>
            <w:r w:rsidR="007479FF" w:rsidRPr="007479FF">
              <w:rPr>
                <w:rFonts w:ascii="Tahoma" w:hAnsi="Tahoma" w:cs="Tahoma"/>
                <w:bCs/>
                <w:sz w:val="22"/>
                <w:szCs w:val="22"/>
              </w:rPr>
              <w:t xml:space="preserve">to source </w:t>
            </w:r>
            <w:r>
              <w:rPr>
                <w:rFonts w:ascii="Tahoma" w:hAnsi="Tahoma" w:cs="Tahoma"/>
                <w:bCs/>
                <w:sz w:val="22"/>
                <w:szCs w:val="22"/>
              </w:rPr>
              <w:t>a new</w:t>
            </w:r>
            <w:r w:rsidR="007479FF" w:rsidRPr="007479FF">
              <w:rPr>
                <w:rFonts w:ascii="Tahoma" w:hAnsi="Tahoma" w:cs="Tahoma"/>
                <w:bCs/>
                <w:sz w:val="22"/>
                <w:szCs w:val="22"/>
              </w:rPr>
              <w:t xml:space="preserve"> bulk storage facility. </w:t>
            </w:r>
          </w:p>
          <w:p w:rsidR="00D85143" w:rsidRDefault="00D85143" w:rsidP="00D85143">
            <w:pPr>
              <w:rPr>
                <w:rFonts w:ascii="Tahoma" w:hAnsi="Tahoma" w:cs="Tahoma"/>
                <w:bCs/>
                <w:sz w:val="22"/>
                <w:szCs w:val="22"/>
              </w:rPr>
            </w:pPr>
            <w:r>
              <w:rPr>
                <w:rFonts w:ascii="Tahoma" w:hAnsi="Tahoma" w:cs="Tahoma"/>
                <w:bCs/>
                <w:sz w:val="22"/>
                <w:szCs w:val="22"/>
              </w:rPr>
              <w:t xml:space="preserve">However, the tender was non-responsive. </w:t>
            </w:r>
          </w:p>
          <w:p w:rsidR="00D85143" w:rsidRDefault="00D85143" w:rsidP="00D85143">
            <w:pPr>
              <w:rPr>
                <w:rFonts w:ascii="Tahoma" w:hAnsi="Tahoma" w:cs="Tahoma"/>
                <w:bCs/>
                <w:sz w:val="22"/>
                <w:szCs w:val="22"/>
              </w:rPr>
            </w:pPr>
          </w:p>
          <w:p w:rsidR="00D85143" w:rsidRDefault="00D85143" w:rsidP="00D85143">
            <w:pPr>
              <w:rPr>
                <w:rFonts w:ascii="Tahoma" w:hAnsi="Tahoma" w:cs="Tahoma"/>
                <w:bCs/>
                <w:sz w:val="22"/>
                <w:szCs w:val="22"/>
              </w:rPr>
            </w:pPr>
            <w:r>
              <w:rPr>
                <w:rFonts w:ascii="Tahoma" w:hAnsi="Tahoma" w:cs="Tahoma"/>
                <w:bCs/>
                <w:sz w:val="22"/>
                <w:szCs w:val="22"/>
              </w:rPr>
              <w:t xml:space="preserve">In response to the non-responsive bid the department will continue to test the market for </w:t>
            </w:r>
            <w:r w:rsidR="005E1B6A">
              <w:rPr>
                <w:rFonts w:ascii="Tahoma" w:hAnsi="Tahoma" w:cs="Tahoma"/>
                <w:bCs/>
                <w:sz w:val="22"/>
                <w:szCs w:val="22"/>
              </w:rPr>
              <w:t>new bulk storage facility.</w:t>
            </w:r>
          </w:p>
          <w:p w:rsidR="00D85143" w:rsidRDefault="00D85143" w:rsidP="00D85143">
            <w:pPr>
              <w:rPr>
                <w:rFonts w:ascii="Tahoma" w:hAnsi="Tahoma" w:cs="Tahoma"/>
                <w:bCs/>
                <w:sz w:val="22"/>
                <w:szCs w:val="22"/>
              </w:rPr>
            </w:pPr>
          </w:p>
          <w:p w:rsidR="00D57080" w:rsidRPr="00D57080" w:rsidRDefault="005E1B6A" w:rsidP="005E1B6A">
            <w:pPr>
              <w:rPr>
                <w:rFonts w:ascii="Tahoma" w:hAnsi="Tahoma" w:cs="Tahoma"/>
                <w:bCs/>
                <w:sz w:val="22"/>
                <w:szCs w:val="22"/>
              </w:rPr>
            </w:pPr>
            <w:r>
              <w:rPr>
                <w:rFonts w:ascii="Tahoma" w:hAnsi="Tahoma" w:cs="Tahoma"/>
                <w:bCs/>
                <w:sz w:val="22"/>
                <w:szCs w:val="22"/>
              </w:rPr>
              <w:t xml:space="preserve">The Department engaged with the Limpopo Department of Public Works, Roads and Infrastructure (Limpopo custodian of property) to request assistance in identifying available facilities that may be used as a storage facility. </w:t>
            </w:r>
          </w:p>
        </w:tc>
      </w:tr>
      <w:tr w:rsidR="00D57080" w:rsidRPr="00565948" w:rsidTr="004D6ADF">
        <w:tc>
          <w:tcPr>
            <w:tcW w:w="14142" w:type="dxa"/>
            <w:gridSpan w:val="3"/>
            <w:shd w:val="clear" w:color="auto" w:fill="BFBFBF"/>
          </w:tcPr>
          <w:p w:rsidR="00D57080" w:rsidRPr="00D57080" w:rsidRDefault="00D57080" w:rsidP="00D57080">
            <w:pPr>
              <w:jc w:val="center"/>
              <w:rPr>
                <w:rFonts w:ascii="Tahoma" w:hAnsi="Tahoma" w:cs="Tahoma"/>
                <w:b/>
                <w:bCs/>
                <w:sz w:val="22"/>
                <w:szCs w:val="22"/>
              </w:rPr>
            </w:pPr>
            <w:r w:rsidRPr="00D57080">
              <w:rPr>
                <w:rFonts w:ascii="Tahoma" w:hAnsi="Tahoma" w:cs="Tahoma"/>
                <w:b/>
                <w:bCs/>
                <w:sz w:val="22"/>
                <w:szCs w:val="22"/>
              </w:rPr>
              <w:t>END</w:t>
            </w:r>
          </w:p>
        </w:tc>
      </w:tr>
    </w:tbl>
    <w:p w:rsidR="00F1193B" w:rsidRDefault="00F1193B" w:rsidP="00231769">
      <w:pPr>
        <w:rPr>
          <w:rFonts w:ascii="Tahoma" w:hAnsi="Tahoma" w:cs="Tahoma"/>
          <w:b/>
          <w:bCs/>
          <w:sz w:val="28"/>
        </w:rPr>
      </w:pPr>
    </w:p>
    <w:p w:rsidR="00D30CC0" w:rsidRDefault="00D30CC0" w:rsidP="00231769">
      <w:pPr>
        <w:rPr>
          <w:rFonts w:ascii="Tahoma" w:hAnsi="Tahoma" w:cs="Tahoma"/>
          <w:sz w:val="20"/>
          <w:szCs w:val="20"/>
        </w:rPr>
      </w:pPr>
      <w:r>
        <w:rPr>
          <w:rFonts w:ascii="Tahoma" w:hAnsi="Tahoma" w:cs="Tahoma"/>
          <w:b/>
          <w:bCs/>
          <w:sz w:val="28"/>
        </w:rPr>
        <w:t xml:space="preserve"> </w:t>
      </w:r>
    </w:p>
    <w:sectPr w:rsidR="00D30CC0" w:rsidSect="00231769">
      <w:headerReference w:type="default" r:id="rId9"/>
      <w:footerReference w:type="default" r:id="rId10"/>
      <w:pgSz w:w="16838" w:h="11906" w:orient="landscape"/>
      <w:pgMar w:top="1797" w:right="1440" w:bottom="14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EC" w:rsidRDefault="00E737EC">
      <w:r>
        <w:separator/>
      </w:r>
    </w:p>
  </w:endnote>
  <w:endnote w:type="continuationSeparator" w:id="0">
    <w:p w:rsidR="00E737EC" w:rsidRDefault="00E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1C" w:rsidRPr="008D5C1C" w:rsidRDefault="008D5C1C" w:rsidP="00915101">
    <w:pPr>
      <w:rPr>
        <w:rFonts w:ascii="Tahoma" w:hAnsi="Tahoma" w:cs="Tahoma"/>
        <w:sz w:val="16"/>
        <w:szCs w:val="16"/>
      </w:rPr>
    </w:pPr>
  </w:p>
  <w:p w:rsidR="00D755B9" w:rsidRPr="00D755B9" w:rsidRDefault="00D755B9" w:rsidP="00D755B9">
    <w:pPr>
      <w:pStyle w:val="Footer"/>
      <w:pBdr>
        <w:top w:val="thinThickSmallGap" w:sz="24" w:space="1" w:color="622423"/>
      </w:pBdr>
      <w:tabs>
        <w:tab w:val="clear" w:pos="4153"/>
        <w:tab w:val="clear" w:pos="8306"/>
        <w:tab w:val="right" w:pos="8640"/>
      </w:tabs>
      <w:rPr>
        <w:rFonts w:ascii="Cambria" w:hAnsi="Cambria"/>
      </w:rPr>
    </w:pPr>
    <w:r w:rsidRPr="00D755B9">
      <w:rPr>
        <w:rFonts w:ascii="Cambria" w:hAnsi="Cambria"/>
      </w:rPr>
      <w:tab/>
      <w:t xml:space="preserve">Page </w:t>
    </w:r>
    <w:r w:rsidRPr="00D755B9">
      <w:rPr>
        <w:rFonts w:ascii="Calibri" w:hAnsi="Calibri"/>
      </w:rPr>
      <w:fldChar w:fldCharType="begin"/>
    </w:r>
    <w:r>
      <w:instrText xml:space="preserve"> PAGE   \* MERGEFORMAT </w:instrText>
    </w:r>
    <w:r w:rsidRPr="00D755B9">
      <w:rPr>
        <w:rFonts w:ascii="Calibri" w:hAnsi="Calibri"/>
      </w:rPr>
      <w:fldChar w:fldCharType="separate"/>
    </w:r>
    <w:r w:rsidR="00E737EC" w:rsidRPr="00E737EC">
      <w:rPr>
        <w:rFonts w:ascii="Cambria" w:hAnsi="Cambria"/>
        <w:noProof/>
      </w:rPr>
      <w:t>1</w:t>
    </w:r>
    <w:r w:rsidRPr="00D755B9">
      <w:rPr>
        <w:rFonts w:ascii="Cambria" w:hAnsi="Cambria"/>
        <w:noProof/>
      </w:rPr>
      <w:fldChar w:fldCharType="end"/>
    </w:r>
  </w:p>
  <w:p w:rsidR="001B3678" w:rsidRDefault="001B36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EC" w:rsidRDefault="00E737EC">
      <w:r>
        <w:separator/>
      </w:r>
    </w:p>
  </w:footnote>
  <w:footnote w:type="continuationSeparator" w:id="0">
    <w:p w:rsidR="00E737EC" w:rsidRDefault="00E73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78" w:rsidRDefault="001B367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3085E"/>
    <w:multiLevelType w:val="hybridMultilevel"/>
    <w:tmpl w:val="63F8B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40640"/>
    <w:multiLevelType w:val="hybridMultilevel"/>
    <w:tmpl w:val="1EF04BBA"/>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D4B38EC"/>
    <w:multiLevelType w:val="hybridMultilevel"/>
    <w:tmpl w:val="0498A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0FE1CE2"/>
    <w:multiLevelType w:val="hybridMultilevel"/>
    <w:tmpl w:val="91A00B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3903FC9"/>
    <w:multiLevelType w:val="hybridMultilevel"/>
    <w:tmpl w:val="F75C36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11155"/>
    <w:multiLevelType w:val="hybridMultilevel"/>
    <w:tmpl w:val="4F4C65A4"/>
    <w:lvl w:ilvl="0" w:tplc="D8F618B0">
      <w:start w:val="1"/>
      <w:numFmt w:val="decimal"/>
      <w:lvlText w:val="%1."/>
      <w:lvlJc w:val="left"/>
      <w:pPr>
        <w:ind w:left="99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A24561"/>
    <w:multiLevelType w:val="hybridMultilevel"/>
    <w:tmpl w:val="4694F8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43525"/>
    <w:multiLevelType w:val="hybridMultilevel"/>
    <w:tmpl w:val="F3A210B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08C46EF"/>
    <w:multiLevelType w:val="hybridMultilevel"/>
    <w:tmpl w:val="036820E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BA3CC9"/>
    <w:multiLevelType w:val="hybridMultilevel"/>
    <w:tmpl w:val="4F8C47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2C05D36"/>
    <w:multiLevelType w:val="hybridMultilevel"/>
    <w:tmpl w:val="797AB574"/>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6B236DC"/>
    <w:multiLevelType w:val="hybridMultilevel"/>
    <w:tmpl w:val="DAA0E8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70BAA"/>
    <w:multiLevelType w:val="hybridMultilevel"/>
    <w:tmpl w:val="1B8C1B38"/>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15:restartNumberingAfterBreak="0">
    <w:nsid w:val="2A3E4C8D"/>
    <w:multiLevelType w:val="hybridMultilevel"/>
    <w:tmpl w:val="38E630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2B050E49"/>
    <w:multiLevelType w:val="hybridMultilevel"/>
    <w:tmpl w:val="5A5E4FC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F5160D7"/>
    <w:multiLevelType w:val="hybridMultilevel"/>
    <w:tmpl w:val="E122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54F31"/>
    <w:multiLevelType w:val="hybridMultilevel"/>
    <w:tmpl w:val="9C0A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6710D"/>
    <w:multiLevelType w:val="hybridMultilevel"/>
    <w:tmpl w:val="51BADBA2"/>
    <w:lvl w:ilvl="0" w:tplc="ECD41E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770DF7"/>
    <w:multiLevelType w:val="hybridMultilevel"/>
    <w:tmpl w:val="A128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21216"/>
    <w:multiLevelType w:val="hybridMultilevel"/>
    <w:tmpl w:val="D6E6AED0"/>
    <w:lvl w:ilvl="0" w:tplc="DCAA113A">
      <w:start w:val="1"/>
      <w:numFmt w:val="lowerLetter"/>
      <w:lvlText w:val="%1."/>
      <w:lvlJc w:val="left"/>
      <w:pPr>
        <w:ind w:left="360" w:hanging="360"/>
      </w:pPr>
      <w:rPr>
        <w:rFonts w:ascii="Franklin Gothic Book" w:eastAsia="Times New Roman" w:hAnsi="Franklin Gothic Book" w:cs="Times New Roman"/>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38804C4A"/>
    <w:multiLevelType w:val="hybridMultilevel"/>
    <w:tmpl w:val="B7D26F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850319"/>
    <w:multiLevelType w:val="hybridMultilevel"/>
    <w:tmpl w:val="93803D6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3BB01417"/>
    <w:multiLevelType w:val="hybridMultilevel"/>
    <w:tmpl w:val="2A4E66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B04A67"/>
    <w:multiLevelType w:val="hybridMultilevel"/>
    <w:tmpl w:val="2ACC42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B5A0683"/>
    <w:multiLevelType w:val="hybridMultilevel"/>
    <w:tmpl w:val="177EAE8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95A2B2F"/>
    <w:multiLevelType w:val="hybridMultilevel"/>
    <w:tmpl w:val="FEC8E3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1A77B4"/>
    <w:multiLevelType w:val="hybridMultilevel"/>
    <w:tmpl w:val="B90A4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61246155"/>
    <w:multiLevelType w:val="hybridMultilevel"/>
    <w:tmpl w:val="FA1807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105B8"/>
    <w:multiLevelType w:val="hybridMultilevel"/>
    <w:tmpl w:val="2D823F9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67A2AE1"/>
    <w:multiLevelType w:val="hybridMultilevel"/>
    <w:tmpl w:val="D6086E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8C45C3"/>
    <w:multiLevelType w:val="hybridMultilevel"/>
    <w:tmpl w:val="36A6E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6853D9"/>
    <w:multiLevelType w:val="hybridMultilevel"/>
    <w:tmpl w:val="2E4EBE02"/>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D9249D"/>
    <w:multiLevelType w:val="hybridMultilevel"/>
    <w:tmpl w:val="3318939A"/>
    <w:lvl w:ilvl="0" w:tplc="FC7829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442838"/>
    <w:multiLevelType w:val="hybridMultilevel"/>
    <w:tmpl w:val="1B58450E"/>
    <w:lvl w:ilvl="0" w:tplc="04090019">
      <w:start w:val="1"/>
      <w:numFmt w:val="lowerLetter"/>
      <w:lvlText w:val="%1."/>
      <w:lvlJc w:val="left"/>
      <w:pPr>
        <w:ind w:left="36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ABA2C9D"/>
    <w:multiLevelType w:val="hybridMultilevel"/>
    <w:tmpl w:val="6CE4EE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AFA48D3"/>
    <w:multiLevelType w:val="hybridMultilevel"/>
    <w:tmpl w:val="FC44520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B1E3A26"/>
    <w:multiLevelType w:val="multilevel"/>
    <w:tmpl w:val="4750406A"/>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F2A5CFF"/>
    <w:multiLevelType w:val="hybridMultilevel"/>
    <w:tmpl w:val="E07C9FC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F751C56"/>
    <w:multiLevelType w:val="hybridMultilevel"/>
    <w:tmpl w:val="918C51AA"/>
    <w:lvl w:ilvl="0" w:tplc="F0ACB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D16F39"/>
    <w:multiLevelType w:val="hybridMultilevel"/>
    <w:tmpl w:val="F974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A353F9"/>
    <w:multiLevelType w:val="hybridMultilevel"/>
    <w:tmpl w:val="85E2C00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6"/>
  </w:num>
  <w:num w:numId="4">
    <w:abstractNumId w:val="18"/>
  </w:num>
  <w:num w:numId="5">
    <w:abstractNumId w:val="6"/>
  </w:num>
  <w:num w:numId="6">
    <w:abstractNumId w:val="5"/>
  </w:num>
  <w:num w:numId="7">
    <w:abstractNumId w:val="40"/>
  </w:num>
  <w:num w:numId="8">
    <w:abstractNumId w:val="1"/>
  </w:num>
  <w:num w:numId="9">
    <w:abstractNumId w:val="31"/>
  </w:num>
  <w:num w:numId="10">
    <w:abstractNumId w:val="14"/>
  </w:num>
  <w:num w:numId="11">
    <w:abstractNumId w:val="13"/>
  </w:num>
  <w:num w:numId="12">
    <w:abstractNumId w:val="10"/>
  </w:num>
  <w:num w:numId="13">
    <w:abstractNumId w:val="27"/>
  </w:num>
  <w:num w:numId="14">
    <w:abstractNumId w:val="7"/>
  </w:num>
  <w:num w:numId="15">
    <w:abstractNumId w:val="11"/>
  </w:num>
  <w:num w:numId="16">
    <w:abstractNumId w:val="34"/>
  </w:num>
  <w:num w:numId="17">
    <w:abstractNumId w:val="24"/>
  </w:num>
  <w:num w:numId="18">
    <w:abstractNumId w:val="21"/>
  </w:num>
  <w:num w:numId="19">
    <w:abstractNumId w:val="3"/>
  </w:num>
  <w:num w:numId="20">
    <w:abstractNumId w:val="23"/>
  </w:num>
  <w:num w:numId="21">
    <w:abstractNumId w:val="32"/>
  </w:num>
  <w:num w:numId="22">
    <w:abstractNumId w:val="20"/>
  </w:num>
  <w:num w:numId="23">
    <w:abstractNumId w:val="28"/>
  </w:num>
  <w:num w:numId="24">
    <w:abstractNumId w:val="2"/>
  </w:num>
  <w:num w:numId="25">
    <w:abstractNumId w:val="33"/>
  </w:num>
  <w:num w:numId="26">
    <w:abstractNumId w:val="30"/>
  </w:num>
  <w:num w:numId="27">
    <w:abstractNumId w:val="12"/>
  </w:num>
  <w:num w:numId="28">
    <w:abstractNumId w:val="26"/>
  </w:num>
  <w:num w:numId="29">
    <w:abstractNumId w:val="19"/>
  </w:num>
  <w:num w:numId="30">
    <w:abstractNumId w:val="17"/>
  </w:num>
  <w:num w:numId="31">
    <w:abstractNumId w:val="15"/>
  </w:num>
  <w:num w:numId="32">
    <w:abstractNumId w:val="8"/>
  </w:num>
  <w:num w:numId="33">
    <w:abstractNumId w:val="4"/>
  </w:num>
  <w:num w:numId="34">
    <w:abstractNumId w:val="37"/>
  </w:num>
  <w:num w:numId="35">
    <w:abstractNumId w:val="22"/>
  </w:num>
  <w:num w:numId="36">
    <w:abstractNumId w:val="38"/>
  </w:num>
  <w:num w:numId="37">
    <w:abstractNumId w:val="9"/>
  </w:num>
  <w:num w:numId="38">
    <w:abstractNumId w:val="25"/>
  </w:num>
  <w:num w:numId="39">
    <w:abstractNumId w:val="41"/>
  </w:num>
  <w:num w:numId="40">
    <w:abstractNumId w:val="36"/>
  </w:num>
  <w:num w:numId="41">
    <w:abstractNumId w:val="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E6"/>
    <w:rsid w:val="00003AD5"/>
    <w:rsid w:val="0000671E"/>
    <w:rsid w:val="00006F35"/>
    <w:rsid w:val="00011BB0"/>
    <w:rsid w:val="00031F16"/>
    <w:rsid w:val="00047712"/>
    <w:rsid w:val="00052923"/>
    <w:rsid w:val="00056BBB"/>
    <w:rsid w:val="00060D22"/>
    <w:rsid w:val="0006371D"/>
    <w:rsid w:val="00093EC9"/>
    <w:rsid w:val="00094931"/>
    <w:rsid w:val="000A41F9"/>
    <w:rsid w:val="000A7F63"/>
    <w:rsid w:val="000B527E"/>
    <w:rsid w:val="000B57DB"/>
    <w:rsid w:val="000C0450"/>
    <w:rsid w:val="000D67CD"/>
    <w:rsid w:val="000D7ED0"/>
    <w:rsid w:val="000E60F4"/>
    <w:rsid w:val="000F2071"/>
    <w:rsid w:val="00100853"/>
    <w:rsid w:val="0012065B"/>
    <w:rsid w:val="001537E9"/>
    <w:rsid w:val="00161B98"/>
    <w:rsid w:val="0018416E"/>
    <w:rsid w:val="001977B0"/>
    <w:rsid w:val="001B3678"/>
    <w:rsid w:val="001B65E9"/>
    <w:rsid w:val="001C7CBD"/>
    <w:rsid w:val="001D41C4"/>
    <w:rsid w:val="001E264A"/>
    <w:rsid w:val="001E5FA2"/>
    <w:rsid w:val="00200AC9"/>
    <w:rsid w:val="002059DC"/>
    <w:rsid w:val="00231769"/>
    <w:rsid w:val="00237A1D"/>
    <w:rsid w:val="00297D2F"/>
    <w:rsid w:val="002A6FA3"/>
    <w:rsid w:val="002B1496"/>
    <w:rsid w:val="002B268D"/>
    <w:rsid w:val="002B5D6D"/>
    <w:rsid w:val="0030372A"/>
    <w:rsid w:val="003068D2"/>
    <w:rsid w:val="00307C3C"/>
    <w:rsid w:val="00347920"/>
    <w:rsid w:val="00352C58"/>
    <w:rsid w:val="00360CEE"/>
    <w:rsid w:val="00373B99"/>
    <w:rsid w:val="00375E3C"/>
    <w:rsid w:val="003B0B07"/>
    <w:rsid w:val="003B13F1"/>
    <w:rsid w:val="003B5B28"/>
    <w:rsid w:val="003C30E7"/>
    <w:rsid w:val="003F1AFD"/>
    <w:rsid w:val="0040697F"/>
    <w:rsid w:val="00426F34"/>
    <w:rsid w:val="004278C8"/>
    <w:rsid w:val="0048189E"/>
    <w:rsid w:val="004844CB"/>
    <w:rsid w:val="00485F27"/>
    <w:rsid w:val="004A2151"/>
    <w:rsid w:val="004D032E"/>
    <w:rsid w:val="004D6ADF"/>
    <w:rsid w:val="004E5D26"/>
    <w:rsid w:val="004F20AA"/>
    <w:rsid w:val="00504FE4"/>
    <w:rsid w:val="00553FB5"/>
    <w:rsid w:val="00557FCD"/>
    <w:rsid w:val="00565948"/>
    <w:rsid w:val="00570C12"/>
    <w:rsid w:val="00575CC4"/>
    <w:rsid w:val="005A1A89"/>
    <w:rsid w:val="005A20F8"/>
    <w:rsid w:val="005B53DE"/>
    <w:rsid w:val="005C3411"/>
    <w:rsid w:val="005E1B6A"/>
    <w:rsid w:val="005F7A63"/>
    <w:rsid w:val="00622A11"/>
    <w:rsid w:val="0062451B"/>
    <w:rsid w:val="006301D2"/>
    <w:rsid w:val="00630C03"/>
    <w:rsid w:val="0063193F"/>
    <w:rsid w:val="00632686"/>
    <w:rsid w:val="00633C97"/>
    <w:rsid w:val="00645EF4"/>
    <w:rsid w:val="006A51C8"/>
    <w:rsid w:val="006C6C09"/>
    <w:rsid w:val="006D3B0D"/>
    <w:rsid w:val="006D49DC"/>
    <w:rsid w:val="006F69D7"/>
    <w:rsid w:val="00705C4F"/>
    <w:rsid w:val="00710F4F"/>
    <w:rsid w:val="00721080"/>
    <w:rsid w:val="007409E7"/>
    <w:rsid w:val="007419B7"/>
    <w:rsid w:val="007479FF"/>
    <w:rsid w:val="0075761C"/>
    <w:rsid w:val="00765053"/>
    <w:rsid w:val="007831A3"/>
    <w:rsid w:val="007B33F7"/>
    <w:rsid w:val="007B6D74"/>
    <w:rsid w:val="007C1B8E"/>
    <w:rsid w:val="007E6A92"/>
    <w:rsid w:val="007F2B07"/>
    <w:rsid w:val="008113EA"/>
    <w:rsid w:val="00815AC7"/>
    <w:rsid w:val="00816439"/>
    <w:rsid w:val="00822C20"/>
    <w:rsid w:val="008443E2"/>
    <w:rsid w:val="0085079F"/>
    <w:rsid w:val="00865127"/>
    <w:rsid w:val="008669CB"/>
    <w:rsid w:val="00883DB0"/>
    <w:rsid w:val="008A3053"/>
    <w:rsid w:val="008A4890"/>
    <w:rsid w:val="008B4CE5"/>
    <w:rsid w:val="008B5C71"/>
    <w:rsid w:val="008C48DA"/>
    <w:rsid w:val="008C7D05"/>
    <w:rsid w:val="008D126F"/>
    <w:rsid w:val="008D5C1C"/>
    <w:rsid w:val="00915101"/>
    <w:rsid w:val="00930C74"/>
    <w:rsid w:val="00936641"/>
    <w:rsid w:val="00943180"/>
    <w:rsid w:val="0094637E"/>
    <w:rsid w:val="00992848"/>
    <w:rsid w:val="009A0032"/>
    <w:rsid w:val="00A0492C"/>
    <w:rsid w:val="00A1517C"/>
    <w:rsid w:val="00A1536B"/>
    <w:rsid w:val="00A46577"/>
    <w:rsid w:val="00A81AFC"/>
    <w:rsid w:val="00AA6C82"/>
    <w:rsid w:val="00AB5A1E"/>
    <w:rsid w:val="00AD39AF"/>
    <w:rsid w:val="00B05439"/>
    <w:rsid w:val="00B22E72"/>
    <w:rsid w:val="00B3067A"/>
    <w:rsid w:val="00B35A53"/>
    <w:rsid w:val="00B4329E"/>
    <w:rsid w:val="00B477BC"/>
    <w:rsid w:val="00B87658"/>
    <w:rsid w:val="00B95BE7"/>
    <w:rsid w:val="00B97E4F"/>
    <w:rsid w:val="00BE1368"/>
    <w:rsid w:val="00BE4136"/>
    <w:rsid w:val="00BE54F1"/>
    <w:rsid w:val="00BF1665"/>
    <w:rsid w:val="00BF33FF"/>
    <w:rsid w:val="00BF3593"/>
    <w:rsid w:val="00C06F7D"/>
    <w:rsid w:val="00C2545E"/>
    <w:rsid w:val="00C364FD"/>
    <w:rsid w:val="00C37813"/>
    <w:rsid w:val="00C64053"/>
    <w:rsid w:val="00C93ABB"/>
    <w:rsid w:val="00CA080A"/>
    <w:rsid w:val="00CC1FBA"/>
    <w:rsid w:val="00CD4422"/>
    <w:rsid w:val="00CE2FE6"/>
    <w:rsid w:val="00D0302B"/>
    <w:rsid w:val="00D30CC0"/>
    <w:rsid w:val="00D331C3"/>
    <w:rsid w:val="00D540B0"/>
    <w:rsid w:val="00D57080"/>
    <w:rsid w:val="00D643E0"/>
    <w:rsid w:val="00D755B9"/>
    <w:rsid w:val="00D85143"/>
    <w:rsid w:val="00DA158F"/>
    <w:rsid w:val="00DA257D"/>
    <w:rsid w:val="00DC4075"/>
    <w:rsid w:val="00DD1BD8"/>
    <w:rsid w:val="00DD4769"/>
    <w:rsid w:val="00E02D1F"/>
    <w:rsid w:val="00E0326D"/>
    <w:rsid w:val="00E0769F"/>
    <w:rsid w:val="00E737EC"/>
    <w:rsid w:val="00EA04BE"/>
    <w:rsid w:val="00EB24DE"/>
    <w:rsid w:val="00ED4515"/>
    <w:rsid w:val="00EE40A1"/>
    <w:rsid w:val="00EF08BD"/>
    <w:rsid w:val="00F01745"/>
    <w:rsid w:val="00F1157C"/>
    <w:rsid w:val="00F1193B"/>
    <w:rsid w:val="00F11AB6"/>
    <w:rsid w:val="00F14E06"/>
    <w:rsid w:val="00F168D9"/>
    <w:rsid w:val="00F42743"/>
    <w:rsid w:val="00F71B35"/>
    <w:rsid w:val="00F800E6"/>
    <w:rsid w:val="00FB18DF"/>
    <w:rsid w:val="00FE34F9"/>
    <w:rsid w:val="00FF061B"/>
    <w:rsid w:val="00FF10FC"/>
    <w:rsid w:val="00FF38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84B7C0-8596-DA40-B041-4418A8D9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Monotype Corsiva" w:hAnsi="Monotype Corsiva"/>
      <w:b/>
      <w:bCs/>
      <w:sz w:val="40"/>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CE2FE6"/>
    <w:rPr>
      <w:rFonts w:ascii="Tahoma" w:hAnsi="Tahoma" w:cs="Tahoma"/>
      <w:sz w:val="16"/>
      <w:szCs w:val="16"/>
    </w:rPr>
  </w:style>
  <w:style w:type="paragraph" w:styleId="BodyText">
    <w:name w:val="Body Text"/>
    <w:basedOn w:val="Normal"/>
    <w:rsid w:val="00632686"/>
    <w:pPr>
      <w:tabs>
        <w:tab w:val="left" w:pos="0"/>
      </w:tabs>
    </w:pPr>
    <w:rPr>
      <w:color w:val="333333"/>
    </w:rPr>
  </w:style>
  <w:style w:type="paragraph" w:styleId="BodyTextIndent2">
    <w:name w:val="Body Text Indent 2"/>
    <w:basedOn w:val="Normal"/>
    <w:link w:val="BodyTextIndent2Char"/>
    <w:rsid w:val="00883DB0"/>
    <w:pPr>
      <w:spacing w:after="120" w:line="480" w:lineRule="auto"/>
      <w:ind w:left="283"/>
    </w:pPr>
  </w:style>
  <w:style w:type="character" w:customStyle="1" w:styleId="FooterChar">
    <w:name w:val="Footer Char"/>
    <w:link w:val="Footer"/>
    <w:uiPriority w:val="99"/>
    <w:rsid w:val="008B4CE5"/>
    <w:rPr>
      <w:sz w:val="24"/>
      <w:szCs w:val="24"/>
      <w:lang w:val="en-GB"/>
    </w:rPr>
  </w:style>
  <w:style w:type="character" w:customStyle="1" w:styleId="BodyTextIndent2Char">
    <w:name w:val="Body Text Indent 2 Char"/>
    <w:link w:val="BodyTextIndent2"/>
    <w:rsid w:val="00DD4769"/>
    <w:rPr>
      <w:sz w:val="24"/>
      <w:szCs w:val="24"/>
      <w:lang w:val="en-GB"/>
    </w:rPr>
  </w:style>
  <w:style w:type="table" w:styleId="TableGrid">
    <w:name w:val="Table Grid"/>
    <w:basedOn w:val="TableNormal"/>
    <w:rsid w:val="0075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3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B991-FA60-465A-A920-3B90B193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PORTFOLIO COMMITTEE BRIEFING</vt:lpstr>
    </vt:vector>
  </TitlesOfParts>
  <Company>Health &amp; Welfare Head Office</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MalemaMR</dc:creator>
  <cp:keywords/>
  <cp:lastModifiedBy>Shereen Cassiem</cp:lastModifiedBy>
  <cp:revision>2</cp:revision>
  <cp:lastPrinted>2021-05-31T14:13:00Z</cp:lastPrinted>
  <dcterms:created xsi:type="dcterms:W3CDTF">2022-03-14T13:27:00Z</dcterms:created>
  <dcterms:modified xsi:type="dcterms:W3CDTF">2022-03-14T13:27:00Z</dcterms:modified>
</cp:coreProperties>
</file>