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6" w:rsidRPr="00EB1DA3" w:rsidRDefault="00EB1DA3" w:rsidP="00EB1DA3">
      <w:pPr>
        <w:rPr>
          <w:rFonts w:ascii="Arial" w:hAnsi="Arial" w:cs="Arial"/>
          <w:b/>
          <w:color w:val="000000"/>
          <w:sz w:val="20"/>
        </w:rPr>
      </w:pPr>
      <w:r w:rsidRPr="00EB1DA3">
        <w:rPr>
          <w:rFonts w:ascii="Arial" w:hAnsi="Arial" w:cs="Arial"/>
          <w:b/>
          <w:color w:val="000000"/>
          <w:sz w:val="20"/>
        </w:rPr>
        <w:t xml:space="preserve">Report of the Standing Committee on Finance on the 2022 Fiscal Framework and Revenue Proposals, Dated </w:t>
      </w:r>
      <w:r w:rsidRPr="00EB1DA3">
        <w:rPr>
          <w:rFonts w:ascii="Arial" w:hAnsi="Arial" w:cs="Arial"/>
          <w:b/>
          <w:sz w:val="20"/>
        </w:rPr>
        <w:t xml:space="preserve">08 March 2022 </w:t>
      </w:r>
    </w:p>
    <w:p w:rsidR="004C48E6" w:rsidRPr="00EB1DA3" w:rsidRDefault="008C305E" w:rsidP="00EB1DA3">
      <w:pPr>
        <w:pStyle w:val="Heading2"/>
        <w:spacing w:before="0" w:line="240" w:lineRule="auto"/>
        <w:rPr>
          <w:rFonts w:ascii="Arial" w:hAnsi="Arial" w:cs="Arial"/>
          <w:sz w:val="20"/>
        </w:rPr>
      </w:pPr>
      <w:r w:rsidRPr="00EB1DA3">
        <w:rPr>
          <w:rFonts w:ascii="Arial" w:hAnsi="Arial" w:cs="Arial"/>
          <w:sz w:val="20"/>
        </w:rPr>
        <w:t>INTRODUCTION</w:t>
      </w:r>
      <w:r w:rsidR="004C48E6" w:rsidRPr="00EB1DA3">
        <w:rPr>
          <w:rFonts w:ascii="Arial" w:hAnsi="Arial" w:cs="Arial"/>
          <w:sz w:val="20"/>
        </w:rPr>
        <w:t xml:space="preserve"> </w:t>
      </w:r>
    </w:p>
    <w:p w:rsidR="00AD559D" w:rsidRPr="00EB1DA3" w:rsidRDefault="004C48E6" w:rsidP="00EB1DA3">
      <w:pPr>
        <w:rPr>
          <w:rFonts w:ascii="Arial" w:hAnsi="Arial" w:cs="Arial"/>
          <w:sz w:val="20"/>
        </w:rPr>
      </w:pPr>
      <w:r w:rsidRPr="00EB1DA3">
        <w:rPr>
          <w:rFonts w:ascii="Arial" w:eastAsia="Calibri" w:hAnsi="Arial" w:cs="Arial"/>
          <w:sz w:val="20"/>
        </w:rPr>
        <w:t xml:space="preserve">The Minister of </w:t>
      </w:r>
      <w:bookmarkStart w:id="0" w:name="_GoBack"/>
      <w:r w:rsidRPr="00EB1DA3">
        <w:rPr>
          <w:rFonts w:ascii="Arial" w:eastAsia="Calibri" w:hAnsi="Arial" w:cs="Arial"/>
          <w:sz w:val="20"/>
        </w:rPr>
        <w:t>Finance</w:t>
      </w:r>
      <w:r w:rsidR="007549BB" w:rsidRPr="00EB1DA3">
        <w:rPr>
          <w:rFonts w:ascii="Arial" w:eastAsia="Calibri" w:hAnsi="Arial" w:cs="Arial"/>
          <w:sz w:val="20"/>
        </w:rPr>
        <w:t xml:space="preserve"> </w:t>
      </w:r>
      <w:bookmarkEnd w:id="0"/>
      <w:r w:rsidR="007549BB" w:rsidRPr="00EB1DA3">
        <w:rPr>
          <w:rFonts w:ascii="Arial" w:eastAsia="Calibri" w:hAnsi="Arial" w:cs="Arial"/>
          <w:sz w:val="20"/>
        </w:rPr>
        <w:t>(Minister)</w:t>
      </w:r>
      <w:r w:rsidR="004A4548" w:rsidRPr="00EB1DA3">
        <w:rPr>
          <w:rFonts w:ascii="Arial" w:eastAsia="Calibri" w:hAnsi="Arial" w:cs="Arial"/>
          <w:sz w:val="20"/>
        </w:rPr>
        <w:t>,</w:t>
      </w:r>
      <w:r w:rsidR="007549BB" w:rsidRPr="00EB1DA3">
        <w:rPr>
          <w:rFonts w:ascii="Arial" w:eastAsia="Calibri" w:hAnsi="Arial" w:cs="Arial"/>
          <w:sz w:val="20"/>
        </w:rPr>
        <w:t xml:space="preserve"> Mr Enoch Godongwana</w:t>
      </w:r>
      <w:r w:rsidR="004A4548" w:rsidRPr="00EB1DA3">
        <w:rPr>
          <w:rFonts w:ascii="Arial" w:eastAsia="Calibri" w:hAnsi="Arial" w:cs="Arial"/>
          <w:sz w:val="20"/>
        </w:rPr>
        <w:t>,</w:t>
      </w:r>
      <w:r w:rsidRPr="00EB1DA3">
        <w:rPr>
          <w:rFonts w:ascii="Arial" w:eastAsia="Calibri" w:hAnsi="Arial" w:cs="Arial"/>
          <w:sz w:val="20"/>
        </w:rPr>
        <w:t xml:space="preserve"> </w:t>
      </w:r>
      <w:r w:rsidR="003D20B8" w:rsidRPr="00EB1DA3">
        <w:rPr>
          <w:rFonts w:ascii="Arial" w:hAnsi="Arial" w:cs="Arial"/>
          <w:sz w:val="20"/>
        </w:rPr>
        <w:t xml:space="preserve">tabled </w:t>
      </w:r>
      <w:r w:rsidR="00F17C6A" w:rsidRPr="00EB1DA3">
        <w:rPr>
          <w:rFonts w:ascii="Arial" w:hAnsi="Arial" w:cs="Arial"/>
          <w:sz w:val="20"/>
        </w:rPr>
        <w:t>the 20</w:t>
      </w:r>
      <w:r w:rsidR="007549BB" w:rsidRPr="00EB1DA3">
        <w:rPr>
          <w:rFonts w:ascii="Arial" w:hAnsi="Arial" w:cs="Arial"/>
          <w:sz w:val="20"/>
        </w:rPr>
        <w:t>22</w:t>
      </w:r>
      <w:r w:rsidRPr="00EB1DA3">
        <w:rPr>
          <w:rFonts w:ascii="Arial" w:hAnsi="Arial" w:cs="Arial"/>
          <w:sz w:val="20"/>
        </w:rPr>
        <w:t xml:space="preserve"> </w:t>
      </w:r>
      <w:r w:rsidR="00AC1978" w:rsidRPr="00EB1DA3">
        <w:rPr>
          <w:rFonts w:ascii="Arial" w:hAnsi="Arial" w:cs="Arial"/>
          <w:sz w:val="20"/>
        </w:rPr>
        <w:t>N</w:t>
      </w:r>
      <w:r w:rsidR="00AD559D" w:rsidRPr="00EB1DA3">
        <w:rPr>
          <w:rFonts w:ascii="Arial" w:hAnsi="Arial" w:cs="Arial"/>
          <w:sz w:val="20"/>
        </w:rPr>
        <w:t>ational</w:t>
      </w:r>
      <w:r w:rsidR="009D60DF" w:rsidRPr="00EB1DA3">
        <w:rPr>
          <w:rFonts w:ascii="Arial" w:hAnsi="Arial" w:cs="Arial"/>
          <w:sz w:val="20"/>
        </w:rPr>
        <w:t xml:space="preserve"> </w:t>
      </w:r>
      <w:r w:rsidR="00AA378D" w:rsidRPr="00EB1DA3">
        <w:rPr>
          <w:rFonts w:ascii="Arial" w:hAnsi="Arial" w:cs="Arial"/>
          <w:sz w:val="20"/>
        </w:rPr>
        <w:t>Budget</w:t>
      </w:r>
      <w:r w:rsidR="009D60DF" w:rsidRPr="00EB1DA3">
        <w:rPr>
          <w:rFonts w:ascii="Arial" w:hAnsi="Arial" w:cs="Arial"/>
          <w:sz w:val="20"/>
        </w:rPr>
        <w:t xml:space="preserve"> </w:t>
      </w:r>
      <w:r w:rsidR="003D20B8" w:rsidRPr="00EB1DA3">
        <w:rPr>
          <w:rFonts w:ascii="Arial" w:hAnsi="Arial" w:cs="Arial"/>
          <w:sz w:val="20"/>
        </w:rPr>
        <w:t xml:space="preserve">before Parliament on </w:t>
      </w:r>
      <w:r w:rsidR="007549BB" w:rsidRPr="00EB1DA3">
        <w:rPr>
          <w:rFonts w:ascii="Arial" w:hAnsi="Arial" w:cs="Arial"/>
          <w:sz w:val="20"/>
        </w:rPr>
        <w:t>23</w:t>
      </w:r>
      <w:r w:rsidR="00FE7EED" w:rsidRPr="00EB1DA3">
        <w:rPr>
          <w:rFonts w:ascii="Arial" w:hAnsi="Arial" w:cs="Arial"/>
          <w:sz w:val="20"/>
          <w:vertAlign w:val="superscript"/>
        </w:rPr>
        <w:t>rd</w:t>
      </w:r>
      <w:r w:rsidR="00AD559D" w:rsidRPr="00EB1DA3">
        <w:rPr>
          <w:rFonts w:ascii="Arial" w:hAnsi="Arial" w:cs="Arial"/>
          <w:sz w:val="20"/>
        </w:rPr>
        <w:t xml:space="preserve"> February</w:t>
      </w:r>
      <w:r w:rsidR="00F17C6A" w:rsidRPr="00EB1DA3">
        <w:rPr>
          <w:rFonts w:ascii="Arial" w:hAnsi="Arial" w:cs="Arial"/>
          <w:sz w:val="20"/>
        </w:rPr>
        <w:t xml:space="preserve"> </w:t>
      </w:r>
      <w:r w:rsidR="007549BB" w:rsidRPr="00EB1DA3">
        <w:rPr>
          <w:rFonts w:ascii="Arial" w:hAnsi="Arial" w:cs="Arial"/>
          <w:sz w:val="20"/>
        </w:rPr>
        <w:t>2022</w:t>
      </w:r>
      <w:r w:rsidR="004F572C" w:rsidRPr="00EB1DA3">
        <w:rPr>
          <w:rFonts w:ascii="Arial" w:hAnsi="Arial" w:cs="Arial"/>
          <w:sz w:val="20"/>
        </w:rPr>
        <w:t xml:space="preserve"> </w:t>
      </w:r>
      <w:r w:rsidR="002E34F8" w:rsidRPr="00EB1DA3">
        <w:rPr>
          <w:rFonts w:ascii="Arial" w:hAnsi="Arial" w:cs="Arial"/>
          <w:sz w:val="20"/>
        </w:rPr>
        <w:t>in terms of</w:t>
      </w:r>
      <w:r w:rsidR="00A1495D" w:rsidRPr="00EB1DA3">
        <w:rPr>
          <w:rFonts w:ascii="Arial" w:hAnsi="Arial" w:cs="Arial"/>
          <w:sz w:val="20"/>
        </w:rPr>
        <w:t xml:space="preserve"> S</w:t>
      </w:r>
      <w:r w:rsidR="00AD559D" w:rsidRPr="00EB1DA3">
        <w:rPr>
          <w:rFonts w:ascii="Arial" w:hAnsi="Arial" w:cs="Arial"/>
          <w:sz w:val="20"/>
        </w:rPr>
        <w:t>ection 27 of the Public Finance Management Act</w:t>
      </w:r>
      <w:r w:rsidR="00A1495D" w:rsidRPr="00EB1DA3">
        <w:rPr>
          <w:rFonts w:ascii="Arial" w:hAnsi="Arial" w:cs="Arial"/>
          <w:sz w:val="20"/>
        </w:rPr>
        <w:t>, Act No. 1 of 1999 (PFMA) and S</w:t>
      </w:r>
      <w:r w:rsidR="00AD559D" w:rsidRPr="00EB1DA3">
        <w:rPr>
          <w:rFonts w:ascii="Arial" w:hAnsi="Arial" w:cs="Arial"/>
          <w:sz w:val="20"/>
        </w:rPr>
        <w:t>ection 7 (1) of the Money Bills Amendment Procedure and Related Matters Act, Act No. 9 of 2009 (Money Bills Act).</w:t>
      </w:r>
    </w:p>
    <w:p w:rsidR="002306F7" w:rsidRPr="00EB1DA3" w:rsidRDefault="00AD559D" w:rsidP="00EB1DA3">
      <w:pPr>
        <w:rPr>
          <w:rFonts w:ascii="Arial" w:hAnsi="Arial" w:cs="Arial"/>
          <w:sz w:val="20"/>
        </w:rPr>
      </w:pPr>
      <w:r w:rsidRPr="00EB1DA3">
        <w:rPr>
          <w:rFonts w:ascii="Arial" w:hAnsi="Arial" w:cs="Arial"/>
          <w:sz w:val="20"/>
        </w:rPr>
        <w:t>The Minister together with the Director-General</w:t>
      </w:r>
      <w:r w:rsidR="00CC0AF3" w:rsidRPr="00EB1DA3">
        <w:rPr>
          <w:rFonts w:ascii="Arial" w:hAnsi="Arial" w:cs="Arial"/>
          <w:sz w:val="20"/>
        </w:rPr>
        <w:t xml:space="preserve"> (DG)</w:t>
      </w:r>
      <w:r w:rsidR="00812B99" w:rsidRPr="00EB1DA3">
        <w:rPr>
          <w:rFonts w:ascii="Arial" w:hAnsi="Arial" w:cs="Arial"/>
          <w:sz w:val="20"/>
        </w:rPr>
        <w:t xml:space="preserve">, </w:t>
      </w:r>
      <w:r w:rsidRPr="00EB1DA3">
        <w:rPr>
          <w:rFonts w:ascii="Arial" w:hAnsi="Arial" w:cs="Arial"/>
          <w:sz w:val="20"/>
        </w:rPr>
        <w:t>senior officials from the National Treas</w:t>
      </w:r>
      <w:r w:rsidR="00205E77" w:rsidRPr="00EB1DA3">
        <w:rPr>
          <w:rFonts w:ascii="Arial" w:hAnsi="Arial" w:cs="Arial"/>
          <w:sz w:val="20"/>
        </w:rPr>
        <w:t>ury</w:t>
      </w:r>
      <w:r w:rsidR="005B157E" w:rsidRPr="00EB1DA3">
        <w:rPr>
          <w:rFonts w:ascii="Arial" w:hAnsi="Arial" w:cs="Arial"/>
          <w:sz w:val="20"/>
        </w:rPr>
        <w:t xml:space="preserve"> (NT)</w:t>
      </w:r>
      <w:r w:rsidR="00205E77" w:rsidRPr="00EB1DA3">
        <w:rPr>
          <w:rFonts w:ascii="Arial" w:hAnsi="Arial" w:cs="Arial"/>
          <w:sz w:val="20"/>
        </w:rPr>
        <w:t xml:space="preserve"> </w:t>
      </w:r>
      <w:r w:rsidRPr="00EB1DA3">
        <w:rPr>
          <w:rFonts w:ascii="Arial" w:hAnsi="Arial" w:cs="Arial"/>
          <w:sz w:val="20"/>
        </w:rPr>
        <w:t>briefed</w:t>
      </w:r>
      <w:r w:rsidR="00E90474" w:rsidRPr="00EB1DA3">
        <w:rPr>
          <w:rFonts w:ascii="Arial" w:hAnsi="Arial" w:cs="Arial"/>
          <w:sz w:val="20"/>
        </w:rPr>
        <w:t xml:space="preserve"> the Committees on Finance on 24 February 2022</w:t>
      </w:r>
      <w:r w:rsidR="0025774E" w:rsidRPr="00EB1DA3">
        <w:rPr>
          <w:rFonts w:ascii="Arial" w:hAnsi="Arial" w:cs="Arial"/>
          <w:sz w:val="20"/>
        </w:rPr>
        <w:t>. The Committees received</w:t>
      </w:r>
      <w:r w:rsidRPr="00EB1DA3">
        <w:rPr>
          <w:rFonts w:ascii="Arial" w:hAnsi="Arial" w:cs="Arial"/>
          <w:sz w:val="20"/>
        </w:rPr>
        <w:t xml:space="preserve"> post-</w:t>
      </w:r>
      <w:r w:rsidR="004A4548" w:rsidRPr="00EB1DA3">
        <w:rPr>
          <w:rFonts w:ascii="Arial" w:hAnsi="Arial" w:cs="Arial"/>
          <w:sz w:val="20"/>
        </w:rPr>
        <w:t>b</w:t>
      </w:r>
      <w:r w:rsidR="00AA378D" w:rsidRPr="00EB1DA3">
        <w:rPr>
          <w:rFonts w:ascii="Arial" w:hAnsi="Arial" w:cs="Arial"/>
          <w:sz w:val="20"/>
        </w:rPr>
        <w:t>udget</w:t>
      </w:r>
      <w:r w:rsidRPr="00EB1DA3">
        <w:rPr>
          <w:rFonts w:ascii="Arial" w:hAnsi="Arial" w:cs="Arial"/>
          <w:sz w:val="20"/>
        </w:rPr>
        <w:t xml:space="preserve"> input from the Parliamentary </w:t>
      </w:r>
      <w:r w:rsidR="00AA378D" w:rsidRPr="00EB1DA3">
        <w:rPr>
          <w:rFonts w:ascii="Arial" w:hAnsi="Arial" w:cs="Arial"/>
          <w:sz w:val="20"/>
        </w:rPr>
        <w:t>Budget</w:t>
      </w:r>
      <w:r w:rsidRPr="00EB1DA3">
        <w:rPr>
          <w:rFonts w:ascii="Arial" w:hAnsi="Arial" w:cs="Arial"/>
          <w:sz w:val="20"/>
        </w:rPr>
        <w:t xml:space="preserve"> Office (PBO) </w:t>
      </w:r>
      <w:r w:rsidR="00205E77" w:rsidRPr="00EB1DA3">
        <w:rPr>
          <w:rFonts w:ascii="Arial" w:hAnsi="Arial" w:cs="Arial"/>
          <w:sz w:val="20"/>
        </w:rPr>
        <w:t xml:space="preserve">and the Financial and Fiscal Commission (FFC) </w:t>
      </w:r>
      <w:r w:rsidR="00FE7EED" w:rsidRPr="00EB1DA3">
        <w:rPr>
          <w:rFonts w:ascii="Arial" w:hAnsi="Arial" w:cs="Arial"/>
          <w:sz w:val="20"/>
        </w:rPr>
        <w:t>on 1</w:t>
      </w:r>
      <w:r w:rsidR="00E90474" w:rsidRPr="00EB1DA3">
        <w:rPr>
          <w:rFonts w:ascii="Arial" w:hAnsi="Arial" w:cs="Arial"/>
          <w:sz w:val="20"/>
        </w:rPr>
        <w:t xml:space="preserve"> March 2022</w:t>
      </w:r>
      <w:r w:rsidR="00360ECC" w:rsidRPr="00EB1DA3">
        <w:rPr>
          <w:rFonts w:ascii="Arial" w:hAnsi="Arial" w:cs="Arial"/>
          <w:sz w:val="20"/>
        </w:rPr>
        <w:t>.</w:t>
      </w:r>
    </w:p>
    <w:p w:rsidR="001709D4" w:rsidRPr="00EB1DA3" w:rsidRDefault="00AC5E8D" w:rsidP="00EB1DA3">
      <w:pPr>
        <w:rPr>
          <w:rFonts w:ascii="Arial" w:hAnsi="Arial" w:cs="Arial"/>
          <w:b/>
          <w:sz w:val="20"/>
        </w:rPr>
      </w:pPr>
      <w:r w:rsidRPr="00EB1DA3">
        <w:rPr>
          <w:rFonts w:ascii="Arial" w:hAnsi="Arial" w:cs="Arial"/>
          <w:sz w:val="20"/>
        </w:rPr>
        <w:t>The</w:t>
      </w:r>
      <w:r w:rsidR="006E5F3B" w:rsidRPr="00EB1DA3">
        <w:rPr>
          <w:rFonts w:ascii="Arial" w:hAnsi="Arial" w:cs="Arial"/>
          <w:sz w:val="20"/>
        </w:rPr>
        <w:t xml:space="preserve"> Committees held p</w:t>
      </w:r>
      <w:r w:rsidR="00FE7EED" w:rsidRPr="00EB1DA3">
        <w:rPr>
          <w:rFonts w:ascii="Arial" w:hAnsi="Arial" w:cs="Arial"/>
          <w:sz w:val="20"/>
        </w:rPr>
        <w:t>ublic hearings on 2</w:t>
      </w:r>
      <w:r w:rsidR="00FE7EED" w:rsidRPr="00EB1DA3">
        <w:rPr>
          <w:rFonts w:ascii="Arial" w:hAnsi="Arial" w:cs="Arial"/>
          <w:sz w:val="20"/>
          <w:vertAlign w:val="superscript"/>
        </w:rPr>
        <w:t>nd</w:t>
      </w:r>
      <w:r w:rsidR="00E90474" w:rsidRPr="00EB1DA3">
        <w:rPr>
          <w:rFonts w:ascii="Arial" w:hAnsi="Arial" w:cs="Arial"/>
          <w:sz w:val="20"/>
        </w:rPr>
        <w:t xml:space="preserve"> March 2022</w:t>
      </w:r>
      <w:r w:rsidR="006E5F3B" w:rsidRPr="00EB1DA3">
        <w:rPr>
          <w:rFonts w:ascii="Arial" w:hAnsi="Arial" w:cs="Arial"/>
          <w:sz w:val="20"/>
        </w:rPr>
        <w:t xml:space="preserve"> and </w:t>
      </w:r>
      <w:r w:rsidR="00AD559D" w:rsidRPr="00EB1DA3">
        <w:rPr>
          <w:rFonts w:ascii="Arial" w:hAnsi="Arial" w:cs="Arial"/>
          <w:sz w:val="20"/>
        </w:rPr>
        <w:t xml:space="preserve">received </w:t>
      </w:r>
      <w:r w:rsidR="00283151" w:rsidRPr="00EB1DA3">
        <w:rPr>
          <w:rFonts w:ascii="Arial" w:hAnsi="Arial" w:cs="Arial"/>
          <w:sz w:val="20"/>
        </w:rPr>
        <w:t xml:space="preserve">a total of </w:t>
      </w:r>
      <w:r w:rsidR="008731C5" w:rsidRPr="00EB1DA3">
        <w:rPr>
          <w:rFonts w:ascii="Arial" w:hAnsi="Arial" w:cs="Arial"/>
          <w:sz w:val="20"/>
        </w:rPr>
        <w:t>eleven</w:t>
      </w:r>
      <w:r w:rsidR="00283151" w:rsidRPr="00EB1DA3">
        <w:rPr>
          <w:rFonts w:ascii="Arial" w:hAnsi="Arial" w:cs="Arial"/>
          <w:sz w:val="20"/>
        </w:rPr>
        <w:t xml:space="preserve"> </w:t>
      </w:r>
      <w:r w:rsidR="00AD559D" w:rsidRPr="00EB1DA3">
        <w:rPr>
          <w:rFonts w:ascii="Arial" w:hAnsi="Arial" w:cs="Arial"/>
          <w:sz w:val="20"/>
        </w:rPr>
        <w:t>written and oral submissions from the Congress of South</w:t>
      </w:r>
      <w:r w:rsidR="00464784" w:rsidRPr="00EB1DA3">
        <w:rPr>
          <w:rFonts w:ascii="Arial" w:hAnsi="Arial" w:cs="Arial"/>
          <w:sz w:val="20"/>
        </w:rPr>
        <w:t xml:space="preserve"> African Trade Unions (COSATU)</w:t>
      </w:r>
      <w:r w:rsidR="00AD559D" w:rsidRPr="00EB1DA3">
        <w:rPr>
          <w:rFonts w:ascii="Arial" w:hAnsi="Arial" w:cs="Arial"/>
          <w:sz w:val="20"/>
        </w:rPr>
        <w:t>, Fiscal Cliff Study Group (FCSG), South African Institute of Chartered Accountants (SAICA), the South African Institute of Tax Professionals (SAIT), PriceWaterhouseCooper</w:t>
      </w:r>
      <w:r w:rsidRPr="00EB1DA3">
        <w:rPr>
          <w:rFonts w:ascii="Arial" w:hAnsi="Arial" w:cs="Arial"/>
          <w:sz w:val="20"/>
        </w:rPr>
        <w:t>s</w:t>
      </w:r>
      <w:r w:rsidR="00AD559D" w:rsidRPr="00EB1DA3">
        <w:rPr>
          <w:rFonts w:ascii="Arial" w:hAnsi="Arial" w:cs="Arial"/>
          <w:sz w:val="20"/>
        </w:rPr>
        <w:t xml:space="preserve"> (PwC), </w:t>
      </w:r>
      <w:r w:rsidR="00464784" w:rsidRPr="00EB1DA3">
        <w:rPr>
          <w:rFonts w:ascii="Arial" w:hAnsi="Arial" w:cs="Arial"/>
          <w:sz w:val="20"/>
        </w:rPr>
        <w:t xml:space="preserve">the </w:t>
      </w:r>
      <w:r w:rsidR="00404A0A" w:rsidRPr="00EB1DA3">
        <w:rPr>
          <w:rFonts w:ascii="Arial" w:eastAsia="Calibri" w:hAnsi="Arial" w:cs="Arial"/>
          <w:sz w:val="20"/>
        </w:rPr>
        <w:t>Healthy Living Alliance (</w:t>
      </w:r>
      <w:r w:rsidR="004A1688" w:rsidRPr="00EB1DA3">
        <w:rPr>
          <w:rFonts w:ascii="Arial" w:eastAsia="Calibri" w:hAnsi="Arial" w:cs="Arial"/>
          <w:sz w:val="20"/>
        </w:rPr>
        <w:t>HEALA</w:t>
      </w:r>
      <w:r w:rsidR="00404A0A" w:rsidRPr="00EB1DA3">
        <w:rPr>
          <w:rFonts w:ascii="Arial" w:eastAsia="Calibri" w:hAnsi="Arial" w:cs="Arial"/>
          <w:sz w:val="20"/>
        </w:rPr>
        <w:t>)</w:t>
      </w:r>
      <w:r w:rsidR="00464784" w:rsidRPr="00EB1DA3">
        <w:rPr>
          <w:rFonts w:ascii="Arial" w:eastAsia="Calibri" w:hAnsi="Arial" w:cs="Arial"/>
          <w:sz w:val="20"/>
        </w:rPr>
        <w:t xml:space="preserve">, </w:t>
      </w:r>
      <w:r w:rsidR="00062675" w:rsidRPr="00EB1DA3">
        <w:rPr>
          <w:rFonts w:ascii="Arial" w:eastAsia="Calibri" w:hAnsi="Arial" w:cs="Arial"/>
          <w:sz w:val="20"/>
        </w:rPr>
        <w:t xml:space="preserve">South African Breweries (SAB), </w:t>
      </w:r>
      <w:r w:rsidR="009444D2" w:rsidRPr="00EB1DA3">
        <w:rPr>
          <w:rFonts w:ascii="Arial" w:eastAsia="Calibri" w:hAnsi="Arial" w:cs="Arial"/>
          <w:sz w:val="20"/>
        </w:rPr>
        <w:t xml:space="preserve">Institute for Economic Justice (IEJ), </w:t>
      </w:r>
      <w:r w:rsidR="00464784" w:rsidRPr="00EB1DA3">
        <w:rPr>
          <w:rFonts w:ascii="Arial" w:eastAsia="Calibri" w:hAnsi="Arial" w:cs="Arial"/>
          <w:sz w:val="20"/>
        </w:rPr>
        <w:t>1Road Consulting, Amandla.mobi and Woman on Farms Project</w:t>
      </w:r>
      <w:r w:rsidR="00C4382C" w:rsidRPr="00EB1DA3">
        <w:rPr>
          <w:rFonts w:ascii="Arial" w:eastAsia="Calibri" w:hAnsi="Arial" w:cs="Arial"/>
          <w:sz w:val="20"/>
        </w:rPr>
        <w:t xml:space="preserve"> (WFP)</w:t>
      </w:r>
      <w:r w:rsidR="00757BAD" w:rsidRPr="00EB1DA3">
        <w:rPr>
          <w:rFonts w:ascii="Arial" w:eastAsia="Calibri" w:hAnsi="Arial" w:cs="Arial"/>
          <w:sz w:val="20"/>
        </w:rPr>
        <w:t xml:space="preserve">. </w:t>
      </w:r>
      <w:r w:rsidR="005B157E" w:rsidRPr="00EB1DA3">
        <w:rPr>
          <w:rFonts w:ascii="Arial" w:hAnsi="Arial" w:cs="Arial"/>
          <w:sz w:val="20"/>
        </w:rPr>
        <w:t xml:space="preserve">NT </w:t>
      </w:r>
      <w:r w:rsidR="00A1495D" w:rsidRPr="00EB1DA3">
        <w:rPr>
          <w:rFonts w:ascii="Arial" w:hAnsi="Arial" w:cs="Arial"/>
          <w:sz w:val="20"/>
        </w:rPr>
        <w:t xml:space="preserve">and </w:t>
      </w:r>
      <w:r w:rsidR="0025774E" w:rsidRPr="00EB1DA3">
        <w:rPr>
          <w:rFonts w:ascii="Arial" w:hAnsi="Arial" w:cs="Arial"/>
          <w:sz w:val="20"/>
        </w:rPr>
        <w:t>the South African Revenue Service (</w:t>
      </w:r>
      <w:r w:rsidR="00A1495D" w:rsidRPr="00EB1DA3">
        <w:rPr>
          <w:rFonts w:ascii="Arial" w:hAnsi="Arial" w:cs="Arial"/>
          <w:sz w:val="20"/>
        </w:rPr>
        <w:t>SARS</w:t>
      </w:r>
      <w:r w:rsidR="0025774E" w:rsidRPr="00EB1DA3">
        <w:rPr>
          <w:rFonts w:ascii="Arial" w:hAnsi="Arial" w:cs="Arial"/>
          <w:sz w:val="20"/>
        </w:rPr>
        <w:t>)</w:t>
      </w:r>
      <w:r w:rsidR="00A1495D" w:rsidRPr="00EB1DA3">
        <w:rPr>
          <w:rFonts w:ascii="Arial" w:hAnsi="Arial" w:cs="Arial"/>
          <w:sz w:val="20"/>
        </w:rPr>
        <w:t xml:space="preserve"> </w:t>
      </w:r>
      <w:r w:rsidR="00984F4A" w:rsidRPr="00EB1DA3">
        <w:rPr>
          <w:rFonts w:ascii="Arial" w:hAnsi="Arial" w:cs="Arial"/>
          <w:sz w:val="20"/>
        </w:rPr>
        <w:t>responded to the</w:t>
      </w:r>
      <w:r w:rsidR="002306F7" w:rsidRPr="00EB1DA3">
        <w:rPr>
          <w:rFonts w:ascii="Arial" w:hAnsi="Arial" w:cs="Arial"/>
          <w:sz w:val="20"/>
        </w:rPr>
        <w:t xml:space="preserve"> issues raised </w:t>
      </w:r>
      <w:r w:rsidR="00871289" w:rsidRPr="00EB1DA3">
        <w:rPr>
          <w:rFonts w:ascii="Arial" w:hAnsi="Arial" w:cs="Arial"/>
          <w:sz w:val="20"/>
        </w:rPr>
        <w:t>during the public hearings</w:t>
      </w:r>
      <w:r w:rsidR="00984F4A" w:rsidRPr="00EB1DA3">
        <w:rPr>
          <w:rFonts w:ascii="Arial" w:hAnsi="Arial" w:cs="Arial"/>
          <w:sz w:val="20"/>
        </w:rPr>
        <w:t xml:space="preserve"> and </w:t>
      </w:r>
      <w:r w:rsidR="00C53709" w:rsidRPr="00EB1DA3">
        <w:rPr>
          <w:rFonts w:ascii="Arial" w:hAnsi="Arial" w:cs="Arial"/>
          <w:sz w:val="20"/>
        </w:rPr>
        <w:t xml:space="preserve">engaged with the Committee </w:t>
      </w:r>
      <w:r w:rsidR="00A1495D" w:rsidRPr="00EB1DA3">
        <w:rPr>
          <w:rFonts w:ascii="Arial" w:hAnsi="Arial" w:cs="Arial"/>
          <w:sz w:val="20"/>
        </w:rPr>
        <w:t xml:space="preserve">and stakeholders </w:t>
      </w:r>
      <w:r w:rsidR="00FE7EED" w:rsidRPr="00EB1DA3">
        <w:rPr>
          <w:rFonts w:ascii="Arial" w:hAnsi="Arial" w:cs="Arial"/>
          <w:sz w:val="20"/>
        </w:rPr>
        <w:t>on 4</w:t>
      </w:r>
      <w:r w:rsidR="004A4548" w:rsidRPr="00EB1DA3">
        <w:rPr>
          <w:rFonts w:ascii="Arial" w:hAnsi="Arial" w:cs="Arial"/>
          <w:sz w:val="20"/>
        </w:rPr>
        <w:t xml:space="preserve"> </w:t>
      </w:r>
      <w:r w:rsidR="00984F4A" w:rsidRPr="00EB1DA3">
        <w:rPr>
          <w:rFonts w:ascii="Arial" w:hAnsi="Arial" w:cs="Arial"/>
          <w:sz w:val="20"/>
        </w:rPr>
        <w:t>March</w:t>
      </w:r>
      <w:r w:rsidR="00C53709" w:rsidRPr="00EB1DA3">
        <w:rPr>
          <w:rFonts w:ascii="Arial" w:hAnsi="Arial" w:cs="Arial"/>
          <w:sz w:val="20"/>
        </w:rPr>
        <w:t xml:space="preserve"> 2022</w:t>
      </w:r>
      <w:r w:rsidR="00984F4A" w:rsidRPr="00EB1DA3">
        <w:rPr>
          <w:rFonts w:ascii="Arial" w:hAnsi="Arial" w:cs="Arial"/>
          <w:sz w:val="20"/>
        </w:rPr>
        <w:t>.</w:t>
      </w:r>
      <w:r w:rsidR="002306F7" w:rsidRPr="00EB1DA3">
        <w:rPr>
          <w:rFonts w:ascii="Arial" w:hAnsi="Arial" w:cs="Arial"/>
          <w:sz w:val="20"/>
        </w:rPr>
        <w:t xml:space="preserve"> </w:t>
      </w:r>
    </w:p>
    <w:p w:rsidR="004C48E6" w:rsidRPr="00EB1DA3" w:rsidRDefault="00F62BF2" w:rsidP="00EB1DA3">
      <w:pPr>
        <w:pStyle w:val="Heading2"/>
        <w:spacing w:before="0" w:line="240" w:lineRule="auto"/>
        <w:rPr>
          <w:rFonts w:ascii="Arial" w:hAnsi="Arial" w:cs="Arial"/>
          <w:sz w:val="20"/>
        </w:rPr>
      </w:pPr>
      <w:r w:rsidRPr="00EB1DA3">
        <w:rPr>
          <w:rFonts w:ascii="Arial" w:hAnsi="Arial" w:cs="Arial"/>
          <w:sz w:val="20"/>
        </w:rPr>
        <w:t xml:space="preserve">THE MINISTER’S POLITICAL </w:t>
      </w:r>
      <w:r w:rsidR="007D6BC8" w:rsidRPr="00EB1DA3">
        <w:rPr>
          <w:rFonts w:ascii="Arial" w:hAnsi="Arial" w:cs="Arial"/>
          <w:sz w:val="20"/>
        </w:rPr>
        <w:t xml:space="preserve">AND NATIONAL TREASURY’S </w:t>
      </w:r>
      <w:r w:rsidRPr="00EB1DA3">
        <w:rPr>
          <w:rFonts w:ascii="Arial" w:hAnsi="Arial" w:cs="Arial"/>
          <w:sz w:val="20"/>
        </w:rPr>
        <w:t>OVERVIEW</w:t>
      </w:r>
    </w:p>
    <w:p w:rsidR="00812900" w:rsidRPr="00EB1DA3" w:rsidRDefault="00B34F35" w:rsidP="00EB1DA3">
      <w:pPr>
        <w:rPr>
          <w:rFonts w:ascii="Arial" w:hAnsi="Arial" w:cs="Arial"/>
          <w:sz w:val="20"/>
        </w:rPr>
      </w:pPr>
      <w:r w:rsidRPr="00EB1DA3">
        <w:rPr>
          <w:rFonts w:ascii="Arial" w:hAnsi="Arial" w:cs="Arial"/>
          <w:sz w:val="20"/>
        </w:rPr>
        <w:t>The Minister’s political overview focused on economic and fiscal issues that the government is grappling with and how the 2022 Budget addresses these issues. The Minister</w:t>
      </w:r>
      <w:r w:rsidR="00707D4C" w:rsidRPr="00EB1DA3">
        <w:rPr>
          <w:rFonts w:ascii="Arial" w:hAnsi="Arial" w:cs="Arial"/>
          <w:sz w:val="20"/>
        </w:rPr>
        <w:t xml:space="preserve"> </w:t>
      </w:r>
      <w:r w:rsidR="00DC12C2" w:rsidRPr="00EB1DA3">
        <w:rPr>
          <w:rFonts w:ascii="Arial" w:hAnsi="Arial" w:cs="Arial"/>
          <w:sz w:val="20"/>
        </w:rPr>
        <w:t>emphasised</w:t>
      </w:r>
      <w:r w:rsidR="00707D4C" w:rsidRPr="00EB1DA3">
        <w:rPr>
          <w:rFonts w:ascii="Arial" w:hAnsi="Arial" w:cs="Arial"/>
          <w:sz w:val="20"/>
        </w:rPr>
        <w:t xml:space="preserve"> that t</w:t>
      </w:r>
      <w:r w:rsidR="00E85EFB" w:rsidRPr="00EB1DA3">
        <w:rPr>
          <w:rFonts w:ascii="Arial" w:hAnsi="Arial" w:cs="Arial"/>
          <w:sz w:val="20"/>
        </w:rPr>
        <w:t xml:space="preserve">he </w:t>
      </w:r>
      <w:r w:rsidR="003458B0" w:rsidRPr="00EB1DA3">
        <w:rPr>
          <w:rFonts w:ascii="Arial" w:hAnsi="Arial" w:cs="Arial"/>
          <w:sz w:val="20"/>
        </w:rPr>
        <w:t xml:space="preserve">2022 </w:t>
      </w:r>
      <w:r w:rsidR="00E85EFB" w:rsidRPr="00EB1DA3">
        <w:rPr>
          <w:rFonts w:ascii="Arial" w:hAnsi="Arial" w:cs="Arial"/>
          <w:sz w:val="20"/>
        </w:rPr>
        <w:t>Budget was about striking a delicate balance between growing the economy, fiscal sustainability and supporting livelihoods</w:t>
      </w:r>
      <w:r w:rsidR="00DC12C2" w:rsidRPr="00EB1DA3">
        <w:rPr>
          <w:rFonts w:ascii="Arial" w:hAnsi="Arial" w:cs="Arial"/>
          <w:sz w:val="20"/>
        </w:rPr>
        <w:t xml:space="preserve"> and that the</w:t>
      </w:r>
      <w:r w:rsidR="00812900" w:rsidRPr="00EB1DA3">
        <w:rPr>
          <w:rFonts w:ascii="Arial" w:hAnsi="Arial" w:cs="Arial"/>
          <w:sz w:val="20"/>
        </w:rPr>
        <w:t xml:space="preserve"> social wage </w:t>
      </w:r>
      <w:r w:rsidR="00DC12C2" w:rsidRPr="00EB1DA3">
        <w:rPr>
          <w:rFonts w:ascii="Arial" w:hAnsi="Arial" w:cs="Arial"/>
          <w:sz w:val="20"/>
        </w:rPr>
        <w:t xml:space="preserve">accounts for </w:t>
      </w:r>
      <w:r w:rsidR="00812900" w:rsidRPr="00EB1DA3">
        <w:rPr>
          <w:rFonts w:ascii="Arial" w:hAnsi="Arial" w:cs="Arial"/>
          <w:sz w:val="20"/>
        </w:rPr>
        <w:t xml:space="preserve">about 59 per cent of total non-interest spending. </w:t>
      </w:r>
    </w:p>
    <w:p w:rsidR="00707D4C" w:rsidRPr="00EB1DA3" w:rsidRDefault="0023696E" w:rsidP="00EB1DA3">
      <w:pPr>
        <w:rPr>
          <w:rFonts w:ascii="Arial" w:hAnsi="Arial" w:cs="Arial"/>
          <w:sz w:val="20"/>
        </w:rPr>
      </w:pPr>
      <w:r w:rsidRPr="00EB1DA3">
        <w:rPr>
          <w:rFonts w:ascii="Arial" w:hAnsi="Arial" w:cs="Arial"/>
          <w:sz w:val="20"/>
        </w:rPr>
        <w:t>The Minister</w:t>
      </w:r>
      <w:r w:rsidR="00707D4C" w:rsidRPr="00EB1DA3">
        <w:rPr>
          <w:rFonts w:ascii="Arial" w:hAnsi="Arial" w:cs="Arial"/>
          <w:sz w:val="20"/>
        </w:rPr>
        <w:t xml:space="preserve"> acknowledged that the country has been operating under difficult times but the higher than expected revenue provided some space to address some of the spending challenges.</w:t>
      </w:r>
      <w:r w:rsidR="0025774E" w:rsidRPr="00EB1DA3">
        <w:rPr>
          <w:rFonts w:ascii="Arial" w:hAnsi="Arial" w:cs="Arial"/>
          <w:sz w:val="20"/>
        </w:rPr>
        <w:t xml:space="preserve"> Part of the</w:t>
      </w:r>
      <w:r w:rsidR="00707D4C" w:rsidRPr="00EB1DA3">
        <w:rPr>
          <w:rFonts w:ascii="Arial" w:hAnsi="Arial" w:cs="Arial"/>
          <w:sz w:val="20"/>
        </w:rPr>
        <w:t xml:space="preserve"> R180 billion revenu</w:t>
      </w:r>
      <w:r w:rsidR="006F6043" w:rsidRPr="00EB1DA3">
        <w:rPr>
          <w:rFonts w:ascii="Arial" w:hAnsi="Arial" w:cs="Arial"/>
          <w:sz w:val="20"/>
        </w:rPr>
        <w:t xml:space="preserve">e </w:t>
      </w:r>
      <w:r w:rsidR="00E414EE" w:rsidRPr="00EB1DA3">
        <w:rPr>
          <w:rFonts w:ascii="Arial" w:hAnsi="Arial" w:cs="Arial"/>
          <w:sz w:val="20"/>
        </w:rPr>
        <w:t>over-collect</w:t>
      </w:r>
      <w:r w:rsidR="0025774E" w:rsidRPr="00EB1DA3">
        <w:rPr>
          <w:rFonts w:ascii="Arial" w:hAnsi="Arial" w:cs="Arial"/>
          <w:sz w:val="20"/>
        </w:rPr>
        <w:t>ion</w:t>
      </w:r>
      <w:r w:rsidR="006F6043" w:rsidRPr="00EB1DA3">
        <w:rPr>
          <w:rFonts w:ascii="Arial" w:hAnsi="Arial" w:cs="Arial"/>
          <w:sz w:val="20"/>
        </w:rPr>
        <w:t xml:space="preserve"> assisted </w:t>
      </w:r>
      <w:r w:rsidR="00E414EE" w:rsidRPr="00EB1DA3">
        <w:rPr>
          <w:rFonts w:ascii="Arial" w:hAnsi="Arial" w:cs="Arial"/>
          <w:sz w:val="20"/>
        </w:rPr>
        <w:t xml:space="preserve">the </w:t>
      </w:r>
      <w:r w:rsidR="006F6043" w:rsidRPr="00EB1DA3">
        <w:rPr>
          <w:rFonts w:ascii="Arial" w:hAnsi="Arial" w:cs="Arial"/>
          <w:sz w:val="20"/>
        </w:rPr>
        <w:t>government in</w:t>
      </w:r>
      <w:r w:rsidR="00707D4C" w:rsidRPr="00EB1DA3">
        <w:rPr>
          <w:rFonts w:ascii="Arial" w:hAnsi="Arial" w:cs="Arial"/>
          <w:sz w:val="20"/>
        </w:rPr>
        <w:t xml:space="preserve"> respond</w:t>
      </w:r>
      <w:r w:rsidR="006F6043" w:rsidRPr="00EB1DA3">
        <w:rPr>
          <w:rFonts w:ascii="Arial" w:hAnsi="Arial" w:cs="Arial"/>
          <w:sz w:val="20"/>
        </w:rPr>
        <w:t>ing</w:t>
      </w:r>
      <w:r w:rsidR="00707D4C" w:rsidRPr="00EB1DA3">
        <w:rPr>
          <w:rFonts w:ascii="Arial" w:hAnsi="Arial" w:cs="Arial"/>
          <w:sz w:val="20"/>
        </w:rPr>
        <w:t xml:space="preserve"> to the unrest that occurred at K</w:t>
      </w:r>
      <w:r w:rsidR="0025774E" w:rsidRPr="00EB1DA3">
        <w:rPr>
          <w:rFonts w:ascii="Arial" w:hAnsi="Arial" w:cs="Arial"/>
          <w:sz w:val="20"/>
        </w:rPr>
        <w:t xml:space="preserve">wa </w:t>
      </w:r>
      <w:r w:rsidR="00707D4C" w:rsidRPr="00EB1DA3">
        <w:rPr>
          <w:rFonts w:ascii="Arial" w:hAnsi="Arial" w:cs="Arial"/>
          <w:sz w:val="20"/>
        </w:rPr>
        <w:t>Z</w:t>
      </w:r>
      <w:r w:rsidR="0025774E" w:rsidRPr="00EB1DA3">
        <w:rPr>
          <w:rFonts w:ascii="Arial" w:hAnsi="Arial" w:cs="Arial"/>
          <w:sz w:val="20"/>
        </w:rPr>
        <w:t xml:space="preserve">ulu </w:t>
      </w:r>
      <w:r w:rsidR="00707D4C" w:rsidRPr="00EB1DA3">
        <w:rPr>
          <w:rFonts w:ascii="Arial" w:hAnsi="Arial" w:cs="Arial"/>
          <w:sz w:val="20"/>
        </w:rPr>
        <w:t>N</w:t>
      </w:r>
      <w:r w:rsidR="0025774E" w:rsidRPr="00EB1DA3">
        <w:rPr>
          <w:rFonts w:ascii="Arial" w:hAnsi="Arial" w:cs="Arial"/>
          <w:sz w:val="20"/>
        </w:rPr>
        <w:t>atal</w:t>
      </w:r>
      <w:r w:rsidR="00707D4C" w:rsidRPr="00EB1DA3">
        <w:rPr>
          <w:rFonts w:ascii="Arial" w:hAnsi="Arial" w:cs="Arial"/>
          <w:sz w:val="20"/>
        </w:rPr>
        <w:t xml:space="preserve"> and Gauteng </w:t>
      </w:r>
      <w:r w:rsidR="006F6043" w:rsidRPr="00EB1DA3">
        <w:rPr>
          <w:rFonts w:ascii="Arial" w:hAnsi="Arial" w:cs="Arial"/>
          <w:sz w:val="20"/>
        </w:rPr>
        <w:t xml:space="preserve">provinces in July 2021 and </w:t>
      </w:r>
      <w:r w:rsidR="00F01E17" w:rsidRPr="00EB1DA3">
        <w:rPr>
          <w:rFonts w:ascii="Arial" w:hAnsi="Arial" w:cs="Arial"/>
          <w:sz w:val="20"/>
        </w:rPr>
        <w:t xml:space="preserve">adding </w:t>
      </w:r>
      <w:r w:rsidR="00707D4C" w:rsidRPr="00EB1DA3">
        <w:rPr>
          <w:rFonts w:ascii="Arial" w:hAnsi="Arial" w:cs="Arial"/>
          <w:sz w:val="20"/>
        </w:rPr>
        <w:t>R7 billion to support</w:t>
      </w:r>
      <w:r w:rsidR="00F01E17" w:rsidRPr="00EB1DA3">
        <w:rPr>
          <w:rFonts w:ascii="Arial" w:hAnsi="Arial" w:cs="Arial"/>
          <w:sz w:val="20"/>
        </w:rPr>
        <w:t xml:space="preserve"> Sasria, the </w:t>
      </w:r>
      <w:r w:rsidR="00C078B5" w:rsidRPr="00EB1DA3">
        <w:rPr>
          <w:rFonts w:ascii="Arial" w:hAnsi="Arial" w:cs="Arial"/>
          <w:sz w:val="20"/>
        </w:rPr>
        <w:t>state-owned</w:t>
      </w:r>
      <w:r w:rsidR="00F01E17" w:rsidRPr="00EB1DA3">
        <w:rPr>
          <w:rFonts w:ascii="Arial" w:hAnsi="Arial" w:cs="Arial"/>
          <w:sz w:val="20"/>
        </w:rPr>
        <w:t xml:space="preserve"> insurer.</w:t>
      </w:r>
    </w:p>
    <w:p w:rsidR="00C64E96" w:rsidRPr="00EB1DA3" w:rsidRDefault="006F6043" w:rsidP="00EB1DA3">
      <w:pPr>
        <w:rPr>
          <w:rFonts w:ascii="Arial" w:hAnsi="Arial" w:cs="Arial"/>
          <w:sz w:val="20"/>
        </w:rPr>
      </w:pPr>
      <w:r w:rsidRPr="00EB1DA3">
        <w:rPr>
          <w:rFonts w:ascii="Arial" w:hAnsi="Arial" w:cs="Arial"/>
          <w:sz w:val="20"/>
        </w:rPr>
        <w:t>The Minister</w:t>
      </w:r>
      <w:r w:rsidR="00E414EE" w:rsidRPr="00EB1DA3">
        <w:rPr>
          <w:rFonts w:ascii="Arial" w:hAnsi="Arial" w:cs="Arial"/>
          <w:sz w:val="20"/>
        </w:rPr>
        <w:t xml:space="preserve"> acknowledged</w:t>
      </w:r>
      <w:r w:rsidR="00C64E96" w:rsidRPr="00EB1DA3">
        <w:rPr>
          <w:rFonts w:ascii="Arial" w:hAnsi="Arial" w:cs="Arial"/>
          <w:sz w:val="20"/>
        </w:rPr>
        <w:t xml:space="preserve"> that the additional revenue </w:t>
      </w:r>
      <w:r w:rsidR="00600495" w:rsidRPr="00EB1DA3">
        <w:rPr>
          <w:rFonts w:ascii="Arial" w:hAnsi="Arial" w:cs="Arial"/>
          <w:sz w:val="20"/>
        </w:rPr>
        <w:t>was not a silver bullet for South Africa’s financial position as much of it had already been allocated</w:t>
      </w:r>
      <w:r w:rsidR="00C64E96" w:rsidRPr="00EB1DA3">
        <w:rPr>
          <w:rFonts w:ascii="Arial" w:hAnsi="Arial" w:cs="Arial"/>
          <w:sz w:val="20"/>
        </w:rPr>
        <w:t xml:space="preserve"> to critical spending programmes</w:t>
      </w:r>
      <w:r w:rsidR="00600495" w:rsidRPr="00EB1DA3">
        <w:rPr>
          <w:rFonts w:ascii="Arial" w:hAnsi="Arial" w:cs="Arial"/>
          <w:sz w:val="20"/>
        </w:rPr>
        <w:t xml:space="preserve"> before the 2022 Budget was tabled</w:t>
      </w:r>
      <w:r w:rsidR="00C64E96" w:rsidRPr="00EB1DA3">
        <w:rPr>
          <w:rFonts w:ascii="Arial" w:hAnsi="Arial" w:cs="Arial"/>
          <w:sz w:val="20"/>
        </w:rPr>
        <w:t xml:space="preserve">. </w:t>
      </w:r>
      <w:r w:rsidRPr="00EB1DA3">
        <w:rPr>
          <w:rFonts w:ascii="Arial" w:hAnsi="Arial" w:cs="Arial"/>
          <w:sz w:val="20"/>
        </w:rPr>
        <w:t>It was also reported that t</w:t>
      </w:r>
      <w:r w:rsidR="00C64E96" w:rsidRPr="00EB1DA3">
        <w:rPr>
          <w:rFonts w:ascii="Arial" w:hAnsi="Arial" w:cs="Arial"/>
          <w:sz w:val="20"/>
        </w:rPr>
        <w:t xml:space="preserve">he </w:t>
      </w:r>
      <w:r w:rsidRPr="00EB1DA3">
        <w:rPr>
          <w:rFonts w:ascii="Arial" w:hAnsi="Arial" w:cs="Arial"/>
          <w:sz w:val="20"/>
        </w:rPr>
        <w:t xml:space="preserve">2022 </w:t>
      </w:r>
      <w:r w:rsidR="00C64E96" w:rsidRPr="00EB1DA3">
        <w:rPr>
          <w:rFonts w:ascii="Arial" w:hAnsi="Arial" w:cs="Arial"/>
          <w:sz w:val="20"/>
        </w:rPr>
        <w:t xml:space="preserve">Budget strengthens </w:t>
      </w:r>
      <w:r w:rsidR="003C4F6D" w:rsidRPr="00EB1DA3">
        <w:rPr>
          <w:rFonts w:ascii="Arial" w:hAnsi="Arial" w:cs="Arial"/>
          <w:sz w:val="20"/>
        </w:rPr>
        <w:t>the</w:t>
      </w:r>
      <w:r w:rsidR="00C64E96" w:rsidRPr="00EB1DA3">
        <w:rPr>
          <w:rFonts w:ascii="Arial" w:hAnsi="Arial" w:cs="Arial"/>
          <w:sz w:val="20"/>
        </w:rPr>
        <w:t xml:space="preserve"> fight against crime with an additional allocation of R</w:t>
      </w:r>
      <w:r w:rsidR="00754DD8" w:rsidRPr="00EB1DA3">
        <w:rPr>
          <w:rFonts w:ascii="Arial" w:hAnsi="Arial" w:cs="Arial"/>
          <w:sz w:val="20"/>
        </w:rPr>
        <w:t>8.7 billion to the Police</w:t>
      </w:r>
      <w:r w:rsidR="00C64E96" w:rsidRPr="00EB1DA3">
        <w:rPr>
          <w:rFonts w:ascii="Arial" w:hAnsi="Arial" w:cs="Arial"/>
          <w:sz w:val="20"/>
        </w:rPr>
        <w:t>, R1.1 billion to the Department of Justice and C</w:t>
      </w:r>
      <w:r w:rsidR="00754DD8" w:rsidRPr="00EB1DA3">
        <w:rPr>
          <w:rFonts w:ascii="Arial" w:hAnsi="Arial" w:cs="Arial"/>
          <w:sz w:val="20"/>
        </w:rPr>
        <w:t xml:space="preserve">onstitutional Development, R32 billion to </w:t>
      </w:r>
      <w:r w:rsidR="0096563E" w:rsidRPr="00EB1DA3">
        <w:rPr>
          <w:rFonts w:ascii="Arial" w:hAnsi="Arial" w:cs="Arial"/>
          <w:sz w:val="20"/>
        </w:rPr>
        <w:t xml:space="preserve">the </w:t>
      </w:r>
      <w:r w:rsidR="00754DD8" w:rsidRPr="00EB1DA3">
        <w:rPr>
          <w:rFonts w:ascii="Arial" w:hAnsi="Arial" w:cs="Arial"/>
          <w:sz w:val="20"/>
        </w:rPr>
        <w:t xml:space="preserve">National Student Financial Aid Scheme (NSFAS) while </w:t>
      </w:r>
      <w:r w:rsidR="00C64E96" w:rsidRPr="00EB1DA3">
        <w:rPr>
          <w:rFonts w:ascii="Arial" w:hAnsi="Arial" w:cs="Arial"/>
          <w:sz w:val="20"/>
        </w:rPr>
        <w:t>the Office of the Chief Justice receives an additional R3</w:t>
      </w:r>
      <w:r w:rsidRPr="00EB1DA3">
        <w:rPr>
          <w:rFonts w:ascii="Arial" w:hAnsi="Arial" w:cs="Arial"/>
          <w:sz w:val="20"/>
        </w:rPr>
        <w:t>9.9 million.</w:t>
      </w:r>
      <w:r w:rsidR="00C64E96" w:rsidRPr="00EB1DA3">
        <w:rPr>
          <w:rFonts w:ascii="Arial" w:hAnsi="Arial" w:cs="Arial"/>
          <w:sz w:val="20"/>
        </w:rPr>
        <w:t xml:space="preserve"> </w:t>
      </w:r>
      <w:r w:rsidR="00754DD8" w:rsidRPr="00EB1DA3">
        <w:rPr>
          <w:rFonts w:ascii="Arial" w:hAnsi="Arial" w:cs="Arial"/>
          <w:sz w:val="20"/>
        </w:rPr>
        <w:t>The Presidential Youth Employment Programme also receives a boost.</w:t>
      </w:r>
    </w:p>
    <w:p w:rsidR="00CA6FD2" w:rsidRPr="00EB1DA3" w:rsidRDefault="006F6043" w:rsidP="00EB1DA3">
      <w:pPr>
        <w:rPr>
          <w:rFonts w:ascii="Arial" w:hAnsi="Arial" w:cs="Arial"/>
          <w:sz w:val="20"/>
        </w:rPr>
      </w:pPr>
      <w:r w:rsidRPr="00EB1DA3">
        <w:rPr>
          <w:rFonts w:ascii="Arial" w:hAnsi="Arial" w:cs="Arial"/>
          <w:sz w:val="20"/>
        </w:rPr>
        <w:t>The Minister indicated that d</w:t>
      </w:r>
      <w:r w:rsidR="003458B0" w:rsidRPr="00EB1DA3">
        <w:rPr>
          <w:rFonts w:ascii="Arial" w:hAnsi="Arial" w:cs="Arial"/>
          <w:sz w:val="20"/>
        </w:rPr>
        <w:t xml:space="preserve">espite all that, </w:t>
      </w:r>
      <w:r w:rsidRPr="00EB1DA3">
        <w:rPr>
          <w:rFonts w:ascii="Arial" w:hAnsi="Arial" w:cs="Arial"/>
          <w:sz w:val="20"/>
        </w:rPr>
        <w:t xml:space="preserve">the </w:t>
      </w:r>
      <w:r w:rsidR="00287918" w:rsidRPr="00EB1DA3">
        <w:rPr>
          <w:rFonts w:ascii="Arial" w:hAnsi="Arial" w:cs="Arial"/>
          <w:sz w:val="20"/>
        </w:rPr>
        <w:t>budget reduces</w:t>
      </w:r>
      <w:r w:rsidRPr="00EB1DA3">
        <w:rPr>
          <w:rFonts w:ascii="Arial" w:hAnsi="Arial" w:cs="Arial"/>
          <w:sz w:val="20"/>
        </w:rPr>
        <w:t xml:space="preserve"> the</w:t>
      </w:r>
      <w:r w:rsidR="00287918" w:rsidRPr="00EB1DA3">
        <w:rPr>
          <w:rFonts w:ascii="Arial" w:hAnsi="Arial" w:cs="Arial"/>
          <w:sz w:val="20"/>
        </w:rPr>
        <w:t xml:space="preserve"> fiscal </w:t>
      </w:r>
      <w:r w:rsidR="00B34F35" w:rsidRPr="00EB1DA3">
        <w:rPr>
          <w:rFonts w:ascii="Arial" w:hAnsi="Arial" w:cs="Arial"/>
          <w:sz w:val="20"/>
        </w:rPr>
        <w:t xml:space="preserve">deficit as </w:t>
      </w:r>
      <w:r w:rsidR="00A86639" w:rsidRPr="00EB1DA3">
        <w:rPr>
          <w:rFonts w:ascii="Arial" w:hAnsi="Arial" w:cs="Arial"/>
          <w:sz w:val="20"/>
        </w:rPr>
        <w:t xml:space="preserve">a crucial </w:t>
      </w:r>
      <w:r w:rsidR="00B34F35" w:rsidRPr="00EB1DA3">
        <w:rPr>
          <w:rFonts w:ascii="Arial" w:hAnsi="Arial" w:cs="Arial"/>
          <w:sz w:val="20"/>
        </w:rPr>
        <w:t>part of the debt management strategy</w:t>
      </w:r>
      <w:r w:rsidR="00E414EE" w:rsidRPr="00EB1DA3">
        <w:rPr>
          <w:rFonts w:ascii="Arial" w:hAnsi="Arial" w:cs="Arial"/>
          <w:sz w:val="20"/>
        </w:rPr>
        <w:t xml:space="preserve"> and that</w:t>
      </w:r>
      <w:r w:rsidRPr="00EB1DA3">
        <w:rPr>
          <w:rFonts w:ascii="Arial" w:hAnsi="Arial" w:cs="Arial"/>
          <w:sz w:val="20"/>
        </w:rPr>
        <w:t xml:space="preserve"> </w:t>
      </w:r>
      <w:r w:rsidR="00CA6FD2" w:rsidRPr="00EB1DA3">
        <w:rPr>
          <w:rFonts w:ascii="Arial" w:hAnsi="Arial" w:cs="Arial"/>
          <w:sz w:val="20"/>
        </w:rPr>
        <w:t>the government continues to ensure</w:t>
      </w:r>
      <w:r w:rsidRPr="00EB1DA3">
        <w:rPr>
          <w:rFonts w:ascii="Arial" w:hAnsi="Arial" w:cs="Arial"/>
          <w:sz w:val="20"/>
        </w:rPr>
        <w:t xml:space="preserve"> the health of public finances</w:t>
      </w:r>
      <w:r w:rsidR="00812B99" w:rsidRPr="00EB1DA3">
        <w:rPr>
          <w:rFonts w:ascii="Arial" w:hAnsi="Arial" w:cs="Arial"/>
          <w:sz w:val="20"/>
        </w:rPr>
        <w:t xml:space="preserve">. He said that </w:t>
      </w:r>
      <w:r w:rsidRPr="00EB1DA3">
        <w:rPr>
          <w:rFonts w:ascii="Arial" w:hAnsi="Arial" w:cs="Arial"/>
          <w:sz w:val="20"/>
        </w:rPr>
        <w:t>t</w:t>
      </w:r>
      <w:r w:rsidR="00CA6FD2" w:rsidRPr="00EB1DA3">
        <w:rPr>
          <w:rFonts w:ascii="Arial" w:hAnsi="Arial" w:cs="Arial"/>
          <w:sz w:val="20"/>
        </w:rPr>
        <w:t xml:space="preserve">he budget provides </w:t>
      </w:r>
      <w:r w:rsidR="001B0C9A" w:rsidRPr="00EB1DA3">
        <w:rPr>
          <w:rFonts w:ascii="Arial" w:hAnsi="Arial" w:cs="Arial"/>
          <w:sz w:val="20"/>
        </w:rPr>
        <w:t xml:space="preserve">some </w:t>
      </w:r>
      <w:r w:rsidR="00CA6FD2" w:rsidRPr="00EB1DA3">
        <w:rPr>
          <w:rFonts w:ascii="Arial" w:hAnsi="Arial" w:cs="Arial"/>
          <w:sz w:val="20"/>
        </w:rPr>
        <w:t>relief to taxpayers, both households and companies.</w:t>
      </w:r>
    </w:p>
    <w:p w:rsidR="00B34F35" w:rsidRPr="00EB1DA3" w:rsidRDefault="00AF0E3C" w:rsidP="00EB1DA3">
      <w:pPr>
        <w:rPr>
          <w:rFonts w:ascii="Arial" w:hAnsi="Arial" w:cs="Arial"/>
          <w:sz w:val="20"/>
        </w:rPr>
      </w:pPr>
      <w:r w:rsidRPr="00EB1DA3">
        <w:rPr>
          <w:rFonts w:ascii="Arial" w:hAnsi="Arial" w:cs="Arial"/>
          <w:sz w:val="20"/>
        </w:rPr>
        <w:t>The M</w:t>
      </w:r>
      <w:r w:rsidR="001B0C9A" w:rsidRPr="00EB1DA3">
        <w:rPr>
          <w:rFonts w:ascii="Arial" w:hAnsi="Arial" w:cs="Arial"/>
          <w:sz w:val="20"/>
        </w:rPr>
        <w:t xml:space="preserve">inister also mentioned that </w:t>
      </w:r>
      <w:r w:rsidRPr="00EB1DA3">
        <w:rPr>
          <w:rFonts w:ascii="Arial" w:hAnsi="Arial" w:cs="Arial"/>
          <w:sz w:val="20"/>
        </w:rPr>
        <w:t xml:space="preserve">NT was working on the </w:t>
      </w:r>
      <w:r w:rsidR="00754DD8" w:rsidRPr="00EB1DA3">
        <w:rPr>
          <w:rFonts w:ascii="Arial" w:hAnsi="Arial" w:cs="Arial"/>
          <w:sz w:val="20"/>
        </w:rPr>
        <w:t xml:space="preserve">Public </w:t>
      </w:r>
      <w:r w:rsidR="00B34F35" w:rsidRPr="00EB1DA3">
        <w:rPr>
          <w:rFonts w:ascii="Arial" w:hAnsi="Arial" w:cs="Arial"/>
          <w:sz w:val="20"/>
        </w:rPr>
        <w:t>Pro</w:t>
      </w:r>
      <w:r w:rsidR="001B0C9A" w:rsidRPr="00EB1DA3">
        <w:rPr>
          <w:rFonts w:ascii="Arial" w:hAnsi="Arial" w:cs="Arial"/>
          <w:sz w:val="20"/>
        </w:rPr>
        <w:t xml:space="preserve">curement Bill. He said that </w:t>
      </w:r>
      <w:r w:rsidR="00F14656" w:rsidRPr="00EB1DA3">
        <w:rPr>
          <w:rFonts w:ascii="Arial" w:hAnsi="Arial" w:cs="Arial"/>
          <w:sz w:val="20"/>
        </w:rPr>
        <w:t>after losing a case in the Constitutio</w:t>
      </w:r>
      <w:r w:rsidR="001B0C9A" w:rsidRPr="00EB1DA3">
        <w:rPr>
          <w:rFonts w:ascii="Arial" w:hAnsi="Arial" w:cs="Arial"/>
          <w:sz w:val="20"/>
        </w:rPr>
        <w:t xml:space="preserve">nal Court in the previous week and </w:t>
      </w:r>
      <w:r w:rsidR="00F14656" w:rsidRPr="00EB1DA3">
        <w:rPr>
          <w:rFonts w:ascii="Arial" w:hAnsi="Arial" w:cs="Arial"/>
          <w:sz w:val="20"/>
        </w:rPr>
        <w:t xml:space="preserve">the outcomes of the </w:t>
      </w:r>
      <w:r w:rsidRPr="00EB1DA3">
        <w:rPr>
          <w:rFonts w:ascii="Arial" w:hAnsi="Arial" w:cs="Arial"/>
          <w:sz w:val="20"/>
        </w:rPr>
        <w:t>Zondo Commission report</w:t>
      </w:r>
      <w:r w:rsidR="001B0C9A" w:rsidRPr="00EB1DA3">
        <w:rPr>
          <w:rFonts w:ascii="Arial" w:hAnsi="Arial" w:cs="Arial"/>
          <w:sz w:val="20"/>
        </w:rPr>
        <w:t>, consideration</w:t>
      </w:r>
      <w:r w:rsidR="00F14656" w:rsidRPr="00EB1DA3">
        <w:rPr>
          <w:rFonts w:ascii="Arial" w:hAnsi="Arial" w:cs="Arial"/>
          <w:sz w:val="20"/>
        </w:rPr>
        <w:t xml:space="preserve"> will have to be </w:t>
      </w:r>
      <w:r w:rsidR="001B0C9A" w:rsidRPr="00EB1DA3">
        <w:rPr>
          <w:rFonts w:ascii="Arial" w:hAnsi="Arial" w:cs="Arial"/>
          <w:sz w:val="20"/>
        </w:rPr>
        <w:t>given to these</w:t>
      </w:r>
      <w:r w:rsidR="00F14656" w:rsidRPr="00EB1DA3">
        <w:rPr>
          <w:rFonts w:ascii="Arial" w:hAnsi="Arial" w:cs="Arial"/>
          <w:sz w:val="20"/>
        </w:rPr>
        <w:t xml:space="preserve"> before the Bill is finalised.</w:t>
      </w:r>
    </w:p>
    <w:p w:rsidR="00137BEE" w:rsidRPr="00EB1DA3" w:rsidRDefault="0056524A" w:rsidP="00EB1DA3">
      <w:pPr>
        <w:rPr>
          <w:rFonts w:ascii="Arial" w:hAnsi="Arial" w:cs="Arial"/>
          <w:sz w:val="20"/>
          <w:lang w:val="en-ZA" w:eastAsia="en-GB"/>
        </w:rPr>
      </w:pPr>
      <w:r w:rsidRPr="00EB1DA3">
        <w:rPr>
          <w:rFonts w:ascii="Arial" w:hAnsi="Arial" w:cs="Arial"/>
          <w:sz w:val="20"/>
        </w:rPr>
        <w:t xml:space="preserve">Senior </w:t>
      </w:r>
      <w:r w:rsidR="005B157E" w:rsidRPr="00EB1DA3">
        <w:rPr>
          <w:rFonts w:ascii="Arial" w:hAnsi="Arial" w:cs="Arial"/>
          <w:sz w:val="20"/>
        </w:rPr>
        <w:t xml:space="preserve">NT </w:t>
      </w:r>
      <w:r w:rsidRPr="00EB1DA3">
        <w:rPr>
          <w:rFonts w:ascii="Arial" w:hAnsi="Arial" w:cs="Arial"/>
          <w:sz w:val="20"/>
        </w:rPr>
        <w:t xml:space="preserve">officials </w:t>
      </w:r>
      <w:r w:rsidR="009757EE" w:rsidRPr="00EB1DA3">
        <w:rPr>
          <w:rFonts w:ascii="Arial" w:hAnsi="Arial" w:cs="Arial"/>
          <w:sz w:val="20"/>
        </w:rPr>
        <w:t xml:space="preserve">outlined </w:t>
      </w:r>
      <w:r w:rsidR="00A66C60" w:rsidRPr="00EB1DA3">
        <w:rPr>
          <w:rFonts w:ascii="Arial" w:hAnsi="Arial" w:cs="Arial"/>
          <w:sz w:val="20"/>
        </w:rPr>
        <w:t xml:space="preserve">the key issues reflected </w:t>
      </w:r>
      <w:r w:rsidR="0087108C" w:rsidRPr="00EB1DA3">
        <w:rPr>
          <w:rFonts w:ascii="Arial" w:hAnsi="Arial" w:cs="Arial"/>
          <w:sz w:val="20"/>
        </w:rPr>
        <w:t xml:space="preserve">in the </w:t>
      </w:r>
      <w:r w:rsidR="00761B4C" w:rsidRPr="00EB1DA3">
        <w:rPr>
          <w:rFonts w:ascii="Arial" w:hAnsi="Arial" w:cs="Arial"/>
          <w:sz w:val="20"/>
        </w:rPr>
        <w:t xml:space="preserve">2022 </w:t>
      </w:r>
      <w:r w:rsidR="00AA378D" w:rsidRPr="00EB1DA3">
        <w:rPr>
          <w:rFonts w:ascii="Arial" w:hAnsi="Arial" w:cs="Arial"/>
          <w:sz w:val="20"/>
        </w:rPr>
        <w:t>Budget</w:t>
      </w:r>
      <w:r w:rsidR="009757EE" w:rsidRPr="00EB1DA3">
        <w:rPr>
          <w:rFonts w:ascii="Arial" w:hAnsi="Arial" w:cs="Arial"/>
          <w:sz w:val="20"/>
        </w:rPr>
        <w:t xml:space="preserve">. </w:t>
      </w:r>
      <w:r w:rsidRPr="00EB1DA3">
        <w:rPr>
          <w:rFonts w:ascii="Arial" w:hAnsi="Arial" w:cs="Arial"/>
          <w:sz w:val="20"/>
        </w:rPr>
        <w:t xml:space="preserve"> </w:t>
      </w:r>
      <w:r w:rsidR="00135723" w:rsidRPr="00EB1DA3">
        <w:rPr>
          <w:rFonts w:ascii="Arial" w:hAnsi="Arial" w:cs="Arial"/>
          <w:sz w:val="20"/>
        </w:rPr>
        <w:t xml:space="preserve">The emphasis </w:t>
      </w:r>
      <w:r w:rsidRPr="00EB1DA3">
        <w:rPr>
          <w:rFonts w:ascii="Arial" w:hAnsi="Arial" w:cs="Arial"/>
          <w:sz w:val="20"/>
        </w:rPr>
        <w:t xml:space="preserve">was </w:t>
      </w:r>
      <w:r w:rsidR="00135723" w:rsidRPr="00EB1DA3">
        <w:rPr>
          <w:rFonts w:ascii="Arial" w:hAnsi="Arial" w:cs="Arial"/>
          <w:sz w:val="20"/>
        </w:rPr>
        <w:t xml:space="preserve">that the </w:t>
      </w:r>
      <w:r w:rsidR="006404B8" w:rsidRPr="00EB1DA3">
        <w:rPr>
          <w:rFonts w:ascii="Arial" w:hAnsi="Arial" w:cs="Arial"/>
          <w:sz w:val="20"/>
        </w:rPr>
        <w:t xml:space="preserve">2022 </w:t>
      </w:r>
      <w:r w:rsidR="00135723" w:rsidRPr="00EB1DA3">
        <w:rPr>
          <w:rFonts w:ascii="Arial" w:hAnsi="Arial" w:cs="Arial"/>
          <w:sz w:val="20"/>
          <w:lang w:val="en-ZA" w:eastAsia="en-GB"/>
        </w:rPr>
        <w:t>Budget continues to consolidate the public finances while</w:t>
      </w:r>
      <w:r w:rsidR="00FC3270" w:rsidRPr="00EB1DA3">
        <w:rPr>
          <w:rFonts w:ascii="Arial" w:hAnsi="Arial" w:cs="Arial"/>
          <w:sz w:val="20"/>
          <w:lang w:val="en-ZA" w:eastAsia="en-GB"/>
        </w:rPr>
        <w:t xml:space="preserve"> providing immediate support to</w:t>
      </w:r>
      <w:r w:rsidR="00135723" w:rsidRPr="00EB1DA3">
        <w:rPr>
          <w:rFonts w:ascii="Arial" w:hAnsi="Arial" w:cs="Arial"/>
          <w:sz w:val="20"/>
          <w:lang w:val="en-ZA" w:eastAsia="en-GB"/>
        </w:rPr>
        <w:t xml:space="preserve"> the COVID-19 pandemic response, job creation and social protection. </w:t>
      </w:r>
    </w:p>
    <w:p w:rsidR="00137BEE" w:rsidRPr="00EB1DA3" w:rsidRDefault="006404B8" w:rsidP="00EB1DA3">
      <w:pPr>
        <w:rPr>
          <w:rFonts w:ascii="Arial" w:hAnsi="Arial" w:cs="Arial"/>
          <w:sz w:val="20"/>
          <w:lang w:val="en-ZA" w:eastAsia="en-GB"/>
        </w:rPr>
      </w:pPr>
      <w:r w:rsidRPr="00EB1DA3">
        <w:rPr>
          <w:rFonts w:ascii="Arial" w:hAnsi="Arial" w:cs="Arial"/>
          <w:sz w:val="20"/>
          <w:lang w:val="en-ZA" w:eastAsia="en-GB"/>
        </w:rPr>
        <w:t>The 2022 B</w:t>
      </w:r>
      <w:r w:rsidR="00135723" w:rsidRPr="00EB1DA3">
        <w:rPr>
          <w:rFonts w:ascii="Arial" w:hAnsi="Arial" w:cs="Arial"/>
          <w:sz w:val="20"/>
          <w:lang w:val="en-ZA" w:eastAsia="en-GB"/>
        </w:rPr>
        <w:t xml:space="preserve">udget overview highlighted that the medium-term growth outlook has improved </w:t>
      </w:r>
      <w:r w:rsidR="00137BEE" w:rsidRPr="00EB1DA3">
        <w:rPr>
          <w:rFonts w:ascii="Arial" w:hAnsi="Arial" w:cs="Arial"/>
          <w:sz w:val="20"/>
          <w:lang w:val="en-ZA" w:eastAsia="en-GB"/>
        </w:rPr>
        <w:t xml:space="preserve">moderately </w:t>
      </w:r>
      <w:r w:rsidR="00135723" w:rsidRPr="00EB1DA3">
        <w:rPr>
          <w:rFonts w:ascii="Arial" w:hAnsi="Arial" w:cs="Arial"/>
          <w:sz w:val="20"/>
          <w:lang w:val="en-ZA" w:eastAsia="en-GB"/>
        </w:rPr>
        <w:t xml:space="preserve">but growth remains subdued; that </w:t>
      </w:r>
      <w:r w:rsidR="00147922" w:rsidRPr="00EB1DA3">
        <w:rPr>
          <w:rFonts w:ascii="Arial" w:hAnsi="Arial" w:cs="Arial"/>
          <w:sz w:val="20"/>
          <w:lang w:val="en-ZA" w:eastAsia="en-GB"/>
        </w:rPr>
        <w:t>al</w:t>
      </w:r>
      <w:r w:rsidR="00135723" w:rsidRPr="00EB1DA3">
        <w:rPr>
          <w:rFonts w:ascii="Arial" w:hAnsi="Arial" w:cs="Arial"/>
          <w:sz w:val="20"/>
          <w:lang w:val="en-ZA" w:eastAsia="en-GB"/>
        </w:rPr>
        <w:t>though growth will return to pre-pandemic levels, the 1.8 per cent growth over the medium term, on average, will not be sufficient to reduce poverty and inequality.</w:t>
      </w:r>
    </w:p>
    <w:p w:rsidR="00E30984" w:rsidRPr="00EB1DA3" w:rsidRDefault="00FC3270" w:rsidP="00EB1DA3">
      <w:pPr>
        <w:rPr>
          <w:rFonts w:ascii="Arial" w:hAnsi="Arial" w:cs="Arial"/>
          <w:sz w:val="20"/>
          <w:lang w:val="en-ZA" w:eastAsia="en-GB"/>
        </w:rPr>
      </w:pPr>
      <w:r w:rsidRPr="00EB1DA3">
        <w:rPr>
          <w:rFonts w:ascii="Arial" w:hAnsi="Arial" w:cs="Arial"/>
          <w:sz w:val="20"/>
          <w:lang w:val="en-ZA" w:eastAsia="en-GB"/>
        </w:rPr>
        <w:t>O</w:t>
      </w:r>
      <w:r w:rsidR="00137BEE" w:rsidRPr="00EB1DA3">
        <w:rPr>
          <w:rFonts w:ascii="Arial" w:hAnsi="Arial" w:cs="Arial"/>
          <w:sz w:val="20"/>
          <w:lang w:val="en-ZA" w:eastAsia="en-GB"/>
        </w:rPr>
        <w:t xml:space="preserve">ther </w:t>
      </w:r>
      <w:r w:rsidR="000209C5" w:rsidRPr="00EB1DA3">
        <w:rPr>
          <w:rFonts w:ascii="Arial" w:hAnsi="Arial" w:cs="Arial"/>
          <w:sz w:val="20"/>
          <w:lang w:val="en-ZA" w:eastAsia="en-GB"/>
        </w:rPr>
        <w:t>2022 B</w:t>
      </w:r>
      <w:r w:rsidR="00137BEE" w:rsidRPr="00EB1DA3">
        <w:rPr>
          <w:rFonts w:ascii="Arial" w:hAnsi="Arial" w:cs="Arial"/>
          <w:sz w:val="20"/>
          <w:lang w:val="en-ZA" w:eastAsia="en-GB"/>
        </w:rPr>
        <w:t xml:space="preserve">udget key points include </w:t>
      </w:r>
      <w:r w:rsidR="00135723" w:rsidRPr="00EB1DA3">
        <w:rPr>
          <w:rFonts w:ascii="Arial" w:hAnsi="Arial" w:cs="Arial"/>
          <w:sz w:val="20"/>
          <w:lang w:val="en-ZA" w:eastAsia="en-GB"/>
        </w:rPr>
        <w:t xml:space="preserve">that </w:t>
      </w:r>
      <w:r w:rsidR="00137BEE" w:rsidRPr="00EB1DA3">
        <w:rPr>
          <w:rFonts w:ascii="Arial" w:hAnsi="Arial" w:cs="Arial"/>
          <w:sz w:val="20"/>
          <w:lang w:val="en-ZA" w:eastAsia="en-GB"/>
        </w:rPr>
        <w:t xml:space="preserve">a </w:t>
      </w:r>
      <w:r w:rsidR="00A97494" w:rsidRPr="00EB1DA3">
        <w:rPr>
          <w:rFonts w:ascii="Arial" w:hAnsi="Arial" w:cs="Arial"/>
          <w:sz w:val="20"/>
        </w:rPr>
        <w:t xml:space="preserve">portion of </w:t>
      </w:r>
      <w:r w:rsidR="00137BEE" w:rsidRPr="00EB1DA3">
        <w:rPr>
          <w:rFonts w:ascii="Arial" w:hAnsi="Arial" w:cs="Arial"/>
          <w:sz w:val="20"/>
        </w:rPr>
        <w:t xml:space="preserve">the </w:t>
      </w:r>
      <w:r w:rsidR="00A97494" w:rsidRPr="00EB1DA3">
        <w:rPr>
          <w:rFonts w:ascii="Arial" w:hAnsi="Arial" w:cs="Arial"/>
          <w:sz w:val="20"/>
        </w:rPr>
        <w:t>higher</w:t>
      </w:r>
      <w:r w:rsidR="00A97494" w:rsidRPr="00EB1DA3">
        <w:rPr>
          <w:rFonts w:cs="Arial"/>
          <w:sz w:val="20"/>
        </w:rPr>
        <w:t>‐</w:t>
      </w:r>
      <w:r w:rsidR="00A97494" w:rsidRPr="00EB1DA3">
        <w:rPr>
          <w:rFonts w:ascii="Arial" w:hAnsi="Arial" w:cs="Arial"/>
          <w:sz w:val="20"/>
        </w:rPr>
        <w:t>than</w:t>
      </w:r>
      <w:r w:rsidR="00A97494" w:rsidRPr="00EB1DA3">
        <w:rPr>
          <w:rFonts w:cs="Arial"/>
          <w:sz w:val="20"/>
        </w:rPr>
        <w:t>‐</w:t>
      </w:r>
      <w:r w:rsidR="00A97494" w:rsidRPr="00EB1DA3">
        <w:rPr>
          <w:rFonts w:ascii="Arial" w:hAnsi="Arial" w:cs="Arial"/>
          <w:sz w:val="20"/>
        </w:rPr>
        <w:t xml:space="preserve">anticipated revenues </w:t>
      </w:r>
      <w:r w:rsidR="000209C5" w:rsidRPr="00EB1DA3">
        <w:rPr>
          <w:rFonts w:ascii="Arial" w:hAnsi="Arial" w:cs="Arial"/>
          <w:sz w:val="20"/>
        </w:rPr>
        <w:t>collected in 2021,</w:t>
      </w:r>
      <w:r w:rsidR="00147922" w:rsidRPr="00EB1DA3">
        <w:rPr>
          <w:rFonts w:ascii="Arial" w:hAnsi="Arial" w:cs="Arial"/>
          <w:sz w:val="20"/>
        </w:rPr>
        <w:t xml:space="preserve"> will be</w:t>
      </w:r>
      <w:r w:rsidR="00A97494" w:rsidRPr="00EB1DA3">
        <w:rPr>
          <w:rFonts w:ascii="Arial" w:hAnsi="Arial" w:cs="Arial"/>
          <w:sz w:val="20"/>
        </w:rPr>
        <w:t xml:space="preserve"> used to reduce the deficit and</w:t>
      </w:r>
      <w:r w:rsidR="00137BEE" w:rsidRPr="00EB1DA3">
        <w:rPr>
          <w:rFonts w:ascii="Arial" w:hAnsi="Arial" w:cs="Arial"/>
          <w:sz w:val="20"/>
          <w:lang w:val="en-ZA" w:eastAsia="en-GB"/>
        </w:rPr>
        <w:t xml:space="preserve"> </w:t>
      </w:r>
      <w:r w:rsidR="00A97494" w:rsidRPr="00EB1DA3">
        <w:rPr>
          <w:rFonts w:ascii="Arial" w:hAnsi="Arial" w:cs="Arial"/>
          <w:sz w:val="20"/>
        </w:rPr>
        <w:t>the borrowing requirement</w:t>
      </w:r>
      <w:r w:rsidR="00137BEE" w:rsidRPr="00EB1DA3">
        <w:rPr>
          <w:rFonts w:ascii="Arial" w:hAnsi="Arial" w:cs="Arial"/>
          <w:sz w:val="20"/>
        </w:rPr>
        <w:t>, and to achieve a primary surplus by 2023/</w:t>
      </w:r>
      <w:r w:rsidR="00A97494" w:rsidRPr="00EB1DA3">
        <w:rPr>
          <w:rFonts w:ascii="Arial" w:hAnsi="Arial" w:cs="Arial"/>
          <w:sz w:val="20"/>
        </w:rPr>
        <w:t>2</w:t>
      </w:r>
      <w:r w:rsidR="00137BEE" w:rsidRPr="00EB1DA3">
        <w:rPr>
          <w:rFonts w:ascii="Arial" w:hAnsi="Arial" w:cs="Arial"/>
          <w:sz w:val="20"/>
        </w:rPr>
        <w:t xml:space="preserve">4, </w:t>
      </w:r>
      <w:r w:rsidR="00A97494" w:rsidRPr="00EB1DA3">
        <w:rPr>
          <w:rFonts w:ascii="Arial" w:hAnsi="Arial" w:cs="Arial"/>
          <w:sz w:val="20"/>
        </w:rPr>
        <w:t>a year earlier than expected</w:t>
      </w:r>
      <w:r w:rsidR="00137BEE" w:rsidRPr="00EB1DA3">
        <w:rPr>
          <w:rFonts w:ascii="Arial" w:hAnsi="Arial" w:cs="Arial"/>
          <w:sz w:val="20"/>
        </w:rPr>
        <w:t>.</w:t>
      </w:r>
      <w:r w:rsidR="00A97494" w:rsidRPr="00EB1DA3">
        <w:rPr>
          <w:rFonts w:ascii="Arial" w:hAnsi="Arial" w:cs="Arial"/>
          <w:sz w:val="20"/>
        </w:rPr>
        <w:t xml:space="preserve"> </w:t>
      </w:r>
      <w:r w:rsidR="00137BEE" w:rsidRPr="00EB1DA3">
        <w:rPr>
          <w:rFonts w:ascii="Arial" w:hAnsi="Arial" w:cs="Arial"/>
          <w:sz w:val="20"/>
        </w:rPr>
        <w:t>Also, the government proposes R 5.</w:t>
      </w:r>
      <w:r w:rsidR="00A97494" w:rsidRPr="00EB1DA3">
        <w:rPr>
          <w:rFonts w:ascii="Arial" w:hAnsi="Arial" w:cs="Arial"/>
          <w:sz w:val="20"/>
        </w:rPr>
        <w:t>2 billion in tax relief to help support</w:t>
      </w:r>
      <w:r w:rsidR="00137BEE" w:rsidRPr="00EB1DA3">
        <w:rPr>
          <w:rFonts w:ascii="Arial" w:hAnsi="Arial" w:cs="Arial"/>
          <w:sz w:val="20"/>
          <w:lang w:val="en-ZA" w:eastAsia="en-GB"/>
        </w:rPr>
        <w:t xml:space="preserve"> </w:t>
      </w:r>
      <w:r w:rsidR="00A97494" w:rsidRPr="00EB1DA3">
        <w:rPr>
          <w:rFonts w:ascii="Arial" w:hAnsi="Arial" w:cs="Arial"/>
          <w:sz w:val="20"/>
        </w:rPr>
        <w:t>economic recovery, provide some respite from fuel tax increases and boost incentives for</w:t>
      </w:r>
      <w:r w:rsidR="00137BEE" w:rsidRPr="00EB1DA3">
        <w:rPr>
          <w:rFonts w:ascii="Arial" w:hAnsi="Arial" w:cs="Arial"/>
          <w:sz w:val="20"/>
          <w:lang w:val="en-ZA" w:eastAsia="en-GB"/>
        </w:rPr>
        <w:t xml:space="preserve"> </w:t>
      </w:r>
      <w:r w:rsidR="00A97494" w:rsidRPr="00EB1DA3">
        <w:rPr>
          <w:rFonts w:ascii="Arial" w:hAnsi="Arial" w:cs="Arial"/>
          <w:sz w:val="20"/>
        </w:rPr>
        <w:t>youth employment</w:t>
      </w:r>
      <w:r w:rsidR="00137BEE" w:rsidRPr="00EB1DA3">
        <w:rPr>
          <w:rFonts w:ascii="Arial" w:hAnsi="Arial" w:cs="Arial"/>
          <w:sz w:val="20"/>
        </w:rPr>
        <w:t>.</w:t>
      </w:r>
      <w:r w:rsidR="00137BEE" w:rsidRPr="00EB1DA3">
        <w:rPr>
          <w:rFonts w:ascii="Arial" w:hAnsi="Arial" w:cs="Arial"/>
          <w:sz w:val="20"/>
          <w:lang w:val="en-ZA" w:eastAsia="en-GB"/>
        </w:rPr>
        <w:t xml:space="preserve"> </w:t>
      </w:r>
      <w:r w:rsidR="000209C5" w:rsidRPr="00EB1DA3">
        <w:rPr>
          <w:rFonts w:ascii="Arial" w:hAnsi="Arial" w:cs="Arial"/>
          <w:sz w:val="20"/>
          <w:lang w:val="en-ZA" w:eastAsia="en-GB"/>
        </w:rPr>
        <w:t>NT</w:t>
      </w:r>
      <w:r w:rsidR="00137BEE" w:rsidRPr="00EB1DA3">
        <w:rPr>
          <w:rFonts w:ascii="Arial" w:hAnsi="Arial" w:cs="Arial"/>
          <w:sz w:val="20"/>
          <w:lang w:val="en-ZA" w:eastAsia="en-GB"/>
        </w:rPr>
        <w:t xml:space="preserve"> expects that </w:t>
      </w:r>
      <w:r w:rsidR="00137BEE" w:rsidRPr="00EB1DA3">
        <w:rPr>
          <w:rFonts w:ascii="Arial" w:hAnsi="Arial" w:cs="Arial"/>
          <w:sz w:val="20"/>
        </w:rPr>
        <w:t>a</w:t>
      </w:r>
      <w:r w:rsidR="00A97494" w:rsidRPr="00EB1DA3">
        <w:rPr>
          <w:rFonts w:ascii="Arial" w:hAnsi="Arial" w:cs="Arial"/>
          <w:sz w:val="20"/>
        </w:rPr>
        <w:t xml:space="preserve"> more rapid implementation of economic reforms, complemented by </w:t>
      </w:r>
      <w:r w:rsidR="00137BEE" w:rsidRPr="00EB1DA3">
        <w:rPr>
          <w:rFonts w:ascii="Arial" w:hAnsi="Arial" w:cs="Arial"/>
          <w:sz w:val="20"/>
        </w:rPr>
        <w:t xml:space="preserve">fiscal consolidation, will ease </w:t>
      </w:r>
      <w:r w:rsidR="00A97494" w:rsidRPr="00EB1DA3">
        <w:rPr>
          <w:rFonts w:ascii="Arial" w:hAnsi="Arial" w:cs="Arial"/>
          <w:sz w:val="20"/>
        </w:rPr>
        <w:t>investor concerns and support faster recovery and higher levels o</w:t>
      </w:r>
      <w:r w:rsidR="00137BEE" w:rsidRPr="00EB1DA3">
        <w:rPr>
          <w:rFonts w:ascii="Arial" w:hAnsi="Arial" w:cs="Arial"/>
          <w:sz w:val="20"/>
        </w:rPr>
        <w:t xml:space="preserve">f economic growth over the long </w:t>
      </w:r>
      <w:r w:rsidR="00A97494" w:rsidRPr="00EB1DA3">
        <w:rPr>
          <w:rFonts w:ascii="Arial" w:hAnsi="Arial" w:cs="Arial"/>
          <w:sz w:val="20"/>
        </w:rPr>
        <w:t>term</w:t>
      </w:r>
      <w:r w:rsidR="00137BEE" w:rsidRPr="00EB1DA3">
        <w:rPr>
          <w:rFonts w:ascii="Arial" w:hAnsi="Arial" w:cs="Arial"/>
          <w:sz w:val="20"/>
        </w:rPr>
        <w:t xml:space="preserve">. </w:t>
      </w:r>
      <w:r w:rsidR="00A97494" w:rsidRPr="00EB1DA3">
        <w:rPr>
          <w:rFonts w:ascii="Arial" w:hAnsi="Arial" w:cs="Arial"/>
          <w:sz w:val="20"/>
        </w:rPr>
        <w:t xml:space="preserve"> </w:t>
      </w:r>
      <w:r w:rsidR="000209C5" w:rsidRPr="00EB1DA3">
        <w:rPr>
          <w:rFonts w:ascii="Arial" w:hAnsi="Arial" w:cs="Arial"/>
          <w:sz w:val="20"/>
        </w:rPr>
        <w:t>It was acknowledged that s</w:t>
      </w:r>
      <w:r w:rsidR="00A97494" w:rsidRPr="00EB1DA3">
        <w:rPr>
          <w:rFonts w:ascii="Arial" w:hAnsi="Arial" w:cs="Arial"/>
          <w:sz w:val="20"/>
        </w:rPr>
        <w:t xml:space="preserve">ignificant risks to </w:t>
      </w:r>
      <w:r w:rsidR="00137BEE" w:rsidRPr="00EB1DA3">
        <w:rPr>
          <w:rFonts w:ascii="Arial" w:hAnsi="Arial" w:cs="Arial"/>
          <w:sz w:val="20"/>
        </w:rPr>
        <w:t xml:space="preserve">the economic and fiscal outlook, however, </w:t>
      </w:r>
      <w:r w:rsidR="00A97494" w:rsidRPr="00EB1DA3">
        <w:rPr>
          <w:rFonts w:ascii="Arial" w:hAnsi="Arial" w:cs="Arial"/>
          <w:sz w:val="20"/>
        </w:rPr>
        <w:t>remain</w:t>
      </w:r>
      <w:r w:rsidR="00137BEE" w:rsidRPr="00EB1DA3">
        <w:rPr>
          <w:rFonts w:ascii="Arial" w:hAnsi="Arial" w:cs="Arial"/>
          <w:sz w:val="20"/>
        </w:rPr>
        <w:t>.</w:t>
      </w:r>
    </w:p>
    <w:p w:rsidR="004C48E6" w:rsidRPr="00EB1DA3" w:rsidRDefault="0084429C" w:rsidP="00EB1DA3">
      <w:pPr>
        <w:pStyle w:val="Heading2"/>
        <w:spacing w:before="0" w:line="240" w:lineRule="auto"/>
        <w:rPr>
          <w:rFonts w:ascii="Arial" w:hAnsi="Arial" w:cs="Arial"/>
          <w:sz w:val="20"/>
        </w:rPr>
      </w:pPr>
      <w:r w:rsidRPr="00EB1DA3">
        <w:rPr>
          <w:rFonts w:ascii="Arial" w:hAnsi="Arial" w:cs="Arial"/>
          <w:sz w:val="20"/>
        </w:rPr>
        <w:lastRenderedPageBreak/>
        <w:t xml:space="preserve">OVERVIEW OF THE </w:t>
      </w:r>
      <w:r w:rsidR="0066144D" w:rsidRPr="00EB1DA3">
        <w:rPr>
          <w:rFonts w:ascii="Arial" w:hAnsi="Arial" w:cs="Arial"/>
          <w:sz w:val="20"/>
        </w:rPr>
        <w:t xml:space="preserve">2022 </w:t>
      </w:r>
      <w:r w:rsidRPr="00EB1DA3">
        <w:rPr>
          <w:rFonts w:ascii="Arial" w:hAnsi="Arial" w:cs="Arial"/>
          <w:sz w:val="20"/>
        </w:rPr>
        <w:t>FISCAL FRAMEWORK AND REVENUE PROPOSALS</w:t>
      </w:r>
    </w:p>
    <w:p w:rsidR="00693925" w:rsidRPr="00EB1DA3" w:rsidRDefault="008D3B1D" w:rsidP="00EB1DA3">
      <w:pPr>
        <w:pStyle w:val="Heading3"/>
        <w:spacing w:before="0" w:line="240" w:lineRule="auto"/>
        <w:rPr>
          <w:rFonts w:ascii="Arial" w:hAnsi="Arial" w:cs="Arial"/>
          <w:sz w:val="20"/>
          <w:u w:val="none"/>
        </w:rPr>
      </w:pPr>
      <w:r w:rsidRPr="00EB1DA3">
        <w:rPr>
          <w:rFonts w:ascii="Arial" w:hAnsi="Arial" w:cs="Arial"/>
          <w:sz w:val="20"/>
          <w:u w:val="none"/>
        </w:rPr>
        <w:t>E</w:t>
      </w:r>
      <w:r w:rsidR="00A441B6" w:rsidRPr="00EB1DA3">
        <w:rPr>
          <w:rFonts w:ascii="Arial" w:hAnsi="Arial" w:cs="Arial"/>
          <w:sz w:val="20"/>
          <w:u w:val="none"/>
        </w:rPr>
        <w:t xml:space="preserve">conomic </w:t>
      </w:r>
      <w:r w:rsidR="00693925" w:rsidRPr="00EB1DA3">
        <w:rPr>
          <w:rFonts w:ascii="Arial" w:hAnsi="Arial" w:cs="Arial"/>
          <w:sz w:val="20"/>
          <w:u w:val="none"/>
        </w:rPr>
        <w:t xml:space="preserve">outlook </w:t>
      </w:r>
    </w:p>
    <w:p w:rsidR="00D84F29" w:rsidRPr="00EB1DA3" w:rsidRDefault="00100D3B" w:rsidP="00EB1DA3">
      <w:pPr>
        <w:rPr>
          <w:rFonts w:ascii="Arial" w:hAnsi="Arial" w:cs="Arial"/>
          <w:sz w:val="20"/>
        </w:rPr>
      </w:pPr>
      <w:r w:rsidRPr="00EB1DA3">
        <w:rPr>
          <w:rFonts w:ascii="Arial" w:hAnsi="Arial" w:cs="Arial"/>
          <w:sz w:val="20"/>
        </w:rPr>
        <w:t xml:space="preserve">The South African economy rebounded strongly from the pandemic in 2021, </w:t>
      </w:r>
      <w:r w:rsidR="00F876EA" w:rsidRPr="00EB1DA3">
        <w:rPr>
          <w:rFonts w:ascii="Arial" w:hAnsi="Arial" w:cs="Arial"/>
          <w:sz w:val="20"/>
        </w:rPr>
        <w:t xml:space="preserve">with </w:t>
      </w:r>
      <w:r w:rsidR="00480426" w:rsidRPr="00EB1DA3">
        <w:rPr>
          <w:rFonts w:ascii="Arial" w:hAnsi="Arial" w:cs="Arial"/>
          <w:sz w:val="20"/>
        </w:rPr>
        <w:t>Gross Domestic Growth (</w:t>
      </w:r>
      <w:r w:rsidR="00F876EA" w:rsidRPr="00EB1DA3">
        <w:rPr>
          <w:rFonts w:ascii="Arial" w:hAnsi="Arial" w:cs="Arial"/>
          <w:sz w:val="20"/>
        </w:rPr>
        <w:t>GDP</w:t>
      </w:r>
      <w:r w:rsidR="00480426" w:rsidRPr="00EB1DA3">
        <w:rPr>
          <w:rFonts w:ascii="Arial" w:hAnsi="Arial" w:cs="Arial"/>
          <w:sz w:val="20"/>
        </w:rPr>
        <w:t>)</w:t>
      </w:r>
      <w:r w:rsidR="00F876EA" w:rsidRPr="00EB1DA3">
        <w:rPr>
          <w:rFonts w:ascii="Arial" w:hAnsi="Arial" w:cs="Arial"/>
          <w:sz w:val="20"/>
        </w:rPr>
        <w:t xml:space="preserve"> growth averaging</w:t>
      </w:r>
      <w:r w:rsidRPr="00EB1DA3">
        <w:rPr>
          <w:rFonts w:ascii="Arial" w:hAnsi="Arial" w:cs="Arial"/>
          <w:sz w:val="20"/>
        </w:rPr>
        <w:t xml:space="preserve"> 4.8 per cent</w:t>
      </w:r>
      <w:r w:rsidR="00F876EA" w:rsidRPr="00EB1DA3">
        <w:rPr>
          <w:rFonts w:ascii="Arial" w:hAnsi="Arial" w:cs="Arial"/>
          <w:sz w:val="20"/>
        </w:rPr>
        <w:t xml:space="preserve">, despite the </w:t>
      </w:r>
      <w:r w:rsidR="001708C0" w:rsidRPr="00EB1DA3">
        <w:rPr>
          <w:rFonts w:ascii="Arial" w:hAnsi="Arial" w:cs="Arial"/>
          <w:sz w:val="20"/>
        </w:rPr>
        <w:t>impact of the</w:t>
      </w:r>
      <w:r w:rsidRPr="00EB1DA3">
        <w:rPr>
          <w:rFonts w:ascii="Arial" w:hAnsi="Arial" w:cs="Arial"/>
          <w:sz w:val="20"/>
        </w:rPr>
        <w:t xml:space="preserve"> July </w:t>
      </w:r>
      <w:r w:rsidR="00F876EA" w:rsidRPr="00EB1DA3">
        <w:rPr>
          <w:rFonts w:ascii="Arial" w:hAnsi="Arial" w:cs="Arial"/>
          <w:sz w:val="20"/>
        </w:rPr>
        <w:t xml:space="preserve">2021 </w:t>
      </w:r>
      <w:r w:rsidRPr="00EB1DA3">
        <w:rPr>
          <w:rFonts w:ascii="Arial" w:hAnsi="Arial" w:cs="Arial"/>
          <w:sz w:val="20"/>
        </w:rPr>
        <w:t>unrest</w:t>
      </w:r>
      <w:r w:rsidR="007E5101" w:rsidRPr="00EB1DA3">
        <w:rPr>
          <w:rFonts w:ascii="Arial" w:hAnsi="Arial" w:cs="Arial"/>
          <w:sz w:val="20"/>
        </w:rPr>
        <w:t xml:space="preserve">, </w:t>
      </w:r>
      <w:r w:rsidR="00701B4E" w:rsidRPr="00EB1DA3">
        <w:rPr>
          <w:rFonts w:ascii="Arial" w:hAnsi="Arial" w:cs="Arial"/>
          <w:sz w:val="20"/>
        </w:rPr>
        <w:t>inadequate electricity supply</w:t>
      </w:r>
      <w:r w:rsidR="007E5101" w:rsidRPr="00EB1DA3">
        <w:rPr>
          <w:rFonts w:ascii="Arial" w:hAnsi="Arial" w:cs="Arial"/>
          <w:sz w:val="20"/>
        </w:rPr>
        <w:t xml:space="preserve"> and a contraction in the third quarter of 2021, resulting from a new wave of COVID-19</w:t>
      </w:r>
      <w:r w:rsidR="00F876EA" w:rsidRPr="00EB1DA3">
        <w:rPr>
          <w:rFonts w:ascii="Arial" w:hAnsi="Arial" w:cs="Arial"/>
          <w:sz w:val="20"/>
        </w:rPr>
        <w:t xml:space="preserve">. </w:t>
      </w:r>
      <w:r w:rsidRPr="00EB1DA3">
        <w:rPr>
          <w:rFonts w:ascii="Arial" w:hAnsi="Arial" w:cs="Arial"/>
          <w:sz w:val="20"/>
        </w:rPr>
        <w:t xml:space="preserve">In line with the global economic </w:t>
      </w:r>
      <w:r w:rsidR="00803175" w:rsidRPr="00EB1DA3">
        <w:rPr>
          <w:rFonts w:ascii="Arial" w:hAnsi="Arial" w:cs="Arial"/>
          <w:sz w:val="20"/>
        </w:rPr>
        <w:t>developments</w:t>
      </w:r>
      <w:r w:rsidRPr="00EB1DA3">
        <w:rPr>
          <w:rFonts w:ascii="Arial" w:hAnsi="Arial" w:cs="Arial"/>
          <w:sz w:val="20"/>
        </w:rPr>
        <w:t xml:space="preserve">, </w:t>
      </w:r>
      <w:r w:rsidR="00F876EA" w:rsidRPr="00EB1DA3">
        <w:rPr>
          <w:rFonts w:ascii="Arial" w:hAnsi="Arial" w:cs="Arial"/>
          <w:sz w:val="20"/>
        </w:rPr>
        <w:t>NT</w:t>
      </w:r>
      <w:r w:rsidRPr="00EB1DA3">
        <w:rPr>
          <w:rFonts w:ascii="Arial" w:hAnsi="Arial" w:cs="Arial"/>
          <w:sz w:val="20"/>
        </w:rPr>
        <w:t xml:space="preserve"> expects the growth rate to decline to </w:t>
      </w:r>
      <w:r w:rsidR="00F876EA" w:rsidRPr="00EB1DA3">
        <w:rPr>
          <w:rFonts w:ascii="Arial" w:hAnsi="Arial" w:cs="Arial"/>
          <w:sz w:val="20"/>
        </w:rPr>
        <w:t>2.1</w:t>
      </w:r>
      <w:r w:rsidRPr="00EB1DA3">
        <w:rPr>
          <w:rFonts w:ascii="Arial" w:hAnsi="Arial" w:cs="Arial"/>
          <w:sz w:val="20"/>
        </w:rPr>
        <w:t xml:space="preserve"> per cent in 2022</w:t>
      </w:r>
      <w:r w:rsidR="00F876EA" w:rsidRPr="00EB1DA3">
        <w:rPr>
          <w:rFonts w:ascii="Arial" w:hAnsi="Arial" w:cs="Arial"/>
          <w:sz w:val="20"/>
        </w:rPr>
        <w:t xml:space="preserve"> and average</w:t>
      </w:r>
      <w:r w:rsidRPr="00EB1DA3">
        <w:rPr>
          <w:rFonts w:ascii="Arial" w:hAnsi="Arial" w:cs="Arial"/>
          <w:sz w:val="20"/>
        </w:rPr>
        <w:t xml:space="preserve"> 1.8 per cent </w:t>
      </w:r>
      <w:r w:rsidR="00F876EA" w:rsidRPr="00EB1DA3">
        <w:rPr>
          <w:rFonts w:ascii="Arial" w:hAnsi="Arial" w:cs="Arial"/>
          <w:sz w:val="20"/>
        </w:rPr>
        <w:t xml:space="preserve">over the </w:t>
      </w:r>
      <w:r w:rsidR="006174AA" w:rsidRPr="00EB1DA3">
        <w:rPr>
          <w:rFonts w:ascii="Arial" w:hAnsi="Arial" w:cs="Arial"/>
          <w:sz w:val="20"/>
        </w:rPr>
        <w:t>next three years</w:t>
      </w:r>
      <w:r w:rsidRPr="00EB1DA3">
        <w:rPr>
          <w:rFonts w:ascii="Arial" w:hAnsi="Arial" w:cs="Arial"/>
          <w:sz w:val="20"/>
        </w:rPr>
        <w:t>. The deceleration in growth from 2021 to 2022 is primarily a result of the fading rebound from the pandemic and decreasing export prices</w:t>
      </w:r>
      <w:r w:rsidR="001708C0" w:rsidRPr="00EB1DA3">
        <w:rPr>
          <w:rFonts w:ascii="Arial" w:hAnsi="Arial" w:cs="Arial"/>
          <w:sz w:val="20"/>
        </w:rPr>
        <w:t xml:space="preserve"> (2022 Budget Review)</w:t>
      </w:r>
      <w:r w:rsidRPr="00EB1DA3">
        <w:rPr>
          <w:rFonts w:ascii="Arial" w:hAnsi="Arial" w:cs="Arial"/>
          <w:sz w:val="20"/>
        </w:rPr>
        <w:t xml:space="preserve">. </w:t>
      </w:r>
    </w:p>
    <w:p w:rsidR="001B157B" w:rsidRPr="00EB1DA3" w:rsidRDefault="001708C0" w:rsidP="00EB1DA3">
      <w:pPr>
        <w:rPr>
          <w:rFonts w:ascii="Arial" w:hAnsi="Arial" w:cs="Arial"/>
          <w:sz w:val="20"/>
        </w:rPr>
      </w:pPr>
      <w:r w:rsidRPr="00EB1DA3">
        <w:rPr>
          <w:rFonts w:ascii="Arial" w:hAnsi="Arial" w:cs="Arial"/>
          <w:sz w:val="20"/>
        </w:rPr>
        <w:t xml:space="preserve">The medium-term growth outlook has improved moderately, with elevated uncertainty due to global and domestic risks. NT expects </w:t>
      </w:r>
      <w:r w:rsidR="00F876EA" w:rsidRPr="00EB1DA3">
        <w:rPr>
          <w:rFonts w:ascii="Arial" w:hAnsi="Arial" w:cs="Arial"/>
          <w:sz w:val="20"/>
        </w:rPr>
        <w:t xml:space="preserve">GDP growth over the medium term </w:t>
      </w:r>
      <w:r w:rsidRPr="00EB1DA3">
        <w:rPr>
          <w:rFonts w:ascii="Arial" w:hAnsi="Arial" w:cs="Arial"/>
          <w:sz w:val="20"/>
        </w:rPr>
        <w:t>to</w:t>
      </w:r>
      <w:r w:rsidR="00F876EA" w:rsidRPr="00EB1DA3">
        <w:rPr>
          <w:rFonts w:ascii="Arial" w:hAnsi="Arial" w:cs="Arial"/>
          <w:sz w:val="20"/>
        </w:rPr>
        <w:t xml:space="preserve"> be </w:t>
      </w:r>
      <w:r w:rsidR="00D84F29" w:rsidRPr="00EB1DA3">
        <w:rPr>
          <w:rFonts w:ascii="Arial" w:hAnsi="Arial" w:cs="Arial"/>
          <w:sz w:val="20"/>
        </w:rPr>
        <w:t>supported</w:t>
      </w:r>
      <w:r w:rsidR="00F876EA" w:rsidRPr="00EB1DA3">
        <w:rPr>
          <w:rFonts w:ascii="Arial" w:hAnsi="Arial" w:cs="Arial"/>
          <w:sz w:val="20"/>
        </w:rPr>
        <w:t xml:space="preserve"> by more rapid impl</w:t>
      </w:r>
      <w:r w:rsidR="00D84F29" w:rsidRPr="00EB1DA3">
        <w:rPr>
          <w:rFonts w:ascii="Arial" w:hAnsi="Arial" w:cs="Arial"/>
          <w:sz w:val="20"/>
        </w:rPr>
        <w:t xml:space="preserve">ementation of economic reforms and </w:t>
      </w:r>
      <w:r w:rsidR="00F876EA" w:rsidRPr="00EB1DA3">
        <w:rPr>
          <w:rFonts w:ascii="Arial" w:hAnsi="Arial" w:cs="Arial"/>
          <w:sz w:val="20"/>
        </w:rPr>
        <w:t>fiscal consolidation</w:t>
      </w:r>
      <w:r w:rsidR="00D84F29" w:rsidRPr="00EB1DA3">
        <w:rPr>
          <w:rFonts w:ascii="Arial" w:hAnsi="Arial" w:cs="Arial"/>
          <w:sz w:val="20"/>
        </w:rPr>
        <w:t xml:space="preserve">. </w:t>
      </w:r>
      <w:r w:rsidR="006F618E" w:rsidRPr="00EB1DA3">
        <w:rPr>
          <w:rFonts w:ascii="Arial" w:hAnsi="Arial" w:cs="Arial"/>
          <w:sz w:val="20"/>
        </w:rPr>
        <w:t xml:space="preserve">It was highlighted that the rating agencies remain concerned with the country’s ability to implement fiscal consolidation measures, and its high public debt and low economic growth. </w:t>
      </w:r>
      <w:r w:rsidR="00AD3275" w:rsidRPr="00EB1DA3">
        <w:rPr>
          <w:rFonts w:ascii="Arial" w:hAnsi="Arial" w:cs="Arial"/>
          <w:sz w:val="20"/>
        </w:rPr>
        <w:t>Significant risks to the outlook include the emergence of new COVID</w:t>
      </w:r>
      <w:r w:rsidR="00AD3275" w:rsidRPr="00EB1DA3">
        <w:rPr>
          <w:rFonts w:cs="Arial"/>
          <w:sz w:val="20"/>
        </w:rPr>
        <w:t>‐</w:t>
      </w:r>
      <w:r w:rsidR="00F876EA" w:rsidRPr="00EB1DA3">
        <w:rPr>
          <w:rFonts w:ascii="Arial" w:hAnsi="Arial" w:cs="Arial"/>
          <w:sz w:val="20"/>
        </w:rPr>
        <w:t>19 variants</w:t>
      </w:r>
      <w:r w:rsidR="00AD3275" w:rsidRPr="00EB1DA3">
        <w:rPr>
          <w:rFonts w:ascii="Arial" w:hAnsi="Arial" w:cs="Arial"/>
          <w:sz w:val="20"/>
        </w:rPr>
        <w:t xml:space="preserve">, rising </w:t>
      </w:r>
      <w:r w:rsidR="00F876EA" w:rsidRPr="00EB1DA3">
        <w:rPr>
          <w:rFonts w:ascii="Arial" w:hAnsi="Arial" w:cs="Arial"/>
          <w:sz w:val="20"/>
        </w:rPr>
        <w:t xml:space="preserve">global inflation, </w:t>
      </w:r>
      <w:r w:rsidR="00AD3275" w:rsidRPr="00EB1DA3">
        <w:rPr>
          <w:rFonts w:ascii="Arial" w:hAnsi="Arial" w:cs="Arial"/>
          <w:sz w:val="20"/>
        </w:rPr>
        <w:t xml:space="preserve">continued disruptions to </w:t>
      </w:r>
      <w:r w:rsidR="00F876EA" w:rsidRPr="00EB1DA3">
        <w:rPr>
          <w:rFonts w:ascii="Arial" w:hAnsi="Arial" w:cs="Arial"/>
          <w:sz w:val="20"/>
        </w:rPr>
        <w:t xml:space="preserve">the power supply, rising inflation and fiscal risks. </w:t>
      </w:r>
      <w:r w:rsidR="00ED16C9" w:rsidRPr="00EB1DA3">
        <w:rPr>
          <w:rFonts w:ascii="Arial" w:hAnsi="Arial" w:cs="Arial"/>
          <w:sz w:val="20"/>
        </w:rPr>
        <w:t>NT acknowledged that structural constraints have reduced potential economic growth for the past decade and remain an impediment to recovery.</w:t>
      </w:r>
    </w:p>
    <w:p w:rsidR="00693925" w:rsidRPr="00EB1DA3" w:rsidRDefault="00693925" w:rsidP="00EB1DA3">
      <w:pPr>
        <w:pStyle w:val="Caption"/>
        <w:spacing w:before="0" w:after="0"/>
        <w:rPr>
          <w:rFonts w:ascii="Arial" w:hAnsi="Arial" w:cs="Arial"/>
        </w:rPr>
      </w:pPr>
      <w:r w:rsidRPr="00EB1DA3">
        <w:rPr>
          <w:rFonts w:ascii="Arial" w:hAnsi="Arial" w:cs="Arial"/>
        </w:rPr>
        <w:t>Table 1:</w:t>
      </w:r>
      <w:r w:rsidR="00262FE3" w:rsidRPr="00EB1DA3">
        <w:rPr>
          <w:rFonts w:ascii="Arial" w:hAnsi="Arial" w:cs="Arial"/>
        </w:rPr>
        <w:t xml:space="preserve"> Macroeconomic </w:t>
      </w:r>
      <w:r w:rsidR="00D6331B" w:rsidRPr="00EB1DA3">
        <w:rPr>
          <w:rFonts w:ascii="Arial" w:hAnsi="Arial" w:cs="Arial"/>
        </w:rPr>
        <w:t xml:space="preserve">performance and </w:t>
      </w:r>
      <w:r w:rsidR="00262FE3" w:rsidRPr="00EB1DA3">
        <w:rPr>
          <w:rFonts w:ascii="Arial" w:hAnsi="Arial" w:cs="Arial"/>
        </w:rPr>
        <w:t>projections</w:t>
      </w:r>
    </w:p>
    <w:p w:rsidR="00E63D66" w:rsidRPr="00EB1DA3" w:rsidRDefault="00036777" w:rsidP="00EB1DA3">
      <w:pPr>
        <w:rPr>
          <w:rFonts w:ascii="Arial" w:hAnsi="Arial" w:cs="Arial"/>
          <w:noProof/>
          <w:sz w:val="20"/>
        </w:rPr>
      </w:pPr>
      <w:r w:rsidRPr="00EB1DA3">
        <w:rPr>
          <w:rFonts w:ascii="Arial" w:hAnsi="Arial" w:cs="Arial"/>
          <w:noProof/>
          <w:sz w:val="20"/>
        </w:rPr>
        <w:object w:dxaOrig="8952" w:dyaOrig="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143.4pt" o:ole="">
            <v:imagedata r:id="rId8" o:title=""/>
          </v:shape>
          <o:OLEObject Type="Embed" ProgID="Excel.Sheet.12" ShapeID="_x0000_i1025" DrawAspect="Content" ObjectID="_1708277210" r:id="rId9"/>
        </w:object>
      </w:r>
    </w:p>
    <w:p w:rsidR="00AD481B" w:rsidRPr="00EB1DA3" w:rsidRDefault="00AD481B" w:rsidP="00EB1DA3">
      <w:pPr>
        <w:rPr>
          <w:rFonts w:ascii="Arial" w:hAnsi="Arial" w:cs="Arial"/>
          <w:sz w:val="20"/>
        </w:rPr>
      </w:pPr>
      <w:r w:rsidRPr="00EB1DA3">
        <w:rPr>
          <w:rFonts w:ascii="Arial" w:hAnsi="Arial" w:cs="Arial"/>
          <w:sz w:val="20"/>
        </w:rPr>
        <w:t xml:space="preserve">Source: </w:t>
      </w:r>
      <w:r w:rsidR="00E63D66" w:rsidRPr="00EB1DA3">
        <w:rPr>
          <w:rFonts w:ascii="Arial" w:hAnsi="Arial" w:cs="Arial"/>
          <w:sz w:val="20"/>
        </w:rPr>
        <w:t>National Treasury</w:t>
      </w:r>
      <w:r w:rsidR="00262FE3" w:rsidRPr="00EB1DA3">
        <w:rPr>
          <w:rFonts w:ascii="Arial" w:hAnsi="Arial" w:cs="Arial"/>
          <w:sz w:val="20"/>
        </w:rPr>
        <w:t xml:space="preserve"> </w:t>
      </w:r>
    </w:p>
    <w:p w:rsidR="005B2DA1" w:rsidRPr="00EB1DA3" w:rsidRDefault="00B01D8D" w:rsidP="00EB1DA3">
      <w:pPr>
        <w:rPr>
          <w:rFonts w:ascii="Arial" w:hAnsi="Arial" w:cs="Arial"/>
          <w:sz w:val="20"/>
        </w:rPr>
      </w:pPr>
      <w:r w:rsidRPr="00EB1DA3">
        <w:rPr>
          <w:rFonts w:ascii="Arial" w:hAnsi="Arial" w:cs="Arial"/>
          <w:sz w:val="20"/>
        </w:rPr>
        <w:t xml:space="preserve">Table 1 above shows that </w:t>
      </w:r>
      <w:r w:rsidR="00581886" w:rsidRPr="00EB1DA3">
        <w:rPr>
          <w:rFonts w:ascii="Arial" w:hAnsi="Arial" w:cs="Arial"/>
          <w:sz w:val="20"/>
        </w:rPr>
        <w:t>the inflation rate</w:t>
      </w:r>
      <w:r w:rsidR="00AC5DF9" w:rsidRPr="00EB1DA3">
        <w:rPr>
          <w:rFonts w:ascii="Arial" w:hAnsi="Arial" w:cs="Arial"/>
          <w:sz w:val="20"/>
        </w:rPr>
        <w:t xml:space="preserve"> is expected to remain</w:t>
      </w:r>
      <w:r w:rsidR="00D93912" w:rsidRPr="00EB1DA3">
        <w:rPr>
          <w:rFonts w:ascii="Arial" w:hAnsi="Arial" w:cs="Arial"/>
          <w:sz w:val="20"/>
        </w:rPr>
        <w:t xml:space="preserve"> within the set target</w:t>
      </w:r>
      <w:r w:rsidRPr="00EB1DA3">
        <w:rPr>
          <w:rFonts w:ascii="Arial" w:hAnsi="Arial" w:cs="Arial"/>
          <w:sz w:val="20"/>
        </w:rPr>
        <w:t xml:space="preserve"> range of 3-6 per cent</w:t>
      </w:r>
      <w:r w:rsidR="00AC5DF9" w:rsidRPr="00EB1DA3">
        <w:rPr>
          <w:rFonts w:ascii="Arial" w:hAnsi="Arial" w:cs="Arial"/>
          <w:sz w:val="20"/>
        </w:rPr>
        <w:t xml:space="preserve"> over the </w:t>
      </w:r>
      <w:r w:rsidR="00581886" w:rsidRPr="00EB1DA3">
        <w:rPr>
          <w:rFonts w:ascii="Arial" w:hAnsi="Arial" w:cs="Arial"/>
          <w:sz w:val="20"/>
        </w:rPr>
        <w:t>medium term</w:t>
      </w:r>
      <w:r w:rsidR="00D93912" w:rsidRPr="00EB1DA3">
        <w:rPr>
          <w:rFonts w:ascii="Arial" w:hAnsi="Arial" w:cs="Arial"/>
          <w:sz w:val="20"/>
        </w:rPr>
        <w:t>.</w:t>
      </w:r>
      <w:r w:rsidR="00581886" w:rsidRPr="00EB1DA3">
        <w:rPr>
          <w:rFonts w:ascii="Arial" w:hAnsi="Arial" w:cs="Arial"/>
          <w:sz w:val="20"/>
        </w:rPr>
        <w:t xml:space="preserve"> </w:t>
      </w:r>
      <w:r w:rsidR="00AC5DF9" w:rsidRPr="00EB1DA3">
        <w:rPr>
          <w:rFonts w:ascii="Arial" w:hAnsi="Arial" w:cs="Arial"/>
          <w:sz w:val="20"/>
        </w:rPr>
        <w:t>Headline Consumer Price Inflation (CPI) averaged</w:t>
      </w:r>
      <w:r w:rsidR="00607A9C" w:rsidRPr="00EB1DA3">
        <w:rPr>
          <w:rFonts w:ascii="Arial" w:hAnsi="Arial" w:cs="Arial"/>
          <w:sz w:val="20"/>
        </w:rPr>
        <w:t xml:space="preserve"> 4.5 per cent in 2021 and is expected to increase to 4.8 per cent in 2022 and decline slightly to 4.4 per cent and 4.5 per cent in 2023 and 2024, respectively</w:t>
      </w:r>
      <w:r w:rsidR="00AC5DF9" w:rsidRPr="00EB1DA3">
        <w:rPr>
          <w:rFonts w:ascii="Arial" w:hAnsi="Arial" w:cs="Arial"/>
          <w:sz w:val="20"/>
        </w:rPr>
        <w:t>.</w:t>
      </w:r>
      <w:r w:rsidR="00AC5DF9" w:rsidRPr="00EB1DA3">
        <w:rPr>
          <w:rFonts w:ascii="Arial" w:eastAsia="Calibri" w:hAnsi="Arial" w:cs="Arial"/>
          <w:sz w:val="20"/>
          <w:lang w:val="en-ZA"/>
        </w:rPr>
        <w:t xml:space="preserve"> </w:t>
      </w:r>
      <w:r w:rsidR="00AC5DF9" w:rsidRPr="00EB1DA3">
        <w:rPr>
          <w:rFonts w:ascii="Arial" w:hAnsi="Arial" w:cs="Arial"/>
          <w:sz w:val="20"/>
        </w:rPr>
        <w:t xml:space="preserve">The risks to the inflation outlook are </w:t>
      </w:r>
      <w:r w:rsidR="0068635B" w:rsidRPr="00EB1DA3">
        <w:rPr>
          <w:rFonts w:ascii="Arial" w:hAnsi="Arial" w:cs="Arial"/>
          <w:sz w:val="20"/>
        </w:rPr>
        <w:t>elevated</w:t>
      </w:r>
      <w:r w:rsidR="00581886" w:rsidRPr="00EB1DA3">
        <w:rPr>
          <w:rFonts w:ascii="Arial" w:hAnsi="Arial" w:cs="Arial"/>
          <w:sz w:val="20"/>
        </w:rPr>
        <w:t xml:space="preserve"> </w:t>
      </w:r>
      <w:r w:rsidR="00AC5DF9" w:rsidRPr="00EB1DA3">
        <w:rPr>
          <w:rFonts w:ascii="Arial" w:hAnsi="Arial" w:cs="Arial"/>
          <w:sz w:val="20"/>
        </w:rPr>
        <w:t xml:space="preserve">due to </w:t>
      </w:r>
      <w:r w:rsidR="00581886" w:rsidRPr="00EB1DA3">
        <w:rPr>
          <w:rFonts w:ascii="Arial" w:hAnsi="Arial" w:cs="Arial"/>
          <w:sz w:val="20"/>
        </w:rPr>
        <w:t>increases in the price</w:t>
      </w:r>
      <w:r w:rsidR="0068635B" w:rsidRPr="00EB1DA3">
        <w:rPr>
          <w:rFonts w:ascii="Arial" w:hAnsi="Arial" w:cs="Arial"/>
          <w:sz w:val="20"/>
        </w:rPr>
        <w:t>s</w:t>
      </w:r>
      <w:r w:rsidR="00581886" w:rsidRPr="00EB1DA3">
        <w:rPr>
          <w:rFonts w:ascii="Arial" w:hAnsi="Arial" w:cs="Arial"/>
          <w:sz w:val="20"/>
        </w:rPr>
        <w:t xml:space="preserve"> of </w:t>
      </w:r>
      <w:r w:rsidR="00AC5DF9" w:rsidRPr="00EB1DA3">
        <w:rPr>
          <w:rFonts w:ascii="Arial" w:hAnsi="Arial" w:cs="Arial"/>
          <w:sz w:val="20"/>
        </w:rPr>
        <w:t xml:space="preserve">food, oil, electricity and other administered prices.  The </w:t>
      </w:r>
      <w:r w:rsidR="00603943" w:rsidRPr="00EB1DA3">
        <w:rPr>
          <w:rFonts w:ascii="Arial" w:hAnsi="Arial" w:cs="Arial"/>
          <w:sz w:val="20"/>
        </w:rPr>
        <w:t>South African Reserve Bank (</w:t>
      </w:r>
      <w:r w:rsidR="00AC5DF9" w:rsidRPr="00EB1DA3">
        <w:rPr>
          <w:rFonts w:ascii="Arial" w:hAnsi="Arial" w:cs="Arial"/>
          <w:sz w:val="20"/>
        </w:rPr>
        <w:t>SARB</w:t>
      </w:r>
      <w:r w:rsidR="00603943" w:rsidRPr="00EB1DA3">
        <w:rPr>
          <w:rFonts w:ascii="Arial" w:hAnsi="Arial" w:cs="Arial"/>
          <w:sz w:val="20"/>
        </w:rPr>
        <w:t>)</w:t>
      </w:r>
      <w:r w:rsidR="00AC5DF9" w:rsidRPr="00EB1DA3">
        <w:rPr>
          <w:rFonts w:ascii="Arial" w:hAnsi="Arial" w:cs="Arial"/>
          <w:sz w:val="20"/>
        </w:rPr>
        <w:t xml:space="preserve"> continued to tighten monetary policy</w:t>
      </w:r>
      <w:r w:rsidR="005B2DA1" w:rsidRPr="00EB1DA3">
        <w:rPr>
          <w:rFonts w:ascii="Arial" w:hAnsi="Arial" w:cs="Arial"/>
          <w:sz w:val="20"/>
        </w:rPr>
        <w:t>,</w:t>
      </w:r>
      <w:r w:rsidR="00AC5DF9" w:rsidRPr="00EB1DA3">
        <w:rPr>
          <w:rFonts w:ascii="Arial" w:hAnsi="Arial" w:cs="Arial"/>
          <w:sz w:val="20"/>
        </w:rPr>
        <w:t xml:space="preserve"> increasing the repo rate by a cumulative 50 basis points to 4 per cent in January 2022. </w:t>
      </w:r>
    </w:p>
    <w:p w:rsidR="00B46BD3" w:rsidRPr="00EB1DA3" w:rsidRDefault="005619E4" w:rsidP="00EB1DA3">
      <w:pPr>
        <w:rPr>
          <w:rFonts w:ascii="Arial" w:hAnsi="Arial" w:cs="Arial"/>
          <w:sz w:val="20"/>
          <w:lang w:val="en-US"/>
        </w:rPr>
      </w:pPr>
      <w:r w:rsidRPr="00EB1DA3">
        <w:rPr>
          <w:rFonts w:ascii="Arial" w:hAnsi="Arial" w:cs="Arial"/>
          <w:sz w:val="20"/>
          <w:lang w:val="en-US"/>
        </w:rPr>
        <w:t>NT highlighted that the initial recovery in economic growth during 2021 was not matched by higher employment or investment and that the slow take</w:t>
      </w:r>
      <w:r w:rsidRPr="00EB1DA3">
        <w:rPr>
          <w:rFonts w:cs="Arial"/>
          <w:sz w:val="20"/>
          <w:lang w:val="en-US"/>
        </w:rPr>
        <w:t>‐</w:t>
      </w:r>
      <w:r w:rsidRPr="00EB1DA3">
        <w:rPr>
          <w:rFonts w:ascii="Arial" w:hAnsi="Arial" w:cs="Arial"/>
          <w:sz w:val="20"/>
          <w:lang w:val="en-US"/>
        </w:rPr>
        <w:t>up of vaccinations leaves the country vulnerable to new waves of COVID</w:t>
      </w:r>
      <w:r w:rsidRPr="00EB1DA3">
        <w:rPr>
          <w:rFonts w:cs="Arial"/>
          <w:sz w:val="20"/>
          <w:lang w:val="en-US"/>
        </w:rPr>
        <w:t>‐</w:t>
      </w:r>
      <w:r w:rsidRPr="00EB1DA3">
        <w:rPr>
          <w:rFonts w:ascii="Arial" w:hAnsi="Arial" w:cs="Arial"/>
          <w:sz w:val="20"/>
          <w:lang w:val="en-US"/>
        </w:rPr>
        <w:t xml:space="preserve">19 infections. </w:t>
      </w:r>
      <w:r w:rsidR="00AD7A9A" w:rsidRPr="00EB1DA3">
        <w:rPr>
          <w:rFonts w:ascii="Arial" w:hAnsi="Arial" w:cs="Arial"/>
          <w:sz w:val="20"/>
          <w:lang w:val="en-US"/>
        </w:rPr>
        <w:t>The 2021</w:t>
      </w:r>
      <w:r w:rsidR="00F83467" w:rsidRPr="00EB1DA3">
        <w:rPr>
          <w:rFonts w:ascii="Arial" w:hAnsi="Arial" w:cs="Arial"/>
          <w:sz w:val="20"/>
          <w:lang w:val="en-US"/>
        </w:rPr>
        <w:t xml:space="preserve"> </w:t>
      </w:r>
      <w:r w:rsidR="00405987" w:rsidRPr="00EB1DA3">
        <w:rPr>
          <w:rFonts w:ascii="Arial" w:hAnsi="Arial" w:cs="Arial"/>
          <w:sz w:val="20"/>
          <w:lang w:val="en-US"/>
        </w:rPr>
        <w:t>t</w:t>
      </w:r>
      <w:r w:rsidRPr="00EB1DA3">
        <w:rPr>
          <w:rFonts w:ascii="Arial" w:hAnsi="Arial" w:cs="Arial"/>
          <w:sz w:val="20"/>
          <w:lang w:val="en-US"/>
        </w:rPr>
        <w:t>hird</w:t>
      </w:r>
      <w:r w:rsidR="00D40467" w:rsidRPr="00EB1DA3">
        <w:rPr>
          <w:rFonts w:ascii="Arial" w:hAnsi="Arial" w:cs="Arial"/>
          <w:sz w:val="20"/>
          <w:lang w:val="en-US"/>
        </w:rPr>
        <w:t xml:space="preserve"> Q</w:t>
      </w:r>
      <w:r w:rsidR="00264713" w:rsidRPr="00EB1DA3">
        <w:rPr>
          <w:rFonts w:ascii="Arial" w:hAnsi="Arial" w:cs="Arial"/>
          <w:sz w:val="20"/>
          <w:lang w:val="en-US"/>
        </w:rPr>
        <w:t>uarter</w:t>
      </w:r>
      <w:r w:rsidR="00405987" w:rsidRPr="00EB1DA3">
        <w:rPr>
          <w:rFonts w:ascii="Arial" w:hAnsi="Arial" w:cs="Arial"/>
          <w:sz w:val="20"/>
          <w:lang w:val="en-US"/>
        </w:rPr>
        <w:t>ly</w:t>
      </w:r>
      <w:r w:rsidR="00264713" w:rsidRPr="00EB1DA3">
        <w:rPr>
          <w:rFonts w:ascii="Arial" w:hAnsi="Arial" w:cs="Arial"/>
          <w:sz w:val="20"/>
          <w:lang w:val="en-US"/>
        </w:rPr>
        <w:t xml:space="preserve"> </w:t>
      </w:r>
      <w:r w:rsidR="00F83467" w:rsidRPr="00EB1DA3">
        <w:rPr>
          <w:rFonts w:ascii="Arial" w:hAnsi="Arial" w:cs="Arial"/>
          <w:sz w:val="20"/>
          <w:lang w:val="en-US"/>
        </w:rPr>
        <w:t>Labour Force Survey</w:t>
      </w:r>
      <w:r w:rsidR="00DF2EE6" w:rsidRPr="00EB1DA3">
        <w:rPr>
          <w:rFonts w:ascii="Arial" w:hAnsi="Arial" w:cs="Arial"/>
          <w:sz w:val="20"/>
          <w:lang w:val="en-US"/>
        </w:rPr>
        <w:t xml:space="preserve"> (QLFS)</w:t>
      </w:r>
      <w:r w:rsidR="00F83467" w:rsidRPr="00EB1DA3">
        <w:rPr>
          <w:rFonts w:ascii="Arial" w:hAnsi="Arial" w:cs="Arial"/>
          <w:sz w:val="20"/>
          <w:lang w:val="en-US"/>
        </w:rPr>
        <w:t xml:space="preserve"> from Statistics South Africa shows that </w:t>
      </w:r>
      <w:r w:rsidR="00120498" w:rsidRPr="00EB1DA3">
        <w:rPr>
          <w:rFonts w:ascii="Arial" w:hAnsi="Arial" w:cs="Arial"/>
          <w:sz w:val="20"/>
          <w:lang w:val="en-US"/>
        </w:rPr>
        <w:t xml:space="preserve">the </w:t>
      </w:r>
      <w:r w:rsidR="00120498" w:rsidRPr="00EB1DA3">
        <w:rPr>
          <w:rFonts w:ascii="Arial" w:hAnsi="Arial" w:cs="Arial"/>
          <w:sz w:val="20"/>
        </w:rPr>
        <w:t xml:space="preserve">number of </w:t>
      </w:r>
      <w:r w:rsidR="008C5A5A" w:rsidRPr="00EB1DA3">
        <w:rPr>
          <w:rFonts w:ascii="Arial" w:hAnsi="Arial" w:cs="Arial"/>
          <w:sz w:val="20"/>
        </w:rPr>
        <w:t>employed persons decreased by 660</w:t>
      </w:r>
      <w:r w:rsidR="00C53675" w:rsidRPr="00EB1DA3">
        <w:rPr>
          <w:rFonts w:ascii="Arial" w:hAnsi="Arial" w:cs="Arial"/>
          <w:sz w:val="20"/>
        </w:rPr>
        <w:t xml:space="preserve"> </w:t>
      </w:r>
      <w:r w:rsidR="00120498" w:rsidRPr="00EB1DA3">
        <w:rPr>
          <w:rFonts w:ascii="Arial" w:hAnsi="Arial" w:cs="Arial"/>
          <w:sz w:val="20"/>
        </w:rPr>
        <w:t xml:space="preserve">000 to </w:t>
      </w:r>
      <w:r w:rsidR="008C5A5A" w:rsidRPr="00EB1DA3">
        <w:rPr>
          <w:rFonts w:ascii="Arial" w:hAnsi="Arial" w:cs="Arial"/>
          <w:sz w:val="20"/>
        </w:rPr>
        <w:t>14.3</w:t>
      </w:r>
      <w:r w:rsidR="00120498" w:rsidRPr="00EB1DA3">
        <w:rPr>
          <w:rFonts w:ascii="Arial" w:hAnsi="Arial" w:cs="Arial"/>
          <w:sz w:val="20"/>
        </w:rPr>
        <w:t xml:space="preserve"> million</w:t>
      </w:r>
      <w:r w:rsidR="008C5A5A" w:rsidRPr="00EB1DA3">
        <w:rPr>
          <w:rFonts w:ascii="Arial" w:hAnsi="Arial" w:cs="Arial"/>
          <w:sz w:val="20"/>
        </w:rPr>
        <w:t>.</w:t>
      </w:r>
      <w:r w:rsidR="00120498" w:rsidRPr="00EB1DA3">
        <w:rPr>
          <w:rFonts w:ascii="Arial" w:hAnsi="Arial" w:cs="Arial"/>
          <w:sz w:val="20"/>
        </w:rPr>
        <w:t xml:space="preserve"> </w:t>
      </w:r>
      <w:r w:rsidR="000A6689" w:rsidRPr="00EB1DA3">
        <w:rPr>
          <w:rFonts w:ascii="Arial" w:hAnsi="Arial" w:cs="Arial"/>
          <w:sz w:val="20"/>
        </w:rPr>
        <w:t xml:space="preserve">The rate of </w:t>
      </w:r>
      <w:r w:rsidR="000A6689" w:rsidRPr="00EB1DA3">
        <w:rPr>
          <w:rFonts w:ascii="Arial" w:hAnsi="Arial" w:cs="Arial"/>
          <w:sz w:val="20"/>
          <w:lang w:val="en-US"/>
        </w:rPr>
        <w:t>u</w:t>
      </w:r>
      <w:r w:rsidR="00DF2EE6" w:rsidRPr="00EB1DA3">
        <w:rPr>
          <w:rFonts w:ascii="Arial" w:hAnsi="Arial" w:cs="Arial"/>
          <w:sz w:val="20"/>
          <w:lang w:val="en-US"/>
        </w:rPr>
        <w:t xml:space="preserve">nemployment measured </w:t>
      </w:r>
      <w:r w:rsidR="008C5A5A" w:rsidRPr="00EB1DA3">
        <w:rPr>
          <w:rFonts w:ascii="Arial" w:hAnsi="Arial" w:cs="Arial"/>
          <w:sz w:val="20"/>
          <w:lang w:val="en-US"/>
        </w:rPr>
        <w:t xml:space="preserve">34.9 per cent or 7.6 million persons, </w:t>
      </w:r>
      <w:r w:rsidR="00DF2EE6" w:rsidRPr="00EB1DA3">
        <w:rPr>
          <w:rFonts w:ascii="Arial" w:hAnsi="Arial" w:cs="Arial"/>
          <w:sz w:val="20"/>
        </w:rPr>
        <w:t>the highest recorded since the start of the QLFS in 2008</w:t>
      </w:r>
      <w:r w:rsidR="00DF2EE6" w:rsidRPr="00EB1DA3">
        <w:rPr>
          <w:rFonts w:ascii="Arial" w:hAnsi="Arial" w:cs="Arial"/>
          <w:sz w:val="20"/>
          <w:lang w:val="en-US"/>
        </w:rPr>
        <w:t xml:space="preserve">. </w:t>
      </w:r>
      <w:r w:rsidR="008C5A5A" w:rsidRPr="00EB1DA3">
        <w:rPr>
          <w:rFonts w:ascii="Arial" w:hAnsi="Arial" w:cs="Arial"/>
          <w:sz w:val="20"/>
          <w:lang w:val="en-US"/>
        </w:rPr>
        <w:t xml:space="preserve">The </w:t>
      </w:r>
      <w:r w:rsidR="009C2FA6" w:rsidRPr="00EB1DA3">
        <w:rPr>
          <w:rFonts w:ascii="Arial" w:hAnsi="Arial" w:cs="Arial"/>
          <w:sz w:val="20"/>
          <w:lang w:val="en-US"/>
        </w:rPr>
        <w:t>low-skilled w</w:t>
      </w:r>
      <w:r w:rsidR="000A6689" w:rsidRPr="00EB1DA3">
        <w:rPr>
          <w:rFonts w:ascii="Arial" w:hAnsi="Arial" w:cs="Arial"/>
          <w:sz w:val="20"/>
          <w:lang w:val="en-US"/>
        </w:rPr>
        <w:t>orkers</w:t>
      </w:r>
      <w:r w:rsidR="008C5A5A" w:rsidRPr="00EB1DA3">
        <w:rPr>
          <w:rFonts w:ascii="Arial" w:hAnsi="Arial" w:cs="Arial"/>
          <w:sz w:val="20"/>
          <w:lang w:val="en-US"/>
        </w:rPr>
        <w:t xml:space="preserve"> are severely affected and this deepens the</w:t>
      </w:r>
      <w:r w:rsidR="009C2FA6" w:rsidRPr="00EB1DA3">
        <w:rPr>
          <w:rFonts w:ascii="Arial" w:hAnsi="Arial" w:cs="Arial"/>
          <w:sz w:val="20"/>
          <w:lang w:val="en-US"/>
        </w:rPr>
        <w:t xml:space="preserve"> existing inequalities across age, education, gender and race.</w:t>
      </w:r>
      <w:r w:rsidR="00272991" w:rsidRPr="00EB1DA3">
        <w:rPr>
          <w:rFonts w:ascii="Arial" w:hAnsi="Arial" w:cs="Arial"/>
          <w:sz w:val="20"/>
        </w:rPr>
        <w:t xml:space="preserve"> </w:t>
      </w:r>
    </w:p>
    <w:p w:rsidR="00693925" w:rsidRPr="00EB1DA3" w:rsidRDefault="00241B4E" w:rsidP="00EB1DA3">
      <w:pPr>
        <w:pStyle w:val="Heading3"/>
        <w:spacing w:before="0" w:line="240" w:lineRule="auto"/>
        <w:rPr>
          <w:rFonts w:ascii="Arial" w:hAnsi="Arial" w:cs="Arial"/>
          <w:sz w:val="20"/>
          <w:u w:val="none"/>
        </w:rPr>
      </w:pPr>
      <w:r w:rsidRPr="00EB1DA3">
        <w:rPr>
          <w:rFonts w:ascii="Arial" w:hAnsi="Arial" w:cs="Arial"/>
          <w:sz w:val="20"/>
          <w:u w:val="none"/>
        </w:rPr>
        <w:t>Fiscal f</w:t>
      </w:r>
      <w:r w:rsidR="00693925" w:rsidRPr="00EB1DA3">
        <w:rPr>
          <w:rFonts w:ascii="Arial" w:hAnsi="Arial" w:cs="Arial"/>
          <w:sz w:val="20"/>
          <w:u w:val="none"/>
        </w:rPr>
        <w:t xml:space="preserve">ramework </w:t>
      </w:r>
      <w:r w:rsidRPr="00EB1DA3">
        <w:rPr>
          <w:rFonts w:ascii="Arial" w:hAnsi="Arial" w:cs="Arial"/>
          <w:sz w:val="20"/>
          <w:u w:val="none"/>
        </w:rPr>
        <w:t>and revenue proposals</w:t>
      </w:r>
    </w:p>
    <w:p w:rsidR="00C83DA3" w:rsidRPr="00EB1DA3" w:rsidRDefault="003240C5" w:rsidP="00EB1DA3">
      <w:pPr>
        <w:rPr>
          <w:rFonts w:ascii="Arial" w:hAnsi="Arial" w:cs="Arial"/>
          <w:sz w:val="20"/>
        </w:rPr>
      </w:pPr>
      <w:r w:rsidRPr="00EB1DA3">
        <w:rPr>
          <w:rFonts w:ascii="Arial" w:hAnsi="Arial" w:cs="Arial"/>
          <w:sz w:val="20"/>
        </w:rPr>
        <w:t xml:space="preserve">According to </w:t>
      </w:r>
      <w:r w:rsidR="00653325" w:rsidRPr="00EB1DA3">
        <w:rPr>
          <w:rFonts w:ascii="Arial" w:hAnsi="Arial" w:cs="Arial"/>
          <w:sz w:val="20"/>
        </w:rPr>
        <w:t xml:space="preserve">NT, </w:t>
      </w:r>
      <w:r w:rsidRPr="00EB1DA3">
        <w:rPr>
          <w:rFonts w:ascii="Arial" w:hAnsi="Arial" w:cs="Arial"/>
          <w:sz w:val="20"/>
        </w:rPr>
        <w:t xml:space="preserve">the </w:t>
      </w:r>
      <w:r w:rsidR="00653325" w:rsidRPr="00EB1DA3">
        <w:rPr>
          <w:rFonts w:ascii="Arial" w:hAnsi="Arial" w:cs="Arial"/>
          <w:sz w:val="20"/>
        </w:rPr>
        <w:t>m</w:t>
      </w:r>
      <w:r w:rsidR="00C83DA3" w:rsidRPr="00EB1DA3">
        <w:rPr>
          <w:rFonts w:ascii="Arial" w:hAnsi="Arial" w:cs="Arial"/>
          <w:sz w:val="20"/>
        </w:rPr>
        <w:t>edium</w:t>
      </w:r>
      <w:r w:rsidR="00C83DA3" w:rsidRPr="00EB1DA3">
        <w:rPr>
          <w:rFonts w:cs="Arial"/>
          <w:sz w:val="20"/>
        </w:rPr>
        <w:t>‐</w:t>
      </w:r>
      <w:r w:rsidR="00C83DA3" w:rsidRPr="00EB1DA3">
        <w:rPr>
          <w:rFonts w:ascii="Arial" w:hAnsi="Arial" w:cs="Arial"/>
          <w:sz w:val="20"/>
        </w:rPr>
        <w:t>term fiscal policy is focused on reducing the budget deficit and stabilising the debt</w:t>
      </w:r>
      <w:r w:rsidR="00C83DA3" w:rsidRPr="00EB1DA3">
        <w:rPr>
          <w:rFonts w:cs="Arial"/>
          <w:sz w:val="20"/>
        </w:rPr>
        <w:t>‐</w:t>
      </w:r>
      <w:r w:rsidR="00C83DA3" w:rsidRPr="00EB1DA3">
        <w:rPr>
          <w:rFonts w:ascii="Arial" w:hAnsi="Arial" w:cs="Arial"/>
          <w:sz w:val="20"/>
        </w:rPr>
        <w:t>to</w:t>
      </w:r>
      <w:r w:rsidR="00C83DA3" w:rsidRPr="00EB1DA3">
        <w:rPr>
          <w:rFonts w:cs="Arial"/>
          <w:sz w:val="20"/>
        </w:rPr>
        <w:t>‐</w:t>
      </w:r>
      <w:r w:rsidR="00C83DA3" w:rsidRPr="00EB1DA3">
        <w:rPr>
          <w:rFonts w:ascii="Arial" w:hAnsi="Arial" w:cs="Arial"/>
          <w:sz w:val="20"/>
        </w:rPr>
        <w:t>GDP ratio.</w:t>
      </w:r>
    </w:p>
    <w:p w:rsidR="007718B3" w:rsidRPr="00EB1DA3" w:rsidRDefault="00FC68B4" w:rsidP="00EB1DA3">
      <w:pPr>
        <w:rPr>
          <w:rFonts w:ascii="Arial" w:hAnsi="Arial" w:cs="Arial"/>
          <w:sz w:val="20"/>
        </w:rPr>
      </w:pPr>
      <w:r w:rsidRPr="00EB1DA3">
        <w:rPr>
          <w:rFonts w:ascii="Arial" w:hAnsi="Arial" w:cs="Arial"/>
          <w:sz w:val="20"/>
        </w:rPr>
        <w:t xml:space="preserve">Table 2 below shows that the consolidated revenue is expected to </w:t>
      </w:r>
      <w:r w:rsidR="00CF06DE" w:rsidRPr="00EB1DA3">
        <w:rPr>
          <w:rFonts w:ascii="Arial" w:hAnsi="Arial" w:cs="Arial"/>
          <w:sz w:val="20"/>
        </w:rPr>
        <w:t>increase</w:t>
      </w:r>
      <w:r w:rsidR="00B6598C" w:rsidRPr="00EB1DA3">
        <w:rPr>
          <w:rFonts w:ascii="Arial" w:hAnsi="Arial" w:cs="Arial"/>
          <w:sz w:val="20"/>
        </w:rPr>
        <w:t xml:space="preserve"> from R1.72</w:t>
      </w:r>
      <w:r w:rsidRPr="00EB1DA3">
        <w:rPr>
          <w:rFonts w:ascii="Arial" w:hAnsi="Arial" w:cs="Arial"/>
          <w:sz w:val="20"/>
        </w:rPr>
        <w:t xml:space="preserve"> trillion </w:t>
      </w:r>
      <w:r w:rsidR="00B6598C" w:rsidRPr="00EB1DA3">
        <w:rPr>
          <w:rFonts w:ascii="Arial" w:hAnsi="Arial" w:cs="Arial"/>
          <w:sz w:val="20"/>
        </w:rPr>
        <w:t>in 2021/22</w:t>
      </w:r>
      <w:r w:rsidRPr="00EB1DA3">
        <w:rPr>
          <w:rFonts w:ascii="Arial" w:hAnsi="Arial" w:cs="Arial"/>
          <w:sz w:val="20"/>
        </w:rPr>
        <w:t xml:space="preserve"> to</w:t>
      </w:r>
      <w:r w:rsidR="00A977D9" w:rsidRPr="00EB1DA3">
        <w:rPr>
          <w:rFonts w:ascii="Arial" w:hAnsi="Arial" w:cs="Arial"/>
          <w:sz w:val="20"/>
        </w:rPr>
        <w:t xml:space="preserve"> R1.</w:t>
      </w:r>
      <w:r w:rsidR="00B6598C" w:rsidRPr="00EB1DA3">
        <w:rPr>
          <w:rFonts w:ascii="Arial" w:hAnsi="Arial" w:cs="Arial"/>
          <w:sz w:val="20"/>
        </w:rPr>
        <w:t>77</w:t>
      </w:r>
      <w:r w:rsidRPr="00EB1DA3">
        <w:rPr>
          <w:rFonts w:ascii="Arial" w:hAnsi="Arial" w:cs="Arial"/>
          <w:sz w:val="20"/>
        </w:rPr>
        <w:t xml:space="preserve"> trillion in </w:t>
      </w:r>
      <w:r w:rsidR="006E3D7A" w:rsidRPr="00EB1DA3">
        <w:rPr>
          <w:rFonts w:ascii="Arial" w:hAnsi="Arial" w:cs="Arial"/>
          <w:sz w:val="20"/>
        </w:rPr>
        <w:t>202</w:t>
      </w:r>
      <w:r w:rsidR="00B6598C" w:rsidRPr="00EB1DA3">
        <w:rPr>
          <w:rFonts w:ascii="Arial" w:hAnsi="Arial" w:cs="Arial"/>
          <w:sz w:val="20"/>
        </w:rPr>
        <w:t>2/23</w:t>
      </w:r>
      <w:r w:rsidR="00A977D9" w:rsidRPr="00EB1DA3">
        <w:rPr>
          <w:rFonts w:ascii="Arial" w:hAnsi="Arial" w:cs="Arial"/>
          <w:sz w:val="20"/>
        </w:rPr>
        <w:t>, reaching R1.</w:t>
      </w:r>
      <w:r w:rsidR="006E3D7A" w:rsidRPr="00EB1DA3">
        <w:rPr>
          <w:rFonts w:ascii="Arial" w:hAnsi="Arial" w:cs="Arial"/>
          <w:sz w:val="20"/>
        </w:rPr>
        <w:t>98</w:t>
      </w:r>
      <w:r w:rsidR="00CF06DE" w:rsidRPr="00EB1DA3">
        <w:rPr>
          <w:rFonts w:ascii="Arial" w:hAnsi="Arial" w:cs="Arial"/>
          <w:sz w:val="20"/>
        </w:rPr>
        <w:t xml:space="preserve"> trillion in</w:t>
      </w:r>
      <w:r w:rsidR="006E3D7A" w:rsidRPr="00EB1DA3">
        <w:rPr>
          <w:rFonts w:ascii="Arial" w:hAnsi="Arial" w:cs="Arial"/>
          <w:sz w:val="20"/>
        </w:rPr>
        <w:t xml:space="preserve"> 2024/25</w:t>
      </w:r>
      <w:r w:rsidR="00CF06DE" w:rsidRPr="00EB1DA3">
        <w:rPr>
          <w:rFonts w:ascii="Arial" w:hAnsi="Arial" w:cs="Arial"/>
          <w:sz w:val="20"/>
        </w:rPr>
        <w:t>.</w:t>
      </w:r>
      <w:r w:rsidR="00C83DA3" w:rsidRPr="00EB1DA3">
        <w:rPr>
          <w:rFonts w:ascii="Arial" w:hAnsi="Arial" w:cs="Arial"/>
          <w:sz w:val="20"/>
        </w:rPr>
        <w:t xml:space="preserve"> </w:t>
      </w:r>
      <w:r w:rsidR="007718B3" w:rsidRPr="00EB1DA3">
        <w:rPr>
          <w:rFonts w:ascii="Arial" w:hAnsi="Arial" w:cs="Arial"/>
          <w:sz w:val="20"/>
        </w:rPr>
        <w:t>A surge in commodity prices has significantly improved the in</w:t>
      </w:r>
      <w:r w:rsidR="007718B3" w:rsidRPr="00EB1DA3">
        <w:rPr>
          <w:rFonts w:cs="Arial"/>
          <w:sz w:val="20"/>
        </w:rPr>
        <w:t>‐</w:t>
      </w:r>
      <w:r w:rsidR="007718B3" w:rsidRPr="00EB1DA3">
        <w:rPr>
          <w:rFonts w:ascii="Arial" w:hAnsi="Arial" w:cs="Arial"/>
          <w:sz w:val="20"/>
        </w:rPr>
        <w:t>year revenue outlook even compared with pre</w:t>
      </w:r>
      <w:r w:rsidR="007718B3" w:rsidRPr="00EB1DA3">
        <w:rPr>
          <w:rFonts w:cs="Arial"/>
          <w:sz w:val="20"/>
        </w:rPr>
        <w:t>‐</w:t>
      </w:r>
      <w:r w:rsidR="007718B3" w:rsidRPr="00EB1DA3">
        <w:rPr>
          <w:rFonts w:ascii="Arial" w:hAnsi="Arial" w:cs="Arial"/>
          <w:sz w:val="20"/>
        </w:rPr>
        <w:t xml:space="preserve">pandemic expectations. NT acknowledged that a portion of the positive effect of commodity prices on tax revenue is likely to be temporary. Overall, tax revenue projections are higher than the 2021 </w:t>
      </w:r>
      <w:r w:rsidR="00B95446" w:rsidRPr="00EB1DA3">
        <w:rPr>
          <w:rFonts w:ascii="Arial" w:hAnsi="Arial" w:cs="Arial"/>
          <w:sz w:val="20"/>
        </w:rPr>
        <w:t>Medium Term Budget Policy Statement (</w:t>
      </w:r>
      <w:r w:rsidR="007718B3" w:rsidRPr="00EB1DA3">
        <w:rPr>
          <w:rFonts w:ascii="Arial" w:hAnsi="Arial" w:cs="Arial"/>
          <w:sz w:val="20"/>
        </w:rPr>
        <w:t>MTBPS</w:t>
      </w:r>
      <w:r w:rsidR="00B95446" w:rsidRPr="00EB1DA3">
        <w:rPr>
          <w:rFonts w:ascii="Arial" w:hAnsi="Arial" w:cs="Arial"/>
          <w:sz w:val="20"/>
        </w:rPr>
        <w:t>)</w:t>
      </w:r>
      <w:r w:rsidR="007718B3" w:rsidRPr="00EB1DA3">
        <w:rPr>
          <w:rFonts w:ascii="Arial" w:hAnsi="Arial" w:cs="Arial"/>
          <w:sz w:val="20"/>
        </w:rPr>
        <w:t xml:space="preserve"> estimates by R71 billion in 2022/23, R86.3 billion in 2023/24 and R92.4 billion in 2024/25. The upward revision reflects improvements in Corporate Income Tax (CIT), Personal Income Tax (PIT), Value Added Tax (VAT), fuel levies, customs du</w:t>
      </w:r>
      <w:r w:rsidR="00F75241" w:rsidRPr="00EB1DA3">
        <w:rPr>
          <w:rFonts w:ascii="Arial" w:hAnsi="Arial" w:cs="Arial"/>
          <w:sz w:val="20"/>
        </w:rPr>
        <w:t>ties and specific excise duties, meaning its broad-based.</w:t>
      </w:r>
    </w:p>
    <w:p w:rsidR="00ED471D" w:rsidRPr="00EB1DA3" w:rsidRDefault="00737967" w:rsidP="00EB1DA3">
      <w:pPr>
        <w:rPr>
          <w:rFonts w:ascii="Arial" w:hAnsi="Arial" w:cs="Arial"/>
          <w:sz w:val="20"/>
        </w:rPr>
      </w:pPr>
      <w:r w:rsidRPr="00EB1DA3">
        <w:rPr>
          <w:rFonts w:ascii="Arial" w:hAnsi="Arial" w:cs="Arial"/>
          <w:sz w:val="20"/>
        </w:rPr>
        <w:t xml:space="preserve">The </w:t>
      </w:r>
      <w:r w:rsidR="007353CD" w:rsidRPr="00EB1DA3">
        <w:rPr>
          <w:rFonts w:ascii="Arial" w:hAnsi="Arial" w:cs="Arial"/>
          <w:sz w:val="20"/>
        </w:rPr>
        <w:t>c</w:t>
      </w:r>
      <w:r w:rsidR="00FC68B4" w:rsidRPr="00EB1DA3">
        <w:rPr>
          <w:rFonts w:ascii="Arial" w:hAnsi="Arial" w:cs="Arial"/>
          <w:sz w:val="20"/>
        </w:rPr>
        <w:t xml:space="preserve">onsolidated expenditure as a percentage </w:t>
      </w:r>
      <w:r w:rsidR="00BB433B" w:rsidRPr="00EB1DA3">
        <w:rPr>
          <w:rFonts w:ascii="Arial" w:hAnsi="Arial" w:cs="Arial"/>
          <w:sz w:val="20"/>
        </w:rPr>
        <w:t xml:space="preserve">of GDP is expected </w:t>
      </w:r>
      <w:r w:rsidR="00FC68B4" w:rsidRPr="00EB1DA3">
        <w:rPr>
          <w:rFonts w:ascii="Arial" w:hAnsi="Arial" w:cs="Arial"/>
          <w:sz w:val="20"/>
        </w:rPr>
        <w:t xml:space="preserve">to </w:t>
      </w:r>
      <w:r w:rsidR="00AF06EC" w:rsidRPr="00EB1DA3">
        <w:rPr>
          <w:rFonts w:ascii="Arial" w:hAnsi="Arial" w:cs="Arial"/>
          <w:sz w:val="20"/>
        </w:rPr>
        <w:t>in</w:t>
      </w:r>
      <w:r w:rsidR="00FC68B4" w:rsidRPr="00EB1DA3">
        <w:rPr>
          <w:rFonts w:ascii="Arial" w:hAnsi="Arial" w:cs="Arial"/>
          <w:sz w:val="20"/>
        </w:rPr>
        <w:t xml:space="preserve">crease from </w:t>
      </w:r>
      <w:r w:rsidR="00AF06EC" w:rsidRPr="00EB1DA3">
        <w:rPr>
          <w:rFonts w:ascii="Arial" w:hAnsi="Arial" w:cs="Arial"/>
          <w:sz w:val="20"/>
        </w:rPr>
        <w:t>33.2</w:t>
      </w:r>
      <w:r w:rsidR="00F2779B" w:rsidRPr="00EB1DA3">
        <w:rPr>
          <w:rFonts w:ascii="Arial" w:hAnsi="Arial" w:cs="Arial"/>
          <w:sz w:val="20"/>
        </w:rPr>
        <w:t xml:space="preserve"> per cent </w:t>
      </w:r>
      <w:r w:rsidR="0071289D" w:rsidRPr="00EB1DA3">
        <w:rPr>
          <w:rFonts w:ascii="Arial" w:hAnsi="Arial" w:cs="Arial"/>
          <w:sz w:val="20"/>
        </w:rPr>
        <w:t>(</w:t>
      </w:r>
      <w:r w:rsidR="00AF06EC" w:rsidRPr="00EB1DA3">
        <w:rPr>
          <w:rFonts w:ascii="Arial" w:hAnsi="Arial" w:cs="Arial"/>
          <w:sz w:val="20"/>
        </w:rPr>
        <w:t>R2.08</w:t>
      </w:r>
      <w:r w:rsidR="00F2779B" w:rsidRPr="00EB1DA3">
        <w:rPr>
          <w:rFonts w:ascii="Arial" w:hAnsi="Arial" w:cs="Arial"/>
          <w:sz w:val="20"/>
        </w:rPr>
        <w:t xml:space="preserve"> trillio</w:t>
      </w:r>
      <w:r w:rsidR="00A139C9" w:rsidRPr="00EB1DA3">
        <w:rPr>
          <w:rFonts w:ascii="Arial" w:hAnsi="Arial" w:cs="Arial"/>
          <w:sz w:val="20"/>
        </w:rPr>
        <w:t>n</w:t>
      </w:r>
      <w:r w:rsidR="00AF06EC" w:rsidRPr="00EB1DA3">
        <w:rPr>
          <w:rFonts w:ascii="Arial" w:hAnsi="Arial" w:cs="Arial"/>
          <w:sz w:val="20"/>
        </w:rPr>
        <w:t>) in 2021/22</w:t>
      </w:r>
      <w:r w:rsidR="0071289D" w:rsidRPr="00EB1DA3">
        <w:rPr>
          <w:rFonts w:ascii="Arial" w:hAnsi="Arial" w:cs="Arial"/>
          <w:sz w:val="20"/>
        </w:rPr>
        <w:t xml:space="preserve"> </w:t>
      </w:r>
      <w:r w:rsidR="00AF06EC" w:rsidRPr="00EB1DA3">
        <w:rPr>
          <w:rFonts w:ascii="Arial" w:hAnsi="Arial" w:cs="Arial"/>
          <w:sz w:val="20"/>
        </w:rPr>
        <w:t>to 33.5</w:t>
      </w:r>
      <w:r w:rsidR="000C66E2" w:rsidRPr="00EB1DA3">
        <w:rPr>
          <w:rFonts w:ascii="Arial" w:hAnsi="Arial" w:cs="Arial"/>
          <w:sz w:val="20"/>
        </w:rPr>
        <w:t xml:space="preserve"> per cent </w:t>
      </w:r>
      <w:r w:rsidR="00AF06EC" w:rsidRPr="00EB1DA3">
        <w:rPr>
          <w:rFonts w:ascii="Arial" w:hAnsi="Arial" w:cs="Arial"/>
          <w:sz w:val="20"/>
        </w:rPr>
        <w:t>(R2.16 trillion) in 2022/23</w:t>
      </w:r>
      <w:r w:rsidR="007932B5" w:rsidRPr="00EB1DA3">
        <w:rPr>
          <w:rFonts w:ascii="Arial" w:hAnsi="Arial" w:cs="Arial"/>
          <w:sz w:val="20"/>
        </w:rPr>
        <w:t>.</w:t>
      </w:r>
      <w:r w:rsidR="00DA4E4B" w:rsidRPr="00EB1DA3">
        <w:rPr>
          <w:rFonts w:ascii="Arial" w:hAnsi="Arial" w:cs="Arial"/>
          <w:sz w:val="20"/>
        </w:rPr>
        <w:t xml:space="preserve"> </w:t>
      </w:r>
      <w:r w:rsidR="007353CD" w:rsidRPr="00EB1DA3">
        <w:rPr>
          <w:rFonts w:ascii="Arial" w:hAnsi="Arial" w:cs="Arial"/>
          <w:sz w:val="20"/>
        </w:rPr>
        <w:t xml:space="preserve">Total consolidated government </w:t>
      </w:r>
      <w:r w:rsidR="007353CD" w:rsidRPr="00EB1DA3">
        <w:rPr>
          <w:rFonts w:ascii="Arial" w:hAnsi="Arial" w:cs="Arial"/>
          <w:sz w:val="20"/>
        </w:rPr>
        <w:lastRenderedPageBreak/>
        <w:t>spending will amount to R6.62 trillion over the next three years, and the social wage will take up 59.4 per cent of total non-interest spending over this period.</w:t>
      </w:r>
      <w:r w:rsidR="00ED471D" w:rsidRPr="00EB1DA3">
        <w:rPr>
          <w:rFonts w:ascii="Arial" w:hAnsi="Arial" w:cs="Arial"/>
          <w:sz w:val="20"/>
        </w:rPr>
        <w:t xml:space="preserve"> The largest increase (R260.5 billion) over the period 2012/13 and 2021/22 resulted from the introduction of fee-free higher education, health spending related to the COVID</w:t>
      </w:r>
      <w:r w:rsidR="00ED471D" w:rsidRPr="00EB1DA3">
        <w:rPr>
          <w:rFonts w:cs="Arial"/>
          <w:sz w:val="20"/>
        </w:rPr>
        <w:t>‐</w:t>
      </w:r>
      <w:r w:rsidR="00ED471D" w:rsidRPr="00EB1DA3">
        <w:rPr>
          <w:rFonts w:ascii="Arial" w:hAnsi="Arial" w:cs="Arial"/>
          <w:sz w:val="20"/>
        </w:rPr>
        <w:t>19 pandemic pressures, increased spending by the Unemployment Insurance Fund (UIF) as the rate of unemployment persistently increased, bailouts of State-Owned Entities (SOEs) and larger</w:t>
      </w:r>
      <w:r w:rsidR="00ED471D" w:rsidRPr="00EB1DA3">
        <w:rPr>
          <w:rFonts w:cs="Arial"/>
          <w:sz w:val="20"/>
        </w:rPr>
        <w:t>‐</w:t>
      </w:r>
      <w:r w:rsidR="00ED471D" w:rsidRPr="00EB1DA3">
        <w:rPr>
          <w:rFonts w:ascii="Arial" w:hAnsi="Arial" w:cs="Arial"/>
          <w:sz w:val="20"/>
        </w:rPr>
        <w:t>than</w:t>
      </w:r>
      <w:r w:rsidR="00ED471D" w:rsidRPr="00EB1DA3">
        <w:rPr>
          <w:rFonts w:cs="Arial"/>
          <w:sz w:val="20"/>
        </w:rPr>
        <w:t>‐</w:t>
      </w:r>
      <w:r w:rsidR="00ED471D" w:rsidRPr="00EB1DA3">
        <w:rPr>
          <w:rFonts w:ascii="Arial" w:hAnsi="Arial" w:cs="Arial"/>
          <w:sz w:val="20"/>
        </w:rPr>
        <w:t>anticipated wage settlements</w:t>
      </w:r>
      <w:r w:rsidR="009454B8" w:rsidRPr="00EB1DA3">
        <w:rPr>
          <w:rFonts w:ascii="Arial" w:hAnsi="Arial" w:cs="Arial"/>
          <w:sz w:val="20"/>
        </w:rPr>
        <w:t xml:space="preserve"> (2022 Budget Review)</w:t>
      </w:r>
      <w:r w:rsidR="00ED471D" w:rsidRPr="00EB1DA3">
        <w:rPr>
          <w:rFonts w:ascii="Arial" w:hAnsi="Arial" w:cs="Arial"/>
          <w:sz w:val="20"/>
        </w:rPr>
        <w:t>.</w:t>
      </w:r>
    </w:p>
    <w:p w:rsidR="004C48E6" w:rsidRPr="00EB1DA3" w:rsidRDefault="001C45AE" w:rsidP="00EB1DA3">
      <w:pPr>
        <w:pStyle w:val="Caption"/>
        <w:spacing w:before="0" w:after="0"/>
        <w:rPr>
          <w:rFonts w:ascii="Arial" w:hAnsi="Arial" w:cs="Arial"/>
        </w:rPr>
      </w:pPr>
      <w:r w:rsidRPr="00EB1DA3">
        <w:rPr>
          <w:rFonts w:ascii="Arial" w:hAnsi="Arial" w:cs="Arial"/>
        </w:rPr>
        <w:t xml:space="preserve">Table </w:t>
      </w:r>
      <w:r w:rsidR="00B12E02" w:rsidRPr="00EB1DA3">
        <w:rPr>
          <w:rFonts w:ascii="Arial" w:hAnsi="Arial" w:cs="Arial"/>
        </w:rPr>
        <w:t>2</w:t>
      </w:r>
      <w:r w:rsidR="003526D1" w:rsidRPr="00EB1DA3">
        <w:rPr>
          <w:rFonts w:ascii="Arial" w:hAnsi="Arial" w:cs="Arial"/>
        </w:rPr>
        <w:t xml:space="preserve">: </w:t>
      </w:r>
      <w:r w:rsidR="00B46BD3" w:rsidRPr="00EB1DA3">
        <w:rPr>
          <w:rFonts w:ascii="Arial" w:hAnsi="Arial" w:cs="Arial"/>
        </w:rPr>
        <w:t xml:space="preserve">Consolidated </w:t>
      </w:r>
      <w:r w:rsidR="00200327" w:rsidRPr="00EB1DA3">
        <w:rPr>
          <w:rFonts w:ascii="Arial" w:hAnsi="Arial" w:cs="Arial"/>
        </w:rPr>
        <w:t xml:space="preserve">2022 </w:t>
      </w:r>
      <w:r w:rsidRPr="00EB1DA3">
        <w:rPr>
          <w:rFonts w:ascii="Arial" w:hAnsi="Arial" w:cs="Arial"/>
        </w:rPr>
        <w:t xml:space="preserve">fiscal framework </w:t>
      </w:r>
    </w:p>
    <w:p w:rsidR="006B12FB" w:rsidRPr="00EB1DA3" w:rsidRDefault="000745A9" w:rsidP="00EB1DA3">
      <w:pPr>
        <w:rPr>
          <w:rFonts w:ascii="Arial" w:hAnsi="Arial" w:cs="Arial"/>
          <w:sz w:val="20"/>
        </w:rPr>
      </w:pPr>
      <w:r w:rsidRPr="00EB1DA3">
        <w:rPr>
          <w:rFonts w:ascii="Arial" w:hAnsi="Arial" w:cs="Arial"/>
          <w:sz w:val="20"/>
        </w:rPr>
        <w:object w:dxaOrig="10047" w:dyaOrig="3672">
          <v:shape id="_x0000_i1026" type="#_x0000_t75" style="width:464.4pt;height:213.6pt" o:ole="">
            <v:imagedata r:id="rId10" o:title=""/>
          </v:shape>
          <o:OLEObject Type="Embed" ProgID="Excel.Sheet.12" ShapeID="_x0000_i1026" DrawAspect="Content" ObjectID="_1708277211" r:id="rId11"/>
        </w:object>
      </w:r>
    </w:p>
    <w:p w:rsidR="000223B9" w:rsidRPr="00EB1DA3" w:rsidRDefault="000223B9" w:rsidP="00EB1DA3">
      <w:pPr>
        <w:rPr>
          <w:rFonts w:ascii="Arial" w:hAnsi="Arial" w:cs="Arial"/>
          <w:sz w:val="20"/>
        </w:rPr>
      </w:pPr>
      <w:r w:rsidRPr="00EB1DA3">
        <w:rPr>
          <w:rFonts w:ascii="Arial" w:hAnsi="Arial" w:cs="Arial"/>
          <w:sz w:val="20"/>
        </w:rPr>
        <w:t xml:space="preserve">Source: </w:t>
      </w:r>
      <w:r w:rsidR="00E77C17" w:rsidRPr="00EB1DA3">
        <w:rPr>
          <w:rFonts w:ascii="Arial" w:hAnsi="Arial" w:cs="Arial"/>
          <w:sz w:val="20"/>
        </w:rPr>
        <w:t>N</w:t>
      </w:r>
      <w:r w:rsidR="00063913" w:rsidRPr="00EB1DA3">
        <w:rPr>
          <w:rFonts w:ascii="Arial" w:hAnsi="Arial" w:cs="Arial"/>
          <w:sz w:val="20"/>
        </w:rPr>
        <w:t xml:space="preserve">ational </w:t>
      </w:r>
      <w:r w:rsidR="00E77C17" w:rsidRPr="00EB1DA3">
        <w:rPr>
          <w:rFonts w:ascii="Arial" w:hAnsi="Arial" w:cs="Arial"/>
          <w:sz w:val="20"/>
        </w:rPr>
        <w:t>T</w:t>
      </w:r>
      <w:r w:rsidR="00063913" w:rsidRPr="00EB1DA3">
        <w:rPr>
          <w:rFonts w:ascii="Arial" w:hAnsi="Arial" w:cs="Arial"/>
          <w:sz w:val="20"/>
        </w:rPr>
        <w:t>reasury</w:t>
      </w:r>
    </w:p>
    <w:p w:rsidR="00EE1E1F" w:rsidRPr="00EB1DA3" w:rsidRDefault="00EE1E1F" w:rsidP="00EB1DA3">
      <w:pPr>
        <w:rPr>
          <w:rFonts w:ascii="Arial" w:hAnsi="Arial" w:cs="Arial"/>
          <w:sz w:val="20"/>
        </w:rPr>
      </w:pPr>
      <w:r w:rsidRPr="00EB1DA3">
        <w:rPr>
          <w:rFonts w:ascii="Arial" w:hAnsi="Arial" w:cs="Arial"/>
          <w:sz w:val="20"/>
        </w:rPr>
        <w:t>The bulk of the spending is allocated to learning and culture (R 1.3 trillion), social development (R1 trillion) and debt service costs (R1 trillion) over the Medium Term Expenditure Framework (MTEF) while economic development and community development grow faster than other functions at 8.5 per cent and 7.9 per cent, respectively.</w:t>
      </w:r>
    </w:p>
    <w:p w:rsidR="00976436" w:rsidRPr="00EB1DA3" w:rsidRDefault="00017D12" w:rsidP="00EB1DA3">
      <w:pPr>
        <w:rPr>
          <w:rFonts w:ascii="Arial" w:hAnsi="Arial" w:cs="Arial"/>
          <w:sz w:val="20"/>
        </w:rPr>
      </w:pPr>
      <w:r w:rsidRPr="00EB1DA3">
        <w:rPr>
          <w:rFonts w:ascii="Arial" w:hAnsi="Arial" w:cs="Arial"/>
          <w:sz w:val="20"/>
        </w:rPr>
        <w:t xml:space="preserve">The consolidated budget deficit is </w:t>
      </w:r>
      <w:r w:rsidR="004F08B4" w:rsidRPr="00EB1DA3">
        <w:rPr>
          <w:rFonts w:ascii="Arial" w:hAnsi="Arial" w:cs="Arial"/>
          <w:sz w:val="20"/>
        </w:rPr>
        <w:t xml:space="preserve">now </w:t>
      </w:r>
      <w:r w:rsidRPr="00EB1DA3">
        <w:rPr>
          <w:rFonts w:ascii="Arial" w:hAnsi="Arial" w:cs="Arial"/>
          <w:sz w:val="20"/>
        </w:rPr>
        <w:t xml:space="preserve">projected to narrow from 6 per cent of GDP in 2022/23 to 4.2 per cent of GDP in 2024/25. </w:t>
      </w:r>
      <w:r w:rsidR="004F08B4" w:rsidRPr="00EB1DA3">
        <w:rPr>
          <w:rFonts w:ascii="Arial" w:hAnsi="Arial" w:cs="Arial"/>
          <w:sz w:val="20"/>
        </w:rPr>
        <w:t xml:space="preserve">The deficit reached a high of 10 per cent in 2020/21. </w:t>
      </w:r>
      <w:r w:rsidR="002777D6" w:rsidRPr="00EB1DA3">
        <w:rPr>
          <w:rFonts w:ascii="Arial" w:hAnsi="Arial" w:cs="Arial"/>
          <w:sz w:val="20"/>
        </w:rPr>
        <w:t>A portion of higher</w:t>
      </w:r>
      <w:r w:rsidR="002777D6" w:rsidRPr="00EB1DA3">
        <w:rPr>
          <w:rFonts w:cs="Arial"/>
          <w:sz w:val="20"/>
        </w:rPr>
        <w:t>‐</w:t>
      </w:r>
      <w:r w:rsidR="002777D6" w:rsidRPr="00EB1DA3">
        <w:rPr>
          <w:rFonts w:ascii="Arial" w:hAnsi="Arial" w:cs="Arial"/>
          <w:sz w:val="20"/>
        </w:rPr>
        <w:t>than</w:t>
      </w:r>
      <w:r w:rsidR="002777D6" w:rsidRPr="00EB1DA3">
        <w:rPr>
          <w:rFonts w:cs="Arial"/>
          <w:sz w:val="20"/>
        </w:rPr>
        <w:t>‐</w:t>
      </w:r>
      <w:r w:rsidR="002777D6" w:rsidRPr="00EB1DA3">
        <w:rPr>
          <w:rFonts w:ascii="Arial" w:hAnsi="Arial" w:cs="Arial"/>
          <w:sz w:val="20"/>
        </w:rPr>
        <w:t xml:space="preserve">anticipated revenues since the 2021 Budget is used to reduce the deficit and the borrowing requirement.  As a result, the government expects to achieve a primary surplus by 2023/24, a year earlier than projected in the 2021 MTBPS.  </w:t>
      </w:r>
      <w:r w:rsidR="00CA335F" w:rsidRPr="00EB1DA3">
        <w:rPr>
          <w:rFonts w:ascii="Arial" w:hAnsi="Arial" w:cs="Arial"/>
          <w:sz w:val="20"/>
        </w:rPr>
        <w:t>NT stated that a</w:t>
      </w:r>
      <w:r w:rsidR="002777D6" w:rsidRPr="00EB1DA3">
        <w:rPr>
          <w:rFonts w:ascii="Arial" w:hAnsi="Arial" w:cs="Arial"/>
          <w:sz w:val="20"/>
        </w:rPr>
        <w:t xml:space="preserve">chieving this goal will represent a major milestone in returning the public finances to a sustainable position. </w:t>
      </w:r>
      <w:r w:rsidR="004A7BFF" w:rsidRPr="00EB1DA3">
        <w:rPr>
          <w:rFonts w:ascii="Arial" w:hAnsi="Arial" w:cs="Arial"/>
          <w:sz w:val="20"/>
        </w:rPr>
        <w:t xml:space="preserve"> </w:t>
      </w:r>
      <w:r w:rsidR="0025033C" w:rsidRPr="00EB1DA3">
        <w:rPr>
          <w:rFonts w:ascii="Arial" w:hAnsi="Arial" w:cs="Arial"/>
          <w:sz w:val="20"/>
        </w:rPr>
        <w:t>NT acknowledged that the government</w:t>
      </w:r>
      <w:r w:rsidR="00976436" w:rsidRPr="00EB1DA3">
        <w:rPr>
          <w:rFonts w:ascii="Arial" w:hAnsi="Arial" w:cs="Arial"/>
          <w:sz w:val="20"/>
        </w:rPr>
        <w:t xml:space="preserve"> has failed to close the large gap between revenue and expenditure that emerged during the 2008</w:t>
      </w:r>
      <w:r w:rsidR="00CA335F" w:rsidRPr="00EB1DA3">
        <w:rPr>
          <w:rFonts w:ascii="Arial" w:hAnsi="Arial" w:cs="Arial"/>
          <w:sz w:val="20"/>
        </w:rPr>
        <w:t>/09</w:t>
      </w:r>
      <w:r w:rsidR="00976436" w:rsidRPr="00EB1DA3">
        <w:rPr>
          <w:rFonts w:ascii="Arial" w:hAnsi="Arial" w:cs="Arial"/>
          <w:sz w:val="20"/>
        </w:rPr>
        <w:t xml:space="preserve"> global financial crisis. Since then, rising expenditure, unmatched by revenue growth, has led to primary deficits and a sevenfold increase in public debt</w:t>
      </w:r>
      <w:r w:rsidR="00200327" w:rsidRPr="00EB1DA3">
        <w:rPr>
          <w:rFonts w:ascii="Arial" w:hAnsi="Arial" w:cs="Arial"/>
          <w:sz w:val="20"/>
        </w:rPr>
        <w:t xml:space="preserve"> (2022 Budget Review)</w:t>
      </w:r>
      <w:r w:rsidR="00976436" w:rsidRPr="00EB1DA3">
        <w:rPr>
          <w:rFonts w:ascii="Arial" w:hAnsi="Arial" w:cs="Arial"/>
          <w:sz w:val="20"/>
        </w:rPr>
        <w:t>.</w:t>
      </w:r>
    </w:p>
    <w:p w:rsidR="00F11543" w:rsidRPr="00EB1DA3" w:rsidRDefault="00522151" w:rsidP="00EB1DA3">
      <w:pPr>
        <w:rPr>
          <w:rFonts w:ascii="Arial" w:hAnsi="Arial" w:cs="Arial"/>
          <w:sz w:val="20"/>
        </w:rPr>
      </w:pPr>
      <w:r w:rsidRPr="00EB1DA3">
        <w:rPr>
          <w:rFonts w:ascii="Arial" w:hAnsi="Arial" w:cs="Arial"/>
          <w:sz w:val="20"/>
        </w:rPr>
        <w:t xml:space="preserve">Gross loan debt is </w:t>
      </w:r>
      <w:r w:rsidR="00F25DA2" w:rsidRPr="00EB1DA3">
        <w:rPr>
          <w:rFonts w:ascii="Arial" w:hAnsi="Arial" w:cs="Arial"/>
          <w:sz w:val="20"/>
        </w:rPr>
        <w:t xml:space="preserve">now </w:t>
      </w:r>
      <w:r w:rsidRPr="00EB1DA3">
        <w:rPr>
          <w:rFonts w:ascii="Arial" w:hAnsi="Arial" w:cs="Arial"/>
          <w:sz w:val="20"/>
        </w:rPr>
        <w:t>expected to incre</w:t>
      </w:r>
      <w:r w:rsidR="00091792" w:rsidRPr="00EB1DA3">
        <w:rPr>
          <w:rFonts w:ascii="Arial" w:hAnsi="Arial" w:cs="Arial"/>
          <w:sz w:val="20"/>
        </w:rPr>
        <w:t>ase from R4.35 trillion, or 69.5</w:t>
      </w:r>
      <w:r w:rsidRPr="00EB1DA3">
        <w:rPr>
          <w:rFonts w:ascii="Arial" w:hAnsi="Arial" w:cs="Arial"/>
          <w:sz w:val="20"/>
        </w:rPr>
        <w:t xml:space="preserve"> per cent </w:t>
      </w:r>
      <w:r w:rsidR="00F25DA2" w:rsidRPr="00EB1DA3">
        <w:rPr>
          <w:rFonts w:ascii="Arial" w:hAnsi="Arial" w:cs="Arial"/>
          <w:sz w:val="20"/>
        </w:rPr>
        <w:t>of GDP</w:t>
      </w:r>
      <w:r w:rsidR="00091792" w:rsidRPr="00EB1DA3">
        <w:rPr>
          <w:rFonts w:ascii="Arial" w:hAnsi="Arial" w:cs="Arial"/>
          <w:sz w:val="20"/>
        </w:rPr>
        <w:t xml:space="preserve"> in 2021/22 to R4.69 trillion or</w:t>
      </w:r>
      <w:r w:rsidRPr="00EB1DA3">
        <w:rPr>
          <w:rFonts w:ascii="Arial" w:hAnsi="Arial" w:cs="Arial"/>
          <w:sz w:val="20"/>
        </w:rPr>
        <w:t xml:space="preserve"> </w:t>
      </w:r>
      <w:r w:rsidR="00091792" w:rsidRPr="00EB1DA3">
        <w:rPr>
          <w:rFonts w:ascii="Arial" w:hAnsi="Arial" w:cs="Arial"/>
          <w:sz w:val="20"/>
        </w:rPr>
        <w:t>72.8 per cent of GDP in 2022/23</w:t>
      </w:r>
      <w:r w:rsidRPr="00EB1DA3">
        <w:rPr>
          <w:rFonts w:ascii="Arial" w:hAnsi="Arial" w:cs="Arial"/>
          <w:sz w:val="20"/>
        </w:rPr>
        <w:t xml:space="preserve">. </w:t>
      </w:r>
      <w:r w:rsidR="005B157E" w:rsidRPr="00EB1DA3">
        <w:rPr>
          <w:rFonts w:ascii="Arial" w:hAnsi="Arial" w:cs="Arial"/>
          <w:sz w:val="20"/>
        </w:rPr>
        <w:t xml:space="preserve">NT </w:t>
      </w:r>
      <w:r w:rsidR="00FE2A09" w:rsidRPr="00EB1DA3">
        <w:rPr>
          <w:rFonts w:ascii="Arial" w:hAnsi="Arial" w:cs="Arial"/>
          <w:sz w:val="20"/>
        </w:rPr>
        <w:t xml:space="preserve">expects </w:t>
      </w:r>
      <w:r w:rsidR="00F25DA2" w:rsidRPr="00EB1DA3">
        <w:rPr>
          <w:rFonts w:ascii="Arial" w:hAnsi="Arial" w:cs="Arial"/>
          <w:sz w:val="20"/>
        </w:rPr>
        <w:t xml:space="preserve">the proposed fiscal framework to stabilise </w:t>
      </w:r>
      <w:r w:rsidR="00DD3B9C" w:rsidRPr="00EB1DA3">
        <w:rPr>
          <w:rFonts w:ascii="Arial" w:hAnsi="Arial" w:cs="Arial"/>
          <w:sz w:val="20"/>
        </w:rPr>
        <w:t xml:space="preserve">gross loan </w:t>
      </w:r>
      <w:r w:rsidR="00F25DA2" w:rsidRPr="00EB1DA3">
        <w:rPr>
          <w:rFonts w:ascii="Arial" w:hAnsi="Arial" w:cs="Arial"/>
          <w:sz w:val="20"/>
        </w:rPr>
        <w:t xml:space="preserve">debt at </w:t>
      </w:r>
      <w:r w:rsidR="004E6976" w:rsidRPr="00EB1DA3">
        <w:rPr>
          <w:rFonts w:ascii="Arial" w:hAnsi="Arial" w:cs="Arial"/>
          <w:sz w:val="20"/>
        </w:rPr>
        <w:t>R5.43 trillion or 75.1 per cent of GDP in 2024/25, a year earlier than projected in the 2021 Budget</w:t>
      </w:r>
      <w:r w:rsidR="00CA335F" w:rsidRPr="00EB1DA3">
        <w:rPr>
          <w:rFonts w:ascii="Arial" w:hAnsi="Arial" w:cs="Arial"/>
          <w:sz w:val="20"/>
        </w:rPr>
        <w:t xml:space="preserve"> and </w:t>
      </w:r>
      <w:r w:rsidR="006B1BE6" w:rsidRPr="00EB1DA3">
        <w:rPr>
          <w:rFonts w:ascii="Arial" w:hAnsi="Arial" w:cs="Arial"/>
          <w:sz w:val="20"/>
        </w:rPr>
        <w:t>in line with the government’s fiscal consolidation.</w:t>
      </w:r>
      <w:r w:rsidR="00F65AD2" w:rsidRPr="00EB1DA3">
        <w:rPr>
          <w:rFonts w:ascii="Arial" w:hAnsi="Arial" w:cs="Arial"/>
          <w:sz w:val="20"/>
        </w:rPr>
        <w:t xml:space="preserve"> This is mainly the result of revenue performance.</w:t>
      </w:r>
      <w:r w:rsidR="006B1BE6" w:rsidRPr="00EB1DA3">
        <w:rPr>
          <w:rFonts w:ascii="Arial" w:hAnsi="Arial" w:cs="Arial"/>
          <w:sz w:val="20"/>
        </w:rPr>
        <w:t xml:space="preserve"> </w:t>
      </w:r>
      <w:r w:rsidR="00F11543" w:rsidRPr="00EB1DA3">
        <w:rPr>
          <w:rFonts w:ascii="Arial" w:hAnsi="Arial" w:cs="Arial"/>
          <w:sz w:val="20"/>
        </w:rPr>
        <w:t>NT mentioned that a</w:t>
      </w:r>
      <w:r w:rsidR="006B1BE6" w:rsidRPr="00EB1DA3">
        <w:rPr>
          <w:rFonts w:ascii="Arial" w:hAnsi="Arial" w:cs="Arial"/>
          <w:sz w:val="20"/>
        </w:rPr>
        <w:t>lthough the debt trajectory has improved relative to the 2021 Budget, uneven implementation of reforms and high fiscal risks continue to threaten the country’s economic recovery and credit rating</w:t>
      </w:r>
      <w:r w:rsidR="00F11543" w:rsidRPr="00EB1DA3">
        <w:rPr>
          <w:rFonts w:ascii="Arial" w:hAnsi="Arial" w:cs="Arial"/>
          <w:sz w:val="20"/>
        </w:rPr>
        <w:t>s</w:t>
      </w:r>
      <w:r w:rsidR="00760247" w:rsidRPr="00EB1DA3">
        <w:rPr>
          <w:rFonts w:ascii="Arial" w:hAnsi="Arial" w:cs="Arial"/>
          <w:sz w:val="20"/>
        </w:rPr>
        <w:t xml:space="preserve"> </w:t>
      </w:r>
      <w:r w:rsidR="00F11543" w:rsidRPr="00EB1DA3">
        <w:rPr>
          <w:rFonts w:ascii="Arial" w:hAnsi="Arial" w:cs="Arial"/>
          <w:sz w:val="20"/>
        </w:rPr>
        <w:t>(2022 Budget Review).</w:t>
      </w:r>
      <w:r w:rsidR="00617DE6" w:rsidRPr="00EB1DA3">
        <w:rPr>
          <w:rFonts w:ascii="Arial" w:hAnsi="Arial" w:cs="Arial"/>
          <w:sz w:val="20"/>
        </w:rPr>
        <w:t xml:space="preserve"> </w:t>
      </w:r>
    </w:p>
    <w:p w:rsidR="00670B03" w:rsidRPr="00EB1DA3" w:rsidRDefault="00522151" w:rsidP="00EB1DA3">
      <w:pPr>
        <w:rPr>
          <w:rFonts w:ascii="Arial" w:hAnsi="Arial" w:cs="Arial"/>
          <w:sz w:val="20"/>
        </w:rPr>
      </w:pPr>
      <w:r w:rsidRPr="00EB1DA3">
        <w:rPr>
          <w:rFonts w:ascii="Arial" w:hAnsi="Arial" w:cs="Arial"/>
          <w:sz w:val="20"/>
        </w:rPr>
        <w:t xml:space="preserve">Debt-service costs </w:t>
      </w:r>
      <w:r w:rsidR="007D314E" w:rsidRPr="00EB1DA3">
        <w:rPr>
          <w:rFonts w:ascii="Arial" w:hAnsi="Arial" w:cs="Arial"/>
          <w:sz w:val="20"/>
        </w:rPr>
        <w:t>are expected to</w:t>
      </w:r>
      <w:r w:rsidR="00670B03" w:rsidRPr="00EB1DA3">
        <w:rPr>
          <w:rFonts w:ascii="Arial" w:hAnsi="Arial" w:cs="Arial"/>
          <w:sz w:val="20"/>
        </w:rPr>
        <w:t xml:space="preserve"> rise from R268.3 billion in 2021/22 to R301.8 billion (4.7 per cent of GDP) in 2022/23</w:t>
      </w:r>
      <w:r w:rsidR="00E1351A" w:rsidRPr="00EB1DA3">
        <w:rPr>
          <w:rFonts w:ascii="Arial" w:hAnsi="Arial" w:cs="Arial"/>
          <w:sz w:val="20"/>
        </w:rPr>
        <w:t>,</w:t>
      </w:r>
      <w:r w:rsidR="00670B03" w:rsidRPr="00EB1DA3">
        <w:rPr>
          <w:rFonts w:ascii="Arial" w:hAnsi="Arial" w:cs="Arial"/>
          <w:sz w:val="20"/>
        </w:rPr>
        <w:t xml:space="preserve"> reaching R363.5 billion (5 per cent of GDP) in 2024/25</w:t>
      </w:r>
      <w:r w:rsidR="007D314E" w:rsidRPr="00EB1DA3">
        <w:rPr>
          <w:rFonts w:ascii="Arial" w:hAnsi="Arial" w:cs="Arial"/>
          <w:sz w:val="20"/>
        </w:rPr>
        <w:t xml:space="preserve">. Debt service costs </w:t>
      </w:r>
      <w:r w:rsidR="00670B03" w:rsidRPr="00EB1DA3">
        <w:rPr>
          <w:rFonts w:ascii="Arial" w:hAnsi="Arial" w:cs="Arial"/>
          <w:sz w:val="20"/>
        </w:rPr>
        <w:t xml:space="preserve">account for 15.1 per cent of total spending and grow faster than all functions, including </w:t>
      </w:r>
      <w:r w:rsidR="007D314E" w:rsidRPr="00EB1DA3">
        <w:rPr>
          <w:rFonts w:ascii="Arial" w:hAnsi="Arial" w:cs="Arial"/>
          <w:sz w:val="20"/>
        </w:rPr>
        <w:t>education</w:t>
      </w:r>
      <w:r w:rsidR="00670B03" w:rsidRPr="00EB1DA3">
        <w:rPr>
          <w:rFonts w:ascii="Arial" w:hAnsi="Arial" w:cs="Arial"/>
          <w:sz w:val="20"/>
        </w:rPr>
        <w:t xml:space="preserve"> and health.</w:t>
      </w:r>
    </w:p>
    <w:p w:rsidR="00AE7973" w:rsidRPr="00EB1DA3" w:rsidRDefault="00FF2D0F" w:rsidP="00EB1DA3">
      <w:pPr>
        <w:rPr>
          <w:rFonts w:ascii="Arial" w:hAnsi="Arial" w:cs="Arial"/>
          <w:sz w:val="20"/>
        </w:rPr>
      </w:pPr>
      <w:r w:rsidRPr="00EB1DA3">
        <w:rPr>
          <w:rFonts w:ascii="Arial" w:hAnsi="Arial" w:cs="Arial"/>
          <w:sz w:val="20"/>
        </w:rPr>
        <w:t>According to the NT, t</w:t>
      </w:r>
      <w:r w:rsidR="00CD05BA" w:rsidRPr="00EB1DA3">
        <w:rPr>
          <w:rFonts w:ascii="Arial" w:hAnsi="Arial" w:cs="Arial"/>
          <w:sz w:val="20"/>
        </w:rPr>
        <w:t>he largest risk to the recovery in the public finances is a deterioration in GDP growth.  Other s</w:t>
      </w:r>
      <w:r w:rsidR="00CD63D1" w:rsidRPr="00EB1DA3">
        <w:rPr>
          <w:rFonts w:ascii="Arial" w:hAnsi="Arial" w:cs="Arial"/>
          <w:sz w:val="20"/>
        </w:rPr>
        <w:t xml:space="preserve">ignificant risks to the fiscal </w:t>
      </w:r>
      <w:r w:rsidR="00D00DAA" w:rsidRPr="00EB1DA3">
        <w:rPr>
          <w:rFonts w:ascii="Arial" w:hAnsi="Arial" w:cs="Arial"/>
          <w:sz w:val="20"/>
        </w:rPr>
        <w:t>framework</w:t>
      </w:r>
      <w:r w:rsidR="00CD63D1" w:rsidRPr="00EB1DA3">
        <w:rPr>
          <w:rFonts w:ascii="Arial" w:hAnsi="Arial" w:cs="Arial"/>
          <w:sz w:val="20"/>
        </w:rPr>
        <w:t xml:space="preserve"> include the introduction of unfunded spendi</w:t>
      </w:r>
      <w:r w:rsidR="00CD05BA" w:rsidRPr="00EB1DA3">
        <w:rPr>
          <w:rFonts w:ascii="Arial" w:hAnsi="Arial" w:cs="Arial"/>
          <w:sz w:val="20"/>
        </w:rPr>
        <w:t>ng programmes</w:t>
      </w:r>
      <w:r w:rsidR="00CD63D1" w:rsidRPr="00EB1DA3">
        <w:rPr>
          <w:rFonts w:ascii="Arial" w:hAnsi="Arial" w:cs="Arial"/>
          <w:sz w:val="20"/>
        </w:rPr>
        <w:t xml:space="preserve">, higher borrowing costs, the contingent liabilities of </w:t>
      </w:r>
      <w:r w:rsidR="00CD05BA" w:rsidRPr="00EB1DA3">
        <w:rPr>
          <w:rFonts w:ascii="Arial" w:hAnsi="Arial" w:cs="Arial"/>
          <w:sz w:val="20"/>
        </w:rPr>
        <w:t xml:space="preserve">SOEs, </w:t>
      </w:r>
      <w:r w:rsidR="00CD63D1" w:rsidRPr="00EB1DA3">
        <w:rPr>
          <w:rFonts w:ascii="Arial" w:hAnsi="Arial" w:cs="Arial"/>
          <w:sz w:val="20"/>
        </w:rPr>
        <w:t>higher</w:t>
      </w:r>
      <w:r w:rsidR="00CD63D1" w:rsidRPr="00EB1DA3">
        <w:rPr>
          <w:rFonts w:cs="Arial"/>
          <w:sz w:val="20"/>
        </w:rPr>
        <w:t>‐</w:t>
      </w:r>
      <w:r w:rsidR="00CD63D1" w:rsidRPr="00EB1DA3">
        <w:rPr>
          <w:rFonts w:ascii="Arial" w:hAnsi="Arial" w:cs="Arial"/>
          <w:sz w:val="20"/>
        </w:rPr>
        <w:t>than</w:t>
      </w:r>
      <w:r w:rsidR="00CD63D1" w:rsidRPr="00EB1DA3">
        <w:rPr>
          <w:rFonts w:cs="Arial"/>
          <w:sz w:val="20"/>
        </w:rPr>
        <w:t>‐</w:t>
      </w:r>
      <w:r w:rsidR="00CD63D1" w:rsidRPr="00EB1DA3">
        <w:rPr>
          <w:rFonts w:ascii="Arial" w:hAnsi="Arial" w:cs="Arial"/>
          <w:sz w:val="20"/>
        </w:rPr>
        <w:t>budgeted public</w:t>
      </w:r>
      <w:r w:rsidR="00CD63D1" w:rsidRPr="00EB1DA3">
        <w:rPr>
          <w:rFonts w:cs="Arial"/>
          <w:sz w:val="20"/>
        </w:rPr>
        <w:t>‐</w:t>
      </w:r>
      <w:r w:rsidR="00CD63D1" w:rsidRPr="00EB1DA3">
        <w:rPr>
          <w:rFonts w:ascii="Arial" w:hAnsi="Arial" w:cs="Arial"/>
          <w:sz w:val="20"/>
        </w:rPr>
        <w:t>service wage settlements</w:t>
      </w:r>
      <w:r w:rsidRPr="00EB1DA3">
        <w:rPr>
          <w:rFonts w:ascii="Arial" w:hAnsi="Arial" w:cs="Arial"/>
          <w:sz w:val="20"/>
        </w:rPr>
        <w:t xml:space="preserve"> and</w:t>
      </w:r>
      <w:r w:rsidR="00CD05BA" w:rsidRPr="00EB1DA3">
        <w:rPr>
          <w:rFonts w:ascii="Arial" w:hAnsi="Arial" w:cs="Arial"/>
          <w:sz w:val="20"/>
        </w:rPr>
        <w:t xml:space="preserve"> h</w:t>
      </w:r>
      <w:r w:rsidR="00D00DAA" w:rsidRPr="00EB1DA3">
        <w:rPr>
          <w:rFonts w:ascii="Arial" w:hAnsi="Arial" w:cs="Arial"/>
          <w:sz w:val="20"/>
        </w:rPr>
        <w:t>igher</w:t>
      </w:r>
      <w:r w:rsidR="00D00DAA" w:rsidRPr="00EB1DA3">
        <w:rPr>
          <w:rFonts w:cs="Arial"/>
          <w:sz w:val="20"/>
        </w:rPr>
        <w:t>‐</w:t>
      </w:r>
      <w:r w:rsidR="00D00DAA" w:rsidRPr="00EB1DA3">
        <w:rPr>
          <w:rFonts w:ascii="Arial" w:hAnsi="Arial" w:cs="Arial"/>
          <w:sz w:val="20"/>
        </w:rPr>
        <w:t>than</w:t>
      </w:r>
      <w:r w:rsidR="00D00DAA" w:rsidRPr="00EB1DA3">
        <w:rPr>
          <w:rFonts w:cs="Arial"/>
          <w:sz w:val="20"/>
        </w:rPr>
        <w:t>‐</w:t>
      </w:r>
      <w:r w:rsidR="00D00DAA" w:rsidRPr="00EB1DA3">
        <w:rPr>
          <w:rFonts w:ascii="Arial" w:hAnsi="Arial" w:cs="Arial"/>
          <w:sz w:val="20"/>
        </w:rPr>
        <w:t xml:space="preserve">expected global inflation </w:t>
      </w:r>
      <w:r w:rsidRPr="00EB1DA3">
        <w:rPr>
          <w:rFonts w:ascii="Arial" w:hAnsi="Arial" w:cs="Arial"/>
          <w:sz w:val="20"/>
        </w:rPr>
        <w:t xml:space="preserve">which </w:t>
      </w:r>
      <w:r w:rsidR="00D00DAA" w:rsidRPr="00EB1DA3">
        <w:rPr>
          <w:rFonts w:ascii="Arial" w:hAnsi="Arial" w:cs="Arial"/>
          <w:sz w:val="20"/>
        </w:rPr>
        <w:t>could lead to higher global interest rates, affecting debt</w:t>
      </w:r>
      <w:r w:rsidR="00D00DAA" w:rsidRPr="00EB1DA3">
        <w:rPr>
          <w:rFonts w:cs="Arial"/>
          <w:sz w:val="20"/>
        </w:rPr>
        <w:t>‐</w:t>
      </w:r>
      <w:r w:rsidR="00D00DAA" w:rsidRPr="00EB1DA3">
        <w:rPr>
          <w:rFonts w:ascii="Arial" w:hAnsi="Arial" w:cs="Arial"/>
          <w:sz w:val="20"/>
        </w:rPr>
        <w:t>service costs and the exchange rate</w:t>
      </w:r>
      <w:r w:rsidR="00CD05BA" w:rsidRPr="00EB1DA3">
        <w:rPr>
          <w:rFonts w:ascii="Arial" w:hAnsi="Arial" w:cs="Arial"/>
          <w:sz w:val="20"/>
        </w:rPr>
        <w:t xml:space="preserve">. </w:t>
      </w:r>
      <w:r w:rsidRPr="00EB1DA3">
        <w:rPr>
          <w:rFonts w:ascii="Arial" w:hAnsi="Arial" w:cs="Arial"/>
          <w:sz w:val="20"/>
        </w:rPr>
        <w:t>Also, a</w:t>
      </w:r>
      <w:r w:rsidR="00CD05BA" w:rsidRPr="00EB1DA3">
        <w:rPr>
          <w:rFonts w:ascii="Arial" w:hAnsi="Arial" w:cs="Arial"/>
          <w:sz w:val="20"/>
        </w:rPr>
        <w:t>n</w:t>
      </w:r>
      <w:r w:rsidR="00D00DAA" w:rsidRPr="00EB1DA3">
        <w:rPr>
          <w:rFonts w:ascii="Arial" w:hAnsi="Arial" w:cs="Arial"/>
          <w:sz w:val="20"/>
        </w:rPr>
        <w:t xml:space="preserve"> adverse decision by the Constitutional Court in the case relating to the 2018 wage agreement could significantly increase compensation costs</w:t>
      </w:r>
      <w:r w:rsidR="00CD05BA" w:rsidRPr="00EB1DA3">
        <w:rPr>
          <w:rFonts w:ascii="Arial" w:hAnsi="Arial" w:cs="Arial"/>
          <w:sz w:val="20"/>
        </w:rPr>
        <w:t xml:space="preserve">. </w:t>
      </w:r>
      <w:r w:rsidR="007D314E" w:rsidRPr="00EB1DA3">
        <w:rPr>
          <w:rFonts w:ascii="Arial" w:hAnsi="Arial" w:cs="Arial"/>
          <w:sz w:val="20"/>
        </w:rPr>
        <w:t>Contingent liabilities, one of the key risks to the fiscal framework, are projected to increase from R1.15 trillion in 2021/22 to R1.23 trillion in 2024/25.  In 2020/21</w:t>
      </w:r>
      <w:r w:rsidR="008B0999" w:rsidRPr="00EB1DA3">
        <w:rPr>
          <w:rFonts w:ascii="Arial" w:hAnsi="Arial" w:cs="Arial"/>
          <w:sz w:val="20"/>
        </w:rPr>
        <w:t>,</w:t>
      </w:r>
      <w:r w:rsidR="007D314E" w:rsidRPr="00EB1DA3">
        <w:rPr>
          <w:rFonts w:ascii="Arial" w:hAnsi="Arial" w:cs="Arial"/>
          <w:sz w:val="20"/>
        </w:rPr>
        <w:t xml:space="preserve"> SOEs made limited progress in their reforms and most of these companies deferred their capital investment projects to preserve cash to meet short</w:t>
      </w:r>
      <w:r w:rsidR="007D314E" w:rsidRPr="00EB1DA3">
        <w:rPr>
          <w:rFonts w:cs="Arial"/>
          <w:sz w:val="20"/>
        </w:rPr>
        <w:t>‐</w:t>
      </w:r>
      <w:r w:rsidR="007D314E" w:rsidRPr="00EB1DA3">
        <w:rPr>
          <w:rFonts w:ascii="Arial" w:hAnsi="Arial" w:cs="Arial"/>
          <w:sz w:val="20"/>
        </w:rPr>
        <w:t>term obligations (2022 Budget Review).</w:t>
      </w:r>
    </w:p>
    <w:p w:rsidR="004B330F" w:rsidRPr="00EB1DA3" w:rsidRDefault="004B330F" w:rsidP="00EB1DA3">
      <w:pPr>
        <w:rPr>
          <w:rFonts w:ascii="Arial" w:hAnsi="Arial" w:cs="Arial"/>
          <w:sz w:val="20"/>
          <w:lang w:val="en-ZA" w:eastAsia="en-GB"/>
        </w:rPr>
      </w:pPr>
      <w:r w:rsidRPr="00EB1DA3">
        <w:rPr>
          <w:rFonts w:ascii="Arial" w:hAnsi="Arial" w:cs="Arial"/>
          <w:sz w:val="20"/>
        </w:rPr>
        <w:lastRenderedPageBreak/>
        <w:t>T</w:t>
      </w:r>
      <w:r w:rsidR="00543A7D" w:rsidRPr="00EB1DA3">
        <w:rPr>
          <w:rFonts w:ascii="Arial" w:hAnsi="Arial" w:cs="Arial"/>
          <w:sz w:val="20"/>
        </w:rPr>
        <w:t>he 2022</w:t>
      </w:r>
      <w:r w:rsidR="00BE24E2" w:rsidRPr="00EB1DA3">
        <w:rPr>
          <w:rFonts w:ascii="Arial" w:hAnsi="Arial" w:cs="Arial"/>
          <w:sz w:val="20"/>
        </w:rPr>
        <w:t xml:space="preserve"> Budget </w:t>
      </w:r>
      <w:r w:rsidR="00AE7973" w:rsidRPr="00EB1DA3">
        <w:rPr>
          <w:rFonts w:ascii="Arial" w:hAnsi="Arial" w:cs="Arial"/>
          <w:sz w:val="20"/>
          <w:lang w:val="en-ZA" w:eastAsia="en-GB"/>
        </w:rPr>
        <w:t>provides R5.2 billion in tax relief to support households and the economy</w:t>
      </w:r>
      <w:r w:rsidRPr="00EB1DA3">
        <w:rPr>
          <w:rFonts w:ascii="Arial" w:hAnsi="Arial" w:cs="Arial"/>
          <w:sz w:val="20"/>
          <w:lang w:val="en-ZA" w:eastAsia="en-GB"/>
        </w:rPr>
        <w:t>.</w:t>
      </w:r>
      <w:r w:rsidR="00AE7973" w:rsidRPr="00EB1DA3">
        <w:rPr>
          <w:rFonts w:ascii="Arial" w:hAnsi="Arial" w:cs="Arial"/>
          <w:sz w:val="20"/>
          <w:lang w:val="en-ZA" w:eastAsia="en-GB"/>
        </w:rPr>
        <w:t xml:space="preserve"> </w:t>
      </w:r>
      <w:r w:rsidRPr="00EB1DA3">
        <w:rPr>
          <w:rFonts w:ascii="Arial" w:hAnsi="Arial" w:cs="Arial"/>
          <w:sz w:val="20"/>
        </w:rPr>
        <w:t>The main tax proposals for 2022/23</w:t>
      </w:r>
      <w:r w:rsidR="00BD066E" w:rsidRPr="00EB1DA3">
        <w:rPr>
          <w:rFonts w:ascii="Arial" w:hAnsi="Arial" w:cs="Arial"/>
          <w:sz w:val="20"/>
        </w:rPr>
        <w:t xml:space="preserve"> include an </w:t>
      </w:r>
      <w:r w:rsidRPr="00EB1DA3">
        <w:rPr>
          <w:rFonts w:ascii="Arial" w:hAnsi="Arial" w:cs="Arial"/>
          <w:sz w:val="20"/>
        </w:rPr>
        <w:t>inflationary relief through a 4.5 per cent adjustment in the PIT brackets and r</w:t>
      </w:r>
      <w:r w:rsidR="002003DA" w:rsidRPr="00EB1DA3">
        <w:rPr>
          <w:rFonts w:ascii="Arial" w:hAnsi="Arial" w:cs="Arial"/>
          <w:sz w:val="20"/>
        </w:rPr>
        <w:t>ebates; an expansion of the Employment Tax I</w:t>
      </w:r>
      <w:r w:rsidRPr="00EB1DA3">
        <w:rPr>
          <w:rFonts w:ascii="Arial" w:hAnsi="Arial" w:cs="Arial"/>
          <w:sz w:val="20"/>
        </w:rPr>
        <w:t>ncentive</w:t>
      </w:r>
      <w:r w:rsidR="002003DA" w:rsidRPr="00EB1DA3">
        <w:rPr>
          <w:rFonts w:ascii="Arial" w:hAnsi="Arial" w:cs="Arial"/>
          <w:sz w:val="20"/>
        </w:rPr>
        <w:t xml:space="preserve"> (ETI)</w:t>
      </w:r>
      <w:r w:rsidRPr="00EB1DA3">
        <w:rPr>
          <w:rFonts w:ascii="Arial" w:hAnsi="Arial" w:cs="Arial"/>
          <w:sz w:val="20"/>
        </w:rPr>
        <w:t xml:space="preserve">, through a 50 per cent increase in the maximum monthly value, to R1 500 </w:t>
      </w:r>
      <w:r w:rsidRPr="00EB1DA3">
        <w:rPr>
          <w:rFonts w:ascii="Arial" w:hAnsi="Arial" w:cs="Arial"/>
          <w:sz w:val="20"/>
          <w:lang w:val="en-ZA" w:eastAsia="en-GB"/>
        </w:rPr>
        <w:t>to encourage businesses to increase youth employment</w:t>
      </w:r>
      <w:r w:rsidRPr="00EB1DA3">
        <w:rPr>
          <w:rFonts w:ascii="Arial" w:hAnsi="Arial" w:cs="Arial"/>
          <w:sz w:val="20"/>
        </w:rPr>
        <w:t>; no change to the general fuel levy and increases of between 4.5 per cent and 6.5 per cent in excise duties on alcohol and tobacco.</w:t>
      </w:r>
      <w:r w:rsidRPr="00EB1DA3">
        <w:rPr>
          <w:rFonts w:ascii="Arial" w:hAnsi="Arial" w:cs="Arial"/>
          <w:sz w:val="20"/>
          <w:lang w:val="en-ZA" w:eastAsia="en-GB"/>
        </w:rPr>
        <w:t xml:space="preserve"> The CIT rate will reduce from 28 per cent to 27 per cent.</w:t>
      </w:r>
    </w:p>
    <w:p w:rsidR="00B84601" w:rsidRPr="00EB1DA3" w:rsidRDefault="009227EC" w:rsidP="00EB1DA3">
      <w:pPr>
        <w:rPr>
          <w:rFonts w:ascii="Arial" w:hAnsi="Arial" w:cs="Arial"/>
          <w:sz w:val="20"/>
        </w:rPr>
      </w:pPr>
      <w:r w:rsidRPr="00EB1DA3">
        <w:rPr>
          <w:rFonts w:ascii="Arial" w:hAnsi="Arial" w:cs="Arial"/>
          <w:sz w:val="20"/>
        </w:rPr>
        <w:t xml:space="preserve">NT attributed </w:t>
      </w:r>
      <w:r w:rsidR="00B84601" w:rsidRPr="00EB1DA3">
        <w:rPr>
          <w:rFonts w:ascii="Arial" w:hAnsi="Arial" w:cs="Arial"/>
          <w:sz w:val="20"/>
        </w:rPr>
        <w:t>improved revenue collection and compliance trends</w:t>
      </w:r>
      <w:r w:rsidRPr="00EB1DA3">
        <w:rPr>
          <w:rFonts w:ascii="Arial" w:hAnsi="Arial" w:cs="Arial"/>
          <w:sz w:val="20"/>
        </w:rPr>
        <w:t xml:space="preserve"> to progress made in rebuilding the SARS</w:t>
      </w:r>
      <w:r w:rsidR="00B84601" w:rsidRPr="00EB1DA3">
        <w:rPr>
          <w:rFonts w:ascii="Arial" w:hAnsi="Arial" w:cs="Arial"/>
          <w:sz w:val="20"/>
        </w:rPr>
        <w:t xml:space="preserve">. Over the past year, </w:t>
      </w:r>
      <w:r w:rsidRPr="00EB1DA3">
        <w:rPr>
          <w:rFonts w:ascii="Arial" w:hAnsi="Arial" w:cs="Arial"/>
          <w:sz w:val="20"/>
        </w:rPr>
        <w:t xml:space="preserve">the </w:t>
      </w:r>
      <w:r w:rsidR="00B84601" w:rsidRPr="00EB1DA3">
        <w:rPr>
          <w:rFonts w:ascii="Arial" w:hAnsi="Arial" w:cs="Arial"/>
          <w:sz w:val="20"/>
        </w:rPr>
        <w:t xml:space="preserve">SARS has recruited an additional 490 staff and has invested R430 million in refreshing and modernising its </w:t>
      </w:r>
      <w:r w:rsidRPr="00EB1DA3">
        <w:rPr>
          <w:rFonts w:ascii="Arial" w:hAnsi="Arial" w:cs="Arial"/>
          <w:sz w:val="20"/>
        </w:rPr>
        <w:t>Information and Communication Technology (</w:t>
      </w:r>
      <w:r w:rsidR="00B84601" w:rsidRPr="00EB1DA3">
        <w:rPr>
          <w:rFonts w:ascii="Arial" w:hAnsi="Arial" w:cs="Arial"/>
          <w:sz w:val="20"/>
        </w:rPr>
        <w:t>ICT</w:t>
      </w:r>
      <w:r w:rsidRPr="00EB1DA3">
        <w:rPr>
          <w:rFonts w:ascii="Arial" w:hAnsi="Arial" w:cs="Arial"/>
          <w:sz w:val="20"/>
        </w:rPr>
        <w:t>)</w:t>
      </w:r>
      <w:r w:rsidR="00B84601" w:rsidRPr="00EB1DA3">
        <w:rPr>
          <w:rFonts w:ascii="Arial" w:hAnsi="Arial" w:cs="Arial"/>
          <w:sz w:val="20"/>
        </w:rPr>
        <w:t xml:space="preserve"> infrastructure. The dedicated new unit focused on high</w:t>
      </w:r>
      <w:r w:rsidR="00B84601" w:rsidRPr="00EB1DA3">
        <w:rPr>
          <w:rFonts w:cs="Arial"/>
          <w:sz w:val="20"/>
        </w:rPr>
        <w:t>‐</w:t>
      </w:r>
      <w:r w:rsidR="00B84601" w:rsidRPr="00EB1DA3">
        <w:rPr>
          <w:rFonts w:ascii="Arial" w:hAnsi="Arial" w:cs="Arial"/>
          <w:sz w:val="20"/>
        </w:rPr>
        <w:t xml:space="preserve">wealth individuals is </w:t>
      </w:r>
      <w:r w:rsidRPr="00EB1DA3">
        <w:rPr>
          <w:rFonts w:ascii="Arial" w:hAnsi="Arial" w:cs="Arial"/>
          <w:sz w:val="20"/>
        </w:rPr>
        <w:t xml:space="preserve">said to be </w:t>
      </w:r>
      <w:r w:rsidR="00B84601" w:rsidRPr="00EB1DA3">
        <w:rPr>
          <w:rFonts w:ascii="Arial" w:hAnsi="Arial" w:cs="Arial"/>
          <w:sz w:val="20"/>
        </w:rPr>
        <w:t>taking shape. Other revenue-enhancing initiatives include the multi</w:t>
      </w:r>
      <w:r w:rsidR="00B84601" w:rsidRPr="00EB1DA3">
        <w:rPr>
          <w:rFonts w:cs="Arial"/>
          <w:sz w:val="20"/>
        </w:rPr>
        <w:t>‐</w:t>
      </w:r>
      <w:r w:rsidR="00B84601" w:rsidRPr="00EB1DA3">
        <w:rPr>
          <w:rFonts w:ascii="Arial" w:hAnsi="Arial" w:cs="Arial"/>
          <w:sz w:val="20"/>
        </w:rPr>
        <w:t xml:space="preserve">year customs modernisation </w:t>
      </w:r>
      <w:r w:rsidRPr="00EB1DA3">
        <w:rPr>
          <w:rFonts w:ascii="Arial" w:hAnsi="Arial" w:cs="Arial"/>
          <w:sz w:val="20"/>
        </w:rPr>
        <w:t>programme currently underway;</w:t>
      </w:r>
      <w:r w:rsidR="00B84601" w:rsidRPr="00EB1DA3">
        <w:rPr>
          <w:rFonts w:ascii="Arial" w:hAnsi="Arial" w:cs="Arial"/>
          <w:sz w:val="20"/>
        </w:rPr>
        <w:t xml:space="preserve"> enhanced efforts to counter criminal and illicit activity</w:t>
      </w:r>
      <w:r w:rsidRPr="00EB1DA3">
        <w:rPr>
          <w:rFonts w:ascii="Arial" w:hAnsi="Arial" w:cs="Arial"/>
          <w:sz w:val="20"/>
        </w:rPr>
        <w:t>;</w:t>
      </w:r>
      <w:r w:rsidR="00B84601" w:rsidRPr="00EB1DA3">
        <w:rPr>
          <w:rFonts w:ascii="Arial" w:hAnsi="Arial" w:cs="Arial"/>
          <w:sz w:val="20"/>
        </w:rPr>
        <w:t xml:space="preserve"> a review of all businesses that received payments from national and provincial government over the past five years and implementation of the majority of the Nugent Commission recommendations</w:t>
      </w:r>
      <w:r w:rsidRPr="00EB1DA3">
        <w:rPr>
          <w:rFonts w:ascii="Arial" w:hAnsi="Arial" w:cs="Arial"/>
          <w:sz w:val="20"/>
        </w:rPr>
        <w:t>. The SARS is currently</w:t>
      </w:r>
      <w:r w:rsidR="00B84601" w:rsidRPr="00EB1DA3">
        <w:rPr>
          <w:rFonts w:ascii="Arial" w:hAnsi="Arial" w:cs="Arial"/>
          <w:sz w:val="20"/>
        </w:rPr>
        <w:t xml:space="preserve"> aligning the outstanding recommendations with those of the State Capture Commission</w:t>
      </w:r>
      <w:r w:rsidRPr="00EB1DA3">
        <w:rPr>
          <w:rFonts w:ascii="Arial" w:hAnsi="Arial" w:cs="Arial"/>
          <w:sz w:val="20"/>
        </w:rPr>
        <w:t xml:space="preserve"> (2022 Budget Review)</w:t>
      </w:r>
      <w:r w:rsidR="00B84601" w:rsidRPr="00EB1DA3">
        <w:rPr>
          <w:rFonts w:ascii="Arial" w:hAnsi="Arial" w:cs="Arial"/>
          <w:sz w:val="20"/>
        </w:rPr>
        <w:t>.</w:t>
      </w:r>
    </w:p>
    <w:p w:rsidR="004C48E6" w:rsidRPr="00EB1DA3" w:rsidRDefault="00104C0C" w:rsidP="00EB1DA3">
      <w:pPr>
        <w:pStyle w:val="Heading2"/>
        <w:spacing w:before="0" w:line="240" w:lineRule="auto"/>
        <w:rPr>
          <w:rFonts w:ascii="Arial" w:hAnsi="Arial" w:cs="Arial"/>
          <w:sz w:val="20"/>
        </w:rPr>
      </w:pPr>
      <w:r w:rsidRPr="00EB1DA3">
        <w:rPr>
          <w:rFonts w:ascii="Arial" w:hAnsi="Arial" w:cs="Arial"/>
          <w:sz w:val="20"/>
        </w:rPr>
        <w:t>KEY</w:t>
      </w:r>
      <w:r w:rsidR="000712A8" w:rsidRPr="00EB1DA3">
        <w:rPr>
          <w:rFonts w:ascii="Arial" w:hAnsi="Arial" w:cs="Arial"/>
          <w:sz w:val="20"/>
        </w:rPr>
        <w:t xml:space="preserve"> ISSUES RAISED DURING</w:t>
      </w:r>
      <w:r w:rsidR="0084429C" w:rsidRPr="00EB1DA3">
        <w:rPr>
          <w:rFonts w:ascii="Arial" w:hAnsi="Arial" w:cs="Arial"/>
          <w:sz w:val="20"/>
        </w:rPr>
        <w:t xml:space="preserve"> THE PUBLIC PARTICIPATION PROCESS</w:t>
      </w:r>
      <w:r w:rsidR="00D92E1A" w:rsidRPr="00EB1DA3">
        <w:rPr>
          <w:rFonts w:ascii="Arial" w:hAnsi="Arial" w:cs="Arial"/>
          <w:sz w:val="20"/>
        </w:rPr>
        <w:t xml:space="preserve"> </w:t>
      </w:r>
    </w:p>
    <w:p w:rsidR="00D71147" w:rsidRPr="00EB1DA3" w:rsidRDefault="00D71147" w:rsidP="00EB1DA3">
      <w:pPr>
        <w:rPr>
          <w:rFonts w:ascii="Arial" w:hAnsi="Arial" w:cs="Arial"/>
          <w:sz w:val="20"/>
        </w:rPr>
      </w:pPr>
      <w:r w:rsidRPr="00EB1DA3">
        <w:rPr>
          <w:rFonts w:ascii="Arial" w:eastAsia="Calibri" w:hAnsi="Arial" w:cs="Arial"/>
          <w:sz w:val="20"/>
        </w:rPr>
        <w:t>Overall, the</w:t>
      </w:r>
      <w:r w:rsidR="002B4F7E" w:rsidRPr="00EB1DA3">
        <w:rPr>
          <w:rFonts w:ascii="Arial" w:eastAsia="Calibri" w:hAnsi="Arial" w:cs="Arial"/>
          <w:sz w:val="20"/>
        </w:rPr>
        <w:t xml:space="preserve"> stakeholders generally </w:t>
      </w:r>
      <w:r w:rsidRPr="00EB1DA3">
        <w:rPr>
          <w:rFonts w:ascii="Arial" w:eastAsia="Calibri" w:hAnsi="Arial" w:cs="Arial"/>
          <w:sz w:val="20"/>
        </w:rPr>
        <w:t>supported</w:t>
      </w:r>
      <w:r w:rsidR="002B4F7E" w:rsidRPr="00EB1DA3">
        <w:rPr>
          <w:rFonts w:ascii="Arial" w:eastAsia="Calibri" w:hAnsi="Arial" w:cs="Arial"/>
          <w:sz w:val="20"/>
        </w:rPr>
        <w:t xml:space="preserve"> the 2022 Budget</w:t>
      </w:r>
      <w:r w:rsidRPr="00EB1DA3">
        <w:rPr>
          <w:rFonts w:ascii="Arial" w:eastAsia="Calibri" w:hAnsi="Arial" w:cs="Arial"/>
          <w:sz w:val="20"/>
        </w:rPr>
        <w:t xml:space="preserve">, particularly the government’s </w:t>
      </w:r>
      <w:r w:rsidR="002B4F7E" w:rsidRPr="00EB1DA3">
        <w:rPr>
          <w:rFonts w:ascii="Arial" w:hAnsi="Arial" w:cs="Arial"/>
          <w:sz w:val="20"/>
        </w:rPr>
        <w:t>continued commitment to consolidating public finances while providing support for the pandemic response, job creation and social protection</w:t>
      </w:r>
      <w:r w:rsidRPr="00EB1DA3">
        <w:rPr>
          <w:rFonts w:ascii="Arial" w:hAnsi="Arial" w:cs="Arial"/>
          <w:sz w:val="20"/>
        </w:rPr>
        <w:t xml:space="preserve"> and tax relief</w:t>
      </w:r>
      <w:r w:rsidR="002B4F7E" w:rsidRPr="00EB1DA3">
        <w:rPr>
          <w:rFonts w:ascii="Arial" w:hAnsi="Arial" w:cs="Arial"/>
          <w:sz w:val="20"/>
        </w:rPr>
        <w:t xml:space="preserve">. </w:t>
      </w:r>
      <w:r w:rsidRPr="00EB1DA3">
        <w:rPr>
          <w:rFonts w:ascii="Arial" w:hAnsi="Arial" w:cs="Arial"/>
          <w:sz w:val="20"/>
        </w:rPr>
        <w:t>There are</w:t>
      </w:r>
      <w:r w:rsidR="004C49BF" w:rsidRPr="00EB1DA3">
        <w:rPr>
          <w:rFonts w:ascii="Arial" w:hAnsi="Arial" w:cs="Arial"/>
          <w:sz w:val="20"/>
        </w:rPr>
        <w:t>,</w:t>
      </w:r>
      <w:r w:rsidRPr="00EB1DA3">
        <w:rPr>
          <w:rFonts w:ascii="Arial" w:hAnsi="Arial" w:cs="Arial"/>
          <w:sz w:val="20"/>
        </w:rPr>
        <w:t xml:space="preserve"> however, some stakeholders whose view is that the government’s co</w:t>
      </w:r>
      <w:r w:rsidR="0086412C" w:rsidRPr="00EB1DA3">
        <w:rPr>
          <w:rFonts w:ascii="Arial" w:hAnsi="Arial" w:cs="Arial"/>
          <w:sz w:val="20"/>
        </w:rPr>
        <w:t>ntinue</w:t>
      </w:r>
      <w:r w:rsidRPr="00EB1DA3">
        <w:rPr>
          <w:rFonts w:ascii="Arial" w:hAnsi="Arial" w:cs="Arial"/>
          <w:sz w:val="20"/>
        </w:rPr>
        <w:t>d fiscal consolidation path is not sustainable, it comes at the expense of the well-being of the people of South Africa and does not adequately address the f</w:t>
      </w:r>
      <w:r w:rsidR="00230B54" w:rsidRPr="00EB1DA3">
        <w:rPr>
          <w:rFonts w:ascii="Arial" w:hAnsi="Arial" w:cs="Arial"/>
          <w:sz w:val="20"/>
        </w:rPr>
        <w:t xml:space="preserve">undamental crises facing </w:t>
      </w:r>
      <w:r w:rsidRPr="00EB1DA3">
        <w:rPr>
          <w:rFonts w:ascii="Arial" w:hAnsi="Arial" w:cs="Arial"/>
          <w:sz w:val="20"/>
        </w:rPr>
        <w:t xml:space="preserve">the </w:t>
      </w:r>
      <w:r w:rsidR="00230B54" w:rsidRPr="00EB1DA3">
        <w:rPr>
          <w:rFonts w:ascii="Arial" w:hAnsi="Arial" w:cs="Arial"/>
          <w:sz w:val="20"/>
        </w:rPr>
        <w:t>workers.</w:t>
      </w:r>
      <w:r w:rsidRPr="00EB1DA3">
        <w:rPr>
          <w:rFonts w:ascii="Arial" w:hAnsi="Arial" w:cs="Arial"/>
          <w:sz w:val="20"/>
        </w:rPr>
        <w:t xml:space="preserve"> There are conflicting views on the proposed reduction of </w:t>
      </w:r>
      <w:r w:rsidR="00DE58AE" w:rsidRPr="00EB1DA3">
        <w:rPr>
          <w:rFonts w:ascii="Arial" w:hAnsi="Arial" w:cs="Arial"/>
          <w:sz w:val="20"/>
        </w:rPr>
        <w:t xml:space="preserve">the </w:t>
      </w:r>
      <w:r w:rsidRPr="00EB1DA3">
        <w:rPr>
          <w:rFonts w:ascii="Arial" w:hAnsi="Arial" w:cs="Arial"/>
          <w:sz w:val="20"/>
        </w:rPr>
        <w:t xml:space="preserve">CIT. </w:t>
      </w:r>
    </w:p>
    <w:p w:rsidR="005F1C82" w:rsidRPr="00EB1DA3" w:rsidRDefault="009C50FA" w:rsidP="00EB1DA3">
      <w:pPr>
        <w:pStyle w:val="Heading3"/>
        <w:numPr>
          <w:ilvl w:val="0"/>
          <w:numId w:val="0"/>
        </w:numPr>
        <w:spacing w:before="0" w:line="240" w:lineRule="auto"/>
        <w:ind w:left="720" w:hanging="720"/>
        <w:rPr>
          <w:rFonts w:ascii="Arial" w:hAnsi="Arial" w:cs="Arial"/>
          <w:b/>
          <w:sz w:val="20"/>
          <w:u w:val="none"/>
        </w:rPr>
      </w:pPr>
      <w:r w:rsidRPr="00EB1DA3">
        <w:rPr>
          <w:rFonts w:ascii="Arial" w:hAnsi="Arial" w:cs="Arial"/>
          <w:b/>
          <w:sz w:val="20"/>
          <w:u w:val="none"/>
        </w:rPr>
        <w:t xml:space="preserve">Macroeconomic issues, policy and reforms </w:t>
      </w:r>
    </w:p>
    <w:p w:rsidR="00A66AE4" w:rsidRPr="00EB1DA3" w:rsidRDefault="00A01873" w:rsidP="00EB1DA3">
      <w:pPr>
        <w:pStyle w:val="FirstPara"/>
        <w:spacing w:before="0" w:line="240" w:lineRule="auto"/>
        <w:jc w:val="left"/>
        <w:rPr>
          <w:rFonts w:ascii="Arial" w:hAnsi="Arial" w:cs="Arial"/>
          <w:sz w:val="20"/>
        </w:rPr>
      </w:pPr>
      <w:r w:rsidRPr="00EB1DA3">
        <w:rPr>
          <w:rFonts w:ascii="Arial" w:hAnsi="Arial" w:cs="Arial"/>
          <w:sz w:val="20"/>
        </w:rPr>
        <w:t xml:space="preserve">This section briefly summarises the </w:t>
      </w:r>
      <w:r w:rsidR="000E4778" w:rsidRPr="00EB1DA3">
        <w:rPr>
          <w:rFonts w:ascii="Arial" w:hAnsi="Arial" w:cs="Arial"/>
          <w:sz w:val="20"/>
        </w:rPr>
        <w:t xml:space="preserve">comments, </w:t>
      </w:r>
      <w:r w:rsidRPr="00EB1DA3">
        <w:rPr>
          <w:rFonts w:ascii="Arial" w:hAnsi="Arial" w:cs="Arial"/>
          <w:sz w:val="20"/>
        </w:rPr>
        <w:t xml:space="preserve">issues raised and recommendations made by the stakeholders on </w:t>
      </w:r>
      <w:r w:rsidR="008860F3" w:rsidRPr="00EB1DA3">
        <w:rPr>
          <w:rFonts w:ascii="Arial" w:hAnsi="Arial" w:cs="Arial"/>
          <w:sz w:val="20"/>
        </w:rPr>
        <w:t xml:space="preserve">the </w:t>
      </w:r>
      <w:r w:rsidRPr="00EB1DA3">
        <w:rPr>
          <w:rFonts w:ascii="Arial" w:hAnsi="Arial" w:cs="Arial"/>
          <w:sz w:val="20"/>
        </w:rPr>
        <w:t xml:space="preserve">economic </w:t>
      </w:r>
      <w:r w:rsidR="00212914" w:rsidRPr="00EB1DA3">
        <w:rPr>
          <w:rFonts w:ascii="Arial" w:hAnsi="Arial" w:cs="Arial"/>
          <w:sz w:val="20"/>
        </w:rPr>
        <w:t xml:space="preserve">growth, </w:t>
      </w:r>
      <w:r w:rsidRPr="00EB1DA3">
        <w:rPr>
          <w:rFonts w:ascii="Arial" w:hAnsi="Arial" w:cs="Arial"/>
          <w:sz w:val="20"/>
        </w:rPr>
        <w:t>policy</w:t>
      </w:r>
      <w:r w:rsidR="00212914" w:rsidRPr="00EB1DA3">
        <w:rPr>
          <w:rFonts w:ascii="Arial" w:hAnsi="Arial" w:cs="Arial"/>
          <w:sz w:val="20"/>
        </w:rPr>
        <w:t xml:space="preserve">, reforms </w:t>
      </w:r>
      <w:r w:rsidRPr="00EB1DA3">
        <w:rPr>
          <w:rFonts w:ascii="Arial" w:hAnsi="Arial" w:cs="Arial"/>
          <w:sz w:val="20"/>
        </w:rPr>
        <w:t>and the labour market and re</w:t>
      </w:r>
      <w:r w:rsidR="00434EB6" w:rsidRPr="00EB1DA3">
        <w:rPr>
          <w:rFonts w:ascii="Arial" w:hAnsi="Arial" w:cs="Arial"/>
          <w:sz w:val="20"/>
        </w:rPr>
        <w:t>sponses by the NT</w:t>
      </w:r>
      <w:r w:rsidRPr="00EB1DA3">
        <w:rPr>
          <w:rFonts w:ascii="Arial" w:hAnsi="Arial" w:cs="Arial"/>
          <w:sz w:val="20"/>
        </w:rPr>
        <w:t>.</w:t>
      </w:r>
    </w:p>
    <w:p w:rsidR="0044644B" w:rsidRPr="00EB1DA3" w:rsidRDefault="000342E2" w:rsidP="00EB1DA3">
      <w:pPr>
        <w:pStyle w:val="Heading3"/>
        <w:spacing w:before="0" w:line="240" w:lineRule="auto"/>
        <w:rPr>
          <w:rFonts w:ascii="Arial" w:hAnsi="Arial" w:cs="Arial"/>
          <w:sz w:val="20"/>
          <w:u w:val="none"/>
        </w:rPr>
      </w:pPr>
      <w:r w:rsidRPr="00EB1DA3">
        <w:rPr>
          <w:rFonts w:ascii="Arial" w:hAnsi="Arial" w:cs="Arial"/>
          <w:sz w:val="20"/>
          <w:u w:val="none"/>
        </w:rPr>
        <w:t>Summary of c</w:t>
      </w:r>
      <w:r w:rsidR="0044644B" w:rsidRPr="00EB1DA3">
        <w:rPr>
          <w:rFonts w:ascii="Arial" w:hAnsi="Arial" w:cs="Arial"/>
          <w:sz w:val="20"/>
          <w:u w:val="none"/>
        </w:rPr>
        <w:t>omments and concerns raised</w:t>
      </w:r>
      <w:r w:rsidR="004F17E1" w:rsidRPr="00EB1DA3">
        <w:rPr>
          <w:rFonts w:ascii="Arial" w:hAnsi="Arial" w:cs="Arial"/>
          <w:sz w:val="20"/>
          <w:u w:val="none"/>
        </w:rPr>
        <w:t xml:space="preserve"> by the stakeholders </w:t>
      </w:r>
      <w:r w:rsidR="00C134D9" w:rsidRPr="00EB1DA3">
        <w:rPr>
          <w:rFonts w:ascii="Arial" w:hAnsi="Arial" w:cs="Arial"/>
          <w:sz w:val="20"/>
          <w:u w:val="none"/>
        </w:rPr>
        <w:t>on macroeconomic issues</w:t>
      </w:r>
    </w:p>
    <w:p w:rsidR="0040784D" w:rsidRPr="00EB1DA3" w:rsidRDefault="00CD5A61" w:rsidP="00EB1DA3">
      <w:pPr>
        <w:rPr>
          <w:rFonts w:ascii="Arial" w:hAnsi="Arial" w:cs="Arial"/>
          <w:sz w:val="20"/>
        </w:rPr>
      </w:pPr>
      <w:r w:rsidRPr="00EB1DA3">
        <w:rPr>
          <w:rFonts w:ascii="Arial" w:hAnsi="Arial" w:cs="Arial"/>
          <w:sz w:val="20"/>
        </w:rPr>
        <w:t xml:space="preserve">The </w:t>
      </w:r>
      <w:r w:rsidR="008860F3" w:rsidRPr="00EB1DA3">
        <w:rPr>
          <w:rFonts w:ascii="Arial" w:hAnsi="Arial" w:cs="Arial"/>
          <w:sz w:val="20"/>
        </w:rPr>
        <w:t xml:space="preserve">stakeholders expressed </w:t>
      </w:r>
      <w:r w:rsidR="00CD12CD" w:rsidRPr="00EB1DA3">
        <w:rPr>
          <w:rFonts w:ascii="Arial" w:hAnsi="Arial" w:cs="Arial"/>
          <w:sz w:val="20"/>
        </w:rPr>
        <w:t>concern</w:t>
      </w:r>
      <w:r w:rsidR="008860F3" w:rsidRPr="00EB1DA3">
        <w:rPr>
          <w:rFonts w:ascii="Arial" w:hAnsi="Arial" w:cs="Arial"/>
          <w:sz w:val="20"/>
        </w:rPr>
        <w:t>s</w:t>
      </w:r>
      <w:r w:rsidR="00212914" w:rsidRPr="00EB1DA3">
        <w:rPr>
          <w:rFonts w:ascii="Arial" w:hAnsi="Arial" w:cs="Arial"/>
          <w:sz w:val="20"/>
        </w:rPr>
        <w:t xml:space="preserve"> about </w:t>
      </w:r>
      <w:r w:rsidR="00CD12CD" w:rsidRPr="00EB1DA3">
        <w:rPr>
          <w:rFonts w:ascii="Arial" w:hAnsi="Arial" w:cs="Arial"/>
          <w:sz w:val="20"/>
        </w:rPr>
        <w:t xml:space="preserve">the </w:t>
      </w:r>
      <w:r w:rsidRPr="00EB1DA3">
        <w:rPr>
          <w:rFonts w:ascii="Arial" w:hAnsi="Arial" w:cs="Arial"/>
          <w:sz w:val="20"/>
        </w:rPr>
        <w:t>country</w:t>
      </w:r>
      <w:r w:rsidR="008860F3" w:rsidRPr="00EB1DA3">
        <w:rPr>
          <w:rFonts w:ascii="Arial" w:hAnsi="Arial" w:cs="Arial"/>
          <w:sz w:val="20"/>
        </w:rPr>
        <w:t>’s</w:t>
      </w:r>
      <w:r w:rsidRPr="00EB1DA3">
        <w:rPr>
          <w:rFonts w:ascii="Arial" w:hAnsi="Arial" w:cs="Arial"/>
          <w:sz w:val="20"/>
        </w:rPr>
        <w:t xml:space="preserve"> potential </w:t>
      </w:r>
      <w:r w:rsidR="00CD12CD" w:rsidRPr="00EB1DA3">
        <w:rPr>
          <w:rFonts w:ascii="Arial" w:hAnsi="Arial" w:cs="Arial"/>
          <w:sz w:val="20"/>
        </w:rPr>
        <w:t>GDP growth</w:t>
      </w:r>
      <w:r w:rsidR="008860F3" w:rsidRPr="00EB1DA3">
        <w:rPr>
          <w:rFonts w:ascii="Arial" w:hAnsi="Arial" w:cs="Arial"/>
          <w:sz w:val="20"/>
        </w:rPr>
        <w:t xml:space="preserve"> rate, which declined</w:t>
      </w:r>
      <w:r w:rsidR="00CD12CD" w:rsidRPr="00EB1DA3">
        <w:rPr>
          <w:rFonts w:ascii="Arial" w:hAnsi="Arial" w:cs="Arial"/>
          <w:sz w:val="20"/>
        </w:rPr>
        <w:t xml:space="preserve"> from around 4 per cent during</w:t>
      </w:r>
      <w:r w:rsidRPr="00EB1DA3">
        <w:rPr>
          <w:rFonts w:ascii="Arial" w:hAnsi="Arial" w:cs="Arial"/>
          <w:sz w:val="20"/>
        </w:rPr>
        <w:t xml:space="preserve"> the mid-2000s </w:t>
      </w:r>
      <w:r w:rsidR="00CD12CD" w:rsidRPr="00EB1DA3">
        <w:rPr>
          <w:rFonts w:ascii="Arial" w:hAnsi="Arial" w:cs="Arial"/>
          <w:sz w:val="20"/>
        </w:rPr>
        <w:t>to only</w:t>
      </w:r>
      <w:r w:rsidRPr="00EB1DA3">
        <w:rPr>
          <w:rFonts w:ascii="Arial" w:hAnsi="Arial" w:cs="Arial"/>
          <w:sz w:val="20"/>
        </w:rPr>
        <w:t xml:space="preserve"> 1.9 per cent to 2.3 per cent range</w:t>
      </w:r>
      <w:r w:rsidR="008860F3" w:rsidRPr="00EB1DA3">
        <w:rPr>
          <w:rFonts w:ascii="Arial" w:hAnsi="Arial" w:cs="Arial"/>
          <w:sz w:val="20"/>
        </w:rPr>
        <w:t xml:space="preserve"> currently</w:t>
      </w:r>
      <w:r w:rsidRPr="00EB1DA3">
        <w:rPr>
          <w:rFonts w:ascii="Arial" w:hAnsi="Arial" w:cs="Arial"/>
          <w:sz w:val="20"/>
        </w:rPr>
        <w:t xml:space="preserve">. </w:t>
      </w:r>
      <w:r w:rsidR="008860F3" w:rsidRPr="00EB1DA3">
        <w:rPr>
          <w:rFonts w:ascii="Arial" w:hAnsi="Arial" w:cs="Arial"/>
          <w:sz w:val="20"/>
        </w:rPr>
        <w:t xml:space="preserve">PwC and SAICA noted a strong </w:t>
      </w:r>
      <w:r w:rsidR="0096267E" w:rsidRPr="00EB1DA3">
        <w:rPr>
          <w:rFonts w:ascii="Arial" w:hAnsi="Arial" w:cs="Arial"/>
          <w:sz w:val="20"/>
        </w:rPr>
        <w:t>connection between the government’s tax revenue earnings and economic growth</w:t>
      </w:r>
      <w:r w:rsidR="008860F3" w:rsidRPr="00EB1DA3">
        <w:rPr>
          <w:rFonts w:ascii="Arial" w:hAnsi="Arial" w:cs="Arial"/>
          <w:sz w:val="20"/>
        </w:rPr>
        <w:t xml:space="preserve">. </w:t>
      </w:r>
    </w:p>
    <w:p w:rsidR="008860F3" w:rsidRPr="00EB1DA3" w:rsidRDefault="008860F3" w:rsidP="00EB1DA3">
      <w:pPr>
        <w:rPr>
          <w:rStyle w:val="markedcontent"/>
          <w:rFonts w:ascii="Arial" w:hAnsi="Arial" w:cs="Arial"/>
          <w:sz w:val="20"/>
        </w:rPr>
      </w:pPr>
      <w:r w:rsidRPr="00EB1DA3">
        <w:rPr>
          <w:rFonts w:ascii="Arial" w:hAnsi="Arial" w:cs="Arial"/>
          <w:sz w:val="20"/>
        </w:rPr>
        <w:t>T</w:t>
      </w:r>
      <w:r w:rsidR="00A71EB7" w:rsidRPr="00EB1DA3">
        <w:rPr>
          <w:rFonts w:ascii="Arial" w:hAnsi="Arial" w:cs="Arial"/>
          <w:sz w:val="20"/>
        </w:rPr>
        <w:t>he FFC</w:t>
      </w:r>
      <w:r w:rsidRPr="00EB1DA3">
        <w:rPr>
          <w:rFonts w:ascii="Arial" w:hAnsi="Arial" w:cs="Arial"/>
          <w:sz w:val="20"/>
        </w:rPr>
        <w:t>’s</w:t>
      </w:r>
      <w:r w:rsidR="00A71EB7" w:rsidRPr="00EB1DA3">
        <w:rPr>
          <w:rFonts w:ascii="Arial" w:hAnsi="Arial" w:cs="Arial"/>
          <w:sz w:val="20"/>
        </w:rPr>
        <w:t xml:space="preserve"> view is that it is improbable that the economy will return to pre-pandemic production levels </w:t>
      </w:r>
      <w:r w:rsidRPr="00EB1DA3">
        <w:rPr>
          <w:rFonts w:ascii="Arial" w:hAnsi="Arial" w:cs="Arial"/>
          <w:sz w:val="20"/>
        </w:rPr>
        <w:t>in 2022</w:t>
      </w:r>
      <w:r w:rsidR="00212914" w:rsidRPr="00EB1DA3">
        <w:rPr>
          <w:rFonts w:ascii="Arial" w:hAnsi="Arial" w:cs="Arial"/>
          <w:sz w:val="20"/>
        </w:rPr>
        <w:t>, as NT estimated,</w:t>
      </w:r>
      <w:r w:rsidRPr="00EB1DA3">
        <w:rPr>
          <w:rFonts w:ascii="Arial" w:hAnsi="Arial" w:cs="Arial"/>
          <w:sz w:val="20"/>
        </w:rPr>
        <w:t xml:space="preserve"> while the </w:t>
      </w:r>
      <w:r w:rsidR="00185EE1" w:rsidRPr="00EB1DA3">
        <w:rPr>
          <w:rStyle w:val="markedcontent"/>
          <w:rFonts w:ascii="Arial" w:hAnsi="Arial" w:cs="Arial"/>
          <w:sz w:val="20"/>
        </w:rPr>
        <w:t xml:space="preserve">PBO </w:t>
      </w:r>
      <w:r w:rsidRPr="00EB1DA3">
        <w:rPr>
          <w:rStyle w:val="markedcontent"/>
          <w:rFonts w:ascii="Arial" w:hAnsi="Arial" w:cs="Arial"/>
          <w:sz w:val="20"/>
        </w:rPr>
        <w:t>is concerned</w:t>
      </w:r>
      <w:r w:rsidR="00185EE1" w:rsidRPr="00EB1DA3">
        <w:rPr>
          <w:rStyle w:val="markedcontent"/>
          <w:rFonts w:ascii="Arial" w:hAnsi="Arial" w:cs="Arial"/>
          <w:sz w:val="20"/>
        </w:rPr>
        <w:t xml:space="preserve"> that the government’s structural reforms are slow and inadequate to boost growth and achieve meaningful macroeconomic stability over the medium and long term.</w:t>
      </w:r>
    </w:p>
    <w:p w:rsidR="005B2450" w:rsidRPr="00EB1DA3" w:rsidRDefault="00A41410" w:rsidP="00EB1DA3">
      <w:pPr>
        <w:rPr>
          <w:rFonts w:ascii="Arial" w:hAnsi="Arial" w:cs="Arial"/>
          <w:sz w:val="20"/>
        </w:rPr>
      </w:pPr>
      <w:r w:rsidRPr="00EB1DA3">
        <w:rPr>
          <w:rFonts w:ascii="Arial" w:hAnsi="Arial" w:cs="Arial"/>
          <w:sz w:val="20"/>
        </w:rPr>
        <w:t>T</w:t>
      </w:r>
      <w:r w:rsidR="009C0888" w:rsidRPr="00EB1DA3">
        <w:rPr>
          <w:rFonts w:ascii="Arial" w:hAnsi="Arial" w:cs="Arial"/>
          <w:sz w:val="20"/>
        </w:rPr>
        <w:t xml:space="preserve">he </w:t>
      </w:r>
      <w:r w:rsidR="00921A36" w:rsidRPr="00EB1DA3">
        <w:rPr>
          <w:rFonts w:ascii="Arial" w:hAnsi="Arial" w:cs="Arial"/>
          <w:sz w:val="20"/>
        </w:rPr>
        <w:t xml:space="preserve">FFC </w:t>
      </w:r>
      <w:r w:rsidR="0073317F" w:rsidRPr="00EB1DA3">
        <w:rPr>
          <w:rFonts w:ascii="Arial" w:hAnsi="Arial" w:cs="Arial"/>
          <w:sz w:val="20"/>
        </w:rPr>
        <w:t xml:space="preserve">noted </w:t>
      </w:r>
      <w:r w:rsidR="00C74CF9" w:rsidRPr="00EB1DA3">
        <w:rPr>
          <w:rFonts w:ascii="Arial" w:hAnsi="Arial" w:cs="Arial"/>
          <w:sz w:val="20"/>
        </w:rPr>
        <w:t>that the composition of economic function expenditure is not well aligned to the Economic Reconstruction and Recovery Plan (ERRP)</w:t>
      </w:r>
      <w:r w:rsidR="005B2450" w:rsidRPr="00EB1DA3">
        <w:rPr>
          <w:rFonts w:ascii="Arial" w:hAnsi="Arial" w:cs="Arial"/>
          <w:sz w:val="20"/>
        </w:rPr>
        <w:t>.</w:t>
      </w:r>
      <w:r w:rsidR="00C74CF9" w:rsidRPr="00EB1DA3">
        <w:rPr>
          <w:rFonts w:ascii="Arial" w:hAnsi="Arial" w:cs="Arial"/>
          <w:sz w:val="20"/>
        </w:rPr>
        <w:t xml:space="preserve"> </w:t>
      </w:r>
      <w:r w:rsidR="0080266E" w:rsidRPr="00EB1DA3">
        <w:rPr>
          <w:rFonts w:ascii="Arial" w:hAnsi="Arial" w:cs="Arial"/>
          <w:sz w:val="20"/>
        </w:rPr>
        <w:t xml:space="preserve">In particular, </w:t>
      </w:r>
      <w:r w:rsidR="00C74CF9" w:rsidRPr="00EB1DA3">
        <w:rPr>
          <w:rFonts w:ascii="Arial" w:hAnsi="Arial" w:cs="Arial"/>
          <w:sz w:val="20"/>
        </w:rPr>
        <w:t>localisation through industrialisation and food security as crucial interventions for job creation associated allocations are declining</w:t>
      </w:r>
      <w:r w:rsidR="005B2450" w:rsidRPr="00EB1DA3">
        <w:rPr>
          <w:rFonts w:ascii="Arial" w:hAnsi="Arial" w:cs="Arial"/>
          <w:sz w:val="20"/>
        </w:rPr>
        <w:t>.</w:t>
      </w:r>
      <w:r w:rsidR="00002A17" w:rsidRPr="00EB1DA3">
        <w:rPr>
          <w:rFonts w:ascii="Arial" w:hAnsi="Arial" w:cs="Arial"/>
          <w:sz w:val="20"/>
        </w:rPr>
        <w:t xml:space="preserve"> </w:t>
      </w:r>
    </w:p>
    <w:p w:rsidR="00337B24" w:rsidRPr="00EB1DA3" w:rsidRDefault="00CD5A61" w:rsidP="00EB1DA3">
      <w:pPr>
        <w:rPr>
          <w:rFonts w:ascii="Arial" w:hAnsi="Arial" w:cs="Arial"/>
          <w:sz w:val="20"/>
          <w:lang w:val="en-ZA" w:eastAsia="en-GB"/>
        </w:rPr>
      </w:pPr>
      <w:r w:rsidRPr="00EB1DA3">
        <w:rPr>
          <w:rFonts w:ascii="Arial" w:hAnsi="Arial" w:cs="Arial"/>
          <w:bCs/>
          <w:sz w:val="20"/>
          <w:lang w:val="en-ZA" w:eastAsia="en-GB"/>
        </w:rPr>
        <w:t>On i</w:t>
      </w:r>
      <w:r w:rsidR="00337B24" w:rsidRPr="00EB1DA3">
        <w:rPr>
          <w:rFonts w:ascii="Arial" w:hAnsi="Arial" w:cs="Arial"/>
          <w:bCs/>
          <w:sz w:val="20"/>
          <w:lang w:val="en-ZA" w:eastAsia="en-GB"/>
        </w:rPr>
        <w:t>ndustrial policy support</w:t>
      </w:r>
      <w:r w:rsidRPr="00EB1DA3">
        <w:rPr>
          <w:rFonts w:ascii="Arial" w:hAnsi="Arial" w:cs="Arial"/>
          <w:bCs/>
          <w:sz w:val="20"/>
          <w:lang w:val="en-ZA" w:eastAsia="en-GB"/>
        </w:rPr>
        <w:t>, the IEJ</w:t>
      </w:r>
      <w:r w:rsidR="00337B24" w:rsidRPr="00EB1DA3">
        <w:rPr>
          <w:rFonts w:ascii="Arial" w:hAnsi="Arial" w:cs="Arial"/>
          <w:bCs/>
          <w:sz w:val="20"/>
          <w:lang w:val="en-ZA" w:eastAsia="en-GB"/>
        </w:rPr>
        <w:t xml:space="preserve"> </w:t>
      </w:r>
      <w:r w:rsidR="003D6C1F" w:rsidRPr="00EB1DA3">
        <w:rPr>
          <w:rFonts w:ascii="Arial" w:hAnsi="Arial" w:cs="Arial"/>
          <w:bCs/>
          <w:sz w:val="20"/>
          <w:lang w:val="en-ZA" w:eastAsia="en-GB"/>
        </w:rPr>
        <w:t xml:space="preserve">said that </w:t>
      </w:r>
      <w:r w:rsidRPr="00EB1DA3">
        <w:rPr>
          <w:rFonts w:ascii="Arial" w:hAnsi="Arial" w:cs="Arial"/>
          <w:sz w:val="20"/>
          <w:lang w:val="en-ZA" w:eastAsia="en-GB"/>
        </w:rPr>
        <w:t>the</w:t>
      </w:r>
      <w:r w:rsidR="00337B24" w:rsidRPr="00EB1DA3">
        <w:rPr>
          <w:rFonts w:ascii="Arial" w:hAnsi="Arial" w:cs="Arial"/>
          <w:sz w:val="20"/>
          <w:lang w:val="en-ZA" w:eastAsia="en-GB"/>
        </w:rPr>
        <w:t xml:space="preserve"> policy </w:t>
      </w:r>
      <w:r w:rsidR="003D6C1F" w:rsidRPr="00EB1DA3">
        <w:rPr>
          <w:rFonts w:ascii="Arial" w:hAnsi="Arial" w:cs="Arial"/>
          <w:sz w:val="20"/>
          <w:lang w:val="en-ZA" w:eastAsia="en-GB"/>
        </w:rPr>
        <w:t xml:space="preserve">was </w:t>
      </w:r>
      <w:r w:rsidR="00337B24" w:rsidRPr="00EB1DA3">
        <w:rPr>
          <w:rFonts w:ascii="Arial" w:hAnsi="Arial" w:cs="Arial"/>
          <w:sz w:val="20"/>
          <w:lang w:val="en-ZA" w:eastAsia="en-GB"/>
        </w:rPr>
        <w:t>being reduced to a regulatory tool rather than a strategy for building capacity and capability in the manufacturing sector.</w:t>
      </w:r>
      <w:r w:rsidR="0080266E" w:rsidRPr="00EB1DA3">
        <w:rPr>
          <w:rFonts w:ascii="Arial" w:hAnsi="Arial" w:cs="Arial"/>
          <w:sz w:val="20"/>
          <w:lang w:val="en-ZA" w:eastAsia="en-GB"/>
        </w:rPr>
        <w:t xml:space="preserve"> Its concern is that the </w:t>
      </w:r>
      <w:r w:rsidR="00337B24" w:rsidRPr="00EB1DA3">
        <w:rPr>
          <w:rFonts w:ascii="Arial" w:hAnsi="Arial" w:cs="Arial"/>
          <w:sz w:val="20"/>
          <w:lang w:val="en-ZA" w:eastAsia="en-GB"/>
        </w:rPr>
        <w:t xml:space="preserve">budget allocations in this space are inadequate and premised on an outdated neoliberal </w:t>
      </w:r>
      <w:r w:rsidRPr="00EB1DA3">
        <w:rPr>
          <w:rFonts w:ascii="Arial" w:hAnsi="Arial" w:cs="Arial"/>
          <w:sz w:val="20"/>
          <w:lang w:val="en-ZA" w:eastAsia="en-GB"/>
        </w:rPr>
        <w:t>Public-Private-Partnerships (</w:t>
      </w:r>
      <w:r w:rsidR="00337B24" w:rsidRPr="00EB1DA3">
        <w:rPr>
          <w:rFonts w:ascii="Arial" w:hAnsi="Arial" w:cs="Arial"/>
          <w:sz w:val="20"/>
          <w:lang w:val="en-ZA" w:eastAsia="en-GB"/>
        </w:rPr>
        <w:t>PPP</w:t>
      </w:r>
      <w:r w:rsidRPr="00EB1DA3">
        <w:rPr>
          <w:rFonts w:ascii="Arial" w:hAnsi="Arial" w:cs="Arial"/>
          <w:sz w:val="20"/>
          <w:lang w:val="en-ZA" w:eastAsia="en-GB"/>
        </w:rPr>
        <w:t>)</w:t>
      </w:r>
      <w:r w:rsidR="00337B24" w:rsidRPr="00EB1DA3">
        <w:rPr>
          <w:rFonts w:ascii="Arial" w:hAnsi="Arial" w:cs="Arial"/>
          <w:sz w:val="20"/>
          <w:lang w:val="en-ZA" w:eastAsia="en-GB"/>
        </w:rPr>
        <w:t xml:space="preserve"> model that has consistently failed to deliver development outcomes.  </w:t>
      </w:r>
      <w:r w:rsidR="0080266E" w:rsidRPr="00EB1DA3">
        <w:rPr>
          <w:rFonts w:ascii="Arial" w:hAnsi="Arial" w:cs="Arial"/>
          <w:sz w:val="20"/>
          <w:lang w:val="en-ZA" w:eastAsia="en-GB"/>
        </w:rPr>
        <w:t>Also, there had</w:t>
      </w:r>
      <w:r w:rsidR="00337B24" w:rsidRPr="00EB1DA3">
        <w:rPr>
          <w:rFonts w:ascii="Arial" w:hAnsi="Arial" w:cs="Arial"/>
          <w:sz w:val="20"/>
          <w:lang w:val="en-ZA" w:eastAsia="en-GB"/>
        </w:rPr>
        <w:t xml:space="preserve"> not been a substantial project delivered through the PPP model in a decade</w:t>
      </w:r>
      <w:r w:rsidR="0080266E" w:rsidRPr="00EB1DA3">
        <w:rPr>
          <w:rFonts w:ascii="Arial" w:hAnsi="Arial" w:cs="Arial"/>
          <w:sz w:val="20"/>
          <w:lang w:val="en-ZA" w:eastAsia="en-GB"/>
        </w:rPr>
        <w:t xml:space="preserve"> and </w:t>
      </w:r>
      <w:r w:rsidR="00337B24" w:rsidRPr="00EB1DA3">
        <w:rPr>
          <w:rFonts w:ascii="Arial" w:hAnsi="Arial" w:cs="Arial"/>
          <w:sz w:val="20"/>
          <w:lang w:val="en-ZA" w:eastAsia="en-GB"/>
        </w:rPr>
        <w:t>PPPs have been shown to erode the capacity of the state, contribut</w:t>
      </w:r>
      <w:r w:rsidR="00E76D77" w:rsidRPr="00EB1DA3">
        <w:rPr>
          <w:rFonts w:ascii="Arial" w:hAnsi="Arial" w:cs="Arial"/>
          <w:sz w:val="20"/>
          <w:lang w:val="en-ZA" w:eastAsia="en-GB"/>
        </w:rPr>
        <w:t>ing</w:t>
      </w:r>
      <w:r w:rsidR="00337B24" w:rsidRPr="00EB1DA3">
        <w:rPr>
          <w:rFonts w:ascii="Arial" w:hAnsi="Arial" w:cs="Arial"/>
          <w:sz w:val="20"/>
          <w:lang w:val="en-ZA" w:eastAsia="en-GB"/>
        </w:rPr>
        <w:t xml:space="preserve"> to sovereign debt crises</w:t>
      </w:r>
      <w:r w:rsidR="0080266E" w:rsidRPr="00EB1DA3">
        <w:rPr>
          <w:rFonts w:ascii="Arial" w:hAnsi="Arial" w:cs="Arial"/>
          <w:sz w:val="20"/>
          <w:lang w:val="en-ZA" w:eastAsia="en-GB"/>
        </w:rPr>
        <w:t xml:space="preserve"> </w:t>
      </w:r>
      <w:r w:rsidR="00E76D77" w:rsidRPr="00EB1DA3">
        <w:rPr>
          <w:rFonts w:ascii="Arial" w:hAnsi="Arial" w:cs="Arial"/>
          <w:sz w:val="20"/>
          <w:lang w:val="en-ZA" w:eastAsia="en-GB"/>
        </w:rPr>
        <w:t xml:space="preserve">with </w:t>
      </w:r>
      <w:r w:rsidR="00337B24" w:rsidRPr="00EB1DA3">
        <w:rPr>
          <w:rFonts w:ascii="Arial" w:hAnsi="Arial" w:cs="Arial"/>
          <w:sz w:val="20"/>
          <w:lang w:val="en-ZA" w:eastAsia="en-GB"/>
        </w:rPr>
        <w:t xml:space="preserve">little </w:t>
      </w:r>
      <w:r w:rsidR="00E76D77" w:rsidRPr="00EB1DA3">
        <w:rPr>
          <w:rFonts w:ascii="Arial" w:hAnsi="Arial" w:cs="Arial"/>
          <w:sz w:val="20"/>
          <w:lang w:val="en-ZA" w:eastAsia="en-GB"/>
        </w:rPr>
        <w:t xml:space="preserve">impact on </w:t>
      </w:r>
      <w:r w:rsidR="00337B24" w:rsidRPr="00EB1DA3">
        <w:rPr>
          <w:rFonts w:ascii="Arial" w:hAnsi="Arial" w:cs="Arial"/>
          <w:sz w:val="20"/>
          <w:lang w:val="en-ZA" w:eastAsia="en-GB"/>
        </w:rPr>
        <w:t>poverty reduction and development</w:t>
      </w:r>
      <w:r w:rsidR="00E76D77" w:rsidRPr="00EB1DA3">
        <w:rPr>
          <w:rFonts w:ascii="Arial" w:hAnsi="Arial" w:cs="Arial"/>
          <w:sz w:val="20"/>
          <w:lang w:val="en-ZA" w:eastAsia="en-GB"/>
        </w:rPr>
        <w:t>al</w:t>
      </w:r>
      <w:r w:rsidR="00337B24" w:rsidRPr="00EB1DA3">
        <w:rPr>
          <w:rFonts w:ascii="Arial" w:hAnsi="Arial" w:cs="Arial"/>
          <w:sz w:val="20"/>
          <w:lang w:val="en-ZA" w:eastAsia="en-GB"/>
        </w:rPr>
        <w:t xml:space="preserve"> outcomes. </w:t>
      </w:r>
    </w:p>
    <w:p w:rsidR="00C05D84" w:rsidRPr="00EB1DA3" w:rsidRDefault="00703E24" w:rsidP="00EB1DA3">
      <w:pPr>
        <w:rPr>
          <w:rFonts w:ascii="Arial" w:hAnsi="Arial" w:cs="Arial"/>
          <w:sz w:val="20"/>
        </w:rPr>
      </w:pPr>
      <w:r w:rsidRPr="00EB1DA3">
        <w:rPr>
          <w:rFonts w:ascii="Arial" w:hAnsi="Arial" w:cs="Arial"/>
          <w:sz w:val="20"/>
        </w:rPr>
        <w:t>On labour markets, t</w:t>
      </w:r>
      <w:r w:rsidR="00CD5A61" w:rsidRPr="00EB1DA3">
        <w:rPr>
          <w:rFonts w:ascii="Arial" w:hAnsi="Arial" w:cs="Arial"/>
          <w:sz w:val="20"/>
        </w:rPr>
        <w:t xml:space="preserve">he </w:t>
      </w:r>
      <w:r w:rsidR="00A66AE4" w:rsidRPr="00EB1DA3">
        <w:rPr>
          <w:rFonts w:ascii="Arial" w:hAnsi="Arial" w:cs="Arial"/>
          <w:sz w:val="20"/>
        </w:rPr>
        <w:t xml:space="preserve">FFC </w:t>
      </w:r>
      <w:r w:rsidR="00E76D77" w:rsidRPr="00EB1DA3">
        <w:rPr>
          <w:rFonts w:ascii="Arial" w:hAnsi="Arial" w:cs="Arial"/>
          <w:sz w:val="20"/>
        </w:rPr>
        <w:t>applauded</w:t>
      </w:r>
      <w:r w:rsidR="00A66AE4" w:rsidRPr="00EB1DA3">
        <w:rPr>
          <w:rFonts w:ascii="Arial" w:hAnsi="Arial" w:cs="Arial"/>
          <w:sz w:val="20"/>
        </w:rPr>
        <w:t xml:space="preserve"> the efforts and outcomes associated with </w:t>
      </w:r>
      <w:r w:rsidR="00CD5A61" w:rsidRPr="00EB1DA3">
        <w:rPr>
          <w:rFonts w:ascii="Arial" w:hAnsi="Arial" w:cs="Arial"/>
          <w:sz w:val="20"/>
        </w:rPr>
        <w:t xml:space="preserve">the </w:t>
      </w:r>
      <w:r w:rsidR="00A66AE4" w:rsidRPr="00EB1DA3">
        <w:rPr>
          <w:rFonts w:ascii="Arial" w:hAnsi="Arial" w:cs="Arial"/>
          <w:sz w:val="20"/>
        </w:rPr>
        <w:t>government’s attempts to stimulate employment through numerous interventions</w:t>
      </w:r>
      <w:r w:rsidR="008B0999" w:rsidRPr="00EB1DA3">
        <w:rPr>
          <w:rFonts w:ascii="Arial" w:hAnsi="Arial" w:cs="Arial"/>
          <w:sz w:val="20"/>
        </w:rPr>
        <w:t>,</w:t>
      </w:r>
      <w:r w:rsidR="00A66AE4" w:rsidRPr="00EB1DA3">
        <w:rPr>
          <w:rFonts w:ascii="Arial" w:hAnsi="Arial" w:cs="Arial"/>
          <w:sz w:val="20"/>
        </w:rPr>
        <w:t xml:space="preserve"> however</w:t>
      </w:r>
      <w:r w:rsidR="008B0999" w:rsidRPr="00EB1DA3">
        <w:rPr>
          <w:rFonts w:ascii="Arial" w:hAnsi="Arial" w:cs="Arial"/>
          <w:sz w:val="20"/>
        </w:rPr>
        <w:t>,</w:t>
      </w:r>
      <w:r w:rsidR="00A66AE4" w:rsidRPr="00EB1DA3">
        <w:rPr>
          <w:rFonts w:ascii="Arial" w:hAnsi="Arial" w:cs="Arial"/>
          <w:sz w:val="20"/>
        </w:rPr>
        <w:t xml:space="preserve"> </w:t>
      </w:r>
      <w:r w:rsidRPr="00EB1DA3">
        <w:rPr>
          <w:rFonts w:ascii="Arial" w:hAnsi="Arial" w:cs="Arial"/>
          <w:sz w:val="20"/>
        </w:rPr>
        <w:t xml:space="preserve">it observed that </w:t>
      </w:r>
      <w:r w:rsidR="00A66AE4" w:rsidRPr="00EB1DA3">
        <w:rPr>
          <w:rFonts w:ascii="Arial" w:hAnsi="Arial" w:cs="Arial"/>
          <w:sz w:val="20"/>
        </w:rPr>
        <w:t xml:space="preserve">this has not changed the </w:t>
      </w:r>
      <w:r w:rsidR="00CD5A61" w:rsidRPr="00EB1DA3">
        <w:rPr>
          <w:rFonts w:ascii="Arial" w:hAnsi="Arial" w:cs="Arial"/>
          <w:sz w:val="20"/>
        </w:rPr>
        <w:t>macro-level</w:t>
      </w:r>
      <w:r w:rsidRPr="00EB1DA3">
        <w:rPr>
          <w:rFonts w:ascii="Arial" w:hAnsi="Arial" w:cs="Arial"/>
          <w:sz w:val="20"/>
        </w:rPr>
        <w:t xml:space="preserve"> picture of unemployment. </w:t>
      </w:r>
      <w:r w:rsidR="00CF4ED4" w:rsidRPr="00EB1DA3">
        <w:rPr>
          <w:rFonts w:ascii="Arial" w:hAnsi="Arial" w:cs="Arial"/>
          <w:sz w:val="20"/>
        </w:rPr>
        <w:t>T</w:t>
      </w:r>
      <w:r w:rsidR="008140A3" w:rsidRPr="00EB1DA3">
        <w:rPr>
          <w:rFonts w:ascii="Arial" w:hAnsi="Arial" w:cs="Arial"/>
          <w:sz w:val="20"/>
        </w:rPr>
        <w:t xml:space="preserve">he </w:t>
      </w:r>
      <w:r w:rsidR="00CD5A61" w:rsidRPr="00EB1DA3">
        <w:rPr>
          <w:rFonts w:ascii="Arial" w:hAnsi="Arial" w:cs="Arial"/>
          <w:sz w:val="20"/>
          <w:lang w:val="en-ZA" w:eastAsia="en-GB"/>
        </w:rPr>
        <w:t xml:space="preserve">IEJ </w:t>
      </w:r>
      <w:r w:rsidR="00CF4ED4" w:rsidRPr="00EB1DA3">
        <w:rPr>
          <w:rFonts w:ascii="Arial" w:hAnsi="Arial" w:cs="Arial"/>
          <w:sz w:val="20"/>
          <w:lang w:val="en-ZA" w:eastAsia="en-GB"/>
        </w:rPr>
        <w:t xml:space="preserve">and COSATU </w:t>
      </w:r>
      <w:r w:rsidR="008140A3" w:rsidRPr="00EB1DA3">
        <w:rPr>
          <w:rFonts w:ascii="Arial" w:hAnsi="Arial" w:cs="Arial"/>
          <w:sz w:val="20"/>
          <w:lang w:val="en-ZA" w:eastAsia="en-GB"/>
        </w:rPr>
        <w:t xml:space="preserve">submitted that </w:t>
      </w:r>
      <w:r w:rsidR="00CE1398" w:rsidRPr="00EB1DA3">
        <w:rPr>
          <w:rFonts w:ascii="Arial" w:hAnsi="Arial" w:cs="Arial"/>
          <w:sz w:val="20"/>
          <w:lang w:val="en-ZA" w:eastAsia="en-GB"/>
        </w:rPr>
        <w:t>w</w:t>
      </w:r>
      <w:r w:rsidR="00CD5A61" w:rsidRPr="00EB1DA3">
        <w:rPr>
          <w:rFonts w:ascii="Arial" w:hAnsi="Arial" w:cs="Arial"/>
          <w:sz w:val="20"/>
          <w:lang w:val="en-ZA" w:eastAsia="en-GB"/>
        </w:rPr>
        <w:t>hile the third phase of the Pres</w:t>
      </w:r>
      <w:r w:rsidR="00CE1398" w:rsidRPr="00EB1DA3">
        <w:rPr>
          <w:rFonts w:ascii="Arial" w:hAnsi="Arial" w:cs="Arial"/>
          <w:sz w:val="20"/>
          <w:lang w:val="en-ZA" w:eastAsia="en-GB"/>
        </w:rPr>
        <w:t>idential Employment Programme</w:t>
      </w:r>
      <w:r w:rsidR="00E76D77" w:rsidRPr="00EB1DA3">
        <w:rPr>
          <w:rFonts w:ascii="Arial" w:hAnsi="Arial" w:cs="Arial"/>
          <w:sz w:val="20"/>
          <w:lang w:val="en-ZA" w:eastAsia="en-GB"/>
        </w:rPr>
        <w:t xml:space="preserve"> was</w:t>
      </w:r>
      <w:r w:rsidR="008140A3" w:rsidRPr="00EB1DA3">
        <w:rPr>
          <w:rFonts w:ascii="Arial" w:hAnsi="Arial" w:cs="Arial"/>
          <w:sz w:val="20"/>
          <w:lang w:val="en-ZA" w:eastAsia="en-GB"/>
        </w:rPr>
        <w:t xml:space="preserve"> welcome</w:t>
      </w:r>
      <w:r w:rsidR="00CD5A61" w:rsidRPr="00EB1DA3">
        <w:rPr>
          <w:rFonts w:ascii="Arial" w:hAnsi="Arial" w:cs="Arial"/>
          <w:sz w:val="20"/>
          <w:lang w:val="en-ZA" w:eastAsia="en-GB"/>
        </w:rPr>
        <w:t xml:space="preserve">, </w:t>
      </w:r>
      <w:r w:rsidR="00CF4ED4" w:rsidRPr="00EB1DA3">
        <w:rPr>
          <w:rFonts w:ascii="Arial" w:hAnsi="Arial" w:cs="Arial"/>
          <w:sz w:val="20"/>
          <w:lang w:val="en-ZA" w:eastAsia="en-GB"/>
        </w:rPr>
        <w:t xml:space="preserve">it </w:t>
      </w:r>
      <w:r w:rsidR="00E76D77" w:rsidRPr="00EB1DA3">
        <w:rPr>
          <w:rFonts w:ascii="Arial" w:hAnsi="Arial" w:cs="Arial"/>
          <w:sz w:val="20"/>
          <w:lang w:val="en-ZA" w:eastAsia="en-GB"/>
        </w:rPr>
        <w:t>was</w:t>
      </w:r>
      <w:r w:rsidR="00CF4ED4" w:rsidRPr="00EB1DA3">
        <w:rPr>
          <w:rFonts w:ascii="Arial" w:hAnsi="Arial" w:cs="Arial"/>
          <w:sz w:val="20"/>
          <w:lang w:val="en-ZA" w:eastAsia="en-GB"/>
        </w:rPr>
        <w:t xml:space="preserve"> disappointing that the funding </w:t>
      </w:r>
      <w:r w:rsidR="00CD5A61" w:rsidRPr="00EB1DA3">
        <w:rPr>
          <w:rFonts w:ascii="Arial" w:hAnsi="Arial" w:cs="Arial"/>
          <w:sz w:val="20"/>
          <w:lang w:val="en-ZA" w:eastAsia="en-GB"/>
        </w:rPr>
        <w:t>decline</w:t>
      </w:r>
      <w:r w:rsidR="00E76D77" w:rsidRPr="00EB1DA3">
        <w:rPr>
          <w:rFonts w:ascii="Arial" w:hAnsi="Arial" w:cs="Arial"/>
          <w:sz w:val="20"/>
          <w:lang w:val="en-ZA" w:eastAsia="en-GB"/>
        </w:rPr>
        <w:t>d</w:t>
      </w:r>
      <w:r w:rsidR="00CF4ED4" w:rsidRPr="00EB1DA3">
        <w:rPr>
          <w:rFonts w:ascii="Arial" w:hAnsi="Arial" w:cs="Arial"/>
          <w:sz w:val="20"/>
          <w:lang w:val="en-ZA" w:eastAsia="en-GB"/>
        </w:rPr>
        <w:t xml:space="preserve"> from R24 billion in the 2021 MTBPS to R18 billion in the 2022 Budget. The stakeholders</w:t>
      </w:r>
      <w:r w:rsidR="00CE1398" w:rsidRPr="00EB1DA3">
        <w:rPr>
          <w:rFonts w:ascii="Arial" w:hAnsi="Arial" w:cs="Arial"/>
          <w:sz w:val="20"/>
          <w:lang w:val="en-ZA" w:eastAsia="en-GB"/>
        </w:rPr>
        <w:t xml:space="preserve"> believe</w:t>
      </w:r>
      <w:r w:rsidR="00E76D77" w:rsidRPr="00EB1DA3">
        <w:rPr>
          <w:rFonts w:ascii="Arial" w:hAnsi="Arial" w:cs="Arial"/>
          <w:sz w:val="20"/>
          <w:lang w:val="en-ZA" w:eastAsia="en-GB"/>
        </w:rPr>
        <w:t>d</w:t>
      </w:r>
      <w:r w:rsidR="00CE1398" w:rsidRPr="00EB1DA3">
        <w:rPr>
          <w:rFonts w:ascii="Arial" w:hAnsi="Arial" w:cs="Arial"/>
          <w:sz w:val="20"/>
          <w:lang w:val="en-ZA" w:eastAsia="en-GB"/>
        </w:rPr>
        <w:t xml:space="preserve"> that the </w:t>
      </w:r>
      <w:r w:rsidR="008140A3" w:rsidRPr="00EB1DA3">
        <w:rPr>
          <w:rFonts w:ascii="Arial" w:hAnsi="Arial" w:cs="Arial"/>
          <w:sz w:val="20"/>
          <w:lang w:val="en-ZA" w:eastAsia="en-GB"/>
        </w:rPr>
        <w:t>initiative</w:t>
      </w:r>
      <w:r w:rsidR="00CD5A61" w:rsidRPr="00EB1DA3">
        <w:rPr>
          <w:rFonts w:ascii="Arial" w:hAnsi="Arial" w:cs="Arial"/>
          <w:sz w:val="20"/>
          <w:lang w:val="en-ZA" w:eastAsia="en-GB"/>
        </w:rPr>
        <w:t xml:space="preserve"> plays an important role in mitigating the crisis, however, </w:t>
      </w:r>
      <w:r w:rsidR="008140A3" w:rsidRPr="00EB1DA3">
        <w:rPr>
          <w:rFonts w:ascii="Arial" w:hAnsi="Arial" w:cs="Arial"/>
          <w:sz w:val="20"/>
          <w:lang w:val="en-ZA" w:eastAsia="en-GB"/>
        </w:rPr>
        <w:t>it</w:t>
      </w:r>
      <w:r w:rsidR="00CD5A61" w:rsidRPr="00EB1DA3">
        <w:rPr>
          <w:rFonts w:ascii="Arial" w:hAnsi="Arial" w:cs="Arial"/>
          <w:sz w:val="20"/>
          <w:lang w:val="en-ZA" w:eastAsia="en-GB"/>
        </w:rPr>
        <w:t xml:space="preserve"> only creates short-term opportunities, on an inadequate scale, and may not allow for sufficient skills transfer. </w:t>
      </w:r>
      <w:r w:rsidR="0040784D" w:rsidRPr="00EB1DA3">
        <w:rPr>
          <w:rFonts w:ascii="Arial" w:hAnsi="Arial" w:cs="Arial"/>
          <w:sz w:val="20"/>
          <w:lang w:val="en-ZA" w:eastAsia="en-GB"/>
        </w:rPr>
        <w:t>The IEJ further raised a concern that the</w:t>
      </w:r>
      <w:r w:rsidR="00C0710A" w:rsidRPr="00EB1DA3">
        <w:rPr>
          <w:rFonts w:ascii="Arial" w:hAnsi="Arial" w:cs="Arial"/>
          <w:sz w:val="20"/>
          <w:lang w:val="en-ZA" w:eastAsia="en-GB"/>
        </w:rPr>
        <w:t xml:space="preserve">re is no evidence to show that </w:t>
      </w:r>
      <w:r w:rsidR="00160F9E" w:rsidRPr="00EB1DA3">
        <w:rPr>
          <w:rFonts w:ascii="Arial" w:hAnsi="Arial" w:cs="Arial"/>
          <w:sz w:val="20"/>
          <w:lang w:val="en-ZA" w:eastAsia="en-GB"/>
        </w:rPr>
        <w:t xml:space="preserve">the </w:t>
      </w:r>
      <w:r w:rsidR="00C05D84" w:rsidRPr="00EB1DA3">
        <w:rPr>
          <w:rFonts w:ascii="Arial" w:hAnsi="Arial" w:cs="Arial"/>
          <w:sz w:val="20"/>
          <w:lang w:val="en-ZA" w:eastAsia="en-GB"/>
        </w:rPr>
        <w:t>ETI led to any substantia</w:t>
      </w:r>
      <w:r w:rsidR="00C0710A" w:rsidRPr="00EB1DA3">
        <w:rPr>
          <w:rFonts w:ascii="Arial" w:hAnsi="Arial" w:cs="Arial"/>
          <w:sz w:val="20"/>
          <w:lang w:val="en-ZA" w:eastAsia="en-GB"/>
        </w:rPr>
        <w:t xml:space="preserve">l alleviation of unemployment, </w:t>
      </w:r>
      <w:r w:rsidR="00E76D77" w:rsidRPr="00EB1DA3">
        <w:rPr>
          <w:rFonts w:ascii="Arial" w:hAnsi="Arial" w:cs="Arial"/>
          <w:sz w:val="20"/>
          <w:lang w:val="en-ZA" w:eastAsia="en-GB"/>
        </w:rPr>
        <w:t>yet additional funds we</w:t>
      </w:r>
      <w:r w:rsidR="00C0710A" w:rsidRPr="00EB1DA3">
        <w:rPr>
          <w:rFonts w:ascii="Arial" w:hAnsi="Arial" w:cs="Arial"/>
          <w:sz w:val="20"/>
          <w:lang w:val="en-ZA" w:eastAsia="en-GB"/>
        </w:rPr>
        <w:t>re being channelled to th</w:t>
      </w:r>
      <w:r w:rsidR="00E76D77" w:rsidRPr="00EB1DA3">
        <w:rPr>
          <w:rFonts w:ascii="Arial" w:hAnsi="Arial" w:cs="Arial"/>
          <w:sz w:val="20"/>
          <w:lang w:val="en-ZA" w:eastAsia="en-GB"/>
        </w:rPr>
        <w:t>e</w:t>
      </w:r>
      <w:r w:rsidR="00C0710A" w:rsidRPr="00EB1DA3">
        <w:rPr>
          <w:rFonts w:ascii="Arial" w:hAnsi="Arial" w:cs="Arial"/>
          <w:sz w:val="20"/>
          <w:lang w:val="en-ZA" w:eastAsia="en-GB"/>
        </w:rPr>
        <w:t xml:space="preserve"> scheme.</w:t>
      </w:r>
    </w:p>
    <w:p w:rsidR="00CD5A61" w:rsidRPr="00EB1DA3" w:rsidRDefault="00CD5A61" w:rsidP="00EB1DA3">
      <w:pPr>
        <w:pStyle w:val="Heading3"/>
        <w:spacing w:before="0" w:line="240" w:lineRule="auto"/>
        <w:rPr>
          <w:rFonts w:ascii="Arial" w:hAnsi="Arial" w:cs="Arial"/>
          <w:sz w:val="20"/>
          <w:u w:val="none"/>
          <w:lang w:val="en-ZA" w:eastAsia="en-GB"/>
        </w:rPr>
      </w:pPr>
      <w:r w:rsidRPr="00EB1DA3">
        <w:rPr>
          <w:rFonts w:ascii="Arial" w:hAnsi="Arial" w:cs="Arial"/>
          <w:sz w:val="20"/>
          <w:u w:val="none"/>
          <w:lang w:val="en-ZA" w:eastAsia="en-GB"/>
        </w:rPr>
        <w:t>Recommendations</w:t>
      </w:r>
      <w:r w:rsidR="0044644B" w:rsidRPr="00EB1DA3">
        <w:rPr>
          <w:rFonts w:ascii="Arial" w:hAnsi="Arial" w:cs="Arial"/>
          <w:sz w:val="20"/>
          <w:u w:val="none"/>
          <w:lang w:val="en-ZA" w:eastAsia="en-GB"/>
        </w:rPr>
        <w:t xml:space="preserve"> made by stakeholders</w:t>
      </w:r>
      <w:r w:rsidR="00004306" w:rsidRPr="00EB1DA3">
        <w:rPr>
          <w:rFonts w:ascii="Arial" w:hAnsi="Arial" w:cs="Arial"/>
          <w:sz w:val="20"/>
          <w:u w:val="none"/>
          <w:lang w:val="en-ZA" w:eastAsia="en-GB"/>
        </w:rPr>
        <w:t xml:space="preserve"> on macroeconomic issues</w:t>
      </w:r>
    </w:p>
    <w:p w:rsidR="00FD3DAE" w:rsidRPr="00EB1DA3" w:rsidRDefault="00FD3DAE" w:rsidP="00EB1DA3">
      <w:pPr>
        <w:pStyle w:val="Heading4"/>
        <w:spacing w:before="0" w:line="240" w:lineRule="auto"/>
        <w:rPr>
          <w:rFonts w:ascii="Arial" w:hAnsi="Arial" w:cs="Arial"/>
          <w:i w:val="0"/>
          <w:sz w:val="20"/>
        </w:rPr>
      </w:pPr>
      <w:r w:rsidRPr="00EB1DA3">
        <w:rPr>
          <w:rFonts w:ascii="Arial" w:hAnsi="Arial" w:cs="Arial"/>
          <w:i w:val="0"/>
          <w:sz w:val="20"/>
        </w:rPr>
        <w:t xml:space="preserve">The PBO </w:t>
      </w:r>
      <w:r w:rsidR="00E76D77" w:rsidRPr="00EB1DA3">
        <w:rPr>
          <w:rFonts w:ascii="Arial" w:hAnsi="Arial" w:cs="Arial"/>
          <w:i w:val="0"/>
          <w:sz w:val="20"/>
        </w:rPr>
        <w:t>recommended</w:t>
      </w:r>
      <w:r w:rsidR="005479F3" w:rsidRPr="00EB1DA3">
        <w:rPr>
          <w:rFonts w:ascii="Arial" w:hAnsi="Arial" w:cs="Arial"/>
          <w:i w:val="0"/>
          <w:sz w:val="20"/>
        </w:rPr>
        <w:t xml:space="preserve"> that</w:t>
      </w:r>
      <w:r w:rsidRPr="00EB1DA3">
        <w:rPr>
          <w:rFonts w:ascii="Arial" w:hAnsi="Arial" w:cs="Arial"/>
          <w:i w:val="0"/>
          <w:sz w:val="20"/>
        </w:rPr>
        <w:t xml:space="preserve"> economic recovery and reconstruction</w:t>
      </w:r>
      <w:r w:rsidR="005479F3" w:rsidRPr="00EB1DA3">
        <w:rPr>
          <w:rFonts w:ascii="Arial" w:hAnsi="Arial" w:cs="Arial"/>
          <w:i w:val="0"/>
          <w:sz w:val="20"/>
        </w:rPr>
        <w:t xml:space="preserve"> has to be inclusive. Also, a </w:t>
      </w:r>
      <w:r w:rsidRPr="00EB1DA3">
        <w:rPr>
          <w:rFonts w:ascii="Arial" w:hAnsi="Arial" w:cs="Arial"/>
          <w:i w:val="0"/>
          <w:sz w:val="20"/>
        </w:rPr>
        <w:t xml:space="preserve">new economic growth path </w:t>
      </w:r>
      <w:r w:rsidR="005479F3" w:rsidRPr="00EB1DA3">
        <w:rPr>
          <w:rFonts w:ascii="Arial" w:hAnsi="Arial" w:cs="Arial"/>
          <w:i w:val="0"/>
          <w:sz w:val="20"/>
        </w:rPr>
        <w:t xml:space="preserve">should be </w:t>
      </w:r>
      <w:r w:rsidRPr="00EB1DA3">
        <w:rPr>
          <w:rFonts w:ascii="Arial" w:hAnsi="Arial" w:cs="Arial"/>
          <w:i w:val="0"/>
          <w:sz w:val="20"/>
        </w:rPr>
        <w:t xml:space="preserve">built on increasing the well-being and buying power of </w:t>
      </w:r>
      <w:r w:rsidRPr="00EB1DA3">
        <w:rPr>
          <w:rFonts w:ascii="Arial" w:hAnsi="Arial" w:cs="Arial"/>
          <w:i w:val="0"/>
          <w:sz w:val="20"/>
        </w:rPr>
        <w:lastRenderedPageBreak/>
        <w:t xml:space="preserve">the poor majority </w:t>
      </w:r>
      <w:r w:rsidR="005479F3" w:rsidRPr="00EB1DA3">
        <w:rPr>
          <w:rFonts w:ascii="Arial" w:hAnsi="Arial" w:cs="Arial"/>
          <w:i w:val="0"/>
          <w:sz w:val="20"/>
        </w:rPr>
        <w:t xml:space="preserve">as that </w:t>
      </w:r>
      <w:r w:rsidRPr="00EB1DA3">
        <w:rPr>
          <w:rFonts w:ascii="Arial" w:hAnsi="Arial" w:cs="Arial"/>
          <w:i w:val="0"/>
          <w:sz w:val="20"/>
        </w:rPr>
        <w:t>will enhance the ability of millions of un</w:t>
      </w:r>
      <w:r w:rsidR="005479F3" w:rsidRPr="00EB1DA3">
        <w:rPr>
          <w:rFonts w:ascii="Arial" w:hAnsi="Arial" w:cs="Arial"/>
          <w:i w:val="0"/>
          <w:sz w:val="20"/>
        </w:rPr>
        <w:t xml:space="preserve">employed South Africans to </w:t>
      </w:r>
      <w:r w:rsidRPr="00EB1DA3">
        <w:rPr>
          <w:rFonts w:ascii="Arial" w:hAnsi="Arial" w:cs="Arial"/>
          <w:i w:val="0"/>
          <w:sz w:val="20"/>
        </w:rPr>
        <w:t>effectively contribute to the economic future of the country.</w:t>
      </w:r>
    </w:p>
    <w:p w:rsidR="00E41253" w:rsidRPr="00EB1DA3" w:rsidRDefault="00E41253" w:rsidP="00EB1DA3">
      <w:pPr>
        <w:pStyle w:val="Heading4"/>
        <w:spacing w:before="0" w:line="240" w:lineRule="auto"/>
        <w:rPr>
          <w:rFonts w:ascii="Arial" w:hAnsi="Arial" w:cs="Arial"/>
          <w:i w:val="0"/>
          <w:sz w:val="20"/>
        </w:rPr>
      </w:pPr>
      <w:r w:rsidRPr="00EB1DA3">
        <w:rPr>
          <w:rFonts w:ascii="Arial" w:hAnsi="Arial" w:cs="Arial"/>
          <w:bCs/>
          <w:i w:val="0"/>
          <w:sz w:val="20"/>
          <w:lang w:val="en-ZA" w:eastAsia="en-GB"/>
        </w:rPr>
        <w:t xml:space="preserve">IEJ </w:t>
      </w:r>
      <w:r w:rsidR="00E76D77" w:rsidRPr="00EB1DA3">
        <w:rPr>
          <w:rFonts w:ascii="Arial" w:hAnsi="Arial" w:cs="Arial"/>
          <w:i w:val="0"/>
          <w:sz w:val="20"/>
          <w:lang w:val="en-ZA" w:eastAsia="en-GB"/>
        </w:rPr>
        <w:t>recommended</w:t>
      </w:r>
      <w:r w:rsidRPr="00EB1DA3">
        <w:rPr>
          <w:rFonts w:ascii="Arial" w:hAnsi="Arial" w:cs="Arial"/>
          <w:i w:val="0"/>
          <w:sz w:val="20"/>
          <w:lang w:val="en-ZA" w:eastAsia="en-GB"/>
        </w:rPr>
        <w:t xml:space="preserve"> that more of the revenue windfall should be allocated towards supporting economic recovery, income support, job creation and industrial support.</w:t>
      </w:r>
    </w:p>
    <w:p w:rsidR="00CD5A61" w:rsidRPr="00EB1DA3" w:rsidRDefault="00CD5A61" w:rsidP="00EB1DA3">
      <w:pPr>
        <w:pStyle w:val="Heading4"/>
        <w:spacing w:before="0" w:line="240" w:lineRule="auto"/>
        <w:rPr>
          <w:rFonts w:ascii="Arial" w:hAnsi="Arial" w:cs="Arial"/>
          <w:i w:val="0"/>
          <w:sz w:val="20"/>
        </w:rPr>
      </w:pPr>
      <w:r w:rsidRPr="00EB1DA3">
        <w:rPr>
          <w:rFonts w:ascii="Arial" w:hAnsi="Arial" w:cs="Arial"/>
          <w:i w:val="0"/>
          <w:sz w:val="20"/>
        </w:rPr>
        <w:t>F</w:t>
      </w:r>
      <w:r w:rsidR="00E76D77" w:rsidRPr="00EB1DA3">
        <w:rPr>
          <w:rFonts w:ascii="Arial" w:hAnsi="Arial" w:cs="Arial"/>
          <w:i w:val="0"/>
          <w:sz w:val="20"/>
        </w:rPr>
        <w:t>FC recommended</w:t>
      </w:r>
      <w:r w:rsidR="00D920F2" w:rsidRPr="00EB1DA3">
        <w:rPr>
          <w:rFonts w:ascii="Arial" w:hAnsi="Arial" w:cs="Arial"/>
          <w:i w:val="0"/>
          <w:sz w:val="20"/>
        </w:rPr>
        <w:t xml:space="preserve"> that t</w:t>
      </w:r>
      <w:r w:rsidRPr="00EB1DA3">
        <w:rPr>
          <w:rFonts w:ascii="Arial" w:hAnsi="Arial" w:cs="Arial"/>
          <w:i w:val="0"/>
          <w:sz w:val="20"/>
        </w:rPr>
        <w:t xml:space="preserve">he Infrastructure Fund should operate within the confines of </w:t>
      </w:r>
      <w:r w:rsidR="00D920F2" w:rsidRPr="00EB1DA3">
        <w:rPr>
          <w:rFonts w:ascii="Arial" w:hAnsi="Arial" w:cs="Arial"/>
          <w:i w:val="0"/>
          <w:sz w:val="20"/>
        </w:rPr>
        <w:t xml:space="preserve">the </w:t>
      </w:r>
      <w:r w:rsidR="00FE3FFA" w:rsidRPr="00EB1DA3">
        <w:rPr>
          <w:rFonts w:ascii="Arial" w:hAnsi="Arial" w:cs="Arial"/>
          <w:i w:val="0"/>
          <w:sz w:val="20"/>
        </w:rPr>
        <w:t>Intergovernmental Fiscal Relations (</w:t>
      </w:r>
      <w:r w:rsidRPr="00EB1DA3">
        <w:rPr>
          <w:rFonts w:ascii="Arial" w:hAnsi="Arial" w:cs="Arial"/>
          <w:i w:val="0"/>
          <w:sz w:val="20"/>
        </w:rPr>
        <w:t>IGFR</w:t>
      </w:r>
      <w:r w:rsidR="00FE3FFA" w:rsidRPr="00EB1DA3">
        <w:rPr>
          <w:rFonts w:ascii="Arial" w:hAnsi="Arial" w:cs="Arial"/>
          <w:i w:val="0"/>
          <w:sz w:val="20"/>
        </w:rPr>
        <w:t>)</w:t>
      </w:r>
      <w:r w:rsidRPr="00EB1DA3">
        <w:rPr>
          <w:rFonts w:ascii="Arial" w:hAnsi="Arial" w:cs="Arial"/>
          <w:i w:val="0"/>
          <w:sz w:val="20"/>
        </w:rPr>
        <w:t xml:space="preserve"> principles in respect of the equitable distribution of projects and being assigned to a vote. The Commission </w:t>
      </w:r>
      <w:r w:rsidR="00D920F2" w:rsidRPr="00EB1DA3">
        <w:rPr>
          <w:rFonts w:ascii="Arial" w:hAnsi="Arial" w:cs="Arial"/>
          <w:i w:val="0"/>
          <w:sz w:val="20"/>
        </w:rPr>
        <w:t xml:space="preserve">further </w:t>
      </w:r>
      <w:r w:rsidR="00E76D77" w:rsidRPr="00EB1DA3">
        <w:rPr>
          <w:rFonts w:ascii="Arial" w:hAnsi="Arial" w:cs="Arial"/>
          <w:i w:val="0"/>
          <w:sz w:val="20"/>
        </w:rPr>
        <w:t xml:space="preserve">recommended </w:t>
      </w:r>
      <w:r w:rsidRPr="00EB1DA3">
        <w:rPr>
          <w:rFonts w:ascii="Arial" w:hAnsi="Arial" w:cs="Arial"/>
          <w:i w:val="0"/>
          <w:sz w:val="20"/>
        </w:rPr>
        <w:t>that the budget process for 2023/24 focus</w:t>
      </w:r>
      <w:r w:rsidR="00E76D77" w:rsidRPr="00EB1DA3">
        <w:rPr>
          <w:rFonts w:ascii="Arial" w:hAnsi="Arial" w:cs="Arial"/>
          <w:i w:val="0"/>
          <w:sz w:val="20"/>
        </w:rPr>
        <w:t>es</w:t>
      </w:r>
      <w:r w:rsidRPr="00EB1DA3">
        <w:rPr>
          <w:rFonts w:ascii="Arial" w:hAnsi="Arial" w:cs="Arial"/>
          <w:i w:val="0"/>
          <w:sz w:val="20"/>
        </w:rPr>
        <w:t xml:space="preserve"> on aligning the allocations to ERRP</w:t>
      </w:r>
      <w:r w:rsidR="00D920F2" w:rsidRPr="00EB1DA3">
        <w:rPr>
          <w:rFonts w:ascii="Arial" w:hAnsi="Arial" w:cs="Arial"/>
          <w:i w:val="0"/>
          <w:sz w:val="20"/>
        </w:rPr>
        <w:t>,</w:t>
      </w:r>
      <w:r w:rsidRPr="00EB1DA3">
        <w:rPr>
          <w:rFonts w:ascii="Arial" w:hAnsi="Arial" w:cs="Arial"/>
          <w:i w:val="0"/>
          <w:sz w:val="20"/>
        </w:rPr>
        <w:t xml:space="preserve"> informed by comprehensive budget and expenditure reviews.</w:t>
      </w:r>
    </w:p>
    <w:p w:rsidR="00997198" w:rsidRPr="00EB1DA3" w:rsidRDefault="00E76D77" w:rsidP="00EB1DA3">
      <w:pPr>
        <w:pStyle w:val="Heading4"/>
        <w:spacing w:before="0" w:line="240" w:lineRule="auto"/>
        <w:rPr>
          <w:rFonts w:ascii="Arial" w:hAnsi="Arial" w:cs="Arial"/>
          <w:i w:val="0"/>
          <w:sz w:val="20"/>
        </w:rPr>
      </w:pPr>
      <w:r w:rsidRPr="00EB1DA3">
        <w:rPr>
          <w:rFonts w:ascii="Arial" w:hAnsi="Arial" w:cs="Arial"/>
          <w:i w:val="0"/>
          <w:sz w:val="20"/>
          <w:lang w:val="en-ZA" w:eastAsia="en-GB"/>
        </w:rPr>
        <w:t>COSATU recommended</w:t>
      </w:r>
      <w:r w:rsidR="00997198" w:rsidRPr="00EB1DA3">
        <w:rPr>
          <w:rFonts w:ascii="Arial" w:hAnsi="Arial" w:cs="Arial"/>
          <w:i w:val="0"/>
          <w:sz w:val="20"/>
          <w:lang w:val="en-ZA" w:eastAsia="en-GB"/>
        </w:rPr>
        <w:t xml:space="preserve"> that the Presidential Employment Programme </w:t>
      </w:r>
      <w:r w:rsidR="00997198" w:rsidRPr="00EB1DA3">
        <w:rPr>
          <w:rFonts w:ascii="Arial" w:hAnsi="Arial" w:cs="Arial"/>
          <w:i w:val="0"/>
          <w:sz w:val="20"/>
        </w:rPr>
        <w:t>should be reversed in the 2022 MTBPS</w:t>
      </w:r>
      <w:r w:rsidR="00794B7E" w:rsidRPr="00EB1DA3">
        <w:rPr>
          <w:rFonts w:ascii="Arial" w:hAnsi="Arial" w:cs="Arial"/>
          <w:i w:val="0"/>
          <w:sz w:val="20"/>
        </w:rPr>
        <w:t xml:space="preserve">, </w:t>
      </w:r>
      <w:r w:rsidR="00625A14" w:rsidRPr="00EB1DA3">
        <w:rPr>
          <w:rFonts w:ascii="Arial" w:hAnsi="Arial" w:cs="Arial"/>
          <w:i w:val="0"/>
          <w:sz w:val="20"/>
        </w:rPr>
        <w:t>that is, it should</w:t>
      </w:r>
      <w:r w:rsidR="00997198" w:rsidRPr="00EB1DA3">
        <w:rPr>
          <w:rFonts w:ascii="Arial" w:hAnsi="Arial" w:cs="Arial"/>
          <w:i w:val="0"/>
          <w:sz w:val="20"/>
        </w:rPr>
        <w:t xml:space="preserve"> </w:t>
      </w:r>
      <w:r w:rsidR="00212914" w:rsidRPr="00EB1DA3">
        <w:rPr>
          <w:rFonts w:ascii="Arial" w:hAnsi="Arial" w:cs="Arial"/>
          <w:i w:val="0"/>
          <w:sz w:val="20"/>
        </w:rPr>
        <w:t xml:space="preserve">rather </w:t>
      </w:r>
      <w:r w:rsidR="00997198" w:rsidRPr="00EB1DA3">
        <w:rPr>
          <w:rFonts w:ascii="Arial" w:hAnsi="Arial" w:cs="Arial"/>
          <w:i w:val="0"/>
          <w:sz w:val="20"/>
        </w:rPr>
        <w:t xml:space="preserve">be expanded to ensure that it can create at least 1 million jobs in light of an all-time high unemployment rate of 46 per cent and rising.  About 2.2 million workers have lost their jobs since the COVID-19 pandemic.    </w:t>
      </w:r>
    </w:p>
    <w:p w:rsidR="00782992" w:rsidRPr="00EB1DA3" w:rsidRDefault="00666C56" w:rsidP="00EB1DA3">
      <w:pPr>
        <w:pStyle w:val="Heading4"/>
        <w:spacing w:before="0" w:line="240" w:lineRule="auto"/>
        <w:rPr>
          <w:rFonts w:ascii="Arial" w:hAnsi="Arial" w:cs="Arial"/>
          <w:i w:val="0"/>
          <w:sz w:val="20"/>
        </w:rPr>
      </w:pPr>
      <w:r w:rsidRPr="00EB1DA3">
        <w:rPr>
          <w:rFonts w:ascii="Arial" w:hAnsi="Arial" w:cs="Arial"/>
          <w:i w:val="0"/>
          <w:sz w:val="20"/>
        </w:rPr>
        <w:t xml:space="preserve">With regards to attempts to create jobs, </w:t>
      </w:r>
      <w:r w:rsidR="001F135D" w:rsidRPr="00EB1DA3">
        <w:rPr>
          <w:rFonts w:ascii="Arial" w:hAnsi="Arial" w:cs="Arial"/>
          <w:i w:val="0"/>
          <w:sz w:val="20"/>
        </w:rPr>
        <w:t>FFC recommended</w:t>
      </w:r>
      <w:r w:rsidRPr="00EB1DA3">
        <w:rPr>
          <w:rFonts w:ascii="Arial" w:hAnsi="Arial" w:cs="Arial"/>
          <w:i w:val="0"/>
          <w:sz w:val="20"/>
        </w:rPr>
        <w:t xml:space="preserve"> more significant structural reforms focused on artisanal skills to address unemployment in the long run.</w:t>
      </w:r>
    </w:p>
    <w:p w:rsidR="00BB0C1D" w:rsidRPr="00EB1DA3" w:rsidRDefault="008140A3" w:rsidP="00EB1DA3">
      <w:pPr>
        <w:pStyle w:val="Heading4"/>
        <w:spacing w:before="0" w:line="240" w:lineRule="auto"/>
        <w:rPr>
          <w:rFonts w:ascii="Arial" w:hAnsi="Arial" w:cs="Arial"/>
          <w:i w:val="0"/>
          <w:sz w:val="20"/>
        </w:rPr>
      </w:pPr>
      <w:r w:rsidRPr="00EB1DA3">
        <w:rPr>
          <w:rFonts w:ascii="Arial" w:hAnsi="Arial" w:cs="Arial"/>
          <w:i w:val="0"/>
          <w:sz w:val="20"/>
          <w:lang w:val="en-ZA" w:eastAsia="en-GB"/>
        </w:rPr>
        <w:t>For the government to realise its key role in job creation and retention, IEJ</w:t>
      </w:r>
      <w:r w:rsidR="00CE49C7" w:rsidRPr="00EB1DA3">
        <w:rPr>
          <w:rFonts w:ascii="Arial" w:hAnsi="Arial" w:cs="Arial"/>
          <w:i w:val="0"/>
          <w:sz w:val="20"/>
          <w:lang w:val="en-ZA" w:eastAsia="en-GB"/>
        </w:rPr>
        <w:t xml:space="preserve"> </w:t>
      </w:r>
      <w:r w:rsidR="001F135D" w:rsidRPr="00EB1DA3">
        <w:rPr>
          <w:rFonts w:ascii="Arial" w:hAnsi="Arial" w:cs="Arial"/>
          <w:i w:val="0"/>
          <w:sz w:val="20"/>
          <w:lang w:val="en-ZA" w:eastAsia="en-GB"/>
        </w:rPr>
        <w:t>recommended</w:t>
      </w:r>
      <w:r w:rsidRPr="00EB1DA3">
        <w:rPr>
          <w:rFonts w:ascii="Arial" w:hAnsi="Arial" w:cs="Arial"/>
          <w:i w:val="0"/>
          <w:sz w:val="20"/>
          <w:lang w:val="en-ZA" w:eastAsia="en-GB"/>
        </w:rPr>
        <w:t xml:space="preserve"> that </w:t>
      </w:r>
      <w:r w:rsidR="00CE49C7" w:rsidRPr="00EB1DA3">
        <w:rPr>
          <w:rFonts w:ascii="Arial" w:hAnsi="Arial" w:cs="Arial"/>
          <w:i w:val="0"/>
          <w:sz w:val="20"/>
          <w:lang w:val="en-ZA" w:eastAsia="en-GB"/>
        </w:rPr>
        <w:t>the Presidential employment programme</w:t>
      </w:r>
      <w:r w:rsidRPr="00EB1DA3">
        <w:rPr>
          <w:rFonts w:ascii="Arial" w:hAnsi="Arial" w:cs="Arial"/>
          <w:i w:val="0"/>
          <w:sz w:val="20"/>
          <w:lang w:val="en-ZA" w:eastAsia="en-GB"/>
        </w:rPr>
        <w:t xml:space="preserve"> must be scaled up, and gaps filled, together with a broader public sector jo</w:t>
      </w:r>
      <w:r w:rsidR="00CE49C7" w:rsidRPr="00EB1DA3">
        <w:rPr>
          <w:rFonts w:ascii="Arial" w:hAnsi="Arial" w:cs="Arial"/>
          <w:i w:val="0"/>
          <w:sz w:val="20"/>
          <w:lang w:val="en-ZA" w:eastAsia="en-GB"/>
        </w:rPr>
        <w:t xml:space="preserve">bs strategy. </w:t>
      </w:r>
      <w:r w:rsidR="00523F80" w:rsidRPr="00EB1DA3">
        <w:rPr>
          <w:rFonts w:ascii="Arial" w:hAnsi="Arial" w:cs="Arial"/>
          <w:i w:val="0"/>
          <w:sz w:val="20"/>
          <w:lang w:val="en-ZA" w:eastAsia="en-GB"/>
        </w:rPr>
        <w:t xml:space="preserve">IEJ </w:t>
      </w:r>
      <w:r w:rsidR="001F135D" w:rsidRPr="00EB1DA3">
        <w:rPr>
          <w:rFonts w:ascii="Arial" w:hAnsi="Arial" w:cs="Arial"/>
          <w:i w:val="0"/>
          <w:sz w:val="20"/>
          <w:lang w:val="en-ZA" w:eastAsia="en-GB"/>
        </w:rPr>
        <w:t>further recommended</w:t>
      </w:r>
      <w:r w:rsidR="00E41253" w:rsidRPr="00EB1DA3">
        <w:rPr>
          <w:rFonts w:ascii="Arial" w:hAnsi="Arial" w:cs="Arial"/>
          <w:i w:val="0"/>
          <w:sz w:val="20"/>
          <w:lang w:val="en-ZA" w:eastAsia="en-GB"/>
        </w:rPr>
        <w:t xml:space="preserve"> that the </w:t>
      </w:r>
      <w:r w:rsidR="00523F80" w:rsidRPr="00EB1DA3">
        <w:rPr>
          <w:rFonts w:ascii="Arial" w:hAnsi="Arial" w:cs="Arial"/>
          <w:i w:val="0"/>
          <w:sz w:val="20"/>
          <w:lang w:val="en-ZA" w:eastAsia="en-GB"/>
        </w:rPr>
        <w:t>loan guarantee scheme</w:t>
      </w:r>
      <w:r w:rsidR="00E41253" w:rsidRPr="00EB1DA3">
        <w:rPr>
          <w:rFonts w:ascii="Arial" w:hAnsi="Arial" w:cs="Arial"/>
          <w:i w:val="0"/>
          <w:sz w:val="20"/>
          <w:lang w:val="en-ZA" w:eastAsia="en-GB"/>
        </w:rPr>
        <w:t xml:space="preserve"> should be</w:t>
      </w:r>
      <w:r w:rsidR="00523F80" w:rsidRPr="00EB1DA3">
        <w:rPr>
          <w:rFonts w:ascii="Arial" w:hAnsi="Arial" w:cs="Arial"/>
          <w:i w:val="0"/>
          <w:sz w:val="20"/>
          <w:lang w:val="en-ZA" w:eastAsia="en-GB"/>
        </w:rPr>
        <w:t xml:space="preserve"> made available for industries such as Tourism and Agriculture that are well-positioned for job creation.  </w:t>
      </w:r>
      <w:r w:rsidR="00E41253" w:rsidRPr="00EB1DA3">
        <w:rPr>
          <w:rFonts w:ascii="Arial" w:hAnsi="Arial" w:cs="Arial"/>
          <w:i w:val="0"/>
          <w:sz w:val="20"/>
        </w:rPr>
        <w:t xml:space="preserve">On the other hand, </w:t>
      </w:r>
      <w:r w:rsidR="00C05D84" w:rsidRPr="00EB1DA3">
        <w:rPr>
          <w:rFonts w:ascii="Arial" w:hAnsi="Arial" w:cs="Arial"/>
          <w:i w:val="0"/>
          <w:sz w:val="20"/>
          <w:lang w:val="en-ZA" w:eastAsia="en-GB"/>
        </w:rPr>
        <w:t xml:space="preserve">IEJ </w:t>
      </w:r>
      <w:r w:rsidR="001F135D" w:rsidRPr="00EB1DA3">
        <w:rPr>
          <w:rFonts w:ascii="Arial" w:hAnsi="Arial" w:cs="Arial"/>
          <w:i w:val="0"/>
          <w:sz w:val="20"/>
          <w:lang w:val="en-ZA" w:eastAsia="en-GB"/>
        </w:rPr>
        <w:t>said it believed</w:t>
      </w:r>
      <w:r w:rsidR="00C05D84" w:rsidRPr="00EB1DA3">
        <w:rPr>
          <w:rFonts w:ascii="Arial" w:hAnsi="Arial" w:cs="Arial"/>
          <w:i w:val="0"/>
          <w:sz w:val="20"/>
          <w:lang w:val="en-ZA" w:eastAsia="en-GB"/>
        </w:rPr>
        <w:t xml:space="preserve"> that the </w:t>
      </w:r>
      <w:r w:rsidR="00E41253" w:rsidRPr="00EB1DA3">
        <w:rPr>
          <w:rFonts w:ascii="Arial" w:hAnsi="Arial" w:cs="Arial"/>
          <w:i w:val="0"/>
          <w:sz w:val="20"/>
          <w:lang w:val="en-ZA" w:eastAsia="en-GB"/>
        </w:rPr>
        <w:t>ETI</w:t>
      </w:r>
      <w:r w:rsidR="00C05D84" w:rsidRPr="00EB1DA3">
        <w:rPr>
          <w:rFonts w:ascii="Arial" w:hAnsi="Arial" w:cs="Arial"/>
          <w:i w:val="0"/>
          <w:sz w:val="20"/>
          <w:lang w:val="en-ZA" w:eastAsia="en-GB"/>
        </w:rPr>
        <w:t xml:space="preserve"> should be cancelled</w:t>
      </w:r>
      <w:r w:rsidR="00794B7E" w:rsidRPr="00EB1DA3">
        <w:rPr>
          <w:rFonts w:ascii="Arial" w:hAnsi="Arial" w:cs="Arial"/>
          <w:i w:val="0"/>
          <w:sz w:val="20"/>
          <w:lang w:val="en-ZA" w:eastAsia="en-GB"/>
        </w:rPr>
        <w:t xml:space="preserve"> and </w:t>
      </w:r>
      <w:r w:rsidR="00212914" w:rsidRPr="00EB1DA3">
        <w:rPr>
          <w:rFonts w:ascii="Arial" w:hAnsi="Arial" w:cs="Arial"/>
          <w:i w:val="0"/>
          <w:sz w:val="20"/>
          <w:lang w:val="en-ZA" w:eastAsia="en-GB"/>
        </w:rPr>
        <w:t>th</w:t>
      </w:r>
      <w:r w:rsidR="001F135D" w:rsidRPr="00EB1DA3">
        <w:rPr>
          <w:rFonts w:ascii="Arial" w:hAnsi="Arial" w:cs="Arial"/>
          <w:i w:val="0"/>
          <w:sz w:val="20"/>
          <w:lang w:val="en-ZA" w:eastAsia="en-GB"/>
        </w:rPr>
        <w:t>is would enable go</w:t>
      </w:r>
      <w:r w:rsidR="00212914" w:rsidRPr="00EB1DA3">
        <w:rPr>
          <w:rFonts w:ascii="Arial" w:hAnsi="Arial" w:cs="Arial"/>
          <w:i w:val="0"/>
          <w:sz w:val="20"/>
          <w:lang w:val="en-ZA" w:eastAsia="en-GB"/>
        </w:rPr>
        <w:t xml:space="preserve">vernment </w:t>
      </w:r>
      <w:r w:rsidR="001F135D" w:rsidRPr="00EB1DA3">
        <w:rPr>
          <w:rFonts w:ascii="Arial" w:hAnsi="Arial" w:cs="Arial"/>
          <w:i w:val="0"/>
          <w:sz w:val="20"/>
          <w:lang w:val="en-ZA" w:eastAsia="en-GB"/>
        </w:rPr>
        <w:t xml:space="preserve">to </w:t>
      </w:r>
      <w:r w:rsidR="00C05D84" w:rsidRPr="00EB1DA3">
        <w:rPr>
          <w:rFonts w:ascii="Arial" w:hAnsi="Arial" w:cs="Arial"/>
          <w:i w:val="0"/>
          <w:sz w:val="20"/>
          <w:lang w:val="en-ZA" w:eastAsia="en-GB"/>
        </w:rPr>
        <w:t xml:space="preserve">raise about R4.8 billion in revenue. </w:t>
      </w:r>
    </w:p>
    <w:p w:rsidR="00624E71" w:rsidRPr="00EB1DA3" w:rsidRDefault="00624E71" w:rsidP="00EB1DA3">
      <w:pPr>
        <w:pStyle w:val="Heading3"/>
        <w:spacing w:before="0" w:line="240" w:lineRule="auto"/>
        <w:rPr>
          <w:rFonts w:ascii="Arial" w:hAnsi="Arial" w:cs="Arial"/>
          <w:sz w:val="20"/>
          <w:u w:val="none"/>
          <w:lang w:val="en-ZA" w:eastAsia="en-GB"/>
        </w:rPr>
      </w:pPr>
      <w:r w:rsidRPr="00EB1DA3">
        <w:rPr>
          <w:rFonts w:ascii="Arial" w:hAnsi="Arial" w:cs="Arial"/>
          <w:sz w:val="20"/>
          <w:u w:val="none"/>
          <w:lang w:val="en-ZA" w:eastAsia="en-GB"/>
        </w:rPr>
        <w:t xml:space="preserve">Responses </w:t>
      </w:r>
      <w:r w:rsidR="00AE2A07" w:rsidRPr="00EB1DA3">
        <w:rPr>
          <w:rFonts w:ascii="Arial" w:hAnsi="Arial" w:cs="Arial"/>
          <w:sz w:val="20"/>
          <w:u w:val="none"/>
          <w:lang w:val="en-ZA" w:eastAsia="en-GB"/>
        </w:rPr>
        <w:t xml:space="preserve">by </w:t>
      </w:r>
      <w:r w:rsidRPr="00EB1DA3">
        <w:rPr>
          <w:rFonts w:ascii="Arial" w:hAnsi="Arial" w:cs="Arial"/>
          <w:sz w:val="20"/>
          <w:u w:val="none"/>
          <w:lang w:val="en-ZA" w:eastAsia="en-GB"/>
        </w:rPr>
        <w:t xml:space="preserve">the National Treasury on </w:t>
      </w:r>
      <w:r w:rsidR="0044644B" w:rsidRPr="00EB1DA3">
        <w:rPr>
          <w:rFonts w:ascii="Arial" w:hAnsi="Arial" w:cs="Arial"/>
          <w:sz w:val="20"/>
          <w:u w:val="none"/>
          <w:lang w:val="en-ZA" w:eastAsia="en-GB"/>
        </w:rPr>
        <w:t>issues raised and recommendations made</w:t>
      </w:r>
    </w:p>
    <w:p w:rsidR="00624E71" w:rsidRPr="00EB1DA3" w:rsidRDefault="00624E71" w:rsidP="00EB1DA3">
      <w:pPr>
        <w:rPr>
          <w:rFonts w:ascii="Arial" w:hAnsi="Arial" w:cs="Arial"/>
          <w:sz w:val="20"/>
        </w:rPr>
      </w:pPr>
      <w:r w:rsidRPr="00EB1DA3">
        <w:rPr>
          <w:rFonts w:ascii="Arial" w:hAnsi="Arial" w:cs="Arial"/>
          <w:bCs/>
          <w:sz w:val="20"/>
          <w:lang w:val="en-ZA"/>
        </w:rPr>
        <w:t xml:space="preserve">On inclusive growth and structural reforms, NT noted that </w:t>
      </w:r>
      <w:r w:rsidR="00212914" w:rsidRPr="00EB1DA3">
        <w:rPr>
          <w:rFonts w:ascii="Arial" w:hAnsi="Arial" w:cs="Arial"/>
          <w:bCs/>
          <w:sz w:val="20"/>
          <w:lang w:val="en-ZA"/>
        </w:rPr>
        <w:t xml:space="preserve">the </w:t>
      </w:r>
      <w:r w:rsidRPr="00EB1DA3">
        <w:rPr>
          <w:rFonts w:ascii="Arial" w:hAnsi="Arial" w:cs="Arial"/>
          <w:bCs/>
          <w:sz w:val="20"/>
          <w:lang w:val="en-ZA"/>
        </w:rPr>
        <w:t>s</w:t>
      </w:r>
      <w:r w:rsidRPr="00EB1DA3">
        <w:rPr>
          <w:rFonts w:ascii="Arial" w:hAnsi="Arial" w:cs="Arial"/>
          <w:sz w:val="20"/>
        </w:rPr>
        <w:t>tructural constraints have reduced potential growth for the past decade and remain an impediment to recovery. It said that the economic effects of the pandemic were exacerbated by inadequate electricity supply, with the highest levels of load-shedding to date. It said that reducing regulatory constraints, providing effective services, and coordinating and sequencing economic interventions will bolster public and private investment, which will, in turn, increase resilience and support economic transformation.</w:t>
      </w:r>
    </w:p>
    <w:p w:rsidR="00624E71" w:rsidRPr="00EB1DA3" w:rsidRDefault="00624E71" w:rsidP="00EB1DA3">
      <w:pPr>
        <w:rPr>
          <w:rFonts w:ascii="Arial" w:hAnsi="Arial" w:cs="Arial"/>
          <w:sz w:val="20"/>
        </w:rPr>
      </w:pPr>
      <w:r w:rsidRPr="00EB1DA3">
        <w:rPr>
          <w:rFonts w:ascii="Arial" w:hAnsi="Arial" w:cs="Arial"/>
          <w:sz w:val="20"/>
        </w:rPr>
        <w:t xml:space="preserve">NT stated that reforms are needed to promote growth and employment. These reforms include stimulating demand through investment in infrastructure, complemented by employment programmes and social transfers that will boost household consumption; modernising network industries will support an increase in the economy’s productive capacity; boosting electricity production; and reducing the cost of doing business. </w:t>
      </w:r>
    </w:p>
    <w:p w:rsidR="00624E71" w:rsidRPr="00EB1DA3" w:rsidRDefault="00624E71" w:rsidP="00EB1DA3">
      <w:pPr>
        <w:rPr>
          <w:rFonts w:ascii="Arial" w:hAnsi="Arial" w:cs="Arial"/>
          <w:sz w:val="20"/>
        </w:rPr>
      </w:pPr>
      <w:r w:rsidRPr="00EB1DA3">
        <w:rPr>
          <w:rFonts w:ascii="Arial" w:hAnsi="Arial" w:cs="Arial"/>
          <w:sz w:val="20"/>
        </w:rPr>
        <w:t xml:space="preserve">NT stated that the 2021 MTBPS detailed notable progress on the implementation of structural reforms through Operation Vulindlela. It </w:t>
      </w:r>
      <w:r w:rsidR="004B70A8" w:rsidRPr="00EB1DA3">
        <w:rPr>
          <w:rFonts w:ascii="Arial" w:hAnsi="Arial" w:cs="Arial"/>
          <w:sz w:val="20"/>
        </w:rPr>
        <w:t xml:space="preserve">further </w:t>
      </w:r>
      <w:r w:rsidRPr="00EB1DA3">
        <w:rPr>
          <w:rFonts w:ascii="Arial" w:hAnsi="Arial" w:cs="Arial"/>
          <w:sz w:val="20"/>
        </w:rPr>
        <w:t>said that work is underway to expedite the approvals required to register embedded electricity generation plants, complete the analogue to digital migration and auction spectrum, and clear the backlog of water-use licences.</w:t>
      </w:r>
    </w:p>
    <w:p w:rsidR="00624E71" w:rsidRPr="00EB1DA3" w:rsidRDefault="004B70A8" w:rsidP="00EB1DA3">
      <w:pPr>
        <w:rPr>
          <w:rFonts w:ascii="Arial" w:hAnsi="Arial" w:cs="Arial"/>
          <w:sz w:val="20"/>
        </w:rPr>
      </w:pPr>
      <w:r w:rsidRPr="00EB1DA3">
        <w:rPr>
          <w:rFonts w:ascii="Arial" w:hAnsi="Arial" w:cs="Arial"/>
          <w:sz w:val="20"/>
        </w:rPr>
        <w:t xml:space="preserve">NT reported </w:t>
      </w:r>
      <w:r w:rsidR="00624E71" w:rsidRPr="00EB1DA3">
        <w:rPr>
          <w:rFonts w:ascii="Arial" w:hAnsi="Arial" w:cs="Arial"/>
          <w:sz w:val="20"/>
        </w:rPr>
        <w:t>that post-COVID-19 recovery strategies include stimulating the economy through public employment programmes and tax incentives while implementing reforms to ease the skill constraints and make it easier to do business. Labour-intensive, export-orientated sectors are</w:t>
      </w:r>
      <w:r w:rsidR="00373D24" w:rsidRPr="00EB1DA3">
        <w:rPr>
          <w:rFonts w:ascii="Arial" w:hAnsi="Arial" w:cs="Arial"/>
          <w:sz w:val="20"/>
        </w:rPr>
        <w:t xml:space="preserve"> receiving additional support.  </w:t>
      </w:r>
      <w:r w:rsidR="00624E71" w:rsidRPr="00EB1DA3">
        <w:rPr>
          <w:rFonts w:ascii="Arial" w:hAnsi="Arial" w:cs="Arial"/>
          <w:sz w:val="20"/>
        </w:rPr>
        <w:t xml:space="preserve">It said that </w:t>
      </w:r>
      <w:r w:rsidRPr="00EB1DA3">
        <w:rPr>
          <w:rFonts w:ascii="Arial" w:hAnsi="Arial" w:cs="Arial"/>
          <w:sz w:val="20"/>
        </w:rPr>
        <w:t xml:space="preserve">while the </w:t>
      </w:r>
      <w:r w:rsidR="00624E71" w:rsidRPr="00EB1DA3">
        <w:rPr>
          <w:rFonts w:ascii="Arial" w:hAnsi="Arial" w:cs="Arial"/>
          <w:sz w:val="20"/>
        </w:rPr>
        <w:t>fiscal policy may only affect econom</w:t>
      </w:r>
      <w:r w:rsidRPr="00EB1DA3">
        <w:rPr>
          <w:rFonts w:ascii="Arial" w:hAnsi="Arial" w:cs="Arial"/>
          <w:sz w:val="20"/>
        </w:rPr>
        <w:t>ic growth to a certain extent, s</w:t>
      </w:r>
      <w:r w:rsidR="00624E71" w:rsidRPr="00EB1DA3">
        <w:rPr>
          <w:rFonts w:ascii="Arial" w:hAnsi="Arial" w:cs="Arial"/>
          <w:sz w:val="20"/>
        </w:rPr>
        <w:t xml:space="preserve">tructural reforms are imperative to accelerate </w:t>
      </w:r>
      <w:r w:rsidRPr="00EB1DA3">
        <w:rPr>
          <w:rFonts w:ascii="Arial" w:hAnsi="Arial" w:cs="Arial"/>
          <w:sz w:val="20"/>
        </w:rPr>
        <w:t xml:space="preserve">the </w:t>
      </w:r>
      <w:r w:rsidR="00624E71" w:rsidRPr="00EB1DA3">
        <w:rPr>
          <w:rFonts w:ascii="Arial" w:hAnsi="Arial" w:cs="Arial"/>
          <w:sz w:val="20"/>
        </w:rPr>
        <w:t xml:space="preserve">economic growth needed to reduce poverty and unemployment while also increasing investment. </w:t>
      </w:r>
    </w:p>
    <w:p w:rsidR="00F6338E" w:rsidRPr="00EB1DA3" w:rsidRDefault="009C7625" w:rsidP="00EB1DA3">
      <w:pPr>
        <w:pStyle w:val="Heading2"/>
        <w:numPr>
          <w:ilvl w:val="0"/>
          <w:numId w:val="0"/>
        </w:numPr>
        <w:spacing w:before="0" w:line="240" w:lineRule="auto"/>
        <w:ind w:left="576" w:hanging="576"/>
        <w:rPr>
          <w:rFonts w:ascii="Arial" w:hAnsi="Arial" w:cs="Arial"/>
          <w:sz w:val="20"/>
        </w:rPr>
      </w:pPr>
      <w:r w:rsidRPr="00EB1DA3">
        <w:rPr>
          <w:rFonts w:ascii="Arial" w:hAnsi="Arial" w:cs="Arial"/>
          <w:sz w:val="20"/>
        </w:rPr>
        <w:t xml:space="preserve">Revenue estimates, tax proposals and </w:t>
      </w:r>
      <w:r w:rsidR="004B6FFC" w:rsidRPr="00EB1DA3">
        <w:rPr>
          <w:rFonts w:ascii="Arial" w:hAnsi="Arial" w:cs="Arial"/>
          <w:sz w:val="20"/>
        </w:rPr>
        <w:t>SARS</w:t>
      </w:r>
      <w:r w:rsidRPr="00EB1DA3">
        <w:rPr>
          <w:rFonts w:ascii="Arial" w:hAnsi="Arial" w:cs="Arial"/>
          <w:sz w:val="20"/>
        </w:rPr>
        <w:t xml:space="preserve"> issues</w:t>
      </w:r>
    </w:p>
    <w:p w:rsidR="00AE2A07" w:rsidRPr="00EB1DA3" w:rsidRDefault="00AE2A07" w:rsidP="00EB1DA3">
      <w:pPr>
        <w:pStyle w:val="Heading3"/>
        <w:spacing w:before="0" w:line="240" w:lineRule="auto"/>
        <w:rPr>
          <w:rFonts w:ascii="Arial" w:hAnsi="Arial" w:cs="Arial"/>
          <w:sz w:val="20"/>
          <w:u w:val="none"/>
        </w:rPr>
      </w:pPr>
      <w:r w:rsidRPr="00EB1DA3">
        <w:rPr>
          <w:rFonts w:ascii="Arial" w:hAnsi="Arial" w:cs="Arial"/>
          <w:sz w:val="20"/>
          <w:u w:val="none"/>
        </w:rPr>
        <w:t>Comments and issues raised by the stakeholders</w:t>
      </w:r>
      <w:r w:rsidR="002D15E2" w:rsidRPr="00EB1DA3">
        <w:rPr>
          <w:rFonts w:ascii="Arial" w:hAnsi="Arial" w:cs="Arial"/>
          <w:sz w:val="20"/>
          <w:u w:val="none"/>
        </w:rPr>
        <w:t xml:space="preserve"> on revenue and tax </w:t>
      </w:r>
    </w:p>
    <w:p w:rsidR="00B84859" w:rsidRPr="00EB1DA3" w:rsidRDefault="00360BF9" w:rsidP="00EB1DA3">
      <w:pPr>
        <w:rPr>
          <w:rFonts w:ascii="Arial" w:hAnsi="Arial" w:cs="Arial"/>
          <w:sz w:val="20"/>
          <w:lang w:val="en-ZA" w:eastAsia="en-GB"/>
        </w:rPr>
      </w:pPr>
      <w:r w:rsidRPr="00EB1DA3">
        <w:rPr>
          <w:rFonts w:ascii="Arial" w:hAnsi="Arial" w:cs="Arial"/>
          <w:sz w:val="20"/>
        </w:rPr>
        <w:t xml:space="preserve">On revenue estimates, </w:t>
      </w:r>
      <w:r w:rsidR="00625A14" w:rsidRPr="00EB1DA3">
        <w:rPr>
          <w:rFonts w:ascii="Arial" w:hAnsi="Arial" w:cs="Arial"/>
          <w:sz w:val="20"/>
        </w:rPr>
        <w:t>SAICA observed that the</w:t>
      </w:r>
      <w:r w:rsidR="008E2AF7" w:rsidRPr="00EB1DA3">
        <w:rPr>
          <w:rFonts w:ascii="Arial" w:hAnsi="Arial" w:cs="Arial"/>
          <w:sz w:val="20"/>
        </w:rPr>
        <w:t xml:space="preserve">re has been a consistent decade-long </w:t>
      </w:r>
      <w:r w:rsidR="00625A14" w:rsidRPr="00EB1DA3">
        <w:rPr>
          <w:rFonts w:ascii="Arial" w:hAnsi="Arial" w:cs="Arial"/>
          <w:sz w:val="20"/>
        </w:rPr>
        <w:t>trend of materially over-estimating revenue and economic growth</w:t>
      </w:r>
      <w:r w:rsidR="00B84859" w:rsidRPr="00EB1DA3">
        <w:rPr>
          <w:rFonts w:ascii="Arial" w:hAnsi="Arial" w:cs="Arial"/>
          <w:sz w:val="20"/>
        </w:rPr>
        <w:t>,</w:t>
      </w:r>
      <w:r w:rsidR="00625A14" w:rsidRPr="00EB1DA3">
        <w:rPr>
          <w:rFonts w:ascii="Arial" w:hAnsi="Arial" w:cs="Arial"/>
          <w:sz w:val="20"/>
        </w:rPr>
        <w:t xml:space="preserve"> with “unplanned windfalls” fortuitously changing the trend recently.</w:t>
      </w:r>
      <w:r w:rsidR="008E2AF7" w:rsidRPr="00EB1DA3">
        <w:rPr>
          <w:rFonts w:ascii="Arial" w:hAnsi="Arial" w:cs="Arial"/>
          <w:sz w:val="20"/>
        </w:rPr>
        <w:t xml:space="preserve"> Pw</w:t>
      </w:r>
      <w:r w:rsidR="001F135D" w:rsidRPr="00EB1DA3">
        <w:rPr>
          <w:rFonts w:ascii="Arial" w:hAnsi="Arial" w:cs="Arial"/>
          <w:sz w:val="20"/>
        </w:rPr>
        <w:t>C agreed</w:t>
      </w:r>
      <w:r w:rsidR="00B84859" w:rsidRPr="00EB1DA3">
        <w:rPr>
          <w:rFonts w:ascii="Arial" w:hAnsi="Arial" w:cs="Arial"/>
          <w:sz w:val="20"/>
        </w:rPr>
        <w:t xml:space="preserve"> wit</w:t>
      </w:r>
      <w:r w:rsidR="001F135D" w:rsidRPr="00EB1DA3">
        <w:rPr>
          <w:rFonts w:ascii="Arial" w:hAnsi="Arial" w:cs="Arial"/>
          <w:sz w:val="20"/>
        </w:rPr>
        <w:t>h SAICA that revenue forecasts we</w:t>
      </w:r>
      <w:r w:rsidR="00B84859" w:rsidRPr="00EB1DA3">
        <w:rPr>
          <w:rFonts w:ascii="Arial" w:hAnsi="Arial" w:cs="Arial"/>
          <w:sz w:val="20"/>
        </w:rPr>
        <w:t>re conservative</w:t>
      </w:r>
      <w:r w:rsidR="001F135D" w:rsidRPr="00EB1DA3">
        <w:rPr>
          <w:rFonts w:ascii="Arial" w:hAnsi="Arial" w:cs="Arial"/>
          <w:sz w:val="20"/>
        </w:rPr>
        <w:t xml:space="preserve">. </w:t>
      </w:r>
      <w:r w:rsidR="00B84859" w:rsidRPr="00EB1DA3">
        <w:rPr>
          <w:rFonts w:ascii="Arial" w:hAnsi="Arial" w:cs="Arial"/>
          <w:sz w:val="20"/>
        </w:rPr>
        <w:t xml:space="preserve"> </w:t>
      </w:r>
      <w:r w:rsidR="001F135D" w:rsidRPr="00EB1DA3">
        <w:rPr>
          <w:rFonts w:ascii="Arial" w:hAnsi="Arial" w:cs="Arial"/>
          <w:sz w:val="20"/>
        </w:rPr>
        <w:t>It said that</w:t>
      </w:r>
      <w:r w:rsidR="00B84859" w:rsidRPr="00EB1DA3">
        <w:rPr>
          <w:rFonts w:ascii="Arial" w:hAnsi="Arial" w:cs="Arial"/>
          <w:sz w:val="20"/>
        </w:rPr>
        <w:t xml:space="preserve"> </w:t>
      </w:r>
      <w:r w:rsidR="00B84859" w:rsidRPr="00EB1DA3">
        <w:rPr>
          <w:rFonts w:ascii="Arial" w:hAnsi="Arial" w:cs="Arial"/>
          <w:sz w:val="20"/>
          <w:lang w:val="en-ZA" w:eastAsia="en-GB"/>
        </w:rPr>
        <w:t>NT and SARS have been conservative in their tax revenue estimates for the current fiscal year</w:t>
      </w:r>
      <w:r w:rsidR="008E2AF7" w:rsidRPr="00EB1DA3">
        <w:rPr>
          <w:rFonts w:ascii="Arial" w:hAnsi="Arial" w:cs="Arial"/>
          <w:sz w:val="20"/>
          <w:lang w:val="en-ZA" w:eastAsia="en-GB"/>
        </w:rPr>
        <w:t xml:space="preserve"> as well</w:t>
      </w:r>
      <w:r w:rsidR="00B84859" w:rsidRPr="00EB1DA3">
        <w:rPr>
          <w:rFonts w:ascii="Arial" w:hAnsi="Arial" w:cs="Arial"/>
          <w:sz w:val="20"/>
          <w:lang w:val="en-ZA" w:eastAsia="en-GB"/>
        </w:rPr>
        <w:t>. SAICA also raised a concern that</w:t>
      </w:r>
      <w:r w:rsidR="00B84859" w:rsidRPr="00EB1DA3">
        <w:rPr>
          <w:rFonts w:ascii="Arial" w:hAnsi="Arial" w:cs="Arial"/>
          <w:sz w:val="20"/>
        </w:rPr>
        <w:t xml:space="preserve"> it</w:t>
      </w:r>
      <w:r w:rsidR="00625A14" w:rsidRPr="00EB1DA3">
        <w:rPr>
          <w:rFonts w:ascii="Arial" w:hAnsi="Arial" w:cs="Arial"/>
          <w:sz w:val="20"/>
        </w:rPr>
        <w:t xml:space="preserve"> is uncertain where the forecasted additional tax revenue will come from in the medium term and why the Minister is unclear on wheth</w:t>
      </w:r>
      <w:r w:rsidR="00B84859" w:rsidRPr="00EB1DA3">
        <w:rPr>
          <w:rFonts w:ascii="Arial" w:hAnsi="Arial" w:cs="Arial"/>
          <w:sz w:val="20"/>
        </w:rPr>
        <w:t xml:space="preserve">er this will come from increased taxes. </w:t>
      </w:r>
      <w:r w:rsidR="00625A14" w:rsidRPr="00EB1DA3">
        <w:rPr>
          <w:rFonts w:ascii="Arial" w:hAnsi="Arial" w:cs="Arial"/>
          <w:sz w:val="20"/>
        </w:rPr>
        <w:t xml:space="preserve"> </w:t>
      </w:r>
    </w:p>
    <w:p w:rsidR="00625A14" w:rsidRPr="00EB1DA3" w:rsidRDefault="00B84859" w:rsidP="00EB1DA3">
      <w:pPr>
        <w:rPr>
          <w:rFonts w:ascii="Arial" w:hAnsi="Arial" w:cs="Arial"/>
          <w:sz w:val="20"/>
          <w:lang w:val="en-ZA" w:eastAsia="en-GB"/>
        </w:rPr>
      </w:pPr>
      <w:r w:rsidRPr="00EB1DA3">
        <w:rPr>
          <w:rFonts w:ascii="Arial" w:hAnsi="Arial" w:cs="Arial"/>
          <w:sz w:val="20"/>
        </w:rPr>
        <w:t>Pw</w:t>
      </w:r>
      <w:r w:rsidR="00625A14" w:rsidRPr="00EB1DA3">
        <w:rPr>
          <w:rFonts w:ascii="Arial" w:hAnsi="Arial" w:cs="Arial"/>
          <w:sz w:val="20"/>
        </w:rPr>
        <w:t xml:space="preserve">C </w:t>
      </w:r>
      <w:r w:rsidRPr="00EB1DA3">
        <w:rPr>
          <w:rFonts w:ascii="Arial" w:hAnsi="Arial" w:cs="Arial"/>
          <w:sz w:val="20"/>
        </w:rPr>
        <w:t>highlighted</w:t>
      </w:r>
      <w:r w:rsidR="00625A14" w:rsidRPr="00EB1DA3">
        <w:rPr>
          <w:rFonts w:ascii="Arial" w:hAnsi="Arial" w:cs="Arial"/>
          <w:sz w:val="20"/>
        </w:rPr>
        <w:t xml:space="preserve"> significant revenue risks in an event of lower commodity pr</w:t>
      </w:r>
      <w:r w:rsidRPr="00EB1DA3">
        <w:rPr>
          <w:rFonts w:ascii="Arial" w:hAnsi="Arial" w:cs="Arial"/>
          <w:sz w:val="20"/>
        </w:rPr>
        <w:t>ices</w:t>
      </w:r>
      <w:r w:rsidR="00625A14" w:rsidRPr="00EB1DA3">
        <w:rPr>
          <w:rFonts w:ascii="Arial" w:hAnsi="Arial" w:cs="Arial"/>
          <w:sz w:val="20"/>
        </w:rPr>
        <w:t xml:space="preserve"> </w:t>
      </w:r>
      <w:r w:rsidRPr="00EB1DA3">
        <w:rPr>
          <w:rFonts w:ascii="Arial" w:hAnsi="Arial" w:cs="Arial"/>
          <w:sz w:val="20"/>
        </w:rPr>
        <w:t xml:space="preserve">and </w:t>
      </w:r>
      <w:r w:rsidR="00625A14" w:rsidRPr="00EB1DA3">
        <w:rPr>
          <w:rFonts w:ascii="Arial" w:hAnsi="Arial" w:cs="Arial"/>
          <w:sz w:val="20"/>
        </w:rPr>
        <w:t xml:space="preserve">suppressed GDP growth as a result of </w:t>
      </w:r>
      <w:r w:rsidRPr="00EB1DA3">
        <w:rPr>
          <w:rFonts w:ascii="Arial" w:hAnsi="Arial" w:cs="Arial"/>
          <w:sz w:val="20"/>
        </w:rPr>
        <w:t>electricity</w:t>
      </w:r>
      <w:r w:rsidR="00625A14" w:rsidRPr="00EB1DA3">
        <w:rPr>
          <w:rFonts w:ascii="Arial" w:hAnsi="Arial" w:cs="Arial"/>
          <w:sz w:val="20"/>
        </w:rPr>
        <w:t xml:space="preserve"> interruptions and </w:t>
      </w:r>
      <w:r w:rsidRPr="00EB1DA3">
        <w:rPr>
          <w:rFonts w:ascii="Arial" w:hAnsi="Arial" w:cs="Arial"/>
          <w:sz w:val="20"/>
        </w:rPr>
        <w:t>the emergence of new COVID</w:t>
      </w:r>
      <w:r w:rsidR="00625A14" w:rsidRPr="00EB1DA3">
        <w:rPr>
          <w:rFonts w:ascii="Arial" w:hAnsi="Arial" w:cs="Arial"/>
          <w:sz w:val="20"/>
        </w:rPr>
        <w:t xml:space="preserve">-19 variants. </w:t>
      </w:r>
      <w:r w:rsidRPr="00EB1DA3">
        <w:rPr>
          <w:rFonts w:ascii="Arial" w:hAnsi="Arial" w:cs="Arial"/>
          <w:sz w:val="20"/>
        </w:rPr>
        <w:t xml:space="preserve">PwC cautioned that </w:t>
      </w:r>
      <w:r w:rsidRPr="00EB1DA3">
        <w:rPr>
          <w:rFonts w:ascii="Arial" w:hAnsi="Arial" w:cs="Arial"/>
          <w:sz w:val="20"/>
          <w:lang w:val="en-ZA" w:eastAsia="en-GB"/>
        </w:rPr>
        <w:t>s</w:t>
      </w:r>
      <w:r w:rsidR="00625A14" w:rsidRPr="00EB1DA3">
        <w:rPr>
          <w:rFonts w:ascii="Arial" w:hAnsi="Arial" w:cs="Arial"/>
          <w:sz w:val="20"/>
          <w:lang w:val="en-ZA" w:eastAsia="en-GB"/>
        </w:rPr>
        <w:t xml:space="preserve">hould any of these </w:t>
      </w:r>
      <w:r w:rsidRPr="00EB1DA3">
        <w:rPr>
          <w:rFonts w:ascii="Arial" w:hAnsi="Arial" w:cs="Arial"/>
          <w:sz w:val="20"/>
          <w:lang w:val="en-ZA" w:eastAsia="en-GB"/>
        </w:rPr>
        <w:t>risks materialise, there</w:t>
      </w:r>
      <w:r w:rsidR="00625A14" w:rsidRPr="00EB1DA3">
        <w:rPr>
          <w:rFonts w:ascii="Arial" w:hAnsi="Arial" w:cs="Arial"/>
          <w:sz w:val="20"/>
          <w:lang w:val="en-ZA" w:eastAsia="en-GB"/>
        </w:rPr>
        <w:t xml:space="preserve"> could </w:t>
      </w:r>
      <w:r w:rsidRPr="00EB1DA3">
        <w:rPr>
          <w:rFonts w:ascii="Arial" w:hAnsi="Arial" w:cs="Arial"/>
          <w:sz w:val="20"/>
          <w:lang w:val="en-ZA" w:eastAsia="en-GB"/>
        </w:rPr>
        <w:t xml:space="preserve">be a </w:t>
      </w:r>
      <w:r w:rsidR="00625A14" w:rsidRPr="00EB1DA3">
        <w:rPr>
          <w:rFonts w:ascii="Arial" w:hAnsi="Arial" w:cs="Arial"/>
          <w:sz w:val="20"/>
          <w:lang w:val="en-ZA" w:eastAsia="en-GB"/>
        </w:rPr>
        <w:t xml:space="preserve">material effect on the forecast deficit and debt consolidation. </w:t>
      </w:r>
      <w:r w:rsidRPr="00EB1DA3">
        <w:rPr>
          <w:rFonts w:ascii="Arial" w:hAnsi="Arial" w:cs="Arial"/>
          <w:sz w:val="20"/>
          <w:lang w:val="en-ZA" w:eastAsia="en-GB"/>
        </w:rPr>
        <w:t xml:space="preserve">Also, the impact of the </w:t>
      </w:r>
      <w:r w:rsidR="00625A14" w:rsidRPr="00EB1DA3">
        <w:rPr>
          <w:rFonts w:ascii="Arial" w:hAnsi="Arial" w:cs="Arial"/>
          <w:sz w:val="20"/>
          <w:lang w:val="en-ZA" w:eastAsia="en-GB"/>
        </w:rPr>
        <w:t>Ukraine</w:t>
      </w:r>
      <w:r w:rsidR="001F135D" w:rsidRPr="00EB1DA3">
        <w:rPr>
          <w:rFonts w:ascii="Arial" w:hAnsi="Arial" w:cs="Arial"/>
          <w:sz w:val="20"/>
          <w:lang w:val="en-ZA" w:eastAsia="en-GB"/>
        </w:rPr>
        <w:t>-Russia war impact wa</w:t>
      </w:r>
      <w:r w:rsidRPr="00EB1DA3">
        <w:rPr>
          <w:rFonts w:ascii="Arial" w:hAnsi="Arial" w:cs="Arial"/>
          <w:sz w:val="20"/>
          <w:lang w:val="en-ZA" w:eastAsia="en-GB"/>
        </w:rPr>
        <w:t xml:space="preserve">s not yet known and not factored in the 2022 Budget. </w:t>
      </w:r>
    </w:p>
    <w:p w:rsidR="00BE2051" w:rsidRPr="00EB1DA3" w:rsidRDefault="00BE2051" w:rsidP="00EB1DA3">
      <w:pPr>
        <w:rPr>
          <w:rFonts w:ascii="Arial" w:hAnsi="Arial" w:cs="Arial"/>
          <w:sz w:val="20"/>
        </w:rPr>
      </w:pPr>
      <w:r w:rsidRPr="00EB1DA3">
        <w:rPr>
          <w:rFonts w:ascii="Arial" w:hAnsi="Arial" w:cs="Arial"/>
          <w:sz w:val="20"/>
        </w:rPr>
        <w:t xml:space="preserve">Regarding the revenue windfall, </w:t>
      </w:r>
      <w:r w:rsidR="001F135D" w:rsidRPr="00EB1DA3">
        <w:rPr>
          <w:rFonts w:ascii="Arial" w:hAnsi="Arial" w:cs="Arial"/>
          <w:sz w:val="20"/>
        </w:rPr>
        <w:t>FFC supported</w:t>
      </w:r>
      <w:r w:rsidRPr="00EB1DA3">
        <w:rPr>
          <w:rFonts w:ascii="Arial" w:hAnsi="Arial" w:cs="Arial"/>
          <w:sz w:val="20"/>
        </w:rPr>
        <w:t xml:space="preserve"> the decision to use some of it to improve pro-poor and growth-inducing allocations in non</w:t>
      </w:r>
      <w:r w:rsidRPr="00EB1DA3">
        <w:rPr>
          <w:rFonts w:cs="Arial"/>
          <w:sz w:val="20"/>
        </w:rPr>
        <w:t>‐</w:t>
      </w:r>
      <w:r w:rsidRPr="00EB1DA3">
        <w:rPr>
          <w:rFonts w:ascii="Arial" w:hAnsi="Arial" w:cs="Arial"/>
          <w:sz w:val="20"/>
        </w:rPr>
        <w:t xml:space="preserve">interest spending over the MTEF period. </w:t>
      </w:r>
      <w:r w:rsidR="001F135D" w:rsidRPr="00EB1DA3">
        <w:rPr>
          <w:rFonts w:ascii="Arial" w:hAnsi="Arial" w:cs="Arial"/>
          <w:sz w:val="20"/>
        </w:rPr>
        <w:t>FFC said it believed t</w:t>
      </w:r>
      <w:r w:rsidRPr="00EB1DA3">
        <w:rPr>
          <w:rFonts w:ascii="Arial" w:hAnsi="Arial" w:cs="Arial"/>
          <w:sz w:val="20"/>
        </w:rPr>
        <w:t xml:space="preserve">hat this is an approach that does not jeopardise the path to deficit reduction and </w:t>
      </w:r>
      <w:r w:rsidR="008E2AF7" w:rsidRPr="00EB1DA3">
        <w:rPr>
          <w:rFonts w:ascii="Arial" w:hAnsi="Arial" w:cs="Arial"/>
          <w:sz w:val="20"/>
        </w:rPr>
        <w:t xml:space="preserve">fiscal consolidation. It </w:t>
      </w:r>
      <w:r w:rsidRPr="00EB1DA3">
        <w:rPr>
          <w:rFonts w:ascii="Arial" w:hAnsi="Arial" w:cs="Arial"/>
          <w:sz w:val="20"/>
        </w:rPr>
        <w:lastRenderedPageBreak/>
        <w:t xml:space="preserve">however </w:t>
      </w:r>
      <w:r w:rsidR="008E2AF7" w:rsidRPr="00EB1DA3">
        <w:rPr>
          <w:rFonts w:ascii="Arial" w:hAnsi="Arial" w:cs="Arial"/>
          <w:sz w:val="20"/>
        </w:rPr>
        <w:t xml:space="preserve">cautioned that </w:t>
      </w:r>
      <w:r w:rsidRPr="00EB1DA3">
        <w:rPr>
          <w:rFonts w:ascii="Arial" w:hAnsi="Arial" w:cs="Arial"/>
          <w:sz w:val="20"/>
        </w:rPr>
        <w:t>certain elements of funding within the 2022 Budget will create future funding obligations should revenue not recover and this will place departments under significant pressure.</w:t>
      </w:r>
    </w:p>
    <w:p w:rsidR="00EE5BDB" w:rsidRPr="00EB1DA3" w:rsidRDefault="00DD62DB" w:rsidP="00EB1DA3">
      <w:pPr>
        <w:rPr>
          <w:rFonts w:ascii="Arial" w:hAnsi="Arial" w:cs="Arial"/>
          <w:sz w:val="20"/>
        </w:rPr>
      </w:pPr>
      <w:r w:rsidRPr="00EB1DA3">
        <w:rPr>
          <w:rFonts w:ascii="Arial" w:hAnsi="Arial" w:cs="Arial"/>
          <w:sz w:val="20"/>
        </w:rPr>
        <w:t xml:space="preserve">Regarding tax policy, </w:t>
      </w:r>
      <w:r w:rsidR="00625A14" w:rsidRPr="00EB1DA3">
        <w:rPr>
          <w:rFonts w:ascii="Arial" w:hAnsi="Arial" w:cs="Arial"/>
          <w:sz w:val="20"/>
        </w:rPr>
        <w:t xml:space="preserve">SAICA submitted that the tax-to-GPD ratio also appears to be calculated inappropriately by the exclusion of pertinent tax amounts. It </w:t>
      </w:r>
      <w:r w:rsidR="001F135D" w:rsidRPr="00EB1DA3">
        <w:rPr>
          <w:rFonts w:ascii="Arial" w:hAnsi="Arial" w:cs="Arial"/>
          <w:sz w:val="20"/>
        </w:rPr>
        <w:t xml:space="preserve">added that </w:t>
      </w:r>
      <w:r w:rsidR="00625A14" w:rsidRPr="00EB1DA3">
        <w:rPr>
          <w:rFonts w:ascii="Arial" w:hAnsi="Arial" w:cs="Arial"/>
          <w:sz w:val="20"/>
        </w:rPr>
        <w:t xml:space="preserve">research into introducing a tax-to-GPD ratio ceiling, as promised in 1996 by the </w:t>
      </w:r>
      <w:r w:rsidR="003F5CC2" w:rsidRPr="00EB1DA3">
        <w:rPr>
          <w:rFonts w:ascii="Arial" w:hAnsi="Arial" w:cs="Arial"/>
          <w:sz w:val="20"/>
        </w:rPr>
        <w:t>Joint Standing Committees on Finance (JSCoF)</w:t>
      </w:r>
      <w:r w:rsidR="00625A14" w:rsidRPr="00EB1DA3">
        <w:rPr>
          <w:rFonts w:ascii="Arial" w:hAnsi="Arial" w:cs="Arial"/>
          <w:sz w:val="20"/>
        </w:rPr>
        <w:t>, has also not been undertaken to provide clarity on whether there is a level at which high taxes beco</w:t>
      </w:r>
      <w:r w:rsidRPr="00EB1DA3">
        <w:rPr>
          <w:rFonts w:ascii="Arial" w:hAnsi="Arial" w:cs="Arial"/>
          <w:sz w:val="20"/>
        </w:rPr>
        <w:t xml:space="preserve">me detrimental to the economy. </w:t>
      </w:r>
      <w:r w:rsidR="00625A14" w:rsidRPr="00EB1DA3">
        <w:rPr>
          <w:rFonts w:ascii="Arial" w:hAnsi="Arial" w:cs="Arial"/>
          <w:sz w:val="20"/>
        </w:rPr>
        <w:t>FFC</w:t>
      </w:r>
      <w:r w:rsidR="001F135D" w:rsidRPr="00EB1DA3">
        <w:rPr>
          <w:rFonts w:ascii="Arial" w:hAnsi="Arial" w:cs="Arial"/>
          <w:sz w:val="20"/>
        </w:rPr>
        <w:t>,</w:t>
      </w:r>
      <w:r w:rsidR="00625A14" w:rsidRPr="00EB1DA3">
        <w:rPr>
          <w:rFonts w:ascii="Arial" w:hAnsi="Arial" w:cs="Arial"/>
          <w:sz w:val="20"/>
        </w:rPr>
        <w:t xml:space="preserve"> </w:t>
      </w:r>
      <w:r w:rsidR="008E2AF7" w:rsidRPr="00EB1DA3">
        <w:rPr>
          <w:rFonts w:ascii="Arial" w:hAnsi="Arial" w:cs="Arial"/>
          <w:sz w:val="20"/>
        </w:rPr>
        <w:t>on the other hand</w:t>
      </w:r>
      <w:r w:rsidR="001F135D" w:rsidRPr="00EB1DA3">
        <w:rPr>
          <w:rFonts w:ascii="Arial" w:hAnsi="Arial" w:cs="Arial"/>
          <w:sz w:val="20"/>
        </w:rPr>
        <w:t>,</w:t>
      </w:r>
      <w:r w:rsidR="008E2AF7" w:rsidRPr="00EB1DA3">
        <w:rPr>
          <w:rFonts w:ascii="Arial" w:hAnsi="Arial" w:cs="Arial"/>
          <w:sz w:val="20"/>
        </w:rPr>
        <w:t xml:space="preserve"> </w:t>
      </w:r>
      <w:r w:rsidR="001F135D" w:rsidRPr="00EB1DA3">
        <w:rPr>
          <w:rFonts w:ascii="Arial" w:hAnsi="Arial" w:cs="Arial"/>
          <w:sz w:val="20"/>
        </w:rPr>
        <w:t xml:space="preserve">said </w:t>
      </w:r>
      <w:r w:rsidRPr="00EB1DA3">
        <w:rPr>
          <w:rFonts w:ascii="Arial" w:hAnsi="Arial" w:cs="Arial"/>
          <w:sz w:val="20"/>
        </w:rPr>
        <w:t xml:space="preserve">it </w:t>
      </w:r>
      <w:r w:rsidR="00625A14" w:rsidRPr="00EB1DA3">
        <w:rPr>
          <w:rFonts w:ascii="Arial" w:hAnsi="Arial" w:cs="Arial"/>
          <w:sz w:val="20"/>
        </w:rPr>
        <w:t>supports the government’s approach of focussing on broadening the tax base, improving administration and lowering tax rates.</w:t>
      </w:r>
      <w:r w:rsidR="0048463C" w:rsidRPr="00EB1DA3">
        <w:rPr>
          <w:rFonts w:ascii="Arial" w:hAnsi="Arial" w:cs="Arial"/>
          <w:sz w:val="20"/>
        </w:rPr>
        <w:t xml:space="preserve"> </w:t>
      </w:r>
      <w:r w:rsidR="0088413D" w:rsidRPr="00EB1DA3">
        <w:rPr>
          <w:rFonts w:ascii="Arial" w:hAnsi="Arial" w:cs="Arial"/>
          <w:sz w:val="20"/>
        </w:rPr>
        <w:t xml:space="preserve">FCSG submitted that there is little room for further PIT increases as this tax base alone R284 billion </w:t>
      </w:r>
      <w:r w:rsidR="008E2AF7" w:rsidRPr="00EB1DA3">
        <w:rPr>
          <w:rFonts w:ascii="Arial" w:hAnsi="Arial" w:cs="Arial"/>
          <w:sz w:val="20"/>
        </w:rPr>
        <w:t>or 50.6 per cent of PIT and 20</w:t>
      </w:r>
      <w:r w:rsidR="0088413D" w:rsidRPr="00EB1DA3">
        <w:rPr>
          <w:rFonts w:ascii="Arial" w:hAnsi="Arial" w:cs="Arial"/>
          <w:sz w:val="20"/>
        </w:rPr>
        <w:t xml:space="preserve"> per cent of total government revenue, can emigrate.</w:t>
      </w:r>
      <w:r w:rsidR="0048463C" w:rsidRPr="00EB1DA3">
        <w:rPr>
          <w:rFonts w:ascii="Arial" w:hAnsi="Arial" w:cs="Arial"/>
          <w:sz w:val="20"/>
        </w:rPr>
        <w:t xml:space="preserve"> </w:t>
      </w:r>
    </w:p>
    <w:p w:rsidR="002942CC" w:rsidRPr="00EB1DA3" w:rsidRDefault="0048463C" w:rsidP="00EB1DA3">
      <w:pPr>
        <w:rPr>
          <w:rFonts w:ascii="Arial" w:hAnsi="Arial" w:cs="Arial"/>
          <w:sz w:val="20"/>
        </w:rPr>
      </w:pPr>
      <w:r w:rsidRPr="00EB1DA3">
        <w:rPr>
          <w:rFonts w:ascii="Arial" w:hAnsi="Arial" w:cs="Arial"/>
          <w:sz w:val="20"/>
        </w:rPr>
        <w:t xml:space="preserve">PwC </w:t>
      </w:r>
      <w:r w:rsidR="001F135D" w:rsidRPr="00EB1DA3">
        <w:rPr>
          <w:rFonts w:ascii="Arial" w:hAnsi="Arial" w:cs="Arial"/>
          <w:sz w:val="20"/>
        </w:rPr>
        <w:t>supported</w:t>
      </w:r>
      <w:r w:rsidR="00137AEC" w:rsidRPr="00EB1DA3">
        <w:rPr>
          <w:rFonts w:ascii="Arial" w:hAnsi="Arial" w:cs="Arial"/>
          <w:sz w:val="20"/>
        </w:rPr>
        <w:t xml:space="preserve"> the reduction of the CIT rate but </w:t>
      </w:r>
      <w:r w:rsidR="001F135D" w:rsidRPr="00EB1DA3">
        <w:rPr>
          <w:rFonts w:ascii="Arial" w:hAnsi="Arial" w:cs="Arial"/>
          <w:sz w:val="20"/>
        </w:rPr>
        <w:t>questioned the timing and</w:t>
      </w:r>
      <w:r w:rsidR="001052B5" w:rsidRPr="00EB1DA3">
        <w:rPr>
          <w:rFonts w:ascii="Arial" w:hAnsi="Arial" w:cs="Arial"/>
          <w:sz w:val="20"/>
        </w:rPr>
        <w:t xml:space="preserve"> </w:t>
      </w:r>
      <w:r w:rsidRPr="00EB1DA3">
        <w:rPr>
          <w:rFonts w:ascii="Arial" w:hAnsi="Arial" w:cs="Arial"/>
          <w:sz w:val="20"/>
        </w:rPr>
        <w:t xml:space="preserve">sought </w:t>
      </w:r>
      <w:r w:rsidR="001052B5" w:rsidRPr="00EB1DA3">
        <w:rPr>
          <w:rFonts w:ascii="Arial" w:hAnsi="Arial" w:cs="Arial"/>
          <w:sz w:val="20"/>
        </w:rPr>
        <w:t xml:space="preserve">clarity on </w:t>
      </w:r>
      <w:r w:rsidR="008E2AF7" w:rsidRPr="00EB1DA3">
        <w:rPr>
          <w:rFonts w:ascii="Arial" w:hAnsi="Arial" w:cs="Arial"/>
          <w:sz w:val="20"/>
        </w:rPr>
        <w:t xml:space="preserve">the </w:t>
      </w:r>
      <w:r w:rsidR="001052B5" w:rsidRPr="00EB1DA3">
        <w:rPr>
          <w:rFonts w:ascii="Arial" w:hAnsi="Arial" w:cs="Arial"/>
          <w:sz w:val="20"/>
        </w:rPr>
        <w:t>way forward for tax neutral rate reductions</w:t>
      </w:r>
      <w:r w:rsidRPr="00EB1DA3">
        <w:rPr>
          <w:rFonts w:ascii="Arial" w:hAnsi="Arial" w:cs="Arial"/>
          <w:sz w:val="20"/>
        </w:rPr>
        <w:t xml:space="preserve">. </w:t>
      </w:r>
      <w:r w:rsidR="00137AEC" w:rsidRPr="00EB1DA3">
        <w:rPr>
          <w:rFonts w:ascii="Arial" w:hAnsi="Arial" w:cs="Arial"/>
          <w:sz w:val="20"/>
        </w:rPr>
        <w:t xml:space="preserve"> On the contrary, </w:t>
      </w:r>
      <w:r w:rsidR="002942CC" w:rsidRPr="00EB1DA3">
        <w:rPr>
          <w:rFonts w:ascii="Arial" w:hAnsi="Arial" w:cs="Arial"/>
          <w:sz w:val="20"/>
          <w:lang w:val="en-ZA" w:eastAsia="en-GB"/>
        </w:rPr>
        <w:t xml:space="preserve">IEJ </w:t>
      </w:r>
      <w:r w:rsidR="00137AEC" w:rsidRPr="00EB1DA3">
        <w:rPr>
          <w:rFonts w:ascii="Arial" w:hAnsi="Arial" w:cs="Arial"/>
          <w:sz w:val="20"/>
          <w:lang w:val="en-ZA" w:eastAsia="en-GB"/>
        </w:rPr>
        <w:t xml:space="preserve">submitted that the </w:t>
      </w:r>
      <w:r w:rsidR="002942CC" w:rsidRPr="00EB1DA3">
        <w:rPr>
          <w:rFonts w:ascii="Arial" w:hAnsi="Arial" w:cs="Arial"/>
          <w:sz w:val="20"/>
          <w:lang w:val="en-ZA" w:eastAsia="en-GB"/>
        </w:rPr>
        <w:t xml:space="preserve">CIT </w:t>
      </w:r>
      <w:r w:rsidR="00137AEC" w:rsidRPr="00EB1DA3">
        <w:rPr>
          <w:rFonts w:ascii="Arial" w:hAnsi="Arial" w:cs="Arial"/>
          <w:sz w:val="20"/>
          <w:lang w:val="en-ZA" w:eastAsia="en-GB"/>
        </w:rPr>
        <w:t xml:space="preserve">rate </w:t>
      </w:r>
      <w:r w:rsidR="002942CC" w:rsidRPr="00EB1DA3">
        <w:rPr>
          <w:rFonts w:ascii="Arial" w:hAnsi="Arial" w:cs="Arial"/>
          <w:sz w:val="20"/>
          <w:lang w:val="en-ZA" w:eastAsia="en-GB"/>
        </w:rPr>
        <w:t xml:space="preserve">was slashed from 50 per cent to 28 per </w:t>
      </w:r>
      <w:r w:rsidR="00433C80" w:rsidRPr="00EB1DA3">
        <w:rPr>
          <w:rFonts w:ascii="Arial" w:hAnsi="Arial" w:cs="Arial"/>
          <w:sz w:val="20"/>
          <w:lang w:val="en-ZA" w:eastAsia="en-GB"/>
        </w:rPr>
        <w:t>cent</w:t>
      </w:r>
      <w:r w:rsidR="002942CC" w:rsidRPr="00EB1DA3">
        <w:rPr>
          <w:rFonts w:ascii="Arial" w:hAnsi="Arial" w:cs="Arial"/>
          <w:sz w:val="20"/>
          <w:lang w:val="en-ZA" w:eastAsia="en-GB"/>
        </w:rPr>
        <w:t xml:space="preserve"> between 1990 and 2018, without </w:t>
      </w:r>
      <w:r w:rsidR="001F135D" w:rsidRPr="00EB1DA3">
        <w:rPr>
          <w:rFonts w:ascii="Arial" w:hAnsi="Arial" w:cs="Arial"/>
          <w:sz w:val="20"/>
          <w:lang w:val="en-ZA" w:eastAsia="en-GB"/>
        </w:rPr>
        <w:t xml:space="preserve">any </w:t>
      </w:r>
      <w:r w:rsidR="002942CC" w:rsidRPr="00EB1DA3">
        <w:rPr>
          <w:rFonts w:ascii="Arial" w:hAnsi="Arial" w:cs="Arial"/>
          <w:sz w:val="20"/>
          <w:lang w:val="en-ZA" w:eastAsia="en-GB"/>
        </w:rPr>
        <w:t>significant impac</w:t>
      </w:r>
      <w:r w:rsidR="00F416B4" w:rsidRPr="00EB1DA3">
        <w:rPr>
          <w:rFonts w:ascii="Arial" w:hAnsi="Arial" w:cs="Arial"/>
          <w:sz w:val="20"/>
          <w:lang w:val="en-ZA" w:eastAsia="en-GB"/>
        </w:rPr>
        <w:t xml:space="preserve">t on job creation or investment. It argued that </w:t>
      </w:r>
      <w:r w:rsidR="002942CC" w:rsidRPr="00EB1DA3">
        <w:rPr>
          <w:rFonts w:ascii="Arial" w:hAnsi="Arial" w:cs="Arial"/>
          <w:sz w:val="20"/>
          <w:lang w:val="en-ZA" w:eastAsia="en-GB"/>
        </w:rPr>
        <w:t xml:space="preserve">this further decrease is a regressive measure that will not contribute to employment. </w:t>
      </w:r>
    </w:p>
    <w:p w:rsidR="00661FFC" w:rsidRPr="00EB1DA3" w:rsidRDefault="00661FFC" w:rsidP="00EB1DA3">
      <w:pPr>
        <w:rPr>
          <w:rFonts w:ascii="Arial" w:hAnsi="Arial" w:cs="Arial"/>
          <w:sz w:val="20"/>
        </w:rPr>
      </w:pPr>
      <w:r w:rsidRPr="00EB1DA3">
        <w:rPr>
          <w:rFonts w:ascii="Arial" w:hAnsi="Arial" w:cs="Arial"/>
          <w:sz w:val="20"/>
        </w:rPr>
        <w:t>SAB</w:t>
      </w:r>
      <w:r w:rsidR="00EE5BDB" w:rsidRPr="00EB1DA3">
        <w:rPr>
          <w:rFonts w:ascii="Arial" w:hAnsi="Arial" w:cs="Arial"/>
          <w:sz w:val="20"/>
        </w:rPr>
        <w:t xml:space="preserve">’s </w:t>
      </w:r>
      <w:r w:rsidR="00F416B4" w:rsidRPr="00EB1DA3">
        <w:rPr>
          <w:rFonts w:ascii="Arial" w:hAnsi="Arial" w:cs="Arial"/>
          <w:sz w:val="20"/>
        </w:rPr>
        <w:t xml:space="preserve">raised </w:t>
      </w:r>
      <w:r w:rsidR="00EE5BDB" w:rsidRPr="00EB1DA3">
        <w:rPr>
          <w:rFonts w:ascii="Arial" w:hAnsi="Arial" w:cs="Arial"/>
          <w:sz w:val="20"/>
        </w:rPr>
        <w:t xml:space="preserve">concern regarding the </w:t>
      </w:r>
      <w:r w:rsidRPr="00EB1DA3">
        <w:rPr>
          <w:rFonts w:ascii="Arial" w:hAnsi="Arial" w:cs="Arial"/>
          <w:sz w:val="20"/>
        </w:rPr>
        <w:t>excise tax</w:t>
      </w:r>
      <w:r w:rsidR="00F416B4" w:rsidRPr="00EB1DA3">
        <w:rPr>
          <w:rFonts w:ascii="Arial" w:hAnsi="Arial" w:cs="Arial"/>
          <w:sz w:val="20"/>
        </w:rPr>
        <w:t>, particularly</w:t>
      </w:r>
      <w:r w:rsidRPr="00EB1DA3">
        <w:rPr>
          <w:rFonts w:ascii="Arial" w:hAnsi="Arial" w:cs="Arial"/>
          <w:sz w:val="20"/>
        </w:rPr>
        <w:t xml:space="preserve"> </w:t>
      </w:r>
      <w:r w:rsidR="0033302D" w:rsidRPr="00EB1DA3">
        <w:rPr>
          <w:rFonts w:ascii="Arial" w:hAnsi="Arial" w:cs="Arial"/>
          <w:sz w:val="20"/>
        </w:rPr>
        <w:t>the</w:t>
      </w:r>
      <w:r w:rsidRPr="00EB1DA3">
        <w:rPr>
          <w:rFonts w:ascii="Arial" w:hAnsi="Arial" w:cs="Arial"/>
          <w:sz w:val="20"/>
        </w:rPr>
        <w:t xml:space="preserve"> annual adjustment</w:t>
      </w:r>
      <w:r w:rsidR="00F416B4" w:rsidRPr="00EB1DA3">
        <w:rPr>
          <w:rFonts w:ascii="Arial" w:hAnsi="Arial" w:cs="Arial"/>
          <w:sz w:val="20"/>
        </w:rPr>
        <w:t>s</w:t>
      </w:r>
      <w:r w:rsidRPr="00EB1DA3">
        <w:rPr>
          <w:rFonts w:ascii="Arial" w:hAnsi="Arial" w:cs="Arial"/>
          <w:sz w:val="20"/>
        </w:rPr>
        <w:t xml:space="preserve"> </w:t>
      </w:r>
      <w:r w:rsidR="00F416B4" w:rsidRPr="00EB1DA3">
        <w:rPr>
          <w:rFonts w:ascii="Arial" w:hAnsi="Arial" w:cs="Arial"/>
          <w:sz w:val="20"/>
        </w:rPr>
        <w:t>for unfortified wine, which has</w:t>
      </w:r>
      <w:r w:rsidRPr="00EB1DA3">
        <w:rPr>
          <w:rFonts w:ascii="Arial" w:hAnsi="Arial" w:cs="Arial"/>
          <w:sz w:val="20"/>
        </w:rPr>
        <w:t xml:space="preserve"> received an in line with </w:t>
      </w:r>
      <w:r w:rsidR="009C4030" w:rsidRPr="00EB1DA3">
        <w:rPr>
          <w:rFonts w:ascii="Arial" w:hAnsi="Arial" w:cs="Arial"/>
          <w:sz w:val="20"/>
        </w:rPr>
        <w:t xml:space="preserve">an </w:t>
      </w:r>
      <w:r w:rsidRPr="00EB1DA3">
        <w:rPr>
          <w:rFonts w:ascii="Arial" w:hAnsi="Arial" w:cs="Arial"/>
          <w:sz w:val="20"/>
        </w:rPr>
        <w:t>inflation adjus</w:t>
      </w:r>
      <w:r w:rsidR="009C4030" w:rsidRPr="00EB1DA3">
        <w:rPr>
          <w:rFonts w:ascii="Arial" w:hAnsi="Arial" w:cs="Arial"/>
          <w:sz w:val="20"/>
        </w:rPr>
        <w:t>tment of the excise rate by 4.5 per cent</w:t>
      </w:r>
      <w:r w:rsidRPr="00EB1DA3">
        <w:rPr>
          <w:rFonts w:ascii="Arial" w:hAnsi="Arial" w:cs="Arial"/>
          <w:sz w:val="20"/>
        </w:rPr>
        <w:t xml:space="preserve"> as sti</w:t>
      </w:r>
      <w:r w:rsidR="009C4030" w:rsidRPr="00EB1DA3">
        <w:rPr>
          <w:rFonts w:ascii="Arial" w:hAnsi="Arial" w:cs="Arial"/>
          <w:sz w:val="20"/>
        </w:rPr>
        <w:t>pu</w:t>
      </w:r>
      <w:r w:rsidR="004A4548" w:rsidRPr="00EB1DA3">
        <w:rPr>
          <w:rFonts w:ascii="Arial" w:hAnsi="Arial" w:cs="Arial"/>
          <w:sz w:val="20"/>
        </w:rPr>
        <w:t xml:space="preserve">lated in the excise policy. </w:t>
      </w:r>
      <w:r w:rsidRPr="00EB1DA3">
        <w:rPr>
          <w:rFonts w:ascii="Arial" w:hAnsi="Arial" w:cs="Arial"/>
          <w:sz w:val="20"/>
        </w:rPr>
        <w:t xml:space="preserve">SAB </w:t>
      </w:r>
      <w:r w:rsidR="004A4548" w:rsidRPr="00EB1DA3">
        <w:rPr>
          <w:rFonts w:ascii="Arial" w:hAnsi="Arial" w:cs="Arial"/>
          <w:sz w:val="20"/>
        </w:rPr>
        <w:t>sought clarity</w:t>
      </w:r>
      <w:r w:rsidRPr="00EB1DA3">
        <w:rPr>
          <w:rFonts w:ascii="Arial" w:hAnsi="Arial" w:cs="Arial"/>
          <w:sz w:val="20"/>
        </w:rPr>
        <w:t xml:space="preserve"> </w:t>
      </w:r>
      <w:r w:rsidR="004A4548" w:rsidRPr="00EB1DA3">
        <w:rPr>
          <w:rFonts w:ascii="Arial" w:hAnsi="Arial" w:cs="Arial"/>
          <w:sz w:val="20"/>
        </w:rPr>
        <w:t>on</w:t>
      </w:r>
      <w:r w:rsidRPr="00EB1DA3">
        <w:rPr>
          <w:rFonts w:ascii="Arial" w:hAnsi="Arial" w:cs="Arial"/>
          <w:sz w:val="20"/>
        </w:rPr>
        <w:t xml:space="preserve"> the </w:t>
      </w:r>
      <w:r w:rsidR="009C4030" w:rsidRPr="00EB1DA3">
        <w:rPr>
          <w:rFonts w:ascii="Arial" w:hAnsi="Arial" w:cs="Arial"/>
          <w:sz w:val="20"/>
        </w:rPr>
        <w:t>rationale behind the continued</w:t>
      </w:r>
      <w:r w:rsidRPr="00EB1DA3">
        <w:rPr>
          <w:rFonts w:ascii="Arial" w:hAnsi="Arial" w:cs="Arial"/>
          <w:sz w:val="20"/>
        </w:rPr>
        <w:t xml:space="preserve"> concession</w:t>
      </w:r>
      <w:r w:rsidR="00F416B4" w:rsidRPr="00EB1DA3">
        <w:rPr>
          <w:rFonts w:ascii="Arial" w:hAnsi="Arial" w:cs="Arial"/>
          <w:sz w:val="20"/>
        </w:rPr>
        <w:t>s</w:t>
      </w:r>
      <w:r w:rsidRPr="00EB1DA3">
        <w:rPr>
          <w:rFonts w:ascii="Arial" w:hAnsi="Arial" w:cs="Arial"/>
          <w:sz w:val="20"/>
        </w:rPr>
        <w:t xml:space="preserve"> to wine</w:t>
      </w:r>
      <w:r w:rsidR="00EE5BDB" w:rsidRPr="00EB1DA3">
        <w:rPr>
          <w:rFonts w:ascii="Arial" w:hAnsi="Arial" w:cs="Arial"/>
          <w:sz w:val="20"/>
        </w:rPr>
        <w:t>.  It</w:t>
      </w:r>
      <w:r w:rsidR="00A61864" w:rsidRPr="00EB1DA3">
        <w:rPr>
          <w:rFonts w:ascii="Arial" w:hAnsi="Arial" w:cs="Arial"/>
          <w:sz w:val="20"/>
        </w:rPr>
        <w:t xml:space="preserve"> further noted from</w:t>
      </w:r>
      <w:r w:rsidRPr="00EB1DA3">
        <w:rPr>
          <w:rFonts w:ascii="Arial" w:hAnsi="Arial" w:cs="Arial"/>
          <w:sz w:val="20"/>
        </w:rPr>
        <w:t xml:space="preserve"> </w:t>
      </w:r>
      <w:r w:rsidR="00A61864" w:rsidRPr="00EB1DA3">
        <w:rPr>
          <w:rFonts w:ascii="Arial" w:hAnsi="Arial" w:cs="Arial"/>
          <w:sz w:val="20"/>
        </w:rPr>
        <w:t>the 2021</w:t>
      </w:r>
      <w:r w:rsidRPr="00EB1DA3">
        <w:rPr>
          <w:rFonts w:ascii="Arial" w:hAnsi="Arial" w:cs="Arial"/>
          <w:sz w:val="20"/>
        </w:rPr>
        <w:t xml:space="preserve"> Budget </w:t>
      </w:r>
      <w:r w:rsidR="00A61864" w:rsidRPr="00EB1DA3">
        <w:rPr>
          <w:rFonts w:ascii="Arial" w:hAnsi="Arial" w:cs="Arial"/>
          <w:sz w:val="20"/>
        </w:rPr>
        <w:t xml:space="preserve">and reaffirmation in the 2022 Budget </w:t>
      </w:r>
      <w:r w:rsidRPr="00EB1DA3">
        <w:rPr>
          <w:rFonts w:ascii="Arial" w:hAnsi="Arial" w:cs="Arial"/>
          <w:sz w:val="20"/>
        </w:rPr>
        <w:t>that an Alcohol Tax Policy Review</w:t>
      </w:r>
      <w:r w:rsidR="00EE5BDB" w:rsidRPr="00EB1DA3">
        <w:rPr>
          <w:rFonts w:ascii="Arial" w:hAnsi="Arial" w:cs="Arial"/>
          <w:sz w:val="20"/>
        </w:rPr>
        <w:t xml:space="preserve"> will take place and </w:t>
      </w:r>
      <w:r w:rsidR="004A4548" w:rsidRPr="00EB1DA3">
        <w:rPr>
          <w:rFonts w:ascii="Arial" w:hAnsi="Arial" w:cs="Arial"/>
          <w:sz w:val="20"/>
        </w:rPr>
        <w:t>sought</w:t>
      </w:r>
      <w:r w:rsidR="00A61864" w:rsidRPr="00EB1DA3">
        <w:rPr>
          <w:rFonts w:ascii="Arial" w:hAnsi="Arial" w:cs="Arial"/>
          <w:sz w:val="20"/>
        </w:rPr>
        <w:t xml:space="preserve"> clarity on the</w:t>
      </w:r>
      <w:r w:rsidRPr="00EB1DA3">
        <w:rPr>
          <w:rFonts w:ascii="Arial" w:hAnsi="Arial" w:cs="Arial"/>
          <w:sz w:val="20"/>
        </w:rPr>
        <w:t xml:space="preserve"> process </w:t>
      </w:r>
      <w:r w:rsidR="00A61864" w:rsidRPr="00EB1DA3">
        <w:rPr>
          <w:rFonts w:ascii="Arial" w:hAnsi="Arial" w:cs="Arial"/>
          <w:sz w:val="20"/>
        </w:rPr>
        <w:t xml:space="preserve">that </w:t>
      </w:r>
      <w:r w:rsidRPr="00EB1DA3">
        <w:rPr>
          <w:rFonts w:ascii="Arial" w:hAnsi="Arial" w:cs="Arial"/>
          <w:sz w:val="20"/>
        </w:rPr>
        <w:t>will be put in place for stakeholders to comment on the revised policy before it is finalized and implemented</w:t>
      </w:r>
      <w:r w:rsidR="00A61864" w:rsidRPr="00EB1DA3">
        <w:rPr>
          <w:rFonts w:ascii="Arial" w:hAnsi="Arial" w:cs="Arial"/>
          <w:sz w:val="20"/>
        </w:rPr>
        <w:t xml:space="preserve">; </w:t>
      </w:r>
      <w:r w:rsidRPr="00EB1DA3">
        <w:rPr>
          <w:rFonts w:ascii="Arial" w:hAnsi="Arial" w:cs="Arial"/>
          <w:sz w:val="20"/>
        </w:rPr>
        <w:t>the problem statement which the Policy Review will aim to address</w:t>
      </w:r>
      <w:r w:rsidR="00A61864" w:rsidRPr="00EB1DA3">
        <w:rPr>
          <w:rFonts w:ascii="Arial" w:hAnsi="Arial" w:cs="Arial"/>
          <w:sz w:val="20"/>
        </w:rPr>
        <w:t xml:space="preserve"> and </w:t>
      </w:r>
      <w:r w:rsidR="00361139" w:rsidRPr="00EB1DA3">
        <w:rPr>
          <w:rFonts w:ascii="Arial" w:hAnsi="Arial" w:cs="Arial"/>
          <w:sz w:val="20"/>
        </w:rPr>
        <w:t xml:space="preserve">the </w:t>
      </w:r>
      <w:r w:rsidR="0033302D" w:rsidRPr="00EB1DA3">
        <w:rPr>
          <w:rFonts w:ascii="Arial" w:hAnsi="Arial" w:cs="Arial"/>
          <w:sz w:val="20"/>
        </w:rPr>
        <w:t xml:space="preserve">timeline for implementing </w:t>
      </w:r>
      <w:r w:rsidRPr="00EB1DA3">
        <w:rPr>
          <w:rFonts w:ascii="Arial" w:hAnsi="Arial" w:cs="Arial"/>
          <w:sz w:val="20"/>
        </w:rPr>
        <w:t>the proposed changes</w:t>
      </w:r>
      <w:r w:rsidR="0033302D" w:rsidRPr="00EB1DA3">
        <w:rPr>
          <w:rFonts w:ascii="Arial" w:hAnsi="Arial" w:cs="Arial"/>
          <w:sz w:val="20"/>
        </w:rPr>
        <w:t>.</w:t>
      </w:r>
      <w:r w:rsidRPr="00EB1DA3">
        <w:rPr>
          <w:rFonts w:ascii="Arial" w:hAnsi="Arial" w:cs="Arial"/>
          <w:sz w:val="20"/>
        </w:rPr>
        <w:t xml:space="preserve"> </w:t>
      </w:r>
    </w:p>
    <w:p w:rsidR="00170E3F" w:rsidRPr="00EB1DA3" w:rsidRDefault="004A4548" w:rsidP="00EB1DA3">
      <w:pPr>
        <w:rPr>
          <w:rFonts w:ascii="Arial" w:hAnsi="Arial" w:cs="Arial"/>
          <w:sz w:val="20"/>
          <w:lang w:val="en-ZA" w:eastAsia="en-GB"/>
        </w:rPr>
      </w:pPr>
      <w:r w:rsidRPr="00EB1DA3">
        <w:rPr>
          <w:rFonts w:ascii="Arial" w:hAnsi="Arial" w:cs="Arial"/>
          <w:sz w:val="20"/>
          <w:lang w:val="en-ZA" w:eastAsia="en-GB"/>
        </w:rPr>
        <w:t xml:space="preserve">On tax incentives, </w:t>
      </w:r>
      <w:r w:rsidR="00EE5BDB" w:rsidRPr="00EB1DA3">
        <w:rPr>
          <w:rFonts w:ascii="Arial" w:hAnsi="Arial" w:cs="Arial"/>
          <w:sz w:val="20"/>
        </w:rPr>
        <w:t>Pw</w:t>
      </w:r>
      <w:r w:rsidR="00170E3F" w:rsidRPr="00EB1DA3">
        <w:rPr>
          <w:rFonts w:ascii="Arial" w:hAnsi="Arial" w:cs="Arial"/>
          <w:sz w:val="20"/>
        </w:rPr>
        <w:t xml:space="preserve">C </w:t>
      </w:r>
      <w:r w:rsidR="00C659F6" w:rsidRPr="00EB1DA3">
        <w:rPr>
          <w:rFonts w:ascii="Arial" w:hAnsi="Arial" w:cs="Arial"/>
          <w:sz w:val="20"/>
        </w:rPr>
        <w:t>noted that the 2021</w:t>
      </w:r>
      <w:r w:rsidR="00170E3F" w:rsidRPr="00EB1DA3">
        <w:rPr>
          <w:rFonts w:ascii="Arial" w:hAnsi="Arial" w:cs="Arial"/>
          <w:sz w:val="20"/>
        </w:rPr>
        <w:t xml:space="preserve"> </w:t>
      </w:r>
      <w:r w:rsidR="00C659F6" w:rsidRPr="00EB1DA3">
        <w:rPr>
          <w:rFonts w:ascii="Arial" w:hAnsi="Arial" w:cs="Arial"/>
          <w:sz w:val="20"/>
          <w:lang w:val="en-ZA" w:eastAsia="en-GB"/>
        </w:rPr>
        <w:t>Budget</w:t>
      </w:r>
      <w:r w:rsidR="00170E3F" w:rsidRPr="00EB1DA3">
        <w:rPr>
          <w:rFonts w:ascii="Arial" w:hAnsi="Arial" w:cs="Arial"/>
          <w:sz w:val="20"/>
          <w:lang w:val="en-ZA" w:eastAsia="en-GB"/>
        </w:rPr>
        <w:t xml:space="preserve"> announced a review of the tax incentive regime </w:t>
      </w:r>
      <w:r w:rsidR="00B24176" w:rsidRPr="00EB1DA3">
        <w:rPr>
          <w:rFonts w:ascii="Arial" w:hAnsi="Arial" w:cs="Arial"/>
          <w:sz w:val="20"/>
          <w:lang w:val="en-ZA" w:eastAsia="en-GB"/>
        </w:rPr>
        <w:t>to reduce</w:t>
      </w:r>
      <w:r w:rsidR="00170E3F" w:rsidRPr="00EB1DA3">
        <w:rPr>
          <w:rFonts w:ascii="Arial" w:hAnsi="Arial" w:cs="Arial"/>
          <w:sz w:val="20"/>
        </w:rPr>
        <w:t xml:space="preserve"> </w:t>
      </w:r>
      <w:r w:rsidR="00170E3F" w:rsidRPr="00EB1DA3">
        <w:rPr>
          <w:rFonts w:ascii="Arial" w:hAnsi="Arial" w:cs="Arial"/>
          <w:sz w:val="20"/>
          <w:lang w:val="en-ZA" w:eastAsia="en-GB"/>
        </w:rPr>
        <w:t>wasteful tax incentives</w:t>
      </w:r>
      <w:r w:rsidR="008E2AF7" w:rsidRPr="00EB1DA3">
        <w:rPr>
          <w:rFonts w:ascii="Arial" w:hAnsi="Arial" w:cs="Arial"/>
          <w:sz w:val="20"/>
          <w:lang w:val="en-ZA" w:eastAsia="en-GB"/>
        </w:rPr>
        <w:t xml:space="preserve"> and that </w:t>
      </w:r>
      <w:r w:rsidR="00C659F6" w:rsidRPr="00EB1DA3">
        <w:rPr>
          <w:rFonts w:ascii="Arial" w:hAnsi="Arial" w:cs="Arial"/>
          <w:sz w:val="20"/>
          <w:lang w:val="en-ZA" w:eastAsia="en-GB"/>
        </w:rPr>
        <w:t xml:space="preserve">the 2022 Budget </w:t>
      </w:r>
      <w:r w:rsidR="00170E3F" w:rsidRPr="00EB1DA3">
        <w:rPr>
          <w:rFonts w:ascii="Arial" w:hAnsi="Arial" w:cs="Arial"/>
          <w:sz w:val="20"/>
          <w:lang w:val="en-ZA" w:eastAsia="en-GB"/>
        </w:rPr>
        <w:t xml:space="preserve">does not provide a detailed breakdown of the </w:t>
      </w:r>
      <w:r w:rsidR="00053BE8" w:rsidRPr="00EB1DA3">
        <w:rPr>
          <w:rFonts w:ascii="Arial" w:hAnsi="Arial" w:cs="Arial"/>
          <w:sz w:val="20"/>
          <w:lang w:val="en-ZA" w:eastAsia="en-GB"/>
        </w:rPr>
        <w:t>spending</w:t>
      </w:r>
      <w:r w:rsidR="00170E3F" w:rsidRPr="00EB1DA3">
        <w:rPr>
          <w:rFonts w:ascii="Arial" w:hAnsi="Arial" w:cs="Arial"/>
          <w:sz w:val="20"/>
          <w:lang w:val="en-ZA" w:eastAsia="en-GB"/>
        </w:rPr>
        <w:t xml:space="preserve"> on these</w:t>
      </w:r>
      <w:r w:rsidR="00170E3F" w:rsidRPr="00EB1DA3">
        <w:rPr>
          <w:rFonts w:ascii="Arial" w:hAnsi="Arial" w:cs="Arial"/>
          <w:sz w:val="20"/>
        </w:rPr>
        <w:t xml:space="preserve"> </w:t>
      </w:r>
      <w:r w:rsidR="00EE5BDB" w:rsidRPr="00EB1DA3">
        <w:rPr>
          <w:rFonts w:ascii="Arial" w:hAnsi="Arial" w:cs="Arial"/>
          <w:sz w:val="20"/>
          <w:lang w:val="en-ZA" w:eastAsia="en-GB"/>
        </w:rPr>
        <w:t>incentives and that</w:t>
      </w:r>
      <w:r w:rsidR="00170E3F" w:rsidRPr="00EB1DA3">
        <w:rPr>
          <w:rFonts w:ascii="Arial" w:hAnsi="Arial" w:cs="Arial"/>
          <w:sz w:val="20"/>
          <w:lang w:val="en-ZA" w:eastAsia="en-GB"/>
        </w:rPr>
        <w:t xml:space="preserve"> the potential “revenue” that may be achieved by terminating these incentives is not clear. On PIT review of monetary amounts</w:t>
      </w:r>
      <w:r w:rsidR="00C659F6" w:rsidRPr="00EB1DA3">
        <w:rPr>
          <w:rFonts w:ascii="Arial" w:hAnsi="Arial" w:cs="Arial"/>
          <w:sz w:val="20"/>
          <w:lang w:val="en-ZA" w:eastAsia="en-GB"/>
        </w:rPr>
        <w:t>, i</w:t>
      </w:r>
      <w:r w:rsidR="00EE5BDB" w:rsidRPr="00EB1DA3">
        <w:rPr>
          <w:rFonts w:ascii="Arial" w:hAnsi="Arial" w:cs="Arial"/>
          <w:sz w:val="20"/>
          <w:lang w:val="en-ZA" w:eastAsia="en-GB"/>
        </w:rPr>
        <w:t xml:space="preserve">t </w:t>
      </w:r>
      <w:r w:rsidR="00170E3F" w:rsidRPr="00EB1DA3">
        <w:rPr>
          <w:rFonts w:ascii="Arial" w:hAnsi="Arial" w:cs="Arial"/>
          <w:sz w:val="20"/>
          <w:lang w:val="en-ZA" w:eastAsia="en-GB"/>
        </w:rPr>
        <w:t xml:space="preserve">noted that </w:t>
      </w:r>
      <w:r w:rsidR="00B24176" w:rsidRPr="00EB1DA3">
        <w:rPr>
          <w:rFonts w:ascii="Arial" w:hAnsi="Arial" w:cs="Arial"/>
          <w:sz w:val="20"/>
          <w:lang w:val="en-ZA" w:eastAsia="en-GB"/>
        </w:rPr>
        <w:t>several</w:t>
      </w:r>
      <w:r w:rsidR="00170E3F" w:rsidRPr="00EB1DA3">
        <w:rPr>
          <w:rFonts w:ascii="Arial" w:hAnsi="Arial" w:cs="Arial"/>
          <w:sz w:val="20"/>
          <w:lang w:val="en-ZA" w:eastAsia="en-GB"/>
        </w:rPr>
        <w:t xml:space="preserve"> tax tables and thresholds have not been amended for the effects of in</w:t>
      </w:r>
      <w:r w:rsidR="00EE5BDB" w:rsidRPr="00EB1DA3">
        <w:rPr>
          <w:rFonts w:ascii="Arial" w:hAnsi="Arial" w:cs="Arial"/>
          <w:sz w:val="20"/>
          <w:lang w:val="en-ZA" w:eastAsia="en-GB"/>
        </w:rPr>
        <w:t xml:space="preserve">flation over </w:t>
      </w:r>
      <w:r w:rsidR="00B24176" w:rsidRPr="00EB1DA3">
        <w:rPr>
          <w:rFonts w:ascii="Arial" w:hAnsi="Arial" w:cs="Arial"/>
          <w:sz w:val="20"/>
          <w:lang w:val="en-ZA" w:eastAsia="en-GB"/>
        </w:rPr>
        <w:t>several</w:t>
      </w:r>
      <w:r w:rsidR="00EE5BDB" w:rsidRPr="00EB1DA3">
        <w:rPr>
          <w:rFonts w:ascii="Arial" w:hAnsi="Arial" w:cs="Arial"/>
          <w:sz w:val="20"/>
          <w:lang w:val="en-ZA" w:eastAsia="en-GB"/>
        </w:rPr>
        <w:t xml:space="preserve"> years and that t</w:t>
      </w:r>
      <w:r w:rsidR="00170E3F" w:rsidRPr="00EB1DA3">
        <w:rPr>
          <w:rFonts w:ascii="Arial" w:hAnsi="Arial" w:cs="Arial"/>
          <w:sz w:val="20"/>
          <w:lang w:val="en-ZA" w:eastAsia="en-GB"/>
        </w:rPr>
        <w:t xml:space="preserve">he lack of regular changes to these </w:t>
      </w:r>
      <w:r w:rsidR="00053BE8" w:rsidRPr="00EB1DA3">
        <w:rPr>
          <w:rFonts w:ascii="Arial" w:hAnsi="Arial" w:cs="Arial"/>
          <w:sz w:val="20"/>
          <w:lang w:val="en-ZA" w:eastAsia="en-GB"/>
        </w:rPr>
        <w:t>results</w:t>
      </w:r>
      <w:r w:rsidR="00170E3F" w:rsidRPr="00EB1DA3">
        <w:rPr>
          <w:rFonts w:ascii="Arial" w:hAnsi="Arial" w:cs="Arial"/>
          <w:sz w:val="20"/>
          <w:lang w:val="en-ZA" w:eastAsia="en-GB"/>
        </w:rPr>
        <w:t xml:space="preserve"> in tax increases by stealth, in the absence of any explicit statement of intent on the part of </w:t>
      </w:r>
      <w:r w:rsidR="00C659F6" w:rsidRPr="00EB1DA3">
        <w:rPr>
          <w:rFonts w:ascii="Arial" w:hAnsi="Arial" w:cs="Arial"/>
          <w:sz w:val="20"/>
          <w:lang w:val="en-ZA" w:eastAsia="en-GB"/>
        </w:rPr>
        <w:t>NT</w:t>
      </w:r>
      <w:r w:rsidR="00170E3F" w:rsidRPr="00EB1DA3">
        <w:rPr>
          <w:rFonts w:ascii="Arial" w:hAnsi="Arial" w:cs="Arial"/>
          <w:sz w:val="20"/>
          <w:lang w:val="en-ZA" w:eastAsia="en-GB"/>
        </w:rPr>
        <w:t xml:space="preserve"> to increase taxes.</w:t>
      </w:r>
      <w:r w:rsidR="00C659F6" w:rsidRPr="00EB1DA3">
        <w:rPr>
          <w:rFonts w:ascii="Arial" w:hAnsi="Arial" w:cs="Arial"/>
          <w:sz w:val="20"/>
          <w:lang w:val="en-ZA" w:eastAsia="en-GB"/>
        </w:rPr>
        <w:t xml:space="preserve"> </w:t>
      </w:r>
    </w:p>
    <w:p w:rsidR="00EE5BDB" w:rsidRPr="00EB1DA3" w:rsidRDefault="00EE5BDB" w:rsidP="00EB1DA3">
      <w:pPr>
        <w:rPr>
          <w:rFonts w:ascii="Arial" w:hAnsi="Arial" w:cs="Arial"/>
          <w:sz w:val="20"/>
          <w:lang w:val="en-ZA" w:eastAsia="en-GB"/>
        </w:rPr>
      </w:pPr>
      <w:r w:rsidRPr="00EB1DA3">
        <w:rPr>
          <w:rFonts w:ascii="Arial" w:hAnsi="Arial" w:cs="Arial"/>
          <w:sz w:val="20"/>
        </w:rPr>
        <w:t xml:space="preserve">SAIT submitted that it </w:t>
      </w:r>
      <w:r w:rsidRPr="00EB1DA3">
        <w:rPr>
          <w:rFonts w:ascii="Arial" w:hAnsi="Arial" w:cs="Arial"/>
          <w:sz w:val="20"/>
          <w:lang w:val="en-ZA" w:eastAsia="en-GB"/>
        </w:rPr>
        <w:t xml:space="preserve">supports well-designed tax incentives but is concerned about the loss of interest in depreciation since depreciation incentives are well-targeted and noted that a </w:t>
      </w:r>
      <w:r w:rsidRPr="00EB1DA3">
        <w:rPr>
          <w:rFonts w:ascii="Arial" w:hAnsi="Arial" w:cs="Arial"/>
          <w:iCs/>
          <w:sz w:val="20"/>
          <w:lang w:val="en-ZA" w:eastAsia="en-GB"/>
        </w:rPr>
        <w:t>review of depreciation and investment allowances will take place during 2022/23, followed by the release of a discussion document</w:t>
      </w:r>
      <w:r w:rsidRPr="00EB1DA3">
        <w:rPr>
          <w:rFonts w:ascii="Arial" w:hAnsi="Arial" w:cs="Arial"/>
          <w:sz w:val="20"/>
        </w:rPr>
        <w:t xml:space="preserve">. </w:t>
      </w:r>
      <w:r w:rsidR="004A4548" w:rsidRPr="00EB1DA3">
        <w:rPr>
          <w:rFonts w:ascii="Arial" w:hAnsi="Arial" w:cs="Arial"/>
          <w:sz w:val="20"/>
          <w:lang w:val="en-ZA" w:eastAsia="en-GB"/>
        </w:rPr>
        <w:t>SAIT further appreciated</w:t>
      </w:r>
      <w:r w:rsidRPr="00EB1DA3">
        <w:rPr>
          <w:rFonts w:ascii="Arial" w:hAnsi="Arial" w:cs="Arial"/>
          <w:sz w:val="20"/>
          <w:lang w:val="en-ZA" w:eastAsia="en-GB"/>
        </w:rPr>
        <w:t xml:space="preserve"> engagement and research such as Research and Development incentives</w:t>
      </w:r>
      <w:r w:rsidR="00631B2A" w:rsidRPr="00EB1DA3">
        <w:rPr>
          <w:rFonts w:ascii="Arial" w:hAnsi="Arial" w:cs="Arial"/>
          <w:sz w:val="20"/>
          <w:lang w:val="en-ZA" w:eastAsia="en-GB"/>
        </w:rPr>
        <w:t>, energy e</w:t>
      </w:r>
      <w:r w:rsidRPr="00EB1DA3">
        <w:rPr>
          <w:rFonts w:ascii="Arial" w:hAnsi="Arial" w:cs="Arial"/>
          <w:sz w:val="20"/>
          <w:lang w:val="en-ZA" w:eastAsia="en-GB"/>
        </w:rPr>
        <w:t>fficiency incentives, which should be linked to Carbon rather than Income Tax. It further opined that savings incentives for individuals only mitigat</w:t>
      </w:r>
      <w:r w:rsidR="00B24176" w:rsidRPr="00EB1DA3">
        <w:rPr>
          <w:rFonts w:ascii="Arial" w:hAnsi="Arial" w:cs="Arial"/>
          <w:sz w:val="20"/>
          <w:lang w:val="en-ZA" w:eastAsia="en-GB"/>
        </w:rPr>
        <w:t xml:space="preserve">e anti-selection and are </w:t>
      </w:r>
      <w:r w:rsidRPr="00EB1DA3">
        <w:rPr>
          <w:rFonts w:ascii="Arial" w:hAnsi="Arial" w:cs="Arial"/>
          <w:sz w:val="20"/>
          <w:lang w:val="en-ZA" w:eastAsia="en-GB"/>
        </w:rPr>
        <w:t xml:space="preserve">deferral mechanisms.  </w:t>
      </w:r>
      <w:r w:rsidRPr="00EB1DA3">
        <w:rPr>
          <w:rFonts w:ascii="Arial" w:hAnsi="Arial" w:cs="Arial"/>
          <w:sz w:val="20"/>
        </w:rPr>
        <w:t xml:space="preserve">SAIT </w:t>
      </w:r>
      <w:r w:rsidR="004A4548" w:rsidRPr="00EB1DA3">
        <w:rPr>
          <w:rFonts w:ascii="Arial" w:hAnsi="Arial" w:cs="Arial"/>
          <w:sz w:val="20"/>
          <w:lang w:val="en-ZA" w:eastAsia="en-GB"/>
        </w:rPr>
        <w:t>welcomed</w:t>
      </w:r>
      <w:r w:rsidRPr="00EB1DA3">
        <w:rPr>
          <w:rFonts w:ascii="Arial" w:hAnsi="Arial" w:cs="Arial"/>
          <w:sz w:val="20"/>
          <w:lang w:val="en-ZA" w:eastAsia="en-GB"/>
        </w:rPr>
        <w:t xml:space="preserve"> policy certainty and suggested a review of the provisional tax system to align it with changing circumstances and international development. </w:t>
      </w:r>
      <w:r w:rsidRPr="00EB1DA3">
        <w:rPr>
          <w:rFonts w:ascii="Arial" w:hAnsi="Arial" w:cs="Arial"/>
          <w:sz w:val="20"/>
        </w:rPr>
        <w:t xml:space="preserve"> </w:t>
      </w:r>
    </w:p>
    <w:p w:rsidR="00866758" w:rsidRPr="00EB1DA3" w:rsidRDefault="004A4548" w:rsidP="00EB1DA3">
      <w:pPr>
        <w:rPr>
          <w:rFonts w:ascii="Arial" w:hAnsi="Arial" w:cs="Arial"/>
          <w:sz w:val="20"/>
          <w:lang w:val="en-ZA" w:eastAsia="en-GB"/>
        </w:rPr>
      </w:pPr>
      <w:r w:rsidRPr="00EB1DA3">
        <w:rPr>
          <w:rFonts w:ascii="Arial" w:hAnsi="Arial" w:cs="Arial"/>
          <w:sz w:val="20"/>
          <w:lang w:val="en-ZA" w:eastAsia="en-GB"/>
        </w:rPr>
        <w:t>HEALA welcomed</w:t>
      </w:r>
      <w:r w:rsidR="00866758" w:rsidRPr="00EB1DA3">
        <w:rPr>
          <w:rFonts w:ascii="Arial" w:hAnsi="Arial" w:cs="Arial"/>
          <w:sz w:val="20"/>
          <w:lang w:val="en-ZA" w:eastAsia="en-GB"/>
        </w:rPr>
        <w:t xml:space="preserve"> </w:t>
      </w:r>
      <w:r w:rsidR="00053BE8" w:rsidRPr="00EB1DA3">
        <w:rPr>
          <w:rFonts w:ascii="Arial" w:hAnsi="Arial" w:cs="Arial"/>
          <w:sz w:val="20"/>
          <w:lang w:val="en-ZA" w:eastAsia="en-GB"/>
        </w:rPr>
        <w:t>NT</w:t>
      </w:r>
      <w:r w:rsidR="00866758" w:rsidRPr="00EB1DA3">
        <w:rPr>
          <w:rFonts w:ascii="Arial" w:hAnsi="Arial" w:cs="Arial"/>
          <w:sz w:val="20"/>
          <w:lang w:val="en-ZA" w:eastAsia="en-GB"/>
        </w:rPr>
        <w:t>’s announcements to increase the Health Promotion Levy (HPL)</w:t>
      </w:r>
      <w:r w:rsidR="00053BE8" w:rsidRPr="00EB1DA3">
        <w:rPr>
          <w:rFonts w:ascii="Arial" w:hAnsi="Arial" w:cs="Arial"/>
          <w:sz w:val="20"/>
          <w:lang w:val="en-ZA" w:eastAsia="en-GB"/>
        </w:rPr>
        <w:t xml:space="preserve"> by 4.5 per cent</w:t>
      </w:r>
      <w:r w:rsidR="00866758" w:rsidRPr="00EB1DA3">
        <w:rPr>
          <w:rFonts w:ascii="Arial" w:hAnsi="Arial" w:cs="Arial"/>
          <w:sz w:val="20"/>
          <w:lang w:val="en-ZA" w:eastAsia="en-GB"/>
        </w:rPr>
        <w:t xml:space="preserve">, as well as to pursue consultations towards including fruit juices and lowering the levy-free threshold for sugar content per volume. </w:t>
      </w:r>
      <w:r w:rsidR="00AF6552" w:rsidRPr="00EB1DA3">
        <w:rPr>
          <w:rFonts w:ascii="Arial" w:hAnsi="Arial" w:cs="Arial"/>
          <w:sz w:val="20"/>
          <w:lang w:val="en-ZA" w:eastAsia="en-GB"/>
        </w:rPr>
        <w:t xml:space="preserve">HEALA cautioned about the health and economic impact of </w:t>
      </w:r>
      <w:r w:rsidR="00866758" w:rsidRPr="00EB1DA3">
        <w:rPr>
          <w:rFonts w:ascii="Arial" w:hAnsi="Arial" w:cs="Arial"/>
          <w:sz w:val="20"/>
          <w:lang w:val="en-ZA" w:eastAsia="en-GB"/>
        </w:rPr>
        <w:t>excessive consumption of sugar</w:t>
      </w:r>
      <w:r w:rsidR="00AF6552" w:rsidRPr="00EB1DA3">
        <w:rPr>
          <w:rFonts w:ascii="Arial" w:hAnsi="Arial" w:cs="Arial"/>
          <w:sz w:val="20"/>
          <w:lang w:val="en-ZA" w:eastAsia="en-GB"/>
        </w:rPr>
        <w:t>. It submitted that n</w:t>
      </w:r>
      <w:r w:rsidR="00866758" w:rsidRPr="00EB1DA3">
        <w:rPr>
          <w:rFonts w:ascii="Arial" w:hAnsi="Arial" w:cs="Arial"/>
          <w:sz w:val="20"/>
          <w:lang w:val="en-ZA" w:eastAsia="en-GB"/>
        </w:rPr>
        <w:t xml:space="preserve">ot only was the HPL introduced at half its recommended levy rate, but inconsistent annual increases against </w:t>
      </w:r>
      <w:r w:rsidR="00B24176" w:rsidRPr="00EB1DA3">
        <w:rPr>
          <w:rFonts w:ascii="Arial" w:hAnsi="Arial" w:cs="Arial"/>
          <w:sz w:val="20"/>
          <w:lang w:val="en-ZA" w:eastAsia="en-GB"/>
        </w:rPr>
        <w:t xml:space="preserve">inflation means it has </w:t>
      </w:r>
      <w:r w:rsidR="00866758" w:rsidRPr="00EB1DA3">
        <w:rPr>
          <w:rFonts w:ascii="Arial" w:hAnsi="Arial" w:cs="Arial"/>
          <w:sz w:val="20"/>
          <w:lang w:val="en-ZA" w:eastAsia="en-GB"/>
        </w:rPr>
        <w:t xml:space="preserve">decreased in real terms since 2018. </w:t>
      </w:r>
      <w:r w:rsidR="00AF6552" w:rsidRPr="00EB1DA3">
        <w:rPr>
          <w:rFonts w:ascii="Arial" w:hAnsi="Arial" w:cs="Arial"/>
          <w:sz w:val="20"/>
          <w:lang w:val="en-ZA" w:eastAsia="en-GB"/>
        </w:rPr>
        <w:t>It believes that d</w:t>
      </w:r>
      <w:r w:rsidR="002A7EB8" w:rsidRPr="00EB1DA3">
        <w:rPr>
          <w:rFonts w:ascii="Arial" w:hAnsi="Arial" w:cs="Arial"/>
          <w:sz w:val="20"/>
          <w:lang w:val="en-ZA" w:eastAsia="en-GB"/>
        </w:rPr>
        <w:t xml:space="preserve">oubling and </w:t>
      </w:r>
      <w:r w:rsidR="00866758" w:rsidRPr="00EB1DA3">
        <w:rPr>
          <w:rFonts w:ascii="Arial" w:hAnsi="Arial" w:cs="Arial"/>
          <w:sz w:val="20"/>
          <w:lang w:val="en-ZA" w:eastAsia="en-GB"/>
        </w:rPr>
        <w:t>maintaining the levy rate would offer major additional state revenue while saving many more lives and lessening the healthcare burden.</w:t>
      </w:r>
    </w:p>
    <w:p w:rsidR="003D35AE" w:rsidRPr="00EB1DA3" w:rsidRDefault="00841438" w:rsidP="00EB1DA3">
      <w:pPr>
        <w:pStyle w:val="Default"/>
        <w:rPr>
          <w:sz w:val="20"/>
          <w:szCs w:val="20"/>
        </w:rPr>
      </w:pPr>
      <w:r w:rsidRPr="00EB1DA3">
        <w:rPr>
          <w:sz w:val="20"/>
          <w:szCs w:val="20"/>
        </w:rPr>
        <w:t xml:space="preserve">On tax administration issues, </w:t>
      </w:r>
      <w:r w:rsidR="00E77F40" w:rsidRPr="00EB1DA3">
        <w:rPr>
          <w:sz w:val="20"/>
          <w:szCs w:val="20"/>
        </w:rPr>
        <w:t xml:space="preserve">SAICA observed that the </w:t>
      </w:r>
      <w:r w:rsidR="003D35AE" w:rsidRPr="00EB1DA3">
        <w:rPr>
          <w:sz w:val="20"/>
          <w:szCs w:val="20"/>
        </w:rPr>
        <w:t xml:space="preserve">2022 </w:t>
      </w:r>
      <w:r w:rsidR="00E77F40" w:rsidRPr="00EB1DA3">
        <w:rPr>
          <w:sz w:val="20"/>
          <w:szCs w:val="20"/>
        </w:rPr>
        <w:t>Budget estimates SARS to operate optimally to collect estimated additional revenue in the medium t</w:t>
      </w:r>
      <w:r w:rsidR="00B24176" w:rsidRPr="00EB1DA3">
        <w:rPr>
          <w:sz w:val="20"/>
          <w:szCs w:val="20"/>
        </w:rPr>
        <w:t>erm even though SARS, by its</w:t>
      </w:r>
      <w:r w:rsidR="00E77F40" w:rsidRPr="00EB1DA3">
        <w:rPr>
          <w:sz w:val="20"/>
          <w:szCs w:val="20"/>
        </w:rPr>
        <w:t xml:space="preserve"> estimations, requires much more resources to ensure its effective and efficient operations</w:t>
      </w:r>
      <w:r w:rsidR="003D35AE" w:rsidRPr="00EB1DA3">
        <w:rPr>
          <w:sz w:val="20"/>
          <w:szCs w:val="20"/>
        </w:rPr>
        <w:t>, about R9 billion</w:t>
      </w:r>
      <w:r w:rsidR="00E77F40" w:rsidRPr="00EB1DA3">
        <w:rPr>
          <w:sz w:val="20"/>
          <w:szCs w:val="20"/>
        </w:rPr>
        <w:t xml:space="preserve">. </w:t>
      </w:r>
      <w:r w:rsidR="003D35AE" w:rsidRPr="00EB1DA3">
        <w:rPr>
          <w:sz w:val="20"/>
          <w:szCs w:val="20"/>
        </w:rPr>
        <w:t xml:space="preserve">SAICA further submitted that </w:t>
      </w:r>
      <w:r w:rsidR="00E77F40" w:rsidRPr="00EB1DA3">
        <w:rPr>
          <w:sz w:val="20"/>
          <w:szCs w:val="20"/>
        </w:rPr>
        <w:t>SARS’ perceived ine</w:t>
      </w:r>
      <w:r w:rsidR="00B24176" w:rsidRPr="00EB1DA3">
        <w:rPr>
          <w:sz w:val="20"/>
          <w:szCs w:val="20"/>
        </w:rPr>
        <w:t xml:space="preserve">quitable conduct about </w:t>
      </w:r>
      <w:r w:rsidR="00E77F40" w:rsidRPr="00EB1DA3">
        <w:rPr>
          <w:sz w:val="20"/>
          <w:szCs w:val="20"/>
        </w:rPr>
        <w:t xml:space="preserve">compliant taxpayers is creating a further risk of increased costs of collection and decreased </w:t>
      </w:r>
      <w:r w:rsidR="003D35AE" w:rsidRPr="00EB1DA3">
        <w:rPr>
          <w:sz w:val="20"/>
          <w:szCs w:val="20"/>
        </w:rPr>
        <w:t xml:space="preserve">taxpayer voluntary compliance. </w:t>
      </w:r>
      <w:r w:rsidR="00E77F40" w:rsidRPr="00EB1DA3">
        <w:rPr>
          <w:sz w:val="20"/>
          <w:szCs w:val="20"/>
        </w:rPr>
        <w:t xml:space="preserve">SAICA </w:t>
      </w:r>
      <w:r w:rsidR="003D35AE" w:rsidRPr="00EB1DA3">
        <w:rPr>
          <w:sz w:val="20"/>
          <w:szCs w:val="20"/>
        </w:rPr>
        <w:t xml:space="preserve">said that it </w:t>
      </w:r>
      <w:r w:rsidR="00E77F40" w:rsidRPr="00EB1DA3">
        <w:rPr>
          <w:sz w:val="20"/>
          <w:szCs w:val="20"/>
        </w:rPr>
        <w:t xml:space="preserve">is still concerned that SARS has insufficient funds to meet its April 2022 deadline for implementation of </w:t>
      </w:r>
      <w:r w:rsidR="003F5CC2" w:rsidRPr="00EB1DA3">
        <w:rPr>
          <w:sz w:val="20"/>
          <w:szCs w:val="20"/>
        </w:rPr>
        <w:t xml:space="preserve">Generally Recognised Accounting </w:t>
      </w:r>
      <w:r w:rsidR="003F5CC2" w:rsidRPr="00EB1DA3">
        <w:rPr>
          <w:color w:val="auto"/>
          <w:sz w:val="20"/>
          <w:szCs w:val="20"/>
        </w:rPr>
        <w:t>Practice (</w:t>
      </w:r>
      <w:r w:rsidR="00E77F40" w:rsidRPr="00EB1DA3">
        <w:rPr>
          <w:color w:val="auto"/>
          <w:sz w:val="20"/>
          <w:szCs w:val="20"/>
        </w:rPr>
        <w:t>GRAP8</w:t>
      </w:r>
      <w:r w:rsidR="003F5CC2" w:rsidRPr="00EB1DA3">
        <w:rPr>
          <w:color w:val="auto"/>
          <w:sz w:val="20"/>
          <w:szCs w:val="20"/>
        </w:rPr>
        <w:t>)</w:t>
      </w:r>
      <w:r w:rsidR="00E77F40" w:rsidRPr="00EB1DA3">
        <w:rPr>
          <w:color w:val="auto"/>
          <w:sz w:val="20"/>
          <w:szCs w:val="20"/>
        </w:rPr>
        <w:t xml:space="preserve"> and </w:t>
      </w:r>
      <w:r w:rsidR="00E77F40" w:rsidRPr="00EB1DA3">
        <w:rPr>
          <w:sz w:val="20"/>
          <w:szCs w:val="20"/>
        </w:rPr>
        <w:t xml:space="preserve">that it cannot successfully fulfil its mandate. </w:t>
      </w:r>
    </w:p>
    <w:p w:rsidR="00E77F40" w:rsidRPr="00EB1DA3" w:rsidRDefault="004A4548" w:rsidP="00EB1DA3">
      <w:pPr>
        <w:pStyle w:val="Default"/>
        <w:rPr>
          <w:sz w:val="20"/>
          <w:szCs w:val="20"/>
        </w:rPr>
      </w:pPr>
      <w:r w:rsidRPr="00EB1DA3">
        <w:rPr>
          <w:sz w:val="20"/>
          <w:szCs w:val="20"/>
        </w:rPr>
        <w:t>SAICA said</w:t>
      </w:r>
      <w:r w:rsidR="003D35AE" w:rsidRPr="00EB1DA3">
        <w:rPr>
          <w:sz w:val="20"/>
          <w:szCs w:val="20"/>
        </w:rPr>
        <w:t xml:space="preserve"> that </w:t>
      </w:r>
      <w:r w:rsidR="00E77F40" w:rsidRPr="00EB1DA3">
        <w:rPr>
          <w:sz w:val="20"/>
          <w:szCs w:val="20"/>
        </w:rPr>
        <w:t>research show</w:t>
      </w:r>
      <w:r w:rsidR="00F416B4" w:rsidRPr="00EB1DA3">
        <w:rPr>
          <w:sz w:val="20"/>
          <w:szCs w:val="20"/>
        </w:rPr>
        <w:t>ed</w:t>
      </w:r>
      <w:r w:rsidR="00E77F40" w:rsidRPr="00EB1DA3">
        <w:rPr>
          <w:sz w:val="20"/>
          <w:szCs w:val="20"/>
        </w:rPr>
        <w:t xml:space="preserve"> th</w:t>
      </w:r>
      <w:r w:rsidRPr="00EB1DA3">
        <w:rPr>
          <w:sz w:val="20"/>
          <w:szCs w:val="20"/>
        </w:rPr>
        <w:t>at improving the delivery of a revenue a</w:t>
      </w:r>
      <w:r w:rsidR="00E77F40" w:rsidRPr="00EB1DA3">
        <w:rPr>
          <w:sz w:val="20"/>
          <w:szCs w:val="20"/>
        </w:rPr>
        <w:t xml:space="preserve">uthority’s services will, in turn, improve the taxpayer’s experience and ultimately their compliance. SAICA </w:t>
      </w:r>
      <w:r w:rsidR="00172759" w:rsidRPr="00EB1DA3">
        <w:rPr>
          <w:sz w:val="20"/>
          <w:szCs w:val="20"/>
        </w:rPr>
        <w:t xml:space="preserve">said it had </w:t>
      </w:r>
      <w:r w:rsidR="00E77F40" w:rsidRPr="00EB1DA3">
        <w:rPr>
          <w:sz w:val="20"/>
          <w:szCs w:val="20"/>
        </w:rPr>
        <w:t xml:space="preserve">seen an increase in taxpayer dissatisfaction with SARS’ services as is evidenced by the number of operational queries received from its members as well as the lengthy agenda of </w:t>
      </w:r>
      <w:r w:rsidR="003F5CC2" w:rsidRPr="00EB1DA3">
        <w:rPr>
          <w:color w:val="auto"/>
          <w:sz w:val="20"/>
          <w:szCs w:val="20"/>
        </w:rPr>
        <w:t>SARS or Registered Controlling Bodies (</w:t>
      </w:r>
      <w:r w:rsidR="00E77F40" w:rsidRPr="00EB1DA3">
        <w:rPr>
          <w:color w:val="auto"/>
          <w:sz w:val="20"/>
          <w:szCs w:val="20"/>
        </w:rPr>
        <w:t>RCB</w:t>
      </w:r>
      <w:r w:rsidR="003F5CC2" w:rsidRPr="00EB1DA3">
        <w:rPr>
          <w:color w:val="auto"/>
          <w:sz w:val="20"/>
          <w:szCs w:val="20"/>
        </w:rPr>
        <w:t>)</w:t>
      </w:r>
      <w:r w:rsidR="00E77F40" w:rsidRPr="00EB1DA3">
        <w:rPr>
          <w:color w:val="auto"/>
          <w:sz w:val="20"/>
          <w:szCs w:val="20"/>
        </w:rPr>
        <w:t xml:space="preserve"> National </w:t>
      </w:r>
      <w:r w:rsidR="00E77F40" w:rsidRPr="00EB1DA3">
        <w:rPr>
          <w:sz w:val="20"/>
          <w:szCs w:val="20"/>
        </w:rPr>
        <w:t>Operations meeting. The concerns include SARS not</w:t>
      </w:r>
      <w:r w:rsidR="00172759" w:rsidRPr="00EB1DA3">
        <w:rPr>
          <w:sz w:val="20"/>
          <w:szCs w:val="20"/>
        </w:rPr>
        <w:t xml:space="preserve"> taking responsibility for its</w:t>
      </w:r>
      <w:r w:rsidR="00E77F40" w:rsidRPr="00EB1DA3">
        <w:rPr>
          <w:sz w:val="20"/>
          <w:szCs w:val="20"/>
        </w:rPr>
        <w:t xml:space="preserve"> actions, such as the recent identity theft of taxpayer profiles and delays in VAT refund payments. </w:t>
      </w:r>
    </w:p>
    <w:p w:rsidR="00B75D33" w:rsidRPr="00EB1DA3" w:rsidRDefault="00172759" w:rsidP="00EB1DA3">
      <w:pPr>
        <w:rPr>
          <w:rFonts w:ascii="Arial" w:hAnsi="Arial" w:cs="Arial"/>
          <w:sz w:val="20"/>
        </w:rPr>
      </w:pPr>
      <w:r w:rsidRPr="00EB1DA3">
        <w:rPr>
          <w:rFonts w:ascii="Arial" w:hAnsi="Arial" w:cs="Arial"/>
          <w:sz w:val="20"/>
        </w:rPr>
        <w:lastRenderedPageBreak/>
        <w:t>SAICA noted</w:t>
      </w:r>
      <w:r w:rsidR="00B75D33" w:rsidRPr="00EB1DA3">
        <w:rPr>
          <w:rFonts w:ascii="Arial" w:hAnsi="Arial" w:cs="Arial"/>
          <w:sz w:val="20"/>
        </w:rPr>
        <w:t xml:space="preserve"> the concerns raised by taxpayers regarding the lack of service delivery by SARS and the continued lack of accountability and oversight in this regard. It further noted that a structural review of the governance of SARS was promised after the 2018 Nugent Commission, yet no public consultation process was followed, with taxpayers being one of the victims of the governance failures at SARS. It</w:t>
      </w:r>
      <w:r w:rsidR="008E2AF7" w:rsidRPr="00EB1DA3">
        <w:rPr>
          <w:rFonts w:ascii="Arial" w:hAnsi="Arial" w:cs="Arial"/>
          <w:sz w:val="20"/>
        </w:rPr>
        <w:t xml:space="preserve"> </w:t>
      </w:r>
      <w:r w:rsidRPr="00EB1DA3">
        <w:rPr>
          <w:rFonts w:ascii="Arial" w:hAnsi="Arial" w:cs="Arial"/>
          <w:sz w:val="20"/>
        </w:rPr>
        <w:t>said it was c</w:t>
      </w:r>
      <w:r w:rsidR="00B75D33" w:rsidRPr="00EB1DA3">
        <w:rPr>
          <w:rFonts w:ascii="Arial" w:hAnsi="Arial" w:cs="Arial"/>
          <w:sz w:val="20"/>
        </w:rPr>
        <w:t>oncerned that t</w:t>
      </w:r>
      <w:r w:rsidRPr="00EB1DA3">
        <w:rPr>
          <w:rFonts w:ascii="Arial" w:hAnsi="Arial" w:cs="Arial"/>
          <w:sz w:val="20"/>
        </w:rPr>
        <w:t>he Minister noted</w:t>
      </w:r>
      <w:r w:rsidR="00B75D33" w:rsidRPr="00EB1DA3">
        <w:rPr>
          <w:rFonts w:ascii="Arial" w:hAnsi="Arial" w:cs="Arial"/>
          <w:sz w:val="20"/>
        </w:rPr>
        <w:t xml:space="preserve"> that a document will be pub</w:t>
      </w:r>
      <w:r w:rsidRPr="00EB1DA3">
        <w:rPr>
          <w:rFonts w:ascii="Arial" w:hAnsi="Arial" w:cs="Arial"/>
          <w:sz w:val="20"/>
        </w:rPr>
        <w:t>lished for comment yet concluded</w:t>
      </w:r>
      <w:r w:rsidR="00B75D33" w:rsidRPr="00EB1DA3">
        <w:rPr>
          <w:rFonts w:ascii="Arial" w:hAnsi="Arial" w:cs="Arial"/>
          <w:sz w:val="20"/>
        </w:rPr>
        <w:t xml:space="preserve"> that most of the recommendations have been implemented. It </w:t>
      </w:r>
      <w:r w:rsidRPr="00EB1DA3">
        <w:rPr>
          <w:rFonts w:ascii="Arial" w:hAnsi="Arial" w:cs="Arial"/>
          <w:sz w:val="20"/>
        </w:rPr>
        <w:t>said it viewed</w:t>
      </w:r>
      <w:r w:rsidR="00B75D33" w:rsidRPr="00EB1DA3">
        <w:rPr>
          <w:rFonts w:ascii="Arial" w:hAnsi="Arial" w:cs="Arial"/>
          <w:sz w:val="20"/>
        </w:rPr>
        <w:t xml:space="preserve"> this as a major oversight by the Minister in ensuring an effective, fair and efficient SARS.</w:t>
      </w:r>
    </w:p>
    <w:p w:rsidR="00EE544F" w:rsidRPr="00EB1DA3" w:rsidRDefault="00E77F40" w:rsidP="00EB1DA3">
      <w:pPr>
        <w:rPr>
          <w:rFonts w:ascii="Arial" w:hAnsi="Arial" w:cs="Arial"/>
          <w:sz w:val="20"/>
          <w:lang w:val="en-ZA" w:eastAsia="en-GB"/>
        </w:rPr>
      </w:pPr>
      <w:r w:rsidRPr="00EB1DA3">
        <w:rPr>
          <w:rFonts w:ascii="Arial" w:hAnsi="Arial" w:cs="Arial"/>
          <w:sz w:val="20"/>
          <w:lang w:val="en-ZA" w:eastAsia="en-GB"/>
        </w:rPr>
        <w:t>1Road Consulting expressed concerns about SARS’ conduct during VAT audits and withholding of VAT</w:t>
      </w:r>
      <w:r w:rsidR="00172759" w:rsidRPr="00EB1DA3">
        <w:rPr>
          <w:rFonts w:ascii="Arial" w:hAnsi="Arial" w:cs="Arial"/>
          <w:sz w:val="20"/>
          <w:lang w:val="en-ZA" w:eastAsia="en-GB"/>
        </w:rPr>
        <w:t xml:space="preserve"> refunds. This concern was also</w:t>
      </w:r>
      <w:r w:rsidRPr="00EB1DA3">
        <w:rPr>
          <w:rFonts w:ascii="Arial" w:hAnsi="Arial" w:cs="Arial"/>
          <w:sz w:val="20"/>
          <w:lang w:val="en-ZA" w:eastAsia="en-GB"/>
        </w:rPr>
        <w:t xml:space="preserve"> shared by SAICA, South African Institute of Professional Accountants (SAIPA) and SAIT. It </w:t>
      </w:r>
      <w:r w:rsidR="00172759" w:rsidRPr="00EB1DA3">
        <w:rPr>
          <w:rFonts w:ascii="Arial" w:hAnsi="Arial" w:cs="Arial"/>
          <w:sz w:val="20"/>
          <w:lang w:val="en-ZA" w:eastAsia="en-GB"/>
        </w:rPr>
        <w:t xml:space="preserve">said </w:t>
      </w:r>
      <w:r w:rsidRPr="00EB1DA3">
        <w:rPr>
          <w:rFonts w:ascii="Arial" w:hAnsi="Arial" w:cs="Arial"/>
          <w:sz w:val="20"/>
          <w:lang w:val="en-ZA" w:eastAsia="en-GB"/>
        </w:rPr>
        <w:t xml:space="preserve">that requests for a further meeting with </w:t>
      </w:r>
      <w:r w:rsidR="00EE544F" w:rsidRPr="00EB1DA3">
        <w:rPr>
          <w:rFonts w:ascii="Arial" w:hAnsi="Arial" w:cs="Arial"/>
          <w:sz w:val="20"/>
          <w:lang w:val="en-ZA" w:eastAsia="en-GB"/>
        </w:rPr>
        <w:t>NT</w:t>
      </w:r>
      <w:r w:rsidRPr="00EB1DA3">
        <w:rPr>
          <w:rFonts w:ascii="Arial" w:hAnsi="Arial" w:cs="Arial"/>
          <w:sz w:val="20"/>
          <w:lang w:val="en-ZA" w:eastAsia="en-GB"/>
        </w:rPr>
        <w:t xml:space="preserve"> and SARS to address this went unheeded. 1Road Consulting highlighted that the VAT audit and withholding problem is not restricted to the export sector but spread widely across the economy impacting small, medium and large businesses, including those in business rescue. </w:t>
      </w:r>
      <w:r w:rsidR="00EE544F" w:rsidRPr="00EB1DA3">
        <w:rPr>
          <w:rFonts w:ascii="Arial" w:hAnsi="Arial" w:cs="Arial"/>
          <w:sz w:val="20"/>
          <w:lang w:val="en-ZA" w:eastAsia="en-GB"/>
        </w:rPr>
        <w:t>It pointed out that t</w:t>
      </w:r>
      <w:r w:rsidRPr="00EB1DA3">
        <w:rPr>
          <w:rFonts w:ascii="Arial" w:hAnsi="Arial" w:cs="Arial"/>
          <w:sz w:val="20"/>
          <w:lang w:val="en-ZA" w:eastAsia="en-GB"/>
        </w:rPr>
        <w:t xml:space="preserve">he VAT withholdings severely impact </w:t>
      </w:r>
      <w:r w:rsidR="00DC669C" w:rsidRPr="00EB1DA3">
        <w:rPr>
          <w:rFonts w:ascii="Arial" w:hAnsi="Arial" w:cs="Arial"/>
          <w:sz w:val="20"/>
          <w:lang w:val="en-ZA" w:eastAsia="en-GB"/>
        </w:rPr>
        <w:t>Small, Micro and Medium Enterprises (</w:t>
      </w:r>
      <w:r w:rsidR="00EE544F" w:rsidRPr="00EB1DA3">
        <w:rPr>
          <w:rFonts w:ascii="Arial" w:hAnsi="Arial" w:cs="Arial"/>
          <w:sz w:val="20"/>
          <w:lang w:val="en-ZA" w:eastAsia="en-GB"/>
        </w:rPr>
        <w:t>SMMEs</w:t>
      </w:r>
      <w:r w:rsidR="00DC669C" w:rsidRPr="00EB1DA3">
        <w:rPr>
          <w:rFonts w:ascii="Arial" w:hAnsi="Arial" w:cs="Arial"/>
          <w:sz w:val="20"/>
          <w:lang w:val="en-ZA" w:eastAsia="en-GB"/>
        </w:rPr>
        <w:t>)</w:t>
      </w:r>
      <w:r w:rsidRPr="00EB1DA3">
        <w:rPr>
          <w:rFonts w:ascii="Arial" w:hAnsi="Arial" w:cs="Arial"/>
          <w:sz w:val="20"/>
          <w:lang w:val="en-ZA" w:eastAsia="en-GB"/>
        </w:rPr>
        <w:t xml:space="preserve">, to the point of insolvency.  </w:t>
      </w:r>
    </w:p>
    <w:p w:rsidR="00E77F40" w:rsidRPr="00EB1DA3" w:rsidRDefault="00EE544F" w:rsidP="00EB1DA3">
      <w:pPr>
        <w:rPr>
          <w:rFonts w:ascii="Arial" w:hAnsi="Arial" w:cs="Arial"/>
          <w:sz w:val="20"/>
          <w:lang w:val="en-ZA" w:eastAsia="en-GB"/>
        </w:rPr>
      </w:pPr>
      <w:r w:rsidRPr="00EB1DA3">
        <w:rPr>
          <w:rFonts w:ascii="Arial" w:hAnsi="Arial" w:cs="Arial"/>
          <w:sz w:val="20"/>
          <w:lang w:val="en-ZA" w:eastAsia="en-GB"/>
        </w:rPr>
        <w:t xml:space="preserve">1Road Consulting further submitted that </w:t>
      </w:r>
      <w:r w:rsidRPr="00EB1DA3">
        <w:rPr>
          <w:rFonts w:ascii="Arial" w:hAnsi="Arial" w:cs="Arial"/>
          <w:bCs/>
          <w:sz w:val="20"/>
          <w:lang w:val="en-ZA" w:eastAsia="en-GB"/>
        </w:rPr>
        <w:t>t</w:t>
      </w:r>
      <w:r w:rsidR="00E77F40" w:rsidRPr="00EB1DA3">
        <w:rPr>
          <w:rFonts w:ascii="Arial" w:hAnsi="Arial" w:cs="Arial"/>
          <w:bCs/>
          <w:sz w:val="20"/>
          <w:lang w:val="en-ZA" w:eastAsia="en-GB"/>
        </w:rPr>
        <w:t>axpayers</w:t>
      </w:r>
      <w:r w:rsidR="00172759" w:rsidRPr="00EB1DA3">
        <w:rPr>
          <w:rFonts w:ascii="Arial" w:hAnsi="Arial" w:cs="Arial"/>
          <w:bCs/>
          <w:sz w:val="20"/>
          <w:lang w:val="en-ZA" w:eastAsia="en-GB"/>
        </w:rPr>
        <w:t>,</w:t>
      </w:r>
      <w:r w:rsidR="00E77F40" w:rsidRPr="00EB1DA3">
        <w:rPr>
          <w:rFonts w:ascii="Arial" w:hAnsi="Arial" w:cs="Arial"/>
          <w:bCs/>
          <w:sz w:val="20"/>
          <w:lang w:val="en-ZA" w:eastAsia="en-GB"/>
        </w:rPr>
        <w:t xml:space="preserve"> in the face of a never-ending VAT audit and withholding of </w:t>
      </w:r>
      <w:r w:rsidR="00172759" w:rsidRPr="00EB1DA3">
        <w:rPr>
          <w:rFonts w:ascii="Arial" w:hAnsi="Arial" w:cs="Arial"/>
          <w:bCs/>
          <w:sz w:val="20"/>
          <w:lang w:val="en-ZA" w:eastAsia="en-GB"/>
        </w:rPr>
        <w:t xml:space="preserve">VAT refunds, </w:t>
      </w:r>
      <w:r w:rsidR="00E77F40" w:rsidRPr="00EB1DA3">
        <w:rPr>
          <w:rFonts w:ascii="Arial" w:hAnsi="Arial" w:cs="Arial"/>
          <w:bCs/>
          <w:sz w:val="20"/>
          <w:lang w:val="en-ZA" w:eastAsia="en-GB"/>
        </w:rPr>
        <w:t xml:space="preserve">are powerless unless they litigate. </w:t>
      </w:r>
      <w:r w:rsidRPr="00EB1DA3">
        <w:rPr>
          <w:rFonts w:ascii="Arial" w:hAnsi="Arial" w:cs="Arial"/>
          <w:bCs/>
          <w:sz w:val="20"/>
          <w:lang w:val="en-ZA" w:eastAsia="en-GB"/>
        </w:rPr>
        <w:t xml:space="preserve">It said that </w:t>
      </w:r>
      <w:r w:rsidRPr="00EB1DA3">
        <w:rPr>
          <w:rFonts w:ascii="Arial" w:hAnsi="Arial" w:cs="Arial"/>
          <w:sz w:val="20"/>
          <w:lang w:val="en-ZA" w:eastAsia="en-GB"/>
        </w:rPr>
        <w:t>t</w:t>
      </w:r>
      <w:r w:rsidR="00E77F40" w:rsidRPr="00EB1DA3">
        <w:rPr>
          <w:rFonts w:ascii="Arial" w:hAnsi="Arial" w:cs="Arial"/>
          <w:sz w:val="20"/>
          <w:lang w:val="en-ZA" w:eastAsia="en-GB"/>
        </w:rPr>
        <w:t>axpayers’ cash flows are significantly compromised and may be driven into insolvency</w:t>
      </w:r>
      <w:r w:rsidRPr="00EB1DA3">
        <w:rPr>
          <w:rFonts w:ascii="Arial" w:hAnsi="Arial" w:cs="Arial"/>
          <w:sz w:val="20"/>
          <w:lang w:val="en-ZA" w:eastAsia="en-GB"/>
        </w:rPr>
        <w:t xml:space="preserve"> and that </w:t>
      </w:r>
      <w:r w:rsidR="00E77F40" w:rsidRPr="00EB1DA3">
        <w:rPr>
          <w:rFonts w:ascii="Arial" w:hAnsi="Arial" w:cs="Arial"/>
          <w:sz w:val="20"/>
          <w:lang w:val="en-ZA" w:eastAsia="en-GB"/>
        </w:rPr>
        <w:t>SARS acts as judge, juror and executioner</w:t>
      </w:r>
      <w:r w:rsidRPr="00EB1DA3">
        <w:rPr>
          <w:rFonts w:ascii="Arial" w:hAnsi="Arial" w:cs="Arial"/>
          <w:sz w:val="20"/>
          <w:lang w:val="en-ZA" w:eastAsia="en-GB"/>
        </w:rPr>
        <w:t xml:space="preserve"> as t</w:t>
      </w:r>
      <w:r w:rsidR="00E77F40" w:rsidRPr="00EB1DA3">
        <w:rPr>
          <w:rFonts w:ascii="Arial" w:hAnsi="Arial" w:cs="Arial"/>
          <w:sz w:val="20"/>
          <w:lang w:val="en-ZA" w:eastAsia="en-GB"/>
        </w:rPr>
        <w:t>here is no law to compel SARS to issue a revised VAT Assessment within a specified period and dispute resolution cannot commence. All the while, VAT refunds are withheld.</w:t>
      </w:r>
    </w:p>
    <w:p w:rsidR="00E77F40" w:rsidRPr="00EB1DA3" w:rsidRDefault="00E77F40" w:rsidP="00EB1DA3">
      <w:pPr>
        <w:rPr>
          <w:rFonts w:ascii="Arial" w:hAnsi="Arial" w:cs="Arial"/>
          <w:sz w:val="20"/>
          <w:lang w:val="en-ZA" w:eastAsia="en-GB"/>
        </w:rPr>
      </w:pPr>
      <w:r w:rsidRPr="00EB1DA3">
        <w:rPr>
          <w:rFonts w:ascii="Arial" w:hAnsi="Arial" w:cs="Arial"/>
          <w:sz w:val="20"/>
        </w:rPr>
        <w:t xml:space="preserve">SAIT </w:t>
      </w:r>
      <w:r w:rsidR="00A670DD" w:rsidRPr="00EB1DA3">
        <w:rPr>
          <w:rFonts w:ascii="Arial" w:hAnsi="Arial" w:cs="Arial"/>
          <w:sz w:val="20"/>
        </w:rPr>
        <w:t xml:space="preserve">submitted that it </w:t>
      </w:r>
      <w:r w:rsidRPr="00EB1DA3">
        <w:rPr>
          <w:rFonts w:ascii="Arial" w:hAnsi="Arial" w:cs="Arial"/>
          <w:sz w:val="20"/>
        </w:rPr>
        <w:t xml:space="preserve">values a </w:t>
      </w:r>
      <w:r w:rsidRPr="00EB1DA3">
        <w:rPr>
          <w:rFonts w:ascii="Arial" w:hAnsi="Arial" w:cs="Arial"/>
          <w:sz w:val="20"/>
          <w:lang w:val="en-ZA" w:eastAsia="en-GB"/>
        </w:rPr>
        <w:t xml:space="preserve">continuous engagement on tax administration with SARS and </w:t>
      </w:r>
      <w:r w:rsidR="00A670DD" w:rsidRPr="00EB1DA3">
        <w:rPr>
          <w:rFonts w:ascii="Arial" w:hAnsi="Arial" w:cs="Arial"/>
          <w:sz w:val="20"/>
        </w:rPr>
        <w:t>acknowledged</w:t>
      </w:r>
      <w:r w:rsidRPr="00EB1DA3">
        <w:rPr>
          <w:rFonts w:ascii="Arial" w:hAnsi="Arial" w:cs="Arial"/>
          <w:sz w:val="20"/>
          <w:lang w:val="en-ZA" w:eastAsia="en-GB"/>
        </w:rPr>
        <w:t xml:space="preserve"> the inroads made into the largely non-compliant taxpayers. </w:t>
      </w:r>
      <w:r w:rsidR="00A670DD" w:rsidRPr="00EB1DA3">
        <w:rPr>
          <w:rFonts w:ascii="Arial" w:hAnsi="Arial" w:cs="Arial"/>
          <w:sz w:val="20"/>
          <w:lang w:val="en-ZA" w:eastAsia="en-GB"/>
        </w:rPr>
        <w:t>SAIT raised concerns about the</w:t>
      </w:r>
      <w:r w:rsidRPr="00EB1DA3">
        <w:rPr>
          <w:rFonts w:ascii="Arial" w:hAnsi="Arial" w:cs="Arial"/>
          <w:sz w:val="20"/>
          <w:lang w:val="en-ZA" w:eastAsia="en-GB"/>
        </w:rPr>
        <w:t xml:space="preserve"> </w:t>
      </w:r>
      <w:r w:rsidRPr="00EB1DA3">
        <w:rPr>
          <w:rFonts w:ascii="Arial" w:hAnsi="Arial" w:cs="Arial"/>
          <w:sz w:val="20"/>
        </w:rPr>
        <w:t>t</w:t>
      </w:r>
      <w:r w:rsidRPr="00EB1DA3">
        <w:rPr>
          <w:rFonts w:ascii="Arial" w:hAnsi="Arial" w:cs="Arial"/>
          <w:sz w:val="20"/>
          <w:lang w:val="en-ZA" w:eastAsia="en-GB"/>
        </w:rPr>
        <w:t xml:space="preserve">axpayer’s rights, </w:t>
      </w:r>
      <w:r w:rsidR="00172759" w:rsidRPr="00EB1DA3">
        <w:rPr>
          <w:rFonts w:ascii="Arial" w:hAnsi="Arial" w:cs="Arial"/>
          <w:sz w:val="20"/>
          <w:lang w:val="en-ZA" w:eastAsia="en-GB"/>
        </w:rPr>
        <w:t xml:space="preserve">the </w:t>
      </w:r>
      <w:r w:rsidRPr="00EB1DA3">
        <w:rPr>
          <w:rFonts w:ascii="Arial" w:hAnsi="Arial" w:cs="Arial"/>
          <w:sz w:val="20"/>
          <w:lang w:val="en-ZA" w:eastAsia="en-GB"/>
        </w:rPr>
        <w:t>Tax Ombud</w:t>
      </w:r>
      <w:r w:rsidR="00172759" w:rsidRPr="00EB1DA3">
        <w:rPr>
          <w:rFonts w:ascii="Arial" w:hAnsi="Arial" w:cs="Arial"/>
          <w:sz w:val="20"/>
          <w:lang w:val="en-ZA" w:eastAsia="en-GB"/>
        </w:rPr>
        <w:t>s draft c</w:t>
      </w:r>
      <w:r w:rsidRPr="00EB1DA3">
        <w:rPr>
          <w:rFonts w:ascii="Arial" w:hAnsi="Arial" w:cs="Arial"/>
          <w:sz w:val="20"/>
          <w:lang w:val="en-ZA" w:eastAsia="en-GB"/>
        </w:rPr>
        <w:t>ompendium, the possibility of a reverse charge on VAT and whether SARS is targeting the real culprits.</w:t>
      </w:r>
    </w:p>
    <w:p w:rsidR="00A85D55" w:rsidRPr="00EB1DA3" w:rsidRDefault="00A85D55" w:rsidP="00EB1DA3">
      <w:pPr>
        <w:pStyle w:val="Heading3"/>
        <w:spacing w:before="0" w:line="240" w:lineRule="auto"/>
        <w:rPr>
          <w:rFonts w:ascii="Arial" w:hAnsi="Arial" w:cs="Arial"/>
          <w:sz w:val="20"/>
          <w:u w:val="none"/>
          <w:lang w:val="en-ZA" w:eastAsia="en-GB"/>
        </w:rPr>
      </w:pPr>
      <w:r w:rsidRPr="00EB1DA3">
        <w:rPr>
          <w:rFonts w:ascii="Arial" w:hAnsi="Arial" w:cs="Arial"/>
          <w:sz w:val="20"/>
          <w:u w:val="none"/>
          <w:lang w:val="en-ZA" w:eastAsia="en-GB"/>
        </w:rPr>
        <w:lastRenderedPageBreak/>
        <w:t xml:space="preserve">Recommendations </w:t>
      </w:r>
      <w:r w:rsidR="00037C2E" w:rsidRPr="00EB1DA3">
        <w:rPr>
          <w:rFonts w:ascii="Arial" w:hAnsi="Arial" w:cs="Arial"/>
          <w:sz w:val="20"/>
          <w:u w:val="none"/>
          <w:lang w:val="en-ZA" w:eastAsia="en-GB"/>
        </w:rPr>
        <w:t xml:space="preserve">made by stakeholders </w:t>
      </w:r>
      <w:r w:rsidR="0039098E" w:rsidRPr="00EB1DA3">
        <w:rPr>
          <w:rFonts w:ascii="Arial" w:hAnsi="Arial" w:cs="Arial"/>
          <w:sz w:val="20"/>
          <w:u w:val="none"/>
          <w:lang w:val="en-ZA" w:eastAsia="en-GB"/>
        </w:rPr>
        <w:t xml:space="preserve">on revenue and tax issues </w:t>
      </w:r>
    </w:p>
    <w:p w:rsidR="005177C1" w:rsidRPr="00EB1DA3" w:rsidRDefault="0096267E" w:rsidP="00EB1DA3">
      <w:pPr>
        <w:pStyle w:val="Heading4"/>
        <w:spacing w:before="0" w:line="240" w:lineRule="auto"/>
        <w:rPr>
          <w:rFonts w:ascii="Arial" w:hAnsi="Arial" w:cs="Arial"/>
          <w:i w:val="0"/>
          <w:sz w:val="20"/>
        </w:rPr>
      </w:pPr>
      <w:r w:rsidRPr="00EB1DA3">
        <w:rPr>
          <w:rFonts w:ascii="Arial" w:hAnsi="Arial" w:cs="Arial"/>
          <w:i w:val="0"/>
          <w:sz w:val="20"/>
        </w:rPr>
        <w:t xml:space="preserve">SAICA </w:t>
      </w:r>
      <w:r w:rsidR="00172759" w:rsidRPr="00EB1DA3">
        <w:rPr>
          <w:rFonts w:ascii="Arial" w:hAnsi="Arial" w:cs="Arial"/>
          <w:i w:val="0"/>
          <w:sz w:val="20"/>
        </w:rPr>
        <w:t>recommended</w:t>
      </w:r>
      <w:r w:rsidR="0039098E" w:rsidRPr="00EB1DA3">
        <w:rPr>
          <w:rFonts w:ascii="Arial" w:hAnsi="Arial" w:cs="Arial"/>
          <w:i w:val="0"/>
          <w:sz w:val="20"/>
        </w:rPr>
        <w:t xml:space="preserve"> that</w:t>
      </w:r>
      <w:r w:rsidRPr="00EB1DA3">
        <w:rPr>
          <w:rFonts w:ascii="Arial" w:hAnsi="Arial" w:cs="Arial"/>
          <w:i w:val="0"/>
          <w:sz w:val="20"/>
        </w:rPr>
        <w:t xml:space="preserve"> </w:t>
      </w:r>
      <w:r w:rsidR="005177C1" w:rsidRPr="00EB1DA3">
        <w:rPr>
          <w:rFonts w:ascii="Arial" w:hAnsi="Arial" w:cs="Arial"/>
          <w:i w:val="0"/>
          <w:sz w:val="20"/>
        </w:rPr>
        <w:t xml:space="preserve">revenue estimates </w:t>
      </w:r>
      <w:r w:rsidR="0039098E" w:rsidRPr="00EB1DA3">
        <w:rPr>
          <w:rFonts w:ascii="Arial" w:hAnsi="Arial" w:cs="Arial"/>
          <w:i w:val="0"/>
          <w:sz w:val="20"/>
        </w:rPr>
        <w:t xml:space="preserve">should be </w:t>
      </w:r>
      <w:r w:rsidR="005177C1" w:rsidRPr="00EB1DA3">
        <w:rPr>
          <w:rFonts w:ascii="Arial" w:hAnsi="Arial" w:cs="Arial"/>
          <w:i w:val="0"/>
          <w:sz w:val="20"/>
        </w:rPr>
        <w:t>as accurate as possible, as these estimation</w:t>
      </w:r>
      <w:r w:rsidR="001B749E" w:rsidRPr="00EB1DA3">
        <w:rPr>
          <w:rFonts w:ascii="Arial" w:hAnsi="Arial" w:cs="Arial"/>
          <w:i w:val="0"/>
          <w:sz w:val="20"/>
        </w:rPr>
        <w:t>s underpin the revised downward</w:t>
      </w:r>
      <w:r w:rsidR="005177C1" w:rsidRPr="00EB1DA3">
        <w:rPr>
          <w:rFonts w:ascii="Arial" w:hAnsi="Arial" w:cs="Arial"/>
          <w:i w:val="0"/>
          <w:sz w:val="20"/>
        </w:rPr>
        <w:t xml:space="preserve"> estimations in the budget deficit and consequently the projected debt that will be needed to fund any deficit. Over-estimating economic growth and revenue </w:t>
      </w:r>
      <w:r w:rsidR="0039098E" w:rsidRPr="00EB1DA3">
        <w:rPr>
          <w:rFonts w:ascii="Arial" w:hAnsi="Arial" w:cs="Arial"/>
          <w:i w:val="0"/>
          <w:sz w:val="20"/>
        </w:rPr>
        <w:t>while</w:t>
      </w:r>
      <w:r w:rsidR="005177C1" w:rsidRPr="00EB1DA3">
        <w:rPr>
          <w:rFonts w:ascii="Arial" w:hAnsi="Arial" w:cs="Arial"/>
          <w:i w:val="0"/>
          <w:sz w:val="20"/>
        </w:rPr>
        <w:t xml:space="preserve"> underestimating expenditure trends </w:t>
      </w:r>
      <w:r w:rsidR="00556635" w:rsidRPr="00EB1DA3">
        <w:rPr>
          <w:rFonts w:ascii="Arial" w:hAnsi="Arial" w:cs="Arial"/>
          <w:i w:val="0"/>
          <w:sz w:val="20"/>
        </w:rPr>
        <w:t>raise</w:t>
      </w:r>
      <w:r w:rsidR="0039098E" w:rsidRPr="00EB1DA3">
        <w:rPr>
          <w:rFonts w:ascii="Arial" w:hAnsi="Arial" w:cs="Arial"/>
          <w:i w:val="0"/>
          <w:sz w:val="20"/>
        </w:rPr>
        <w:t xml:space="preserve"> questions about the</w:t>
      </w:r>
      <w:r w:rsidR="005177C1" w:rsidRPr="00EB1DA3">
        <w:rPr>
          <w:rFonts w:ascii="Arial" w:hAnsi="Arial" w:cs="Arial"/>
          <w:i w:val="0"/>
          <w:sz w:val="20"/>
        </w:rPr>
        <w:t xml:space="preserve"> credibility of the budget</w:t>
      </w:r>
      <w:r w:rsidR="0039098E" w:rsidRPr="00EB1DA3">
        <w:rPr>
          <w:rFonts w:ascii="Arial" w:hAnsi="Arial" w:cs="Arial"/>
          <w:i w:val="0"/>
          <w:sz w:val="20"/>
        </w:rPr>
        <w:t>.</w:t>
      </w:r>
      <w:r w:rsidR="005177C1" w:rsidRPr="00EB1DA3">
        <w:rPr>
          <w:rFonts w:ascii="Arial" w:hAnsi="Arial" w:cs="Arial"/>
          <w:i w:val="0"/>
          <w:sz w:val="20"/>
        </w:rPr>
        <w:t xml:space="preserve"> </w:t>
      </w:r>
    </w:p>
    <w:p w:rsidR="0096267E" w:rsidRPr="00EB1DA3" w:rsidRDefault="0096267E" w:rsidP="00EB1DA3">
      <w:pPr>
        <w:pStyle w:val="Heading4"/>
        <w:spacing w:before="0" w:line="240" w:lineRule="auto"/>
        <w:rPr>
          <w:rFonts w:ascii="Arial" w:hAnsi="Arial" w:cs="Arial"/>
          <w:i w:val="0"/>
          <w:sz w:val="20"/>
        </w:rPr>
      </w:pPr>
      <w:r w:rsidRPr="00EB1DA3">
        <w:rPr>
          <w:rFonts w:ascii="Arial" w:hAnsi="Arial" w:cs="Arial"/>
          <w:i w:val="0"/>
          <w:sz w:val="20"/>
        </w:rPr>
        <w:t>SAICA</w:t>
      </w:r>
      <w:r w:rsidR="00172759" w:rsidRPr="00EB1DA3">
        <w:rPr>
          <w:rFonts w:ascii="Arial" w:hAnsi="Arial" w:cs="Arial"/>
          <w:i w:val="0"/>
          <w:sz w:val="20"/>
        </w:rPr>
        <w:t xml:space="preserve"> recommended</w:t>
      </w:r>
      <w:r w:rsidR="00454B53" w:rsidRPr="00EB1DA3">
        <w:rPr>
          <w:rFonts w:ascii="Arial" w:hAnsi="Arial" w:cs="Arial"/>
          <w:i w:val="0"/>
          <w:sz w:val="20"/>
        </w:rPr>
        <w:t xml:space="preserve"> that</w:t>
      </w:r>
      <w:r w:rsidRPr="00EB1DA3">
        <w:rPr>
          <w:rFonts w:ascii="Arial" w:hAnsi="Arial" w:cs="Arial"/>
          <w:i w:val="0"/>
          <w:sz w:val="20"/>
        </w:rPr>
        <w:t xml:space="preserve"> Parliament should question whether the current methodology </w:t>
      </w:r>
      <w:r w:rsidR="00486227" w:rsidRPr="00EB1DA3">
        <w:rPr>
          <w:rFonts w:ascii="Arial" w:hAnsi="Arial" w:cs="Arial"/>
          <w:i w:val="0"/>
          <w:sz w:val="20"/>
        </w:rPr>
        <w:t>used to calculate</w:t>
      </w:r>
      <w:r w:rsidRPr="00EB1DA3">
        <w:rPr>
          <w:rFonts w:ascii="Arial" w:hAnsi="Arial" w:cs="Arial"/>
          <w:i w:val="0"/>
          <w:sz w:val="20"/>
        </w:rPr>
        <w:t xml:space="preserve"> tax-to-GDP </w:t>
      </w:r>
      <w:r w:rsidR="00486227" w:rsidRPr="00EB1DA3">
        <w:rPr>
          <w:rFonts w:ascii="Arial" w:hAnsi="Arial" w:cs="Arial"/>
          <w:i w:val="0"/>
          <w:sz w:val="20"/>
        </w:rPr>
        <w:t xml:space="preserve">ratio </w:t>
      </w:r>
      <w:r w:rsidRPr="00EB1DA3">
        <w:rPr>
          <w:rFonts w:ascii="Arial" w:hAnsi="Arial" w:cs="Arial"/>
          <w:i w:val="0"/>
          <w:sz w:val="20"/>
        </w:rPr>
        <w:t>properly and appropriately informs it of what the impact is of fiscal policy</w:t>
      </w:r>
      <w:r w:rsidR="00454B53" w:rsidRPr="00EB1DA3">
        <w:rPr>
          <w:rFonts w:ascii="Arial" w:hAnsi="Arial" w:cs="Arial"/>
          <w:i w:val="0"/>
          <w:sz w:val="20"/>
        </w:rPr>
        <w:t xml:space="preserve">. </w:t>
      </w:r>
      <w:r w:rsidRPr="00EB1DA3">
        <w:rPr>
          <w:rFonts w:ascii="Arial" w:hAnsi="Arial" w:cs="Arial"/>
          <w:i w:val="0"/>
          <w:sz w:val="20"/>
        </w:rPr>
        <w:t xml:space="preserve"> </w:t>
      </w:r>
      <w:r w:rsidR="00454B53" w:rsidRPr="00EB1DA3">
        <w:rPr>
          <w:rFonts w:ascii="Arial" w:hAnsi="Arial" w:cs="Arial"/>
          <w:i w:val="0"/>
          <w:sz w:val="20"/>
        </w:rPr>
        <w:t>A</w:t>
      </w:r>
      <w:r w:rsidRPr="00EB1DA3">
        <w:rPr>
          <w:rFonts w:ascii="Arial" w:hAnsi="Arial" w:cs="Arial"/>
          <w:i w:val="0"/>
          <w:sz w:val="20"/>
        </w:rPr>
        <w:t>s Parliament is accountable for the final approval of the budget</w:t>
      </w:r>
      <w:r w:rsidR="00172759" w:rsidRPr="00EB1DA3">
        <w:rPr>
          <w:rFonts w:ascii="Arial" w:hAnsi="Arial" w:cs="Arial"/>
          <w:i w:val="0"/>
          <w:sz w:val="20"/>
        </w:rPr>
        <w:t>, SAICA recommended that</w:t>
      </w:r>
      <w:r w:rsidRPr="00EB1DA3">
        <w:rPr>
          <w:rFonts w:ascii="Arial" w:hAnsi="Arial" w:cs="Arial"/>
          <w:i w:val="0"/>
          <w:sz w:val="20"/>
        </w:rPr>
        <w:t xml:space="preserve"> it should request financial data that best </w:t>
      </w:r>
      <w:r w:rsidR="00F37585" w:rsidRPr="00EB1DA3">
        <w:rPr>
          <w:rFonts w:ascii="Arial" w:hAnsi="Arial" w:cs="Arial"/>
          <w:i w:val="0"/>
          <w:sz w:val="20"/>
        </w:rPr>
        <w:t>inform</w:t>
      </w:r>
      <w:r w:rsidR="00172759" w:rsidRPr="00EB1DA3">
        <w:rPr>
          <w:rFonts w:ascii="Arial" w:hAnsi="Arial" w:cs="Arial"/>
          <w:i w:val="0"/>
          <w:sz w:val="20"/>
        </w:rPr>
        <w:t>s</w:t>
      </w:r>
      <w:r w:rsidRPr="00EB1DA3">
        <w:rPr>
          <w:rFonts w:ascii="Arial" w:hAnsi="Arial" w:cs="Arial"/>
          <w:i w:val="0"/>
          <w:sz w:val="20"/>
        </w:rPr>
        <w:t xml:space="preserve"> its decision making. </w:t>
      </w:r>
    </w:p>
    <w:p w:rsidR="00C659F6" w:rsidRPr="00EB1DA3" w:rsidRDefault="0096267E" w:rsidP="00EB1DA3">
      <w:pPr>
        <w:pStyle w:val="Heading4"/>
        <w:spacing w:before="0" w:line="240" w:lineRule="auto"/>
        <w:rPr>
          <w:rFonts w:ascii="Arial" w:hAnsi="Arial" w:cs="Arial"/>
          <w:i w:val="0"/>
          <w:sz w:val="20"/>
        </w:rPr>
      </w:pPr>
      <w:r w:rsidRPr="00EB1DA3">
        <w:rPr>
          <w:rFonts w:ascii="Arial" w:hAnsi="Arial" w:cs="Arial"/>
          <w:i w:val="0"/>
          <w:sz w:val="20"/>
        </w:rPr>
        <w:t xml:space="preserve">  </w:t>
      </w:r>
      <w:r w:rsidR="00172759" w:rsidRPr="00EB1DA3">
        <w:rPr>
          <w:rFonts w:ascii="Arial" w:hAnsi="Arial" w:cs="Arial"/>
          <w:i w:val="0"/>
          <w:sz w:val="20"/>
        </w:rPr>
        <w:t>PwC recommended</w:t>
      </w:r>
      <w:r w:rsidR="00D746CE" w:rsidRPr="00EB1DA3">
        <w:rPr>
          <w:rFonts w:ascii="Arial" w:hAnsi="Arial" w:cs="Arial"/>
          <w:i w:val="0"/>
          <w:sz w:val="20"/>
        </w:rPr>
        <w:t xml:space="preserve"> g</w:t>
      </w:r>
      <w:r w:rsidR="001052B5" w:rsidRPr="00EB1DA3">
        <w:rPr>
          <w:rFonts w:ascii="Arial" w:hAnsi="Arial" w:cs="Arial"/>
          <w:i w:val="0"/>
          <w:sz w:val="20"/>
        </w:rPr>
        <w:t xml:space="preserve">reater clarity on the stated intention to further reduce the </w:t>
      </w:r>
      <w:r w:rsidR="006A24DF" w:rsidRPr="00EB1DA3">
        <w:rPr>
          <w:rFonts w:ascii="Arial" w:hAnsi="Arial" w:cs="Arial"/>
          <w:i w:val="0"/>
          <w:sz w:val="20"/>
        </w:rPr>
        <w:t>CIT</w:t>
      </w:r>
      <w:r w:rsidR="001052B5" w:rsidRPr="00EB1DA3">
        <w:rPr>
          <w:rFonts w:ascii="Arial" w:hAnsi="Arial" w:cs="Arial"/>
          <w:i w:val="0"/>
          <w:sz w:val="20"/>
        </w:rPr>
        <w:t xml:space="preserve"> rate on a </w:t>
      </w:r>
      <w:r w:rsidR="00B242E7" w:rsidRPr="00EB1DA3">
        <w:rPr>
          <w:rFonts w:ascii="Arial" w:hAnsi="Arial" w:cs="Arial"/>
          <w:i w:val="0"/>
          <w:sz w:val="20"/>
        </w:rPr>
        <w:t>revenue-neutral</w:t>
      </w:r>
      <w:r w:rsidR="001052B5" w:rsidRPr="00EB1DA3">
        <w:rPr>
          <w:rFonts w:ascii="Arial" w:hAnsi="Arial" w:cs="Arial"/>
          <w:i w:val="0"/>
          <w:sz w:val="20"/>
        </w:rPr>
        <w:t xml:space="preserve"> basis as the tax base is br</w:t>
      </w:r>
      <w:r w:rsidR="00D746CE" w:rsidRPr="00EB1DA3">
        <w:rPr>
          <w:rFonts w:ascii="Arial" w:hAnsi="Arial" w:cs="Arial"/>
          <w:i w:val="0"/>
          <w:sz w:val="20"/>
        </w:rPr>
        <w:t xml:space="preserve">oadened. </w:t>
      </w:r>
      <w:r w:rsidR="00172759" w:rsidRPr="00EB1DA3">
        <w:rPr>
          <w:rFonts w:ascii="Arial" w:hAnsi="Arial" w:cs="Arial"/>
          <w:i w:val="0"/>
          <w:sz w:val="20"/>
        </w:rPr>
        <w:t>It said that t</w:t>
      </w:r>
      <w:r w:rsidR="00D746CE" w:rsidRPr="00EB1DA3">
        <w:rPr>
          <w:rFonts w:ascii="Arial" w:hAnsi="Arial" w:cs="Arial"/>
          <w:i w:val="0"/>
          <w:sz w:val="20"/>
        </w:rPr>
        <w:t xml:space="preserve">he targeted tax rate, noting that </w:t>
      </w:r>
      <w:r w:rsidR="00172759" w:rsidRPr="00EB1DA3">
        <w:rPr>
          <w:rFonts w:ascii="Arial" w:hAnsi="Arial" w:cs="Arial"/>
          <w:i w:val="0"/>
          <w:sz w:val="20"/>
        </w:rPr>
        <w:t>it had</w:t>
      </w:r>
      <w:r w:rsidR="001052B5" w:rsidRPr="00EB1DA3">
        <w:rPr>
          <w:rFonts w:ascii="Arial" w:hAnsi="Arial" w:cs="Arial"/>
          <w:i w:val="0"/>
          <w:sz w:val="20"/>
        </w:rPr>
        <w:t xml:space="preserve"> pre</w:t>
      </w:r>
      <w:r w:rsidR="00D746CE" w:rsidRPr="00EB1DA3">
        <w:rPr>
          <w:rFonts w:ascii="Arial" w:hAnsi="Arial" w:cs="Arial"/>
          <w:i w:val="0"/>
          <w:sz w:val="20"/>
        </w:rPr>
        <w:t>viously suggested a rate of 25 per cent</w:t>
      </w:r>
      <w:r w:rsidR="001052B5" w:rsidRPr="00EB1DA3">
        <w:rPr>
          <w:rFonts w:ascii="Arial" w:hAnsi="Arial" w:cs="Arial"/>
          <w:i w:val="0"/>
          <w:sz w:val="20"/>
        </w:rPr>
        <w:t xml:space="preserve">, as well as the </w:t>
      </w:r>
      <w:r w:rsidR="00B242E7" w:rsidRPr="00EB1DA3">
        <w:rPr>
          <w:rFonts w:ascii="Arial" w:hAnsi="Arial" w:cs="Arial"/>
          <w:i w:val="0"/>
          <w:sz w:val="20"/>
        </w:rPr>
        <w:t>base-broadening</w:t>
      </w:r>
      <w:r w:rsidR="001052B5" w:rsidRPr="00EB1DA3">
        <w:rPr>
          <w:rFonts w:ascii="Arial" w:hAnsi="Arial" w:cs="Arial"/>
          <w:i w:val="0"/>
          <w:sz w:val="20"/>
        </w:rPr>
        <w:t xml:space="preserve"> measures and timelines</w:t>
      </w:r>
      <w:r w:rsidR="00172759" w:rsidRPr="00EB1DA3">
        <w:rPr>
          <w:rFonts w:ascii="Arial" w:hAnsi="Arial" w:cs="Arial"/>
          <w:i w:val="0"/>
          <w:sz w:val="20"/>
        </w:rPr>
        <w:t xml:space="preserve"> to achieve that</w:t>
      </w:r>
      <w:r w:rsidR="001052B5" w:rsidRPr="00EB1DA3">
        <w:rPr>
          <w:rFonts w:ascii="Arial" w:hAnsi="Arial" w:cs="Arial"/>
          <w:i w:val="0"/>
          <w:sz w:val="20"/>
        </w:rPr>
        <w:t xml:space="preserve"> </w:t>
      </w:r>
      <w:r w:rsidR="009C4030" w:rsidRPr="00EB1DA3">
        <w:rPr>
          <w:rFonts w:ascii="Arial" w:hAnsi="Arial" w:cs="Arial"/>
          <w:i w:val="0"/>
          <w:sz w:val="20"/>
        </w:rPr>
        <w:t>target rate</w:t>
      </w:r>
      <w:r w:rsidR="00B242E7" w:rsidRPr="00EB1DA3">
        <w:rPr>
          <w:rFonts w:ascii="Arial" w:hAnsi="Arial" w:cs="Arial"/>
          <w:i w:val="0"/>
          <w:sz w:val="20"/>
        </w:rPr>
        <w:t>,</w:t>
      </w:r>
      <w:r w:rsidR="009C4030" w:rsidRPr="00EB1DA3">
        <w:rPr>
          <w:rFonts w:ascii="Arial" w:hAnsi="Arial" w:cs="Arial"/>
          <w:i w:val="0"/>
          <w:sz w:val="20"/>
        </w:rPr>
        <w:t xml:space="preserve"> should be indicated.</w:t>
      </w:r>
    </w:p>
    <w:p w:rsidR="0057737F" w:rsidRPr="00EB1DA3" w:rsidRDefault="00172759" w:rsidP="00EB1DA3">
      <w:pPr>
        <w:pStyle w:val="Heading4"/>
        <w:spacing w:before="0" w:line="240" w:lineRule="auto"/>
        <w:rPr>
          <w:rFonts w:ascii="Arial" w:hAnsi="Arial" w:cs="Arial"/>
          <w:i w:val="0"/>
          <w:sz w:val="20"/>
        </w:rPr>
      </w:pPr>
      <w:r w:rsidRPr="00EB1DA3">
        <w:rPr>
          <w:rFonts w:ascii="Arial" w:hAnsi="Arial" w:cs="Arial"/>
          <w:i w:val="0"/>
          <w:sz w:val="20"/>
        </w:rPr>
        <w:t>HEALA recommended</w:t>
      </w:r>
      <w:r w:rsidR="00D746CE" w:rsidRPr="00EB1DA3">
        <w:rPr>
          <w:rFonts w:ascii="Arial" w:hAnsi="Arial" w:cs="Arial"/>
          <w:i w:val="0"/>
          <w:sz w:val="20"/>
        </w:rPr>
        <w:t xml:space="preserve"> that t</w:t>
      </w:r>
      <w:r w:rsidR="0057737F" w:rsidRPr="00EB1DA3">
        <w:rPr>
          <w:rFonts w:ascii="Arial" w:hAnsi="Arial" w:cs="Arial"/>
          <w:i w:val="0"/>
          <w:sz w:val="20"/>
        </w:rPr>
        <w:t xml:space="preserve">o better strengthen the HPL and promote South Africans’ rights, policymakers </w:t>
      </w:r>
      <w:r w:rsidR="00D746CE" w:rsidRPr="00EB1DA3">
        <w:rPr>
          <w:rFonts w:ascii="Arial" w:hAnsi="Arial" w:cs="Arial"/>
          <w:i w:val="0"/>
          <w:sz w:val="20"/>
        </w:rPr>
        <w:t>should i</w:t>
      </w:r>
      <w:r w:rsidR="0057737F" w:rsidRPr="00EB1DA3">
        <w:rPr>
          <w:rFonts w:ascii="Arial" w:hAnsi="Arial" w:cs="Arial"/>
          <w:i w:val="0"/>
          <w:sz w:val="20"/>
        </w:rPr>
        <w:t>mmediately in</w:t>
      </w:r>
      <w:r w:rsidR="00D746CE" w:rsidRPr="00EB1DA3">
        <w:rPr>
          <w:rFonts w:ascii="Arial" w:hAnsi="Arial" w:cs="Arial"/>
          <w:i w:val="0"/>
          <w:sz w:val="20"/>
        </w:rPr>
        <w:t>crease the HPL tax rate from 11 per cent to 20 per cent and c</w:t>
      </w:r>
      <w:r w:rsidR="0057737F" w:rsidRPr="00EB1DA3">
        <w:rPr>
          <w:rFonts w:ascii="Arial" w:hAnsi="Arial" w:cs="Arial"/>
          <w:i w:val="0"/>
          <w:sz w:val="20"/>
        </w:rPr>
        <w:t xml:space="preserve">ommit to annual adjustments of this tax </w:t>
      </w:r>
      <w:r w:rsidR="00D746CE" w:rsidRPr="00EB1DA3">
        <w:rPr>
          <w:rFonts w:ascii="Arial" w:hAnsi="Arial" w:cs="Arial"/>
          <w:i w:val="0"/>
          <w:sz w:val="20"/>
        </w:rPr>
        <w:t xml:space="preserve">rate that account for inflation. Also, the scope of </w:t>
      </w:r>
      <w:r w:rsidR="008E2AF7" w:rsidRPr="00EB1DA3">
        <w:rPr>
          <w:rFonts w:ascii="Arial" w:hAnsi="Arial" w:cs="Arial"/>
          <w:i w:val="0"/>
          <w:sz w:val="20"/>
        </w:rPr>
        <w:t>Sugar-Sweetened Beverages (</w:t>
      </w:r>
      <w:r w:rsidR="00D746CE" w:rsidRPr="00EB1DA3">
        <w:rPr>
          <w:rFonts w:ascii="Arial" w:hAnsi="Arial" w:cs="Arial"/>
          <w:i w:val="0"/>
          <w:sz w:val="20"/>
        </w:rPr>
        <w:t>SSBs</w:t>
      </w:r>
      <w:r w:rsidR="008E2AF7" w:rsidRPr="00EB1DA3">
        <w:rPr>
          <w:rFonts w:ascii="Arial" w:hAnsi="Arial" w:cs="Arial"/>
          <w:i w:val="0"/>
          <w:sz w:val="20"/>
        </w:rPr>
        <w:t>)</w:t>
      </w:r>
      <w:r w:rsidR="00D746CE" w:rsidRPr="00EB1DA3">
        <w:rPr>
          <w:rFonts w:ascii="Arial" w:hAnsi="Arial" w:cs="Arial"/>
          <w:i w:val="0"/>
          <w:sz w:val="20"/>
        </w:rPr>
        <w:t xml:space="preserve"> should be widened to include fruit juices while the taxable threshold should be lowered </w:t>
      </w:r>
      <w:r w:rsidR="0057737F" w:rsidRPr="00EB1DA3">
        <w:rPr>
          <w:rFonts w:ascii="Arial" w:hAnsi="Arial" w:cs="Arial"/>
          <w:i w:val="0"/>
          <w:sz w:val="20"/>
        </w:rPr>
        <w:t xml:space="preserve">from 4g per 100ml in the </w:t>
      </w:r>
      <w:r w:rsidR="00D746CE" w:rsidRPr="00EB1DA3">
        <w:rPr>
          <w:rFonts w:ascii="Arial" w:hAnsi="Arial" w:cs="Arial"/>
          <w:i w:val="0"/>
          <w:sz w:val="20"/>
        </w:rPr>
        <w:t>longer term</w:t>
      </w:r>
      <w:r w:rsidR="0057737F" w:rsidRPr="00EB1DA3">
        <w:rPr>
          <w:rFonts w:ascii="Arial" w:hAnsi="Arial" w:cs="Arial"/>
          <w:i w:val="0"/>
          <w:sz w:val="20"/>
        </w:rPr>
        <w:t>.</w:t>
      </w:r>
    </w:p>
    <w:p w:rsidR="00B444D7" w:rsidRPr="00EB1DA3" w:rsidRDefault="00C659F6" w:rsidP="00EB1DA3">
      <w:pPr>
        <w:pStyle w:val="Heading4"/>
        <w:spacing w:before="0" w:line="240" w:lineRule="auto"/>
        <w:rPr>
          <w:rFonts w:ascii="Arial" w:hAnsi="Arial" w:cs="Arial"/>
          <w:i w:val="0"/>
          <w:sz w:val="20"/>
        </w:rPr>
      </w:pPr>
      <w:r w:rsidRPr="00EB1DA3">
        <w:rPr>
          <w:rFonts w:ascii="Arial" w:hAnsi="Arial" w:cs="Arial"/>
          <w:i w:val="0"/>
          <w:sz w:val="20"/>
        </w:rPr>
        <w:t>On PIT review of monetary amounts</w:t>
      </w:r>
      <w:r w:rsidR="003D6C1F" w:rsidRPr="00EB1DA3">
        <w:rPr>
          <w:rFonts w:ascii="Arial" w:hAnsi="Arial" w:cs="Arial"/>
          <w:i w:val="0"/>
          <w:sz w:val="20"/>
        </w:rPr>
        <w:t>, PwC recommended</w:t>
      </w:r>
      <w:r w:rsidRPr="00EB1DA3">
        <w:rPr>
          <w:rFonts w:ascii="Arial" w:hAnsi="Arial" w:cs="Arial"/>
          <w:i w:val="0"/>
          <w:sz w:val="20"/>
        </w:rPr>
        <w:t xml:space="preserve"> that all tax tables and monetary</w:t>
      </w:r>
      <w:r w:rsidR="005B1B19" w:rsidRPr="00EB1DA3">
        <w:rPr>
          <w:rFonts w:ascii="Arial" w:hAnsi="Arial" w:cs="Arial"/>
          <w:i w:val="0"/>
          <w:sz w:val="20"/>
        </w:rPr>
        <w:t xml:space="preserve"> amounts should be reviewed by NT and Parliament</w:t>
      </w:r>
      <w:r w:rsidRPr="00EB1DA3">
        <w:rPr>
          <w:rFonts w:ascii="Arial" w:hAnsi="Arial" w:cs="Arial"/>
          <w:i w:val="0"/>
          <w:sz w:val="20"/>
        </w:rPr>
        <w:t xml:space="preserve"> on an annual basis as part of the budget and tax legislative cycle process to ensure transparency in policy-making.</w:t>
      </w:r>
    </w:p>
    <w:p w:rsidR="008D08CB" w:rsidRPr="00EB1DA3" w:rsidRDefault="00D2733F" w:rsidP="00EB1DA3">
      <w:pPr>
        <w:pStyle w:val="Heading4"/>
        <w:spacing w:before="0" w:line="240" w:lineRule="auto"/>
        <w:rPr>
          <w:rFonts w:ascii="Arial" w:hAnsi="Arial" w:cs="Arial"/>
          <w:i w:val="0"/>
          <w:sz w:val="20"/>
        </w:rPr>
      </w:pPr>
      <w:r w:rsidRPr="00EB1DA3">
        <w:rPr>
          <w:rFonts w:ascii="Arial" w:hAnsi="Arial" w:cs="Arial"/>
          <w:i w:val="0"/>
          <w:sz w:val="20"/>
        </w:rPr>
        <w:t xml:space="preserve">FCSG </w:t>
      </w:r>
      <w:r w:rsidR="003D6C1F" w:rsidRPr="00EB1DA3">
        <w:rPr>
          <w:rFonts w:ascii="Arial" w:hAnsi="Arial" w:cs="Arial"/>
          <w:i w:val="0"/>
          <w:sz w:val="20"/>
        </w:rPr>
        <w:t>recommended</w:t>
      </w:r>
      <w:r w:rsidR="005B1B19" w:rsidRPr="00EB1DA3">
        <w:rPr>
          <w:rFonts w:ascii="Arial" w:hAnsi="Arial" w:cs="Arial"/>
          <w:i w:val="0"/>
          <w:sz w:val="20"/>
        </w:rPr>
        <w:t xml:space="preserve"> that NT should publish full details and calculations of the </w:t>
      </w:r>
      <w:r w:rsidRPr="00EB1DA3">
        <w:rPr>
          <w:rFonts w:ascii="Arial" w:hAnsi="Arial" w:cs="Arial"/>
          <w:i w:val="0"/>
          <w:sz w:val="20"/>
        </w:rPr>
        <w:t>Seigniorage sharing agreement in the Common Monetary Area (CMA)</w:t>
      </w:r>
      <w:r w:rsidR="005B1B19" w:rsidRPr="00EB1DA3">
        <w:rPr>
          <w:rFonts w:ascii="Arial" w:hAnsi="Arial" w:cs="Arial"/>
          <w:i w:val="0"/>
          <w:sz w:val="20"/>
        </w:rPr>
        <w:t xml:space="preserve"> </w:t>
      </w:r>
      <w:r w:rsidR="008D08CB" w:rsidRPr="00EB1DA3">
        <w:rPr>
          <w:rFonts w:ascii="Arial" w:hAnsi="Arial" w:cs="Arial"/>
          <w:i w:val="0"/>
          <w:sz w:val="20"/>
        </w:rPr>
        <w:t xml:space="preserve">and the South African Customs Union (SACU) agreement </w:t>
      </w:r>
      <w:r w:rsidRPr="00EB1DA3">
        <w:rPr>
          <w:rFonts w:ascii="Arial" w:hAnsi="Arial" w:cs="Arial"/>
          <w:i w:val="0"/>
          <w:sz w:val="20"/>
        </w:rPr>
        <w:t xml:space="preserve">as an annexure </w:t>
      </w:r>
      <w:r w:rsidR="005B1B19" w:rsidRPr="00EB1DA3">
        <w:rPr>
          <w:rFonts w:ascii="Arial" w:hAnsi="Arial" w:cs="Arial"/>
          <w:i w:val="0"/>
          <w:sz w:val="20"/>
        </w:rPr>
        <w:t xml:space="preserve">in </w:t>
      </w:r>
      <w:r w:rsidRPr="00EB1DA3">
        <w:rPr>
          <w:rFonts w:ascii="Arial" w:hAnsi="Arial" w:cs="Arial"/>
          <w:i w:val="0"/>
          <w:sz w:val="20"/>
        </w:rPr>
        <w:t xml:space="preserve">the </w:t>
      </w:r>
      <w:r w:rsidR="005B1B19" w:rsidRPr="00EB1DA3">
        <w:rPr>
          <w:rFonts w:ascii="Arial" w:hAnsi="Arial" w:cs="Arial"/>
          <w:i w:val="0"/>
          <w:sz w:val="20"/>
        </w:rPr>
        <w:t xml:space="preserve">2022 </w:t>
      </w:r>
      <w:r w:rsidR="00F416B4" w:rsidRPr="00EB1DA3">
        <w:rPr>
          <w:rFonts w:ascii="Arial" w:hAnsi="Arial" w:cs="Arial"/>
          <w:i w:val="0"/>
          <w:sz w:val="20"/>
        </w:rPr>
        <w:t>MTBPS. It highlighted that</w:t>
      </w:r>
      <w:r w:rsidR="005B1B19" w:rsidRPr="00EB1DA3">
        <w:rPr>
          <w:rFonts w:ascii="Arial" w:hAnsi="Arial" w:cs="Arial"/>
          <w:i w:val="0"/>
          <w:sz w:val="20"/>
        </w:rPr>
        <w:t xml:space="preserve"> South Africa pays more than R1.</w:t>
      </w:r>
      <w:r w:rsidRPr="00EB1DA3">
        <w:rPr>
          <w:rFonts w:ascii="Arial" w:hAnsi="Arial" w:cs="Arial"/>
          <w:i w:val="0"/>
          <w:sz w:val="20"/>
        </w:rPr>
        <w:t xml:space="preserve">2 billion </w:t>
      </w:r>
      <w:r w:rsidR="008D08CB" w:rsidRPr="00EB1DA3">
        <w:rPr>
          <w:rFonts w:ascii="Arial" w:hAnsi="Arial" w:cs="Arial"/>
          <w:i w:val="0"/>
          <w:sz w:val="20"/>
        </w:rPr>
        <w:t xml:space="preserve">and R40 billion </w:t>
      </w:r>
      <w:r w:rsidRPr="00EB1DA3">
        <w:rPr>
          <w:rFonts w:ascii="Arial" w:hAnsi="Arial" w:cs="Arial"/>
          <w:i w:val="0"/>
          <w:sz w:val="20"/>
        </w:rPr>
        <w:t>annually to its CMA partners</w:t>
      </w:r>
      <w:r w:rsidR="008D08CB" w:rsidRPr="00EB1DA3">
        <w:rPr>
          <w:rFonts w:ascii="Arial" w:hAnsi="Arial" w:cs="Arial"/>
          <w:i w:val="0"/>
          <w:sz w:val="20"/>
        </w:rPr>
        <w:t xml:space="preserve"> and SACU partners, respectively</w:t>
      </w:r>
      <w:r w:rsidRPr="00EB1DA3">
        <w:rPr>
          <w:rFonts w:ascii="Arial" w:hAnsi="Arial" w:cs="Arial"/>
          <w:i w:val="0"/>
          <w:sz w:val="20"/>
        </w:rPr>
        <w:t>.</w:t>
      </w:r>
      <w:r w:rsidR="007B4678" w:rsidRPr="00EB1DA3">
        <w:rPr>
          <w:rFonts w:ascii="Arial" w:hAnsi="Arial" w:cs="Arial"/>
          <w:i w:val="0"/>
          <w:sz w:val="20"/>
        </w:rPr>
        <w:t xml:space="preserve"> </w:t>
      </w:r>
    </w:p>
    <w:p w:rsidR="005B1B19" w:rsidRPr="00EB1DA3" w:rsidRDefault="00F416B4" w:rsidP="00EB1DA3">
      <w:pPr>
        <w:pStyle w:val="Heading4"/>
        <w:spacing w:before="0" w:line="240" w:lineRule="auto"/>
        <w:rPr>
          <w:rFonts w:ascii="Arial" w:hAnsi="Arial" w:cs="Arial"/>
          <w:i w:val="0"/>
          <w:sz w:val="20"/>
        </w:rPr>
      </w:pPr>
      <w:r w:rsidRPr="00EB1DA3">
        <w:rPr>
          <w:rFonts w:ascii="Arial" w:hAnsi="Arial" w:cs="Arial"/>
          <w:i w:val="0"/>
          <w:sz w:val="20"/>
        </w:rPr>
        <w:t xml:space="preserve">IEJ </w:t>
      </w:r>
      <w:r w:rsidR="005B1B19" w:rsidRPr="00EB1DA3">
        <w:rPr>
          <w:rFonts w:ascii="Arial" w:hAnsi="Arial" w:cs="Arial"/>
          <w:i w:val="0"/>
          <w:sz w:val="20"/>
        </w:rPr>
        <w:t>s</w:t>
      </w:r>
      <w:r w:rsidRPr="00EB1DA3">
        <w:rPr>
          <w:rFonts w:ascii="Arial" w:hAnsi="Arial" w:cs="Arial"/>
          <w:i w:val="0"/>
          <w:sz w:val="20"/>
        </w:rPr>
        <w:t>aid it had</w:t>
      </w:r>
      <w:r w:rsidR="005B1B19" w:rsidRPr="00EB1DA3">
        <w:rPr>
          <w:rFonts w:ascii="Arial" w:hAnsi="Arial" w:cs="Arial"/>
          <w:i w:val="0"/>
          <w:sz w:val="20"/>
        </w:rPr>
        <w:t xml:space="preserve"> made repeated submissions demonstrating that expenditure cuts are not necessar</w:t>
      </w:r>
      <w:r w:rsidRPr="00EB1DA3">
        <w:rPr>
          <w:rFonts w:ascii="Arial" w:hAnsi="Arial" w:cs="Arial"/>
          <w:i w:val="0"/>
          <w:sz w:val="20"/>
        </w:rPr>
        <w:t>ily</w:t>
      </w:r>
      <w:r w:rsidR="005B1B19" w:rsidRPr="00EB1DA3">
        <w:rPr>
          <w:rFonts w:ascii="Arial" w:hAnsi="Arial" w:cs="Arial"/>
          <w:i w:val="0"/>
          <w:sz w:val="20"/>
        </w:rPr>
        <w:t xml:space="preserve"> progressive tax proposals </w:t>
      </w:r>
      <w:r w:rsidRPr="00EB1DA3">
        <w:rPr>
          <w:rFonts w:ascii="Arial" w:hAnsi="Arial" w:cs="Arial"/>
          <w:i w:val="0"/>
          <w:sz w:val="20"/>
        </w:rPr>
        <w:t xml:space="preserve">that </w:t>
      </w:r>
      <w:r w:rsidR="005B1B19" w:rsidRPr="00EB1DA3">
        <w:rPr>
          <w:rFonts w:ascii="Arial" w:hAnsi="Arial" w:cs="Arial"/>
          <w:i w:val="0"/>
          <w:sz w:val="20"/>
        </w:rPr>
        <w:t xml:space="preserve">can finance a </w:t>
      </w:r>
      <w:r w:rsidRPr="00EB1DA3">
        <w:rPr>
          <w:rFonts w:ascii="Arial" w:hAnsi="Arial" w:cs="Arial"/>
          <w:i w:val="0"/>
          <w:sz w:val="20"/>
        </w:rPr>
        <w:t>u</w:t>
      </w:r>
      <w:r w:rsidR="00DC669C" w:rsidRPr="00EB1DA3">
        <w:rPr>
          <w:rFonts w:ascii="Arial" w:hAnsi="Arial" w:cs="Arial"/>
          <w:i w:val="0"/>
          <w:sz w:val="20"/>
        </w:rPr>
        <w:t>niversal</w:t>
      </w:r>
      <w:r w:rsidR="00AF09AC" w:rsidRPr="00EB1DA3">
        <w:rPr>
          <w:rFonts w:ascii="Arial" w:hAnsi="Arial" w:cs="Arial"/>
          <w:i w:val="0"/>
          <w:sz w:val="20"/>
        </w:rPr>
        <w:t xml:space="preserve"> </w:t>
      </w:r>
      <w:r w:rsidRPr="00EB1DA3">
        <w:rPr>
          <w:rFonts w:ascii="Arial" w:hAnsi="Arial" w:cs="Arial"/>
          <w:i w:val="0"/>
          <w:sz w:val="20"/>
        </w:rPr>
        <w:t>basic income g</w:t>
      </w:r>
      <w:r w:rsidR="00DC669C" w:rsidRPr="00EB1DA3">
        <w:rPr>
          <w:rFonts w:ascii="Arial" w:hAnsi="Arial" w:cs="Arial"/>
          <w:i w:val="0"/>
          <w:sz w:val="20"/>
        </w:rPr>
        <w:t xml:space="preserve">rant </w:t>
      </w:r>
      <w:r w:rsidR="005B1B19" w:rsidRPr="00EB1DA3">
        <w:rPr>
          <w:rFonts w:ascii="Arial" w:hAnsi="Arial" w:cs="Arial"/>
          <w:i w:val="0"/>
          <w:sz w:val="20"/>
        </w:rPr>
        <w:t>and other desperately needed measures. IEJ</w:t>
      </w:r>
      <w:r w:rsidRPr="00EB1DA3">
        <w:rPr>
          <w:rFonts w:ascii="Arial" w:hAnsi="Arial" w:cs="Arial"/>
          <w:i w:val="0"/>
          <w:sz w:val="20"/>
        </w:rPr>
        <w:t xml:space="preserve"> proposed</w:t>
      </w:r>
      <w:r w:rsidR="005B1B19" w:rsidRPr="00EB1DA3">
        <w:rPr>
          <w:rFonts w:ascii="Arial" w:hAnsi="Arial" w:cs="Arial"/>
          <w:i w:val="0"/>
          <w:sz w:val="20"/>
        </w:rPr>
        <w:t xml:space="preserve"> </w:t>
      </w:r>
      <w:r w:rsidRPr="00EB1DA3">
        <w:rPr>
          <w:rFonts w:ascii="Arial" w:hAnsi="Arial" w:cs="Arial"/>
          <w:i w:val="0"/>
          <w:sz w:val="20"/>
        </w:rPr>
        <w:t xml:space="preserve">the introduction of </w:t>
      </w:r>
      <w:r w:rsidR="005B1B19" w:rsidRPr="00EB1DA3">
        <w:rPr>
          <w:rFonts w:ascii="Arial" w:hAnsi="Arial" w:cs="Arial"/>
          <w:i w:val="0"/>
          <w:sz w:val="20"/>
        </w:rPr>
        <w:t xml:space="preserve">a luxury VAT </w:t>
      </w:r>
      <w:r w:rsidRPr="00EB1DA3">
        <w:rPr>
          <w:rFonts w:ascii="Arial" w:hAnsi="Arial" w:cs="Arial"/>
          <w:i w:val="0"/>
          <w:sz w:val="20"/>
        </w:rPr>
        <w:t xml:space="preserve">rate </w:t>
      </w:r>
      <w:r w:rsidR="005B1B19" w:rsidRPr="00EB1DA3">
        <w:rPr>
          <w:rFonts w:ascii="Arial" w:hAnsi="Arial" w:cs="Arial"/>
          <w:i w:val="0"/>
          <w:sz w:val="20"/>
        </w:rPr>
        <w:t xml:space="preserve">of </w:t>
      </w:r>
      <w:r w:rsidR="00AF09AC" w:rsidRPr="00EB1DA3">
        <w:rPr>
          <w:rFonts w:ascii="Arial" w:hAnsi="Arial" w:cs="Arial"/>
          <w:i w:val="0"/>
          <w:sz w:val="20"/>
        </w:rPr>
        <w:t xml:space="preserve">25 per cent on luxury goods, a social security tax of 1.5 per cent to </w:t>
      </w:r>
      <w:r w:rsidR="005B1B19" w:rsidRPr="00EB1DA3">
        <w:rPr>
          <w:rFonts w:ascii="Arial" w:hAnsi="Arial" w:cs="Arial"/>
          <w:i w:val="0"/>
          <w:sz w:val="20"/>
        </w:rPr>
        <w:t>3 per cent progressively levied on th</w:t>
      </w:r>
      <w:r w:rsidR="00AF09AC" w:rsidRPr="00EB1DA3">
        <w:rPr>
          <w:rFonts w:ascii="Arial" w:hAnsi="Arial" w:cs="Arial"/>
          <w:i w:val="0"/>
          <w:sz w:val="20"/>
        </w:rPr>
        <w:t>e highest income earners and a wealth tax of one per cent for the top 1-</w:t>
      </w:r>
      <w:r w:rsidR="005B1B19" w:rsidRPr="00EB1DA3">
        <w:rPr>
          <w:rFonts w:ascii="Arial" w:hAnsi="Arial" w:cs="Arial"/>
          <w:i w:val="0"/>
          <w:sz w:val="20"/>
        </w:rPr>
        <w:t xml:space="preserve"> 3 per cent </w:t>
      </w:r>
      <w:r w:rsidR="00AF09AC" w:rsidRPr="00EB1DA3">
        <w:rPr>
          <w:rFonts w:ascii="Arial" w:hAnsi="Arial" w:cs="Arial"/>
          <w:i w:val="0"/>
          <w:sz w:val="20"/>
        </w:rPr>
        <w:t>wealthiest South Africans</w:t>
      </w:r>
      <w:r w:rsidR="005B1B19" w:rsidRPr="00EB1DA3">
        <w:rPr>
          <w:rFonts w:ascii="Arial" w:hAnsi="Arial" w:cs="Arial"/>
          <w:i w:val="0"/>
          <w:sz w:val="20"/>
        </w:rPr>
        <w:t xml:space="preserve">. </w:t>
      </w:r>
    </w:p>
    <w:p w:rsidR="00C344EA" w:rsidRPr="00EB1DA3" w:rsidRDefault="00C344EA" w:rsidP="00EB1DA3">
      <w:pPr>
        <w:pStyle w:val="Heading4"/>
        <w:spacing w:before="0" w:line="240" w:lineRule="auto"/>
        <w:rPr>
          <w:rFonts w:ascii="Arial" w:hAnsi="Arial" w:cs="Arial"/>
          <w:i w:val="0"/>
          <w:sz w:val="20"/>
        </w:rPr>
      </w:pPr>
      <w:r w:rsidRPr="00EB1DA3">
        <w:rPr>
          <w:rFonts w:ascii="Arial" w:hAnsi="Arial" w:cs="Arial"/>
          <w:i w:val="0"/>
          <w:sz w:val="20"/>
        </w:rPr>
        <w:t xml:space="preserve">Women </w:t>
      </w:r>
      <w:r w:rsidR="00F416B4" w:rsidRPr="00EB1DA3">
        <w:rPr>
          <w:rFonts w:ascii="Arial" w:hAnsi="Arial" w:cs="Arial"/>
          <w:i w:val="0"/>
          <w:sz w:val="20"/>
        </w:rPr>
        <w:t>on Farms Project also recommended</w:t>
      </w:r>
      <w:r w:rsidRPr="00EB1DA3">
        <w:rPr>
          <w:rFonts w:ascii="Arial" w:hAnsi="Arial" w:cs="Arial"/>
          <w:i w:val="0"/>
          <w:sz w:val="20"/>
        </w:rPr>
        <w:t xml:space="preserve"> the implementation of a wealth tax on the richest one per cent of South Africas</w:t>
      </w:r>
      <w:r w:rsidR="00F416B4" w:rsidRPr="00EB1DA3">
        <w:rPr>
          <w:rFonts w:ascii="Arial" w:hAnsi="Arial" w:cs="Arial"/>
          <w:i w:val="0"/>
          <w:sz w:val="20"/>
        </w:rPr>
        <w:t>’s</w:t>
      </w:r>
      <w:r w:rsidRPr="00EB1DA3">
        <w:rPr>
          <w:rFonts w:ascii="Arial" w:hAnsi="Arial" w:cs="Arial"/>
          <w:i w:val="0"/>
          <w:sz w:val="20"/>
        </w:rPr>
        <w:t xml:space="preserve"> </w:t>
      </w:r>
      <w:r w:rsidR="00F416B4" w:rsidRPr="00EB1DA3">
        <w:rPr>
          <w:rFonts w:ascii="Arial" w:hAnsi="Arial" w:cs="Arial"/>
          <w:i w:val="0"/>
          <w:sz w:val="20"/>
        </w:rPr>
        <w:t xml:space="preserve">taxpayers </w:t>
      </w:r>
      <w:r w:rsidRPr="00EB1DA3">
        <w:rPr>
          <w:rFonts w:ascii="Arial" w:hAnsi="Arial" w:cs="Arial"/>
          <w:i w:val="0"/>
          <w:sz w:val="20"/>
        </w:rPr>
        <w:t>and that the revenue collected must be ring-fenced to finance redistributive spending</w:t>
      </w:r>
      <w:r w:rsidR="00F416B4" w:rsidRPr="00EB1DA3">
        <w:rPr>
          <w:rFonts w:ascii="Arial" w:hAnsi="Arial" w:cs="Arial"/>
          <w:i w:val="0"/>
          <w:sz w:val="20"/>
        </w:rPr>
        <w:t>,</w:t>
      </w:r>
      <w:r w:rsidRPr="00EB1DA3">
        <w:rPr>
          <w:rFonts w:ascii="Arial" w:hAnsi="Arial" w:cs="Arial"/>
          <w:i w:val="0"/>
          <w:sz w:val="20"/>
        </w:rPr>
        <w:t xml:space="preserve"> accompanied by open, accessible, accountable and transparent consultative, monitoring and implement</w:t>
      </w:r>
      <w:r w:rsidR="00F416B4" w:rsidRPr="00EB1DA3">
        <w:rPr>
          <w:rFonts w:ascii="Arial" w:hAnsi="Arial" w:cs="Arial"/>
          <w:i w:val="0"/>
          <w:sz w:val="20"/>
        </w:rPr>
        <w:t>ation</w:t>
      </w:r>
      <w:r w:rsidRPr="00EB1DA3">
        <w:rPr>
          <w:rFonts w:ascii="Arial" w:hAnsi="Arial" w:cs="Arial"/>
          <w:i w:val="0"/>
          <w:sz w:val="20"/>
        </w:rPr>
        <w:t xml:space="preserve"> processes.</w:t>
      </w:r>
    </w:p>
    <w:p w:rsidR="00195EBD" w:rsidRPr="00EB1DA3" w:rsidRDefault="00195EBD" w:rsidP="00EB1DA3">
      <w:pPr>
        <w:pStyle w:val="Heading4"/>
        <w:spacing w:before="0" w:line="240" w:lineRule="auto"/>
        <w:rPr>
          <w:rFonts w:ascii="Arial" w:hAnsi="Arial" w:cs="Arial"/>
          <w:i w:val="0"/>
          <w:sz w:val="20"/>
        </w:rPr>
      </w:pPr>
      <w:r w:rsidRPr="00EB1DA3">
        <w:rPr>
          <w:rFonts w:ascii="Arial" w:hAnsi="Arial" w:cs="Arial"/>
          <w:i w:val="0"/>
          <w:sz w:val="20"/>
        </w:rPr>
        <w:t xml:space="preserve">Amandla.mobi. </w:t>
      </w:r>
      <w:r w:rsidR="00F416B4" w:rsidRPr="00EB1DA3">
        <w:rPr>
          <w:rFonts w:ascii="Arial" w:hAnsi="Arial" w:cs="Arial"/>
          <w:i w:val="0"/>
          <w:sz w:val="20"/>
        </w:rPr>
        <w:t>recommended</w:t>
      </w:r>
      <w:r w:rsidRPr="00EB1DA3">
        <w:rPr>
          <w:rFonts w:ascii="Arial" w:hAnsi="Arial" w:cs="Arial"/>
          <w:i w:val="0"/>
          <w:sz w:val="20"/>
        </w:rPr>
        <w:t xml:space="preserve"> that NT should tax the rich by introducing a wealth tax and increasing PIT for those earning over R1 million annually and increase the sugary drinks tax to 20 per cent. </w:t>
      </w:r>
    </w:p>
    <w:p w:rsidR="009C4030" w:rsidRPr="00EB1DA3" w:rsidRDefault="009C4030" w:rsidP="00EB1DA3">
      <w:pPr>
        <w:pStyle w:val="Heading4"/>
        <w:spacing w:before="0" w:line="240" w:lineRule="auto"/>
        <w:rPr>
          <w:rFonts w:ascii="Arial" w:hAnsi="Arial" w:cs="Arial"/>
          <w:i w:val="0"/>
          <w:sz w:val="20"/>
        </w:rPr>
      </w:pPr>
      <w:r w:rsidRPr="00EB1DA3">
        <w:rPr>
          <w:rFonts w:ascii="Arial" w:hAnsi="Arial" w:cs="Arial"/>
          <w:i w:val="0"/>
          <w:sz w:val="20"/>
        </w:rPr>
        <w:t>SAB</w:t>
      </w:r>
      <w:r w:rsidR="00EC672C" w:rsidRPr="00EB1DA3">
        <w:rPr>
          <w:rFonts w:ascii="Arial" w:hAnsi="Arial" w:cs="Arial"/>
          <w:i w:val="0"/>
          <w:sz w:val="20"/>
        </w:rPr>
        <w:t xml:space="preserve"> </w:t>
      </w:r>
      <w:r w:rsidRPr="00EB1DA3">
        <w:rPr>
          <w:rFonts w:ascii="Arial" w:hAnsi="Arial" w:cs="Arial"/>
          <w:i w:val="0"/>
          <w:sz w:val="20"/>
        </w:rPr>
        <w:t>su</w:t>
      </w:r>
      <w:r w:rsidR="00F416B4" w:rsidRPr="00EB1DA3">
        <w:rPr>
          <w:rFonts w:ascii="Arial" w:hAnsi="Arial" w:cs="Arial"/>
          <w:i w:val="0"/>
          <w:sz w:val="20"/>
        </w:rPr>
        <w:t xml:space="preserve">bmitted </w:t>
      </w:r>
      <w:r w:rsidRPr="00EB1DA3">
        <w:rPr>
          <w:rFonts w:ascii="Arial" w:hAnsi="Arial" w:cs="Arial"/>
          <w:i w:val="0"/>
          <w:sz w:val="20"/>
        </w:rPr>
        <w:t xml:space="preserve">that there should be </w:t>
      </w:r>
      <w:r w:rsidR="00EC672C" w:rsidRPr="00EB1DA3">
        <w:rPr>
          <w:rFonts w:ascii="Arial" w:hAnsi="Arial" w:cs="Arial"/>
          <w:i w:val="0"/>
          <w:sz w:val="20"/>
        </w:rPr>
        <w:t xml:space="preserve">a </w:t>
      </w:r>
      <w:r w:rsidRPr="00EB1DA3">
        <w:rPr>
          <w:rFonts w:ascii="Arial" w:hAnsi="Arial" w:cs="Arial"/>
          <w:i w:val="0"/>
          <w:sz w:val="20"/>
        </w:rPr>
        <w:t>greater incentive by way of price, for consumers to purchase lower strength alcohol products. Alcohol products with higher alcohol content should attract a higher excise tax burden</w:t>
      </w:r>
      <w:r w:rsidR="00EC672C" w:rsidRPr="00EB1DA3">
        <w:rPr>
          <w:rFonts w:ascii="Arial" w:hAnsi="Arial" w:cs="Arial"/>
          <w:i w:val="0"/>
          <w:sz w:val="20"/>
        </w:rPr>
        <w:t xml:space="preserve"> and t</w:t>
      </w:r>
      <w:r w:rsidRPr="00EB1DA3">
        <w:rPr>
          <w:rFonts w:ascii="Arial" w:hAnsi="Arial" w:cs="Arial"/>
          <w:i w:val="0"/>
          <w:sz w:val="20"/>
        </w:rPr>
        <w:t xml:space="preserve">his would correctly influence consumers to reduce harmful consumption by purchasing cheaper lower </w:t>
      </w:r>
      <w:r w:rsidR="00400B50" w:rsidRPr="00EB1DA3">
        <w:rPr>
          <w:rFonts w:ascii="Arial" w:hAnsi="Arial" w:cs="Arial"/>
          <w:i w:val="0"/>
          <w:sz w:val="20"/>
        </w:rPr>
        <w:t>Alcohol by Volume (</w:t>
      </w:r>
      <w:r w:rsidRPr="00EB1DA3">
        <w:rPr>
          <w:rFonts w:ascii="Arial" w:hAnsi="Arial" w:cs="Arial"/>
          <w:i w:val="0"/>
          <w:sz w:val="20"/>
        </w:rPr>
        <w:t>ABV</w:t>
      </w:r>
      <w:r w:rsidR="00400B50" w:rsidRPr="00EB1DA3">
        <w:rPr>
          <w:rFonts w:ascii="Arial" w:hAnsi="Arial" w:cs="Arial"/>
          <w:i w:val="0"/>
          <w:sz w:val="20"/>
        </w:rPr>
        <w:t>)</w:t>
      </w:r>
      <w:r w:rsidRPr="00EB1DA3">
        <w:rPr>
          <w:rFonts w:ascii="Arial" w:hAnsi="Arial" w:cs="Arial"/>
          <w:i w:val="0"/>
          <w:sz w:val="20"/>
        </w:rPr>
        <w:t xml:space="preserve"> products.</w:t>
      </w:r>
    </w:p>
    <w:p w:rsidR="00B75D33" w:rsidRPr="00EB1DA3" w:rsidRDefault="00F416B4" w:rsidP="00EB1DA3">
      <w:pPr>
        <w:pStyle w:val="Heading4"/>
        <w:spacing w:before="0" w:line="240" w:lineRule="auto"/>
        <w:rPr>
          <w:rFonts w:ascii="Arial" w:hAnsi="Arial" w:cs="Arial"/>
          <w:i w:val="0"/>
          <w:sz w:val="20"/>
        </w:rPr>
      </w:pPr>
      <w:r w:rsidRPr="00EB1DA3">
        <w:rPr>
          <w:rFonts w:ascii="Arial" w:hAnsi="Arial" w:cs="Arial"/>
          <w:i w:val="0"/>
          <w:sz w:val="20"/>
        </w:rPr>
        <w:t>COSATU recommended</w:t>
      </w:r>
      <w:r w:rsidR="00B75D33" w:rsidRPr="00EB1DA3">
        <w:rPr>
          <w:rFonts w:ascii="Arial" w:hAnsi="Arial" w:cs="Arial"/>
          <w:i w:val="0"/>
          <w:sz w:val="20"/>
        </w:rPr>
        <w:t xml:space="preserve"> that more needs to be done to reinforce SARS’ capacity and build upon the excellent work it is doing and that particular focus needs to be given to tackling tax and customs evasion and to move the tax regime to a more progressive one. Also,</w:t>
      </w:r>
      <w:r w:rsidR="00E755B6" w:rsidRPr="00EB1DA3">
        <w:rPr>
          <w:rFonts w:ascii="Arial" w:hAnsi="Arial" w:cs="Arial"/>
          <w:i w:val="0"/>
          <w:sz w:val="20"/>
        </w:rPr>
        <w:t xml:space="preserve"> </w:t>
      </w:r>
      <w:r w:rsidRPr="00EB1DA3">
        <w:rPr>
          <w:rFonts w:ascii="Arial" w:hAnsi="Arial" w:cs="Arial"/>
          <w:i w:val="0"/>
          <w:sz w:val="20"/>
        </w:rPr>
        <w:t>SARS needed</w:t>
      </w:r>
      <w:r w:rsidR="00B75D33" w:rsidRPr="00EB1DA3">
        <w:rPr>
          <w:rFonts w:ascii="Arial" w:hAnsi="Arial" w:cs="Arial"/>
          <w:i w:val="0"/>
          <w:sz w:val="20"/>
        </w:rPr>
        <w:t xml:space="preserve"> to be empowered to undertake lifestyle audits of politicians, senior managers in government and SOEs and wealthy individuals.</w:t>
      </w:r>
    </w:p>
    <w:p w:rsidR="00E77F40" w:rsidRPr="00EB1DA3" w:rsidRDefault="00E77F40" w:rsidP="00EB1DA3">
      <w:pPr>
        <w:pStyle w:val="Heading4"/>
        <w:spacing w:before="0" w:line="240" w:lineRule="auto"/>
        <w:rPr>
          <w:rFonts w:ascii="Arial" w:hAnsi="Arial" w:cs="Arial"/>
          <w:i w:val="0"/>
          <w:sz w:val="20"/>
        </w:rPr>
      </w:pPr>
      <w:r w:rsidRPr="00EB1DA3">
        <w:rPr>
          <w:rFonts w:ascii="Arial" w:hAnsi="Arial" w:cs="Arial"/>
          <w:i w:val="0"/>
          <w:sz w:val="20"/>
        </w:rPr>
        <w:t>1Road Consulting</w:t>
      </w:r>
      <w:r w:rsidR="00BF1493" w:rsidRPr="00EB1DA3">
        <w:rPr>
          <w:rFonts w:ascii="Arial" w:hAnsi="Arial" w:cs="Arial"/>
          <w:i w:val="0"/>
          <w:sz w:val="20"/>
        </w:rPr>
        <w:t xml:space="preserve"> recommended</w:t>
      </w:r>
      <w:r w:rsidRPr="00EB1DA3">
        <w:rPr>
          <w:rFonts w:ascii="Arial" w:hAnsi="Arial" w:cs="Arial"/>
          <w:i w:val="0"/>
          <w:sz w:val="20"/>
        </w:rPr>
        <w:t xml:space="preserve"> that the Tax Administration Act </w:t>
      </w:r>
      <w:r w:rsidR="00486227" w:rsidRPr="00EB1DA3">
        <w:rPr>
          <w:rFonts w:ascii="Arial" w:hAnsi="Arial" w:cs="Arial"/>
          <w:i w:val="0"/>
          <w:sz w:val="20"/>
        </w:rPr>
        <w:t xml:space="preserve">should </w:t>
      </w:r>
      <w:r w:rsidRPr="00EB1DA3">
        <w:rPr>
          <w:rFonts w:ascii="Arial" w:hAnsi="Arial" w:cs="Arial"/>
          <w:i w:val="0"/>
          <w:sz w:val="20"/>
        </w:rPr>
        <w:t xml:space="preserve">be amended to </w:t>
      </w:r>
      <w:r w:rsidR="00486227" w:rsidRPr="00EB1DA3">
        <w:rPr>
          <w:rFonts w:ascii="Arial" w:hAnsi="Arial" w:cs="Arial"/>
          <w:i w:val="0"/>
          <w:sz w:val="20"/>
        </w:rPr>
        <w:t xml:space="preserve">include </w:t>
      </w:r>
      <w:r w:rsidRPr="00EB1DA3">
        <w:rPr>
          <w:rFonts w:ascii="Arial" w:hAnsi="Arial" w:cs="Arial"/>
          <w:i w:val="0"/>
          <w:sz w:val="20"/>
        </w:rPr>
        <w:t xml:space="preserve">that SARS: </w:t>
      </w:r>
    </w:p>
    <w:p w:rsidR="00E77F40" w:rsidRPr="00EB1DA3" w:rsidRDefault="00E77F40"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must complete a</w:t>
      </w:r>
      <w:r w:rsidR="0001104A" w:rsidRPr="00EB1DA3">
        <w:rPr>
          <w:rFonts w:ascii="Arial" w:hAnsi="Arial" w:cs="Arial"/>
          <w:i w:val="0"/>
          <w:sz w:val="20"/>
          <w:lang w:val="en-ZA" w:eastAsia="en-GB"/>
        </w:rPr>
        <w:t>nd finalise a VAT audit within four</w:t>
      </w:r>
      <w:r w:rsidRPr="00EB1DA3">
        <w:rPr>
          <w:rFonts w:ascii="Arial" w:hAnsi="Arial" w:cs="Arial"/>
          <w:i w:val="0"/>
          <w:sz w:val="20"/>
          <w:lang w:val="en-ZA" w:eastAsia="en-GB"/>
        </w:rPr>
        <w:t xml:space="preserve"> months from the date that the taxpayer provides all the relevant material requested by SARS; </w:t>
      </w:r>
    </w:p>
    <w:p w:rsidR="00E77F40" w:rsidRPr="00EB1DA3" w:rsidRDefault="00E77F40"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may not with</w:t>
      </w:r>
      <w:r w:rsidR="0001104A" w:rsidRPr="00EB1DA3">
        <w:rPr>
          <w:rFonts w:ascii="Arial" w:hAnsi="Arial" w:cs="Arial"/>
          <w:i w:val="0"/>
          <w:sz w:val="20"/>
          <w:lang w:val="en-ZA" w:eastAsia="en-GB"/>
        </w:rPr>
        <w:t>hold VAT refunds for more than two</w:t>
      </w:r>
      <w:r w:rsidRPr="00EB1DA3">
        <w:rPr>
          <w:rFonts w:ascii="Arial" w:hAnsi="Arial" w:cs="Arial"/>
          <w:i w:val="0"/>
          <w:sz w:val="20"/>
          <w:lang w:val="en-ZA" w:eastAsia="en-GB"/>
        </w:rPr>
        <w:t xml:space="preserve"> VAT periods under audit. More specifically</w:t>
      </w:r>
      <w:r w:rsidR="0001104A" w:rsidRPr="00EB1DA3">
        <w:rPr>
          <w:rFonts w:ascii="Arial" w:hAnsi="Arial" w:cs="Arial"/>
          <w:i w:val="0"/>
          <w:sz w:val="20"/>
          <w:lang w:val="en-ZA" w:eastAsia="en-GB"/>
        </w:rPr>
        <w:t>,</w:t>
      </w:r>
      <w:r w:rsidRPr="00EB1DA3">
        <w:rPr>
          <w:rFonts w:ascii="Arial" w:hAnsi="Arial" w:cs="Arial"/>
          <w:i w:val="0"/>
          <w:sz w:val="20"/>
          <w:lang w:val="en-ZA" w:eastAsia="en-GB"/>
        </w:rPr>
        <w:t xml:space="preserve"> SARS may not continuously roll out audits into future periods and withhold the VAT refunds due, until the original audit periods have been completed; </w:t>
      </w:r>
    </w:p>
    <w:p w:rsidR="0001104A" w:rsidRPr="00EB1DA3" w:rsidRDefault="00E77F40"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 xml:space="preserve">may not continue requesting information, which would delay the finalization of the audit; at the outset must agree a deadline with the taxpayer for the audit finalisation. Any extension of the audit must be supported by a full motivation for the extension; </w:t>
      </w:r>
    </w:p>
    <w:p w:rsidR="006E4CDC" w:rsidRPr="00EB1DA3" w:rsidRDefault="006E4CDC" w:rsidP="00EB1DA3">
      <w:pPr>
        <w:pStyle w:val="FirstPara"/>
        <w:spacing w:before="0" w:line="240" w:lineRule="auto"/>
        <w:jc w:val="left"/>
        <w:rPr>
          <w:rFonts w:ascii="Arial" w:hAnsi="Arial" w:cs="Arial"/>
          <w:sz w:val="20"/>
          <w:lang w:val="en-ZA" w:eastAsia="en-GB"/>
        </w:rPr>
      </w:pPr>
    </w:p>
    <w:p w:rsidR="0001104A" w:rsidRPr="00EB1DA3" w:rsidRDefault="0001104A"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lastRenderedPageBreak/>
        <w:t xml:space="preserve">must </w:t>
      </w:r>
      <w:r w:rsidR="00E77F40" w:rsidRPr="00EB1DA3">
        <w:rPr>
          <w:rFonts w:ascii="Arial" w:hAnsi="Arial" w:cs="Arial"/>
          <w:i w:val="0"/>
          <w:sz w:val="20"/>
          <w:lang w:val="en-ZA" w:eastAsia="en-GB"/>
        </w:rPr>
        <w:t xml:space="preserve">allow compliant taxpayers to apply for </w:t>
      </w:r>
      <w:r w:rsidRPr="00EB1DA3">
        <w:rPr>
          <w:rFonts w:ascii="Arial" w:hAnsi="Arial" w:cs="Arial"/>
          <w:i w:val="0"/>
          <w:sz w:val="20"/>
          <w:lang w:val="en-ZA" w:eastAsia="en-GB"/>
        </w:rPr>
        <w:t xml:space="preserve">the </w:t>
      </w:r>
      <w:r w:rsidR="00E77F40" w:rsidRPr="00EB1DA3">
        <w:rPr>
          <w:rFonts w:ascii="Arial" w:hAnsi="Arial" w:cs="Arial"/>
          <w:i w:val="0"/>
          <w:sz w:val="20"/>
          <w:lang w:val="en-ZA" w:eastAsia="en-GB"/>
        </w:rPr>
        <w:t xml:space="preserve">release of VAT refunds withheld if they have a proven good compliance record and will suffer irreparable financial harm by the continual non-refunds; </w:t>
      </w:r>
    </w:p>
    <w:p w:rsidR="00E77F40" w:rsidRPr="00EB1DA3" w:rsidRDefault="00E77F40"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may not withhold VA</w:t>
      </w:r>
      <w:r w:rsidR="00B24176" w:rsidRPr="00EB1DA3">
        <w:rPr>
          <w:rFonts w:ascii="Arial" w:hAnsi="Arial" w:cs="Arial"/>
          <w:i w:val="0"/>
          <w:sz w:val="20"/>
          <w:lang w:val="en-ZA" w:eastAsia="en-GB"/>
        </w:rPr>
        <w:t>T refunds simply based on</w:t>
      </w:r>
      <w:r w:rsidRPr="00EB1DA3">
        <w:rPr>
          <w:rFonts w:ascii="Arial" w:hAnsi="Arial" w:cs="Arial"/>
          <w:i w:val="0"/>
          <w:sz w:val="20"/>
          <w:lang w:val="en-ZA" w:eastAsia="en-GB"/>
        </w:rPr>
        <w:t xml:space="preserve"> pure conjecture and suspicion. There must be a factual basis for the withholding; </w:t>
      </w:r>
    </w:p>
    <w:p w:rsidR="00E77F40" w:rsidRPr="00EB1DA3" w:rsidRDefault="00E77F40"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 xml:space="preserve">must not unreasonably and unfairly place the onus on businesses to control criminality in a supply and distribution chain; </w:t>
      </w:r>
    </w:p>
    <w:p w:rsidR="0001104A" w:rsidRPr="00EB1DA3" w:rsidRDefault="00E77F40"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 xml:space="preserve">must refer their findings to the </w:t>
      </w:r>
      <w:r w:rsidR="0001104A" w:rsidRPr="00EB1DA3">
        <w:rPr>
          <w:rFonts w:ascii="Arial" w:hAnsi="Arial" w:cs="Arial"/>
          <w:i w:val="0"/>
          <w:sz w:val="20"/>
          <w:lang w:val="en-ZA" w:eastAsia="en-GB"/>
        </w:rPr>
        <w:t>National Prosecuting Authority (</w:t>
      </w:r>
      <w:r w:rsidRPr="00EB1DA3">
        <w:rPr>
          <w:rFonts w:ascii="Arial" w:hAnsi="Arial" w:cs="Arial"/>
          <w:i w:val="0"/>
          <w:sz w:val="20"/>
          <w:lang w:val="en-ZA" w:eastAsia="en-GB"/>
        </w:rPr>
        <w:t>NPA</w:t>
      </w:r>
      <w:r w:rsidR="0001104A" w:rsidRPr="00EB1DA3">
        <w:rPr>
          <w:rFonts w:ascii="Arial" w:hAnsi="Arial" w:cs="Arial"/>
          <w:i w:val="0"/>
          <w:sz w:val="20"/>
          <w:lang w:val="en-ZA" w:eastAsia="en-GB"/>
        </w:rPr>
        <w:t>)</w:t>
      </w:r>
      <w:r w:rsidRPr="00EB1DA3">
        <w:rPr>
          <w:rFonts w:ascii="Arial" w:hAnsi="Arial" w:cs="Arial"/>
          <w:i w:val="0"/>
          <w:sz w:val="20"/>
          <w:lang w:val="en-ZA" w:eastAsia="en-GB"/>
        </w:rPr>
        <w:t xml:space="preserve"> and </w:t>
      </w:r>
      <w:r w:rsidR="0001104A" w:rsidRPr="00EB1DA3">
        <w:rPr>
          <w:rFonts w:ascii="Arial" w:hAnsi="Arial" w:cs="Arial"/>
          <w:i w:val="0"/>
          <w:sz w:val="20"/>
          <w:lang w:val="en-ZA" w:eastAsia="en-GB"/>
        </w:rPr>
        <w:t>South African Police Service (</w:t>
      </w:r>
      <w:r w:rsidRPr="00EB1DA3">
        <w:rPr>
          <w:rFonts w:ascii="Arial" w:hAnsi="Arial" w:cs="Arial"/>
          <w:i w:val="0"/>
          <w:sz w:val="20"/>
          <w:lang w:val="en-ZA" w:eastAsia="en-GB"/>
        </w:rPr>
        <w:t>SAPS</w:t>
      </w:r>
      <w:r w:rsidR="0001104A" w:rsidRPr="00EB1DA3">
        <w:rPr>
          <w:rFonts w:ascii="Arial" w:hAnsi="Arial" w:cs="Arial"/>
          <w:i w:val="0"/>
          <w:sz w:val="20"/>
          <w:lang w:val="en-ZA" w:eastAsia="en-GB"/>
        </w:rPr>
        <w:t>)</w:t>
      </w:r>
      <w:r w:rsidRPr="00EB1DA3">
        <w:rPr>
          <w:rFonts w:ascii="Arial" w:hAnsi="Arial" w:cs="Arial"/>
          <w:i w:val="0"/>
          <w:sz w:val="20"/>
          <w:lang w:val="en-ZA" w:eastAsia="en-GB"/>
        </w:rPr>
        <w:t xml:space="preserve"> for a full criminal investigation, where criminality is alleged. It cannot take it upon itself to be for all practical purposes, judge, juror and executioner -</w:t>
      </w:r>
      <w:r w:rsidR="0001104A" w:rsidRPr="00EB1DA3">
        <w:rPr>
          <w:rFonts w:ascii="Arial" w:hAnsi="Arial" w:cs="Arial"/>
          <w:i w:val="0"/>
          <w:sz w:val="20"/>
          <w:lang w:val="en-ZA" w:eastAsia="en-GB"/>
        </w:rPr>
        <w:t xml:space="preserve"> on the charges of criminality;</w:t>
      </w:r>
    </w:p>
    <w:p w:rsidR="0001104A" w:rsidRPr="00EB1DA3" w:rsidRDefault="0001104A"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 xml:space="preserve">must </w:t>
      </w:r>
      <w:r w:rsidR="00E77F40" w:rsidRPr="00EB1DA3">
        <w:rPr>
          <w:rFonts w:ascii="Arial" w:hAnsi="Arial" w:cs="Arial"/>
          <w:i w:val="0"/>
          <w:sz w:val="20"/>
          <w:lang w:val="en-ZA" w:eastAsia="en-GB"/>
        </w:rPr>
        <w:t xml:space="preserve">ensure transparent standard non-discriminatory treatment of all taxpayers under audit; </w:t>
      </w:r>
      <w:r w:rsidRPr="00EB1DA3">
        <w:rPr>
          <w:rFonts w:ascii="Arial" w:hAnsi="Arial" w:cs="Arial"/>
          <w:i w:val="0"/>
          <w:sz w:val="20"/>
          <w:lang w:val="en-ZA" w:eastAsia="en-GB"/>
        </w:rPr>
        <w:t xml:space="preserve">and </w:t>
      </w:r>
    </w:p>
    <w:p w:rsidR="00E77F40" w:rsidRPr="00EB1DA3" w:rsidRDefault="0001104A" w:rsidP="00EB1DA3">
      <w:pPr>
        <w:pStyle w:val="Heading4"/>
        <w:numPr>
          <w:ilvl w:val="0"/>
          <w:numId w:val="30"/>
        </w:numPr>
        <w:spacing w:before="0" w:line="240" w:lineRule="auto"/>
        <w:ind w:left="714" w:hanging="357"/>
        <w:rPr>
          <w:rFonts w:ascii="Arial" w:hAnsi="Arial" w:cs="Arial"/>
          <w:i w:val="0"/>
          <w:sz w:val="20"/>
          <w:lang w:val="en-ZA" w:eastAsia="en-GB"/>
        </w:rPr>
      </w:pPr>
      <w:r w:rsidRPr="00EB1DA3">
        <w:rPr>
          <w:rFonts w:ascii="Arial" w:hAnsi="Arial" w:cs="Arial"/>
          <w:i w:val="0"/>
          <w:sz w:val="20"/>
          <w:lang w:val="en-ZA" w:eastAsia="en-GB"/>
        </w:rPr>
        <w:t xml:space="preserve">must </w:t>
      </w:r>
      <w:r w:rsidR="00E77F40" w:rsidRPr="00EB1DA3">
        <w:rPr>
          <w:rFonts w:ascii="Arial" w:hAnsi="Arial" w:cs="Arial"/>
          <w:i w:val="0"/>
          <w:sz w:val="20"/>
          <w:lang w:val="en-ZA" w:eastAsia="en-GB"/>
        </w:rPr>
        <w:t>issue a revised assessment within 10 business days of finalising an audit; issue full and proper audit progress reports and not a simple report recording simply and unhelpfully “in execution”. That does not comprise an audit progress report.</w:t>
      </w:r>
    </w:p>
    <w:p w:rsidR="00C75F86" w:rsidRPr="00EB1DA3" w:rsidRDefault="00C75F86" w:rsidP="00EB1DA3">
      <w:pPr>
        <w:pStyle w:val="Heading3"/>
        <w:spacing w:before="0" w:line="240" w:lineRule="auto"/>
        <w:rPr>
          <w:rFonts w:ascii="Arial" w:hAnsi="Arial" w:cs="Arial"/>
          <w:sz w:val="20"/>
          <w:u w:val="none"/>
        </w:rPr>
      </w:pPr>
      <w:r w:rsidRPr="00EB1DA3">
        <w:rPr>
          <w:rFonts w:ascii="Arial" w:hAnsi="Arial" w:cs="Arial"/>
          <w:sz w:val="20"/>
          <w:u w:val="none"/>
        </w:rPr>
        <w:t>Responses by the National Treasury on issues raised by the stakeholders</w:t>
      </w:r>
    </w:p>
    <w:p w:rsidR="0051749F" w:rsidRPr="00EB1DA3" w:rsidRDefault="0051749F" w:rsidP="00EB1DA3">
      <w:pPr>
        <w:rPr>
          <w:rFonts w:ascii="Arial" w:hAnsi="Arial" w:cs="Arial"/>
          <w:sz w:val="20"/>
        </w:rPr>
      </w:pPr>
      <w:r w:rsidRPr="00EB1DA3">
        <w:rPr>
          <w:rFonts w:ascii="Arial" w:hAnsi="Arial" w:cs="Arial"/>
          <w:sz w:val="20"/>
        </w:rPr>
        <w:t>NT explained that the 2022 Budget revenue estimates align</w:t>
      </w:r>
      <w:r w:rsidR="00BF1493" w:rsidRPr="00EB1DA3">
        <w:rPr>
          <w:rFonts w:ascii="Arial" w:hAnsi="Arial" w:cs="Arial"/>
          <w:sz w:val="20"/>
        </w:rPr>
        <w:t>ed</w:t>
      </w:r>
      <w:r w:rsidRPr="00EB1DA3">
        <w:rPr>
          <w:rFonts w:ascii="Arial" w:hAnsi="Arial" w:cs="Arial"/>
          <w:sz w:val="20"/>
        </w:rPr>
        <w:t xml:space="preserve"> with the baseline macroeconomic projections of the tax bases, and account</w:t>
      </w:r>
      <w:r w:rsidR="00BF1493" w:rsidRPr="00EB1DA3">
        <w:rPr>
          <w:rFonts w:ascii="Arial" w:hAnsi="Arial" w:cs="Arial"/>
          <w:sz w:val="20"/>
        </w:rPr>
        <w:t>ed</w:t>
      </w:r>
      <w:r w:rsidRPr="00EB1DA3">
        <w:rPr>
          <w:rFonts w:ascii="Arial" w:hAnsi="Arial" w:cs="Arial"/>
          <w:sz w:val="20"/>
        </w:rPr>
        <w:t xml:space="preserve"> for </w:t>
      </w:r>
      <w:r w:rsidR="00BF1493" w:rsidRPr="00EB1DA3">
        <w:rPr>
          <w:rFonts w:ascii="Arial" w:hAnsi="Arial" w:cs="Arial"/>
          <w:sz w:val="20"/>
        </w:rPr>
        <w:t xml:space="preserve">the </w:t>
      </w:r>
      <w:r w:rsidRPr="00EB1DA3">
        <w:rPr>
          <w:rFonts w:ascii="Arial" w:hAnsi="Arial" w:cs="Arial"/>
          <w:sz w:val="20"/>
        </w:rPr>
        <w:t xml:space="preserve">risks to revenue collection.  It said that estimates of medium-term nominal GDP growth are marginally higher than the 2021 MTBPS projections. </w:t>
      </w:r>
      <w:r w:rsidR="00BF1493" w:rsidRPr="00EB1DA3">
        <w:rPr>
          <w:rFonts w:ascii="Arial" w:hAnsi="Arial" w:cs="Arial"/>
          <w:sz w:val="20"/>
        </w:rPr>
        <w:t>It said that there were n</w:t>
      </w:r>
      <w:r w:rsidRPr="00EB1DA3">
        <w:rPr>
          <w:rFonts w:ascii="Arial" w:hAnsi="Arial" w:cs="Arial"/>
          <w:sz w:val="20"/>
        </w:rPr>
        <w:t>o additional revenue measures beyond thos</w:t>
      </w:r>
      <w:r w:rsidR="006E4CDC" w:rsidRPr="00EB1DA3">
        <w:rPr>
          <w:rFonts w:ascii="Arial" w:hAnsi="Arial" w:cs="Arial"/>
          <w:sz w:val="20"/>
        </w:rPr>
        <w:t xml:space="preserve">e proposed in the 2022 Budget as </w:t>
      </w:r>
      <w:r w:rsidRPr="00EB1DA3">
        <w:rPr>
          <w:rFonts w:ascii="Arial" w:hAnsi="Arial" w:cs="Arial"/>
          <w:sz w:val="20"/>
        </w:rPr>
        <w:t>tax policy focused on broadening the tax base, improving administration and lowering rather than raising tax rates to support the economic recovery, subject to major expenditure decisions. It said that the medium-term tax elasticity a</w:t>
      </w:r>
      <w:r w:rsidR="00BF1493" w:rsidRPr="00EB1DA3">
        <w:rPr>
          <w:rFonts w:ascii="Arial" w:hAnsi="Arial" w:cs="Arial"/>
          <w:sz w:val="20"/>
        </w:rPr>
        <w:t>ssumptions from the 2021 MTBPS we</w:t>
      </w:r>
      <w:r w:rsidRPr="00EB1DA3">
        <w:rPr>
          <w:rFonts w:ascii="Arial" w:hAnsi="Arial" w:cs="Arial"/>
          <w:sz w:val="20"/>
        </w:rPr>
        <w:t xml:space="preserve">re prudent and maintained for the 2022 Budget estimates. </w:t>
      </w:r>
      <w:r w:rsidR="000D2436" w:rsidRPr="00EB1DA3">
        <w:rPr>
          <w:rFonts w:ascii="Arial" w:hAnsi="Arial" w:cs="Arial"/>
          <w:sz w:val="20"/>
        </w:rPr>
        <w:t>NT explained that d</w:t>
      </w:r>
      <w:r w:rsidRPr="00EB1DA3">
        <w:rPr>
          <w:rFonts w:ascii="Arial" w:hAnsi="Arial" w:cs="Arial"/>
          <w:sz w:val="20"/>
        </w:rPr>
        <w:t>espite some reversal of commodity-driven revenue</w:t>
      </w:r>
      <w:r w:rsidR="006E4CDC" w:rsidRPr="00EB1DA3">
        <w:rPr>
          <w:rFonts w:ascii="Arial" w:hAnsi="Arial" w:cs="Arial"/>
          <w:sz w:val="20"/>
        </w:rPr>
        <w:t xml:space="preserve">s expected over the medium term, </w:t>
      </w:r>
      <w:r w:rsidRPr="00EB1DA3">
        <w:rPr>
          <w:rFonts w:ascii="Arial" w:hAnsi="Arial" w:cs="Arial"/>
          <w:sz w:val="20"/>
        </w:rPr>
        <w:t>significant additional revenue</w:t>
      </w:r>
      <w:r w:rsidR="000D2436" w:rsidRPr="00EB1DA3">
        <w:rPr>
          <w:rFonts w:ascii="Arial" w:hAnsi="Arial" w:cs="Arial"/>
          <w:sz w:val="20"/>
        </w:rPr>
        <w:t>s were expected</w:t>
      </w:r>
      <w:r w:rsidRPr="00EB1DA3">
        <w:rPr>
          <w:rFonts w:ascii="Arial" w:hAnsi="Arial" w:cs="Arial"/>
          <w:sz w:val="20"/>
        </w:rPr>
        <w:t xml:space="preserve"> over the</w:t>
      </w:r>
      <w:r w:rsidR="006E4CDC" w:rsidRPr="00EB1DA3">
        <w:rPr>
          <w:rFonts w:ascii="Arial" w:hAnsi="Arial" w:cs="Arial"/>
          <w:sz w:val="20"/>
        </w:rPr>
        <w:t xml:space="preserve"> </w:t>
      </w:r>
      <w:r w:rsidRPr="00EB1DA3">
        <w:rPr>
          <w:rFonts w:ascii="Arial" w:hAnsi="Arial" w:cs="Arial"/>
          <w:sz w:val="20"/>
        </w:rPr>
        <w:t>next three years. </w:t>
      </w:r>
      <w:r w:rsidR="000D2436" w:rsidRPr="00EB1DA3">
        <w:rPr>
          <w:rFonts w:ascii="Arial" w:hAnsi="Arial" w:cs="Arial"/>
          <w:sz w:val="20"/>
        </w:rPr>
        <w:t>It said that the rebuilding of SARS wa</w:t>
      </w:r>
      <w:r w:rsidRPr="00EB1DA3">
        <w:rPr>
          <w:rFonts w:ascii="Arial" w:hAnsi="Arial" w:cs="Arial"/>
          <w:sz w:val="20"/>
        </w:rPr>
        <w:t>s evident in improved revenue collection and compliance trends.</w:t>
      </w:r>
      <w:r w:rsidR="006134AE" w:rsidRPr="00EB1DA3">
        <w:rPr>
          <w:rFonts w:ascii="Arial" w:hAnsi="Arial" w:cs="Arial"/>
          <w:sz w:val="20"/>
        </w:rPr>
        <w:t xml:space="preserve"> </w:t>
      </w:r>
      <w:r w:rsidRPr="00EB1DA3">
        <w:rPr>
          <w:rFonts w:ascii="Arial" w:hAnsi="Arial" w:cs="Arial"/>
          <w:sz w:val="20"/>
        </w:rPr>
        <w:t>Additional revenue gains from SARS efficiency improvements</w:t>
      </w:r>
      <w:r w:rsidR="006E4CDC" w:rsidRPr="00EB1DA3">
        <w:rPr>
          <w:rFonts w:ascii="Arial" w:hAnsi="Arial" w:cs="Arial"/>
          <w:sz w:val="20"/>
        </w:rPr>
        <w:t xml:space="preserve"> </w:t>
      </w:r>
      <w:r w:rsidRPr="00EB1DA3">
        <w:rPr>
          <w:rFonts w:ascii="Arial" w:hAnsi="Arial" w:cs="Arial"/>
          <w:sz w:val="20"/>
        </w:rPr>
        <w:t>represent</w:t>
      </w:r>
      <w:r w:rsidR="000D2436" w:rsidRPr="00EB1DA3">
        <w:rPr>
          <w:rFonts w:ascii="Arial" w:hAnsi="Arial" w:cs="Arial"/>
          <w:sz w:val="20"/>
        </w:rPr>
        <w:t>ed</w:t>
      </w:r>
      <w:r w:rsidRPr="00EB1DA3">
        <w:rPr>
          <w:rFonts w:ascii="Arial" w:hAnsi="Arial" w:cs="Arial"/>
          <w:sz w:val="20"/>
        </w:rPr>
        <w:t xml:space="preserve"> an upside risk to the revenue estimates.</w:t>
      </w:r>
    </w:p>
    <w:p w:rsidR="000D2436" w:rsidRPr="00EB1DA3" w:rsidRDefault="0051749F" w:rsidP="00EB1DA3">
      <w:pPr>
        <w:rPr>
          <w:rFonts w:ascii="Arial" w:hAnsi="Arial" w:cs="Arial"/>
          <w:sz w:val="20"/>
        </w:rPr>
      </w:pPr>
      <w:r w:rsidRPr="00EB1DA3">
        <w:rPr>
          <w:rFonts w:ascii="Arial" w:hAnsi="Arial" w:cs="Arial"/>
          <w:sz w:val="20"/>
        </w:rPr>
        <w:t>On t</w:t>
      </w:r>
      <w:r w:rsidRPr="00EB1DA3">
        <w:rPr>
          <w:rFonts w:ascii="Arial" w:hAnsi="Arial" w:cs="Arial"/>
          <w:bCs/>
          <w:sz w:val="20"/>
        </w:rPr>
        <w:t xml:space="preserve">axation and revenue policy, </w:t>
      </w:r>
      <w:r w:rsidR="006134AE" w:rsidRPr="00EB1DA3">
        <w:rPr>
          <w:rFonts w:ascii="Arial" w:hAnsi="Arial" w:cs="Arial"/>
          <w:bCs/>
          <w:sz w:val="20"/>
        </w:rPr>
        <w:t xml:space="preserve">NT </w:t>
      </w:r>
      <w:r w:rsidRPr="00EB1DA3">
        <w:rPr>
          <w:rFonts w:ascii="Arial" w:hAnsi="Arial" w:cs="Arial"/>
          <w:bCs/>
          <w:sz w:val="20"/>
        </w:rPr>
        <w:t xml:space="preserve">noted and welcomed </w:t>
      </w:r>
      <w:r w:rsidRPr="00EB1DA3">
        <w:rPr>
          <w:rFonts w:ascii="Arial" w:hAnsi="Arial" w:cs="Arial"/>
          <w:sz w:val="20"/>
        </w:rPr>
        <w:t xml:space="preserve">the number of questions on tax policy and revenue projections. It said that in past </w:t>
      </w:r>
      <w:r w:rsidR="006134AE" w:rsidRPr="00EB1DA3">
        <w:rPr>
          <w:rFonts w:ascii="Arial" w:hAnsi="Arial" w:cs="Arial"/>
          <w:sz w:val="20"/>
        </w:rPr>
        <w:t xml:space="preserve">years, NT has requested that </w:t>
      </w:r>
      <w:r w:rsidR="006E4CDC" w:rsidRPr="00EB1DA3">
        <w:rPr>
          <w:rFonts w:ascii="Arial" w:hAnsi="Arial" w:cs="Arial"/>
          <w:sz w:val="20"/>
        </w:rPr>
        <w:t xml:space="preserve">the </w:t>
      </w:r>
      <w:r w:rsidR="006134AE" w:rsidRPr="00EB1DA3">
        <w:rPr>
          <w:rFonts w:ascii="Arial" w:hAnsi="Arial" w:cs="Arial"/>
          <w:sz w:val="20"/>
        </w:rPr>
        <w:t xml:space="preserve">Committee </w:t>
      </w:r>
      <w:r w:rsidR="000D2436" w:rsidRPr="00EB1DA3">
        <w:rPr>
          <w:rFonts w:ascii="Arial" w:hAnsi="Arial" w:cs="Arial"/>
          <w:sz w:val="20"/>
        </w:rPr>
        <w:t xml:space="preserve">schedules </w:t>
      </w:r>
      <w:r w:rsidRPr="00EB1DA3">
        <w:rPr>
          <w:rFonts w:ascii="Arial" w:hAnsi="Arial" w:cs="Arial"/>
          <w:sz w:val="20"/>
        </w:rPr>
        <w:t>a special session on tax policy and financial sector announcements soon after the Budg</w:t>
      </w:r>
      <w:r w:rsidR="000D2436" w:rsidRPr="00EB1DA3">
        <w:rPr>
          <w:rFonts w:ascii="Arial" w:hAnsi="Arial" w:cs="Arial"/>
          <w:sz w:val="20"/>
        </w:rPr>
        <w:t>et, either as part of the post-b</w:t>
      </w:r>
      <w:r w:rsidRPr="00EB1DA3">
        <w:rPr>
          <w:rFonts w:ascii="Arial" w:hAnsi="Arial" w:cs="Arial"/>
          <w:sz w:val="20"/>
        </w:rPr>
        <w:t xml:space="preserve">udget hearings or soon after this process. NT said that tax announcements are market-sensitive, and no prior consultations take place before </w:t>
      </w:r>
      <w:r w:rsidR="006134AE" w:rsidRPr="00EB1DA3">
        <w:rPr>
          <w:rFonts w:ascii="Arial" w:hAnsi="Arial" w:cs="Arial"/>
          <w:sz w:val="20"/>
        </w:rPr>
        <w:t xml:space="preserve">the </w:t>
      </w:r>
      <w:r w:rsidR="000D2436" w:rsidRPr="00EB1DA3">
        <w:rPr>
          <w:rFonts w:ascii="Arial" w:hAnsi="Arial" w:cs="Arial"/>
          <w:sz w:val="20"/>
        </w:rPr>
        <w:t>budget d</w:t>
      </w:r>
      <w:r w:rsidRPr="00EB1DA3">
        <w:rPr>
          <w:rFonts w:ascii="Arial" w:hAnsi="Arial" w:cs="Arial"/>
          <w:sz w:val="20"/>
        </w:rPr>
        <w:t xml:space="preserve">ay announcements. NT explained that </w:t>
      </w:r>
      <w:r w:rsidR="006134AE" w:rsidRPr="00EB1DA3">
        <w:rPr>
          <w:rFonts w:ascii="Arial" w:hAnsi="Arial" w:cs="Arial"/>
          <w:sz w:val="20"/>
        </w:rPr>
        <w:t xml:space="preserve">the </w:t>
      </w:r>
      <w:r w:rsidR="000D2436" w:rsidRPr="00EB1DA3">
        <w:rPr>
          <w:rFonts w:ascii="Arial" w:hAnsi="Arial" w:cs="Arial"/>
          <w:sz w:val="20"/>
        </w:rPr>
        <w:t>rates and m</w:t>
      </w:r>
      <w:r w:rsidRPr="00EB1DA3">
        <w:rPr>
          <w:rFonts w:ascii="Arial" w:hAnsi="Arial" w:cs="Arial"/>
          <w:sz w:val="20"/>
        </w:rPr>
        <w:t>onetary threshol</w:t>
      </w:r>
      <w:r w:rsidR="000D2436" w:rsidRPr="00EB1DA3">
        <w:rPr>
          <w:rFonts w:ascii="Arial" w:hAnsi="Arial" w:cs="Arial"/>
          <w:sz w:val="20"/>
        </w:rPr>
        <w:t>d announcements are finalised by</w:t>
      </w:r>
      <w:r w:rsidRPr="00EB1DA3">
        <w:rPr>
          <w:rFonts w:ascii="Arial" w:hAnsi="Arial" w:cs="Arial"/>
          <w:sz w:val="20"/>
        </w:rPr>
        <w:t xml:space="preserve"> </w:t>
      </w:r>
      <w:r w:rsidR="006134AE" w:rsidRPr="00EB1DA3">
        <w:rPr>
          <w:rFonts w:ascii="Arial" w:hAnsi="Arial" w:cs="Arial"/>
          <w:sz w:val="20"/>
        </w:rPr>
        <w:t xml:space="preserve">the </w:t>
      </w:r>
      <w:r w:rsidR="000D2436" w:rsidRPr="00EB1DA3">
        <w:rPr>
          <w:rFonts w:ascii="Arial" w:hAnsi="Arial" w:cs="Arial"/>
          <w:sz w:val="20"/>
        </w:rPr>
        <w:t>budget d</w:t>
      </w:r>
      <w:r w:rsidRPr="00EB1DA3">
        <w:rPr>
          <w:rFonts w:ascii="Arial" w:hAnsi="Arial" w:cs="Arial"/>
          <w:sz w:val="20"/>
        </w:rPr>
        <w:t>ay</w:t>
      </w:r>
      <w:r w:rsidR="000D2436" w:rsidRPr="00EB1DA3">
        <w:rPr>
          <w:rFonts w:ascii="Arial" w:hAnsi="Arial" w:cs="Arial"/>
          <w:sz w:val="20"/>
        </w:rPr>
        <w:t>,</w:t>
      </w:r>
      <w:r w:rsidRPr="00EB1DA3">
        <w:rPr>
          <w:rFonts w:ascii="Arial" w:hAnsi="Arial" w:cs="Arial"/>
          <w:sz w:val="20"/>
        </w:rPr>
        <w:t xml:space="preserve"> hence </w:t>
      </w:r>
      <w:r w:rsidR="000D2436" w:rsidRPr="00EB1DA3">
        <w:rPr>
          <w:rFonts w:ascii="Arial" w:hAnsi="Arial" w:cs="Arial"/>
          <w:sz w:val="20"/>
        </w:rPr>
        <w:t>its</w:t>
      </w:r>
      <w:r w:rsidR="006134AE" w:rsidRPr="00EB1DA3">
        <w:rPr>
          <w:rFonts w:ascii="Arial" w:hAnsi="Arial" w:cs="Arial"/>
          <w:sz w:val="20"/>
        </w:rPr>
        <w:t xml:space="preserve"> </w:t>
      </w:r>
      <w:r w:rsidRPr="00EB1DA3">
        <w:rPr>
          <w:rFonts w:ascii="Arial" w:hAnsi="Arial" w:cs="Arial"/>
          <w:sz w:val="20"/>
        </w:rPr>
        <w:t>publication of the draft B</w:t>
      </w:r>
      <w:r w:rsidR="006134AE" w:rsidRPr="00EB1DA3">
        <w:rPr>
          <w:rFonts w:ascii="Arial" w:hAnsi="Arial" w:cs="Arial"/>
          <w:sz w:val="20"/>
        </w:rPr>
        <w:t>ill</w:t>
      </w:r>
      <w:r w:rsidR="000D2436" w:rsidRPr="00EB1DA3">
        <w:rPr>
          <w:rFonts w:ascii="Arial" w:hAnsi="Arial" w:cs="Arial"/>
          <w:sz w:val="20"/>
        </w:rPr>
        <w:t xml:space="preserve"> on budget d</w:t>
      </w:r>
      <w:r w:rsidR="006134AE" w:rsidRPr="00EB1DA3">
        <w:rPr>
          <w:rFonts w:ascii="Arial" w:hAnsi="Arial" w:cs="Arial"/>
          <w:sz w:val="20"/>
        </w:rPr>
        <w:t>ay</w:t>
      </w:r>
      <w:r w:rsidR="000D2436" w:rsidRPr="00EB1DA3">
        <w:rPr>
          <w:rFonts w:ascii="Arial" w:hAnsi="Arial" w:cs="Arial"/>
          <w:sz w:val="20"/>
        </w:rPr>
        <w:t>.</w:t>
      </w:r>
      <w:r w:rsidR="006134AE" w:rsidRPr="00EB1DA3">
        <w:rPr>
          <w:rFonts w:ascii="Arial" w:hAnsi="Arial" w:cs="Arial"/>
          <w:sz w:val="20"/>
        </w:rPr>
        <w:t xml:space="preserve"> </w:t>
      </w:r>
      <w:r w:rsidR="000D2436" w:rsidRPr="00EB1DA3">
        <w:rPr>
          <w:rFonts w:ascii="Arial" w:hAnsi="Arial" w:cs="Arial"/>
          <w:sz w:val="20"/>
        </w:rPr>
        <w:t xml:space="preserve">It said that </w:t>
      </w:r>
      <w:r w:rsidR="006134AE" w:rsidRPr="00EB1DA3">
        <w:rPr>
          <w:rFonts w:ascii="Arial" w:hAnsi="Arial" w:cs="Arial"/>
          <w:sz w:val="20"/>
        </w:rPr>
        <w:t>SCo</w:t>
      </w:r>
      <w:r w:rsidRPr="00EB1DA3">
        <w:rPr>
          <w:rFonts w:ascii="Arial" w:hAnsi="Arial" w:cs="Arial"/>
          <w:sz w:val="20"/>
        </w:rPr>
        <w:t>F can immediately have hearing</w:t>
      </w:r>
      <w:r w:rsidR="006134AE" w:rsidRPr="00EB1DA3">
        <w:rPr>
          <w:rFonts w:ascii="Arial" w:hAnsi="Arial" w:cs="Arial"/>
          <w:sz w:val="20"/>
        </w:rPr>
        <w:t xml:space="preserve">s on </w:t>
      </w:r>
      <w:r w:rsidR="000D2436" w:rsidRPr="00EB1DA3">
        <w:rPr>
          <w:rFonts w:ascii="Arial" w:hAnsi="Arial" w:cs="Arial"/>
          <w:sz w:val="20"/>
        </w:rPr>
        <w:t xml:space="preserve">this Bill should </w:t>
      </w:r>
      <w:r w:rsidR="006134AE" w:rsidRPr="00EB1DA3">
        <w:rPr>
          <w:rFonts w:ascii="Arial" w:hAnsi="Arial" w:cs="Arial"/>
          <w:sz w:val="20"/>
        </w:rPr>
        <w:t xml:space="preserve">it decide to do so, </w:t>
      </w:r>
      <w:r w:rsidRPr="00EB1DA3">
        <w:rPr>
          <w:rFonts w:ascii="Arial" w:hAnsi="Arial" w:cs="Arial"/>
          <w:sz w:val="20"/>
        </w:rPr>
        <w:t xml:space="preserve">rather than </w:t>
      </w:r>
      <w:r w:rsidR="006134AE" w:rsidRPr="00EB1DA3">
        <w:rPr>
          <w:rFonts w:ascii="Arial" w:hAnsi="Arial" w:cs="Arial"/>
          <w:sz w:val="20"/>
        </w:rPr>
        <w:t>waiting</w:t>
      </w:r>
      <w:r w:rsidRPr="00EB1DA3">
        <w:rPr>
          <w:rFonts w:ascii="Arial" w:hAnsi="Arial" w:cs="Arial"/>
          <w:sz w:val="20"/>
        </w:rPr>
        <w:t xml:space="preserve"> </w:t>
      </w:r>
      <w:r w:rsidR="006134AE" w:rsidRPr="00EB1DA3">
        <w:rPr>
          <w:rFonts w:ascii="Arial" w:hAnsi="Arial" w:cs="Arial"/>
          <w:sz w:val="20"/>
        </w:rPr>
        <w:t>unti</w:t>
      </w:r>
      <w:r w:rsidRPr="00EB1DA3">
        <w:rPr>
          <w:rFonts w:ascii="Arial" w:hAnsi="Arial" w:cs="Arial"/>
          <w:sz w:val="20"/>
        </w:rPr>
        <w:t xml:space="preserve">l August as </w:t>
      </w:r>
      <w:r w:rsidR="006134AE" w:rsidRPr="00EB1DA3">
        <w:rPr>
          <w:rFonts w:ascii="Arial" w:hAnsi="Arial" w:cs="Arial"/>
          <w:sz w:val="20"/>
        </w:rPr>
        <w:t>it currently</w:t>
      </w:r>
      <w:r w:rsidR="000D2436" w:rsidRPr="00EB1DA3">
        <w:rPr>
          <w:rFonts w:ascii="Arial" w:hAnsi="Arial" w:cs="Arial"/>
          <w:sz w:val="20"/>
        </w:rPr>
        <w:t xml:space="preserve"> does</w:t>
      </w:r>
      <w:r w:rsidRPr="00EB1DA3">
        <w:rPr>
          <w:rFonts w:ascii="Arial" w:hAnsi="Arial" w:cs="Arial"/>
          <w:sz w:val="20"/>
        </w:rPr>
        <w:t xml:space="preserve">. </w:t>
      </w:r>
    </w:p>
    <w:p w:rsidR="0051749F" w:rsidRPr="00EB1DA3" w:rsidRDefault="0051749F" w:rsidP="00EB1DA3">
      <w:pPr>
        <w:rPr>
          <w:rFonts w:ascii="Arial" w:hAnsi="Arial" w:cs="Arial"/>
          <w:b/>
          <w:sz w:val="20"/>
        </w:rPr>
      </w:pPr>
      <w:r w:rsidRPr="00EB1DA3">
        <w:rPr>
          <w:rFonts w:ascii="Arial" w:hAnsi="Arial" w:cs="Arial"/>
          <w:sz w:val="20"/>
        </w:rPr>
        <w:t>NT explained that consult</w:t>
      </w:r>
      <w:r w:rsidR="006134AE" w:rsidRPr="00EB1DA3">
        <w:rPr>
          <w:rFonts w:ascii="Arial" w:hAnsi="Arial" w:cs="Arial"/>
          <w:sz w:val="20"/>
        </w:rPr>
        <w:t>ations on non-rates issues</w:t>
      </w:r>
      <w:r w:rsidR="000D2436" w:rsidRPr="00EB1DA3">
        <w:rPr>
          <w:rFonts w:ascii="Arial" w:hAnsi="Arial" w:cs="Arial"/>
          <w:sz w:val="20"/>
        </w:rPr>
        <w:t>,</w:t>
      </w:r>
      <w:r w:rsidR="006134AE" w:rsidRPr="00EB1DA3">
        <w:rPr>
          <w:rFonts w:ascii="Arial" w:hAnsi="Arial" w:cs="Arial"/>
          <w:sz w:val="20"/>
        </w:rPr>
        <w:t xml:space="preserve"> such as the tax base</w:t>
      </w:r>
      <w:r w:rsidR="000D2436" w:rsidRPr="00EB1DA3">
        <w:rPr>
          <w:rFonts w:ascii="Arial" w:hAnsi="Arial" w:cs="Arial"/>
          <w:sz w:val="20"/>
        </w:rPr>
        <w:t>, only begin post-b</w:t>
      </w:r>
      <w:r w:rsidRPr="00EB1DA3">
        <w:rPr>
          <w:rFonts w:ascii="Arial" w:hAnsi="Arial" w:cs="Arial"/>
          <w:sz w:val="20"/>
        </w:rPr>
        <w:t xml:space="preserve">udget during March-June, followed by </w:t>
      </w:r>
      <w:r w:rsidR="006134AE" w:rsidRPr="00EB1DA3">
        <w:rPr>
          <w:rFonts w:ascii="Arial" w:hAnsi="Arial" w:cs="Arial"/>
          <w:sz w:val="20"/>
        </w:rPr>
        <w:t xml:space="preserve">the </w:t>
      </w:r>
      <w:r w:rsidRPr="00EB1DA3">
        <w:rPr>
          <w:rFonts w:ascii="Arial" w:hAnsi="Arial" w:cs="Arial"/>
          <w:sz w:val="20"/>
        </w:rPr>
        <w:t xml:space="preserve">publication of </w:t>
      </w:r>
      <w:r w:rsidR="00336DE0" w:rsidRPr="00EB1DA3">
        <w:rPr>
          <w:rFonts w:ascii="Arial" w:hAnsi="Arial" w:cs="Arial"/>
          <w:sz w:val="20"/>
        </w:rPr>
        <w:t xml:space="preserve">the </w:t>
      </w:r>
      <w:r w:rsidR="006134AE" w:rsidRPr="00EB1DA3">
        <w:rPr>
          <w:rFonts w:ascii="Arial" w:hAnsi="Arial" w:cs="Arial"/>
          <w:sz w:val="20"/>
        </w:rPr>
        <w:t>Taxation Law Amendment Bill (</w:t>
      </w:r>
      <w:r w:rsidRPr="00EB1DA3">
        <w:rPr>
          <w:rFonts w:ascii="Arial" w:hAnsi="Arial" w:cs="Arial"/>
          <w:sz w:val="20"/>
        </w:rPr>
        <w:t>TLAB</w:t>
      </w:r>
      <w:r w:rsidR="006134AE" w:rsidRPr="00EB1DA3">
        <w:rPr>
          <w:rFonts w:ascii="Arial" w:hAnsi="Arial" w:cs="Arial"/>
          <w:sz w:val="20"/>
        </w:rPr>
        <w:t>)</w:t>
      </w:r>
      <w:r w:rsidRPr="00EB1DA3">
        <w:rPr>
          <w:rFonts w:ascii="Arial" w:hAnsi="Arial" w:cs="Arial"/>
          <w:sz w:val="20"/>
        </w:rPr>
        <w:t xml:space="preserve"> and T</w:t>
      </w:r>
      <w:r w:rsidR="006134AE" w:rsidRPr="00EB1DA3">
        <w:rPr>
          <w:rFonts w:ascii="Arial" w:hAnsi="Arial" w:cs="Arial"/>
          <w:sz w:val="20"/>
        </w:rPr>
        <w:t>ax Administration Law Amendment Bill (T</w:t>
      </w:r>
      <w:r w:rsidRPr="00EB1DA3">
        <w:rPr>
          <w:rFonts w:ascii="Arial" w:hAnsi="Arial" w:cs="Arial"/>
          <w:sz w:val="20"/>
        </w:rPr>
        <w:t>ALAB</w:t>
      </w:r>
      <w:r w:rsidR="006134AE" w:rsidRPr="00EB1DA3">
        <w:rPr>
          <w:rFonts w:ascii="Arial" w:hAnsi="Arial" w:cs="Arial"/>
          <w:sz w:val="20"/>
        </w:rPr>
        <w:t>)</w:t>
      </w:r>
      <w:r w:rsidRPr="00EB1DA3">
        <w:rPr>
          <w:rFonts w:ascii="Arial" w:hAnsi="Arial" w:cs="Arial"/>
          <w:sz w:val="20"/>
        </w:rPr>
        <w:t xml:space="preserve"> in July</w:t>
      </w:r>
      <w:r w:rsidR="006134AE" w:rsidRPr="00EB1DA3">
        <w:rPr>
          <w:rFonts w:ascii="Arial" w:hAnsi="Arial" w:cs="Arial"/>
          <w:sz w:val="20"/>
        </w:rPr>
        <w:t xml:space="preserve"> each year</w:t>
      </w:r>
      <w:r w:rsidRPr="00EB1DA3">
        <w:rPr>
          <w:rFonts w:ascii="Arial" w:hAnsi="Arial" w:cs="Arial"/>
          <w:sz w:val="20"/>
        </w:rPr>
        <w:t xml:space="preserve">. It said that taxpayers only learn the finer details on tax announcements in July from the two draft </w:t>
      </w:r>
      <w:r w:rsidR="000D2436" w:rsidRPr="00EB1DA3">
        <w:rPr>
          <w:rFonts w:ascii="Arial" w:hAnsi="Arial" w:cs="Arial"/>
          <w:sz w:val="20"/>
        </w:rPr>
        <w:t>B</w:t>
      </w:r>
      <w:r w:rsidRPr="00EB1DA3">
        <w:rPr>
          <w:rFonts w:ascii="Arial" w:hAnsi="Arial" w:cs="Arial"/>
          <w:sz w:val="20"/>
        </w:rPr>
        <w:t>ills. In some instances, an extra round of consultation with some parts of TLAB around April/May.</w:t>
      </w:r>
    </w:p>
    <w:p w:rsidR="00762170" w:rsidRPr="00EB1DA3" w:rsidRDefault="002D15E2" w:rsidP="00EB1DA3">
      <w:pPr>
        <w:pStyle w:val="Heading2"/>
        <w:numPr>
          <w:ilvl w:val="0"/>
          <w:numId w:val="0"/>
        </w:numPr>
        <w:spacing w:before="0" w:line="240" w:lineRule="auto"/>
        <w:ind w:left="576" w:hanging="576"/>
        <w:rPr>
          <w:rFonts w:ascii="Arial" w:hAnsi="Arial" w:cs="Arial"/>
          <w:sz w:val="20"/>
        </w:rPr>
      </w:pPr>
      <w:r w:rsidRPr="00EB1DA3">
        <w:rPr>
          <w:rFonts w:ascii="Arial" w:hAnsi="Arial" w:cs="Arial"/>
          <w:sz w:val="20"/>
        </w:rPr>
        <w:t>Expenditure</w:t>
      </w:r>
      <w:r w:rsidR="004E22BB" w:rsidRPr="00EB1DA3">
        <w:rPr>
          <w:rFonts w:ascii="Arial" w:hAnsi="Arial" w:cs="Arial"/>
          <w:sz w:val="20"/>
        </w:rPr>
        <w:t>, debt, deficit and borrowing</w:t>
      </w:r>
      <w:r w:rsidRPr="00EB1DA3">
        <w:rPr>
          <w:rFonts w:ascii="Arial" w:hAnsi="Arial" w:cs="Arial"/>
          <w:sz w:val="20"/>
        </w:rPr>
        <w:t xml:space="preserve"> issues</w:t>
      </w:r>
      <w:r w:rsidR="00DE4F0F" w:rsidRPr="00EB1DA3">
        <w:rPr>
          <w:rFonts w:ascii="Arial" w:hAnsi="Arial" w:cs="Arial"/>
          <w:sz w:val="20"/>
        </w:rPr>
        <w:t xml:space="preserve"> </w:t>
      </w:r>
      <w:r w:rsidR="00A3754A" w:rsidRPr="00EB1DA3">
        <w:rPr>
          <w:rFonts w:ascii="Arial" w:hAnsi="Arial" w:cs="Arial"/>
          <w:sz w:val="20"/>
        </w:rPr>
        <w:t xml:space="preserve"> </w:t>
      </w:r>
    </w:p>
    <w:p w:rsidR="0019271D" w:rsidRPr="00EB1DA3" w:rsidRDefault="0019271D" w:rsidP="00EB1DA3">
      <w:pPr>
        <w:pStyle w:val="Heading3"/>
        <w:spacing w:before="0" w:line="240" w:lineRule="auto"/>
        <w:rPr>
          <w:rFonts w:ascii="Arial" w:hAnsi="Arial" w:cs="Arial"/>
          <w:sz w:val="20"/>
          <w:u w:val="none"/>
        </w:rPr>
      </w:pPr>
      <w:r w:rsidRPr="00EB1DA3">
        <w:rPr>
          <w:rFonts w:ascii="Arial" w:hAnsi="Arial" w:cs="Arial"/>
          <w:sz w:val="20"/>
          <w:u w:val="none"/>
        </w:rPr>
        <w:t>Comments and issues raised by the stakeholders</w:t>
      </w:r>
      <w:r w:rsidR="00C7140A" w:rsidRPr="00EB1DA3">
        <w:rPr>
          <w:rFonts w:ascii="Arial" w:hAnsi="Arial" w:cs="Arial"/>
          <w:sz w:val="20"/>
          <w:u w:val="none"/>
        </w:rPr>
        <w:t xml:space="preserve"> on expenditure </w:t>
      </w:r>
      <w:r w:rsidR="00732D11" w:rsidRPr="00EB1DA3">
        <w:rPr>
          <w:rFonts w:ascii="Arial" w:hAnsi="Arial" w:cs="Arial"/>
          <w:sz w:val="20"/>
          <w:u w:val="none"/>
        </w:rPr>
        <w:t>and debt issues</w:t>
      </w:r>
    </w:p>
    <w:p w:rsidR="004E22BB" w:rsidRPr="00EB1DA3" w:rsidRDefault="004E22BB" w:rsidP="00EB1DA3">
      <w:pPr>
        <w:rPr>
          <w:rFonts w:ascii="Arial" w:hAnsi="Arial" w:cs="Arial"/>
          <w:sz w:val="20"/>
        </w:rPr>
      </w:pPr>
      <w:r w:rsidRPr="00EB1DA3">
        <w:rPr>
          <w:rFonts w:ascii="Arial" w:hAnsi="Arial" w:cs="Arial"/>
          <w:sz w:val="20"/>
        </w:rPr>
        <w:t>SAICA raised concerns that, together with various unbudgeted expenses, increased debt service costs on foreign loans and the war in Ukraine will have a collective impact on the debt borrowing estimations, indicating that the current levels disclosed i</w:t>
      </w:r>
      <w:r w:rsidR="0047725D" w:rsidRPr="00EB1DA3">
        <w:rPr>
          <w:rFonts w:ascii="Arial" w:hAnsi="Arial" w:cs="Arial"/>
          <w:sz w:val="20"/>
        </w:rPr>
        <w:t>n the budget are not credible. SAICA</w:t>
      </w:r>
      <w:r w:rsidRPr="00EB1DA3">
        <w:rPr>
          <w:rFonts w:ascii="Arial" w:hAnsi="Arial" w:cs="Arial"/>
          <w:sz w:val="20"/>
        </w:rPr>
        <w:t xml:space="preserve"> said that this concern is affirmed by the upward trend of debt level estimations in the last 12 years</w:t>
      </w:r>
      <w:r w:rsidR="000D2436" w:rsidRPr="00EB1DA3">
        <w:rPr>
          <w:rFonts w:ascii="Arial" w:hAnsi="Arial" w:cs="Arial"/>
          <w:sz w:val="20"/>
        </w:rPr>
        <w:t>,</w:t>
      </w:r>
      <w:r w:rsidRPr="00EB1DA3">
        <w:rPr>
          <w:rFonts w:ascii="Arial" w:hAnsi="Arial" w:cs="Arial"/>
          <w:sz w:val="20"/>
        </w:rPr>
        <w:t xml:space="preserve"> notwithstanding estimations of a reduction or stabilisation in various medium-term audit opinions reported on in the Au</w:t>
      </w:r>
      <w:r w:rsidR="0047725D" w:rsidRPr="00EB1DA3">
        <w:rPr>
          <w:rFonts w:ascii="Arial" w:hAnsi="Arial" w:cs="Arial"/>
          <w:sz w:val="20"/>
        </w:rPr>
        <w:t xml:space="preserve">ditor General </w:t>
      </w:r>
      <w:r w:rsidR="000D2436" w:rsidRPr="00EB1DA3">
        <w:rPr>
          <w:rFonts w:ascii="Arial" w:hAnsi="Arial" w:cs="Arial"/>
          <w:sz w:val="20"/>
        </w:rPr>
        <w:t>r</w:t>
      </w:r>
      <w:r w:rsidR="0047725D" w:rsidRPr="00EB1DA3">
        <w:rPr>
          <w:rFonts w:ascii="Arial" w:hAnsi="Arial" w:cs="Arial"/>
          <w:sz w:val="20"/>
        </w:rPr>
        <w:t xml:space="preserve">eports. </w:t>
      </w:r>
      <w:r w:rsidR="000D2436" w:rsidRPr="00EB1DA3">
        <w:rPr>
          <w:rFonts w:ascii="Arial" w:hAnsi="Arial" w:cs="Arial"/>
          <w:sz w:val="20"/>
        </w:rPr>
        <w:t>It said that t</w:t>
      </w:r>
      <w:r w:rsidR="0047725D" w:rsidRPr="00EB1DA3">
        <w:rPr>
          <w:rFonts w:ascii="Arial" w:hAnsi="Arial" w:cs="Arial"/>
          <w:sz w:val="20"/>
        </w:rPr>
        <w:t>hese reflect</w:t>
      </w:r>
      <w:r w:rsidRPr="00EB1DA3">
        <w:rPr>
          <w:rFonts w:ascii="Arial" w:hAnsi="Arial" w:cs="Arial"/>
          <w:sz w:val="20"/>
        </w:rPr>
        <w:t xml:space="preserve"> </w:t>
      </w:r>
      <w:r w:rsidR="0047725D" w:rsidRPr="00EB1DA3">
        <w:rPr>
          <w:rFonts w:ascii="Arial" w:hAnsi="Arial" w:cs="Arial"/>
          <w:sz w:val="20"/>
        </w:rPr>
        <w:t xml:space="preserve">a </w:t>
      </w:r>
      <w:r w:rsidRPr="00EB1DA3">
        <w:rPr>
          <w:rFonts w:ascii="Arial" w:hAnsi="Arial" w:cs="Arial"/>
          <w:sz w:val="20"/>
        </w:rPr>
        <w:t>lack of consistent and transparent treasury control interventions by NT, as well as the lack of performance by various depart</w:t>
      </w:r>
      <w:r w:rsidR="00640740" w:rsidRPr="00EB1DA3">
        <w:rPr>
          <w:rFonts w:ascii="Arial" w:hAnsi="Arial" w:cs="Arial"/>
          <w:sz w:val="20"/>
        </w:rPr>
        <w:t>ments as is disclosed in their individual departmental</w:t>
      </w:r>
      <w:r w:rsidRPr="00EB1DA3">
        <w:rPr>
          <w:rFonts w:ascii="Arial" w:hAnsi="Arial" w:cs="Arial"/>
          <w:sz w:val="20"/>
        </w:rPr>
        <w:t xml:space="preserve"> </w:t>
      </w:r>
      <w:r w:rsidR="00640740" w:rsidRPr="00EB1DA3">
        <w:rPr>
          <w:rFonts w:ascii="Arial" w:hAnsi="Arial" w:cs="Arial"/>
          <w:sz w:val="20"/>
        </w:rPr>
        <w:t>annual performance p</w:t>
      </w:r>
      <w:r w:rsidRPr="00EB1DA3">
        <w:rPr>
          <w:rFonts w:ascii="Arial" w:hAnsi="Arial" w:cs="Arial"/>
          <w:sz w:val="20"/>
        </w:rPr>
        <w:t>lans.</w:t>
      </w:r>
    </w:p>
    <w:p w:rsidR="004E22BB" w:rsidRPr="00EB1DA3" w:rsidRDefault="004E22BB" w:rsidP="00EB1DA3">
      <w:pPr>
        <w:rPr>
          <w:rFonts w:ascii="Arial" w:hAnsi="Arial" w:cs="Arial"/>
          <w:sz w:val="20"/>
        </w:rPr>
      </w:pPr>
      <w:r w:rsidRPr="00EB1DA3">
        <w:rPr>
          <w:rFonts w:ascii="Arial" w:hAnsi="Arial" w:cs="Arial"/>
          <w:sz w:val="20"/>
        </w:rPr>
        <w:t xml:space="preserve">The </w:t>
      </w:r>
      <w:r w:rsidR="00640740" w:rsidRPr="00EB1DA3">
        <w:rPr>
          <w:rFonts w:ascii="Arial" w:hAnsi="Arial" w:cs="Arial"/>
          <w:sz w:val="20"/>
        </w:rPr>
        <w:t>FFC welcomed</w:t>
      </w:r>
      <w:r w:rsidRPr="00EB1DA3">
        <w:rPr>
          <w:rFonts w:ascii="Arial" w:hAnsi="Arial" w:cs="Arial"/>
          <w:sz w:val="20"/>
        </w:rPr>
        <w:t xml:space="preserve"> the government’s decision to use a portion of the revenue windfall to lower the gross borrowing requirement and redu</w:t>
      </w:r>
      <w:r w:rsidR="00464EA6" w:rsidRPr="00EB1DA3">
        <w:rPr>
          <w:rFonts w:ascii="Arial" w:hAnsi="Arial" w:cs="Arial"/>
          <w:sz w:val="20"/>
        </w:rPr>
        <w:t xml:space="preserve">ce debt issuances. However, </w:t>
      </w:r>
      <w:r w:rsidR="00640740" w:rsidRPr="00EB1DA3">
        <w:rPr>
          <w:rFonts w:ascii="Arial" w:hAnsi="Arial" w:cs="Arial"/>
          <w:sz w:val="20"/>
        </w:rPr>
        <w:t>it cautioned</w:t>
      </w:r>
      <w:r w:rsidRPr="00EB1DA3">
        <w:rPr>
          <w:rFonts w:ascii="Arial" w:hAnsi="Arial" w:cs="Arial"/>
          <w:sz w:val="20"/>
        </w:rPr>
        <w:t xml:space="preserve"> that debt stabilisation risks remain elevated and pose</w:t>
      </w:r>
      <w:r w:rsidR="00640740" w:rsidRPr="00EB1DA3">
        <w:rPr>
          <w:rFonts w:ascii="Arial" w:hAnsi="Arial" w:cs="Arial"/>
          <w:sz w:val="20"/>
        </w:rPr>
        <w:t>d</w:t>
      </w:r>
      <w:r w:rsidRPr="00EB1DA3">
        <w:rPr>
          <w:rFonts w:ascii="Arial" w:hAnsi="Arial" w:cs="Arial"/>
          <w:sz w:val="20"/>
        </w:rPr>
        <w:t xml:space="preserve"> significant challenges to public finances. </w:t>
      </w:r>
    </w:p>
    <w:p w:rsidR="004E22BB" w:rsidRPr="00EB1DA3" w:rsidRDefault="00640740" w:rsidP="00EB1DA3">
      <w:pPr>
        <w:rPr>
          <w:rFonts w:ascii="Arial" w:hAnsi="Arial" w:cs="Arial"/>
          <w:sz w:val="20"/>
        </w:rPr>
      </w:pPr>
      <w:r w:rsidRPr="00EB1DA3">
        <w:rPr>
          <w:rFonts w:ascii="Arial" w:hAnsi="Arial" w:cs="Arial"/>
          <w:sz w:val="20"/>
        </w:rPr>
        <w:t>COSATU agreed</w:t>
      </w:r>
      <w:r w:rsidR="004E22BB" w:rsidRPr="00EB1DA3">
        <w:rPr>
          <w:rFonts w:ascii="Arial" w:hAnsi="Arial" w:cs="Arial"/>
          <w:sz w:val="20"/>
        </w:rPr>
        <w:t xml:space="preserve"> that the public debt needs to be brought under control but it cannot be the sole focal point for Budget</w:t>
      </w:r>
      <w:r w:rsidRPr="00EB1DA3">
        <w:rPr>
          <w:rFonts w:ascii="Arial" w:hAnsi="Arial" w:cs="Arial"/>
          <w:sz w:val="20"/>
        </w:rPr>
        <w:t xml:space="preserve"> 2022</w:t>
      </w:r>
      <w:r w:rsidR="004E22BB" w:rsidRPr="00EB1DA3">
        <w:rPr>
          <w:rFonts w:ascii="Arial" w:hAnsi="Arial" w:cs="Arial"/>
          <w:sz w:val="20"/>
        </w:rPr>
        <w:t>.  It cautioned that an austerity only approach will further weaken the state’s capacity to provide quality public services, extend solidarity to the poor, rebuild the state and grow the economy.</w:t>
      </w:r>
    </w:p>
    <w:p w:rsidR="004E22BB" w:rsidRPr="00EB1DA3" w:rsidRDefault="004E22BB" w:rsidP="00EB1DA3">
      <w:pPr>
        <w:pStyle w:val="Default"/>
        <w:rPr>
          <w:sz w:val="20"/>
          <w:szCs w:val="20"/>
          <w:lang w:eastAsia="en-GB"/>
        </w:rPr>
      </w:pPr>
      <w:r w:rsidRPr="00EB1DA3">
        <w:rPr>
          <w:sz w:val="20"/>
          <w:szCs w:val="20"/>
          <w:lang w:eastAsia="en-GB"/>
        </w:rPr>
        <w:lastRenderedPageBreak/>
        <w:t>IEJ raised concerns that debt stabilisation outlined</w:t>
      </w:r>
      <w:r w:rsidR="00640740" w:rsidRPr="00EB1DA3">
        <w:rPr>
          <w:sz w:val="20"/>
          <w:szCs w:val="20"/>
          <w:lang w:eastAsia="en-GB"/>
        </w:rPr>
        <w:t xml:space="preserve"> in the fiscal framework appeared</w:t>
      </w:r>
      <w:r w:rsidRPr="00EB1DA3">
        <w:rPr>
          <w:sz w:val="20"/>
          <w:szCs w:val="20"/>
          <w:lang w:eastAsia="en-GB"/>
        </w:rPr>
        <w:t xml:space="preserve"> to be occurring at the expense of public services. It noted that the government had set its sights on achieving a budget surplus by 2024/25 but now, the forecast date has been brought forward to a year earlier, in 2023/24. It</w:t>
      </w:r>
      <w:r w:rsidR="00640740" w:rsidRPr="00EB1DA3">
        <w:rPr>
          <w:sz w:val="20"/>
          <w:szCs w:val="20"/>
          <w:lang w:eastAsia="en-GB"/>
        </w:rPr>
        <w:t xml:space="preserve"> said its view wa</w:t>
      </w:r>
      <w:r w:rsidRPr="00EB1DA3">
        <w:rPr>
          <w:sz w:val="20"/>
          <w:szCs w:val="20"/>
          <w:lang w:eastAsia="en-GB"/>
        </w:rPr>
        <w:t xml:space="preserve">s that there can be no rationale for such speed towards this target when it comes at the expense of protecting and assisting people who are vulnerable or investing in the economy and public services. A further concern is that despite the increase in the population and inflation of 4.8 per cent, overall </w:t>
      </w:r>
      <w:r w:rsidR="00640740" w:rsidRPr="00EB1DA3">
        <w:rPr>
          <w:sz w:val="20"/>
          <w:szCs w:val="20"/>
          <w:lang w:eastAsia="en-GB"/>
        </w:rPr>
        <w:t>non-interest expenditure remained</w:t>
      </w:r>
      <w:r w:rsidRPr="00EB1DA3">
        <w:rPr>
          <w:sz w:val="20"/>
          <w:szCs w:val="20"/>
          <w:lang w:eastAsia="en-GB"/>
        </w:rPr>
        <w:t xml:space="preserve"> stagnant at </w:t>
      </w:r>
      <w:r w:rsidR="008A09A6" w:rsidRPr="00EB1DA3">
        <w:rPr>
          <w:sz w:val="20"/>
          <w:szCs w:val="20"/>
          <w:lang w:eastAsia="en-GB"/>
        </w:rPr>
        <w:t>no annual increases</w:t>
      </w:r>
      <w:r w:rsidRPr="00EB1DA3">
        <w:rPr>
          <w:sz w:val="20"/>
          <w:szCs w:val="20"/>
          <w:lang w:eastAsia="en-GB"/>
        </w:rPr>
        <w:t xml:space="preserve"> over the medium-term.</w:t>
      </w:r>
    </w:p>
    <w:p w:rsidR="004E22BB" w:rsidRPr="00EB1DA3" w:rsidRDefault="004E22BB" w:rsidP="00EB1DA3">
      <w:pPr>
        <w:rPr>
          <w:rStyle w:val="markedcontent"/>
          <w:rFonts w:ascii="Arial" w:hAnsi="Arial" w:cs="Arial"/>
          <w:sz w:val="20"/>
        </w:rPr>
      </w:pPr>
      <w:r w:rsidRPr="00EB1DA3">
        <w:rPr>
          <w:rStyle w:val="markedcontent"/>
          <w:rFonts w:ascii="Arial" w:hAnsi="Arial" w:cs="Arial"/>
          <w:sz w:val="20"/>
        </w:rPr>
        <w:t xml:space="preserve">PBO said that the analysis of the functional budget structure over the years shows the effect of the high proportion spent on debt-service </w:t>
      </w:r>
      <w:r w:rsidR="00640740" w:rsidRPr="00EB1DA3">
        <w:rPr>
          <w:rStyle w:val="markedcontent"/>
          <w:rFonts w:ascii="Arial" w:hAnsi="Arial" w:cs="Arial"/>
          <w:sz w:val="20"/>
        </w:rPr>
        <w:t xml:space="preserve">costs than </w:t>
      </w:r>
      <w:r w:rsidRPr="00EB1DA3">
        <w:rPr>
          <w:rStyle w:val="markedcontent"/>
          <w:rFonts w:ascii="Arial" w:hAnsi="Arial" w:cs="Arial"/>
          <w:sz w:val="20"/>
        </w:rPr>
        <w:t xml:space="preserve">on the other functions provided by </w:t>
      </w:r>
      <w:r w:rsidR="000159B3" w:rsidRPr="00EB1DA3">
        <w:rPr>
          <w:rStyle w:val="markedcontent"/>
          <w:rFonts w:ascii="Arial" w:hAnsi="Arial" w:cs="Arial"/>
          <w:sz w:val="20"/>
        </w:rPr>
        <w:t xml:space="preserve">the </w:t>
      </w:r>
      <w:r w:rsidRPr="00EB1DA3">
        <w:rPr>
          <w:rStyle w:val="markedcontent"/>
          <w:rFonts w:ascii="Arial" w:hAnsi="Arial" w:cs="Arial"/>
          <w:sz w:val="20"/>
        </w:rPr>
        <w:t>government. It said that the analysis of the proportions of government spending on the economic sectors of government spending shows a shift away from current expenditure towards capital expenditure</w:t>
      </w:r>
      <w:r w:rsidRPr="00EB1DA3">
        <w:rPr>
          <w:rFonts w:ascii="Arial" w:hAnsi="Arial" w:cs="Arial"/>
          <w:sz w:val="20"/>
        </w:rPr>
        <w:t>. PBO submitted that a</w:t>
      </w:r>
      <w:r w:rsidRPr="00EB1DA3">
        <w:rPr>
          <w:rStyle w:val="markedcontent"/>
          <w:rFonts w:ascii="Arial" w:hAnsi="Arial" w:cs="Arial"/>
          <w:sz w:val="20"/>
        </w:rPr>
        <w:t xml:space="preserve"> budget surplus and lower debt levels do not mean increased macroeconomic stability</w:t>
      </w:r>
      <w:r w:rsidRPr="00EB1DA3">
        <w:rPr>
          <w:rFonts w:ascii="Arial" w:hAnsi="Arial" w:cs="Arial"/>
          <w:sz w:val="20"/>
        </w:rPr>
        <w:t xml:space="preserve"> </w:t>
      </w:r>
      <w:r w:rsidRPr="00EB1DA3">
        <w:rPr>
          <w:rStyle w:val="markedcontent"/>
          <w:rFonts w:ascii="Arial" w:hAnsi="Arial" w:cs="Arial"/>
          <w:sz w:val="20"/>
        </w:rPr>
        <w:t>and growth in business confidence, particularly given the severity of the triple crisis in South Africa.</w:t>
      </w:r>
    </w:p>
    <w:p w:rsidR="004E22BB" w:rsidRPr="00EB1DA3" w:rsidRDefault="004E22BB" w:rsidP="00EB1DA3">
      <w:pPr>
        <w:pStyle w:val="Default"/>
        <w:rPr>
          <w:sz w:val="20"/>
          <w:szCs w:val="20"/>
          <w:lang w:eastAsia="en-GB"/>
        </w:rPr>
      </w:pPr>
      <w:r w:rsidRPr="00EB1DA3">
        <w:rPr>
          <w:sz w:val="20"/>
          <w:szCs w:val="20"/>
        </w:rPr>
        <w:t xml:space="preserve">SAICA </w:t>
      </w:r>
      <w:r w:rsidR="00640740" w:rsidRPr="00EB1DA3">
        <w:rPr>
          <w:sz w:val="20"/>
          <w:szCs w:val="20"/>
        </w:rPr>
        <w:t xml:space="preserve">stated that </w:t>
      </w:r>
      <w:r w:rsidRPr="00EB1DA3">
        <w:rPr>
          <w:bCs/>
          <w:sz w:val="20"/>
          <w:szCs w:val="20"/>
        </w:rPr>
        <w:t>a</w:t>
      </w:r>
      <w:r w:rsidRPr="00EB1DA3">
        <w:rPr>
          <w:sz w:val="20"/>
          <w:szCs w:val="20"/>
        </w:rPr>
        <w:t xml:space="preserve"> contingency reserve is meant to provide for and be utilised for </w:t>
      </w:r>
      <w:r w:rsidRPr="00EB1DA3">
        <w:rPr>
          <w:bCs/>
          <w:sz w:val="20"/>
          <w:szCs w:val="20"/>
        </w:rPr>
        <w:t xml:space="preserve">unforeseen emergencies </w:t>
      </w:r>
      <w:r w:rsidRPr="00EB1DA3">
        <w:rPr>
          <w:sz w:val="20"/>
          <w:szCs w:val="20"/>
        </w:rPr>
        <w:t>such as natural disasters or pandemics</w:t>
      </w:r>
      <w:r w:rsidRPr="00EB1DA3">
        <w:rPr>
          <w:bCs/>
          <w:sz w:val="20"/>
          <w:szCs w:val="20"/>
        </w:rPr>
        <w:t xml:space="preserve">. However, it observed </w:t>
      </w:r>
      <w:r w:rsidRPr="00EB1DA3">
        <w:rPr>
          <w:sz w:val="20"/>
          <w:szCs w:val="20"/>
        </w:rPr>
        <w:t xml:space="preserve">a worrying trend where the contingency reserve is being utilised by NT as a “suspense account” where </w:t>
      </w:r>
      <w:r w:rsidRPr="00EB1DA3">
        <w:rPr>
          <w:bCs/>
          <w:sz w:val="20"/>
          <w:szCs w:val="20"/>
        </w:rPr>
        <w:t xml:space="preserve">foreseen expenditure </w:t>
      </w:r>
      <w:r w:rsidRPr="00EB1DA3">
        <w:rPr>
          <w:sz w:val="20"/>
          <w:szCs w:val="20"/>
        </w:rPr>
        <w:t xml:space="preserve">that NT wants to keep as conditional grants are budgeted in the contingency reserve. This happened with provisions for </w:t>
      </w:r>
      <w:r w:rsidR="00DC669C" w:rsidRPr="00EB1DA3">
        <w:rPr>
          <w:sz w:val="20"/>
          <w:szCs w:val="20"/>
        </w:rPr>
        <w:t>South African Airways (</w:t>
      </w:r>
      <w:r w:rsidRPr="00EB1DA3">
        <w:rPr>
          <w:sz w:val="20"/>
          <w:szCs w:val="20"/>
        </w:rPr>
        <w:t>SAA</w:t>
      </w:r>
      <w:r w:rsidR="00DC669C" w:rsidRPr="00EB1DA3">
        <w:rPr>
          <w:sz w:val="20"/>
          <w:szCs w:val="20"/>
        </w:rPr>
        <w:t>)</w:t>
      </w:r>
      <w:r w:rsidRPr="00EB1DA3">
        <w:rPr>
          <w:sz w:val="20"/>
          <w:szCs w:val="20"/>
        </w:rPr>
        <w:t xml:space="preserve"> and now </w:t>
      </w:r>
      <w:r w:rsidR="00640740" w:rsidRPr="00EB1DA3">
        <w:rPr>
          <w:sz w:val="20"/>
          <w:szCs w:val="20"/>
        </w:rPr>
        <w:t xml:space="preserve">the </w:t>
      </w:r>
      <w:r w:rsidRPr="00EB1DA3">
        <w:rPr>
          <w:sz w:val="20"/>
          <w:szCs w:val="20"/>
        </w:rPr>
        <w:t xml:space="preserve">R5 billion for the Land Bank, SAICA further noted.  </w:t>
      </w:r>
    </w:p>
    <w:p w:rsidR="004E22BB" w:rsidRPr="00EB1DA3" w:rsidRDefault="004E22BB" w:rsidP="00EB1DA3">
      <w:pPr>
        <w:rPr>
          <w:rFonts w:ascii="Arial" w:hAnsi="Arial" w:cs="Arial"/>
          <w:sz w:val="20"/>
        </w:rPr>
      </w:pPr>
      <w:r w:rsidRPr="00EB1DA3">
        <w:rPr>
          <w:rFonts w:ascii="Arial" w:hAnsi="Arial" w:cs="Arial"/>
          <w:sz w:val="20"/>
        </w:rPr>
        <w:t xml:space="preserve">FCSG submitted that South Africa has been running historically large budget deficits </w:t>
      </w:r>
      <w:r w:rsidR="006E4CDC" w:rsidRPr="00EB1DA3">
        <w:rPr>
          <w:rFonts w:ascii="Arial" w:hAnsi="Arial" w:cs="Arial"/>
          <w:sz w:val="20"/>
        </w:rPr>
        <w:t>in</w:t>
      </w:r>
      <w:r w:rsidRPr="00EB1DA3">
        <w:rPr>
          <w:rFonts w:ascii="Arial" w:hAnsi="Arial" w:cs="Arial"/>
          <w:sz w:val="20"/>
        </w:rPr>
        <w:t xml:space="preserve"> the last 15 years. It noted that this started with the countercyclical fiscal stimulus introduced in the 2009 Budget in response to the 2008/09 global financial crisis but seems to have become entrenched in the fiscal framework.  It highlighted that </w:t>
      </w:r>
      <w:r w:rsidRPr="00EB1DA3">
        <w:rPr>
          <w:rFonts w:ascii="Arial" w:hAnsi="Arial" w:cs="Arial"/>
          <w:sz w:val="20"/>
          <w:lang w:val="en-ZA" w:eastAsia="en-GB"/>
        </w:rPr>
        <w:t>the budget deficit of 10 per cent of GDP in 2020/21 is one of the largest on record and that expenditure and debt continue to grow at 3.2 per cent and 9.5 per cent, respectively.  Also, social grant beneficiaries are expected to increase by more than a million over the medium term and the special grant will be extended for another year. According to the FSCG, all of this is evidence of a highly expansionary fiscal stance</w:t>
      </w:r>
      <w:r w:rsidRPr="00EB1DA3">
        <w:rPr>
          <w:rFonts w:ascii="Arial" w:hAnsi="Arial" w:cs="Arial"/>
          <w:sz w:val="20"/>
        </w:rPr>
        <w:t xml:space="preserve"> and that the </w:t>
      </w:r>
      <w:r w:rsidRPr="00EB1DA3">
        <w:rPr>
          <w:rFonts w:ascii="Arial" w:hAnsi="Arial" w:cs="Arial"/>
          <w:sz w:val="20"/>
          <w:lang w:val="en-ZA" w:eastAsia="en-GB"/>
        </w:rPr>
        <w:t xml:space="preserve">reality is that South Africa has reached its fiscal cliff; thus ironically making it </w:t>
      </w:r>
      <w:r w:rsidRPr="00EB1DA3">
        <w:rPr>
          <w:rFonts w:ascii="Arial" w:hAnsi="Arial" w:cs="Arial"/>
          <w:iCs/>
          <w:sz w:val="20"/>
          <w:lang w:val="en-ZA" w:eastAsia="en-GB"/>
        </w:rPr>
        <w:t xml:space="preserve">appear </w:t>
      </w:r>
      <w:r w:rsidRPr="00EB1DA3">
        <w:rPr>
          <w:rFonts w:ascii="Arial" w:hAnsi="Arial" w:cs="Arial"/>
          <w:sz w:val="20"/>
          <w:lang w:val="en-ZA" w:eastAsia="en-GB"/>
        </w:rPr>
        <w:t>as if certain measures similar to austerity are being implemented. It emphasised that this is not an austerity budget, given the size of sustained deficits.</w:t>
      </w:r>
    </w:p>
    <w:p w:rsidR="004E22BB" w:rsidRPr="00EB1DA3" w:rsidRDefault="004E22BB" w:rsidP="00EB1DA3">
      <w:pPr>
        <w:rPr>
          <w:rFonts w:ascii="Arial" w:hAnsi="Arial" w:cs="Arial"/>
          <w:sz w:val="20"/>
        </w:rPr>
      </w:pPr>
      <w:r w:rsidRPr="00EB1DA3">
        <w:rPr>
          <w:rFonts w:ascii="Arial" w:hAnsi="Arial" w:cs="Arial"/>
          <w:sz w:val="20"/>
        </w:rPr>
        <w:t xml:space="preserve">FCSG </w:t>
      </w:r>
      <w:r w:rsidR="00640740" w:rsidRPr="00EB1DA3">
        <w:rPr>
          <w:rFonts w:ascii="Arial" w:hAnsi="Arial" w:cs="Arial"/>
          <w:sz w:val="20"/>
        </w:rPr>
        <w:t xml:space="preserve">submitted </w:t>
      </w:r>
      <w:r w:rsidRPr="00EB1DA3">
        <w:rPr>
          <w:rFonts w:ascii="Arial" w:hAnsi="Arial" w:cs="Arial"/>
          <w:sz w:val="20"/>
        </w:rPr>
        <w:t xml:space="preserve">that based on the 2020 MTBPS figures, South Africa </w:t>
      </w:r>
      <w:r w:rsidR="00640740" w:rsidRPr="00EB1DA3">
        <w:rPr>
          <w:rFonts w:ascii="Arial" w:hAnsi="Arial" w:cs="Arial"/>
          <w:sz w:val="20"/>
        </w:rPr>
        <w:t xml:space="preserve">had reached its </w:t>
      </w:r>
      <w:r w:rsidRPr="00EB1DA3">
        <w:rPr>
          <w:rFonts w:ascii="Arial" w:hAnsi="Arial" w:cs="Arial"/>
          <w:sz w:val="20"/>
        </w:rPr>
        <w:t xml:space="preserve">fiscal cliff, as the sum of the three expenditure items amounted to more than 100 per cent of </w:t>
      </w:r>
      <w:r w:rsidR="00640740" w:rsidRPr="00EB1DA3">
        <w:rPr>
          <w:rFonts w:ascii="Arial" w:hAnsi="Arial" w:cs="Arial"/>
          <w:sz w:val="20"/>
        </w:rPr>
        <w:t xml:space="preserve">the country’s </w:t>
      </w:r>
      <w:r w:rsidRPr="00EB1DA3">
        <w:rPr>
          <w:rFonts w:ascii="Arial" w:hAnsi="Arial" w:cs="Arial"/>
          <w:sz w:val="20"/>
        </w:rPr>
        <w:t>tax revenue</w:t>
      </w:r>
      <w:r w:rsidR="00640740" w:rsidRPr="00EB1DA3">
        <w:rPr>
          <w:rFonts w:ascii="Arial" w:hAnsi="Arial" w:cs="Arial"/>
          <w:sz w:val="20"/>
        </w:rPr>
        <w:t>s</w:t>
      </w:r>
      <w:r w:rsidRPr="00EB1DA3">
        <w:rPr>
          <w:rFonts w:ascii="Arial" w:hAnsi="Arial" w:cs="Arial"/>
          <w:sz w:val="20"/>
        </w:rPr>
        <w:t xml:space="preserve">. </w:t>
      </w:r>
      <w:r w:rsidR="00640740" w:rsidRPr="00EB1DA3">
        <w:rPr>
          <w:rFonts w:ascii="Arial" w:hAnsi="Arial" w:cs="Arial"/>
          <w:sz w:val="20"/>
        </w:rPr>
        <w:t>It said that t</w:t>
      </w:r>
      <w:r w:rsidRPr="00EB1DA3">
        <w:rPr>
          <w:rFonts w:ascii="Arial" w:hAnsi="Arial" w:cs="Arial"/>
          <w:sz w:val="20"/>
        </w:rPr>
        <w:t>he 2021 and 2022 Budgets</w:t>
      </w:r>
      <w:r w:rsidR="00640740" w:rsidRPr="00EB1DA3">
        <w:rPr>
          <w:rFonts w:ascii="Arial" w:hAnsi="Arial" w:cs="Arial"/>
          <w:sz w:val="20"/>
        </w:rPr>
        <w:t xml:space="preserve"> have </w:t>
      </w:r>
      <w:r w:rsidRPr="00EB1DA3">
        <w:rPr>
          <w:rFonts w:ascii="Arial" w:hAnsi="Arial" w:cs="Arial"/>
          <w:sz w:val="20"/>
        </w:rPr>
        <w:t>however show</w:t>
      </w:r>
      <w:r w:rsidR="00640740" w:rsidRPr="00EB1DA3">
        <w:rPr>
          <w:rFonts w:ascii="Arial" w:hAnsi="Arial" w:cs="Arial"/>
          <w:sz w:val="20"/>
        </w:rPr>
        <w:t>n</w:t>
      </w:r>
      <w:r w:rsidRPr="00EB1DA3">
        <w:rPr>
          <w:rFonts w:ascii="Arial" w:hAnsi="Arial" w:cs="Arial"/>
          <w:sz w:val="20"/>
        </w:rPr>
        <w:t xml:space="preserve"> some improvement, as the ratio decreased to around 91 per cent and 74.7 per cent, respectively. It was also noted that a major reason for the improvement is the revenue ‘windfall’ during 2021/22, likely a ‘once off’ event. FCSG said that its projections indicate </w:t>
      </w:r>
      <w:r w:rsidR="00640740" w:rsidRPr="00EB1DA3">
        <w:rPr>
          <w:rFonts w:ascii="Arial" w:hAnsi="Arial" w:cs="Arial"/>
          <w:sz w:val="20"/>
        </w:rPr>
        <w:t xml:space="preserve">that there will be </w:t>
      </w:r>
      <w:r w:rsidRPr="00EB1DA3">
        <w:rPr>
          <w:rFonts w:ascii="Arial" w:hAnsi="Arial" w:cs="Arial"/>
          <w:sz w:val="20"/>
        </w:rPr>
        <w:t>further deterioration in the fiscal cliff barometer, following the medium-term budget estimates.</w:t>
      </w:r>
    </w:p>
    <w:p w:rsidR="00751F01" w:rsidRPr="00EB1DA3" w:rsidRDefault="0019788A" w:rsidP="00EB1DA3">
      <w:pPr>
        <w:rPr>
          <w:rFonts w:ascii="Arial" w:hAnsi="Arial" w:cs="Arial"/>
          <w:sz w:val="20"/>
        </w:rPr>
      </w:pPr>
      <w:r w:rsidRPr="00EB1DA3">
        <w:rPr>
          <w:rFonts w:ascii="Arial" w:hAnsi="Arial" w:cs="Arial"/>
          <w:sz w:val="20"/>
        </w:rPr>
        <w:t xml:space="preserve">SAICA </w:t>
      </w:r>
      <w:r w:rsidR="001D014E" w:rsidRPr="00EB1DA3">
        <w:rPr>
          <w:rFonts w:ascii="Arial" w:hAnsi="Arial" w:cs="Arial"/>
          <w:sz w:val="20"/>
        </w:rPr>
        <w:t>noted an admission</w:t>
      </w:r>
      <w:r w:rsidRPr="00EB1DA3">
        <w:rPr>
          <w:rFonts w:ascii="Arial" w:hAnsi="Arial" w:cs="Arial"/>
          <w:sz w:val="20"/>
        </w:rPr>
        <w:t xml:space="preserve"> in the </w:t>
      </w:r>
      <w:r w:rsidR="001D014E" w:rsidRPr="00EB1DA3">
        <w:rPr>
          <w:rFonts w:ascii="Arial" w:hAnsi="Arial" w:cs="Arial"/>
          <w:sz w:val="20"/>
        </w:rPr>
        <w:t xml:space="preserve">2022 </w:t>
      </w:r>
      <w:r w:rsidRPr="00EB1DA3">
        <w:rPr>
          <w:rFonts w:ascii="Arial" w:hAnsi="Arial" w:cs="Arial"/>
          <w:sz w:val="20"/>
        </w:rPr>
        <w:t xml:space="preserve">Budget Review that the effectiveness of expenditure ceilings has been limited. </w:t>
      </w:r>
      <w:r w:rsidR="002D15E2" w:rsidRPr="00EB1DA3">
        <w:rPr>
          <w:rFonts w:ascii="Arial" w:hAnsi="Arial" w:cs="Arial"/>
          <w:sz w:val="20"/>
        </w:rPr>
        <w:t>It</w:t>
      </w:r>
      <w:r w:rsidR="001D014E" w:rsidRPr="00EB1DA3">
        <w:rPr>
          <w:rFonts w:ascii="Arial" w:hAnsi="Arial" w:cs="Arial"/>
          <w:sz w:val="20"/>
        </w:rPr>
        <w:t xml:space="preserve"> submitted that e</w:t>
      </w:r>
      <w:r w:rsidR="00751F01" w:rsidRPr="00EB1DA3">
        <w:rPr>
          <w:rFonts w:ascii="Arial" w:hAnsi="Arial" w:cs="Arial"/>
          <w:sz w:val="20"/>
        </w:rPr>
        <w:t xml:space="preserve">xpenditure ceilings have habitually been breached and thus cannot be relied upon as a measure of fiscal control for estimations. SAICA </w:t>
      </w:r>
      <w:r w:rsidR="00640740" w:rsidRPr="00EB1DA3">
        <w:rPr>
          <w:rFonts w:ascii="Arial" w:hAnsi="Arial" w:cs="Arial"/>
          <w:sz w:val="20"/>
        </w:rPr>
        <w:t>questioned</w:t>
      </w:r>
      <w:r w:rsidR="002D15E2" w:rsidRPr="00EB1DA3">
        <w:rPr>
          <w:rFonts w:ascii="Arial" w:hAnsi="Arial" w:cs="Arial"/>
          <w:sz w:val="20"/>
        </w:rPr>
        <w:t xml:space="preserve"> t</w:t>
      </w:r>
      <w:r w:rsidR="00751F01" w:rsidRPr="00EB1DA3">
        <w:rPr>
          <w:rFonts w:ascii="Arial" w:hAnsi="Arial" w:cs="Arial"/>
          <w:sz w:val="20"/>
        </w:rPr>
        <w:t xml:space="preserve">he credibility of the budget process given the historical mismatch between planned service delivery and spending patterns. </w:t>
      </w:r>
    </w:p>
    <w:p w:rsidR="00DD6159" w:rsidRPr="00EB1DA3" w:rsidRDefault="00DD6159" w:rsidP="00EB1DA3">
      <w:pPr>
        <w:rPr>
          <w:rFonts w:ascii="Arial" w:hAnsi="Arial" w:cs="Arial"/>
          <w:sz w:val="20"/>
        </w:rPr>
      </w:pPr>
      <w:r w:rsidRPr="00EB1DA3">
        <w:rPr>
          <w:rFonts w:ascii="Arial" w:hAnsi="Arial" w:cs="Arial"/>
          <w:sz w:val="20"/>
          <w:lang w:val="en-ZA" w:eastAsia="en-GB"/>
        </w:rPr>
        <w:t>SAICA</w:t>
      </w:r>
      <w:r w:rsidRPr="00EB1DA3">
        <w:rPr>
          <w:rFonts w:ascii="Arial" w:hAnsi="Arial" w:cs="Arial"/>
          <w:sz w:val="20"/>
        </w:rPr>
        <w:t xml:space="preserve"> </w:t>
      </w:r>
      <w:r w:rsidR="00640740" w:rsidRPr="00EB1DA3">
        <w:rPr>
          <w:rFonts w:ascii="Arial" w:hAnsi="Arial" w:cs="Arial"/>
          <w:sz w:val="20"/>
        </w:rPr>
        <w:t xml:space="preserve">said that there should be </w:t>
      </w:r>
      <w:r w:rsidRPr="00EB1DA3">
        <w:rPr>
          <w:rFonts w:ascii="Arial" w:hAnsi="Arial" w:cs="Arial"/>
          <w:sz w:val="20"/>
        </w:rPr>
        <w:t>proper and credible oversight of future estimations</w:t>
      </w:r>
      <w:r w:rsidR="00640740" w:rsidRPr="00EB1DA3">
        <w:rPr>
          <w:rFonts w:ascii="Arial" w:hAnsi="Arial" w:cs="Arial"/>
          <w:sz w:val="20"/>
        </w:rPr>
        <w:t>. It said that these</w:t>
      </w:r>
      <w:r w:rsidRPr="00EB1DA3">
        <w:rPr>
          <w:rFonts w:ascii="Arial" w:hAnsi="Arial" w:cs="Arial"/>
          <w:sz w:val="20"/>
        </w:rPr>
        <w:t xml:space="preserve"> cannot be made witho</w:t>
      </w:r>
      <w:r w:rsidR="00C936B2" w:rsidRPr="00EB1DA3">
        <w:rPr>
          <w:rFonts w:ascii="Arial" w:hAnsi="Arial" w:cs="Arial"/>
          <w:sz w:val="20"/>
        </w:rPr>
        <w:t>ut being properly informed by</w:t>
      </w:r>
      <w:r w:rsidRPr="00EB1DA3">
        <w:rPr>
          <w:rFonts w:ascii="Arial" w:hAnsi="Arial" w:cs="Arial"/>
          <w:sz w:val="20"/>
        </w:rPr>
        <w:t xml:space="preserve"> historical spending and </w:t>
      </w:r>
      <w:r w:rsidR="00C936B2" w:rsidRPr="00EB1DA3">
        <w:rPr>
          <w:rFonts w:ascii="Arial" w:hAnsi="Arial" w:cs="Arial"/>
          <w:sz w:val="20"/>
        </w:rPr>
        <w:t xml:space="preserve">reviewed </w:t>
      </w:r>
      <w:r w:rsidRPr="00EB1DA3">
        <w:rPr>
          <w:rFonts w:ascii="Arial" w:hAnsi="Arial" w:cs="Arial"/>
          <w:sz w:val="20"/>
        </w:rPr>
        <w:t>performance</w:t>
      </w:r>
      <w:r w:rsidR="00C936B2" w:rsidRPr="00EB1DA3">
        <w:rPr>
          <w:rFonts w:ascii="Arial" w:hAnsi="Arial" w:cs="Arial"/>
          <w:sz w:val="20"/>
        </w:rPr>
        <w:t xml:space="preserve"> </w:t>
      </w:r>
      <w:r w:rsidRPr="00EB1DA3">
        <w:rPr>
          <w:rFonts w:ascii="Arial" w:hAnsi="Arial" w:cs="Arial"/>
          <w:sz w:val="20"/>
        </w:rPr>
        <w:t>by Parliament and its committees. It</w:t>
      </w:r>
      <w:r w:rsidR="00C936B2" w:rsidRPr="00EB1DA3">
        <w:rPr>
          <w:rFonts w:ascii="Arial" w:hAnsi="Arial" w:cs="Arial"/>
          <w:sz w:val="20"/>
        </w:rPr>
        <w:t xml:space="preserve"> said that Parliament was</w:t>
      </w:r>
      <w:r w:rsidRPr="00EB1DA3">
        <w:rPr>
          <w:rFonts w:ascii="Arial" w:hAnsi="Arial" w:cs="Arial"/>
          <w:sz w:val="20"/>
        </w:rPr>
        <w:t xml:space="preserve"> not powerless to address the above and it would not be in the best interests of the country if the budget was accepted as is. SAICA </w:t>
      </w:r>
      <w:r w:rsidR="00C936B2" w:rsidRPr="00EB1DA3">
        <w:rPr>
          <w:rFonts w:ascii="Arial" w:hAnsi="Arial" w:cs="Arial"/>
          <w:sz w:val="20"/>
        </w:rPr>
        <w:t xml:space="preserve">said </w:t>
      </w:r>
      <w:r w:rsidRPr="00EB1DA3">
        <w:rPr>
          <w:rFonts w:ascii="Arial" w:hAnsi="Arial" w:cs="Arial"/>
          <w:sz w:val="20"/>
        </w:rPr>
        <w:t xml:space="preserve">that the </w:t>
      </w:r>
      <w:r w:rsidR="00C936B2" w:rsidRPr="00EB1DA3">
        <w:rPr>
          <w:rFonts w:ascii="Arial" w:hAnsi="Arial" w:cs="Arial"/>
          <w:sz w:val="20"/>
        </w:rPr>
        <w:t xml:space="preserve">finance committees </w:t>
      </w:r>
      <w:r w:rsidRPr="00EB1DA3">
        <w:rPr>
          <w:rFonts w:ascii="Arial" w:hAnsi="Arial" w:cs="Arial"/>
          <w:sz w:val="20"/>
        </w:rPr>
        <w:t>have</w:t>
      </w:r>
      <w:r w:rsidR="00C936B2" w:rsidRPr="00EB1DA3">
        <w:rPr>
          <w:rFonts w:ascii="Arial" w:hAnsi="Arial" w:cs="Arial"/>
          <w:sz w:val="20"/>
        </w:rPr>
        <w:t xml:space="preserve"> had the to amend budgets </w:t>
      </w:r>
      <w:r w:rsidRPr="00EB1DA3">
        <w:rPr>
          <w:rFonts w:ascii="Arial" w:hAnsi="Arial" w:cs="Arial"/>
          <w:sz w:val="20"/>
        </w:rPr>
        <w:t xml:space="preserve">since 2009, </w:t>
      </w:r>
      <w:r w:rsidR="00C936B2" w:rsidRPr="00EB1DA3">
        <w:rPr>
          <w:rFonts w:ascii="Arial" w:hAnsi="Arial" w:cs="Arial"/>
          <w:sz w:val="20"/>
        </w:rPr>
        <w:t>after the passing of the Money Bills Act</w:t>
      </w:r>
      <w:r w:rsidRPr="00EB1DA3">
        <w:rPr>
          <w:rFonts w:ascii="Arial" w:hAnsi="Arial" w:cs="Arial"/>
          <w:sz w:val="20"/>
        </w:rPr>
        <w:t>.</w:t>
      </w:r>
      <w:r w:rsidR="00C936B2" w:rsidRPr="00EB1DA3">
        <w:rPr>
          <w:rFonts w:ascii="Arial" w:hAnsi="Arial" w:cs="Arial"/>
          <w:sz w:val="20"/>
        </w:rPr>
        <w:t xml:space="preserve"> It said that Parliament could, for instance, amend the budget of R3,4 billion allocated to VIP Protection Unit which provides security to a few identified dignitaries and reduce it by half and reallocate resources to the NPA, which has a budget of only R4,9 billion or to SARS. </w:t>
      </w:r>
      <w:r w:rsidRPr="00EB1DA3">
        <w:rPr>
          <w:rFonts w:ascii="Arial" w:hAnsi="Arial" w:cs="Arial"/>
          <w:sz w:val="20"/>
        </w:rPr>
        <w:t xml:space="preserve">It </w:t>
      </w:r>
      <w:r w:rsidR="00C936B2" w:rsidRPr="00EB1DA3">
        <w:rPr>
          <w:rFonts w:ascii="Arial" w:hAnsi="Arial" w:cs="Arial"/>
          <w:sz w:val="20"/>
        </w:rPr>
        <w:t>also encouraged Parliament to</w:t>
      </w:r>
      <w:r w:rsidRPr="00EB1DA3">
        <w:rPr>
          <w:rFonts w:ascii="Arial" w:hAnsi="Arial" w:cs="Arial"/>
          <w:sz w:val="20"/>
        </w:rPr>
        <w:t xml:space="preserve"> amend the budgets of departments who, without proper justification, materially under deliver and seemingly over budget and overspend.</w:t>
      </w:r>
    </w:p>
    <w:p w:rsidR="00FC7885" w:rsidRPr="00EB1DA3" w:rsidRDefault="00C936B2" w:rsidP="00EB1DA3">
      <w:pPr>
        <w:rPr>
          <w:rFonts w:ascii="Arial" w:hAnsi="Arial" w:cs="Arial"/>
          <w:sz w:val="20"/>
        </w:rPr>
      </w:pPr>
      <w:r w:rsidRPr="00EB1DA3">
        <w:rPr>
          <w:rFonts w:ascii="Arial" w:hAnsi="Arial" w:cs="Arial"/>
          <w:sz w:val="20"/>
        </w:rPr>
        <w:t>SAICA noted</w:t>
      </w:r>
      <w:r w:rsidR="00421514" w:rsidRPr="00EB1DA3">
        <w:rPr>
          <w:rFonts w:ascii="Arial" w:hAnsi="Arial" w:cs="Arial"/>
          <w:sz w:val="20"/>
        </w:rPr>
        <w:t xml:space="preserve"> </w:t>
      </w:r>
      <w:r w:rsidR="00FC7885" w:rsidRPr="00EB1DA3">
        <w:rPr>
          <w:rFonts w:ascii="Arial" w:hAnsi="Arial" w:cs="Arial"/>
          <w:sz w:val="20"/>
        </w:rPr>
        <w:t>concern</w:t>
      </w:r>
      <w:r w:rsidR="00421514" w:rsidRPr="00EB1DA3">
        <w:rPr>
          <w:rFonts w:ascii="Arial" w:hAnsi="Arial" w:cs="Arial"/>
          <w:sz w:val="20"/>
        </w:rPr>
        <w:t>s</w:t>
      </w:r>
      <w:r w:rsidR="00FC7885" w:rsidRPr="00EB1DA3">
        <w:rPr>
          <w:rFonts w:ascii="Arial" w:hAnsi="Arial" w:cs="Arial"/>
          <w:sz w:val="20"/>
        </w:rPr>
        <w:t xml:space="preserve"> that taxpayers will suffer </w:t>
      </w:r>
      <w:r w:rsidR="0047725D" w:rsidRPr="00EB1DA3">
        <w:rPr>
          <w:rFonts w:ascii="Arial" w:hAnsi="Arial" w:cs="Arial"/>
          <w:sz w:val="20"/>
        </w:rPr>
        <w:t xml:space="preserve">if </w:t>
      </w:r>
      <w:r w:rsidR="00FC7885" w:rsidRPr="00EB1DA3">
        <w:rPr>
          <w:rFonts w:ascii="Arial" w:hAnsi="Arial" w:cs="Arial"/>
          <w:sz w:val="20"/>
        </w:rPr>
        <w:t>NT withholds funds from non-performing municipalities</w:t>
      </w:r>
      <w:r w:rsidRPr="00EB1DA3">
        <w:rPr>
          <w:rFonts w:ascii="Arial" w:hAnsi="Arial" w:cs="Arial"/>
          <w:sz w:val="20"/>
        </w:rPr>
        <w:t xml:space="preserve">. It </w:t>
      </w:r>
      <w:r w:rsidR="00FC7885" w:rsidRPr="00EB1DA3">
        <w:rPr>
          <w:rFonts w:ascii="Arial" w:hAnsi="Arial" w:cs="Arial"/>
          <w:sz w:val="20"/>
        </w:rPr>
        <w:t>submit</w:t>
      </w:r>
      <w:r w:rsidRPr="00EB1DA3">
        <w:rPr>
          <w:rFonts w:ascii="Arial" w:hAnsi="Arial" w:cs="Arial"/>
          <w:sz w:val="20"/>
        </w:rPr>
        <w:t>ted however that taxpayers we</w:t>
      </w:r>
      <w:r w:rsidR="00FC7885" w:rsidRPr="00EB1DA3">
        <w:rPr>
          <w:rFonts w:ascii="Arial" w:hAnsi="Arial" w:cs="Arial"/>
          <w:sz w:val="20"/>
        </w:rPr>
        <w:t>re already suffering from lack of service delivery by the various departments and municipalities. It said that this is evident from the number of court cases that have arisen where citizen</w:t>
      </w:r>
      <w:r w:rsidRPr="00EB1DA3">
        <w:rPr>
          <w:rFonts w:ascii="Arial" w:hAnsi="Arial" w:cs="Arial"/>
          <w:sz w:val="20"/>
        </w:rPr>
        <w:t>s are taking municipalities to c</w:t>
      </w:r>
      <w:r w:rsidR="00FC7885" w:rsidRPr="00EB1DA3">
        <w:rPr>
          <w:rFonts w:ascii="Arial" w:hAnsi="Arial" w:cs="Arial"/>
          <w:sz w:val="20"/>
        </w:rPr>
        <w:t xml:space="preserve">ourt over failed service delivery. It </w:t>
      </w:r>
      <w:r w:rsidRPr="00EB1DA3">
        <w:rPr>
          <w:rFonts w:ascii="Arial" w:hAnsi="Arial" w:cs="Arial"/>
          <w:sz w:val="20"/>
        </w:rPr>
        <w:t>said it was also evident from the annual r</w:t>
      </w:r>
      <w:r w:rsidR="00FC7885" w:rsidRPr="00EB1DA3">
        <w:rPr>
          <w:rFonts w:ascii="Arial" w:hAnsi="Arial" w:cs="Arial"/>
          <w:sz w:val="20"/>
        </w:rPr>
        <w:t xml:space="preserve">eports of various departments where they have spent nearly their whole budget for the year, yet only met 30-40 per cent of their targets. </w:t>
      </w:r>
      <w:r w:rsidRPr="00EB1DA3">
        <w:rPr>
          <w:rFonts w:ascii="Arial" w:hAnsi="Arial" w:cs="Arial"/>
          <w:sz w:val="20"/>
        </w:rPr>
        <w:t>SAICA further s</w:t>
      </w:r>
      <w:r w:rsidR="00FC7885" w:rsidRPr="00EB1DA3">
        <w:rPr>
          <w:rFonts w:ascii="Arial" w:hAnsi="Arial" w:cs="Arial"/>
          <w:sz w:val="20"/>
        </w:rPr>
        <w:t>ubmi</w:t>
      </w:r>
      <w:r w:rsidRPr="00EB1DA3">
        <w:rPr>
          <w:rFonts w:ascii="Arial" w:hAnsi="Arial" w:cs="Arial"/>
          <w:sz w:val="20"/>
        </w:rPr>
        <w:t xml:space="preserve">tted </w:t>
      </w:r>
      <w:r w:rsidR="00FC7885" w:rsidRPr="00EB1DA3">
        <w:rPr>
          <w:rFonts w:ascii="Arial" w:hAnsi="Arial" w:cs="Arial"/>
          <w:sz w:val="20"/>
        </w:rPr>
        <w:t xml:space="preserve">that </w:t>
      </w:r>
      <w:r w:rsidRPr="00EB1DA3">
        <w:rPr>
          <w:rFonts w:ascii="Arial" w:hAnsi="Arial" w:cs="Arial"/>
          <w:sz w:val="20"/>
        </w:rPr>
        <w:t>budget spending must match performance, otherwise the budget process loses</w:t>
      </w:r>
      <w:r w:rsidR="00FC7885" w:rsidRPr="00EB1DA3">
        <w:rPr>
          <w:rFonts w:ascii="Arial" w:hAnsi="Arial" w:cs="Arial"/>
          <w:sz w:val="20"/>
        </w:rPr>
        <w:t xml:space="preserve"> credibility.</w:t>
      </w:r>
    </w:p>
    <w:p w:rsidR="00A74DD7" w:rsidRPr="00EB1DA3" w:rsidRDefault="00C936B2" w:rsidP="00EB1DA3">
      <w:pPr>
        <w:pStyle w:val="Default"/>
        <w:rPr>
          <w:sz w:val="20"/>
          <w:szCs w:val="20"/>
        </w:rPr>
      </w:pPr>
      <w:r w:rsidRPr="00EB1DA3">
        <w:rPr>
          <w:sz w:val="20"/>
          <w:szCs w:val="20"/>
        </w:rPr>
        <w:lastRenderedPageBreak/>
        <w:t>SAICA made several other points which can be found in its full submission saying that Budget 2022 did not cater for various unbudgeted expenses such as SOE contingent liabilities, financial support to municipalities, costs for dilapidated water and sanitation infrastructure, costs needed to appoint 12000 new police officers, and increased debt service costs on foreign loans as a result of the war in Ukraine, among others.</w:t>
      </w:r>
      <w:r w:rsidR="00C808CF" w:rsidRPr="00EB1DA3">
        <w:rPr>
          <w:sz w:val="20"/>
          <w:szCs w:val="20"/>
        </w:rPr>
        <w:t xml:space="preserve"> </w:t>
      </w:r>
      <w:r w:rsidR="00751F01" w:rsidRPr="00EB1DA3">
        <w:rPr>
          <w:sz w:val="20"/>
          <w:szCs w:val="20"/>
        </w:rPr>
        <w:t xml:space="preserve"> </w:t>
      </w:r>
    </w:p>
    <w:p w:rsidR="00421514" w:rsidRPr="00EB1DA3" w:rsidRDefault="00E615A3" w:rsidP="00EB1DA3">
      <w:pPr>
        <w:pStyle w:val="Default"/>
        <w:rPr>
          <w:sz w:val="20"/>
          <w:szCs w:val="20"/>
          <w:lang w:eastAsia="en-GB"/>
        </w:rPr>
      </w:pPr>
      <w:r w:rsidRPr="00EB1DA3">
        <w:rPr>
          <w:sz w:val="20"/>
          <w:szCs w:val="20"/>
          <w:lang w:eastAsia="en-GB"/>
        </w:rPr>
        <w:t>PwC observed the risks to expenditure</w:t>
      </w:r>
      <w:r w:rsidR="00421514" w:rsidRPr="00EB1DA3">
        <w:rPr>
          <w:sz w:val="20"/>
          <w:szCs w:val="20"/>
          <w:lang w:eastAsia="en-GB"/>
        </w:rPr>
        <w:t xml:space="preserve">, which </w:t>
      </w:r>
      <w:r w:rsidRPr="00EB1DA3">
        <w:rPr>
          <w:sz w:val="20"/>
          <w:szCs w:val="20"/>
          <w:lang w:eastAsia="en-GB"/>
        </w:rPr>
        <w:t>include</w:t>
      </w:r>
      <w:r w:rsidR="00B7630C" w:rsidRPr="00EB1DA3">
        <w:rPr>
          <w:sz w:val="20"/>
          <w:szCs w:val="20"/>
          <w:lang w:eastAsia="en-GB"/>
        </w:rPr>
        <w:t>d</w:t>
      </w:r>
      <w:r w:rsidRPr="00EB1DA3">
        <w:rPr>
          <w:sz w:val="20"/>
          <w:szCs w:val="20"/>
          <w:lang w:eastAsia="en-GB"/>
        </w:rPr>
        <w:t xml:space="preserve"> the</w:t>
      </w:r>
      <w:r w:rsidR="00421514" w:rsidRPr="00EB1DA3">
        <w:rPr>
          <w:sz w:val="20"/>
          <w:szCs w:val="20"/>
          <w:lang w:eastAsia="en-GB"/>
        </w:rPr>
        <w:t>:</w:t>
      </w:r>
      <w:r w:rsidRPr="00EB1DA3">
        <w:rPr>
          <w:sz w:val="20"/>
          <w:szCs w:val="20"/>
          <w:lang w:eastAsia="en-GB"/>
        </w:rPr>
        <w:t xml:space="preserve"> public sector wage bill, </w:t>
      </w:r>
      <w:r w:rsidR="00421514" w:rsidRPr="00EB1DA3">
        <w:rPr>
          <w:sz w:val="20"/>
          <w:szCs w:val="20"/>
          <w:lang w:eastAsia="en-GB"/>
        </w:rPr>
        <w:t>support to SOEs,</w:t>
      </w:r>
      <w:r w:rsidRPr="00EB1DA3">
        <w:rPr>
          <w:sz w:val="20"/>
          <w:szCs w:val="20"/>
          <w:lang w:eastAsia="en-GB"/>
        </w:rPr>
        <w:t xml:space="preserve"> and temporary social grant support being extended or becoming permanent</w:t>
      </w:r>
      <w:r w:rsidR="00421514" w:rsidRPr="00EB1DA3">
        <w:rPr>
          <w:sz w:val="20"/>
          <w:szCs w:val="20"/>
          <w:lang w:eastAsia="en-GB"/>
        </w:rPr>
        <w:t>.</w:t>
      </w:r>
      <w:r w:rsidRPr="00EB1DA3">
        <w:rPr>
          <w:sz w:val="20"/>
          <w:szCs w:val="20"/>
          <w:lang w:eastAsia="en-GB"/>
        </w:rPr>
        <w:t xml:space="preserve"> </w:t>
      </w:r>
      <w:r w:rsidR="00421514" w:rsidRPr="00EB1DA3">
        <w:rPr>
          <w:sz w:val="20"/>
          <w:szCs w:val="20"/>
          <w:lang w:eastAsia="en-GB"/>
        </w:rPr>
        <w:t xml:space="preserve">It noted further that </w:t>
      </w:r>
      <w:r w:rsidRPr="00EB1DA3">
        <w:rPr>
          <w:sz w:val="20"/>
          <w:szCs w:val="20"/>
          <w:lang w:eastAsia="en-GB"/>
        </w:rPr>
        <w:t xml:space="preserve">the expenditure ceiling has been increased by R192.2 billion in the first two years of the </w:t>
      </w:r>
      <w:r w:rsidR="00E92767" w:rsidRPr="00EB1DA3">
        <w:rPr>
          <w:sz w:val="20"/>
          <w:szCs w:val="20"/>
          <w:lang w:eastAsia="en-GB"/>
        </w:rPr>
        <w:t>MTEF</w:t>
      </w:r>
      <w:r w:rsidRPr="00EB1DA3">
        <w:rPr>
          <w:sz w:val="20"/>
          <w:szCs w:val="20"/>
          <w:lang w:eastAsia="en-GB"/>
        </w:rPr>
        <w:t xml:space="preserve"> period, indicating a significant slippage in expenditure. </w:t>
      </w:r>
    </w:p>
    <w:p w:rsidR="00E615A3" w:rsidRPr="00EB1DA3" w:rsidRDefault="00E615A3" w:rsidP="00EB1DA3">
      <w:pPr>
        <w:pStyle w:val="Default"/>
        <w:rPr>
          <w:sz w:val="20"/>
          <w:szCs w:val="20"/>
          <w:lang w:eastAsia="en-GB"/>
        </w:rPr>
      </w:pPr>
      <w:r w:rsidRPr="00EB1DA3">
        <w:rPr>
          <w:sz w:val="20"/>
          <w:szCs w:val="20"/>
          <w:lang w:eastAsia="en-GB"/>
        </w:rPr>
        <w:t xml:space="preserve">Although </w:t>
      </w:r>
      <w:r w:rsidR="00E92767" w:rsidRPr="00EB1DA3">
        <w:rPr>
          <w:sz w:val="20"/>
          <w:szCs w:val="20"/>
          <w:lang w:eastAsia="en-GB"/>
        </w:rPr>
        <w:t>PwC</w:t>
      </w:r>
      <w:r w:rsidRPr="00EB1DA3">
        <w:rPr>
          <w:sz w:val="20"/>
          <w:szCs w:val="20"/>
          <w:lang w:eastAsia="en-GB"/>
        </w:rPr>
        <w:t xml:space="preserve"> applaud</w:t>
      </w:r>
      <w:r w:rsidR="00421514" w:rsidRPr="00EB1DA3">
        <w:rPr>
          <w:sz w:val="20"/>
          <w:szCs w:val="20"/>
          <w:lang w:eastAsia="en-GB"/>
        </w:rPr>
        <w:t>ed</w:t>
      </w:r>
      <w:r w:rsidRPr="00EB1DA3">
        <w:rPr>
          <w:sz w:val="20"/>
          <w:szCs w:val="20"/>
          <w:lang w:eastAsia="en-GB"/>
        </w:rPr>
        <w:t xml:space="preserve"> </w:t>
      </w:r>
      <w:r w:rsidR="00E92767" w:rsidRPr="00EB1DA3">
        <w:rPr>
          <w:sz w:val="20"/>
          <w:szCs w:val="20"/>
          <w:lang w:eastAsia="en-GB"/>
        </w:rPr>
        <w:t>g</w:t>
      </w:r>
      <w:r w:rsidRPr="00EB1DA3">
        <w:rPr>
          <w:sz w:val="20"/>
          <w:szCs w:val="20"/>
          <w:lang w:eastAsia="en-GB"/>
        </w:rPr>
        <w:t>overnment for its efforts to contain</w:t>
      </w:r>
      <w:r w:rsidR="00421514" w:rsidRPr="00EB1DA3">
        <w:rPr>
          <w:sz w:val="20"/>
          <w:szCs w:val="20"/>
          <w:lang w:eastAsia="en-GB"/>
        </w:rPr>
        <w:t xml:space="preserve"> public-sector wages, it remained</w:t>
      </w:r>
      <w:r w:rsidRPr="00EB1DA3">
        <w:rPr>
          <w:sz w:val="20"/>
          <w:szCs w:val="20"/>
          <w:lang w:eastAsia="en-GB"/>
        </w:rPr>
        <w:t xml:space="preserve"> concern</w:t>
      </w:r>
      <w:r w:rsidR="00421514" w:rsidRPr="00EB1DA3">
        <w:rPr>
          <w:sz w:val="20"/>
          <w:szCs w:val="20"/>
          <w:lang w:eastAsia="en-GB"/>
        </w:rPr>
        <w:t>ed</w:t>
      </w:r>
      <w:r w:rsidRPr="00EB1DA3">
        <w:rPr>
          <w:sz w:val="20"/>
          <w:szCs w:val="20"/>
          <w:lang w:eastAsia="en-GB"/>
        </w:rPr>
        <w:t xml:space="preserve"> that future wage negotiations may weaken this resolve. </w:t>
      </w:r>
      <w:r w:rsidR="00E92767" w:rsidRPr="00EB1DA3">
        <w:rPr>
          <w:sz w:val="20"/>
          <w:szCs w:val="20"/>
          <w:lang w:eastAsia="en-GB"/>
        </w:rPr>
        <w:t>It submitted that t</w:t>
      </w:r>
      <w:r w:rsidRPr="00EB1DA3">
        <w:rPr>
          <w:sz w:val="20"/>
          <w:szCs w:val="20"/>
          <w:lang w:eastAsia="en-GB"/>
        </w:rPr>
        <w:t xml:space="preserve">he above matters will impact </w:t>
      </w:r>
      <w:r w:rsidR="00E92767" w:rsidRPr="00EB1DA3">
        <w:rPr>
          <w:sz w:val="20"/>
          <w:szCs w:val="20"/>
          <w:lang w:eastAsia="en-GB"/>
        </w:rPr>
        <w:t>the g</w:t>
      </w:r>
      <w:r w:rsidRPr="00EB1DA3">
        <w:rPr>
          <w:sz w:val="20"/>
          <w:szCs w:val="20"/>
          <w:lang w:eastAsia="en-GB"/>
        </w:rPr>
        <w:t>overnment’s ability to pursue fiscal consolidation</w:t>
      </w:r>
      <w:r w:rsidR="00421514" w:rsidRPr="00EB1DA3">
        <w:rPr>
          <w:sz w:val="20"/>
          <w:szCs w:val="20"/>
          <w:lang w:eastAsia="en-GB"/>
        </w:rPr>
        <w:t>.</w:t>
      </w:r>
      <w:r w:rsidR="00E92767" w:rsidRPr="00EB1DA3">
        <w:rPr>
          <w:sz w:val="20"/>
          <w:szCs w:val="20"/>
          <w:lang w:eastAsia="en-GB"/>
        </w:rPr>
        <w:t xml:space="preserve"> </w:t>
      </w:r>
      <w:r w:rsidR="00421514" w:rsidRPr="00EB1DA3">
        <w:rPr>
          <w:sz w:val="20"/>
          <w:szCs w:val="20"/>
          <w:lang w:eastAsia="en-GB"/>
        </w:rPr>
        <w:t xml:space="preserve">It said that </w:t>
      </w:r>
      <w:r w:rsidR="00E92767" w:rsidRPr="00EB1DA3">
        <w:rPr>
          <w:sz w:val="20"/>
          <w:szCs w:val="20"/>
          <w:lang w:eastAsia="en-GB"/>
        </w:rPr>
        <w:t>i</w:t>
      </w:r>
      <w:r w:rsidR="00421514" w:rsidRPr="00EB1DA3">
        <w:rPr>
          <w:sz w:val="20"/>
          <w:szCs w:val="20"/>
          <w:lang w:eastAsia="en-GB"/>
        </w:rPr>
        <w:t>t wa</w:t>
      </w:r>
      <w:r w:rsidRPr="00EB1DA3">
        <w:rPr>
          <w:sz w:val="20"/>
          <w:szCs w:val="20"/>
          <w:lang w:eastAsia="en-GB"/>
        </w:rPr>
        <w:t>s not clear wha</w:t>
      </w:r>
      <w:r w:rsidR="00421514" w:rsidRPr="00EB1DA3">
        <w:rPr>
          <w:sz w:val="20"/>
          <w:szCs w:val="20"/>
          <w:lang w:eastAsia="en-GB"/>
        </w:rPr>
        <w:t>t the proposed strategy will be</w:t>
      </w:r>
      <w:r w:rsidRPr="00EB1DA3">
        <w:rPr>
          <w:sz w:val="20"/>
          <w:szCs w:val="20"/>
          <w:lang w:eastAsia="en-GB"/>
        </w:rPr>
        <w:t xml:space="preserve"> should the spending pressures translate into additional expenditure.</w:t>
      </w:r>
    </w:p>
    <w:p w:rsidR="008E2B45" w:rsidRPr="00EB1DA3" w:rsidRDefault="00353BB5" w:rsidP="00EB1DA3">
      <w:pPr>
        <w:rPr>
          <w:rFonts w:ascii="Arial" w:hAnsi="Arial" w:cs="Arial"/>
          <w:sz w:val="20"/>
        </w:rPr>
      </w:pPr>
      <w:r w:rsidRPr="00EB1DA3">
        <w:rPr>
          <w:rFonts w:ascii="Arial" w:hAnsi="Arial" w:cs="Arial"/>
          <w:sz w:val="20"/>
          <w:lang w:val="en-ZA" w:eastAsia="en-GB"/>
        </w:rPr>
        <w:t>FSCG noted that the c</w:t>
      </w:r>
      <w:r w:rsidR="008E2B45" w:rsidRPr="00EB1DA3">
        <w:rPr>
          <w:rFonts w:ascii="Arial" w:hAnsi="Arial" w:cs="Arial"/>
          <w:sz w:val="20"/>
        </w:rPr>
        <w:t xml:space="preserve">ompanies listed in Schedule 2 of the PFMA 1999 referred to as major public entities are intended to operate as sustainable businesses that generate profits and can borrow on the strength of their balance sheets. </w:t>
      </w:r>
      <w:r w:rsidR="00421514" w:rsidRPr="00EB1DA3">
        <w:rPr>
          <w:rFonts w:ascii="Arial" w:hAnsi="Arial" w:cs="Arial"/>
          <w:sz w:val="20"/>
        </w:rPr>
        <w:t xml:space="preserve">It said that </w:t>
      </w:r>
      <w:r w:rsidR="008E2B45" w:rsidRPr="00EB1DA3">
        <w:rPr>
          <w:rFonts w:ascii="Arial" w:hAnsi="Arial" w:cs="Arial"/>
          <w:sz w:val="20"/>
        </w:rPr>
        <w:t>these companies have extensive borrowing powers compared with other public entities. However, the 2022 Bud</w:t>
      </w:r>
      <w:r w:rsidRPr="00EB1DA3">
        <w:rPr>
          <w:rFonts w:ascii="Arial" w:hAnsi="Arial" w:cs="Arial"/>
          <w:sz w:val="20"/>
        </w:rPr>
        <w:t>get highlighted that in 2021/22,</w:t>
      </w:r>
      <w:r w:rsidR="008E2B45" w:rsidRPr="00EB1DA3">
        <w:rPr>
          <w:rFonts w:ascii="Arial" w:hAnsi="Arial" w:cs="Arial"/>
          <w:sz w:val="20"/>
        </w:rPr>
        <w:t xml:space="preserve"> SOEs made limited progress in their reforms and that over</w:t>
      </w:r>
      <w:r w:rsidR="00421514" w:rsidRPr="00EB1DA3">
        <w:rPr>
          <w:rFonts w:ascii="Arial" w:hAnsi="Arial" w:cs="Arial"/>
          <w:sz w:val="20"/>
        </w:rPr>
        <w:t xml:space="preserve"> the past 12 months,</w:t>
      </w:r>
      <w:r w:rsidR="00B24176" w:rsidRPr="00EB1DA3">
        <w:rPr>
          <w:rFonts w:ascii="Arial" w:hAnsi="Arial" w:cs="Arial"/>
          <w:sz w:val="20"/>
        </w:rPr>
        <w:t xml:space="preserve"> several</w:t>
      </w:r>
      <w:r w:rsidR="008E2B45" w:rsidRPr="00EB1DA3">
        <w:rPr>
          <w:rFonts w:ascii="Arial" w:hAnsi="Arial" w:cs="Arial"/>
          <w:sz w:val="20"/>
        </w:rPr>
        <w:t xml:space="preserve"> SOEs missed their capital investment and loan disbursement targets</w:t>
      </w:r>
      <w:r w:rsidR="00421514" w:rsidRPr="00EB1DA3">
        <w:rPr>
          <w:rFonts w:ascii="Arial" w:hAnsi="Arial" w:cs="Arial"/>
          <w:sz w:val="20"/>
        </w:rPr>
        <w:t>.</w:t>
      </w:r>
      <w:r w:rsidR="008E2B45" w:rsidRPr="00EB1DA3">
        <w:rPr>
          <w:rFonts w:ascii="Arial" w:hAnsi="Arial" w:cs="Arial"/>
          <w:sz w:val="20"/>
        </w:rPr>
        <w:t xml:space="preserve"> </w:t>
      </w:r>
      <w:r w:rsidR="00421514" w:rsidRPr="00EB1DA3">
        <w:rPr>
          <w:rFonts w:ascii="Arial" w:hAnsi="Arial" w:cs="Arial"/>
          <w:sz w:val="20"/>
        </w:rPr>
        <w:t xml:space="preserve">It noted that </w:t>
      </w:r>
      <w:r w:rsidR="008E2B45" w:rsidRPr="00EB1DA3">
        <w:rPr>
          <w:rFonts w:ascii="Arial" w:hAnsi="Arial" w:cs="Arial"/>
          <w:sz w:val="20"/>
        </w:rPr>
        <w:t xml:space="preserve">investors have increasingly expressed unwillingness to extend capital to such entities without government guarantees. FCSG </w:t>
      </w:r>
      <w:r w:rsidR="00421514" w:rsidRPr="00EB1DA3">
        <w:rPr>
          <w:rFonts w:ascii="Arial" w:hAnsi="Arial" w:cs="Arial"/>
          <w:sz w:val="20"/>
        </w:rPr>
        <w:t xml:space="preserve">said it </w:t>
      </w:r>
      <w:r w:rsidR="008E2B45" w:rsidRPr="00EB1DA3">
        <w:rPr>
          <w:rFonts w:ascii="Arial" w:hAnsi="Arial" w:cs="Arial"/>
          <w:sz w:val="20"/>
        </w:rPr>
        <w:t>believes that now is the time to normalise the SOE’s extensive borrowing powers.</w:t>
      </w:r>
    </w:p>
    <w:p w:rsidR="008E2B45" w:rsidRPr="00EB1DA3" w:rsidRDefault="008E2B45" w:rsidP="00EB1DA3">
      <w:pPr>
        <w:rPr>
          <w:rFonts w:ascii="Arial" w:hAnsi="Arial" w:cs="Arial"/>
          <w:sz w:val="20"/>
        </w:rPr>
      </w:pPr>
      <w:r w:rsidRPr="00EB1DA3">
        <w:rPr>
          <w:rFonts w:ascii="Arial" w:hAnsi="Arial" w:cs="Arial"/>
          <w:sz w:val="20"/>
          <w:lang w:val="en-ZA" w:eastAsia="en-GB"/>
        </w:rPr>
        <w:t xml:space="preserve">FFC indicated that it supports the proposal for a centralised shareholder model for commercial SOEs as proposed by the PCRSOE as well as the government initiative to publish a framework outlining the criteria for government funding of SOEs. </w:t>
      </w:r>
      <w:r w:rsidRPr="00EB1DA3">
        <w:rPr>
          <w:rFonts w:ascii="Arial" w:hAnsi="Arial" w:cs="Arial"/>
          <w:sz w:val="20"/>
        </w:rPr>
        <w:t xml:space="preserve">FFC </w:t>
      </w:r>
      <w:r w:rsidR="00421514" w:rsidRPr="00EB1DA3">
        <w:rPr>
          <w:rFonts w:ascii="Arial" w:hAnsi="Arial" w:cs="Arial"/>
          <w:sz w:val="20"/>
        </w:rPr>
        <w:t xml:space="preserve">expressed </w:t>
      </w:r>
      <w:r w:rsidRPr="00EB1DA3">
        <w:rPr>
          <w:rFonts w:ascii="Arial" w:hAnsi="Arial" w:cs="Arial"/>
          <w:sz w:val="20"/>
        </w:rPr>
        <w:t>concern about the trajectory of increasing shares of public infrastructure investment of SOEs and public entities (shares increased from 9.8 in 2021/22 and reached 13.6 in 2022/23 and expected to reach over 15 per cent in 2024/25) while the share o</w:t>
      </w:r>
      <w:r w:rsidR="00421514" w:rsidRPr="00EB1DA3">
        <w:rPr>
          <w:rFonts w:ascii="Arial" w:hAnsi="Arial" w:cs="Arial"/>
          <w:sz w:val="20"/>
        </w:rPr>
        <w:t>f provinces and municipalities we</w:t>
      </w:r>
      <w:r w:rsidRPr="00EB1DA3">
        <w:rPr>
          <w:rFonts w:ascii="Arial" w:hAnsi="Arial" w:cs="Arial"/>
          <w:sz w:val="20"/>
        </w:rPr>
        <w:t xml:space="preserve">re decreasing. FFC </w:t>
      </w:r>
      <w:r w:rsidR="00421514" w:rsidRPr="00EB1DA3">
        <w:rPr>
          <w:rFonts w:ascii="Arial" w:hAnsi="Arial" w:cs="Arial"/>
          <w:sz w:val="20"/>
        </w:rPr>
        <w:t>said that</w:t>
      </w:r>
      <w:r w:rsidRPr="00EB1DA3">
        <w:rPr>
          <w:rFonts w:ascii="Arial" w:hAnsi="Arial" w:cs="Arial"/>
          <w:sz w:val="20"/>
        </w:rPr>
        <w:t xml:space="preserve"> this indicates that government is increasingly implementing public infrastructure investment through public entities desp</w:t>
      </w:r>
      <w:r w:rsidR="00421514" w:rsidRPr="00EB1DA3">
        <w:rPr>
          <w:rFonts w:ascii="Arial" w:hAnsi="Arial" w:cs="Arial"/>
          <w:sz w:val="20"/>
        </w:rPr>
        <w:t xml:space="preserve">ite their poor performance. </w:t>
      </w:r>
      <w:r w:rsidRPr="00EB1DA3">
        <w:rPr>
          <w:rFonts w:ascii="Arial" w:hAnsi="Arial" w:cs="Arial"/>
          <w:sz w:val="20"/>
        </w:rPr>
        <w:t xml:space="preserve">FFC </w:t>
      </w:r>
      <w:r w:rsidR="00421514" w:rsidRPr="00EB1DA3">
        <w:rPr>
          <w:rFonts w:ascii="Arial" w:hAnsi="Arial" w:cs="Arial"/>
          <w:sz w:val="20"/>
        </w:rPr>
        <w:t>said it was concerned about</w:t>
      </w:r>
      <w:r w:rsidRPr="00EB1DA3">
        <w:rPr>
          <w:rFonts w:ascii="Arial" w:hAnsi="Arial" w:cs="Arial"/>
          <w:sz w:val="20"/>
        </w:rPr>
        <w:t xml:space="preserve"> the decreasing share of local government given </w:t>
      </w:r>
      <w:r w:rsidR="00421514" w:rsidRPr="00EB1DA3">
        <w:rPr>
          <w:rFonts w:ascii="Arial" w:hAnsi="Arial" w:cs="Arial"/>
          <w:sz w:val="20"/>
        </w:rPr>
        <w:t xml:space="preserve">the </w:t>
      </w:r>
      <w:r w:rsidRPr="00EB1DA3">
        <w:rPr>
          <w:rFonts w:ascii="Arial" w:hAnsi="Arial" w:cs="Arial"/>
          <w:sz w:val="20"/>
        </w:rPr>
        <w:t>huge infrastructure backlogs in municipalities, in terms of both new infrastructure and rehabilitation and maintenance of existing infrastructure.</w:t>
      </w:r>
    </w:p>
    <w:p w:rsidR="00C9462E" w:rsidRPr="00EB1DA3" w:rsidRDefault="00421514" w:rsidP="00EB1DA3">
      <w:pPr>
        <w:rPr>
          <w:rFonts w:ascii="Arial" w:hAnsi="Arial" w:cs="Arial"/>
          <w:sz w:val="20"/>
        </w:rPr>
      </w:pPr>
      <w:r w:rsidRPr="00EB1DA3">
        <w:rPr>
          <w:rFonts w:ascii="Arial" w:hAnsi="Arial" w:cs="Arial"/>
          <w:sz w:val="20"/>
          <w:lang w:val="en-ZA" w:eastAsia="en-GB"/>
        </w:rPr>
        <w:t>On the wage bill, FCSG reiterated that it had</w:t>
      </w:r>
      <w:r w:rsidR="00C9462E" w:rsidRPr="00EB1DA3">
        <w:rPr>
          <w:rFonts w:ascii="Arial" w:hAnsi="Arial" w:cs="Arial"/>
          <w:sz w:val="20"/>
          <w:lang w:val="en-ZA" w:eastAsia="en-GB"/>
        </w:rPr>
        <w:t xml:space="preserve"> warned government about unsustainable growth in civil service expenditure since 2013, indicating that the c</w:t>
      </w:r>
      <w:r w:rsidR="00C9462E" w:rsidRPr="00EB1DA3">
        <w:rPr>
          <w:rFonts w:ascii="Arial" w:hAnsi="Arial" w:cs="Arial"/>
          <w:sz w:val="20"/>
        </w:rPr>
        <w:t xml:space="preserve">ivil service remuneration is a significant driver of fiscal unsustainability. FCSG noted that the 2022 Budget indicates a rise of 1.8 per cent per annum over the medium term and that previous cuts of around R60 billion announced during the 2021 Budget seem to have been re-introduced as expenditure in the 2022 Budget. </w:t>
      </w:r>
      <w:r w:rsidRPr="00EB1DA3">
        <w:rPr>
          <w:rFonts w:ascii="Arial" w:hAnsi="Arial" w:cs="Arial"/>
          <w:sz w:val="20"/>
        </w:rPr>
        <w:t xml:space="preserve">It said that </w:t>
      </w:r>
      <w:r w:rsidR="00C9462E" w:rsidRPr="00EB1DA3">
        <w:rPr>
          <w:rFonts w:ascii="Arial" w:hAnsi="Arial" w:cs="Arial"/>
          <w:sz w:val="20"/>
          <w:lang w:val="en-ZA" w:eastAsia="en-GB"/>
        </w:rPr>
        <w:t xml:space="preserve">the whole budget rests on maintaining this budget position in respect of civil service remuneration and that if this position slips, the budget </w:t>
      </w:r>
      <w:r w:rsidRPr="00EB1DA3">
        <w:rPr>
          <w:rFonts w:ascii="Arial" w:hAnsi="Arial" w:cs="Arial"/>
          <w:sz w:val="20"/>
          <w:lang w:val="en-ZA" w:eastAsia="en-GB"/>
        </w:rPr>
        <w:t xml:space="preserve">will </w:t>
      </w:r>
      <w:r w:rsidR="00C9462E" w:rsidRPr="00EB1DA3">
        <w:rPr>
          <w:rFonts w:ascii="Arial" w:hAnsi="Arial" w:cs="Arial"/>
          <w:sz w:val="20"/>
          <w:lang w:val="en-ZA" w:eastAsia="en-GB"/>
        </w:rPr>
        <w:t>fall apart.</w:t>
      </w:r>
    </w:p>
    <w:p w:rsidR="00445EC6" w:rsidRPr="00EB1DA3" w:rsidRDefault="0019271D" w:rsidP="00EB1DA3">
      <w:pPr>
        <w:rPr>
          <w:rFonts w:ascii="Arial" w:hAnsi="Arial" w:cs="Arial"/>
          <w:sz w:val="20"/>
        </w:rPr>
      </w:pPr>
      <w:r w:rsidRPr="00EB1DA3">
        <w:rPr>
          <w:rFonts w:ascii="Arial" w:hAnsi="Arial" w:cs="Arial"/>
          <w:sz w:val="20"/>
        </w:rPr>
        <w:t xml:space="preserve">COSATU welcomed the Minister’s recognition of the need for government to respect collective bargaining and to engage unions at the </w:t>
      </w:r>
      <w:r w:rsidR="000159B3" w:rsidRPr="00EB1DA3">
        <w:rPr>
          <w:rFonts w:ascii="Arial" w:hAnsi="Arial" w:cs="Arial"/>
          <w:sz w:val="20"/>
        </w:rPr>
        <w:t>Public Sector Coordinating Bargaining Council (</w:t>
      </w:r>
      <w:r w:rsidRPr="00EB1DA3">
        <w:rPr>
          <w:rFonts w:ascii="Arial" w:hAnsi="Arial" w:cs="Arial"/>
          <w:sz w:val="20"/>
        </w:rPr>
        <w:t>PSCBC</w:t>
      </w:r>
      <w:r w:rsidR="000159B3" w:rsidRPr="00EB1DA3">
        <w:rPr>
          <w:rFonts w:ascii="Arial" w:hAnsi="Arial" w:cs="Arial"/>
          <w:sz w:val="20"/>
        </w:rPr>
        <w:t>)</w:t>
      </w:r>
      <w:r w:rsidRPr="00EB1DA3">
        <w:rPr>
          <w:rFonts w:ascii="Arial" w:hAnsi="Arial" w:cs="Arial"/>
          <w:sz w:val="20"/>
        </w:rPr>
        <w:t xml:space="preserve"> and other collective bargaining fora on the wage bill and conditions of service.  </w:t>
      </w:r>
    </w:p>
    <w:p w:rsidR="0019271D" w:rsidRPr="00EB1DA3" w:rsidRDefault="0019271D" w:rsidP="00EB1DA3">
      <w:pPr>
        <w:rPr>
          <w:rFonts w:ascii="Arial" w:hAnsi="Arial" w:cs="Arial"/>
          <w:sz w:val="20"/>
        </w:rPr>
      </w:pPr>
      <w:r w:rsidRPr="00EB1DA3">
        <w:rPr>
          <w:rFonts w:ascii="Arial" w:hAnsi="Arial" w:cs="Arial"/>
          <w:sz w:val="20"/>
        </w:rPr>
        <w:t xml:space="preserve">COSATU </w:t>
      </w:r>
      <w:r w:rsidR="00421514" w:rsidRPr="00EB1DA3">
        <w:rPr>
          <w:rFonts w:ascii="Arial" w:hAnsi="Arial" w:cs="Arial"/>
          <w:sz w:val="20"/>
        </w:rPr>
        <w:t xml:space="preserve">expressed </w:t>
      </w:r>
      <w:r w:rsidRPr="00EB1DA3">
        <w:rPr>
          <w:rFonts w:ascii="Arial" w:hAnsi="Arial" w:cs="Arial"/>
          <w:sz w:val="20"/>
        </w:rPr>
        <w:t xml:space="preserve">concerns about the impact of </w:t>
      </w:r>
      <w:r w:rsidR="00445EC6" w:rsidRPr="00EB1DA3">
        <w:rPr>
          <w:rFonts w:ascii="Arial" w:hAnsi="Arial" w:cs="Arial"/>
          <w:sz w:val="20"/>
        </w:rPr>
        <w:t xml:space="preserve">4.8 per cent </w:t>
      </w:r>
      <w:r w:rsidRPr="00EB1DA3">
        <w:rPr>
          <w:rFonts w:ascii="Arial" w:hAnsi="Arial" w:cs="Arial"/>
          <w:sz w:val="20"/>
        </w:rPr>
        <w:t xml:space="preserve">budget cuts over the MTEF to </w:t>
      </w:r>
      <w:r w:rsidR="00445EC6" w:rsidRPr="00EB1DA3">
        <w:rPr>
          <w:rFonts w:ascii="Arial" w:hAnsi="Arial" w:cs="Arial"/>
          <w:sz w:val="20"/>
        </w:rPr>
        <w:t xml:space="preserve">the </w:t>
      </w:r>
      <w:r w:rsidR="000159B3" w:rsidRPr="00EB1DA3">
        <w:rPr>
          <w:rFonts w:ascii="Arial" w:hAnsi="Arial" w:cs="Arial"/>
          <w:sz w:val="20"/>
        </w:rPr>
        <w:t>Department of Trade and Industry and Competition (</w:t>
      </w:r>
      <w:r w:rsidRPr="00EB1DA3">
        <w:rPr>
          <w:rFonts w:ascii="Arial" w:hAnsi="Arial" w:cs="Arial"/>
          <w:sz w:val="20"/>
        </w:rPr>
        <w:t>DTIC</w:t>
      </w:r>
      <w:r w:rsidR="000159B3" w:rsidRPr="00EB1DA3">
        <w:rPr>
          <w:rFonts w:ascii="Arial" w:hAnsi="Arial" w:cs="Arial"/>
          <w:sz w:val="20"/>
        </w:rPr>
        <w:t>)</w:t>
      </w:r>
      <w:r w:rsidR="00445EC6" w:rsidRPr="00EB1DA3">
        <w:rPr>
          <w:rFonts w:ascii="Arial" w:hAnsi="Arial" w:cs="Arial"/>
          <w:sz w:val="20"/>
        </w:rPr>
        <w:t xml:space="preserve"> </w:t>
      </w:r>
      <w:r w:rsidRPr="00EB1DA3">
        <w:rPr>
          <w:rFonts w:ascii="Arial" w:hAnsi="Arial" w:cs="Arial"/>
          <w:sz w:val="20"/>
        </w:rPr>
        <w:t>as well as below-inflation</w:t>
      </w:r>
      <w:r w:rsidR="00445EC6" w:rsidRPr="00EB1DA3">
        <w:rPr>
          <w:rFonts w:ascii="Arial" w:hAnsi="Arial" w:cs="Arial"/>
          <w:sz w:val="20"/>
        </w:rPr>
        <w:t xml:space="preserve"> increases of 1.9 per cent on the </w:t>
      </w:r>
      <w:r w:rsidRPr="00EB1DA3">
        <w:rPr>
          <w:rFonts w:ascii="Arial" w:hAnsi="Arial" w:cs="Arial"/>
          <w:sz w:val="20"/>
        </w:rPr>
        <w:t>Foster Ca</w:t>
      </w:r>
      <w:r w:rsidR="00445EC6" w:rsidRPr="00EB1DA3">
        <w:rPr>
          <w:rFonts w:ascii="Arial" w:hAnsi="Arial" w:cs="Arial"/>
          <w:sz w:val="20"/>
        </w:rPr>
        <w:t xml:space="preserve">re Grant and 0.2 per cent on Health. </w:t>
      </w:r>
      <w:r w:rsidRPr="00EB1DA3">
        <w:rPr>
          <w:rFonts w:ascii="Arial" w:hAnsi="Arial" w:cs="Arial"/>
          <w:sz w:val="20"/>
        </w:rPr>
        <w:t xml:space="preserve">COSATU welcomed the extension of </w:t>
      </w:r>
      <w:r w:rsidR="00434EB6" w:rsidRPr="00EB1DA3">
        <w:rPr>
          <w:rFonts w:ascii="Arial" w:hAnsi="Arial" w:cs="Arial"/>
          <w:sz w:val="20"/>
        </w:rPr>
        <w:t>the R350 COVID</w:t>
      </w:r>
      <w:r w:rsidRPr="00EB1DA3">
        <w:rPr>
          <w:rFonts w:ascii="Arial" w:hAnsi="Arial" w:cs="Arial"/>
          <w:sz w:val="20"/>
        </w:rPr>
        <w:t xml:space="preserve">-19 </w:t>
      </w:r>
      <w:r w:rsidR="000159B3" w:rsidRPr="00EB1DA3">
        <w:rPr>
          <w:rFonts w:ascii="Arial" w:hAnsi="Arial" w:cs="Arial"/>
          <w:sz w:val="20"/>
        </w:rPr>
        <w:t>Social Relief of Distress (</w:t>
      </w:r>
      <w:r w:rsidRPr="00EB1DA3">
        <w:rPr>
          <w:rFonts w:ascii="Arial" w:hAnsi="Arial" w:cs="Arial"/>
          <w:sz w:val="20"/>
        </w:rPr>
        <w:t>SRD</w:t>
      </w:r>
      <w:r w:rsidR="000159B3" w:rsidRPr="00EB1DA3">
        <w:rPr>
          <w:rFonts w:ascii="Arial" w:hAnsi="Arial" w:cs="Arial"/>
          <w:sz w:val="20"/>
        </w:rPr>
        <w:t>) grant</w:t>
      </w:r>
      <w:r w:rsidR="00445EC6" w:rsidRPr="00EB1DA3">
        <w:rPr>
          <w:rFonts w:ascii="Arial" w:hAnsi="Arial" w:cs="Arial"/>
          <w:sz w:val="20"/>
        </w:rPr>
        <w:t xml:space="preserve"> </w:t>
      </w:r>
      <w:r w:rsidR="00421514" w:rsidRPr="00EB1DA3">
        <w:rPr>
          <w:rFonts w:ascii="Arial" w:hAnsi="Arial" w:cs="Arial"/>
          <w:sz w:val="20"/>
        </w:rPr>
        <w:t>which</w:t>
      </w:r>
      <w:r w:rsidRPr="00EB1DA3">
        <w:rPr>
          <w:rFonts w:ascii="Arial" w:hAnsi="Arial" w:cs="Arial"/>
          <w:sz w:val="20"/>
        </w:rPr>
        <w:t xml:space="preserve"> provide</w:t>
      </w:r>
      <w:r w:rsidR="00421514" w:rsidRPr="00EB1DA3">
        <w:rPr>
          <w:rFonts w:ascii="Arial" w:hAnsi="Arial" w:cs="Arial"/>
          <w:sz w:val="20"/>
        </w:rPr>
        <w:t>s</w:t>
      </w:r>
      <w:r w:rsidRPr="00EB1DA3">
        <w:rPr>
          <w:rFonts w:ascii="Arial" w:hAnsi="Arial" w:cs="Arial"/>
          <w:sz w:val="20"/>
        </w:rPr>
        <w:t xml:space="preserve"> </w:t>
      </w:r>
      <w:r w:rsidR="00FD605D" w:rsidRPr="00EB1DA3">
        <w:rPr>
          <w:rFonts w:ascii="Arial" w:hAnsi="Arial" w:cs="Arial"/>
          <w:sz w:val="20"/>
        </w:rPr>
        <w:t xml:space="preserve">direct </w:t>
      </w:r>
      <w:r w:rsidRPr="00EB1DA3">
        <w:rPr>
          <w:rFonts w:ascii="Arial" w:hAnsi="Arial" w:cs="Arial"/>
          <w:sz w:val="20"/>
        </w:rPr>
        <w:t xml:space="preserve">relief </w:t>
      </w:r>
      <w:r w:rsidR="00421514" w:rsidRPr="00EB1DA3">
        <w:rPr>
          <w:rFonts w:ascii="Arial" w:hAnsi="Arial" w:cs="Arial"/>
          <w:sz w:val="20"/>
        </w:rPr>
        <w:t xml:space="preserve">to </w:t>
      </w:r>
      <w:r w:rsidRPr="00EB1DA3">
        <w:rPr>
          <w:rFonts w:ascii="Arial" w:hAnsi="Arial" w:cs="Arial"/>
          <w:sz w:val="20"/>
        </w:rPr>
        <w:t xml:space="preserve">10 million </w:t>
      </w:r>
      <w:r w:rsidR="00421514" w:rsidRPr="00EB1DA3">
        <w:rPr>
          <w:rFonts w:ascii="Arial" w:hAnsi="Arial" w:cs="Arial"/>
          <w:sz w:val="20"/>
        </w:rPr>
        <w:t>beneficiaries</w:t>
      </w:r>
      <w:r w:rsidRPr="00EB1DA3">
        <w:rPr>
          <w:rFonts w:ascii="Arial" w:hAnsi="Arial" w:cs="Arial"/>
          <w:sz w:val="20"/>
        </w:rPr>
        <w:t xml:space="preserve">.  It </w:t>
      </w:r>
      <w:r w:rsidR="00FD605D" w:rsidRPr="00EB1DA3">
        <w:rPr>
          <w:rFonts w:ascii="Arial" w:hAnsi="Arial" w:cs="Arial"/>
          <w:sz w:val="20"/>
        </w:rPr>
        <w:t xml:space="preserve">said that the </w:t>
      </w:r>
      <w:r w:rsidR="00445EC6" w:rsidRPr="00EB1DA3">
        <w:rPr>
          <w:rFonts w:ascii="Arial" w:hAnsi="Arial" w:cs="Arial"/>
          <w:sz w:val="20"/>
        </w:rPr>
        <w:t>grant</w:t>
      </w:r>
      <w:r w:rsidRPr="00EB1DA3">
        <w:rPr>
          <w:rFonts w:ascii="Arial" w:hAnsi="Arial" w:cs="Arial"/>
          <w:sz w:val="20"/>
        </w:rPr>
        <w:t xml:space="preserve"> was </w:t>
      </w:r>
      <w:r w:rsidR="00FD605D" w:rsidRPr="00EB1DA3">
        <w:rPr>
          <w:rFonts w:ascii="Arial" w:hAnsi="Arial" w:cs="Arial"/>
          <w:sz w:val="20"/>
        </w:rPr>
        <w:t>supposed to be</w:t>
      </w:r>
      <w:r w:rsidRPr="00EB1DA3">
        <w:rPr>
          <w:rFonts w:ascii="Arial" w:hAnsi="Arial" w:cs="Arial"/>
          <w:sz w:val="20"/>
        </w:rPr>
        <w:t xml:space="preserve"> adjusted for CPI. COSATU</w:t>
      </w:r>
      <w:r w:rsidR="00445EC6" w:rsidRPr="00EB1DA3">
        <w:rPr>
          <w:rFonts w:ascii="Arial" w:hAnsi="Arial" w:cs="Arial"/>
          <w:sz w:val="20"/>
        </w:rPr>
        <w:t xml:space="preserve"> also </w:t>
      </w:r>
      <w:r w:rsidRPr="00EB1DA3">
        <w:rPr>
          <w:rFonts w:ascii="Arial" w:hAnsi="Arial" w:cs="Arial"/>
          <w:sz w:val="20"/>
        </w:rPr>
        <w:t>noted with concern that 175 out 259 municipalities are in financial distr</w:t>
      </w:r>
      <w:r w:rsidR="00FD605D" w:rsidRPr="00EB1DA3">
        <w:rPr>
          <w:rFonts w:ascii="Arial" w:hAnsi="Arial" w:cs="Arial"/>
          <w:sz w:val="20"/>
        </w:rPr>
        <w:t>ess yet no clear interventions we</w:t>
      </w:r>
      <w:r w:rsidRPr="00EB1DA3">
        <w:rPr>
          <w:rFonts w:ascii="Arial" w:hAnsi="Arial" w:cs="Arial"/>
          <w:sz w:val="20"/>
        </w:rPr>
        <w:t>re provided in the budget to turn them around.</w:t>
      </w:r>
    </w:p>
    <w:p w:rsidR="00FD605D" w:rsidRPr="00EB1DA3" w:rsidRDefault="00FD605D" w:rsidP="00EB1DA3">
      <w:pPr>
        <w:rPr>
          <w:rFonts w:ascii="Arial" w:hAnsi="Arial" w:cs="Arial"/>
          <w:sz w:val="20"/>
        </w:rPr>
      </w:pPr>
      <w:r w:rsidRPr="00EB1DA3">
        <w:rPr>
          <w:rFonts w:ascii="Arial" w:hAnsi="Arial" w:cs="Arial"/>
          <w:sz w:val="20"/>
        </w:rPr>
        <w:t xml:space="preserve">Amandla.mobi welcomed the R350 grant extension by government. It said its members were however disappointed that the grant was not increased and expanded to include more people.  Amandla.mobi said that NT has ignored its calls to make public participation in the creation of the budget accessible to all. Instead, the current budget tips reinforce inequality, it said. </w:t>
      </w:r>
    </w:p>
    <w:p w:rsidR="00466284" w:rsidRPr="00EB1DA3" w:rsidRDefault="00466284" w:rsidP="00EB1DA3">
      <w:pPr>
        <w:rPr>
          <w:rFonts w:ascii="Arial" w:hAnsi="Arial" w:cs="Arial"/>
          <w:sz w:val="20"/>
          <w:lang w:val="en-ZA" w:eastAsia="en-GB"/>
        </w:rPr>
      </w:pPr>
      <w:r w:rsidRPr="00EB1DA3">
        <w:rPr>
          <w:rStyle w:val="markedcontent"/>
          <w:rFonts w:ascii="Arial" w:eastAsiaTheme="minorHAnsi" w:hAnsi="Arial" w:cs="Arial"/>
          <w:sz w:val="20"/>
        </w:rPr>
        <w:t>The</w:t>
      </w:r>
      <w:r w:rsidRPr="00EB1DA3">
        <w:rPr>
          <w:rFonts w:ascii="Arial" w:hAnsi="Arial" w:cs="Arial"/>
          <w:sz w:val="20"/>
        </w:rPr>
        <w:t xml:space="preserve"> PBO highlighted that extreme unemployment and inequality continued spatial apartheid, corruption, state capture, and poor service delivery performance means that the percentage spent on the social wage is an inadequate indicator, just like GDP. It further said that real per capita spending on almost all functions is expected to decrease.</w:t>
      </w:r>
    </w:p>
    <w:p w:rsidR="0019271D" w:rsidRPr="00EB1DA3" w:rsidRDefault="00545AC5" w:rsidP="00EB1DA3">
      <w:pPr>
        <w:pStyle w:val="Default"/>
        <w:rPr>
          <w:sz w:val="20"/>
          <w:szCs w:val="20"/>
        </w:rPr>
      </w:pPr>
      <w:r w:rsidRPr="00EB1DA3">
        <w:rPr>
          <w:sz w:val="20"/>
          <w:szCs w:val="20"/>
        </w:rPr>
        <w:t>The Women on Farms Project’s</w:t>
      </w:r>
      <w:r w:rsidR="0019271D" w:rsidRPr="00EB1DA3">
        <w:rPr>
          <w:sz w:val="20"/>
          <w:szCs w:val="20"/>
        </w:rPr>
        <w:t xml:space="preserve"> submission is about the implementation of a </w:t>
      </w:r>
      <w:r w:rsidRPr="00EB1DA3">
        <w:rPr>
          <w:bCs/>
          <w:sz w:val="20"/>
          <w:szCs w:val="20"/>
        </w:rPr>
        <w:t>wealth t</w:t>
      </w:r>
      <w:r w:rsidR="0019271D" w:rsidRPr="00EB1DA3">
        <w:rPr>
          <w:bCs/>
          <w:sz w:val="20"/>
          <w:szCs w:val="20"/>
        </w:rPr>
        <w:t xml:space="preserve">ax </w:t>
      </w:r>
      <w:r w:rsidRPr="00EB1DA3">
        <w:rPr>
          <w:sz w:val="20"/>
          <w:szCs w:val="20"/>
        </w:rPr>
        <w:t>on the richest one</w:t>
      </w:r>
      <w:r w:rsidR="0019271D" w:rsidRPr="00EB1DA3">
        <w:rPr>
          <w:sz w:val="20"/>
          <w:szCs w:val="20"/>
        </w:rPr>
        <w:t xml:space="preserve"> per cent of South Africans</w:t>
      </w:r>
      <w:r w:rsidRPr="00EB1DA3">
        <w:rPr>
          <w:sz w:val="20"/>
          <w:szCs w:val="20"/>
        </w:rPr>
        <w:t xml:space="preserve">. The submission also </w:t>
      </w:r>
      <w:r w:rsidR="0019271D" w:rsidRPr="00EB1DA3">
        <w:rPr>
          <w:sz w:val="20"/>
          <w:szCs w:val="20"/>
        </w:rPr>
        <w:t xml:space="preserve">indicated that the study </w:t>
      </w:r>
      <w:r w:rsidRPr="00EB1DA3">
        <w:rPr>
          <w:sz w:val="20"/>
          <w:szCs w:val="20"/>
        </w:rPr>
        <w:t>associated with the</w:t>
      </w:r>
      <w:r w:rsidR="0019271D" w:rsidRPr="00EB1DA3">
        <w:rPr>
          <w:sz w:val="20"/>
          <w:szCs w:val="20"/>
        </w:rPr>
        <w:t xml:space="preserve"> University of the Witwatersrand found that between R60 billion and R160 billion additional revenue can be raised from this source. Argentina and Bolivia were </w:t>
      </w:r>
      <w:r w:rsidRPr="00EB1DA3">
        <w:rPr>
          <w:sz w:val="20"/>
          <w:szCs w:val="20"/>
        </w:rPr>
        <w:t xml:space="preserve">also </w:t>
      </w:r>
      <w:r w:rsidR="0019271D" w:rsidRPr="00EB1DA3">
        <w:rPr>
          <w:sz w:val="20"/>
          <w:szCs w:val="20"/>
        </w:rPr>
        <w:t xml:space="preserve">cited as examples of countries that </w:t>
      </w:r>
      <w:r w:rsidR="0019271D" w:rsidRPr="00EB1DA3">
        <w:rPr>
          <w:sz w:val="20"/>
          <w:szCs w:val="20"/>
        </w:rPr>
        <w:lastRenderedPageBreak/>
        <w:t xml:space="preserve">have successfully implemented wealth tax. The WFP also raised concerns around the importance of </w:t>
      </w:r>
      <w:r w:rsidR="0019271D" w:rsidRPr="00EB1DA3">
        <w:rPr>
          <w:bCs/>
          <w:sz w:val="20"/>
          <w:szCs w:val="20"/>
        </w:rPr>
        <w:t xml:space="preserve">land ownership and redistribution and implementation of </w:t>
      </w:r>
      <w:r w:rsidRPr="00EB1DA3">
        <w:rPr>
          <w:bCs/>
          <w:sz w:val="20"/>
          <w:szCs w:val="20"/>
        </w:rPr>
        <w:t xml:space="preserve">the </w:t>
      </w:r>
      <w:r w:rsidR="0019271D" w:rsidRPr="00EB1DA3">
        <w:rPr>
          <w:bCs/>
          <w:sz w:val="20"/>
          <w:szCs w:val="20"/>
        </w:rPr>
        <w:t>BIG</w:t>
      </w:r>
      <w:r w:rsidR="0019271D" w:rsidRPr="00EB1DA3">
        <w:rPr>
          <w:sz w:val="20"/>
          <w:szCs w:val="20"/>
        </w:rPr>
        <w:t xml:space="preserve">. </w:t>
      </w:r>
    </w:p>
    <w:p w:rsidR="00BD1AE7" w:rsidRPr="00EB1DA3" w:rsidRDefault="00BD1AE7" w:rsidP="00EB1DA3">
      <w:pPr>
        <w:pStyle w:val="Heading3"/>
        <w:spacing w:before="0" w:line="240" w:lineRule="auto"/>
        <w:rPr>
          <w:rFonts w:ascii="Arial" w:hAnsi="Arial" w:cs="Arial"/>
          <w:sz w:val="20"/>
          <w:u w:val="none"/>
          <w:lang w:val="en-ZA" w:eastAsia="en-GB"/>
        </w:rPr>
      </w:pPr>
      <w:r w:rsidRPr="00EB1DA3">
        <w:rPr>
          <w:rFonts w:ascii="Arial" w:hAnsi="Arial" w:cs="Arial"/>
          <w:sz w:val="20"/>
          <w:u w:val="none"/>
          <w:lang w:val="en-ZA" w:eastAsia="en-GB"/>
        </w:rPr>
        <w:t xml:space="preserve">Recommendations made by stakeholders </w:t>
      </w:r>
      <w:r w:rsidR="00B77B95" w:rsidRPr="00EB1DA3">
        <w:rPr>
          <w:rFonts w:ascii="Arial" w:hAnsi="Arial" w:cs="Arial"/>
          <w:sz w:val="20"/>
          <w:u w:val="none"/>
          <w:lang w:val="en-ZA" w:eastAsia="en-GB"/>
        </w:rPr>
        <w:t>on expenditure issues</w:t>
      </w:r>
    </w:p>
    <w:p w:rsidR="00BD1AE7" w:rsidRPr="00EB1DA3" w:rsidRDefault="00BD1AE7" w:rsidP="00EB1DA3">
      <w:pPr>
        <w:pStyle w:val="Heading4"/>
        <w:spacing w:before="0" w:line="240" w:lineRule="auto"/>
        <w:rPr>
          <w:rFonts w:ascii="Arial" w:hAnsi="Arial" w:cs="Arial"/>
          <w:i w:val="0"/>
          <w:sz w:val="20"/>
          <w:lang w:val="en-ZA" w:eastAsia="en-GB"/>
        </w:rPr>
      </w:pPr>
      <w:r w:rsidRPr="00EB1DA3">
        <w:rPr>
          <w:rFonts w:ascii="Arial" w:hAnsi="Arial" w:cs="Arial"/>
          <w:i w:val="0"/>
          <w:sz w:val="20"/>
          <w:lang w:val="en-ZA" w:eastAsia="en-GB"/>
        </w:rPr>
        <w:t>SAICA</w:t>
      </w:r>
      <w:r w:rsidR="00F64CDA" w:rsidRPr="00EB1DA3">
        <w:rPr>
          <w:rFonts w:ascii="Arial" w:hAnsi="Arial" w:cs="Arial"/>
          <w:i w:val="0"/>
          <w:sz w:val="20"/>
          <w:lang w:val="en-ZA" w:eastAsia="en-GB"/>
        </w:rPr>
        <w:t xml:space="preserve"> indicated that </w:t>
      </w:r>
      <w:r w:rsidR="00F64CDA" w:rsidRPr="00EB1DA3">
        <w:rPr>
          <w:rFonts w:ascii="Arial" w:hAnsi="Arial" w:cs="Arial"/>
          <w:i w:val="0"/>
          <w:sz w:val="20"/>
        </w:rPr>
        <w:t>although it</w:t>
      </w:r>
      <w:r w:rsidRPr="00EB1DA3">
        <w:rPr>
          <w:rFonts w:ascii="Arial" w:hAnsi="Arial" w:cs="Arial"/>
          <w:i w:val="0"/>
          <w:sz w:val="20"/>
        </w:rPr>
        <w:t xml:space="preserve"> agree</w:t>
      </w:r>
      <w:r w:rsidR="00F64CDA" w:rsidRPr="00EB1DA3">
        <w:rPr>
          <w:rFonts w:ascii="Arial" w:hAnsi="Arial" w:cs="Arial"/>
          <w:i w:val="0"/>
          <w:sz w:val="20"/>
        </w:rPr>
        <w:t>s</w:t>
      </w:r>
      <w:r w:rsidR="003240C5" w:rsidRPr="00EB1DA3">
        <w:rPr>
          <w:rFonts w:ascii="Arial" w:hAnsi="Arial" w:cs="Arial"/>
          <w:i w:val="0"/>
          <w:sz w:val="20"/>
        </w:rPr>
        <w:t xml:space="preserve"> that</w:t>
      </w:r>
      <w:r w:rsidRPr="00EB1DA3">
        <w:rPr>
          <w:rFonts w:ascii="Arial" w:hAnsi="Arial" w:cs="Arial"/>
          <w:i w:val="0"/>
          <w:sz w:val="20"/>
        </w:rPr>
        <w:t xml:space="preserve"> SCoF is not solely responsible for the credibility of the budget, Parliament as a collective is and it is Parliament that determines how it arranges its affairs. </w:t>
      </w:r>
      <w:r w:rsidR="00F64CDA" w:rsidRPr="00EB1DA3">
        <w:rPr>
          <w:rFonts w:ascii="Arial" w:hAnsi="Arial" w:cs="Arial"/>
          <w:i w:val="0"/>
          <w:sz w:val="20"/>
        </w:rPr>
        <w:t xml:space="preserve">SAICA therefore, </w:t>
      </w:r>
      <w:r w:rsidRPr="00EB1DA3">
        <w:rPr>
          <w:rFonts w:ascii="Arial" w:hAnsi="Arial" w:cs="Arial"/>
          <w:i w:val="0"/>
          <w:sz w:val="20"/>
        </w:rPr>
        <w:t>suggest</w:t>
      </w:r>
      <w:r w:rsidR="00F64CDA" w:rsidRPr="00EB1DA3">
        <w:rPr>
          <w:rFonts w:ascii="Arial" w:hAnsi="Arial" w:cs="Arial"/>
          <w:i w:val="0"/>
          <w:sz w:val="20"/>
        </w:rPr>
        <w:t>s</w:t>
      </w:r>
      <w:r w:rsidRPr="00EB1DA3">
        <w:rPr>
          <w:rFonts w:ascii="Arial" w:hAnsi="Arial" w:cs="Arial"/>
          <w:i w:val="0"/>
          <w:sz w:val="20"/>
        </w:rPr>
        <w:t xml:space="preserve"> that the Standing Committee on Appropriations, the relevant Portfolio Committee and the Standing Committee on Public Accounts </w:t>
      </w:r>
      <w:r w:rsidR="00F64CDA" w:rsidRPr="00EB1DA3">
        <w:rPr>
          <w:rFonts w:ascii="Arial" w:hAnsi="Arial" w:cs="Arial"/>
          <w:i w:val="0"/>
          <w:sz w:val="20"/>
        </w:rPr>
        <w:t xml:space="preserve">should </w:t>
      </w:r>
      <w:r w:rsidRPr="00EB1DA3">
        <w:rPr>
          <w:rFonts w:ascii="Arial" w:hAnsi="Arial" w:cs="Arial"/>
          <w:i w:val="0"/>
          <w:sz w:val="20"/>
        </w:rPr>
        <w:t xml:space="preserve">join the JSCoF Budget Review public hearings to ensure that there are no gaps in the budgeting process so that a credible budget can be approved. </w:t>
      </w:r>
    </w:p>
    <w:p w:rsidR="00BD1AE7" w:rsidRPr="00EB1DA3" w:rsidRDefault="00BD1AE7" w:rsidP="00EB1DA3">
      <w:pPr>
        <w:pStyle w:val="Heading4"/>
        <w:spacing w:before="0" w:line="240" w:lineRule="auto"/>
        <w:rPr>
          <w:rFonts w:ascii="Arial" w:hAnsi="Arial" w:cs="Arial"/>
          <w:i w:val="0"/>
          <w:sz w:val="20"/>
        </w:rPr>
      </w:pPr>
      <w:r w:rsidRPr="00EB1DA3">
        <w:rPr>
          <w:rFonts w:ascii="Arial" w:hAnsi="Arial" w:cs="Arial"/>
          <w:i w:val="0"/>
          <w:sz w:val="20"/>
          <w:lang w:val="en-ZA" w:eastAsia="en-GB"/>
        </w:rPr>
        <w:t xml:space="preserve">SAICA </w:t>
      </w:r>
      <w:r w:rsidR="00FC7885" w:rsidRPr="00EB1DA3">
        <w:rPr>
          <w:rFonts w:ascii="Arial" w:hAnsi="Arial" w:cs="Arial"/>
          <w:i w:val="0"/>
          <w:sz w:val="20"/>
          <w:lang w:val="en-ZA" w:eastAsia="en-GB"/>
        </w:rPr>
        <w:t xml:space="preserve">recommends that </w:t>
      </w:r>
      <w:r w:rsidRPr="00EB1DA3">
        <w:rPr>
          <w:rFonts w:ascii="Arial" w:hAnsi="Arial" w:cs="Arial"/>
          <w:i w:val="0"/>
          <w:sz w:val="20"/>
        </w:rPr>
        <w:t xml:space="preserve">Parliament should better exercise its oversight powers over the </w:t>
      </w:r>
      <w:r w:rsidR="00FC7885" w:rsidRPr="00EB1DA3">
        <w:rPr>
          <w:rFonts w:ascii="Arial" w:hAnsi="Arial" w:cs="Arial"/>
          <w:i w:val="0"/>
          <w:sz w:val="20"/>
        </w:rPr>
        <w:t>NT</w:t>
      </w:r>
      <w:r w:rsidRPr="00EB1DA3">
        <w:rPr>
          <w:rFonts w:ascii="Arial" w:hAnsi="Arial" w:cs="Arial"/>
          <w:i w:val="0"/>
          <w:sz w:val="20"/>
        </w:rPr>
        <w:t xml:space="preserve"> to ensure that it is accountable </w:t>
      </w:r>
      <w:r w:rsidR="00FC7885" w:rsidRPr="00EB1DA3">
        <w:rPr>
          <w:rFonts w:ascii="Arial" w:hAnsi="Arial" w:cs="Arial"/>
          <w:i w:val="0"/>
          <w:sz w:val="20"/>
        </w:rPr>
        <w:t>for its obligation in terms of S</w:t>
      </w:r>
      <w:r w:rsidRPr="00EB1DA3">
        <w:rPr>
          <w:rFonts w:ascii="Arial" w:hAnsi="Arial" w:cs="Arial"/>
          <w:i w:val="0"/>
          <w:sz w:val="20"/>
        </w:rPr>
        <w:t>e</w:t>
      </w:r>
      <w:r w:rsidR="00FC7885" w:rsidRPr="00EB1DA3">
        <w:rPr>
          <w:rFonts w:ascii="Arial" w:hAnsi="Arial" w:cs="Arial"/>
          <w:i w:val="0"/>
          <w:sz w:val="20"/>
        </w:rPr>
        <w:t>ction 216 of the Constitution. T</w:t>
      </w:r>
      <w:r w:rsidRPr="00EB1DA3">
        <w:rPr>
          <w:rFonts w:ascii="Arial" w:hAnsi="Arial" w:cs="Arial"/>
          <w:i w:val="0"/>
          <w:sz w:val="20"/>
        </w:rPr>
        <w:t xml:space="preserve">hat is, the </w:t>
      </w:r>
      <w:r w:rsidR="00FC7885" w:rsidRPr="00EB1DA3">
        <w:rPr>
          <w:rFonts w:ascii="Arial" w:hAnsi="Arial" w:cs="Arial"/>
          <w:i w:val="0"/>
          <w:sz w:val="20"/>
        </w:rPr>
        <w:t>NT</w:t>
      </w:r>
      <w:r w:rsidRPr="00EB1DA3">
        <w:rPr>
          <w:rFonts w:ascii="Arial" w:hAnsi="Arial" w:cs="Arial"/>
          <w:i w:val="0"/>
          <w:sz w:val="20"/>
        </w:rPr>
        <w:t xml:space="preserve"> must consistently implement the constitutional remedy of withholding funds from government entities that have serious and persistent material breaches of treasury controls. The qualified audit reports will </w:t>
      </w:r>
      <w:r w:rsidR="00B24176" w:rsidRPr="00EB1DA3">
        <w:rPr>
          <w:rFonts w:ascii="Arial" w:hAnsi="Arial" w:cs="Arial"/>
          <w:i w:val="0"/>
          <w:sz w:val="20"/>
        </w:rPr>
        <w:t>indicate</w:t>
      </w:r>
      <w:r w:rsidRPr="00EB1DA3">
        <w:rPr>
          <w:rFonts w:ascii="Arial" w:hAnsi="Arial" w:cs="Arial"/>
          <w:i w:val="0"/>
          <w:sz w:val="20"/>
        </w:rPr>
        <w:t xml:space="preserve"> where this process should start. </w:t>
      </w:r>
    </w:p>
    <w:p w:rsidR="00EB6B6E" w:rsidRPr="00EB1DA3" w:rsidRDefault="00445EC6" w:rsidP="00EB1DA3">
      <w:pPr>
        <w:pStyle w:val="Heading4"/>
        <w:spacing w:before="0" w:line="240" w:lineRule="auto"/>
        <w:rPr>
          <w:rFonts w:ascii="Arial" w:hAnsi="Arial" w:cs="Arial"/>
          <w:i w:val="0"/>
          <w:sz w:val="20"/>
        </w:rPr>
      </w:pPr>
      <w:r w:rsidRPr="00EB1DA3">
        <w:rPr>
          <w:rFonts w:ascii="Arial" w:hAnsi="Arial" w:cs="Arial"/>
          <w:i w:val="0"/>
          <w:sz w:val="20"/>
        </w:rPr>
        <w:t xml:space="preserve">COSATU </w:t>
      </w:r>
      <w:r w:rsidR="00EB6B6E" w:rsidRPr="00EB1DA3">
        <w:rPr>
          <w:rFonts w:ascii="Arial" w:hAnsi="Arial" w:cs="Arial"/>
          <w:i w:val="0"/>
          <w:sz w:val="20"/>
        </w:rPr>
        <w:t>recommends</w:t>
      </w:r>
      <w:r w:rsidRPr="00EB1DA3">
        <w:rPr>
          <w:rFonts w:ascii="Arial" w:hAnsi="Arial" w:cs="Arial"/>
          <w:i w:val="0"/>
          <w:sz w:val="20"/>
        </w:rPr>
        <w:t xml:space="preserve"> that government should resolve the 2020 wage agreement matter and rebuil</w:t>
      </w:r>
      <w:r w:rsidR="00EB6B6E" w:rsidRPr="00EB1DA3">
        <w:rPr>
          <w:rFonts w:ascii="Arial" w:hAnsi="Arial" w:cs="Arial"/>
          <w:i w:val="0"/>
          <w:sz w:val="20"/>
        </w:rPr>
        <w:t>d trust with unions and workers and that t</w:t>
      </w:r>
      <w:r w:rsidRPr="00EB1DA3">
        <w:rPr>
          <w:rFonts w:ascii="Arial" w:hAnsi="Arial" w:cs="Arial"/>
          <w:i w:val="0"/>
          <w:sz w:val="20"/>
        </w:rPr>
        <w:t xml:space="preserve">he government needs to lead by example and cut the excessive packages paid to politicians and senior managers in the </w:t>
      </w:r>
      <w:r w:rsidR="00EB6B6E" w:rsidRPr="00EB1DA3">
        <w:rPr>
          <w:rFonts w:ascii="Arial" w:hAnsi="Arial" w:cs="Arial"/>
          <w:i w:val="0"/>
          <w:sz w:val="20"/>
        </w:rPr>
        <w:t xml:space="preserve">government </w:t>
      </w:r>
      <w:r w:rsidRPr="00EB1DA3">
        <w:rPr>
          <w:rFonts w:ascii="Arial" w:hAnsi="Arial" w:cs="Arial"/>
          <w:i w:val="0"/>
          <w:sz w:val="20"/>
        </w:rPr>
        <w:t>SOEs and to protect lower and middle-income public servants.</w:t>
      </w:r>
      <w:r w:rsidR="00EB6B6E" w:rsidRPr="00EB1DA3">
        <w:rPr>
          <w:rFonts w:ascii="Arial" w:hAnsi="Arial" w:cs="Arial"/>
          <w:i w:val="0"/>
          <w:sz w:val="20"/>
        </w:rPr>
        <w:t xml:space="preserve"> </w:t>
      </w:r>
    </w:p>
    <w:p w:rsidR="00BD1AE7" w:rsidRPr="00EB1DA3" w:rsidRDefault="005844F5" w:rsidP="00EB1DA3">
      <w:pPr>
        <w:pStyle w:val="Heading4"/>
        <w:spacing w:before="0" w:line="240" w:lineRule="auto"/>
        <w:rPr>
          <w:rFonts w:ascii="Arial" w:hAnsi="Arial" w:cs="Arial"/>
          <w:i w:val="0"/>
          <w:sz w:val="20"/>
        </w:rPr>
      </w:pPr>
      <w:r w:rsidRPr="00EB1DA3">
        <w:rPr>
          <w:rFonts w:ascii="Arial" w:hAnsi="Arial" w:cs="Arial"/>
          <w:i w:val="0"/>
          <w:sz w:val="20"/>
        </w:rPr>
        <w:t xml:space="preserve">The </w:t>
      </w:r>
      <w:r w:rsidR="00BD1AE7" w:rsidRPr="00EB1DA3">
        <w:rPr>
          <w:rFonts w:ascii="Arial" w:hAnsi="Arial" w:cs="Arial"/>
          <w:i w:val="0"/>
          <w:sz w:val="20"/>
        </w:rPr>
        <w:t>FCSG</w:t>
      </w:r>
      <w:r w:rsidRPr="00EB1DA3">
        <w:rPr>
          <w:rFonts w:ascii="Arial" w:hAnsi="Arial" w:cs="Arial"/>
          <w:i w:val="0"/>
          <w:sz w:val="20"/>
        </w:rPr>
        <w:t xml:space="preserve"> </w:t>
      </w:r>
      <w:r w:rsidRPr="00EB1DA3">
        <w:rPr>
          <w:rFonts w:ascii="Arial" w:hAnsi="Arial" w:cs="Arial"/>
          <w:bCs/>
          <w:i w:val="0"/>
          <w:sz w:val="20"/>
        </w:rPr>
        <w:t>recommends</w:t>
      </w:r>
      <w:r w:rsidR="00BD1AE7" w:rsidRPr="00EB1DA3">
        <w:rPr>
          <w:rFonts w:ascii="Arial" w:hAnsi="Arial" w:cs="Arial"/>
          <w:i w:val="0"/>
          <w:sz w:val="20"/>
        </w:rPr>
        <w:t xml:space="preserve"> that the growth restraint announced in the </w:t>
      </w:r>
      <w:r w:rsidRPr="00EB1DA3">
        <w:rPr>
          <w:rFonts w:ascii="Arial" w:hAnsi="Arial" w:cs="Arial"/>
          <w:i w:val="0"/>
          <w:sz w:val="20"/>
        </w:rPr>
        <w:t>2002 B</w:t>
      </w:r>
      <w:r w:rsidR="00BD1AE7" w:rsidRPr="00EB1DA3">
        <w:rPr>
          <w:rFonts w:ascii="Arial" w:hAnsi="Arial" w:cs="Arial"/>
          <w:i w:val="0"/>
          <w:sz w:val="20"/>
        </w:rPr>
        <w:t>udget should be applied in practice</w:t>
      </w:r>
      <w:r w:rsidRPr="00EB1DA3">
        <w:rPr>
          <w:rFonts w:ascii="Arial" w:hAnsi="Arial" w:cs="Arial"/>
          <w:i w:val="0"/>
          <w:sz w:val="20"/>
        </w:rPr>
        <w:t xml:space="preserve"> since</w:t>
      </w:r>
      <w:r w:rsidR="00BD1AE7" w:rsidRPr="00EB1DA3">
        <w:rPr>
          <w:rFonts w:ascii="Arial" w:hAnsi="Arial" w:cs="Arial"/>
          <w:i w:val="0"/>
          <w:sz w:val="20"/>
        </w:rPr>
        <w:t xml:space="preserve"> the whole budget rests on main</w:t>
      </w:r>
      <w:r w:rsidRPr="00EB1DA3">
        <w:rPr>
          <w:rFonts w:ascii="Arial" w:hAnsi="Arial" w:cs="Arial"/>
          <w:i w:val="0"/>
          <w:sz w:val="20"/>
        </w:rPr>
        <w:t>taining this budget position in respect of the</w:t>
      </w:r>
      <w:r w:rsidR="00BD1AE7" w:rsidRPr="00EB1DA3">
        <w:rPr>
          <w:rFonts w:ascii="Arial" w:hAnsi="Arial" w:cs="Arial"/>
          <w:i w:val="0"/>
          <w:sz w:val="20"/>
        </w:rPr>
        <w:t xml:space="preserve"> civil service remuneration</w:t>
      </w:r>
      <w:r w:rsidRPr="00EB1DA3">
        <w:rPr>
          <w:rFonts w:ascii="Arial" w:hAnsi="Arial" w:cs="Arial"/>
          <w:i w:val="0"/>
          <w:sz w:val="20"/>
        </w:rPr>
        <w:t xml:space="preserve">. </w:t>
      </w:r>
      <w:r w:rsidR="00BD1AE7" w:rsidRPr="00EB1DA3">
        <w:rPr>
          <w:rFonts w:ascii="Arial" w:hAnsi="Arial" w:cs="Arial"/>
          <w:i w:val="0"/>
          <w:sz w:val="20"/>
        </w:rPr>
        <w:t>If this position slips, the budget falls apart.</w:t>
      </w:r>
    </w:p>
    <w:p w:rsidR="00445EC6" w:rsidRPr="00EB1DA3" w:rsidRDefault="005B769D" w:rsidP="00EB1DA3">
      <w:pPr>
        <w:pStyle w:val="Heading4"/>
        <w:spacing w:before="0" w:line="240" w:lineRule="auto"/>
        <w:rPr>
          <w:rFonts w:ascii="Arial" w:hAnsi="Arial" w:cs="Arial"/>
          <w:i w:val="0"/>
          <w:sz w:val="20"/>
          <w:lang w:val="en-ZA" w:eastAsia="en-GB"/>
        </w:rPr>
      </w:pPr>
      <w:r w:rsidRPr="00EB1DA3">
        <w:rPr>
          <w:rFonts w:ascii="Arial" w:hAnsi="Arial" w:cs="Arial"/>
          <w:i w:val="0"/>
          <w:sz w:val="20"/>
        </w:rPr>
        <w:t xml:space="preserve">While </w:t>
      </w:r>
      <w:r w:rsidR="00445EC6" w:rsidRPr="00EB1DA3">
        <w:rPr>
          <w:rFonts w:ascii="Arial" w:hAnsi="Arial" w:cs="Arial"/>
          <w:i w:val="0"/>
          <w:sz w:val="20"/>
        </w:rPr>
        <w:t xml:space="preserve">COSATU </w:t>
      </w:r>
      <w:r w:rsidRPr="00EB1DA3">
        <w:rPr>
          <w:rFonts w:ascii="Arial" w:hAnsi="Arial" w:cs="Arial"/>
          <w:i w:val="0"/>
          <w:sz w:val="20"/>
        </w:rPr>
        <w:t>welcomes</w:t>
      </w:r>
      <w:r w:rsidR="00445EC6" w:rsidRPr="00EB1DA3">
        <w:rPr>
          <w:rFonts w:ascii="Arial" w:hAnsi="Arial" w:cs="Arial"/>
          <w:i w:val="0"/>
          <w:sz w:val="20"/>
        </w:rPr>
        <w:t xml:space="preserve"> the additional funding for </w:t>
      </w:r>
      <w:r w:rsidR="0069444E" w:rsidRPr="00EB1DA3">
        <w:rPr>
          <w:rFonts w:ascii="Arial" w:hAnsi="Arial" w:cs="Arial"/>
          <w:i w:val="0"/>
          <w:sz w:val="20"/>
        </w:rPr>
        <w:t xml:space="preserve">Eskom, Transnet, </w:t>
      </w:r>
      <w:r w:rsidR="008218E8" w:rsidRPr="00EB1DA3">
        <w:rPr>
          <w:rFonts w:ascii="Arial" w:hAnsi="Arial" w:cs="Arial"/>
          <w:i w:val="0"/>
          <w:sz w:val="20"/>
        </w:rPr>
        <w:t>Passenger Rail Agency of South Africa (</w:t>
      </w:r>
      <w:r w:rsidR="0069444E" w:rsidRPr="00EB1DA3">
        <w:rPr>
          <w:rFonts w:ascii="Arial" w:hAnsi="Arial" w:cs="Arial"/>
          <w:i w:val="0"/>
          <w:sz w:val="20"/>
        </w:rPr>
        <w:t>PRASA</w:t>
      </w:r>
      <w:r w:rsidR="008218E8" w:rsidRPr="00EB1DA3">
        <w:rPr>
          <w:rFonts w:ascii="Arial" w:hAnsi="Arial" w:cs="Arial"/>
          <w:i w:val="0"/>
          <w:sz w:val="20"/>
        </w:rPr>
        <w:t>)</w:t>
      </w:r>
      <w:r w:rsidR="0069444E" w:rsidRPr="00EB1DA3">
        <w:rPr>
          <w:rFonts w:ascii="Arial" w:hAnsi="Arial" w:cs="Arial"/>
          <w:i w:val="0"/>
          <w:sz w:val="20"/>
        </w:rPr>
        <w:t xml:space="preserve"> and Denel</w:t>
      </w:r>
      <w:r w:rsidRPr="00EB1DA3">
        <w:rPr>
          <w:rFonts w:ascii="Arial" w:hAnsi="Arial" w:cs="Arial"/>
          <w:i w:val="0"/>
          <w:sz w:val="20"/>
        </w:rPr>
        <w:t>, it recomme</w:t>
      </w:r>
      <w:r w:rsidR="00FD605D" w:rsidRPr="00EB1DA3">
        <w:rPr>
          <w:rFonts w:ascii="Arial" w:hAnsi="Arial" w:cs="Arial"/>
          <w:i w:val="0"/>
          <w:sz w:val="20"/>
        </w:rPr>
        <w:t>nded</w:t>
      </w:r>
      <w:r w:rsidRPr="00EB1DA3">
        <w:rPr>
          <w:rFonts w:ascii="Arial" w:hAnsi="Arial" w:cs="Arial"/>
          <w:i w:val="0"/>
          <w:sz w:val="20"/>
        </w:rPr>
        <w:t xml:space="preserve"> that t</w:t>
      </w:r>
      <w:r w:rsidR="00445EC6" w:rsidRPr="00EB1DA3">
        <w:rPr>
          <w:rFonts w:ascii="Arial" w:hAnsi="Arial" w:cs="Arial"/>
          <w:i w:val="0"/>
          <w:sz w:val="20"/>
        </w:rPr>
        <w:t>he planned retrenchment of 6</w:t>
      </w:r>
      <w:r w:rsidRPr="00EB1DA3">
        <w:rPr>
          <w:rFonts w:ascii="Arial" w:hAnsi="Arial" w:cs="Arial"/>
          <w:i w:val="0"/>
          <w:sz w:val="20"/>
        </w:rPr>
        <w:t xml:space="preserve"> 000 </w:t>
      </w:r>
      <w:r w:rsidR="00DC669C" w:rsidRPr="00EB1DA3">
        <w:rPr>
          <w:rFonts w:ascii="Arial" w:hAnsi="Arial" w:cs="Arial"/>
          <w:i w:val="0"/>
          <w:sz w:val="20"/>
        </w:rPr>
        <w:t>South African Post Office (</w:t>
      </w:r>
      <w:r w:rsidRPr="00EB1DA3">
        <w:rPr>
          <w:rFonts w:ascii="Arial" w:hAnsi="Arial" w:cs="Arial"/>
          <w:i w:val="0"/>
          <w:sz w:val="20"/>
        </w:rPr>
        <w:t>SAPO</w:t>
      </w:r>
      <w:r w:rsidR="00DC669C" w:rsidRPr="00EB1DA3">
        <w:rPr>
          <w:rFonts w:ascii="Arial" w:hAnsi="Arial" w:cs="Arial"/>
          <w:i w:val="0"/>
          <w:sz w:val="20"/>
        </w:rPr>
        <w:t>)</w:t>
      </w:r>
      <w:r w:rsidR="00445EC6" w:rsidRPr="00EB1DA3">
        <w:rPr>
          <w:rFonts w:ascii="Arial" w:hAnsi="Arial" w:cs="Arial"/>
          <w:i w:val="0"/>
          <w:sz w:val="20"/>
        </w:rPr>
        <w:t xml:space="preserve"> workers must be stopped</w:t>
      </w:r>
      <w:r w:rsidRPr="00EB1DA3">
        <w:rPr>
          <w:rFonts w:ascii="Arial" w:hAnsi="Arial" w:cs="Arial"/>
          <w:i w:val="0"/>
          <w:sz w:val="20"/>
        </w:rPr>
        <w:t xml:space="preserve">, that alternatives to retrenchments must be found, that </w:t>
      </w:r>
      <w:r w:rsidR="00445EC6" w:rsidRPr="00EB1DA3">
        <w:rPr>
          <w:rFonts w:ascii="Arial" w:hAnsi="Arial" w:cs="Arial"/>
          <w:i w:val="0"/>
          <w:sz w:val="20"/>
        </w:rPr>
        <w:t xml:space="preserve">clear turnaround plans </w:t>
      </w:r>
      <w:r w:rsidRPr="00EB1DA3">
        <w:rPr>
          <w:rFonts w:ascii="Arial" w:hAnsi="Arial" w:cs="Arial"/>
          <w:i w:val="0"/>
          <w:sz w:val="20"/>
        </w:rPr>
        <w:t>should be</w:t>
      </w:r>
      <w:r w:rsidR="00445EC6" w:rsidRPr="00EB1DA3">
        <w:rPr>
          <w:rFonts w:ascii="Arial" w:hAnsi="Arial" w:cs="Arial"/>
          <w:i w:val="0"/>
          <w:sz w:val="20"/>
        </w:rPr>
        <w:t xml:space="preserve"> put i</w:t>
      </w:r>
      <w:r w:rsidRPr="00EB1DA3">
        <w:rPr>
          <w:rFonts w:ascii="Arial" w:hAnsi="Arial" w:cs="Arial"/>
          <w:i w:val="0"/>
          <w:sz w:val="20"/>
        </w:rPr>
        <w:t xml:space="preserve">n place to save and rebuild </w:t>
      </w:r>
      <w:r w:rsidR="00445EC6" w:rsidRPr="00EB1DA3">
        <w:rPr>
          <w:rFonts w:ascii="Arial" w:hAnsi="Arial" w:cs="Arial"/>
          <w:i w:val="0"/>
          <w:sz w:val="20"/>
        </w:rPr>
        <w:t>SOEs</w:t>
      </w:r>
      <w:r w:rsidRPr="00EB1DA3">
        <w:rPr>
          <w:rFonts w:ascii="Arial" w:hAnsi="Arial" w:cs="Arial"/>
          <w:i w:val="0"/>
          <w:sz w:val="20"/>
        </w:rPr>
        <w:t xml:space="preserve">, that </w:t>
      </w:r>
      <w:r w:rsidR="00445EC6" w:rsidRPr="00EB1DA3">
        <w:rPr>
          <w:rFonts w:ascii="Arial" w:hAnsi="Arial" w:cs="Arial"/>
          <w:i w:val="0"/>
          <w:sz w:val="20"/>
        </w:rPr>
        <w:t>the</w:t>
      </w:r>
      <w:r w:rsidRPr="00EB1DA3">
        <w:rPr>
          <w:rFonts w:ascii="Arial" w:hAnsi="Arial" w:cs="Arial"/>
          <w:i w:val="0"/>
          <w:sz w:val="20"/>
        </w:rPr>
        <w:t xml:space="preserve"> government should ensure that a</w:t>
      </w:r>
      <w:r w:rsidR="00445EC6" w:rsidRPr="00EB1DA3">
        <w:rPr>
          <w:rFonts w:ascii="Arial" w:hAnsi="Arial" w:cs="Arial"/>
          <w:i w:val="0"/>
          <w:sz w:val="20"/>
        </w:rPr>
        <w:t xml:space="preserve"> review of the fuel price regime happen</w:t>
      </w:r>
      <w:r w:rsidRPr="00EB1DA3">
        <w:rPr>
          <w:rFonts w:ascii="Arial" w:hAnsi="Arial" w:cs="Arial"/>
          <w:i w:val="0"/>
          <w:sz w:val="20"/>
        </w:rPr>
        <w:t>s</w:t>
      </w:r>
      <w:r w:rsidR="00445EC6" w:rsidRPr="00EB1DA3">
        <w:rPr>
          <w:rFonts w:ascii="Arial" w:hAnsi="Arial" w:cs="Arial"/>
          <w:i w:val="0"/>
          <w:sz w:val="20"/>
        </w:rPr>
        <w:t xml:space="preserve"> and </w:t>
      </w:r>
      <w:r w:rsidRPr="00EB1DA3">
        <w:rPr>
          <w:rFonts w:ascii="Arial" w:hAnsi="Arial" w:cs="Arial"/>
          <w:i w:val="0"/>
          <w:sz w:val="20"/>
        </w:rPr>
        <w:t>that</w:t>
      </w:r>
      <w:r w:rsidR="00445EC6" w:rsidRPr="00EB1DA3">
        <w:rPr>
          <w:rFonts w:ascii="Arial" w:hAnsi="Arial" w:cs="Arial"/>
          <w:i w:val="0"/>
          <w:sz w:val="20"/>
        </w:rPr>
        <w:t xml:space="preserve"> govern</w:t>
      </w:r>
      <w:r w:rsidRPr="00EB1DA3">
        <w:rPr>
          <w:rFonts w:ascii="Arial" w:hAnsi="Arial" w:cs="Arial"/>
          <w:i w:val="0"/>
          <w:sz w:val="20"/>
        </w:rPr>
        <w:t xml:space="preserve">ment </w:t>
      </w:r>
      <w:r w:rsidR="00445EC6" w:rsidRPr="00EB1DA3">
        <w:rPr>
          <w:rFonts w:ascii="Arial" w:hAnsi="Arial" w:cs="Arial"/>
          <w:i w:val="0"/>
          <w:sz w:val="20"/>
        </w:rPr>
        <w:t>needs to re</w:t>
      </w:r>
      <w:r w:rsidR="002F6EDD" w:rsidRPr="00EB1DA3">
        <w:rPr>
          <w:rFonts w:ascii="Arial" w:hAnsi="Arial" w:cs="Arial"/>
          <w:i w:val="0"/>
          <w:sz w:val="20"/>
        </w:rPr>
        <w:t>-</w:t>
      </w:r>
      <w:r w:rsidR="00445EC6" w:rsidRPr="00EB1DA3">
        <w:rPr>
          <w:rFonts w:ascii="Arial" w:hAnsi="Arial" w:cs="Arial"/>
          <w:i w:val="0"/>
          <w:sz w:val="20"/>
        </w:rPr>
        <w:t xml:space="preserve">table the </w:t>
      </w:r>
      <w:r w:rsidR="0051253C" w:rsidRPr="00EB1DA3">
        <w:rPr>
          <w:rFonts w:ascii="Arial" w:hAnsi="Arial" w:cs="Arial"/>
          <w:i w:val="0"/>
          <w:sz w:val="20"/>
        </w:rPr>
        <w:t>Road Accident Fund (</w:t>
      </w:r>
      <w:r w:rsidR="00445EC6" w:rsidRPr="00EB1DA3">
        <w:rPr>
          <w:rFonts w:ascii="Arial" w:hAnsi="Arial" w:cs="Arial"/>
          <w:i w:val="0"/>
          <w:sz w:val="20"/>
        </w:rPr>
        <w:t>RAF</w:t>
      </w:r>
      <w:r w:rsidR="0051253C" w:rsidRPr="00EB1DA3">
        <w:rPr>
          <w:rFonts w:ascii="Arial" w:hAnsi="Arial" w:cs="Arial"/>
          <w:i w:val="0"/>
          <w:sz w:val="20"/>
        </w:rPr>
        <w:t>)</w:t>
      </w:r>
      <w:r w:rsidR="00445EC6" w:rsidRPr="00EB1DA3">
        <w:rPr>
          <w:rFonts w:ascii="Arial" w:hAnsi="Arial" w:cs="Arial"/>
          <w:i w:val="0"/>
          <w:sz w:val="20"/>
        </w:rPr>
        <w:t xml:space="preserve"> and </w:t>
      </w:r>
      <w:r w:rsidR="002F6EDD" w:rsidRPr="00EB1DA3">
        <w:rPr>
          <w:rFonts w:ascii="Arial" w:hAnsi="Arial" w:cs="Arial"/>
          <w:i w:val="0"/>
          <w:sz w:val="20"/>
        </w:rPr>
        <w:t>Road Accident Benefit Scheme (</w:t>
      </w:r>
      <w:r w:rsidR="00445EC6" w:rsidRPr="00EB1DA3">
        <w:rPr>
          <w:rFonts w:ascii="Arial" w:hAnsi="Arial" w:cs="Arial"/>
          <w:i w:val="0"/>
          <w:sz w:val="20"/>
        </w:rPr>
        <w:t>RABS</w:t>
      </w:r>
      <w:r w:rsidR="002F6EDD" w:rsidRPr="00EB1DA3">
        <w:rPr>
          <w:rFonts w:ascii="Arial" w:hAnsi="Arial" w:cs="Arial"/>
          <w:i w:val="0"/>
          <w:sz w:val="20"/>
        </w:rPr>
        <w:t>)</w:t>
      </w:r>
      <w:r w:rsidRPr="00EB1DA3">
        <w:rPr>
          <w:rFonts w:ascii="Arial" w:hAnsi="Arial" w:cs="Arial"/>
          <w:i w:val="0"/>
          <w:sz w:val="20"/>
        </w:rPr>
        <w:t xml:space="preserve"> Bills in</w:t>
      </w:r>
      <w:r w:rsidR="00445EC6" w:rsidRPr="00EB1DA3">
        <w:rPr>
          <w:rFonts w:ascii="Arial" w:hAnsi="Arial" w:cs="Arial"/>
          <w:i w:val="0"/>
          <w:sz w:val="20"/>
        </w:rPr>
        <w:t xml:space="preserve"> Parliament as part of overhauling the fuel price and addressing the RAF’s ballooning liabilities</w:t>
      </w:r>
      <w:r w:rsidRPr="00EB1DA3">
        <w:rPr>
          <w:rFonts w:ascii="Arial" w:hAnsi="Arial" w:cs="Arial"/>
          <w:i w:val="0"/>
          <w:sz w:val="20"/>
        </w:rPr>
        <w:t>.</w:t>
      </w:r>
    </w:p>
    <w:p w:rsidR="00BD1AE7" w:rsidRPr="00EB1DA3" w:rsidRDefault="00BD1AE7" w:rsidP="00EB1DA3">
      <w:pPr>
        <w:pStyle w:val="Heading4"/>
        <w:spacing w:before="0" w:line="240" w:lineRule="auto"/>
        <w:rPr>
          <w:rFonts w:ascii="Arial" w:hAnsi="Arial" w:cs="Arial"/>
          <w:i w:val="0"/>
          <w:sz w:val="20"/>
          <w:lang w:val="en-ZA" w:eastAsia="en-GB"/>
        </w:rPr>
      </w:pPr>
      <w:r w:rsidRPr="00EB1DA3">
        <w:rPr>
          <w:rFonts w:ascii="Arial" w:hAnsi="Arial" w:cs="Arial"/>
          <w:i w:val="0"/>
          <w:sz w:val="20"/>
          <w:lang w:val="en-ZA" w:eastAsia="en-GB"/>
        </w:rPr>
        <w:t>FCSG</w:t>
      </w:r>
      <w:r w:rsidR="00FD605D" w:rsidRPr="00EB1DA3">
        <w:rPr>
          <w:rFonts w:ascii="Arial" w:hAnsi="Arial" w:cs="Arial"/>
          <w:i w:val="0"/>
          <w:sz w:val="20"/>
          <w:lang w:val="en-ZA" w:eastAsia="en-GB"/>
        </w:rPr>
        <w:t xml:space="preserve"> recommended</w:t>
      </w:r>
      <w:r w:rsidR="0069444E" w:rsidRPr="00EB1DA3">
        <w:rPr>
          <w:rFonts w:ascii="Arial" w:hAnsi="Arial" w:cs="Arial"/>
          <w:i w:val="0"/>
          <w:sz w:val="20"/>
          <w:lang w:val="en-ZA" w:eastAsia="en-GB"/>
        </w:rPr>
        <w:t xml:space="preserve"> that </w:t>
      </w:r>
      <w:r w:rsidRPr="00EB1DA3">
        <w:rPr>
          <w:rFonts w:ascii="Arial" w:hAnsi="Arial" w:cs="Arial"/>
          <w:i w:val="0"/>
          <w:sz w:val="20"/>
          <w:lang w:val="en-ZA" w:eastAsia="en-GB"/>
        </w:rPr>
        <w:t xml:space="preserve">NT should refrain from helping non-essential or failed SOEs; publish a review of the “extensive borrowing powers” of SOEs as an annexure to the 22 MTBPS, thus serving an early warning in respect of possible further financial problems and publish a list of all SOEs in the 2022 MTBPS for further analysis and scrutiny. </w:t>
      </w:r>
    </w:p>
    <w:p w:rsidR="0069444E" w:rsidRPr="00EB1DA3" w:rsidRDefault="00FD605D" w:rsidP="00EB1DA3">
      <w:pPr>
        <w:pStyle w:val="Heading4"/>
        <w:spacing w:before="0" w:line="240" w:lineRule="auto"/>
        <w:rPr>
          <w:rFonts w:ascii="Arial" w:hAnsi="Arial" w:cs="Arial"/>
          <w:i w:val="0"/>
          <w:sz w:val="20"/>
          <w:lang w:val="en-ZA" w:eastAsia="en-GB"/>
        </w:rPr>
      </w:pPr>
      <w:r w:rsidRPr="00EB1DA3">
        <w:rPr>
          <w:rFonts w:ascii="Arial" w:hAnsi="Arial" w:cs="Arial"/>
          <w:i w:val="0"/>
          <w:sz w:val="20"/>
          <w:lang w:val="en-ZA" w:eastAsia="en-GB"/>
        </w:rPr>
        <w:t>FFC recommended</w:t>
      </w:r>
      <w:r w:rsidR="0069444E" w:rsidRPr="00EB1DA3">
        <w:rPr>
          <w:rFonts w:ascii="Arial" w:hAnsi="Arial" w:cs="Arial"/>
          <w:i w:val="0"/>
          <w:sz w:val="20"/>
          <w:lang w:val="en-ZA" w:eastAsia="en-GB"/>
        </w:rPr>
        <w:t xml:space="preserve"> that government should assess the SOEs </w:t>
      </w:r>
      <w:r w:rsidR="00B24176" w:rsidRPr="00EB1DA3">
        <w:rPr>
          <w:rFonts w:ascii="Arial" w:hAnsi="Arial" w:cs="Arial"/>
          <w:i w:val="0"/>
          <w:sz w:val="20"/>
          <w:lang w:val="en-ZA" w:eastAsia="en-GB"/>
        </w:rPr>
        <w:t>to</w:t>
      </w:r>
      <w:r w:rsidR="0069444E" w:rsidRPr="00EB1DA3">
        <w:rPr>
          <w:rFonts w:ascii="Arial" w:hAnsi="Arial" w:cs="Arial"/>
          <w:i w:val="0"/>
          <w:sz w:val="20"/>
          <w:lang w:val="en-ZA" w:eastAsia="en-GB"/>
        </w:rPr>
        <w:t xml:space="preserve"> appraise their profitable feasibility, operational efficiency, their track record in resolving market failures, and attaining developmental goals. Also, the government should homogenise the legislative framework for SOEs </w:t>
      </w:r>
      <w:r w:rsidR="00B24176" w:rsidRPr="00EB1DA3">
        <w:rPr>
          <w:rFonts w:ascii="Arial" w:hAnsi="Arial" w:cs="Arial"/>
          <w:i w:val="0"/>
          <w:sz w:val="20"/>
          <w:lang w:val="en-ZA" w:eastAsia="en-GB"/>
        </w:rPr>
        <w:t>to</w:t>
      </w:r>
      <w:r w:rsidR="0069444E" w:rsidRPr="00EB1DA3">
        <w:rPr>
          <w:rFonts w:ascii="Arial" w:hAnsi="Arial" w:cs="Arial"/>
          <w:i w:val="0"/>
          <w:sz w:val="20"/>
          <w:lang w:val="en-ZA" w:eastAsia="en-GB"/>
        </w:rPr>
        <w:t xml:space="preserve"> remove legal ambiguity, reinforce implementation, and improve disclosure and reporting requirements</w:t>
      </w:r>
      <w:r w:rsidR="0069444E" w:rsidRPr="00EB1DA3">
        <w:rPr>
          <w:rFonts w:ascii="Arial" w:hAnsi="Arial" w:cs="Arial"/>
          <w:i w:val="0"/>
          <w:color w:val="FF0000"/>
          <w:sz w:val="20"/>
          <w:lang w:val="en-ZA" w:eastAsia="en-GB"/>
        </w:rPr>
        <w:t xml:space="preserve">. </w:t>
      </w:r>
      <w:r w:rsidRPr="00EB1DA3">
        <w:rPr>
          <w:rFonts w:ascii="Arial" w:hAnsi="Arial" w:cs="Arial"/>
          <w:i w:val="0"/>
          <w:color w:val="404040" w:themeColor="text1" w:themeTint="BF"/>
          <w:sz w:val="20"/>
          <w:lang w:val="en-ZA" w:eastAsia="en-GB"/>
        </w:rPr>
        <w:t>FFC</w:t>
      </w:r>
      <w:r w:rsidR="0069444E" w:rsidRPr="00EB1DA3">
        <w:rPr>
          <w:rFonts w:ascii="Arial" w:hAnsi="Arial" w:cs="Arial"/>
          <w:i w:val="0"/>
          <w:color w:val="404040" w:themeColor="text1" w:themeTint="BF"/>
          <w:sz w:val="20"/>
          <w:lang w:val="en-ZA" w:eastAsia="en-GB"/>
        </w:rPr>
        <w:t xml:space="preserve"> </w:t>
      </w:r>
      <w:r w:rsidR="0069444E" w:rsidRPr="00EB1DA3">
        <w:rPr>
          <w:rFonts w:ascii="Arial" w:hAnsi="Arial" w:cs="Arial"/>
          <w:i w:val="0"/>
          <w:sz w:val="20"/>
          <w:lang w:val="en-ZA" w:eastAsia="en-GB"/>
        </w:rPr>
        <w:t>further reco</w:t>
      </w:r>
      <w:r w:rsidRPr="00EB1DA3">
        <w:rPr>
          <w:rFonts w:ascii="Arial" w:hAnsi="Arial" w:cs="Arial"/>
          <w:i w:val="0"/>
          <w:sz w:val="20"/>
          <w:lang w:val="en-ZA" w:eastAsia="en-GB"/>
        </w:rPr>
        <w:t>mmended</w:t>
      </w:r>
      <w:r w:rsidR="0069444E" w:rsidRPr="00EB1DA3">
        <w:rPr>
          <w:rFonts w:ascii="Arial" w:hAnsi="Arial" w:cs="Arial"/>
          <w:i w:val="0"/>
          <w:sz w:val="20"/>
          <w:lang w:val="en-ZA" w:eastAsia="en-GB"/>
        </w:rPr>
        <w:t xml:space="preserve"> that the government should implement the necessary operational, governance and financial reforms that would enable SOEs to effectively and efficiently deliver infrastructure </w:t>
      </w:r>
      <w:r w:rsidR="00B24176" w:rsidRPr="00EB1DA3">
        <w:rPr>
          <w:rFonts w:ascii="Arial" w:hAnsi="Arial" w:cs="Arial"/>
          <w:i w:val="0"/>
          <w:sz w:val="20"/>
          <w:lang w:val="en-ZA" w:eastAsia="en-GB"/>
        </w:rPr>
        <w:t>to</w:t>
      </w:r>
      <w:r w:rsidR="0069444E" w:rsidRPr="00EB1DA3">
        <w:rPr>
          <w:rFonts w:ascii="Arial" w:hAnsi="Arial" w:cs="Arial"/>
          <w:i w:val="0"/>
          <w:sz w:val="20"/>
          <w:lang w:val="en-ZA" w:eastAsia="en-GB"/>
        </w:rPr>
        <w:t xml:space="preserve"> realise a</w:t>
      </w:r>
      <w:r w:rsidR="00B24176" w:rsidRPr="00EB1DA3">
        <w:rPr>
          <w:rFonts w:ascii="Arial" w:hAnsi="Arial" w:cs="Arial"/>
          <w:i w:val="0"/>
          <w:sz w:val="20"/>
          <w:lang w:val="en-ZA" w:eastAsia="en-GB"/>
        </w:rPr>
        <w:t>n</w:t>
      </w:r>
      <w:r w:rsidR="0069444E" w:rsidRPr="00EB1DA3">
        <w:rPr>
          <w:rFonts w:ascii="Arial" w:hAnsi="Arial" w:cs="Arial"/>
          <w:i w:val="0"/>
          <w:sz w:val="20"/>
          <w:lang w:val="en-ZA" w:eastAsia="en-GB"/>
        </w:rPr>
        <w:t xml:space="preserve"> investment</w:t>
      </w:r>
      <w:r w:rsidR="00B24176" w:rsidRPr="00EB1DA3">
        <w:rPr>
          <w:rFonts w:ascii="Arial" w:hAnsi="Arial" w:cs="Arial"/>
          <w:i w:val="0"/>
          <w:sz w:val="20"/>
          <w:lang w:val="en-ZA" w:eastAsia="en-GB"/>
        </w:rPr>
        <w:t xml:space="preserve"> return</w:t>
      </w:r>
      <w:r w:rsidR="0069444E" w:rsidRPr="00EB1DA3">
        <w:rPr>
          <w:rFonts w:ascii="Arial" w:hAnsi="Arial" w:cs="Arial"/>
          <w:i w:val="0"/>
          <w:sz w:val="20"/>
          <w:lang w:val="en-ZA" w:eastAsia="en-GB"/>
        </w:rPr>
        <w:t>.</w:t>
      </w:r>
    </w:p>
    <w:p w:rsidR="001C7CEE" w:rsidRPr="00EB1DA3" w:rsidRDefault="001C7CEE" w:rsidP="00EB1DA3">
      <w:pPr>
        <w:pStyle w:val="Heading4"/>
        <w:spacing w:before="0" w:line="240" w:lineRule="auto"/>
        <w:rPr>
          <w:rFonts w:ascii="Arial" w:hAnsi="Arial" w:cs="Arial"/>
          <w:i w:val="0"/>
          <w:sz w:val="20"/>
        </w:rPr>
      </w:pPr>
      <w:r w:rsidRPr="00EB1DA3">
        <w:rPr>
          <w:rFonts w:ascii="Arial" w:hAnsi="Arial" w:cs="Arial"/>
          <w:i w:val="0"/>
          <w:sz w:val="20"/>
        </w:rPr>
        <w:t>COSATU, IEJ, Amandla.mobi and WFP recommend</w:t>
      </w:r>
      <w:r w:rsidR="00FD605D" w:rsidRPr="00EB1DA3">
        <w:rPr>
          <w:rFonts w:ascii="Arial" w:hAnsi="Arial" w:cs="Arial"/>
          <w:i w:val="0"/>
          <w:sz w:val="20"/>
        </w:rPr>
        <w:t>ed</w:t>
      </w:r>
      <w:r w:rsidRPr="00EB1DA3">
        <w:rPr>
          <w:rFonts w:ascii="Arial" w:hAnsi="Arial" w:cs="Arial"/>
          <w:i w:val="0"/>
          <w:sz w:val="20"/>
        </w:rPr>
        <w:t xml:space="preserve"> that the R350 SRD grant should be extended beyond March 2023 and be used as a foundation for a BIG and that the </w:t>
      </w:r>
      <w:r w:rsidRPr="00EB1DA3">
        <w:rPr>
          <w:rFonts w:ascii="Arial" w:hAnsi="Arial" w:cs="Arial"/>
          <w:i w:val="0"/>
          <w:sz w:val="20"/>
          <w:lang w:val="en-ZA" w:eastAsia="en-GB"/>
        </w:rPr>
        <w:t>budget cuts to public services must be reversed.</w:t>
      </w:r>
    </w:p>
    <w:p w:rsidR="001C7CEE" w:rsidRPr="00EB1DA3" w:rsidRDefault="00FD605D" w:rsidP="00EB1DA3">
      <w:pPr>
        <w:pStyle w:val="Heading4"/>
        <w:spacing w:before="0" w:line="240" w:lineRule="auto"/>
        <w:rPr>
          <w:rFonts w:ascii="Arial" w:hAnsi="Arial" w:cs="Arial"/>
          <w:i w:val="0"/>
          <w:sz w:val="20"/>
        </w:rPr>
      </w:pPr>
      <w:r w:rsidRPr="00EB1DA3">
        <w:rPr>
          <w:rFonts w:ascii="Arial" w:hAnsi="Arial" w:cs="Arial"/>
          <w:i w:val="0"/>
          <w:sz w:val="20"/>
          <w:lang w:val="en-ZA" w:eastAsia="en-GB"/>
        </w:rPr>
        <w:t>Amandla.mobi. further recommended</w:t>
      </w:r>
      <w:r w:rsidR="001C7CEE" w:rsidRPr="00EB1DA3">
        <w:rPr>
          <w:rFonts w:ascii="Arial" w:hAnsi="Arial" w:cs="Arial"/>
          <w:i w:val="0"/>
          <w:sz w:val="20"/>
          <w:lang w:val="en-ZA" w:eastAsia="en-GB"/>
        </w:rPr>
        <w:t xml:space="preserve"> that government should make significant increases to all social grants, such as increasing the child support grant to R950 per child and expanding to include pregnant mothers, increasing the old age grant to </w:t>
      </w:r>
      <w:r w:rsidR="0026522D" w:rsidRPr="00EB1DA3">
        <w:rPr>
          <w:rFonts w:ascii="Arial" w:hAnsi="Arial" w:cs="Arial"/>
          <w:i w:val="0"/>
          <w:sz w:val="20"/>
          <w:lang w:val="en-ZA" w:eastAsia="en-GB"/>
        </w:rPr>
        <w:t>R2.500, giving pensioners a 13</w:t>
      </w:r>
      <w:r w:rsidR="0026522D" w:rsidRPr="00EB1DA3">
        <w:rPr>
          <w:rFonts w:ascii="Arial" w:hAnsi="Arial" w:cs="Arial"/>
          <w:i w:val="0"/>
          <w:sz w:val="20"/>
          <w:vertAlign w:val="superscript"/>
          <w:lang w:val="en-ZA" w:eastAsia="en-GB"/>
        </w:rPr>
        <w:t>th</w:t>
      </w:r>
      <w:r w:rsidR="0026522D" w:rsidRPr="00EB1DA3">
        <w:rPr>
          <w:rFonts w:ascii="Arial" w:hAnsi="Arial" w:cs="Arial"/>
          <w:i w:val="0"/>
          <w:sz w:val="20"/>
          <w:lang w:val="en-ZA" w:eastAsia="en-GB"/>
        </w:rPr>
        <w:t xml:space="preserve"> cheque in December</w:t>
      </w:r>
      <w:r w:rsidR="001C7CEE" w:rsidRPr="00EB1DA3">
        <w:rPr>
          <w:rFonts w:ascii="Arial" w:hAnsi="Arial" w:cs="Arial"/>
          <w:i w:val="0"/>
          <w:sz w:val="20"/>
          <w:lang w:val="en-ZA" w:eastAsia="en-GB"/>
        </w:rPr>
        <w:t xml:space="preserve"> and increasing all other grants by no less than R150</w:t>
      </w:r>
      <w:r w:rsidR="0026522D" w:rsidRPr="00EB1DA3">
        <w:rPr>
          <w:rFonts w:ascii="Arial" w:hAnsi="Arial" w:cs="Arial"/>
          <w:i w:val="0"/>
          <w:sz w:val="20"/>
          <w:lang w:val="en-ZA" w:eastAsia="en-GB"/>
        </w:rPr>
        <w:t xml:space="preserve">. </w:t>
      </w:r>
      <w:r w:rsidR="001C7CEE" w:rsidRPr="00EB1DA3">
        <w:rPr>
          <w:rFonts w:ascii="Arial" w:hAnsi="Arial" w:cs="Arial"/>
          <w:i w:val="0"/>
          <w:sz w:val="20"/>
          <w:lang w:val="en-ZA" w:eastAsia="en-GB"/>
        </w:rPr>
        <w:t>On increasing old-</w:t>
      </w:r>
      <w:r w:rsidRPr="00EB1DA3">
        <w:rPr>
          <w:rFonts w:ascii="Arial" w:hAnsi="Arial" w:cs="Arial"/>
          <w:i w:val="0"/>
          <w:sz w:val="20"/>
          <w:lang w:val="en-ZA" w:eastAsia="en-GB"/>
        </w:rPr>
        <w:t>age pension, Amandla.mobi. urged</w:t>
      </w:r>
      <w:r w:rsidR="001C7CEE" w:rsidRPr="00EB1DA3">
        <w:rPr>
          <w:rFonts w:ascii="Arial" w:hAnsi="Arial" w:cs="Arial"/>
          <w:i w:val="0"/>
          <w:sz w:val="20"/>
          <w:lang w:val="en-ZA" w:eastAsia="en-GB"/>
        </w:rPr>
        <w:t xml:space="preserve"> the Finance Committees to hold NT to account and answer why they have not met with the Pietermaritzburg Pensioners Forum.</w:t>
      </w:r>
    </w:p>
    <w:p w:rsidR="00545AC5" w:rsidRPr="00EB1DA3" w:rsidRDefault="00545AC5" w:rsidP="00EB1DA3">
      <w:pPr>
        <w:pStyle w:val="Heading4"/>
        <w:spacing w:before="0" w:line="240" w:lineRule="auto"/>
        <w:rPr>
          <w:rFonts w:ascii="Arial" w:hAnsi="Arial" w:cs="Arial"/>
          <w:i w:val="0"/>
          <w:sz w:val="20"/>
        </w:rPr>
      </w:pPr>
      <w:r w:rsidRPr="00EB1DA3">
        <w:rPr>
          <w:rFonts w:ascii="Arial" w:hAnsi="Arial" w:cs="Arial"/>
          <w:i w:val="0"/>
          <w:sz w:val="20"/>
        </w:rPr>
        <w:t>FCSG reiterated its recommendation that the central and provincial governments should only purchase vehicles manufactured in South Africa.</w:t>
      </w:r>
    </w:p>
    <w:p w:rsidR="004E22BB" w:rsidRPr="00EB1DA3" w:rsidRDefault="004E22BB" w:rsidP="00EB1DA3">
      <w:pPr>
        <w:pStyle w:val="Heading4"/>
        <w:spacing w:before="0" w:line="240" w:lineRule="auto"/>
        <w:rPr>
          <w:rFonts w:ascii="Arial" w:hAnsi="Arial" w:cs="Arial"/>
          <w:i w:val="0"/>
          <w:sz w:val="20"/>
          <w:lang w:val="en-ZA" w:eastAsia="en-GB"/>
        </w:rPr>
      </w:pPr>
      <w:r w:rsidRPr="00EB1DA3">
        <w:rPr>
          <w:rFonts w:ascii="Arial" w:hAnsi="Arial" w:cs="Arial"/>
          <w:i w:val="0"/>
          <w:sz w:val="20"/>
          <w:lang w:val="en-ZA" w:eastAsia="en-GB"/>
        </w:rPr>
        <w:t>IEJ recommend</w:t>
      </w:r>
      <w:r w:rsidR="00FD605D" w:rsidRPr="00EB1DA3">
        <w:rPr>
          <w:rFonts w:ascii="Arial" w:hAnsi="Arial" w:cs="Arial"/>
          <w:i w:val="0"/>
          <w:sz w:val="20"/>
          <w:lang w:val="en-ZA" w:eastAsia="en-GB"/>
        </w:rPr>
        <w:t>ed</w:t>
      </w:r>
      <w:r w:rsidRPr="00EB1DA3">
        <w:rPr>
          <w:rFonts w:ascii="Arial" w:hAnsi="Arial" w:cs="Arial"/>
          <w:i w:val="0"/>
          <w:sz w:val="20"/>
          <w:lang w:val="en-ZA" w:eastAsia="en-GB"/>
        </w:rPr>
        <w:t xml:space="preserve"> that the government should reflect on the impact of austerity and strategy to reduce budget deficits. The IEJ supports the Budget Justice Coalition’s call that the government must conduct Human Rights Impact Assessments (HRIA) of fiscal policy and of individual budget decisions where human rights are impacted.</w:t>
      </w:r>
    </w:p>
    <w:p w:rsidR="00BD1AE7" w:rsidRPr="00EB1DA3" w:rsidRDefault="00BD1AE7" w:rsidP="00EB1DA3">
      <w:pPr>
        <w:pStyle w:val="Heading3"/>
        <w:spacing w:before="0" w:line="240" w:lineRule="auto"/>
        <w:rPr>
          <w:rFonts w:ascii="Arial" w:hAnsi="Arial" w:cs="Arial"/>
          <w:sz w:val="20"/>
          <w:u w:val="none"/>
        </w:rPr>
      </w:pPr>
      <w:r w:rsidRPr="00EB1DA3">
        <w:rPr>
          <w:rFonts w:ascii="Arial" w:hAnsi="Arial" w:cs="Arial"/>
          <w:sz w:val="20"/>
          <w:u w:val="none"/>
        </w:rPr>
        <w:t>Responses by the National Treasury on issues raised and recommendations made</w:t>
      </w:r>
    </w:p>
    <w:p w:rsidR="00BD1AE7" w:rsidRPr="00EB1DA3" w:rsidRDefault="0077537A" w:rsidP="00EB1DA3">
      <w:pPr>
        <w:rPr>
          <w:rFonts w:ascii="Arial" w:hAnsi="Arial" w:cs="Arial"/>
          <w:sz w:val="20"/>
          <w:lang w:val="en-ZA"/>
        </w:rPr>
      </w:pPr>
      <w:r w:rsidRPr="00EB1DA3">
        <w:rPr>
          <w:rFonts w:ascii="Arial" w:hAnsi="Arial" w:cs="Arial"/>
          <w:sz w:val="20"/>
        </w:rPr>
        <w:t>NT acknowledge</w:t>
      </w:r>
      <w:r w:rsidR="00BD1AE7" w:rsidRPr="00EB1DA3">
        <w:rPr>
          <w:rFonts w:ascii="Arial" w:hAnsi="Arial" w:cs="Arial"/>
          <w:sz w:val="20"/>
        </w:rPr>
        <w:t>d that there was a disconnect between economic growth and spending. It said that b</w:t>
      </w:r>
      <w:r w:rsidR="00BD1AE7" w:rsidRPr="00EB1DA3">
        <w:rPr>
          <w:rFonts w:ascii="Arial" w:hAnsi="Arial" w:cs="Arial"/>
          <w:sz w:val="20"/>
          <w:lang w:val="en-ZA"/>
        </w:rPr>
        <w:t xml:space="preserve">etween 2010/11 and 2019/20, non-interest consolidated expenditure had grown at an average annual increase of 7.8 per cent, while nominal GDP grew at 7.2 per cent. It said that in the 2013 Budget, </w:t>
      </w:r>
      <w:r w:rsidRPr="00EB1DA3">
        <w:rPr>
          <w:rFonts w:ascii="Arial" w:hAnsi="Arial" w:cs="Arial"/>
          <w:sz w:val="20"/>
          <w:lang w:val="en-ZA"/>
        </w:rPr>
        <w:t xml:space="preserve">the </w:t>
      </w:r>
      <w:r w:rsidR="00BD1AE7" w:rsidRPr="00EB1DA3">
        <w:rPr>
          <w:rFonts w:ascii="Arial" w:hAnsi="Arial" w:cs="Arial"/>
          <w:sz w:val="20"/>
          <w:lang w:val="en-ZA"/>
        </w:rPr>
        <w:t xml:space="preserve">government initiated a process to slow expenditure growth by reducing baseline budgets </w:t>
      </w:r>
      <w:r w:rsidR="00BD1AE7" w:rsidRPr="00EB1DA3">
        <w:rPr>
          <w:rFonts w:ascii="Arial" w:hAnsi="Arial" w:cs="Arial"/>
          <w:sz w:val="20"/>
          <w:lang w:val="en-ZA"/>
        </w:rPr>
        <w:lastRenderedPageBreak/>
        <w:t xml:space="preserve">and setting ceilings on compensation spending. However, unfunded policy decisions contributed to a persistently large budget deficit, increasing pressure on basic service delivery. </w:t>
      </w:r>
    </w:p>
    <w:p w:rsidR="00BD1AE7" w:rsidRPr="00EB1DA3" w:rsidRDefault="00BD1AE7" w:rsidP="00EB1DA3">
      <w:pPr>
        <w:rPr>
          <w:rFonts w:ascii="Arial" w:hAnsi="Arial" w:cs="Arial"/>
          <w:sz w:val="20"/>
        </w:rPr>
      </w:pPr>
      <w:r w:rsidRPr="00EB1DA3">
        <w:rPr>
          <w:rFonts w:ascii="Arial" w:hAnsi="Arial" w:cs="Arial"/>
          <w:sz w:val="20"/>
        </w:rPr>
        <w:t xml:space="preserve">On fiscal policy issues, NT stated that over the past few years there has been a disconnect between government spending and economic growth. </w:t>
      </w:r>
      <w:r w:rsidRPr="00EB1DA3">
        <w:rPr>
          <w:rFonts w:ascii="Arial" w:hAnsi="Arial" w:cs="Arial"/>
          <w:sz w:val="20"/>
          <w:lang w:val="en-ZA"/>
        </w:rPr>
        <w:t>Higher spending should be accompanied by inclusive economic growth. It said that d</w:t>
      </w:r>
      <w:r w:rsidRPr="00EB1DA3">
        <w:rPr>
          <w:rFonts w:ascii="Arial" w:hAnsi="Arial" w:cs="Arial"/>
          <w:sz w:val="20"/>
        </w:rPr>
        <w:t>espite measures aimed at controlling expenditure growth, the funding for the social wage has been protected to ensure that necessary goods and services are provided to those who are in need. </w:t>
      </w:r>
    </w:p>
    <w:p w:rsidR="00BD1AE7" w:rsidRPr="00EB1DA3" w:rsidRDefault="00BD1AE7" w:rsidP="00EB1DA3">
      <w:pPr>
        <w:rPr>
          <w:rFonts w:ascii="Arial" w:hAnsi="Arial" w:cs="Arial"/>
          <w:sz w:val="20"/>
        </w:rPr>
      </w:pPr>
      <w:r w:rsidRPr="00EB1DA3">
        <w:rPr>
          <w:rFonts w:ascii="Arial" w:hAnsi="Arial" w:cs="Arial"/>
          <w:sz w:val="20"/>
        </w:rPr>
        <w:t>NT explained that t</w:t>
      </w:r>
      <w:r w:rsidRPr="00EB1DA3">
        <w:rPr>
          <w:rFonts w:ascii="Arial" w:hAnsi="Arial" w:cs="Arial"/>
          <w:sz w:val="20"/>
          <w:lang w:val="en-ZA"/>
        </w:rPr>
        <w:t xml:space="preserve">he decision not to implement the final leg of the 2018 wage agreement, together with other measures to reduce average wage costs have improved the wage trajectory. It said that </w:t>
      </w:r>
      <w:r w:rsidR="0077537A" w:rsidRPr="00EB1DA3">
        <w:rPr>
          <w:rFonts w:ascii="Arial" w:hAnsi="Arial" w:cs="Arial"/>
          <w:sz w:val="20"/>
          <w:lang w:val="en-ZA"/>
        </w:rPr>
        <w:t xml:space="preserve">the </w:t>
      </w:r>
      <w:r w:rsidRPr="00EB1DA3">
        <w:rPr>
          <w:rFonts w:ascii="Arial" w:hAnsi="Arial" w:cs="Arial"/>
          <w:sz w:val="20"/>
          <w:lang w:val="en-ZA"/>
        </w:rPr>
        <w:t xml:space="preserve">government is firmly committed to the compensation ceiling as announced in the budget. It said that no further budget reductions were announced in the 2022 Budget. Instead, additional spending in critical spending areas </w:t>
      </w:r>
      <w:r w:rsidR="00C35186" w:rsidRPr="00EB1DA3">
        <w:rPr>
          <w:rFonts w:ascii="Arial" w:hAnsi="Arial" w:cs="Arial"/>
          <w:sz w:val="20"/>
          <w:lang w:val="en-ZA"/>
        </w:rPr>
        <w:t>was</w:t>
      </w:r>
      <w:r w:rsidRPr="00EB1DA3">
        <w:rPr>
          <w:rFonts w:ascii="Arial" w:hAnsi="Arial" w:cs="Arial"/>
          <w:sz w:val="20"/>
          <w:lang w:val="en-ZA"/>
        </w:rPr>
        <w:t xml:space="preserve"> made using a portion of revenue improvements.</w:t>
      </w:r>
    </w:p>
    <w:p w:rsidR="00BD1AE7" w:rsidRPr="00EB1DA3" w:rsidRDefault="00BD1AE7" w:rsidP="00EB1DA3">
      <w:pPr>
        <w:rPr>
          <w:rFonts w:ascii="Arial" w:hAnsi="Arial" w:cs="Arial"/>
          <w:sz w:val="20"/>
        </w:rPr>
      </w:pPr>
      <w:r w:rsidRPr="00EB1DA3">
        <w:rPr>
          <w:rFonts w:ascii="Arial" w:hAnsi="Arial" w:cs="Arial"/>
          <w:sz w:val="20"/>
          <w:lang w:val="en-ZA"/>
        </w:rPr>
        <w:t>It noted that the composition of public spending has also deteriorated, the proportion that supports long-term growth is smaller, while debt-service costs consume an increasing share of GDP and revenue.  It said that the projected revenue over</w:t>
      </w:r>
      <w:r w:rsidR="00C35186" w:rsidRPr="00EB1DA3">
        <w:rPr>
          <w:rFonts w:ascii="Arial" w:hAnsi="Arial" w:cs="Arial"/>
          <w:sz w:val="20"/>
          <w:lang w:val="en-ZA"/>
        </w:rPr>
        <w:t>-</w:t>
      </w:r>
      <w:r w:rsidRPr="00EB1DA3">
        <w:rPr>
          <w:rFonts w:ascii="Arial" w:hAnsi="Arial" w:cs="Arial"/>
          <w:sz w:val="20"/>
          <w:lang w:val="en-ZA"/>
        </w:rPr>
        <w:t xml:space="preserve">collection allows for the response to immediate spending pressures. It said that the windfall in 2021/22 will be used to finance the </w:t>
      </w:r>
      <w:r w:rsidRPr="00EB1DA3">
        <w:rPr>
          <w:rFonts w:ascii="Arial" w:hAnsi="Arial" w:cs="Arial"/>
          <w:iCs/>
          <w:sz w:val="20"/>
          <w:lang w:val="en-ZA"/>
        </w:rPr>
        <w:t xml:space="preserve">special COVID-19 social relief of distress grant </w:t>
      </w:r>
      <w:r w:rsidRPr="00EB1DA3">
        <w:rPr>
          <w:rFonts w:ascii="Arial" w:hAnsi="Arial" w:cs="Arial"/>
          <w:sz w:val="20"/>
          <w:lang w:val="en-ZA"/>
        </w:rPr>
        <w:t>until the end of March 2023. It said that significant portions are also allocated to Education and Health, as well as for Infrastructure investment and public employment. It added that higher spending on social wage should be accompanied by inclusive economic growth.</w:t>
      </w:r>
    </w:p>
    <w:p w:rsidR="00BD1AE7" w:rsidRPr="00EB1DA3" w:rsidRDefault="00BD1AE7" w:rsidP="00EB1DA3">
      <w:pPr>
        <w:rPr>
          <w:rFonts w:ascii="Arial" w:hAnsi="Arial" w:cs="Arial"/>
          <w:sz w:val="20"/>
        </w:rPr>
      </w:pPr>
      <w:r w:rsidRPr="00EB1DA3">
        <w:rPr>
          <w:rFonts w:ascii="Arial" w:hAnsi="Arial" w:cs="Arial"/>
          <w:bCs/>
          <w:sz w:val="20"/>
        </w:rPr>
        <w:t>On the redistributing effect of the budget, NT noted that t</w:t>
      </w:r>
      <w:r w:rsidRPr="00EB1DA3">
        <w:rPr>
          <w:rFonts w:ascii="Arial" w:hAnsi="Arial" w:cs="Arial"/>
          <w:sz w:val="20"/>
        </w:rPr>
        <w:t>he consolidated budget has grown from R712.8 billion in 2008/09</w:t>
      </w:r>
      <w:r w:rsidR="00C35186" w:rsidRPr="00EB1DA3">
        <w:rPr>
          <w:rFonts w:ascii="Arial" w:hAnsi="Arial" w:cs="Arial"/>
          <w:sz w:val="20"/>
        </w:rPr>
        <w:t xml:space="preserve"> to R2.08 trillion in 2021/22, which is </w:t>
      </w:r>
      <w:r w:rsidRPr="00EB1DA3">
        <w:rPr>
          <w:rFonts w:ascii="Arial" w:hAnsi="Arial" w:cs="Arial"/>
          <w:sz w:val="20"/>
        </w:rPr>
        <w:t>an average annual increase of 8.6 per cent. It said that over the MTEF, an allocation of R3.33 trillion, or 59.4 per cent of total non</w:t>
      </w:r>
      <w:r w:rsidRPr="00EB1DA3">
        <w:rPr>
          <w:rFonts w:cs="Arial"/>
          <w:sz w:val="20"/>
        </w:rPr>
        <w:t>‐</w:t>
      </w:r>
      <w:r w:rsidRPr="00EB1DA3">
        <w:rPr>
          <w:rFonts w:ascii="Arial" w:hAnsi="Arial" w:cs="Arial"/>
          <w:sz w:val="20"/>
        </w:rPr>
        <w:t>interest spending is dedicated to the social wage. It explained that this aims to alleviate poverty, reduce unemployment and accelerate growth. This includes the 12-month extension of the SRD grant, additional funding for health, education and the presidential employment initiative. It said that despite measures aimed at controlling expenditure growth, the funding for the social wage has been protected to ensure that necessary goods and services are provided to those who are in need. It said that a key weakness in recent economic performance has been persistently high joblessness, which lies at the root of weak economic development outcomes. It assured that government and stakeholders are working on a sustainable long</w:t>
      </w:r>
      <w:r w:rsidRPr="00EB1DA3">
        <w:rPr>
          <w:rFonts w:cs="Arial"/>
          <w:sz w:val="20"/>
        </w:rPr>
        <w:t>‐</w:t>
      </w:r>
      <w:r w:rsidRPr="00EB1DA3">
        <w:rPr>
          <w:rFonts w:ascii="Arial" w:hAnsi="Arial" w:cs="Arial"/>
          <w:sz w:val="20"/>
        </w:rPr>
        <w:t xml:space="preserve">term approach to social protection consistent with </w:t>
      </w:r>
      <w:r w:rsidR="00C35186" w:rsidRPr="00EB1DA3">
        <w:rPr>
          <w:rFonts w:ascii="Arial" w:hAnsi="Arial" w:cs="Arial"/>
          <w:sz w:val="20"/>
        </w:rPr>
        <w:t xml:space="preserve">the </w:t>
      </w:r>
      <w:r w:rsidRPr="00EB1DA3">
        <w:rPr>
          <w:rFonts w:ascii="Arial" w:hAnsi="Arial" w:cs="Arial"/>
          <w:sz w:val="20"/>
        </w:rPr>
        <w:t>government’s broad development mandate and the need to ensure affordability. </w:t>
      </w:r>
    </w:p>
    <w:p w:rsidR="00BD1AE7" w:rsidRPr="00EB1DA3" w:rsidRDefault="00BD1AE7" w:rsidP="00EB1DA3">
      <w:pPr>
        <w:rPr>
          <w:rFonts w:ascii="Arial" w:hAnsi="Arial" w:cs="Arial"/>
          <w:bCs/>
          <w:sz w:val="20"/>
          <w:lang w:val="en-ZA"/>
        </w:rPr>
      </w:pPr>
      <w:r w:rsidRPr="00EB1DA3">
        <w:rPr>
          <w:rFonts w:ascii="Arial" w:hAnsi="Arial" w:cs="Arial"/>
          <w:bCs/>
          <w:sz w:val="20"/>
        </w:rPr>
        <w:t>On managing the public</w:t>
      </w:r>
      <w:r w:rsidRPr="00EB1DA3">
        <w:rPr>
          <w:rFonts w:cs="Arial"/>
          <w:bCs/>
          <w:sz w:val="20"/>
        </w:rPr>
        <w:t>‐</w:t>
      </w:r>
      <w:r w:rsidRPr="00EB1DA3">
        <w:rPr>
          <w:rFonts w:ascii="Arial" w:hAnsi="Arial" w:cs="Arial"/>
          <w:bCs/>
          <w:sz w:val="20"/>
        </w:rPr>
        <w:t>service wage bill, NT explained that c</w:t>
      </w:r>
      <w:r w:rsidRPr="00EB1DA3">
        <w:rPr>
          <w:rFonts w:ascii="Arial" w:hAnsi="Arial" w:cs="Arial"/>
          <w:sz w:val="20"/>
          <w:lang w:val="en-ZA"/>
        </w:rPr>
        <w:t>ompensation spending for national and provincial government grew by 7.3 per cent on average for the period 2014/15 to 2019/20, compared with 6.8 per cent average growth in non-interest expenditure. It said t</w:t>
      </w:r>
      <w:r w:rsidRPr="00EB1DA3">
        <w:rPr>
          <w:rFonts w:ascii="Arial" w:hAnsi="Arial" w:cs="Arial"/>
          <w:bCs/>
          <w:sz w:val="20"/>
          <w:lang w:val="en-ZA"/>
        </w:rPr>
        <w:t>he decision not to implement the final leg of the 2018 wage agreement and other measures to reduce average wage costs have improved the wage trajectory. It said that a</w:t>
      </w:r>
      <w:r w:rsidRPr="00EB1DA3">
        <w:rPr>
          <w:rFonts w:ascii="Arial" w:hAnsi="Arial" w:cs="Arial"/>
          <w:sz w:val="20"/>
          <w:lang w:val="en-ZA"/>
        </w:rPr>
        <w:t xml:space="preserve"> new round of collective bargaining will begin in March 2022. The </w:t>
      </w:r>
      <w:r w:rsidR="007D78B3" w:rsidRPr="00EB1DA3">
        <w:rPr>
          <w:rFonts w:ascii="Arial" w:hAnsi="Arial" w:cs="Arial"/>
          <w:sz w:val="20"/>
          <w:lang w:val="en-ZA"/>
        </w:rPr>
        <w:t>NT</w:t>
      </w:r>
      <w:r w:rsidRPr="00EB1DA3">
        <w:rPr>
          <w:rFonts w:ascii="Arial" w:hAnsi="Arial" w:cs="Arial"/>
          <w:sz w:val="20"/>
          <w:lang w:val="en-ZA"/>
        </w:rPr>
        <w:t xml:space="preserve"> is working with the Department of Public Service and Administration to keep the compensation baseline within affordable limits. NT said that over the MTEF, </w:t>
      </w:r>
      <w:r w:rsidR="007D78B3" w:rsidRPr="00EB1DA3">
        <w:rPr>
          <w:rFonts w:ascii="Arial" w:hAnsi="Arial" w:cs="Arial"/>
          <w:sz w:val="20"/>
          <w:lang w:val="en-ZA"/>
        </w:rPr>
        <w:t xml:space="preserve">the </w:t>
      </w:r>
      <w:r w:rsidRPr="00EB1DA3">
        <w:rPr>
          <w:rFonts w:ascii="Arial" w:hAnsi="Arial" w:cs="Arial"/>
          <w:sz w:val="20"/>
          <w:lang w:val="en-ZA"/>
        </w:rPr>
        <w:t xml:space="preserve">consolidated government wage bill increases by annual average growth of 1.8 per cent, which is 0.8 percentage points higher than pencilled in the 2021 MTBPS.  It explained that the higher growth reflects an exception made for additional funding to frontline services such as health, education and police. NT said that </w:t>
      </w:r>
      <w:r w:rsidR="00A33C6D" w:rsidRPr="00EB1DA3">
        <w:rPr>
          <w:rFonts w:ascii="Arial" w:hAnsi="Arial" w:cs="Arial"/>
          <w:sz w:val="20"/>
          <w:lang w:val="en-ZA"/>
        </w:rPr>
        <w:t xml:space="preserve">the </w:t>
      </w:r>
      <w:r w:rsidRPr="00EB1DA3">
        <w:rPr>
          <w:rFonts w:ascii="Arial" w:hAnsi="Arial" w:cs="Arial"/>
          <w:sz w:val="20"/>
          <w:lang w:val="en-ZA"/>
        </w:rPr>
        <w:t>g</w:t>
      </w:r>
      <w:r w:rsidRPr="00EB1DA3">
        <w:rPr>
          <w:rFonts w:ascii="Arial" w:hAnsi="Arial" w:cs="Arial"/>
          <w:bCs/>
          <w:sz w:val="20"/>
          <w:lang w:val="en-ZA"/>
        </w:rPr>
        <w:t xml:space="preserve">overnment is firmly committed to the compensation ceiling as announced in the budget, and has tasked the </w:t>
      </w:r>
      <w:r w:rsidR="00434EB6" w:rsidRPr="00EB1DA3">
        <w:rPr>
          <w:rFonts w:ascii="Arial" w:hAnsi="Arial" w:cs="Arial"/>
          <w:bCs/>
          <w:sz w:val="20"/>
          <w:lang w:val="en-ZA"/>
        </w:rPr>
        <w:t>NT</w:t>
      </w:r>
      <w:r w:rsidRPr="00EB1DA3">
        <w:rPr>
          <w:rFonts w:ascii="Arial" w:hAnsi="Arial" w:cs="Arial"/>
          <w:bCs/>
          <w:sz w:val="20"/>
          <w:lang w:val="en-ZA"/>
        </w:rPr>
        <w:t xml:space="preserve"> and all departments to align to the budget. </w:t>
      </w:r>
    </w:p>
    <w:p w:rsidR="00F9277E" w:rsidRPr="00EB1DA3" w:rsidRDefault="00B8538C" w:rsidP="00EB1DA3">
      <w:pPr>
        <w:rPr>
          <w:rFonts w:ascii="Arial" w:hAnsi="Arial" w:cs="Arial"/>
          <w:sz w:val="20"/>
          <w:lang w:val="en-ZA"/>
        </w:rPr>
      </w:pPr>
      <w:r w:rsidRPr="00EB1DA3">
        <w:rPr>
          <w:rFonts w:ascii="Arial" w:hAnsi="Arial" w:cs="Arial"/>
          <w:bCs/>
          <w:sz w:val="20"/>
          <w:lang w:val="en-ZA"/>
        </w:rPr>
        <w:t xml:space="preserve">On </w:t>
      </w:r>
      <w:r w:rsidR="00807112" w:rsidRPr="00EB1DA3">
        <w:rPr>
          <w:rFonts w:ascii="Arial" w:hAnsi="Arial" w:cs="Arial"/>
          <w:bCs/>
          <w:sz w:val="20"/>
        </w:rPr>
        <w:t>SOEs</w:t>
      </w:r>
      <w:r w:rsidRPr="00EB1DA3">
        <w:rPr>
          <w:rFonts w:ascii="Arial" w:hAnsi="Arial" w:cs="Arial"/>
          <w:bCs/>
          <w:sz w:val="20"/>
        </w:rPr>
        <w:t>, NT stated that t</w:t>
      </w:r>
      <w:r w:rsidRPr="00EB1DA3">
        <w:rPr>
          <w:rFonts w:ascii="Arial" w:hAnsi="Arial" w:cs="Arial"/>
          <w:sz w:val="20"/>
          <w:lang w:val="en-ZA"/>
        </w:rPr>
        <w:t xml:space="preserve">he operational and financial health of many state-owned companies continues to decline. It said that over the past 12 months, several have missed their capital investments and loan disbursements targets. Investors have increasingly expressed an unwillingness to extend capital to such entities without government guarantees, leaving many state-owned companies at risk of defaulting on their debts. NT explained that to reduce their demands on limited public resources, </w:t>
      </w:r>
      <w:r w:rsidR="00807112" w:rsidRPr="00EB1DA3">
        <w:rPr>
          <w:rFonts w:ascii="Arial" w:hAnsi="Arial" w:cs="Arial"/>
          <w:sz w:val="20"/>
          <w:lang w:val="en-ZA"/>
        </w:rPr>
        <w:t>SOEs</w:t>
      </w:r>
      <w:r w:rsidRPr="00EB1DA3">
        <w:rPr>
          <w:rFonts w:ascii="Arial" w:hAnsi="Arial" w:cs="Arial"/>
          <w:sz w:val="20"/>
          <w:lang w:val="en-ZA"/>
        </w:rPr>
        <w:t xml:space="preserve"> need to develop and implement sustainable turnaround plans that align with their mandates, incorporate long-term structural considerations in their sectors and identify appropriat</w:t>
      </w:r>
      <w:r w:rsidR="00807112" w:rsidRPr="00EB1DA3">
        <w:rPr>
          <w:rFonts w:ascii="Arial" w:hAnsi="Arial" w:cs="Arial"/>
          <w:sz w:val="20"/>
          <w:lang w:val="en-ZA"/>
        </w:rPr>
        <w:t xml:space="preserve">e funding models. </w:t>
      </w:r>
    </w:p>
    <w:p w:rsidR="00B8538C" w:rsidRPr="00EB1DA3" w:rsidRDefault="00BB4C7E" w:rsidP="00EB1DA3">
      <w:pPr>
        <w:rPr>
          <w:rFonts w:ascii="Arial" w:hAnsi="Arial" w:cs="Arial"/>
          <w:sz w:val="20"/>
        </w:rPr>
      </w:pPr>
      <w:r w:rsidRPr="00EB1DA3">
        <w:rPr>
          <w:rFonts w:ascii="Arial" w:hAnsi="Arial" w:cs="Arial"/>
          <w:sz w:val="20"/>
          <w:lang w:val="en-ZA"/>
        </w:rPr>
        <w:t>In</w:t>
      </w:r>
      <w:r w:rsidR="00B8538C" w:rsidRPr="00EB1DA3">
        <w:rPr>
          <w:rFonts w:ascii="Arial" w:hAnsi="Arial" w:cs="Arial"/>
          <w:sz w:val="20"/>
          <w:lang w:val="en-ZA"/>
        </w:rPr>
        <w:t xml:space="preserve"> 2022/23, the </w:t>
      </w:r>
      <w:r w:rsidR="00807112" w:rsidRPr="00EB1DA3">
        <w:rPr>
          <w:rFonts w:ascii="Arial" w:hAnsi="Arial" w:cs="Arial"/>
          <w:sz w:val="20"/>
          <w:lang w:val="en-ZA"/>
        </w:rPr>
        <w:t>NT said that it</w:t>
      </w:r>
      <w:r w:rsidR="00B8538C" w:rsidRPr="00EB1DA3">
        <w:rPr>
          <w:rFonts w:ascii="Arial" w:hAnsi="Arial" w:cs="Arial"/>
          <w:sz w:val="20"/>
          <w:lang w:val="en-ZA"/>
        </w:rPr>
        <w:t xml:space="preserve"> will publish a framework outlining the criteria for government funding of </w:t>
      </w:r>
      <w:r w:rsidR="005B46E6" w:rsidRPr="00EB1DA3">
        <w:rPr>
          <w:rFonts w:ascii="Arial" w:hAnsi="Arial" w:cs="Arial"/>
          <w:sz w:val="20"/>
          <w:lang w:val="en-ZA"/>
        </w:rPr>
        <w:t>SOEs</w:t>
      </w:r>
      <w:r w:rsidR="00B8538C" w:rsidRPr="00EB1DA3">
        <w:rPr>
          <w:rFonts w:ascii="Arial" w:hAnsi="Arial" w:cs="Arial"/>
          <w:sz w:val="20"/>
          <w:lang w:val="en-ZA"/>
        </w:rPr>
        <w:t xml:space="preserve">. It said that government will guide and support credible restructuring plans. Guaranteed debt continues to have </w:t>
      </w:r>
      <w:r w:rsidRPr="00EB1DA3">
        <w:rPr>
          <w:rFonts w:ascii="Arial" w:hAnsi="Arial" w:cs="Arial"/>
          <w:sz w:val="20"/>
          <w:lang w:val="en-ZA"/>
        </w:rPr>
        <w:t xml:space="preserve">the </w:t>
      </w:r>
      <w:r w:rsidR="00B8538C" w:rsidRPr="00EB1DA3">
        <w:rPr>
          <w:rFonts w:ascii="Arial" w:hAnsi="Arial" w:cs="Arial"/>
          <w:sz w:val="20"/>
          <w:lang w:val="en-ZA"/>
        </w:rPr>
        <w:t xml:space="preserve">full backing of </w:t>
      </w:r>
      <w:r w:rsidRPr="00EB1DA3">
        <w:rPr>
          <w:rFonts w:ascii="Arial" w:hAnsi="Arial" w:cs="Arial"/>
          <w:sz w:val="20"/>
          <w:lang w:val="en-ZA"/>
        </w:rPr>
        <w:t xml:space="preserve">the </w:t>
      </w:r>
      <w:r w:rsidR="00B8538C" w:rsidRPr="00EB1DA3">
        <w:rPr>
          <w:rFonts w:ascii="Arial" w:hAnsi="Arial" w:cs="Arial"/>
          <w:sz w:val="20"/>
          <w:lang w:val="en-ZA"/>
        </w:rPr>
        <w:t xml:space="preserve">government.  It said that the total amount of approved guarantees to </w:t>
      </w:r>
      <w:r w:rsidR="00807112" w:rsidRPr="00EB1DA3">
        <w:rPr>
          <w:rFonts w:ascii="Arial" w:hAnsi="Arial" w:cs="Arial"/>
          <w:sz w:val="20"/>
          <w:lang w:val="en-ZA"/>
        </w:rPr>
        <w:t>SOEs</w:t>
      </w:r>
      <w:r w:rsidR="00B8538C" w:rsidRPr="00EB1DA3">
        <w:rPr>
          <w:rFonts w:ascii="Arial" w:hAnsi="Arial" w:cs="Arial"/>
          <w:sz w:val="20"/>
          <w:lang w:val="en-ZA"/>
        </w:rPr>
        <w:t xml:space="preserve"> is expected to reach R560.1 billion by the end of 2021/22, which is R21.5 billion lower than in 2020/21. The associated exposure is estimated to increase by R32.1 billion to R416.8 billion by March 2022. Eskom accounts for 78.7 per cent of these guarantees. It said that excluding Eskom, total debt maturing over the next three years is expected to amount to R67.4 billion, of which 22 per cent or R14.9 billion is guaranteed by </w:t>
      </w:r>
      <w:r w:rsidRPr="00EB1DA3">
        <w:rPr>
          <w:rFonts w:ascii="Arial" w:hAnsi="Arial" w:cs="Arial"/>
          <w:sz w:val="20"/>
          <w:lang w:val="en-ZA"/>
        </w:rPr>
        <w:t xml:space="preserve">the </w:t>
      </w:r>
      <w:r w:rsidR="00B8538C" w:rsidRPr="00EB1DA3">
        <w:rPr>
          <w:rFonts w:ascii="Arial" w:hAnsi="Arial" w:cs="Arial"/>
          <w:sz w:val="20"/>
          <w:lang w:val="en-ZA"/>
        </w:rPr>
        <w:t xml:space="preserve">government. NT further clarified that the list of all public entities can be found on the </w:t>
      </w:r>
      <w:r w:rsidR="00807112" w:rsidRPr="00EB1DA3">
        <w:rPr>
          <w:rFonts w:ascii="Arial" w:hAnsi="Arial" w:cs="Arial"/>
          <w:sz w:val="20"/>
          <w:lang w:val="en-ZA"/>
        </w:rPr>
        <w:t>NT</w:t>
      </w:r>
      <w:r w:rsidR="00B8538C" w:rsidRPr="00EB1DA3">
        <w:rPr>
          <w:rFonts w:ascii="Arial" w:hAnsi="Arial" w:cs="Arial"/>
          <w:sz w:val="20"/>
          <w:lang w:val="en-ZA"/>
        </w:rPr>
        <w:t xml:space="preserve"> Website (PFMA Schedules).</w:t>
      </w:r>
    </w:p>
    <w:p w:rsidR="0051749F" w:rsidRPr="00EB1DA3" w:rsidRDefault="0051749F" w:rsidP="00EB1DA3">
      <w:pPr>
        <w:rPr>
          <w:rFonts w:ascii="Arial" w:hAnsi="Arial" w:cs="Arial"/>
          <w:sz w:val="20"/>
        </w:rPr>
      </w:pPr>
      <w:r w:rsidRPr="00EB1DA3">
        <w:rPr>
          <w:rFonts w:ascii="Arial" w:hAnsi="Arial" w:cs="Arial"/>
          <w:bCs/>
          <w:sz w:val="20"/>
          <w:lang w:val="en-ZA"/>
        </w:rPr>
        <w:lastRenderedPageBreak/>
        <w:t xml:space="preserve">On </w:t>
      </w:r>
      <w:r w:rsidRPr="00EB1DA3">
        <w:rPr>
          <w:rFonts w:ascii="Arial" w:hAnsi="Arial" w:cs="Arial"/>
          <w:bCs/>
          <w:sz w:val="20"/>
        </w:rPr>
        <w:t xml:space="preserve">current fiscal challenges, NT said that </w:t>
      </w:r>
      <w:r w:rsidR="00B3231F" w:rsidRPr="00EB1DA3">
        <w:rPr>
          <w:rFonts w:ascii="Arial" w:hAnsi="Arial" w:cs="Arial"/>
          <w:bCs/>
          <w:sz w:val="20"/>
        </w:rPr>
        <w:t xml:space="preserve">the </w:t>
      </w:r>
      <w:r w:rsidRPr="00EB1DA3">
        <w:rPr>
          <w:rFonts w:ascii="Arial" w:hAnsi="Arial" w:cs="Arial"/>
          <w:bCs/>
          <w:sz w:val="20"/>
        </w:rPr>
        <w:t>g</w:t>
      </w:r>
      <w:r w:rsidRPr="00EB1DA3">
        <w:rPr>
          <w:rFonts w:ascii="Arial" w:hAnsi="Arial" w:cs="Arial"/>
          <w:sz w:val="20"/>
          <w:lang w:val="en-ZA"/>
        </w:rPr>
        <w:t xml:space="preserve">overnment </w:t>
      </w:r>
      <w:r w:rsidRPr="00EB1DA3">
        <w:rPr>
          <w:rFonts w:ascii="Arial" w:hAnsi="Arial" w:cs="Arial"/>
          <w:sz w:val="20"/>
        </w:rPr>
        <w:t xml:space="preserve">expects to realise a primary surplus (revenue exceeds non-interest expenditure) by 2023/24, </w:t>
      </w:r>
      <w:r w:rsidRPr="00EB1DA3">
        <w:rPr>
          <w:rFonts w:ascii="Arial" w:hAnsi="Arial" w:cs="Arial"/>
          <w:bCs/>
          <w:sz w:val="20"/>
        </w:rPr>
        <w:t>ending fiscal consolidation. It said that n</w:t>
      </w:r>
      <w:r w:rsidRPr="00EB1DA3">
        <w:rPr>
          <w:rFonts w:ascii="Arial" w:hAnsi="Arial" w:cs="Arial"/>
          <w:bCs/>
          <w:sz w:val="20"/>
          <w:lang w:val="en-ZA"/>
        </w:rPr>
        <w:t>o further budget reductions were announced in Budget 2022. It said that i</w:t>
      </w:r>
      <w:r w:rsidRPr="00EB1DA3">
        <w:rPr>
          <w:rFonts w:ascii="Arial" w:hAnsi="Arial" w:cs="Arial"/>
          <w:sz w:val="20"/>
          <w:lang w:val="en-ZA"/>
        </w:rPr>
        <w:t xml:space="preserve">ncreases in critical spending areas were made by using a portion of revenue improvements. NT said that </w:t>
      </w:r>
      <w:r w:rsidR="00B3231F" w:rsidRPr="00EB1DA3">
        <w:rPr>
          <w:rFonts w:ascii="Arial" w:hAnsi="Arial" w:cs="Arial"/>
          <w:sz w:val="20"/>
          <w:lang w:val="en-ZA"/>
        </w:rPr>
        <w:t xml:space="preserve">the </w:t>
      </w:r>
      <w:r w:rsidRPr="00EB1DA3">
        <w:rPr>
          <w:rFonts w:ascii="Arial" w:hAnsi="Arial" w:cs="Arial"/>
          <w:sz w:val="20"/>
          <w:lang w:val="en-ZA"/>
        </w:rPr>
        <w:t>g</w:t>
      </w:r>
      <w:r w:rsidRPr="00EB1DA3">
        <w:rPr>
          <w:rFonts w:ascii="Arial" w:hAnsi="Arial" w:cs="Arial"/>
          <w:bCs/>
          <w:sz w:val="20"/>
          <w:lang w:val="en-ZA"/>
        </w:rPr>
        <w:t xml:space="preserve">overnment’s debt is high </w:t>
      </w:r>
      <w:r w:rsidRPr="00EB1DA3">
        <w:rPr>
          <w:rFonts w:ascii="Arial" w:hAnsi="Arial" w:cs="Arial"/>
          <w:sz w:val="20"/>
          <w:lang w:val="en-ZA"/>
        </w:rPr>
        <w:t>and projected to rise to R4.35 trillion in 2021/22 despite some</w:t>
      </w:r>
      <w:r w:rsidRPr="00EB1DA3">
        <w:rPr>
          <w:rFonts w:ascii="Arial" w:hAnsi="Arial" w:cs="Arial"/>
          <w:sz w:val="20"/>
        </w:rPr>
        <w:t xml:space="preserve"> revenue improvements enabling deficit reduction over the MTEF. Gross loan debt is projected to stabilise at 75.1 per cent of GDP in 2024/25,</w:t>
      </w:r>
      <w:r w:rsidRPr="00EB1DA3">
        <w:rPr>
          <w:rFonts w:ascii="Arial" w:hAnsi="Arial" w:cs="Arial"/>
          <w:sz w:val="20"/>
          <w:lang w:val="en-ZA"/>
        </w:rPr>
        <w:t xml:space="preserve"> given that revenue projections over the MTEF </w:t>
      </w:r>
      <w:r w:rsidR="00B3231F" w:rsidRPr="00EB1DA3">
        <w:rPr>
          <w:rFonts w:ascii="Arial" w:hAnsi="Arial" w:cs="Arial"/>
          <w:sz w:val="20"/>
          <w:lang w:val="en-ZA"/>
        </w:rPr>
        <w:t>realise</w:t>
      </w:r>
      <w:r w:rsidRPr="00EB1DA3">
        <w:rPr>
          <w:rFonts w:ascii="Arial" w:hAnsi="Arial" w:cs="Arial"/>
          <w:sz w:val="20"/>
          <w:lang w:val="en-ZA"/>
        </w:rPr>
        <w:t>. It said that a</w:t>
      </w:r>
      <w:r w:rsidRPr="00EB1DA3">
        <w:rPr>
          <w:rFonts w:ascii="Arial" w:hAnsi="Arial" w:cs="Arial"/>
          <w:sz w:val="20"/>
        </w:rPr>
        <w:t>s a result, approximately 20 cents of every rand collected in revenue every year will be used to pay debt-service costs. </w:t>
      </w:r>
    </w:p>
    <w:p w:rsidR="0051749F" w:rsidRPr="00EB1DA3" w:rsidRDefault="0051749F" w:rsidP="00EB1DA3">
      <w:pPr>
        <w:rPr>
          <w:rFonts w:ascii="Arial" w:hAnsi="Arial" w:cs="Arial"/>
          <w:sz w:val="20"/>
          <w:lang w:val="en-ZA"/>
        </w:rPr>
      </w:pPr>
      <w:r w:rsidRPr="00EB1DA3">
        <w:rPr>
          <w:rFonts w:ascii="Arial" w:hAnsi="Arial" w:cs="Arial"/>
          <w:bCs/>
          <w:sz w:val="20"/>
          <w:lang w:val="en-ZA"/>
        </w:rPr>
        <w:t>NT explained that d</w:t>
      </w:r>
      <w:r w:rsidRPr="00EB1DA3">
        <w:rPr>
          <w:rFonts w:ascii="Arial" w:hAnsi="Arial" w:cs="Arial"/>
          <w:sz w:val="20"/>
          <w:lang w:val="en-ZA"/>
        </w:rPr>
        <w:t xml:space="preserve">ebt-service cost increased, both in proportion and </w:t>
      </w:r>
      <w:r w:rsidR="005B46E6" w:rsidRPr="00EB1DA3">
        <w:rPr>
          <w:rFonts w:ascii="Arial" w:hAnsi="Arial" w:cs="Arial"/>
          <w:sz w:val="20"/>
          <w:lang w:val="en-ZA"/>
        </w:rPr>
        <w:t xml:space="preserve">size of expenditure, to be the </w:t>
      </w:r>
      <w:r w:rsidR="00A33C6D" w:rsidRPr="00EB1DA3">
        <w:rPr>
          <w:rFonts w:ascii="Arial" w:hAnsi="Arial" w:cs="Arial"/>
          <w:sz w:val="20"/>
          <w:lang w:val="en-ZA"/>
        </w:rPr>
        <w:t>third-largest</w:t>
      </w:r>
      <w:r w:rsidRPr="00EB1DA3">
        <w:rPr>
          <w:rFonts w:ascii="Arial" w:hAnsi="Arial" w:cs="Arial"/>
          <w:sz w:val="20"/>
          <w:lang w:val="en-ZA"/>
        </w:rPr>
        <w:t xml:space="preserve"> expenditure item (according to the functional classification of expenditure). It said that e</w:t>
      </w:r>
      <w:r w:rsidRPr="00EB1DA3">
        <w:rPr>
          <w:rFonts w:ascii="Arial" w:hAnsi="Arial" w:cs="Arial"/>
          <w:bCs/>
          <w:sz w:val="20"/>
          <w:lang w:val="en-ZA"/>
        </w:rPr>
        <w:t xml:space="preserve">ach year, a budget deficit adds to </w:t>
      </w:r>
      <w:r w:rsidR="00B3231F" w:rsidRPr="00EB1DA3">
        <w:rPr>
          <w:rFonts w:ascii="Arial" w:hAnsi="Arial" w:cs="Arial"/>
          <w:bCs/>
          <w:sz w:val="20"/>
          <w:lang w:val="en-ZA"/>
        </w:rPr>
        <w:t xml:space="preserve">the </w:t>
      </w:r>
      <w:r w:rsidRPr="00EB1DA3">
        <w:rPr>
          <w:rFonts w:ascii="Arial" w:hAnsi="Arial" w:cs="Arial"/>
          <w:bCs/>
          <w:sz w:val="20"/>
          <w:lang w:val="en-ZA"/>
        </w:rPr>
        <w:t>debt, increasing the debt-service cost – this cannot continue indefinitely.  It said that t</w:t>
      </w:r>
      <w:r w:rsidRPr="00EB1DA3">
        <w:rPr>
          <w:rFonts w:ascii="Arial" w:hAnsi="Arial" w:cs="Arial"/>
          <w:sz w:val="20"/>
          <w:lang w:val="en-ZA"/>
        </w:rPr>
        <w:t>he only way to manage this is through increases in tax or decreases in non-interest expenditure or, a combination of the above. It said that debt management also plays an important role.</w:t>
      </w:r>
    </w:p>
    <w:p w:rsidR="0076555E" w:rsidRPr="00EB1DA3" w:rsidRDefault="0076555E" w:rsidP="00EB1DA3">
      <w:pPr>
        <w:rPr>
          <w:rFonts w:ascii="Arial" w:hAnsi="Arial" w:cs="Arial"/>
          <w:sz w:val="20"/>
          <w:lang w:val="en-ZA"/>
        </w:rPr>
      </w:pPr>
      <w:r w:rsidRPr="00EB1DA3">
        <w:rPr>
          <w:rFonts w:ascii="Arial" w:hAnsi="Arial" w:cs="Arial"/>
          <w:sz w:val="20"/>
        </w:rPr>
        <w:t xml:space="preserve">NT stated that despite projections to reach a primary surplus by 2023/24, debt is high. </w:t>
      </w:r>
      <w:r w:rsidRPr="00EB1DA3">
        <w:rPr>
          <w:rFonts w:ascii="Arial" w:hAnsi="Arial" w:cs="Arial"/>
          <w:sz w:val="20"/>
          <w:lang w:val="en-ZA"/>
        </w:rPr>
        <w:t xml:space="preserve">Each year, a budget deficit adds to </w:t>
      </w:r>
      <w:r w:rsidR="00A33C6D" w:rsidRPr="00EB1DA3">
        <w:rPr>
          <w:rFonts w:ascii="Arial" w:hAnsi="Arial" w:cs="Arial"/>
          <w:sz w:val="20"/>
          <w:lang w:val="en-ZA"/>
        </w:rPr>
        <w:t xml:space="preserve">the </w:t>
      </w:r>
      <w:r w:rsidRPr="00EB1DA3">
        <w:rPr>
          <w:rFonts w:ascii="Arial" w:hAnsi="Arial" w:cs="Arial"/>
          <w:sz w:val="20"/>
          <w:lang w:val="en-ZA"/>
        </w:rPr>
        <w:t>debt, increasing debt-service costs, limiting the co</w:t>
      </w:r>
      <w:r w:rsidR="00B3231F" w:rsidRPr="00EB1DA3">
        <w:rPr>
          <w:rFonts w:ascii="Arial" w:hAnsi="Arial" w:cs="Arial"/>
          <w:sz w:val="20"/>
          <w:lang w:val="en-ZA"/>
        </w:rPr>
        <w:t xml:space="preserve">untry’s capacity to spend more and </w:t>
      </w:r>
      <w:r w:rsidRPr="00EB1DA3">
        <w:rPr>
          <w:rFonts w:ascii="Arial" w:hAnsi="Arial" w:cs="Arial"/>
          <w:sz w:val="20"/>
          <w:lang w:val="en-ZA"/>
        </w:rPr>
        <w:t>this cannot continue indefinitely.</w:t>
      </w:r>
    </w:p>
    <w:p w:rsidR="00A66AE4" w:rsidRPr="00EB1DA3" w:rsidRDefault="004E22BB" w:rsidP="00EB1DA3">
      <w:pPr>
        <w:pStyle w:val="Heading2"/>
        <w:numPr>
          <w:ilvl w:val="0"/>
          <w:numId w:val="0"/>
        </w:numPr>
        <w:spacing w:before="0" w:line="240" w:lineRule="auto"/>
        <w:ind w:left="576" w:hanging="576"/>
        <w:rPr>
          <w:rFonts w:ascii="Arial" w:hAnsi="Arial" w:cs="Arial"/>
          <w:sz w:val="20"/>
        </w:rPr>
      </w:pPr>
      <w:r w:rsidRPr="00EB1DA3">
        <w:rPr>
          <w:rFonts w:ascii="Arial" w:hAnsi="Arial" w:cs="Arial"/>
          <w:sz w:val="20"/>
        </w:rPr>
        <w:t>Other budget-related issues</w:t>
      </w:r>
      <w:r w:rsidR="00D62A28" w:rsidRPr="00EB1DA3">
        <w:rPr>
          <w:rFonts w:ascii="Arial" w:hAnsi="Arial" w:cs="Arial"/>
          <w:sz w:val="20"/>
        </w:rPr>
        <w:t xml:space="preserve"> </w:t>
      </w:r>
    </w:p>
    <w:p w:rsidR="00966F6E" w:rsidRPr="00EB1DA3" w:rsidRDefault="00966F6E" w:rsidP="00EB1DA3">
      <w:pPr>
        <w:pStyle w:val="Heading3"/>
        <w:spacing w:before="0" w:line="240" w:lineRule="auto"/>
        <w:rPr>
          <w:rFonts w:ascii="Arial" w:hAnsi="Arial" w:cs="Arial"/>
          <w:sz w:val="20"/>
          <w:u w:val="none"/>
        </w:rPr>
      </w:pPr>
      <w:r w:rsidRPr="00EB1DA3">
        <w:rPr>
          <w:rFonts w:ascii="Arial" w:hAnsi="Arial" w:cs="Arial"/>
          <w:sz w:val="20"/>
          <w:u w:val="none"/>
        </w:rPr>
        <w:t>Comments and issues raised by stakeholders</w:t>
      </w:r>
    </w:p>
    <w:p w:rsidR="00F87B2D" w:rsidRPr="00EB1DA3" w:rsidRDefault="00F87B2D" w:rsidP="00EB1DA3">
      <w:pPr>
        <w:rPr>
          <w:rFonts w:ascii="Arial" w:hAnsi="Arial" w:cs="Arial"/>
          <w:sz w:val="20"/>
          <w:lang w:val="en-ZA" w:eastAsia="en-GB"/>
        </w:rPr>
      </w:pPr>
      <w:r w:rsidRPr="00EB1DA3">
        <w:rPr>
          <w:rFonts w:ascii="Arial" w:hAnsi="Arial" w:cs="Arial"/>
          <w:sz w:val="20"/>
        </w:rPr>
        <w:t>Pw</w:t>
      </w:r>
      <w:r w:rsidR="00276F36" w:rsidRPr="00EB1DA3">
        <w:rPr>
          <w:rFonts w:ascii="Arial" w:hAnsi="Arial" w:cs="Arial"/>
          <w:sz w:val="20"/>
        </w:rPr>
        <w:t xml:space="preserve">C </w:t>
      </w:r>
      <w:r w:rsidRPr="00EB1DA3">
        <w:rPr>
          <w:rFonts w:ascii="Arial" w:hAnsi="Arial" w:cs="Arial"/>
          <w:sz w:val="20"/>
        </w:rPr>
        <w:t>submitted that</w:t>
      </w:r>
      <w:r w:rsidR="00276F36" w:rsidRPr="00EB1DA3">
        <w:rPr>
          <w:rFonts w:ascii="Arial" w:hAnsi="Arial" w:cs="Arial"/>
          <w:sz w:val="20"/>
        </w:rPr>
        <w:t xml:space="preserve"> </w:t>
      </w:r>
      <w:r w:rsidRPr="00EB1DA3">
        <w:rPr>
          <w:rFonts w:ascii="Arial" w:hAnsi="Arial" w:cs="Arial"/>
          <w:sz w:val="20"/>
        </w:rPr>
        <w:t>an</w:t>
      </w:r>
      <w:r w:rsidR="00276F36" w:rsidRPr="00EB1DA3">
        <w:rPr>
          <w:rFonts w:ascii="Arial" w:hAnsi="Arial" w:cs="Arial"/>
          <w:sz w:val="20"/>
          <w:lang w:val="en-ZA" w:eastAsia="en-GB"/>
        </w:rPr>
        <w:t xml:space="preserve"> overarching concern with government expenditure has, for some years, been that</w:t>
      </w:r>
      <w:r w:rsidR="00276F36" w:rsidRPr="00EB1DA3">
        <w:rPr>
          <w:rFonts w:ascii="Arial" w:hAnsi="Arial" w:cs="Arial"/>
          <w:sz w:val="20"/>
        </w:rPr>
        <w:t xml:space="preserve"> </w:t>
      </w:r>
      <w:r w:rsidR="00276F36" w:rsidRPr="00EB1DA3">
        <w:rPr>
          <w:rFonts w:ascii="Arial" w:hAnsi="Arial" w:cs="Arial"/>
          <w:sz w:val="20"/>
          <w:lang w:val="en-ZA" w:eastAsia="en-GB"/>
        </w:rPr>
        <w:t>government does not get good value for money in public spending. A series of spending</w:t>
      </w:r>
      <w:r w:rsidR="00276F36" w:rsidRPr="00EB1DA3">
        <w:rPr>
          <w:rFonts w:ascii="Arial" w:hAnsi="Arial" w:cs="Arial"/>
          <w:sz w:val="20"/>
        </w:rPr>
        <w:t xml:space="preserve"> </w:t>
      </w:r>
      <w:r w:rsidR="00276F36" w:rsidRPr="00EB1DA3">
        <w:rPr>
          <w:rFonts w:ascii="Arial" w:hAnsi="Arial" w:cs="Arial"/>
          <w:sz w:val="20"/>
          <w:lang w:val="en-ZA" w:eastAsia="en-GB"/>
        </w:rPr>
        <w:t>reviews conducted in 2020 has highlighted significant restructuring opportunities and exposed large</w:t>
      </w:r>
      <w:r w:rsidR="00276F36" w:rsidRPr="00EB1DA3">
        <w:rPr>
          <w:rFonts w:ascii="Arial" w:hAnsi="Arial" w:cs="Arial"/>
          <w:sz w:val="20"/>
        </w:rPr>
        <w:t xml:space="preserve"> </w:t>
      </w:r>
      <w:r w:rsidR="00276F36" w:rsidRPr="00EB1DA3">
        <w:rPr>
          <w:rFonts w:ascii="Arial" w:hAnsi="Arial" w:cs="Arial"/>
          <w:sz w:val="20"/>
          <w:lang w:val="en-ZA" w:eastAsia="en-GB"/>
        </w:rPr>
        <w:t xml:space="preserve">inefficiencies in spending. Importantly, these reviews have, as acknowledged by </w:t>
      </w:r>
      <w:r w:rsidRPr="00EB1DA3">
        <w:rPr>
          <w:rFonts w:ascii="Arial" w:hAnsi="Arial" w:cs="Arial"/>
          <w:sz w:val="20"/>
          <w:lang w:val="en-ZA" w:eastAsia="en-GB"/>
        </w:rPr>
        <w:t xml:space="preserve">the 2021 </w:t>
      </w:r>
      <w:r w:rsidR="00276F36" w:rsidRPr="00EB1DA3">
        <w:rPr>
          <w:rFonts w:ascii="Arial" w:hAnsi="Arial" w:cs="Arial"/>
          <w:sz w:val="20"/>
          <w:lang w:val="en-ZA" w:eastAsia="en-GB"/>
        </w:rPr>
        <w:t>Budget, revealed the li</w:t>
      </w:r>
      <w:r w:rsidRPr="00EB1DA3">
        <w:rPr>
          <w:rFonts w:ascii="Arial" w:hAnsi="Arial" w:cs="Arial"/>
          <w:sz w:val="20"/>
          <w:lang w:val="en-ZA" w:eastAsia="en-GB"/>
        </w:rPr>
        <w:t xml:space="preserve">mits of incremental budgeting, </w:t>
      </w:r>
      <w:r w:rsidR="00276F36" w:rsidRPr="00EB1DA3">
        <w:rPr>
          <w:rFonts w:ascii="Arial" w:hAnsi="Arial" w:cs="Arial"/>
          <w:sz w:val="20"/>
          <w:lang w:val="en-ZA" w:eastAsia="en-GB"/>
        </w:rPr>
        <w:t>guaranteed increments in previous</w:t>
      </w:r>
      <w:r w:rsidR="00276F36" w:rsidRPr="00EB1DA3">
        <w:rPr>
          <w:rFonts w:ascii="Arial" w:hAnsi="Arial" w:cs="Arial"/>
          <w:sz w:val="20"/>
        </w:rPr>
        <w:t xml:space="preserve"> </w:t>
      </w:r>
      <w:r w:rsidR="00276F36" w:rsidRPr="00EB1DA3">
        <w:rPr>
          <w:rFonts w:ascii="Arial" w:hAnsi="Arial" w:cs="Arial"/>
          <w:sz w:val="20"/>
          <w:lang w:val="en-ZA" w:eastAsia="en-GB"/>
        </w:rPr>
        <w:t>allocations invariably create further inefficiencies, as well as create perverse incentives</w:t>
      </w:r>
      <w:r w:rsidR="00276F36" w:rsidRPr="00EB1DA3">
        <w:rPr>
          <w:rFonts w:ascii="Arial" w:hAnsi="Arial" w:cs="Arial"/>
          <w:sz w:val="20"/>
        </w:rPr>
        <w:t xml:space="preserve"> </w:t>
      </w:r>
      <w:r w:rsidR="00276F36" w:rsidRPr="00EB1DA3">
        <w:rPr>
          <w:rFonts w:ascii="Arial" w:hAnsi="Arial" w:cs="Arial"/>
          <w:sz w:val="20"/>
          <w:lang w:val="en-ZA" w:eastAsia="en-GB"/>
        </w:rPr>
        <w:t xml:space="preserve">to enter into contracts that have high unit costs. </w:t>
      </w:r>
    </w:p>
    <w:p w:rsidR="00276F36" w:rsidRPr="00EB1DA3" w:rsidRDefault="00F87B2D" w:rsidP="00EB1DA3">
      <w:pPr>
        <w:rPr>
          <w:rFonts w:ascii="Arial" w:hAnsi="Arial" w:cs="Arial"/>
          <w:sz w:val="20"/>
          <w:lang w:val="en-ZA" w:eastAsia="en-GB"/>
        </w:rPr>
      </w:pPr>
      <w:r w:rsidRPr="00EB1DA3">
        <w:rPr>
          <w:rFonts w:ascii="Arial" w:hAnsi="Arial" w:cs="Arial"/>
          <w:sz w:val="20"/>
          <w:lang w:val="en-ZA" w:eastAsia="en-GB"/>
        </w:rPr>
        <w:t>Last year, the PwC</w:t>
      </w:r>
      <w:r w:rsidR="00276F36" w:rsidRPr="00EB1DA3">
        <w:rPr>
          <w:rFonts w:ascii="Arial" w:hAnsi="Arial" w:cs="Arial"/>
          <w:sz w:val="20"/>
          <w:lang w:val="en-ZA" w:eastAsia="en-GB"/>
        </w:rPr>
        <w:t xml:space="preserve"> welcomed the announcement in </w:t>
      </w:r>
      <w:r w:rsidRPr="00EB1DA3">
        <w:rPr>
          <w:rFonts w:ascii="Arial" w:hAnsi="Arial" w:cs="Arial"/>
          <w:sz w:val="20"/>
          <w:lang w:val="en-ZA" w:eastAsia="en-GB"/>
        </w:rPr>
        <w:t xml:space="preserve">the 2021 Budget </w:t>
      </w:r>
      <w:r w:rsidR="00276F36" w:rsidRPr="00EB1DA3">
        <w:rPr>
          <w:rFonts w:ascii="Arial" w:hAnsi="Arial" w:cs="Arial"/>
          <w:sz w:val="20"/>
          <w:lang w:val="en-ZA" w:eastAsia="en-GB"/>
        </w:rPr>
        <w:t>that, during 2021/22, the Department of Public Enterprises</w:t>
      </w:r>
      <w:r w:rsidR="0026522D" w:rsidRPr="00EB1DA3">
        <w:rPr>
          <w:rFonts w:ascii="Arial" w:hAnsi="Arial" w:cs="Arial"/>
          <w:sz w:val="20"/>
          <w:lang w:val="en-ZA" w:eastAsia="en-GB"/>
        </w:rPr>
        <w:t xml:space="preserve"> (DPE)</w:t>
      </w:r>
      <w:r w:rsidR="00276F36" w:rsidRPr="00EB1DA3">
        <w:rPr>
          <w:rFonts w:ascii="Arial" w:hAnsi="Arial" w:cs="Arial"/>
          <w:sz w:val="20"/>
          <w:lang w:val="en-ZA" w:eastAsia="en-GB"/>
        </w:rPr>
        <w:t xml:space="preserve"> and the </w:t>
      </w:r>
      <w:r w:rsidRPr="00EB1DA3">
        <w:rPr>
          <w:rFonts w:ascii="Arial" w:hAnsi="Arial" w:cs="Arial"/>
          <w:sz w:val="20"/>
          <w:lang w:val="en-ZA" w:eastAsia="en-GB"/>
        </w:rPr>
        <w:t>NT</w:t>
      </w:r>
      <w:r w:rsidR="00276F36" w:rsidRPr="00EB1DA3">
        <w:rPr>
          <w:rFonts w:ascii="Arial" w:hAnsi="Arial" w:cs="Arial"/>
          <w:sz w:val="20"/>
          <w:lang w:val="en-ZA" w:eastAsia="en-GB"/>
        </w:rPr>
        <w:t xml:space="preserve"> will pilot zero-based budgeting, thereby producing significantly re-costed budgets from 2022/23 and ultimately improving the efficiency of spending. However, no mention was made in </w:t>
      </w:r>
      <w:r w:rsidRPr="00EB1DA3">
        <w:rPr>
          <w:rFonts w:ascii="Arial" w:hAnsi="Arial" w:cs="Arial"/>
          <w:sz w:val="20"/>
          <w:lang w:val="en-ZA" w:eastAsia="en-GB"/>
        </w:rPr>
        <w:t xml:space="preserve">the 2022 </w:t>
      </w:r>
      <w:r w:rsidR="00276F36" w:rsidRPr="00EB1DA3">
        <w:rPr>
          <w:rFonts w:ascii="Arial" w:hAnsi="Arial" w:cs="Arial"/>
          <w:sz w:val="20"/>
          <w:lang w:val="en-ZA" w:eastAsia="en-GB"/>
        </w:rPr>
        <w:t xml:space="preserve">Budget </w:t>
      </w:r>
      <w:r w:rsidRPr="00EB1DA3">
        <w:rPr>
          <w:rFonts w:ascii="Arial" w:hAnsi="Arial" w:cs="Arial"/>
          <w:sz w:val="20"/>
          <w:lang w:val="en-ZA" w:eastAsia="en-GB"/>
        </w:rPr>
        <w:t>r</w:t>
      </w:r>
      <w:r w:rsidR="00276F36" w:rsidRPr="00EB1DA3">
        <w:rPr>
          <w:rFonts w:ascii="Arial" w:hAnsi="Arial" w:cs="Arial"/>
          <w:sz w:val="20"/>
          <w:lang w:val="en-ZA" w:eastAsia="en-GB"/>
        </w:rPr>
        <w:t xml:space="preserve">egarding the progress with the implementation of zero-based budgeting which is disappointing, as </w:t>
      </w:r>
      <w:r w:rsidRPr="00EB1DA3">
        <w:rPr>
          <w:rFonts w:ascii="Arial" w:hAnsi="Arial" w:cs="Arial"/>
          <w:sz w:val="20"/>
          <w:lang w:val="en-ZA" w:eastAsia="en-GB"/>
        </w:rPr>
        <w:t>the PwC</w:t>
      </w:r>
      <w:r w:rsidR="00276F36" w:rsidRPr="00EB1DA3">
        <w:rPr>
          <w:rFonts w:ascii="Arial" w:hAnsi="Arial" w:cs="Arial"/>
          <w:sz w:val="20"/>
          <w:lang w:val="en-ZA" w:eastAsia="en-GB"/>
        </w:rPr>
        <w:t xml:space="preserve"> strongly believe</w:t>
      </w:r>
      <w:r w:rsidRPr="00EB1DA3">
        <w:rPr>
          <w:rFonts w:ascii="Arial" w:hAnsi="Arial" w:cs="Arial"/>
          <w:sz w:val="20"/>
          <w:lang w:val="en-ZA" w:eastAsia="en-GB"/>
        </w:rPr>
        <w:t>s</w:t>
      </w:r>
      <w:r w:rsidR="00276F36" w:rsidRPr="00EB1DA3">
        <w:rPr>
          <w:rFonts w:ascii="Arial" w:hAnsi="Arial" w:cs="Arial"/>
          <w:sz w:val="20"/>
          <w:lang w:val="en-ZA" w:eastAsia="en-GB"/>
        </w:rPr>
        <w:t xml:space="preserve"> that a review of govern</w:t>
      </w:r>
      <w:r w:rsidRPr="00EB1DA3">
        <w:rPr>
          <w:rFonts w:ascii="Arial" w:hAnsi="Arial" w:cs="Arial"/>
          <w:sz w:val="20"/>
          <w:lang w:val="en-ZA" w:eastAsia="en-GB"/>
        </w:rPr>
        <w:t>ment programmes and expenditure</w:t>
      </w:r>
      <w:r w:rsidR="00276F36" w:rsidRPr="00EB1DA3">
        <w:rPr>
          <w:rFonts w:ascii="Arial" w:hAnsi="Arial" w:cs="Arial"/>
          <w:sz w:val="20"/>
          <w:lang w:val="en-ZA" w:eastAsia="en-GB"/>
        </w:rPr>
        <w:t xml:space="preserve"> will be beneficial for the fiscal framework.</w:t>
      </w:r>
    </w:p>
    <w:p w:rsidR="00B76DA1" w:rsidRPr="00EB1DA3" w:rsidRDefault="00B76DA1" w:rsidP="00EB1DA3">
      <w:pPr>
        <w:rPr>
          <w:rFonts w:ascii="Arial" w:hAnsi="Arial" w:cs="Arial"/>
          <w:sz w:val="20"/>
        </w:rPr>
      </w:pPr>
      <w:r w:rsidRPr="00EB1DA3">
        <w:rPr>
          <w:rFonts w:ascii="Arial" w:hAnsi="Arial" w:cs="Arial"/>
          <w:sz w:val="20"/>
        </w:rPr>
        <w:t xml:space="preserve">COSATU expressed disappointment that </w:t>
      </w:r>
      <w:r w:rsidR="00503040" w:rsidRPr="00EB1DA3">
        <w:rPr>
          <w:rFonts w:ascii="Arial" w:hAnsi="Arial" w:cs="Arial"/>
          <w:sz w:val="20"/>
        </w:rPr>
        <w:t xml:space="preserve">the </w:t>
      </w:r>
      <w:r w:rsidRPr="00EB1DA3">
        <w:rPr>
          <w:rFonts w:ascii="Arial" w:hAnsi="Arial" w:cs="Arial"/>
          <w:sz w:val="20"/>
        </w:rPr>
        <w:t xml:space="preserve">government has not provided substantive measures to tackle corruption in the </w:t>
      </w:r>
      <w:r w:rsidR="00B74558" w:rsidRPr="00EB1DA3">
        <w:rPr>
          <w:rFonts w:ascii="Arial" w:hAnsi="Arial" w:cs="Arial"/>
          <w:sz w:val="20"/>
        </w:rPr>
        <w:t>2022 B</w:t>
      </w:r>
      <w:r w:rsidRPr="00EB1DA3">
        <w:rPr>
          <w:rFonts w:ascii="Arial" w:hAnsi="Arial" w:cs="Arial"/>
          <w:sz w:val="20"/>
        </w:rPr>
        <w:t xml:space="preserve">udget. It </w:t>
      </w:r>
      <w:r w:rsidR="00B74558" w:rsidRPr="00EB1DA3">
        <w:rPr>
          <w:rFonts w:ascii="Arial" w:hAnsi="Arial" w:cs="Arial"/>
          <w:sz w:val="20"/>
        </w:rPr>
        <w:t xml:space="preserve">submitted that </w:t>
      </w:r>
      <w:r w:rsidRPr="00EB1DA3">
        <w:rPr>
          <w:rFonts w:ascii="Arial" w:hAnsi="Arial" w:cs="Arial"/>
          <w:sz w:val="20"/>
        </w:rPr>
        <w:t xml:space="preserve">the Public Procurement Bill </w:t>
      </w:r>
      <w:r w:rsidR="0026522D" w:rsidRPr="00EB1DA3">
        <w:rPr>
          <w:rFonts w:ascii="Arial" w:hAnsi="Arial" w:cs="Arial"/>
          <w:sz w:val="20"/>
        </w:rPr>
        <w:t xml:space="preserve">should </w:t>
      </w:r>
      <w:r w:rsidRPr="00EB1DA3">
        <w:rPr>
          <w:rFonts w:ascii="Arial" w:hAnsi="Arial" w:cs="Arial"/>
          <w:sz w:val="20"/>
        </w:rPr>
        <w:t xml:space="preserve">be </w:t>
      </w:r>
      <w:r w:rsidR="00B74558" w:rsidRPr="00EB1DA3">
        <w:rPr>
          <w:rFonts w:ascii="Arial" w:hAnsi="Arial" w:cs="Arial"/>
          <w:sz w:val="20"/>
        </w:rPr>
        <w:t>fast-tracked</w:t>
      </w:r>
      <w:r w:rsidRPr="00EB1DA3">
        <w:rPr>
          <w:rFonts w:ascii="Arial" w:hAnsi="Arial" w:cs="Arial"/>
          <w:sz w:val="20"/>
        </w:rPr>
        <w:t>, enhanced to tackle corruption, substantive to support local procurement and cover the entire state.  It needs to be tabled at Parliament in 2022.</w:t>
      </w:r>
    </w:p>
    <w:p w:rsidR="00B76DA1" w:rsidRPr="00EB1DA3" w:rsidRDefault="00B76DA1" w:rsidP="00EB1DA3">
      <w:pPr>
        <w:rPr>
          <w:rFonts w:ascii="Arial" w:hAnsi="Arial" w:cs="Arial"/>
          <w:sz w:val="20"/>
        </w:rPr>
      </w:pPr>
      <w:r w:rsidRPr="00EB1DA3">
        <w:rPr>
          <w:rFonts w:ascii="Arial" w:hAnsi="Arial" w:cs="Arial"/>
          <w:sz w:val="20"/>
        </w:rPr>
        <w:t>COSATU</w:t>
      </w:r>
      <w:r w:rsidR="00AB4C10" w:rsidRPr="00EB1DA3">
        <w:rPr>
          <w:rFonts w:ascii="Arial" w:hAnsi="Arial" w:cs="Arial"/>
          <w:sz w:val="20"/>
        </w:rPr>
        <w:t xml:space="preserve"> further submitted that the g</w:t>
      </w:r>
      <w:r w:rsidRPr="00EB1DA3">
        <w:rPr>
          <w:rFonts w:ascii="Arial" w:hAnsi="Arial" w:cs="Arial"/>
          <w:sz w:val="20"/>
        </w:rPr>
        <w:t>overnment needs to move wi</w:t>
      </w:r>
      <w:r w:rsidR="00AB4C10" w:rsidRPr="00EB1DA3">
        <w:rPr>
          <w:rFonts w:ascii="Arial" w:hAnsi="Arial" w:cs="Arial"/>
          <w:sz w:val="20"/>
        </w:rPr>
        <w:t>th speed to draft legislation that would</w:t>
      </w:r>
      <w:r w:rsidRPr="00EB1DA3">
        <w:rPr>
          <w:rFonts w:ascii="Arial" w:hAnsi="Arial" w:cs="Arial"/>
          <w:sz w:val="20"/>
        </w:rPr>
        <w:t xml:space="preserve"> allow financially distressed and highly indebted workers limited access to their pension funds.  This needs to be finalised in 2022 so it can come into effect in 2023.</w:t>
      </w:r>
    </w:p>
    <w:p w:rsidR="00AB4C10" w:rsidRPr="00EB1DA3" w:rsidRDefault="00AB4C10" w:rsidP="00EB1DA3">
      <w:pPr>
        <w:rPr>
          <w:rFonts w:ascii="Arial" w:hAnsi="Arial" w:cs="Arial"/>
          <w:sz w:val="20"/>
          <w:lang w:val="en-ZA" w:eastAsia="en-GB"/>
        </w:rPr>
      </w:pPr>
      <w:r w:rsidRPr="00EB1DA3">
        <w:rPr>
          <w:rFonts w:ascii="Arial" w:hAnsi="Arial" w:cs="Arial"/>
          <w:sz w:val="20"/>
          <w:lang w:val="en-ZA" w:eastAsia="en-GB"/>
        </w:rPr>
        <w:t xml:space="preserve">Amandla.mobi. submitted the demands and voices of those the budget will most impact. The submission further outlined the lack of access to public participation. Amandla.mobi. recommends that more resources must be put in place to allow even the marginalised to access parliamentary public hearings </w:t>
      </w:r>
      <w:r w:rsidR="00434EB6" w:rsidRPr="00EB1DA3">
        <w:rPr>
          <w:rFonts w:ascii="Arial" w:hAnsi="Arial" w:cs="Arial"/>
          <w:sz w:val="20"/>
          <w:lang w:val="en-ZA" w:eastAsia="en-GB"/>
        </w:rPr>
        <w:t>and consultations. The Finance C</w:t>
      </w:r>
      <w:r w:rsidRPr="00EB1DA3">
        <w:rPr>
          <w:rFonts w:ascii="Arial" w:hAnsi="Arial" w:cs="Arial"/>
          <w:sz w:val="20"/>
          <w:lang w:val="en-ZA" w:eastAsia="en-GB"/>
        </w:rPr>
        <w:t xml:space="preserve">ommittee and NT must make commitments to make sure the majority of people are aware of and can access channels to participate in budget public consultations and implement measures that will allow that to happen by March 2023. NT should also consider a free hotline for budget tips, as the 300 tips currently considered are not sufficient for the whole country. </w:t>
      </w:r>
    </w:p>
    <w:p w:rsidR="0051749F" w:rsidRPr="00EB1DA3" w:rsidRDefault="0051749F" w:rsidP="00EB1DA3">
      <w:pPr>
        <w:pStyle w:val="Heading3"/>
        <w:spacing w:before="0" w:line="240" w:lineRule="auto"/>
        <w:rPr>
          <w:rFonts w:ascii="Arial" w:hAnsi="Arial" w:cs="Arial"/>
          <w:sz w:val="20"/>
          <w:u w:val="none"/>
        </w:rPr>
      </w:pPr>
      <w:r w:rsidRPr="00EB1DA3">
        <w:rPr>
          <w:rFonts w:ascii="Arial" w:hAnsi="Arial" w:cs="Arial"/>
          <w:sz w:val="20"/>
          <w:u w:val="none"/>
        </w:rPr>
        <w:t>Responses by the National Treasury on issues raised by the stakeholders</w:t>
      </w:r>
    </w:p>
    <w:p w:rsidR="0051749F" w:rsidRPr="00EB1DA3" w:rsidRDefault="0051749F" w:rsidP="00EB1DA3">
      <w:pPr>
        <w:rPr>
          <w:rFonts w:ascii="Arial" w:hAnsi="Arial" w:cs="Arial"/>
          <w:sz w:val="20"/>
        </w:rPr>
      </w:pPr>
      <w:r w:rsidRPr="00EB1DA3">
        <w:rPr>
          <w:rFonts w:ascii="Arial" w:hAnsi="Arial" w:cs="Arial"/>
          <w:bCs/>
          <w:sz w:val="20"/>
          <w:lang w:val="en-ZA"/>
        </w:rPr>
        <w:t xml:space="preserve">On public participation, NT stated that </w:t>
      </w:r>
      <w:r w:rsidRPr="00EB1DA3">
        <w:rPr>
          <w:rFonts w:ascii="Arial" w:hAnsi="Arial" w:cs="Arial"/>
          <w:sz w:val="20"/>
        </w:rPr>
        <w:t>South Africa ranked first, among 117 countries, in the 2017 and 2019 Open Budget Index. It said that the index measures the quality of budget transparency, public participation in the budget processes and institutiona</w:t>
      </w:r>
      <w:r w:rsidR="00AB4C10" w:rsidRPr="00EB1DA3">
        <w:rPr>
          <w:rFonts w:ascii="Arial" w:hAnsi="Arial" w:cs="Arial"/>
          <w:sz w:val="20"/>
        </w:rPr>
        <w:t>l oversight. These included the</w:t>
      </w:r>
      <w:r w:rsidRPr="00EB1DA3">
        <w:rPr>
          <w:rFonts w:ascii="Arial" w:hAnsi="Arial" w:cs="Arial"/>
          <w:sz w:val="20"/>
        </w:rPr>
        <w:t xml:space="preserve"> pre-budget public participation</w:t>
      </w:r>
      <w:r w:rsidR="00B12928" w:rsidRPr="00EB1DA3">
        <w:rPr>
          <w:rFonts w:ascii="Arial" w:hAnsi="Arial" w:cs="Arial"/>
          <w:sz w:val="20"/>
          <w:lang w:val="en-ZA"/>
        </w:rPr>
        <w:t xml:space="preserve">; </w:t>
      </w:r>
      <w:r w:rsidRPr="00EB1DA3">
        <w:rPr>
          <w:rFonts w:ascii="Arial" w:hAnsi="Arial" w:cs="Arial"/>
          <w:sz w:val="20"/>
        </w:rPr>
        <w:t>Budget tips (over 300 Budget tips received for 2022 Budget); post-budget</w:t>
      </w:r>
      <w:r w:rsidRPr="00EB1DA3">
        <w:rPr>
          <w:rFonts w:ascii="Arial" w:hAnsi="Arial" w:cs="Arial"/>
          <w:sz w:val="20"/>
          <w:lang w:val="en-ZA"/>
        </w:rPr>
        <w:t> </w:t>
      </w:r>
      <w:r w:rsidRPr="00EB1DA3">
        <w:rPr>
          <w:rFonts w:ascii="Arial" w:hAnsi="Arial" w:cs="Arial"/>
          <w:sz w:val="20"/>
        </w:rPr>
        <w:t>public participation</w:t>
      </w:r>
      <w:r w:rsidR="00AB4C10" w:rsidRPr="00EB1DA3">
        <w:rPr>
          <w:rFonts w:ascii="Arial" w:hAnsi="Arial" w:cs="Arial"/>
          <w:sz w:val="20"/>
        </w:rPr>
        <w:t>; People’s Guide to the Budget which is</w:t>
      </w:r>
      <w:r w:rsidRPr="00EB1DA3">
        <w:rPr>
          <w:rFonts w:ascii="Arial" w:hAnsi="Arial" w:cs="Arial"/>
          <w:sz w:val="20"/>
        </w:rPr>
        <w:t xml:space="preserve"> presented in 7 languages and circulated in communities; communi</w:t>
      </w:r>
      <w:r w:rsidR="00AB4C10" w:rsidRPr="00EB1DA3">
        <w:rPr>
          <w:rFonts w:ascii="Arial" w:hAnsi="Arial" w:cs="Arial"/>
          <w:sz w:val="20"/>
        </w:rPr>
        <w:t xml:space="preserve">ty radio stations engagements, </w:t>
      </w:r>
      <w:r w:rsidRPr="00EB1DA3">
        <w:rPr>
          <w:rFonts w:ascii="Arial" w:hAnsi="Arial" w:cs="Arial"/>
          <w:sz w:val="20"/>
        </w:rPr>
        <w:t xml:space="preserve">about 21 radio stations across different provinces; Budget Outreach Programme and other public participation; </w:t>
      </w:r>
      <w:r w:rsidR="00AB4C10" w:rsidRPr="00EB1DA3">
        <w:rPr>
          <w:rFonts w:ascii="Arial" w:hAnsi="Arial" w:cs="Arial"/>
          <w:sz w:val="20"/>
        </w:rPr>
        <w:t>NT Website where a</w:t>
      </w:r>
      <w:r w:rsidRPr="00EB1DA3">
        <w:rPr>
          <w:rFonts w:ascii="Arial" w:hAnsi="Arial" w:cs="Arial"/>
          <w:sz w:val="20"/>
        </w:rPr>
        <w:t>ll budget infor</w:t>
      </w:r>
      <w:r w:rsidR="00AB4C10" w:rsidRPr="00EB1DA3">
        <w:rPr>
          <w:rFonts w:ascii="Arial" w:hAnsi="Arial" w:cs="Arial"/>
          <w:sz w:val="20"/>
        </w:rPr>
        <w:t xml:space="preserve">mation including data sets such as the new budget dashboard; Vulekamali, </w:t>
      </w:r>
      <w:r w:rsidRPr="00EB1DA3">
        <w:rPr>
          <w:rFonts w:ascii="Arial" w:hAnsi="Arial" w:cs="Arial"/>
          <w:sz w:val="20"/>
        </w:rPr>
        <w:t>an easily accessible online budget data portal; a</w:t>
      </w:r>
      <w:r w:rsidR="00AB4C10" w:rsidRPr="00EB1DA3">
        <w:rPr>
          <w:rFonts w:ascii="Arial" w:hAnsi="Arial" w:cs="Arial"/>
          <w:sz w:val="20"/>
        </w:rPr>
        <w:t>nd Fiscal Openness Accelerator</w:t>
      </w:r>
      <w:r w:rsidRPr="00EB1DA3">
        <w:rPr>
          <w:rFonts w:ascii="Arial" w:hAnsi="Arial" w:cs="Arial"/>
          <w:sz w:val="20"/>
        </w:rPr>
        <w:t xml:space="preserve"> to support innovation to deepen participation by members of the public in fiscal policy. NT said it is continuously looking at more inclusive public participation mechanisms. </w:t>
      </w:r>
    </w:p>
    <w:p w:rsidR="0051749F" w:rsidRPr="00EB1DA3" w:rsidRDefault="0051749F" w:rsidP="00EB1DA3">
      <w:pPr>
        <w:rPr>
          <w:rFonts w:ascii="Arial" w:hAnsi="Arial" w:cs="Arial"/>
          <w:sz w:val="20"/>
        </w:rPr>
      </w:pPr>
      <w:r w:rsidRPr="00EB1DA3">
        <w:rPr>
          <w:rFonts w:ascii="Arial" w:hAnsi="Arial" w:cs="Arial"/>
          <w:sz w:val="20"/>
        </w:rPr>
        <w:lastRenderedPageBreak/>
        <w:t>On fighting corruption, NT said that t</w:t>
      </w:r>
      <w:r w:rsidRPr="00EB1DA3">
        <w:rPr>
          <w:rFonts w:ascii="Arial" w:hAnsi="Arial" w:cs="Arial"/>
          <w:sz w:val="20"/>
          <w:lang w:val="en-ZA"/>
        </w:rPr>
        <w:t>he 2022 Budget Review states that funds are being reprioritised in the peace and security function to enhance capacity in institutions combatting crime and corruption. It said that t</w:t>
      </w:r>
      <w:r w:rsidRPr="00EB1DA3">
        <w:rPr>
          <w:rFonts w:ascii="Arial" w:hAnsi="Arial" w:cs="Arial"/>
          <w:sz w:val="20"/>
        </w:rPr>
        <w:t xml:space="preserve">he Investigating Directorate in the </w:t>
      </w:r>
      <w:r w:rsidR="00AB4C10" w:rsidRPr="00EB1DA3">
        <w:rPr>
          <w:rFonts w:ascii="Arial" w:hAnsi="Arial" w:cs="Arial"/>
          <w:sz w:val="20"/>
        </w:rPr>
        <w:t>NPA</w:t>
      </w:r>
      <w:r w:rsidRPr="00EB1DA3">
        <w:rPr>
          <w:rFonts w:ascii="Arial" w:hAnsi="Arial" w:cs="Arial"/>
          <w:sz w:val="20"/>
        </w:rPr>
        <w:t xml:space="preserve"> and the Financial Intelligence Centre</w:t>
      </w:r>
      <w:r w:rsidR="00AB4C10" w:rsidRPr="00EB1DA3">
        <w:rPr>
          <w:rFonts w:ascii="Arial" w:hAnsi="Arial" w:cs="Arial"/>
          <w:sz w:val="20"/>
        </w:rPr>
        <w:t xml:space="preserve"> (FIC)</w:t>
      </w:r>
      <w:r w:rsidRPr="00EB1DA3">
        <w:rPr>
          <w:rFonts w:ascii="Arial" w:hAnsi="Arial" w:cs="Arial"/>
          <w:sz w:val="20"/>
        </w:rPr>
        <w:t xml:space="preserve"> are together allocated R426 million over the MTEF period. It said that this allocation will enable the permanent appointment of 68 personnel in the Financial Intelligence Centre and an estimated 90 personnel in the Investigating Directorate to provide specialised services. It explained that Legal Aid South Africa is also allocated R34.3 million over the medium term to provide capacity at newly established Specialised Commercial Crime Courts in the provinces of Limpopo, Mpumalanga, North West, and Northern Cape. NT explained that the Public Procurement Bill will be tabled before Parliament in 2022/23. It said that the bill will be revisited to take into account the recent Constitutional Court judgement on the preferential procurement regulations and the Zondo Commission report.</w:t>
      </w:r>
    </w:p>
    <w:p w:rsidR="00FD605D" w:rsidRPr="00EB1DA3" w:rsidRDefault="00FD605D" w:rsidP="00EB1DA3">
      <w:pPr>
        <w:rPr>
          <w:rFonts w:ascii="Arial" w:hAnsi="Arial" w:cs="Arial"/>
          <w:sz w:val="20"/>
        </w:rPr>
      </w:pPr>
    </w:p>
    <w:p w:rsidR="00A8474F" w:rsidRPr="00EB1DA3" w:rsidRDefault="00F15468" w:rsidP="00EB1DA3">
      <w:pPr>
        <w:pStyle w:val="Heading2"/>
        <w:spacing w:before="0" w:line="240" w:lineRule="auto"/>
        <w:rPr>
          <w:rFonts w:ascii="Arial" w:hAnsi="Arial" w:cs="Arial"/>
          <w:sz w:val="20"/>
        </w:rPr>
      </w:pPr>
      <w:r w:rsidRPr="00EB1DA3">
        <w:rPr>
          <w:rFonts w:ascii="Arial" w:hAnsi="Arial" w:cs="Arial"/>
          <w:sz w:val="20"/>
        </w:rPr>
        <w:t>COMMITTEE</w:t>
      </w:r>
      <w:r w:rsidR="00E60BA3" w:rsidRPr="00EB1DA3">
        <w:rPr>
          <w:rFonts w:ascii="Arial" w:hAnsi="Arial" w:cs="Arial"/>
          <w:sz w:val="20"/>
        </w:rPr>
        <w:t>’</w:t>
      </w:r>
      <w:r w:rsidRPr="00EB1DA3">
        <w:rPr>
          <w:rFonts w:ascii="Arial" w:hAnsi="Arial" w:cs="Arial"/>
          <w:sz w:val="20"/>
        </w:rPr>
        <w:t>S OBSERVATIONS AND RECOMMENDATIONS</w:t>
      </w:r>
      <w:r w:rsidR="004C48E6" w:rsidRPr="00EB1DA3">
        <w:rPr>
          <w:rFonts w:ascii="Arial" w:hAnsi="Arial" w:cs="Arial"/>
          <w:sz w:val="20"/>
        </w:rPr>
        <w:t xml:space="preserve"> </w:t>
      </w:r>
    </w:p>
    <w:p w:rsidR="00193F8D" w:rsidRPr="00EB1DA3" w:rsidRDefault="00DF0075" w:rsidP="00EB1DA3">
      <w:pPr>
        <w:rPr>
          <w:rFonts w:ascii="Arial" w:hAnsi="Arial" w:cs="Arial"/>
          <w:sz w:val="20"/>
        </w:rPr>
      </w:pPr>
      <w:r w:rsidRPr="00EB1DA3">
        <w:rPr>
          <w:rFonts w:ascii="Arial" w:hAnsi="Arial" w:cs="Arial"/>
          <w:sz w:val="20"/>
        </w:rPr>
        <w:t xml:space="preserve">The Committee </w:t>
      </w:r>
      <w:r w:rsidR="00831454" w:rsidRPr="00EB1DA3">
        <w:rPr>
          <w:rFonts w:ascii="Arial" w:hAnsi="Arial" w:cs="Arial"/>
          <w:sz w:val="20"/>
        </w:rPr>
        <w:t>welcome</w:t>
      </w:r>
      <w:r w:rsidR="00E60BA3" w:rsidRPr="00EB1DA3">
        <w:rPr>
          <w:rFonts w:ascii="Arial" w:hAnsi="Arial" w:cs="Arial"/>
          <w:sz w:val="20"/>
        </w:rPr>
        <w:t>s</w:t>
      </w:r>
      <w:r w:rsidR="00060D15" w:rsidRPr="00EB1DA3">
        <w:rPr>
          <w:rFonts w:ascii="Arial" w:hAnsi="Arial" w:cs="Arial"/>
          <w:sz w:val="20"/>
        </w:rPr>
        <w:t xml:space="preserve"> the 2022 Budget </w:t>
      </w:r>
      <w:r w:rsidR="00C062FA" w:rsidRPr="00EB1DA3">
        <w:rPr>
          <w:rFonts w:ascii="Arial" w:hAnsi="Arial" w:cs="Arial"/>
          <w:sz w:val="20"/>
        </w:rPr>
        <w:t xml:space="preserve">and </w:t>
      </w:r>
      <w:r w:rsidR="00E60BA3" w:rsidRPr="00EB1DA3">
        <w:rPr>
          <w:rFonts w:ascii="Arial" w:hAnsi="Arial" w:cs="Arial"/>
          <w:sz w:val="20"/>
        </w:rPr>
        <w:t>acknowledges</w:t>
      </w:r>
      <w:r w:rsidR="00C062FA" w:rsidRPr="00EB1DA3">
        <w:rPr>
          <w:rFonts w:ascii="Arial" w:hAnsi="Arial" w:cs="Arial"/>
          <w:sz w:val="20"/>
        </w:rPr>
        <w:t xml:space="preserve"> that it</w:t>
      </w:r>
      <w:r w:rsidR="00060D15" w:rsidRPr="00EB1DA3">
        <w:rPr>
          <w:rFonts w:ascii="Arial" w:hAnsi="Arial" w:cs="Arial"/>
          <w:sz w:val="20"/>
        </w:rPr>
        <w:t xml:space="preserve"> strikes a difficult balance between growing the economy, ensuring fiscal sustainability, maintaining expenditure over the medium term and providing tax relief to individuals and companies. T</w:t>
      </w:r>
      <w:r w:rsidR="00510E6D" w:rsidRPr="00EB1DA3">
        <w:rPr>
          <w:rFonts w:ascii="Arial" w:hAnsi="Arial" w:cs="Arial"/>
          <w:sz w:val="20"/>
        </w:rPr>
        <w:t xml:space="preserve">he </w:t>
      </w:r>
      <w:r w:rsidR="00E60BA3" w:rsidRPr="00EB1DA3">
        <w:rPr>
          <w:rFonts w:ascii="Arial" w:hAnsi="Arial" w:cs="Arial"/>
          <w:sz w:val="20"/>
        </w:rPr>
        <w:t>Committee</w:t>
      </w:r>
      <w:r w:rsidR="00060D15" w:rsidRPr="00EB1DA3">
        <w:rPr>
          <w:rFonts w:ascii="Arial" w:hAnsi="Arial" w:cs="Arial"/>
          <w:sz w:val="20"/>
        </w:rPr>
        <w:t xml:space="preserve"> </w:t>
      </w:r>
      <w:r w:rsidR="00C062FA" w:rsidRPr="00EB1DA3">
        <w:rPr>
          <w:rFonts w:ascii="Arial" w:hAnsi="Arial" w:cs="Arial"/>
          <w:sz w:val="20"/>
        </w:rPr>
        <w:t xml:space="preserve">further </w:t>
      </w:r>
      <w:r w:rsidR="00060D15" w:rsidRPr="00EB1DA3">
        <w:rPr>
          <w:rFonts w:ascii="Arial" w:hAnsi="Arial" w:cs="Arial"/>
          <w:sz w:val="20"/>
        </w:rPr>
        <w:t>acknowledge</w:t>
      </w:r>
      <w:r w:rsidR="00E60BA3" w:rsidRPr="00EB1DA3">
        <w:rPr>
          <w:rFonts w:ascii="Arial" w:hAnsi="Arial" w:cs="Arial"/>
          <w:sz w:val="20"/>
        </w:rPr>
        <w:t>s</w:t>
      </w:r>
      <w:r w:rsidR="00060D15" w:rsidRPr="00EB1DA3">
        <w:rPr>
          <w:rFonts w:ascii="Arial" w:hAnsi="Arial" w:cs="Arial"/>
          <w:sz w:val="20"/>
        </w:rPr>
        <w:t xml:space="preserve"> the continued difficult economic conditions under which the 2022 Budget was tabled and welcome</w:t>
      </w:r>
      <w:r w:rsidR="00193F8D" w:rsidRPr="00EB1DA3">
        <w:rPr>
          <w:rFonts w:ascii="Arial" w:hAnsi="Arial" w:cs="Arial"/>
          <w:sz w:val="20"/>
        </w:rPr>
        <w:t>s</w:t>
      </w:r>
      <w:r w:rsidR="00060D15" w:rsidRPr="00EB1DA3">
        <w:rPr>
          <w:rFonts w:ascii="Arial" w:hAnsi="Arial" w:cs="Arial"/>
          <w:sz w:val="20"/>
        </w:rPr>
        <w:t xml:space="preserve"> th</w:t>
      </w:r>
      <w:r w:rsidR="00831454" w:rsidRPr="00EB1DA3">
        <w:rPr>
          <w:rFonts w:ascii="Arial" w:hAnsi="Arial" w:cs="Arial"/>
          <w:sz w:val="20"/>
        </w:rPr>
        <w:t xml:space="preserve">e more </w:t>
      </w:r>
      <w:r w:rsidR="00060D15" w:rsidRPr="00EB1DA3">
        <w:rPr>
          <w:rFonts w:ascii="Arial" w:hAnsi="Arial" w:cs="Arial"/>
          <w:sz w:val="20"/>
        </w:rPr>
        <w:t>than expected revenue that was collected in 2021.</w:t>
      </w:r>
      <w:r w:rsidR="00193F8D" w:rsidRPr="00EB1DA3">
        <w:rPr>
          <w:rFonts w:ascii="Arial" w:hAnsi="Arial" w:cs="Arial"/>
          <w:sz w:val="20"/>
        </w:rPr>
        <w:t xml:space="preserve"> However, it is concerned about the fiscal risks that are looming.</w:t>
      </w:r>
    </w:p>
    <w:p w:rsidR="00002607" w:rsidRPr="00EB1DA3" w:rsidRDefault="00002607" w:rsidP="00EB1DA3">
      <w:pPr>
        <w:rPr>
          <w:rFonts w:ascii="Arial" w:hAnsi="Arial" w:cs="Arial"/>
          <w:sz w:val="20"/>
        </w:rPr>
      </w:pPr>
      <w:r w:rsidRPr="00EB1DA3">
        <w:rPr>
          <w:rFonts w:ascii="Arial" w:hAnsi="Arial" w:cs="Arial"/>
          <w:sz w:val="20"/>
        </w:rPr>
        <w:t xml:space="preserve">The Committee appreciates the </w:t>
      </w:r>
      <w:r w:rsidR="00193F8D" w:rsidRPr="00EB1DA3">
        <w:rPr>
          <w:rFonts w:ascii="Arial" w:hAnsi="Arial" w:cs="Arial"/>
          <w:sz w:val="20"/>
        </w:rPr>
        <w:t>productive</w:t>
      </w:r>
      <w:r w:rsidRPr="00EB1DA3">
        <w:rPr>
          <w:rFonts w:ascii="Arial" w:hAnsi="Arial" w:cs="Arial"/>
          <w:sz w:val="20"/>
        </w:rPr>
        <w:t xml:space="preserve"> environment in which the 2022 Budget was discussed, between the NT, SARS and civil society. The Committee further </w:t>
      </w:r>
      <w:r w:rsidR="00193F8D" w:rsidRPr="00EB1DA3">
        <w:rPr>
          <w:rFonts w:ascii="Arial" w:hAnsi="Arial" w:cs="Arial"/>
          <w:sz w:val="20"/>
        </w:rPr>
        <w:t xml:space="preserve">welcomes </w:t>
      </w:r>
      <w:r w:rsidRPr="00EB1DA3">
        <w:rPr>
          <w:rFonts w:ascii="Arial" w:hAnsi="Arial" w:cs="Arial"/>
          <w:sz w:val="20"/>
        </w:rPr>
        <w:t>NT and SARS</w:t>
      </w:r>
      <w:r w:rsidR="00193F8D" w:rsidRPr="00EB1DA3">
        <w:rPr>
          <w:rFonts w:ascii="Arial" w:hAnsi="Arial" w:cs="Arial"/>
          <w:sz w:val="20"/>
        </w:rPr>
        <w:t>’</w:t>
      </w:r>
      <w:r w:rsidRPr="00EB1DA3">
        <w:rPr>
          <w:rFonts w:ascii="Arial" w:hAnsi="Arial" w:cs="Arial"/>
          <w:sz w:val="20"/>
        </w:rPr>
        <w:t xml:space="preserve"> comprehensive responses to the issues raised by the stakeholders.</w:t>
      </w:r>
    </w:p>
    <w:p w:rsidR="00F62F25" w:rsidRPr="00EB1DA3" w:rsidRDefault="00AA0A04" w:rsidP="00EB1DA3">
      <w:pPr>
        <w:pStyle w:val="Heading3"/>
        <w:spacing w:before="0" w:line="240" w:lineRule="auto"/>
        <w:rPr>
          <w:rFonts w:ascii="Arial" w:hAnsi="Arial" w:cs="Arial"/>
          <w:sz w:val="20"/>
          <w:u w:val="none"/>
        </w:rPr>
      </w:pPr>
      <w:r w:rsidRPr="00EB1DA3">
        <w:rPr>
          <w:rFonts w:ascii="Arial" w:hAnsi="Arial" w:cs="Arial"/>
          <w:sz w:val="20"/>
          <w:u w:val="none"/>
        </w:rPr>
        <w:t>Macroeconomic issues</w:t>
      </w:r>
      <w:r w:rsidR="00D50B2F" w:rsidRPr="00EB1DA3">
        <w:rPr>
          <w:rFonts w:ascii="Arial" w:hAnsi="Arial" w:cs="Arial"/>
          <w:sz w:val="20"/>
          <w:u w:val="none"/>
        </w:rPr>
        <w:t>, policy</w:t>
      </w:r>
      <w:r w:rsidRPr="00EB1DA3">
        <w:rPr>
          <w:rFonts w:ascii="Arial" w:hAnsi="Arial" w:cs="Arial"/>
          <w:sz w:val="20"/>
          <w:u w:val="none"/>
        </w:rPr>
        <w:t xml:space="preserve"> </w:t>
      </w:r>
      <w:r w:rsidR="00D50B2F" w:rsidRPr="00EB1DA3">
        <w:rPr>
          <w:rFonts w:ascii="Arial" w:hAnsi="Arial" w:cs="Arial"/>
          <w:sz w:val="20"/>
          <w:u w:val="none"/>
        </w:rPr>
        <w:t xml:space="preserve">and reforms </w:t>
      </w:r>
    </w:p>
    <w:p w:rsidR="0008276A" w:rsidRPr="00EB1DA3" w:rsidRDefault="001D36AE" w:rsidP="00EB1DA3">
      <w:pPr>
        <w:pStyle w:val="Heading4"/>
        <w:spacing w:before="0" w:line="240" w:lineRule="auto"/>
        <w:rPr>
          <w:rFonts w:ascii="Arial" w:hAnsi="Arial" w:cs="Arial"/>
          <w:i w:val="0"/>
          <w:sz w:val="20"/>
        </w:rPr>
      </w:pPr>
      <w:r w:rsidRPr="00EB1DA3">
        <w:rPr>
          <w:rFonts w:ascii="Arial" w:hAnsi="Arial" w:cs="Arial"/>
          <w:i w:val="0"/>
          <w:sz w:val="20"/>
        </w:rPr>
        <w:t>The Committee</w:t>
      </w:r>
      <w:r w:rsidR="00237555" w:rsidRPr="00EB1DA3">
        <w:rPr>
          <w:rFonts w:ascii="Arial" w:hAnsi="Arial" w:cs="Arial"/>
          <w:i w:val="0"/>
          <w:sz w:val="20"/>
        </w:rPr>
        <w:t xml:space="preserve"> </w:t>
      </w:r>
      <w:r w:rsidR="007117E4" w:rsidRPr="00EB1DA3">
        <w:rPr>
          <w:rFonts w:ascii="Arial" w:hAnsi="Arial" w:cs="Arial"/>
          <w:i w:val="0"/>
          <w:sz w:val="20"/>
        </w:rPr>
        <w:t xml:space="preserve">notes (1) that </w:t>
      </w:r>
      <w:r w:rsidR="00BB3A57" w:rsidRPr="00EB1DA3">
        <w:rPr>
          <w:rFonts w:ascii="Arial" w:hAnsi="Arial" w:cs="Arial"/>
          <w:i w:val="0"/>
          <w:sz w:val="20"/>
        </w:rPr>
        <w:t>the expected real GDP growth of 1.8 per cent over</w:t>
      </w:r>
      <w:r w:rsidR="00526FDC" w:rsidRPr="00EB1DA3">
        <w:rPr>
          <w:rFonts w:ascii="Arial" w:hAnsi="Arial" w:cs="Arial"/>
          <w:i w:val="0"/>
          <w:sz w:val="20"/>
        </w:rPr>
        <w:t xml:space="preserve"> the medium term, on average, will</w:t>
      </w:r>
      <w:r w:rsidR="00BB3A57" w:rsidRPr="00EB1DA3">
        <w:rPr>
          <w:rFonts w:ascii="Arial" w:hAnsi="Arial" w:cs="Arial"/>
          <w:i w:val="0"/>
          <w:sz w:val="20"/>
        </w:rPr>
        <w:t xml:space="preserve"> not </w:t>
      </w:r>
      <w:r w:rsidR="00526FDC" w:rsidRPr="00EB1DA3">
        <w:rPr>
          <w:rFonts w:ascii="Arial" w:hAnsi="Arial" w:cs="Arial"/>
          <w:i w:val="0"/>
          <w:sz w:val="20"/>
        </w:rPr>
        <w:t xml:space="preserve">be </w:t>
      </w:r>
      <w:r w:rsidR="00BB3A57" w:rsidRPr="00EB1DA3">
        <w:rPr>
          <w:rFonts w:ascii="Arial" w:hAnsi="Arial" w:cs="Arial"/>
          <w:i w:val="0"/>
          <w:sz w:val="20"/>
        </w:rPr>
        <w:t>s</w:t>
      </w:r>
      <w:r w:rsidR="00D50B2F" w:rsidRPr="00EB1DA3">
        <w:rPr>
          <w:rFonts w:ascii="Arial" w:hAnsi="Arial" w:cs="Arial"/>
          <w:i w:val="0"/>
          <w:sz w:val="20"/>
        </w:rPr>
        <w:t xml:space="preserve">ufficient to reduce poverty, </w:t>
      </w:r>
      <w:r w:rsidR="00BB3A57" w:rsidRPr="00EB1DA3">
        <w:rPr>
          <w:rFonts w:ascii="Arial" w:hAnsi="Arial" w:cs="Arial"/>
          <w:i w:val="0"/>
          <w:sz w:val="20"/>
        </w:rPr>
        <w:t>inequality</w:t>
      </w:r>
      <w:r w:rsidR="00526FDC" w:rsidRPr="00EB1DA3">
        <w:rPr>
          <w:rFonts w:ascii="Arial" w:hAnsi="Arial" w:cs="Arial"/>
          <w:i w:val="0"/>
          <w:sz w:val="20"/>
        </w:rPr>
        <w:t xml:space="preserve"> and high rates of unemployment</w:t>
      </w:r>
      <w:r w:rsidR="00D50B2F" w:rsidRPr="00EB1DA3">
        <w:rPr>
          <w:rFonts w:ascii="Arial" w:hAnsi="Arial" w:cs="Arial"/>
          <w:i w:val="0"/>
          <w:sz w:val="20"/>
        </w:rPr>
        <w:t>,</w:t>
      </w:r>
      <w:r w:rsidR="007117E4" w:rsidRPr="00EB1DA3">
        <w:rPr>
          <w:rFonts w:ascii="Arial" w:hAnsi="Arial" w:cs="Arial"/>
          <w:i w:val="0"/>
          <w:sz w:val="20"/>
        </w:rPr>
        <w:t xml:space="preserve"> (2)</w:t>
      </w:r>
      <w:r w:rsidR="000B6C99" w:rsidRPr="00EB1DA3">
        <w:rPr>
          <w:rFonts w:ascii="Arial" w:hAnsi="Arial" w:cs="Arial"/>
          <w:i w:val="0"/>
          <w:sz w:val="20"/>
        </w:rPr>
        <w:t xml:space="preserve"> </w:t>
      </w:r>
      <w:r w:rsidR="007117E4" w:rsidRPr="00EB1DA3">
        <w:rPr>
          <w:rFonts w:ascii="Arial" w:hAnsi="Arial" w:cs="Arial"/>
          <w:i w:val="0"/>
          <w:sz w:val="20"/>
        </w:rPr>
        <w:t xml:space="preserve">that </w:t>
      </w:r>
      <w:r w:rsidR="0084236F" w:rsidRPr="00EB1DA3">
        <w:rPr>
          <w:rFonts w:ascii="Arial" w:hAnsi="Arial" w:cs="Arial"/>
          <w:i w:val="0"/>
          <w:sz w:val="20"/>
        </w:rPr>
        <w:t xml:space="preserve">GDP growth forecasts assume </w:t>
      </w:r>
      <w:r w:rsidR="00BB3A57" w:rsidRPr="00EB1DA3">
        <w:rPr>
          <w:rFonts w:ascii="Arial" w:hAnsi="Arial" w:cs="Arial"/>
          <w:i w:val="0"/>
          <w:sz w:val="20"/>
        </w:rPr>
        <w:t xml:space="preserve">a more rapid implementation of economic reforms and </w:t>
      </w:r>
      <w:r w:rsidR="000B6C99" w:rsidRPr="00EB1DA3">
        <w:rPr>
          <w:rFonts w:ascii="Arial" w:hAnsi="Arial" w:cs="Arial"/>
          <w:i w:val="0"/>
          <w:sz w:val="20"/>
        </w:rPr>
        <w:t>fiscal consolidation</w:t>
      </w:r>
      <w:r w:rsidR="007117E4" w:rsidRPr="00EB1DA3">
        <w:rPr>
          <w:rFonts w:ascii="Arial" w:hAnsi="Arial" w:cs="Arial"/>
          <w:i w:val="0"/>
          <w:sz w:val="20"/>
        </w:rPr>
        <w:t xml:space="preserve"> despite the past trends </w:t>
      </w:r>
      <w:r w:rsidR="0008276A" w:rsidRPr="00EB1DA3">
        <w:rPr>
          <w:rFonts w:ascii="Arial" w:hAnsi="Arial" w:cs="Arial"/>
          <w:i w:val="0"/>
          <w:sz w:val="20"/>
        </w:rPr>
        <w:t>of failure to do so,</w:t>
      </w:r>
      <w:r w:rsidR="007117E4" w:rsidRPr="00EB1DA3">
        <w:rPr>
          <w:rFonts w:ascii="Arial" w:hAnsi="Arial" w:cs="Arial"/>
          <w:i w:val="0"/>
          <w:sz w:val="20"/>
        </w:rPr>
        <w:t xml:space="preserve"> (3) </w:t>
      </w:r>
      <w:r w:rsidR="00D611F9" w:rsidRPr="00EB1DA3">
        <w:rPr>
          <w:rFonts w:ascii="Arial" w:hAnsi="Arial" w:cs="Arial"/>
          <w:i w:val="0"/>
          <w:sz w:val="20"/>
        </w:rPr>
        <w:t>NT</w:t>
      </w:r>
      <w:r w:rsidR="007117E4" w:rsidRPr="00EB1DA3">
        <w:rPr>
          <w:rFonts w:ascii="Arial" w:hAnsi="Arial" w:cs="Arial"/>
          <w:i w:val="0"/>
          <w:sz w:val="20"/>
        </w:rPr>
        <w:t>’s acknowledgement</w:t>
      </w:r>
      <w:r w:rsidR="00D611F9" w:rsidRPr="00EB1DA3">
        <w:rPr>
          <w:rFonts w:ascii="Arial" w:hAnsi="Arial" w:cs="Arial"/>
          <w:i w:val="0"/>
          <w:sz w:val="20"/>
        </w:rPr>
        <w:t xml:space="preserve"> that structural constraints have reduced potential economic growth for the past decade and </w:t>
      </w:r>
      <w:r w:rsidR="007117E4" w:rsidRPr="00EB1DA3">
        <w:rPr>
          <w:rFonts w:ascii="Arial" w:hAnsi="Arial" w:cs="Arial"/>
          <w:i w:val="0"/>
          <w:sz w:val="20"/>
        </w:rPr>
        <w:t>r</w:t>
      </w:r>
      <w:r w:rsidR="0008276A" w:rsidRPr="00EB1DA3">
        <w:rPr>
          <w:rFonts w:ascii="Arial" w:hAnsi="Arial" w:cs="Arial"/>
          <w:i w:val="0"/>
          <w:sz w:val="20"/>
        </w:rPr>
        <w:t xml:space="preserve">emain an impediment to recovery and (4) </w:t>
      </w:r>
      <w:r w:rsidR="00020A74" w:rsidRPr="00EB1DA3">
        <w:rPr>
          <w:rFonts w:ascii="Arial" w:hAnsi="Arial" w:cs="Arial"/>
          <w:i w:val="0"/>
          <w:sz w:val="20"/>
        </w:rPr>
        <w:t xml:space="preserve">the FFC’s </w:t>
      </w:r>
      <w:r w:rsidR="00FD6BE2" w:rsidRPr="00EB1DA3">
        <w:rPr>
          <w:rFonts w:ascii="Arial" w:hAnsi="Arial" w:cs="Arial"/>
          <w:i w:val="0"/>
          <w:sz w:val="20"/>
        </w:rPr>
        <w:t>submission</w:t>
      </w:r>
      <w:r w:rsidR="00020A74" w:rsidRPr="00EB1DA3">
        <w:rPr>
          <w:rFonts w:ascii="Arial" w:hAnsi="Arial" w:cs="Arial"/>
          <w:i w:val="0"/>
          <w:sz w:val="20"/>
        </w:rPr>
        <w:t xml:space="preserve"> that it is improbable that the economy will revert to pre-pandemic levels in 2022</w:t>
      </w:r>
      <w:r w:rsidR="00112721" w:rsidRPr="00EB1DA3">
        <w:rPr>
          <w:rFonts w:ascii="Arial" w:hAnsi="Arial" w:cs="Arial"/>
          <w:i w:val="0"/>
          <w:sz w:val="20"/>
        </w:rPr>
        <w:t>, as NT estimated,</w:t>
      </w:r>
      <w:r w:rsidR="00020A74" w:rsidRPr="00EB1DA3">
        <w:rPr>
          <w:rFonts w:ascii="Arial" w:hAnsi="Arial" w:cs="Arial"/>
          <w:i w:val="0"/>
          <w:sz w:val="20"/>
        </w:rPr>
        <w:t xml:space="preserve"> given that </w:t>
      </w:r>
      <w:r w:rsidR="00D73BB8" w:rsidRPr="00EB1DA3">
        <w:rPr>
          <w:rFonts w:ascii="Arial" w:hAnsi="Arial" w:cs="Arial"/>
          <w:i w:val="0"/>
          <w:sz w:val="20"/>
        </w:rPr>
        <w:t xml:space="preserve">recovery was disrupted in the third quarter of 2021 when GDP decreased by 1.5 per cent, owing to the July </w:t>
      </w:r>
      <w:r w:rsidR="00330F26" w:rsidRPr="00EB1DA3">
        <w:rPr>
          <w:rFonts w:ascii="Arial" w:hAnsi="Arial" w:cs="Arial"/>
          <w:i w:val="0"/>
          <w:sz w:val="20"/>
        </w:rPr>
        <w:t xml:space="preserve">2021 </w:t>
      </w:r>
      <w:r w:rsidR="00D73BB8" w:rsidRPr="00EB1DA3">
        <w:rPr>
          <w:rFonts w:ascii="Arial" w:hAnsi="Arial" w:cs="Arial"/>
          <w:i w:val="0"/>
          <w:sz w:val="20"/>
        </w:rPr>
        <w:t>unrest and the emergence of Omicron</w:t>
      </w:r>
      <w:r w:rsidR="0039736B" w:rsidRPr="00EB1DA3">
        <w:rPr>
          <w:rFonts w:ascii="Arial" w:hAnsi="Arial" w:cs="Arial"/>
          <w:i w:val="0"/>
          <w:sz w:val="20"/>
        </w:rPr>
        <w:t xml:space="preserve"> virus</w:t>
      </w:r>
      <w:r w:rsidR="00D73BB8" w:rsidRPr="00EB1DA3">
        <w:rPr>
          <w:rFonts w:ascii="Arial" w:hAnsi="Arial" w:cs="Arial"/>
          <w:i w:val="0"/>
          <w:sz w:val="20"/>
        </w:rPr>
        <w:t>.</w:t>
      </w:r>
      <w:r w:rsidR="00770A3D" w:rsidRPr="00EB1DA3">
        <w:rPr>
          <w:rFonts w:ascii="Arial" w:hAnsi="Arial" w:cs="Arial"/>
          <w:i w:val="0"/>
          <w:sz w:val="20"/>
        </w:rPr>
        <w:t xml:space="preserve"> </w:t>
      </w:r>
    </w:p>
    <w:p w:rsidR="002B15EE" w:rsidRPr="00EB1DA3" w:rsidRDefault="00E133D0" w:rsidP="00EB1DA3">
      <w:pPr>
        <w:pStyle w:val="Heading4"/>
        <w:spacing w:before="0" w:line="240" w:lineRule="auto"/>
        <w:rPr>
          <w:rFonts w:ascii="Arial" w:hAnsi="Arial" w:cs="Arial"/>
          <w:i w:val="0"/>
          <w:sz w:val="20"/>
        </w:rPr>
      </w:pPr>
      <w:r w:rsidRPr="00EB1DA3">
        <w:rPr>
          <w:rFonts w:ascii="Arial" w:hAnsi="Arial" w:cs="Arial"/>
          <w:i w:val="0"/>
          <w:sz w:val="20"/>
        </w:rPr>
        <w:t>T</w:t>
      </w:r>
      <w:r w:rsidR="00D3378B" w:rsidRPr="00EB1DA3">
        <w:rPr>
          <w:rFonts w:ascii="Arial" w:hAnsi="Arial" w:cs="Arial"/>
          <w:i w:val="0"/>
          <w:sz w:val="20"/>
        </w:rPr>
        <w:t>he</w:t>
      </w:r>
      <w:r w:rsidRPr="00EB1DA3">
        <w:rPr>
          <w:rFonts w:ascii="Arial" w:hAnsi="Arial" w:cs="Arial"/>
          <w:i w:val="0"/>
          <w:sz w:val="20"/>
        </w:rPr>
        <w:t xml:space="preserve"> </w:t>
      </w:r>
      <w:r w:rsidR="00D3378B" w:rsidRPr="00EB1DA3">
        <w:rPr>
          <w:rFonts w:ascii="Arial" w:hAnsi="Arial" w:cs="Arial"/>
          <w:i w:val="0"/>
          <w:sz w:val="20"/>
        </w:rPr>
        <w:t xml:space="preserve">Committee acknowledges some progress made in addressing structural constraints to growth, reported in both the 2022 SONA and the 2022 Budget Review </w:t>
      </w:r>
      <w:r w:rsidR="00AE4D83" w:rsidRPr="00EB1DA3">
        <w:rPr>
          <w:rFonts w:ascii="Arial" w:hAnsi="Arial" w:cs="Arial"/>
          <w:i w:val="0"/>
          <w:sz w:val="20"/>
        </w:rPr>
        <w:t>but</w:t>
      </w:r>
      <w:r w:rsidR="00D3378B" w:rsidRPr="00EB1DA3">
        <w:rPr>
          <w:rFonts w:ascii="Arial" w:hAnsi="Arial" w:cs="Arial"/>
          <w:i w:val="0"/>
          <w:sz w:val="20"/>
        </w:rPr>
        <w:t xml:space="preserve"> </w:t>
      </w:r>
      <w:r w:rsidR="00FD6BE2" w:rsidRPr="00EB1DA3">
        <w:rPr>
          <w:rFonts w:ascii="Arial" w:hAnsi="Arial" w:cs="Arial"/>
          <w:i w:val="0"/>
          <w:sz w:val="20"/>
          <w:lang w:val="en-US"/>
        </w:rPr>
        <w:t xml:space="preserve">urges for speedy </w:t>
      </w:r>
      <w:r w:rsidR="008C0CA6" w:rsidRPr="00EB1DA3">
        <w:rPr>
          <w:rFonts w:ascii="Arial" w:hAnsi="Arial" w:cs="Arial"/>
          <w:i w:val="0"/>
          <w:sz w:val="20"/>
          <w:lang w:val="en-US"/>
        </w:rPr>
        <w:t xml:space="preserve">and practical </w:t>
      </w:r>
      <w:r w:rsidR="00FD6BE2" w:rsidRPr="00EB1DA3">
        <w:rPr>
          <w:rFonts w:ascii="Arial" w:hAnsi="Arial" w:cs="Arial"/>
          <w:i w:val="0"/>
          <w:sz w:val="20"/>
          <w:lang w:val="en-US"/>
        </w:rPr>
        <w:t>implementation of economic reforms</w:t>
      </w:r>
      <w:r w:rsidR="00D3378B" w:rsidRPr="00EB1DA3">
        <w:rPr>
          <w:rFonts w:ascii="Arial" w:hAnsi="Arial" w:cs="Arial"/>
          <w:i w:val="0"/>
          <w:sz w:val="20"/>
          <w:lang w:val="en-US"/>
        </w:rPr>
        <w:t xml:space="preserve"> </w:t>
      </w:r>
      <w:r w:rsidR="008C0CA6" w:rsidRPr="00EB1DA3">
        <w:rPr>
          <w:rFonts w:ascii="Arial" w:hAnsi="Arial" w:cs="Arial"/>
          <w:i w:val="0"/>
          <w:sz w:val="20"/>
          <w:lang w:val="en-US"/>
        </w:rPr>
        <w:t>that will advance economic growth, job creation and reduce inequalities</w:t>
      </w:r>
      <w:r w:rsidRPr="00EB1DA3">
        <w:rPr>
          <w:rFonts w:ascii="Arial" w:hAnsi="Arial" w:cs="Arial"/>
          <w:i w:val="0"/>
          <w:sz w:val="20"/>
          <w:lang w:val="en-US"/>
        </w:rPr>
        <w:t>.</w:t>
      </w:r>
      <w:r w:rsidR="008C0CA6" w:rsidRPr="00EB1DA3">
        <w:rPr>
          <w:rFonts w:ascii="Arial" w:hAnsi="Arial" w:cs="Arial"/>
          <w:i w:val="0"/>
          <w:sz w:val="20"/>
          <w:lang w:val="en-US"/>
        </w:rPr>
        <w:t xml:space="preserve"> </w:t>
      </w:r>
      <w:r w:rsidRPr="00EB1DA3">
        <w:rPr>
          <w:rFonts w:ascii="Arial" w:hAnsi="Arial" w:cs="Arial"/>
          <w:i w:val="0"/>
          <w:sz w:val="20"/>
          <w:lang w:val="en-US"/>
        </w:rPr>
        <w:t>While the</w:t>
      </w:r>
      <w:r w:rsidR="008C0CA6" w:rsidRPr="00EB1DA3">
        <w:rPr>
          <w:rFonts w:ascii="Arial" w:hAnsi="Arial" w:cs="Arial"/>
          <w:i w:val="0"/>
          <w:sz w:val="20"/>
          <w:lang w:val="en-US"/>
        </w:rPr>
        <w:t xml:space="preserve"> Committee recognizes that this is not the responsibility of NT alone but of the government as a whole, </w:t>
      </w:r>
      <w:r w:rsidR="008C0CA6" w:rsidRPr="00EB1DA3">
        <w:rPr>
          <w:rFonts w:ascii="Arial" w:hAnsi="Arial" w:cs="Arial"/>
          <w:i w:val="0"/>
          <w:sz w:val="20"/>
        </w:rPr>
        <w:t>t</w:t>
      </w:r>
      <w:r w:rsidR="00D3378B" w:rsidRPr="00EB1DA3">
        <w:rPr>
          <w:rFonts w:ascii="Arial" w:hAnsi="Arial" w:cs="Arial"/>
          <w:i w:val="0"/>
          <w:sz w:val="20"/>
        </w:rPr>
        <w:t>he</w:t>
      </w:r>
      <w:r w:rsidR="008C0CA6" w:rsidRPr="00EB1DA3">
        <w:rPr>
          <w:rFonts w:ascii="Arial" w:hAnsi="Arial" w:cs="Arial"/>
          <w:i w:val="0"/>
          <w:sz w:val="20"/>
        </w:rPr>
        <w:t xml:space="preserve"> </w:t>
      </w:r>
      <w:r w:rsidR="00D3378B" w:rsidRPr="00EB1DA3">
        <w:rPr>
          <w:rFonts w:ascii="Arial" w:hAnsi="Arial" w:cs="Arial"/>
          <w:i w:val="0"/>
          <w:sz w:val="20"/>
        </w:rPr>
        <w:t xml:space="preserve">Committee recommends that NT should report progress made every quarter </w:t>
      </w:r>
      <w:r w:rsidR="00AE4D83" w:rsidRPr="00EB1DA3">
        <w:rPr>
          <w:rFonts w:ascii="Arial" w:hAnsi="Arial" w:cs="Arial"/>
          <w:i w:val="0"/>
          <w:sz w:val="20"/>
        </w:rPr>
        <w:t xml:space="preserve">on structural reforms, including managing the electricity crisis that </w:t>
      </w:r>
      <w:r w:rsidR="002B15EE" w:rsidRPr="00EB1DA3">
        <w:rPr>
          <w:rFonts w:ascii="Arial" w:hAnsi="Arial" w:cs="Arial"/>
          <w:i w:val="0"/>
          <w:sz w:val="20"/>
        </w:rPr>
        <w:t>negatively affects consumers and SMMEs</w:t>
      </w:r>
      <w:r w:rsidR="007743C6" w:rsidRPr="00EB1DA3">
        <w:rPr>
          <w:rFonts w:ascii="Arial" w:hAnsi="Arial" w:cs="Arial"/>
          <w:i w:val="0"/>
          <w:sz w:val="20"/>
        </w:rPr>
        <w:t xml:space="preserve">. </w:t>
      </w:r>
    </w:p>
    <w:p w:rsidR="00F67B33" w:rsidRPr="00EB1DA3" w:rsidRDefault="00F67B33" w:rsidP="00EB1DA3">
      <w:pPr>
        <w:pStyle w:val="Heading4"/>
        <w:spacing w:before="0" w:line="240" w:lineRule="auto"/>
        <w:rPr>
          <w:rFonts w:ascii="Arial" w:hAnsi="Arial" w:cs="Arial"/>
          <w:i w:val="0"/>
          <w:sz w:val="20"/>
          <w:lang w:val="en-US"/>
        </w:rPr>
      </w:pPr>
      <w:r w:rsidRPr="00EB1DA3">
        <w:rPr>
          <w:rFonts w:ascii="Arial" w:hAnsi="Arial" w:cs="Arial"/>
          <w:i w:val="0"/>
          <w:sz w:val="20"/>
          <w:lang w:val="en-US"/>
        </w:rPr>
        <w:t xml:space="preserve">The Committee </w:t>
      </w:r>
      <w:r w:rsidR="00AE4D83" w:rsidRPr="00EB1DA3">
        <w:rPr>
          <w:rFonts w:ascii="Arial" w:hAnsi="Arial" w:cs="Arial"/>
          <w:i w:val="0"/>
          <w:sz w:val="20"/>
          <w:lang w:val="en-US"/>
        </w:rPr>
        <w:t>notes</w:t>
      </w:r>
      <w:r w:rsidRPr="00EB1DA3">
        <w:rPr>
          <w:rFonts w:ascii="Arial" w:hAnsi="Arial" w:cs="Arial"/>
          <w:i w:val="0"/>
          <w:sz w:val="20"/>
          <w:lang w:val="en-US"/>
        </w:rPr>
        <w:t xml:space="preserve"> </w:t>
      </w:r>
      <w:r w:rsidR="0096563E" w:rsidRPr="00EB1DA3">
        <w:rPr>
          <w:rFonts w:ascii="Arial" w:hAnsi="Arial" w:cs="Arial"/>
          <w:i w:val="0"/>
          <w:sz w:val="20"/>
          <w:lang w:val="en-US"/>
        </w:rPr>
        <w:t xml:space="preserve">the </w:t>
      </w:r>
      <w:r w:rsidRPr="00EB1DA3">
        <w:rPr>
          <w:rFonts w:ascii="Arial" w:hAnsi="Arial" w:cs="Arial"/>
          <w:i w:val="0"/>
          <w:sz w:val="20"/>
        </w:rPr>
        <w:t>government’s commitment to creating a conducive environment for the economy to grow, create jobs and encourage investment and, over time, reduce heavy reliance on social services. The Committee remains concerned that much needed economic recovery is dependent on timely and successful implementation of economic reforms</w:t>
      </w:r>
      <w:r w:rsidR="00E07F63" w:rsidRPr="00EB1DA3">
        <w:rPr>
          <w:rFonts w:ascii="Arial" w:hAnsi="Arial" w:cs="Arial"/>
          <w:i w:val="0"/>
          <w:sz w:val="20"/>
        </w:rPr>
        <w:t xml:space="preserve">, </w:t>
      </w:r>
      <w:r w:rsidR="0096563E" w:rsidRPr="00EB1DA3">
        <w:rPr>
          <w:rFonts w:ascii="Arial" w:hAnsi="Arial" w:cs="Arial"/>
          <w:i w:val="0"/>
          <w:sz w:val="20"/>
        </w:rPr>
        <w:t>for</w:t>
      </w:r>
      <w:r w:rsidR="00E07F63" w:rsidRPr="00EB1DA3">
        <w:rPr>
          <w:rFonts w:ascii="Arial" w:hAnsi="Arial" w:cs="Arial"/>
          <w:i w:val="0"/>
          <w:sz w:val="20"/>
        </w:rPr>
        <w:t xml:space="preserve"> the private sector to grow</w:t>
      </w:r>
      <w:r w:rsidRPr="00EB1DA3">
        <w:rPr>
          <w:rFonts w:ascii="Arial" w:hAnsi="Arial" w:cs="Arial"/>
          <w:i w:val="0"/>
          <w:sz w:val="20"/>
        </w:rPr>
        <w:t>.</w:t>
      </w:r>
    </w:p>
    <w:p w:rsidR="00FD6BE2" w:rsidRPr="00EB1DA3" w:rsidRDefault="00E04D56" w:rsidP="00EB1DA3">
      <w:pPr>
        <w:pStyle w:val="Heading4"/>
        <w:spacing w:before="0" w:line="240" w:lineRule="auto"/>
        <w:rPr>
          <w:rFonts w:ascii="Arial" w:hAnsi="Arial" w:cs="Arial"/>
          <w:i w:val="0"/>
          <w:sz w:val="20"/>
          <w:lang w:val="en-US"/>
        </w:rPr>
      </w:pPr>
      <w:r w:rsidRPr="00EB1DA3">
        <w:rPr>
          <w:rFonts w:ascii="Arial" w:hAnsi="Arial" w:cs="Arial"/>
          <w:i w:val="0"/>
          <w:sz w:val="20"/>
        </w:rPr>
        <w:t xml:space="preserve">The Committee recommends that, for policy certainty, </w:t>
      </w:r>
      <w:r w:rsidR="00FD6BE2" w:rsidRPr="00EB1DA3">
        <w:rPr>
          <w:rFonts w:ascii="Arial" w:hAnsi="Arial" w:cs="Arial"/>
          <w:i w:val="0"/>
          <w:sz w:val="20"/>
        </w:rPr>
        <w:t xml:space="preserve">NT should </w:t>
      </w:r>
      <w:r w:rsidRPr="00EB1DA3">
        <w:rPr>
          <w:rFonts w:ascii="Arial" w:hAnsi="Arial" w:cs="Arial"/>
          <w:i w:val="0"/>
          <w:sz w:val="20"/>
        </w:rPr>
        <w:t>clearly articulate</w:t>
      </w:r>
      <w:r w:rsidR="00FD6BE2" w:rsidRPr="00EB1DA3">
        <w:rPr>
          <w:rFonts w:ascii="Arial" w:hAnsi="Arial" w:cs="Arial"/>
          <w:i w:val="0"/>
          <w:sz w:val="20"/>
        </w:rPr>
        <w:t xml:space="preserve"> </w:t>
      </w:r>
      <w:r w:rsidR="00453910" w:rsidRPr="00EB1DA3">
        <w:rPr>
          <w:rFonts w:ascii="Arial" w:hAnsi="Arial" w:cs="Arial"/>
          <w:i w:val="0"/>
          <w:sz w:val="20"/>
        </w:rPr>
        <w:t xml:space="preserve">the </w:t>
      </w:r>
      <w:r w:rsidR="00FD6BE2" w:rsidRPr="00EB1DA3">
        <w:rPr>
          <w:rFonts w:ascii="Arial" w:hAnsi="Arial" w:cs="Arial"/>
          <w:i w:val="0"/>
          <w:sz w:val="20"/>
        </w:rPr>
        <w:t>government’s economic policy on growth from which the ERRP was derived</w:t>
      </w:r>
      <w:r w:rsidRPr="00EB1DA3">
        <w:rPr>
          <w:rFonts w:ascii="Arial" w:hAnsi="Arial" w:cs="Arial"/>
          <w:i w:val="0"/>
          <w:sz w:val="20"/>
        </w:rPr>
        <w:t>, in the upcoming 2022 MTBPS</w:t>
      </w:r>
      <w:r w:rsidR="00FD6BE2" w:rsidRPr="00EB1DA3">
        <w:rPr>
          <w:rFonts w:ascii="Arial" w:hAnsi="Arial" w:cs="Arial"/>
          <w:i w:val="0"/>
          <w:sz w:val="20"/>
        </w:rPr>
        <w:t xml:space="preserve">. </w:t>
      </w:r>
      <w:r w:rsidR="00A848D3" w:rsidRPr="00EB1DA3">
        <w:rPr>
          <w:rFonts w:ascii="Arial" w:hAnsi="Arial" w:cs="Arial"/>
          <w:i w:val="0"/>
          <w:sz w:val="20"/>
        </w:rPr>
        <w:t>As indicated in the previous reports, we believe that “</w:t>
      </w:r>
      <w:r w:rsidR="00A848D3" w:rsidRPr="00EB1DA3">
        <w:rPr>
          <w:rFonts w:ascii="Arial" w:hAnsi="Arial" w:cs="Arial"/>
          <w:i w:val="0"/>
          <w:sz w:val="20"/>
          <w:lang w:val="en-US"/>
        </w:rPr>
        <w:t>re-</w:t>
      </w:r>
      <w:r w:rsidR="00EA693C" w:rsidRPr="00EB1DA3">
        <w:rPr>
          <w:rFonts w:ascii="Arial" w:hAnsi="Arial" w:cs="Arial"/>
          <w:i w:val="0"/>
          <w:sz w:val="20"/>
          <w:lang w:val="en-US"/>
        </w:rPr>
        <w:t>industrialisation and localis</w:t>
      </w:r>
      <w:r w:rsidR="00A848D3" w:rsidRPr="00EB1DA3">
        <w:rPr>
          <w:rFonts w:ascii="Arial" w:hAnsi="Arial" w:cs="Arial"/>
          <w:i w:val="0"/>
          <w:sz w:val="20"/>
          <w:lang w:val="en-US"/>
        </w:rPr>
        <w:t>ation should become key pillars of our national reconstruction and inclusive economic recovery strategy and that there needs to be a “buy local campaign” for the state, private sector and consumers”.</w:t>
      </w:r>
    </w:p>
    <w:p w:rsidR="00E60BA3" w:rsidRPr="00EB1DA3" w:rsidRDefault="00D611F9" w:rsidP="00EB1DA3">
      <w:pPr>
        <w:pStyle w:val="Heading4"/>
        <w:spacing w:before="0" w:line="240" w:lineRule="auto"/>
        <w:rPr>
          <w:rFonts w:ascii="Arial" w:hAnsi="Arial" w:cs="Arial"/>
          <w:i w:val="0"/>
          <w:sz w:val="20"/>
          <w:lang w:val="en-US"/>
        </w:rPr>
      </w:pPr>
      <w:r w:rsidRPr="00EB1DA3">
        <w:rPr>
          <w:rFonts w:ascii="Arial" w:hAnsi="Arial" w:cs="Arial"/>
          <w:i w:val="0"/>
          <w:sz w:val="20"/>
        </w:rPr>
        <w:t>The Committee remain</w:t>
      </w:r>
      <w:r w:rsidR="0074689D" w:rsidRPr="00EB1DA3">
        <w:rPr>
          <w:rFonts w:ascii="Arial" w:hAnsi="Arial" w:cs="Arial"/>
          <w:i w:val="0"/>
          <w:sz w:val="20"/>
        </w:rPr>
        <w:t>s</w:t>
      </w:r>
      <w:r w:rsidRPr="00EB1DA3">
        <w:rPr>
          <w:rFonts w:ascii="Arial" w:hAnsi="Arial" w:cs="Arial"/>
          <w:i w:val="0"/>
          <w:sz w:val="20"/>
        </w:rPr>
        <w:t xml:space="preserve"> concerned </w:t>
      </w:r>
      <w:r w:rsidR="00AE3012" w:rsidRPr="00EB1DA3">
        <w:rPr>
          <w:rFonts w:ascii="Arial" w:hAnsi="Arial" w:cs="Arial"/>
          <w:i w:val="0"/>
          <w:sz w:val="20"/>
        </w:rPr>
        <w:t xml:space="preserve">that </w:t>
      </w:r>
      <w:r w:rsidR="00AE3012" w:rsidRPr="00EB1DA3">
        <w:rPr>
          <w:rFonts w:ascii="Arial" w:eastAsia="Calibri" w:hAnsi="Arial" w:cs="Arial"/>
          <w:i w:val="0"/>
          <w:sz w:val="20"/>
        </w:rPr>
        <w:t>despite Government’s efforts to support job creation,</w:t>
      </w:r>
      <w:r w:rsidR="00AE3012" w:rsidRPr="00EB1DA3">
        <w:rPr>
          <w:rFonts w:ascii="Arial" w:hAnsi="Arial" w:cs="Arial"/>
          <w:i w:val="0"/>
          <w:sz w:val="20"/>
        </w:rPr>
        <w:t xml:space="preserve"> </w:t>
      </w:r>
      <w:r w:rsidRPr="00EB1DA3">
        <w:rPr>
          <w:rFonts w:ascii="Arial" w:hAnsi="Arial" w:cs="Arial"/>
          <w:i w:val="0"/>
          <w:sz w:val="20"/>
        </w:rPr>
        <w:t xml:space="preserve">the </w:t>
      </w:r>
      <w:r w:rsidRPr="00EB1DA3">
        <w:rPr>
          <w:rFonts w:ascii="Arial" w:hAnsi="Arial" w:cs="Arial"/>
          <w:i w:val="0"/>
          <w:sz w:val="20"/>
          <w:lang w:val="en-US"/>
        </w:rPr>
        <w:t xml:space="preserve">rate of unemployment </w:t>
      </w:r>
      <w:r w:rsidR="00831454" w:rsidRPr="00EB1DA3">
        <w:rPr>
          <w:rFonts w:ascii="Arial" w:hAnsi="Arial" w:cs="Arial"/>
          <w:i w:val="0"/>
          <w:sz w:val="20"/>
          <w:lang w:val="en-US"/>
        </w:rPr>
        <w:t>persistently</w:t>
      </w:r>
      <w:r w:rsidRPr="00EB1DA3">
        <w:rPr>
          <w:rFonts w:ascii="Arial" w:hAnsi="Arial" w:cs="Arial"/>
          <w:i w:val="0"/>
          <w:sz w:val="20"/>
          <w:lang w:val="en-US"/>
        </w:rPr>
        <w:t xml:space="preserve"> </w:t>
      </w:r>
      <w:r w:rsidR="00831454" w:rsidRPr="00EB1DA3">
        <w:rPr>
          <w:rFonts w:ascii="Arial" w:hAnsi="Arial" w:cs="Arial"/>
          <w:i w:val="0"/>
          <w:sz w:val="20"/>
          <w:lang w:val="en-US"/>
        </w:rPr>
        <w:t xml:space="preserve">increases and </w:t>
      </w:r>
      <w:r w:rsidRPr="00EB1DA3">
        <w:rPr>
          <w:rFonts w:ascii="Arial" w:hAnsi="Arial" w:cs="Arial"/>
          <w:i w:val="0"/>
          <w:sz w:val="20"/>
          <w:lang w:val="en-US"/>
        </w:rPr>
        <w:t>measured 34.9 per cent in the third quarter of 2021</w:t>
      </w:r>
      <w:r w:rsidR="00831454" w:rsidRPr="00EB1DA3">
        <w:rPr>
          <w:rFonts w:ascii="Arial" w:hAnsi="Arial" w:cs="Arial"/>
          <w:i w:val="0"/>
          <w:sz w:val="20"/>
          <w:lang w:val="en-US"/>
        </w:rPr>
        <w:t>,</w:t>
      </w:r>
      <w:r w:rsidR="00AE3012" w:rsidRPr="00EB1DA3">
        <w:rPr>
          <w:rFonts w:ascii="Arial" w:hAnsi="Arial" w:cs="Arial"/>
          <w:i w:val="0"/>
          <w:sz w:val="20"/>
          <w:lang w:val="en-US"/>
        </w:rPr>
        <w:t xml:space="preserve"> </w:t>
      </w:r>
      <w:r w:rsidR="00AE3012" w:rsidRPr="00EB1DA3">
        <w:rPr>
          <w:rFonts w:ascii="Arial" w:hAnsi="Arial" w:cs="Arial"/>
          <w:i w:val="0"/>
          <w:sz w:val="20"/>
        </w:rPr>
        <w:t xml:space="preserve">the highest </w:t>
      </w:r>
      <w:r w:rsidRPr="00EB1DA3">
        <w:rPr>
          <w:rFonts w:ascii="Arial" w:hAnsi="Arial" w:cs="Arial"/>
          <w:i w:val="0"/>
          <w:sz w:val="20"/>
        </w:rPr>
        <w:t>record since 2008</w:t>
      </w:r>
      <w:r w:rsidR="00831454" w:rsidRPr="00EB1DA3">
        <w:rPr>
          <w:rFonts w:ascii="Arial" w:hAnsi="Arial" w:cs="Arial"/>
          <w:i w:val="0"/>
          <w:sz w:val="20"/>
        </w:rPr>
        <w:t xml:space="preserve">. </w:t>
      </w:r>
      <w:r w:rsidR="009745F5" w:rsidRPr="00EB1DA3">
        <w:rPr>
          <w:rFonts w:ascii="Arial" w:hAnsi="Arial" w:cs="Arial"/>
          <w:i w:val="0"/>
          <w:sz w:val="20"/>
        </w:rPr>
        <w:t xml:space="preserve">If all job-seekers are included, this rate rises to 46.6 per cent. </w:t>
      </w:r>
      <w:r w:rsidR="0074689D" w:rsidRPr="00EB1DA3">
        <w:rPr>
          <w:rFonts w:ascii="Arial" w:eastAsia="Calibri" w:hAnsi="Arial" w:cs="Arial"/>
          <w:i w:val="0"/>
          <w:sz w:val="20"/>
        </w:rPr>
        <w:t>The Committee</w:t>
      </w:r>
      <w:r w:rsidR="0074617F" w:rsidRPr="00EB1DA3">
        <w:rPr>
          <w:rFonts w:ascii="Arial" w:eastAsia="Calibri" w:hAnsi="Arial" w:cs="Arial"/>
          <w:i w:val="0"/>
          <w:sz w:val="20"/>
        </w:rPr>
        <w:t xml:space="preserve"> recommend</w:t>
      </w:r>
      <w:r w:rsidR="0074689D" w:rsidRPr="00EB1DA3">
        <w:rPr>
          <w:rFonts w:ascii="Arial" w:eastAsia="Calibri" w:hAnsi="Arial" w:cs="Arial"/>
          <w:i w:val="0"/>
          <w:sz w:val="20"/>
        </w:rPr>
        <w:t>s</w:t>
      </w:r>
      <w:r w:rsidR="0074617F" w:rsidRPr="00EB1DA3">
        <w:rPr>
          <w:rFonts w:ascii="Arial" w:eastAsia="Calibri" w:hAnsi="Arial" w:cs="Arial"/>
          <w:i w:val="0"/>
          <w:sz w:val="20"/>
        </w:rPr>
        <w:t xml:space="preserve"> that NT should regularly </w:t>
      </w:r>
      <w:r w:rsidR="0074689D" w:rsidRPr="00EB1DA3">
        <w:rPr>
          <w:rFonts w:ascii="Arial" w:eastAsia="Calibri" w:hAnsi="Arial" w:cs="Arial"/>
          <w:i w:val="0"/>
          <w:sz w:val="20"/>
        </w:rPr>
        <w:t xml:space="preserve">provide progress made </w:t>
      </w:r>
      <w:r w:rsidR="00311C58" w:rsidRPr="00EB1DA3">
        <w:rPr>
          <w:rFonts w:ascii="Arial" w:eastAsia="Calibri" w:hAnsi="Arial" w:cs="Arial"/>
          <w:i w:val="0"/>
          <w:sz w:val="20"/>
        </w:rPr>
        <w:t xml:space="preserve">on </w:t>
      </w:r>
      <w:r w:rsidR="006B6CDB" w:rsidRPr="00EB1DA3">
        <w:rPr>
          <w:rFonts w:ascii="Arial" w:eastAsia="Calibri" w:hAnsi="Arial" w:cs="Arial"/>
          <w:i w:val="0"/>
          <w:sz w:val="20"/>
        </w:rPr>
        <w:t>the targeted government employment creation initiatives</w:t>
      </w:r>
      <w:r w:rsidR="0074689D" w:rsidRPr="00EB1DA3">
        <w:rPr>
          <w:rFonts w:ascii="Arial" w:eastAsia="Calibri" w:hAnsi="Arial" w:cs="Arial"/>
          <w:i w:val="0"/>
          <w:sz w:val="20"/>
        </w:rPr>
        <w:t xml:space="preserve">, including the </w:t>
      </w:r>
      <w:r w:rsidR="00AF0399" w:rsidRPr="00EB1DA3">
        <w:rPr>
          <w:rFonts w:ascii="Arial" w:eastAsia="Calibri" w:hAnsi="Arial" w:cs="Arial"/>
          <w:i w:val="0"/>
          <w:sz w:val="20"/>
        </w:rPr>
        <w:t>E</w:t>
      </w:r>
      <w:r w:rsidR="0026522D" w:rsidRPr="00EB1DA3">
        <w:rPr>
          <w:rFonts w:ascii="Arial" w:eastAsia="Calibri" w:hAnsi="Arial" w:cs="Arial"/>
          <w:i w:val="0"/>
          <w:sz w:val="20"/>
        </w:rPr>
        <w:t xml:space="preserve">mployment </w:t>
      </w:r>
      <w:r w:rsidR="00AF0399" w:rsidRPr="00EB1DA3">
        <w:rPr>
          <w:rFonts w:ascii="Arial" w:eastAsia="Calibri" w:hAnsi="Arial" w:cs="Arial"/>
          <w:i w:val="0"/>
          <w:sz w:val="20"/>
        </w:rPr>
        <w:t>T</w:t>
      </w:r>
      <w:r w:rsidR="0026522D" w:rsidRPr="00EB1DA3">
        <w:rPr>
          <w:rFonts w:ascii="Arial" w:eastAsia="Calibri" w:hAnsi="Arial" w:cs="Arial"/>
          <w:i w:val="0"/>
          <w:sz w:val="20"/>
        </w:rPr>
        <w:t>ax Incentive</w:t>
      </w:r>
      <w:r w:rsidR="0074689D" w:rsidRPr="00EB1DA3">
        <w:rPr>
          <w:rFonts w:ascii="Arial" w:eastAsia="Calibri" w:hAnsi="Arial" w:cs="Arial"/>
          <w:i w:val="0"/>
          <w:sz w:val="20"/>
        </w:rPr>
        <w:t xml:space="preserve"> and the Presidential Youth Programmes</w:t>
      </w:r>
      <w:r w:rsidR="00311C58" w:rsidRPr="00EB1DA3">
        <w:rPr>
          <w:rFonts w:ascii="Arial" w:eastAsia="Calibri" w:hAnsi="Arial" w:cs="Arial"/>
          <w:i w:val="0"/>
          <w:sz w:val="20"/>
        </w:rPr>
        <w:t xml:space="preserve"> and whether these programmes are effective in reducing the number of people unemployed</w:t>
      </w:r>
      <w:r w:rsidR="007856B8" w:rsidRPr="00EB1DA3">
        <w:rPr>
          <w:rFonts w:ascii="Arial" w:eastAsia="Calibri" w:hAnsi="Arial" w:cs="Arial"/>
          <w:i w:val="0"/>
          <w:sz w:val="20"/>
        </w:rPr>
        <w:t xml:space="preserve">. </w:t>
      </w:r>
    </w:p>
    <w:p w:rsidR="00E60BA3" w:rsidRPr="00EB1DA3" w:rsidRDefault="002F085E" w:rsidP="00EB1DA3">
      <w:pPr>
        <w:pStyle w:val="Heading4"/>
        <w:spacing w:before="0" w:line="240" w:lineRule="auto"/>
        <w:rPr>
          <w:rFonts w:ascii="Arial" w:hAnsi="Arial" w:cs="Arial"/>
          <w:i w:val="0"/>
          <w:sz w:val="20"/>
          <w:lang w:val="en-US"/>
        </w:rPr>
      </w:pPr>
      <w:r w:rsidRPr="00EB1DA3">
        <w:rPr>
          <w:rFonts w:ascii="Arial" w:hAnsi="Arial" w:cs="Arial"/>
          <w:i w:val="0"/>
          <w:sz w:val="20"/>
        </w:rPr>
        <w:t>The Committee further notes that it will remain difficult for the labour market to absorb new entrants, particularly the youth and the unskilled, with moderate projected economic growth over the next three years.</w:t>
      </w:r>
      <w:r w:rsidRPr="00EB1DA3">
        <w:rPr>
          <w:rFonts w:ascii="Arial" w:eastAsia="Calibri" w:hAnsi="Arial" w:cs="Arial"/>
          <w:i w:val="0"/>
          <w:sz w:val="20"/>
        </w:rPr>
        <w:t xml:space="preserve"> </w:t>
      </w:r>
      <w:r w:rsidR="00E60BA3" w:rsidRPr="00EB1DA3">
        <w:rPr>
          <w:rFonts w:ascii="Arial" w:hAnsi="Arial" w:cs="Arial"/>
          <w:i w:val="0"/>
          <w:sz w:val="20"/>
          <w:lang w:val="en-US"/>
        </w:rPr>
        <w:t xml:space="preserve">Given the phenomenally high level of unemployment, the Committee urges </w:t>
      </w:r>
      <w:r w:rsidRPr="00EB1DA3">
        <w:rPr>
          <w:rFonts w:ascii="Arial" w:hAnsi="Arial" w:cs="Arial"/>
          <w:i w:val="0"/>
          <w:sz w:val="20"/>
          <w:lang w:val="en-US"/>
        </w:rPr>
        <w:t xml:space="preserve">the </w:t>
      </w:r>
      <w:r w:rsidR="00E60BA3" w:rsidRPr="00EB1DA3">
        <w:rPr>
          <w:rFonts w:ascii="Arial" w:hAnsi="Arial" w:cs="Arial"/>
          <w:i w:val="0"/>
          <w:sz w:val="20"/>
          <w:lang w:val="en-US"/>
        </w:rPr>
        <w:t>government to seek to avoid the job losses pending in various public entities</w:t>
      </w:r>
      <w:r w:rsidR="00EA693C" w:rsidRPr="00EB1DA3">
        <w:rPr>
          <w:rFonts w:ascii="Arial" w:hAnsi="Arial" w:cs="Arial"/>
          <w:i w:val="0"/>
          <w:sz w:val="20"/>
          <w:lang w:val="en-US"/>
        </w:rPr>
        <w:t xml:space="preserve"> and negotiate</w:t>
      </w:r>
      <w:r w:rsidR="00E60BA3" w:rsidRPr="00EB1DA3">
        <w:rPr>
          <w:rFonts w:ascii="Arial" w:hAnsi="Arial" w:cs="Arial"/>
          <w:i w:val="0"/>
          <w:sz w:val="20"/>
          <w:lang w:val="en-US"/>
        </w:rPr>
        <w:t xml:space="preserve"> with the </w:t>
      </w:r>
      <w:r w:rsidR="00E60BA3" w:rsidRPr="00EB1DA3">
        <w:rPr>
          <w:rFonts w:ascii="Arial" w:hAnsi="Arial" w:cs="Arial"/>
          <w:i w:val="0"/>
          <w:sz w:val="20"/>
          <w:lang w:val="en-US"/>
        </w:rPr>
        <w:lastRenderedPageBreak/>
        <w:t>trade unions, management and other stakeholders in this regard within the relevant regulatory framework and norms.</w:t>
      </w:r>
    </w:p>
    <w:p w:rsidR="00636D4E" w:rsidRPr="00EB1DA3" w:rsidRDefault="00463B8F" w:rsidP="00EB1DA3">
      <w:pPr>
        <w:pStyle w:val="Heading4"/>
        <w:spacing w:before="0" w:line="240" w:lineRule="auto"/>
        <w:rPr>
          <w:rFonts w:ascii="Arial" w:eastAsia="Calibri" w:hAnsi="Arial" w:cs="Arial"/>
          <w:i w:val="0"/>
          <w:sz w:val="20"/>
        </w:rPr>
      </w:pPr>
      <w:r w:rsidRPr="00EB1DA3">
        <w:rPr>
          <w:rFonts w:ascii="Arial" w:eastAsia="Calibri" w:hAnsi="Arial" w:cs="Arial"/>
          <w:i w:val="0"/>
          <w:sz w:val="20"/>
        </w:rPr>
        <w:t xml:space="preserve">The Committee welcomes the additional </w:t>
      </w:r>
      <w:r w:rsidR="002F2B1D" w:rsidRPr="00EB1DA3">
        <w:rPr>
          <w:rFonts w:ascii="Arial" w:eastAsia="Calibri" w:hAnsi="Arial" w:cs="Arial"/>
          <w:i w:val="0"/>
          <w:sz w:val="20"/>
        </w:rPr>
        <w:t xml:space="preserve">R15 billion allocation to </w:t>
      </w:r>
      <w:r w:rsidRPr="00EB1DA3">
        <w:rPr>
          <w:rFonts w:ascii="Arial" w:eastAsia="Calibri" w:hAnsi="Arial" w:cs="Arial"/>
          <w:i w:val="0"/>
          <w:sz w:val="20"/>
        </w:rPr>
        <w:t>support SMMEs</w:t>
      </w:r>
      <w:r w:rsidR="00453910" w:rsidRPr="00EB1DA3">
        <w:rPr>
          <w:rFonts w:ascii="Arial" w:eastAsia="Calibri" w:hAnsi="Arial" w:cs="Arial"/>
          <w:i w:val="0"/>
          <w:sz w:val="20"/>
        </w:rPr>
        <w:t>,</w:t>
      </w:r>
      <w:r w:rsidRPr="00EB1DA3">
        <w:rPr>
          <w:rFonts w:ascii="Arial" w:eastAsia="Calibri" w:hAnsi="Arial" w:cs="Arial"/>
          <w:i w:val="0"/>
          <w:sz w:val="20"/>
        </w:rPr>
        <w:t xml:space="preserve"> </w:t>
      </w:r>
      <w:r w:rsidR="002F2B1D" w:rsidRPr="00EB1DA3">
        <w:rPr>
          <w:rFonts w:ascii="Arial" w:eastAsia="Calibri" w:hAnsi="Arial" w:cs="Arial"/>
          <w:i w:val="0"/>
          <w:sz w:val="20"/>
        </w:rPr>
        <w:t xml:space="preserve">as a positive development. </w:t>
      </w:r>
      <w:r w:rsidRPr="00EB1DA3">
        <w:rPr>
          <w:rFonts w:ascii="Arial" w:eastAsia="Calibri" w:hAnsi="Arial" w:cs="Arial"/>
          <w:i w:val="0"/>
          <w:sz w:val="20"/>
        </w:rPr>
        <w:t>The Committee recommend</w:t>
      </w:r>
      <w:r w:rsidR="00453910" w:rsidRPr="00EB1DA3">
        <w:rPr>
          <w:rFonts w:ascii="Arial" w:eastAsia="Calibri" w:hAnsi="Arial" w:cs="Arial"/>
          <w:i w:val="0"/>
          <w:sz w:val="20"/>
        </w:rPr>
        <w:t>s</w:t>
      </w:r>
      <w:r w:rsidRPr="00EB1DA3">
        <w:rPr>
          <w:rFonts w:ascii="Arial" w:eastAsia="Calibri" w:hAnsi="Arial" w:cs="Arial"/>
          <w:i w:val="0"/>
          <w:sz w:val="20"/>
        </w:rPr>
        <w:t xml:space="preserve"> that NT should </w:t>
      </w:r>
      <w:r w:rsidR="00453910" w:rsidRPr="00EB1DA3">
        <w:rPr>
          <w:rFonts w:ascii="Arial" w:eastAsia="Calibri" w:hAnsi="Arial" w:cs="Arial"/>
          <w:i w:val="0"/>
          <w:sz w:val="20"/>
        </w:rPr>
        <w:t>facilitate</w:t>
      </w:r>
      <w:r w:rsidRPr="00EB1DA3">
        <w:rPr>
          <w:rFonts w:ascii="Arial" w:eastAsia="Calibri" w:hAnsi="Arial" w:cs="Arial"/>
          <w:i w:val="0"/>
          <w:sz w:val="20"/>
        </w:rPr>
        <w:t xml:space="preserve"> </w:t>
      </w:r>
      <w:r w:rsidR="00453910" w:rsidRPr="00EB1DA3">
        <w:rPr>
          <w:rFonts w:ascii="Arial" w:eastAsia="Calibri" w:hAnsi="Arial" w:cs="Arial"/>
          <w:i w:val="0"/>
          <w:sz w:val="20"/>
        </w:rPr>
        <w:t xml:space="preserve">the </w:t>
      </w:r>
      <w:r w:rsidR="002F2B1D" w:rsidRPr="00EB1DA3">
        <w:rPr>
          <w:rFonts w:ascii="Arial" w:eastAsia="Calibri" w:hAnsi="Arial" w:cs="Arial"/>
          <w:i w:val="0"/>
          <w:sz w:val="20"/>
        </w:rPr>
        <w:t xml:space="preserve">accessibility of </w:t>
      </w:r>
      <w:r w:rsidRPr="00EB1DA3">
        <w:rPr>
          <w:rFonts w:ascii="Arial" w:eastAsia="Calibri" w:hAnsi="Arial" w:cs="Arial"/>
          <w:i w:val="0"/>
          <w:sz w:val="20"/>
        </w:rPr>
        <w:t xml:space="preserve">these </w:t>
      </w:r>
      <w:r w:rsidR="002F2B1D" w:rsidRPr="00EB1DA3">
        <w:rPr>
          <w:rFonts w:ascii="Arial" w:eastAsia="Calibri" w:hAnsi="Arial" w:cs="Arial"/>
          <w:i w:val="0"/>
          <w:sz w:val="20"/>
        </w:rPr>
        <w:t xml:space="preserve">loans </w:t>
      </w:r>
      <w:r w:rsidRPr="00EB1DA3">
        <w:rPr>
          <w:rFonts w:ascii="Arial" w:eastAsia="Calibri" w:hAnsi="Arial" w:cs="Arial"/>
          <w:i w:val="0"/>
          <w:sz w:val="20"/>
        </w:rPr>
        <w:t>to all qualifying SMMEs</w:t>
      </w:r>
      <w:r w:rsidR="00453910" w:rsidRPr="00EB1DA3">
        <w:rPr>
          <w:rFonts w:ascii="Arial" w:eastAsia="Calibri" w:hAnsi="Arial" w:cs="Arial"/>
          <w:i w:val="0"/>
          <w:sz w:val="20"/>
        </w:rPr>
        <w:t>,</w:t>
      </w:r>
      <w:r w:rsidRPr="00EB1DA3">
        <w:rPr>
          <w:rFonts w:ascii="Arial" w:eastAsia="Calibri" w:hAnsi="Arial" w:cs="Arial"/>
          <w:i w:val="0"/>
          <w:sz w:val="20"/>
        </w:rPr>
        <w:t xml:space="preserve"> covering all geographic areas and demographics</w:t>
      </w:r>
      <w:r w:rsidR="00453910" w:rsidRPr="00EB1DA3">
        <w:rPr>
          <w:rFonts w:ascii="Arial" w:eastAsia="Calibri" w:hAnsi="Arial" w:cs="Arial"/>
          <w:i w:val="0"/>
          <w:sz w:val="20"/>
        </w:rPr>
        <w:t xml:space="preserve"> and</w:t>
      </w:r>
      <w:r w:rsidR="00E8488F" w:rsidRPr="00EB1DA3">
        <w:rPr>
          <w:rFonts w:ascii="Arial" w:eastAsia="Calibri" w:hAnsi="Arial" w:cs="Arial"/>
          <w:i w:val="0"/>
          <w:sz w:val="20"/>
        </w:rPr>
        <w:t xml:space="preserve"> taking into consideration the lessons learnt</w:t>
      </w:r>
      <w:r w:rsidR="00453910" w:rsidRPr="00EB1DA3">
        <w:rPr>
          <w:rFonts w:ascii="Arial" w:eastAsia="Calibri" w:hAnsi="Arial" w:cs="Arial"/>
          <w:i w:val="0"/>
          <w:sz w:val="20"/>
        </w:rPr>
        <w:t xml:space="preserve"> from the </w:t>
      </w:r>
      <w:r w:rsidR="00E8488F" w:rsidRPr="00EB1DA3">
        <w:rPr>
          <w:rFonts w:ascii="Arial" w:eastAsia="Calibri" w:hAnsi="Arial" w:cs="Arial"/>
          <w:i w:val="0"/>
          <w:sz w:val="20"/>
        </w:rPr>
        <w:t xml:space="preserve">R200 billion loan scheme that was </w:t>
      </w:r>
      <w:r w:rsidR="00AD62B6" w:rsidRPr="00EB1DA3">
        <w:rPr>
          <w:rFonts w:ascii="Arial" w:eastAsia="Calibri" w:hAnsi="Arial" w:cs="Arial"/>
          <w:i w:val="0"/>
          <w:sz w:val="20"/>
        </w:rPr>
        <w:t xml:space="preserve">provided </w:t>
      </w:r>
      <w:r w:rsidR="00E8488F" w:rsidRPr="00EB1DA3">
        <w:rPr>
          <w:rFonts w:ascii="Arial" w:eastAsia="Calibri" w:hAnsi="Arial" w:cs="Arial"/>
          <w:i w:val="0"/>
          <w:sz w:val="20"/>
        </w:rPr>
        <w:t xml:space="preserve">in response to </w:t>
      </w:r>
      <w:r w:rsidR="00331C89" w:rsidRPr="00EB1DA3">
        <w:rPr>
          <w:rFonts w:ascii="Arial" w:eastAsia="Calibri" w:hAnsi="Arial" w:cs="Arial"/>
          <w:i w:val="0"/>
          <w:sz w:val="20"/>
        </w:rPr>
        <w:t xml:space="preserve">the </w:t>
      </w:r>
      <w:r w:rsidR="00E8488F" w:rsidRPr="00EB1DA3">
        <w:rPr>
          <w:rFonts w:ascii="Arial" w:eastAsia="Calibri" w:hAnsi="Arial" w:cs="Arial"/>
          <w:i w:val="0"/>
          <w:sz w:val="20"/>
        </w:rPr>
        <w:t>COVID-19 pandemic.</w:t>
      </w:r>
      <w:r w:rsidR="001653E2" w:rsidRPr="00EB1DA3">
        <w:rPr>
          <w:rFonts w:ascii="Arial" w:eastAsia="Calibri" w:hAnsi="Arial" w:cs="Arial"/>
          <w:i w:val="0"/>
          <w:sz w:val="20"/>
        </w:rPr>
        <w:t xml:space="preserve"> </w:t>
      </w:r>
      <w:r w:rsidR="00453910" w:rsidRPr="00EB1DA3">
        <w:rPr>
          <w:rFonts w:ascii="Arial" w:eastAsia="Calibri" w:hAnsi="Arial" w:cs="Arial"/>
          <w:i w:val="0"/>
          <w:sz w:val="20"/>
        </w:rPr>
        <w:t>NT should quarterly r</w:t>
      </w:r>
      <w:r w:rsidR="001653E2" w:rsidRPr="00EB1DA3">
        <w:rPr>
          <w:rFonts w:ascii="Arial" w:eastAsia="Calibri" w:hAnsi="Arial" w:cs="Arial"/>
          <w:i w:val="0"/>
          <w:sz w:val="20"/>
        </w:rPr>
        <w:t xml:space="preserve">eport </w:t>
      </w:r>
      <w:r w:rsidR="00453910" w:rsidRPr="00EB1DA3">
        <w:rPr>
          <w:rFonts w:ascii="Arial" w:eastAsia="Calibri" w:hAnsi="Arial" w:cs="Arial"/>
          <w:i w:val="0"/>
          <w:sz w:val="20"/>
        </w:rPr>
        <w:t xml:space="preserve">progress made, </w:t>
      </w:r>
      <w:r w:rsidR="007A77BE" w:rsidRPr="00EB1DA3">
        <w:rPr>
          <w:rFonts w:ascii="Arial" w:eastAsia="Calibri" w:hAnsi="Arial" w:cs="Arial"/>
          <w:i w:val="0"/>
          <w:sz w:val="20"/>
        </w:rPr>
        <w:t xml:space="preserve">in terms of </w:t>
      </w:r>
      <w:r w:rsidR="00453910" w:rsidRPr="00EB1DA3">
        <w:rPr>
          <w:rFonts w:ascii="Arial" w:eastAsia="Calibri" w:hAnsi="Arial" w:cs="Arial"/>
          <w:i w:val="0"/>
          <w:sz w:val="20"/>
        </w:rPr>
        <w:t>the successes and</w:t>
      </w:r>
      <w:r w:rsidR="001653E2" w:rsidRPr="00EB1DA3">
        <w:rPr>
          <w:rFonts w:ascii="Arial" w:eastAsia="Calibri" w:hAnsi="Arial" w:cs="Arial"/>
          <w:i w:val="0"/>
          <w:sz w:val="20"/>
        </w:rPr>
        <w:t xml:space="preserve"> challeng</w:t>
      </w:r>
      <w:r w:rsidR="00453910" w:rsidRPr="00EB1DA3">
        <w:rPr>
          <w:rFonts w:ascii="Arial" w:eastAsia="Calibri" w:hAnsi="Arial" w:cs="Arial"/>
          <w:i w:val="0"/>
          <w:sz w:val="20"/>
        </w:rPr>
        <w:t xml:space="preserve">es </w:t>
      </w:r>
      <w:r w:rsidR="007A77BE" w:rsidRPr="00EB1DA3">
        <w:rPr>
          <w:rFonts w:ascii="Arial" w:eastAsia="Calibri" w:hAnsi="Arial" w:cs="Arial"/>
          <w:i w:val="0"/>
          <w:sz w:val="20"/>
        </w:rPr>
        <w:t xml:space="preserve">experienced </w:t>
      </w:r>
      <w:r w:rsidR="00453910" w:rsidRPr="00EB1DA3">
        <w:rPr>
          <w:rFonts w:ascii="Arial" w:eastAsia="Calibri" w:hAnsi="Arial" w:cs="Arial"/>
          <w:i w:val="0"/>
          <w:sz w:val="20"/>
        </w:rPr>
        <w:t xml:space="preserve">and how these challenges </w:t>
      </w:r>
      <w:r w:rsidR="007A77BE" w:rsidRPr="00EB1DA3">
        <w:rPr>
          <w:rFonts w:ascii="Arial" w:eastAsia="Calibri" w:hAnsi="Arial" w:cs="Arial"/>
          <w:i w:val="0"/>
          <w:sz w:val="20"/>
        </w:rPr>
        <w:t>will be</w:t>
      </w:r>
      <w:r w:rsidR="001653E2" w:rsidRPr="00EB1DA3">
        <w:rPr>
          <w:rFonts w:ascii="Arial" w:eastAsia="Calibri" w:hAnsi="Arial" w:cs="Arial"/>
          <w:i w:val="0"/>
          <w:sz w:val="20"/>
        </w:rPr>
        <w:t xml:space="preserve"> addressed.</w:t>
      </w:r>
    </w:p>
    <w:p w:rsidR="00B1294C" w:rsidRPr="00EB1DA3" w:rsidRDefault="00D611F9" w:rsidP="00EB1DA3">
      <w:pPr>
        <w:pStyle w:val="Heading4"/>
        <w:spacing w:before="0" w:line="240" w:lineRule="auto"/>
        <w:rPr>
          <w:rFonts w:ascii="Arial" w:hAnsi="Arial" w:cs="Arial"/>
          <w:i w:val="0"/>
          <w:sz w:val="20"/>
        </w:rPr>
      </w:pPr>
      <w:r w:rsidRPr="00EB1DA3">
        <w:rPr>
          <w:rFonts w:ascii="Arial" w:hAnsi="Arial" w:cs="Arial"/>
          <w:i w:val="0"/>
          <w:sz w:val="20"/>
        </w:rPr>
        <w:t xml:space="preserve">The Committee </w:t>
      </w:r>
      <w:r w:rsidR="001F63EC" w:rsidRPr="00EB1DA3">
        <w:rPr>
          <w:rFonts w:ascii="Arial" w:hAnsi="Arial" w:cs="Arial"/>
          <w:i w:val="0"/>
          <w:sz w:val="20"/>
        </w:rPr>
        <w:t>observed</w:t>
      </w:r>
      <w:r w:rsidRPr="00EB1DA3">
        <w:rPr>
          <w:rFonts w:ascii="Arial" w:hAnsi="Arial" w:cs="Arial"/>
          <w:i w:val="0"/>
          <w:sz w:val="20"/>
        </w:rPr>
        <w:t xml:space="preserve"> </w:t>
      </w:r>
      <w:r w:rsidR="00BB3A57" w:rsidRPr="00EB1DA3">
        <w:rPr>
          <w:rFonts w:ascii="Arial" w:hAnsi="Arial" w:cs="Arial"/>
          <w:i w:val="0"/>
          <w:sz w:val="20"/>
        </w:rPr>
        <w:t xml:space="preserve">that </w:t>
      </w:r>
      <w:r w:rsidR="001F63EC" w:rsidRPr="00EB1DA3">
        <w:rPr>
          <w:rFonts w:ascii="Arial" w:hAnsi="Arial" w:cs="Arial"/>
          <w:i w:val="0"/>
          <w:sz w:val="20"/>
        </w:rPr>
        <w:t>al</w:t>
      </w:r>
      <w:r w:rsidR="00BB3A57" w:rsidRPr="00EB1DA3">
        <w:rPr>
          <w:rFonts w:ascii="Arial" w:hAnsi="Arial" w:cs="Arial"/>
          <w:i w:val="0"/>
          <w:sz w:val="20"/>
        </w:rPr>
        <w:t xml:space="preserve">though </w:t>
      </w:r>
      <w:r w:rsidR="0025771A" w:rsidRPr="00EB1DA3">
        <w:rPr>
          <w:rFonts w:ascii="Arial" w:hAnsi="Arial" w:cs="Arial"/>
          <w:i w:val="0"/>
          <w:sz w:val="20"/>
        </w:rPr>
        <w:t>Headline CPI</w:t>
      </w:r>
      <w:r w:rsidR="00BB3A57" w:rsidRPr="00EB1DA3">
        <w:rPr>
          <w:rFonts w:ascii="Arial" w:hAnsi="Arial" w:cs="Arial"/>
          <w:i w:val="0"/>
          <w:sz w:val="20"/>
        </w:rPr>
        <w:t xml:space="preserve"> is expected to remain</w:t>
      </w:r>
      <w:r w:rsidR="002E48DF" w:rsidRPr="00EB1DA3">
        <w:rPr>
          <w:rFonts w:ascii="Arial" w:hAnsi="Arial" w:cs="Arial"/>
          <w:i w:val="0"/>
          <w:sz w:val="20"/>
        </w:rPr>
        <w:t xml:space="preserve"> within the set target range of 3-6 per cent</w:t>
      </w:r>
      <w:r w:rsidR="00BB3A57" w:rsidRPr="00EB1DA3">
        <w:rPr>
          <w:rFonts w:ascii="Arial" w:hAnsi="Arial" w:cs="Arial"/>
          <w:i w:val="0"/>
          <w:sz w:val="20"/>
        </w:rPr>
        <w:t xml:space="preserve"> over the medium term, </w:t>
      </w:r>
      <w:r w:rsidR="00AA14A7" w:rsidRPr="00EB1DA3">
        <w:rPr>
          <w:rFonts w:ascii="Arial" w:hAnsi="Arial" w:cs="Arial"/>
          <w:i w:val="0"/>
          <w:sz w:val="20"/>
        </w:rPr>
        <w:t>the SARB has started tightening</w:t>
      </w:r>
      <w:r w:rsidR="00BB3A57" w:rsidRPr="00EB1DA3">
        <w:rPr>
          <w:rFonts w:ascii="Arial" w:hAnsi="Arial" w:cs="Arial"/>
          <w:i w:val="0"/>
          <w:sz w:val="20"/>
        </w:rPr>
        <w:t xml:space="preserve"> monetary policy</w:t>
      </w:r>
      <w:r w:rsidR="002B4FAB" w:rsidRPr="00EB1DA3">
        <w:rPr>
          <w:rFonts w:ascii="Arial" w:hAnsi="Arial" w:cs="Arial"/>
          <w:i w:val="0"/>
          <w:sz w:val="20"/>
        </w:rPr>
        <w:t xml:space="preserve"> and this </w:t>
      </w:r>
      <w:r w:rsidR="00A848D3" w:rsidRPr="00EB1DA3">
        <w:rPr>
          <w:rFonts w:ascii="Arial" w:hAnsi="Arial" w:cs="Arial"/>
          <w:i w:val="0"/>
          <w:sz w:val="20"/>
        </w:rPr>
        <w:t>might</w:t>
      </w:r>
      <w:r w:rsidR="002B4FAB" w:rsidRPr="00EB1DA3">
        <w:rPr>
          <w:rFonts w:ascii="Arial" w:hAnsi="Arial" w:cs="Arial"/>
          <w:i w:val="0"/>
          <w:sz w:val="20"/>
        </w:rPr>
        <w:t xml:space="preserve"> pose a </w:t>
      </w:r>
      <w:r w:rsidR="00AA14A7" w:rsidRPr="00EB1DA3">
        <w:rPr>
          <w:rFonts w:ascii="Arial" w:hAnsi="Arial" w:cs="Arial"/>
          <w:i w:val="0"/>
          <w:sz w:val="20"/>
        </w:rPr>
        <w:t xml:space="preserve">significant </w:t>
      </w:r>
      <w:r w:rsidR="002B4FAB" w:rsidRPr="00EB1DA3">
        <w:rPr>
          <w:rFonts w:ascii="Arial" w:hAnsi="Arial" w:cs="Arial"/>
          <w:i w:val="0"/>
          <w:sz w:val="20"/>
        </w:rPr>
        <w:t>risk to the economic outlook</w:t>
      </w:r>
      <w:r w:rsidR="00AA14A7" w:rsidRPr="00EB1DA3">
        <w:rPr>
          <w:rFonts w:ascii="Arial" w:hAnsi="Arial" w:cs="Arial"/>
          <w:i w:val="0"/>
          <w:sz w:val="20"/>
        </w:rPr>
        <w:t xml:space="preserve">, along with </w:t>
      </w:r>
      <w:r w:rsidR="000B6C99" w:rsidRPr="00EB1DA3">
        <w:rPr>
          <w:rFonts w:ascii="Arial" w:hAnsi="Arial" w:cs="Arial"/>
          <w:i w:val="0"/>
          <w:sz w:val="20"/>
        </w:rPr>
        <w:t>the emergence of new COVID</w:t>
      </w:r>
      <w:r w:rsidR="000B6C99" w:rsidRPr="00EB1DA3">
        <w:rPr>
          <w:rFonts w:cs="Arial"/>
          <w:i w:val="0"/>
          <w:sz w:val="20"/>
        </w:rPr>
        <w:t>‐</w:t>
      </w:r>
      <w:r w:rsidR="000B6C99" w:rsidRPr="00EB1DA3">
        <w:rPr>
          <w:rFonts w:ascii="Arial" w:hAnsi="Arial" w:cs="Arial"/>
          <w:i w:val="0"/>
          <w:sz w:val="20"/>
        </w:rPr>
        <w:t>19 var</w:t>
      </w:r>
      <w:r w:rsidR="002B4FAB" w:rsidRPr="00EB1DA3">
        <w:rPr>
          <w:rFonts w:ascii="Arial" w:hAnsi="Arial" w:cs="Arial"/>
          <w:i w:val="0"/>
          <w:sz w:val="20"/>
        </w:rPr>
        <w:t>i</w:t>
      </w:r>
      <w:r w:rsidR="00FA2D74" w:rsidRPr="00EB1DA3">
        <w:rPr>
          <w:rFonts w:ascii="Arial" w:hAnsi="Arial" w:cs="Arial"/>
          <w:i w:val="0"/>
          <w:sz w:val="20"/>
        </w:rPr>
        <w:t xml:space="preserve">ants, rising global inflation, </w:t>
      </w:r>
      <w:r w:rsidR="000B6C99" w:rsidRPr="00EB1DA3">
        <w:rPr>
          <w:rFonts w:ascii="Arial" w:hAnsi="Arial" w:cs="Arial"/>
          <w:i w:val="0"/>
          <w:sz w:val="20"/>
        </w:rPr>
        <w:t>continued disruptions to the power supply</w:t>
      </w:r>
      <w:r w:rsidR="00FA2D74" w:rsidRPr="00EB1DA3">
        <w:rPr>
          <w:rFonts w:ascii="Arial" w:hAnsi="Arial" w:cs="Arial"/>
          <w:i w:val="0"/>
          <w:sz w:val="20"/>
        </w:rPr>
        <w:t xml:space="preserve"> and emergence of other </w:t>
      </w:r>
      <w:r w:rsidR="00DA6211" w:rsidRPr="00EB1DA3">
        <w:rPr>
          <w:rFonts w:ascii="Arial" w:hAnsi="Arial" w:cs="Arial"/>
          <w:i w:val="0"/>
          <w:sz w:val="20"/>
        </w:rPr>
        <w:t>risk</w:t>
      </w:r>
      <w:r w:rsidR="00FA2D74" w:rsidRPr="00EB1DA3">
        <w:rPr>
          <w:rFonts w:ascii="Arial" w:hAnsi="Arial" w:cs="Arial"/>
          <w:i w:val="0"/>
          <w:sz w:val="20"/>
        </w:rPr>
        <w:t>s</w:t>
      </w:r>
      <w:r w:rsidR="000B6C99" w:rsidRPr="00EB1DA3">
        <w:rPr>
          <w:rFonts w:ascii="Arial" w:hAnsi="Arial" w:cs="Arial"/>
          <w:i w:val="0"/>
          <w:sz w:val="20"/>
        </w:rPr>
        <w:t>.</w:t>
      </w:r>
      <w:r w:rsidR="00CF25C9" w:rsidRPr="00EB1DA3">
        <w:rPr>
          <w:rFonts w:ascii="Arial" w:hAnsi="Arial" w:cs="Arial"/>
          <w:i w:val="0"/>
          <w:sz w:val="20"/>
        </w:rPr>
        <w:t xml:space="preserve"> </w:t>
      </w:r>
    </w:p>
    <w:p w:rsidR="00AA0A04" w:rsidRPr="00EB1DA3" w:rsidRDefault="001F4718" w:rsidP="00EB1DA3">
      <w:pPr>
        <w:pStyle w:val="Heading3"/>
        <w:spacing w:before="0" w:line="240" w:lineRule="auto"/>
        <w:rPr>
          <w:rFonts w:ascii="Arial" w:hAnsi="Arial" w:cs="Arial"/>
          <w:sz w:val="20"/>
          <w:u w:val="none"/>
        </w:rPr>
      </w:pPr>
      <w:r w:rsidRPr="00EB1DA3">
        <w:rPr>
          <w:rFonts w:ascii="Arial" w:hAnsi="Arial" w:cs="Arial"/>
          <w:sz w:val="20"/>
          <w:u w:val="none"/>
        </w:rPr>
        <w:t>Revenue estimates</w:t>
      </w:r>
      <w:r w:rsidR="005C24AB" w:rsidRPr="00EB1DA3">
        <w:rPr>
          <w:rFonts w:ascii="Arial" w:hAnsi="Arial" w:cs="Arial"/>
          <w:sz w:val="20"/>
          <w:u w:val="none"/>
        </w:rPr>
        <w:t xml:space="preserve">, </w:t>
      </w:r>
      <w:r w:rsidR="00245040" w:rsidRPr="00EB1DA3">
        <w:rPr>
          <w:rFonts w:ascii="Arial" w:hAnsi="Arial" w:cs="Arial"/>
          <w:sz w:val="20"/>
          <w:u w:val="none"/>
        </w:rPr>
        <w:t>tax proposals</w:t>
      </w:r>
      <w:r w:rsidR="005C24AB" w:rsidRPr="00EB1DA3">
        <w:rPr>
          <w:rFonts w:ascii="Arial" w:hAnsi="Arial" w:cs="Arial"/>
          <w:sz w:val="20"/>
          <w:u w:val="none"/>
        </w:rPr>
        <w:t xml:space="preserve"> and tax administration issues </w:t>
      </w:r>
    </w:p>
    <w:p w:rsidR="005072F5" w:rsidRPr="00EB1DA3" w:rsidRDefault="00B6598C" w:rsidP="00EB1DA3">
      <w:pPr>
        <w:pStyle w:val="Heading4"/>
        <w:spacing w:before="0" w:line="240" w:lineRule="auto"/>
        <w:rPr>
          <w:rFonts w:ascii="Arial" w:eastAsia="Calibri" w:hAnsi="Arial" w:cs="Arial"/>
          <w:i w:val="0"/>
          <w:sz w:val="20"/>
        </w:rPr>
      </w:pPr>
      <w:r w:rsidRPr="00EB1DA3">
        <w:rPr>
          <w:rFonts w:ascii="Arial" w:hAnsi="Arial" w:cs="Arial"/>
          <w:i w:val="0"/>
          <w:sz w:val="20"/>
        </w:rPr>
        <w:t xml:space="preserve">The Committee notes that </w:t>
      </w:r>
      <w:r w:rsidR="00706371" w:rsidRPr="00EB1DA3">
        <w:rPr>
          <w:rFonts w:ascii="Arial" w:hAnsi="Arial" w:cs="Arial"/>
          <w:i w:val="0"/>
          <w:sz w:val="20"/>
        </w:rPr>
        <w:t>the</w:t>
      </w:r>
      <w:r w:rsidRPr="00EB1DA3">
        <w:rPr>
          <w:rFonts w:ascii="Arial" w:hAnsi="Arial" w:cs="Arial"/>
          <w:i w:val="0"/>
          <w:sz w:val="20"/>
        </w:rPr>
        <w:t xml:space="preserve"> consolidated revenue </w:t>
      </w:r>
      <w:r w:rsidR="00706371" w:rsidRPr="00EB1DA3">
        <w:rPr>
          <w:rFonts w:ascii="Arial" w:hAnsi="Arial" w:cs="Arial"/>
          <w:i w:val="0"/>
          <w:sz w:val="20"/>
        </w:rPr>
        <w:t xml:space="preserve">is projected to reach almost R2 trillion </w:t>
      </w:r>
      <w:r w:rsidRPr="00EB1DA3">
        <w:rPr>
          <w:rFonts w:ascii="Arial" w:hAnsi="Arial" w:cs="Arial"/>
          <w:i w:val="0"/>
          <w:sz w:val="20"/>
        </w:rPr>
        <w:t>in 2024/25 and that tax revenue projections are higher than the 2021 MTBPS estimates.</w:t>
      </w:r>
      <w:r w:rsidR="001D7A9E" w:rsidRPr="00EB1DA3">
        <w:rPr>
          <w:rFonts w:ascii="Arial" w:hAnsi="Arial" w:cs="Arial"/>
          <w:i w:val="0"/>
          <w:sz w:val="20"/>
        </w:rPr>
        <w:t xml:space="preserve"> </w:t>
      </w:r>
      <w:r w:rsidR="00706371" w:rsidRPr="00EB1DA3">
        <w:rPr>
          <w:rFonts w:ascii="Arial" w:eastAsia="Calibri" w:hAnsi="Arial" w:cs="Arial"/>
          <w:i w:val="0"/>
          <w:sz w:val="20"/>
        </w:rPr>
        <w:t>The Committee further notes</w:t>
      </w:r>
      <w:r w:rsidR="003277EC" w:rsidRPr="00EB1DA3">
        <w:rPr>
          <w:rFonts w:ascii="Arial" w:eastAsia="Calibri" w:hAnsi="Arial" w:cs="Arial"/>
          <w:i w:val="0"/>
          <w:sz w:val="20"/>
        </w:rPr>
        <w:t xml:space="preserve"> that improved revenue, though </w:t>
      </w:r>
      <w:r w:rsidR="001D7A9E" w:rsidRPr="00EB1DA3">
        <w:rPr>
          <w:rFonts w:ascii="Arial" w:eastAsia="Calibri" w:hAnsi="Arial" w:cs="Arial"/>
          <w:i w:val="0"/>
          <w:sz w:val="20"/>
        </w:rPr>
        <w:t>broad-based</w:t>
      </w:r>
      <w:r w:rsidR="003277EC" w:rsidRPr="00EB1DA3">
        <w:rPr>
          <w:rFonts w:ascii="Arial" w:eastAsia="Calibri" w:hAnsi="Arial" w:cs="Arial"/>
          <w:i w:val="0"/>
          <w:sz w:val="20"/>
        </w:rPr>
        <w:t>, emanate largely</w:t>
      </w:r>
      <w:r w:rsidR="005072F5" w:rsidRPr="00EB1DA3">
        <w:rPr>
          <w:rFonts w:ascii="Arial" w:eastAsia="Calibri" w:hAnsi="Arial" w:cs="Arial"/>
          <w:i w:val="0"/>
          <w:sz w:val="20"/>
        </w:rPr>
        <w:t xml:space="preserve"> from the commodity price surge </w:t>
      </w:r>
      <w:r w:rsidR="00F72249" w:rsidRPr="00EB1DA3">
        <w:rPr>
          <w:rFonts w:ascii="Arial" w:eastAsia="Calibri" w:hAnsi="Arial" w:cs="Arial"/>
          <w:i w:val="0"/>
          <w:sz w:val="20"/>
        </w:rPr>
        <w:t>windfall,</w:t>
      </w:r>
      <w:r w:rsidR="005072F5" w:rsidRPr="00EB1DA3">
        <w:rPr>
          <w:rFonts w:ascii="Arial" w:eastAsia="Calibri" w:hAnsi="Arial" w:cs="Arial"/>
          <w:i w:val="0"/>
          <w:sz w:val="20"/>
        </w:rPr>
        <w:t xml:space="preserve"> which is temporary.</w:t>
      </w:r>
      <w:r w:rsidR="003277EC" w:rsidRPr="00EB1DA3">
        <w:rPr>
          <w:rFonts w:ascii="Arial" w:eastAsia="Calibri" w:hAnsi="Arial" w:cs="Arial"/>
          <w:i w:val="0"/>
          <w:sz w:val="20"/>
        </w:rPr>
        <w:t xml:space="preserve"> </w:t>
      </w:r>
      <w:r w:rsidR="00F72249" w:rsidRPr="00EB1DA3">
        <w:rPr>
          <w:rFonts w:ascii="Arial" w:eastAsia="Calibri" w:hAnsi="Arial" w:cs="Arial"/>
          <w:i w:val="0"/>
          <w:sz w:val="20"/>
        </w:rPr>
        <w:t xml:space="preserve">The Committee further </w:t>
      </w:r>
      <w:r w:rsidR="008F0000" w:rsidRPr="00EB1DA3">
        <w:rPr>
          <w:rFonts w:ascii="Arial" w:eastAsia="Calibri" w:hAnsi="Arial" w:cs="Arial"/>
          <w:i w:val="0"/>
          <w:sz w:val="20"/>
        </w:rPr>
        <w:t>observed</w:t>
      </w:r>
      <w:r w:rsidR="00F72249" w:rsidRPr="00EB1DA3">
        <w:rPr>
          <w:rFonts w:ascii="Arial" w:eastAsia="Calibri" w:hAnsi="Arial" w:cs="Arial"/>
          <w:i w:val="0"/>
          <w:sz w:val="20"/>
        </w:rPr>
        <w:t xml:space="preserve"> from SAICA and PwC submissions that NT might have </w:t>
      </w:r>
      <w:r w:rsidR="00A05734" w:rsidRPr="00EB1DA3">
        <w:rPr>
          <w:rFonts w:ascii="Arial" w:eastAsia="Calibri" w:hAnsi="Arial" w:cs="Arial"/>
          <w:i w:val="0"/>
          <w:sz w:val="20"/>
        </w:rPr>
        <w:t xml:space="preserve">continued to conservatively project </w:t>
      </w:r>
      <w:r w:rsidR="00F72249" w:rsidRPr="00EB1DA3">
        <w:rPr>
          <w:rFonts w:ascii="Arial" w:eastAsia="Calibri" w:hAnsi="Arial" w:cs="Arial"/>
          <w:i w:val="0"/>
          <w:sz w:val="20"/>
        </w:rPr>
        <w:t>revenue and economic growth.</w:t>
      </w:r>
    </w:p>
    <w:p w:rsidR="008F0000" w:rsidRPr="00EB1DA3" w:rsidRDefault="00B6598C" w:rsidP="00EB1DA3">
      <w:pPr>
        <w:pStyle w:val="Heading4"/>
        <w:spacing w:before="0" w:line="240" w:lineRule="auto"/>
        <w:rPr>
          <w:rFonts w:ascii="Arial" w:hAnsi="Arial" w:cs="Arial"/>
          <w:i w:val="0"/>
          <w:sz w:val="20"/>
        </w:rPr>
      </w:pPr>
      <w:r w:rsidRPr="00EB1DA3">
        <w:rPr>
          <w:rFonts w:ascii="Arial" w:hAnsi="Arial" w:cs="Arial"/>
          <w:i w:val="0"/>
          <w:sz w:val="20"/>
        </w:rPr>
        <w:t>The Committee welcomes</w:t>
      </w:r>
      <w:r w:rsidR="00657D36" w:rsidRPr="00EB1DA3">
        <w:rPr>
          <w:rFonts w:ascii="Arial" w:hAnsi="Arial" w:cs="Arial"/>
          <w:i w:val="0"/>
          <w:sz w:val="20"/>
        </w:rPr>
        <w:t xml:space="preserve"> </w:t>
      </w:r>
      <w:r w:rsidR="00127C8A" w:rsidRPr="00EB1DA3">
        <w:rPr>
          <w:rFonts w:ascii="Arial" w:hAnsi="Arial" w:cs="Arial"/>
          <w:i w:val="0"/>
          <w:sz w:val="20"/>
        </w:rPr>
        <w:t xml:space="preserve">the </w:t>
      </w:r>
      <w:r w:rsidR="00D451DD" w:rsidRPr="00EB1DA3">
        <w:rPr>
          <w:rFonts w:ascii="Arial" w:hAnsi="Arial" w:cs="Arial"/>
          <w:i w:val="0"/>
          <w:sz w:val="20"/>
        </w:rPr>
        <w:t xml:space="preserve">general fuel levy </w:t>
      </w:r>
      <w:r w:rsidR="00B9674A" w:rsidRPr="00EB1DA3">
        <w:rPr>
          <w:rFonts w:ascii="Arial" w:hAnsi="Arial" w:cs="Arial"/>
          <w:i w:val="0"/>
          <w:sz w:val="20"/>
        </w:rPr>
        <w:t xml:space="preserve">not being increased </w:t>
      </w:r>
      <w:r w:rsidR="00D451DD" w:rsidRPr="00EB1DA3">
        <w:rPr>
          <w:rFonts w:ascii="Arial" w:hAnsi="Arial" w:cs="Arial"/>
          <w:i w:val="0"/>
          <w:sz w:val="20"/>
        </w:rPr>
        <w:t>and t</w:t>
      </w:r>
      <w:r w:rsidR="001E3391" w:rsidRPr="00EB1DA3">
        <w:rPr>
          <w:rFonts w:ascii="Arial" w:hAnsi="Arial" w:cs="Arial"/>
          <w:i w:val="0"/>
          <w:sz w:val="20"/>
        </w:rPr>
        <w:t xml:space="preserve">he </w:t>
      </w:r>
      <w:r w:rsidR="001E3391" w:rsidRPr="00EB1DA3">
        <w:rPr>
          <w:rFonts w:ascii="Arial" w:hAnsi="Arial" w:cs="Arial"/>
          <w:i w:val="0"/>
          <w:sz w:val="20"/>
          <w:lang w:val="en-ZA" w:eastAsia="en-GB"/>
        </w:rPr>
        <w:t xml:space="preserve">R5.2 billion </w:t>
      </w:r>
      <w:r w:rsidRPr="00EB1DA3">
        <w:rPr>
          <w:rFonts w:ascii="Arial" w:hAnsi="Arial" w:cs="Arial"/>
          <w:i w:val="0"/>
          <w:sz w:val="20"/>
          <w:lang w:val="en-ZA" w:eastAsia="en-GB"/>
        </w:rPr>
        <w:t>tax relief</w:t>
      </w:r>
      <w:r w:rsidR="00D451DD" w:rsidRPr="00EB1DA3">
        <w:rPr>
          <w:rFonts w:ascii="Arial" w:hAnsi="Arial" w:cs="Arial"/>
          <w:i w:val="0"/>
          <w:sz w:val="20"/>
          <w:lang w:val="en-ZA" w:eastAsia="en-GB"/>
        </w:rPr>
        <w:t xml:space="preserve"> for individuals and businesses</w:t>
      </w:r>
      <w:r w:rsidRPr="00EB1DA3">
        <w:rPr>
          <w:rFonts w:ascii="Arial" w:hAnsi="Arial" w:cs="Arial"/>
          <w:i w:val="0"/>
          <w:sz w:val="20"/>
          <w:lang w:val="en-ZA" w:eastAsia="en-GB"/>
        </w:rPr>
        <w:t xml:space="preserve"> provided for in the 2022 Budget</w:t>
      </w:r>
      <w:r w:rsidR="00D451DD" w:rsidRPr="00EB1DA3">
        <w:rPr>
          <w:rFonts w:ascii="Arial" w:hAnsi="Arial" w:cs="Arial"/>
          <w:i w:val="0"/>
          <w:sz w:val="20"/>
          <w:lang w:val="en-ZA" w:eastAsia="en-GB"/>
        </w:rPr>
        <w:t>,</w:t>
      </w:r>
      <w:r w:rsidR="005E76B4" w:rsidRPr="00EB1DA3">
        <w:rPr>
          <w:rFonts w:ascii="Arial" w:hAnsi="Arial" w:cs="Arial"/>
          <w:i w:val="0"/>
          <w:sz w:val="20"/>
          <w:lang w:val="en-ZA" w:eastAsia="en-GB"/>
        </w:rPr>
        <w:t xml:space="preserve"> </w:t>
      </w:r>
      <w:r w:rsidR="00D451DD" w:rsidRPr="00EB1DA3">
        <w:rPr>
          <w:rFonts w:ascii="Arial" w:hAnsi="Arial" w:cs="Arial"/>
          <w:i w:val="0"/>
          <w:sz w:val="20"/>
          <w:lang w:val="en-ZA" w:eastAsia="en-GB"/>
        </w:rPr>
        <w:t xml:space="preserve">which is aimed at </w:t>
      </w:r>
      <w:r w:rsidR="005E76B4" w:rsidRPr="00EB1DA3">
        <w:rPr>
          <w:rFonts w:ascii="Arial" w:hAnsi="Arial" w:cs="Arial"/>
          <w:i w:val="0"/>
          <w:sz w:val="20"/>
          <w:lang w:val="en-ZA" w:eastAsia="en-GB"/>
        </w:rPr>
        <w:t>support</w:t>
      </w:r>
      <w:r w:rsidR="00D451DD" w:rsidRPr="00EB1DA3">
        <w:rPr>
          <w:rFonts w:ascii="Arial" w:hAnsi="Arial" w:cs="Arial"/>
          <w:i w:val="0"/>
          <w:sz w:val="20"/>
          <w:lang w:val="en-ZA" w:eastAsia="en-GB"/>
        </w:rPr>
        <w:t>ing</w:t>
      </w:r>
      <w:r w:rsidR="005E76B4" w:rsidRPr="00EB1DA3">
        <w:rPr>
          <w:rFonts w:ascii="Arial" w:hAnsi="Arial" w:cs="Arial"/>
          <w:i w:val="0"/>
          <w:sz w:val="20"/>
          <w:lang w:val="en-ZA" w:eastAsia="en-GB"/>
        </w:rPr>
        <w:t xml:space="preserve"> economic recovery</w:t>
      </w:r>
      <w:r w:rsidR="00D451DD" w:rsidRPr="00EB1DA3">
        <w:rPr>
          <w:rFonts w:ascii="Arial" w:hAnsi="Arial" w:cs="Arial"/>
          <w:i w:val="0"/>
          <w:sz w:val="20"/>
          <w:lang w:val="en-ZA" w:eastAsia="en-GB"/>
        </w:rPr>
        <w:t>.</w:t>
      </w:r>
      <w:r w:rsidR="005E76B4" w:rsidRPr="00EB1DA3">
        <w:rPr>
          <w:rFonts w:ascii="Arial" w:hAnsi="Arial" w:cs="Arial"/>
          <w:i w:val="0"/>
          <w:sz w:val="20"/>
          <w:lang w:val="en-ZA" w:eastAsia="en-GB"/>
        </w:rPr>
        <w:t xml:space="preserve"> </w:t>
      </w:r>
      <w:r w:rsidR="00D451DD" w:rsidRPr="00EB1DA3">
        <w:rPr>
          <w:rFonts w:ascii="Arial" w:hAnsi="Arial" w:cs="Arial"/>
          <w:i w:val="0"/>
          <w:sz w:val="20"/>
          <w:lang w:val="en-ZA" w:eastAsia="en-GB"/>
        </w:rPr>
        <w:t xml:space="preserve">The Committee further welcomes </w:t>
      </w:r>
      <w:r w:rsidR="0088023D" w:rsidRPr="00EB1DA3">
        <w:rPr>
          <w:rFonts w:ascii="Arial" w:hAnsi="Arial" w:cs="Arial"/>
          <w:i w:val="0"/>
          <w:sz w:val="20"/>
        </w:rPr>
        <w:t>t</w:t>
      </w:r>
      <w:r w:rsidR="001E3391" w:rsidRPr="00EB1DA3">
        <w:rPr>
          <w:rFonts w:ascii="Arial" w:hAnsi="Arial" w:cs="Arial"/>
          <w:i w:val="0"/>
          <w:sz w:val="20"/>
        </w:rPr>
        <w:t xml:space="preserve">he positive developments at the </w:t>
      </w:r>
      <w:r w:rsidR="0088023D" w:rsidRPr="00EB1DA3">
        <w:rPr>
          <w:rFonts w:ascii="Arial" w:hAnsi="Arial" w:cs="Arial"/>
          <w:i w:val="0"/>
          <w:sz w:val="20"/>
        </w:rPr>
        <w:t>SARS aimed at efficient revenue collection</w:t>
      </w:r>
      <w:r w:rsidR="001E3391" w:rsidRPr="00EB1DA3">
        <w:rPr>
          <w:rFonts w:ascii="Arial" w:hAnsi="Arial" w:cs="Arial"/>
          <w:i w:val="0"/>
          <w:sz w:val="20"/>
        </w:rPr>
        <w:t>.</w:t>
      </w:r>
      <w:r w:rsidR="005E76B4" w:rsidRPr="00EB1DA3">
        <w:rPr>
          <w:rFonts w:ascii="Arial" w:hAnsi="Arial" w:cs="Arial"/>
          <w:i w:val="0"/>
          <w:sz w:val="20"/>
        </w:rPr>
        <w:t xml:space="preserve"> </w:t>
      </w:r>
      <w:r w:rsidR="00D451DD" w:rsidRPr="00EB1DA3">
        <w:rPr>
          <w:rFonts w:ascii="Arial" w:eastAsia="Calibri" w:hAnsi="Arial" w:cs="Arial"/>
          <w:i w:val="0"/>
          <w:sz w:val="20"/>
        </w:rPr>
        <w:t xml:space="preserve">The Committee recommends that SARS should intensify </w:t>
      </w:r>
      <w:r w:rsidR="00D451DD" w:rsidRPr="00EB1DA3">
        <w:rPr>
          <w:rFonts w:ascii="Arial" w:hAnsi="Arial" w:cs="Arial"/>
          <w:i w:val="0"/>
          <w:sz w:val="20"/>
        </w:rPr>
        <w:t xml:space="preserve">revenue enhancement initiatives to collect maximum revenue due to the government </w:t>
      </w:r>
      <w:r w:rsidR="00331C89" w:rsidRPr="00EB1DA3">
        <w:rPr>
          <w:rFonts w:ascii="Arial" w:hAnsi="Arial" w:cs="Arial"/>
          <w:i w:val="0"/>
          <w:sz w:val="20"/>
        </w:rPr>
        <w:t>to</w:t>
      </w:r>
      <w:r w:rsidR="00D451DD" w:rsidRPr="00EB1DA3">
        <w:rPr>
          <w:rFonts w:ascii="Arial" w:hAnsi="Arial" w:cs="Arial"/>
          <w:i w:val="0"/>
          <w:sz w:val="20"/>
        </w:rPr>
        <w:t xml:space="preserve"> enable it to deliver on its constitutional obligations.</w:t>
      </w:r>
      <w:r w:rsidR="008F0000" w:rsidRPr="00EB1DA3">
        <w:rPr>
          <w:rFonts w:ascii="Arial" w:hAnsi="Arial" w:cs="Arial"/>
          <w:i w:val="0"/>
          <w:sz w:val="20"/>
        </w:rPr>
        <w:t xml:space="preserve"> </w:t>
      </w:r>
      <w:r w:rsidR="008F0000" w:rsidRPr="00EB1DA3">
        <w:rPr>
          <w:rFonts w:ascii="Arial" w:hAnsi="Arial" w:cs="Arial"/>
          <w:i w:val="0"/>
          <w:sz w:val="20"/>
          <w:lang w:val="en-US"/>
        </w:rPr>
        <w:t>While recognizing the progress made on tackling the illicit economy in particular, the Committee stresses the need for SARS and other relevant agencies to do more in this regard.</w:t>
      </w:r>
      <w:r w:rsidR="00E07F63" w:rsidRPr="00EB1DA3">
        <w:rPr>
          <w:rFonts w:ascii="Arial" w:hAnsi="Arial" w:cs="Arial"/>
          <w:i w:val="0"/>
          <w:sz w:val="20"/>
          <w:lang w:val="en-US"/>
        </w:rPr>
        <w:t xml:space="preserve"> The Committee welcomes </w:t>
      </w:r>
      <w:r w:rsidR="007545F9" w:rsidRPr="00EB1DA3">
        <w:rPr>
          <w:rFonts w:ascii="Arial" w:hAnsi="Arial" w:cs="Arial"/>
          <w:i w:val="0"/>
          <w:sz w:val="20"/>
          <w:lang w:val="en-US"/>
        </w:rPr>
        <w:t xml:space="preserve">the government’s </w:t>
      </w:r>
      <w:r w:rsidR="00E07F63" w:rsidRPr="00EB1DA3">
        <w:rPr>
          <w:rFonts w:ascii="Arial" w:hAnsi="Arial" w:cs="Arial"/>
          <w:i w:val="0"/>
          <w:sz w:val="20"/>
          <w:lang w:val="en-US"/>
        </w:rPr>
        <w:t xml:space="preserve">attempt and a plan to restructure fuel prices and recommend that </w:t>
      </w:r>
      <w:r w:rsidR="007545F9" w:rsidRPr="00EB1DA3">
        <w:rPr>
          <w:rFonts w:ascii="Arial" w:hAnsi="Arial" w:cs="Arial"/>
          <w:i w:val="0"/>
          <w:sz w:val="20"/>
          <w:lang w:val="en-US"/>
        </w:rPr>
        <w:t>this plan</w:t>
      </w:r>
      <w:r w:rsidR="00E07F63" w:rsidRPr="00EB1DA3">
        <w:rPr>
          <w:rFonts w:ascii="Arial" w:hAnsi="Arial" w:cs="Arial"/>
          <w:i w:val="0"/>
          <w:sz w:val="20"/>
          <w:lang w:val="en-US"/>
        </w:rPr>
        <w:t xml:space="preserve"> should be</w:t>
      </w:r>
      <w:r w:rsidR="007545F9" w:rsidRPr="00EB1DA3">
        <w:rPr>
          <w:rFonts w:ascii="Arial" w:hAnsi="Arial" w:cs="Arial"/>
          <w:i w:val="0"/>
          <w:sz w:val="20"/>
          <w:lang w:val="en-US"/>
        </w:rPr>
        <w:t xml:space="preserve"> implemented </w:t>
      </w:r>
      <w:r w:rsidR="00E07F63" w:rsidRPr="00EB1DA3">
        <w:rPr>
          <w:rFonts w:ascii="Arial" w:hAnsi="Arial" w:cs="Arial"/>
          <w:i w:val="0"/>
          <w:sz w:val="20"/>
          <w:lang w:val="en-US"/>
        </w:rPr>
        <w:t>in haste.</w:t>
      </w:r>
    </w:p>
    <w:p w:rsidR="00BB6255" w:rsidRPr="00EB1DA3" w:rsidRDefault="001E3C49" w:rsidP="00EB1DA3">
      <w:pPr>
        <w:pStyle w:val="Heading4"/>
        <w:spacing w:before="0" w:line="240" w:lineRule="auto"/>
        <w:rPr>
          <w:rFonts w:ascii="Arial" w:hAnsi="Arial" w:cs="Arial"/>
          <w:i w:val="0"/>
          <w:sz w:val="20"/>
          <w:lang w:val="en-US"/>
        </w:rPr>
      </w:pPr>
      <w:r w:rsidRPr="00EB1DA3">
        <w:rPr>
          <w:rFonts w:ascii="Arial" w:eastAsia="Calibri" w:hAnsi="Arial" w:cs="Arial"/>
          <w:i w:val="0"/>
          <w:sz w:val="20"/>
        </w:rPr>
        <w:t xml:space="preserve">The Committee </w:t>
      </w:r>
      <w:r w:rsidR="00795021" w:rsidRPr="00EB1DA3">
        <w:rPr>
          <w:rFonts w:ascii="Arial" w:hAnsi="Arial" w:cs="Arial"/>
          <w:i w:val="0"/>
          <w:sz w:val="20"/>
          <w:lang w:val="en-US"/>
        </w:rPr>
        <w:t>note</w:t>
      </w:r>
      <w:r w:rsidR="00021AD8" w:rsidRPr="00EB1DA3">
        <w:rPr>
          <w:rFonts w:ascii="Arial" w:hAnsi="Arial" w:cs="Arial"/>
          <w:i w:val="0"/>
          <w:sz w:val="20"/>
          <w:lang w:val="en-US"/>
        </w:rPr>
        <w:t xml:space="preserve">s the proposal to </w:t>
      </w:r>
      <w:r w:rsidR="00021AD8" w:rsidRPr="00EB1DA3">
        <w:rPr>
          <w:rFonts w:ascii="Arial" w:eastAsia="Calibri" w:hAnsi="Arial" w:cs="Arial"/>
          <w:i w:val="0"/>
          <w:sz w:val="20"/>
        </w:rPr>
        <w:t>decrease CIT by one per cent</w:t>
      </w:r>
      <w:r w:rsidR="003277EC" w:rsidRPr="00EB1DA3">
        <w:rPr>
          <w:rFonts w:ascii="Arial" w:eastAsia="Calibri" w:hAnsi="Arial" w:cs="Arial"/>
          <w:i w:val="0"/>
          <w:sz w:val="20"/>
        </w:rPr>
        <w:t xml:space="preserve"> </w:t>
      </w:r>
      <w:r w:rsidR="0050093E" w:rsidRPr="00EB1DA3">
        <w:rPr>
          <w:rFonts w:ascii="Arial" w:eastAsia="Calibri" w:hAnsi="Arial" w:cs="Arial"/>
          <w:i w:val="0"/>
          <w:sz w:val="20"/>
        </w:rPr>
        <w:t>as</w:t>
      </w:r>
      <w:r w:rsidR="00227AC0" w:rsidRPr="00EB1DA3">
        <w:rPr>
          <w:rFonts w:ascii="Arial" w:eastAsia="Calibri" w:hAnsi="Arial" w:cs="Arial"/>
          <w:i w:val="0"/>
          <w:sz w:val="20"/>
        </w:rPr>
        <w:t xml:space="preserve"> part of the government’s intentio</w:t>
      </w:r>
      <w:r w:rsidR="006D3E56" w:rsidRPr="00EB1DA3">
        <w:rPr>
          <w:rFonts w:ascii="Arial" w:eastAsia="Calibri" w:hAnsi="Arial" w:cs="Arial"/>
          <w:i w:val="0"/>
          <w:sz w:val="20"/>
        </w:rPr>
        <w:t xml:space="preserve">n to restructure the CIT system </w:t>
      </w:r>
      <w:r w:rsidR="00227AC0" w:rsidRPr="00EB1DA3">
        <w:rPr>
          <w:rFonts w:ascii="Arial" w:eastAsia="Calibri" w:hAnsi="Arial" w:cs="Arial"/>
          <w:i w:val="0"/>
          <w:sz w:val="20"/>
        </w:rPr>
        <w:t>by reduc</w:t>
      </w:r>
      <w:r w:rsidR="0050093E" w:rsidRPr="00EB1DA3">
        <w:rPr>
          <w:rFonts w:ascii="Arial" w:eastAsia="Calibri" w:hAnsi="Arial" w:cs="Arial"/>
          <w:i w:val="0"/>
          <w:sz w:val="20"/>
        </w:rPr>
        <w:t xml:space="preserve">ing avoidance opportunities, </w:t>
      </w:r>
      <w:r w:rsidR="00227AC0" w:rsidRPr="00EB1DA3">
        <w:rPr>
          <w:rFonts w:ascii="Arial" w:eastAsia="Calibri" w:hAnsi="Arial" w:cs="Arial"/>
          <w:i w:val="0"/>
          <w:sz w:val="20"/>
        </w:rPr>
        <w:t>expanding the tax base</w:t>
      </w:r>
      <w:r w:rsidR="0050093E" w:rsidRPr="00EB1DA3">
        <w:rPr>
          <w:rFonts w:ascii="Arial" w:eastAsia="Calibri" w:hAnsi="Arial" w:cs="Arial"/>
          <w:i w:val="0"/>
          <w:sz w:val="20"/>
        </w:rPr>
        <w:t xml:space="preserve"> and encouraging investment.</w:t>
      </w:r>
      <w:r w:rsidR="00227AC0" w:rsidRPr="00EB1DA3">
        <w:rPr>
          <w:rFonts w:ascii="Arial" w:eastAsia="Calibri" w:hAnsi="Arial" w:cs="Arial"/>
          <w:i w:val="0"/>
          <w:sz w:val="20"/>
        </w:rPr>
        <w:t xml:space="preserve"> </w:t>
      </w:r>
      <w:r w:rsidR="00BB6255" w:rsidRPr="00EB1DA3">
        <w:rPr>
          <w:rFonts w:ascii="Arial" w:hAnsi="Arial" w:cs="Arial"/>
          <w:i w:val="0"/>
          <w:sz w:val="20"/>
          <w:lang w:val="en-US"/>
        </w:rPr>
        <w:t xml:space="preserve"> </w:t>
      </w:r>
      <w:r w:rsidR="00D613B0" w:rsidRPr="00EB1DA3">
        <w:rPr>
          <w:rFonts w:ascii="Arial" w:hAnsi="Arial" w:cs="Arial"/>
          <w:i w:val="0"/>
          <w:sz w:val="20"/>
          <w:lang w:val="en-US"/>
        </w:rPr>
        <w:t xml:space="preserve">However, the majority in the Committee is not convinced that a reduction in CIT necessarily leads to the investment of this saving into the economy. </w:t>
      </w:r>
      <w:r w:rsidR="00BB6255" w:rsidRPr="00EB1DA3">
        <w:rPr>
          <w:rFonts w:ascii="Arial" w:hAnsi="Arial" w:cs="Arial"/>
          <w:i w:val="0"/>
          <w:sz w:val="20"/>
          <w:lang w:val="en-ZA" w:eastAsia="en-GB"/>
        </w:rPr>
        <w:t>The C</w:t>
      </w:r>
      <w:r w:rsidR="00DD0365" w:rsidRPr="00EB1DA3">
        <w:rPr>
          <w:rFonts w:ascii="Arial" w:hAnsi="Arial" w:cs="Arial"/>
          <w:i w:val="0"/>
          <w:sz w:val="20"/>
          <w:lang w:val="en-ZA" w:eastAsia="en-GB"/>
        </w:rPr>
        <w:t>ommittee</w:t>
      </w:r>
      <w:r w:rsidR="00795021" w:rsidRPr="00EB1DA3">
        <w:rPr>
          <w:rFonts w:ascii="Arial" w:hAnsi="Arial" w:cs="Arial"/>
          <w:i w:val="0"/>
          <w:sz w:val="20"/>
          <w:lang w:val="en-ZA" w:eastAsia="en-GB"/>
        </w:rPr>
        <w:t xml:space="preserve"> once again</w:t>
      </w:r>
      <w:r w:rsidR="00DD0365" w:rsidRPr="00EB1DA3">
        <w:rPr>
          <w:rFonts w:ascii="Arial" w:hAnsi="Arial" w:cs="Arial"/>
          <w:i w:val="0"/>
          <w:sz w:val="20"/>
          <w:lang w:val="en-ZA" w:eastAsia="en-GB"/>
        </w:rPr>
        <w:t xml:space="preserve"> observed that there are sufficient domestic savings</w:t>
      </w:r>
      <w:r w:rsidR="00AA30A0" w:rsidRPr="00EB1DA3">
        <w:rPr>
          <w:rFonts w:ascii="Arial" w:hAnsi="Arial" w:cs="Arial"/>
          <w:i w:val="0"/>
          <w:sz w:val="20"/>
          <w:lang w:val="en-ZA" w:eastAsia="en-GB"/>
        </w:rPr>
        <w:t xml:space="preserve"> </w:t>
      </w:r>
      <w:r w:rsidR="003C4F6D" w:rsidRPr="00EB1DA3">
        <w:rPr>
          <w:rFonts w:ascii="Arial" w:hAnsi="Arial" w:cs="Arial"/>
          <w:i w:val="0"/>
          <w:sz w:val="20"/>
          <w:lang w:val="en-ZA" w:eastAsia="en-GB"/>
        </w:rPr>
        <w:t>that</w:t>
      </w:r>
      <w:r w:rsidR="00AA30A0" w:rsidRPr="00EB1DA3">
        <w:rPr>
          <w:rFonts w:ascii="Arial" w:hAnsi="Arial" w:cs="Arial"/>
          <w:i w:val="0"/>
          <w:sz w:val="20"/>
          <w:lang w:val="en-ZA" w:eastAsia="en-GB"/>
        </w:rPr>
        <w:t xml:space="preserve"> have</w:t>
      </w:r>
      <w:r w:rsidR="00DD0365" w:rsidRPr="00EB1DA3">
        <w:rPr>
          <w:rFonts w:ascii="Arial" w:hAnsi="Arial" w:cs="Arial"/>
          <w:i w:val="0"/>
          <w:sz w:val="20"/>
          <w:lang w:val="en-ZA" w:eastAsia="en-GB"/>
        </w:rPr>
        <w:t xml:space="preserve"> not been re-invested into the economy to create jobs. </w:t>
      </w:r>
      <w:r w:rsidR="00795021" w:rsidRPr="00EB1DA3">
        <w:rPr>
          <w:rFonts w:ascii="Arial" w:hAnsi="Arial" w:cs="Arial"/>
          <w:i w:val="0"/>
          <w:sz w:val="20"/>
          <w:lang w:val="en-ZA" w:eastAsia="en-GB"/>
        </w:rPr>
        <w:t xml:space="preserve">The Committee </w:t>
      </w:r>
      <w:r w:rsidR="00BB6255" w:rsidRPr="00EB1DA3">
        <w:rPr>
          <w:rFonts w:ascii="Arial" w:hAnsi="Arial" w:cs="Arial"/>
          <w:i w:val="0"/>
          <w:sz w:val="20"/>
          <w:lang w:val="en-ZA" w:eastAsia="en-GB"/>
        </w:rPr>
        <w:t>recommends that NT and SARS should request reinvestment commitment</w:t>
      </w:r>
      <w:r w:rsidR="00795021" w:rsidRPr="00EB1DA3">
        <w:rPr>
          <w:rFonts w:ascii="Arial" w:hAnsi="Arial" w:cs="Arial"/>
          <w:i w:val="0"/>
          <w:sz w:val="20"/>
          <w:lang w:val="en-ZA" w:eastAsia="en-GB"/>
        </w:rPr>
        <w:t>s</w:t>
      </w:r>
      <w:r w:rsidR="00BB6255" w:rsidRPr="00EB1DA3">
        <w:rPr>
          <w:rFonts w:ascii="Arial" w:hAnsi="Arial" w:cs="Arial"/>
          <w:i w:val="0"/>
          <w:sz w:val="20"/>
          <w:lang w:val="en-ZA" w:eastAsia="en-GB"/>
        </w:rPr>
        <w:t xml:space="preserve"> from companies to stimulate economic growth, in light of </w:t>
      </w:r>
      <w:r w:rsidR="00795021" w:rsidRPr="00EB1DA3">
        <w:rPr>
          <w:rFonts w:ascii="Arial" w:hAnsi="Arial" w:cs="Arial"/>
          <w:i w:val="0"/>
          <w:sz w:val="20"/>
          <w:lang w:val="en-ZA" w:eastAsia="en-GB"/>
        </w:rPr>
        <w:t xml:space="preserve">the </w:t>
      </w:r>
      <w:r w:rsidR="00BB6255" w:rsidRPr="00EB1DA3">
        <w:rPr>
          <w:rFonts w:ascii="Arial" w:hAnsi="Arial" w:cs="Arial"/>
          <w:i w:val="0"/>
          <w:sz w:val="20"/>
          <w:lang w:val="en-ZA" w:eastAsia="en-GB"/>
        </w:rPr>
        <w:t>jobs lost.</w:t>
      </w:r>
      <w:r w:rsidR="00E07F63" w:rsidRPr="00EB1DA3">
        <w:rPr>
          <w:rFonts w:ascii="Arial" w:hAnsi="Arial" w:cs="Arial"/>
          <w:i w:val="0"/>
          <w:sz w:val="20"/>
          <w:lang w:val="en-ZA" w:eastAsia="en-GB"/>
        </w:rPr>
        <w:t xml:space="preserve"> The Committee encourages the private sector to invest in the </w:t>
      </w:r>
      <w:r w:rsidR="00D51C8A" w:rsidRPr="00EB1DA3">
        <w:rPr>
          <w:rFonts w:ascii="Arial" w:hAnsi="Arial" w:cs="Arial"/>
          <w:i w:val="0"/>
          <w:sz w:val="20"/>
          <w:lang w:val="en-ZA" w:eastAsia="en-GB"/>
        </w:rPr>
        <w:t xml:space="preserve">domestic </w:t>
      </w:r>
      <w:r w:rsidR="00E07F63" w:rsidRPr="00EB1DA3">
        <w:rPr>
          <w:rFonts w:ascii="Arial" w:hAnsi="Arial" w:cs="Arial"/>
          <w:i w:val="0"/>
          <w:sz w:val="20"/>
          <w:lang w:val="en-ZA" w:eastAsia="en-GB"/>
        </w:rPr>
        <w:t xml:space="preserve">economy </w:t>
      </w:r>
      <w:r w:rsidR="00D51C8A" w:rsidRPr="00EB1DA3">
        <w:rPr>
          <w:rFonts w:ascii="Arial" w:hAnsi="Arial" w:cs="Arial"/>
          <w:i w:val="0"/>
          <w:sz w:val="20"/>
          <w:lang w:val="en-ZA" w:eastAsia="en-GB"/>
        </w:rPr>
        <w:t>while</w:t>
      </w:r>
      <w:r w:rsidR="00E07F63" w:rsidRPr="00EB1DA3">
        <w:rPr>
          <w:rFonts w:ascii="Arial" w:hAnsi="Arial" w:cs="Arial"/>
          <w:i w:val="0"/>
          <w:sz w:val="20"/>
          <w:lang w:val="en-ZA" w:eastAsia="en-GB"/>
        </w:rPr>
        <w:t xml:space="preserve"> the government </w:t>
      </w:r>
      <w:r w:rsidR="00D51C8A" w:rsidRPr="00EB1DA3">
        <w:rPr>
          <w:rFonts w:ascii="Arial" w:hAnsi="Arial" w:cs="Arial"/>
          <w:i w:val="0"/>
          <w:sz w:val="20"/>
          <w:lang w:val="en-ZA" w:eastAsia="en-GB"/>
        </w:rPr>
        <w:t xml:space="preserve">implements the economic reforms that would contribute to economic growth and </w:t>
      </w:r>
      <w:r w:rsidR="00E07F63" w:rsidRPr="00EB1DA3">
        <w:rPr>
          <w:rFonts w:ascii="Arial" w:hAnsi="Arial" w:cs="Arial"/>
          <w:i w:val="0"/>
          <w:sz w:val="20"/>
          <w:lang w:val="en-ZA" w:eastAsia="en-GB"/>
        </w:rPr>
        <w:t xml:space="preserve">improve </w:t>
      </w:r>
      <w:r w:rsidR="00D51C8A" w:rsidRPr="00EB1DA3">
        <w:rPr>
          <w:rFonts w:ascii="Arial" w:hAnsi="Arial" w:cs="Arial"/>
          <w:i w:val="0"/>
          <w:sz w:val="20"/>
          <w:lang w:val="en-ZA" w:eastAsia="en-GB"/>
        </w:rPr>
        <w:t xml:space="preserve">business </w:t>
      </w:r>
      <w:r w:rsidR="00E07F63" w:rsidRPr="00EB1DA3">
        <w:rPr>
          <w:rFonts w:ascii="Arial" w:hAnsi="Arial" w:cs="Arial"/>
          <w:i w:val="0"/>
          <w:sz w:val="20"/>
          <w:lang w:val="en-ZA" w:eastAsia="en-GB"/>
        </w:rPr>
        <w:t>confidence</w:t>
      </w:r>
      <w:r w:rsidR="00D613B0" w:rsidRPr="00EB1DA3">
        <w:rPr>
          <w:rFonts w:ascii="Arial" w:hAnsi="Arial" w:cs="Arial"/>
          <w:i w:val="0"/>
          <w:sz w:val="20"/>
          <w:lang w:val="en-ZA" w:eastAsia="en-GB"/>
        </w:rPr>
        <w:t>.</w:t>
      </w:r>
      <w:r w:rsidR="000229AB" w:rsidRPr="00EB1DA3">
        <w:rPr>
          <w:rFonts w:ascii="Arial" w:hAnsi="Arial" w:cs="Arial"/>
          <w:i w:val="0"/>
          <w:sz w:val="20"/>
          <w:lang w:val="en-ZA" w:eastAsia="en-GB"/>
        </w:rPr>
        <w:t xml:space="preserve"> </w:t>
      </w:r>
    </w:p>
    <w:p w:rsidR="008F0000" w:rsidRPr="00EB1DA3" w:rsidRDefault="008F0000" w:rsidP="00EB1DA3">
      <w:pPr>
        <w:pStyle w:val="Heading4"/>
        <w:spacing w:before="0" w:line="240" w:lineRule="auto"/>
        <w:rPr>
          <w:rFonts w:ascii="Arial" w:hAnsi="Arial" w:cs="Arial"/>
          <w:i w:val="0"/>
          <w:sz w:val="20"/>
          <w:lang w:val="en-US"/>
        </w:rPr>
      </w:pPr>
      <w:r w:rsidRPr="00EB1DA3">
        <w:rPr>
          <w:rFonts w:ascii="Arial" w:hAnsi="Arial" w:cs="Arial"/>
          <w:i w:val="0"/>
          <w:sz w:val="20"/>
          <w:lang w:val="en-US"/>
        </w:rPr>
        <w:t xml:space="preserve">While recognizing that </w:t>
      </w:r>
      <w:r w:rsidR="005F6743" w:rsidRPr="00EB1DA3">
        <w:rPr>
          <w:rFonts w:ascii="Arial" w:hAnsi="Arial" w:cs="Arial"/>
          <w:i w:val="0"/>
          <w:sz w:val="20"/>
        </w:rPr>
        <w:t xml:space="preserve">more work still needs to be done at the </w:t>
      </w:r>
      <w:r w:rsidRPr="00EB1DA3">
        <w:rPr>
          <w:rFonts w:ascii="Arial" w:hAnsi="Arial" w:cs="Arial"/>
          <w:i w:val="0"/>
          <w:sz w:val="20"/>
          <w:lang w:val="en-US"/>
        </w:rPr>
        <w:t xml:space="preserve">SARS, the Committee </w:t>
      </w:r>
      <w:r w:rsidR="005F6743" w:rsidRPr="00EB1DA3">
        <w:rPr>
          <w:rFonts w:ascii="Arial" w:hAnsi="Arial" w:cs="Arial"/>
          <w:i w:val="0"/>
          <w:sz w:val="20"/>
        </w:rPr>
        <w:t>acknowledges and commends the progress made in rebuilding SARS in the past few years.</w:t>
      </w:r>
      <w:r w:rsidR="005F6743" w:rsidRPr="00EB1DA3">
        <w:rPr>
          <w:rFonts w:ascii="Arial" w:hAnsi="Arial" w:cs="Arial"/>
          <w:i w:val="0"/>
          <w:sz w:val="20"/>
          <w:lang w:val="en-US"/>
        </w:rPr>
        <w:t xml:space="preserve"> </w:t>
      </w:r>
      <w:r w:rsidR="005F6743" w:rsidRPr="00EB1DA3">
        <w:rPr>
          <w:rFonts w:ascii="Arial" w:hAnsi="Arial" w:cs="Arial"/>
          <w:i w:val="0"/>
          <w:sz w:val="20"/>
        </w:rPr>
        <w:t xml:space="preserve">The Committee </w:t>
      </w:r>
      <w:r w:rsidR="00952EF1" w:rsidRPr="00EB1DA3">
        <w:rPr>
          <w:rFonts w:ascii="Arial" w:hAnsi="Arial" w:cs="Arial"/>
          <w:i w:val="0"/>
          <w:sz w:val="20"/>
        </w:rPr>
        <w:t>further recognis</w:t>
      </w:r>
      <w:r w:rsidR="005F6743" w:rsidRPr="00EB1DA3">
        <w:rPr>
          <w:rFonts w:ascii="Arial" w:hAnsi="Arial" w:cs="Arial"/>
          <w:i w:val="0"/>
          <w:sz w:val="20"/>
        </w:rPr>
        <w:t xml:space="preserve">es that the SARS needs more resources and </w:t>
      </w:r>
      <w:r w:rsidR="004668F2" w:rsidRPr="00EB1DA3">
        <w:rPr>
          <w:rFonts w:ascii="Arial" w:hAnsi="Arial" w:cs="Arial"/>
          <w:i w:val="0"/>
          <w:sz w:val="20"/>
        </w:rPr>
        <w:t>suggest</w:t>
      </w:r>
      <w:r w:rsidR="005F6743" w:rsidRPr="00EB1DA3">
        <w:rPr>
          <w:rFonts w:ascii="Arial" w:hAnsi="Arial" w:cs="Arial"/>
          <w:i w:val="0"/>
          <w:sz w:val="20"/>
        </w:rPr>
        <w:t xml:space="preserve">s </w:t>
      </w:r>
      <w:r w:rsidR="005F6743" w:rsidRPr="00EB1DA3">
        <w:rPr>
          <w:rFonts w:ascii="Arial" w:hAnsi="Arial" w:cs="Arial"/>
          <w:i w:val="0"/>
          <w:sz w:val="20"/>
          <w:lang w:val="en-US"/>
        </w:rPr>
        <w:t xml:space="preserve">that the </w:t>
      </w:r>
      <w:r w:rsidR="00697BB4" w:rsidRPr="00EB1DA3">
        <w:rPr>
          <w:rFonts w:ascii="Arial" w:hAnsi="Arial" w:cs="Arial"/>
          <w:i w:val="0"/>
          <w:sz w:val="20"/>
          <w:lang w:val="en-US"/>
        </w:rPr>
        <w:t xml:space="preserve">Standing/Select Committee on </w:t>
      </w:r>
      <w:r w:rsidR="005F6743" w:rsidRPr="00EB1DA3">
        <w:rPr>
          <w:rFonts w:ascii="Arial" w:hAnsi="Arial" w:cs="Arial"/>
          <w:i w:val="0"/>
          <w:sz w:val="20"/>
          <w:lang w:val="en-US"/>
        </w:rPr>
        <w:t xml:space="preserve">Appropriations considers recommending that the SARS’ budget should be increased </w:t>
      </w:r>
      <w:r w:rsidR="005F6743" w:rsidRPr="00EB1DA3">
        <w:rPr>
          <w:rFonts w:ascii="Arial" w:hAnsi="Arial" w:cs="Arial"/>
          <w:i w:val="0"/>
          <w:sz w:val="20"/>
        </w:rPr>
        <w:t>to enable it to efficiently collect revenue</w:t>
      </w:r>
      <w:r w:rsidR="00126F83" w:rsidRPr="00EB1DA3">
        <w:rPr>
          <w:rFonts w:ascii="Arial" w:hAnsi="Arial" w:cs="Arial"/>
          <w:i w:val="0"/>
          <w:sz w:val="20"/>
        </w:rPr>
        <w:t xml:space="preserve"> and deliver on its mandate.</w:t>
      </w:r>
    </w:p>
    <w:p w:rsidR="00E60BA3" w:rsidRPr="00EB1DA3" w:rsidRDefault="0097588B" w:rsidP="00EB1DA3">
      <w:pPr>
        <w:pStyle w:val="Heading4"/>
        <w:spacing w:before="0" w:line="240" w:lineRule="auto"/>
        <w:rPr>
          <w:rFonts w:ascii="Arial" w:hAnsi="Arial" w:cs="Arial"/>
          <w:i w:val="0"/>
          <w:sz w:val="20"/>
          <w:lang w:val="en-US"/>
        </w:rPr>
      </w:pPr>
      <w:r w:rsidRPr="00EB1DA3">
        <w:rPr>
          <w:rFonts w:ascii="Arial" w:hAnsi="Arial" w:cs="Arial"/>
          <w:i w:val="0"/>
          <w:sz w:val="20"/>
          <w:lang w:val="en-US"/>
        </w:rPr>
        <w:t xml:space="preserve">The Committee noted </w:t>
      </w:r>
      <w:r w:rsidR="00A33C6D" w:rsidRPr="00EB1DA3">
        <w:rPr>
          <w:rFonts w:ascii="Arial" w:hAnsi="Arial" w:cs="Arial"/>
          <w:i w:val="0"/>
          <w:sz w:val="20"/>
          <w:lang w:val="en-US"/>
        </w:rPr>
        <w:t>several</w:t>
      </w:r>
      <w:r w:rsidRPr="00EB1DA3">
        <w:rPr>
          <w:rFonts w:ascii="Arial" w:hAnsi="Arial" w:cs="Arial"/>
          <w:i w:val="0"/>
          <w:sz w:val="20"/>
          <w:lang w:val="en-US"/>
        </w:rPr>
        <w:t xml:space="preserve"> concerns raised by the stakeholders</w:t>
      </w:r>
      <w:r w:rsidR="00143DD3" w:rsidRPr="00EB1DA3">
        <w:rPr>
          <w:rFonts w:ascii="Arial" w:hAnsi="Arial" w:cs="Arial"/>
          <w:i w:val="0"/>
          <w:sz w:val="20"/>
          <w:lang w:val="en-US"/>
        </w:rPr>
        <w:t xml:space="preserve">, which include </w:t>
      </w:r>
      <w:r w:rsidRPr="00EB1DA3">
        <w:rPr>
          <w:rFonts w:ascii="Arial" w:hAnsi="Arial" w:cs="Arial"/>
          <w:i w:val="0"/>
          <w:sz w:val="20"/>
          <w:lang w:val="en-US"/>
        </w:rPr>
        <w:t xml:space="preserve">taxpayer rights, </w:t>
      </w:r>
      <w:r w:rsidR="00E86B26" w:rsidRPr="00EB1DA3">
        <w:rPr>
          <w:rFonts w:ascii="Arial" w:hAnsi="Arial" w:cs="Arial"/>
          <w:i w:val="0"/>
          <w:sz w:val="20"/>
          <w:lang w:val="en-US"/>
        </w:rPr>
        <w:t xml:space="preserve">SARS subjecting </w:t>
      </w:r>
      <w:r w:rsidRPr="00EB1DA3">
        <w:rPr>
          <w:rFonts w:ascii="Arial" w:hAnsi="Arial" w:cs="Arial"/>
          <w:i w:val="0"/>
          <w:sz w:val="20"/>
          <w:lang w:val="en-US"/>
        </w:rPr>
        <w:t xml:space="preserve">the </w:t>
      </w:r>
      <w:r w:rsidR="00E86B26" w:rsidRPr="00EB1DA3">
        <w:rPr>
          <w:rFonts w:ascii="Arial" w:hAnsi="Arial" w:cs="Arial"/>
          <w:i w:val="0"/>
          <w:sz w:val="20"/>
          <w:lang w:val="en-US"/>
        </w:rPr>
        <w:t>same compliant taxpayers for audit</w:t>
      </w:r>
      <w:r w:rsidRPr="00EB1DA3">
        <w:rPr>
          <w:rFonts w:ascii="Arial" w:hAnsi="Arial" w:cs="Arial"/>
          <w:i w:val="0"/>
          <w:sz w:val="20"/>
          <w:lang w:val="en-US"/>
        </w:rPr>
        <w:t xml:space="preserve"> every year</w:t>
      </w:r>
      <w:r w:rsidR="00E86B26" w:rsidRPr="00EB1DA3">
        <w:rPr>
          <w:rFonts w:ascii="Arial" w:hAnsi="Arial" w:cs="Arial"/>
          <w:i w:val="0"/>
          <w:sz w:val="20"/>
          <w:lang w:val="en-US"/>
        </w:rPr>
        <w:t xml:space="preserve">, </w:t>
      </w:r>
      <w:r w:rsidRPr="00EB1DA3">
        <w:rPr>
          <w:rFonts w:ascii="Arial" w:hAnsi="Arial" w:cs="Arial"/>
          <w:i w:val="0"/>
          <w:sz w:val="20"/>
          <w:lang w:val="en-US"/>
        </w:rPr>
        <w:t xml:space="preserve">the impact on taxpayers and SMMEs of the inefficiency with which SARS handles disputes, </w:t>
      </w:r>
      <w:r w:rsidR="00A17617" w:rsidRPr="00EB1DA3">
        <w:rPr>
          <w:rFonts w:ascii="Arial" w:hAnsi="Arial" w:cs="Arial"/>
          <w:i w:val="0"/>
          <w:sz w:val="20"/>
          <w:lang w:val="en-US"/>
        </w:rPr>
        <w:t xml:space="preserve">and </w:t>
      </w:r>
      <w:r w:rsidR="00143DD3" w:rsidRPr="00EB1DA3">
        <w:rPr>
          <w:rFonts w:ascii="Arial" w:hAnsi="Arial" w:cs="Arial"/>
          <w:i w:val="0"/>
          <w:sz w:val="20"/>
          <w:lang w:val="en-US"/>
        </w:rPr>
        <w:t xml:space="preserve">withholding of VAT and diesel refunds. The Committee further noted progress reported by SARS on disputes, that </w:t>
      </w:r>
      <w:r w:rsidR="002606B0" w:rsidRPr="00EB1DA3">
        <w:rPr>
          <w:rFonts w:ascii="Arial" w:hAnsi="Arial" w:cs="Arial"/>
          <w:i w:val="0"/>
          <w:sz w:val="20"/>
          <w:lang w:val="en-US"/>
        </w:rPr>
        <w:t xml:space="preserve">between 2019 and now, </w:t>
      </w:r>
      <w:r w:rsidR="00143DD3" w:rsidRPr="00EB1DA3">
        <w:rPr>
          <w:rFonts w:ascii="Arial" w:hAnsi="Arial" w:cs="Arial"/>
          <w:i w:val="0"/>
          <w:sz w:val="20"/>
          <w:lang w:val="en-US"/>
        </w:rPr>
        <w:t xml:space="preserve">the number of disputes </w:t>
      </w:r>
      <w:r w:rsidR="002606B0" w:rsidRPr="00EB1DA3">
        <w:rPr>
          <w:rFonts w:ascii="Arial" w:hAnsi="Arial" w:cs="Arial"/>
          <w:i w:val="0"/>
          <w:sz w:val="20"/>
          <w:lang w:val="en-US"/>
        </w:rPr>
        <w:t>decrease</w:t>
      </w:r>
      <w:r w:rsidR="00143DD3" w:rsidRPr="00EB1DA3">
        <w:rPr>
          <w:rFonts w:ascii="Arial" w:hAnsi="Arial" w:cs="Arial"/>
          <w:i w:val="0"/>
          <w:sz w:val="20"/>
          <w:lang w:val="en-US"/>
        </w:rPr>
        <w:t>d</w:t>
      </w:r>
      <w:r w:rsidR="002606B0" w:rsidRPr="00EB1DA3">
        <w:rPr>
          <w:rFonts w:ascii="Arial" w:hAnsi="Arial" w:cs="Arial"/>
          <w:i w:val="0"/>
          <w:sz w:val="20"/>
          <w:lang w:val="en-US"/>
        </w:rPr>
        <w:t xml:space="preserve"> from 32 per cent to 7 per cent, in line with international standards</w:t>
      </w:r>
      <w:r w:rsidR="00143DD3" w:rsidRPr="00EB1DA3">
        <w:rPr>
          <w:rFonts w:ascii="Arial" w:hAnsi="Arial" w:cs="Arial"/>
          <w:i w:val="0"/>
          <w:sz w:val="20"/>
          <w:lang w:val="en-US"/>
        </w:rPr>
        <w:t xml:space="preserve"> and that the delays are mainly caused by</w:t>
      </w:r>
      <w:r w:rsidR="002606B0" w:rsidRPr="00EB1DA3">
        <w:rPr>
          <w:rFonts w:ascii="Arial" w:hAnsi="Arial" w:cs="Arial"/>
          <w:i w:val="0"/>
          <w:sz w:val="20"/>
          <w:lang w:val="en-US"/>
        </w:rPr>
        <w:t xml:space="preserve"> lack of documentation. </w:t>
      </w:r>
      <w:r w:rsidR="00143DD3" w:rsidRPr="00EB1DA3">
        <w:rPr>
          <w:rFonts w:ascii="Arial" w:hAnsi="Arial" w:cs="Arial"/>
          <w:i w:val="0"/>
          <w:sz w:val="20"/>
          <w:lang w:val="en-US"/>
        </w:rPr>
        <w:t>The Committee recommends that the NT and SARS should</w:t>
      </w:r>
      <w:r w:rsidR="00A17617" w:rsidRPr="00EB1DA3">
        <w:rPr>
          <w:rFonts w:ascii="Arial" w:hAnsi="Arial" w:cs="Arial"/>
          <w:i w:val="0"/>
          <w:sz w:val="20"/>
          <w:lang w:val="en-US"/>
        </w:rPr>
        <w:t>, within three months,</w:t>
      </w:r>
      <w:r w:rsidR="00143DD3" w:rsidRPr="00EB1DA3">
        <w:rPr>
          <w:rFonts w:ascii="Arial" w:hAnsi="Arial" w:cs="Arial"/>
          <w:i w:val="0"/>
          <w:sz w:val="20"/>
          <w:lang w:val="en-US"/>
        </w:rPr>
        <w:t xml:space="preserve"> meet with </w:t>
      </w:r>
      <w:r w:rsidR="00A17617" w:rsidRPr="00EB1DA3">
        <w:rPr>
          <w:rFonts w:ascii="Arial" w:hAnsi="Arial" w:cs="Arial"/>
          <w:i w:val="0"/>
          <w:sz w:val="20"/>
          <w:lang w:val="en-US"/>
        </w:rPr>
        <w:t xml:space="preserve">the relevant stakeholders </w:t>
      </w:r>
      <w:r w:rsidR="00143DD3" w:rsidRPr="00EB1DA3">
        <w:rPr>
          <w:rFonts w:ascii="Arial" w:hAnsi="Arial" w:cs="Arial"/>
          <w:i w:val="0"/>
          <w:sz w:val="20"/>
          <w:lang w:val="en-US"/>
        </w:rPr>
        <w:t xml:space="preserve">to address the </w:t>
      </w:r>
      <w:r w:rsidR="00FB0981" w:rsidRPr="00EB1DA3">
        <w:rPr>
          <w:rFonts w:ascii="Arial" w:hAnsi="Arial" w:cs="Arial"/>
          <w:i w:val="0"/>
          <w:sz w:val="20"/>
          <w:lang w:val="en-US"/>
        </w:rPr>
        <w:t>tax</w:t>
      </w:r>
      <w:r w:rsidR="00A17617" w:rsidRPr="00EB1DA3">
        <w:rPr>
          <w:rFonts w:ascii="Arial" w:hAnsi="Arial" w:cs="Arial"/>
          <w:i w:val="0"/>
          <w:sz w:val="20"/>
          <w:lang w:val="en-US"/>
        </w:rPr>
        <w:t xml:space="preserve"> </w:t>
      </w:r>
      <w:r w:rsidR="00143DD3" w:rsidRPr="00EB1DA3">
        <w:rPr>
          <w:rFonts w:ascii="Arial" w:hAnsi="Arial" w:cs="Arial"/>
          <w:i w:val="0"/>
          <w:sz w:val="20"/>
          <w:lang w:val="en-US"/>
        </w:rPr>
        <w:t>issues raised, particularly the dispute and escalation issues</w:t>
      </w:r>
      <w:r w:rsidR="00A17617" w:rsidRPr="00EB1DA3">
        <w:rPr>
          <w:rFonts w:ascii="Arial" w:hAnsi="Arial" w:cs="Arial"/>
          <w:i w:val="0"/>
          <w:sz w:val="20"/>
          <w:lang w:val="en-US"/>
        </w:rPr>
        <w:t xml:space="preserve"> and report to the Committee on this.</w:t>
      </w:r>
    </w:p>
    <w:p w:rsidR="00E60BA3" w:rsidRPr="00EB1DA3" w:rsidRDefault="00E60BA3" w:rsidP="00EB1DA3">
      <w:pPr>
        <w:pStyle w:val="Heading4"/>
        <w:spacing w:before="0" w:line="240" w:lineRule="auto"/>
        <w:rPr>
          <w:rFonts w:ascii="Arial" w:hAnsi="Arial" w:cs="Arial"/>
          <w:i w:val="0"/>
          <w:sz w:val="20"/>
        </w:rPr>
      </w:pPr>
      <w:r w:rsidRPr="00EB1DA3">
        <w:rPr>
          <w:rFonts w:ascii="Arial" w:hAnsi="Arial" w:cs="Arial"/>
          <w:i w:val="0"/>
          <w:sz w:val="20"/>
        </w:rPr>
        <w:t xml:space="preserve">The Committee recommends that the Tax Ombud appears before it or </w:t>
      </w:r>
      <w:r w:rsidR="00234758" w:rsidRPr="00EB1DA3">
        <w:rPr>
          <w:rFonts w:ascii="Arial" w:hAnsi="Arial" w:cs="Arial"/>
          <w:i w:val="0"/>
          <w:sz w:val="20"/>
        </w:rPr>
        <w:t>a joint meeting of the Finance C</w:t>
      </w:r>
      <w:r w:rsidRPr="00EB1DA3">
        <w:rPr>
          <w:rFonts w:ascii="Arial" w:hAnsi="Arial" w:cs="Arial"/>
          <w:i w:val="0"/>
          <w:sz w:val="20"/>
        </w:rPr>
        <w:t xml:space="preserve">ommittees in the second quarter of this year to respond to the issues </w:t>
      </w:r>
      <w:r w:rsidR="000A016E" w:rsidRPr="00EB1DA3">
        <w:rPr>
          <w:rFonts w:ascii="Arial" w:hAnsi="Arial" w:cs="Arial"/>
          <w:i w:val="0"/>
          <w:sz w:val="20"/>
        </w:rPr>
        <w:t xml:space="preserve">raised by the stakeholders. </w:t>
      </w:r>
      <w:r w:rsidRPr="00EB1DA3">
        <w:rPr>
          <w:rFonts w:ascii="Arial" w:hAnsi="Arial" w:cs="Arial"/>
          <w:i w:val="0"/>
          <w:sz w:val="20"/>
        </w:rPr>
        <w:t>SARS and NT</w:t>
      </w:r>
      <w:r w:rsidR="000A016E" w:rsidRPr="00EB1DA3">
        <w:rPr>
          <w:rFonts w:ascii="Arial" w:hAnsi="Arial" w:cs="Arial"/>
          <w:i w:val="0"/>
          <w:sz w:val="20"/>
        </w:rPr>
        <w:t xml:space="preserve"> should</w:t>
      </w:r>
      <w:r w:rsidRPr="00EB1DA3">
        <w:rPr>
          <w:rFonts w:ascii="Arial" w:hAnsi="Arial" w:cs="Arial"/>
          <w:i w:val="0"/>
          <w:sz w:val="20"/>
        </w:rPr>
        <w:t xml:space="preserve"> also attend this meeting.</w:t>
      </w:r>
    </w:p>
    <w:p w:rsidR="00CA10E5" w:rsidRPr="00EB1DA3" w:rsidRDefault="00CA10E5" w:rsidP="00EB1DA3">
      <w:pPr>
        <w:pStyle w:val="Heading4"/>
        <w:spacing w:before="0" w:line="240" w:lineRule="auto"/>
        <w:rPr>
          <w:rFonts w:ascii="Arial" w:hAnsi="Arial" w:cs="Arial"/>
          <w:i w:val="0"/>
          <w:sz w:val="20"/>
        </w:rPr>
      </w:pPr>
      <w:r w:rsidRPr="00EB1DA3">
        <w:rPr>
          <w:rFonts w:ascii="Arial" w:hAnsi="Arial" w:cs="Arial"/>
          <w:i w:val="0"/>
          <w:sz w:val="20"/>
        </w:rPr>
        <w:t xml:space="preserve">The Committee observed </w:t>
      </w:r>
      <w:r w:rsidR="0060549B" w:rsidRPr="00EB1DA3">
        <w:rPr>
          <w:rFonts w:ascii="Arial" w:hAnsi="Arial" w:cs="Arial"/>
          <w:i w:val="0"/>
          <w:sz w:val="20"/>
        </w:rPr>
        <w:t xml:space="preserve">that </w:t>
      </w:r>
      <w:r w:rsidRPr="00EB1DA3">
        <w:rPr>
          <w:rFonts w:ascii="Arial" w:hAnsi="Arial" w:cs="Arial"/>
          <w:i w:val="0"/>
          <w:sz w:val="20"/>
        </w:rPr>
        <w:t>the stakeholders generally support the tax relief</w:t>
      </w:r>
      <w:r w:rsidR="0060549B" w:rsidRPr="00EB1DA3">
        <w:rPr>
          <w:rFonts w:ascii="Arial" w:hAnsi="Arial" w:cs="Arial"/>
          <w:i w:val="0"/>
          <w:sz w:val="20"/>
        </w:rPr>
        <w:t xml:space="preserve"> and no </w:t>
      </w:r>
      <w:r w:rsidRPr="00EB1DA3">
        <w:rPr>
          <w:rFonts w:ascii="Arial" w:hAnsi="Arial" w:cs="Arial"/>
          <w:i w:val="0"/>
          <w:sz w:val="20"/>
        </w:rPr>
        <w:t>increases in the fuel levy</w:t>
      </w:r>
      <w:r w:rsidR="0060549B" w:rsidRPr="00EB1DA3">
        <w:rPr>
          <w:rFonts w:ascii="Arial" w:hAnsi="Arial" w:cs="Arial"/>
          <w:i w:val="0"/>
          <w:sz w:val="20"/>
        </w:rPr>
        <w:t>.  T</w:t>
      </w:r>
      <w:r w:rsidRPr="00EB1DA3">
        <w:rPr>
          <w:rFonts w:ascii="Arial" w:hAnsi="Arial" w:cs="Arial"/>
          <w:i w:val="0"/>
          <w:sz w:val="20"/>
        </w:rPr>
        <w:t>he contrasting views on the proposals to reduce the CIT rate by one per cent and the need to provide SARS with sufficient funding to enable it to efficiently collect revenue</w:t>
      </w:r>
      <w:r w:rsidR="0060549B" w:rsidRPr="00EB1DA3">
        <w:rPr>
          <w:rFonts w:ascii="Arial" w:hAnsi="Arial" w:cs="Arial"/>
          <w:i w:val="0"/>
          <w:sz w:val="20"/>
        </w:rPr>
        <w:t xml:space="preserve"> are noted.  The Committee</w:t>
      </w:r>
      <w:r w:rsidRPr="00EB1DA3">
        <w:rPr>
          <w:rFonts w:ascii="Arial" w:hAnsi="Arial" w:cs="Arial"/>
          <w:i w:val="0"/>
          <w:sz w:val="20"/>
        </w:rPr>
        <w:t xml:space="preserve"> further </w:t>
      </w:r>
      <w:r w:rsidR="0060549B" w:rsidRPr="00EB1DA3">
        <w:rPr>
          <w:rFonts w:ascii="Arial" w:hAnsi="Arial" w:cs="Arial"/>
          <w:i w:val="0"/>
          <w:sz w:val="20"/>
        </w:rPr>
        <w:t>observed</w:t>
      </w:r>
      <w:r w:rsidRPr="00EB1DA3">
        <w:rPr>
          <w:rFonts w:ascii="Arial" w:hAnsi="Arial" w:cs="Arial"/>
          <w:i w:val="0"/>
          <w:sz w:val="20"/>
        </w:rPr>
        <w:t xml:space="preserve"> </w:t>
      </w:r>
      <w:r w:rsidR="00A33C6D" w:rsidRPr="00EB1DA3">
        <w:rPr>
          <w:rFonts w:ascii="Arial" w:hAnsi="Arial" w:cs="Arial"/>
          <w:i w:val="0"/>
          <w:sz w:val="20"/>
        </w:rPr>
        <w:t>several</w:t>
      </w:r>
      <w:r w:rsidRPr="00EB1DA3">
        <w:rPr>
          <w:rFonts w:ascii="Arial" w:hAnsi="Arial" w:cs="Arial"/>
          <w:i w:val="0"/>
          <w:sz w:val="20"/>
        </w:rPr>
        <w:t xml:space="preserve"> tax proposals</w:t>
      </w:r>
      <w:r w:rsidR="0060549B" w:rsidRPr="00EB1DA3">
        <w:rPr>
          <w:rFonts w:ascii="Arial" w:hAnsi="Arial" w:cs="Arial"/>
          <w:i w:val="0"/>
          <w:sz w:val="20"/>
        </w:rPr>
        <w:t xml:space="preserve"> made</w:t>
      </w:r>
      <w:r w:rsidRPr="00EB1DA3">
        <w:rPr>
          <w:rFonts w:ascii="Arial" w:hAnsi="Arial" w:cs="Arial"/>
          <w:i w:val="0"/>
          <w:sz w:val="20"/>
        </w:rPr>
        <w:t>,</w:t>
      </w:r>
      <w:r w:rsidR="0060549B" w:rsidRPr="00EB1DA3">
        <w:rPr>
          <w:rFonts w:ascii="Arial" w:hAnsi="Arial" w:cs="Arial"/>
          <w:i w:val="0"/>
          <w:sz w:val="20"/>
        </w:rPr>
        <w:t xml:space="preserve"> which include a wealth tax, </w:t>
      </w:r>
      <w:r w:rsidR="0060549B" w:rsidRPr="00EB1DA3">
        <w:rPr>
          <w:rFonts w:ascii="Arial" w:hAnsi="Arial" w:cs="Arial"/>
          <w:i w:val="0"/>
          <w:sz w:val="20"/>
        </w:rPr>
        <w:lastRenderedPageBreak/>
        <w:t>sugar tax and VAT on luxury goods.</w:t>
      </w:r>
      <w:r w:rsidRPr="00EB1DA3">
        <w:rPr>
          <w:rFonts w:ascii="Arial" w:hAnsi="Arial" w:cs="Arial"/>
          <w:i w:val="0"/>
          <w:sz w:val="20"/>
        </w:rPr>
        <w:t xml:space="preserve"> While there was a reasonably compreh</w:t>
      </w:r>
      <w:r w:rsidR="0060549B" w:rsidRPr="00EB1DA3">
        <w:rPr>
          <w:rFonts w:ascii="Arial" w:hAnsi="Arial" w:cs="Arial"/>
          <w:i w:val="0"/>
          <w:sz w:val="20"/>
        </w:rPr>
        <w:t>ensive reply to these issues, the Committee</w:t>
      </w:r>
      <w:r w:rsidRPr="00EB1DA3">
        <w:rPr>
          <w:rFonts w:ascii="Arial" w:hAnsi="Arial" w:cs="Arial"/>
          <w:i w:val="0"/>
          <w:sz w:val="20"/>
        </w:rPr>
        <w:t xml:space="preserve"> recommend</w:t>
      </w:r>
      <w:r w:rsidR="0060549B" w:rsidRPr="00EB1DA3">
        <w:rPr>
          <w:rFonts w:ascii="Arial" w:hAnsi="Arial" w:cs="Arial"/>
          <w:i w:val="0"/>
          <w:sz w:val="20"/>
        </w:rPr>
        <w:t>s</w:t>
      </w:r>
      <w:r w:rsidRPr="00EB1DA3">
        <w:rPr>
          <w:rFonts w:ascii="Arial" w:hAnsi="Arial" w:cs="Arial"/>
          <w:i w:val="0"/>
          <w:sz w:val="20"/>
        </w:rPr>
        <w:t xml:space="preserve"> that NT and SARS should engage the relevant civil society stakeholders to find practical solutions to the issues raised in the public hearings. </w:t>
      </w:r>
    </w:p>
    <w:p w:rsidR="00245040" w:rsidRPr="00EB1DA3" w:rsidRDefault="007A6FED" w:rsidP="00EB1DA3">
      <w:pPr>
        <w:pStyle w:val="Heading3"/>
        <w:spacing w:before="0" w:line="240" w:lineRule="auto"/>
        <w:rPr>
          <w:rFonts w:ascii="Arial" w:hAnsi="Arial" w:cs="Arial"/>
          <w:sz w:val="20"/>
          <w:u w:val="none"/>
          <w:lang w:val="en-ZA" w:eastAsia="en-GB"/>
        </w:rPr>
      </w:pPr>
      <w:r w:rsidRPr="00EB1DA3">
        <w:rPr>
          <w:rFonts w:ascii="Arial" w:hAnsi="Arial" w:cs="Arial"/>
          <w:sz w:val="20"/>
          <w:u w:val="none"/>
          <w:lang w:val="en-ZA" w:eastAsia="en-GB"/>
        </w:rPr>
        <w:t>Expenditure</w:t>
      </w:r>
      <w:r w:rsidR="00B011C5" w:rsidRPr="00EB1DA3">
        <w:rPr>
          <w:rFonts w:ascii="Arial" w:hAnsi="Arial" w:cs="Arial"/>
          <w:sz w:val="20"/>
          <w:u w:val="none"/>
          <w:lang w:val="en-ZA" w:eastAsia="en-GB"/>
        </w:rPr>
        <w:t xml:space="preserve"> </w:t>
      </w:r>
      <w:r w:rsidR="00245040" w:rsidRPr="00EB1DA3">
        <w:rPr>
          <w:rFonts w:ascii="Arial" w:hAnsi="Arial" w:cs="Arial"/>
          <w:sz w:val="20"/>
          <w:u w:val="none"/>
          <w:lang w:val="en-ZA" w:eastAsia="en-GB"/>
        </w:rPr>
        <w:t xml:space="preserve">issues </w:t>
      </w:r>
    </w:p>
    <w:p w:rsidR="00EF79B3" w:rsidRPr="00EB1DA3" w:rsidRDefault="00AC0C8C" w:rsidP="00EB1DA3">
      <w:pPr>
        <w:pStyle w:val="Heading4"/>
        <w:spacing w:before="0" w:line="240" w:lineRule="auto"/>
        <w:rPr>
          <w:rFonts w:ascii="Arial" w:hAnsi="Arial" w:cs="Arial"/>
          <w:i w:val="0"/>
          <w:sz w:val="20"/>
        </w:rPr>
      </w:pPr>
      <w:r w:rsidRPr="00EB1DA3">
        <w:rPr>
          <w:rFonts w:ascii="Arial" w:hAnsi="Arial" w:cs="Arial"/>
          <w:i w:val="0"/>
          <w:sz w:val="20"/>
          <w:lang w:val="en-US"/>
        </w:rPr>
        <w:t>The Committee</w:t>
      </w:r>
      <w:r w:rsidR="00E05485" w:rsidRPr="00EB1DA3">
        <w:rPr>
          <w:rFonts w:ascii="Arial" w:hAnsi="Arial" w:cs="Arial"/>
          <w:i w:val="0"/>
          <w:sz w:val="20"/>
          <w:lang w:val="en-US"/>
        </w:rPr>
        <w:t xml:space="preserve"> note</w:t>
      </w:r>
      <w:r w:rsidR="00E12DB8" w:rsidRPr="00EB1DA3">
        <w:rPr>
          <w:rFonts w:ascii="Arial" w:hAnsi="Arial" w:cs="Arial"/>
          <w:i w:val="0"/>
          <w:sz w:val="20"/>
          <w:lang w:val="en-US"/>
        </w:rPr>
        <w:t>s</w:t>
      </w:r>
      <w:r w:rsidR="00607645" w:rsidRPr="00EB1DA3">
        <w:rPr>
          <w:rFonts w:ascii="Arial" w:hAnsi="Arial" w:cs="Arial"/>
          <w:i w:val="0"/>
          <w:sz w:val="20"/>
          <w:lang w:val="en-US"/>
        </w:rPr>
        <w:t xml:space="preserve"> that </w:t>
      </w:r>
      <w:r w:rsidR="00E05485" w:rsidRPr="00EB1DA3">
        <w:rPr>
          <w:rFonts w:ascii="Arial" w:hAnsi="Arial" w:cs="Arial"/>
          <w:i w:val="0"/>
          <w:sz w:val="20"/>
        </w:rPr>
        <w:t xml:space="preserve">consolidated expenditure </w:t>
      </w:r>
      <w:r w:rsidR="00EF79B3" w:rsidRPr="00EB1DA3">
        <w:rPr>
          <w:rFonts w:ascii="Arial" w:hAnsi="Arial" w:cs="Arial"/>
          <w:i w:val="0"/>
          <w:sz w:val="20"/>
        </w:rPr>
        <w:t xml:space="preserve">as a percentage of GDP is expected to </w:t>
      </w:r>
      <w:r w:rsidR="001E7801" w:rsidRPr="00EB1DA3">
        <w:rPr>
          <w:rFonts w:ascii="Arial" w:hAnsi="Arial" w:cs="Arial"/>
          <w:i w:val="0"/>
          <w:sz w:val="20"/>
        </w:rPr>
        <w:t>reach</w:t>
      </w:r>
      <w:r w:rsidR="00607645" w:rsidRPr="00EB1DA3">
        <w:rPr>
          <w:rFonts w:ascii="Arial" w:hAnsi="Arial" w:cs="Arial"/>
          <w:i w:val="0"/>
          <w:sz w:val="20"/>
        </w:rPr>
        <w:t xml:space="preserve"> R2.28 trillion in 2024/25</w:t>
      </w:r>
      <w:r w:rsidR="001E7801" w:rsidRPr="00EB1DA3">
        <w:rPr>
          <w:rFonts w:ascii="Arial" w:hAnsi="Arial" w:cs="Arial"/>
          <w:i w:val="0"/>
          <w:sz w:val="20"/>
        </w:rPr>
        <w:t xml:space="preserve">, amounting to </w:t>
      </w:r>
      <w:r w:rsidR="00EF79B3" w:rsidRPr="00EB1DA3">
        <w:rPr>
          <w:rFonts w:ascii="Arial" w:hAnsi="Arial" w:cs="Arial"/>
          <w:i w:val="0"/>
          <w:sz w:val="20"/>
        </w:rPr>
        <w:t>R6.62 trillion over the next three years and</w:t>
      </w:r>
      <w:r w:rsidR="00607645" w:rsidRPr="00EB1DA3">
        <w:rPr>
          <w:rFonts w:ascii="Arial" w:hAnsi="Arial" w:cs="Arial"/>
          <w:i w:val="0"/>
          <w:sz w:val="20"/>
        </w:rPr>
        <w:t xml:space="preserve"> that</w:t>
      </w:r>
      <w:r w:rsidR="00EF79B3" w:rsidRPr="00EB1DA3">
        <w:rPr>
          <w:rFonts w:ascii="Arial" w:hAnsi="Arial" w:cs="Arial"/>
          <w:i w:val="0"/>
          <w:sz w:val="20"/>
        </w:rPr>
        <w:t xml:space="preserve"> the social wage will take up 59.4 per cent of total non-interest spending over this period. </w:t>
      </w:r>
    </w:p>
    <w:p w:rsidR="00665A51" w:rsidRPr="00EB1DA3" w:rsidRDefault="00245040" w:rsidP="00EB1DA3">
      <w:pPr>
        <w:pStyle w:val="Heading4"/>
        <w:spacing w:before="0" w:line="240" w:lineRule="auto"/>
        <w:rPr>
          <w:rFonts w:ascii="Arial" w:hAnsi="Arial" w:cs="Arial"/>
          <w:i w:val="0"/>
          <w:sz w:val="20"/>
        </w:rPr>
      </w:pPr>
      <w:r w:rsidRPr="00EB1DA3">
        <w:rPr>
          <w:rFonts w:ascii="Arial" w:hAnsi="Arial" w:cs="Arial"/>
          <w:i w:val="0"/>
          <w:sz w:val="20"/>
          <w:lang w:val="en-US"/>
        </w:rPr>
        <w:t xml:space="preserve">While the wage bill has an impact on the fiscal framework, this matter is better placed with the Appropriations Committees for further consideration. </w:t>
      </w:r>
      <w:r w:rsidR="003F04A0" w:rsidRPr="00EB1DA3">
        <w:rPr>
          <w:rFonts w:ascii="Arial" w:hAnsi="Arial" w:cs="Arial"/>
          <w:i w:val="0"/>
          <w:sz w:val="20"/>
        </w:rPr>
        <w:t xml:space="preserve"> </w:t>
      </w:r>
      <w:r w:rsidR="00095AD3" w:rsidRPr="00EB1DA3">
        <w:rPr>
          <w:rFonts w:ascii="Arial" w:hAnsi="Arial" w:cs="Arial"/>
          <w:i w:val="0"/>
          <w:sz w:val="20"/>
        </w:rPr>
        <w:t xml:space="preserve">The Committee recommends that the </w:t>
      </w:r>
      <w:r w:rsidR="00095AD3" w:rsidRPr="00EB1DA3">
        <w:rPr>
          <w:rFonts w:ascii="Arial" w:hAnsi="Arial" w:cs="Arial"/>
          <w:i w:val="0"/>
          <w:sz w:val="20"/>
          <w:lang w:val="en-US"/>
        </w:rPr>
        <w:t xml:space="preserve">government should continue to negotiate with the trade unions to seek compromises on the wage bill and develop a specific short to medium-term plan to address </w:t>
      </w:r>
      <w:r w:rsidR="00A970AB" w:rsidRPr="00EB1DA3">
        <w:rPr>
          <w:rFonts w:ascii="Arial" w:hAnsi="Arial" w:cs="Arial"/>
          <w:i w:val="0"/>
          <w:sz w:val="20"/>
          <w:lang w:val="en-US"/>
        </w:rPr>
        <w:t xml:space="preserve">this. </w:t>
      </w:r>
    </w:p>
    <w:p w:rsidR="00176436" w:rsidRPr="00EB1DA3" w:rsidRDefault="00176436" w:rsidP="00EB1DA3">
      <w:pPr>
        <w:pStyle w:val="Heading4"/>
        <w:spacing w:before="0" w:line="240" w:lineRule="auto"/>
        <w:rPr>
          <w:rFonts w:ascii="Arial" w:hAnsi="Arial" w:cs="Arial"/>
          <w:i w:val="0"/>
          <w:sz w:val="20"/>
          <w:lang w:val="en-US"/>
        </w:rPr>
      </w:pPr>
      <w:r w:rsidRPr="00EB1DA3">
        <w:rPr>
          <w:rFonts w:ascii="Arial" w:hAnsi="Arial" w:cs="Arial"/>
          <w:i w:val="0"/>
          <w:sz w:val="20"/>
          <w:lang w:val="en-US"/>
        </w:rPr>
        <w:t>T</w:t>
      </w:r>
      <w:r w:rsidRPr="00EB1DA3">
        <w:rPr>
          <w:rFonts w:ascii="Arial" w:hAnsi="Arial" w:cs="Arial"/>
          <w:i w:val="0"/>
          <w:sz w:val="20"/>
        </w:rPr>
        <w:t xml:space="preserve">he Committee notes the submissions made by the stakeholders regarding increasing </w:t>
      </w:r>
      <w:r w:rsidRPr="00EB1DA3">
        <w:rPr>
          <w:rFonts w:ascii="Arial" w:hAnsi="Arial" w:cs="Arial"/>
          <w:i w:val="0"/>
          <w:sz w:val="20"/>
          <w:lang w:val="en-US"/>
        </w:rPr>
        <w:t>social grants. While the Committee recognises the severe budgetary constraints, we reiterate our previous position that the NT and the government should seriously consider a Basic Income Grant after the necessary consultation with the relevant stakeholders.  We refer this matter to the Appropriations Committee to give further attention.</w:t>
      </w:r>
    </w:p>
    <w:p w:rsidR="008C62AC" w:rsidRPr="00EB1DA3" w:rsidRDefault="008C62AC" w:rsidP="00EB1DA3">
      <w:pPr>
        <w:pStyle w:val="Heading4"/>
        <w:spacing w:before="0" w:line="240" w:lineRule="auto"/>
        <w:rPr>
          <w:rFonts w:ascii="Arial" w:hAnsi="Arial" w:cs="Arial"/>
          <w:bCs/>
          <w:i w:val="0"/>
          <w:sz w:val="20"/>
          <w:lang w:val="en-US"/>
        </w:rPr>
      </w:pPr>
      <w:r w:rsidRPr="00EB1DA3">
        <w:rPr>
          <w:rFonts w:ascii="Arial" w:hAnsi="Arial" w:cs="Arial"/>
          <w:i w:val="0"/>
          <w:sz w:val="20"/>
          <w:lang w:val="en-US"/>
        </w:rPr>
        <w:t>The Committee reiterates its position that the Presidency needs to encourage members of the executive to buy cars that are assembled in South Africa. The Committee will pursue this matter further with the Minister of Finance</w:t>
      </w:r>
      <w:r w:rsidR="00D613B0" w:rsidRPr="00EB1DA3">
        <w:rPr>
          <w:rFonts w:ascii="Arial" w:hAnsi="Arial" w:cs="Arial"/>
          <w:i w:val="0"/>
          <w:sz w:val="20"/>
          <w:lang w:val="en-US"/>
        </w:rPr>
        <w:t>,</w:t>
      </w:r>
      <w:r w:rsidRPr="00EB1DA3">
        <w:rPr>
          <w:rFonts w:ascii="Arial" w:hAnsi="Arial" w:cs="Arial"/>
          <w:i w:val="0"/>
          <w:sz w:val="20"/>
          <w:lang w:val="en-US"/>
        </w:rPr>
        <w:t xml:space="preserve"> </w:t>
      </w:r>
      <w:r w:rsidR="00D613B0" w:rsidRPr="00EB1DA3">
        <w:rPr>
          <w:rFonts w:ascii="Arial" w:hAnsi="Arial" w:cs="Arial"/>
          <w:i w:val="0"/>
          <w:sz w:val="20"/>
          <w:lang w:val="en-US"/>
        </w:rPr>
        <w:t xml:space="preserve">Minister of Trade, Industry and Competition </w:t>
      </w:r>
      <w:r w:rsidRPr="00EB1DA3">
        <w:rPr>
          <w:rFonts w:ascii="Arial" w:hAnsi="Arial" w:cs="Arial"/>
          <w:i w:val="0"/>
          <w:sz w:val="20"/>
          <w:lang w:val="en-US"/>
        </w:rPr>
        <w:t xml:space="preserve">and the Presidency. The committee recognizes that not all models of a particular brand of the cars assembled in South Africa are assembled here and that there are other related challenges. However, without being prescriptive, the executive should be encouraged to, as far as possible, buy cars assembled in the country. Public representatives generally and others who serve in the public service should also be encouraged to do this. </w:t>
      </w:r>
      <w:r w:rsidR="00D613B0" w:rsidRPr="00EB1DA3">
        <w:rPr>
          <w:rFonts w:ascii="Arial" w:hAnsi="Arial" w:cs="Arial"/>
          <w:i w:val="0"/>
          <w:sz w:val="20"/>
          <w:lang w:val="en-US"/>
        </w:rPr>
        <w:t xml:space="preserve">This should also be encouraged where there are fleet cars bought in the public sector. </w:t>
      </w:r>
      <w:r w:rsidRPr="00EB1DA3">
        <w:rPr>
          <w:rFonts w:ascii="Arial" w:hAnsi="Arial" w:cs="Arial"/>
          <w:i w:val="0"/>
          <w:sz w:val="20"/>
          <w:lang w:val="en-US"/>
        </w:rPr>
        <w:t>The Committee will raise this with the Portfolio Committee on Trade, Industry and competition to also take this matter forward as part of the “buy local” campaign.</w:t>
      </w:r>
    </w:p>
    <w:p w:rsidR="00245040" w:rsidRPr="00EB1DA3" w:rsidRDefault="00245040" w:rsidP="00EB1DA3">
      <w:pPr>
        <w:pStyle w:val="Heading3"/>
        <w:spacing w:before="0" w:line="240" w:lineRule="auto"/>
        <w:rPr>
          <w:rFonts w:ascii="Arial" w:hAnsi="Arial" w:cs="Arial"/>
          <w:sz w:val="20"/>
          <w:u w:val="none"/>
          <w:lang w:val="en-US"/>
        </w:rPr>
      </w:pPr>
      <w:r w:rsidRPr="00EB1DA3">
        <w:rPr>
          <w:rFonts w:ascii="Arial" w:hAnsi="Arial" w:cs="Arial"/>
          <w:sz w:val="20"/>
          <w:u w:val="none"/>
          <w:lang w:val="en-US"/>
        </w:rPr>
        <w:t xml:space="preserve">Debt, deficit and borrowing issues </w:t>
      </w:r>
    </w:p>
    <w:p w:rsidR="00245040" w:rsidRPr="00EB1DA3" w:rsidRDefault="00245040" w:rsidP="00EB1DA3">
      <w:pPr>
        <w:pStyle w:val="Heading4"/>
        <w:spacing w:before="0" w:line="240" w:lineRule="auto"/>
        <w:rPr>
          <w:rFonts w:ascii="Arial" w:hAnsi="Arial" w:cs="Arial"/>
          <w:i w:val="0"/>
          <w:sz w:val="20"/>
        </w:rPr>
      </w:pPr>
      <w:r w:rsidRPr="00EB1DA3">
        <w:rPr>
          <w:rFonts w:ascii="Arial" w:hAnsi="Arial" w:cs="Arial"/>
          <w:i w:val="0"/>
          <w:sz w:val="20"/>
        </w:rPr>
        <w:t>The Committee observed that gross loan debt is now expected to stabilise at R5.43 trillion or 75.1 per cent of GDP in 2024/25, a year earlier than projected in the 2021 Budget. The de</w:t>
      </w:r>
      <w:r w:rsidR="000721E8" w:rsidRPr="00EB1DA3">
        <w:rPr>
          <w:rFonts w:ascii="Arial" w:hAnsi="Arial" w:cs="Arial"/>
          <w:i w:val="0"/>
          <w:sz w:val="20"/>
        </w:rPr>
        <w:t xml:space="preserve">bt level as a percentage of GDP, nonetheless, </w:t>
      </w:r>
      <w:r w:rsidRPr="00EB1DA3">
        <w:rPr>
          <w:rFonts w:ascii="Arial" w:hAnsi="Arial" w:cs="Arial"/>
          <w:i w:val="0"/>
          <w:sz w:val="20"/>
        </w:rPr>
        <w:t>remains high and the country might face a debt trap</w:t>
      </w:r>
      <w:r w:rsidR="000721E8" w:rsidRPr="00EB1DA3">
        <w:rPr>
          <w:rFonts w:ascii="Arial" w:hAnsi="Arial" w:cs="Arial"/>
          <w:i w:val="0"/>
          <w:sz w:val="20"/>
        </w:rPr>
        <w:t xml:space="preserve"> </w:t>
      </w:r>
      <w:r w:rsidR="00A33C6D" w:rsidRPr="00EB1DA3">
        <w:rPr>
          <w:rFonts w:ascii="Arial" w:hAnsi="Arial" w:cs="Arial"/>
          <w:i w:val="0"/>
          <w:sz w:val="20"/>
        </w:rPr>
        <w:t>shortly</w:t>
      </w:r>
      <w:r w:rsidRPr="00EB1DA3">
        <w:rPr>
          <w:rFonts w:ascii="Arial" w:hAnsi="Arial" w:cs="Arial"/>
          <w:i w:val="0"/>
          <w:sz w:val="20"/>
        </w:rPr>
        <w:t xml:space="preserve">. The Committee recommends that </w:t>
      </w:r>
      <w:r w:rsidR="009A43C5" w:rsidRPr="00EB1DA3">
        <w:rPr>
          <w:rFonts w:ascii="Arial" w:hAnsi="Arial" w:cs="Arial"/>
          <w:i w:val="0"/>
          <w:sz w:val="20"/>
        </w:rPr>
        <w:t>NT</w:t>
      </w:r>
      <w:r w:rsidRPr="00EB1DA3">
        <w:rPr>
          <w:rFonts w:ascii="Arial" w:hAnsi="Arial" w:cs="Arial"/>
          <w:i w:val="0"/>
          <w:sz w:val="20"/>
        </w:rPr>
        <w:t xml:space="preserve"> reports quarterly on the effectiveness of NT’s debt management strategies that would ensure that the level of debt stabilises over the medium term as expected and that extra-budgetary costs do not increase the debt level further.</w:t>
      </w:r>
    </w:p>
    <w:p w:rsidR="00085D9A" w:rsidRPr="00EB1DA3" w:rsidRDefault="00184B97" w:rsidP="00EB1DA3">
      <w:pPr>
        <w:pStyle w:val="Heading4"/>
        <w:spacing w:before="0" w:line="240" w:lineRule="auto"/>
        <w:rPr>
          <w:rFonts w:ascii="Arial" w:hAnsi="Arial" w:cs="Arial"/>
          <w:i w:val="0"/>
          <w:sz w:val="20"/>
        </w:rPr>
      </w:pPr>
      <w:r w:rsidRPr="00EB1DA3">
        <w:rPr>
          <w:rFonts w:ascii="Arial" w:hAnsi="Arial" w:cs="Arial"/>
          <w:i w:val="0"/>
          <w:sz w:val="20"/>
        </w:rPr>
        <w:t>The Committee</w:t>
      </w:r>
      <w:r w:rsidR="000721E8" w:rsidRPr="00EB1DA3">
        <w:rPr>
          <w:rFonts w:ascii="Arial" w:hAnsi="Arial" w:cs="Arial"/>
          <w:i w:val="0"/>
          <w:sz w:val="20"/>
        </w:rPr>
        <w:t xml:space="preserve"> further</w:t>
      </w:r>
      <w:r w:rsidRPr="00EB1DA3">
        <w:rPr>
          <w:rFonts w:ascii="Arial" w:hAnsi="Arial" w:cs="Arial"/>
          <w:i w:val="0"/>
          <w:sz w:val="20"/>
        </w:rPr>
        <w:t xml:space="preserve"> observed from the FFC submission that if all the government’s contingent liabilities materialises, the debt to GDP ratio will increase to 100 per cent by 2026. The Committee is concerned that contingent liabilities are projected to increase from R1.15 trillion in 2021/22 to R1.23 trillion in 2024/25 and that NT reported that in 2020/21 SOEs made limited progress in their reforms and most of these companies deferred their capital investment projects to preserve cash to meet short</w:t>
      </w:r>
      <w:r w:rsidRPr="00EB1DA3">
        <w:rPr>
          <w:rFonts w:cs="Arial"/>
          <w:i w:val="0"/>
          <w:sz w:val="20"/>
        </w:rPr>
        <w:t>‐</w:t>
      </w:r>
      <w:r w:rsidRPr="00EB1DA3">
        <w:rPr>
          <w:rFonts w:ascii="Arial" w:hAnsi="Arial" w:cs="Arial"/>
          <w:i w:val="0"/>
          <w:sz w:val="20"/>
        </w:rPr>
        <w:t>term obligations.</w:t>
      </w:r>
      <w:r w:rsidR="007C03CA" w:rsidRPr="00EB1DA3">
        <w:rPr>
          <w:rFonts w:ascii="Arial" w:hAnsi="Arial" w:cs="Arial"/>
          <w:i w:val="0"/>
          <w:sz w:val="20"/>
        </w:rPr>
        <w:t xml:space="preserve"> The</w:t>
      </w:r>
      <w:r w:rsidR="009E61A9" w:rsidRPr="00EB1DA3">
        <w:rPr>
          <w:rFonts w:ascii="Arial" w:hAnsi="Arial" w:cs="Arial"/>
          <w:i w:val="0"/>
          <w:sz w:val="20"/>
        </w:rPr>
        <w:t xml:space="preserve"> </w:t>
      </w:r>
      <w:r w:rsidR="007C03CA" w:rsidRPr="00EB1DA3">
        <w:rPr>
          <w:rFonts w:ascii="Arial" w:hAnsi="Arial" w:cs="Arial"/>
          <w:i w:val="0"/>
          <w:sz w:val="20"/>
        </w:rPr>
        <w:t>Committee recommends that NT</w:t>
      </w:r>
      <w:r w:rsidR="009E61A9" w:rsidRPr="00EB1DA3">
        <w:rPr>
          <w:rFonts w:ascii="Arial" w:hAnsi="Arial" w:cs="Arial"/>
          <w:i w:val="0"/>
          <w:sz w:val="20"/>
        </w:rPr>
        <w:t xml:space="preserve"> should be extra-cautious in funding </w:t>
      </w:r>
      <w:r w:rsidR="000721E8" w:rsidRPr="00EB1DA3">
        <w:rPr>
          <w:rFonts w:ascii="Arial" w:hAnsi="Arial" w:cs="Arial"/>
          <w:i w:val="0"/>
          <w:sz w:val="20"/>
        </w:rPr>
        <w:t xml:space="preserve">the SOEs and </w:t>
      </w:r>
      <w:r w:rsidR="009E61A9" w:rsidRPr="00EB1DA3">
        <w:rPr>
          <w:rFonts w:ascii="Arial" w:hAnsi="Arial" w:cs="Arial"/>
          <w:i w:val="0"/>
          <w:sz w:val="20"/>
        </w:rPr>
        <w:t>recurring debt</w:t>
      </w:r>
      <w:r w:rsidR="000721E8" w:rsidRPr="00EB1DA3">
        <w:rPr>
          <w:rFonts w:ascii="Arial" w:hAnsi="Arial" w:cs="Arial"/>
          <w:i w:val="0"/>
          <w:sz w:val="20"/>
        </w:rPr>
        <w:t xml:space="preserve"> in general, </w:t>
      </w:r>
      <w:r w:rsidR="00085D9A" w:rsidRPr="00EB1DA3">
        <w:rPr>
          <w:rFonts w:ascii="Arial" w:hAnsi="Arial" w:cs="Arial"/>
          <w:i w:val="0"/>
          <w:sz w:val="20"/>
        </w:rPr>
        <w:t>in light of the immedi</w:t>
      </w:r>
      <w:r w:rsidR="000721E8" w:rsidRPr="00EB1DA3">
        <w:rPr>
          <w:rFonts w:ascii="Arial" w:hAnsi="Arial" w:cs="Arial"/>
          <w:i w:val="0"/>
          <w:sz w:val="20"/>
        </w:rPr>
        <w:t>ate risk they pose to the fiscal framework</w:t>
      </w:r>
      <w:r w:rsidR="001A48FC" w:rsidRPr="00EB1DA3">
        <w:rPr>
          <w:rFonts w:ascii="Arial" w:hAnsi="Arial" w:cs="Arial"/>
          <w:i w:val="0"/>
          <w:sz w:val="20"/>
        </w:rPr>
        <w:t>.</w:t>
      </w:r>
    </w:p>
    <w:p w:rsidR="001A48FC" w:rsidRPr="00EB1DA3" w:rsidRDefault="00ED4385" w:rsidP="00EB1DA3">
      <w:pPr>
        <w:pStyle w:val="Heading4"/>
        <w:spacing w:before="0" w:line="240" w:lineRule="auto"/>
        <w:rPr>
          <w:rFonts w:ascii="Arial" w:hAnsi="Arial" w:cs="Arial"/>
          <w:i w:val="0"/>
          <w:sz w:val="20"/>
          <w:lang w:val="en-US"/>
        </w:rPr>
      </w:pPr>
      <w:r w:rsidRPr="00EB1DA3">
        <w:rPr>
          <w:rFonts w:ascii="Arial" w:hAnsi="Arial" w:cs="Arial"/>
          <w:i w:val="0"/>
          <w:sz w:val="20"/>
        </w:rPr>
        <w:t>The Committee notes that debt service costs will rise to R363.5 billion (5 per cent of GDP) in 2024/25, now accounting for 15.1 per cent of total spending and growing faster than all functions, including learning and culture and health.</w:t>
      </w:r>
      <w:r w:rsidR="00AB1516" w:rsidRPr="00EB1DA3">
        <w:rPr>
          <w:rFonts w:ascii="Arial" w:hAnsi="Arial" w:cs="Arial"/>
          <w:i w:val="0"/>
          <w:sz w:val="20"/>
        </w:rPr>
        <w:t xml:space="preserve"> Rapidly increasing debt service costs </w:t>
      </w:r>
      <w:r w:rsidR="00355373" w:rsidRPr="00EB1DA3">
        <w:rPr>
          <w:rFonts w:ascii="Arial" w:hAnsi="Arial" w:cs="Arial"/>
          <w:i w:val="0"/>
          <w:sz w:val="20"/>
        </w:rPr>
        <w:t>remain</w:t>
      </w:r>
      <w:r w:rsidR="00AB1516" w:rsidRPr="00EB1DA3">
        <w:rPr>
          <w:rFonts w:ascii="Arial" w:hAnsi="Arial" w:cs="Arial"/>
          <w:i w:val="0"/>
          <w:sz w:val="20"/>
        </w:rPr>
        <w:t xml:space="preserve"> a concern </w:t>
      </w:r>
      <w:r w:rsidR="00E97879" w:rsidRPr="00EB1DA3">
        <w:rPr>
          <w:rFonts w:ascii="Arial" w:hAnsi="Arial" w:cs="Arial"/>
          <w:i w:val="0"/>
          <w:sz w:val="20"/>
        </w:rPr>
        <w:t xml:space="preserve">as it </w:t>
      </w:r>
      <w:r w:rsidR="00AB1516" w:rsidRPr="00EB1DA3">
        <w:rPr>
          <w:rFonts w:ascii="Arial" w:hAnsi="Arial" w:cs="Arial"/>
          <w:i w:val="0"/>
          <w:sz w:val="20"/>
        </w:rPr>
        <w:t>crowd</w:t>
      </w:r>
      <w:r w:rsidR="00E97879" w:rsidRPr="00EB1DA3">
        <w:rPr>
          <w:rFonts w:ascii="Arial" w:hAnsi="Arial" w:cs="Arial"/>
          <w:i w:val="0"/>
          <w:sz w:val="20"/>
        </w:rPr>
        <w:t>s</w:t>
      </w:r>
      <w:r w:rsidR="00620470" w:rsidRPr="00EB1DA3">
        <w:rPr>
          <w:rFonts w:ascii="Arial" w:hAnsi="Arial" w:cs="Arial"/>
          <w:i w:val="0"/>
          <w:sz w:val="20"/>
        </w:rPr>
        <w:t xml:space="preserve"> out </w:t>
      </w:r>
      <w:r w:rsidR="006D3E56" w:rsidRPr="00EB1DA3">
        <w:rPr>
          <w:rFonts w:ascii="Arial" w:hAnsi="Arial" w:cs="Arial"/>
          <w:i w:val="0"/>
          <w:sz w:val="20"/>
        </w:rPr>
        <w:t xml:space="preserve">social expenditure and </w:t>
      </w:r>
      <w:r w:rsidR="00620470" w:rsidRPr="00EB1DA3">
        <w:rPr>
          <w:rFonts w:ascii="Arial" w:hAnsi="Arial" w:cs="Arial"/>
          <w:i w:val="0"/>
          <w:sz w:val="20"/>
        </w:rPr>
        <w:t xml:space="preserve">service delivery. </w:t>
      </w:r>
    </w:p>
    <w:p w:rsidR="00245040" w:rsidRPr="00EB1DA3" w:rsidRDefault="00245040" w:rsidP="00EB1DA3">
      <w:pPr>
        <w:pStyle w:val="Heading4"/>
        <w:spacing w:before="0" w:line="240" w:lineRule="auto"/>
        <w:rPr>
          <w:rFonts w:ascii="Arial" w:eastAsia="Calibri" w:hAnsi="Arial" w:cs="Arial"/>
          <w:i w:val="0"/>
          <w:sz w:val="20"/>
        </w:rPr>
      </w:pPr>
      <w:r w:rsidRPr="00EB1DA3">
        <w:rPr>
          <w:rFonts w:ascii="Arial" w:hAnsi="Arial" w:cs="Arial"/>
          <w:i w:val="0"/>
          <w:sz w:val="20"/>
        </w:rPr>
        <w:t>The Committee welcomes the fact that a portion of the higher</w:t>
      </w:r>
      <w:r w:rsidRPr="00EB1DA3">
        <w:rPr>
          <w:rFonts w:cs="Arial"/>
          <w:i w:val="0"/>
          <w:sz w:val="20"/>
        </w:rPr>
        <w:t>‐</w:t>
      </w:r>
      <w:r w:rsidRPr="00EB1DA3">
        <w:rPr>
          <w:rFonts w:ascii="Arial" w:hAnsi="Arial" w:cs="Arial"/>
          <w:i w:val="0"/>
          <w:sz w:val="20"/>
        </w:rPr>
        <w:t>than</w:t>
      </w:r>
      <w:r w:rsidRPr="00EB1DA3">
        <w:rPr>
          <w:rFonts w:cs="Arial"/>
          <w:i w:val="0"/>
          <w:sz w:val="20"/>
        </w:rPr>
        <w:t>‐</w:t>
      </w:r>
      <w:r w:rsidRPr="00EB1DA3">
        <w:rPr>
          <w:rFonts w:ascii="Arial" w:hAnsi="Arial" w:cs="Arial"/>
          <w:i w:val="0"/>
          <w:sz w:val="20"/>
        </w:rPr>
        <w:t xml:space="preserve">anticipated revenues since the 2021 Budget, is used to reduce the budget deficit and the borrowing requirement, which will see a primary surplus by 2023/24, a year earlier than projected in the 2021 MTBPS. The Committee </w:t>
      </w:r>
      <w:r w:rsidR="001A48FC" w:rsidRPr="00EB1DA3">
        <w:rPr>
          <w:rFonts w:ascii="Arial" w:hAnsi="Arial" w:cs="Arial"/>
          <w:i w:val="0"/>
          <w:sz w:val="20"/>
        </w:rPr>
        <w:t xml:space="preserve">remains concerned that </w:t>
      </w:r>
      <w:r w:rsidR="001A48FC" w:rsidRPr="00EB1DA3">
        <w:rPr>
          <w:rFonts w:ascii="Arial" w:eastAsia="Calibri" w:hAnsi="Arial" w:cs="Arial"/>
          <w:i w:val="0"/>
          <w:sz w:val="20"/>
        </w:rPr>
        <w:t>b</w:t>
      </w:r>
      <w:r w:rsidR="001A48FC" w:rsidRPr="00EB1DA3">
        <w:rPr>
          <w:rFonts w:ascii="Arial" w:hAnsi="Arial" w:cs="Arial"/>
          <w:i w:val="0"/>
          <w:sz w:val="20"/>
        </w:rPr>
        <w:t>or</w:t>
      </w:r>
      <w:r w:rsidR="009A43C5" w:rsidRPr="00EB1DA3">
        <w:rPr>
          <w:rFonts w:ascii="Arial" w:hAnsi="Arial" w:cs="Arial"/>
          <w:i w:val="0"/>
          <w:sz w:val="20"/>
        </w:rPr>
        <w:t xml:space="preserve">rowing to finance SOE bailouts </w:t>
      </w:r>
      <w:r w:rsidR="001A48FC" w:rsidRPr="00EB1DA3">
        <w:rPr>
          <w:rFonts w:ascii="Arial" w:hAnsi="Arial" w:cs="Arial"/>
          <w:i w:val="0"/>
          <w:sz w:val="20"/>
        </w:rPr>
        <w:t>and recurrent expenditure is not sustainable particularly as it does not support economic growth or reduce the triple challenges of high levels of poverty, inequality and unemployment.</w:t>
      </w:r>
    </w:p>
    <w:p w:rsidR="002606B0" w:rsidRPr="00EB1DA3" w:rsidRDefault="002606B0" w:rsidP="00EB1DA3">
      <w:pPr>
        <w:pStyle w:val="Heading4"/>
        <w:spacing w:before="0" w:line="240" w:lineRule="auto"/>
        <w:rPr>
          <w:rFonts w:ascii="Arial" w:hAnsi="Arial" w:cs="Arial"/>
          <w:i w:val="0"/>
          <w:sz w:val="20"/>
          <w:lang w:val="en-ZA" w:eastAsia="en-GB"/>
        </w:rPr>
      </w:pPr>
      <w:r w:rsidRPr="00EB1DA3">
        <w:rPr>
          <w:rFonts w:ascii="Arial" w:hAnsi="Arial" w:cs="Arial"/>
          <w:i w:val="0"/>
          <w:sz w:val="20"/>
          <w:lang w:val="en-ZA" w:eastAsia="en-GB"/>
        </w:rPr>
        <w:t xml:space="preserve">The Committee </w:t>
      </w:r>
      <w:r w:rsidR="008C62AC" w:rsidRPr="00EB1DA3">
        <w:rPr>
          <w:rFonts w:ascii="Arial" w:hAnsi="Arial" w:cs="Arial"/>
          <w:i w:val="0"/>
          <w:sz w:val="20"/>
          <w:lang w:val="en-ZA" w:eastAsia="en-GB"/>
        </w:rPr>
        <w:t>is concerned</w:t>
      </w:r>
      <w:r w:rsidRPr="00EB1DA3">
        <w:rPr>
          <w:rFonts w:ascii="Arial" w:hAnsi="Arial" w:cs="Arial"/>
          <w:i w:val="0"/>
          <w:sz w:val="20"/>
          <w:lang w:val="en-ZA" w:eastAsia="en-GB"/>
        </w:rPr>
        <w:t xml:space="preserve"> that the contingency reserves over the medium term are not sufficient to cushion the country against </w:t>
      </w:r>
      <w:r w:rsidR="00D04EB5" w:rsidRPr="00EB1DA3">
        <w:rPr>
          <w:rFonts w:ascii="Arial" w:hAnsi="Arial" w:cs="Arial"/>
          <w:i w:val="0"/>
          <w:sz w:val="20"/>
          <w:lang w:val="en-ZA" w:eastAsia="en-GB"/>
        </w:rPr>
        <w:t xml:space="preserve">unforeseen circumstances, </w:t>
      </w:r>
      <w:r w:rsidRPr="00EB1DA3">
        <w:rPr>
          <w:rFonts w:ascii="Arial" w:hAnsi="Arial" w:cs="Arial"/>
          <w:i w:val="0"/>
          <w:sz w:val="20"/>
          <w:lang w:val="en-ZA" w:eastAsia="en-GB"/>
        </w:rPr>
        <w:t xml:space="preserve">such as </w:t>
      </w:r>
      <w:r w:rsidR="003C4F6D" w:rsidRPr="00EB1DA3">
        <w:rPr>
          <w:rFonts w:ascii="Arial" w:hAnsi="Arial" w:cs="Arial"/>
          <w:i w:val="0"/>
          <w:sz w:val="20"/>
          <w:lang w:val="en-ZA" w:eastAsia="en-GB"/>
        </w:rPr>
        <w:t xml:space="preserve">the </w:t>
      </w:r>
      <w:r w:rsidR="00D04EB5" w:rsidRPr="00EB1DA3">
        <w:rPr>
          <w:rFonts w:ascii="Arial" w:hAnsi="Arial" w:cs="Arial"/>
          <w:i w:val="0"/>
          <w:sz w:val="20"/>
          <w:lang w:val="en-ZA" w:eastAsia="en-GB"/>
        </w:rPr>
        <w:t xml:space="preserve">re-emergence of </w:t>
      </w:r>
      <w:r w:rsidR="00DC420F" w:rsidRPr="00EB1DA3">
        <w:rPr>
          <w:rFonts w:ascii="Arial" w:hAnsi="Arial" w:cs="Arial"/>
          <w:i w:val="0"/>
          <w:sz w:val="20"/>
          <w:lang w:val="en-ZA" w:eastAsia="en-GB"/>
        </w:rPr>
        <w:t xml:space="preserve">the </w:t>
      </w:r>
      <w:r w:rsidR="00D04EB5" w:rsidRPr="00EB1DA3">
        <w:rPr>
          <w:rFonts w:ascii="Arial" w:hAnsi="Arial" w:cs="Arial"/>
          <w:i w:val="0"/>
          <w:sz w:val="20"/>
          <w:lang w:val="en-ZA" w:eastAsia="en-GB"/>
        </w:rPr>
        <w:t>new COVID-19 virus</w:t>
      </w:r>
      <w:r w:rsidRPr="00EB1DA3">
        <w:rPr>
          <w:rFonts w:ascii="Arial" w:hAnsi="Arial" w:cs="Arial"/>
          <w:i w:val="0"/>
          <w:sz w:val="20"/>
          <w:lang w:val="en-ZA" w:eastAsia="en-GB"/>
        </w:rPr>
        <w:t xml:space="preserve">, </w:t>
      </w:r>
      <w:r w:rsidR="00DC420F" w:rsidRPr="00EB1DA3">
        <w:rPr>
          <w:rFonts w:ascii="Arial" w:hAnsi="Arial" w:cs="Arial"/>
          <w:i w:val="0"/>
          <w:sz w:val="20"/>
          <w:lang w:val="en-ZA" w:eastAsia="en-GB"/>
        </w:rPr>
        <w:t xml:space="preserve">the potential impact of </w:t>
      </w:r>
      <w:r w:rsidRPr="00EB1DA3">
        <w:rPr>
          <w:rFonts w:ascii="Arial" w:hAnsi="Arial" w:cs="Arial"/>
          <w:i w:val="0"/>
          <w:sz w:val="20"/>
          <w:lang w:val="en-ZA" w:eastAsia="en-GB"/>
        </w:rPr>
        <w:t>climate ch</w:t>
      </w:r>
      <w:r w:rsidR="00DC420F" w:rsidRPr="00EB1DA3">
        <w:rPr>
          <w:rFonts w:ascii="Arial" w:hAnsi="Arial" w:cs="Arial"/>
          <w:i w:val="0"/>
          <w:sz w:val="20"/>
          <w:lang w:val="en-ZA" w:eastAsia="en-GB"/>
        </w:rPr>
        <w:t>ange</w:t>
      </w:r>
      <w:r w:rsidRPr="00EB1DA3">
        <w:rPr>
          <w:rFonts w:ascii="Arial" w:hAnsi="Arial" w:cs="Arial"/>
          <w:i w:val="0"/>
          <w:sz w:val="20"/>
          <w:lang w:val="en-ZA" w:eastAsia="en-GB"/>
        </w:rPr>
        <w:t xml:space="preserve"> </w:t>
      </w:r>
      <w:r w:rsidR="008C62AC" w:rsidRPr="00EB1DA3">
        <w:rPr>
          <w:rFonts w:ascii="Arial" w:hAnsi="Arial" w:cs="Arial"/>
          <w:i w:val="0"/>
          <w:sz w:val="20"/>
          <w:lang w:val="en-ZA" w:eastAsia="en-GB"/>
        </w:rPr>
        <w:t xml:space="preserve">on the economy </w:t>
      </w:r>
      <w:r w:rsidRPr="00EB1DA3">
        <w:rPr>
          <w:rFonts w:ascii="Arial" w:hAnsi="Arial" w:cs="Arial"/>
          <w:i w:val="0"/>
          <w:sz w:val="20"/>
          <w:lang w:val="en-ZA" w:eastAsia="en-GB"/>
        </w:rPr>
        <w:t xml:space="preserve">and </w:t>
      </w:r>
      <w:r w:rsidR="00D04EB5" w:rsidRPr="00EB1DA3">
        <w:rPr>
          <w:rFonts w:ascii="Arial" w:hAnsi="Arial" w:cs="Arial"/>
          <w:i w:val="0"/>
          <w:sz w:val="20"/>
          <w:lang w:val="en-ZA" w:eastAsia="en-GB"/>
        </w:rPr>
        <w:t xml:space="preserve">the </w:t>
      </w:r>
      <w:r w:rsidRPr="00EB1DA3">
        <w:rPr>
          <w:rFonts w:ascii="Arial" w:hAnsi="Arial" w:cs="Arial"/>
          <w:i w:val="0"/>
          <w:sz w:val="20"/>
          <w:lang w:val="en-ZA" w:eastAsia="en-GB"/>
        </w:rPr>
        <w:t>current Russia</w:t>
      </w:r>
      <w:r w:rsidR="00D04EB5" w:rsidRPr="00EB1DA3">
        <w:rPr>
          <w:rFonts w:ascii="Arial" w:hAnsi="Arial" w:cs="Arial"/>
          <w:i w:val="0"/>
          <w:sz w:val="20"/>
          <w:lang w:val="en-ZA" w:eastAsia="en-GB"/>
        </w:rPr>
        <w:t xml:space="preserve"> </w:t>
      </w:r>
      <w:r w:rsidR="00D613B0" w:rsidRPr="00EB1DA3">
        <w:rPr>
          <w:rFonts w:ascii="Arial" w:hAnsi="Arial" w:cs="Arial"/>
          <w:i w:val="0"/>
          <w:sz w:val="20"/>
          <w:lang w:val="en-ZA" w:eastAsia="en-GB"/>
        </w:rPr>
        <w:t xml:space="preserve">and Ukraine </w:t>
      </w:r>
      <w:r w:rsidR="00D04EB5" w:rsidRPr="00EB1DA3">
        <w:rPr>
          <w:rFonts w:ascii="Arial" w:hAnsi="Arial" w:cs="Arial"/>
          <w:i w:val="0"/>
          <w:sz w:val="20"/>
          <w:lang w:val="en-ZA" w:eastAsia="en-GB"/>
        </w:rPr>
        <w:t>war</w:t>
      </w:r>
      <w:r w:rsidRPr="00EB1DA3">
        <w:rPr>
          <w:rFonts w:ascii="Arial" w:hAnsi="Arial" w:cs="Arial"/>
          <w:i w:val="0"/>
          <w:sz w:val="20"/>
          <w:lang w:val="en-ZA" w:eastAsia="en-GB"/>
        </w:rPr>
        <w:t>. The Committee cautions NT about the impact that these shock</w:t>
      </w:r>
      <w:r w:rsidR="00D04EB5" w:rsidRPr="00EB1DA3">
        <w:rPr>
          <w:rFonts w:ascii="Arial" w:hAnsi="Arial" w:cs="Arial"/>
          <w:i w:val="0"/>
          <w:sz w:val="20"/>
          <w:lang w:val="en-ZA" w:eastAsia="en-GB"/>
        </w:rPr>
        <w:t xml:space="preserve">s might have on the economy, </w:t>
      </w:r>
      <w:r w:rsidRPr="00EB1DA3">
        <w:rPr>
          <w:rFonts w:ascii="Arial" w:hAnsi="Arial" w:cs="Arial"/>
          <w:i w:val="0"/>
          <w:sz w:val="20"/>
          <w:lang w:val="en-ZA" w:eastAsia="en-GB"/>
        </w:rPr>
        <w:t xml:space="preserve">the </w:t>
      </w:r>
      <w:r w:rsidR="002B3CFD" w:rsidRPr="00EB1DA3">
        <w:rPr>
          <w:rFonts w:ascii="Arial" w:hAnsi="Arial" w:cs="Arial"/>
          <w:i w:val="0"/>
          <w:sz w:val="20"/>
          <w:lang w:val="en-ZA" w:eastAsia="en-GB"/>
        </w:rPr>
        <w:t xml:space="preserve">country’s </w:t>
      </w:r>
      <w:r w:rsidRPr="00EB1DA3">
        <w:rPr>
          <w:rFonts w:ascii="Arial" w:hAnsi="Arial" w:cs="Arial"/>
          <w:i w:val="0"/>
          <w:sz w:val="20"/>
          <w:lang w:val="en-ZA" w:eastAsia="en-GB"/>
        </w:rPr>
        <w:t xml:space="preserve">ability to repay the debt owed and the </w:t>
      </w:r>
      <w:r w:rsidR="00D04EB5" w:rsidRPr="00EB1DA3">
        <w:rPr>
          <w:rFonts w:ascii="Arial" w:hAnsi="Arial" w:cs="Arial"/>
          <w:i w:val="0"/>
          <w:sz w:val="20"/>
          <w:lang w:val="en-ZA" w:eastAsia="en-GB"/>
        </w:rPr>
        <w:t xml:space="preserve">overall </w:t>
      </w:r>
      <w:r w:rsidRPr="00EB1DA3">
        <w:rPr>
          <w:rFonts w:ascii="Arial" w:hAnsi="Arial" w:cs="Arial"/>
          <w:i w:val="0"/>
          <w:sz w:val="20"/>
          <w:lang w:val="en-ZA" w:eastAsia="en-GB"/>
        </w:rPr>
        <w:t xml:space="preserve">credibility of the fiscal framework. </w:t>
      </w:r>
      <w:r w:rsidR="006F6714" w:rsidRPr="00EB1DA3">
        <w:rPr>
          <w:rFonts w:ascii="Arial" w:hAnsi="Arial" w:cs="Arial"/>
          <w:i w:val="0"/>
          <w:sz w:val="20"/>
          <w:lang w:val="en-ZA" w:eastAsia="en-GB"/>
        </w:rPr>
        <w:t>Understandably, the fiscal framework does not factor in the consequence of the Russia and Ukraine</w:t>
      </w:r>
      <w:r w:rsidR="00D613B0" w:rsidRPr="00EB1DA3">
        <w:rPr>
          <w:rFonts w:ascii="Arial" w:hAnsi="Arial" w:cs="Arial"/>
          <w:i w:val="0"/>
          <w:sz w:val="20"/>
          <w:lang w:val="en-ZA" w:eastAsia="en-GB"/>
        </w:rPr>
        <w:t xml:space="preserve"> war</w:t>
      </w:r>
      <w:r w:rsidR="006F6714" w:rsidRPr="00EB1DA3">
        <w:rPr>
          <w:rFonts w:ascii="Arial" w:hAnsi="Arial" w:cs="Arial"/>
          <w:i w:val="0"/>
          <w:sz w:val="20"/>
          <w:lang w:val="en-ZA" w:eastAsia="en-GB"/>
        </w:rPr>
        <w:t xml:space="preserve">. The Committee expresses its concerns about the likelihood of </w:t>
      </w:r>
      <w:r w:rsidR="00D613B0" w:rsidRPr="00EB1DA3">
        <w:rPr>
          <w:rFonts w:ascii="Arial" w:hAnsi="Arial" w:cs="Arial"/>
          <w:i w:val="0"/>
          <w:sz w:val="20"/>
          <w:lang w:val="en-ZA" w:eastAsia="en-GB"/>
        </w:rPr>
        <w:t>major</w:t>
      </w:r>
      <w:r w:rsidR="006F6714" w:rsidRPr="00EB1DA3">
        <w:rPr>
          <w:rFonts w:ascii="Arial" w:hAnsi="Arial" w:cs="Arial"/>
          <w:i w:val="0"/>
          <w:sz w:val="20"/>
          <w:lang w:val="en-ZA" w:eastAsia="en-GB"/>
        </w:rPr>
        <w:t xml:space="preserve"> </w:t>
      </w:r>
      <w:r w:rsidR="00D613B0" w:rsidRPr="00EB1DA3">
        <w:rPr>
          <w:rFonts w:ascii="Arial" w:hAnsi="Arial" w:cs="Arial"/>
          <w:i w:val="0"/>
          <w:sz w:val="20"/>
          <w:lang w:val="en-ZA" w:eastAsia="en-GB"/>
        </w:rPr>
        <w:t xml:space="preserve">increases in prices of fuel, </w:t>
      </w:r>
      <w:r w:rsidR="006F6714" w:rsidRPr="00EB1DA3">
        <w:rPr>
          <w:rFonts w:ascii="Arial" w:hAnsi="Arial" w:cs="Arial"/>
          <w:i w:val="0"/>
          <w:sz w:val="20"/>
          <w:lang w:val="en-ZA" w:eastAsia="en-GB"/>
        </w:rPr>
        <w:t xml:space="preserve">fertilizers and </w:t>
      </w:r>
      <w:r w:rsidR="00D613B0" w:rsidRPr="00EB1DA3">
        <w:rPr>
          <w:rFonts w:ascii="Arial" w:hAnsi="Arial" w:cs="Arial"/>
          <w:i w:val="0"/>
          <w:sz w:val="20"/>
          <w:lang w:val="en-ZA" w:eastAsia="en-GB"/>
        </w:rPr>
        <w:t xml:space="preserve">other commodities and </w:t>
      </w:r>
      <w:r w:rsidR="006F6714" w:rsidRPr="00EB1DA3">
        <w:rPr>
          <w:rFonts w:ascii="Arial" w:hAnsi="Arial" w:cs="Arial"/>
          <w:i w:val="0"/>
          <w:sz w:val="20"/>
          <w:lang w:val="en-ZA" w:eastAsia="en-GB"/>
        </w:rPr>
        <w:t>the consequences for the most vulnerable South Africans.</w:t>
      </w:r>
    </w:p>
    <w:p w:rsidR="00366D54" w:rsidRPr="00EB1DA3" w:rsidRDefault="001E3970" w:rsidP="00EB1DA3">
      <w:pPr>
        <w:pStyle w:val="Heading4"/>
        <w:spacing w:before="0" w:line="240" w:lineRule="auto"/>
        <w:rPr>
          <w:rFonts w:ascii="Arial" w:hAnsi="Arial" w:cs="Arial"/>
          <w:i w:val="0"/>
          <w:sz w:val="20"/>
          <w:lang w:val="en-US"/>
        </w:rPr>
      </w:pPr>
      <w:r w:rsidRPr="00EB1DA3">
        <w:rPr>
          <w:rFonts w:ascii="Arial" w:hAnsi="Arial" w:cs="Arial"/>
          <w:i w:val="0"/>
          <w:sz w:val="20"/>
        </w:rPr>
        <w:lastRenderedPageBreak/>
        <w:t xml:space="preserve">The Committee observed, with great concern, the significant risks to the fiscal framework, which </w:t>
      </w:r>
      <w:r w:rsidR="009A43C5" w:rsidRPr="00EB1DA3">
        <w:rPr>
          <w:rFonts w:ascii="Arial" w:hAnsi="Arial" w:cs="Arial"/>
          <w:i w:val="0"/>
          <w:sz w:val="20"/>
        </w:rPr>
        <w:t xml:space="preserve">include higher borrowing costs and </w:t>
      </w:r>
      <w:r w:rsidRPr="00EB1DA3">
        <w:rPr>
          <w:rFonts w:ascii="Arial" w:hAnsi="Arial" w:cs="Arial"/>
          <w:i w:val="0"/>
          <w:sz w:val="20"/>
        </w:rPr>
        <w:t>contingent liabilities of SOEs</w:t>
      </w:r>
      <w:r w:rsidR="009A43C5" w:rsidRPr="00EB1DA3">
        <w:rPr>
          <w:rFonts w:ascii="Arial" w:hAnsi="Arial" w:cs="Arial"/>
          <w:i w:val="0"/>
          <w:sz w:val="20"/>
        </w:rPr>
        <w:t>.</w:t>
      </w:r>
      <w:r w:rsidRPr="00EB1DA3">
        <w:rPr>
          <w:rFonts w:ascii="Arial" w:hAnsi="Arial" w:cs="Arial"/>
          <w:i w:val="0"/>
          <w:sz w:val="20"/>
        </w:rPr>
        <w:t xml:space="preserve"> </w:t>
      </w:r>
      <w:r w:rsidR="00366D54" w:rsidRPr="00EB1DA3">
        <w:rPr>
          <w:rFonts w:ascii="Arial" w:hAnsi="Arial" w:cs="Arial"/>
          <w:i w:val="0"/>
          <w:sz w:val="20"/>
        </w:rPr>
        <w:t xml:space="preserve">Other observations </w:t>
      </w:r>
      <w:r w:rsidR="003C7F60" w:rsidRPr="00EB1DA3">
        <w:rPr>
          <w:rFonts w:ascii="Arial" w:hAnsi="Arial" w:cs="Arial"/>
          <w:i w:val="0"/>
          <w:sz w:val="20"/>
        </w:rPr>
        <w:t>on</w:t>
      </w:r>
      <w:r w:rsidR="00366D54" w:rsidRPr="00EB1DA3">
        <w:rPr>
          <w:rFonts w:ascii="Arial" w:hAnsi="Arial" w:cs="Arial"/>
          <w:i w:val="0"/>
          <w:sz w:val="20"/>
        </w:rPr>
        <w:t xml:space="preserve"> extra-budgetary costs to the fiscal framework </w:t>
      </w:r>
      <w:r w:rsidR="003C7F60" w:rsidRPr="00EB1DA3">
        <w:rPr>
          <w:rFonts w:ascii="Arial" w:hAnsi="Arial" w:cs="Arial"/>
          <w:i w:val="0"/>
          <w:sz w:val="20"/>
        </w:rPr>
        <w:t>include</w:t>
      </w:r>
      <w:r w:rsidR="00366D54" w:rsidRPr="00EB1DA3">
        <w:rPr>
          <w:rFonts w:ascii="Arial" w:hAnsi="Arial" w:cs="Arial"/>
          <w:i w:val="0"/>
          <w:sz w:val="20"/>
        </w:rPr>
        <w:t xml:space="preserve"> SAA funding, the cost of </w:t>
      </w:r>
      <w:r w:rsidR="00AA3DDF" w:rsidRPr="00EB1DA3">
        <w:rPr>
          <w:rFonts w:ascii="Arial" w:hAnsi="Arial" w:cs="Arial"/>
          <w:i w:val="0"/>
          <w:sz w:val="20"/>
        </w:rPr>
        <w:t xml:space="preserve">rebuilding </w:t>
      </w:r>
      <w:r w:rsidR="00CB3158" w:rsidRPr="00EB1DA3">
        <w:rPr>
          <w:rFonts w:ascii="Arial" w:hAnsi="Arial" w:cs="Arial"/>
          <w:i w:val="0"/>
          <w:sz w:val="20"/>
        </w:rPr>
        <w:t>and</w:t>
      </w:r>
      <w:r w:rsidR="00AA3DDF" w:rsidRPr="00EB1DA3">
        <w:rPr>
          <w:rFonts w:ascii="Arial" w:hAnsi="Arial" w:cs="Arial"/>
          <w:i w:val="0"/>
          <w:sz w:val="20"/>
        </w:rPr>
        <w:t xml:space="preserve"> </w:t>
      </w:r>
      <w:r w:rsidR="00366D54" w:rsidRPr="00EB1DA3">
        <w:rPr>
          <w:rFonts w:ascii="Arial" w:hAnsi="Arial" w:cs="Arial"/>
          <w:i w:val="0"/>
          <w:sz w:val="20"/>
        </w:rPr>
        <w:t>temporary housing of Parliament</w:t>
      </w:r>
      <w:r w:rsidR="00AA3DDF" w:rsidRPr="00EB1DA3">
        <w:rPr>
          <w:rFonts w:ascii="Arial" w:hAnsi="Arial" w:cs="Arial"/>
          <w:i w:val="0"/>
          <w:sz w:val="20"/>
        </w:rPr>
        <w:t xml:space="preserve"> and</w:t>
      </w:r>
      <w:r w:rsidR="00366D54" w:rsidRPr="00EB1DA3">
        <w:rPr>
          <w:rFonts w:ascii="Arial" w:hAnsi="Arial" w:cs="Arial"/>
          <w:i w:val="0"/>
          <w:sz w:val="20"/>
        </w:rPr>
        <w:t xml:space="preserve"> </w:t>
      </w:r>
      <w:r w:rsidR="008C62AC" w:rsidRPr="00EB1DA3">
        <w:rPr>
          <w:rFonts w:ascii="Arial" w:hAnsi="Arial" w:cs="Arial"/>
          <w:i w:val="0"/>
          <w:sz w:val="20"/>
        </w:rPr>
        <w:t xml:space="preserve">the </w:t>
      </w:r>
      <w:r w:rsidR="00366D54" w:rsidRPr="00EB1DA3">
        <w:rPr>
          <w:rFonts w:ascii="Arial" w:hAnsi="Arial" w:cs="Arial"/>
          <w:i w:val="0"/>
          <w:sz w:val="20"/>
        </w:rPr>
        <w:t>new</w:t>
      </w:r>
      <w:r w:rsidR="008C62AC" w:rsidRPr="00EB1DA3">
        <w:rPr>
          <w:rFonts w:ascii="Arial" w:hAnsi="Arial" w:cs="Arial"/>
          <w:i w:val="0"/>
          <w:sz w:val="20"/>
        </w:rPr>
        <w:t xml:space="preserve"> proposed</w:t>
      </w:r>
      <w:r w:rsidR="00366D54" w:rsidRPr="00EB1DA3">
        <w:rPr>
          <w:rFonts w:ascii="Arial" w:hAnsi="Arial" w:cs="Arial"/>
          <w:i w:val="0"/>
          <w:sz w:val="20"/>
        </w:rPr>
        <w:t xml:space="preserve"> SOE funding. </w:t>
      </w:r>
    </w:p>
    <w:p w:rsidR="00AA0A04" w:rsidRPr="00EB1DA3" w:rsidRDefault="00AA0A04" w:rsidP="00EB1DA3">
      <w:pPr>
        <w:pStyle w:val="Heading3"/>
        <w:spacing w:before="0" w:line="240" w:lineRule="auto"/>
        <w:rPr>
          <w:rFonts w:ascii="Arial" w:hAnsi="Arial" w:cs="Arial"/>
          <w:sz w:val="20"/>
          <w:u w:val="none"/>
        </w:rPr>
      </w:pPr>
      <w:r w:rsidRPr="00EB1DA3">
        <w:rPr>
          <w:rFonts w:ascii="Arial" w:hAnsi="Arial" w:cs="Arial"/>
          <w:sz w:val="20"/>
          <w:u w:val="none"/>
        </w:rPr>
        <w:t xml:space="preserve">Other </w:t>
      </w:r>
      <w:r w:rsidR="00AA378D" w:rsidRPr="00EB1DA3">
        <w:rPr>
          <w:rFonts w:ascii="Arial" w:hAnsi="Arial" w:cs="Arial"/>
          <w:sz w:val="20"/>
          <w:u w:val="none"/>
        </w:rPr>
        <w:t>Budget</w:t>
      </w:r>
      <w:r w:rsidRPr="00EB1DA3">
        <w:rPr>
          <w:rFonts w:ascii="Arial" w:hAnsi="Arial" w:cs="Arial"/>
          <w:sz w:val="20"/>
          <w:u w:val="none"/>
        </w:rPr>
        <w:t xml:space="preserve"> related issues</w:t>
      </w:r>
    </w:p>
    <w:p w:rsidR="00245040" w:rsidRPr="00EB1DA3" w:rsidRDefault="00245040" w:rsidP="00EB1DA3">
      <w:pPr>
        <w:pStyle w:val="Heading4"/>
        <w:spacing w:before="0" w:line="240" w:lineRule="auto"/>
        <w:rPr>
          <w:rFonts w:ascii="Arial" w:hAnsi="Arial" w:cs="Arial"/>
          <w:i w:val="0"/>
          <w:sz w:val="20"/>
        </w:rPr>
      </w:pPr>
      <w:r w:rsidRPr="00EB1DA3">
        <w:rPr>
          <w:rFonts w:ascii="Arial" w:hAnsi="Arial" w:cs="Arial"/>
          <w:sz w:val="20"/>
        </w:rPr>
        <w:t> </w:t>
      </w:r>
      <w:r w:rsidRPr="00EB1DA3">
        <w:rPr>
          <w:rFonts w:ascii="Arial" w:hAnsi="Arial" w:cs="Arial"/>
          <w:i w:val="0"/>
          <w:sz w:val="20"/>
        </w:rPr>
        <w:t xml:space="preserve">The Committee reiterates its recommendation on zero-based budgeting carried </w:t>
      </w:r>
      <w:r w:rsidR="000F2F7C" w:rsidRPr="00EB1DA3">
        <w:rPr>
          <w:rFonts w:ascii="Arial" w:hAnsi="Arial" w:cs="Arial"/>
          <w:i w:val="0"/>
          <w:sz w:val="20"/>
        </w:rPr>
        <w:t xml:space="preserve">out </w:t>
      </w:r>
      <w:r w:rsidRPr="00EB1DA3">
        <w:rPr>
          <w:rFonts w:ascii="Arial" w:hAnsi="Arial" w:cs="Arial"/>
          <w:i w:val="0"/>
          <w:sz w:val="20"/>
        </w:rPr>
        <w:t xml:space="preserve">in </w:t>
      </w:r>
      <w:r w:rsidR="00984AE9" w:rsidRPr="00EB1DA3">
        <w:rPr>
          <w:rFonts w:ascii="Arial" w:hAnsi="Arial" w:cs="Arial"/>
          <w:i w:val="0"/>
          <w:sz w:val="20"/>
        </w:rPr>
        <w:t>our</w:t>
      </w:r>
      <w:r w:rsidRPr="00EB1DA3">
        <w:rPr>
          <w:rFonts w:ascii="Arial" w:hAnsi="Arial" w:cs="Arial"/>
          <w:i w:val="0"/>
          <w:sz w:val="20"/>
        </w:rPr>
        <w:t xml:space="preserve"> July 2020 special adjustment bu</w:t>
      </w:r>
      <w:r w:rsidR="002B3CFD" w:rsidRPr="00EB1DA3">
        <w:rPr>
          <w:rFonts w:ascii="Arial" w:hAnsi="Arial" w:cs="Arial"/>
          <w:i w:val="0"/>
          <w:sz w:val="20"/>
        </w:rPr>
        <w:t>dget fiscal framework report.</w:t>
      </w:r>
      <w:r w:rsidR="00B12928" w:rsidRPr="00EB1DA3">
        <w:rPr>
          <w:rFonts w:ascii="Arial" w:hAnsi="Arial" w:cs="Arial"/>
          <w:i w:val="0"/>
          <w:sz w:val="20"/>
        </w:rPr>
        <w:t xml:space="preserve"> </w:t>
      </w:r>
      <w:r w:rsidRPr="00EB1DA3">
        <w:rPr>
          <w:rFonts w:ascii="Arial" w:hAnsi="Arial" w:cs="Arial"/>
          <w:i w:val="0"/>
          <w:sz w:val="20"/>
          <w:lang w:val="en-US"/>
        </w:rPr>
        <w:t>The Committee requires to be briefed on the implications of zero-based budgeting</w:t>
      </w:r>
      <w:r w:rsidRPr="00EB1DA3">
        <w:rPr>
          <w:rFonts w:ascii="Arial" w:hAnsi="Arial" w:cs="Arial"/>
          <w:i w:val="0"/>
          <w:iCs/>
          <w:sz w:val="20"/>
        </w:rPr>
        <w:t xml:space="preserve">. </w:t>
      </w:r>
      <w:r w:rsidRPr="00EB1DA3">
        <w:rPr>
          <w:rFonts w:ascii="Arial" w:hAnsi="Arial" w:cs="Arial"/>
          <w:i w:val="0"/>
          <w:sz w:val="20"/>
        </w:rPr>
        <w:t>The Committee requires the Minister and NT to do this briefing at the next quarterly meeting.  </w:t>
      </w:r>
    </w:p>
    <w:p w:rsidR="003B339E" w:rsidRPr="00EB1DA3" w:rsidRDefault="00646FF2" w:rsidP="00EB1DA3">
      <w:pPr>
        <w:pStyle w:val="Heading4"/>
        <w:spacing w:before="0" w:line="240" w:lineRule="auto"/>
        <w:rPr>
          <w:rFonts w:ascii="Arial" w:hAnsi="Arial" w:cs="Arial"/>
          <w:i w:val="0"/>
          <w:sz w:val="20"/>
        </w:rPr>
      </w:pPr>
      <w:r w:rsidRPr="00EB1DA3">
        <w:rPr>
          <w:rFonts w:ascii="Arial" w:hAnsi="Arial" w:cs="Arial"/>
          <w:i w:val="0"/>
          <w:sz w:val="20"/>
          <w:lang w:val="en-US"/>
        </w:rPr>
        <w:t>The Committee</w:t>
      </w:r>
      <w:r w:rsidR="00BC79CD" w:rsidRPr="00EB1DA3">
        <w:rPr>
          <w:rFonts w:ascii="Arial" w:hAnsi="Arial" w:cs="Arial"/>
          <w:i w:val="0"/>
          <w:sz w:val="20"/>
          <w:lang w:val="en-US"/>
        </w:rPr>
        <w:t xml:space="preserve"> recommend</w:t>
      </w:r>
      <w:r w:rsidRPr="00EB1DA3">
        <w:rPr>
          <w:rFonts w:ascii="Arial" w:hAnsi="Arial" w:cs="Arial"/>
          <w:i w:val="0"/>
          <w:sz w:val="20"/>
          <w:lang w:val="en-US"/>
        </w:rPr>
        <w:t>s</w:t>
      </w:r>
      <w:r w:rsidR="00BC79CD" w:rsidRPr="00EB1DA3">
        <w:rPr>
          <w:rFonts w:ascii="Arial" w:hAnsi="Arial" w:cs="Arial"/>
          <w:i w:val="0"/>
          <w:sz w:val="20"/>
          <w:lang w:val="en-US"/>
        </w:rPr>
        <w:t xml:space="preserve"> that</w:t>
      </w:r>
      <w:r w:rsidR="00381254" w:rsidRPr="00EB1DA3">
        <w:rPr>
          <w:rFonts w:ascii="Arial" w:hAnsi="Arial" w:cs="Arial"/>
          <w:i w:val="0"/>
          <w:sz w:val="20"/>
          <w:lang w:val="en-US"/>
        </w:rPr>
        <w:t xml:space="preserve"> the Public Procurement Bill </w:t>
      </w:r>
      <w:r w:rsidRPr="00EB1DA3">
        <w:rPr>
          <w:rFonts w:ascii="Arial" w:hAnsi="Arial" w:cs="Arial"/>
          <w:i w:val="0"/>
          <w:sz w:val="20"/>
          <w:lang w:val="en-US"/>
        </w:rPr>
        <w:t xml:space="preserve">should </w:t>
      </w:r>
      <w:r w:rsidR="00381254" w:rsidRPr="00EB1DA3">
        <w:rPr>
          <w:rFonts w:ascii="Arial" w:hAnsi="Arial" w:cs="Arial"/>
          <w:i w:val="0"/>
          <w:sz w:val="20"/>
          <w:lang w:val="en-US"/>
        </w:rPr>
        <w:t>be brought</w:t>
      </w:r>
      <w:r w:rsidR="00412F2C" w:rsidRPr="00EB1DA3">
        <w:rPr>
          <w:rFonts w:ascii="Arial" w:hAnsi="Arial" w:cs="Arial"/>
          <w:i w:val="0"/>
          <w:sz w:val="20"/>
          <w:lang w:val="en-US"/>
        </w:rPr>
        <w:t xml:space="preserve"> to Parliament</w:t>
      </w:r>
      <w:r w:rsidR="00E930E9" w:rsidRPr="00EB1DA3">
        <w:rPr>
          <w:rFonts w:ascii="Arial" w:hAnsi="Arial" w:cs="Arial"/>
          <w:i w:val="0"/>
          <w:sz w:val="20"/>
          <w:lang w:val="en-US"/>
        </w:rPr>
        <w:t>. The Committee recogni</w:t>
      </w:r>
      <w:r w:rsidR="00584F6A" w:rsidRPr="00EB1DA3">
        <w:rPr>
          <w:rFonts w:ascii="Arial" w:hAnsi="Arial" w:cs="Arial"/>
          <w:i w:val="0"/>
          <w:sz w:val="20"/>
          <w:lang w:val="en-US"/>
        </w:rPr>
        <w:t>s</w:t>
      </w:r>
      <w:r w:rsidR="00E930E9" w:rsidRPr="00EB1DA3">
        <w:rPr>
          <w:rFonts w:ascii="Arial" w:hAnsi="Arial" w:cs="Arial"/>
          <w:i w:val="0"/>
          <w:sz w:val="20"/>
          <w:lang w:val="en-US"/>
        </w:rPr>
        <w:t>es</w:t>
      </w:r>
      <w:r w:rsidR="004A6580" w:rsidRPr="00EB1DA3">
        <w:rPr>
          <w:rFonts w:ascii="Arial" w:hAnsi="Arial" w:cs="Arial"/>
          <w:i w:val="0"/>
          <w:sz w:val="20"/>
          <w:lang w:val="en-US"/>
        </w:rPr>
        <w:t xml:space="preserve"> the </w:t>
      </w:r>
      <w:r w:rsidR="004A6580" w:rsidRPr="00EB1DA3">
        <w:rPr>
          <w:rFonts w:ascii="Arial" w:eastAsia="Calibri" w:hAnsi="Arial" w:cs="Arial"/>
          <w:i w:val="0"/>
          <w:sz w:val="20"/>
        </w:rPr>
        <w:t>n</w:t>
      </w:r>
      <w:r w:rsidR="00BA3E63" w:rsidRPr="00EB1DA3">
        <w:rPr>
          <w:rFonts w:ascii="Arial" w:eastAsia="Calibri" w:hAnsi="Arial" w:cs="Arial"/>
          <w:i w:val="0"/>
          <w:sz w:val="20"/>
        </w:rPr>
        <w:t xml:space="preserve">eed </w:t>
      </w:r>
      <w:r w:rsidR="00E930E9" w:rsidRPr="00EB1DA3">
        <w:rPr>
          <w:rFonts w:ascii="Arial" w:eastAsia="Calibri" w:hAnsi="Arial" w:cs="Arial"/>
          <w:i w:val="0"/>
          <w:sz w:val="20"/>
        </w:rPr>
        <w:t xml:space="preserve">for NT </w:t>
      </w:r>
      <w:r w:rsidR="00BA3E63" w:rsidRPr="00EB1DA3">
        <w:rPr>
          <w:rFonts w:ascii="Arial" w:eastAsia="Calibri" w:hAnsi="Arial" w:cs="Arial"/>
          <w:i w:val="0"/>
          <w:sz w:val="20"/>
        </w:rPr>
        <w:t xml:space="preserve">to </w:t>
      </w:r>
      <w:r w:rsidRPr="00EB1DA3">
        <w:rPr>
          <w:rFonts w:ascii="Arial" w:eastAsia="Calibri" w:hAnsi="Arial" w:cs="Arial"/>
          <w:i w:val="0"/>
          <w:sz w:val="20"/>
        </w:rPr>
        <w:t>address the</w:t>
      </w:r>
      <w:r w:rsidR="00BA3E63" w:rsidRPr="00EB1DA3">
        <w:rPr>
          <w:rFonts w:ascii="Arial" w:eastAsia="Calibri" w:hAnsi="Arial" w:cs="Arial"/>
          <w:i w:val="0"/>
          <w:sz w:val="20"/>
        </w:rPr>
        <w:t xml:space="preserve"> legal and other challenges affecting the </w:t>
      </w:r>
      <w:r w:rsidR="008912D6" w:rsidRPr="00EB1DA3">
        <w:rPr>
          <w:rFonts w:ascii="Arial" w:eastAsia="Calibri" w:hAnsi="Arial" w:cs="Arial"/>
          <w:i w:val="0"/>
          <w:sz w:val="20"/>
        </w:rPr>
        <w:t xml:space="preserve">Public </w:t>
      </w:r>
      <w:r w:rsidR="00BA3E63" w:rsidRPr="00EB1DA3">
        <w:rPr>
          <w:rFonts w:ascii="Arial" w:eastAsia="Calibri" w:hAnsi="Arial" w:cs="Arial"/>
          <w:i w:val="0"/>
          <w:sz w:val="20"/>
        </w:rPr>
        <w:t>Procurement Bill</w:t>
      </w:r>
      <w:r w:rsidR="00E930E9" w:rsidRPr="00EB1DA3">
        <w:rPr>
          <w:rFonts w:ascii="Arial" w:eastAsia="Calibri" w:hAnsi="Arial" w:cs="Arial"/>
          <w:i w:val="0"/>
          <w:sz w:val="20"/>
        </w:rPr>
        <w:t xml:space="preserve">. </w:t>
      </w:r>
    </w:p>
    <w:p w:rsidR="00E87D6F" w:rsidRPr="00EB1DA3" w:rsidRDefault="002942F9" w:rsidP="00EB1DA3">
      <w:pPr>
        <w:pStyle w:val="Heading4"/>
        <w:spacing w:before="0" w:line="240" w:lineRule="auto"/>
        <w:rPr>
          <w:rFonts w:ascii="Arial" w:hAnsi="Arial" w:cs="Arial"/>
          <w:i w:val="0"/>
          <w:sz w:val="20"/>
        </w:rPr>
      </w:pPr>
      <w:r w:rsidRPr="00EB1DA3">
        <w:rPr>
          <w:rFonts w:ascii="Arial" w:eastAsia="Calibri" w:hAnsi="Arial" w:cs="Arial"/>
          <w:i w:val="0"/>
          <w:sz w:val="20"/>
        </w:rPr>
        <w:t xml:space="preserve">The Committee reiterates its </w:t>
      </w:r>
      <w:r w:rsidR="008113DB" w:rsidRPr="00EB1DA3">
        <w:rPr>
          <w:rFonts w:ascii="Arial" w:eastAsia="Calibri" w:hAnsi="Arial" w:cs="Arial"/>
          <w:i w:val="0"/>
          <w:sz w:val="20"/>
        </w:rPr>
        <w:t xml:space="preserve">recommendation that the government should implement </w:t>
      </w:r>
      <w:r w:rsidRPr="00EB1DA3">
        <w:rPr>
          <w:rFonts w:ascii="Arial" w:eastAsia="Calibri" w:hAnsi="Arial" w:cs="Arial"/>
          <w:i w:val="0"/>
          <w:sz w:val="20"/>
        </w:rPr>
        <w:t xml:space="preserve">consequence management for </w:t>
      </w:r>
      <w:r w:rsidR="00D613B0" w:rsidRPr="00EB1DA3">
        <w:rPr>
          <w:rFonts w:ascii="Arial" w:eastAsia="Calibri" w:hAnsi="Arial" w:cs="Arial"/>
          <w:i w:val="0"/>
          <w:sz w:val="20"/>
        </w:rPr>
        <w:t>public servants who transgress the law or fail to do their jobs effectively.</w:t>
      </w:r>
    </w:p>
    <w:p w:rsidR="00176436" w:rsidRPr="00EB1DA3" w:rsidRDefault="00176436" w:rsidP="00EB1DA3">
      <w:pPr>
        <w:rPr>
          <w:rFonts w:ascii="Arial" w:hAnsi="Arial" w:cs="Arial"/>
          <w:sz w:val="20"/>
        </w:rPr>
      </w:pPr>
    </w:p>
    <w:p w:rsidR="00FD605D" w:rsidRPr="00EB1DA3" w:rsidRDefault="00FD605D" w:rsidP="00EB1DA3">
      <w:pPr>
        <w:rPr>
          <w:rFonts w:ascii="Arial" w:hAnsi="Arial" w:cs="Arial"/>
          <w:sz w:val="20"/>
        </w:rPr>
      </w:pPr>
      <w:r w:rsidRPr="00EB1DA3">
        <w:rPr>
          <w:rFonts w:ascii="Arial" w:hAnsi="Arial" w:cs="Arial"/>
          <w:color w:val="000000"/>
          <w:sz w:val="20"/>
          <w:shd w:val="clear" w:color="auto" w:fill="FFFFFF"/>
        </w:rPr>
        <w:t>Having considered the 2022 Fiscal Framework, the Standing Committee on Finance adopt</w:t>
      </w:r>
      <w:r w:rsidR="00FB0698" w:rsidRPr="00EB1DA3">
        <w:rPr>
          <w:rFonts w:ascii="Arial" w:hAnsi="Arial" w:cs="Arial"/>
          <w:color w:val="000000"/>
          <w:sz w:val="20"/>
          <w:shd w:val="clear" w:color="auto" w:fill="FFFFFF"/>
        </w:rPr>
        <w:t>s</w:t>
      </w:r>
      <w:r w:rsidRPr="00EB1DA3">
        <w:rPr>
          <w:rFonts w:ascii="Arial" w:hAnsi="Arial" w:cs="Arial"/>
          <w:color w:val="000000"/>
          <w:sz w:val="20"/>
          <w:shd w:val="clear" w:color="auto" w:fill="FFFFFF"/>
        </w:rPr>
        <w:t xml:space="preserve"> the 2022 Fiscal Framework as presented.</w:t>
      </w:r>
    </w:p>
    <w:p w:rsidR="002942F9" w:rsidRPr="00EB1DA3" w:rsidRDefault="002942F9" w:rsidP="00EB1DA3">
      <w:pPr>
        <w:rPr>
          <w:rFonts w:ascii="Arial" w:hAnsi="Arial" w:cs="Arial"/>
          <w:sz w:val="20"/>
        </w:rPr>
      </w:pPr>
    </w:p>
    <w:p w:rsidR="00FB0698" w:rsidRPr="00EB1DA3" w:rsidRDefault="00FB0698" w:rsidP="00EB1DA3">
      <w:pPr>
        <w:rPr>
          <w:rFonts w:ascii="Arial" w:hAnsi="Arial" w:cs="Arial"/>
          <w:sz w:val="20"/>
        </w:rPr>
      </w:pPr>
      <w:r w:rsidRPr="00EB1DA3">
        <w:rPr>
          <w:rFonts w:ascii="Arial" w:hAnsi="Arial" w:cs="Arial"/>
          <w:sz w:val="20"/>
        </w:rPr>
        <w:t>The Economic Freedom Fighters reject the report</w:t>
      </w:r>
    </w:p>
    <w:p w:rsidR="00FB0698" w:rsidRPr="00EB1DA3" w:rsidRDefault="00FB0698" w:rsidP="00EB1DA3">
      <w:pPr>
        <w:rPr>
          <w:rFonts w:ascii="Arial" w:hAnsi="Arial" w:cs="Arial"/>
          <w:sz w:val="20"/>
        </w:rPr>
      </w:pPr>
      <w:r w:rsidRPr="00EB1DA3">
        <w:rPr>
          <w:rFonts w:ascii="Arial" w:hAnsi="Arial" w:cs="Arial"/>
          <w:sz w:val="20"/>
        </w:rPr>
        <w:t>The Democracy Alliance, Freedom Front Plus reserved their position</w:t>
      </w:r>
    </w:p>
    <w:p w:rsidR="00FB0698" w:rsidRPr="00EB1DA3" w:rsidRDefault="00FB0698" w:rsidP="00EB1DA3">
      <w:pPr>
        <w:rPr>
          <w:rFonts w:ascii="Arial" w:hAnsi="Arial" w:cs="Arial"/>
          <w:sz w:val="20"/>
        </w:rPr>
      </w:pPr>
    </w:p>
    <w:p w:rsidR="00232DE8" w:rsidRPr="00EB1DA3" w:rsidRDefault="00017B65" w:rsidP="00EB1DA3">
      <w:pPr>
        <w:rPr>
          <w:rFonts w:ascii="Arial" w:hAnsi="Arial" w:cs="Arial"/>
          <w:sz w:val="20"/>
          <w:lang w:val="en-ZA" w:eastAsia="en-ZA"/>
        </w:rPr>
      </w:pPr>
      <w:r w:rsidRPr="00EB1DA3">
        <w:rPr>
          <w:rFonts w:ascii="Arial" w:hAnsi="Arial" w:cs="Arial"/>
          <w:sz w:val="20"/>
        </w:rPr>
        <w:t>Report to be considered</w:t>
      </w:r>
    </w:p>
    <w:sectPr w:rsidR="00232DE8" w:rsidRPr="00EB1DA3" w:rsidSect="00EF778D">
      <w:footerReference w:type="default" r:id="rId12"/>
      <w:pgSz w:w="11907" w:h="16840" w:code="9"/>
      <w:pgMar w:top="1418" w:right="1418" w:bottom="1418" w:left="1418"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D783" w16cex:dateUtc="2021-03-08T15:04:00Z"/>
  <w16cex:commentExtensible w16cex:durableId="23F0D786" w16cex:dateUtc="2021-03-08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1ECF9" w16cid:durableId="23F0D783"/>
  <w16cid:commentId w16cid:paraId="2881F025" w16cid:durableId="23F0D78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97" w:rsidRDefault="00044197">
      <w:r>
        <w:separator/>
      </w:r>
    </w:p>
  </w:endnote>
  <w:endnote w:type="continuationSeparator" w:id="0">
    <w:p w:rsidR="00044197" w:rsidRDefault="00044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B2" w:rsidRDefault="00EF778D">
    <w:pPr>
      <w:pStyle w:val="Footer"/>
      <w:jc w:val="right"/>
    </w:pPr>
    <w:r>
      <w:fldChar w:fldCharType="begin"/>
    </w:r>
    <w:r w:rsidR="00C936B2">
      <w:instrText xml:space="preserve"> PAGE   \* MERGEFORMAT </w:instrText>
    </w:r>
    <w:r>
      <w:fldChar w:fldCharType="separate"/>
    </w:r>
    <w:r w:rsidR="00EB1DA3">
      <w:rPr>
        <w:noProof/>
      </w:rPr>
      <w:t>1</w:t>
    </w:r>
    <w:r>
      <w:rPr>
        <w:noProof/>
      </w:rPr>
      <w:fldChar w:fldCharType="end"/>
    </w:r>
  </w:p>
  <w:p w:rsidR="00C936B2" w:rsidRDefault="00C93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97" w:rsidRDefault="00044197">
      <w:r>
        <w:separator/>
      </w:r>
    </w:p>
  </w:footnote>
  <w:footnote w:type="continuationSeparator" w:id="0">
    <w:p w:rsidR="00044197" w:rsidRDefault="00044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96136A"/>
    <w:multiLevelType w:val="hybridMultilevel"/>
    <w:tmpl w:val="A4DEBE5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67EA79"/>
    <w:multiLevelType w:val="hybridMultilevel"/>
    <w:tmpl w:val="48207E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FC8047A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A91EBD"/>
    <w:multiLevelType w:val="hybridMultilevel"/>
    <w:tmpl w:val="D7F42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3D06684"/>
    <w:multiLevelType w:val="hybridMultilevel"/>
    <w:tmpl w:val="67629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942EA0"/>
    <w:multiLevelType w:val="hybridMultilevel"/>
    <w:tmpl w:val="B5B8CA4A"/>
    <w:lvl w:ilvl="0" w:tplc="406613A0">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504BFC"/>
    <w:multiLevelType w:val="hybridMultilevel"/>
    <w:tmpl w:val="69D459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866DE2"/>
    <w:multiLevelType w:val="multilevel"/>
    <w:tmpl w:val="76BA39B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B25910"/>
    <w:multiLevelType w:val="hybridMultilevel"/>
    <w:tmpl w:val="06926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E380B"/>
    <w:multiLevelType w:val="hybridMultilevel"/>
    <w:tmpl w:val="5614C602"/>
    <w:lvl w:ilvl="0" w:tplc="DFA09656">
      <w:start w:val="1"/>
      <w:numFmt w:val="bullet"/>
      <w:lvlText w:val="•"/>
      <w:lvlJc w:val="left"/>
      <w:pPr>
        <w:tabs>
          <w:tab w:val="num" w:pos="720"/>
        </w:tabs>
        <w:ind w:left="720" w:hanging="360"/>
      </w:pPr>
      <w:rPr>
        <w:rFonts w:ascii="Arial" w:hAnsi="Arial" w:hint="default"/>
      </w:rPr>
    </w:lvl>
    <w:lvl w:ilvl="1" w:tplc="CC7C2F58">
      <w:numFmt w:val="bullet"/>
      <w:lvlText w:val="•"/>
      <w:lvlJc w:val="left"/>
      <w:pPr>
        <w:tabs>
          <w:tab w:val="num" w:pos="1440"/>
        </w:tabs>
        <w:ind w:left="1440" w:hanging="360"/>
      </w:pPr>
      <w:rPr>
        <w:rFonts w:ascii="Arial" w:hAnsi="Arial" w:hint="default"/>
      </w:rPr>
    </w:lvl>
    <w:lvl w:ilvl="2" w:tplc="B40818DC" w:tentative="1">
      <w:start w:val="1"/>
      <w:numFmt w:val="bullet"/>
      <w:lvlText w:val="•"/>
      <w:lvlJc w:val="left"/>
      <w:pPr>
        <w:tabs>
          <w:tab w:val="num" w:pos="2160"/>
        </w:tabs>
        <w:ind w:left="2160" w:hanging="360"/>
      </w:pPr>
      <w:rPr>
        <w:rFonts w:ascii="Arial" w:hAnsi="Arial" w:hint="default"/>
      </w:rPr>
    </w:lvl>
    <w:lvl w:ilvl="3" w:tplc="11BEF458" w:tentative="1">
      <w:start w:val="1"/>
      <w:numFmt w:val="bullet"/>
      <w:lvlText w:val="•"/>
      <w:lvlJc w:val="left"/>
      <w:pPr>
        <w:tabs>
          <w:tab w:val="num" w:pos="2880"/>
        </w:tabs>
        <w:ind w:left="2880" w:hanging="360"/>
      </w:pPr>
      <w:rPr>
        <w:rFonts w:ascii="Arial" w:hAnsi="Arial" w:hint="default"/>
      </w:rPr>
    </w:lvl>
    <w:lvl w:ilvl="4" w:tplc="9BB0284A" w:tentative="1">
      <w:start w:val="1"/>
      <w:numFmt w:val="bullet"/>
      <w:lvlText w:val="•"/>
      <w:lvlJc w:val="left"/>
      <w:pPr>
        <w:tabs>
          <w:tab w:val="num" w:pos="3600"/>
        </w:tabs>
        <w:ind w:left="3600" w:hanging="360"/>
      </w:pPr>
      <w:rPr>
        <w:rFonts w:ascii="Arial" w:hAnsi="Arial" w:hint="default"/>
      </w:rPr>
    </w:lvl>
    <w:lvl w:ilvl="5" w:tplc="FD2624A6" w:tentative="1">
      <w:start w:val="1"/>
      <w:numFmt w:val="bullet"/>
      <w:lvlText w:val="•"/>
      <w:lvlJc w:val="left"/>
      <w:pPr>
        <w:tabs>
          <w:tab w:val="num" w:pos="4320"/>
        </w:tabs>
        <w:ind w:left="4320" w:hanging="360"/>
      </w:pPr>
      <w:rPr>
        <w:rFonts w:ascii="Arial" w:hAnsi="Arial" w:hint="default"/>
      </w:rPr>
    </w:lvl>
    <w:lvl w:ilvl="6" w:tplc="64DE1048" w:tentative="1">
      <w:start w:val="1"/>
      <w:numFmt w:val="bullet"/>
      <w:lvlText w:val="•"/>
      <w:lvlJc w:val="left"/>
      <w:pPr>
        <w:tabs>
          <w:tab w:val="num" w:pos="5040"/>
        </w:tabs>
        <w:ind w:left="5040" w:hanging="360"/>
      </w:pPr>
      <w:rPr>
        <w:rFonts w:ascii="Arial" w:hAnsi="Arial" w:hint="default"/>
      </w:rPr>
    </w:lvl>
    <w:lvl w:ilvl="7" w:tplc="F7D09F06" w:tentative="1">
      <w:start w:val="1"/>
      <w:numFmt w:val="bullet"/>
      <w:lvlText w:val="•"/>
      <w:lvlJc w:val="left"/>
      <w:pPr>
        <w:tabs>
          <w:tab w:val="num" w:pos="5760"/>
        </w:tabs>
        <w:ind w:left="5760" w:hanging="360"/>
      </w:pPr>
      <w:rPr>
        <w:rFonts w:ascii="Arial" w:hAnsi="Arial" w:hint="default"/>
      </w:rPr>
    </w:lvl>
    <w:lvl w:ilvl="8" w:tplc="163688A6" w:tentative="1">
      <w:start w:val="1"/>
      <w:numFmt w:val="bullet"/>
      <w:lvlText w:val="•"/>
      <w:lvlJc w:val="left"/>
      <w:pPr>
        <w:tabs>
          <w:tab w:val="num" w:pos="6480"/>
        </w:tabs>
        <w:ind w:left="6480" w:hanging="360"/>
      </w:pPr>
      <w:rPr>
        <w:rFonts w:ascii="Arial" w:hAnsi="Arial" w:hint="default"/>
      </w:rPr>
    </w:lvl>
  </w:abstractNum>
  <w:abstractNum w:abstractNumId="10">
    <w:nsid w:val="177D473E"/>
    <w:multiLevelType w:val="multilevel"/>
    <w:tmpl w:val="49F813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1080"/>
        </w:tabs>
        <w:ind w:left="0" w:firstLine="0"/>
      </w:pPr>
      <w:rPr>
        <w:rFonts w:hint="default"/>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A666A75"/>
    <w:multiLevelType w:val="hybridMultilevel"/>
    <w:tmpl w:val="A6128D66"/>
    <w:lvl w:ilvl="0" w:tplc="2CF886EE">
      <w:start w:val="1"/>
      <w:numFmt w:val="decimal"/>
      <w:lvlText w:val="%1."/>
      <w:lvlJc w:val="left"/>
      <w:pPr>
        <w:tabs>
          <w:tab w:val="num" w:pos="720"/>
        </w:tabs>
        <w:ind w:left="720" w:hanging="360"/>
      </w:pPr>
    </w:lvl>
    <w:lvl w:ilvl="1" w:tplc="D7044D68">
      <w:start w:val="1"/>
      <w:numFmt w:val="decimal"/>
      <w:lvlText w:val="%2."/>
      <w:lvlJc w:val="left"/>
      <w:pPr>
        <w:tabs>
          <w:tab w:val="num" w:pos="1440"/>
        </w:tabs>
        <w:ind w:left="1440" w:hanging="360"/>
      </w:pPr>
    </w:lvl>
    <w:lvl w:ilvl="2" w:tplc="F57A05C4" w:tentative="1">
      <w:start w:val="1"/>
      <w:numFmt w:val="decimal"/>
      <w:lvlText w:val="%3."/>
      <w:lvlJc w:val="left"/>
      <w:pPr>
        <w:tabs>
          <w:tab w:val="num" w:pos="2160"/>
        </w:tabs>
        <w:ind w:left="2160" w:hanging="360"/>
      </w:pPr>
    </w:lvl>
    <w:lvl w:ilvl="3" w:tplc="98289E90" w:tentative="1">
      <w:start w:val="1"/>
      <w:numFmt w:val="decimal"/>
      <w:lvlText w:val="%4."/>
      <w:lvlJc w:val="left"/>
      <w:pPr>
        <w:tabs>
          <w:tab w:val="num" w:pos="2880"/>
        </w:tabs>
        <w:ind w:left="2880" w:hanging="360"/>
      </w:pPr>
    </w:lvl>
    <w:lvl w:ilvl="4" w:tplc="9CD8B7AA" w:tentative="1">
      <w:start w:val="1"/>
      <w:numFmt w:val="decimal"/>
      <w:lvlText w:val="%5."/>
      <w:lvlJc w:val="left"/>
      <w:pPr>
        <w:tabs>
          <w:tab w:val="num" w:pos="3600"/>
        </w:tabs>
        <w:ind w:left="3600" w:hanging="360"/>
      </w:pPr>
    </w:lvl>
    <w:lvl w:ilvl="5" w:tplc="6212E63A" w:tentative="1">
      <w:start w:val="1"/>
      <w:numFmt w:val="decimal"/>
      <w:lvlText w:val="%6."/>
      <w:lvlJc w:val="left"/>
      <w:pPr>
        <w:tabs>
          <w:tab w:val="num" w:pos="4320"/>
        </w:tabs>
        <w:ind w:left="4320" w:hanging="360"/>
      </w:pPr>
    </w:lvl>
    <w:lvl w:ilvl="6" w:tplc="DFB26880" w:tentative="1">
      <w:start w:val="1"/>
      <w:numFmt w:val="decimal"/>
      <w:lvlText w:val="%7."/>
      <w:lvlJc w:val="left"/>
      <w:pPr>
        <w:tabs>
          <w:tab w:val="num" w:pos="5040"/>
        </w:tabs>
        <w:ind w:left="5040" w:hanging="360"/>
      </w:pPr>
    </w:lvl>
    <w:lvl w:ilvl="7" w:tplc="810AFEBE" w:tentative="1">
      <w:start w:val="1"/>
      <w:numFmt w:val="decimal"/>
      <w:lvlText w:val="%8."/>
      <w:lvlJc w:val="left"/>
      <w:pPr>
        <w:tabs>
          <w:tab w:val="num" w:pos="5760"/>
        </w:tabs>
        <w:ind w:left="5760" w:hanging="360"/>
      </w:pPr>
    </w:lvl>
    <w:lvl w:ilvl="8" w:tplc="71D8CB86" w:tentative="1">
      <w:start w:val="1"/>
      <w:numFmt w:val="decimal"/>
      <w:lvlText w:val="%9."/>
      <w:lvlJc w:val="left"/>
      <w:pPr>
        <w:tabs>
          <w:tab w:val="num" w:pos="6480"/>
        </w:tabs>
        <w:ind w:left="6480" w:hanging="360"/>
      </w:pPr>
    </w:lvl>
  </w:abstractNum>
  <w:abstractNum w:abstractNumId="12">
    <w:nsid w:val="21D6582A"/>
    <w:multiLevelType w:val="multilevel"/>
    <w:tmpl w:val="067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F7989"/>
    <w:multiLevelType w:val="hybridMultilevel"/>
    <w:tmpl w:val="11A06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DA1CD3"/>
    <w:multiLevelType w:val="hybridMultilevel"/>
    <w:tmpl w:val="445A9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FA579EB"/>
    <w:multiLevelType w:val="hybridMultilevel"/>
    <w:tmpl w:val="D9F2A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121037"/>
    <w:multiLevelType w:val="hybridMultilevel"/>
    <w:tmpl w:val="8C0E8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F759A3"/>
    <w:multiLevelType w:val="hybridMultilevel"/>
    <w:tmpl w:val="026E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C4DD5"/>
    <w:multiLevelType w:val="hybridMultilevel"/>
    <w:tmpl w:val="62C24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9D97271"/>
    <w:multiLevelType w:val="hybridMultilevel"/>
    <w:tmpl w:val="58E24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9503F9"/>
    <w:multiLevelType w:val="hybridMultilevel"/>
    <w:tmpl w:val="D1C06B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9050076"/>
    <w:multiLevelType w:val="hybridMultilevel"/>
    <w:tmpl w:val="A6DE4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9A17CA3"/>
    <w:multiLevelType w:val="hybridMultilevel"/>
    <w:tmpl w:val="A3988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B2330C2"/>
    <w:multiLevelType w:val="multilevel"/>
    <w:tmpl w:val="10C491BA"/>
    <w:lvl w:ilvl="0">
      <w:start w:val="1"/>
      <w:numFmt w:val="decimal"/>
      <w:pStyle w:val="SAICANumberingParagraphs"/>
      <w:lvlText w:val="%1."/>
      <w:lvlJc w:val="left"/>
      <w:pPr>
        <w:ind w:left="502" w:hanging="360"/>
      </w:pPr>
      <w:rPr>
        <w:rFonts w:ascii="Arial" w:hAnsi="Arial" w:cs="Arial" w:hint="default"/>
        <w:b w:val="0"/>
        <w:i w:val="0"/>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456" w:hanging="1800"/>
      </w:pPr>
      <w:rPr>
        <w:rFonts w:hint="default"/>
      </w:rPr>
    </w:lvl>
  </w:abstractNum>
  <w:abstractNum w:abstractNumId="24">
    <w:nsid w:val="4FA15B6A"/>
    <w:multiLevelType w:val="hybridMultilevel"/>
    <w:tmpl w:val="C3632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9E2052"/>
    <w:multiLevelType w:val="hybridMultilevel"/>
    <w:tmpl w:val="2814D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9C03AB"/>
    <w:multiLevelType w:val="hybridMultilevel"/>
    <w:tmpl w:val="87A082B8"/>
    <w:lvl w:ilvl="0" w:tplc="6CDED8F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330ACD"/>
    <w:multiLevelType w:val="hybridMultilevel"/>
    <w:tmpl w:val="E542D4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D95A51"/>
    <w:multiLevelType w:val="hybridMultilevel"/>
    <w:tmpl w:val="65920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C9C14EF"/>
    <w:multiLevelType w:val="hybridMultilevel"/>
    <w:tmpl w:val="72BAB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0E906F8"/>
    <w:multiLevelType w:val="hybridMultilevel"/>
    <w:tmpl w:val="2D72F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0541D8"/>
    <w:multiLevelType w:val="hybridMultilevel"/>
    <w:tmpl w:val="726C3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7967FC0"/>
    <w:multiLevelType w:val="hybridMultilevel"/>
    <w:tmpl w:val="D340C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C581624"/>
    <w:multiLevelType w:val="hybridMultilevel"/>
    <w:tmpl w:val="4D6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6E4885"/>
    <w:multiLevelType w:val="hybridMultilevel"/>
    <w:tmpl w:val="B4860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3"/>
  </w:num>
  <w:num w:numId="4">
    <w:abstractNumId w:val="14"/>
  </w:num>
  <w:num w:numId="5">
    <w:abstractNumId w:val="16"/>
  </w:num>
  <w:num w:numId="6">
    <w:abstractNumId w:val="31"/>
  </w:num>
  <w:num w:numId="7">
    <w:abstractNumId w:val="18"/>
  </w:num>
  <w:num w:numId="8">
    <w:abstractNumId w:val="32"/>
  </w:num>
  <w:num w:numId="9">
    <w:abstractNumId w:val="20"/>
  </w:num>
  <w:num w:numId="10">
    <w:abstractNumId w:val="6"/>
  </w:num>
  <w:num w:numId="11">
    <w:abstractNumId w:val="3"/>
  </w:num>
  <w:num w:numId="12">
    <w:abstractNumId w:val="21"/>
  </w:num>
  <w:num w:numId="13">
    <w:abstractNumId w:val="34"/>
  </w:num>
  <w:num w:numId="14">
    <w:abstractNumId w:val="15"/>
  </w:num>
  <w:num w:numId="15">
    <w:abstractNumId w:val="4"/>
  </w:num>
  <w:num w:numId="16">
    <w:abstractNumId w:val="5"/>
  </w:num>
  <w:num w:numId="17">
    <w:abstractNumId w:val="1"/>
  </w:num>
  <w:num w:numId="18">
    <w:abstractNumId w:val="0"/>
  </w:num>
  <w:num w:numId="19">
    <w:abstractNumId w:val="17"/>
  </w:num>
  <w:num w:numId="20">
    <w:abstractNumId w:val="24"/>
  </w:num>
  <w:num w:numId="21">
    <w:abstractNumId w:val="19"/>
  </w:num>
  <w:num w:numId="22">
    <w:abstractNumId w:val="22"/>
  </w:num>
  <w:num w:numId="23">
    <w:abstractNumId w:val="13"/>
  </w:num>
  <w:num w:numId="24">
    <w:abstractNumId w:val="28"/>
  </w:num>
  <w:num w:numId="25">
    <w:abstractNumId w:val="12"/>
  </w:num>
  <w:num w:numId="26">
    <w:abstractNumId w:val="7"/>
  </w:num>
  <w:num w:numId="27">
    <w:abstractNumId w:val="26"/>
  </w:num>
  <w:num w:numId="28">
    <w:abstractNumId w:val="27"/>
  </w:num>
  <w:num w:numId="29">
    <w:abstractNumId w:val="29"/>
  </w:num>
  <w:num w:numId="30">
    <w:abstractNumId w:val="25"/>
  </w:num>
  <w:num w:numId="31">
    <w:abstractNumId w:val="8"/>
  </w:num>
  <w:num w:numId="32">
    <w:abstractNumId w:val="11"/>
  </w:num>
  <w:num w:numId="33">
    <w:abstractNumId w:val="9"/>
  </w:num>
  <w:num w:numId="34">
    <w:abstractNumId w:val="33"/>
  </w:num>
  <w:num w:numId="35">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95829"/>
    <w:rsid w:val="0000052B"/>
    <w:rsid w:val="00000927"/>
    <w:rsid w:val="00001249"/>
    <w:rsid w:val="00001486"/>
    <w:rsid w:val="0000196F"/>
    <w:rsid w:val="00001EC6"/>
    <w:rsid w:val="00002212"/>
    <w:rsid w:val="00002607"/>
    <w:rsid w:val="0000283C"/>
    <w:rsid w:val="00002A17"/>
    <w:rsid w:val="00002D87"/>
    <w:rsid w:val="00002F0B"/>
    <w:rsid w:val="0000348D"/>
    <w:rsid w:val="00003C1E"/>
    <w:rsid w:val="00004238"/>
    <w:rsid w:val="00004306"/>
    <w:rsid w:val="0000462E"/>
    <w:rsid w:val="00004FE4"/>
    <w:rsid w:val="0000595A"/>
    <w:rsid w:val="00005C67"/>
    <w:rsid w:val="00006554"/>
    <w:rsid w:val="00006C4C"/>
    <w:rsid w:val="00007530"/>
    <w:rsid w:val="000100F2"/>
    <w:rsid w:val="00010922"/>
    <w:rsid w:val="0001104A"/>
    <w:rsid w:val="00011107"/>
    <w:rsid w:val="00011185"/>
    <w:rsid w:val="00011340"/>
    <w:rsid w:val="00012B78"/>
    <w:rsid w:val="00014195"/>
    <w:rsid w:val="00014752"/>
    <w:rsid w:val="000156F8"/>
    <w:rsid w:val="000159B3"/>
    <w:rsid w:val="00015D98"/>
    <w:rsid w:val="000171D9"/>
    <w:rsid w:val="000173A6"/>
    <w:rsid w:val="000177A8"/>
    <w:rsid w:val="00017B65"/>
    <w:rsid w:val="00017D12"/>
    <w:rsid w:val="000209C5"/>
    <w:rsid w:val="00020A74"/>
    <w:rsid w:val="00020BBF"/>
    <w:rsid w:val="00020C23"/>
    <w:rsid w:val="00020F28"/>
    <w:rsid w:val="00021AD8"/>
    <w:rsid w:val="000223B9"/>
    <w:rsid w:val="000229AB"/>
    <w:rsid w:val="000240F0"/>
    <w:rsid w:val="00024BD7"/>
    <w:rsid w:val="00025DEA"/>
    <w:rsid w:val="00026000"/>
    <w:rsid w:val="00026028"/>
    <w:rsid w:val="0002619A"/>
    <w:rsid w:val="00026A40"/>
    <w:rsid w:val="0002708B"/>
    <w:rsid w:val="00027ADD"/>
    <w:rsid w:val="00027B24"/>
    <w:rsid w:val="00027E22"/>
    <w:rsid w:val="00030AD9"/>
    <w:rsid w:val="00031228"/>
    <w:rsid w:val="00031C47"/>
    <w:rsid w:val="000321DB"/>
    <w:rsid w:val="00032451"/>
    <w:rsid w:val="00033133"/>
    <w:rsid w:val="00033270"/>
    <w:rsid w:val="00033282"/>
    <w:rsid w:val="0003366F"/>
    <w:rsid w:val="000338DA"/>
    <w:rsid w:val="00033DB0"/>
    <w:rsid w:val="000341E3"/>
    <w:rsid w:val="000342E2"/>
    <w:rsid w:val="00034357"/>
    <w:rsid w:val="00034E54"/>
    <w:rsid w:val="0003508D"/>
    <w:rsid w:val="000357E8"/>
    <w:rsid w:val="00035A92"/>
    <w:rsid w:val="00036777"/>
    <w:rsid w:val="0003785A"/>
    <w:rsid w:val="00037C2E"/>
    <w:rsid w:val="000405BD"/>
    <w:rsid w:val="000416A8"/>
    <w:rsid w:val="0004171B"/>
    <w:rsid w:val="00041BC8"/>
    <w:rsid w:val="00042698"/>
    <w:rsid w:val="00042AC5"/>
    <w:rsid w:val="00043014"/>
    <w:rsid w:val="00043320"/>
    <w:rsid w:val="000435E5"/>
    <w:rsid w:val="00043C5D"/>
    <w:rsid w:val="00043D85"/>
    <w:rsid w:val="00043FA8"/>
    <w:rsid w:val="00044197"/>
    <w:rsid w:val="00044387"/>
    <w:rsid w:val="00044BDB"/>
    <w:rsid w:val="00044F94"/>
    <w:rsid w:val="000453EC"/>
    <w:rsid w:val="00045CB5"/>
    <w:rsid w:val="000468EF"/>
    <w:rsid w:val="0004714A"/>
    <w:rsid w:val="00047E55"/>
    <w:rsid w:val="00050B2D"/>
    <w:rsid w:val="00050C8C"/>
    <w:rsid w:val="00051782"/>
    <w:rsid w:val="00052E16"/>
    <w:rsid w:val="00053390"/>
    <w:rsid w:val="00053758"/>
    <w:rsid w:val="00053A47"/>
    <w:rsid w:val="00053BE8"/>
    <w:rsid w:val="000559D9"/>
    <w:rsid w:val="00055B68"/>
    <w:rsid w:val="00055C8D"/>
    <w:rsid w:val="00055EFC"/>
    <w:rsid w:val="00055F42"/>
    <w:rsid w:val="00056677"/>
    <w:rsid w:val="000566AF"/>
    <w:rsid w:val="000566C7"/>
    <w:rsid w:val="000572B4"/>
    <w:rsid w:val="00057445"/>
    <w:rsid w:val="00057B09"/>
    <w:rsid w:val="00060D15"/>
    <w:rsid w:val="0006141B"/>
    <w:rsid w:val="00061472"/>
    <w:rsid w:val="00062675"/>
    <w:rsid w:val="00063913"/>
    <w:rsid w:val="000643DA"/>
    <w:rsid w:val="00064C4F"/>
    <w:rsid w:val="00064DA3"/>
    <w:rsid w:val="00065121"/>
    <w:rsid w:val="000665DE"/>
    <w:rsid w:val="00067205"/>
    <w:rsid w:val="00067495"/>
    <w:rsid w:val="0006798A"/>
    <w:rsid w:val="000705EE"/>
    <w:rsid w:val="000712A8"/>
    <w:rsid w:val="000721E8"/>
    <w:rsid w:val="00072529"/>
    <w:rsid w:val="00072E04"/>
    <w:rsid w:val="00072E7A"/>
    <w:rsid w:val="00073DCF"/>
    <w:rsid w:val="000745A9"/>
    <w:rsid w:val="00074EA1"/>
    <w:rsid w:val="000756F7"/>
    <w:rsid w:val="0007577C"/>
    <w:rsid w:val="000758F0"/>
    <w:rsid w:val="00075C8E"/>
    <w:rsid w:val="0007621E"/>
    <w:rsid w:val="000767AB"/>
    <w:rsid w:val="000773EB"/>
    <w:rsid w:val="00080157"/>
    <w:rsid w:val="00080531"/>
    <w:rsid w:val="000810C9"/>
    <w:rsid w:val="00081310"/>
    <w:rsid w:val="000823B9"/>
    <w:rsid w:val="0008270D"/>
    <w:rsid w:val="0008276A"/>
    <w:rsid w:val="000832C1"/>
    <w:rsid w:val="000832E9"/>
    <w:rsid w:val="000836F6"/>
    <w:rsid w:val="000837C3"/>
    <w:rsid w:val="00083F9D"/>
    <w:rsid w:val="00083FA8"/>
    <w:rsid w:val="0008459F"/>
    <w:rsid w:val="00084777"/>
    <w:rsid w:val="00084E2B"/>
    <w:rsid w:val="00084E83"/>
    <w:rsid w:val="00084EA9"/>
    <w:rsid w:val="00085543"/>
    <w:rsid w:val="00085D9A"/>
    <w:rsid w:val="00086180"/>
    <w:rsid w:val="000865A9"/>
    <w:rsid w:val="00086BC8"/>
    <w:rsid w:val="00087089"/>
    <w:rsid w:val="000872BA"/>
    <w:rsid w:val="00087950"/>
    <w:rsid w:val="000879ED"/>
    <w:rsid w:val="000907E4"/>
    <w:rsid w:val="00090CEC"/>
    <w:rsid w:val="00091480"/>
    <w:rsid w:val="00091792"/>
    <w:rsid w:val="000929AF"/>
    <w:rsid w:val="00093221"/>
    <w:rsid w:val="00093829"/>
    <w:rsid w:val="00093FE9"/>
    <w:rsid w:val="00094498"/>
    <w:rsid w:val="000947AA"/>
    <w:rsid w:val="0009481C"/>
    <w:rsid w:val="00095AD3"/>
    <w:rsid w:val="00096506"/>
    <w:rsid w:val="000A016E"/>
    <w:rsid w:val="000A0986"/>
    <w:rsid w:val="000A0A56"/>
    <w:rsid w:val="000A11C1"/>
    <w:rsid w:val="000A158B"/>
    <w:rsid w:val="000A15F1"/>
    <w:rsid w:val="000A1994"/>
    <w:rsid w:val="000A317B"/>
    <w:rsid w:val="000A409C"/>
    <w:rsid w:val="000A4FC0"/>
    <w:rsid w:val="000A538E"/>
    <w:rsid w:val="000A5F21"/>
    <w:rsid w:val="000A6689"/>
    <w:rsid w:val="000A6745"/>
    <w:rsid w:val="000A6AB7"/>
    <w:rsid w:val="000A6F05"/>
    <w:rsid w:val="000A744E"/>
    <w:rsid w:val="000A7F3C"/>
    <w:rsid w:val="000A7FDD"/>
    <w:rsid w:val="000B0598"/>
    <w:rsid w:val="000B16B1"/>
    <w:rsid w:val="000B17BA"/>
    <w:rsid w:val="000B180B"/>
    <w:rsid w:val="000B1A9B"/>
    <w:rsid w:val="000B1AF1"/>
    <w:rsid w:val="000B29E0"/>
    <w:rsid w:val="000B2CA5"/>
    <w:rsid w:val="000B2FBA"/>
    <w:rsid w:val="000B3097"/>
    <w:rsid w:val="000B311C"/>
    <w:rsid w:val="000B32D9"/>
    <w:rsid w:val="000B3869"/>
    <w:rsid w:val="000B4C05"/>
    <w:rsid w:val="000B56FB"/>
    <w:rsid w:val="000B5BE2"/>
    <w:rsid w:val="000B5FC1"/>
    <w:rsid w:val="000B666A"/>
    <w:rsid w:val="000B6C99"/>
    <w:rsid w:val="000B72F4"/>
    <w:rsid w:val="000B7634"/>
    <w:rsid w:val="000B772D"/>
    <w:rsid w:val="000C04C9"/>
    <w:rsid w:val="000C04DB"/>
    <w:rsid w:val="000C131F"/>
    <w:rsid w:val="000C2509"/>
    <w:rsid w:val="000C2FFA"/>
    <w:rsid w:val="000C3460"/>
    <w:rsid w:val="000C450F"/>
    <w:rsid w:val="000C4D63"/>
    <w:rsid w:val="000C548C"/>
    <w:rsid w:val="000C5F1D"/>
    <w:rsid w:val="000C66E2"/>
    <w:rsid w:val="000C67FB"/>
    <w:rsid w:val="000C7513"/>
    <w:rsid w:val="000C7590"/>
    <w:rsid w:val="000C7A0E"/>
    <w:rsid w:val="000D0E83"/>
    <w:rsid w:val="000D0F27"/>
    <w:rsid w:val="000D126D"/>
    <w:rsid w:val="000D12DF"/>
    <w:rsid w:val="000D13A0"/>
    <w:rsid w:val="000D190A"/>
    <w:rsid w:val="000D1CEF"/>
    <w:rsid w:val="000D2436"/>
    <w:rsid w:val="000D2629"/>
    <w:rsid w:val="000D2705"/>
    <w:rsid w:val="000D30CC"/>
    <w:rsid w:val="000D3A89"/>
    <w:rsid w:val="000D3CB4"/>
    <w:rsid w:val="000D44B6"/>
    <w:rsid w:val="000D4989"/>
    <w:rsid w:val="000D4A5C"/>
    <w:rsid w:val="000D4A76"/>
    <w:rsid w:val="000D5CBE"/>
    <w:rsid w:val="000D619B"/>
    <w:rsid w:val="000D68F7"/>
    <w:rsid w:val="000D695B"/>
    <w:rsid w:val="000D727D"/>
    <w:rsid w:val="000D78ED"/>
    <w:rsid w:val="000E06C9"/>
    <w:rsid w:val="000E06CD"/>
    <w:rsid w:val="000E1ECE"/>
    <w:rsid w:val="000E2C5B"/>
    <w:rsid w:val="000E35F2"/>
    <w:rsid w:val="000E40D8"/>
    <w:rsid w:val="000E41E0"/>
    <w:rsid w:val="000E4778"/>
    <w:rsid w:val="000E4800"/>
    <w:rsid w:val="000E5B74"/>
    <w:rsid w:val="000E604B"/>
    <w:rsid w:val="000E6417"/>
    <w:rsid w:val="000E6C30"/>
    <w:rsid w:val="000E6C9A"/>
    <w:rsid w:val="000E7D1D"/>
    <w:rsid w:val="000E7FE4"/>
    <w:rsid w:val="000F072E"/>
    <w:rsid w:val="000F0C83"/>
    <w:rsid w:val="000F0CC0"/>
    <w:rsid w:val="000F1842"/>
    <w:rsid w:val="000F2258"/>
    <w:rsid w:val="000F27F6"/>
    <w:rsid w:val="000F2F7C"/>
    <w:rsid w:val="000F3A60"/>
    <w:rsid w:val="000F4283"/>
    <w:rsid w:val="000F43FE"/>
    <w:rsid w:val="000F500C"/>
    <w:rsid w:val="000F50B6"/>
    <w:rsid w:val="000F5B89"/>
    <w:rsid w:val="000F632A"/>
    <w:rsid w:val="00100658"/>
    <w:rsid w:val="00100B28"/>
    <w:rsid w:val="00100BEC"/>
    <w:rsid w:val="00100D3B"/>
    <w:rsid w:val="00100D71"/>
    <w:rsid w:val="00102110"/>
    <w:rsid w:val="00102C26"/>
    <w:rsid w:val="001048AF"/>
    <w:rsid w:val="00104A8D"/>
    <w:rsid w:val="00104C0C"/>
    <w:rsid w:val="00104C5E"/>
    <w:rsid w:val="00104F7E"/>
    <w:rsid w:val="00105203"/>
    <w:rsid w:val="001052B5"/>
    <w:rsid w:val="00106420"/>
    <w:rsid w:val="00106515"/>
    <w:rsid w:val="001065EE"/>
    <w:rsid w:val="0010672A"/>
    <w:rsid w:val="0010696F"/>
    <w:rsid w:val="00107AF9"/>
    <w:rsid w:val="00107BB5"/>
    <w:rsid w:val="001101ED"/>
    <w:rsid w:val="001115F5"/>
    <w:rsid w:val="0011176D"/>
    <w:rsid w:val="00111C3A"/>
    <w:rsid w:val="00111E0C"/>
    <w:rsid w:val="00112403"/>
    <w:rsid w:val="00112721"/>
    <w:rsid w:val="001128A3"/>
    <w:rsid w:val="0011299A"/>
    <w:rsid w:val="00112C3C"/>
    <w:rsid w:val="00112C74"/>
    <w:rsid w:val="0011336E"/>
    <w:rsid w:val="0011353D"/>
    <w:rsid w:val="00113B19"/>
    <w:rsid w:val="00114E26"/>
    <w:rsid w:val="00115E4E"/>
    <w:rsid w:val="001163CC"/>
    <w:rsid w:val="00116407"/>
    <w:rsid w:val="00116742"/>
    <w:rsid w:val="00116B54"/>
    <w:rsid w:val="00116C56"/>
    <w:rsid w:val="001174CF"/>
    <w:rsid w:val="001178BC"/>
    <w:rsid w:val="001179C8"/>
    <w:rsid w:val="00117C24"/>
    <w:rsid w:val="00120069"/>
    <w:rsid w:val="00120498"/>
    <w:rsid w:val="00121D40"/>
    <w:rsid w:val="00121FEE"/>
    <w:rsid w:val="00122384"/>
    <w:rsid w:val="00122BD9"/>
    <w:rsid w:val="00122D5D"/>
    <w:rsid w:val="00122D94"/>
    <w:rsid w:val="00122EEE"/>
    <w:rsid w:val="0012322D"/>
    <w:rsid w:val="00123384"/>
    <w:rsid w:val="001239CF"/>
    <w:rsid w:val="00123E79"/>
    <w:rsid w:val="00123EFC"/>
    <w:rsid w:val="00123FEB"/>
    <w:rsid w:val="00124823"/>
    <w:rsid w:val="0012484E"/>
    <w:rsid w:val="00125456"/>
    <w:rsid w:val="00125544"/>
    <w:rsid w:val="0012698B"/>
    <w:rsid w:val="00126F83"/>
    <w:rsid w:val="00126FE3"/>
    <w:rsid w:val="00127187"/>
    <w:rsid w:val="001273FA"/>
    <w:rsid w:val="00127C8A"/>
    <w:rsid w:val="0013025D"/>
    <w:rsid w:val="00130DC2"/>
    <w:rsid w:val="00131492"/>
    <w:rsid w:val="00132272"/>
    <w:rsid w:val="00132B46"/>
    <w:rsid w:val="0013355E"/>
    <w:rsid w:val="00133FCC"/>
    <w:rsid w:val="001341ED"/>
    <w:rsid w:val="00134858"/>
    <w:rsid w:val="00134C0C"/>
    <w:rsid w:val="00134E5F"/>
    <w:rsid w:val="00135275"/>
    <w:rsid w:val="00135652"/>
    <w:rsid w:val="00135723"/>
    <w:rsid w:val="00135A73"/>
    <w:rsid w:val="00135DBA"/>
    <w:rsid w:val="00136052"/>
    <w:rsid w:val="00136210"/>
    <w:rsid w:val="001372BC"/>
    <w:rsid w:val="00137782"/>
    <w:rsid w:val="001377D7"/>
    <w:rsid w:val="00137930"/>
    <w:rsid w:val="00137AEC"/>
    <w:rsid w:val="00137BEE"/>
    <w:rsid w:val="00140622"/>
    <w:rsid w:val="00140997"/>
    <w:rsid w:val="00140AFF"/>
    <w:rsid w:val="00140BDA"/>
    <w:rsid w:val="001410B1"/>
    <w:rsid w:val="00142852"/>
    <w:rsid w:val="00142CE8"/>
    <w:rsid w:val="00142EEA"/>
    <w:rsid w:val="00143195"/>
    <w:rsid w:val="00143B2A"/>
    <w:rsid w:val="00143DD3"/>
    <w:rsid w:val="00143EF7"/>
    <w:rsid w:val="00144A10"/>
    <w:rsid w:val="00144E82"/>
    <w:rsid w:val="00145122"/>
    <w:rsid w:val="001471DA"/>
    <w:rsid w:val="001473B4"/>
    <w:rsid w:val="00147545"/>
    <w:rsid w:val="00147645"/>
    <w:rsid w:val="00147922"/>
    <w:rsid w:val="001479D9"/>
    <w:rsid w:val="00147DE8"/>
    <w:rsid w:val="00147E9A"/>
    <w:rsid w:val="001503C7"/>
    <w:rsid w:val="0015046F"/>
    <w:rsid w:val="00150554"/>
    <w:rsid w:val="00150665"/>
    <w:rsid w:val="00150B8A"/>
    <w:rsid w:val="00150FA7"/>
    <w:rsid w:val="00151305"/>
    <w:rsid w:val="0015185B"/>
    <w:rsid w:val="001520B1"/>
    <w:rsid w:val="0015241F"/>
    <w:rsid w:val="001526E9"/>
    <w:rsid w:val="0015276E"/>
    <w:rsid w:val="001527DF"/>
    <w:rsid w:val="00153701"/>
    <w:rsid w:val="001539F1"/>
    <w:rsid w:val="00153BA0"/>
    <w:rsid w:val="00154A00"/>
    <w:rsid w:val="00155391"/>
    <w:rsid w:val="001553BA"/>
    <w:rsid w:val="00155631"/>
    <w:rsid w:val="0015567E"/>
    <w:rsid w:val="00155EBD"/>
    <w:rsid w:val="001572DD"/>
    <w:rsid w:val="00157514"/>
    <w:rsid w:val="001576B0"/>
    <w:rsid w:val="00157E0A"/>
    <w:rsid w:val="00160224"/>
    <w:rsid w:val="00160BB7"/>
    <w:rsid w:val="00160E1A"/>
    <w:rsid w:val="00160F9E"/>
    <w:rsid w:val="00161478"/>
    <w:rsid w:val="00161A65"/>
    <w:rsid w:val="001623F9"/>
    <w:rsid w:val="00162451"/>
    <w:rsid w:val="001624C1"/>
    <w:rsid w:val="00162F9B"/>
    <w:rsid w:val="00163256"/>
    <w:rsid w:val="00163978"/>
    <w:rsid w:val="00163DE2"/>
    <w:rsid w:val="0016401A"/>
    <w:rsid w:val="00164846"/>
    <w:rsid w:val="00164BB3"/>
    <w:rsid w:val="001650D1"/>
    <w:rsid w:val="0016512A"/>
    <w:rsid w:val="001651CC"/>
    <w:rsid w:val="001653E2"/>
    <w:rsid w:val="001663DC"/>
    <w:rsid w:val="00166E1C"/>
    <w:rsid w:val="00167570"/>
    <w:rsid w:val="00167AE5"/>
    <w:rsid w:val="001708C0"/>
    <w:rsid w:val="001709D4"/>
    <w:rsid w:val="00170CA9"/>
    <w:rsid w:val="00170E3D"/>
    <w:rsid w:val="00170E3F"/>
    <w:rsid w:val="00171018"/>
    <w:rsid w:val="00171045"/>
    <w:rsid w:val="00171E04"/>
    <w:rsid w:val="00171E0F"/>
    <w:rsid w:val="001723A4"/>
    <w:rsid w:val="00172759"/>
    <w:rsid w:val="00173303"/>
    <w:rsid w:val="001733FF"/>
    <w:rsid w:val="00173621"/>
    <w:rsid w:val="0017365A"/>
    <w:rsid w:val="0017397C"/>
    <w:rsid w:val="00174264"/>
    <w:rsid w:val="00174364"/>
    <w:rsid w:val="00174555"/>
    <w:rsid w:val="00175370"/>
    <w:rsid w:val="00176263"/>
    <w:rsid w:val="00176436"/>
    <w:rsid w:val="001768F4"/>
    <w:rsid w:val="001774C8"/>
    <w:rsid w:val="00177612"/>
    <w:rsid w:val="001805FB"/>
    <w:rsid w:val="00181106"/>
    <w:rsid w:val="0018175D"/>
    <w:rsid w:val="00181941"/>
    <w:rsid w:val="00181DBD"/>
    <w:rsid w:val="001828A9"/>
    <w:rsid w:val="00182DD0"/>
    <w:rsid w:val="00182F10"/>
    <w:rsid w:val="001831C9"/>
    <w:rsid w:val="0018379F"/>
    <w:rsid w:val="00184413"/>
    <w:rsid w:val="00184455"/>
    <w:rsid w:val="001844EF"/>
    <w:rsid w:val="00184A9F"/>
    <w:rsid w:val="00184B97"/>
    <w:rsid w:val="00184D5A"/>
    <w:rsid w:val="00185B3E"/>
    <w:rsid w:val="00185EE1"/>
    <w:rsid w:val="001865B7"/>
    <w:rsid w:val="0018683D"/>
    <w:rsid w:val="00186ADC"/>
    <w:rsid w:val="00186D9D"/>
    <w:rsid w:val="00187BCD"/>
    <w:rsid w:val="00187F0F"/>
    <w:rsid w:val="00190422"/>
    <w:rsid w:val="0019086B"/>
    <w:rsid w:val="00190CFB"/>
    <w:rsid w:val="00190EAD"/>
    <w:rsid w:val="00191715"/>
    <w:rsid w:val="00191EBA"/>
    <w:rsid w:val="00191FD0"/>
    <w:rsid w:val="0019270D"/>
    <w:rsid w:val="0019271D"/>
    <w:rsid w:val="0019332B"/>
    <w:rsid w:val="00193A56"/>
    <w:rsid w:val="00193F8D"/>
    <w:rsid w:val="00193FC3"/>
    <w:rsid w:val="001942A0"/>
    <w:rsid w:val="00194A48"/>
    <w:rsid w:val="00195EBD"/>
    <w:rsid w:val="00195F63"/>
    <w:rsid w:val="0019601F"/>
    <w:rsid w:val="00196604"/>
    <w:rsid w:val="0019788A"/>
    <w:rsid w:val="001A1658"/>
    <w:rsid w:val="001A2395"/>
    <w:rsid w:val="001A23C1"/>
    <w:rsid w:val="001A2A49"/>
    <w:rsid w:val="001A331C"/>
    <w:rsid w:val="001A48FC"/>
    <w:rsid w:val="001A58CF"/>
    <w:rsid w:val="001A66A5"/>
    <w:rsid w:val="001A6E57"/>
    <w:rsid w:val="001A70CA"/>
    <w:rsid w:val="001A7263"/>
    <w:rsid w:val="001A787F"/>
    <w:rsid w:val="001A7CBA"/>
    <w:rsid w:val="001A7E49"/>
    <w:rsid w:val="001B080F"/>
    <w:rsid w:val="001B0C9A"/>
    <w:rsid w:val="001B157B"/>
    <w:rsid w:val="001B16B4"/>
    <w:rsid w:val="001B1B7E"/>
    <w:rsid w:val="001B2D56"/>
    <w:rsid w:val="001B32D2"/>
    <w:rsid w:val="001B36AB"/>
    <w:rsid w:val="001B3B22"/>
    <w:rsid w:val="001B3EF0"/>
    <w:rsid w:val="001B6F46"/>
    <w:rsid w:val="001B749E"/>
    <w:rsid w:val="001B74B8"/>
    <w:rsid w:val="001B77B3"/>
    <w:rsid w:val="001B79CB"/>
    <w:rsid w:val="001B7AF9"/>
    <w:rsid w:val="001C00CB"/>
    <w:rsid w:val="001C04FB"/>
    <w:rsid w:val="001C06F5"/>
    <w:rsid w:val="001C0BA7"/>
    <w:rsid w:val="001C1699"/>
    <w:rsid w:val="001C1916"/>
    <w:rsid w:val="001C1D97"/>
    <w:rsid w:val="001C20B4"/>
    <w:rsid w:val="001C2739"/>
    <w:rsid w:val="001C2C9C"/>
    <w:rsid w:val="001C3ED8"/>
    <w:rsid w:val="001C40A5"/>
    <w:rsid w:val="001C45AE"/>
    <w:rsid w:val="001C5674"/>
    <w:rsid w:val="001C58E8"/>
    <w:rsid w:val="001C6183"/>
    <w:rsid w:val="001C6871"/>
    <w:rsid w:val="001C6A26"/>
    <w:rsid w:val="001C6D64"/>
    <w:rsid w:val="001C7CEE"/>
    <w:rsid w:val="001D014E"/>
    <w:rsid w:val="001D0445"/>
    <w:rsid w:val="001D07C2"/>
    <w:rsid w:val="001D082A"/>
    <w:rsid w:val="001D2116"/>
    <w:rsid w:val="001D24CA"/>
    <w:rsid w:val="001D2C5B"/>
    <w:rsid w:val="001D2D8D"/>
    <w:rsid w:val="001D36AE"/>
    <w:rsid w:val="001D4B96"/>
    <w:rsid w:val="001D4D55"/>
    <w:rsid w:val="001D571B"/>
    <w:rsid w:val="001D582E"/>
    <w:rsid w:val="001D5A58"/>
    <w:rsid w:val="001D5C94"/>
    <w:rsid w:val="001D6D4E"/>
    <w:rsid w:val="001D71F8"/>
    <w:rsid w:val="001D7A9E"/>
    <w:rsid w:val="001D7F75"/>
    <w:rsid w:val="001E07AC"/>
    <w:rsid w:val="001E18F0"/>
    <w:rsid w:val="001E192B"/>
    <w:rsid w:val="001E1B57"/>
    <w:rsid w:val="001E1E95"/>
    <w:rsid w:val="001E2585"/>
    <w:rsid w:val="001E2AC3"/>
    <w:rsid w:val="001E2D73"/>
    <w:rsid w:val="001E3391"/>
    <w:rsid w:val="001E3970"/>
    <w:rsid w:val="001E3A09"/>
    <w:rsid w:val="001E3C49"/>
    <w:rsid w:val="001E3E6B"/>
    <w:rsid w:val="001E4047"/>
    <w:rsid w:val="001E46B0"/>
    <w:rsid w:val="001E55CC"/>
    <w:rsid w:val="001E563D"/>
    <w:rsid w:val="001E5933"/>
    <w:rsid w:val="001E5EB3"/>
    <w:rsid w:val="001E6883"/>
    <w:rsid w:val="001E6FF0"/>
    <w:rsid w:val="001E756E"/>
    <w:rsid w:val="001E7574"/>
    <w:rsid w:val="001E7690"/>
    <w:rsid w:val="001E7801"/>
    <w:rsid w:val="001E7A85"/>
    <w:rsid w:val="001F099F"/>
    <w:rsid w:val="001F0B2E"/>
    <w:rsid w:val="001F135D"/>
    <w:rsid w:val="001F1650"/>
    <w:rsid w:val="001F1A49"/>
    <w:rsid w:val="001F1B5E"/>
    <w:rsid w:val="001F1EF7"/>
    <w:rsid w:val="001F246D"/>
    <w:rsid w:val="001F2762"/>
    <w:rsid w:val="001F29BB"/>
    <w:rsid w:val="001F2F05"/>
    <w:rsid w:val="001F3C72"/>
    <w:rsid w:val="001F4718"/>
    <w:rsid w:val="001F477F"/>
    <w:rsid w:val="001F4809"/>
    <w:rsid w:val="001F4927"/>
    <w:rsid w:val="001F4B9B"/>
    <w:rsid w:val="001F63BF"/>
    <w:rsid w:val="001F63EC"/>
    <w:rsid w:val="001F674B"/>
    <w:rsid w:val="001F68CD"/>
    <w:rsid w:val="001F6EA1"/>
    <w:rsid w:val="001F7AF8"/>
    <w:rsid w:val="0020024C"/>
    <w:rsid w:val="00200327"/>
    <w:rsid w:val="002003DA"/>
    <w:rsid w:val="002015F7"/>
    <w:rsid w:val="00201C6B"/>
    <w:rsid w:val="00201DBB"/>
    <w:rsid w:val="00202D1B"/>
    <w:rsid w:val="00203186"/>
    <w:rsid w:val="00203540"/>
    <w:rsid w:val="00204062"/>
    <w:rsid w:val="002040B0"/>
    <w:rsid w:val="002042EB"/>
    <w:rsid w:val="002043A6"/>
    <w:rsid w:val="00204844"/>
    <w:rsid w:val="00204DEC"/>
    <w:rsid w:val="0020563B"/>
    <w:rsid w:val="00205977"/>
    <w:rsid w:val="00205E77"/>
    <w:rsid w:val="00206121"/>
    <w:rsid w:val="00206328"/>
    <w:rsid w:val="00206A66"/>
    <w:rsid w:val="00206E3F"/>
    <w:rsid w:val="00207522"/>
    <w:rsid w:val="00207C15"/>
    <w:rsid w:val="00207E1F"/>
    <w:rsid w:val="0021036E"/>
    <w:rsid w:val="00210C4F"/>
    <w:rsid w:val="002117E4"/>
    <w:rsid w:val="00211D02"/>
    <w:rsid w:val="00212357"/>
    <w:rsid w:val="0021246F"/>
    <w:rsid w:val="0021266B"/>
    <w:rsid w:val="00212691"/>
    <w:rsid w:val="00212914"/>
    <w:rsid w:val="00213AEA"/>
    <w:rsid w:val="00213F73"/>
    <w:rsid w:val="00214052"/>
    <w:rsid w:val="00214646"/>
    <w:rsid w:val="00214B9D"/>
    <w:rsid w:val="00214BED"/>
    <w:rsid w:val="00215D2B"/>
    <w:rsid w:val="00215F7A"/>
    <w:rsid w:val="00217184"/>
    <w:rsid w:val="0022106D"/>
    <w:rsid w:val="0022138F"/>
    <w:rsid w:val="0022177D"/>
    <w:rsid w:val="00221C5A"/>
    <w:rsid w:val="00222580"/>
    <w:rsid w:val="00222BF1"/>
    <w:rsid w:val="00222D50"/>
    <w:rsid w:val="00222FBC"/>
    <w:rsid w:val="00223B1B"/>
    <w:rsid w:val="0022521E"/>
    <w:rsid w:val="00225BE5"/>
    <w:rsid w:val="00226167"/>
    <w:rsid w:val="0022644B"/>
    <w:rsid w:val="00227070"/>
    <w:rsid w:val="002272B1"/>
    <w:rsid w:val="00227866"/>
    <w:rsid w:val="0022795E"/>
    <w:rsid w:val="00227AC0"/>
    <w:rsid w:val="002306F7"/>
    <w:rsid w:val="00230B54"/>
    <w:rsid w:val="00231096"/>
    <w:rsid w:val="0023138B"/>
    <w:rsid w:val="00232812"/>
    <w:rsid w:val="002328D9"/>
    <w:rsid w:val="00232DE8"/>
    <w:rsid w:val="00233CF6"/>
    <w:rsid w:val="00233E18"/>
    <w:rsid w:val="00233F64"/>
    <w:rsid w:val="002341CC"/>
    <w:rsid w:val="002342F0"/>
    <w:rsid w:val="002346C8"/>
    <w:rsid w:val="00234700"/>
    <w:rsid w:val="00234758"/>
    <w:rsid w:val="00234B92"/>
    <w:rsid w:val="00234CA6"/>
    <w:rsid w:val="00235117"/>
    <w:rsid w:val="00235248"/>
    <w:rsid w:val="00235DB9"/>
    <w:rsid w:val="0023633A"/>
    <w:rsid w:val="0023649F"/>
    <w:rsid w:val="0023696E"/>
    <w:rsid w:val="00237555"/>
    <w:rsid w:val="00237A51"/>
    <w:rsid w:val="0024108F"/>
    <w:rsid w:val="002414D4"/>
    <w:rsid w:val="00241810"/>
    <w:rsid w:val="00241B4E"/>
    <w:rsid w:val="00241C26"/>
    <w:rsid w:val="00242203"/>
    <w:rsid w:val="0024267F"/>
    <w:rsid w:val="00242CA7"/>
    <w:rsid w:val="002435EC"/>
    <w:rsid w:val="0024466F"/>
    <w:rsid w:val="00245040"/>
    <w:rsid w:val="002457E2"/>
    <w:rsid w:val="00245C11"/>
    <w:rsid w:val="002468CE"/>
    <w:rsid w:val="00247143"/>
    <w:rsid w:val="002501A1"/>
    <w:rsid w:val="0025033C"/>
    <w:rsid w:val="002505C2"/>
    <w:rsid w:val="002508A2"/>
    <w:rsid w:val="0025096A"/>
    <w:rsid w:val="00250A06"/>
    <w:rsid w:val="00251C96"/>
    <w:rsid w:val="00251D3C"/>
    <w:rsid w:val="00251DD7"/>
    <w:rsid w:val="002531FC"/>
    <w:rsid w:val="00253C0A"/>
    <w:rsid w:val="00255AB8"/>
    <w:rsid w:val="002561F0"/>
    <w:rsid w:val="002562AB"/>
    <w:rsid w:val="0025679B"/>
    <w:rsid w:val="0025771A"/>
    <w:rsid w:val="00257731"/>
    <w:rsid w:val="0025774E"/>
    <w:rsid w:val="00257D36"/>
    <w:rsid w:val="002606B0"/>
    <w:rsid w:val="00260AFC"/>
    <w:rsid w:val="00260DDD"/>
    <w:rsid w:val="0026186C"/>
    <w:rsid w:val="00261F16"/>
    <w:rsid w:val="00262ADA"/>
    <w:rsid w:val="00262FE3"/>
    <w:rsid w:val="0026313D"/>
    <w:rsid w:val="0026391E"/>
    <w:rsid w:val="00263A21"/>
    <w:rsid w:val="00264713"/>
    <w:rsid w:val="00264851"/>
    <w:rsid w:val="00264AAC"/>
    <w:rsid w:val="002650F5"/>
    <w:rsid w:val="0026522D"/>
    <w:rsid w:val="00265714"/>
    <w:rsid w:val="00265EA4"/>
    <w:rsid w:val="00266A42"/>
    <w:rsid w:val="002702C1"/>
    <w:rsid w:val="00271E84"/>
    <w:rsid w:val="00271F7D"/>
    <w:rsid w:val="00272991"/>
    <w:rsid w:val="00272CDB"/>
    <w:rsid w:val="00273037"/>
    <w:rsid w:val="00273054"/>
    <w:rsid w:val="0027318E"/>
    <w:rsid w:val="0027363B"/>
    <w:rsid w:val="00273E1B"/>
    <w:rsid w:val="00274300"/>
    <w:rsid w:val="00274FB4"/>
    <w:rsid w:val="002753AB"/>
    <w:rsid w:val="00276F36"/>
    <w:rsid w:val="0027756A"/>
    <w:rsid w:val="002777D6"/>
    <w:rsid w:val="0027799D"/>
    <w:rsid w:val="00280C65"/>
    <w:rsid w:val="00281334"/>
    <w:rsid w:val="00282817"/>
    <w:rsid w:val="00282DB0"/>
    <w:rsid w:val="00282F49"/>
    <w:rsid w:val="00283151"/>
    <w:rsid w:val="002831F5"/>
    <w:rsid w:val="002832BA"/>
    <w:rsid w:val="0028386B"/>
    <w:rsid w:val="00283BF2"/>
    <w:rsid w:val="00283C6C"/>
    <w:rsid w:val="00283F7D"/>
    <w:rsid w:val="00284605"/>
    <w:rsid w:val="00284D0C"/>
    <w:rsid w:val="00284FBC"/>
    <w:rsid w:val="00285D5F"/>
    <w:rsid w:val="00285E45"/>
    <w:rsid w:val="002860B4"/>
    <w:rsid w:val="002860DD"/>
    <w:rsid w:val="002861E9"/>
    <w:rsid w:val="002865CB"/>
    <w:rsid w:val="00286957"/>
    <w:rsid w:val="00287918"/>
    <w:rsid w:val="00287971"/>
    <w:rsid w:val="00290231"/>
    <w:rsid w:val="0029025F"/>
    <w:rsid w:val="002907EC"/>
    <w:rsid w:val="00290B72"/>
    <w:rsid w:val="002913C6"/>
    <w:rsid w:val="0029161D"/>
    <w:rsid w:val="00291627"/>
    <w:rsid w:val="00293519"/>
    <w:rsid w:val="00293DA3"/>
    <w:rsid w:val="002942CC"/>
    <w:rsid w:val="002942F9"/>
    <w:rsid w:val="00294A50"/>
    <w:rsid w:val="00295895"/>
    <w:rsid w:val="002A0149"/>
    <w:rsid w:val="002A0FE0"/>
    <w:rsid w:val="002A1621"/>
    <w:rsid w:val="002A1730"/>
    <w:rsid w:val="002A1CA0"/>
    <w:rsid w:val="002A2943"/>
    <w:rsid w:val="002A2AD7"/>
    <w:rsid w:val="002A356B"/>
    <w:rsid w:val="002A4AA0"/>
    <w:rsid w:val="002A4F83"/>
    <w:rsid w:val="002A50BB"/>
    <w:rsid w:val="002A50F8"/>
    <w:rsid w:val="002A5ADE"/>
    <w:rsid w:val="002A61DC"/>
    <w:rsid w:val="002A6525"/>
    <w:rsid w:val="002A697B"/>
    <w:rsid w:val="002A6CA0"/>
    <w:rsid w:val="002A79A8"/>
    <w:rsid w:val="002A7EB8"/>
    <w:rsid w:val="002B013D"/>
    <w:rsid w:val="002B0276"/>
    <w:rsid w:val="002B0AC5"/>
    <w:rsid w:val="002B0E81"/>
    <w:rsid w:val="002B1319"/>
    <w:rsid w:val="002B15EE"/>
    <w:rsid w:val="002B1A8C"/>
    <w:rsid w:val="002B2834"/>
    <w:rsid w:val="002B29D3"/>
    <w:rsid w:val="002B2E5E"/>
    <w:rsid w:val="002B3CFD"/>
    <w:rsid w:val="002B44A8"/>
    <w:rsid w:val="002B4F7E"/>
    <w:rsid w:val="002B4FAB"/>
    <w:rsid w:val="002B632F"/>
    <w:rsid w:val="002B6499"/>
    <w:rsid w:val="002B6D06"/>
    <w:rsid w:val="002B745B"/>
    <w:rsid w:val="002B77BC"/>
    <w:rsid w:val="002B7AD2"/>
    <w:rsid w:val="002B7B06"/>
    <w:rsid w:val="002C0352"/>
    <w:rsid w:val="002C04E3"/>
    <w:rsid w:val="002C0673"/>
    <w:rsid w:val="002C0674"/>
    <w:rsid w:val="002C1C2E"/>
    <w:rsid w:val="002C2508"/>
    <w:rsid w:val="002C2867"/>
    <w:rsid w:val="002C2A35"/>
    <w:rsid w:val="002C314F"/>
    <w:rsid w:val="002C355F"/>
    <w:rsid w:val="002C37BC"/>
    <w:rsid w:val="002C3B86"/>
    <w:rsid w:val="002C488A"/>
    <w:rsid w:val="002C5C08"/>
    <w:rsid w:val="002C5C23"/>
    <w:rsid w:val="002C6C6E"/>
    <w:rsid w:val="002C74FC"/>
    <w:rsid w:val="002C75D7"/>
    <w:rsid w:val="002C7633"/>
    <w:rsid w:val="002C7D9B"/>
    <w:rsid w:val="002D0AE3"/>
    <w:rsid w:val="002D0B13"/>
    <w:rsid w:val="002D0DDD"/>
    <w:rsid w:val="002D0F3F"/>
    <w:rsid w:val="002D15E2"/>
    <w:rsid w:val="002D16EB"/>
    <w:rsid w:val="002D1AF2"/>
    <w:rsid w:val="002D1E0E"/>
    <w:rsid w:val="002D1EC5"/>
    <w:rsid w:val="002D244F"/>
    <w:rsid w:val="002D300B"/>
    <w:rsid w:val="002D3789"/>
    <w:rsid w:val="002D3828"/>
    <w:rsid w:val="002D39A0"/>
    <w:rsid w:val="002D3F26"/>
    <w:rsid w:val="002D3FFD"/>
    <w:rsid w:val="002D49FC"/>
    <w:rsid w:val="002D4E8F"/>
    <w:rsid w:val="002D5A86"/>
    <w:rsid w:val="002D5EE9"/>
    <w:rsid w:val="002D63C2"/>
    <w:rsid w:val="002D6F59"/>
    <w:rsid w:val="002D740A"/>
    <w:rsid w:val="002D7778"/>
    <w:rsid w:val="002E0772"/>
    <w:rsid w:val="002E0CDC"/>
    <w:rsid w:val="002E0D43"/>
    <w:rsid w:val="002E0F73"/>
    <w:rsid w:val="002E11A2"/>
    <w:rsid w:val="002E1317"/>
    <w:rsid w:val="002E1BAE"/>
    <w:rsid w:val="002E1F18"/>
    <w:rsid w:val="002E2102"/>
    <w:rsid w:val="002E267A"/>
    <w:rsid w:val="002E2C32"/>
    <w:rsid w:val="002E34F8"/>
    <w:rsid w:val="002E461C"/>
    <w:rsid w:val="002E48DF"/>
    <w:rsid w:val="002E594A"/>
    <w:rsid w:val="002E5A3A"/>
    <w:rsid w:val="002E5A58"/>
    <w:rsid w:val="002E63BE"/>
    <w:rsid w:val="002E65D6"/>
    <w:rsid w:val="002E6A9A"/>
    <w:rsid w:val="002E6E92"/>
    <w:rsid w:val="002E77B0"/>
    <w:rsid w:val="002E7987"/>
    <w:rsid w:val="002E7D45"/>
    <w:rsid w:val="002E7DAC"/>
    <w:rsid w:val="002F0561"/>
    <w:rsid w:val="002F085E"/>
    <w:rsid w:val="002F0AA7"/>
    <w:rsid w:val="002F0E5D"/>
    <w:rsid w:val="002F1158"/>
    <w:rsid w:val="002F127C"/>
    <w:rsid w:val="002F14EC"/>
    <w:rsid w:val="002F17A8"/>
    <w:rsid w:val="002F19E9"/>
    <w:rsid w:val="002F203C"/>
    <w:rsid w:val="002F235B"/>
    <w:rsid w:val="002F298A"/>
    <w:rsid w:val="002F2B1D"/>
    <w:rsid w:val="002F2DBC"/>
    <w:rsid w:val="002F3DF0"/>
    <w:rsid w:val="002F4E51"/>
    <w:rsid w:val="002F5EE6"/>
    <w:rsid w:val="002F6BFD"/>
    <w:rsid w:val="002F6EDD"/>
    <w:rsid w:val="002F7F18"/>
    <w:rsid w:val="002F7FC8"/>
    <w:rsid w:val="00300036"/>
    <w:rsid w:val="003003AC"/>
    <w:rsid w:val="0030041C"/>
    <w:rsid w:val="003009AD"/>
    <w:rsid w:val="00300E99"/>
    <w:rsid w:val="003012A5"/>
    <w:rsid w:val="0030145B"/>
    <w:rsid w:val="00301544"/>
    <w:rsid w:val="00301872"/>
    <w:rsid w:val="00301C87"/>
    <w:rsid w:val="00301F2F"/>
    <w:rsid w:val="003027DC"/>
    <w:rsid w:val="00303312"/>
    <w:rsid w:val="00304861"/>
    <w:rsid w:val="0030495A"/>
    <w:rsid w:val="00304BD8"/>
    <w:rsid w:val="00305829"/>
    <w:rsid w:val="00305B8C"/>
    <w:rsid w:val="00305E4B"/>
    <w:rsid w:val="003067A8"/>
    <w:rsid w:val="00307116"/>
    <w:rsid w:val="00307B07"/>
    <w:rsid w:val="00307BD3"/>
    <w:rsid w:val="00307CA6"/>
    <w:rsid w:val="0031130E"/>
    <w:rsid w:val="0031144D"/>
    <w:rsid w:val="00311921"/>
    <w:rsid w:val="00311C58"/>
    <w:rsid w:val="003122FF"/>
    <w:rsid w:val="00312976"/>
    <w:rsid w:val="00312D1C"/>
    <w:rsid w:val="00313612"/>
    <w:rsid w:val="003136F1"/>
    <w:rsid w:val="00313788"/>
    <w:rsid w:val="00313C6A"/>
    <w:rsid w:val="00313EFA"/>
    <w:rsid w:val="003143EC"/>
    <w:rsid w:val="00314C0C"/>
    <w:rsid w:val="00315C82"/>
    <w:rsid w:val="00315F59"/>
    <w:rsid w:val="0031608F"/>
    <w:rsid w:val="003179F2"/>
    <w:rsid w:val="003179F3"/>
    <w:rsid w:val="00317AAD"/>
    <w:rsid w:val="0032013E"/>
    <w:rsid w:val="003203E2"/>
    <w:rsid w:val="00320513"/>
    <w:rsid w:val="003212A5"/>
    <w:rsid w:val="00321330"/>
    <w:rsid w:val="003217F5"/>
    <w:rsid w:val="00321C9B"/>
    <w:rsid w:val="00322361"/>
    <w:rsid w:val="003227BC"/>
    <w:rsid w:val="003240C5"/>
    <w:rsid w:val="003246E0"/>
    <w:rsid w:val="00324C3E"/>
    <w:rsid w:val="00324F85"/>
    <w:rsid w:val="00325F16"/>
    <w:rsid w:val="0032609E"/>
    <w:rsid w:val="00326770"/>
    <w:rsid w:val="003277EC"/>
    <w:rsid w:val="00327CBB"/>
    <w:rsid w:val="00330CAC"/>
    <w:rsid w:val="00330F26"/>
    <w:rsid w:val="00331035"/>
    <w:rsid w:val="00331582"/>
    <w:rsid w:val="00331C89"/>
    <w:rsid w:val="00332009"/>
    <w:rsid w:val="003321BE"/>
    <w:rsid w:val="003322C5"/>
    <w:rsid w:val="003323C4"/>
    <w:rsid w:val="0033302D"/>
    <w:rsid w:val="00333350"/>
    <w:rsid w:val="00333621"/>
    <w:rsid w:val="00334A19"/>
    <w:rsid w:val="00334C64"/>
    <w:rsid w:val="00335A19"/>
    <w:rsid w:val="00335BDB"/>
    <w:rsid w:val="00335C23"/>
    <w:rsid w:val="00335F97"/>
    <w:rsid w:val="0033638F"/>
    <w:rsid w:val="00336534"/>
    <w:rsid w:val="0033660F"/>
    <w:rsid w:val="00336DE0"/>
    <w:rsid w:val="00336F9A"/>
    <w:rsid w:val="0033707A"/>
    <w:rsid w:val="003379CD"/>
    <w:rsid w:val="00337B24"/>
    <w:rsid w:val="00337CF3"/>
    <w:rsid w:val="00340B20"/>
    <w:rsid w:val="00340BE3"/>
    <w:rsid w:val="00341339"/>
    <w:rsid w:val="0034135A"/>
    <w:rsid w:val="00342AE6"/>
    <w:rsid w:val="00342EBE"/>
    <w:rsid w:val="00343375"/>
    <w:rsid w:val="003435C8"/>
    <w:rsid w:val="00343F38"/>
    <w:rsid w:val="00344061"/>
    <w:rsid w:val="00344780"/>
    <w:rsid w:val="00344800"/>
    <w:rsid w:val="00344F28"/>
    <w:rsid w:val="003458B0"/>
    <w:rsid w:val="00345EF2"/>
    <w:rsid w:val="00346070"/>
    <w:rsid w:val="00346191"/>
    <w:rsid w:val="00346C9F"/>
    <w:rsid w:val="00347435"/>
    <w:rsid w:val="003474C9"/>
    <w:rsid w:val="00347539"/>
    <w:rsid w:val="00347A55"/>
    <w:rsid w:val="00347D54"/>
    <w:rsid w:val="00347E26"/>
    <w:rsid w:val="00350B44"/>
    <w:rsid w:val="00351EEC"/>
    <w:rsid w:val="00352551"/>
    <w:rsid w:val="003526D1"/>
    <w:rsid w:val="003529B7"/>
    <w:rsid w:val="00352E02"/>
    <w:rsid w:val="0035389A"/>
    <w:rsid w:val="00353BB5"/>
    <w:rsid w:val="003550C2"/>
    <w:rsid w:val="00355373"/>
    <w:rsid w:val="003554CB"/>
    <w:rsid w:val="00355A0F"/>
    <w:rsid w:val="00356419"/>
    <w:rsid w:val="00356E95"/>
    <w:rsid w:val="00357D14"/>
    <w:rsid w:val="0036003B"/>
    <w:rsid w:val="00360076"/>
    <w:rsid w:val="00360210"/>
    <w:rsid w:val="00360763"/>
    <w:rsid w:val="003609D3"/>
    <w:rsid w:val="00360BF9"/>
    <w:rsid w:val="00360E2D"/>
    <w:rsid w:val="00360ECC"/>
    <w:rsid w:val="00360FBB"/>
    <w:rsid w:val="00361139"/>
    <w:rsid w:val="0036139C"/>
    <w:rsid w:val="00361AFE"/>
    <w:rsid w:val="00362185"/>
    <w:rsid w:val="00362771"/>
    <w:rsid w:val="00362B73"/>
    <w:rsid w:val="00363855"/>
    <w:rsid w:val="00363C71"/>
    <w:rsid w:val="00363F97"/>
    <w:rsid w:val="00364485"/>
    <w:rsid w:val="003644C8"/>
    <w:rsid w:val="00364E4E"/>
    <w:rsid w:val="00365151"/>
    <w:rsid w:val="003653EB"/>
    <w:rsid w:val="00365C71"/>
    <w:rsid w:val="00366D54"/>
    <w:rsid w:val="0036743F"/>
    <w:rsid w:val="00370C83"/>
    <w:rsid w:val="003713C8"/>
    <w:rsid w:val="00371640"/>
    <w:rsid w:val="00371BFC"/>
    <w:rsid w:val="00372052"/>
    <w:rsid w:val="00373349"/>
    <w:rsid w:val="00373D24"/>
    <w:rsid w:val="0037438B"/>
    <w:rsid w:val="00374891"/>
    <w:rsid w:val="003767DB"/>
    <w:rsid w:val="0037695C"/>
    <w:rsid w:val="00376F45"/>
    <w:rsid w:val="00377154"/>
    <w:rsid w:val="003774EC"/>
    <w:rsid w:val="00380208"/>
    <w:rsid w:val="00381254"/>
    <w:rsid w:val="00381610"/>
    <w:rsid w:val="00381AEB"/>
    <w:rsid w:val="00382816"/>
    <w:rsid w:val="0038310B"/>
    <w:rsid w:val="00383217"/>
    <w:rsid w:val="00383430"/>
    <w:rsid w:val="00383832"/>
    <w:rsid w:val="00384471"/>
    <w:rsid w:val="00385540"/>
    <w:rsid w:val="0038569A"/>
    <w:rsid w:val="00385EA5"/>
    <w:rsid w:val="00385FE6"/>
    <w:rsid w:val="0038742F"/>
    <w:rsid w:val="00387BAB"/>
    <w:rsid w:val="0039098E"/>
    <w:rsid w:val="0039114D"/>
    <w:rsid w:val="00391B02"/>
    <w:rsid w:val="00391B71"/>
    <w:rsid w:val="003920F8"/>
    <w:rsid w:val="0039212B"/>
    <w:rsid w:val="00392D45"/>
    <w:rsid w:val="003930C5"/>
    <w:rsid w:val="00393237"/>
    <w:rsid w:val="003935A6"/>
    <w:rsid w:val="00394029"/>
    <w:rsid w:val="00395DD4"/>
    <w:rsid w:val="003964D6"/>
    <w:rsid w:val="0039736B"/>
    <w:rsid w:val="0039737C"/>
    <w:rsid w:val="0039761A"/>
    <w:rsid w:val="003A0C03"/>
    <w:rsid w:val="003A0C46"/>
    <w:rsid w:val="003A117E"/>
    <w:rsid w:val="003A15C3"/>
    <w:rsid w:val="003A1BB1"/>
    <w:rsid w:val="003A2277"/>
    <w:rsid w:val="003A3C10"/>
    <w:rsid w:val="003A3E1E"/>
    <w:rsid w:val="003A4237"/>
    <w:rsid w:val="003A445E"/>
    <w:rsid w:val="003A46FE"/>
    <w:rsid w:val="003A6077"/>
    <w:rsid w:val="003A661D"/>
    <w:rsid w:val="003A6C7A"/>
    <w:rsid w:val="003A70EB"/>
    <w:rsid w:val="003A7165"/>
    <w:rsid w:val="003A7A3F"/>
    <w:rsid w:val="003A7CE8"/>
    <w:rsid w:val="003B03C6"/>
    <w:rsid w:val="003B0C6E"/>
    <w:rsid w:val="003B26AF"/>
    <w:rsid w:val="003B2836"/>
    <w:rsid w:val="003B2952"/>
    <w:rsid w:val="003B2DF4"/>
    <w:rsid w:val="003B2F57"/>
    <w:rsid w:val="003B339E"/>
    <w:rsid w:val="003B36B4"/>
    <w:rsid w:val="003B3A2E"/>
    <w:rsid w:val="003B4216"/>
    <w:rsid w:val="003B51C8"/>
    <w:rsid w:val="003B53E7"/>
    <w:rsid w:val="003B5CD2"/>
    <w:rsid w:val="003B6132"/>
    <w:rsid w:val="003B692F"/>
    <w:rsid w:val="003B7547"/>
    <w:rsid w:val="003B79ED"/>
    <w:rsid w:val="003C017D"/>
    <w:rsid w:val="003C0F8B"/>
    <w:rsid w:val="003C1C53"/>
    <w:rsid w:val="003C24D6"/>
    <w:rsid w:val="003C2F27"/>
    <w:rsid w:val="003C324F"/>
    <w:rsid w:val="003C3E10"/>
    <w:rsid w:val="003C45FD"/>
    <w:rsid w:val="003C486F"/>
    <w:rsid w:val="003C4CDE"/>
    <w:rsid w:val="003C4F6D"/>
    <w:rsid w:val="003C5129"/>
    <w:rsid w:val="003C62BF"/>
    <w:rsid w:val="003C63D5"/>
    <w:rsid w:val="003C7383"/>
    <w:rsid w:val="003C7F60"/>
    <w:rsid w:val="003D09CA"/>
    <w:rsid w:val="003D0AF1"/>
    <w:rsid w:val="003D1384"/>
    <w:rsid w:val="003D1399"/>
    <w:rsid w:val="003D156A"/>
    <w:rsid w:val="003D2009"/>
    <w:rsid w:val="003D20B8"/>
    <w:rsid w:val="003D2191"/>
    <w:rsid w:val="003D236E"/>
    <w:rsid w:val="003D2D55"/>
    <w:rsid w:val="003D2E79"/>
    <w:rsid w:val="003D2E94"/>
    <w:rsid w:val="003D3009"/>
    <w:rsid w:val="003D327E"/>
    <w:rsid w:val="003D35AE"/>
    <w:rsid w:val="003D3B92"/>
    <w:rsid w:val="003D3D6A"/>
    <w:rsid w:val="003D4321"/>
    <w:rsid w:val="003D4550"/>
    <w:rsid w:val="003D68C8"/>
    <w:rsid w:val="003D6C1F"/>
    <w:rsid w:val="003D7D4E"/>
    <w:rsid w:val="003E0F31"/>
    <w:rsid w:val="003E0F82"/>
    <w:rsid w:val="003E1B8F"/>
    <w:rsid w:val="003E2907"/>
    <w:rsid w:val="003E34E5"/>
    <w:rsid w:val="003E3CAC"/>
    <w:rsid w:val="003E4CAC"/>
    <w:rsid w:val="003E5118"/>
    <w:rsid w:val="003E5333"/>
    <w:rsid w:val="003E56BD"/>
    <w:rsid w:val="003E5FE8"/>
    <w:rsid w:val="003E66C8"/>
    <w:rsid w:val="003E695D"/>
    <w:rsid w:val="003E701A"/>
    <w:rsid w:val="003E7151"/>
    <w:rsid w:val="003E79CF"/>
    <w:rsid w:val="003E7D8E"/>
    <w:rsid w:val="003E7F87"/>
    <w:rsid w:val="003F01E2"/>
    <w:rsid w:val="003F04A0"/>
    <w:rsid w:val="003F06F7"/>
    <w:rsid w:val="003F0AF2"/>
    <w:rsid w:val="003F0D26"/>
    <w:rsid w:val="003F2300"/>
    <w:rsid w:val="003F272A"/>
    <w:rsid w:val="003F32A5"/>
    <w:rsid w:val="003F37F8"/>
    <w:rsid w:val="003F3D5F"/>
    <w:rsid w:val="003F3F30"/>
    <w:rsid w:val="003F45E3"/>
    <w:rsid w:val="003F4B45"/>
    <w:rsid w:val="003F51F6"/>
    <w:rsid w:val="003F5CC2"/>
    <w:rsid w:val="003F69FC"/>
    <w:rsid w:val="003F6F93"/>
    <w:rsid w:val="004002BA"/>
    <w:rsid w:val="00400410"/>
    <w:rsid w:val="004008D1"/>
    <w:rsid w:val="00400B50"/>
    <w:rsid w:val="004011E0"/>
    <w:rsid w:val="004017B3"/>
    <w:rsid w:val="004017CB"/>
    <w:rsid w:val="00401DBF"/>
    <w:rsid w:val="0040301B"/>
    <w:rsid w:val="004031F2"/>
    <w:rsid w:val="00403B98"/>
    <w:rsid w:val="00404105"/>
    <w:rsid w:val="00404454"/>
    <w:rsid w:val="004046F7"/>
    <w:rsid w:val="00404A0A"/>
    <w:rsid w:val="00404F1B"/>
    <w:rsid w:val="00404F2D"/>
    <w:rsid w:val="00404F30"/>
    <w:rsid w:val="00404FF6"/>
    <w:rsid w:val="00405987"/>
    <w:rsid w:val="00406B7E"/>
    <w:rsid w:val="004071BD"/>
    <w:rsid w:val="004075BA"/>
    <w:rsid w:val="00407697"/>
    <w:rsid w:val="0040784D"/>
    <w:rsid w:val="004078D1"/>
    <w:rsid w:val="004101A7"/>
    <w:rsid w:val="004104BC"/>
    <w:rsid w:val="0041092F"/>
    <w:rsid w:val="00411C4B"/>
    <w:rsid w:val="00412376"/>
    <w:rsid w:val="00412731"/>
    <w:rsid w:val="00412C48"/>
    <w:rsid w:val="00412E09"/>
    <w:rsid w:val="00412F2C"/>
    <w:rsid w:val="00414080"/>
    <w:rsid w:val="00414641"/>
    <w:rsid w:val="00414800"/>
    <w:rsid w:val="00414DAC"/>
    <w:rsid w:val="00415D35"/>
    <w:rsid w:val="00415DB4"/>
    <w:rsid w:val="00415FCE"/>
    <w:rsid w:val="00416E81"/>
    <w:rsid w:val="0041710F"/>
    <w:rsid w:val="00417424"/>
    <w:rsid w:val="004174CB"/>
    <w:rsid w:val="00417A1D"/>
    <w:rsid w:val="00417FF6"/>
    <w:rsid w:val="00420259"/>
    <w:rsid w:val="00420274"/>
    <w:rsid w:val="004207FC"/>
    <w:rsid w:val="0042086F"/>
    <w:rsid w:val="00420E66"/>
    <w:rsid w:val="00421514"/>
    <w:rsid w:val="0042236F"/>
    <w:rsid w:val="004230DD"/>
    <w:rsid w:val="00423BC2"/>
    <w:rsid w:val="004241A9"/>
    <w:rsid w:val="0042490D"/>
    <w:rsid w:val="00424D74"/>
    <w:rsid w:val="00425A76"/>
    <w:rsid w:val="00425F92"/>
    <w:rsid w:val="00425FCD"/>
    <w:rsid w:val="00425FD1"/>
    <w:rsid w:val="00426C4B"/>
    <w:rsid w:val="004304C8"/>
    <w:rsid w:val="00430703"/>
    <w:rsid w:val="00430FA8"/>
    <w:rsid w:val="004315E3"/>
    <w:rsid w:val="004316DD"/>
    <w:rsid w:val="00431A9C"/>
    <w:rsid w:val="00431AF3"/>
    <w:rsid w:val="004320C0"/>
    <w:rsid w:val="0043254C"/>
    <w:rsid w:val="00432949"/>
    <w:rsid w:val="004329FD"/>
    <w:rsid w:val="00433C80"/>
    <w:rsid w:val="00434E02"/>
    <w:rsid w:val="00434EB6"/>
    <w:rsid w:val="00435320"/>
    <w:rsid w:val="004358B1"/>
    <w:rsid w:val="0043610E"/>
    <w:rsid w:val="00436B16"/>
    <w:rsid w:val="00436CE6"/>
    <w:rsid w:val="00436D8F"/>
    <w:rsid w:val="004374F9"/>
    <w:rsid w:val="00437A2C"/>
    <w:rsid w:val="0044008B"/>
    <w:rsid w:val="00440977"/>
    <w:rsid w:val="00441CC5"/>
    <w:rsid w:val="00443339"/>
    <w:rsid w:val="004436A1"/>
    <w:rsid w:val="00443E47"/>
    <w:rsid w:val="0044414D"/>
    <w:rsid w:val="004445F0"/>
    <w:rsid w:val="004454CC"/>
    <w:rsid w:val="00445A5C"/>
    <w:rsid w:val="00445EC6"/>
    <w:rsid w:val="0044644B"/>
    <w:rsid w:val="004464B7"/>
    <w:rsid w:val="00446D80"/>
    <w:rsid w:val="0044702C"/>
    <w:rsid w:val="0044748D"/>
    <w:rsid w:val="0044749E"/>
    <w:rsid w:val="00447587"/>
    <w:rsid w:val="00447759"/>
    <w:rsid w:val="00447C8C"/>
    <w:rsid w:val="00447E4E"/>
    <w:rsid w:val="00447EA1"/>
    <w:rsid w:val="00450A3D"/>
    <w:rsid w:val="004512EF"/>
    <w:rsid w:val="004524D5"/>
    <w:rsid w:val="00452AA1"/>
    <w:rsid w:val="00452B93"/>
    <w:rsid w:val="00453619"/>
    <w:rsid w:val="00453910"/>
    <w:rsid w:val="00453AE4"/>
    <w:rsid w:val="004546BF"/>
    <w:rsid w:val="004547DE"/>
    <w:rsid w:val="00454B53"/>
    <w:rsid w:val="00454F87"/>
    <w:rsid w:val="0045518B"/>
    <w:rsid w:val="004551A4"/>
    <w:rsid w:val="00455AD7"/>
    <w:rsid w:val="00455C5C"/>
    <w:rsid w:val="00455E67"/>
    <w:rsid w:val="00456271"/>
    <w:rsid w:val="00456611"/>
    <w:rsid w:val="0045661C"/>
    <w:rsid w:val="00457230"/>
    <w:rsid w:val="004575BB"/>
    <w:rsid w:val="00460296"/>
    <w:rsid w:val="00460605"/>
    <w:rsid w:val="00460A0D"/>
    <w:rsid w:val="00461448"/>
    <w:rsid w:val="00461800"/>
    <w:rsid w:val="0046187D"/>
    <w:rsid w:val="004619B1"/>
    <w:rsid w:val="00461DAA"/>
    <w:rsid w:val="00461E83"/>
    <w:rsid w:val="00461F03"/>
    <w:rsid w:val="004628A1"/>
    <w:rsid w:val="0046357E"/>
    <w:rsid w:val="004638FF"/>
    <w:rsid w:val="00463B8F"/>
    <w:rsid w:val="00463C89"/>
    <w:rsid w:val="004643C6"/>
    <w:rsid w:val="00464733"/>
    <w:rsid w:val="00464784"/>
    <w:rsid w:val="00464C03"/>
    <w:rsid w:val="00464EA6"/>
    <w:rsid w:val="00465189"/>
    <w:rsid w:val="00465672"/>
    <w:rsid w:val="00466223"/>
    <w:rsid w:val="00466284"/>
    <w:rsid w:val="0046657A"/>
    <w:rsid w:val="004668F2"/>
    <w:rsid w:val="0047012B"/>
    <w:rsid w:val="00471E9D"/>
    <w:rsid w:val="00472448"/>
    <w:rsid w:val="004725B2"/>
    <w:rsid w:val="00473407"/>
    <w:rsid w:val="0047372C"/>
    <w:rsid w:val="00473787"/>
    <w:rsid w:val="00473EF3"/>
    <w:rsid w:val="004741FE"/>
    <w:rsid w:val="00474587"/>
    <w:rsid w:val="004747D8"/>
    <w:rsid w:val="00475B5E"/>
    <w:rsid w:val="00475D84"/>
    <w:rsid w:val="00476D00"/>
    <w:rsid w:val="0047725D"/>
    <w:rsid w:val="0047791C"/>
    <w:rsid w:val="004801E5"/>
    <w:rsid w:val="004802E9"/>
    <w:rsid w:val="00480426"/>
    <w:rsid w:val="0048080D"/>
    <w:rsid w:val="00480A9C"/>
    <w:rsid w:val="0048217D"/>
    <w:rsid w:val="00482639"/>
    <w:rsid w:val="00482B94"/>
    <w:rsid w:val="0048302B"/>
    <w:rsid w:val="004839BC"/>
    <w:rsid w:val="00483A2A"/>
    <w:rsid w:val="0048414F"/>
    <w:rsid w:val="00484638"/>
    <w:rsid w:val="0048463C"/>
    <w:rsid w:val="004855D4"/>
    <w:rsid w:val="00485622"/>
    <w:rsid w:val="004857CA"/>
    <w:rsid w:val="00486227"/>
    <w:rsid w:val="0048786D"/>
    <w:rsid w:val="00487AEB"/>
    <w:rsid w:val="00487E38"/>
    <w:rsid w:val="00490606"/>
    <w:rsid w:val="004909DE"/>
    <w:rsid w:val="00491083"/>
    <w:rsid w:val="00491ABF"/>
    <w:rsid w:val="00491E4A"/>
    <w:rsid w:val="00494899"/>
    <w:rsid w:val="004948FA"/>
    <w:rsid w:val="00494F51"/>
    <w:rsid w:val="00495542"/>
    <w:rsid w:val="00497425"/>
    <w:rsid w:val="004A031F"/>
    <w:rsid w:val="004A06A6"/>
    <w:rsid w:val="004A06ED"/>
    <w:rsid w:val="004A0772"/>
    <w:rsid w:val="004A0FC5"/>
    <w:rsid w:val="004A1688"/>
    <w:rsid w:val="004A1AF2"/>
    <w:rsid w:val="004A1F71"/>
    <w:rsid w:val="004A1F93"/>
    <w:rsid w:val="004A21A9"/>
    <w:rsid w:val="004A2ACC"/>
    <w:rsid w:val="004A39AB"/>
    <w:rsid w:val="004A3F58"/>
    <w:rsid w:val="004A4548"/>
    <w:rsid w:val="004A55A2"/>
    <w:rsid w:val="004A6006"/>
    <w:rsid w:val="004A6580"/>
    <w:rsid w:val="004A7BFF"/>
    <w:rsid w:val="004A7D97"/>
    <w:rsid w:val="004B0098"/>
    <w:rsid w:val="004B0853"/>
    <w:rsid w:val="004B0B97"/>
    <w:rsid w:val="004B130D"/>
    <w:rsid w:val="004B1550"/>
    <w:rsid w:val="004B196C"/>
    <w:rsid w:val="004B197C"/>
    <w:rsid w:val="004B1A11"/>
    <w:rsid w:val="004B1C9D"/>
    <w:rsid w:val="004B209D"/>
    <w:rsid w:val="004B23E0"/>
    <w:rsid w:val="004B2BFB"/>
    <w:rsid w:val="004B2D4E"/>
    <w:rsid w:val="004B3220"/>
    <w:rsid w:val="004B3242"/>
    <w:rsid w:val="004B330F"/>
    <w:rsid w:val="004B37AC"/>
    <w:rsid w:val="004B39E6"/>
    <w:rsid w:val="004B4033"/>
    <w:rsid w:val="004B41E0"/>
    <w:rsid w:val="004B435F"/>
    <w:rsid w:val="004B4C52"/>
    <w:rsid w:val="004B5D49"/>
    <w:rsid w:val="004B5E7B"/>
    <w:rsid w:val="004B666D"/>
    <w:rsid w:val="004B6B39"/>
    <w:rsid w:val="004B6FFC"/>
    <w:rsid w:val="004B70A8"/>
    <w:rsid w:val="004B7853"/>
    <w:rsid w:val="004B7AB3"/>
    <w:rsid w:val="004C1638"/>
    <w:rsid w:val="004C1770"/>
    <w:rsid w:val="004C18E7"/>
    <w:rsid w:val="004C1CA9"/>
    <w:rsid w:val="004C20C6"/>
    <w:rsid w:val="004C23DC"/>
    <w:rsid w:val="004C2B84"/>
    <w:rsid w:val="004C2DE3"/>
    <w:rsid w:val="004C38B4"/>
    <w:rsid w:val="004C4869"/>
    <w:rsid w:val="004C48E6"/>
    <w:rsid w:val="004C49BF"/>
    <w:rsid w:val="004C5804"/>
    <w:rsid w:val="004C600D"/>
    <w:rsid w:val="004C724C"/>
    <w:rsid w:val="004C7441"/>
    <w:rsid w:val="004C75B4"/>
    <w:rsid w:val="004D0264"/>
    <w:rsid w:val="004D0821"/>
    <w:rsid w:val="004D12B8"/>
    <w:rsid w:val="004D157F"/>
    <w:rsid w:val="004D3200"/>
    <w:rsid w:val="004D3E69"/>
    <w:rsid w:val="004D40EC"/>
    <w:rsid w:val="004D45F5"/>
    <w:rsid w:val="004D4C48"/>
    <w:rsid w:val="004D5085"/>
    <w:rsid w:val="004D5117"/>
    <w:rsid w:val="004D5353"/>
    <w:rsid w:val="004D5940"/>
    <w:rsid w:val="004D5DEA"/>
    <w:rsid w:val="004D6AEE"/>
    <w:rsid w:val="004D6D7F"/>
    <w:rsid w:val="004D71B5"/>
    <w:rsid w:val="004D71CF"/>
    <w:rsid w:val="004D7254"/>
    <w:rsid w:val="004D726C"/>
    <w:rsid w:val="004D7564"/>
    <w:rsid w:val="004D765F"/>
    <w:rsid w:val="004D7F78"/>
    <w:rsid w:val="004E0024"/>
    <w:rsid w:val="004E09DA"/>
    <w:rsid w:val="004E0C22"/>
    <w:rsid w:val="004E1183"/>
    <w:rsid w:val="004E11D7"/>
    <w:rsid w:val="004E15A3"/>
    <w:rsid w:val="004E1862"/>
    <w:rsid w:val="004E2073"/>
    <w:rsid w:val="004E22BB"/>
    <w:rsid w:val="004E22FF"/>
    <w:rsid w:val="004E2C03"/>
    <w:rsid w:val="004E2F26"/>
    <w:rsid w:val="004E33CD"/>
    <w:rsid w:val="004E3F97"/>
    <w:rsid w:val="004E4185"/>
    <w:rsid w:val="004E429A"/>
    <w:rsid w:val="004E44D9"/>
    <w:rsid w:val="004E45E7"/>
    <w:rsid w:val="004E4707"/>
    <w:rsid w:val="004E4F5E"/>
    <w:rsid w:val="004E50AA"/>
    <w:rsid w:val="004E558D"/>
    <w:rsid w:val="004E5C1F"/>
    <w:rsid w:val="004E5CB1"/>
    <w:rsid w:val="004E6056"/>
    <w:rsid w:val="004E6976"/>
    <w:rsid w:val="004E69EB"/>
    <w:rsid w:val="004E6FDD"/>
    <w:rsid w:val="004E7BFB"/>
    <w:rsid w:val="004F08B4"/>
    <w:rsid w:val="004F10E5"/>
    <w:rsid w:val="004F1110"/>
    <w:rsid w:val="004F1286"/>
    <w:rsid w:val="004F17E1"/>
    <w:rsid w:val="004F1B5A"/>
    <w:rsid w:val="004F23EC"/>
    <w:rsid w:val="004F2C7E"/>
    <w:rsid w:val="004F33CE"/>
    <w:rsid w:val="004F36C7"/>
    <w:rsid w:val="004F3F2F"/>
    <w:rsid w:val="004F477F"/>
    <w:rsid w:val="004F5487"/>
    <w:rsid w:val="004F572C"/>
    <w:rsid w:val="004F59BE"/>
    <w:rsid w:val="004F5FE6"/>
    <w:rsid w:val="004F63CC"/>
    <w:rsid w:val="004F6559"/>
    <w:rsid w:val="004F6964"/>
    <w:rsid w:val="004F6AEE"/>
    <w:rsid w:val="004F6E3A"/>
    <w:rsid w:val="004F7704"/>
    <w:rsid w:val="005007B6"/>
    <w:rsid w:val="0050089B"/>
    <w:rsid w:val="0050093E"/>
    <w:rsid w:val="005010B3"/>
    <w:rsid w:val="0050142B"/>
    <w:rsid w:val="00501B39"/>
    <w:rsid w:val="00502190"/>
    <w:rsid w:val="00502602"/>
    <w:rsid w:val="00502686"/>
    <w:rsid w:val="00503040"/>
    <w:rsid w:val="005035CA"/>
    <w:rsid w:val="00504CAF"/>
    <w:rsid w:val="0050530F"/>
    <w:rsid w:val="005055C7"/>
    <w:rsid w:val="00506227"/>
    <w:rsid w:val="005067CE"/>
    <w:rsid w:val="00506853"/>
    <w:rsid w:val="00506B98"/>
    <w:rsid w:val="00506C94"/>
    <w:rsid w:val="00506EAC"/>
    <w:rsid w:val="005070FE"/>
    <w:rsid w:val="0050714C"/>
    <w:rsid w:val="005072F5"/>
    <w:rsid w:val="00507773"/>
    <w:rsid w:val="00507F22"/>
    <w:rsid w:val="00510067"/>
    <w:rsid w:val="005106CA"/>
    <w:rsid w:val="00510E03"/>
    <w:rsid w:val="00510E6D"/>
    <w:rsid w:val="005116B5"/>
    <w:rsid w:val="00511709"/>
    <w:rsid w:val="00511A88"/>
    <w:rsid w:val="00511AB1"/>
    <w:rsid w:val="00511E3D"/>
    <w:rsid w:val="00512156"/>
    <w:rsid w:val="00512261"/>
    <w:rsid w:val="0051232E"/>
    <w:rsid w:val="00512457"/>
    <w:rsid w:val="0051253C"/>
    <w:rsid w:val="005126EA"/>
    <w:rsid w:val="00512DFF"/>
    <w:rsid w:val="00513232"/>
    <w:rsid w:val="005137B8"/>
    <w:rsid w:val="0051425B"/>
    <w:rsid w:val="00514397"/>
    <w:rsid w:val="005153A3"/>
    <w:rsid w:val="00515AF7"/>
    <w:rsid w:val="00515E26"/>
    <w:rsid w:val="00516BE1"/>
    <w:rsid w:val="0051749F"/>
    <w:rsid w:val="005176E8"/>
    <w:rsid w:val="005177C1"/>
    <w:rsid w:val="005177F9"/>
    <w:rsid w:val="00520921"/>
    <w:rsid w:val="00520AE5"/>
    <w:rsid w:val="00520FD2"/>
    <w:rsid w:val="00521354"/>
    <w:rsid w:val="0052144E"/>
    <w:rsid w:val="0052167F"/>
    <w:rsid w:val="00522151"/>
    <w:rsid w:val="00522262"/>
    <w:rsid w:val="00522657"/>
    <w:rsid w:val="0052273F"/>
    <w:rsid w:val="005227C3"/>
    <w:rsid w:val="0052295D"/>
    <w:rsid w:val="00522AE4"/>
    <w:rsid w:val="00522CDA"/>
    <w:rsid w:val="00523CDF"/>
    <w:rsid w:val="00523F80"/>
    <w:rsid w:val="00524324"/>
    <w:rsid w:val="005247B3"/>
    <w:rsid w:val="00524CEA"/>
    <w:rsid w:val="005252E0"/>
    <w:rsid w:val="005256BB"/>
    <w:rsid w:val="00525BC3"/>
    <w:rsid w:val="0052630A"/>
    <w:rsid w:val="00526637"/>
    <w:rsid w:val="00526FDC"/>
    <w:rsid w:val="0052717B"/>
    <w:rsid w:val="00527D2E"/>
    <w:rsid w:val="0053059C"/>
    <w:rsid w:val="00530C0F"/>
    <w:rsid w:val="00530D80"/>
    <w:rsid w:val="005314EC"/>
    <w:rsid w:val="0053177B"/>
    <w:rsid w:val="0053181F"/>
    <w:rsid w:val="00531EA9"/>
    <w:rsid w:val="00531EFE"/>
    <w:rsid w:val="00531FC5"/>
    <w:rsid w:val="005321F7"/>
    <w:rsid w:val="005325FB"/>
    <w:rsid w:val="00532CA2"/>
    <w:rsid w:val="00533AA8"/>
    <w:rsid w:val="005349AA"/>
    <w:rsid w:val="00535BC5"/>
    <w:rsid w:val="005362DF"/>
    <w:rsid w:val="00536F42"/>
    <w:rsid w:val="0054002E"/>
    <w:rsid w:val="005401DC"/>
    <w:rsid w:val="0054074A"/>
    <w:rsid w:val="005407CF"/>
    <w:rsid w:val="005408FD"/>
    <w:rsid w:val="00540EC9"/>
    <w:rsid w:val="005432F8"/>
    <w:rsid w:val="00543394"/>
    <w:rsid w:val="00543989"/>
    <w:rsid w:val="00543A7D"/>
    <w:rsid w:val="005443E5"/>
    <w:rsid w:val="00544B09"/>
    <w:rsid w:val="00544CEE"/>
    <w:rsid w:val="00544E4C"/>
    <w:rsid w:val="00544FB1"/>
    <w:rsid w:val="005452E1"/>
    <w:rsid w:val="00545AC5"/>
    <w:rsid w:val="005462DE"/>
    <w:rsid w:val="00546458"/>
    <w:rsid w:val="00547237"/>
    <w:rsid w:val="00547467"/>
    <w:rsid w:val="005479F3"/>
    <w:rsid w:val="00547D30"/>
    <w:rsid w:val="005502CD"/>
    <w:rsid w:val="00550370"/>
    <w:rsid w:val="00550A58"/>
    <w:rsid w:val="00550D18"/>
    <w:rsid w:val="005512DE"/>
    <w:rsid w:val="00552846"/>
    <w:rsid w:val="00553132"/>
    <w:rsid w:val="0055339A"/>
    <w:rsid w:val="00553989"/>
    <w:rsid w:val="00553EE2"/>
    <w:rsid w:val="00554625"/>
    <w:rsid w:val="0055492E"/>
    <w:rsid w:val="00554A91"/>
    <w:rsid w:val="00554E15"/>
    <w:rsid w:val="00555211"/>
    <w:rsid w:val="00555835"/>
    <w:rsid w:val="0055599C"/>
    <w:rsid w:val="0055615C"/>
    <w:rsid w:val="00556635"/>
    <w:rsid w:val="00556F54"/>
    <w:rsid w:val="00557498"/>
    <w:rsid w:val="005577FC"/>
    <w:rsid w:val="00560188"/>
    <w:rsid w:val="005602D1"/>
    <w:rsid w:val="00560BD3"/>
    <w:rsid w:val="00560D13"/>
    <w:rsid w:val="005611EC"/>
    <w:rsid w:val="005619E4"/>
    <w:rsid w:val="00562315"/>
    <w:rsid w:val="00562501"/>
    <w:rsid w:val="005634A0"/>
    <w:rsid w:val="005640C7"/>
    <w:rsid w:val="00564217"/>
    <w:rsid w:val="00564855"/>
    <w:rsid w:val="00564EE4"/>
    <w:rsid w:val="00564F08"/>
    <w:rsid w:val="0056524A"/>
    <w:rsid w:val="005653F3"/>
    <w:rsid w:val="0056588C"/>
    <w:rsid w:val="00565F55"/>
    <w:rsid w:val="00566EAA"/>
    <w:rsid w:val="00567014"/>
    <w:rsid w:val="00567904"/>
    <w:rsid w:val="00567CC4"/>
    <w:rsid w:val="00567FB8"/>
    <w:rsid w:val="00570811"/>
    <w:rsid w:val="00570FD5"/>
    <w:rsid w:val="0057137E"/>
    <w:rsid w:val="00571452"/>
    <w:rsid w:val="0057202A"/>
    <w:rsid w:val="00572736"/>
    <w:rsid w:val="00572C1D"/>
    <w:rsid w:val="00572DDA"/>
    <w:rsid w:val="00573164"/>
    <w:rsid w:val="00573266"/>
    <w:rsid w:val="00573491"/>
    <w:rsid w:val="0057354F"/>
    <w:rsid w:val="00573684"/>
    <w:rsid w:val="005746BE"/>
    <w:rsid w:val="00574A1E"/>
    <w:rsid w:val="005752DC"/>
    <w:rsid w:val="005757BD"/>
    <w:rsid w:val="00575A38"/>
    <w:rsid w:val="00575B0C"/>
    <w:rsid w:val="00576C2D"/>
    <w:rsid w:val="00576FF3"/>
    <w:rsid w:val="0057737F"/>
    <w:rsid w:val="00577517"/>
    <w:rsid w:val="00577669"/>
    <w:rsid w:val="00577A15"/>
    <w:rsid w:val="00580A6B"/>
    <w:rsid w:val="00580E06"/>
    <w:rsid w:val="00580E19"/>
    <w:rsid w:val="00581457"/>
    <w:rsid w:val="00581886"/>
    <w:rsid w:val="005818C0"/>
    <w:rsid w:val="00582D28"/>
    <w:rsid w:val="00583CA7"/>
    <w:rsid w:val="00583FC1"/>
    <w:rsid w:val="00583FC9"/>
    <w:rsid w:val="005844F5"/>
    <w:rsid w:val="00584F6A"/>
    <w:rsid w:val="00584F7D"/>
    <w:rsid w:val="0058557C"/>
    <w:rsid w:val="00586BC6"/>
    <w:rsid w:val="00586DBB"/>
    <w:rsid w:val="00587106"/>
    <w:rsid w:val="005908A4"/>
    <w:rsid w:val="00590B02"/>
    <w:rsid w:val="00590DAB"/>
    <w:rsid w:val="00591789"/>
    <w:rsid w:val="00593356"/>
    <w:rsid w:val="0059398A"/>
    <w:rsid w:val="00593E6B"/>
    <w:rsid w:val="00594E82"/>
    <w:rsid w:val="0059524E"/>
    <w:rsid w:val="005954E3"/>
    <w:rsid w:val="00595535"/>
    <w:rsid w:val="0059581E"/>
    <w:rsid w:val="00595829"/>
    <w:rsid w:val="00595FC6"/>
    <w:rsid w:val="0059687C"/>
    <w:rsid w:val="00596A2C"/>
    <w:rsid w:val="00596BD4"/>
    <w:rsid w:val="00597A26"/>
    <w:rsid w:val="005A024F"/>
    <w:rsid w:val="005A0385"/>
    <w:rsid w:val="005A09DA"/>
    <w:rsid w:val="005A0A25"/>
    <w:rsid w:val="005A15DE"/>
    <w:rsid w:val="005A1885"/>
    <w:rsid w:val="005A2D0B"/>
    <w:rsid w:val="005A3550"/>
    <w:rsid w:val="005A3A29"/>
    <w:rsid w:val="005A3B88"/>
    <w:rsid w:val="005A439C"/>
    <w:rsid w:val="005A49DB"/>
    <w:rsid w:val="005A4DDE"/>
    <w:rsid w:val="005A5486"/>
    <w:rsid w:val="005A6486"/>
    <w:rsid w:val="005A6693"/>
    <w:rsid w:val="005A679E"/>
    <w:rsid w:val="005A683A"/>
    <w:rsid w:val="005A7D74"/>
    <w:rsid w:val="005B03F8"/>
    <w:rsid w:val="005B157E"/>
    <w:rsid w:val="005B1B19"/>
    <w:rsid w:val="005B1D13"/>
    <w:rsid w:val="005B1DF2"/>
    <w:rsid w:val="005B2450"/>
    <w:rsid w:val="005B26D1"/>
    <w:rsid w:val="005B288B"/>
    <w:rsid w:val="005B2C20"/>
    <w:rsid w:val="005B2DA1"/>
    <w:rsid w:val="005B3BF8"/>
    <w:rsid w:val="005B3C86"/>
    <w:rsid w:val="005B43CF"/>
    <w:rsid w:val="005B46E6"/>
    <w:rsid w:val="005B6E24"/>
    <w:rsid w:val="005B6FFE"/>
    <w:rsid w:val="005B756A"/>
    <w:rsid w:val="005B769D"/>
    <w:rsid w:val="005B797C"/>
    <w:rsid w:val="005C008A"/>
    <w:rsid w:val="005C0EAC"/>
    <w:rsid w:val="005C16D4"/>
    <w:rsid w:val="005C16D6"/>
    <w:rsid w:val="005C17AC"/>
    <w:rsid w:val="005C24AB"/>
    <w:rsid w:val="005C29B3"/>
    <w:rsid w:val="005C2B93"/>
    <w:rsid w:val="005C2C97"/>
    <w:rsid w:val="005C3103"/>
    <w:rsid w:val="005C43C2"/>
    <w:rsid w:val="005C4957"/>
    <w:rsid w:val="005C4965"/>
    <w:rsid w:val="005C59D2"/>
    <w:rsid w:val="005C6747"/>
    <w:rsid w:val="005C67AD"/>
    <w:rsid w:val="005C7442"/>
    <w:rsid w:val="005C749A"/>
    <w:rsid w:val="005C77E8"/>
    <w:rsid w:val="005C78FC"/>
    <w:rsid w:val="005D00A4"/>
    <w:rsid w:val="005D0912"/>
    <w:rsid w:val="005D1A3C"/>
    <w:rsid w:val="005D2A5C"/>
    <w:rsid w:val="005D2D98"/>
    <w:rsid w:val="005D328D"/>
    <w:rsid w:val="005D3384"/>
    <w:rsid w:val="005D35DD"/>
    <w:rsid w:val="005D408A"/>
    <w:rsid w:val="005D5033"/>
    <w:rsid w:val="005D5367"/>
    <w:rsid w:val="005D5E5F"/>
    <w:rsid w:val="005D6460"/>
    <w:rsid w:val="005D6530"/>
    <w:rsid w:val="005D7398"/>
    <w:rsid w:val="005D73AF"/>
    <w:rsid w:val="005D751A"/>
    <w:rsid w:val="005D7925"/>
    <w:rsid w:val="005D7936"/>
    <w:rsid w:val="005E000D"/>
    <w:rsid w:val="005E10A5"/>
    <w:rsid w:val="005E125E"/>
    <w:rsid w:val="005E1611"/>
    <w:rsid w:val="005E2087"/>
    <w:rsid w:val="005E209F"/>
    <w:rsid w:val="005E2267"/>
    <w:rsid w:val="005E24AD"/>
    <w:rsid w:val="005E2C2F"/>
    <w:rsid w:val="005E3023"/>
    <w:rsid w:val="005E3202"/>
    <w:rsid w:val="005E3C8B"/>
    <w:rsid w:val="005E496A"/>
    <w:rsid w:val="005E509D"/>
    <w:rsid w:val="005E5160"/>
    <w:rsid w:val="005E51DE"/>
    <w:rsid w:val="005E537E"/>
    <w:rsid w:val="005E70CD"/>
    <w:rsid w:val="005E76B4"/>
    <w:rsid w:val="005E77A8"/>
    <w:rsid w:val="005E79A1"/>
    <w:rsid w:val="005E7A91"/>
    <w:rsid w:val="005F112B"/>
    <w:rsid w:val="005F157A"/>
    <w:rsid w:val="005F1C82"/>
    <w:rsid w:val="005F2113"/>
    <w:rsid w:val="005F21DA"/>
    <w:rsid w:val="005F2DB0"/>
    <w:rsid w:val="005F3F91"/>
    <w:rsid w:val="005F4092"/>
    <w:rsid w:val="005F4BF0"/>
    <w:rsid w:val="005F50A7"/>
    <w:rsid w:val="005F514A"/>
    <w:rsid w:val="005F5181"/>
    <w:rsid w:val="005F523A"/>
    <w:rsid w:val="005F5DC3"/>
    <w:rsid w:val="005F5EF7"/>
    <w:rsid w:val="005F6743"/>
    <w:rsid w:val="005F6C10"/>
    <w:rsid w:val="005F6F49"/>
    <w:rsid w:val="00600495"/>
    <w:rsid w:val="006014C5"/>
    <w:rsid w:val="0060184E"/>
    <w:rsid w:val="00602385"/>
    <w:rsid w:val="00602443"/>
    <w:rsid w:val="00602E99"/>
    <w:rsid w:val="00603943"/>
    <w:rsid w:val="00603D6F"/>
    <w:rsid w:val="00603EFB"/>
    <w:rsid w:val="00604034"/>
    <w:rsid w:val="0060418F"/>
    <w:rsid w:val="0060549B"/>
    <w:rsid w:val="006056DE"/>
    <w:rsid w:val="00606101"/>
    <w:rsid w:val="00606ADC"/>
    <w:rsid w:val="00606FA5"/>
    <w:rsid w:val="00607301"/>
    <w:rsid w:val="00607645"/>
    <w:rsid w:val="00607A9C"/>
    <w:rsid w:val="00607B1F"/>
    <w:rsid w:val="006100F6"/>
    <w:rsid w:val="00610328"/>
    <w:rsid w:val="0061116D"/>
    <w:rsid w:val="006111CA"/>
    <w:rsid w:val="00611598"/>
    <w:rsid w:val="006121DB"/>
    <w:rsid w:val="00612759"/>
    <w:rsid w:val="00612FFC"/>
    <w:rsid w:val="00613439"/>
    <w:rsid w:val="006134AE"/>
    <w:rsid w:val="0061378B"/>
    <w:rsid w:val="0061478C"/>
    <w:rsid w:val="00614A0F"/>
    <w:rsid w:val="0061631E"/>
    <w:rsid w:val="006165ED"/>
    <w:rsid w:val="00616ADB"/>
    <w:rsid w:val="00616DA1"/>
    <w:rsid w:val="006174AA"/>
    <w:rsid w:val="00617B8E"/>
    <w:rsid w:val="00617DE6"/>
    <w:rsid w:val="00620470"/>
    <w:rsid w:val="006220DD"/>
    <w:rsid w:val="00623266"/>
    <w:rsid w:val="006238D2"/>
    <w:rsid w:val="00623C04"/>
    <w:rsid w:val="00623D29"/>
    <w:rsid w:val="00623FD0"/>
    <w:rsid w:val="0062473F"/>
    <w:rsid w:val="00624815"/>
    <w:rsid w:val="00624E71"/>
    <w:rsid w:val="006259AF"/>
    <w:rsid w:val="00625A14"/>
    <w:rsid w:val="00625AD5"/>
    <w:rsid w:val="00625E24"/>
    <w:rsid w:val="00625E28"/>
    <w:rsid w:val="00625FAB"/>
    <w:rsid w:val="00625FF5"/>
    <w:rsid w:val="006265E1"/>
    <w:rsid w:val="006266D9"/>
    <w:rsid w:val="00630959"/>
    <w:rsid w:val="00630EFA"/>
    <w:rsid w:val="00631004"/>
    <w:rsid w:val="0063102A"/>
    <w:rsid w:val="00631B2A"/>
    <w:rsid w:val="00631F09"/>
    <w:rsid w:val="00632738"/>
    <w:rsid w:val="00632CDB"/>
    <w:rsid w:val="00632F7C"/>
    <w:rsid w:val="00633742"/>
    <w:rsid w:val="006349F6"/>
    <w:rsid w:val="00634D11"/>
    <w:rsid w:val="00634F2A"/>
    <w:rsid w:val="006357F5"/>
    <w:rsid w:val="006359BA"/>
    <w:rsid w:val="006359E0"/>
    <w:rsid w:val="00635C69"/>
    <w:rsid w:val="00636095"/>
    <w:rsid w:val="00636208"/>
    <w:rsid w:val="00636D4E"/>
    <w:rsid w:val="00636F5E"/>
    <w:rsid w:val="00637113"/>
    <w:rsid w:val="006371D4"/>
    <w:rsid w:val="0063770F"/>
    <w:rsid w:val="00637EE6"/>
    <w:rsid w:val="006404B8"/>
    <w:rsid w:val="00640740"/>
    <w:rsid w:val="00640A86"/>
    <w:rsid w:val="00640AAD"/>
    <w:rsid w:val="00640C5A"/>
    <w:rsid w:val="00640FBB"/>
    <w:rsid w:val="00642168"/>
    <w:rsid w:val="00642E98"/>
    <w:rsid w:val="00643199"/>
    <w:rsid w:val="00643332"/>
    <w:rsid w:val="0064344D"/>
    <w:rsid w:val="006434B8"/>
    <w:rsid w:val="006448A5"/>
    <w:rsid w:val="00644FB9"/>
    <w:rsid w:val="006459CA"/>
    <w:rsid w:val="00645C22"/>
    <w:rsid w:val="00645F70"/>
    <w:rsid w:val="00646FF2"/>
    <w:rsid w:val="0064732F"/>
    <w:rsid w:val="00647747"/>
    <w:rsid w:val="006507BF"/>
    <w:rsid w:val="00650C6F"/>
    <w:rsid w:val="006522D6"/>
    <w:rsid w:val="0065250F"/>
    <w:rsid w:val="00653325"/>
    <w:rsid w:val="0065341E"/>
    <w:rsid w:val="0065389D"/>
    <w:rsid w:val="00653D13"/>
    <w:rsid w:val="00653F04"/>
    <w:rsid w:val="00653F63"/>
    <w:rsid w:val="00655A2C"/>
    <w:rsid w:val="006561BA"/>
    <w:rsid w:val="00656960"/>
    <w:rsid w:val="00656F2C"/>
    <w:rsid w:val="00657D36"/>
    <w:rsid w:val="0066023B"/>
    <w:rsid w:val="006602A2"/>
    <w:rsid w:val="006602D8"/>
    <w:rsid w:val="0066125E"/>
    <w:rsid w:val="0066144D"/>
    <w:rsid w:val="00661891"/>
    <w:rsid w:val="00661A75"/>
    <w:rsid w:val="00661E9A"/>
    <w:rsid w:val="00661FFC"/>
    <w:rsid w:val="006621C9"/>
    <w:rsid w:val="006625BE"/>
    <w:rsid w:val="00662845"/>
    <w:rsid w:val="006630D3"/>
    <w:rsid w:val="00665232"/>
    <w:rsid w:val="006655F6"/>
    <w:rsid w:val="00665A51"/>
    <w:rsid w:val="00666059"/>
    <w:rsid w:val="00666786"/>
    <w:rsid w:val="00666C56"/>
    <w:rsid w:val="00667A27"/>
    <w:rsid w:val="00670B03"/>
    <w:rsid w:val="00671A17"/>
    <w:rsid w:val="006722A3"/>
    <w:rsid w:val="00672977"/>
    <w:rsid w:val="00673341"/>
    <w:rsid w:val="00674678"/>
    <w:rsid w:val="00675AE5"/>
    <w:rsid w:val="00676018"/>
    <w:rsid w:val="0067607B"/>
    <w:rsid w:val="00676673"/>
    <w:rsid w:val="00676A46"/>
    <w:rsid w:val="00676ACE"/>
    <w:rsid w:val="00676B91"/>
    <w:rsid w:val="00676F47"/>
    <w:rsid w:val="006774A7"/>
    <w:rsid w:val="00677D4B"/>
    <w:rsid w:val="006804C6"/>
    <w:rsid w:val="00680914"/>
    <w:rsid w:val="00680DB7"/>
    <w:rsid w:val="00680EC8"/>
    <w:rsid w:val="0068270C"/>
    <w:rsid w:val="006834A5"/>
    <w:rsid w:val="00683755"/>
    <w:rsid w:val="00683A5A"/>
    <w:rsid w:val="00683D72"/>
    <w:rsid w:val="00683F6A"/>
    <w:rsid w:val="00683FEB"/>
    <w:rsid w:val="00684CB7"/>
    <w:rsid w:val="00684DBD"/>
    <w:rsid w:val="006850D8"/>
    <w:rsid w:val="00685815"/>
    <w:rsid w:val="00685998"/>
    <w:rsid w:val="0068635B"/>
    <w:rsid w:val="0068676E"/>
    <w:rsid w:val="00686894"/>
    <w:rsid w:val="006874FB"/>
    <w:rsid w:val="006901BE"/>
    <w:rsid w:val="006908E4"/>
    <w:rsid w:val="00690AD3"/>
    <w:rsid w:val="00691A77"/>
    <w:rsid w:val="00691EDB"/>
    <w:rsid w:val="006928FA"/>
    <w:rsid w:val="00693925"/>
    <w:rsid w:val="006939A6"/>
    <w:rsid w:val="00693A3A"/>
    <w:rsid w:val="0069444E"/>
    <w:rsid w:val="00695757"/>
    <w:rsid w:val="006961B4"/>
    <w:rsid w:val="0069698E"/>
    <w:rsid w:val="00696C83"/>
    <w:rsid w:val="00696D87"/>
    <w:rsid w:val="00696E20"/>
    <w:rsid w:val="006973D1"/>
    <w:rsid w:val="00697BB4"/>
    <w:rsid w:val="00697BC8"/>
    <w:rsid w:val="00697C6A"/>
    <w:rsid w:val="006A019E"/>
    <w:rsid w:val="006A0777"/>
    <w:rsid w:val="006A0AD8"/>
    <w:rsid w:val="006A1110"/>
    <w:rsid w:val="006A1294"/>
    <w:rsid w:val="006A1427"/>
    <w:rsid w:val="006A1AEF"/>
    <w:rsid w:val="006A1B3C"/>
    <w:rsid w:val="006A22AB"/>
    <w:rsid w:val="006A24DF"/>
    <w:rsid w:val="006A2659"/>
    <w:rsid w:val="006A2B68"/>
    <w:rsid w:val="006A2D0D"/>
    <w:rsid w:val="006A3249"/>
    <w:rsid w:val="006A3B5A"/>
    <w:rsid w:val="006A3DD9"/>
    <w:rsid w:val="006A4362"/>
    <w:rsid w:val="006A5460"/>
    <w:rsid w:val="006A55CD"/>
    <w:rsid w:val="006A55E7"/>
    <w:rsid w:val="006A66F4"/>
    <w:rsid w:val="006A675B"/>
    <w:rsid w:val="006A69AE"/>
    <w:rsid w:val="006A7C89"/>
    <w:rsid w:val="006A7FA8"/>
    <w:rsid w:val="006B0243"/>
    <w:rsid w:val="006B0292"/>
    <w:rsid w:val="006B12FB"/>
    <w:rsid w:val="006B1BE6"/>
    <w:rsid w:val="006B2F53"/>
    <w:rsid w:val="006B3F5D"/>
    <w:rsid w:val="006B414F"/>
    <w:rsid w:val="006B4235"/>
    <w:rsid w:val="006B51B1"/>
    <w:rsid w:val="006B6062"/>
    <w:rsid w:val="006B6781"/>
    <w:rsid w:val="006B68B8"/>
    <w:rsid w:val="006B6CDB"/>
    <w:rsid w:val="006B6D58"/>
    <w:rsid w:val="006B6FCA"/>
    <w:rsid w:val="006B78C9"/>
    <w:rsid w:val="006C00AC"/>
    <w:rsid w:val="006C09D4"/>
    <w:rsid w:val="006C0ADD"/>
    <w:rsid w:val="006C0C0A"/>
    <w:rsid w:val="006C135D"/>
    <w:rsid w:val="006C19C6"/>
    <w:rsid w:val="006C1E63"/>
    <w:rsid w:val="006C2567"/>
    <w:rsid w:val="006C36DC"/>
    <w:rsid w:val="006C44C3"/>
    <w:rsid w:val="006C49C4"/>
    <w:rsid w:val="006C4A56"/>
    <w:rsid w:val="006C5910"/>
    <w:rsid w:val="006C5EDA"/>
    <w:rsid w:val="006C676A"/>
    <w:rsid w:val="006C7234"/>
    <w:rsid w:val="006C765F"/>
    <w:rsid w:val="006C7E73"/>
    <w:rsid w:val="006D0047"/>
    <w:rsid w:val="006D00ED"/>
    <w:rsid w:val="006D0255"/>
    <w:rsid w:val="006D1850"/>
    <w:rsid w:val="006D1B81"/>
    <w:rsid w:val="006D2A0F"/>
    <w:rsid w:val="006D2C68"/>
    <w:rsid w:val="006D378D"/>
    <w:rsid w:val="006D3E56"/>
    <w:rsid w:val="006D4223"/>
    <w:rsid w:val="006D44AF"/>
    <w:rsid w:val="006D4EC9"/>
    <w:rsid w:val="006D511B"/>
    <w:rsid w:val="006D6265"/>
    <w:rsid w:val="006D67ED"/>
    <w:rsid w:val="006D6F4E"/>
    <w:rsid w:val="006D72EB"/>
    <w:rsid w:val="006E02BE"/>
    <w:rsid w:val="006E0549"/>
    <w:rsid w:val="006E0CC2"/>
    <w:rsid w:val="006E17DA"/>
    <w:rsid w:val="006E1BE4"/>
    <w:rsid w:val="006E2628"/>
    <w:rsid w:val="006E296D"/>
    <w:rsid w:val="006E2DCD"/>
    <w:rsid w:val="006E3D7A"/>
    <w:rsid w:val="006E4387"/>
    <w:rsid w:val="006E4CDC"/>
    <w:rsid w:val="006E5F3B"/>
    <w:rsid w:val="006E6072"/>
    <w:rsid w:val="006E6585"/>
    <w:rsid w:val="006E6F04"/>
    <w:rsid w:val="006E7C60"/>
    <w:rsid w:val="006E7EB1"/>
    <w:rsid w:val="006F0033"/>
    <w:rsid w:val="006F0463"/>
    <w:rsid w:val="006F1E70"/>
    <w:rsid w:val="006F34A6"/>
    <w:rsid w:val="006F3530"/>
    <w:rsid w:val="006F3DA4"/>
    <w:rsid w:val="006F4A69"/>
    <w:rsid w:val="006F4EE4"/>
    <w:rsid w:val="006F5526"/>
    <w:rsid w:val="006F5877"/>
    <w:rsid w:val="006F5F3F"/>
    <w:rsid w:val="006F6043"/>
    <w:rsid w:val="006F618E"/>
    <w:rsid w:val="006F6714"/>
    <w:rsid w:val="006F7071"/>
    <w:rsid w:val="006F71CD"/>
    <w:rsid w:val="006F74BE"/>
    <w:rsid w:val="006F776C"/>
    <w:rsid w:val="0070020E"/>
    <w:rsid w:val="0070027A"/>
    <w:rsid w:val="00701B4E"/>
    <w:rsid w:val="00701E0B"/>
    <w:rsid w:val="00702A8D"/>
    <w:rsid w:val="00702AC3"/>
    <w:rsid w:val="00702B85"/>
    <w:rsid w:val="0070380C"/>
    <w:rsid w:val="00703B25"/>
    <w:rsid w:val="00703D65"/>
    <w:rsid w:val="00703E24"/>
    <w:rsid w:val="007040D7"/>
    <w:rsid w:val="007041C0"/>
    <w:rsid w:val="0070425F"/>
    <w:rsid w:val="00704884"/>
    <w:rsid w:val="00705B7C"/>
    <w:rsid w:val="00706371"/>
    <w:rsid w:val="007070C5"/>
    <w:rsid w:val="007072F7"/>
    <w:rsid w:val="007073C4"/>
    <w:rsid w:val="0070749D"/>
    <w:rsid w:val="007076CA"/>
    <w:rsid w:val="007077CD"/>
    <w:rsid w:val="00707CD7"/>
    <w:rsid w:val="00707D4C"/>
    <w:rsid w:val="007100BA"/>
    <w:rsid w:val="00710EA6"/>
    <w:rsid w:val="007111F7"/>
    <w:rsid w:val="00711679"/>
    <w:rsid w:val="007117E4"/>
    <w:rsid w:val="00711FB4"/>
    <w:rsid w:val="00712551"/>
    <w:rsid w:val="0071289D"/>
    <w:rsid w:val="007139BD"/>
    <w:rsid w:val="00713A2E"/>
    <w:rsid w:val="007146BE"/>
    <w:rsid w:val="007155DB"/>
    <w:rsid w:val="00715F61"/>
    <w:rsid w:val="00716EBA"/>
    <w:rsid w:val="007171FB"/>
    <w:rsid w:val="007174EB"/>
    <w:rsid w:val="0071777E"/>
    <w:rsid w:val="00717A33"/>
    <w:rsid w:val="00717B92"/>
    <w:rsid w:val="00717BFE"/>
    <w:rsid w:val="00717ECB"/>
    <w:rsid w:val="00720077"/>
    <w:rsid w:val="00720839"/>
    <w:rsid w:val="007218A8"/>
    <w:rsid w:val="00722E01"/>
    <w:rsid w:val="00723591"/>
    <w:rsid w:val="007241B6"/>
    <w:rsid w:val="00724504"/>
    <w:rsid w:val="00724639"/>
    <w:rsid w:val="007248E7"/>
    <w:rsid w:val="00724E87"/>
    <w:rsid w:val="00724ECE"/>
    <w:rsid w:val="00724FAB"/>
    <w:rsid w:val="007254EB"/>
    <w:rsid w:val="007255D9"/>
    <w:rsid w:val="0072582D"/>
    <w:rsid w:val="00725A63"/>
    <w:rsid w:val="00725F0D"/>
    <w:rsid w:val="00725FB8"/>
    <w:rsid w:val="0072668C"/>
    <w:rsid w:val="00726AD4"/>
    <w:rsid w:val="0072711F"/>
    <w:rsid w:val="00727588"/>
    <w:rsid w:val="00727EBA"/>
    <w:rsid w:val="0073082C"/>
    <w:rsid w:val="00730BC4"/>
    <w:rsid w:val="00730D7B"/>
    <w:rsid w:val="0073167A"/>
    <w:rsid w:val="00731C26"/>
    <w:rsid w:val="00732D11"/>
    <w:rsid w:val="0073317F"/>
    <w:rsid w:val="0073382B"/>
    <w:rsid w:val="00735169"/>
    <w:rsid w:val="007351D9"/>
    <w:rsid w:val="007353CD"/>
    <w:rsid w:val="00735981"/>
    <w:rsid w:val="00735DA3"/>
    <w:rsid w:val="007363DF"/>
    <w:rsid w:val="00736997"/>
    <w:rsid w:val="00737443"/>
    <w:rsid w:val="00737967"/>
    <w:rsid w:val="00737981"/>
    <w:rsid w:val="00737C47"/>
    <w:rsid w:val="007419C0"/>
    <w:rsid w:val="00741BB7"/>
    <w:rsid w:val="00742063"/>
    <w:rsid w:val="007426AF"/>
    <w:rsid w:val="007434AF"/>
    <w:rsid w:val="007439CA"/>
    <w:rsid w:val="00743A86"/>
    <w:rsid w:val="007441A5"/>
    <w:rsid w:val="0074453F"/>
    <w:rsid w:val="00744AC7"/>
    <w:rsid w:val="00744BD8"/>
    <w:rsid w:val="007457E7"/>
    <w:rsid w:val="0074617F"/>
    <w:rsid w:val="007467CD"/>
    <w:rsid w:val="0074689D"/>
    <w:rsid w:val="00746963"/>
    <w:rsid w:val="00747348"/>
    <w:rsid w:val="007473C6"/>
    <w:rsid w:val="0074753B"/>
    <w:rsid w:val="00747A0E"/>
    <w:rsid w:val="00747BC7"/>
    <w:rsid w:val="00747BE3"/>
    <w:rsid w:val="0075007C"/>
    <w:rsid w:val="007505A2"/>
    <w:rsid w:val="00750843"/>
    <w:rsid w:val="00750B6B"/>
    <w:rsid w:val="00750BDE"/>
    <w:rsid w:val="00750D55"/>
    <w:rsid w:val="00751F01"/>
    <w:rsid w:val="00752D19"/>
    <w:rsid w:val="00753132"/>
    <w:rsid w:val="007535B7"/>
    <w:rsid w:val="00753732"/>
    <w:rsid w:val="0075390C"/>
    <w:rsid w:val="007539B6"/>
    <w:rsid w:val="007545F9"/>
    <w:rsid w:val="007549BB"/>
    <w:rsid w:val="00754DD8"/>
    <w:rsid w:val="00754F2B"/>
    <w:rsid w:val="00755F97"/>
    <w:rsid w:val="00756E8F"/>
    <w:rsid w:val="00757BAD"/>
    <w:rsid w:val="00760006"/>
    <w:rsid w:val="00760247"/>
    <w:rsid w:val="00760B47"/>
    <w:rsid w:val="007618C6"/>
    <w:rsid w:val="00761999"/>
    <w:rsid w:val="00761B4C"/>
    <w:rsid w:val="00762170"/>
    <w:rsid w:val="00763424"/>
    <w:rsid w:val="00764E88"/>
    <w:rsid w:val="0076555E"/>
    <w:rsid w:val="00765825"/>
    <w:rsid w:val="007670DD"/>
    <w:rsid w:val="0076739F"/>
    <w:rsid w:val="00767597"/>
    <w:rsid w:val="007678E7"/>
    <w:rsid w:val="00767B95"/>
    <w:rsid w:val="00770974"/>
    <w:rsid w:val="00770A3D"/>
    <w:rsid w:val="00771281"/>
    <w:rsid w:val="007718B3"/>
    <w:rsid w:val="007719C0"/>
    <w:rsid w:val="00771A8D"/>
    <w:rsid w:val="0077223F"/>
    <w:rsid w:val="0077231D"/>
    <w:rsid w:val="00772B4B"/>
    <w:rsid w:val="00772BAD"/>
    <w:rsid w:val="007732A4"/>
    <w:rsid w:val="0077336C"/>
    <w:rsid w:val="00773E77"/>
    <w:rsid w:val="0077412D"/>
    <w:rsid w:val="007743C6"/>
    <w:rsid w:val="007744D4"/>
    <w:rsid w:val="00774F61"/>
    <w:rsid w:val="007751B0"/>
    <w:rsid w:val="0077537A"/>
    <w:rsid w:val="00775B1C"/>
    <w:rsid w:val="00775B70"/>
    <w:rsid w:val="007768A4"/>
    <w:rsid w:val="0077762B"/>
    <w:rsid w:val="00777F18"/>
    <w:rsid w:val="00780740"/>
    <w:rsid w:val="007807F7"/>
    <w:rsid w:val="00780B2D"/>
    <w:rsid w:val="00780BB6"/>
    <w:rsid w:val="00780FC2"/>
    <w:rsid w:val="00781ACC"/>
    <w:rsid w:val="00782215"/>
    <w:rsid w:val="00782275"/>
    <w:rsid w:val="00782992"/>
    <w:rsid w:val="00782C45"/>
    <w:rsid w:val="00782D38"/>
    <w:rsid w:val="00783426"/>
    <w:rsid w:val="0078396D"/>
    <w:rsid w:val="00783A92"/>
    <w:rsid w:val="00783E96"/>
    <w:rsid w:val="0078404E"/>
    <w:rsid w:val="0078464E"/>
    <w:rsid w:val="00784DFC"/>
    <w:rsid w:val="007856B8"/>
    <w:rsid w:val="00785D94"/>
    <w:rsid w:val="00786585"/>
    <w:rsid w:val="00786D6A"/>
    <w:rsid w:val="007872BE"/>
    <w:rsid w:val="00787ED3"/>
    <w:rsid w:val="00791E50"/>
    <w:rsid w:val="00791FDD"/>
    <w:rsid w:val="007925C8"/>
    <w:rsid w:val="00792709"/>
    <w:rsid w:val="00792DF7"/>
    <w:rsid w:val="007932B5"/>
    <w:rsid w:val="0079346F"/>
    <w:rsid w:val="007936F9"/>
    <w:rsid w:val="007942B5"/>
    <w:rsid w:val="007949DE"/>
    <w:rsid w:val="00794B7E"/>
    <w:rsid w:val="00795021"/>
    <w:rsid w:val="007957B8"/>
    <w:rsid w:val="00795841"/>
    <w:rsid w:val="007962DA"/>
    <w:rsid w:val="00796E66"/>
    <w:rsid w:val="007971D4"/>
    <w:rsid w:val="00797301"/>
    <w:rsid w:val="007974EB"/>
    <w:rsid w:val="00797532"/>
    <w:rsid w:val="007A0AFB"/>
    <w:rsid w:val="007A1790"/>
    <w:rsid w:val="007A18E7"/>
    <w:rsid w:val="007A2469"/>
    <w:rsid w:val="007A24E6"/>
    <w:rsid w:val="007A262B"/>
    <w:rsid w:val="007A262D"/>
    <w:rsid w:val="007A3F93"/>
    <w:rsid w:val="007A4612"/>
    <w:rsid w:val="007A4938"/>
    <w:rsid w:val="007A505B"/>
    <w:rsid w:val="007A5B68"/>
    <w:rsid w:val="007A5F71"/>
    <w:rsid w:val="007A5FF3"/>
    <w:rsid w:val="007A62D7"/>
    <w:rsid w:val="007A6BEB"/>
    <w:rsid w:val="007A6FED"/>
    <w:rsid w:val="007A7440"/>
    <w:rsid w:val="007A76B9"/>
    <w:rsid w:val="007A77BE"/>
    <w:rsid w:val="007A79BF"/>
    <w:rsid w:val="007B00F9"/>
    <w:rsid w:val="007B030A"/>
    <w:rsid w:val="007B06BF"/>
    <w:rsid w:val="007B09DA"/>
    <w:rsid w:val="007B19A1"/>
    <w:rsid w:val="007B21EF"/>
    <w:rsid w:val="007B257B"/>
    <w:rsid w:val="007B3AA5"/>
    <w:rsid w:val="007B3CBA"/>
    <w:rsid w:val="007B3DAA"/>
    <w:rsid w:val="007B41F8"/>
    <w:rsid w:val="007B4503"/>
    <w:rsid w:val="007B4678"/>
    <w:rsid w:val="007B491B"/>
    <w:rsid w:val="007B4AED"/>
    <w:rsid w:val="007B4C4B"/>
    <w:rsid w:val="007B4CC8"/>
    <w:rsid w:val="007B4F58"/>
    <w:rsid w:val="007B5378"/>
    <w:rsid w:val="007B591A"/>
    <w:rsid w:val="007B6A09"/>
    <w:rsid w:val="007B6C2D"/>
    <w:rsid w:val="007B71D1"/>
    <w:rsid w:val="007B72C9"/>
    <w:rsid w:val="007C0016"/>
    <w:rsid w:val="007C03CA"/>
    <w:rsid w:val="007C0835"/>
    <w:rsid w:val="007C09C9"/>
    <w:rsid w:val="007C10EA"/>
    <w:rsid w:val="007C110C"/>
    <w:rsid w:val="007C110D"/>
    <w:rsid w:val="007C12BF"/>
    <w:rsid w:val="007C1BF8"/>
    <w:rsid w:val="007C1F2D"/>
    <w:rsid w:val="007C3F8E"/>
    <w:rsid w:val="007C49C0"/>
    <w:rsid w:val="007C4ACE"/>
    <w:rsid w:val="007C4D64"/>
    <w:rsid w:val="007C4E4C"/>
    <w:rsid w:val="007C53EB"/>
    <w:rsid w:val="007C555A"/>
    <w:rsid w:val="007C5768"/>
    <w:rsid w:val="007C57D4"/>
    <w:rsid w:val="007C6DA1"/>
    <w:rsid w:val="007C78AA"/>
    <w:rsid w:val="007D001A"/>
    <w:rsid w:val="007D2137"/>
    <w:rsid w:val="007D2407"/>
    <w:rsid w:val="007D28F7"/>
    <w:rsid w:val="007D2A17"/>
    <w:rsid w:val="007D314E"/>
    <w:rsid w:val="007D3173"/>
    <w:rsid w:val="007D31D6"/>
    <w:rsid w:val="007D31E6"/>
    <w:rsid w:val="007D36F9"/>
    <w:rsid w:val="007D36FB"/>
    <w:rsid w:val="007D39B1"/>
    <w:rsid w:val="007D4396"/>
    <w:rsid w:val="007D5903"/>
    <w:rsid w:val="007D6BC8"/>
    <w:rsid w:val="007D6C8E"/>
    <w:rsid w:val="007D7465"/>
    <w:rsid w:val="007D78B3"/>
    <w:rsid w:val="007E02A0"/>
    <w:rsid w:val="007E057B"/>
    <w:rsid w:val="007E08D6"/>
    <w:rsid w:val="007E09E7"/>
    <w:rsid w:val="007E1639"/>
    <w:rsid w:val="007E1DD8"/>
    <w:rsid w:val="007E2696"/>
    <w:rsid w:val="007E2862"/>
    <w:rsid w:val="007E3054"/>
    <w:rsid w:val="007E4292"/>
    <w:rsid w:val="007E4795"/>
    <w:rsid w:val="007E4902"/>
    <w:rsid w:val="007E4DCC"/>
    <w:rsid w:val="007E5101"/>
    <w:rsid w:val="007E568C"/>
    <w:rsid w:val="007E6025"/>
    <w:rsid w:val="007E6027"/>
    <w:rsid w:val="007E6442"/>
    <w:rsid w:val="007E708D"/>
    <w:rsid w:val="007E796F"/>
    <w:rsid w:val="007E79FF"/>
    <w:rsid w:val="007F0C46"/>
    <w:rsid w:val="007F0CED"/>
    <w:rsid w:val="007F0DF0"/>
    <w:rsid w:val="007F0EA8"/>
    <w:rsid w:val="007F1077"/>
    <w:rsid w:val="007F15AF"/>
    <w:rsid w:val="007F18F9"/>
    <w:rsid w:val="007F19EF"/>
    <w:rsid w:val="007F20A5"/>
    <w:rsid w:val="007F219B"/>
    <w:rsid w:val="007F2231"/>
    <w:rsid w:val="007F27B9"/>
    <w:rsid w:val="007F2A8A"/>
    <w:rsid w:val="007F3455"/>
    <w:rsid w:val="007F36BB"/>
    <w:rsid w:val="007F3703"/>
    <w:rsid w:val="007F399B"/>
    <w:rsid w:val="007F3BED"/>
    <w:rsid w:val="007F3D23"/>
    <w:rsid w:val="007F3D58"/>
    <w:rsid w:val="007F5656"/>
    <w:rsid w:val="007F5E3F"/>
    <w:rsid w:val="007F665C"/>
    <w:rsid w:val="007F66DA"/>
    <w:rsid w:val="007F698E"/>
    <w:rsid w:val="007F7082"/>
    <w:rsid w:val="007F71F2"/>
    <w:rsid w:val="007F7351"/>
    <w:rsid w:val="007F7E43"/>
    <w:rsid w:val="00800554"/>
    <w:rsid w:val="0080113E"/>
    <w:rsid w:val="008011BF"/>
    <w:rsid w:val="0080184A"/>
    <w:rsid w:val="00801D0A"/>
    <w:rsid w:val="0080266E"/>
    <w:rsid w:val="008027C4"/>
    <w:rsid w:val="00803175"/>
    <w:rsid w:val="00803E01"/>
    <w:rsid w:val="00803FED"/>
    <w:rsid w:val="00804AE2"/>
    <w:rsid w:val="00804C48"/>
    <w:rsid w:val="00805D97"/>
    <w:rsid w:val="00806667"/>
    <w:rsid w:val="00806A2F"/>
    <w:rsid w:val="00807112"/>
    <w:rsid w:val="00807807"/>
    <w:rsid w:val="00807852"/>
    <w:rsid w:val="00811346"/>
    <w:rsid w:val="008113DB"/>
    <w:rsid w:val="00811576"/>
    <w:rsid w:val="008120DB"/>
    <w:rsid w:val="00812214"/>
    <w:rsid w:val="008124C8"/>
    <w:rsid w:val="00812779"/>
    <w:rsid w:val="00812900"/>
    <w:rsid w:val="00812B99"/>
    <w:rsid w:val="008136E4"/>
    <w:rsid w:val="00813945"/>
    <w:rsid w:val="00813B70"/>
    <w:rsid w:val="00813CFA"/>
    <w:rsid w:val="008140A3"/>
    <w:rsid w:val="00814801"/>
    <w:rsid w:val="00815BA1"/>
    <w:rsid w:val="00815FBB"/>
    <w:rsid w:val="0081619D"/>
    <w:rsid w:val="00816D33"/>
    <w:rsid w:val="00817210"/>
    <w:rsid w:val="00817441"/>
    <w:rsid w:val="00817709"/>
    <w:rsid w:val="00817754"/>
    <w:rsid w:val="008179CC"/>
    <w:rsid w:val="00817FC5"/>
    <w:rsid w:val="008207C9"/>
    <w:rsid w:val="00820E12"/>
    <w:rsid w:val="00820E3A"/>
    <w:rsid w:val="0082156D"/>
    <w:rsid w:val="008218E8"/>
    <w:rsid w:val="00822DB9"/>
    <w:rsid w:val="00822E7C"/>
    <w:rsid w:val="00823151"/>
    <w:rsid w:val="008231E9"/>
    <w:rsid w:val="008234D7"/>
    <w:rsid w:val="008240BA"/>
    <w:rsid w:val="00824510"/>
    <w:rsid w:val="00824A3C"/>
    <w:rsid w:val="00824B70"/>
    <w:rsid w:val="008255EA"/>
    <w:rsid w:val="00825949"/>
    <w:rsid w:val="00825CFC"/>
    <w:rsid w:val="0082643A"/>
    <w:rsid w:val="0082793C"/>
    <w:rsid w:val="00827F6D"/>
    <w:rsid w:val="008304FE"/>
    <w:rsid w:val="0083139B"/>
    <w:rsid w:val="00831454"/>
    <w:rsid w:val="00831731"/>
    <w:rsid w:val="00831A57"/>
    <w:rsid w:val="008323EE"/>
    <w:rsid w:val="008337E4"/>
    <w:rsid w:val="00833804"/>
    <w:rsid w:val="00833BA5"/>
    <w:rsid w:val="00833C5C"/>
    <w:rsid w:val="00833FA2"/>
    <w:rsid w:val="0083430D"/>
    <w:rsid w:val="0083437C"/>
    <w:rsid w:val="008344F9"/>
    <w:rsid w:val="008345D3"/>
    <w:rsid w:val="0083481D"/>
    <w:rsid w:val="0083483B"/>
    <w:rsid w:val="00834EDC"/>
    <w:rsid w:val="00834F25"/>
    <w:rsid w:val="008351FD"/>
    <w:rsid w:val="008356C2"/>
    <w:rsid w:val="008356DA"/>
    <w:rsid w:val="00835823"/>
    <w:rsid w:val="00835B7F"/>
    <w:rsid w:val="00835D1F"/>
    <w:rsid w:val="0083653F"/>
    <w:rsid w:val="00836EB2"/>
    <w:rsid w:val="00837069"/>
    <w:rsid w:val="008371C5"/>
    <w:rsid w:val="00837B31"/>
    <w:rsid w:val="00840057"/>
    <w:rsid w:val="0084021C"/>
    <w:rsid w:val="00841438"/>
    <w:rsid w:val="0084236F"/>
    <w:rsid w:val="00842735"/>
    <w:rsid w:val="008430EE"/>
    <w:rsid w:val="00843201"/>
    <w:rsid w:val="00843503"/>
    <w:rsid w:val="008436B0"/>
    <w:rsid w:val="0084429C"/>
    <w:rsid w:val="00844C8F"/>
    <w:rsid w:val="00845554"/>
    <w:rsid w:val="008456A0"/>
    <w:rsid w:val="00845C62"/>
    <w:rsid w:val="00846091"/>
    <w:rsid w:val="0084612E"/>
    <w:rsid w:val="00847300"/>
    <w:rsid w:val="008478A7"/>
    <w:rsid w:val="00847BA7"/>
    <w:rsid w:val="00850585"/>
    <w:rsid w:val="00850A58"/>
    <w:rsid w:val="00851C98"/>
    <w:rsid w:val="00852E35"/>
    <w:rsid w:val="0085320F"/>
    <w:rsid w:val="008532E7"/>
    <w:rsid w:val="00853AA7"/>
    <w:rsid w:val="00855425"/>
    <w:rsid w:val="008558FF"/>
    <w:rsid w:val="00855C36"/>
    <w:rsid w:val="00856A20"/>
    <w:rsid w:val="00857389"/>
    <w:rsid w:val="0085752E"/>
    <w:rsid w:val="00857FE6"/>
    <w:rsid w:val="0086036A"/>
    <w:rsid w:val="008609A1"/>
    <w:rsid w:val="0086212E"/>
    <w:rsid w:val="008625CE"/>
    <w:rsid w:val="0086274B"/>
    <w:rsid w:val="008633ED"/>
    <w:rsid w:val="00863D87"/>
    <w:rsid w:val="00863ECE"/>
    <w:rsid w:val="0086412C"/>
    <w:rsid w:val="00864790"/>
    <w:rsid w:val="00864938"/>
    <w:rsid w:val="0086531D"/>
    <w:rsid w:val="008655C8"/>
    <w:rsid w:val="008655ED"/>
    <w:rsid w:val="008660B4"/>
    <w:rsid w:val="00866758"/>
    <w:rsid w:val="00866D61"/>
    <w:rsid w:val="00867970"/>
    <w:rsid w:val="00867BB2"/>
    <w:rsid w:val="00867E94"/>
    <w:rsid w:val="00870237"/>
    <w:rsid w:val="0087031A"/>
    <w:rsid w:val="00870B42"/>
    <w:rsid w:val="00870D8F"/>
    <w:rsid w:val="0087108C"/>
    <w:rsid w:val="0087112E"/>
    <w:rsid w:val="00871289"/>
    <w:rsid w:val="0087151C"/>
    <w:rsid w:val="00871811"/>
    <w:rsid w:val="00871C94"/>
    <w:rsid w:val="00872381"/>
    <w:rsid w:val="00872772"/>
    <w:rsid w:val="00872A51"/>
    <w:rsid w:val="008730E0"/>
    <w:rsid w:val="008731C5"/>
    <w:rsid w:val="00873466"/>
    <w:rsid w:val="00873AB1"/>
    <w:rsid w:val="00873B69"/>
    <w:rsid w:val="00874270"/>
    <w:rsid w:val="0087451C"/>
    <w:rsid w:val="00874608"/>
    <w:rsid w:val="00874693"/>
    <w:rsid w:val="00875D57"/>
    <w:rsid w:val="008760A0"/>
    <w:rsid w:val="0087643D"/>
    <w:rsid w:val="008764F6"/>
    <w:rsid w:val="00876BCC"/>
    <w:rsid w:val="00876D6D"/>
    <w:rsid w:val="00877F53"/>
    <w:rsid w:val="0088023D"/>
    <w:rsid w:val="00881203"/>
    <w:rsid w:val="008812A5"/>
    <w:rsid w:val="008816BD"/>
    <w:rsid w:val="00881828"/>
    <w:rsid w:val="0088327F"/>
    <w:rsid w:val="00883914"/>
    <w:rsid w:val="00883B78"/>
    <w:rsid w:val="0088413D"/>
    <w:rsid w:val="0088464C"/>
    <w:rsid w:val="00884A9F"/>
    <w:rsid w:val="00885DEA"/>
    <w:rsid w:val="008860F3"/>
    <w:rsid w:val="00886839"/>
    <w:rsid w:val="00886C0D"/>
    <w:rsid w:val="00886E37"/>
    <w:rsid w:val="00887239"/>
    <w:rsid w:val="0088764C"/>
    <w:rsid w:val="00887908"/>
    <w:rsid w:val="00887990"/>
    <w:rsid w:val="00887EC0"/>
    <w:rsid w:val="008907AB"/>
    <w:rsid w:val="00890B6F"/>
    <w:rsid w:val="00891111"/>
    <w:rsid w:val="00891263"/>
    <w:rsid w:val="008912D6"/>
    <w:rsid w:val="008915B1"/>
    <w:rsid w:val="008915F1"/>
    <w:rsid w:val="00891755"/>
    <w:rsid w:val="008919A6"/>
    <w:rsid w:val="00891D83"/>
    <w:rsid w:val="0089217A"/>
    <w:rsid w:val="00892AAC"/>
    <w:rsid w:val="00892E93"/>
    <w:rsid w:val="008934DE"/>
    <w:rsid w:val="008937CF"/>
    <w:rsid w:val="00893B94"/>
    <w:rsid w:val="008942B0"/>
    <w:rsid w:val="00895D74"/>
    <w:rsid w:val="008968FB"/>
    <w:rsid w:val="00896BC3"/>
    <w:rsid w:val="00897034"/>
    <w:rsid w:val="00897821"/>
    <w:rsid w:val="00897B01"/>
    <w:rsid w:val="00897D0B"/>
    <w:rsid w:val="008A0090"/>
    <w:rsid w:val="008A049D"/>
    <w:rsid w:val="008A08AB"/>
    <w:rsid w:val="008A09A6"/>
    <w:rsid w:val="008A0EEE"/>
    <w:rsid w:val="008A24E8"/>
    <w:rsid w:val="008A26A7"/>
    <w:rsid w:val="008A3027"/>
    <w:rsid w:val="008A33DF"/>
    <w:rsid w:val="008A35F1"/>
    <w:rsid w:val="008A45A4"/>
    <w:rsid w:val="008A4A10"/>
    <w:rsid w:val="008A4A53"/>
    <w:rsid w:val="008A4BC6"/>
    <w:rsid w:val="008A4DDB"/>
    <w:rsid w:val="008A52C1"/>
    <w:rsid w:val="008A6318"/>
    <w:rsid w:val="008A64BF"/>
    <w:rsid w:val="008A6512"/>
    <w:rsid w:val="008A65BF"/>
    <w:rsid w:val="008A679B"/>
    <w:rsid w:val="008A6EC5"/>
    <w:rsid w:val="008A71D5"/>
    <w:rsid w:val="008B01C9"/>
    <w:rsid w:val="008B05B6"/>
    <w:rsid w:val="008B0887"/>
    <w:rsid w:val="008B0999"/>
    <w:rsid w:val="008B0F85"/>
    <w:rsid w:val="008B1D88"/>
    <w:rsid w:val="008B2022"/>
    <w:rsid w:val="008B2DB0"/>
    <w:rsid w:val="008B3861"/>
    <w:rsid w:val="008B4335"/>
    <w:rsid w:val="008B4654"/>
    <w:rsid w:val="008B4FFA"/>
    <w:rsid w:val="008B50E4"/>
    <w:rsid w:val="008B5A2A"/>
    <w:rsid w:val="008B5F5C"/>
    <w:rsid w:val="008B697E"/>
    <w:rsid w:val="008B6B42"/>
    <w:rsid w:val="008C0009"/>
    <w:rsid w:val="008C0A18"/>
    <w:rsid w:val="008C0BC7"/>
    <w:rsid w:val="008C0C8E"/>
    <w:rsid w:val="008C0CA6"/>
    <w:rsid w:val="008C0F46"/>
    <w:rsid w:val="008C1186"/>
    <w:rsid w:val="008C1469"/>
    <w:rsid w:val="008C174B"/>
    <w:rsid w:val="008C18CB"/>
    <w:rsid w:val="008C1982"/>
    <w:rsid w:val="008C1A4B"/>
    <w:rsid w:val="008C2E5E"/>
    <w:rsid w:val="008C305E"/>
    <w:rsid w:val="008C3EAD"/>
    <w:rsid w:val="008C3F48"/>
    <w:rsid w:val="008C4B58"/>
    <w:rsid w:val="008C4D9D"/>
    <w:rsid w:val="008C5196"/>
    <w:rsid w:val="008C59E2"/>
    <w:rsid w:val="008C5A5A"/>
    <w:rsid w:val="008C5B5C"/>
    <w:rsid w:val="008C5B7F"/>
    <w:rsid w:val="008C616A"/>
    <w:rsid w:val="008C620A"/>
    <w:rsid w:val="008C62AC"/>
    <w:rsid w:val="008C678A"/>
    <w:rsid w:val="008C79A2"/>
    <w:rsid w:val="008C7DAA"/>
    <w:rsid w:val="008C7E1C"/>
    <w:rsid w:val="008D0052"/>
    <w:rsid w:val="008D01AA"/>
    <w:rsid w:val="008D0499"/>
    <w:rsid w:val="008D08CB"/>
    <w:rsid w:val="008D090A"/>
    <w:rsid w:val="008D0D8F"/>
    <w:rsid w:val="008D1F5E"/>
    <w:rsid w:val="008D2C88"/>
    <w:rsid w:val="008D3039"/>
    <w:rsid w:val="008D3305"/>
    <w:rsid w:val="008D331C"/>
    <w:rsid w:val="008D3B1D"/>
    <w:rsid w:val="008D3D36"/>
    <w:rsid w:val="008D4958"/>
    <w:rsid w:val="008D5254"/>
    <w:rsid w:val="008D5D4D"/>
    <w:rsid w:val="008D7233"/>
    <w:rsid w:val="008D796F"/>
    <w:rsid w:val="008D7BED"/>
    <w:rsid w:val="008E0900"/>
    <w:rsid w:val="008E1E2F"/>
    <w:rsid w:val="008E21BF"/>
    <w:rsid w:val="008E2385"/>
    <w:rsid w:val="008E2AF7"/>
    <w:rsid w:val="008E2B45"/>
    <w:rsid w:val="008E2D9C"/>
    <w:rsid w:val="008E3B76"/>
    <w:rsid w:val="008E418C"/>
    <w:rsid w:val="008E4880"/>
    <w:rsid w:val="008E5061"/>
    <w:rsid w:val="008E5436"/>
    <w:rsid w:val="008E5AEC"/>
    <w:rsid w:val="008E60E3"/>
    <w:rsid w:val="008E6883"/>
    <w:rsid w:val="008E6E48"/>
    <w:rsid w:val="008E7227"/>
    <w:rsid w:val="008E7B07"/>
    <w:rsid w:val="008E7D6C"/>
    <w:rsid w:val="008E7DFB"/>
    <w:rsid w:val="008F0000"/>
    <w:rsid w:val="008F0811"/>
    <w:rsid w:val="008F0AF9"/>
    <w:rsid w:val="008F0C95"/>
    <w:rsid w:val="008F0D06"/>
    <w:rsid w:val="008F139E"/>
    <w:rsid w:val="008F1C48"/>
    <w:rsid w:val="008F1CA0"/>
    <w:rsid w:val="008F1ED3"/>
    <w:rsid w:val="008F22EB"/>
    <w:rsid w:val="008F2988"/>
    <w:rsid w:val="008F2D84"/>
    <w:rsid w:val="008F2F5A"/>
    <w:rsid w:val="008F3641"/>
    <w:rsid w:val="008F383A"/>
    <w:rsid w:val="008F3E48"/>
    <w:rsid w:val="008F47EF"/>
    <w:rsid w:val="008F4836"/>
    <w:rsid w:val="008F50DE"/>
    <w:rsid w:val="008F5261"/>
    <w:rsid w:val="008F5E38"/>
    <w:rsid w:val="008F6237"/>
    <w:rsid w:val="008F6679"/>
    <w:rsid w:val="008F6E06"/>
    <w:rsid w:val="008F7A30"/>
    <w:rsid w:val="008F7A71"/>
    <w:rsid w:val="008F7B72"/>
    <w:rsid w:val="008F7BBA"/>
    <w:rsid w:val="008F7DB9"/>
    <w:rsid w:val="00900094"/>
    <w:rsid w:val="009008F4"/>
    <w:rsid w:val="00900B16"/>
    <w:rsid w:val="00900BDD"/>
    <w:rsid w:val="00900FC2"/>
    <w:rsid w:val="009011CC"/>
    <w:rsid w:val="009014C8"/>
    <w:rsid w:val="0090198E"/>
    <w:rsid w:val="00901F09"/>
    <w:rsid w:val="00902051"/>
    <w:rsid w:val="0090211A"/>
    <w:rsid w:val="009024FE"/>
    <w:rsid w:val="009025CB"/>
    <w:rsid w:val="00902840"/>
    <w:rsid w:val="00902AF6"/>
    <w:rsid w:val="00902E11"/>
    <w:rsid w:val="00903134"/>
    <w:rsid w:val="009039B8"/>
    <w:rsid w:val="00903B22"/>
    <w:rsid w:val="00903F27"/>
    <w:rsid w:val="0090478E"/>
    <w:rsid w:val="00904AE3"/>
    <w:rsid w:val="00906B8A"/>
    <w:rsid w:val="00906C08"/>
    <w:rsid w:val="00906E4F"/>
    <w:rsid w:val="009101D7"/>
    <w:rsid w:val="009106BB"/>
    <w:rsid w:val="009108D1"/>
    <w:rsid w:val="00910A65"/>
    <w:rsid w:val="00910DB5"/>
    <w:rsid w:val="009111C8"/>
    <w:rsid w:val="00911368"/>
    <w:rsid w:val="009114D3"/>
    <w:rsid w:val="00911E56"/>
    <w:rsid w:val="009122EF"/>
    <w:rsid w:val="0091285D"/>
    <w:rsid w:val="00912C44"/>
    <w:rsid w:val="00912F27"/>
    <w:rsid w:val="00913202"/>
    <w:rsid w:val="009133D9"/>
    <w:rsid w:val="009142FA"/>
    <w:rsid w:val="00914E24"/>
    <w:rsid w:val="009155D1"/>
    <w:rsid w:val="00915859"/>
    <w:rsid w:val="009162ED"/>
    <w:rsid w:val="00917180"/>
    <w:rsid w:val="00917655"/>
    <w:rsid w:val="00917A0A"/>
    <w:rsid w:val="00920B73"/>
    <w:rsid w:val="009211EF"/>
    <w:rsid w:val="00921A25"/>
    <w:rsid w:val="00921A36"/>
    <w:rsid w:val="00922599"/>
    <w:rsid w:val="009227EC"/>
    <w:rsid w:val="00922822"/>
    <w:rsid w:val="009228B7"/>
    <w:rsid w:val="00923B4B"/>
    <w:rsid w:val="00923F29"/>
    <w:rsid w:val="00924658"/>
    <w:rsid w:val="00925482"/>
    <w:rsid w:val="009256BF"/>
    <w:rsid w:val="009258C7"/>
    <w:rsid w:val="0092603D"/>
    <w:rsid w:val="00926069"/>
    <w:rsid w:val="00927DF5"/>
    <w:rsid w:val="00930A2B"/>
    <w:rsid w:val="00932064"/>
    <w:rsid w:val="00932658"/>
    <w:rsid w:val="009330B7"/>
    <w:rsid w:val="009334DC"/>
    <w:rsid w:val="009338D0"/>
    <w:rsid w:val="00933AF0"/>
    <w:rsid w:val="00933B00"/>
    <w:rsid w:val="00933F6A"/>
    <w:rsid w:val="00934DEC"/>
    <w:rsid w:val="00935C7B"/>
    <w:rsid w:val="0093660D"/>
    <w:rsid w:val="0093725C"/>
    <w:rsid w:val="009407E5"/>
    <w:rsid w:val="0094166D"/>
    <w:rsid w:val="009417CF"/>
    <w:rsid w:val="00941E74"/>
    <w:rsid w:val="009422F9"/>
    <w:rsid w:val="009427C6"/>
    <w:rsid w:val="00942E14"/>
    <w:rsid w:val="00943302"/>
    <w:rsid w:val="00943CB0"/>
    <w:rsid w:val="00943EB8"/>
    <w:rsid w:val="009444D2"/>
    <w:rsid w:val="00944BED"/>
    <w:rsid w:val="009454B8"/>
    <w:rsid w:val="009455C7"/>
    <w:rsid w:val="00945DA3"/>
    <w:rsid w:val="009463A0"/>
    <w:rsid w:val="00946C18"/>
    <w:rsid w:val="009504ED"/>
    <w:rsid w:val="009504F3"/>
    <w:rsid w:val="00950F14"/>
    <w:rsid w:val="0095131A"/>
    <w:rsid w:val="009513CA"/>
    <w:rsid w:val="00952B27"/>
    <w:rsid w:val="00952EF1"/>
    <w:rsid w:val="009536A5"/>
    <w:rsid w:val="00953891"/>
    <w:rsid w:val="00953F6A"/>
    <w:rsid w:val="00954130"/>
    <w:rsid w:val="00954B24"/>
    <w:rsid w:val="009554C6"/>
    <w:rsid w:val="0095671F"/>
    <w:rsid w:val="00960305"/>
    <w:rsid w:val="00960314"/>
    <w:rsid w:val="009605AA"/>
    <w:rsid w:val="00961D6C"/>
    <w:rsid w:val="00961E50"/>
    <w:rsid w:val="0096202C"/>
    <w:rsid w:val="0096205E"/>
    <w:rsid w:val="0096267E"/>
    <w:rsid w:val="00962DA9"/>
    <w:rsid w:val="009631EB"/>
    <w:rsid w:val="00963336"/>
    <w:rsid w:val="0096387E"/>
    <w:rsid w:val="00963C36"/>
    <w:rsid w:val="00963ED5"/>
    <w:rsid w:val="0096523D"/>
    <w:rsid w:val="0096563E"/>
    <w:rsid w:val="009666A3"/>
    <w:rsid w:val="00966B14"/>
    <w:rsid w:val="00966F6E"/>
    <w:rsid w:val="00966FC5"/>
    <w:rsid w:val="00967BDB"/>
    <w:rsid w:val="00970933"/>
    <w:rsid w:val="009709B8"/>
    <w:rsid w:val="00971DD0"/>
    <w:rsid w:val="00971E81"/>
    <w:rsid w:val="00971FBC"/>
    <w:rsid w:val="009728CC"/>
    <w:rsid w:val="00972A11"/>
    <w:rsid w:val="00973037"/>
    <w:rsid w:val="00973738"/>
    <w:rsid w:val="00973850"/>
    <w:rsid w:val="00974410"/>
    <w:rsid w:val="009745F5"/>
    <w:rsid w:val="009757EE"/>
    <w:rsid w:val="0097588B"/>
    <w:rsid w:val="009762CE"/>
    <w:rsid w:val="00976436"/>
    <w:rsid w:val="0097659D"/>
    <w:rsid w:val="0097681F"/>
    <w:rsid w:val="00976935"/>
    <w:rsid w:val="00976ADC"/>
    <w:rsid w:val="00976BB2"/>
    <w:rsid w:val="00976CAB"/>
    <w:rsid w:val="00977A2E"/>
    <w:rsid w:val="00977E0E"/>
    <w:rsid w:val="00977FFA"/>
    <w:rsid w:val="009803F2"/>
    <w:rsid w:val="0098048D"/>
    <w:rsid w:val="00980A40"/>
    <w:rsid w:val="00980E84"/>
    <w:rsid w:val="00980F4E"/>
    <w:rsid w:val="00980F58"/>
    <w:rsid w:val="009825E9"/>
    <w:rsid w:val="0098275A"/>
    <w:rsid w:val="009827BD"/>
    <w:rsid w:val="00982BA1"/>
    <w:rsid w:val="0098376B"/>
    <w:rsid w:val="009837CE"/>
    <w:rsid w:val="009838F7"/>
    <w:rsid w:val="00983B2B"/>
    <w:rsid w:val="00983E61"/>
    <w:rsid w:val="00984AE9"/>
    <w:rsid w:val="00984F4A"/>
    <w:rsid w:val="00985071"/>
    <w:rsid w:val="00985A8E"/>
    <w:rsid w:val="00985ED2"/>
    <w:rsid w:val="009868DC"/>
    <w:rsid w:val="00986F3B"/>
    <w:rsid w:val="00986FF3"/>
    <w:rsid w:val="00987752"/>
    <w:rsid w:val="00987F27"/>
    <w:rsid w:val="00990A7D"/>
    <w:rsid w:val="00990C5B"/>
    <w:rsid w:val="00992463"/>
    <w:rsid w:val="00992E85"/>
    <w:rsid w:val="0099392D"/>
    <w:rsid w:val="00993B3B"/>
    <w:rsid w:val="00994739"/>
    <w:rsid w:val="0099549D"/>
    <w:rsid w:val="00995952"/>
    <w:rsid w:val="00996420"/>
    <w:rsid w:val="00996B5A"/>
    <w:rsid w:val="00996D2B"/>
    <w:rsid w:val="009970D3"/>
    <w:rsid w:val="00997198"/>
    <w:rsid w:val="00997692"/>
    <w:rsid w:val="009A004E"/>
    <w:rsid w:val="009A05CF"/>
    <w:rsid w:val="009A0B70"/>
    <w:rsid w:val="009A0CAC"/>
    <w:rsid w:val="009A1E66"/>
    <w:rsid w:val="009A2145"/>
    <w:rsid w:val="009A2524"/>
    <w:rsid w:val="009A2F4B"/>
    <w:rsid w:val="009A33A7"/>
    <w:rsid w:val="009A36C6"/>
    <w:rsid w:val="009A38FA"/>
    <w:rsid w:val="009A43C5"/>
    <w:rsid w:val="009A459C"/>
    <w:rsid w:val="009A5A9E"/>
    <w:rsid w:val="009A65E2"/>
    <w:rsid w:val="009A6777"/>
    <w:rsid w:val="009A69DC"/>
    <w:rsid w:val="009A72C0"/>
    <w:rsid w:val="009A7DC0"/>
    <w:rsid w:val="009B07D2"/>
    <w:rsid w:val="009B0C30"/>
    <w:rsid w:val="009B1350"/>
    <w:rsid w:val="009B144D"/>
    <w:rsid w:val="009B1477"/>
    <w:rsid w:val="009B2940"/>
    <w:rsid w:val="009B2AB8"/>
    <w:rsid w:val="009B361C"/>
    <w:rsid w:val="009B3963"/>
    <w:rsid w:val="009B41DB"/>
    <w:rsid w:val="009B4A78"/>
    <w:rsid w:val="009B592C"/>
    <w:rsid w:val="009B5D2E"/>
    <w:rsid w:val="009B5FB2"/>
    <w:rsid w:val="009B5FFC"/>
    <w:rsid w:val="009B723D"/>
    <w:rsid w:val="009B7370"/>
    <w:rsid w:val="009B7407"/>
    <w:rsid w:val="009B7839"/>
    <w:rsid w:val="009B79A2"/>
    <w:rsid w:val="009B7BB7"/>
    <w:rsid w:val="009B7DB2"/>
    <w:rsid w:val="009C01E7"/>
    <w:rsid w:val="009C0816"/>
    <w:rsid w:val="009C0888"/>
    <w:rsid w:val="009C1122"/>
    <w:rsid w:val="009C13CF"/>
    <w:rsid w:val="009C15A1"/>
    <w:rsid w:val="009C17AA"/>
    <w:rsid w:val="009C1A32"/>
    <w:rsid w:val="009C1C6A"/>
    <w:rsid w:val="009C265A"/>
    <w:rsid w:val="009C2FA6"/>
    <w:rsid w:val="009C339F"/>
    <w:rsid w:val="009C4030"/>
    <w:rsid w:val="009C50FA"/>
    <w:rsid w:val="009C51AD"/>
    <w:rsid w:val="009C641A"/>
    <w:rsid w:val="009C65AF"/>
    <w:rsid w:val="009C7625"/>
    <w:rsid w:val="009C7BE6"/>
    <w:rsid w:val="009C7CED"/>
    <w:rsid w:val="009D1536"/>
    <w:rsid w:val="009D1F57"/>
    <w:rsid w:val="009D20B8"/>
    <w:rsid w:val="009D20DE"/>
    <w:rsid w:val="009D214D"/>
    <w:rsid w:val="009D23FA"/>
    <w:rsid w:val="009D3305"/>
    <w:rsid w:val="009D3744"/>
    <w:rsid w:val="009D377D"/>
    <w:rsid w:val="009D3786"/>
    <w:rsid w:val="009D39C6"/>
    <w:rsid w:val="009D3A89"/>
    <w:rsid w:val="009D3B33"/>
    <w:rsid w:val="009D4ABF"/>
    <w:rsid w:val="009D5507"/>
    <w:rsid w:val="009D57E3"/>
    <w:rsid w:val="009D59AE"/>
    <w:rsid w:val="009D5C6B"/>
    <w:rsid w:val="009D60DF"/>
    <w:rsid w:val="009D6412"/>
    <w:rsid w:val="009D6CEA"/>
    <w:rsid w:val="009D6E6D"/>
    <w:rsid w:val="009D7879"/>
    <w:rsid w:val="009D7C4D"/>
    <w:rsid w:val="009D7CBF"/>
    <w:rsid w:val="009E029B"/>
    <w:rsid w:val="009E0614"/>
    <w:rsid w:val="009E0F49"/>
    <w:rsid w:val="009E1188"/>
    <w:rsid w:val="009E16D2"/>
    <w:rsid w:val="009E179B"/>
    <w:rsid w:val="009E1866"/>
    <w:rsid w:val="009E1C34"/>
    <w:rsid w:val="009E26F5"/>
    <w:rsid w:val="009E29CB"/>
    <w:rsid w:val="009E3134"/>
    <w:rsid w:val="009E37D6"/>
    <w:rsid w:val="009E3C5A"/>
    <w:rsid w:val="009E3E7D"/>
    <w:rsid w:val="009E4393"/>
    <w:rsid w:val="009E44A7"/>
    <w:rsid w:val="009E4802"/>
    <w:rsid w:val="009E4B69"/>
    <w:rsid w:val="009E4E86"/>
    <w:rsid w:val="009E4EFF"/>
    <w:rsid w:val="009E5555"/>
    <w:rsid w:val="009E58D7"/>
    <w:rsid w:val="009E5B28"/>
    <w:rsid w:val="009E5EE0"/>
    <w:rsid w:val="009E61A9"/>
    <w:rsid w:val="009E629C"/>
    <w:rsid w:val="009E6C4F"/>
    <w:rsid w:val="009E70FF"/>
    <w:rsid w:val="009E71F0"/>
    <w:rsid w:val="009E75F5"/>
    <w:rsid w:val="009E7ED3"/>
    <w:rsid w:val="009E7F26"/>
    <w:rsid w:val="009F04B8"/>
    <w:rsid w:val="009F0BA5"/>
    <w:rsid w:val="009F0CCC"/>
    <w:rsid w:val="009F18ED"/>
    <w:rsid w:val="009F3097"/>
    <w:rsid w:val="009F3221"/>
    <w:rsid w:val="009F32C5"/>
    <w:rsid w:val="009F3808"/>
    <w:rsid w:val="009F3C95"/>
    <w:rsid w:val="009F4B84"/>
    <w:rsid w:val="009F4E42"/>
    <w:rsid w:val="009F572A"/>
    <w:rsid w:val="009F5FD7"/>
    <w:rsid w:val="009F6046"/>
    <w:rsid w:val="009F61AC"/>
    <w:rsid w:val="009F63ED"/>
    <w:rsid w:val="009F7415"/>
    <w:rsid w:val="009F7549"/>
    <w:rsid w:val="009F76A6"/>
    <w:rsid w:val="009F7A4B"/>
    <w:rsid w:val="00A01817"/>
    <w:rsid w:val="00A01873"/>
    <w:rsid w:val="00A01BDD"/>
    <w:rsid w:val="00A03029"/>
    <w:rsid w:val="00A0325C"/>
    <w:rsid w:val="00A0370A"/>
    <w:rsid w:val="00A037AF"/>
    <w:rsid w:val="00A04DFF"/>
    <w:rsid w:val="00A052AD"/>
    <w:rsid w:val="00A052E0"/>
    <w:rsid w:val="00A05312"/>
    <w:rsid w:val="00A05734"/>
    <w:rsid w:val="00A05AED"/>
    <w:rsid w:val="00A05F55"/>
    <w:rsid w:val="00A06279"/>
    <w:rsid w:val="00A066CB"/>
    <w:rsid w:val="00A07F0D"/>
    <w:rsid w:val="00A11187"/>
    <w:rsid w:val="00A1142D"/>
    <w:rsid w:val="00A13619"/>
    <w:rsid w:val="00A137E2"/>
    <w:rsid w:val="00A1387C"/>
    <w:rsid w:val="00A139C9"/>
    <w:rsid w:val="00A13A14"/>
    <w:rsid w:val="00A13A70"/>
    <w:rsid w:val="00A13D1F"/>
    <w:rsid w:val="00A1495D"/>
    <w:rsid w:val="00A15348"/>
    <w:rsid w:val="00A1622E"/>
    <w:rsid w:val="00A16C3F"/>
    <w:rsid w:val="00A1755A"/>
    <w:rsid w:val="00A17617"/>
    <w:rsid w:val="00A178DC"/>
    <w:rsid w:val="00A17BB5"/>
    <w:rsid w:val="00A200F6"/>
    <w:rsid w:val="00A201C3"/>
    <w:rsid w:val="00A20AB4"/>
    <w:rsid w:val="00A20B84"/>
    <w:rsid w:val="00A20C01"/>
    <w:rsid w:val="00A20D83"/>
    <w:rsid w:val="00A21212"/>
    <w:rsid w:val="00A21997"/>
    <w:rsid w:val="00A21FA6"/>
    <w:rsid w:val="00A22051"/>
    <w:rsid w:val="00A221A2"/>
    <w:rsid w:val="00A2259F"/>
    <w:rsid w:val="00A22F1A"/>
    <w:rsid w:val="00A2380C"/>
    <w:rsid w:val="00A2387A"/>
    <w:rsid w:val="00A23D80"/>
    <w:rsid w:val="00A24079"/>
    <w:rsid w:val="00A242C2"/>
    <w:rsid w:val="00A2470D"/>
    <w:rsid w:val="00A2488D"/>
    <w:rsid w:val="00A249D1"/>
    <w:rsid w:val="00A24BE5"/>
    <w:rsid w:val="00A25279"/>
    <w:rsid w:val="00A267B9"/>
    <w:rsid w:val="00A26CBC"/>
    <w:rsid w:val="00A27F9F"/>
    <w:rsid w:val="00A30B1B"/>
    <w:rsid w:val="00A312C7"/>
    <w:rsid w:val="00A316F8"/>
    <w:rsid w:val="00A32345"/>
    <w:rsid w:val="00A324F0"/>
    <w:rsid w:val="00A327A3"/>
    <w:rsid w:val="00A337DA"/>
    <w:rsid w:val="00A33A34"/>
    <w:rsid w:val="00A33C6D"/>
    <w:rsid w:val="00A33EAC"/>
    <w:rsid w:val="00A33ECA"/>
    <w:rsid w:val="00A34CDB"/>
    <w:rsid w:val="00A34E32"/>
    <w:rsid w:val="00A34E47"/>
    <w:rsid w:val="00A352CA"/>
    <w:rsid w:val="00A353A7"/>
    <w:rsid w:val="00A3563F"/>
    <w:rsid w:val="00A35DDC"/>
    <w:rsid w:val="00A36F7D"/>
    <w:rsid w:val="00A372D9"/>
    <w:rsid w:val="00A3754A"/>
    <w:rsid w:val="00A378DD"/>
    <w:rsid w:val="00A37DBA"/>
    <w:rsid w:val="00A40171"/>
    <w:rsid w:val="00A40688"/>
    <w:rsid w:val="00A409D3"/>
    <w:rsid w:val="00A40F56"/>
    <w:rsid w:val="00A41410"/>
    <w:rsid w:val="00A41B84"/>
    <w:rsid w:val="00A4215C"/>
    <w:rsid w:val="00A42274"/>
    <w:rsid w:val="00A42628"/>
    <w:rsid w:val="00A42B9E"/>
    <w:rsid w:val="00A42F26"/>
    <w:rsid w:val="00A43332"/>
    <w:rsid w:val="00A4398F"/>
    <w:rsid w:val="00A441B6"/>
    <w:rsid w:val="00A44BCF"/>
    <w:rsid w:val="00A4568F"/>
    <w:rsid w:val="00A459B3"/>
    <w:rsid w:val="00A468B5"/>
    <w:rsid w:val="00A469C1"/>
    <w:rsid w:val="00A47763"/>
    <w:rsid w:val="00A47891"/>
    <w:rsid w:val="00A505EC"/>
    <w:rsid w:val="00A513ED"/>
    <w:rsid w:val="00A517EE"/>
    <w:rsid w:val="00A52605"/>
    <w:rsid w:val="00A52DCE"/>
    <w:rsid w:val="00A538F8"/>
    <w:rsid w:val="00A53F85"/>
    <w:rsid w:val="00A540B2"/>
    <w:rsid w:val="00A544A7"/>
    <w:rsid w:val="00A55272"/>
    <w:rsid w:val="00A55760"/>
    <w:rsid w:val="00A55F79"/>
    <w:rsid w:val="00A55FBD"/>
    <w:rsid w:val="00A56460"/>
    <w:rsid w:val="00A5712C"/>
    <w:rsid w:val="00A573E2"/>
    <w:rsid w:val="00A61052"/>
    <w:rsid w:val="00A6106C"/>
    <w:rsid w:val="00A61453"/>
    <w:rsid w:val="00A61798"/>
    <w:rsid w:val="00A61864"/>
    <w:rsid w:val="00A61E85"/>
    <w:rsid w:val="00A62449"/>
    <w:rsid w:val="00A633B2"/>
    <w:rsid w:val="00A6363A"/>
    <w:rsid w:val="00A63BC4"/>
    <w:rsid w:val="00A63E3E"/>
    <w:rsid w:val="00A63EF2"/>
    <w:rsid w:val="00A64148"/>
    <w:rsid w:val="00A64726"/>
    <w:rsid w:val="00A64B6E"/>
    <w:rsid w:val="00A6501D"/>
    <w:rsid w:val="00A657B6"/>
    <w:rsid w:val="00A659F6"/>
    <w:rsid w:val="00A65B19"/>
    <w:rsid w:val="00A65D04"/>
    <w:rsid w:val="00A664B5"/>
    <w:rsid w:val="00A668CD"/>
    <w:rsid w:val="00A66AE4"/>
    <w:rsid w:val="00A66C60"/>
    <w:rsid w:val="00A66C8D"/>
    <w:rsid w:val="00A66C9E"/>
    <w:rsid w:val="00A670DD"/>
    <w:rsid w:val="00A67205"/>
    <w:rsid w:val="00A67D7A"/>
    <w:rsid w:val="00A67E8E"/>
    <w:rsid w:val="00A71758"/>
    <w:rsid w:val="00A7189F"/>
    <w:rsid w:val="00A71C7D"/>
    <w:rsid w:val="00A71EB7"/>
    <w:rsid w:val="00A7289C"/>
    <w:rsid w:val="00A72D6D"/>
    <w:rsid w:val="00A72EF2"/>
    <w:rsid w:val="00A73B00"/>
    <w:rsid w:val="00A73C91"/>
    <w:rsid w:val="00A73F9A"/>
    <w:rsid w:val="00A7440D"/>
    <w:rsid w:val="00A7443F"/>
    <w:rsid w:val="00A74955"/>
    <w:rsid w:val="00A74969"/>
    <w:rsid w:val="00A74D87"/>
    <w:rsid w:val="00A74DD7"/>
    <w:rsid w:val="00A756C8"/>
    <w:rsid w:val="00A76016"/>
    <w:rsid w:val="00A76712"/>
    <w:rsid w:val="00A76BD3"/>
    <w:rsid w:val="00A7703C"/>
    <w:rsid w:val="00A77A00"/>
    <w:rsid w:val="00A77B25"/>
    <w:rsid w:val="00A800A4"/>
    <w:rsid w:val="00A80111"/>
    <w:rsid w:val="00A813B5"/>
    <w:rsid w:val="00A82832"/>
    <w:rsid w:val="00A8327D"/>
    <w:rsid w:val="00A832E9"/>
    <w:rsid w:val="00A83F2E"/>
    <w:rsid w:val="00A84217"/>
    <w:rsid w:val="00A8474F"/>
    <w:rsid w:val="00A848D3"/>
    <w:rsid w:val="00A84978"/>
    <w:rsid w:val="00A84D07"/>
    <w:rsid w:val="00A84F4A"/>
    <w:rsid w:val="00A85D55"/>
    <w:rsid w:val="00A85EA5"/>
    <w:rsid w:val="00A861B5"/>
    <w:rsid w:val="00A86639"/>
    <w:rsid w:val="00A86676"/>
    <w:rsid w:val="00A869FA"/>
    <w:rsid w:val="00A900CA"/>
    <w:rsid w:val="00A90152"/>
    <w:rsid w:val="00A92316"/>
    <w:rsid w:val="00A926CD"/>
    <w:rsid w:val="00A929D2"/>
    <w:rsid w:val="00A92F8F"/>
    <w:rsid w:val="00A93E78"/>
    <w:rsid w:val="00A940DD"/>
    <w:rsid w:val="00A944C2"/>
    <w:rsid w:val="00A94744"/>
    <w:rsid w:val="00A94CAA"/>
    <w:rsid w:val="00A950E7"/>
    <w:rsid w:val="00A9559D"/>
    <w:rsid w:val="00A95CCC"/>
    <w:rsid w:val="00A96189"/>
    <w:rsid w:val="00A9627D"/>
    <w:rsid w:val="00A963B3"/>
    <w:rsid w:val="00A9676E"/>
    <w:rsid w:val="00A970AB"/>
    <w:rsid w:val="00A97345"/>
    <w:rsid w:val="00A9745C"/>
    <w:rsid w:val="00A97494"/>
    <w:rsid w:val="00A977D9"/>
    <w:rsid w:val="00A9796D"/>
    <w:rsid w:val="00AA06CC"/>
    <w:rsid w:val="00AA08E6"/>
    <w:rsid w:val="00AA0A04"/>
    <w:rsid w:val="00AA10FF"/>
    <w:rsid w:val="00AA127C"/>
    <w:rsid w:val="00AA14A7"/>
    <w:rsid w:val="00AA14EA"/>
    <w:rsid w:val="00AA19C3"/>
    <w:rsid w:val="00AA2268"/>
    <w:rsid w:val="00AA2580"/>
    <w:rsid w:val="00AA30A0"/>
    <w:rsid w:val="00AA378D"/>
    <w:rsid w:val="00AA3A5B"/>
    <w:rsid w:val="00AA3AD2"/>
    <w:rsid w:val="00AA3D33"/>
    <w:rsid w:val="00AA3DDF"/>
    <w:rsid w:val="00AA4305"/>
    <w:rsid w:val="00AA46DE"/>
    <w:rsid w:val="00AA55D9"/>
    <w:rsid w:val="00AA5924"/>
    <w:rsid w:val="00AA6DC1"/>
    <w:rsid w:val="00AA7A76"/>
    <w:rsid w:val="00AB00F4"/>
    <w:rsid w:val="00AB0ABC"/>
    <w:rsid w:val="00AB0BD8"/>
    <w:rsid w:val="00AB0F50"/>
    <w:rsid w:val="00AB1271"/>
    <w:rsid w:val="00AB1474"/>
    <w:rsid w:val="00AB1516"/>
    <w:rsid w:val="00AB1C1F"/>
    <w:rsid w:val="00AB2603"/>
    <w:rsid w:val="00AB2939"/>
    <w:rsid w:val="00AB31D7"/>
    <w:rsid w:val="00AB3949"/>
    <w:rsid w:val="00AB3CCC"/>
    <w:rsid w:val="00AB4C10"/>
    <w:rsid w:val="00AB4D36"/>
    <w:rsid w:val="00AB519E"/>
    <w:rsid w:val="00AB51B7"/>
    <w:rsid w:val="00AB531D"/>
    <w:rsid w:val="00AB5496"/>
    <w:rsid w:val="00AB59F5"/>
    <w:rsid w:val="00AB5BE2"/>
    <w:rsid w:val="00AB645C"/>
    <w:rsid w:val="00AB6E55"/>
    <w:rsid w:val="00AC0284"/>
    <w:rsid w:val="00AC0968"/>
    <w:rsid w:val="00AC0C8C"/>
    <w:rsid w:val="00AC1833"/>
    <w:rsid w:val="00AC1978"/>
    <w:rsid w:val="00AC19D9"/>
    <w:rsid w:val="00AC2826"/>
    <w:rsid w:val="00AC2B5D"/>
    <w:rsid w:val="00AC48C1"/>
    <w:rsid w:val="00AC5228"/>
    <w:rsid w:val="00AC54C9"/>
    <w:rsid w:val="00AC584D"/>
    <w:rsid w:val="00AC5BA3"/>
    <w:rsid w:val="00AC5DF9"/>
    <w:rsid w:val="00AC5E8D"/>
    <w:rsid w:val="00AC640E"/>
    <w:rsid w:val="00AC6643"/>
    <w:rsid w:val="00AC695F"/>
    <w:rsid w:val="00AC6AEF"/>
    <w:rsid w:val="00AC7071"/>
    <w:rsid w:val="00AC72FC"/>
    <w:rsid w:val="00AC7338"/>
    <w:rsid w:val="00AC75D2"/>
    <w:rsid w:val="00AC79B0"/>
    <w:rsid w:val="00AC7B11"/>
    <w:rsid w:val="00AD06F0"/>
    <w:rsid w:val="00AD0B83"/>
    <w:rsid w:val="00AD0EBD"/>
    <w:rsid w:val="00AD1627"/>
    <w:rsid w:val="00AD1EB1"/>
    <w:rsid w:val="00AD22A2"/>
    <w:rsid w:val="00AD2643"/>
    <w:rsid w:val="00AD3275"/>
    <w:rsid w:val="00AD4417"/>
    <w:rsid w:val="00AD481B"/>
    <w:rsid w:val="00AD4C3A"/>
    <w:rsid w:val="00AD50EB"/>
    <w:rsid w:val="00AD559D"/>
    <w:rsid w:val="00AD62B6"/>
    <w:rsid w:val="00AD64E7"/>
    <w:rsid w:val="00AD7157"/>
    <w:rsid w:val="00AD7A9A"/>
    <w:rsid w:val="00AD7D71"/>
    <w:rsid w:val="00AE07E8"/>
    <w:rsid w:val="00AE0BF4"/>
    <w:rsid w:val="00AE1642"/>
    <w:rsid w:val="00AE22A3"/>
    <w:rsid w:val="00AE23CE"/>
    <w:rsid w:val="00AE26B1"/>
    <w:rsid w:val="00AE2A07"/>
    <w:rsid w:val="00AE3012"/>
    <w:rsid w:val="00AE307D"/>
    <w:rsid w:val="00AE37FF"/>
    <w:rsid w:val="00AE47FC"/>
    <w:rsid w:val="00AE48DD"/>
    <w:rsid w:val="00AE4A53"/>
    <w:rsid w:val="00AE4AFE"/>
    <w:rsid w:val="00AE4D83"/>
    <w:rsid w:val="00AE4FBE"/>
    <w:rsid w:val="00AE4FCF"/>
    <w:rsid w:val="00AE536F"/>
    <w:rsid w:val="00AE5D56"/>
    <w:rsid w:val="00AE5F9F"/>
    <w:rsid w:val="00AE5FFF"/>
    <w:rsid w:val="00AE6871"/>
    <w:rsid w:val="00AE68E2"/>
    <w:rsid w:val="00AE697B"/>
    <w:rsid w:val="00AE6A72"/>
    <w:rsid w:val="00AE7973"/>
    <w:rsid w:val="00AE7B42"/>
    <w:rsid w:val="00AE7DAB"/>
    <w:rsid w:val="00AF0399"/>
    <w:rsid w:val="00AF04B5"/>
    <w:rsid w:val="00AF06EC"/>
    <w:rsid w:val="00AF09AC"/>
    <w:rsid w:val="00AF0E3C"/>
    <w:rsid w:val="00AF1BAF"/>
    <w:rsid w:val="00AF22C2"/>
    <w:rsid w:val="00AF2515"/>
    <w:rsid w:val="00AF27E9"/>
    <w:rsid w:val="00AF2F12"/>
    <w:rsid w:val="00AF32B9"/>
    <w:rsid w:val="00AF3853"/>
    <w:rsid w:val="00AF3E42"/>
    <w:rsid w:val="00AF4172"/>
    <w:rsid w:val="00AF46DC"/>
    <w:rsid w:val="00AF4941"/>
    <w:rsid w:val="00AF589C"/>
    <w:rsid w:val="00AF58ED"/>
    <w:rsid w:val="00AF6552"/>
    <w:rsid w:val="00AF6904"/>
    <w:rsid w:val="00AF6A65"/>
    <w:rsid w:val="00AF6A6C"/>
    <w:rsid w:val="00AF765F"/>
    <w:rsid w:val="00B002AA"/>
    <w:rsid w:val="00B00527"/>
    <w:rsid w:val="00B00602"/>
    <w:rsid w:val="00B00705"/>
    <w:rsid w:val="00B00BF1"/>
    <w:rsid w:val="00B01141"/>
    <w:rsid w:val="00B011C5"/>
    <w:rsid w:val="00B012FB"/>
    <w:rsid w:val="00B0176C"/>
    <w:rsid w:val="00B01D8D"/>
    <w:rsid w:val="00B02013"/>
    <w:rsid w:val="00B022EF"/>
    <w:rsid w:val="00B03D13"/>
    <w:rsid w:val="00B0424C"/>
    <w:rsid w:val="00B042DF"/>
    <w:rsid w:val="00B04D3A"/>
    <w:rsid w:val="00B052A8"/>
    <w:rsid w:val="00B059AA"/>
    <w:rsid w:val="00B05F69"/>
    <w:rsid w:val="00B0604D"/>
    <w:rsid w:val="00B06286"/>
    <w:rsid w:val="00B0655C"/>
    <w:rsid w:val="00B06B92"/>
    <w:rsid w:val="00B07694"/>
    <w:rsid w:val="00B07D78"/>
    <w:rsid w:val="00B07EBC"/>
    <w:rsid w:val="00B11172"/>
    <w:rsid w:val="00B113A1"/>
    <w:rsid w:val="00B118E1"/>
    <w:rsid w:val="00B1269E"/>
    <w:rsid w:val="00B12928"/>
    <w:rsid w:val="00B1294C"/>
    <w:rsid w:val="00B12AEA"/>
    <w:rsid w:val="00B12BD8"/>
    <w:rsid w:val="00B12E02"/>
    <w:rsid w:val="00B135AE"/>
    <w:rsid w:val="00B13792"/>
    <w:rsid w:val="00B138A3"/>
    <w:rsid w:val="00B13C6A"/>
    <w:rsid w:val="00B14D02"/>
    <w:rsid w:val="00B1508D"/>
    <w:rsid w:val="00B15F28"/>
    <w:rsid w:val="00B16174"/>
    <w:rsid w:val="00B16222"/>
    <w:rsid w:val="00B16631"/>
    <w:rsid w:val="00B16FF2"/>
    <w:rsid w:val="00B17EF1"/>
    <w:rsid w:val="00B17FBB"/>
    <w:rsid w:val="00B200B6"/>
    <w:rsid w:val="00B202A4"/>
    <w:rsid w:val="00B205A3"/>
    <w:rsid w:val="00B2065E"/>
    <w:rsid w:val="00B20EB3"/>
    <w:rsid w:val="00B20ECF"/>
    <w:rsid w:val="00B20FCB"/>
    <w:rsid w:val="00B216EE"/>
    <w:rsid w:val="00B2279E"/>
    <w:rsid w:val="00B227CA"/>
    <w:rsid w:val="00B22C42"/>
    <w:rsid w:val="00B23B42"/>
    <w:rsid w:val="00B24176"/>
    <w:rsid w:val="00B242E7"/>
    <w:rsid w:val="00B24392"/>
    <w:rsid w:val="00B247CA"/>
    <w:rsid w:val="00B2498F"/>
    <w:rsid w:val="00B24D58"/>
    <w:rsid w:val="00B255EF"/>
    <w:rsid w:val="00B25961"/>
    <w:rsid w:val="00B2670B"/>
    <w:rsid w:val="00B26A9C"/>
    <w:rsid w:val="00B26E33"/>
    <w:rsid w:val="00B27651"/>
    <w:rsid w:val="00B27728"/>
    <w:rsid w:val="00B30C7B"/>
    <w:rsid w:val="00B31389"/>
    <w:rsid w:val="00B31668"/>
    <w:rsid w:val="00B317DE"/>
    <w:rsid w:val="00B3231F"/>
    <w:rsid w:val="00B32527"/>
    <w:rsid w:val="00B331FC"/>
    <w:rsid w:val="00B334E9"/>
    <w:rsid w:val="00B33A4A"/>
    <w:rsid w:val="00B345F9"/>
    <w:rsid w:val="00B34F35"/>
    <w:rsid w:val="00B34F87"/>
    <w:rsid w:val="00B35046"/>
    <w:rsid w:val="00B35429"/>
    <w:rsid w:val="00B35832"/>
    <w:rsid w:val="00B363C0"/>
    <w:rsid w:val="00B36A99"/>
    <w:rsid w:val="00B373BF"/>
    <w:rsid w:val="00B37D6A"/>
    <w:rsid w:val="00B37F7F"/>
    <w:rsid w:val="00B4034D"/>
    <w:rsid w:val="00B40614"/>
    <w:rsid w:val="00B41964"/>
    <w:rsid w:val="00B41BA5"/>
    <w:rsid w:val="00B4244A"/>
    <w:rsid w:val="00B425D1"/>
    <w:rsid w:val="00B43C21"/>
    <w:rsid w:val="00B43CBD"/>
    <w:rsid w:val="00B440B7"/>
    <w:rsid w:val="00B444D7"/>
    <w:rsid w:val="00B4527D"/>
    <w:rsid w:val="00B4586E"/>
    <w:rsid w:val="00B45E58"/>
    <w:rsid w:val="00B46871"/>
    <w:rsid w:val="00B46BD3"/>
    <w:rsid w:val="00B47A6C"/>
    <w:rsid w:val="00B51711"/>
    <w:rsid w:val="00B525F7"/>
    <w:rsid w:val="00B529FF"/>
    <w:rsid w:val="00B536F5"/>
    <w:rsid w:val="00B53CE8"/>
    <w:rsid w:val="00B542F9"/>
    <w:rsid w:val="00B54780"/>
    <w:rsid w:val="00B54C62"/>
    <w:rsid w:val="00B54CB6"/>
    <w:rsid w:val="00B567A5"/>
    <w:rsid w:val="00B56D47"/>
    <w:rsid w:val="00B571AC"/>
    <w:rsid w:val="00B577A4"/>
    <w:rsid w:val="00B60153"/>
    <w:rsid w:val="00B61EB8"/>
    <w:rsid w:val="00B626AB"/>
    <w:rsid w:val="00B62CAE"/>
    <w:rsid w:val="00B631E2"/>
    <w:rsid w:val="00B63616"/>
    <w:rsid w:val="00B63646"/>
    <w:rsid w:val="00B63828"/>
    <w:rsid w:val="00B63A7A"/>
    <w:rsid w:val="00B63B22"/>
    <w:rsid w:val="00B63BC3"/>
    <w:rsid w:val="00B647D3"/>
    <w:rsid w:val="00B655A7"/>
    <w:rsid w:val="00B6598C"/>
    <w:rsid w:val="00B65B6D"/>
    <w:rsid w:val="00B65FD8"/>
    <w:rsid w:val="00B6617C"/>
    <w:rsid w:val="00B66307"/>
    <w:rsid w:val="00B666B6"/>
    <w:rsid w:val="00B66CA9"/>
    <w:rsid w:val="00B67375"/>
    <w:rsid w:val="00B674A3"/>
    <w:rsid w:val="00B67A83"/>
    <w:rsid w:val="00B70B6B"/>
    <w:rsid w:val="00B711B8"/>
    <w:rsid w:val="00B71C60"/>
    <w:rsid w:val="00B72B3F"/>
    <w:rsid w:val="00B7389E"/>
    <w:rsid w:val="00B73E4A"/>
    <w:rsid w:val="00B743DF"/>
    <w:rsid w:val="00B74558"/>
    <w:rsid w:val="00B74812"/>
    <w:rsid w:val="00B7518E"/>
    <w:rsid w:val="00B7549A"/>
    <w:rsid w:val="00B75AFB"/>
    <w:rsid w:val="00B75D33"/>
    <w:rsid w:val="00B75F14"/>
    <w:rsid w:val="00B75FB6"/>
    <w:rsid w:val="00B7630C"/>
    <w:rsid w:val="00B76C6C"/>
    <w:rsid w:val="00B76DA1"/>
    <w:rsid w:val="00B77090"/>
    <w:rsid w:val="00B77432"/>
    <w:rsid w:val="00B77B95"/>
    <w:rsid w:val="00B77CD0"/>
    <w:rsid w:val="00B77DE8"/>
    <w:rsid w:val="00B77E77"/>
    <w:rsid w:val="00B80275"/>
    <w:rsid w:val="00B811C7"/>
    <w:rsid w:val="00B8124C"/>
    <w:rsid w:val="00B81265"/>
    <w:rsid w:val="00B818A5"/>
    <w:rsid w:val="00B81B82"/>
    <w:rsid w:val="00B81CA1"/>
    <w:rsid w:val="00B82D6D"/>
    <w:rsid w:val="00B83441"/>
    <w:rsid w:val="00B83C46"/>
    <w:rsid w:val="00B84601"/>
    <w:rsid w:val="00B84859"/>
    <w:rsid w:val="00B84B6A"/>
    <w:rsid w:val="00B84D3A"/>
    <w:rsid w:val="00B8538C"/>
    <w:rsid w:val="00B85C54"/>
    <w:rsid w:val="00B85D81"/>
    <w:rsid w:val="00B867B7"/>
    <w:rsid w:val="00B86D56"/>
    <w:rsid w:val="00B86E8E"/>
    <w:rsid w:val="00B872BB"/>
    <w:rsid w:val="00B8769F"/>
    <w:rsid w:val="00B8772F"/>
    <w:rsid w:val="00B877E1"/>
    <w:rsid w:val="00B87AF5"/>
    <w:rsid w:val="00B90A5D"/>
    <w:rsid w:val="00B9166D"/>
    <w:rsid w:val="00B91D67"/>
    <w:rsid w:val="00B91F27"/>
    <w:rsid w:val="00B92B88"/>
    <w:rsid w:val="00B92C5B"/>
    <w:rsid w:val="00B93C59"/>
    <w:rsid w:val="00B93C83"/>
    <w:rsid w:val="00B93F81"/>
    <w:rsid w:val="00B93FB2"/>
    <w:rsid w:val="00B944EF"/>
    <w:rsid w:val="00B9507F"/>
    <w:rsid w:val="00B95446"/>
    <w:rsid w:val="00B958FC"/>
    <w:rsid w:val="00B95AD4"/>
    <w:rsid w:val="00B9674A"/>
    <w:rsid w:val="00B9690F"/>
    <w:rsid w:val="00B96939"/>
    <w:rsid w:val="00B96BAD"/>
    <w:rsid w:val="00B96C60"/>
    <w:rsid w:val="00B96F1E"/>
    <w:rsid w:val="00B97C06"/>
    <w:rsid w:val="00BA0219"/>
    <w:rsid w:val="00BA0229"/>
    <w:rsid w:val="00BA078B"/>
    <w:rsid w:val="00BA08D2"/>
    <w:rsid w:val="00BA0CEF"/>
    <w:rsid w:val="00BA0F1E"/>
    <w:rsid w:val="00BA14C1"/>
    <w:rsid w:val="00BA1B61"/>
    <w:rsid w:val="00BA1C74"/>
    <w:rsid w:val="00BA1F12"/>
    <w:rsid w:val="00BA1F90"/>
    <w:rsid w:val="00BA2155"/>
    <w:rsid w:val="00BA3167"/>
    <w:rsid w:val="00BA34A9"/>
    <w:rsid w:val="00BA368D"/>
    <w:rsid w:val="00BA3E63"/>
    <w:rsid w:val="00BA54EA"/>
    <w:rsid w:val="00BA5E01"/>
    <w:rsid w:val="00BB0C1D"/>
    <w:rsid w:val="00BB0E22"/>
    <w:rsid w:val="00BB1A2B"/>
    <w:rsid w:val="00BB1C77"/>
    <w:rsid w:val="00BB2258"/>
    <w:rsid w:val="00BB290D"/>
    <w:rsid w:val="00BB396B"/>
    <w:rsid w:val="00BB3A57"/>
    <w:rsid w:val="00BB429E"/>
    <w:rsid w:val="00BB433B"/>
    <w:rsid w:val="00BB47D7"/>
    <w:rsid w:val="00BB4C7E"/>
    <w:rsid w:val="00BB54D1"/>
    <w:rsid w:val="00BB6255"/>
    <w:rsid w:val="00BB695F"/>
    <w:rsid w:val="00BB6A2F"/>
    <w:rsid w:val="00BB7A15"/>
    <w:rsid w:val="00BC0091"/>
    <w:rsid w:val="00BC0C6C"/>
    <w:rsid w:val="00BC0DB4"/>
    <w:rsid w:val="00BC1A38"/>
    <w:rsid w:val="00BC28C5"/>
    <w:rsid w:val="00BC2EC8"/>
    <w:rsid w:val="00BC2F04"/>
    <w:rsid w:val="00BC4049"/>
    <w:rsid w:val="00BC59E4"/>
    <w:rsid w:val="00BC6D15"/>
    <w:rsid w:val="00BC79CD"/>
    <w:rsid w:val="00BD066E"/>
    <w:rsid w:val="00BD1AE7"/>
    <w:rsid w:val="00BD2291"/>
    <w:rsid w:val="00BD3980"/>
    <w:rsid w:val="00BD3C15"/>
    <w:rsid w:val="00BD51ED"/>
    <w:rsid w:val="00BD5983"/>
    <w:rsid w:val="00BD5B75"/>
    <w:rsid w:val="00BD64C2"/>
    <w:rsid w:val="00BD69AA"/>
    <w:rsid w:val="00BD6B94"/>
    <w:rsid w:val="00BD77DE"/>
    <w:rsid w:val="00BE0486"/>
    <w:rsid w:val="00BE0B6D"/>
    <w:rsid w:val="00BE0CDD"/>
    <w:rsid w:val="00BE11D2"/>
    <w:rsid w:val="00BE12C7"/>
    <w:rsid w:val="00BE1B88"/>
    <w:rsid w:val="00BE2051"/>
    <w:rsid w:val="00BE2326"/>
    <w:rsid w:val="00BE24E2"/>
    <w:rsid w:val="00BE291F"/>
    <w:rsid w:val="00BE2D3C"/>
    <w:rsid w:val="00BE3D98"/>
    <w:rsid w:val="00BE3F62"/>
    <w:rsid w:val="00BE3F8B"/>
    <w:rsid w:val="00BE4259"/>
    <w:rsid w:val="00BE4833"/>
    <w:rsid w:val="00BE4A6A"/>
    <w:rsid w:val="00BE505D"/>
    <w:rsid w:val="00BE577C"/>
    <w:rsid w:val="00BE5DBA"/>
    <w:rsid w:val="00BE6A3B"/>
    <w:rsid w:val="00BE6E1C"/>
    <w:rsid w:val="00BE7444"/>
    <w:rsid w:val="00BE764E"/>
    <w:rsid w:val="00BF00FA"/>
    <w:rsid w:val="00BF0F23"/>
    <w:rsid w:val="00BF111F"/>
    <w:rsid w:val="00BF1493"/>
    <w:rsid w:val="00BF1BBA"/>
    <w:rsid w:val="00BF21C2"/>
    <w:rsid w:val="00BF25D6"/>
    <w:rsid w:val="00BF2790"/>
    <w:rsid w:val="00BF2B67"/>
    <w:rsid w:val="00BF2C28"/>
    <w:rsid w:val="00BF2EDC"/>
    <w:rsid w:val="00BF3396"/>
    <w:rsid w:val="00BF3B4A"/>
    <w:rsid w:val="00BF3C81"/>
    <w:rsid w:val="00BF3F55"/>
    <w:rsid w:val="00BF4C6D"/>
    <w:rsid w:val="00BF4CC9"/>
    <w:rsid w:val="00BF5BE9"/>
    <w:rsid w:val="00BF691E"/>
    <w:rsid w:val="00BF776D"/>
    <w:rsid w:val="00C00F72"/>
    <w:rsid w:val="00C021BF"/>
    <w:rsid w:val="00C02608"/>
    <w:rsid w:val="00C02A7C"/>
    <w:rsid w:val="00C02DD8"/>
    <w:rsid w:val="00C03439"/>
    <w:rsid w:val="00C03A7D"/>
    <w:rsid w:val="00C04223"/>
    <w:rsid w:val="00C04B54"/>
    <w:rsid w:val="00C04C2F"/>
    <w:rsid w:val="00C04D45"/>
    <w:rsid w:val="00C05670"/>
    <w:rsid w:val="00C05D84"/>
    <w:rsid w:val="00C05E46"/>
    <w:rsid w:val="00C062FA"/>
    <w:rsid w:val="00C06940"/>
    <w:rsid w:val="00C06D8C"/>
    <w:rsid w:val="00C070E3"/>
    <w:rsid w:val="00C0710A"/>
    <w:rsid w:val="00C0723F"/>
    <w:rsid w:val="00C075AD"/>
    <w:rsid w:val="00C077FF"/>
    <w:rsid w:val="00C078B5"/>
    <w:rsid w:val="00C1038C"/>
    <w:rsid w:val="00C10C3A"/>
    <w:rsid w:val="00C10F0E"/>
    <w:rsid w:val="00C11576"/>
    <w:rsid w:val="00C11A82"/>
    <w:rsid w:val="00C11D08"/>
    <w:rsid w:val="00C1224F"/>
    <w:rsid w:val="00C12C32"/>
    <w:rsid w:val="00C134D9"/>
    <w:rsid w:val="00C13938"/>
    <w:rsid w:val="00C13A06"/>
    <w:rsid w:val="00C13BE3"/>
    <w:rsid w:val="00C1439E"/>
    <w:rsid w:val="00C148B8"/>
    <w:rsid w:val="00C14A63"/>
    <w:rsid w:val="00C15216"/>
    <w:rsid w:val="00C160E0"/>
    <w:rsid w:val="00C16563"/>
    <w:rsid w:val="00C17198"/>
    <w:rsid w:val="00C17AB7"/>
    <w:rsid w:val="00C20869"/>
    <w:rsid w:val="00C21555"/>
    <w:rsid w:val="00C22B15"/>
    <w:rsid w:val="00C22E81"/>
    <w:rsid w:val="00C22F26"/>
    <w:rsid w:val="00C23A30"/>
    <w:rsid w:val="00C243B1"/>
    <w:rsid w:val="00C245E9"/>
    <w:rsid w:val="00C2476E"/>
    <w:rsid w:val="00C25312"/>
    <w:rsid w:val="00C2581F"/>
    <w:rsid w:val="00C25928"/>
    <w:rsid w:val="00C25D36"/>
    <w:rsid w:val="00C269C8"/>
    <w:rsid w:val="00C26DCB"/>
    <w:rsid w:val="00C2734B"/>
    <w:rsid w:val="00C30592"/>
    <w:rsid w:val="00C30701"/>
    <w:rsid w:val="00C31736"/>
    <w:rsid w:val="00C318D5"/>
    <w:rsid w:val="00C319E1"/>
    <w:rsid w:val="00C323CA"/>
    <w:rsid w:val="00C324FE"/>
    <w:rsid w:val="00C33163"/>
    <w:rsid w:val="00C33523"/>
    <w:rsid w:val="00C33732"/>
    <w:rsid w:val="00C339C9"/>
    <w:rsid w:val="00C34149"/>
    <w:rsid w:val="00C344EA"/>
    <w:rsid w:val="00C34E1B"/>
    <w:rsid w:val="00C35186"/>
    <w:rsid w:val="00C35B8C"/>
    <w:rsid w:val="00C367E6"/>
    <w:rsid w:val="00C36B21"/>
    <w:rsid w:val="00C36B42"/>
    <w:rsid w:val="00C37727"/>
    <w:rsid w:val="00C40056"/>
    <w:rsid w:val="00C406BC"/>
    <w:rsid w:val="00C412CD"/>
    <w:rsid w:val="00C41349"/>
    <w:rsid w:val="00C41B57"/>
    <w:rsid w:val="00C41EDA"/>
    <w:rsid w:val="00C42389"/>
    <w:rsid w:val="00C425E8"/>
    <w:rsid w:val="00C426FF"/>
    <w:rsid w:val="00C42BBA"/>
    <w:rsid w:val="00C42ED3"/>
    <w:rsid w:val="00C4312B"/>
    <w:rsid w:val="00C43498"/>
    <w:rsid w:val="00C4382C"/>
    <w:rsid w:val="00C44205"/>
    <w:rsid w:val="00C4582C"/>
    <w:rsid w:val="00C45C49"/>
    <w:rsid w:val="00C46F70"/>
    <w:rsid w:val="00C47881"/>
    <w:rsid w:val="00C50072"/>
    <w:rsid w:val="00C50078"/>
    <w:rsid w:val="00C50949"/>
    <w:rsid w:val="00C50982"/>
    <w:rsid w:val="00C51E4D"/>
    <w:rsid w:val="00C522EF"/>
    <w:rsid w:val="00C52E19"/>
    <w:rsid w:val="00C53675"/>
    <w:rsid w:val="00C536F3"/>
    <w:rsid w:val="00C53709"/>
    <w:rsid w:val="00C53BF4"/>
    <w:rsid w:val="00C54F11"/>
    <w:rsid w:val="00C55B41"/>
    <w:rsid w:val="00C55BE1"/>
    <w:rsid w:val="00C55C1C"/>
    <w:rsid w:val="00C5644A"/>
    <w:rsid w:val="00C56E9B"/>
    <w:rsid w:val="00C5733F"/>
    <w:rsid w:val="00C57999"/>
    <w:rsid w:val="00C57B20"/>
    <w:rsid w:val="00C602BF"/>
    <w:rsid w:val="00C60382"/>
    <w:rsid w:val="00C604A0"/>
    <w:rsid w:val="00C612D5"/>
    <w:rsid w:val="00C61455"/>
    <w:rsid w:val="00C6188F"/>
    <w:rsid w:val="00C62168"/>
    <w:rsid w:val="00C622D3"/>
    <w:rsid w:val="00C62332"/>
    <w:rsid w:val="00C628A2"/>
    <w:rsid w:val="00C63010"/>
    <w:rsid w:val="00C63230"/>
    <w:rsid w:val="00C632D4"/>
    <w:rsid w:val="00C63341"/>
    <w:rsid w:val="00C634EA"/>
    <w:rsid w:val="00C635B3"/>
    <w:rsid w:val="00C63A1C"/>
    <w:rsid w:val="00C64806"/>
    <w:rsid w:val="00C64CF6"/>
    <w:rsid w:val="00C64E96"/>
    <w:rsid w:val="00C6553B"/>
    <w:rsid w:val="00C6567A"/>
    <w:rsid w:val="00C659F6"/>
    <w:rsid w:val="00C6676A"/>
    <w:rsid w:val="00C66AD9"/>
    <w:rsid w:val="00C66F5B"/>
    <w:rsid w:val="00C67AD0"/>
    <w:rsid w:val="00C70007"/>
    <w:rsid w:val="00C70417"/>
    <w:rsid w:val="00C705D1"/>
    <w:rsid w:val="00C7080C"/>
    <w:rsid w:val="00C70867"/>
    <w:rsid w:val="00C708D9"/>
    <w:rsid w:val="00C7140A"/>
    <w:rsid w:val="00C71915"/>
    <w:rsid w:val="00C71921"/>
    <w:rsid w:val="00C71A22"/>
    <w:rsid w:val="00C72005"/>
    <w:rsid w:val="00C72758"/>
    <w:rsid w:val="00C72D43"/>
    <w:rsid w:val="00C74940"/>
    <w:rsid w:val="00C74BF0"/>
    <w:rsid w:val="00C74CF9"/>
    <w:rsid w:val="00C755EF"/>
    <w:rsid w:val="00C75F86"/>
    <w:rsid w:val="00C76310"/>
    <w:rsid w:val="00C771A3"/>
    <w:rsid w:val="00C7776E"/>
    <w:rsid w:val="00C7793A"/>
    <w:rsid w:val="00C77F4E"/>
    <w:rsid w:val="00C8002D"/>
    <w:rsid w:val="00C80361"/>
    <w:rsid w:val="00C8050C"/>
    <w:rsid w:val="00C806EC"/>
    <w:rsid w:val="00C808CF"/>
    <w:rsid w:val="00C814EC"/>
    <w:rsid w:val="00C81C61"/>
    <w:rsid w:val="00C81CC6"/>
    <w:rsid w:val="00C81ED7"/>
    <w:rsid w:val="00C820E0"/>
    <w:rsid w:val="00C82B78"/>
    <w:rsid w:val="00C83C86"/>
    <w:rsid w:val="00C83DA3"/>
    <w:rsid w:val="00C83E37"/>
    <w:rsid w:val="00C84172"/>
    <w:rsid w:val="00C848C6"/>
    <w:rsid w:val="00C84BBB"/>
    <w:rsid w:val="00C85271"/>
    <w:rsid w:val="00C8631B"/>
    <w:rsid w:val="00C87099"/>
    <w:rsid w:val="00C87547"/>
    <w:rsid w:val="00C905A1"/>
    <w:rsid w:val="00C906EA"/>
    <w:rsid w:val="00C90F27"/>
    <w:rsid w:val="00C91A0A"/>
    <w:rsid w:val="00C91C21"/>
    <w:rsid w:val="00C92290"/>
    <w:rsid w:val="00C92708"/>
    <w:rsid w:val="00C930A8"/>
    <w:rsid w:val="00C931A4"/>
    <w:rsid w:val="00C936B2"/>
    <w:rsid w:val="00C93C90"/>
    <w:rsid w:val="00C945A9"/>
    <w:rsid w:val="00C9462E"/>
    <w:rsid w:val="00C94C16"/>
    <w:rsid w:val="00C9509D"/>
    <w:rsid w:val="00C953EE"/>
    <w:rsid w:val="00C9558C"/>
    <w:rsid w:val="00C95A8F"/>
    <w:rsid w:val="00C95CAA"/>
    <w:rsid w:val="00C9602B"/>
    <w:rsid w:val="00C96C38"/>
    <w:rsid w:val="00C96D82"/>
    <w:rsid w:val="00C9765E"/>
    <w:rsid w:val="00C97A17"/>
    <w:rsid w:val="00CA0A21"/>
    <w:rsid w:val="00CA0C07"/>
    <w:rsid w:val="00CA10E5"/>
    <w:rsid w:val="00CA1231"/>
    <w:rsid w:val="00CA134E"/>
    <w:rsid w:val="00CA1DF3"/>
    <w:rsid w:val="00CA2906"/>
    <w:rsid w:val="00CA3186"/>
    <w:rsid w:val="00CA335F"/>
    <w:rsid w:val="00CA38AA"/>
    <w:rsid w:val="00CA3978"/>
    <w:rsid w:val="00CA3E6F"/>
    <w:rsid w:val="00CA43BB"/>
    <w:rsid w:val="00CA4873"/>
    <w:rsid w:val="00CA4A71"/>
    <w:rsid w:val="00CA4B85"/>
    <w:rsid w:val="00CA4FD1"/>
    <w:rsid w:val="00CA5A27"/>
    <w:rsid w:val="00CA5A28"/>
    <w:rsid w:val="00CA64E6"/>
    <w:rsid w:val="00CA6F16"/>
    <w:rsid w:val="00CA6FD2"/>
    <w:rsid w:val="00CA7238"/>
    <w:rsid w:val="00CA7405"/>
    <w:rsid w:val="00CA740C"/>
    <w:rsid w:val="00CB0929"/>
    <w:rsid w:val="00CB171A"/>
    <w:rsid w:val="00CB237B"/>
    <w:rsid w:val="00CB2400"/>
    <w:rsid w:val="00CB26A3"/>
    <w:rsid w:val="00CB2907"/>
    <w:rsid w:val="00CB297B"/>
    <w:rsid w:val="00CB2FB1"/>
    <w:rsid w:val="00CB3158"/>
    <w:rsid w:val="00CB31AC"/>
    <w:rsid w:val="00CB4254"/>
    <w:rsid w:val="00CB4784"/>
    <w:rsid w:val="00CB4AC7"/>
    <w:rsid w:val="00CB4C01"/>
    <w:rsid w:val="00CB53BD"/>
    <w:rsid w:val="00CB53E5"/>
    <w:rsid w:val="00CB552E"/>
    <w:rsid w:val="00CB7757"/>
    <w:rsid w:val="00CB77E8"/>
    <w:rsid w:val="00CB7CCC"/>
    <w:rsid w:val="00CC0AF3"/>
    <w:rsid w:val="00CC0DFC"/>
    <w:rsid w:val="00CC374F"/>
    <w:rsid w:val="00CC3C41"/>
    <w:rsid w:val="00CC3DB7"/>
    <w:rsid w:val="00CC5236"/>
    <w:rsid w:val="00CC6353"/>
    <w:rsid w:val="00CC7336"/>
    <w:rsid w:val="00CD05BA"/>
    <w:rsid w:val="00CD12CD"/>
    <w:rsid w:val="00CD1B0B"/>
    <w:rsid w:val="00CD1E14"/>
    <w:rsid w:val="00CD252C"/>
    <w:rsid w:val="00CD25EB"/>
    <w:rsid w:val="00CD2F1B"/>
    <w:rsid w:val="00CD2FE4"/>
    <w:rsid w:val="00CD3249"/>
    <w:rsid w:val="00CD34AD"/>
    <w:rsid w:val="00CD3B92"/>
    <w:rsid w:val="00CD45C3"/>
    <w:rsid w:val="00CD49CE"/>
    <w:rsid w:val="00CD49E6"/>
    <w:rsid w:val="00CD4BD6"/>
    <w:rsid w:val="00CD54C5"/>
    <w:rsid w:val="00CD5A61"/>
    <w:rsid w:val="00CD5F87"/>
    <w:rsid w:val="00CD63D1"/>
    <w:rsid w:val="00CD6AB2"/>
    <w:rsid w:val="00CD6DBA"/>
    <w:rsid w:val="00CD70D6"/>
    <w:rsid w:val="00CD77F5"/>
    <w:rsid w:val="00CE0455"/>
    <w:rsid w:val="00CE134F"/>
    <w:rsid w:val="00CE1398"/>
    <w:rsid w:val="00CE183D"/>
    <w:rsid w:val="00CE240E"/>
    <w:rsid w:val="00CE2E28"/>
    <w:rsid w:val="00CE3A83"/>
    <w:rsid w:val="00CE3BEA"/>
    <w:rsid w:val="00CE3C7B"/>
    <w:rsid w:val="00CE40A1"/>
    <w:rsid w:val="00CE49C7"/>
    <w:rsid w:val="00CE4A59"/>
    <w:rsid w:val="00CE4A61"/>
    <w:rsid w:val="00CE5065"/>
    <w:rsid w:val="00CE50A5"/>
    <w:rsid w:val="00CE563B"/>
    <w:rsid w:val="00CE595C"/>
    <w:rsid w:val="00CE6297"/>
    <w:rsid w:val="00CE6660"/>
    <w:rsid w:val="00CE6A4F"/>
    <w:rsid w:val="00CE77A3"/>
    <w:rsid w:val="00CE78F9"/>
    <w:rsid w:val="00CF007D"/>
    <w:rsid w:val="00CF06DE"/>
    <w:rsid w:val="00CF0B2F"/>
    <w:rsid w:val="00CF0C61"/>
    <w:rsid w:val="00CF0F87"/>
    <w:rsid w:val="00CF186E"/>
    <w:rsid w:val="00CF25C9"/>
    <w:rsid w:val="00CF2F2F"/>
    <w:rsid w:val="00CF348C"/>
    <w:rsid w:val="00CF3907"/>
    <w:rsid w:val="00CF3AEB"/>
    <w:rsid w:val="00CF3EB9"/>
    <w:rsid w:val="00CF4458"/>
    <w:rsid w:val="00CF4DDF"/>
    <w:rsid w:val="00CF4ED4"/>
    <w:rsid w:val="00CF50CD"/>
    <w:rsid w:val="00CF5A17"/>
    <w:rsid w:val="00CF5D41"/>
    <w:rsid w:val="00CF5EC2"/>
    <w:rsid w:val="00CF61E4"/>
    <w:rsid w:val="00CF6E6F"/>
    <w:rsid w:val="00CF6E88"/>
    <w:rsid w:val="00CF6FFA"/>
    <w:rsid w:val="00CF7A02"/>
    <w:rsid w:val="00CF7ECB"/>
    <w:rsid w:val="00D00341"/>
    <w:rsid w:val="00D00A5A"/>
    <w:rsid w:val="00D00A8E"/>
    <w:rsid w:val="00D00C99"/>
    <w:rsid w:val="00D00DAA"/>
    <w:rsid w:val="00D00DF2"/>
    <w:rsid w:val="00D01AE2"/>
    <w:rsid w:val="00D01FAC"/>
    <w:rsid w:val="00D027D1"/>
    <w:rsid w:val="00D0339D"/>
    <w:rsid w:val="00D03E38"/>
    <w:rsid w:val="00D040C7"/>
    <w:rsid w:val="00D04A17"/>
    <w:rsid w:val="00D04EB5"/>
    <w:rsid w:val="00D06205"/>
    <w:rsid w:val="00D064E3"/>
    <w:rsid w:val="00D065B8"/>
    <w:rsid w:val="00D07424"/>
    <w:rsid w:val="00D079C4"/>
    <w:rsid w:val="00D07DD4"/>
    <w:rsid w:val="00D107B9"/>
    <w:rsid w:val="00D1099F"/>
    <w:rsid w:val="00D114CB"/>
    <w:rsid w:val="00D11AE6"/>
    <w:rsid w:val="00D11F83"/>
    <w:rsid w:val="00D12CB5"/>
    <w:rsid w:val="00D131D6"/>
    <w:rsid w:val="00D13576"/>
    <w:rsid w:val="00D13DD4"/>
    <w:rsid w:val="00D13E9E"/>
    <w:rsid w:val="00D14F14"/>
    <w:rsid w:val="00D15376"/>
    <w:rsid w:val="00D155A3"/>
    <w:rsid w:val="00D16313"/>
    <w:rsid w:val="00D1714B"/>
    <w:rsid w:val="00D17AC6"/>
    <w:rsid w:val="00D17D9F"/>
    <w:rsid w:val="00D2145F"/>
    <w:rsid w:val="00D2149E"/>
    <w:rsid w:val="00D21A5E"/>
    <w:rsid w:val="00D21B09"/>
    <w:rsid w:val="00D21D34"/>
    <w:rsid w:val="00D2225C"/>
    <w:rsid w:val="00D23362"/>
    <w:rsid w:val="00D23A14"/>
    <w:rsid w:val="00D23D15"/>
    <w:rsid w:val="00D2496B"/>
    <w:rsid w:val="00D24E7D"/>
    <w:rsid w:val="00D256F0"/>
    <w:rsid w:val="00D25C2D"/>
    <w:rsid w:val="00D26348"/>
    <w:rsid w:val="00D26739"/>
    <w:rsid w:val="00D26A23"/>
    <w:rsid w:val="00D2733F"/>
    <w:rsid w:val="00D277A3"/>
    <w:rsid w:val="00D30836"/>
    <w:rsid w:val="00D30FDB"/>
    <w:rsid w:val="00D314EF"/>
    <w:rsid w:val="00D32017"/>
    <w:rsid w:val="00D3246B"/>
    <w:rsid w:val="00D32A66"/>
    <w:rsid w:val="00D333E0"/>
    <w:rsid w:val="00D3378B"/>
    <w:rsid w:val="00D34E2B"/>
    <w:rsid w:val="00D353B1"/>
    <w:rsid w:val="00D36384"/>
    <w:rsid w:val="00D36DB1"/>
    <w:rsid w:val="00D36DBB"/>
    <w:rsid w:val="00D371BD"/>
    <w:rsid w:val="00D37C28"/>
    <w:rsid w:val="00D37D4F"/>
    <w:rsid w:val="00D40467"/>
    <w:rsid w:val="00D4106E"/>
    <w:rsid w:val="00D410BE"/>
    <w:rsid w:val="00D41577"/>
    <w:rsid w:val="00D4162D"/>
    <w:rsid w:val="00D43A38"/>
    <w:rsid w:val="00D44216"/>
    <w:rsid w:val="00D447B7"/>
    <w:rsid w:val="00D44ABA"/>
    <w:rsid w:val="00D451DD"/>
    <w:rsid w:val="00D460F5"/>
    <w:rsid w:val="00D467ED"/>
    <w:rsid w:val="00D469BD"/>
    <w:rsid w:val="00D47300"/>
    <w:rsid w:val="00D4746B"/>
    <w:rsid w:val="00D475AD"/>
    <w:rsid w:val="00D47812"/>
    <w:rsid w:val="00D47F68"/>
    <w:rsid w:val="00D50B2F"/>
    <w:rsid w:val="00D513E5"/>
    <w:rsid w:val="00D51C8A"/>
    <w:rsid w:val="00D51EA3"/>
    <w:rsid w:val="00D51ED2"/>
    <w:rsid w:val="00D52EB0"/>
    <w:rsid w:val="00D53384"/>
    <w:rsid w:val="00D541D6"/>
    <w:rsid w:val="00D55250"/>
    <w:rsid w:val="00D55ADF"/>
    <w:rsid w:val="00D56E32"/>
    <w:rsid w:val="00D57220"/>
    <w:rsid w:val="00D5750D"/>
    <w:rsid w:val="00D5760A"/>
    <w:rsid w:val="00D57BF8"/>
    <w:rsid w:val="00D57D43"/>
    <w:rsid w:val="00D57FF0"/>
    <w:rsid w:val="00D60B5C"/>
    <w:rsid w:val="00D60CA9"/>
    <w:rsid w:val="00D60FAF"/>
    <w:rsid w:val="00D611F9"/>
    <w:rsid w:val="00D613B0"/>
    <w:rsid w:val="00D618BD"/>
    <w:rsid w:val="00D6195E"/>
    <w:rsid w:val="00D62744"/>
    <w:rsid w:val="00D6289C"/>
    <w:rsid w:val="00D628DB"/>
    <w:rsid w:val="00D62A28"/>
    <w:rsid w:val="00D62D4D"/>
    <w:rsid w:val="00D6331B"/>
    <w:rsid w:val="00D63B86"/>
    <w:rsid w:val="00D63BE6"/>
    <w:rsid w:val="00D63E02"/>
    <w:rsid w:val="00D63F13"/>
    <w:rsid w:val="00D642BE"/>
    <w:rsid w:val="00D644E8"/>
    <w:rsid w:val="00D655CE"/>
    <w:rsid w:val="00D65ECD"/>
    <w:rsid w:val="00D6673E"/>
    <w:rsid w:val="00D66B5F"/>
    <w:rsid w:val="00D66D8F"/>
    <w:rsid w:val="00D67E9A"/>
    <w:rsid w:val="00D70722"/>
    <w:rsid w:val="00D70F84"/>
    <w:rsid w:val="00D71147"/>
    <w:rsid w:val="00D716C9"/>
    <w:rsid w:val="00D72B19"/>
    <w:rsid w:val="00D72B27"/>
    <w:rsid w:val="00D7340B"/>
    <w:rsid w:val="00D73BB8"/>
    <w:rsid w:val="00D73C6E"/>
    <w:rsid w:val="00D746CE"/>
    <w:rsid w:val="00D74E42"/>
    <w:rsid w:val="00D74F2A"/>
    <w:rsid w:val="00D7554F"/>
    <w:rsid w:val="00D756DC"/>
    <w:rsid w:val="00D75CD6"/>
    <w:rsid w:val="00D762D0"/>
    <w:rsid w:val="00D763B9"/>
    <w:rsid w:val="00D76473"/>
    <w:rsid w:val="00D76FBF"/>
    <w:rsid w:val="00D7785A"/>
    <w:rsid w:val="00D77E84"/>
    <w:rsid w:val="00D8013F"/>
    <w:rsid w:val="00D80221"/>
    <w:rsid w:val="00D80BDB"/>
    <w:rsid w:val="00D813B4"/>
    <w:rsid w:val="00D819BC"/>
    <w:rsid w:val="00D81B8A"/>
    <w:rsid w:val="00D82D08"/>
    <w:rsid w:val="00D83B31"/>
    <w:rsid w:val="00D83C67"/>
    <w:rsid w:val="00D8427F"/>
    <w:rsid w:val="00D84795"/>
    <w:rsid w:val="00D84F29"/>
    <w:rsid w:val="00D855C9"/>
    <w:rsid w:val="00D85980"/>
    <w:rsid w:val="00D86959"/>
    <w:rsid w:val="00D87D39"/>
    <w:rsid w:val="00D87E97"/>
    <w:rsid w:val="00D90298"/>
    <w:rsid w:val="00D9146D"/>
    <w:rsid w:val="00D91A82"/>
    <w:rsid w:val="00D91E99"/>
    <w:rsid w:val="00D920F2"/>
    <w:rsid w:val="00D92E0B"/>
    <w:rsid w:val="00D92E1A"/>
    <w:rsid w:val="00D934D9"/>
    <w:rsid w:val="00D93912"/>
    <w:rsid w:val="00D93AFD"/>
    <w:rsid w:val="00D93B5F"/>
    <w:rsid w:val="00D94323"/>
    <w:rsid w:val="00D94428"/>
    <w:rsid w:val="00D94BDD"/>
    <w:rsid w:val="00D957FE"/>
    <w:rsid w:val="00D959F0"/>
    <w:rsid w:val="00D9683F"/>
    <w:rsid w:val="00D96A28"/>
    <w:rsid w:val="00D96F9C"/>
    <w:rsid w:val="00D9787D"/>
    <w:rsid w:val="00D97F5A"/>
    <w:rsid w:val="00DA0540"/>
    <w:rsid w:val="00DA1742"/>
    <w:rsid w:val="00DA2462"/>
    <w:rsid w:val="00DA267D"/>
    <w:rsid w:val="00DA2918"/>
    <w:rsid w:val="00DA2C1D"/>
    <w:rsid w:val="00DA2C5D"/>
    <w:rsid w:val="00DA2F9A"/>
    <w:rsid w:val="00DA358C"/>
    <w:rsid w:val="00DA36EC"/>
    <w:rsid w:val="00DA4141"/>
    <w:rsid w:val="00DA4E4B"/>
    <w:rsid w:val="00DA4F98"/>
    <w:rsid w:val="00DA53AA"/>
    <w:rsid w:val="00DA54A7"/>
    <w:rsid w:val="00DA55B4"/>
    <w:rsid w:val="00DA5747"/>
    <w:rsid w:val="00DA58A9"/>
    <w:rsid w:val="00DA6211"/>
    <w:rsid w:val="00DA6C6D"/>
    <w:rsid w:val="00DA7B46"/>
    <w:rsid w:val="00DB005D"/>
    <w:rsid w:val="00DB07F7"/>
    <w:rsid w:val="00DB08EF"/>
    <w:rsid w:val="00DB0D13"/>
    <w:rsid w:val="00DB1125"/>
    <w:rsid w:val="00DB17CA"/>
    <w:rsid w:val="00DB1944"/>
    <w:rsid w:val="00DB1C5B"/>
    <w:rsid w:val="00DB1D79"/>
    <w:rsid w:val="00DB24D0"/>
    <w:rsid w:val="00DB2EB2"/>
    <w:rsid w:val="00DB3268"/>
    <w:rsid w:val="00DB33B0"/>
    <w:rsid w:val="00DB38A8"/>
    <w:rsid w:val="00DB4CD6"/>
    <w:rsid w:val="00DB6B62"/>
    <w:rsid w:val="00DB6E0E"/>
    <w:rsid w:val="00DC0159"/>
    <w:rsid w:val="00DC05D0"/>
    <w:rsid w:val="00DC0BF3"/>
    <w:rsid w:val="00DC12C2"/>
    <w:rsid w:val="00DC227F"/>
    <w:rsid w:val="00DC23DF"/>
    <w:rsid w:val="00DC2FA4"/>
    <w:rsid w:val="00DC4045"/>
    <w:rsid w:val="00DC420F"/>
    <w:rsid w:val="00DC5A11"/>
    <w:rsid w:val="00DC5E47"/>
    <w:rsid w:val="00DC640C"/>
    <w:rsid w:val="00DC64DE"/>
    <w:rsid w:val="00DC669C"/>
    <w:rsid w:val="00DC6A40"/>
    <w:rsid w:val="00DC6E39"/>
    <w:rsid w:val="00DC6E99"/>
    <w:rsid w:val="00DD0365"/>
    <w:rsid w:val="00DD0446"/>
    <w:rsid w:val="00DD066A"/>
    <w:rsid w:val="00DD075C"/>
    <w:rsid w:val="00DD12A6"/>
    <w:rsid w:val="00DD12C8"/>
    <w:rsid w:val="00DD1398"/>
    <w:rsid w:val="00DD1616"/>
    <w:rsid w:val="00DD1CBD"/>
    <w:rsid w:val="00DD2268"/>
    <w:rsid w:val="00DD26F3"/>
    <w:rsid w:val="00DD2A19"/>
    <w:rsid w:val="00DD3B9C"/>
    <w:rsid w:val="00DD3E52"/>
    <w:rsid w:val="00DD468B"/>
    <w:rsid w:val="00DD5E27"/>
    <w:rsid w:val="00DD6159"/>
    <w:rsid w:val="00DD62DB"/>
    <w:rsid w:val="00DD6711"/>
    <w:rsid w:val="00DD73DD"/>
    <w:rsid w:val="00DD79D7"/>
    <w:rsid w:val="00DE1A7D"/>
    <w:rsid w:val="00DE22EF"/>
    <w:rsid w:val="00DE424B"/>
    <w:rsid w:val="00DE4F0F"/>
    <w:rsid w:val="00DE52F5"/>
    <w:rsid w:val="00DE58AE"/>
    <w:rsid w:val="00DE66AC"/>
    <w:rsid w:val="00DE6BA1"/>
    <w:rsid w:val="00DE72B0"/>
    <w:rsid w:val="00DE75D4"/>
    <w:rsid w:val="00DE7A24"/>
    <w:rsid w:val="00DF0075"/>
    <w:rsid w:val="00DF0087"/>
    <w:rsid w:val="00DF0449"/>
    <w:rsid w:val="00DF05AB"/>
    <w:rsid w:val="00DF09D8"/>
    <w:rsid w:val="00DF0D15"/>
    <w:rsid w:val="00DF0E67"/>
    <w:rsid w:val="00DF1B0F"/>
    <w:rsid w:val="00DF1C66"/>
    <w:rsid w:val="00DF1EE5"/>
    <w:rsid w:val="00DF1F7B"/>
    <w:rsid w:val="00DF2055"/>
    <w:rsid w:val="00DF2281"/>
    <w:rsid w:val="00DF2EE6"/>
    <w:rsid w:val="00DF3DB6"/>
    <w:rsid w:val="00DF4359"/>
    <w:rsid w:val="00DF548B"/>
    <w:rsid w:val="00DF57DC"/>
    <w:rsid w:val="00DF6287"/>
    <w:rsid w:val="00DF65FF"/>
    <w:rsid w:val="00DF6720"/>
    <w:rsid w:val="00DF6B2C"/>
    <w:rsid w:val="00DF6E29"/>
    <w:rsid w:val="00DF6FCD"/>
    <w:rsid w:val="00E0115A"/>
    <w:rsid w:val="00E012D0"/>
    <w:rsid w:val="00E02528"/>
    <w:rsid w:val="00E02ACF"/>
    <w:rsid w:val="00E02E75"/>
    <w:rsid w:val="00E0377F"/>
    <w:rsid w:val="00E04022"/>
    <w:rsid w:val="00E04739"/>
    <w:rsid w:val="00E04D56"/>
    <w:rsid w:val="00E0511B"/>
    <w:rsid w:val="00E05485"/>
    <w:rsid w:val="00E057EE"/>
    <w:rsid w:val="00E07077"/>
    <w:rsid w:val="00E07B48"/>
    <w:rsid w:val="00E07CD5"/>
    <w:rsid w:val="00E07EDC"/>
    <w:rsid w:val="00E07F63"/>
    <w:rsid w:val="00E111F6"/>
    <w:rsid w:val="00E11508"/>
    <w:rsid w:val="00E12099"/>
    <w:rsid w:val="00E127F7"/>
    <w:rsid w:val="00E12DB8"/>
    <w:rsid w:val="00E12E1A"/>
    <w:rsid w:val="00E130F0"/>
    <w:rsid w:val="00E133D0"/>
    <w:rsid w:val="00E1351A"/>
    <w:rsid w:val="00E13828"/>
    <w:rsid w:val="00E1459C"/>
    <w:rsid w:val="00E14871"/>
    <w:rsid w:val="00E14E32"/>
    <w:rsid w:val="00E15AA8"/>
    <w:rsid w:val="00E15B5B"/>
    <w:rsid w:val="00E1629B"/>
    <w:rsid w:val="00E16546"/>
    <w:rsid w:val="00E16F1E"/>
    <w:rsid w:val="00E17DF8"/>
    <w:rsid w:val="00E207B8"/>
    <w:rsid w:val="00E20D93"/>
    <w:rsid w:val="00E21334"/>
    <w:rsid w:val="00E21869"/>
    <w:rsid w:val="00E2233A"/>
    <w:rsid w:val="00E223B2"/>
    <w:rsid w:val="00E22A75"/>
    <w:rsid w:val="00E22AA8"/>
    <w:rsid w:val="00E22D47"/>
    <w:rsid w:val="00E22F26"/>
    <w:rsid w:val="00E22F42"/>
    <w:rsid w:val="00E236DE"/>
    <w:rsid w:val="00E239CF"/>
    <w:rsid w:val="00E2432E"/>
    <w:rsid w:val="00E249E9"/>
    <w:rsid w:val="00E24CC8"/>
    <w:rsid w:val="00E259F3"/>
    <w:rsid w:val="00E25D0F"/>
    <w:rsid w:val="00E25EA7"/>
    <w:rsid w:val="00E26E5B"/>
    <w:rsid w:val="00E27964"/>
    <w:rsid w:val="00E27AC3"/>
    <w:rsid w:val="00E27DAD"/>
    <w:rsid w:val="00E27EA5"/>
    <w:rsid w:val="00E30984"/>
    <w:rsid w:val="00E31519"/>
    <w:rsid w:val="00E31540"/>
    <w:rsid w:val="00E31BD2"/>
    <w:rsid w:val="00E328E3"/>
    <w:rsid w:val="00E32A00"/>
    <w:rsid w:val="00E32BAE"/>
    <w:rsid w:val="00E34415"/>
    <w:rsid w:val="00E34BF8"/>
    <w:rsid w:val="00E34CB2"/>
    <w:rsid w:val="00E353FB"/>
    <w:rsid w:val="00E3568D"/>
    <w:rsid w:val="00E356E7"/>
    <w:rsid w:val="00E366E0"/>
    <w:rsid w:val="00E36830"/>
    <w:rsid w:val="00E36AD1"/>
    <w:rsid w:val="00E36E0F"/>
    <w:rsid w:val="00E3702C"/>
    <w:rsid w:val="00E37578"/>
    <w:rsid w:val="00E403F3"/>
    <w:rsid w:val="00E410C6"/>
    <w:rsid w:val="00E41253"/>
    <w:rsid w:val="00E414EE"/>
    <w:rsid w:val="00E41988"/>
    <w:rsid w:val="00E41BA7"/>
    <w:rsid w:val="00E4268B"/>
    <w:rsid w:val="00E429BC"/>
    <w:rsid w:val="00E42F96"/>
    <w:rsid w:val="00E43B4A"/>
    <w:rsid w:val="00E43B52"/>
    <w:rsid w:val="00E43E7F"/>
    <w:rsid w:val="00E44448"/>
    <w:rsid w:val="00E447D4"/>
    <w:rsid w:val="00E44A95"/>
    <w:rsid w:val="00E44D08"/>
    <w:rsid w:val="00E44E98"/>
    <w:rsid w:val="00E44FD4"/>
    <w:rsid w:val="00E45155"/>
    <w:rsid w:val="00E46127"/>
    <w:rsid w:val="00E46690"/>
    <w:rsid w:val="00E467CF"/>
    <w:rsid w:val="00E46CFA"/>
    <w:rsid w:val="00E46EB4"/>
    <w:rsid w:val="00E46FD1"/>
    <w:rsid w:val="00E47396"/>
    <w:rsid w:val="00E4766A"/>
    <w:rsid w:val="00E50871"/>
    <w:rsid w:val="00E50B0F"/>
    <w:rsid w:val="00E50F23"/>
    <w:rsid w:val="00E51231"/>
    <w:rsid w:val="00E51B20"/>
    <w:rsid w:val="00E5200F"/>
    <w:rsid w:val="00E527AB"/>
    <w:rsid w:val="00E535AC"/>
    <w:rsid w:val="00E53F9C"/>
    <w:rsid w:val="00E54843"/>
    <w:rsid w:val="00E54AE8"/>
    <w:rsid w:val="00E54B84"/>
    <w:rsid w:val="00E552E5"/>
    <w:rsid w:val="00E565AA"/>
    <w:rsid w:val="00E568D6"/>
    <w:rsid w:val="00E57A1E"/>
    <w:rsid w:val="00E60207"/>
    <w:rsid w:val="00E60897"/>
    <w:rsid w:val="00E60BA3"/>
    <w:rsid w:val="00E60F95"/>
    <w:rsid w:val="00E615A3"/>
    <w:rsid w:val="00E617E0"/>
    <w:rsid w:val="00E618F4"/>
    <w:rsid w:val="00E62346"/>
    <w:rsid w:val="00E62573"/>
    <w:rsid w:val="00E62A28"/>
    <w:rsid w:val="00E62EA9"/>
    <w:rsid w:val="00E6312E"/>
    <w:rsid w:val="00E631DA"/>
    <w:rsid w:val="00E6362F"/>
    <w:rsid w:val="00E63949"/>
    <w:rsid w:val="00E63D66"/>
    <w:rsid w:val="00E642D8"/>
    <w:rsid w:val="00E651E4"/>
    <w:rsid w:val="00E66B19"/>
    <w:rsid w:val="00E66C85"/>
    <w:rsid w:val="00E66E9C"/>
    <w:rsid w:val="00E67000"/>
    <w:rsid w:val="00E6746E"/>
    <w:rsid w:val="00E67779"/>
    <w:rsid w:val="00E67A7F"/>
    <w:rsid w:val="00E70818"/>
    <w:rsid w:val="00E710E1"/>
    <w:rsid w:val="00E712E2"/>
    <w:rsid w:val="00E71F62"/>
    <w:rsid w:val="00E72289"/>
    <w:rsid w:val="00E72434"/>
    <w:rsid w:val="00E72926"/>
    <w:rsid w:val="00E72A4D"/>
    <w:rsid w:val="00E733DF"/>
    <w:rsid w:val="00E7484D"/>
    <w:rsid w:val="00E74C17"/>
    <w:rsid w:val="00E755B6"/>
    <w:rsid w:val="00E75CCF"/>
    <w:rsid w:val="00E767AC"/>
    <w:rsid w:val="00E76D77"/>
    <w:rsid w:val="00E770F1"/>
    <w:rsid w:val="00E77C17"/>
    <w:rsid w:val="00E77F11"/>
    <w:rsid w:val="00E77F40"/>
    <w:rsid w:val="00E80183"/>
    <w:rsid w:val="00E8053C"/>
    <w:rsid w:val="00E805C6"/>
    <w:rsid w:val="00E81664"/>
    <w:rsid w:val="00E8181B"/>
    <w:rsid w:val="00E81B06"/>
    <w:rsid w:val="00E81C52"/>
    <w:rsid w:val="00E81D85"/>
    <w:rsid w:val="00E8259E"/>
    <w:rsid w:val="00E8291C"/>
    <w:rsid w:val="00E82D46"/>
    <w:rsid w:val="00E839A7"/>
    <w:rsid w:val="00E8432B"/>
    <w:rsid w:val="00E8488F"/>
    <w:rsid w:val="00E8539B"/>
    <w:rsid w:val="00E85B58"/>
    <w:rsid w:val="00E85D09"/>
    <w:rsid w:val="00E85EFB"/>
    <w:rsid w:val="00E86560"/>
    <w:rsid w:val="00E86988"/>
    <w:rsid w:val="00E86B26"/>
    <w:rsid w:val="00E87369"/>
    <w:rsid w:val="00E87D35"/>
    <w:rsid w:val="00E87D6F"/>
    <w:rsid w:val="00E87ED9"/>
    <w:rsid w:val="00E90474"/>
    <w:rsid w:val="00E90C0C"/>
    <w:rsid w:val="00E911A8"/>
    <w:rsid w:val="00E914BA"/>
    <w:rsid w:val="00E91CB9"/>
    <w:rsid w:val="00E926AE"/>
    <w:rsid w:val="00E926D6"/>
    <w:rsid w:val="00E92767"/>
    <w:rsid w:val="00E9279F"/>
    <w:rsid w:val="00E9287F"/>
    <w:rsid w:val="00E930E9"/>
    <w:rsid w:val="00E931EE"/>
    <w:rsid w:val="00E93B36"/>
    <w:rsid w:val="00E94036"/>
    <w:rsid w:val="00E943FF"/>
    <w:rsid w:val="00E94E92"/>
    <w:rsid w:val="00E957AC"/>
    <w:rsid w:val="00E95BE2"/>
    <w:rsid w:val="00E96519"/>
    <w:rsid w:val="00E9703A"/>
    <w:rsid w:val="00E9721D"/>
    <w:rsid w:val="00E97398"/>
    <w:rsid w:val="00E97879"/>
    <w:rsid w:val="00E97BCD"/>
    <w:rsid w:val="00EA0490"/>
    <w:rsid w:val="00EA1ADA"/>
    <w:rsid w:val="00EA1B5C"/>
    <w:rsid w:val="00EA3004"/>
    <w:rsid w:val="00EA31C2"/>
    <w:rsid w:val="00EA355D"/>
    <w:rsid w:val="00EA35A5"/>
    <w:rsid w:val="00EA4073"/>
    <w:rsid w:val="00EA53BD"/>
    <w:rsid w:val="00EA5B25"/>
    <w:rsid w:val="00EA693C"/>
    <w:rsid w:val="00EA6ED8"/>
    <w:rsid w:val="00EA6EEB"/>
    <w:rsid w:val="00EA737B"/>
    <w:rsid w:val="00EA7995"/>
    <w:rsid w:val="00EA7DE5"/>
    <w:rsid w:val="00EA7E64"/>
    <w:rsid w:val="00EB05D4"/>
    <w:rsid w:val="00EB07BC"/>
    <w:rsid w:val="00EB1ACF"/>
    <w:rsid w:val="00EB1B3F"/>
    <w:rsid w:val="00EB1DA3"/>
    <w:rsid w:val="00EB21B0"/>
    <w:rsid w:val="00EB27D1"/>
    <w:rsid w:val="00EB2C31"/>
    <w:rsid w:val="00EB2E04"/>
    <w:rsid w:val="00EB2E17"/>
    <w:rsid w:val="00EB4519"/>
    <w:rsid w:val="00EB49B0"/>
    <w:rsid w:val="00EB514B"/>
    <w:rsid w:val="00EB5611"/>
    <w:rsid w:val="00EB5BBD"/>
    <w:rsid w:val="00EB5CFA"/>
    <w:rsid w:val="00EB5D31"/>
    <w:rsid w:val="00EB6745"/>
    <w:rsid w:val="00EB6A9A"/>
    <w:rsid w:val="00EB6B6E"/>
    <w:rsid w:val="00EB787B"/>
    <w:rsid w:val="00EB7FFE"/>
    <w:rsid w:val="00EC0185"/>
    <w:rsid w:val="00EC06A6"/>
    <w:rsid w:val="00EC0D04"/>
    <w:rsid w:val="00EC0F26"/>
    <w:rsid w:val="00EC1D48"/>
    <w:rsid w:val="00EC1EB4"/>
    <w:rsid w:val="00EC3092"/>
    <w:rsid w:val="00EC4097"/>
    <w:rsid w:val="00EC445F"/>
    <w:rsid w:val="00EC45B3"/>
    <w:rsid w:val="00EC5C37"/>
    <w:rsid w:val="00EC649A"/>
    <w:rsid w:val="00EC672C"/>
    <w:rsid w:val="00EC6EF2"/>
    <w:rsid w:val="00EC71AD"/>
    <w:rsid w:val="00EC720F"/>
    <w:rsid w:val="00EC7C87"/>
    <w:rsid w:val="00EC7FE6"/>
    <w:rsid w:val="00ED05E1"/>
    <w:rsid w:val="00ED0A5B"/>
    <w:rsid w:val="00ED0C93"/>
    <w:rsid w:val="00ED15CD"/>
    <w:rsid w:val="00ED16C9"/>
    <w:rsid w:val="00ED18D3"/>
    <w:rsid w:val="00ED1F39"/>
    <w:rsid w:val="00ED237F"/>
    <w:rsid w:val="00ED288A"/>
    <w:rsid w:val="00ED2E9B"/>
    <w:rsid w:val="00ED2FB5"/>
    <w:rsid w:val="00ED3614"/>
    <w:rsid w:val="00ED3622"/>
    <w:rsid w:val="00ED40A4"/>
    <w:rsid w:val="00ED4385"/>
    <w:rsid w:val="00ED471D"/>
    <w:rsid w:val="00ED4FD4"/>
    <w:rsid w:val="00ED5476"/>
    <w:rsid w:val="00ED57E1"/>
    <w:rsid w:val="00ED5E75"/>
    <w:rsid w:val="00ED6F6C"/>
    <w:rsid w:val="00ED7144"/>
    <w:rsid w:val="00ED747B"/>
    <w:rsid w:val="00EE0806"/>
    <w:rsid w:val="00EE0D3F"/>
    <w:rsid w:val="00EE0ECB"/>
    <w:rsid w:val="00EE1827"/>
    <w:rsid w:val="00EE1E1F"/>
    <w:rsid w:val="00EE2196"/>
    <w:rsid w:val="00EE2269"/>
    <w:rsid w:val="00EE22D7"/>
    <w:rsid w:val="00EE2B46"/>
    <w:rsid w:val="00EE2D12"/>
    <w:rsid w:val="00EE32DB"/>
    <w:rsid w:val="00EE3840"/>
    <w:rsid w:val="00EE45D2"/>
    <w:rsid w:val="00EE4AB4"/>
    <w:rsid w:val="00EE544F"/>
    <w:rsid w:val="00EE58D3"/>
    <w:rsid w:val="00EE5BDB"/>
    <w:rsid w:val="00EE6286"/>
    <w:rsid w:val="00EE65B9"/>
    <w:rsid w:val="00EE6D69"/>
    <w:rsid w:val="00EE6E36"/>
    <w:rsid w:val="00EE7273"/>
    <w:rsid w:val="00EE7A31"/>
    <w:rsid w:val="00EF0C88"/>
    <w:rsid w:val="00EF417C"/>
    <w:rsid w:val="00EF44EB"/>
    <w:rsid w:val="00EF4628"/>
    <w:rsid w:val="00EF5DC5"/>
    <w:rsid w:val="00EF778D"/>
    <w:rsid w:val="00EF79B3"/>
    <w:rsid w:val="00EF7DF4"/>
    <w:rsid w:val="00F0053A"/>
    <w:rsid w:val="00F00750"/>
    <w:rsid w:val="00F008A5"/>
    <w:rsid w:val="00F008A8"/>
    <w:rsid w:val="00F01E17"/>
    <w:rsid w:val="00F02C41"/>
    <w:rsid w:val="00F03872"/>
    <w:rsid w:val="00F04556"/>
    <w:rsid w:val="00F05B7F"/>
    <w:rsid w:val="00F05D50"/>
    <w:rsid w:val="00F065EE"/>
    <w:rsid w:val="00F07178"/>
    <w:rsid w:val="00F07371"/>
    <w:rsid w:val="00F07906"/>
    <w:rsid w:val="00F07B17"/>
    <w:rsid w:val="00F10A7D"/>
    <w:rsid w:val="00F112A4"/>
    <w:rsid w:val="00F11543"/>
    <w:rsid w:val="00F11545"/>
    <w:rsid w:val="00F11F04"/>
    <w:rsid w:val="00F1205D"/>
    <w:rsid w:val="00F13734"/>
    <w:rsid w:val="00F13918"/>
    <w:rsid w:val="00F1431E"/>
    <w:rsid w:val="00F14656"/>
    <w:rsid w:val="00F1492A"/>
    <w:rsid w:val="00F14C27"/>
    <w:rsid w:val="00F14C53"/>
    <w:rsid w:val="00F15417"/>
    <w:rsid w:val="00F15468"/>
    <w:rsid w:val="00F15633"/>
    <w:rsid w:val="00F158F8"/>
    <w:rsid w:val="00F16920"/>
    <w:rsid w:val="00F16CD3"/>
    <w:rsid w:val="00F17C6A"/>
    <w:rsid w:val="00F17C9A"/>
    <w:rsid w:val="00F17F8F"/>
    <w:rsid w:val="00F213CA"/>
    <w:rsid w:val="00F2142B"/>
    <w:rsid w:val="00F226D5"/>
    <w:rsid w:val="00F2336B"/>
    <w:rsid w:val="00F2396F"/>
    <w:rsid w:val="00F2478B"/>
    <w:rsid w:val="00F256F7"/>
    <w:rsid w:val="00F25DA2"/>
    <w:rsid w:val="00F264F7"/>
    <w:rsid w:val="00F26BE5"/>
    <w:rsid w:val="00F26EC5"/>
    <w:rsid w:val="00F26FC8"/>
    <w:rsid w:val="00F2779B"/>
    <w:rsid w:val="00F27895"/>
    <w:rsid w:val="00F30366"/>
    <w:rsid w:val="00F31218"/>
    <w:rsid w:val="00F3158E"/>
    <w:rsid w:val="00F318CF"/>
    <w:rsid w:val="00F31B34"/>
    <w:rsid w:val="00F32B3B"/>
    <w:rsid w:val="00F339BD"/>
    <w:rsid w:val="00F33C5C"/>
    <w:rsid w:val="00F33DF5"/>
    <w:rsid w:val="00F33F09"/>
    <w:rsid w:val="00F33F20"/>
    <w:rsid w:val="00F340BE"/>
    <w:rsid w:val="00F3419E"/>
    <w:rsid w:val="00F34AA5"/>
    <w:rsid w:val="00F34AC9"/>
    <w:rsid w:val="00F3536E"/>
    <w:rsid w:val="00F35706"/>
    <w:rsid w:val="00F35725"/>
    <w:rsid w:val="00F359C1"/>
    <w:rsid w:val="00F35A64"/>
    <w:rsid w:val="00F35B1D"/>
    <w:rsid w:val="00F3693A"/>
    <w:rsid w:val="00F36C5F"/>
    <w:rsid w:val="00F37362"/>
    <w:rsid w:val="00F37585"/>
    <w:rsid w:val="00F3768A"/>
    <w:rsid w:val="00F37928"/>
    <w:rsid w:val="00F37BCB"/>
    <w:rsid w:val="00F37CD9"/>
    <w:rsid w:val="00F37E15"/>
    <w:rsid w:val="00F401C9"/>
    <w:rsid w:val="00F403EF"/>
    <w:rsid w:val="00F40FB6"/>
    <w:rsid w:val="00F41090"/>
    <w:rsid w:val="00F4116B"/>
    <w:rsid w:val="00F4146E"/>
    <w:rsid w:val="00F416B4"/>
    <w:rsid w:val="00F41B82"/>
    <w:rsid w:val="00F424CD"/>
    <w:rsid w:val="00F42FEB"/>
    <w:rsid w:val="00F43A90"/>
    <w:rsid w:val="00F43BAA"/>
    <w:rsid w:val="00F43BB9"/>
    <w:rsid w:val="00F43C7A"/>
    <w:rsid w:val="00F44089"/>
    <w:rsid w:val="00F45287"/>
    <w:rsid w:val="00F452D7"/>
    <w:rsid w:val="00F454E4"/>
    <w:rsid w:val="00F45898"/>
    <w:rsid w:val="00F47298"/>
    <w:rsid w:val="00F47971"/>
    <w:rsid w:val="00F501B4"/>
    <w:rsid w:val="00F504A1"/>
    <w:rsid w:val="00F508BA"/>
    <w:rsid w:val="00F50BF0"/>
    <w:rsid w:val="00F50EB4"/>
    <w:rsid w:val="00F50EC1"/>
    <w:rsid w:val="00F5152D"/>
    <w:rsid w:val="00F51D40"/>
    <w:rsid w:val="00F521C1"/>
    <w:rsid w:val="00F5242C"/>
    <w:rsid w:val="00F524EF"/>
    <w:rsid w:val="00F53447"/>
    <w:rsid w:val="00F5396D"/>
    <w:rsid w:val="00F54506"/>
    <w:rsid w:val="00F54780"/>
    <w:rsid w:val="00F547C3"/>
    <w:rsid w:val="00F5547A"/>
    <w:rsid w:val="00F55817"/>
    <w:rsid w:val="00F558F1"/>
    <w:rsid w:val="00F5590D"/>
    <w:rsid w:val="00F56265"/>
    <w:rsid w:val="00F569F8"/>
    <w:rsid w:val="00F56AFC"/>
    <w:rsid w:val="00F5734A"/>
    <w:rsid w:val="00F60747"/>
    <w:rsid w:val="00F607A6"/>
    <w:rsid w:val="00F60C8C"/>
    <w:rsid w:val="00F60CE9"/>
    <w:rsid w:val="00F61719"/>
    <w:rsid w:val="00F61A2D"/>
    <w:rsid w:val="00F61FFE"/>
    <w:rsid w:val="00F62034"/>
    <w:rsid w:val="00F625AF"/>
    <w:rsid w:val="00F625B5"/>
    <w:rsid w:val="00F629A6"/>
    <w:rsid w:val="00F62A23"/>
    <w:rsid w:val="00F62BF2"/>
    <w:rsid w:val="00F62EF1"/>
    <w:rsid w:val="00F62F25"/>
    <w:rsid w:val="00F6331B"/>
    <w:rsid w:val="00F6338C"/>
    <w:rsid w:val="00F6338E"/>
    <w:rsid w:val="00F63655"/>
    <w:rsid w:val="00F63B6E"/>
    <w:rsid w:val="00F63F89"/>
    <w:rsid w:val="00F6407F"/>
    <w:rsid w:val="00F64094"/>
    <w:rsid w:val="00F64B0A"/>
    <w:rsid w:val="00F64CDA"/>
    <w:rsid w:val="00F65778"/>
    <w:rsid w:val="00F65AD2"/>
    <w:rsid w:val="00F66C7F"/>
    <w:rsid w:val="00F67675"/>
    <w:rsid w:val="00F677C6"/>
    <w:rsid w:val="00F67B33"/>
    <w:rsid w:val="00F67E33"/>
    <w:rsid w:val="00F67FF9"/>
    <w:rsid w:val="00F70343"/>
    <w:rsid w:val="00F7060A"/>
    <w:rsid w:val="00F70789"/>
    <w:rsid w:val="00F70C06"/>
    <w:rsid w:val="00F70E77"/>
    <w:rsid w:val="00F717BE"/>
    <w:rsid w:val="00F7191F"/>
    <w:rsid w:val="00F72249"/>
    <w:rsid w:val="00F72E43"/>
    <w:rsid w:val="00F7312E"/>
    <w:rsid w:val="00F73C57"/>
    <w:rsid w:val="00F74094"/>
    <w:rsid w:val="00F74478"/>
    <w:rsid w:val="00F744F9"/>
    <w:rsid w:val="00F746AF"/>
    <w:rsid w:val="00F74975"/>
    <w:rsid w:val="00F75241"/>
    <w:rsid w:val="00F75995"/>
    <w:rsid w:val="00F76179"/>
    <w:rsid w:val="00F76A4E"/>
    <w:rsid w:val="00F7714C"/>
    <w:rsid w:val="00F7734E"/>
    <w:rsid w:val="00F778A4"/>
    <w:rsid w:val="00F77CFE"/>
    <w:rsid w:val="00F800B0"/>
    <w:rsid w:val="00F80212"/>
    <w:rsid w:val="00F80752"/>
    <w:rsid w:val="00F809D3"/>
    <w:rsid w:val="00F809F9"/>
    <w:rsid w:val="00F81092"/>
    <w:rsid w:val="00F817C5"/>
    <w:rsid w:val="00F8196F"/>
    <w:rsid w:val="00F81EF0"/>
    <w:rsid w:val="00F8203D"/>
    <w:rsid w:val="00F827F9"/>
    <w:rsid w:val="00F829C3"/>
    <w:rsid w:val="00F82B9B"/>
    <w:rsid w:val="00F83467"/>
    <w:rsid w:val="00F8347C"/>
    <w:rsid w:val="00F83552"/>
    <w:rsid w:val="00F835A0"/>
    <w:rsid w:val="00F839F0"/>
    <w:rsid w:val="00F83F93"/>
    <w:rsid w:val="00F844EB"/>
    <w:rsid w:val="00F8454B"/>
    <w:rsid w:val="00F84554"/>
    <w:rsid w:val="00F85EEF"/>
    <w:rsid w:val="00F8601D"/>
    <w:rsid w:val="00F876EA"/>
    <w:rsid w:val="00F87B2D"/>
    <w:rsid w:val="00F87C66"/>
    <w:rsid w:val="00F87F56"/>
    <w:rsid w:val="00F91795"/>
    <w:rsid w:val="00F9277E"/>
    <w:rsid w:val="00F92967"/>
    <w:rsid w:val="00F92D2E"/>
    <w:rsid w:val="00F9351F"/>
    <w:rsid w:val="00F93A7B"/>
    <w:rsid w:val="00F93BAE"/>
    <w:rsid w:val="00F940C0"/>
    <w:rsid w:val="00F9481E"/>
    <w:rsid w:val="00F9487E"/>
    <w:rsid w:val="00F948EC"/>
    <w:rsid w:val="00F94E81"/>
    <w:rsid w:val="00F9612A"/>
    <w:rsid w:val="00F96467"/>
    <w:rsid w:val="00F965D7"/>
    <w:rsid w:val="00F96AEB"/>
    <w:rsid w:val="00F97A6F"/>
    <w:rsid w:val="00F97B56"/>
    <w:rsid w:val="00F97F98"/>
    <w:rsid w:val="00FA04B0"/>
    <w:rsid w:val="00FA04DB"/>
    <w:rsid w:val="00FA0BF0"/>
    <w:rsid w:val="00FA0C54"/>
    <w:rsid w:val="00FA0CAD"/>
    <w:rsid w:val="00FA26C7"/>
    <w:rsid w:val="00FA273E"/>
    <w:rsid w:val="00FA2D74"/>
    <w:rsid w:val="00FA344B"/>
    <w:rsid w:val="00FA3ECC"/>
    <w:rsid w:val="00FA4243"/>
    <w:rsid w:val="00FA448B"/>
    <w:rsid w:val="00FA4C3C"/>
    <w:rsid w:val="00FA50DB"/>
    <w:rsid w:val="00FA5B8C"/>
    <w:rsid w:val="00FA5E32"/>
    <w:rsid w:val="00FA6643"/>
    <w:rsid w:val="00FA6D28"/>
    <w:rsid w:val="00FA7B09"/>
    <w:rsid w:val="00FA7F6D"/>
    <w:rsid w:val="00FB0698"/>
    <w:rsid w:val="00FB0981"/>
    <w:rsid w:val="00FB158E"/>
    <w:rsid w:val="00FB1855"/>
    <w:rsid w:val="00FB1A60"/>
    <w:rsid w:val="00FB1E29"/>
    <w:rsid w:val="00FB2103"/>
    <w:rsid w:val="00FB22FC"/>
    <w:rsid w:val="00FB2527"/>
    <w:rsid w:val="00FB3E97"/>
    <w:rsid w:val="00FB3ED4"/>
    <w:rsid w:val="00FB43B1"/>
    <w:rsid w:val="00FB49AE"/>
    <w:rsid w:val="00FB5520"/>
    <w:rsid w:val="00FB552E"/>
    <w:rsid w:val="00FB5AB4"/>
    <w:rsid w:val="00FB6E44"/>
    <w:rsid w:val="00FB7815"/>
    <w:rsid w:val="00FB7C17"/>
    <w:rsid w:val="00FC07D4"/>
    <w:rsid w:val="00FC1ECD"/>
    <w:rsid w:val="00FC2320"/>
    <w:rsid w:val="00FC2984"/>
    <w:rsid w:val="00FC2B31"/>
    <w:rsid w:val="00FC2CBB"/>
    <w:rsid w:val="00FC3179"/>
    <w:rsid w:val="00FC3270"/>
    <w:rsid w:val="00FC3385"/>
    <w:rsid w:val="00FC35AF"/>
    <w:rsid w:val="00FC4044"/>
    <w:rsid w:val="00FC4419"/>
    <w:rsid w:val="00FC473D"/>
    <w:rsid w:val="00FC4C73"/>
    <w:rsid w:val="00FC4E4A"/>
    <w:rsid w:val="00FC4FFC"/>
    <w:rsid w:val="00FC5565"/>
    <w:rsid w:val="00FC59D8"/>
    <w:rsid w:val="00FC64CD"/>
    <w:rsid w:val="00FC6537"/>
    <w:rsid w:val="00FC68B4"/>
    <w:rsid w:val="00FC76EB"/>
    <w:rsid w:val="00FC7885"/>
    <w:rsid w:val="00FD0281"/>
    <w:rsid w:val="00FD05FB"/>
    <w:rsid w:val="00FD12CE"/>
    <w:rsid w:val="00FD19CC"/>
    <w:rsid w:val="00FD2426"/>
    <w:rsid w:val="00FD304F"/>
    <w:rsid w:val="00FD3DAE"/>
    <w:rsid w:val="00FD3E8C"/>
    <w:rsid w:val="00FD56AF"/>
    <w:rsid w:val="00FD605D"/>
    <w:rsid w:val="00FD61CC"/>
    <w:rsid w:val="00FD648D"/>
    <w:rsid w:val="00FD66AF"/>
    <w:rsid w:val="00FD6BD0"/>
    <w:rsid w:val="00FD6BE2"/>
    <w:rsid w:val="00FD6D22"/>
    <w:rsid w:val="00FD70D5"/>
    <w:rsid w:val="00FD7218"/>
    <w:rsid w:val="00FD77A5"/>
    <w:rsid w:val="00FD7F5C"/>
    <w:rsid w:val="00FE042B"/>
    <w:rsid w:val="00FE049D"/>
    <w:rsid w:val="00FE19C0"/>
    <w:rsid w:val="00FE259A"/>
    <w:rsid w:val="00FE2749"/>
    <w:rsid w:val="00FE27DD"/>
    <w:rsid w:val="00FE2A09"/>
    <w:rsid w:val="00FE2BAB"/>
    <w:rsid w:val="00FE2C60"/>
    <w:rsid w:val="00FE3296"/>
    <w:rsid w:val="00FE393C"/>
    <w:rsid w:val="00FE3FFA"/>
    <w:rsid w:val="00FE4003"/>
    <w:rsid w:val="00FE406E"/>
    <w:rsid w:val="00FE452D"/>
    <w:rsid w:val="00FE54A6"/>
    <w:rsid w:val="00FE596B"/>
    <w:rsid w:val="00FE5B31"/>
    <w:rsid w:val="00FE7DA3"/>
    <w:rsid w:val="00FE7EED"/>
    <w:rsid w:val="00FF0141"/>
    <w:rsid w:val="00FF0403"/>
    <w:rsid w:val="00FF0945"/>
    <w:rsid w:val="00FF0EF4"/>
    <w:rsid w:val="00FF2363"/>
    <w:rsid w:val="00FF2C2C"/>
    <w:rsid w:val="00FF2D0F"/>
    <w:rsid w:val="00FF2EEB"/>
    <w:rsid w:val="00FF3190"/>
    <w:rsid w:val="00FF3661"/>
    <w:rsid w:val="00FF386D"/>
    <w:rsid w:val="00FF3F30"/>
    <w:rsid w:val="00FF4658"/>
    <w:rsid w:val="00FF4F31"/>
    <w:rsid w:val="00FF4FF4"/>
    <w:rsid w:val="00FF5107"/>
    <w:rsid w:val="00FF532A"/>
    <w:rsid w:val="00FF55B8"/>
    <w:rsid w:val="00FF586D"/>
    <w:rsid w:val="00FF5DDB"/>
    <w:rsid w:val="00FF66E7"/>
    <w:rsid w:val="00FF6993"/>
    <w:rsid w:val="00FF75B0"/>
    <w:rsid w:val="00FF78A1"/>
    <w:rsid w:val="00FF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8D"/>
    <w:rPr>
      <w:sz w:val="24"/>
      <w:lang w:val="en-GB" w:eastAsia="en-US"/>
    </w:rPr>
  </w:style>
  <w:style w:type="paragraph" w:styleId="Heading1">
    <w:name w:val="heading 1"/>
    <w:basedOn w:val="Normal"/>
    <w:next w:val="Normal"/>
    <w:qFormat/>
    <w:rsid w:val="00EF778D"/>
    <w:pPr>
      <w:numPr>
        <w:numId w:val="2"/>
      </w:numPr>
      <w:spacing w:before="1800" w:after="1800" w:line="480" w:lineRule="exact"/>
      <w:ind w:right="1418"/>
      <w:jc w:val="center"/>
      <w:outlineLvl w:val="0"/>
    </w:pPr>
    <w:rPr>
      <w:b/>
      <w:sz w:val="48"/>
    </w:rPr>
  </w:style>
  <w:style w:type="paragraph" w:styleId="Heading2">
    <w:name w:val="heading 2"/>
    <w:basedOn w:val="Normal"/>
    <w:next w:val="FirstPara"/>
    <w:link w:val="Heading2Char"/>
    <w:qFormat/>
    <w:rsid w:val="00EF778D"/>
    <w:pPr>
      <w:keepNext/>
      <w:numPr>
        <w:ilvl w:val="1"/>
        <w:numId w:val="2"/>
      </w:numPr>
      <w:spacing w:before="240" w:line="480" w:lineRule="exact"/>
      <w:outlineLvl w:val="1"/>
    </w:pPr>
    <w:rPr>
      <w:b/>
    </w:rPr>
  </w:style>
  <w:style w:type="paragraph" w:styleId="Heading3">
    <w:name w:val="heading 3"/>
    <w:basedOn w:val="Normal"/>
    <w:next w:val="FirstPara"/>
    <w:link w:val="Heading3Char"/>
    <w:qFormat/>
    <w:rsid w:val="00EF778D"/>
    <w:pPr>
      <w:keepNext/>
      <w:numPr>
        <w:ilvl w:val="2"/>
        <w:numId w:val="2"/>
      </w:numPr>
      <w:spacing w:before="240" w:line="360" w:lineRule="exact"/>
      <w:outlineLvl w:val="2"/>
    </w:pPr>
    <w:rPr>
      <w:u w:val="single"/>
    </w:rPr>
  </w:style>
  <w:style w:type="paragraph" w:styleId="Heading4">
    <w:name w:val="heading 4"/>
    <w:basedOn w:val="Normal"/>
    <w:next w:val="FirstPara"/>
    <w:link w:val="Heading4Char"/>
    <w:qFormat/>
    <w:rsid w:val="00EF778D"/>
    <w:pPr>
      <w:keepNext/>
      <w:numPr>
        <w:ilvl w:val="3"/>
        <w:numId w:val="2"/>
      </w:numPr>
      <w:spacing w:before="240" w:line="360" w:lineRule="exact"/>
      <w:outlineLvl w:val="3"/>
    </w:pPr>
    <w:rPr>
      <w:i/>
    </w:rPr>
  </w:style>
  <w:style w:type="paragraph" w:styleId="Heading5">
    <w:name w:val="heading 5"/>
    <w:basedOn w:val="Normal"/>
    <w:next w:val="Normal"/>
    <w:qFormat/>
    <w:rsid w:val="00EF778D"/>
    <w:pPr>
      <w:keepNext/>
      <w:numPr>
        <w:ilvl w:val="4"/>
        <w:numId w:val="2"/>
      </w:numPr>
      <w:outlineLvl w:val="4"/>
    </w:pPr>
    <w:rPr>
      <w:b/>
      <w:bCs/>
      <w:sz w:val="20"/>
      <w:lang w:val="en-US"/>
    </w:rPr>
  </w:style>
  <w:style w:type="paragraph" w:styleId="Heading6">
    <w:name w:val="heading 6"/>
    <w:basedOn w:val="Normal"/>
    <w:next w:val="Normal"/>
    <w:qFormat/>
    <w:rsid w:val="00EF778D"/>
    <w:pPr>
      <w:keepNext/>
      <w:numPr>
        <w:ilvl w:val="5"/>
        <w:numId w:val="2"/>
      </w:numPr>
      <w:jc w:val="center"/>
      <w:outlineLvl w:val="5"/>
    </w:pPr>
    <w:rPr>
      <w:b/>
      <w:bCs/>
      <w:sz w:val="20"/>
    </w:rPr>
  </w:style>
  <w:style w:type="paragraph" w:styleId="Heading7">
    <w:name w:val="heading 7"/>
    <w:basedOn w:val="Normal"/>
    <w:next w:val="Normal"/>
    <w:qFormat/>
    <w:rsid w:val="00EF778D"/>
    <w:pPr>
      <w:numPr>
        <w:ilvl w:val="6"/>
        <w:numId w:val="2"/>
      </w:numPr>
      <w:outlineLvl w:val="6"/>
    </w:pPr>
    <w:rPr>
      <w:rFonts w:ascii="Arial" w:hAnsi="Arial"/>
      <w:i/>
      <w:sz w:val="20"/>
    </w:rPr>
  </w:style>
  <w:style w:type="paragraph" w:styleId="Heading8">
    <w:name w:val="heading 8"/>
    <w:basedOn w:val="Normal"/>
    <w:next w:val="Centre"/>
    <w:qFormat/>
    <w:rsid w:val="00EF778D"/>
    <w:pPr>
      <w:keepNext/>
      <w:numPr>
        <w:ilvl w:val="7"/>
        <w:numId w:val="2"/>
      </w:numPr>
      <w:spacing w:before="240" w:after="240" w:line="360" w:lineRule="atLeast"/>
      <w:outlineLvl w:val="7"/>
    </w:pPr>
    <w:rPr>
      <w:b/>
    </w:rPr>
  </w:style>
  <w:style w:type="paragraph" w:styleId="Heading9">
    <w:name w:val="heading 9"/>
    <w:basedOn w:val="Normal"/>
    <w:next w:val="Centre"/>
    <w:qFormat/>
    <w:rsid w:val="00EF778D"/>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rsid w:val="00EF778D"/>
    <w:pPr>
      <w:spacing w:before="240" w:line="360" w:lineRule="exact"/>
      <w:jc w:val="both"/>
    </w:pPr>
  </w:style>
  <w:style w:type="paragraph" w:customStyle="1" w:styleId="MainPara">
    <w:name w:val="Main Para"/>
    <w:basedOn w:val="Normal"/>
    <w:rsid w:val="00EF778D"/>
    <w:pPr>
      <w:spacing w:before="240" w:line="360" w:lineRule="exact"/>
      <w:ind w:left="20" w:firstLine="320"/>
      <w:jc w:val="both"/>
    </w:pPr>
  </w:style>
  <w:style w:type="paragraph" w:customStyle="1" w:styleId="Centre">
    <w:name w:val="Centre"/>
    <w:basedOn w:val="Normal"/>
    <w:rsid w:val="00EF778D"/>
    <w:pPr>
      <w:spacing w:before="240" w:after="240" w:line="480" w:lineRule="auto"/>
      <w:jc w:val="center"/>
    </w:pPr>
  </w:style>
  <w:style w:type="paragraph" w:customStyle="1" w:styleId="Abstract">
    <w:name w:val="Abstract"/>
    <w:basedOn w:val="Normal"/>
    <w:rsid w:val="00EF778D"/>
    <w:pPr>
      <w:spacing w:before="240" w:line="360" w:lineRule="atLeast"/>
      <w:ind w:left="567" w:right="567"/>
      <w:jc w:val="both"/>
    </w:pPr>
    <w:rPr>
      <w:rFonts w:ascii="Times" w:hAnsi="Times"/>
      <w:i/>
    </w:rPr>
  </w:style>
  <w:style w:type="character" w:styleId="EndnoteReference">
    <w:name w:val="endnote reference"/>
    <w:semiHidden/>
    <w:rsid w:val="00EF778D"/>
    <w:rPr>
      <w:vertAlign w:val="superscript"/>
    </w:rPr>
  </w:style>
  <w:style w:type="paragraph" w:customStyle="1" w:styleId="Equation">
    <w:name w:val="Equation"/>
    <w:basedOn w:val="Normal"/>
    <w:next w:val="Normal"/>
    <w:rsid w:val="00EF778D"/>
    <w:pPr>
      <w:tabs>
        <w:tab w:val="right" w:pos="8940"/>
      </w:tabs>
      <w:spacing w:before="240"/>
      <w:ind w:left="560"/>
    </w:pPr>
  </w:style>
  <w:style w:type="paragraph" w:styleId="Footer">
    <w:name w:val="footer"/>
    <w:basedOn w:val="Normal"/>
    <w:link w:val="FooterChar"/>
    <w:uiPriority w:val="99"/>
    <w:rsid w:val="00EF778D"/>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EF778D"/>
    <w:pPr>
      <w:ind w:left="840" w:firstLine="11"/>
    </w:pPr>
  </w:style>
  <w:style w:type="paragraph" w:styleId="FootnoteText">
    <w:name w:val="footnote text"/>
    <w:basedOn w:val="Normal"/>
    <w:link w:val="FootnoteTextChar"/>
    <w:uiPriority w:val="99"/>
    <w:rsid w:val="00EF778D"/>
    <w:pPr>
      <w:ind w:left="560" w:hanging="560"/>
      <w:jc w:val="both"/>
    </w:pPr>
    <w:rPr>
      <w:sz w:val="20"/>
    </w:rPr>
  </w:style>
  <w:style w:type="character" w:styleId="FootnoteReference">
    <w:name w:val="footnote reference"/>
    <w:uiPriority w:val="99"/>
    <w:rsid w:val="00EF778D"/>
    <w:rPr>
      <w:rFonts w:ascii="Times" w:hAnsi="Times"/>
      <w:position w:val="6"/>
      <w:sz w:val="18"/>
    </w:rPr>
  </w:style>
  <w:style w:type="paragraph" w:customStyle="1" w:styleId="Hanging">
    <w:name w:val="Hanging"/>
    <w:basedOn w:val="FirstPara"/>
    <w:next w:val="FirstPara"/>
    <w:rsid w:val="00EF778D"/>
    <w:pPr>
      <w:spacing w:before="0"/>
      <w:ind w:left="560" w:hanging="540"/>
      <w:jc w:val="left"/>
    </w:pPr>
  </w:style>
  <w:style w:type="paragraph" w:styleId="Header">
    <w:name w:val="header"/>
    <w:basedOn w:val="Normal"/>
    <w:semiHidden/>
    <w:rsid w:val="00EF778D"/>
    <w:pPr>
      <w:jc w:val="center"/>
    </w:pPr>
    <w:rPr>
      <w:rFonts w:ascii="Times" w:hAnsi="Times"/>
      <w:i/>
    </w:rPr>
  </w:style>
  <w:style w:type="paragraph" w:customStyle="1" w:styleId="List1">
    <w:name w:val="List1"/>
    <w:basedOn w:val="Normal"/>
    <w:rsid w:val="00EF778D"/>
    <w:pPr>
      <w:spacing w:line="360" w:lineRule="atLeast"/>
      <w:ind w:left="1121" w:hanging="561"/>
    </w:pPr>
  </w:style>
  <w:style w:type="paragraph" w:customStyle="1" w:styleId="NormalIndent1">
    <w:name w:val="Normal Indent1"/>
    <w:basedOn w:val="Normal"/>
    <w:next w:val="Normal"/>
    <w:rsid w:val="00EF778D"/>
    <w:pPr>
      <w:spacing w:line="360" w:lineRule="atLeast"/>
      <w:ind w:left="720"/>
    </w:pPr>
  </w:style>
  <w:style w:type="paragraph" w:customStyle="1" w:styleId="ParaafterEqn">
    <w:name w:val="Para after Eqn"/>
    <w:basedOn w:val="FirstPara"/>
    <w:next w:val="MainPara"/>
    <w:rsid w:val="00EF778D"/>
    <w:pPr>
      <w:spacing w:before="0" w:line="360" w:lineRule="atLeast"/>
    </w:pPr>
  </w:style>
  <w:style w:type="paragraph" w:styleId="Quote">
    <w:name w:val="Quote"/>
    <w:basedOn w:val="MainPara"/>
    <w:next w:val="FirstPara"/>
    <w:qFormat/>
    <w:rsid w:val="00EF778D"/>
    <w:pPr>
      <w:spacing w:before="0"/>
      <w:ind w:left="560" w:right="580" w:firstLine="0"/>
    </w:pPr>
  </w:style>
  <w:style w:type="paragraph" w:customStyle="1" w:styleId="Table">
    <w:name w:val="Table"/>
    <w:basedOn w:val="Normal"/>
    <w:rsid w:val="00EF778D"/>
    <w:pPr>
      <w:keepNext/>
      <w:spacing w:line="240" w:lineRule="atLeast"/>
    </w:pPr>
    <w:rPr>
      <w:sz w:val="20"/>
    </w:rPr>
  </w:style>
  <w:style w:type="paragraph" w:customStyle="1" w:styleId="where">
    <w:name w:val="where"/>
    <w:basedOn w:val="ParaafterEqn"/>
    <w:rsid w:val="00EF778D"/>
    <w:pPr>
      <w:spacing w:line="240" w:lineRule="auto"/>
      <w:jc w:val="left"/>
    </w:pPr>
  </w:style>
  <w:style w:type="character" w:styleId="PageNumber">
    <w:name w:val="page number"/>
    <w:basedOn w:val="DefaultParagraphFont"/>
    <w:semiHidden/>
    <w:rsid w:val="00EF778D"/>
  </w:style>
  <w:style w:type="character" w:styleId="Hyperlink">
    <w:name w:val="Hyperlink"/>
    <w:uiPriority w:val="99"/>
    <w:rsid w:val="00EF778D"/>
    <w:rPr>
      <w:color w:val="0000FF"/>
      <w:u w:val="single"/>
    </w:rPr>
  </w:style>
  <w:style w:type="paragraph" w:customStyle="1" w:styleId="References">
    <w:name w:val="References"/>
    <w:basedOn w:val="Normal"/>
    <w:rsid w:val="00EF778D"/>
    <w:pPr>
      <w:spacing w:line="360" w:lineRule="atLeast"/>
      <w:ind w:left="860" w:hanging="840"/>
    </w:pPr>
    <w:rPr>
      <w:sz w:val="20"/>
    </w:rPr>
  </w:style>
  <w:style w:type="paragraph" w:styleId="BodyText2">
    <w:name w:val="Body Text 2"/>
    <w:basedOn w:val="Normal"/>
    <w:semiHidden/>
    <w:rsid w:val="00EF778D"/>
    <w:pPr>
      <w:spacing w:line="312" w:lineRule="auto"/>
      <w:jc w:val="both"/>
    </w:pPr>
    <w:rPr>
      <w:color w:val="000000"/>
    </w:rPr>
  </w:style>
  <w:style w:type="character" w:styleId="CommentReference">
    <w:name w:val="annotation reference"/>
    <w:semiHidden/>
    <w:rsid w:val="00EF778D"/>
    <w:rPr>
      <w:sz w:val="16"/>
    </w:rPr>
  </w:style>
  <w:style w:type="paragraph" w:styleId="CommentText">
    <w:name w:val="annotation text"/>
    <w:basedOn w:val="Normal"/>
    <w:link w:val="CommentTextChar"/>
    <w:semiHidden/>
    <w:rsid w:val="00EF778D"/>
    <w:rPr>
      <w:sz w:val="20"/>
    </w:rPr>
  </w:style>
  <w:style w:type="paragraph" w:customStyle="1" w:styleId="Matrix">
    <w:name w:val="Matrix"/>
    <w:basedOn w:val="Normal"/>
    <w:next w:val="MainPara"/>
    <w:rsid w:val="00EF778D"/>
    <w:pPr>
      <w:spacing w:line="360" w:lineRule="auto"/>
      <w:jc w:val="center"/>
    </w:pPr>
  </w:style>
  <w:style w:type="paragraph" w:customStyle="1" w:styleId="Figure">
    <w:name w:val="Figure"/>
    <w:basedOn w:val="Matrix"/>
    <w:next w:val="MainPara"/>
    <w:rsid w:val="00EF778D"/>
    <w:pPr>
      <w:spacing w:before="240"/>
    </w:pPr>
  </w:style>
  <w:style w:type="paragraph" w:customStyle="1" w:styleId="footnoteequation">
    <w:name w:val="footnote equation"/>
    <w:basedOn w:val="FootnoteText"/>
    <w:rsid w:val="00EF778D"/>
    <w:pPr>
      <w:ind w:left="1701" w:hanging="567"/>
      <w:jc w:val="left"/>
    </w:pPr>
  </w:style>
  <w:style w:type="paragraph" w:customStyle="1" w:styleId="HangingPara">
    <w:name w:val="Hanging Para"/>
    <w:basedOn w:val="MainPara"/>
    <w:rsid w:val="00EF778D"/>
    <w:pPr>
      <w:spacing w:line="360" w:lineRule="auto"/>
      <w:ind w:left="420" w:hanging="400"/>
      <w:jc w:val="left"/>
    </w:pPr>
  </w:style>
  <w:style w:type="paragraph" w:styleId="PlainText">
    <w:name w:val="Plain Text"/>
    <w:basedOn w:val="Normal"/>
    <w:semiHidden/>
    <w:rsid w:val="00EF778D"/>
    <w:rPr>
      <w:rFonts w:ascii="Courier New" w:hAnsi="Courier New"/>
      <w:sz w:val="20"/>
    </w:rPr>
  </w:style>
  <w:style w:type="paragraph" w:customStyle="1" w:styleId="publications">
    <w:name w:val="publications"/>
    <w:basedOn w:val="Normal"/>
    <w:rsid w:val="00EF778D"/>
    <w:pPr>
      <w:tabs>
        <w:tab w:val="left" w:pos="840"/>
      </w:tabs>
      <w:spacing w:line="360" w:lineRule="atLeast"/>
      <w:ind w:left="1400" w:hanging="1400"/>
    </w:pPr>
    <w:rPr>
      <w:noProof/>
      <w:sz w:val="20"/>
    </w:rPr>
  </w:style>
  <w:style w:type="paragraph" w:customStyle="1" w:styleId="source">
    <w:name w:val="source"/>
    <w:basedOn w:val="References"/>
    <w:next w:val="MainPara"/>
    <w:rsid w:val="00EF778D"/>
    <w:pPr>
      <w:spacing w:line="300" w:lineRule="atLeast"/>
      <w:ind w:left="839" w:hanging="839"/>
    </w:pPr>
  </w:style>
  <w:style w:type="character" w:styleId="FollowedHyperlink">
    <w:name w:val="FollowedHyperlink"/>
    <w:semiHidden/>
    <w:rsid w:val="00EF778D"/>
    <w:rPr>
      <w:color w:val="800080"/>
      <w:u w:val="single"/>
    </w:rPr>
  </w:style>
  <w:style w:type="paragraph" w:styleId="TOC1">
    <w:name w:val="toc 1"/>
    <w:basedOn w:val="Normal"/>
    <w:next w:val="Normal"/>
    <w:autoRedefine/>
    <w:semiHidden/>
    <w:rsid w:val="00EF778D"/>
    <w:pPr>
      <w:spacing w:before="120" w:after="120"/>
    </w:pPr>
    <w:rPr>
      <w:b/>
      <w:caps/>
      <w:sz w:val="20"/>
    </w:rPr>
  </w:style>
  <w:style w:type="paragraph" w:styleId="TOC2">
    <w:name w:val="toc 2"/>
    <w:basedOn w:val="Normal"/>
    <w:next w:val="Normal"/>
    <w:autoRedefine/>
    <w:semiHidden/>
    <w:rsid w:val="00EF778D"/>
    <w:pPr>
      <w:ind w:left="240"/>
    </w:pPr>
    <w:rPr>
      <w:smallCaps/>
      <w:sz w:val="20"/>
    </w:rPr>
  </w:style>
  <w:style w:type="paragraph" w:styleId="TOC3">
    <w:name w:val="toc 3"/>
    <w:basedOn w:val="Normal"/>
    <w:next w:val="Normal"/>
    <w:autoRedefine/>
    <w:semiHidden/>
    <w:rsid w:val="00EF778D"/>
    <w:pPr>
      <w:ind w:left="480"/>
    </w:pPr>
    <w:rPr>
      <w:i/>
      <w:sz w:val="20"/>
    </w:rPr>
  </w:style>
  <w:style w:type="paragraph" w:styleId="TOC4">
    <w:name w:val="toc 4"/>
    <w:basedOn w:val="Normal"/>
    <w:next w:val="Normal"/>
    <w:autoRedefine/>
    <w:semiHidden/>
    <w:rsid w:val="00EF778D"/>
    <w:pPr>
      <w:ind w:left="720"/>
    </w:pPr>
    <w:rPr>
      <w:sz w:val="18"/>
    </w:rPr>
  </w:style>
  <w:style w:type="paragraph" w:styleId="TOC5">
    <w:name w:val="toc 5"/>
    <w:basedOn w:val="Normal"/>
    <w:next w:val="Normal"/>
    <w:autoRedefine/>
    <w:semiHidden/>
    <w:rsid w:val="00EF778D"/>
    <w:pPr>
      <w:ind w:left="960"/>
    </w:pPr>
    <w:rPr>
      <w:sz w:val="18"/>
    </w:rPr>
  </w:style>
  <w:style w:type="paragraph" w:styleId="TOC6">
    <w:name w:val="toc 6"/>
    <w:basedOn w:val="Normal"/>
    <w:next w:val="Normal"/>
    <w:autoRedefine/>
    <w:semiHidden/>
    <w:rsid w:val="00EF778D"/>
    <w:pPr>
      <w:ind w:left="1200"/>
    </w:pPr>
    <w:rPr>
      <w:sz w:val="18"/>
    </w:rPr>
  </w:style>
  <w:style w:type="paragraph" w:styleId="TOC7">
    <w:name w:val="toc 7"/>
    <w:basedOn w:val="Normal"/>
    <w:next w:val="Normal"/>
    <w:autoRedefine/>
    <w:semiHidden/>
    <w:rsid w:val="00EF778D"/>
    <w:pPr>
      <w:ind w:left="1440"/>
    </w:pPr>
    <w:rPr>
      <w:sz w:val="18"/>
    </w:rPr>
  </w:style>
  <w:style w:type="paragraph" w:styleId="TOC8">
    <w:name w:val="toc 8"/>
    <w:basedOn w:val="Normal"/>
    <w:next w:val="Normal"/>
    <w:autoRedefine/>
    <w:semiHidden/>
    <w:rsid w:val="00EF778D"/>
    <w:pPr>
      <w:ind w:left="1680"/>
    </w:pPr>
    <w:rPr>
      <w:sz w:val="18"/>
    </w:rPr>
  </w:style>
  <w:style w:type="paragraph" w:styleId="TOC9">
    <w:name w:val="toc 9"/>
    <w:basedOn w:val="Normal"/>
    <w:next w:val="Normal"/>
    <w:autoRedefine/>
    <w:semiHidden/>
    <w:rsid w:val="00EF778D"/>
    <w:pPr>
      <w:ind w:left="1920"/>
    </w:pPr>
    <w:rPr>
      <w:sz w:val="18"/>
    </w:rPr>
  </w:style>
  <w:style w:type="paragraph" w:styleId="DocumentMap">
    <w:name w:val="Document Map"/>
    <w:basedOn w:val="Normal"/>
    <w:semiHidden/>
    <w:rsid w:val="00EF778D"/>
    <w:pPr>
      <w:shd w:val="clear" w:color="auto" w:fill="000080"/>
    </w:pPr>
    <w:rPr>
      <w:rFonts w:ascii="Tahoma" w:hAnsi="Tahoma"/>
    </w:rPr>
  </w:style>
  <w:style w:type="paragraph" w:styleId="ListBullet">
    <w:name w:val="List Bullet"/>
    <w:basedOn w:val="Normal"/>
    <w:autoRedefine/>
    <w:semiHidden/>
    <w:rsid w:val="00EF778D"/>
    <w:pPr>
      <w:numPr>
        <w:numId w:val="1"/>
      </w:numPr>
    </w:pPr>
  </w:style>
  <w:style w:type="paragraph" w:styleId="Caption">
    <w:name w:val="caption"/>
    <w:basedOn w:val="Normal"/>
    <w:next w:val="Normal"/>
    <w:qFormat/>
    <w:rsid w:val="00EF778D"/>
    <w:pPr>
      <w:spacing w:before="120" w:after="120"/>
    </w:pPr>
    <w:rPr>
      <w:b/>
      <w:bCs/>
      <w:sz w:val="20"/>
    </w:rPr>
  </w:style>
  <w:style w:type="paragraph" w:styleId="Title">
    <w:name w:val="Title"/>
    <w:basedOn w:val="Normal"/>
    <w:qFormat/>
    <w:rsid w:val="00EF778D"/>
    <w:pPr>
      <w:jc w:val="center"/>
    </w:pPr>
    <w:rPr>
      <w:rFonts w:ascii="Arial" w:hAnsi="Arial" w:cs="Arial"/>
      <w:b/>
      <w:bCs/>
      <w:szCs w:val="24"/>
      <w:lang w:val="en-US"/>
    </w:rPr>
  </w:style>
  <w:style w:type="paragraph" w:styleId="BodyText">
    <w:name w:val="Body Text"/>
    <w:basedOn w:val="Normal"/>
    <w:semiHidden/>
    <w:rsid w:val="00EF778D"/>
    <w:pPr>
      <w:jc w:val="center"/>
    </w:pPr>
    <w:rPr>
      <w:rFonts w:ascii="Arial" w:hAnsi="Arial" w:cs="Arial"/>
      <w:sz w:val="40"/>
      <w:szCs w:val="24"/>
    </w:rPr>
  </w:style>
  <w:style w:type="paragraph" w:styleId="TableofFigures">
    <w:name w:val="table of figures"/>
    <w:basedOn w:val="Normal"/>
    <w:next w:val="Normal"/>
    <w:semiHidden/>
    <w:rsid w:val="00EF778D"/>
    <w:pPr>
      <w:ind w:left="480" w:hanging="480"/>
    </w:pPr>
  </w:style>
  <w:style w:type="character" w:customStyle="1" w:styleId="Heading2Char">
    <w:name w:val="Heading 2 Char"/>
    <w:link w:val="Heading2"/>
    <w:rsid w:val="004C48E6"/>
    <w:rPr>
      <w:b/>
      <w:sz w:val="24"/>
      <w:lang w:val="en-GB" w:eastAsia="en-US"/>
    </w:rPr>
  </w:style>
  <w:style w:type="character" w:customStyle="1" w:styleId="Heading3Char">
    <w:name w:val="Heading 3 Char"/>
    <w:link w:val="Heading3"/>
    <w:rsid w:val="004C48E6"/>
    <w:rPr>
      <w:sz w:val="24"/>
      <w:u w:val="single"/>
      <w:lang w:val="en-GB" w:eastAsia="en-US"/>
    </w:rPr>
  </w:style>
  <w:style w:type="character" w:customStyle="1" w:styleId="Heading4Char">
    <w:name w:val="Heading 4 Char"/>
    <w:link w:val="Heading4"/>
    <w:rsid w:val="004C48E6"/>
    <w:rPr>
      <w:i/>
      <w:sz w:val="24"/>
      <w:lang w:val="en-GB" w:eastAsia="en-US"/>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B33B0"/>
    <w:pPr>
      <w:spacing w:line="280" w:lineRule="exact"/>
      <w:ind w:left="720"/>
      <w:contextualSpacing/>
      <w:jc w:val="both"/>
    </w:pPr>
    <w:rPr>
      <w:rFonts w:ascii="Arial" w:eastAsia="Calibri" w:hAnsi="Arial"/>
      <w:sz w:val="22"/>
      <w:szCs w:val="22"/>
      <w:lang w:val="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035A92"/>
    <w:rPr>
      <w:rFonts w:ascii="Arial" w:eastAsia="Calibri" w:hAnsi="Arial"/>
      <w:sz w:val="22"/>
      <w:szCs w:val="22"/>
      <w:lang w:eastAsia="en-US"/>
    </w:rPr>
  </w:style>
  <w:style w:type="paragraph" w:customStyle="1" w:styleId="Default">
    <w:name w:val="Default"/>
    <w:rsid w:val="00D74E42"/>
    <w:pPr>
      <w:autoSpaceDE w:val="0"/>
      <w:autoSpaceDN w:val="0"/>
      <w:adjustRightInd w:val="0"/>
    </w:pPr>
    <w:rPr>
      <w:rFonts w:ascii="Arial" w:hAnsi="Arial" w:cs="Arial"/>
      <w:color w:val="000000"/>
      <w:sz w:val="24"/>
      <w:szCs w:val="24"/>
      <w:lang w:eastAsia="en-ZA"/>
    </w:rPr>
  </w:style>
  <w:style w:type="character" w:customStyle="1" w:styleId="FooterChar">
    <w:name w:val="Footer Char"/>
    <w:link w:val="Footer"/>
    <w:uiPriority w:val="99"/>
    <w:rsid w:val="004F6559"/>
    <w:rPr>
      <w:rFonts w:ascii="Times" w:hAnsi="Times"/>
      <w:lang w:val="en-GB" w:eastAsia="en-US"/>
    </w:rPr>
  </w:style>
  <w:style w:type="paragraph" w:styleId="BalloonText">
    <w:name w:val="Balloon Text"/>
    <w:basedOn w:val="Normal"/>
    <w:link w:val="BalloonTextChar"/>
    <w:uiPriority w:val="99"/>
    <w:semiHidden/>
    <w:unhideWhenUsed/>
    <w:rsid w:val="009A05CF"/>
    <w:rPr>
      <w:sz w:val="18"/>
      <w:szCs w:val="18"/>
    </w:rPr>
  </w:style>
  <w:style w:type="character" w:customStyle="1" w:styleId="BalloonTextChar">
    <w:name w:val="Balloon Text Char"/>
    <w:basedOn w:val="DefaultParagraphFont"/>
    <w:link w:val="BalloonText"/>
    <w:uiPriority w:val="99"/>
    <w:semiHidden/>
    <w:rsid w:val="009A05CF"/>
    <w:rPr>
      <w:sz w:val="18"/>
      <w:szCs w:val="18"/>
      <w:lang w:val="en-GB" w:eastAsia="en-US"/>
    </w:rPr>
  </w:style>
  <w:style w:type="paragraph" w:styleId="NormalWeb">
    <w:name w:val="Normal (Web)"/>
    <w:basedOn w:val="Normal"/>
    <w:uiPriority w:val="99"/>
    <w:unhideWhenUsed/>
    <w:rsid w:val="002D39A0"/>
    <w:pPr>
      <w:spacing w:before="100" w:beforeAutospacing="1" w:after="100" w:afterAutospacing="1"/>
    </w:pPr>
    <w:rPr>
      <w:szCs w:val="24"/>
      <w:lang w:val="en-ZA" w:eastAsia="en-ZA"/>
    </w:rPr>
  </w:style>
  <w:style w:type="paragraph" w:styleId="BodyTextIndent">
    <w:name w:val="Body Text Indent"/>
    <w:basedOn w:val="Normal"/>
    <w:link w:val="BodyTextIndentChar"/>
    <w:uiPriority w:val="99"/>
    <w:semiHidden/>
    <w:unhideWhenUsed/>
    <w:rsid w:val="00C30592"/>
    <w:pPr>
      <w:spacing w:after="120"/>
      <w:ind w:left="283"/>
    </w:pPr>
  </w:style>
  <w:style w:type="character" w:customStyle="1" w:styleId="BodyTextIndentChar">
    <w:name w:val="Body Text Indent Char"/>
    <w:basedOn w:val="DefaultParagraphFont"/>
    <w:link w:val="BodyTextIndent"/>
    <w:uiPriority w:val="99"/>
    <w:semiHidden/>
    <w:rsid w:val="00C30592"/>
    <w:rPr>
      <w:sz w:val="24"/>
      <w:lang w:val="en-GB" w:eastAsia="en-US"/>
    </w:rPr>
  </w:style>
  <w:style w:type="character" w:styleId="Emphasis">
    <w:name w:val="Emphasis"/>
    <w:basedOn w:val="DefaultParagraphFont"/>
    <w:uiPriority w:val="20"/>
    <w:qFormat/>
    <w:rsid w:val="00C30592"/>
    <w:rPr>
      <w:i/>
      <w:iCs/>
    </w:rPr>
  </w:style>
  <w:style w:type="table" w:styleId="TableGrid">
    <w:name w:val="Table Grid"/>
    <w:basedOn w:val="TableNormal"/>
    <w:uiPriority w:val="39"/>
    <w:rsid w:val="00324F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CB4AC7"/>
    <w:rPr>
      <w:lang w:val="en-GB" w:eastAsia="en-US"/>
    </w:rPr>
  </w:style>
  <w:style w:type="character" w:customStyle="1" w:styleId="NoSpacingChar">
    <w:name w:val="No Spacing Char"/>
    <w:basedOn w:val="DefaultParagraphFont"/>
    <w:link w:val="NoSpacing"/>
    <w:uiPriority w:val="99"/>
    <w:locked/>
    <w:rsid w:val="00637EE6"/>
    <w:rPr>
      <w:rFonts w:ascii="Arial" w:hAnsi="Arial"/>
      <w:sz w:val="24"/>
    </w:rPr>
  </w:style>
  <w:style w:type="paragraph" w:styleId="NoSpacing">
    <w:name w:val="No Spacing"/>
    <w:basedOn w:val="Normal"/>
    <w:link w:val="NoSpacingChar"/>
    <w:uiPriority w:val="99"/>
    <w:qFormat/>
    <w:rsid w:val="00637EE6"/>
    <w:pPr>
      <w:jc w:val="both"/>
    </w:pPr>
    <w:rPr>
      <w:rFonts w:ascii="Arial" w:hAnsi="Arial"/>
      <w:lang w:val="en-ZA" w:eastAsia="en-GB"/>
    </w:rPr>
  </w:style>
  <w:style w:type="paragraph" w:customStyle="1" w:styleId="SAICANumberingParagraphs">
    <w:name w:val="SAICA Numbering Paragraphs"/>
    <w:basedOn w:val="Normal"/>
    <w:link w:val="SAICANumberingParagraphsChar"/>
    <w:qFormat/>
    <w:rsid w:val="00C82B78"/>
    <w:pPr>
      <w:numPr>
        <w:numId w:val="3"/>
      </w:numPr>
      <w:spacing w:after="240" w:line="259" w:lineRule="auto"/>
      <w:jc w:val="both"/>
    </w:pPr>
    <w:rPr>
      <w:rFonts w:ascii="Arial" w:hAnsi="Arial" w:cs="Arial"/>
      <w:sz w:val="22"/>
      <w:szCs w:val="22"/>
      <w:lang w:eastAsia="en-GB"/>
    </w:rPr>
  </w:style>
  <w:style w:type="character" w:customStyle="1" w:styleId="SAICANumberingParagraphsChar">
    <w:name w:val="SAICA Numbering Paragraphs Char"/>
    <w:basedOn w:val="DefaultParagraphFont"/>
    <w:link w:val="SAICANumberingParagraphs"/>
    <w:rsid w:val="00C82B78"/>
    <w:rPr>
      <w:rFonts w:ascii="Arial" w:hAnsi="Arial" w:cs="Arial"/>
      <w:sz w:val="22"/>
      <w:szCs w:val="22"/>
      <w:lang w:val="en-GB"/>
    </w:rPr>
  </w:style>
  <w:style w:type="character" w:customStyle="1" w:styleId="e24kjd">
    <w:name w:val="e24kjd"/>
    <w:basedOn w:val="DefaultParagraphFont"/>
    <w:rsid w:val="007A76B9"/>
  </w:style>
  <w:style w:type="paragraph" w:styleId="CommentSubject">
    <w:name w:val="annotation subject"/>
    <w:basedOn w:val="CommentText"/>
    <w:next w:val="CommentText"/>
    <w:link w:val="CommentSubjectChar"/>
    <w:uiPriority w:val="99"/>
    <w:semiHidden/>
    <w:unhideWhenUsed/>
    <w:rsid w:val="00AA127C"/>
    <w:rPr>
      <w:b/>
      <w:bCs/>
    </w:rPr>
  </w:style>
  <w:style w:type="character" w:customStyle="1" w:styleId="CommentTextChar">
    <w:name w:val="Comment Text Char"/>
    <w:basedOn w:val="DefaultParagraphFont"/>
    <w:link w:val="CommentText"/>
    <w:semiHidden/>
    <w:rsid w:val="00AA127C"/>
    <w:rPr>
      <w:lang w:val="en-GB" w:eastAsia="en-US"/>
    </w:rPr>
  </w:style>
  <w:style w:type="character" w:customStyle="1" w:styleId="CommentSubjectChar">
    <w:name w:val="Comment Subject Char"/>
    <w:basedOn w:val="CommentTextChar"/>
    <w:link w:val="CommentSubject"/>
    <w:uiPriority w:val="99"/>
    <w:semiHidden/>
    <w:rsid w:val="00AA127C"/>
    <w:rPr>
      <w:b/>
      <w:bCs/>
      <w:lang w:val="en-GB" w:eastAsia="en-US"/>
    </w:rPr>
  </w:style>
  <w:style w:type="character" w:customStyle="1" w:styleId="markedcontent">
    <w:name w:val="markedcontent"/>
    <w:basedOn w:val="DefaultParagraphFont"/>
    <w:rsid w:val="00E6362F"/>
  </w:style>
</w:styles>
</file>

<file path=word/webSettings.xml><?xml version="1.0" encoding="utf-8"?>
<w:webSettings xmlns:r="http://schemas.openxmlformats.org/officeDocument/2006/relationships" xmlns:w="http://schemas.openxmlformats.org/wordprocessingml/2006/main">
  <w:divs>
    <w:div w:id="3166608">
      <w:bodyDiv w:val="1"/>
      <w:marLeft w:val="0"/>
      <w:marRight w:val="0"/>
      <w:marTop w:val="0"/>
      <w:marBottom w:val="0"/>
      <w:divBdr>
        <w:top w:val="none" w:sz="0" w:space="0" w:color="auto"/>
        <w:left w:val="none" w:sz="0" w:space="0" w:color="auto"/>
        <w:bottom w:val="none" w:sz="0" w:space="0" w:color="auto"/>
        <w:right w:val="none" w:sz="0" w:space="0" w:color="auto"/>
      </w:divBdr>
    </w:div>
    <w:div w:id="105392967">
      <w:bodyDiv w:val="1"/>
      <w:marLeft w:val="0"/>
      <w:marRight w:val="0"/>
      <w:marTop w:val="0"/>
      <w:marBottom w:val="0"/>
      <w:divBdr>
        <w:top w:val="none" w:sz="0" w:space="0" w:color="auto"/>
        <w:left w:val="none" w:sz="0" w:space="0" w:color="auto"/>
        <w:bottom w:val="none" w:sz="0" w:space="0" w:color="auto"/>
        <w:right w:val="none" w:sz="0" w:space="0" w:color="auto"/>
      </w:divBdr>
      <w:divsChild>
        <w:div w:id="2067026177">
          <w:marLeft w:val="547"/>
          <w:marRight w:val="0"/>
          <w:marTop w:val="96"/>
          <w:marBottom w:val="0"/>
          <w:divBdr>
            <w:top w:val="none" w:sz="0" w:space="0" w:color="auto"/>
            <w:left w:val="none" w:sz="0" w:space="0" w:color="auto"/>
            <w:bottom w:val="none" w:sz="0" w:space="0" w:color="auto"/>
            <w:right w:val="none" w:sz="0" w:space="0" w:color="auto"/>
          </w:divBdr>
        </w:div>
        <w:div w:id="904100774">
          <w:marLeft w:val="547"/>
          <w:marRight w:val="0"/>
          <w:marTop w:val="96"/>
          <w:marBottom w:val="0"/>
          <w:divBdr>
            <w:top w:val="none" w:sz="0" w:space="0" w:color="auto"/>
            <w:left w:val="none" w:sz="0" w:space="0" w:color="auto"/>
            <w:bottom w:val="none" w:sz="0" w:space="0" w:color="auto"/>
            <w:right w:val="none" w:sz="0" w:space="0" w:color="auto"/>
          </w:divBdr>
        </w:div>
        <w:div w:id="383525869">
          <w:marLeft w:val="547"/>
          <w:marRight w:val="0"/>
          <w:marTop w:val="96"/>
          <w:marBottom w:val="0"/>
          <w:divBdr>
            <w:top w:val="none" w:sz="0" w:space="0" w:color="auto"/>
            <w:left w:val="none" w:sz="0" w:space="0" w:color="auto"/>
            <w:bottom w:val="none" w:sz="0" w:space="0" w:color="auto"/>
            <w:right w:val="none" w:sz="0" w:space="0" w:color="auto"/>
          </w:divBdr>
        </w:div>
        <w:div w:id="1007906057">
          <w:marLeft w:val="547"/>
          <w:marRight w:val="0"/>
          <w:marTop w:val="96"/>
          <w:marBottom w:val="0"/>
          <w:divBdr>
            <w:top w:val="none" w:sz="0" w:space="0" w:color="auto"/>
            <w:left w:val="none" w:sz="0" w:space="0" w:color="auto"/>
            <w:bottom w:val="none" w:sz="0" w:space="0" w:color="auto"/>
            <w:right w:val="none" w:sz="0" w:space="0" w:color="auto"/>
          </w:divBdr>
        </w:div>
        <w:div w:id="2082866143">
          <w:marLeft w:val="1166"/>
          <w:marRight w:val="0"/>
          <w:marTop w:val="86"/>
          <w:marBottom w:val="0"/>
          <w:divBdr>
            <w:top w:val="none" w:sz="0" w:space="0" w:color="auto"/>
            <w:left w:val="none" w:sz="0" w:space="0" w:color="auto"/>
            <w:bottom w:val="none" w:sz="0" w:space="0" w:color="auto"/>
            <w:right w:val="none" w:sz="0" w:space="0" w:color="auto"/>
          </w:divBdr>
        </w:div>
        <w:div w:id="2041739903">
          <w:marLeft w:val="1166"/>
          <w:marRight w:val="0"/>
          <w:marTop w:val="86"/>
          <w:marBottom w:val="0"/>
          <w:divBdr>
            <w:top w:val="none" w:sz="0" w:space="0" w:color="auto"/>
            <w:left w:val="none" w:sz="0" w:space="0" w:color="auto"/>
            <w:bottom w:val="none" w:sz="0" w:space="0" w:color="auto"/>
            <w:right w:val="none" w:sz="0" w:space="0" w:color="auto"/>
          </w:divBdr>
        </w:div>
      </w:divsChild>
    </w:div>
    <w:div w:id="129517086">
      <w:bodyDiv w:val="1"/>
      <w:marLeft w:val="0"/>
      <w:marRight w:val="0"/>
      <w:marTop w:val="0"/>
      <w:marBottom w:val="0"/>
      <w:divBdr>
        <w:top w:val="none" w:sz="0" w:space="0" w:color="auto"/>
        <w:left w:val="none" w:sz="0" w:space="0" w:color="auto"/>
        <w:bottom w:val="none" w:sz="0" w:space="0" w:color="auto"/>
        <w:right w:val="none" w:sz="0" w:space="0" w:color="auto"/>
      </w:divBdr>
    </w:div>
    <w:div w:id="141000069">
      <w:bodyDiv w:val="1"/>
      <w:marLeft w:val="0"/>
      <w:marRight w:val="0"/>
      <w:marTop w:val="0"/>
      <w:marBottom w:val="0"/>
      <w:divBdr>
        <w:top w:val="none" w:sz="0" w:space="0" w:color="auto"/>
        <w:left w:val="none" w:sz="0" w:space="0" w:color="auto"/>
        <w:bottom w:val="none" w:sz="0" w:space="0" w:color="auto"/>
        <w:right w:val="none" w:sz="0" w:space="0" w:color="auto"/>
      </w:divBdr>
      <w:divsChild>
        <w:div w:id="267548131">
          <w:marLeft w:val="533"/>
          <w:marRight w:val="0"/>
          <w:marTop w:val="96"/>
          <w:marBottom w:val="0"/>
          <w:divBdr>
            <w:top w:val="none" w:sz="0" w:space="0" w:color="auto"/>
            <w:left w:val="none" w:sz="0" w:space="0" w:color="auto"/>
            <w:bottom w:val="none" w:sz="0" w:space="0" w:color="auto"/>
            <w:right w:val="none" w:sz="0" w:space="0" w:color="auto"/>
          </w:divBdr>
        </w:div>
        <w:div w:id="1380202448">
          <w:marLeft w:val="533"/>
          <w:marRight w:val="0"/>
          <w:marTop w:val="96"/>
          <w:marBottom w:val="0"/>
          <w:divBdr>
            <w:top w:val="none" w:sz="0" w:space="0" w:color="auto"/>
            <w:left w:val="none" w:sz="0" w:space="0" w:color="auto"/>
            <w:bottom w:val="none" w:sz="0" w:space="0" w:color="auto"/>
            <w:right w:val="none" w:sz="0" w:space="0" w:color="auto"/>
          </w:divBdr>
        </w:div>
        <w:div w:id="1920670158">
          <w:marLeft w:val="1166"/>
          <w:marRight w:val="0"/>
          <w:marTop w:val="96"/>
          <w:marBottom w:val="0"/>
          <w:divBdr>
            <w:top w:val="none" w:sz="0" w:space="0" w:color="auto"/>
            <w:left w:val="none" w:sz="0" w:space="0" w:color="auto"/>
            <w:bottom w:val="none" w:sz="0" w:space="0" w:color="auto"/>
            <w:right w:val="none" w:sz="0" w:space="0" w:color="auto"/>
          </w:divBdr>
        </w:div>
        <w:div w:id="1664045017">
          <w:marLeft w:val="518"/>
          <w:marRight w:val="0"/>
          <w:marTop w:val="120"/>
          <w:marBottom w:val="0"/>
          <w:divBdr>
            <w:top w:val="none" w:sz="0" w:space="0" w:color="auto"/>
            <w:left w:val="none" w:sz="0" w:space="0" w:color="auto"/>
            <w:bottom w:val="none" w:sz="0" w:space="0" w:color="auto"/>
            <w:right w:val="none" w:sz="0" w:space="0" w:color="auto"/>
          </w:divBdr>
        </w:div>
        <w:div w:id="957103559">
          <w:marLeft w:val="1152"/>
          <w:marRight w:val="0"/>
          <w:marTop w:val="120"/>
          <w:marBottom w:val="0"/>
          <w:divBdr>
            <w:top w:val="none" w:sz="0" w:space="0" w:color="auto"/>
            <w:left w:val="none" w:sz="0" w:space="0" w:color="auto"/>
            <w:bottom w:val="none" w:sz="0" w:space="0" w:color="auto"/>
            <w:right w:val="none" w:sz="0" w:space="0" w:color="auto"/>
          </w:divBdr>
        </w:div>
      </w:divsChild>
    </w:div>
    <w:div w:id="160123024">
      <w:bodyDiv w:val="1"/>
      <w:marLeft w:val="0"/>
      <w:marRight w:val="0"/>
      <w:marTop w:val="0"/>
      <w:marBottom w:val="0"/>
      <w:divBdr>
        <w:top w:val="none" w:sz="0" w:space="0" w:color="auto"/>
        <w:left w:val="none" w:sz="0" w:space="0" w:color="auto"/>
        <w:bottom w:val="none" w:sz="0" w:space="0" w:color="auto"/>
        <w:right w:val="none" w:sz="0" w:space="0" w:color="auto"/>
      </w:divBdr>
      <w:divsChild>
        <w:div w:id="1010911722">
          <w:marLeft w:val="547"/>
          <w:marRight w:val="0"/>
          <w:marTop w:val="240"/>
          <w:marBottom w:val="240"/>
          <w:divBdr>
            <w:top w:val="none" w:sz="0" w:space="0" w:color="auto"/>
            <w:left w:val="none" w:sz="0" w:space="0" w:color="auto"/>
            <w:bottom w:val="none" w:sz="0" w:space="0" w:color="auto"/>
            <w:right w:val="none" w:sz="0" w:space="0" w:color="auto"/>
          </w:divBdr>
        </w:div>
        <w:div w:id="2088186525">
          <w:marLeft w:val="1267"/>
          <w:marRight w:val="0"/>
          <w:marTop w:val="240"/>
          <w:marBottom w:val="240"/>
          <w:divBdr>
            <w:top w:val="none" w:sz="0" w:space="0" w:color="auto"/>
            <w:left w:val="none" w:sz="0" w:space="0" w:color="auto"/>
            <w:bottom w:val="none" w:sz="0" w:space="0" w:color="auto"/>
            <w:right w:val="none" w:sz="0" w:space="0" w:color="auto"/>
          </w:divBdr>
        </w:div>
        <w:div w:id="1269048419">
          <w:marLeft w:val="1267"/>
          <w:marRight w:val="0"/>
          <w:marTop w:val="240"/>
          <w:marBottom w:val="240"/>
          <w:divBdr>
            <w:top w:val="none" w:sz="0" w:space="0" w:color="auto"/>
            <w:left w:val="none" w:sz="0" w:space="0" w:color="auto"/>
            <w:bottom w:val="none" w:sz="0" w:space="0" w:color="auto"/>
            <w:right w:val="none" w:sz="0" w:space="0" w:color="auto"/>
          </w:divBdr>
        </w:div>
        <w:div w:id="1694452035">
          <w:marLeft w:val="1267"/>
          <w:marRight w:val="0"/>
          <w:marTop w:val="240"/>
          <w:marBottom w:val="240"/>
          <w:divBdr>
            <w:top w:val="none" w:sz="0" w:space="0" w:color="auto"/>
            <w:left w:val="none" w:sz="0" w:space="0" w:color="auto"/>
            <w:bottom w:val="none" w:sz="0" w:space="0" w:color="auto"/>
            <w:right w:val="none" w:sz="0" w:space="0" w:color="auto"/>
          </w:divBdr>
        </w:div>
        <w:div w:id="682587635">
          <w:marLeft w:val="547"/>
          <w:marRight w:val="0"/>
          <w:marTop w:val="240"/>
          <w:marBottom w:val="240"/>
          <w:divBdr>
            <w:top w:val="none" w:sz="0" w:space="0" w:color="auto"/>
            <w:left w:val="none" w:sz="0" w:space="0" w:color="auto"/>
            <w:bottom w:val="none" w:sz="0" w:space="0" w:color="auto"/>
            <w:right w:val="none" w:sz="0" w:space="0" w:color="auto"/>
          </w:divBdr>
        </w:div>
        <w:div w:id="1354267720">
          <w:marLeft w:val="547"/>
          <w:marRight w:val="0"/>
          <w:marTop w:val="240"/>
          <w:marBottom w:val="240"/>
          <w:divBdr>
            <w:top w:val="none" w:sz="0" w:space="0" w:color="auto"/>
            <w:left w:val="none" w:sz="0" w:space="0" w:color="auto"/>
            <w:bottom w:val="none" w:sz="0" w:space="0" w:color="auto"/>
            <w:right w:val="none" w:sz="0" w:space="0" w:color="auto"/>
          </w:divBdr>
        </w:div>
      </w:divsChild>
    </w:div>
    <w:div w:id="187302192">
      <w:bodyDiv w:val="1"/>
      <w:marLeft w:val="0"/>
      <w:marRight w:val="0"/>
      <w:marTop w:val="0"/>
      <w:marBottom w:val="0"/>
      <w:divBdr>
        <w:top w:val="none" w:sz="0" w:space="0" w:color="auto"/>
        <w:left w:val="none" w:sz="0" w:space="0" w:color="auto"/>
        <w:bottom w:val="none" w:sz="0" w:space="0" w:color="auto"/>
        <w:right w:val="none" w:sz="0" w:space="0" w:color="auto"/>
      </w:divBdr>
      <w:divsChild>
        <w:div w:id="53091397">
          <w:marLeft w:val="547"/>
          <w:marRight w:val="0"/>
          <w:marTop w:val="140"/>
          <w:marBottom w:val="0"/>
          <w:divBdr>
            <w:top w:val="none" w:sz="0" w:space="0" w:color="auto"/>
            <w:left w:val="none" w:sz="0" w:space="0" w:color="auto"/>
            <w:bottom w:val="none" w:sz="0" w:space="0" w:color="auto"/>
            <w:right w:val="none" w:sz="0" w:space="0" w:color="auto"/>
          </w:divBdr>
        </w:div>
      </w:divsChild>
    </w:div>
    <w:div w:id="218827418">
      <w:bodyDiv w:val="1"/>
      <w:marLeft w:val="0"/>
      <w:marRight w:val="0"/>
      <w:marTop w:val="0"/>
      <w:marBottom w:val="0"/>
      <w:divBdr>
        <w:top w:val="none" w:sz="0" w:space="0" w:color="auto"/>
        <w:left w:val="none" w:sz="0" w:space="0" w:color="auto"/>
        <w:bottom w:val="none" w:sz="0" w:space="0" w:color="auto"/>
        <w:right w:val="none" w:sz="0" w:space="0" w:color="auto"/>
      </w:divBdr>
      <w:divsChild>
        <w:div w:id="1458911792">
          <w:marLeft w:val="547"/>
          <w:marRight w:val="0"/>
          <w:marTop w:val="0"/>
          <w:marBottom w:val="0"/>
          <w:divBdr>
            <w:top w:val="none" w:sz="0" w:space="0" w:color="auto"/>
            <w:left w:val="none" w:sz="0" w:space="0" w:color="auto"/>
            <w:bottom w:val="none" w:sz="0" w:space="0" w:color="auto"/>
            <w:right w:val="none" w:sz="0" w:space="0" w:color="auto"/>
          </w:divBdr>
        </w:div>
        <w:div w:id="1677729006">
          <w:marLeft w:val="1166"/>
          <w:marRight w:val="0"/>
          <w:marTop w:val="0"/>
          <w:marBottom w:val="0"/>
          <w:divBdr>
            <w:top w:val="none" w:sz="0" w:space="0" w:color="auto"/>
            <w:left w:val="none" w:sz="0" w:space="0" w:color="auto"/>
            <w:bottom w:val="none" w:sz="0" w:space="0" w:color="auto"/>
            <w:right w:val="none" w:sz="0" w:space="0" w:color="auto"/>
          </w:divBdr>
        </w:div>
        <w:div w:id="286275655">
          <w:marLeft w:val="1166"/>
          <w:marRight w:val="0"/>
          <w:marTop w:val="0"/>
          <w:marBottom w:val="0"/>
          <w:divBdr>
            <w:top w:val="none" w:sz="0" w:space="0" w:color="auto"/>
            <w:left w:val="none" w:sz="0" w:space="0" w:color="auto"/>
            <w:bottom w:val="none" w:sz="0" w:space="0" w:color="auto"/>
            <w:right w:val="none" w:sz="0" w:space="0" w:color="auto"/>
          </w:divBdr>
        </w:div>
        <w:div w:id="1234120338">
          <w:marLeft w:val="547"/>
          <w:marRight w:val="0"/>
          <w:marTop w:val="0"/>
          <w:marBottom w:val="0"/>
          <w:divBdr>
            <w:top w:val="none" w:sz="0" w:space="0" w:color="auto"/>
            <w:left w:val="none" w:sz="0" w:space="0" w:color="auto"/>
            <w:bottom w:val="none" w:sz="0" w:space="0" w:color="auto"/>
            <w:right w:val="none" w:sz="0" w:space="0" w:color="auto"/>
          </w:divBdr>
        </w:div>
        <w:div w:id="197550705">
          <w:marLeft w:val="1166"/>
          <w:marRight w:val="0"/>
          <w:marTop w:val="0"/>
          <w:marBottom w:val="0"/>
          <w:divBdr>
            <w:top w:val="none" w:sz="0" w:space="0" w:color="auto"/>
            <w:left w:val="none" w:sz="0" w:space="0" w:color="auto"/>
            <w:bottom w:val="none" w:sz="0" w:space="0" w:color="auto"/>
            <w:right w:val="none" w:sz="0" w:space="0" w:color="auto"/>
          </w:divBdr>
        </w:div>
        <w:div w:id="1304504065">
          <w:marLeft w:val="1166"/>
          <w:marRight w:val="0"/>
          <w:marTop w:val="0"/>
          <w:marBottom w:val="0"/>
          <w:divBdr>
            <w:top w:val="none" w:sz="0" w:space="0" w:color="auto"/>
            <w:left w:val="none" w:sz="0" w:space="0" w:color="auto"/>
            <w:bottom w:val="none" w:sz="0" w:space="0" w:color="auto"/>
            <w:right w:val="none" w:sz="0" w:space="0" w:color="auto"/>
          </w:divBdr>
        </w:div>
        <w:div w:id="251278947">
          <w:marLeft w:val="547"/>
          <w:marRight w:val="0"/>
          <w:marTop w:val="0"/>
          <w:marBottom w:val="0"/>
          <w:divBdr>
            <w:top w:val="none" w:sz="0" w:space="0" w:color="auto"/>
            <w:left w:val="none" w:sz="0" w:space="0" w:color="auto"/>
            <w:bottom w:val="none" w:sz="0" w:space="0" w:color="auto"/>
            <w:right w:val="none" w:sz="0" w:space="0" w:color="auto"/>
          </w:divBdr>
        </w:div>
        <w:div w:id="1257203366">
          <w:marLeft w:val="1166"/>
          <w:marRight w:val="0"/>
          <w:marTop w:val="0"/>
          <w:marBottom w:val="0"/>
          <w:divBdr>
            <w:top w:val="none" w:sz="0" w:space="0" w:color="auto"/>
            <w:left w:val="none" w:sz="0" w:space="0" w:color="auto"/>
            <w:bottom w:val="none" w:sz="0" w:space="0" w:color="auto"/>
            <w:right w:val="none" w:sz="0" w:space="0" w:color="auto"/>
          </w:divBdr>
        </w:div>
        <w:div w:id="2003461608">
          <w:marLeft w:val="1166"/>
          <w:marRight w:val="0"/>
          <w:marTop w:val="0"/>
          <w:marBottom w:val="0"/>
          <w:divBdr>
            <w:top w:val="none" w:sz="0" w:space="0" w:color="auto"/>
            <w:left w:val="none" w:sz="0" w:space="0" w:color="auto"/>
            <w:bottom w:val="none" w:sz="0" w:space="0" w:color="auto"/>
            <w:right w:val="none" w:sz="0" w:space="0" w:color="auto"/>
          </w:divBdr>
        </w:div>
      </w:divsChild>
    </w:div>
    <w:div w:id="413166297">
      <w:bodyDiv w:val="1"/>
      <w:marLeft w:val="0"/>
      <w:marRight w:val="0"/>
      <w:marTop w:val="0"/>
      <w:marBottom w:val="0"/>
      <w:divBdr>
        <w:top w:val="none" w:sz="0" w:space="0" w:color="auto"/>
        <w:left w:val="none" w:sz="0" w:space="0" w:color="auto"/>
        <w:bottom w:val="none" w:sz="0" w:space="0" w:color="auto"/>
        <w:right w:val="none" w:sz="0" w:space="0" w:color="auto"/>
      </w:divBdr>
    </w:div>
    <w:div w:id="469902132">
      <w:bodyDiv w:val="1"/>
      <w:marLeft w:val="0"/>
      <w:marRight w:val="0"/>
      <w:marTop w:val="0"/>
      <w:marBottom w:val="0"/>
      <w:divBdr>
        <w:top w:val="none" w:sz="0" w:space="0" w:color="auto"/>
        <w:left w:val="none" w:sz="0" w:space="0" w:color="auto"/>
        <w:bottom w:val="none" w:sz="0" w:space="0" w:color="auto"/>
        <w:right w:val="none" w:sz="0" w:space="0" w:color="auto"/>
      </w:divBdr>
    </w:div>
    <w:div w:id="594284486">
      <w:bodyDiv w:val="1"/>
      <w:marLeft w:val="0"/>
      <w:marRight w:val="0"/>
      <w:marTop w:val="0"/>
      <w:marBottom w:val="0"/>
      <w:divBdr>
        <w:top w:val="none" w:sz="0" w:space="0" w:color="auto"/>
        <w:left w:val="none" w:sz="0" w:space="0" w:color="auto"/>
        <w:bottom w:val="none" w:sz="0" w:space="0" w:color="auto"/>
        <w:right w:val="none" w:sz="0" w:space="0" w:color="auto"/>
      </w:divBdr>
    </w:div>
    <w:div w:id="636689722">
      <w:bodyDiv w:val="1"/>
      <w:marLeft w:val="0"/>
      <w:marRight w:val="0"/>
      <w:marTop w:val="0"/>
      <w:marBottom w:val="0"/>
      <w:divBdr>
        <w:top w:val="none" w:sz="0" w:space="0" w:color="auto"/>
        <w:left w:val="none" w:sz="0" w:space="0" w:color="auto"/>
        <w:bottom w:val="none" w:sz="0" w:space="0" w:color="auto"/>
        <w:right w:val="none" w:sz="0" w:space="0" w:color="auto"/>
      </w:divBdr>
      <w:divsChild>
        <w:div w:id="1144083676">
          <w:marLeft w:val="446"/>
          <w:marRight w:val="0"/>
          <w:marTop w:val="0"/>
          <w:marBottom w:val="0"/>
          <w:divBdr>
            <w:top w:val="none" w:sz="0" w:space="0" w:color="auto"/>
            <w:left w:val="none" w:sz="0" w:space="0" w:color="auto"/>
            <w:bottom w:val="none" w:sz="0" w:space="0" w:color="auto"/>
            <w:right w:val="none" w:sz="0" w:space="0" w:color="auto"/>
          </w:divBdr>
        </w:div>
        <w:div w:id="210581073">
          <w:marLeft w:val="446"/>
          <w:marRight w:val="0"/>
          <w:marTop w:val="0"/>
          <w:marBottom w:val="0"/>
          <w:divBdr>
            <w:top w:val="none" w:sz="0" w:space="0" w:color="auto"/>
            <w:left w:val="none" w:sz="0" w:space="0" w:color="auto"/>
            <w:bottom w:val="none" w:sz="0" w:space="0" w:color="auto"/>
            <w:right w:val="none" w:sz="0" w:space="0" w:color="auto"/>
          </w:divBdr>
        </w:div>
        <w:div w:id="2052262973">
          <w:marLeft w:val="1166"/>
          <w:marRight w:val="0"/>
          <w:marTop w:val="0"/>
          <w:marBottom w:val="0"/>
          <w:divBdr>
            <w:top w:val="none" w:sz="0" w:space="0" w:color="auto"/>
            <w:left w:val="none" w:sz="0" w:space="0" w:color="auto"/>
            <w:bottom w:val="none" w:sz="0" w:space="0" w:color="auto"/>
            <w:right w:val="none" w:sz="0" w:space="0" w:color="auto"/>
          </w:divBdr>
        </w:div>
        <w:div w:id="1711683952">
          <w:marLeft w:val="1166"/>
          <w:marRight w:val="0"/>
          <w:marTop w:val="0"/>
          <w:marBottom w:val="0"/>
          <w:divBdr>
            <w:top w:val="none" w:sz="0" w:space="0" w:color="auto"/>
            <w:left w:val="none" w:sz="0" w:space="0" w:color="auto"/>
            <w:bottom w:val="none" w:sz="0" w:space="0" w:color="auto"/>
            <w:right w:val="none" w:sz="0" w:space="0" w:color="auto"/>
          </w:divBdr>
        </w:div>
      </w:divsChild>
    </w:div>
    <w:div w:id="646976502">
      <w:bodyDiv w:val="1"/>
      <w:marLeft w:val="0"/>
      <w:marRight w:val="0"/>
      <w:marTop w:val="0"/>
      <w:marBottom w:val="0"/>
      <w:divBdr>
        <w:top w:val="none" w:sz="0" w:space="0" w:color="auto"/>
        <w:left w:val="none" w:sz="0" w:space="0" w:color="auto"/>
        <w:bottom w:val="none" w:sz="0" w:space="0" w:color="auto"/>
        <w:right w:val="none" w:sz="0" w:space="0" w:color="auto"/>
      </w:divBdr>
    </w:div>
    <w:div w:id="690300164">
      <w:bodyDiv w:val="1"/>
      <w:marLeft w:val="0"/>
      <w:marRight w:val="0"/>
      <w:marTop w:val="0"/>
      <w:marBottom w:val="0"/>
      <w:divBdr>
        <w:top w:val="none" w:sz="0" w:space="0" w:color="auto"/>
        <w:left w:val="none" w:sz="0" w:space="0" w:color="auto"/>
        <w:bottom w:val="none" w:sz="0" w:space="0" w:color="auto"/>
        <w:right w:val="none" w:sz="0" w:space="0" w:color="auto"/>
      </w:divBdr>
      <w:divsChild>
        <w:div w:id="1804806085">
          <w:marLeft w:val="547"/>
          <w:marRight w:val="0"/>
          <w:marTop w:val="115"/>
          <w:marBottom w:val="0"/>
          <w:divBdr>
            <w:top w:val="none" w:sz="0" w:space="0" w:color="auto"/>
            <w:left w:val="none" w:sz="0" w:space="0" w:color="auto"/>
            <w:bottom w:val="none" w:sz="0" w:space="0" w:color="auto"/>
            <w:right w:val="none" w:sz="0" w:space="0" w:color="auto"/>
          </w:divBdr>
        </w:div>
        <w:div w:id="1684435514">
          <w:marLeft w:val="547"/>
          <w:marRight w:val="0"/>
          <w:marTop w:val="115"/>
          <w:marBottom w:val="0"/>
          <w:divBdr>
            <w:top w:val="none" w:sz="0" w:space="0" w:color="auto"/>
            <w:left w:val="none" w:sz="0" w:space="0" w:color="auto"/>
            <w:bottom w:val="none" w:sz="0" w:space="0" w:color="auto"/>
            <w:right w:val="none" w:sz="0" w:space="0" w:color="auto"/>
          </w:divBdr>
        </w:div>
        <w:div w:id="513809267">
          <w:marLeft w:val="547"/>
          <w:marRight w:val="0"/>
          <w:marTop w:val="115"/>
          <w:marBottom w:val="0"/>
          <w:divBdr>
            <w:top w:val="none" w:sz="0" w:space="0" w:color="auto"/>
            <w:left w:val="none" w:sz="0" w:space="0" w:color="auto"/>
            <w:bottom w:val="none" w:sz="0" w:space="0" w:color="auto"/>
            <w:right w:val="none" w:sz="0" w:space="0" w:color="auto"/>
          </w:divBdr>
        </w:div>
      </w:divsChild>
    </w:div>
    <w:div w:id="805397655">
      <w:bodyDiv w:val="1"/>
      <w:marLeft w:val="0"/>
      <w:marRight w:val="0"/>
      <w:marTop w:val="0"/>
      <w:marBottom w:val="0"/>
      <w:divBdr>
        <w:top w:val="none" w:sz="0" w:space="0" w:color="auto"/>
        <w:left w:val="none" w:sz="0" w:space="0" w:color="auto"/>
        <w:bottom w:val="none" w:sz="0" w:space="0" w:color="auto"/>
        <w:right w:val="none" w:sz="0" w:space="0" w:color="auto"/>
      </w:divBdr>
    </w:div>
    <w:div w:id="821851327">
      <w:bodyDiv w:val="1"/>
      <w:marLeft w:val="0"/>
      <w:marRight w:val="0"/>
      <w:marTop w:val="0"/>
      <w:marBottom w:val="0"/>
      <w:divBdr>
        <w:top w:val="none" w:sz="0" w:space="0" w:color="auto"/>
        <w:left w:val="none" w:sz="0" w:space="0" w:color="auto"/>
        <w:bottom w:val="none" w:sz="0" w:space="0" w:color="auto"/>
        <w:right w:val="none" w:sz="0" w:space="0" w:color="auto"/>
      </w:divBdr>
      <w:divsChild>
        <w:div w:id="367991123">
          <w:marLeft w:val="173"/>
          <w:marRight w:val="0"/>
          <w:marTop w:val="0"/>
          <w:marBottom w:val="0"/>
          <w:divBdr>
            <w:top w:val="none" w:sz="0" w:space="0" w:color="auto"/>
            <w:left w:val="none" w:sz="0" w:space="0" w:color="auto"/>
            <w:bottom w:val="none" w:sz="0" w:space="0" w:color="auto"/>
            <w:right w:val="none" w:sz="0" w:space="0" w:color="auto"/>
          </w:divBdr>
        </w:div>
        <w:div w:id="1779792439">
          <w:marLeft w:val="173"/>
          <w:marRight w:val="0"/>
          <w:marTop w:val="0"/>
          <w:marBottom w:val="0"/>
          <w:divBdr>
            <w:top w:val="none" w:sz="0" w:space="0" w:color="auto"/>
            <w:left w:val="none" w:sz="0" w:space="0" w:color="auto"/>
            <w:bottom w:val="none" w:sz="0" w:space="0" w:color="auto"/>
            <w:right w:val="none" w:sz="0" w:space="0" w:color="auto"/>
          </w:divBdr>
        </w:div>
      </w:divsChild>
    </w:div>
    <w:div w:id="830558857">
      <w:bodyDiv w:val="1"/>
      <w:marLeft w:val="0"/>
      <w:marRight w:val="0"/>
      <w:marTop w:val="0"/>
      <w:marBottom w:val="0"/>
      <w:divBdr>
        <w:top w:val="none" w:sz="0" w:space="0" w:color="auto"/>
        <w:left w:val="none" w:sz="0" w:space="0" w:color="auto"/>
        <w:bottom w:val="none" w:sz="0" w:space="0" w:color="auto"/>
        <w:right w:val="none" w:sz="0" w:space="0" w:color="auto"/>
      </w:divBdr>
      <w:divsChild>
        <w:div w:id="1199315244">
          <w:marLeft w:val="446"/>
          <w:marRight w:val="0"/>
          <w:marTop w:val="0"/>
          <w:marBottom w:val="0"/>
          <w:divBdr>
            <w:top w:val="none" w:sz="0" w:space="0" w:color="auto"/>
            <w:left w:val="none" w:sz="0" w:space="0" w:color="auto"/>
            <w:bottom w:val="none" w:sz="0" w:space="0" w:color="auto"/>
            <w:right w:val="none" w:sz="0" w:space="0" w:color="auto"/>
          </w:divBdr>
        </w:div>
      </w:divsChild>
    </w:div>
    <w:div w:id="842400620">
      <w:bodyDiv w:val="1"/>
      <w:marLeft w:val="0"/>
      <w:marRight w:val="0"/>
      <w:marTop w:val="0"/>
      <w:marBottom w:val="0"/>
      <w:divBdr>
        <w:top w:val="none" w:sz="0" w:space="0" w:color="auto"/>
        <w:left w:val="none" w:sz="0" w:space="0" w:color="auto"/>
        <w:bottom w:val="none" w:sz="0" w:space="0" w:color="auto"/>
        <w:right w:val="none" w:sz="0" w:space="0" w:color="auto"/>
      </w:divBdr>
    </w:div>
    <w:div w:id="920990596">
      <w:bodyDiv w:val="1"/>
      <w:marLeft w:val="0"/>
      <w:marRight w:val="0"/>
      <w:marTop w:val="0"/>
      <w:marBottom w:val="0"/>
      <w:divBdr>
        <w:top w:val="none" w:sz="0" w:space="0" w:color="auto"/>
        <w:left w:val="none" w:sz="0" w:space="0" w:color="auto"/>
        <w:bottom w:val="none" w:sz="0" w:space="0" w:color="auto"/>
        <w:right w:val="none" w:sz="0" w:space="0" w:color="auto"/>
      </w:divBdr>
    </w:div>
    <w:div w:id="1039016857">
      <w:bodyDiv w:val="1"/>
      <w:marLeft w:val="0"/>
      <w:marRight w:val="0"/>
      <w:marTop w:val="0"/>
      <w:marBottom w:val="0"/>
      <w:divBdr>
        <w:top w:val="none" w:sz="0" w:space="0" w:color="auto"/>
        <w:left w:val="none" w:sz="0" w:space="0" w:color="auto"/>
        <w:bottom w:val="none" w:sz="0" w:space="0" w:color="auto"/>
        <w:right w:val="none" w:sz="0" w:space="0" w:color="auto"/>
      </w:divBdr>
      <w:divsChild>
        <w:div w:id="824246402">
          <w:marLeft w:val="547"/>
          <w:marRight w:val="0"/>
          <w:marTop w:val="77"/>
          <w:marBottom w:val="0"/>
          <w:divBdr>
            <w:top w:val="none" w:sz="0" w:space="0" w:color="auto"/>
            <w:left w:val="none" w:sz="0" w:space="0" w:color="auto"/>
            <w:bottom w:val="none" w:sz="0" w:space="0" w:color="auto"/>
            <w:right w:val="none" w:sz="0" w:space="0" w:color="auto"/>
          </w:divBdr>
        </w:div>
        <w:div w:id="1486579871">
          <w:marLeft w:val="547"/>
          <w:marRight w:val="0"/>
          <w:marTop w:val="77"/>
          <w:marBottom w:val="0"/>
          <w:divBdr>
            <w:top w:val="none" w:sz="0" w:space="0" w:color="auto"/>
            <w:left w:val="none" w:sz="0" w:space="0" w:color="auto"/>
            <w:bottom w:val="none" w:sz="0" w:space="0" w:color="auto"/>
            <w:right w:val="none" w:sz="0" w:space="0" w:color="auto"/>
          </w:divBdr>
        </w:div>
      </w:divsChild>
    </w:div>
    <w:div w:id="1051269159">
      <w:bodyDiv w:val="1"/>
      <w:marLeft w:val="0"/>
      <w:marRight w:val="0"/>
      <w:marTop w:val="0"/>
      <w:marBottom w:val="0"/>
      <w:divBdr>
        <w:top w:val="none" w:sz="0" w:space="0" w:color="auto"/>
        <w:left w:val="none" w:sz="0" w:space="0" w:color="auto"/>
        <w:bottom w:val="none" w:sz="0" w:space="0" w:color="auto"/>
        <w:right w:val="none" w:sz="0" w:space="0" w:color="auto"/>
      </w:divBdr>
    </w:div>
    <w:div w:id="1053039910">
      <w:bodyDiv w:val="1"/>
      <w:marLeft w:val="0"/>
      <w:marRight w:val="0"/>
      <w:marTop w:val="0"/>
      <w:marBottom w:val="0"/>
      <w:divBdr>
        <w:top w:val="none" w:sz="0" w:space="0" w:color="auto"/>
        <w:left w:val="none" w:sz="0" w:space="0" w:color="auto"/>
        <w:bottom w:val="none" w:sz="0" w:space="0" w:color="auto"/>
        <w:right w:val="none" w:sz="0" w:space="0" w:color="auto"/>
      </w:divBdr>
    </w:div>
    <w:div w:id="1053117493">
      <w:bodyDiv w:val="1"/>
      <w:marLeft w:val="0"/>
      <w:marRight w:val="0"/>
      <w:marTop w:val="0"/>
      <w:marBottom w:val="0"/>
      <w:divBdr>
        <w:top w:val="none" w:sz="0" w:space="0" w:color="auto"/>
        <w:left w:val="none" w:sz="0" w:space="0" w:color="auto"/>
        <w:bottom w:val="none" w:sz="0" w:space="0" w:color="auto"/>
        <w:right w:val="none" w:sz="0" w:space="0" w:color="auto"/>
      </w:divBdr>
    </w:div>
    <w:div w:id="1080248007">
      <w:bodyDiv w:val="1"/>
      <w:marLeft w:val="0"/>
      <w:marRight w:val="0"/>
      <w:marTop w:val="0"/>
      <w:marBottom w:val="0"/>
      <w:divBdr>
        <w:top w:val="none" w:sz="0" w:space="0" w:color="auto"/>
        <w:left w:val="none" w:sz="0" w:space="0" w:color="auto"/>
        <w:bottom w:val="none" w:sz="0" w:space="0" w:color="auto"/>
        <w:right w:val="none" w:sz="0" w:space="0" w:color="auto"/>
      </w:divBdr>
    </w:div>
    <w:div w:id="1107775789">
      <w:bodyDiv w:val="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547"/>
          <w:marRight w:val="0"/>
          <w:marTop w:val="96"/>
          <w:marBottom w:val="0"/>
          <w:divBdr>
            <w:top w:val="none" w:sz="0" w:space="0" w:color="auto"/>
            <w:left w:val="none" w:sz="0" w:space="0" w:color="auto"/>
            <w:bottom w:val="none" w:sz="0" w:space="0" w:color="auto"/>
            <w:right w:val="none" w:sz="0" w:space="0" w:color="auto"/>
          </w:divBdr>
        </w:div>
        <w:div w:id="1282767482">
          <w:marLeft w:val="547"/>
          <w:marRight w:val="0"/>
          <w:marTop w:val="96"/>
          <w:marBottom w:val="0"/>
          <w:divBdr>
            <w:top w:val="none" w:sz="0" w:space="0" w:color="auto"/>
            <w:left w:val="none" w:sz="0" w:space="0" w:color="auto"/>
            <w:bottom w:val="none" w:sz="0" w:space="0" w:color="auto"/>
            <w:right w:val="none" w:sz="0" w:space="0" w:color="auto"/>
          </w:divBdr>
        </w:div>
        <w:div w:id="977762502">
          <w:marLeft w:val="1080"/>
          <w:marRight w:val="0"/>
          <w:marTop w:val="96"/>
          <w:marBottom w:val="0"/>
          <w:divBdr>
            <w:top w:val="none" w:sz="0" w:space="0" w:color="auto"/>
            <w:left w:val="none" w:sz="0" w:space="0" w:color="auto"/>
            <w:bottom w:val="none" w:sz="0" w:space="0" w:color="auto"/>
            <w:right w:val="none" w:sz="0" w:space="0" w:color="auto"/>
          </w:divBdr>
        </w:div>
        <w:div w:id="1815904133">
          <w:marLeft w:val="547"/>
          <w:marRight w:val="0"/>
          <w:marTop w:val="96"/>
          <w:marBottom w:val="0"/>
          <w:divBdr>
            <w:top w:val="none" w:sz="0" w:space="0" w:color="auto"/>
            <w:left w:val="none" w:sz="0" w:space="0" w:color="auto"/>
            <w:bottom w:val="none" w:sz="0" w:space="0" w:color="auto"/>
            <w:right w:val="none" w:sz="0" w:space="0" w:color="auto"/>
          </w:divBdr>
        </w:div>
      </w:divsChild>
    </w:div>
    <w:div w:id="1122380630">
      <w:bodyDiv w:val="1"/>
      <w:marLeft w:val="0"/>
      <w:marRight w:val="0"/>
      <w:marTop w:val="0"/>
      <w:marBottom w:val="0"/>
      <w:divBdr>
        <w:top w:val="none" w:sz="0" w:space="0" w:color="auto"/>
        <w:left w:val="none" w:sz="0" w:space="0" w:color="auto"/>
        <w:bottom w:val="none" w:sz="0" w:space="0" w:color="auto"/>
        <w:right w:val="none" w:sz="0" w:space="0" w:color="auto"/>
      </w:divBdr>
      <w:divsChild>
        <w:div w:id="1072241615">
          <w:marLeft w:val="547"/>
          <w:marRight w:val="0"/>
          <w:marTop w:val="96"/>
          <w:marBottom w:val="0"/>
          <w:divBdr>
            <w:top w:val="none" w:sz="0" w:space="0" w:color="auto"/>
            <w:left w:val="none" w:sz="0" w:space="0" w:color="auto"/>
            <w:bottom w:val="none" w:sz="0" w:space="0" w:color="auto"/>
            <w:right w:val="none" w:sz="0" w:space="0" w:color="auto"/>
          </w:divBdr>
        </w:div>
        <w:div w:id="481846364">
          <w:marLeft w:val="547"/>
          <w:marRight w:val="0"/>
          <w:marTop w:val="96"/>
          <w:marBottom w:val="0"/>
          <w:divBdr>
            <w:top w:val="none" w:sz="0" w:space="0" w:color="auto"/>
            <w:left w:val="none" w:sz="0" w:space="0" w:color="auto"/>
            <w:bottom w:val="none" w:sz="0" w:space="0" w:color="auto"/>
            <w:right w:val="none" w:sz="0" w:space="0" w:color="auto"/>
          </w:divBdr>
        </w:div>
        <w:div w:id="1705445052">
          <w:marLeft w:val="547"/>
          <w:marRight w:val="0"/>
          <w:marTop w:val="96"/>
          <w:marBottom w:val="0"/>
          <w:divBdr>
            <w:top w:val="none" w:sz="0" w:space="0" w:color="auto"/>
            <w:left w:val="none" w:sz="0" w:space="0" w:color="auto"/>
            <w:bottom w:val="none" w:sz="0" w:space="0" w:color="auto"/>
            <w:right w:val="none" w:sz="0" w:space="0" w:color="auto"/>
          </w:divBdr>
        </w:div>
        <w:div w:id="1204555934">
          <w:marLeft w:val="547"/>
          <w:marRight w:val="0"/>
          <w:marTop w:val="96"/>
          <w:marBottom w:val="0"/>
          <w:divBdr>
            <w:top w:val="none" w:sz="0" w:space="0" w:color="auto"/>
            <w:left w:val="none" w:sz="0" w:space="0" w:color="auto"/>
            <w:bottom w:val="none" w:sz="0" w:space="0" w:color="auto"/>
            <w:right w:val="none" w:sz="0" w:space="0" w:color="auto"/>
          </w:divBdr>
        </w:div>
        <w:div w:id="562830613">
          <w:marLeft w:val="547"/>
          <w:marRight w:val="0"/>
          <w:marTop w:val="96"/>
          <w:marBottom w:val="0"/>
          <w:divBdr>
            <w:top w:val="none" w:sz="0" w:space="0" w:color="auto"/>
            <w:left w:val="none" w:sz="0" w:space="0" w:color="auto"/>
            <w:bottom w:val="none" w:sz="0" w:space="0" w:color="auto"/>
            <w:right w:val="none" w:sz="0" w:space="0" w:color="auto"/>
          </w:divBdr>
        </w:div>
      </w:divsChild>
    </w:div>
    <w:div w:id="1158885912">
      <w:bodyDiv w:val="1"/>
      <w:marLeft w:val="0"/>
      <w:marRight w:val="0"/>
      <w:marTop w:val="0"/>
      <w:marBottom w:val="0"/>
      <w:divBdr>
        <w:top w:val="none" w:sz="0" w:space="0" w:color="auto"/>
        <w:left w:val="none" w:sz="0" w:space="0" w:color="auto"/>
        <w:bottom w:val="none" w:sz="0" w:space="0" w:color="auto"/>
        <w:right w:val="none" w:sz="0" w:space="0" w:color="auto"/>
      </w:divBdr>
    </w:div>
    <w:div w:id="1198929870">
      <w:bodyDiv w:val="1"/>
      <w:marLeft w:val="0"/>
      <w:marRight w:val="0"/>
      <w:marTop w:val="0"/>
      <w:marBottom w:val="0"/>
      <w:divBdr>
        <w:top w:val="none" w:sz="0" w:space="0" w:color="auto"/>
        <w:left w:val="none" w:sz="0" w:space="0" w:color="auto"/>
        <w:bottom w:val="none" w:sz="0" w:space="0" w:color="auto"/>
        <w:right w:val="none" w:sz="0" w:space="0" w:color="auto"/>
      </w:divBdr>
    </w:div>
    <w:div w:id="1261525096">
      <w:bodyDiv w:val="1"/>
      <w:marLeft w:val="0"/>
      <w:marRight w:val="0"/>
      <w:marTop w:val="0"/>
      <w:marBottom w:val="0"/>
      <w:divBdr>
        <w:top w:val="none" w:sz="0" w:space="0" w:color="auto"/>
        <w:left w:val="none" w:sz="0" w:space="0" w:color="auto"/>
        <w:bottom w:val="none" w:sz="0" w:space="0" w:color="auto"/>
        <w:right w:val="none" w:sz="0" w:space="0" w:color="auto"/>
      </w:divBdr>
      <w:divsChild>
        <w:div w:id="90243528">
          <w:marLeft w:val="547"/>
          <w:marRight w:val="0"/>
          <w:marTop w:val="77"/>
          <w:marBottom w:val="0"/>
          <w:divBdr>
            <w:top w:val="none" w:sz="0" w:space="0" w:color="auto"/>
            <w:left w:val="none" w:sz="0" w:space="0" w:color="auto"/>
            <w:bottom w:val="none" w:sz="0" w:space="0" w:color="auto"/>
            <w:right w:val="none" w:sz="0" w:space="0" w:color="auto"/>
          </w:divBdr>
        </w:div>
      </w:divsChild>
    </w:div>
    <w:div w:id="1287196260">
      <w:bodyDiv w:val="1"/>
      <w:marLeft w:val="0"/>
      <w:marRight w:val="0"/>
      <w:marTop w:val="0"/>
      <w:marBottom w:val="0"/>
      <w:divBdr>
        <w:top w:val="none" w:sz="0" w:space="0" w:color="auto"/>
        <w:left w:val="none" w:sz="0" w:space="0" w:color="auto"/>
        <w:bottom w:val="none" w:sz="0" w:space="0" w:color="auto"/>
        <w:right w:val="none" w:sz="0" w:space="0" w:color="auto"/>
      </w:divBdr>
    </w:div>
    <w:div w:id="1347563625">
      <w:bodyDiv w:val="1"/>
      <w:marLeft w:val="0"/>
      <w:marRight w:val="0"/>
      <w:marTop w:val="0"/>
      <w:marBottom w:val="0"/>
      <w:divBdr>
        <w:top w:val="none" w:sz="0" w:space="0" w:color="auto"/>
        <w:left w:val="none" w:sz="0" w:space="0" w:color="auto"/>
        <w:bottom w:val="none" w:sz="0" w:space="0" w:color="auto"/>
        <w:right w:val="none" w:sz="0" w:space="0" w:color="auto"/>
      </w:divBdr>
      <w:divsChild>
        <w:div w:id="700008905">
          <w:marLeft w:val="547"/>
          <w:marRight w:val="0"/>
          <w:marTop w:val="0"/>
          <w:marBottom w:val="0"/>
          <w:divBdr>
            <w:top w:val="none" w:sz="0" w:space="0" w:color="auto"/>
            <w:left w:val="none" w:sz="0" w:space="0" w:color="auto"/>
            <w:bottom w:val="none" w:sz="0" w:space="0" w:color="auto"/>
            <w:right w:val="none" w:sz="0" w:space="0" w:color="auto"/>
          </w:divBdr>
        </w:div>
        <w:div w:id="201290482">
          <w:marLeft w:val="547"/>
          <w:marRight w:val="0"/>
          <w:marTop w:val="0"/>
          <w:marBottom w:val="0"/>
          <w:divBdr>
            <w:top w:val="none" w:sz="0" w:space="0" w:color="auto"/>
            <w:left w:val="none" w:sz="0" w:space="0" w:color="auto"/>
            <w:bottom w:val="none" w:sz="0" w:space="0" w:color="auto"/>
            <w:right w:val="none" w:sz="0" w:space="0" w:color="auto"/>
          </w:divBdr>
        </w:div>
      </w:divsChild>
    </w:div>
    <w:div w:id="1388797825">
      <w:bodyDiv w:val="1"/>
      <w:marLeft w:val="0"/>
      <w:marRight w:val="0"/>
      <w:marTop w:val="0"/>
      <w:marBottom w:val="0"/>
      <w:divBdr>
        <w:top w:val="none" w:sz="0" w:space="0" w:color="auto"/>
        <w:left w:val="none" w:sz="0" w:space="0" w:color="auto"/>
        <w:bottom w:val="none" w:sz="0" w:space="0" w:color="auto"/>
        <w:right w:val="none" w:sz="0" w:space="0" w:color="auto"/>
      </w:divBdr>
    </w:div>
    <w:div w:id="1393892798">
      <w:bodyDiv w:val="1"/>
      <w:marLeft w:val="0"/>
      <w:marRight w:val="0"/>
      <w:marTop w:val="0"/>
      <w:marBottom w:val="0"/>
      <w:divBdr>
        <w:top w:val="none" w:sz="0" w:space="0" w:color="auto"/>
        <w:left w:val="none" w:sz="0" w:space="0" w:color="auto"/>
        <w:bottom w:val="none" w:sz="0" w:space="0" w:color="auto"/>
        <w:right w:val="none" w:sz="0" w:space="0" w:color="auto"/>
      </w:divBdr>
      <w:divsChild>
        <w:div w:id="1602449344">
          <w:marLeft w:val="547"/>
          <w:marRight w:val="0"/>
          <w:marTop w:val="0"/>
          <w:marBottom w:val="0"/>
          <w:divBdr>
            <w:top w:val="none" w:sz="0" w:space="0" w:color="auto"/>
            <w:left w:val="none" w:sz="0" w:space="0" w:color="auto"/>
            <w:bottom w:val="none" w:sz="0" w:space="0" w:color="auto"/>
            <w:right w:val="none" w:sz="0" w:space="0" w:color="auto"/>
          </w:divBdr>
        </w:div>
        <w:div w:id="1156452255">
          <w:marLeft w:val="547"/>
          <w:marRight w:val="0"/>
          <w:marTop w:val="0"/>
          <w:marBottom w:val="0"/>
          <w:divBdr>
            <w:top w:val="none" w:sz="0" w:space="0" w:color="auto"/>
            <w:left w:val="none" w:sz="0" w:space="0" w:color="auto"/>
            <w:bottom w:val="none" w:sz="0" w:space="0" w:color="auto"/>
            <w:right w:val="none" w:sz="0" w:space="0" w:color="auto"/>
          </w:divBdr>
        </w:div>
        <w:div w:id="2049796873">
          <w:marLeft w:val="547"/>
          <w:marRight w:val="0"/>
          <w:marTop w:val="0"/>
          <w:marBottom w:val="0"/>
          <w:divBdr>
            <w:top w:val="none" w:sz="0" w:space="0" w:color="auto"/>
            <w:left w:val="none" w:sz="0" w:space="0" w:color="auto"/>
            <w:bottom w:val="none" w:sz="0" w:space="0" w:color="auto"/>
            <w:right w:val="none" w:sz="0" w:space="0" w:color="auto"/>
          </w:divBdr>
        </w:div>
        <w:div w:id="788820644">
          <w:marLeft w:val="547"/>
          <w:marRight w:val="0"/>
          <w:marTop w:val="0"/>
          <w:marBottom w:val="0"/>
          <w:divBdr>
            <w:top w:val="none" w:sz="0" w:space="0" w:color="auto"/>
            <w:left w:val="none" w:sz="0" w:space="0" w:color="auto"/>
            <w:bottom w:val="none" w:sz="0" w:space="0" w:color="auto"/>
            <w:right w:val="none" w:sz="0" w:space="0" w:color="auto"/>
          </w:divBdr>
        </w:div>
        <w:div w:id="437990339">
          <w:marLeft w:val="547"/>
          <w:marRight w:val="0"/>
          <w:marTop w:val="0"/>
          <w:marBottom w:val="0"/>
          <w:divBdr>
            <w:top w:val="none" w:sz="0" w:space="0" w:color="auto"/>
            <w:left w:val="none" w:sz="0" w:space="0" w:color="auto"/>
            <w:bottom w:val="none" w:sz="0" w:space="0" w:color="auto"/>
            <w:right w:val="none" w:sz="0" w:space="0" w:color="auto"/>
          </w:divBdr>
        </w:div>
      </w:divsChild>
    </w:div>
    <w:div w:id="1439565264">
      <w:bodyDiv w:val="1"/>
      <w:marLeft w:val="0"/>
      <w:marRight w:val="0"/>
      <w:marTop w:val="0"/>
      <w:marBottom w:val="0"/>
      <w:divBdr>
        <w:top w:val="none" w:sz="0" w:space="0" w:color="auto"/>
        <w:left w:val="none" w:sz="0" w:space="0" w:color="auto"/>
        <w:bottom w:val="none" w:sz="0" w:space="0" w:color="auto"/>
        <w:right w:val="none" w:sz="0" w:space="0" w:color="auto"/>
      </w:divBdr>
      <w:divsChild>
        <w:div w:id="279193108">
          <w:marLeft w:val="173"/>
          <w:marRight w:val="0"/>
          <w:marTop w:val="77"/>
          <w:marBottom w:val="0"/>
          <w:divBdr>
            <w:top w:val="none" w:sz="0" w:space="0" w:color="auto"/>
            <w:left w:val="none" w:sz="0" w:space="0" w:color="auto"/>
            <w:bottom w:val="none" w:sz="0" w:space="0" w:color="auto"/>
            <w:right w:val="none" w:sz="0" w:space="0" w:color="auto"/>
          </w:divBdr>
        </w:div>
      </w:divsChild>
    </w:div>
    <w:div w:id="1451390017">
      <w:bodyDiv w:val="1"/>
      <w:marLeft w:val="0"/>
      <w:marRight w:val="0"/>
      <w:marTop w:val="0"/>
      <w:marBottom w:val="0"/>
      <w:divBdr>
        <w:top w:val="none" w:sz="0" w:space="0" w:color="auto"/>
        <w:left w:val="none" w:sz="0" w:space="0" w:color="auto"/>
        <w:bottom w:val="none" w:sz="0" w:space="0" w:color="auto"/>
        <w:right w:val="none" w:sz="0" w:space="0" w:color="auto"/>
      </w:divBdr>
    </w:div>
    <w:div w:id="1472400534">
      <w:bodyDiv w:val="1"/>
      <w:marLeft w:val="0"/>
      <w:marRight w:val="0"/>
      <w:marTop w:val="0"/>
      <w:marBottom w:val="0"/>
      <w:divBdr>
        <w:top w:val="none" w:sz="0" w:space="0" w:color="auto"/>
        <w:left w:val="none" w:sz="0" w:space="0" w:color="auto"/>
        <w:bottom w:val="none" w:sz="0" w:space="0" w:color="auto"/>
        <w:right w:val="none" w:sz="0" w:space="0" w:color="auto"/>
      </w:divBdr>
      <w:divsChild>
        <w:div w:id="1823347569">
          <w:marLeft w:val="547"/>
          <w:marRight w:val="0"/>
          <w:marTop w:val="0"/>
          <w:marBottom w:val="0"/>
          <w:divBdr>
            <w:top w:val="none" w:sz="0" w:space="0" w:color="auto"/>
            <w:left w:val="none" w:sz="0" w:space="0" w:color="auto"/>
            <w:bottom w:val="none" w:sz="0" w:space="0" w:color="auto"/>
            <w:right w:val="none" w:sz="0" w:space="0" w:color="auto"/>
          </w:divBdr>
        </w:div>
        <w:div w:id="1197157439">
          <w:marLeft w:val="547"/>
          <w:marRight w:val="0"/>
          <w:marTop w:val="0"/>
          <w:marBottom w:val="0"/>
          <w:divBdr>
            <w:top w:val="none" w:sz="0" w:space="0" w:color="auto"/>
            <w:left w:val="none" w:sz="0" w:space="0" w:color="auto"/>
            <w:bottom w:val="none" w:sz="0" w:space="0" w:color="auto"/>
            <w:right w:val="none" w:sz="0" w:space="0" w:color="auto"/>
          </w:divBdr>
        </w:div>
        <w:div w:id="521743625">
          <w:marLeft w:val="547"/>
          <w:marRight w:val="0"/>
          <w:marTop w:val="0"/>
          <w:marBottom w:val="0"/>
          <w:divBdr>
            <w:top w:val="none" w:sz="0" w:space="0" w:color="auto"/>
            <w:left w:val="none" w:sz="0" w:space="0" w:color="auto"/>
            <w:bottom w:val="none" w:sz="0" w:space="0" w:color="auto"/>
            <w:right w:val="none" w:sz="0" w:space="0" w:color="auto"/>
          </w:divBdr>
        </w:div>
        <w:div w:id="1336880587">
          <w:marLeft w:val="547"/>
          <w:marRight w:val="0"/>
          <w:marTop w:val="0"/>
          <w:marBottom w:val="0"/>
          <w:divBdr>
            <w:top w:val="none" w:sz="0" w:space="0" w:color="auto"/>
            <w:left w:val="none" w:sz="0" w:space="0" w:color="auto"/>
            <w:bottom w:val="none" w:sz="0" w:space="0" w:color="auto"/>
            <w:right w:val="none" w:sz="0" w:space="0" w:color="auto"/>
          </w:divBdr>
        </w:div>
      </w:divsChild>
    </w:div>
    <w:div w:id="1481001731">
      <w:bodyDiv w:val="1"/>
      <w:marLeft w:val="0"/>
      <w:marRight w:val="0"/>
      <w:marTop w:val="0"/>
      <w:marBottom w:val="0"/>
      <w:divBdr>
        <w:top w:val="none" w:sz="0" w:space="0" w:color="auto"/>
        <w:left w:val="none" w:sz="0" w:space="0" w:color="auto"/>
        <w:bottom w:val="none" w:sz="0" w:space="0" w:color="auto"/>
        <w:right w:val="none" w:sz="0" w:space="0" w:color="auto"/>
      </w:divBdr>
    </w:div>
    <w:div w:id="1536582708">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2">
          <w:marLeft w:val="547"/>
          <w:marRight w:val="0"/>
          <w:marTop w:val="0"/>
          <w:marBottom w:val="0"/>
          <w:divBdr>
            <w:top w:val="none" w:sz="0" w:space="0" w:color="auto"/>
            <w:left w:val="none" w:sz="0" w:space="0" w:color="auto"/>
            <w:bottom w:val="none" w:sz="0" w:space="0" w:color="auto"/>
            <w:right w:val="none" w:sz="0" w:space="0" w:color="auto"/>
          </w:divBdr>
        </w:div>
        <w:div w:id="251548037">
          <w:marLeft w:val="547"/>
          <w:marRight w:val="0"/>
          <w:marTop w:val="0"/>
          <w:marBottom w:val="0"/>
          <w:divBdr>
            <w:top w:val="none" w:sz="0" w:space="0" w:color="auto"/>
            <w:left w:val="none" w:sz="0" w:space="0" w:color="auto"/>
            <w:bottom w:val="none" w:sz="0" w:space="0" w:color="auto"/>
            <w:right w:val="none" w:sz="0" w:space="0" w:color="auto"/>
          </w:divBdr>
        </w:div>
        <w:div w:id="1093429619">
          <w:marLeft w:val="1166"/>
          <w:marRight w:val="0"/>
          <w:marTop w:val="0"/>
          <w:marBottom w:val="0"/>
          <w:divBdr>
            <w:top w:val="none" w:sz="0" w:space="0" w:color="auto"/>
            <w:left w:val="none" w:sz="0" w:space="0" w:color="auto"/>
            <w:bottom w:val="none" w:sz="0" w:space="0" w:color="auto"/>
            <w:right w:val="none" w:sz="0" w:space="0" w:color="auto"/>
          </w:divBdr>
        </w:div>
        <w:div w:id="832571468">
          <w:marLeft w:val="1166"/>
          <w:marRight w:val="0"/>
          <w:marTop w:val="0"/>
          <w:marBottom w:val="0"/>
          <w:divBdr>
            <w:top w:val="none" w:sz="0" w:space="0" w:color="auto"/>
            <w:left w:val="none" w:sz="0" w:space="0" w:color="auto"/>
            <w:bottom w:val="none" w:sz="0" w:space="0" w:color="auto"/>
            <w:right w:val="none" w:sz="0" w:space="0" w:color="auto"/>
          </w:divBdr>
        </w:div>
        <w:div w:id="913468462">
          <w:marLeft w:val="1166"/>
          <w:marRight w:val="0"/>
          <w:marTop w:val="0"/>
          <w:marBottom w:val="0"/>
          <w:divBdr>
            <w:top w:val="none" w:sz="0" w:space="0" w:color="auto"/>
            <w:left w:val="none" w:sz="0" w:space="0" w:color="auto"/>
            <w:bottom w:val="none" w:sz="0" w:space="0" w:color="auto"/>
            <w:right w:val="none" w:sz="0" w:space="0" w:color="auto"/>
          </w:divBdr>
        </w:div>
      </w:divsChild>
    </w:div>
    <w:div w:id="1547719227">
      <w:bodyDiv w:val="1"/>
      <w:marLeft w:val="0"/>
      <w:marRight w:val="0"/>
      <w:marTop w:val="0"/>
      <w:marBottom w:val="0"/>
      <w:divBdr>
        <w:top w:val="none" w:sz="0" w:space="0" w:color="auto"/>
        <w:left w:val="none" w:sz="0" w:space="0" w:color="auto"/>
        <w:bottom w:val="none" w:sz="0" w:space="0" w:color="auto"/>
        <w:right w:val="none" w:sz="0" w:space="0" w:color="auto"/>
      </w:divBdr>
    </w:div>
    <w:div w:id="1574504412">
      <w:bodyDiv w:val="1"/>
      <w:marLeft w:val="0"/>
      <w:marRight w:val="0"/>
      <w:marTop w:val="0"/>
      <w:marBottom w:val="0"/>
      <w:divBdr>
        <w:top w:val="none" w:sz="0" w:space="0" w:color="auto"/>
        <w:left w:val="none" w:sz="0" w:space="0" w:color="auto"/>
        <w:bottom w:val="none" w:sz="0" w:space="0" w:color="auto"/>
        <w:right w:val="none" w:sz="0" w:space="0" w:color="auto"/>
      </w:divBdr>
      <w:divsChild>
        <w:div w:id="1269318205">
          <w:marLeft w:val="547"/>
          <w:marRight w:val="0"/>
          <w:marTop w:val="96"/>
          <w:marBottom w:val="0"/>
          <w:divBdr>
            <w:top w:val="none" w:sz="0" w:space="0" w:color="auto"/>
            <w:left w:val="none" w:sz="0" w:space="0" w:color="auto"/>
            <w:bottom w:val="none" w:sz="0" w:space="0" w:color="auto"/>
            <w:right w:val="none" w:sz="0" w:space="0" w:color="auto"/>
          </w:divBdr>
        </w:div>
        <w:div w:id="1406301879">
          <w:marLeft w:val="1166"/>
          <w:marRight w:val="0"/>
          <w:marTop w:val="96"/>
          <w:marBottom w:val="0"/>
          <w:divBdr>
            <w:top w:val="none" w:sz="0" w:space="0" w:color="auto"/>
            <w:left w:val="none" w:sz="0" w:space="0" w:color="auto"/>
            <w:bottom w:val="none" w:sz="0" w:space="0" w:color="auto"/>
            <w:right w:val="none" w:sz="0" w:space="0" w:color="auto"/>
          </w:divBdr>
        </w:div>
        <w:div w:id="1257052947">
          <w:marLeft w:val="1166"/>
          <w:marRight w:val="0"/>
          <w:marTop w:val="96"/>
          <w:marBottom w:val="0"/>
          <w:divBdr>
            <w:top w:val="none" w:sz="0" w:space="0" w:color="auto"/>
            <w:left w:val="none" w:sz="0" w:space="0" w:color="auto"/>
            <w:bottom w:val="none" w:sz="0" w:space="0" w:color="auto"/>
            <w:right w:val="none" w:sz="0" w:space="0" w:color="auto"/>
          </w:divBdr>
        </w:div>
        <w:div w:id="402218913">
          <w:marLeft w:val="1166"/>
          <w:marRight w:val="0"/>
          <w:marTop w:val="96"/>
          <w:marBottom w:val="0"/>
          <w:divBdr>
            <w:top w:val="none" w:sz="0" w:space="0" w:color="auto"/>
            <w:left w:val="none" w:sz="0" w:space="0" w:color="auto"/>
            <w:bottom w:val="none" w:sz="0" w:space="0" w:color="auto"/>
            <w:right w:val="none" w:sz="0" w:space="0" w:color="auto"/>
          </w:divBdr>
        </w:div>
        <w:div w:id="860171721">
          <w:marLeft w:val="1166"/>
          <w:marRight w:val="0"/>
          <w:marTop w:val="96"/>
          <w:marBottom w:val="0"/>
          <w:divBdr>
            <w:top w:val="none" w:sz="0" w:space="0" w:color="auto"/>
            <w:left w:val="none" w:sz="0" w:space="0" w:color="auto"/>
            <w:bottom w:val="none" w:sz="0" w:space="0" w:color="auto"/>
            <w:right w:val="none" w:sz="0" w:space="0" w:color="auto"/>
          </w:divBdr>
        </w:div>
        <w:div w:id="1753382564">
          <w:marLeft w:val="1166"/>
          <w:marRight w:val="0"/>
          <w:marTop w:val="96"/>
          <w:marBottom w:val="0"/>
          <w:divBdr>
            <w:top w:val="none" w:sz="0" w:space="0" w:color="auto"/>
            <w:left w:val="none" w:sz="0" w:space="0" w:color="auto"/>
            <w:bottom w:val="none" w:sz="0" w:space="0" w:color="auto"/>
            <w:right w:val="none" w:sz="0" w:space="0" w:color="auto"/>
          </w:divBdr>
        </w:div>
        <w:div w:id="375007407">
          <w:marLeft w:val="1166"/>
          <w:marRight w:val="0"/>
          <w:marTop w:val="96"/>
          <w:marBottom w:val="0"/>
          <w:divBdr>
            <w:top w:val="none" w:sz="0" w:space="0" w:color="auto"/>
            <w:left w:val="none" w:sz="0" w:space="0" w:color="auto"/>
            <w:bottom w:val="none" w:sz="0" w:space="0" w:color="auto"/>
            <w:right w:val="none" w:sz="0" w:space="0" w:color="auto"/>
          </w:divBdr>
        </w:div>
      </w:divsChild>
    </w:div>
    <w:div w:id="1577088071">
      <w:bodyDiv w:val="1"/>
      <w:marLeft w:val="0"/>
      <w:marRight w:val="0"/>
      <w:marTop w:val="0"/>
      <w:marBottom w:val="0"/>
      <w:divBdr>
        <w:top w:val="none" w:sz="0" w:space="0" w:color="auto"/>
        <w:left w:val="none" w:sz="0" w:space="0" w:color="auto"/>
        <w:bottom w:val="none" w:sz="0" w:space="0" w:color="auto"/>
        <w:right w:val="none" w:sz="0" w:space="0" w:color="auto"/>
      </w:divBdr>
    </w:div>
    <w:div w:id="1579555057">
      <w:bodyDiv w:val="1"/>
      <w:marLeft w:val="0"/>
      <w:marRight w:val="0"/>
      <w:marTop w:val="0"/>
      <w:marBottom w:val="0"/>
      <w:divBdr>
        <w:top w:val="none" w:sz="0" w:space="0" w:color="auto"/>
        <w:left w:val="none" w:sz="0" w:space="0" w:color="auto"/>
        <w:bottom w:val="none" w:sz="0" w:space="0" w:color="auto"/>
        <w:right w:val="none" w:sz="0" w:space="0" w:color="auto"/>
      </w:divBdr>
      <w:divsChild>
        <w:div w:id="246115768">
          <w:marLeft w:val="446"/>
          <w:marRight w:val="0"/>
          <w:marTop w:val="0"/>
          <w:marBottom w:val="0"/>
          <w:divBdr>
            <w:top w:val="none" w:sz="0" w:space="0" w:color="auto"/>
            <w:left w:val="none" w:sz="0" w:space="0" w:color="auto"/>
            <w:bottom w:val="none" w:sz="0" w:space="0" w:color="auto"/>
            <w:right w:val="none" w:sz="0" w:space="0" w:color="auto"/>
          </w:divBdr>
        </w:div>
      </w:divsChild>
    </w:div>
    <w:div w:id="1616012745">
      <w:bodyDiv w:val="1"/>
      <w:marLeft w:val="0"/>
      <w:marRight w:val="0"/>
      <w:marTop w:val="0"/>
      <w:marBottom w:val="0"/>
      <w:divBdr>
        <w:top w:val="none" w:sz="0" w:space="0" w:color="auto"/>
        <w:left w:val="none" w:sz="0" w:space="0" w:color="auto"/>
        <w:bottom w:val="none" w:sz="0" w:space="0" w:color="auto"/>
        <w:right w:val="none" w:sz="0" w:space="0" w:color="auto"/>
      </w:divBdr>
      <w:divsChild>
        <w:div w:id="122159675">
          <w:marLeft w:val="547"/>
          <w:marRight w:val="0"/>
          <w:marTop w:val="96"/>
          <w:marBottom w:val="0"/>
          <w:divBdr>
            <w:top w:val="none" w:sz="0" w:space="0" w:color="auto"/>
            <w:left w:val="none" w:sz="0" w:space="0" w:color="auto"/>
            <w:bottom w:val="none" w:sz="0" w:space="0" w:color="auto"/>
            <w:right w:val="none" w:sz="0" w:space="0" w:color="auto"/>
          </w:divBdr>
        </w:div>
        <w:div w:id="216015691">
          <w:marLeft w:val="547"/>
          <w:marRight w:val="0"/>
          <w:marTop w:val="96"/>
          <w:marBottom w:val="0"/>
          <w:divBdr>
            <w:top w:val="none" w:sz="0" w:space="0" w:color="auto"/>
            <w:left w:val="none" w:sz="0" w:space="0" w:color="auto"/>
            <w:bottom w:val="none" w:sz="0" w:space="0" w:color="auto"/>
            <w:right w:val="none" w:sz="0" w:space="0" w:color="auto"/>
          </w:divBdr>
        </w:div>
        <w:div w:id="1828592474">
          <w:marLeft w:val="547"/>
          <w:marRight w:val="0"/>
          <w:marTop w:val="96"/>
          <w:marBottom w:val="0"/>
          <w:divBdr>
            <w:top w:val="none" w:sz="0" w:space="0" w:color="auto"/>
            <w:left w:val="none" w:sz="0" w:space="0" w:color="auto"/>
            <w:bottom w:val="none" w:sz="0" w:space="0" w:color="auto"/>
            <w:right w:val="none" w:sz="0" w:space="0" w:color="auto"/>
          </w:divBdr>
        </w:div>
        <w:div w:id="1066954059">
          <w:marLeft w:val="1166"/>
          <w:marRight w:val="0"/>
          <w:marTop w:val="96"/>
          <w:marBottom w:val="0"/>
          <w:divBdr>
            <w:top w:val="none" w:sz="0" w:space="0" w:color="auto"/>
            <w:left w:val="none" w:sz="0" w:space="0" w:color="auto"/>
            <w:bottom w:val="none" w:sz="0" w:space="0" w:color="auto"/>
            <w:right w:val="none" w:sz="0" w:space="0" w:color="auto"/>
          </w:divBdr>
        </w:div>
        <w:div w:id="1251811089">
          <w:marLeft w:val="547"/>
          <w:marRight w:val="0"/>
          <w:marTop w:val="96"/>
          <w:marBottom w:val="0"/>
          <w:divBdr>
            <w:top w:val="none" w:sz="0" w:space="0" w:color="auto"/>
            <w:left w:val="none" w:sz="0" w:space="0" w:color="auto"/>
            <w:bottom w:val="none" w:sz="0" w:space="0" w:color="auto"/>
            <w:right w:val="none" w:sz="0" w:space="0" w:color="auto"/>
          </w:divBdr>
        </w:div>
      </w:divsChild>
    </w:div>
    <w:div w:id="1646860771">
      <w:bodyDiv w:val="1"/>
      <w:marLeft w:val="0"/>
      <w:marRight w:val="0"/>
      <w:marTop w:val="0"/>
      <w:marBottom w:val="0"/>
      <w:divBdr>
        <w:top w:val="none" w:sz="0" w:space="0" w:color="auto"/>
        <w:left w:val="none" w:sz="0" w:space="0" w:color="auto"/>
        <w:bottom w:val="none" w:sz="0" w:space="0" w:color="auto"/>
        <w:right w:val="none" w:sz="0" w:space="0" w:color="auto"/>
      </w:divBdr>
      <w:divsChild>
        <w:div w:id="245651447">
          <w:marLeft w:val="547"/>
          <w:marRight w:val="0"/>
          <w:marTop w:val="0"/>
          <w:marBottom w:val="0"/>
          <w:divBdr>
            <w:top w:val="none" w:sz="0" w:space="0" w:color="auto"/>
            <w:left w:val="none" w:sz="0" w:space="0" w:color="auto"/>
            <w:bottom w:val="none" w:sz="0" w:space="0" w:color="auto"/>
            <w:right w:val="none" w:sz="0" w:space="0" w:color="auto"/>
          </w:divBdr>
        </w:div>
        <w:div w:id="355156632">
          <w:marLeft w:val="547"/>
          <w:marRight w:val="0"/>
          <w:marTop w:val="0"/>
          <w:marBottom w:val="0"/>
          <w:divBdr>
            <w:top w:val="none" w:sz="0" w:space="0" w:color="auto"/>
            <w:left w:val="none" w:sz="0" w:space="0" w:color="auto"/>
            <w:bottom w:val="none" w:sz="0" w:space="0" w:color="auto"/>
            <w:right w:val="none" w:sz="0" w:space="0" w:color="auto"/>
          </w:divBdr>
        </w:div>
      </w:divsChild>
    </w:div>
    <w:div w:id="1655646506">
      <w:bodyDiv w:val="1"/>
      <w:marLeft w:val="0"/>
      <w:marRight w:val="0"/>
      <w:marTop w:val="0"/>
      <w:marBottom w:val="0"/>
      <w:divBdr>
        <w:top w:val="none" w:sz="0" w:space="0" w:color="auto"/>
        <w:left w:val="none" w:sz="0" w:space="0" w:color="auto"/>
        <w:bottom w:val="none" w:sz="0" w:space="0" w:color="auto"/>
        <w:right w:val="none" w:sz="0" w:space="0" w:color="auto"/>
      </w:divBdr>
      <w:divsChild>
        <w:div w:id="2020425227">
          <w:marLeft w:val="547"/>
          <w:marRight w:val="0"/>
          <w:marTop w:val="77"/>
          <w:marBottom w:val="0"/>
          <w:divBdr>
            <w:top w:val="none" w:sz="0" w:space="0" w:color="auto"/>
            <w:left w:val="none" w:sz="0" w:space="0" w:color="auto"/>
            <w:bottom w:val="none" w:sz="0" w:space="0" w:color="auto"/>
            <w:right w:val="none" w:sz="0" w:space="0" w:color="auto"/>
          </w:divBdr>
        </w:div>
        <w:div w:id="1504315596">
          <w:marLeft w:val="1166"/>
          <w:marRight w:val="0"/>
          <w:marTop w:val="72"/>
          <w:marBottom w:val="0"/>
          <w:divBdr>
            <w:top w:val="none" w:sz="0" w:space="0" w:color="auto"/>
            <w:left w:val="none" w:sz="0" w:space="0" w:color="auto"/>
            <w:bottom w:val="none" w:sz="0" w:space="0" w:color="auto"/>
            <w:right w:val="none" w:sz="0" w:space="0" w:color="auto"/>
          </w:divBdr>
        </w:div>
        <w:div w:id="826898560">
          <w:marLeft w:val="1166"/>
          <w:marRight w:val="0"/>
          <w:marTop w:val="72"/>
          <w:marBottom w:val="0"/>
          <w:divBdr>
            <w:top w:val="none" w:sz="0" w:space="0" w:color="auto"/>
            <w:left w:val="none" w:sz="0" w:space="0" w:color="auto"/>
            <w:bottom w:val="none" w:sz="0" w:space="0" w:color="auto"/>
            <w:right w:val="none" w:sz="0" w:space="0" w:color="auto"/>
          </w:divBdr>
        </w:div>
      </w:divsChild>
    </w:div>
    <w:div w:id="1681278304">
      <w:bodyDiv w:val="1"/>
      <w:marLeft w:val="0"/>
      <w:marRight w:val="0"/>
      <w:marTop w:val="0"/>
      <w:marBottom w:val="0"/>
      <w:divBdr>
        <w:top w:val="none" w:sz="0" w:space="0" w:color="auto"/>
        <w:left w:val="none" w:sz="0" w:space="0" w:color="auto"/>
        <w:bottom w:val="none" w:sz="0" w:space="0" w:color="auto"/>
        <w:right w:val="none" w:sz="0" w:space="0" w:color="auto"/>
      </w:divBdr>
      <w:divsChild>
        <w:div w:id="281110821">
          <w:marLeft w:val="547"/>
          <w:marRight w:val="0"/>
          <w:marTop w:val="96"/>
          <w:marBottom w:val="0"/>
          <w:divBdr>
            <w:top w:val="none" w:sz="0" w:space="0" w:color="auto"/>
            <w:left w:val="none" w:sz="0" w:space="0" w:color="auto"/>
            <w:bottom w:val="none" w:sz="0" w:space="0" w:color="auto"/>
            <w:right w:val="none" w:sz="0" w:space="0" w:color="auto"/>
          </w:divBdr>
        </w:div>
        <w:div w:id="375739426">
          <w:marLeft w:val="1166"/>
          <w:marRight w:val="0"/>
          <w:marTop w:val="96"/>
          <w:marBottom w:val="0"/>
          <w:divBdr>
            <w:top w:val="none" w:sz="0" w:space="0" w:color="auto"/>
            <w:left w:val="none" w:sz="0" w:space="0" w:color="auto"/>
            <w:bottom w:val="none" w:sz="0" w:space="0" w:color="auto"/>
            <w:right w:val="none" w:sz="0" w:space="0" w:color="auto"/>
          </w:divBdr>
        </w:div>
        <w:div w:id="1860505488">
          <w:marLeft w:val="547"/>
          <w:marRight w:val="0"/>
          <w:marTop w:val="96"/>
          <w:marBottom w:val="0"/>
          <w:divBdr>
            <w:top w:val="none" w:sz="0" w:space="0" w:color="auto"/>
            <w:left w:val="none" w:sz="0" w:space="0" w:color="auto"/>
            <w:bottom w:val="none" w:sz="0" w:space="0" w:color="auto"/>
            <w:right w:val="none" w:sz="0" w:space="0" w:color="auto"/>
          </w:divBdr>
        </w:div>
        <w:div w:id="470558597">
          <w:marLeft w:val="1166"/>
          <w:marRight w:val="0"/>
          <w:marTop w:val="96"/>
          <w:marBottom w:val="0"/>
          <w:divBdr>
            <w:top w:val="none" w:sz="0" w:space="0" w:color="auto"/>
            <w:left w:val="none" w:sz="0" w:space="0" w:color="auto"/>
            <w:bottom w:val="none" w:sz="0" w:space="0" w:color="auto"/>
            <w:right w:val="none" w:sz="0" w:space="0" w:color="auto"/>
          </w:divBdr>
        </w:div>
        <w:div w:id="346106448">
          <w:marLeft w:val="547"/>
          <w:marRight w:val="0"/>
          <w:marTop w:val="96"/>
          <w:marBottom w:val="0"/>
          <w:divBdr>
            <w:top w:val="none" w:sz="0" w:space="0" w:color="auto"/>
            <w:left w:val="none" w:sz="0" w:space="0" w:color="auto"/>
            <w:bottom w:val="none" w:sz="0" w:space="0" w:color="auto"/>
            <w:right w:val="none" w:sz="0" w:space="0" w:color="auto"/>
          </w:divBdr>
        </w:div>
      </w:divsChild>
    </w:div>
    <w:div w:id="1707027437">
      <w:bodyDiv w:val="1"/>
      <w:marLeft w:val="0"/>
      <w:marRight w:val="0"/>
      <w:marTop w:val="0"/>
      <w:marBottom w:val="0"/>
      <w:divBdr>
        <w:top w:val="none" w:sz="0" w:space="0" w:color="auto"/>
        <w:left w:val="none" w:sz="0" w:space="0" w:color="auto"/>
        <w:bottom w:val="none" w:sz="0" w:space="0" w:color="auto"/>
        <w:right w:val="none" w:sz="0" w:space="0" w:color="auto"/>
      </w:divBdr>
      <w:divsChild>
        <w:div w:id="2123454418">
          <w:marLeft w:val="547"/>
          <w:marRight w:val="0"/>
          <w:marTop w:val="77"/>
          <w:marBottom w:val="0"/>
          <w:divBdr>
            <w:top w:val="none" w:sz="0" w:space="0" w:color="auto"/>
            <w:left w:val="none" w:sz="0" w:space="0" w:color="auto"/>
            <w:bottom w:val="none" w:sz="0" w:space="0" w:color="auto"/>
            <w:right w:val="none" w:sz="0" w:space="0" w:color="auto"/>
          </w:divBdr>
        </w:div>
        <w:div w:id="1990396728">
          <w:marLeft w:val="547"/>
          <w:marRight w:val="0"/>
          <w:marTop w:val="77"/>
          <w:marBottom w:val="0"/>
          <w:divBdr>
            <w:top w:val="none" w:sz="0" w:space="0" w:color="auto"/>
            <w:left w:val="none" w:sz="0" w:space="0" w:color="auto"/>
            <w:bottom w:val="none" w:sz="0" w:space="0" w:color="auto"/>
            <w:right w:val="none" w:sz="0" w:space="0" w:color="auto"/>
          </w:divBdr>
        </w:div>
        <w:div w:id="1074278345">
          <w:marLeft w:val="547"/>
          <w:marRight w:val="0"/>
          <w:marTop w:val="77"/>
          <w:marBottom w:val="0"/>
          <w:divBdr>
            <w:top w:val="none" w:sz="0" w:space="0" w:color="auto"/>
            <w:left w:val="none" w:sz="0" w:space="0" w:color="auto"/>
            <w:bottom w:val="none" w:sz="0" w:space="0" w:color="auto"/>
            <w:right w:val="none" w:sz="0" w:space="0" w:color="auto"/>
          </w:divBdr>
        </w:div>
        <w:div w:id="976449248">
          <w:marLeft w:val="547"/>
          <w:marRight w:val="0"/>
          <w:marTop w:val="77"/>
          <w:marBottom w:val="0"/>
          <w:divBdr>
            <w:top w:val="none" w:sz="0" w:space="0" w:color="auto"/>
            <w:left w:val="none" w:sz="0" w:space="0" w:color="auto"/>
            <w:bottom w:val="none" w:sz="0" w:space="0" w:color="auto"/>
            <w:right w:val="none" w:sz="0" w:space="0" w:color="auto"/>
          </w:divBdr>
        </w:div>
        <w:div w:id="1780656">
          <w:marLeft w:val="547"/>
          <w:marRight w:val="0"/>
          <w:marTop w:val="77"/>
          <w:marBottom w:val="0"/>
          <w:divBdr>
            <w:top w:val="none" w:sz="0" w:space="0" w:color="auto"/>
            <w:left w:val="none" w:sz="0" w:space="0" w:color="auto"/>
            <w:bottom w:val="none" w:sz="0" w:space="0" w:color="auto"/>
            <w:right w:val="none" w:sz="0" w:space="0" w:color="auto"/>
          </w:divBdr>
        </w:div>
        <w:div w:id="1192645059">
          <w:marLeft w:val="547"/>
          <w:marRight w:val="0"/>
          <w:marTop w:val="77"/>
          <w:marBottom w:val="0"/>
          <w:divBdr>
            <w:top w:val="none" w:sz="0" w:space="0" w:color="auto"/>
            <w:left w:val="none" w:sz="0" w:space="0" w:color="auto"/>
            <w:bottom w:val="none" w:sz="0" w:space="0" w:color="auto"/>
            <w:right w:val="none" w:sz="0" w:space="0" w:color="auto"/>
          </w:divBdr>
        </w:div>
        <w:div w:id="26684278">
          <w:marLeft w:val="547"/>
          <w:marRight w:val="0"/>
          <w:marTop w:val="77"/>
          <w:marBottom w:val="0"/>
          <w:divBdr>
            <w:top w:val="none" w:sz="0" w:space="0" w:color="auto"/>
            <w:left w:val="none" w:sz="0" w:space="0" w:color="auto"/>
            <w:bottom w:val="none" w:sz="0" w:space="0" w:color="auto"/>
            <w:right w:val="none" w:sz="0" w:space="0" w:color="auto"/>
          </w:divBdr>
        </w:div>
        <w:div w:id="1434789609">
          <w:marLeft w:val="1166"/>
          <w:marRight w:val="0"/>
          <w:marTop w:val="77"/>
          <w:marBottom w:val="0"/>
          <w:divBdr>
            <w:top w:val="none" w:sz="0" w:space="0" w:color="auto"/>
            <w:left w:val="none" w:sz="0" w:space="0" w:color="auto"/>
            <w:bottom w:val="none" w:sz="0" w:space="0" w:color="auto"/>
            <w:right w:val="none" w:sz="0" w:space="0" w:color="auto"/>
          </w:divBdr>
        </w:div>
        <w:div w:id="1527987476">
          <w:marLeft w:val="1166"/>
          <w:marRight w:val="0"/>
          <w:marTop w:val="77"/>
          <w:marBottom w:val="0"/>
          <w:divBdr>
            <w:top w:val="none" w:sz="0" w:space="0" w:color="auto"/>
            <w:left w:val="none" w:sz="0" w:space="0" w:color="auto"/>
            <w:bottom w:val="none" w:sz="0" w:space="0" w:color="auto"/>
            <w:right w:val="none" w:sz="0" w:space="0" w:color="auto"/>
          </w:divBdr>
        </w:div>
        <w:div w:id="1880429152">
          <w:marLeft w:val="1166"/>
          <w:marRight w:val="0"/>
          <w:marTop w:val="77"/>
          <w:marBottom w:val="0"/>
          <w:divBdr>
            <w:top w:val="none" w:sz="0" w:space="0" w:color="auto"/>
            <w:left w:val="none" w:sz="0" w:space="0" w:color="auto"/>
            <w:bottom w:val="none" w:sz="0" w:space="0" w:color="auto"/>
            <w:right w:val="none" w:sz="0" w:space="0" w:color="auto"/>
          </w:divBdr>
        </w:div>
        <w:div w:id="1694578108">
          <w:marLeft w:val="1166"/>
          <w:marRight w:val="0"/>
          <w:marTop w:val="77"/>
          <w:marBottom w:val="0"/>
          <w:divBdr>
            <w:top w:val="none" w:sz="0" w:space="0" w:color="auto"/>
            <w:left w:val="none" w:sz="0" w:space="0" w:color="auto"/>
            <w:bottom w:val="none" w:sz="0" w:space="0" w:color="auto"/>
            <w:right w:val="none" w:sz="0" w:space="0" w:color="auto"/>
          </w:divBdr>
        </w:div>
        <w:div w:id="307511890">
          <w:marLeft w:val="1166"/>
          <w:marRight w:val="0"/>
          <w:marTop w:val="77"/>
          <w:marBottom w:val="0"/>
          <w:divBdr>
            <w:top w:val="none" w:sz="0" w:space="0" w:color="auto"/>
            <w:left w:val="none" w:sz="0" w:space="0" w:color="auto"/>
            <w:bottom w:val="none" w:sz="0" w:space="0" w:color="auto"/>
            <w:right w:val="none" w:sz="0" w:space="0" w:color="auto"/>
          </w:divBdr>
        </w:div>
      </w:divsChild>
    </w:div>
    <w:div w:id="1767143948">
      <w:bodyDiv w:val="1"/>
      <w:marLeft w:val="0"/>
      <w:marRight w:val="0"/>
      <w:marTop w:val="0"/>
      <w:marBottom w:val="0"/>
      <w:divBdr>
        <w:top w:val="none" w:sz="0" w:space="0" w:color="auto"/>
        <w:left w:val="none" w:sz="0" w:space="0" w:color="auto"/>
        <w:bottom w:val="none" w:sz="0" w:space="0" w:color="auto"/>
        <w:right w:val="none" w:sz="0" w:space="0" w:color="auto"/>
      </w:divBdr>
      <w:divsChild>
        <w:div w:id="1758669886">
          <w:marLeft w:val="173"/>
          <w:marRight w:val="0"/>
          <w:marTop w:val="77"/>
          <w:marBottom w:val="0"/>
          <w:divBdr>
            <w:top w:val="none" w:sz="0" w:space="0" w:color="auto"/>
            <w:left w:val="none" w:sz="0" w:space="0" w:color="auto"/>
            <w:bottom w:val="none" w:sz="0" w:space="0" w:color="auto"/>
            <w:right w:val="none" w:sz="0" w:space="0" w:color="auto"/>
          </w:divBdr>
        </w:div>
      </w:divsChild>
    </w:div>
    <w:div w:id="1801339158">
      <w:bodyDiv w:val="1"/>
      <w:marLeft w:val="0"/>
      <w:marRight w:val="0"/>
      <w:marTop w:val="0"/>
      <w:marBottom w:val="0"/>
      <w:divBdr>
        <w:top w:val="none" w:sz="0" w:space="0" w:color="auto"/>
        <w:left w:val="none" w:sz="0" w:space="0" w:color="auto"/>
        <w:bottom w:val="none" w:sz="0" w:space="0" w:color="auto"/>
        <w:right w:val="none" w:sz="0" w:space="0" w:color="auto"/>
      </w:divBdr>
    </w:div>
    <w:div w:id="1829394242">
      <w:bodyDiv w:val="1"/>
      <w:marLeft w:val="0"/>
      <w:marRight w:val="0"/>
      <w:marTop w:val="0"/>
      <w:marBottom w:val="0"/>
      <w:divBdr>
        <w:top w:val="none" w:sz="0" w:space="0" w:color="auto"/>
        <w:left w:val="none" w:sz="0" w:space="0" w:color="auto"/>
        <w:bottom w:val="none" w:sz="0" w:space="0" w:color="auto"/>
        <w:right w:val="none" w:sz="0" w:space="0" w:color="auto"/>
      </w:divBdr>
    </w:div>
    <w:div w:id="1911033496">
      <w:bodyDiv w:val="1"/>
      <w:marLeft w:val="0"/>
      <w:marRight w:val="0"/>
      <w:marTop w:val="0"/>
      <w:marBottom w:val="0"/>
      <w:divBdr>
        <w:top w:val="none" w:sz="0" w:space="0" w:color="auto"/>
        <w:left w:val="none" w:sz="0" w:space="0" w:color="auto"/>
        <w:bottom w:val="none" w:sz="0" w:space="0" w:color="auto"/>
        <w:right w:val="none" w:sz="0" w:space="0" w:color="auto"/>
      </w:divBdr>
      <w:divsChild>
        <w:div w:id="1609700674">
          <w:marLeft w:val="446"/>
          <w:marRight w:val="0"/>
          <w:marTop w:val="0"/>
          <w:marBottom w:val="0"/>
          <w:divBdr>
            <w:top w:val="none" w:sz="0" w:space="0" w:color="auto"/>
            <w:left w:val="none" w:sz="0" w:space="0" w:color="auto"/>
            <w:bottom w:val="none" w:sz="0" w:space="0" w:color="auto"/>
            <w:right w:val="none" w:sz="0" w:space="0" w:color="auto"/>
          </w:divBdr>
        </w:div>
        <w:div w:id="717751820">
          <w:marLeft w:val="446"/>
          <w:marRight w:val="0"/>
          <w:marTop w:val="0"/>
          <w:marBottom w:val="0"/>
          <w:divBdr>
            <w:top w:val="none" w:sz="0" w:space="0" w:color="auto"/>
            <w:left w:val="none" w:sz="0" w:space="0" w:color="auto"/>
            <w:bottom w:val="none" w:sz="0" w:space="0" w:color="auto"/>
            <w:right w:val="none" w:sz="0" w:space="0" w:color="auto"/>
          </w:divBdr>
        </w:div>
      </w:divsChild>
    </w:div>
    <w:div w:id="1928265980">
      <w:bodyDiv w:val="1"/>
      <w:marLeft w:val="0"/>
      <w:marRight w:val="0"/>
      <w:marTop w:val="0"/>
      <w:marBottom w:val="0"/>
      <w:divBdr>
        <w:top w:val="none" w:sz="0" w:space="0" w:color="auto"/>
        <w:left w:val="none" w:sz="0" w:space="0" w:color="auto"/>
        <w:bottom w:val="none" w:sz="0" w:space="0" w:color="auto"/>
        <w:right w:val="none" w:sz="0" w:space="0" w:color="auto"/>
      </w:divBdr>
    </w:div>
    <w:div w:id="1948924361">
      <w:bodyDiv w:val="1"/>
      <w:marLeft w:val="0"/>
      <w:marRight w:val="0"/>
      <w:marTop w:val="0"/>
      <w:marBottom w:val="0"/>
      <w:divBdr>
        <w:top w:val="none" w:sz="0" w:space="0" w:color="auto"/>
        <w:left w:val="none" w:sz="0" w:space="0" w:color="auto"/>
        <w:bottom w:val="none" w:sz="0" w:space="0" w:color="auto"/>
        <w:right w:val="none" w:sz="0" w:space="0" w:color="auto"/>
      </w:divBdr>
    </w:div>
    <w:div w:id="1956978877">
      <w:bodyDiv w:val="1"/>
      <w:marLeft w:val="0"/>
      <w:marRight w:val="0"/>
      <w:marTop w:val="0"/>
      <w:marBottom w:val="0"/>
      <w:divBdr>
        <w:top w:val="none" w:sz="0" w:space="0" w:color="auto"/>
        <w:left w:val="none" w:sz="0" w:space="0" w:color="auto"/>
        <w:bottom w:val="none" w:sz="0" w:space="0" w:color="auto"/>
        <w:right w:val="none" w:sz="0" w:space="0" w:color="auto"/>
      </w:divBdr>
    </w:div>
    <w:div w:id="2058159848">
      <w:bodyDiv w:val="1"/>
      <w:marLeft w:val="0"/>
      <w:marRight w:val="0"/>
      <w:marTop w:val="0"/>
      <w:marBottom w:val="0"/>
      <w:divBdr>
        <w:top w:val="none" w:sz="0" w:space="0" w:color="auto"/>
        <w:left w:val="none" w:sz="0" w:space="0" w:color="auto"/>
        <w:bottom w:val="none" w:sz="0" w:space="0" w:color="auto"/>
        <w:right w:val="none" w:sz="0" w:space="0" w:color="auto"/>
      </w:divBdr>
    </w:div>
    <w:div w:id="21064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8A2F-403C-432C-A1F3-431B3C7D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12592</Words>
  <Characters>71776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
  <LinksUpToDate>false</LinksUpToDate>
  <CharactersWithSpaces>84200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User</cp:lastModifiedBy>
  <cp:revision>2</cp:revision>
  <cp:lastPrinted>2003-08-12T10:02:00Z</cp:lastPrinted>
  <dcterms:created xsi:type="dcterms:W3CDTF">2022-03-08T18:40:00Z</dcterms:created>
  <dcterms:modified xsi:type="dcterms:W3CDTF">2022-03-08T18:40:00Z</dcterms:modified>
</cp:coreProperties>
</file>