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intelligence.xml" ContentType="application/vnd.ms-office.intelligence+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071" w:rsidRDefault="00CA2071" w:rsidP="00D642BD">
      <w:pPr>
        <w:pStyle w:val="Title"/>
        <w:jc w:val="center"/>
      </w:pPr>
    </w:p>
    <w:p w:rsidR="00CA2071" w:rsidRDefault="00CA2071" w:rsidP="00D642BD">
      <w:pPr>
        <w:pStyle w:val="Title"/>
        <w:jc w:val="center"/>
      </w:pPr>
    </w:p>
    <w:p w:rsidR="00214BA1" w:rsidRPr="00E97593" w:rsidRDefault="00DF5049">
      <w:pPr>
        <w:pStyle w:val="Title"/>
        <w:jc w:val="center"/>
      </w:pPr>
      <w:r w:rsidRPr="00333E67">
        <w:rPr>
          <w:noProof/>
          <w:lang w:eastAsia="en-ZA"/>
        </w:rPr>
        <w:drawing>
          <wp:inline distT="0" distB="0" distL="0" distR="0">
            <wp:extent cx="1412631" cy="1412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9589" cy="1429589"/>
                    </a:xfrm>
                    <a:prstGeom prst="rect">
                      <a:avLst/>
                    </a:prstGeom>
                    <a:noFill/>
                  </pic:spPr>
                </pic:pic>
              </a:graphicData>
            </a:graphic>
          </wp:inline>
        </w:drawing>
      </w:r>
    </w:p>
    <w:p w:rsidR="00214BA1" w:rsidRPr="00E97593" w:rsidRDefault="00214BA1" w:rsidP="00D642BD">
      <w:pPr>
        <w:pStyle w:val="Title"/>
        <w:jc w:val="center"/>
      </w:pPr>
    </w:p>
    <w:p w:rsidR="00DC26F7" w:rsidRDefault="00214BA1" w:rsidP="00D642BD">
      <w:pPr>
        <w:pStyle w:val="Title"/>
        <w:jc w:val="center"/>
        <w:rPr>
          <w:sz w:val="48"/>
          <w:szCs w:val="48"/>
        </w:rPr>
      </w:pPr>
      <w:r w:rsidRPr="006D5571">
        <w:rPr>
          <w:sz w:val="48"/>
          <w:szCs w:val="48"/>
        </w:rPr>
        <w:t>Financial and Fiscal Commission</w:t>
      </w:r>
      <w:r w:rsidR="00E630ED" w:rsidRPr="006D5571">
        <w:rPr>
          <w:sz w:val="48"/>
          <w:szCs w:val="48"/>
        </w:rPr>
        <w:t xml:space="preserve"> </w:t>
      </w:r>
    </w:p>
    <w:p w:rsidR="00214BA1" w:rsidRPr="006D5571" w:rsidRDefault="00DC056D" w:rsidP="00D642BD">
      <w:pPr>
        <w:pStyle w:val="Title"/>
        <w:jc w:val="center"/>
        <w:rPr>
          <w:sz w:val="48"/>
          <w:szCs w:val="48"/>
        </w:rPr>
      </w:pPr>
      <w:r w:rsidRPr="006D5571">
        <w:rPr>
          <w:sz w:val="48"/>
          <w:szCs w:val="48"/>
        </w:rPr>
        <w:t xml:space="preserve">Submission on the </w:t>
      </w:r>
      <w:r w:rsidR="00842000" w:rsidRPr="006D5571">
        <w:rPr>
          <w:sz w:val="48"/>
          <w:szCs w:val="48"/>
        </w:rPr>
        <w:t>20</w:t>
      </w:r>
      <w:r w:rsidR="00DA7C0B">
        <w:rPr>
          <w:sz w:val="48"/>
          <w:szCs w:val="48"/>
        </w:rPr>
        <w:t>2</w:t>
      </w:r>
      <w:r w:rsidR="009C5309">
        <w:rPr>
          <w:sz w:val="48"/>
          <w:szCs w:val="48"/>
        </w:rPr>
        <w:t>1</w:t>
      </w:r>
      <w:r w:rsidR="00842000" w:rsidRPr="006D5571">
        <w:rPr>
          <w:sz w:val="48"/>
          <w:szCs w:val="48"/>
        </w:rPr>
        <w:t xml:space="preserve"> </w:t>
      </w:r>
      <w:r w:rsidR="00461B30">
        <w:rPr>
          <w:sz w:val="48"/>
          <w:szCs w:val="48"/>
        </w:rPr>
        <w:t>MTBPS</w:t>
      </w:r>
    </w:p>
    <w:p w:rsidR="00214BA1" w:rsidRPr="0077141C" w:rsidRDefault="00214BA1" w:rsidP="00D642BD">
      <w:pPr>
        <w:pStyle w:val="Subtitle"/>
        <w:jc w:val="center"/>
        <w:rPr>
          <w:rStyle w:val="SubtleEmphasis"/>
        </w:rPr>
      </w:pPr>
      <w:r w:rsidRPr="0077141C">
        <w:rPr>
          <w:rStyle w:val="SubtleEmphasis"/>
        </w:rPr>
        <w:t>For an Equitable Sharing of National Revenue</w:t>
      </w:r>
    </w:p>
    <w:p w:rsidR="00214BA1" w:rsidRPr="00E97593" w:rsidRDefault="00214BA1" w:rsidP="0077141C">
      <w:pPr>
        <w:jc w:val="center"/>
      </w:pPr>
    </w:p>
    <w:p w:rsidR="00214BA1" w:rsidRPr="00E97593" w:rsidRDefault="00214BA1">
      <w:pPr>
        <w:jc w:val="center"/>
      </w:pPr>
    </w:p>
    <w:p w:rsidR="00214BA1" w:rsidRPr="00E97593" w:rsidRDefault="00214BA1">
      <w:pPr>
        <w:jc w:val="center"/>
      </w:pPr>
    </w:p>
    <w:p w:rsidR="00214BA1" w:rsidRPr="00E97593" w:rsidRDefault="002B36AE" w:rsidP="00F54598">
      <w:pPr>
        <w:jc w:val="center"/>
        <w:rPr>
          <w:sz w:val="24"/>
          <w:szCs w:val="24"/>
        </w:rPr>
      </w:pPr>
      <w:r w:rsidRPr="00E97593">
        <w:rPr>
          <w:sz w:val="24"/>
          <w:szCs w:val="24"/>
        </w:rPr>
        <w:fldChar w:fldCharType="begin"/>
      </w:r>
      <w:r w:rsidR="00214BA1" w:rsidRPr="00E97593">
        <w:rPr>
          <w:sz w:val="24"/>
          <w:szCs w:val="24"/>
        </w:rPr>
        <w:instrText xml:space="preserve"> DATE \@ "dd MMMM yyyy" </w:instrText>
      </w:r>
      <w:r w:rsidRPr="00E97593">
        <w:rPr>
          <w:sz w:val="24"/>
          <w:szCs w:val="24"/>
        </w:rPr>
        <w:fldChar w:fldCharType="separate"/>
      </w:r>
      <w:r w:rsidR="000D6199">
        <w:rPr>
          <w:noProof/>
          <w:sz w:val="24"/>
          <w:szCs w:val="24"/>
        </w:rPr>
        <w:t>16 November 2021</w:t>
      </w:r>
      <w:r w:rsidRPr="00E97593">
        <w:rPr>
          <w:sz w:val="24"/>
          <w:szCs w:val="24"/>
        </w:rPr>
        <w:fldChar w:fldCharType="end"/>
      </w:r>
    </w:p>
    <w:p w:rsidR="00214BA1" w:rsidRPr="00E97593" w:rsidRDefault="00214BA1">
      <w:pPr>
        <w:spacing w:after="0" w:line="240" w:lineRule="auto"/>
        <w:jc w:val="center"/>
      </w:pPr>
    </w:p>
    <w:p w:rsidR="00214BA1" w:rsidRPr="00E97593" w:rsidRDefault="00214BA1" w:rsidP="00320A42">
      <w:pPr>
        <w:spacing w:after="0" w:line="240" w:lineRule="auto"/>
        <w:jc w:val="center"/>
      </w:pPr>
    </w:p>
    <w:p w:rsidR="00214BA1" w:rsidRPr="00E97593" w:rsidRDefault="00214BA1" w:rsidP="00320A42">
      <w:pPr>
        <w:spacing w:after="0" w:line="240" w:lineRule="auto"/>
        <w:jc w:val="center"/>
      </w:pPr>
    </w:p>
    <w:p w:rsidR="00214BA1" w:rsidRPr="00E97593" w:rsidRDefault="00214BA1" w:rsidP="00320A42">
      <w:pPr>
        <w:spacing w:after="0" w:line="240" w:lineRule="auto"/>
        <w:jc w:val="center"/>
      </w:pPr>
    </w:p>
    <w:p w:rsidR="00214BA1" w:rsidRDefault="00214BA1" w:rsidP="00320A42">
      <w:pPr>
        <w:spacing w:after="0" w:line="240" w:lineRule="auto"/>
        <w:jc w:val="center"/>
      </w:pPr>
    </w:p>
    <w:p w:rsidR="005B39A6" w:rsidRPr="00E97593" w:rsidRDefault="005B39A6" w:rsidP="00320A42">
      <w:pPr>
        <w:spacing w:after="0" w:line="240" w:lineRule="auto"/>
        <w:jc w:val="center"/>
      </w:pPr>
    </w:p>
    <w:p w:rsidR="008D5D90" w:rsidRPr="008D5D90" w:rsidRDefault="008D5D90" w:rsidP="008D5D90">
      <w:pPr>
        <w:spacing w:after="0" w:line="240" w:lineRule="auto"/>
        <w:jc w:val="center"/>
        <w:rPr>
          <w:color w:val="26724C"/>
          <w:sz w:val="20"/>
          <w:szCs w:val="20"/>
        </w:rPr>
      </w:pPr>
      <w:r w:rsidRPr="008D5D90">
        <w:rPr>
          <w:color w:val="26724C"/>
          <w:sz w:val="20"/>
          <w:szCs w:val="20"/>
        </w:rPr>
        <w:t>Financial and Fiscal Commission</w:t>
      </w:r>
    </w:p>
    <w:p w:rsidR="008D5D90" w:rsidRPr="008D5D90" w:rsidRDefault="008D5D90" w:rsidP="008D5D90">
      <w:pPr>
        <w:spacing w:after="0" w:line="240" w:lineRule="auto"/>
        <w:jc w:val="center"/>
        <w:rPr>
          <w:color w:val="26724C"/>
          <w:sz w:val="20"/>
          <w:szCs w:val="20"/>
        </w:rPr>
      </w:pPr>
      <w:r w:rsidRPr="008D5D90">
        <w:rPr>
          <w:color w:val="26724C"/>
          <w:sz w:val="20"/>
          <w:szCs w:val="20"/>
        </w:rPr>
        <w:t>Montrose Place (2nd Floor), Bekker Street,</w:t>
      </w:r>
    </w:p>
    <w:p w:rsidR="008D5D90" w:rsidRPr="008D5D90" w:rsidRDefault="008D5D90" w:rsidP="008D5D90">
      <w:pPr>
        <w:spacing w:after="0" w:line="240" w:lineRule="auto"/>
        <w:jc w:val="center"/>
        <w:rPr>
          <w:color w:val="26724C"/>
          <w:sz w:val="20"/>
          <w:szCs w:val="20"/>
        </w:rPr>
      </w:pPr>
      <w:r w:rsidRPr="008D5D90">
        <w:rPr>
          <w:color w:val="26724C"/>
          <w:sz w:val="20"/>
          <w:szCs w:val="20"/>
        </w:rPr>
        <w:t>Waterfall Park, Vorna Valley, Midrand,</w:t>
      </w:r>
    </w:p>
    <w:p w:rsidR="008D5D90" w:rsidRPr="008D5D90" w:rsidRDefault="008D5D90" w:rsidP="008D5D90">
      <w:pPr>
        <w:spacing w:after="0" w:line="240" w:lineRule="auto"/>
        <w:jc w:val="center"/>
        <w:rPr>
          <w:color w:val="26724C"/>
          <w:sz w:val="20"/>
          <w:szCs w:val="20"/>
        </w:rPr>
      </w:pPr>
      <w:r w:rsidRPr="008D5D90">
        <w:rPr>
          <w:color w:val="26724C"/>
          <w:sz w:val="20"/>
          <w:szCs w:val="20"/>
        </w:rPr>
        <w:t>Private Bag X69, Halfway House 1685</w:t>
      </w:r>
    </w:p>
    <w:p w:rsidR="00214BA1" w:rsidRPr="00E97593" w:rsidRDefault="008D5D90" w:rsidP="00320A42">
      <w:pPr>
        <w:spacing w:after="0" w:line="240" w:lineRule="auto"/>
        <w:jc w:val="center"/>
        <w:rPr>
          <w:color w:val="26724C"/>
          <w:sz w:val="20"/>
          <w:szCs w:val="20"/>
        </w:rPr>
      </w:pPr>
      <w:r w:rsidRPr="008D5D90">
        <w:rPr>
          <w:color w:val="26724C"/>
          <w:sz w:val="20"/>
          <w:szCs w:val="20"/>
        </w:rPr>
        <w:t>www.ffc.co.za</w:t>
      </w:r>
    </w:p>
    <w:p w:rsidR="00214BA1" w:rsidRPr="00E97593" w:rsidRDefault="00214BA1" w:rsidP="00320A42">
      <w:pPr>
        <w:spacing w:after="0" w:line="240" w:lineRule="auto"/>
        <w:jc w:val="center"/>
        <w:rPr>
          <w:color w:val="26724C"/>
          <w:sz w:val="20"/>
          <w:szCs w:val="20"/>
        </w:rPr>
      </w:pPr>
      <w:r w:rsidRPr="00E97593">
        <w:rPr>
          <w:color w:val="26724C"/>
          <w:sz w:val="20"/>
          <w:szCs w:val="20"/>
        </w:rPr>
        <w:t>Tel: +27 11 207 2300</w:t>
      </w:r>
    </w:p>
    <w:p w:rsidR="00214BA1" w:rsidRPr="00E97593" w:rsidRDefault="00214BA1" w:rsidP="00F0067C">
      <w:pPr>
        <w:spacing w:after="0" w:line="240" w:lineRule="auto"/>
        <w:jc w:val="center"/>
        <w:rPr>
          <w:noProof/>
          <w:color w:val="26724C"/>
          <w:sz w:val="20"/>
          <w:szCs w:val="20"/>
        </w:rPr>
      </w:pPr>
      <w:r w:rsidRPr="00E97593">
        <w:rPr>
          <w:color w:val="26724C"/>
          <w:sz w:val="20"/>
          <w:szCs w:val="20"/>
        </w:rPr>
        <w:t>Fax: +27 86 589 1038</w:t>
      </w:r>
    </w:p>
    <w:p w:rsidR="00381EFF" w:rsidRDefault="00381EFF" w:rsidP="0077141C">
      <w:pPr>
        <w:spacing w:after="0" w:line="240" w:lineRule="auto"/>
        <w:jc w:val="center"/>
        <w:rPr>
          <w:b/>
          <w:bCs/>
          <w:smallCaps/>
          <w:color w:val="194C33"/>
          <w:sz w:val="28"/>
          <w:szCs w:val="28"/>
        </w:rPr>
      </w:pPr>
      <w:r>
        <w:br w:type="page"/>
      </w:r>
    </w:p>
    <w:p w:rsidR="00214BA1" w:rsidRPr="00E97593" w:rsidRDefault="00214BA1" w:rsidP="00350DFC">
      <w:pPr>
        <w:pStyle w:val="Heading1"/>
        <w:numPr>
          <w:ilvl w:val="0"/>
          <w:numId w:val="0"/>
        </w:numPr>
      </w:pPr>
      <w:bookmarkStart w:id="0" w:name="_Toc87715665"/>
      <w:r w:rsidRPr="00E97593">
        <w:lastRenderedPageBreak/>
        <w:t>Contents</w:t>
      </w:r>
      <w:bookmarkEnd w:id="0"/>
    </w:p>
    <w:p w:rsidR="000E6D0A" w:rsidRDefault="002B36AE">
      <w:pPr>
        <w:pStyle w:val="TOC1"/>
        <w:rPr>
          <w:rFonts w:asciiTheme="minorHAnsi" w:eastAsiaTheme="minorEastAsia" w:hAnsiTheme="minorHAnsi" w:cstheme="minorBidi"/>
          <w:noProof/>
          <w:lang w:eastAsia="zh-TW"/>
        </w:rPr>
      </w:pPr>
      <w:r w:rsidRPr="002B36AE">
        <w:rPr>
          <w:sz w:val="24"/>
          <w:szCs w:val="24"/>
        </w:rPr>
        <w:fldChar w:fldCharType="begin"/>
      </w:r>
      <w:r w:rsidR="00214BA1" w:rsidRPr="00E97593">
        <w:rPr>
          <w:sz w:val="24"/>
          <w:szCs w:val="24"/>
        </w:rPr>
        <w:instrText xml:space="preserve"> TOC \o "1-3" \h \z \u </w:instrText>
      </w:r>
      <w:r w:rsidRPr="002B36AE">
        <w:rPr>
          <w:sz w:val="24"/>
          <w:szCs w:val="24"/>
        </w:rPr>
        <w:fldChar w:fldCharType="separate"/>
      </w:r>
      <w:hyperlink w:anchor="_Toc87715665" w:history="1">
        <w:r w:rsidR="000E6D0A" w:rsidRPr="0078618B">
          <w:rPr>
            <w:rStyle w:val="Hyperlink"/>
            <w:noProof/>
          </w:rPr>
          <w:t>Contents</w:t>
        </w:r>
        <w:r w:rsidR="000E6D0A">
          <w:rPr>
            <w:noProof/>
            <w:webHidden/>
          </w:rPr>
          <w:tab/>
        </w:r>
        <w:r>
          <w:rPr>
            <w:noProof/>
            <w:webHidden/>
          </w:rPr>
          <w:fldChar w:fldCharType="begin"/>
        </w:r>
        <w:r w:rsidR="000E6D0A">
          <w:rPr>
            <w:noProof/>
            <w:webHidden/>
          </w:rPr>
          <w:instrText xml:space="preserve"> PAGEREF _Toc87715665 \h </w:instrText>
        </w:r>
        <w:r>
          <w:rPr>
            <w:noProof/>
            <w:webHidden/>
          </w:rPr>
        </w:r>
        <w:r>
          <w:rPr>
            <w:noProof/>
            <w:webHidden/>
          </w:rPr>
          <w:fldChar w:fldCharType="separate"/>
        </w:r>
        <w:r w:rsidR="000E6D0A">
          <w:rPr>
            <w:noProof/>
            <w:webHidden/>
          </w:rPr>
          <w:t>2</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66" w:history="1">
        <w:r w:rsidR="000E6D0A" w:rsidRPr="0078618B">
          <w:rPr>
            <w:rStyle w:val="Hyperlink"/>
            <w:noProof/>
          </w:rPr>
          <w:t>1.</w:t>
        </w:r>
        <w:r w:rsidR="000E6D0A">
          <w:rPr>
            <w:rFonts w:asciiTheme="minorHAnsi" w:eastAsiaTheme="minorEastAsia" w:hAnsiTheme="minorHAnsi" w:cstheme="minorBidi"/>
            <w:noProof/>
            <w:lang w:eastAsia="zh-TW"/>
          </w:rPr>
          <w:tab/>
        </w:r>
        <w:r w:rsidR="000E6D0A" w:rsidRPr="0078618B">
          <w:rPr>
            <w:rStyle w:val="Hyperlink"/>
            <w:noProof/>
          </w:rPr>
          <w:t>Submission Summary</w:t>
        </w:r>
        <w:r w:rsidR="000E6D0A">
          <w:rPr>
            <w:noProof/>
            <w:webHidden/>
          </w:rPr>
          <w:tab/>
        </w:r>
        <w:r>
          <w:rPr>
            <w:noProof/>
            <w:webHidden/>
          </w:rPr>
          <w:fldChar w:fldCharType="begin"/>
        </w:r>
        <w:r w:rsidR="000E6D0A">
          <w:rPr>
            <w:noProof/>
            <w:webHidden/>
          </w:rPr>
          <w:instrText xml:space="preserve"> PAGEREF _Toc87715666 \h </w:instrText>
        </w:r>
        <w:r>
          <w:rPr>
            <w:noProof/>
            <w:webHidden/>
          </w:rPr>
        </w:r>
        <w:r>
          <w:rPr>
            <w:noProof/>
            <w:webHidden/>
          </w:rPr>
          <w:fldChar w:fldCharType="separate"/>
        </w:r>
        <w:r w:rsidR="000E6D0A">
          <w:rPr>
            <w:noProof/>
            <w:webHidden/>
          </w:rPr>
          <w:t>4</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67" w:history="1">
        <w:r w:rsidR="000E6D0A" w:rsidRPr="0078618B">
          <w:rPr>
            <w:rStyle w:val="Hyperlink"/>
            <w:noProof/>
          </w:rPr>
          <w:t>Economic prospect</w:t>
        </w:r>
        <w:r w:rsidR="000E6D0A">
          <w:rPr>
            <w:noProof/>
            <w:webHidden/>
          </w:rPr>
          <w:tab/>
        </w:r>
        <w:r>
          <w:rPr>
            <w:noProof/>
            <w:webHidden/>
          </w:rPr>
          <w:fldChar w:fldCharType="begin"/>
        </w:r>
        <w:r w:rsidR="000E6D0A">
          <w:rPr>
            <w:noProof/>
            <w:webHidden/>
          </w:rPr>
          <w:instrText xml:space="preserve"> PAGEREF _Toc87715667 \h </w:instrText>
        </w:r>
        <w:r>
          <w:rPr>
            <w:noProof/>
            <w:webHidden/>
          </w:rPr>
        </w:r>
        <w:r>
          <w:rPr>
            <w:noProof/>
            <w:webHidden/>
          </w:rPr>
          <w:fldChar w:fldCharType="separate"/>
        </w:r>
        <w:r w:rsidR="000E6D0A">
          <w:rPr>
            <w:noProof/>
            <w:webHidden/>
          </w:rPr>
          <w:t>4</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68" w:history="1">
        <w:r w:rsidR="000E6D0A" w:rsidRPr="0078618B">
          <w:rPr>
            <w:rStyle w:val="Hyperlink"/>
            <w:noProof/>
          </w:rPr>
          <w:t>Tax collection surplus and expenditure adjustments</w:t>
        </w:r>
        <w:r w:rsidR="000E6D0A">
          <w:rPr>
            <w:noProof/>
            <w:webHidden/>
          </w:rPr>
          <w:tab/>
        </w:r>
        <w:r>
          <w:rPr>
            <w:noProof/>
            <w:webHidden/>
          </w:rPr>
          <w:fldChar w:fldCharType="begin"/>
        </w:r>
        <w:r w:rsidR="000E6D0A">
          <w:rPr>
            <w:noProof/>
            <w:webHidden/>
          </w:rPr>
          <w:instrText xml:space="preserve"> PAGEREF _Toc87715668 \h </w:instrText>
        </w:r>
        <w:r>
          <w:rPr>
            <w:noProof/>
            <w:webHidden/>
          </w:rPr>
        </w:r>
        <w:r>
          <w:rPr>
            <w:noProof/>
            <w:webHidden/>
          </w:rPr>
          <w:fldChar w:fldCharType="separate"/>
        </w:r>
        <w:r w:rsidR="000E6D0A">
          <w:rPr>
            <w:noProof/>
            <w:webHidden/>
          </w:rPr>
          <w:t>4</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69" w:history="1">
        <w:r w:rsidR="000E6D0A" w:rsidRPr="0078618B">
          <w:rPr>
            <w:rStyle w:val="Hyperlink"/>
            <w:noProof/>
          </w:rPr>
          <w:t>Debt and debt-service costs</w:t>
        </w:r>
        <w:r w:rsidR="000E6D0A">
          <w:rPr>
            <w:noProof/>
            <w:webHidden/>
          </w:rPr>
          <w:tab/>
        </w:r>
        <w:r>
          <w:rPr>
            <w:noProof/>
            <w:webHidden/>
          </w:rPr>
          <w:fldChar w:fldCharType="begin"/>
        </w:r>
        <w:r w:rsidR="000E6D0A">
          <w:rPr>
            <w:noProof/>
            <w:webHidden/>
          </w:rPr>
          <w:instrText xml:space="preserve"> PAGEREF _Toc87715669 \h </w:instrText>
        </w:r>
        <w:r>
          <w:rPr>
            <w:noProof/>
            <w:webHidden/>
          </w:rPr>
        </w:r>
        <w:r>
          <w:rPr>
            <w:noProof/>
            <w:webHidden/>
          </w:rPr>
          <w:fldChar w:fldCharType="separate"/>
        </w:r>
        <w:r w:rsidR="000E6D0A">
          <w:rPr>
            <w:noProof/>
            <w:webHidden/>
          </w:rPr>
          <w:t>5</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0" w:history="1">
        <w:r w:rsidR="000E6D0A" w:rsidRPr="0078618B">
          <w:rPr>
            <w:rStyle w:val="Hyperlink"/>
            <w:noProof/>
          </w:rPr>
          <w:t>Investment for future growth</w:t>
        </w:r>
        <w:r w:rsidR="000E6D0A">
          <w:rPr>
            <w:noProof/>
            <w:webHidden/>
          </w:rPr>
          <w:tab/>
        </w:r>
        <w:r>
          <w:rPr>
            <w:noProof/>
            <w:webHidden/>
          </w:rPr>
          <w:fldChar w:fldCharType="begin"/>
        </w:r>
        <w:r w:rsidR="000E6D0A">
          <w:rPr>
            <w:noProof/>
            <w:webHidden/>
          </w:rPr>
          <w:instrText xml:space="preserve"> PAGEREF _Toc87715670 \h </w:instrText>
        </w:r>
        <w:r>
          <w:rPr>
            <w:noProof/>
            <w:webHidden/>
          </w:rPr>
        </w:r>
        <w:r>
          <w:rPr>
            <w:noProof/>
            <w:webHidden/>
          </w:rPr>
          <w:fldChar w:fldCharType="separate"/>
        </w:r>
        <w:r w:rsidR="000E6D0A">
          <w:rPr>
            <w:noProof/>
            <w:webHidden/>
          </w:rPr>
          <w:t>5</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1" w:history="1">
        <w:r w:rsidR="000E6D0A" w:rsidRPr="0078618B">
          <w:rPr>
            <w:rStyle w:val="Hyperlink"/>
            <w:noProof/>
          </w:rPr>
          <w:t>Expenditure management reforms</w:t>
        </w:r>
        <w:r w:rsidR="000E6D0A">
          <w:rPr>
            <w:noProof/>
            <w:webHidden/>
          </w:rPr>
          <w:tab/>
        </w:r>
        <w:r>
          <w:rPr>
            <w:noProof/>
            <w:webHidden/>
          </w:rPr>
          <w:fldChar w:fldCharType="begin"/>
        </w:r>
        <w:r w:rsidR="000E6D0A">
          <w:rPr>
            <w:noProof/>
            <w:webHidden/>
          </w:rPr>
          <w:instrText xml:space="preserve"> PAGEREF _Toc87715671 \h </w:instrText>
        </w:r>
        <w:r>
          <w:rPr>
            <w:noProof/>
            <w:webHidden/>
          </w:rPr>
        </w:r>
        <w:r>
          <w:rPr>
            <w:noProof/>
            <w:webHidden/>
          </w:rPr>
          <w:fldChar w:fldCharType="separate"/>
        </w:r>
        <w:r w:rsidR="000E6D0A">
          <w:rPr>
            <w:noProof/>
            <w:webHidden/>
          </w:rPr>
          <w:t>5</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72" w:history="1">
        <w:r w:rsidR="000E6D0A" w:rsidRPr="0078618B">
          <w:rPr>
            <w:rStyle w:val="Hyperlink"/>
            <w:noProof/>
          </w:rPr>
          <w:t>2.</w:t>
        </w:r>
        <w:r w:rsidR="000E6D0A">
          <w:rPr>
            <w:rFonts w:asciiTheme="minorHAnsi" w:eastAsiaTheme="minorEastAsia" w:hAnsiTheme="minorHAnsi" w:cstheme="minorBidi"/>
            <w:noProof/>
            <w:lang w:eastAsia="zh-TW"/>
          </w:rPr>
          <w:tab/>
        </w:r>
        <w:r w:rsidR="000E6D0A" w:rsidRPr="0078618B">
          <w:rPr>
            <w:rStyle w:val="Hyperlink"/>
            <w:noProof/>
          </w:rPr>
          <w:t>Economic Overview</w:t>
        </w:r>
        <w:r w:rsidR="000E6D0A">
          <w:rPr>
            <w:noProof/>
            <w:webHidden/>
          </w:rPr>
          <w:tab/>
        </w:r>
        <w:r>
          <w:rPr>
            <w:noProof/>
            <w:webHidden/>
          </w:rPr>
          <w:fldChar w:fldCharType="begin"/>
        </w:r>
        <w:r w:rsidR="000E6D0A">
          <w:rPr>
            <w:noProof/>
            <w:webHidden/>
          </w:rPr>
          <w:instrText xml:space="preserve"> PAGEREF _Toc87715672 \h </w:instrText>
        </w:r>
        <w:r>
          <w:rPr>
            <w:noProof/>
            <w:webHidden/>
          </w:rPr>
        </w:r>
        <w:r>
          <w:rPr>
            <w:noProof/>
            <w:webHidden/>
          </w:rPr>
          <w:fldChar w:fldCharType="separate"/>
        </w:r>
        <w:r w:rsidR="000E6D0A">
          <w:rPr>
            <w:noProof/>
            <w:webHidden/>
          </w:rPr>
          <w:t>6</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3" w:history="1">
        <w:r w:rsidR="000E6D0A" w:rsidRPr="0078618B">
          <w:rPr>
            <w:rStyle w:val="Hyperlink"/>
            <w:noProof/>
          </w:rPr>
          <w:t>The global view</w:t>
        </w:r>
        <w:r w:rsidR="000E6D0A">
          <w:rPr>
            <w:noProof/>
            <w:webHidden/>
          </w:rPr>
          <w:tab/>
        </w:r>
        <w:r>
          <w:rPr>
            <w:noProof/>
            <w:webHidden/>
          </w:rPr>
          <w:fldChar w:fldCharType="begin"/>
        </w:r>
        <w:r w:rsidR="000E6D0A">
          <w:rPr>
            <w:noProof/>
            <w:webHidden/>
          </w:rPr>
          <w:instrText xml:space="preserve"> PAGEREF _Toc87715673 \h </w:instrText>
        </w:r>
        <w:r>
          <w:rPr>
            <w:noProof/>
            <w:webHidden/>
          </w:rPr>
        </w:r>
        <w:r>
          <w:rPr>
            <w:noProof/>
            <w:webHidden/>
          </w:rPr>
          <w:fldChar w:fldCharType="separate"/>
        </w:r>
        <w:r w:rsidR="000E6D0A">
          <w:rPr>
            <w:noProof/>
            <w:webHidden/>
          </w:rPr>
          <w:t>6</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4" w:history="1">
        <w:r w:rsidR="000E6D0A" w:rsidRPr="0078618B">
          <w:rPr>
            <w:rStyle w:val="Hyperlink"/>
            <w:noProof/>
          </w:rPr>
          <w:t>The domestic view</w:t>
        </w:r>
        <w:r w:rsidR="000E6D0A">
          <w:rPr>
            <w:noProof/>
            <w:webHidden/>
          </w:rPr>
          <w:tab/>
        </w:r>
        <w:r>
          <w:rPr>
            <w:noProof/>
            <w:webHidden/>
          </w:rPr>
          <w:fldChar w:fldCharType="begin"/>
        </w:r>
        <w:r w:rsidR="000E6D0A">
          <w:rPr>
            <w:noProof/>
            <w:webHidden/>
          </w:rPr>
          <w:instrText xml:space="preserve"> PAGEREF _Toc87715674 \h </w:instrText>
        </w:r>
        <w:r>
          <w:rPr>
            <w:noProof/>
            <w:webHidden/>
          </w:rPr>
        </w:r>
        <w:r>
          <w:rPr>
            <w:noProof/>
            <w:webHidden/>
          </w:rPr>
          <w:fldChar w:fldCharType="separate"/>
        </w:r>
        <w:r w:rsidR="000E6D0A">
          <w:rPr>
            <w:noProof/>
            <w:webHidden/>
          </w:rPr>
          <w:t>8</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5" w:history="1">
        <w:r w:rsidR="000E6D0A" w:rsidRPr="0078618B">
          <w:rPr>
            <w:rStyle w:val="Hyperlink"/>
            <w:noProof/>
          </w:rPr>
          <w:t>Recommendations</w:t>
        </w:r>
        <w:r w:rsidR="000E6D0A">
          <w:rPr>
            <w:noProof/>
            <w:webHidden/>
          </w:rPr>
          <w:tab/>
        </w:r>
        <w:r>
          <w:rPr>
            <w:noProof/>
            <w:webHidden/>
          </w:rPr>
          <w:fldChar w:fldCharType="begin"/>
        </w:r>
        <w:r w:rsidR="000E6D0A">
          <w:rPr>
            <w:noProof/>
            <w:webHidden/>
          </w:rPr>
          <w:instrText xml:space="preserve"> PAGEREF _Toc87715675 \h </w:instrText>
        </w:r>
        <w:r>
          <w:rPr>
            <w:noProof/>
            <w:webHidden/>
          </w:rPr>
        </w:r>
        <w:r>
          <w:rPr>
            <w:noProof/>
            <w:webHidden/>
          </w:rPr>
          <w:fldChar w:fldCharType="separate"/>
        </w:r>
        <w:r w:rsidR="000E6D0A">
          <w:rPr>
            <w:noProof/>
            <w:webHidden/>
          </w:rPr>
          <w:t>11</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76" w:history="1">
        <w:r w:rsidR="000E6D0A" w:rsidRPr="0078618B">
          <w:rPr>
            <w:rStyle w:val="Hyperlink"/>
            <w:rFonts w:eastAsiaTheme="majorEastAsia"/>
            <w:noProof/>
          </w:rPr>
          <w:t>3.</w:t>
        </w:r>
        <w:r w:rsidR="000E6D0A">
          <w:rPr>
            <w:rFonts w:asciiTheme="minorHAnsi" w:eastAsiaTheme="minorEastAsia" w:hAnsiTheme="minorHAnsi" w:cstheme="minorBidi"/>
            <w:noProof/>
            <w:lang w:eastAsia="zh-TW"/>
          </w:rPr>
          <w:tab/>
        </w:r>
        <w:r w:rsidR="000E6D0A" w:rsidRPr="0078618B">
          <w:rPr>
            <w:rStyle w:val="Hyperlink"/>
            <w:rFonts w:eastAsiaTheme="majorEastAsia"/>
            <w:noProof/>
          </w:rPr>
          <w:t>Fiscal Outlook</w:t>
        </w:r>
        <w:r w:rsidR="000E6D0A">
          <w:rPr>
            <w:noProof/>
            <w:webHidden/>
          </w:rPr>
          <w:tab/>
        </w:r>
        <w:r>
          <w:rPr>
            <w:noProof/>
            <w:webHidden/>
          </w:rPr>
          <w:fldChar w:fldCharType="begin"/>
        </w:r>
        <w:r w:rsidR="000E6D0A">
          <w:rPr>
            <w:noProof/>
            <w:webHidden/>
          </w:rPr>
          <w:instrText xml:space="preserve"> PAGEREF _Toc87715676 \h </w:instrText>
        </w:r>
        <w:r>
          <w:rPr>
            <w:noProof/>
            <w:webHidden/>
          </w:rPr>
        </w:r>
        <w:r>
          <w:rPr>
            <w:noProof/>
            <w:webHidden/>
          </w:rPr>
          <w:fldChar w:fldCharType="separate"/>
        </w:r>
        <w:r w:rsidR="000E6D0A">
          <w:rPr>
            <w:noProof/>
            <w:webHidden/>
          </w:rPr>
          <w:t>11</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7" w:history="1">
        <w:r w:rsidR="000E6D0A" w:rsidRPr="0078618B">
          <w:rPr>
            <w:rStyle w:val="Hyperlink"/>
            <w:noProof/>
          </w:rPr>
          <w:t>Revenue Performance and Outlook</w:t>
        </w:r>
        <w:r w:rsidR="000E6D0A">
          <w:rPr>
            <w:noProof/>
            <w:webHidden/>
          </w:rPr>
          <w:tab/>
        </w:r>
        <w:r>
          <w:rPr>
            <w:noProof/>
            <w:webHidden/>
          </w:rPr>
          <w:fldChar w:fldCharType="begin"/>
        </w:r>
        <w:r w:rsidR="000E6D0A">
          <w:rPr>
            <w:noProof/>
            <w:webHidden/>
          </w:rPr>
          <w:instrText xml:space="preserve"> PAGEREF _Toc87715677 \h </w:instrText>
        </w:r>
        <w:r>
          <w:rPr>
            <w:noProof/>
            <w:webHidden/>
          </w:rPr>
        </w:r>
        <w:r>
          <w:rPr>
            <w:noProof/>
            <w:webHidden/>
          </w:rPr>
          <w:fldChar w:fldCharType="separate"/>
        </w:r>
        <w:r w:rsidR="000E6D0A">
          <w:rPr>
            <w:noProof/>
            <w:webHidden/>
          </w:rPr>
          <w:t>11</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8" w:history="1">
        <w:r w:rsidR="000E6D0A" w:rsidRPr="0078618B">
          <w:rPr>
            <w:rStyle w:val="Hyperlink"/>
            <w:noProof/>
          </w:rPr>
          <w:t>The adjusted fiscal framework</w:t>
        </w:r>
        <w:r w:rsidR="000E6D0A">
          <w:rPr>
            <w:noProof/>
            <w:webHidden/>
          </w:rPr>
          <w:tab/>
        </w:r>
        <w:r>
          <w:rPr>
            <w:noProof/>
            <w:webHidden/>
          </w:rPr>
          <w:fldChar w:fldCharType="begin"/>
        </w:r>
        <w:r w:rsidR="000E6D0A">
          <w:rPr>
            <w:noProof/>
            <w:webHidden/>
          </w:rPr>
          <w:instrText xml:space="preserve"> PAGEREF _Toc87715678 \h </w:instrText>
        </w:r>
        <w:r>
          <w:rPr>
            <w:noProof/>
            <w:webHidden/>
          </w:rPr>
        </w:r>
        <w:r>
          <w:rPr>
            <w:noProof/>
            <w:webHidden/>
          </w:rPr>
          <w:fldChar w:fldCharType="separate"/>
        </w:r>
        <w:r w:rsidR="000E6D0A">
          <w:rPr>
            <w:noProof/>
            <w:webHidden/>
          </w:rPr>
          <w:t>13</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79" w:history="1">
        <w:r w:rsidR="000E6D0A" w:rsidRPr="0078618B">
          <w:rPr>
            <w:rStyle w:val="Hyperlink"/>
            <w:noProof/>
          </w:rPr>
          <w:t>Highlights of the Tax Matters and Revenue Laws Amendment Bills</w:t>
        </w:r>
        <w:r w:rsidR="000E6D0A">
          <w:rPr>
            <w:noProof/>
            <w:webHidden/>
          </w:rPr>
          <w:tab/>
        </w:r>
        <w:r>
          <w:rPr>
            <w:noProof/>
            <w:webHidden/>
          </w:rPr>
          <w:fldChar w:fldCharType="begin"/>
        </w:r>
        <w:r w:rsidR="000E6D0A">
          <w:rPr>
            <w:noProof/>
            <w:webHidden/>
          </w:rPr>
          <w:instrText xml:space="preserve"> PAGEREF _Toc87715679 \h </w:instrText>
        </w:r>
        <w:r>
          <w:rPr>
            <w:noProof/>
            <w:webHidden/>
          </w:rPr>
        </w:r>
        <w:r>
          <w:rPr>
            <w:noProof/>
            <w:webHidden/>
          </w:rPr>
          <w:fldChar w:fldCharType="separate"/>
        </w:r>
        <w:r w:rsidR="000E6D0A">
          <w:rPr>
            <w:noProof/>
            <w:webHidden/>
          </w:rPr>
          <w:t>14</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80" w:history="1">
        <w:r w:rsidR="000E6D0A" w:rsidRPr="0078618B">
          <w:rPr>
            <w:rStyle w:val="Hyperlink"/>
            <w:noProof/>
          </w:rPr>
          <w:t>Recommendations</w:t>
        </w:r>
        <w:r w:rsidR="000E6D0A">
          <w:rPr>
            <w:noProof/>
            <w:webHidden/>
          </w:rPr>
          <w:tab/>
        </w:r>
        <w:r>
          <w:rPr>
            <w:noProof/>
            <w:webHidden/>
          </w:rPr>
          <w:fldChar w:fldCharType="begin"/>
        </w:r>
        <w:r w:rsidR="000E6D0A">
          <w:rPr>
            <w:noProof/>
            <w:webHidden/>
          </w:rPr>
          <w:instrText xml:space="preserve"> PAGEREF _Toc87715680 \h </w:instrText>
        </w:r>
        <w:r>
          <w:rPr>
            <w:noProof/>
            <w:webHidden/>
          </w:rPr>
        </w:r>
        <w:r>
          <w:rPr>
            <w:noProof/>
            <w:webHidden/>
          </w:rPr>
          <w:fldChar w:fldCharType="separate"/>
        </w:r>
        <w:r w:rsidR="000E6D0A">
          <w:rPr>
            <w:noProof/>
            <w:webHidden/>
          </w:rPr>
          <w:t>15</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81" w:history="1">
        <w:r w:rsidR="000E6D0A" w:rsidRPr="0078618B">
          <w:rPr>
            <w:rStyle w:val="Hyperlink"/>
            <w:noProof/>
          </w:rPr>
          <w:t>4.</w:t>
        </w:r>
        <w:r w:rsidR="000E6D0A">
          <w:rPr>
            <w:rFonts w:asciiTheme="minorHAnsi" w:eastAsiaTheme="minorEastAsia" w:hAnsiTheme="minorHAnsi" w:cstheme="minorBidi"/>
            <w:noProof/>
            <w:lang w:eastAsia="zh-TW"/>
          </w:rPr>
          <w:tab/>
        </w:r>
        <w:r w:rsidR="000E6D0A" w:rsidRPr="0078618B">
          <w:rPr>
            <w:rStyle w:val="Hyperlink"/>
            <w:noProof/>
          </w:rPr>
          <w:t>2021 Adjustment Appropriation Bill</w:t>
        </w:r>
        <w:r w:rsidR="000E6D0A">
          <w:rPr>
            <w:noProof/>
            <w:webHidden/>
          </w:rPr>
          <w:tab/>
        </w:r>
        <w:r>
          <w:rPr>
            <w:noProof/>
            <w:webHidden/>
          </w:rPr>
          <w:fldChar w:fldCharType="begin"/>
        </w:r>
        <w:r w:rsidR="000E6D0A">
          <w:rPr>
            <w:noProof/>
            <w:webHidden/>
          </w:rPr>
          <w:instrText xml:space="preserve"> PAGEREF _Toc87715681 \h </w:instrText>
        </w:r>
        <w:r>
          <w:rPr>
            <w:noProof/>
            <w:webHidden/>
          </w:rPr>
        </w:r>
        <w:r>
          <w:rPr>
            <w:noProof/>
            <w:webHidden/>
          </w:rPr>
          <w:fldChar w:fldCharType="separate"/>
        </w:r>
        <w:r w:rsidR="000E6D0A">
          <w:rPr>
            <w:noProof/>
            <w:webHidden/>
          </w:rPr>
          <w:t>16</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82" w:history="1">
        <w:r w:rsidR="000E6D0A" w:rsidRPr="0078618B">
          <w:rPr>
            <w:rStyle w:val="Hyperlink"/>
            <w:rFonts w:eastAsia="Times New Roman"/>
            <w:noProof/>
          </w:rPr>
          <w:t>Recommendations</w:t>
        </w:r>
        <w:r w:rsidR="000E6D0A">
          <w:rPr>
            <w:noProof/>
            <w:webHidden/>
          </w:rPr>
          <w:tab/>
        </w:r>
        <w:r>
          <w:rPr>
            <w:noProof/>
            <w:webHidden/>
          </w:rPr>
          <w:fldChar w:fldCharType="begin"/>
        </w:r>
        <w:r w:rsidR="000E6D0A">
          <w:rPr>
            <w:noProof/>
            <w:webHidden/>
          </w:rPr>
          <w:instrText xml:space="preserve"> PAGEREF _Toc87715682 \h </w:instrText>
        </w:r>
        <w:r>
          <w:rPr>
            <w:noProof/>
            <w:webHidden/>
          </w:rPr>
        </w:r>
        <w:r>
          <w:rPr>
            <w:noProof/>
            <w:webHidden/>
          </w:rPr>
          <w:fldChar w:fldCharType="separate"/>
        </w:r>
        <w:r w:rsidR="000E6D0A">
          <w:rPr>
            <w:noProof/>
            <w:webHidden/>
          </w:rPr>
          <w:t>18</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83" w:history="1">
        <w:r w:rsidR="000E6D0A" w:rsidRPr="0078618B">
          <w:rPr>
            <w:rStyle w:val="Hyperlink"/>
            <w:rFonts w:eastAsiaTheme="majorEastAsia"/>
            <w:noProof/>
          </w:rPr>
          <w:t>5.</w:t>
        </w:r>
        <w:r w:rsidR="000E6D0A">
          <w:rPr>
            <w:rFonts w:asciiTheme="minorHAnsi" w:eastAsiaTheme="minorEastAsia" w:hAnsiTheme="minorHAnsi" w:cstheme="minorBidi"/>
            <w:noProof/>
            <w:lang w:eastAsia="zh-TW"/>
          </w:rPr>
          <w:tab/>
        </w:r>
        <w:r w:rsidR="000E6D0A" w:rsidRPr="0078618B">
          <w:rPr>
            <w:rStyle w:val="Hyperlink"/>
            <w:noProof/>
          </w:rPr>
          <w:t>2021 Division of Revenue Amendment Bill – Provinces</w:t>
        </w:r>
        <w:r w:rsidR="000E6D0A">
          <w:rPr>
            <w:noProof/>
            <w:webHidden/>
          </w:rPr>
          <w:tab/>
        </w:r>
        <w:r>
          <w:rPr>
            <w:noProof/>
            <w:webHidden/>
          </w:rPr>
          <w:fldChar w:fldCharType="begin"/>
        </w:r>
        <w:r w:rsidR="000E6D0A">
          <w:rPr>
            <w:noProof/>
            <w:webHidden/>
          </w:rPr>
          <w:instrText xml:space="preserve"> PAGEREF _Toc87715683 \h </w:instrText>
        </w:r>
        <w:r>
          <w:rPr>
            <w:noProof/>
            <w:webHidden/>
          </w:rPr>
        </w:r>
        <w:r>
          <w:rPr>
            <w:noProof/>
            <w:webHidden/>
          </w:rPr>
          <w:fldChar w:fldCharType="separate"/>
        </w:r>
        <w:r w:rsidR="000E6D0A">
          <w:rPr>
            <w:noProof/>
            <w:webHidden/>
          </w:rPr>
          <w:t>19</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84" w:history="1">
        <w:r w:rsidR="000E6D0A" w:rsidRPr="0078618B">
          <w:rPr>
            <w:rStyle w:val="Hyperlink"/>
            <w:rFonts w:eastAsiaTheme="majorEastAsia"/>
            <w:noProof/>
          </w:rPr>
          <w:t>Overview of provincial government allocation</w:t>
        </w:r>
        <w:r w:rsidR="000E6D0A">
          <w:rPr>
            <w:noProof/>
            <w:webHidden/>
          </w:rPr>
          <w:tab/>
        </w:r>
        <w:r>
          <w:rPr>
            <w:noProof/>
            <w:webHidden/>
          </w:rPr>
          <w:fldChar w:fldCharType="begin"/>
        </w:r>
        <w:r w:rsidR="000E6D0A">
          <w:rPr>
            <w:noProof/>
            <w:webHidden/>
          </w:rPr>
          <w:instrText xml:space="preserve"> PAGEREF _Toc87715684 \h </w:instrText>
        </w:r>
        <w:r>
          <w:rPr>
            <w:noProof/>
            <w:webHidden/>
          </w:rPr>
        </w:r>
        <w:r>
          <w:rPr>
            <w:noProof/>
            <w:webHidden/>
          </w:rPr>
          <w:fldChar w:fldCharType="separate"/>
        </w:r>
        <w:r w:rsidR="000E6D0A">
          <w:rPr>
            <w:noProof/>
            <w:webHidden/>
          </w:rPr>
          <w:t>19</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85" w:history="1">
        <w:r w:rsidR="000E6D0A" w:rsidRPr="0078618B">
          <w:rPr>
            <w:rStyle w:val="Hyperlink"/>
            <w:noProof/>
          </w:rPr>
          <w:t>Recommendations</w:t>
        </w:r>
        <w:r w:rsidR="000E6D0A">
          <w:rPr>
            <w:noProof/>
            <w:webHidden/>
          </w:rPr>
          <w:tab/>
        </w:r>
        <w:r>
          <w:rPr>
            <w:noProof/>
            <w:webHidden/>
          </w:rPr>
          <w:fldChar w:fldCharType="begin"/>
        </w:r>
        <w:r w:rsidR="000E6D0A">
          <w:rPr>
            <w:noProof/>
            <w:webHidden/>
          </w:rPr>
          <w:instrText xml:space="preserve"> PAGEREF _Toc87715685 \h </w:instrText>
        </w:r>
        <w:r>
          <w:rPr>
            <w:noProof/>
            <w:webHidden/>
          </w:rPr>
        </w:r>
        <w:r>
          <w:rPr>
            <w:noProof/>
            <w:webHidden/>
          </w:rPr>
          <w:fldChar w:fldCharType="separate"/>
        </w:r>
        <w:r w:rsidR="000E6D0A">
          <w:rPr>
            <w:noProof/>
            <w:webHidden/>
          </w:rPr>
          <w:t>20</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86" w:history="1">
        <w:r w:rsidR="000E6D0A" w:rsidRPr="0078618B">
          <w:rPr>
            <w:rStyle w:val="Hyperlink"/>
            <w:noProof/>
          </w:rPr>
          <w:t>6.</w:t>
        </w:r>
        <w:r w:rsidR="000E6D0A">
          <w:rPr>
            <w:rFonts w:asciiTheme="minorHAnsi" w:eastAsiaTheme="minorEastAsia" w:hAnsiTheme="minorHAnsi" w:cstheme="minorBidi"/>
            <w:noProof/>
            <w:lang w:eastAsia="zh-TW"/>
          </w:rPr>
          <w:tab/>
        </w:r>
        <w:r w:rsidR="000E6D0A" w:rsidRPr="0078618B">
          <w:rPr>
            <w:rStyle w:val="Hyperlink"/>
            <w:noProof/>
          </w:rPr>
          <w:t>2021 Division of Revenue Amendment Bill – Local Government</w:t>
        </w:r>
        <w:r w:rsidR="000E6D0A">
          <w:rPr>
            <w:noProof/>
            <w:webHidden/>
          </w:rPr>
          <w:tab/>
        </w:r>
        <w:r>
          <w:rPr>
            <w:noProof/>
            <w:webHidden/>
          </w:rPr>
          <w:fldChar w:fldCharType="begin"/>
        </w:r>
        <w:r w:rsidR="000E6D0A">
          <w:rPr>
            <w:noProof/>
            <w:webHidden/>
          </w:rPr>
          <w:instrText xml:space="preserve"> PAGEREF _Toc87715686 \h </w:instrText>
        </w:r>
        <w:r>
          <w:rPr>
            <w:noProof/>
            <w:webHidden/>
          </w:rPr>
        </w:r>
        <w:r>
          <w:rPr>
            <w:noProof/>
            <w:webHidden/>
          </w:rPr>
          <w:fldChar w:fldCharType="separate"/>
        </w:r>
        <w:r w:rsidR="000E6D0A">
          <w:rPr>
            <w:noProof/>
            <w:webHidden/>
          </w:rPr>
          <w:t>20</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87" w:history="1">
        <w:r w:rsidR="000E6D0A" w:rsidRPr="0078618B">
          <w:rPr>
            <w:rStyle w:val="Hyperlink"/>
            <w:rFonts w:eastAsiaTheme="majorEastAsia"/>
            <w:noProof/>
          </w:rPr>
          <w:t>Local government fiscal framework changes</w:t>
        </w:r>
        <w:r w:rsidR="000E6D0A">
          <w:rPr>
            <w:noProof/>
            <w:webHidden/>
          </w:rPr>
          <w:tab/>
        </w:r>
        <w:r>
          <w:rPr>
            <w:noProof/>
            <w:webHidden/>
          </w:rPr>
          <w:fldChar w:fldCharType="begin"/>
        </w:r>
        <w:r w:rsidR="000E6D0A">
          <w:rPr>
            <w:noProof/>
            <w:webHidden/>
          </w:rPr>
          <w:instrText xml:space="preserve"> PAGEREF _Toc87715687 \h </w:instrText>
        </w:r>
        <w:r>
          <w:rPr>
            <w:noProof/>
            <w:webHidden/>
          </w:rPr>
        </w:r>
        <w:r>
          <w:rPr>
            <w:noProof/>
            <w:webHidden/>
          </w:rPr>
          <w:fldChar w:fldCharType="separate"/>
        </w:r>
        <w:r w:rsidR="000E6D0A">
          <w:rPr>
            <w:noProof/>
            <w:webHidden/>
          </w:rPr>
          <w:t>21</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88" w:history="1">
        <w:r w:rsidR="000E6D0A" w:rsidRPr="0078618B">
          <w:rPr>
            <w:rStyle w:val="Hyperlink"/>
            <w:noProof/>
          </w:rPr>
          <w:t>The local government equitable share</w:t>
        </w:r>
        <w:r w:rsidR="000E6D0A">
          <w:rPr>
            <w:noProof/>
            <w:webHidden/>
          </w:rPr>
          <w:tab/>
        </w:r>
        <w:r>
          <w:rPr>
            <w:noProof/>
            <w:webHidden/>
          </w:rPr>
          <w:fldChar w:fldCharType="begin"/>
        </w:r>
        <w:r w:rsidR="000E6D0A">
          <w:rPr>
            <w:noProof/>
            <w:webHidden/>
          </w:rPr>
          <w:instrText xml:space="preserve"> PAGEREF _Toc87715688 \h </w:instrText>
        </w:r>
        <w:r>
          <w:rPr>
            <w:noProof/>
            <w:webHidden/>
          </w:rPr>
        </w:r>
        <w:r>
          <w:rPr>
            <w:noProof/>
            <w:webHidden/>
          </w:rPr>
          <w:fldChar w:fldCharType="separate"/>
        </w:r>
        <w:r w:rsidR="000E6D0A">
          <w:rPr>
            <w:noProof/>
            <w:webHidden/>
          </w:rPr>
          <w:t>22</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89" w:history="1">
        <w:r w:rsidR="000E6D0A" w:rsidRPr="0078618B">
          <w:rPr>
            <w:rStyle w:val="Hyperlink"/>
            <w:noProof/>
          </w:rPr>
          <w:t>Local Government conditional grants</w:t>
        </w:r>
        <w:r w:rsidR="000E6D0A">
          <w:rPr>
            <w:noProof/>
            <w:webHidden/>
          </w:rPr>
          <w:tab/>
        </w:r>
        <w:r>
          <w:rPr>
            <w:noProof/>
            <w:webHidden/>
          </w:rPr>
          <w:fldChar w:fldCharType="begin"/>
        </w:r>
        <w:r w:rsidR="000E6D0A">
          <w:rPr>
            <w:noProof/>
            <w:webHidden/>
          </w:rPr>
          <w:instrText xml:space="preserve"> PAGEREF _Toc87715689 \h </w:instrText>
        </w:r>
        <w:r>
          <w:rPr>
            <w:noProof/>
            <w:webHidden/>
          </w:rPr>
        </w:r>
        <w:r>
          <w:rPr>
            <w:noProof/>
            <w:webHidden/>
          </w:rPr>
          <w:fldChar w:fldCharType="separate"/>
        </w:r>
        <w:r w:rsidR="000E6D0A">
          <w:rPr>
            <w:noProof/>
            <w:webHidden/>
          </w:rPr>
          <w:t>22</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90" w:history="1">
        <w:r w:rsidR="000E6D0A" w:rsidRPr="0078618B">
          <w:rPr>
            <w:rStyle w:val="Hyperlink"/>
            <w:noProof/>
          </w:rPr>
          <w:t>Recommendations</w:t>
        </w:r>
        <w:r w:rsidR="000E6D0A">
          <w:rPr>
            <w:noProof/>
            <w:webHidden/>
          </w:rPr>
          <w:tab/>
        </w:r>
        <w:r>
          <w:rPr>
            <w:noProof/>
            <w:webHidden/>
          </w:rPr>
          <w:fldChar w:fldCharType="begin"/>
        </w:r>
        <w:r w:rsidR="000E6D0A">
          <w:rPr>
            <w:noProof/>
            <w:webHidden/>
          </w:rPr>
          <w:instrText xml:space="preserve"> PAGEREF _Toc87715690 \h </w:instrText>
        </w:r>
        <w:r>
          <w:rPr>
            <w:noProof/>
            <w:webHidden/>
          </w:rPr>
        </w:r>
        <w:r>
          <w:rPr>
            <w:noProof/>
            <w:webHidden/>
          </w:rPr>
          <w:fldChar w:fldCharType="separate"/>
        </w:r>
        <w:r w:rsidR="000E6D0A">
          <w:rPr>
            <w:noProof/>
            <w:webHidden/>
          </w:rPr>
          <w:t>23</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91" w:history="1">
        <w:r w:rsidR="000E6D0A" w:rsidRPr="0078618B">
          <w:rPr>
            <w:rStyle w:val="Hyperlink"/>
            <w:noProof/>
          </w:rPr>
          <w:t>7.</w:t>
        </w:r>
        <w:r w:rsidR="000E6D0A">
          <w:rPr>
            <w:rFonts w:asciiTheme="minorHAnsi" w:eastAsiaTheme="minorEastAsia" w:hAnsiTheme="minorHAnsi" w:cstheme="minorBidi"/>
            <w:noProof/>
            <w:lang w:eastAsia="zh-TW"/>
          </w:rPr>
          <w:tab/>
        </w:r>
        <w:r w:rsidR="000E6D0A" w:rsidRPr="0078618B">
          <w:rPr>
            <w:rStyle w:val="Hyperlink"/>
            <w:noProof/>
          </w:rPr>
          <w:t>Fiscal Risk Statement</w:t>
        </w:r>
        <w:r w:rsidR="000E6D0A">
          <w:rPr>
            <w:noProof/>
            <w:webHidden/>
          </w:rPr>
          <w:tab/>
        </w:r>
        <w:r>
          <w:rPr>
            <w:noProof/>
            <w:webHidden/>
          </w:rPr>
          <w:fldChar w:fldCharType="begin"/>
        </w:r>
        <w:r w:rsidR="000E6D0A">
          <w:rPr>
            <w:noProof/>
            <w:webHidden/>
          </w:rPr>
          <w:instrText xml:space="preserve"> PAGEREF _Toc87715691 \h </w:instrText>
        </w:r>
        <w:r>
          <w:rPr>
            <w:noProof/>
            <w:webHidden/>
          </w:rPr>
        </w:r>
        <w:r>
          <w:rPr>
            <w:noProof/>
            <w:webHidden/>
          </w:rPr>
          <w:fldChar w:fldCharType="separate"/>
        </w:r>
        <w:r w:rsidR="000E6D0A">
          <w:rPr>
            <w:noProof/>
            <w:webHidden/>
          </w:rPr>
          <w:t>23</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92" w:history="1">
        <w:r w:rsidR="000E6D0A" w:rsidRPr="0078618B">
          <w:rPr>
            <w:rStyle w:val="Hyperlink"/>
            <w:noProof/>
          </w:rPr>
          <w:t>Debt management risks</w:t>
        </w:r>
        <w:r w:rsidR="000E6D0A">
          <w:rPr>
            <w:noProof/>
            <w:webHidden/>
          </w:rPr>
          <w:tab/>
        </w:r>
        <w:r>
          <w:rPr>
            <w:noProof/>
            <w:webHidden/>
          </w:rPr>
          <w:fldChar w:fldCharType="begin"/>
        </w:r>
        <w:r w:rsidR="000E6D0A">
          <w:rPr>
            <w:noProof/>
            <w:webHidden/>
          </w:rPr>
          <w:instrText xml:space="preserve"> PAGEREF _Toc87715692 \h </w:instrText>
        </w:r>
        <w:r>
          <w:rPr>
            <w:noProof/>
            <w:webHidden/>
          </w:rPr>
        </w:r>
        <w:r>
          <w:rPr>
            <w:noProof/>
            <w:webHidden/>
          </w:rPr>
          <w:fldChar w:fldCharType="separate"/>
        </w:r>
        <w:r w:rsidR="000E6D0A">
          <w:rPr>
            <w:noProof/>
            <w:webHidden/>
          </w:rPr>
          <w:t>23</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93" w:history="1">
        <w:r w:rsidR="000E6D0A" w:rsidRPr="0078618B">
          <w:rPr>
            <w:rStyle w:val="Hyperlink"/>
            <w:noProof/>
          </w:rPr>
          <w:t>Contingent liabilities</w:t>
        </w:r>
        <w:r w:rsidR="000E6D0A">
          <w:rPr>
            <w:noProof/>
            <w:webHidden/>
          </w:rPr>
          <w:tab/>
        </w:r>
        <w:r>
          <w:rPr>
            <w:noProof/>
            <w:webHidden/>
          </w:rPr>
          <w:fldChar w:fldCharType="begin"/>
        </w:r>
        <w:r w:rsidR="000E6D0A">
          <w:rPr>
            <w:noProof/>
            <w:webHidden/>
          </w:rPr>
          <w:instrText xml:space="preserve"> PAGEREF _Toc87715693 \h </w:instrText>
        </w:r>
        <w:r>
          <w:rPr>
            <w:noProof/>
            <w:webHidden/>
          </w:rPr>
        </w:r>
        <w:r>
          <w:rPr>
            <w:noProof/>
            <w:webHidden/>
          </w:rPr>
          <w:fldChar w:fldCharType="separate"/>
        </w:r>
        <w:r w:rsidR="000E6D0A">
          <w:rPr>
            <w:noProof/>
            <w:webHidden/>
          </w:rPr>
          <w:t>25</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94" w:history="1">
        <w:r w:rsidR="000E6D0A" w:rsidRPr="0078618B">
          <w:rPr>
            <w:rStyle w:val="Hyperlink"/>
            <w:noProof/>
          </w:rPr>
          <w:t>Recommendations</w:t>
        </w:r>
        <w:r w:rsidR="000E6D0A">
          <w:rPr>
            <w:noProof/>
            <w:webHidden/>
          </w:rPr>
          <w:tab/>
        </w:r>
        <w:r>
          <w:rPr>
            <w:noProof/>
            <w:webHidden/>
          </w:rPr>
          <w:fldChar w:fldCharType="begin"/>
        </w:r>
        <w:r w:rsidR="000E6D0A">
          <w:rPr>
            <w:noProof/>
            <w:webHidden/>
          </w:rPr>
          <w:instrText xml:space="preserve"> PAGEREF _Toc87715694 \h </w:instrText>
        </w:r>
        <w:r>
          <w:rPr>
            <w:noProof/>
            <w:webHidden/>
          </w:rPr>
        </w:r>
        <w:r>
          <w:rPr>
            <w:noProof/>
            <w:webHidden/>
          </w:rPr>
          <w:fldChar w:fldCharType="separate"/>
        </w:r>
        <w:r w:rsidR="000E6D0A">
          <w:rPr>
            <w:noProof/>
            <w:webHidden/>
          </w:rPr>
          <w:t>27</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95" w:history="1">
        <w:r w:rsidR="000E6D0A" w:rsidRPr="0078618B">
          <w:rPr>
            <w:rStyle w:val="Hyperlink"/>
            <w:noProof/>
          </w:rPr>
          <w:t>8.</w:t>
        </w:r>
        <w:r w:rsidR="000E6D0A">
          <w:rPr>
            <w:rFonts w:asciiTheme="minorHAnsi" w:eastAsiaTheme="minorEastAsia" w:hAnsiTheme="minorHAnsi" w:cstheme="minorBidi"/>
            <w:noProof/>
            <w:lang w:eastAsia="zh-TW"/>
          </w:rPr>
          <w:tab/>
        </w:r>
        <w:r w:rsidR="000E6D0A" w:rsidRPr="0078618B">
          <w:rPr>
            <w:rStyle w:val="Hyperlink"/>
            <w:noProof/>
          </w:rPr>
          <w:t>Compensation Data</w:t>
        </w:r>
        <w:r w:rsidR="000E6D0A">
          <w:rPr>
            <w:noProof/>
            <w:webHidden/>
          </w:rPr>
          <w:tab/>
        </w:r>
        <w:r>
          <w:rPr>
            <w:noProof/>
            <w:webHidden/>
          </w:rPr>
          <w:fldChar w:fldCharType="begin"/>
        </w:r>
        <w:r w:rsidR="000E6D0A">
          <w:rPr>
            <w:noProof/>
            <w:webHidden/>
          </w:rPr>
          <w:instrText xml:space="preserve"> PAGEREF _Toc87715695 \h </w:instrText>
        </w:r>
        <w:r>
          <w:rPr>
            <w:noProof/>
            <w:webHidden/>
          </w:rPr>
        </w:r>
        <w:r>
          <w:rPr>
            <w:noProof/>
            <w:webHidden/>
          </w:rPr>
          <w:fldChar w:fldCharType="separate"/>
        </w:r>
        <w:r w:rsidR="000E6D0A">
          <w:rPr>
            <w:noProof/>
            <w:webHidden/>
          </w:rPr>
          <w:t>27</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96" w:history="1">
        <w:r w:rsidR="000E6D0A" w:rsidRPr="0078618B">
          <w:rPr>
            <w:rStyle w:val="Hyperlink"/>
            <w:noProof/>
          </w:rPr>
          <w:t>The drivers of rising compensation spending</w:t>
        </w:r>
        <w:r w:rsidR="000E6D0A">
          <w:rPr>
            <w:noProof/>
            <w:webHidden/>
          </w:rPr>
          <w:tab/>
        </w:r>
        <w:r>
          <w:rPr>
            <w:noProof/>
            <w:webHidden/>
          </w:rPr>
          <w:fldChar w:fldCharType="begin"/>
        </w:r>
        <w:r w:rsidR="000E6D0A">
          <w:rPr>
            <w:noProof/>
            <w:webHidden/>
          </w:rPr>
          <w:instrText xml:space="preserve"> PAGEREF _Toc87715696 \h </w:instrText>
        </w:r>
        <w:r>
          <w:rPr>
            <w:noProof/>
            <w:webHidden/>
          </w:rPr>
        </w:r>
        <w:r>
          <w:rPr>
            <w:noProof/>
            <w:webHidden/>
          </w:rPr>
          <w:fldChar w:fldCharType="separate"/>
        </w:r>
        <w:r w:rsidR="000E6D0A">
          <w:rPr>
            <w:noProof/>
            <w:webHidden/>
          </w:rPr>
          <w:t>27</w:t>
        </w:r>
        <w:r>
          <w:rPr>
            <w:noProof/>
            <w:webHidden/>
          </w:rPr>
          <w:fldChar w:fldCharType="end"/>
        </w:r>
      </w:hyperlink>
    </w:p>
    <w:p w:rsidR="000E6D0A" w:rsidRDefault="002B36AE">
      <w:pPr>
        <w:pStyle w:val="TOC2"/>
        <w:tabs>
          <w:tab w:val="right" w:leader="dot" w:pos="9016"/>
        </w:tabs>
        <w:rPr>
          <w:rFonts w:asciiTheme="minorHAnsi" w:eastAsiaTheme="minorEastAsia" w:hAnsiTheme="minorHAnsi" w:cstheme="minorBidi"/>
          <w:noProof/>
          <w:lang w:val="en-ZA" w:eastAsia="zh-TW"/>
        </w:rPr>
      </w:pPr>
      <w:hyperlink w:anchor="_Toc87715697" w:history="1">
        <w:r w:rsidR="000E6D0A" w:rsidRPr="0078618B">
          <w:rPr>
            <w:rStyle w:val="Hyperlink"/>
            <w:noProof/>
          </w:rPr>
          <w:t>Recommendations</w:t>
        </w:r>
        <w:r w:rsidR="000E6D0A">
          <w:rPr>
            <w:noProof/>
            <w:webHidden/>
          </w:rPr>
          <w:tab/>
        </w:r>
        <w:r>
          <w:rPr>
            <w:noProof/>
            <w:webHidden/>
          </w:rPr>
          <w:fldChar w:fldCharType="begin"/>
        </w:r>
        <w:r w:rsidR="000E6D0A">
          <w:rPr>
            <w:noProof/>
            <w:webHidden/>
          </w:rPr>
          <w:instrText xml:space="preserve"> PAGEREF _Toc87715697 \h </w:instrText>
        </w:r>
        <w:r>
          <w:rPr>
            <w:noProof/>
            <w:webHidden/>
          </w:rPr>
        </w:r>
        <w:r>
          <w:rPr>
            <w:noProof/>
            <w:webHidden/>
          </w:rPr>
          <w:fldChar w:fldCharType="separate"/>
        </w:r>
        <w:r w:rsidR="000E6D0A">
          <w:rPr>
            <w:noProof/>
            <w:webHidden/>
          </w:rPr>
          <w:t>29</w:t>
        </w:r>
        <w:r>
          <w:rPr>
            <w:noProof/>
            <w:webHidden/>
          </w:rPr>
          <w:fldChar w:fldCharType="end"/>
        </w:r>
      </w:hyperlink>
    </w:p>
    <w:p w:rsidR="000E6D0A" w:rsidRDefault="002B36AE">
      <w:pPr>
        <w:pStyle w:val="TOC1"/>
        <w:rPr>
          <w:rFonts w:asciiTheme="minorHAnsi" w:eastAsiaTheme="minorEastAsia" w:hAnsiTheme="minorHAnsi" w:cstheme="minorBidi"/>
          <w:noProof/>
          <w:lang w:eastAsia="zh-TW"/>
        </w:rPr>
      </w:pPr>
      <w:hyperlink w:anchor="_Toc87715698" w:history="1">
        <w:r w:rsidR="000E6D0A" w:rsidRPr="0078618B">
          <w:rPr>
            <w:rStyle w:val="Hyperlink"/>
            <w:noProof/>
          </w:rPr>
          <w:t>9.</w:t>
        </w:r>
        <w:r w:rsidR="000E6D0A">
          <w:rPr>
            <w:rFonts w:asciiTheme="minorHAnsi" w:eastAsiaTheme="minorEastAsia" w:hAnsiTheme="minorHAnsi" w:cstheme="minorBidi"/>
            <w:noProof/>
            <w:lang w:eastAsia="zh-TW"/>
          </w:rPr>
          <w:tab/>
        </w:r>
        <w:r w:rsidR="000E6D0A" w:rsidRPr="0078618B">
          <w:rPr>
            <w:rStyle w:val="Hyperlink"/>
            <w:noProof/>
          </w:rPr>
          <w:t>2021 MTBPS and the FFC's Recommendations</w:t>
        </w:r>
        <w:r w:rsidR="000E6D0A">
          <w:rPr>
            <w:noProof/>
            <w:webHidden/>
          </w:rPr>
          <w:tab/>
        </w:r>
        <w:r>
          <w:rPr>
            <w:noProof/>
            <w:webHidden/>
          </w:rPr>
          <w:fldChar w:fldCharType="begin"/>
        </w:r>
        <w:r w:rsidR="000E6D0A">
          <w:rPr>
            <w:noProof/>
            <w:webHidden/>
          </w:rPr>
          <w:instrText xml:space="preserve"> PAGEREF _Toc87715698 \h </w:instrText>
        </w:r>
        <w:r>
          <w:rPr>
            <w:noProof/>
            <w:webHidden/>
          </w:rPr>
        </w:r>
        <w:r>
          <w:rPr>
            <w:noProof/>
            <w:webHidden/>
          </w:rPr>
          <w:fldChar w:fldCharType="separate"/>
        </w:r>
        <w:r w:rsidR="000E6D0A">
          <w:rPr>
            <w:noProof/>
            <w:webHidden/>
          </w:rPr>
          <w:t>29</w:t>
        </w:r>
        <w:r>
          <w:rPr>
            <w:noProof/>
            <w:webHidden/>
          </w:rPr>
          <w:fldChar w:fldCharType="end"/>
        </w:r>
      </w:hyperlink>
    </w:p>
    <w:p w:rsidR="006258C1" w:rsidRPr="006258C1" w:rsidRDefault="002B36AE" w:rsidP="007A51F4">
      <w:pPr>
        <w:rPr>
          <w:b/>
          <w:bCs/>
          <w:color w:val="26724C"/>
          <w:sz w:val="24"/>
          <w:szCs w:val="28"/>
        </w:rPr>
      </w:pPr>
      <w:r w:rsidRPr="00E97593">
        <w:fldChar w:fldCharType="end"/>
      </w:r>
      <w:r w:rsidR="006258C1" w:rsidRPr="006258C1">
        <w:rPr>
          <w:b/>
          <w:bCs/>
          <w:color w:val="26724C"/>
          <w:sz w:val="24"/>
          <w:szCs w:val="28"/>
        </w:rPr>
        <w:t xml:space="preserve">List of Figures </w:t>
      </w:r>
    </w:p>
    <w:p w:rsidR="000C3356" w:rsidRDefault="002B36AE">
      <w:pPr>
        <w:pStyle w:val="TableofFigures"/>
        <w:tabs>
          <w:tab w:val="right" w:leader="dot" w:pos="9016"/>
        </w:tabs>
        <w:rPr>
          <w:rFonts w:asciiTheme="minorHAnsi" w:eastAsiaTheme="minorEastAsia" w:hAnsiTheme="minorHAnsi" w:cstheme="minorBidi"/>
          <w:noProof/>
          <w:lang w:eastAsia="zh-TW"/>
        </w:rPr>
      </w:pPr>
      <w:r w:rsidRPr="006258C1">
        <w:rPr>
          <w:sz w:val="24"/>
          <w:szCs w:val="24"/>
        </w:rPr>
        <w:fldChar w:fldCharType="begin"/>
      </w:r>
      <w:r w:rsidR="006258C1" w:rsidRPr="006258C1">
        <w:rPr>
          <w:sz w:val="24"/>
          <w:szCs w:val="24"/>
        </w:rPr>
        <w:instrText xml:space="preserve"> TOC \h \z \c "Figure" </w:instrText>
      </w:r>
      <w:r w:rsidRPr="006258C1">
        <w:rPr>
          <w:sz w:val="24"/>
          <w:szCs w:val="24"/>
        </w:rPr>
        <w:fldChar w:fldCharType="separate"/>
      </w:r>
      <w:hyperlink w:anchor="_Toc87715500" w:history="1">
        <w:r w:rsidR="000C3356" w:rsidRPr="000E1262">
          <w:rPr>
            <w:rStyle w:val="Hyperlink"/>
            <w:noProof/>
          </w:rPr>
          <w:t>Figure 1: Gross domestic product, constant prices</w:t>
        </w:r>
        <w:r w:rsidR="000C3356">
          <w:rPr>
            <w:noProof/>
            <w:webHidden/>
          </w:rPr>
          <w:tab/>
        </w:r>
        <w:r>
          <w:rPr>
            <w:noProof/>
            <w:webHidden/>
          </w:rPr>
          <w:fldChar w:fldCharType="begin"/>
        </w:r>
        <w:r w:rsidR="000C3356">
          <w:rPr>
            <w:noProof/>
            <w:webHidden/>
          </w:rPr>
          <w:instrText xml:space="preserve"> PAGEREF _Toc87715500 \h </w:instrText>
        </w:r>
        <w:r>
          <w:rPr>
            <w:noProof/>
            <w:webHidden/>
          </w:rPr>
        </w:r>
        <w:r>
          <w:rPr>
            <w:noProof/>
            <w:webHidden/>
          </w:rPr>
          <w:fldChar w:fldCharType="separate"/>
        </w:r>
        <w:r w:rsidR="000C3356">
          <w:rPr>
            <w:noProof/>
            <w:webHidden/>
          </w:rPr>
          <w:t>6</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1" w:history="1">
        <w:r w:rsidR="000C3356" w:rsidRPr="000E1262">
          <w:rPr>
            <w:rStyle w:val="Hyperlink"/>
            <w:noProof/>
          </w:rPr>
          <w:t>Figure 2: General government gross debt % of GDP</w:t>
        </w:r>
        <w:r w:rsidR="000C3356">
          <w:rPr>
            <w:noProof/>
            <w:webHidden/>
          </w:rPr>
          <w:tab/>
        </w:r>
        <w:r>
          <w:rPr>
            <w:noProof/>
            <w:webHidden/>
          </w:rPr>
          <w:fldChar w:fldCharType="begin"/>
        </w:r>
        <w:r w:rsidR="000C3356">
          <w:rPr>
            <w:noProof/>
            <w:webHidden/>
          </w:rPr>
          <w:instrText xml:space="preserve"> PAGEREF _Toc87715501 \h </w:instrText>
        </w:r>
        <w:r>
          <w:rPr>
            <w:noProof/>
            <w:webHidden/>
          </w:rPr>
        </w:r>
        <w:r>
          <w:rPr>
            <w:noProof/>
            <w:webHidden/>
          </w:rPr>
          <w:fldChar w:fldCharType="separate"/>
        </w:r>
        <w:r w:rsidR="000C3356">
          <w:rPr>
            <w:noProof/>
            <w:webHidden/>
          </w:rPr>
          <w:t>7</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2" w:history="1">
        <w:r w:rsidR="000C3356" w:rsidRPr="000E1262">
          <w:rPr>
            <w:rStyle w:val="Hyperlink"/>
            <w:noProof/>
          </w:rPr>
          <w:t>Figure 3: Inflation rate, average consumer prices (Annual percent change)</w:t>
        </w:r>
        <w:r w:rsidR="000C3356">
          <w:rPr>
            <w:noProof/>
            <w:webHidden/>
          </w:rPr>
          <w:tab/>
        </w:r>
        <w:r>
          <w:rPr>
            <w:noProof/>
            <w:webHidden/>
          </w:rPr>
          <w:fldChar w:fldCharType="begin"/>
        </w:r>
        <w:r w:rsidR="000C3356">
          <w:rPr>
            <w:noProof/>
            <w:webHidden/>
          </w:rPr>
          <w:instrText xml:space="preserve"> PAGEREF _Toc87715502 \h </w:instrText>
        </w:r>
        <w:r>
          <w:rPr>
            <w:noProof/>
            <w:webHidden/>
          </w:rPr>
        </w:r>
        <w:r>
          <w:rPr>
            <w:noProof/>
            <w:webHidden/>
          </w:rPr>
          <w:fldChar w:fldCharType="separate"/>
        </w:r>
        <w:r w:rsidR="000C3356">
          <w:rPr>
            <w:noProof/>
            <w:webHidden/>
          </w:rPr>
          <w:t>8</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3" w:history="1">
        <w:r w:rsidR="000C3356" w:rsidRPr="000E1262">
          <w:rPr>
            <w:rStyle w:val="Hyperlink"/>
            <w:noProof/>
          </w:rPr>
          <w:t>Figure 4: GDP % change quarter-on-quarter (seasonally adjusted)</w:t>
        </w:r>
        <w:r w:rsidR="000C3356">
          <w:rPr>
            <w:noProof/>
            <w:webHidden/>
          </w:rPr>
          <w:tab/>
        </w:r>
        <w:r>
          <w:rPr>
            <w:noProof/>
            <w:webHidden/>
          </w:rPr>
          <w:fldChar w:fldCharType="begin"/>
        </w:r>
        <w:r w:rsidR="000C3356">
          <w:rPr>
            <w:noProof/>
            <w:webHidden/>
          </w:rPr>
          <w:instrText xml:space="preserve"> PAGEREF _Toc87715503 \h </w:instrText>
        </w:r>
        <w:r>
          <w:rPr>
            <w:noProof/>
            <w:webHidden/>
          </w:rPr>
        </w:r>
        <w:r>
          <w:rPr>
            <w:noProof/>
            <w:webHidden/>
          </w:rPr>
          <w:fldChar w:fldCharType="separate"/>
        </w:r>
        <w:r w:rsidR="000C3356">
          <w:rPr>
            <w:noProof/>
            <w:webHidden/>
          </w:rPr>
          <w:t>8</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4" w:history="1">
        <w:r w:rsidR="000C3356" w:rsidRPr="000E1262">
          <w:rPr>
            <w:rStyle w:val="Hyperlink"/>
            <w:noProof/>
          </w:rPr>
          <w:t>Figure 5: CPI headline year-on-year rates</w:t>
        </w:r>
        <w:r w:rsidR="000C3356">
          <w:rPr>
            <w:noProof/>
            <w:webHidden/>
          </w:rPr>
          <w:tab/>
        </w:r>
        <w:r>
          <w:rPr>
            <w:noProof/>
            <w:webHidden/>
          </w:rPr>
          <w:fldChar w:fldCharType="begin"/>
        </w:r>
        <w:r w:rsidR="000C3356">
          <w:rPr>
            <w:noProof/>
            <w:webHidden/>
          </w:rPr>
          <w:instrText xml:space="preserve"> PAGEREF _Toc87715504 \h </w:instrText>
        </w:r>
        <w:r>
          <w:rPr>
            <w:noProof/>
            <w:webHidden/>
          </w:rPr>
        </w:r>
        <w:r>
          <w:rPr>
            <w:noProof/>
            <w:webHidden/>
          </w:rPr>
          <w:fldChar w:fldCharType="separate"/>
        </w:r>
        <w:r w:rsidR="000C3356">
          <w:rPr>
            <w:noProof/>
            <w:webHidden/>
          </w:rPr>
          <w:t>10</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5" w:history="1">
        <w:r w:rsidR="000C3356" w:rsidRPr="000E1262">
          <w:rPr>
            <w:rStyle w:val="Hyperlink"/>
            <w:noProof/>
          </w:rPr>
          <w:t>Figure 6: Unemployment rate 2014 – 2021</w:t>
        </w:r>
        <w:r w:rsidR="000C3356">
          <w:rPr>
            <w:noProof/>
            <w:webHidden/>
          </w:rPr>
          <w:tab/>
        </w:r>
        <w:r>
          <w:rPr>
            <w:noProof/>
            <w:webHidden/>
          </w:rPr>
          <w:fldChar w:fldCharType="begin"/>
        </w:r>
        <w:r w:rsidR="000C3356">
          <w:rPr>
            <w:noProof/>
            <w:webHidden/>
          </w:rPr>
          <w:instrText xml:space="preserve"> PAGEREF _Toc87715505 \h </w:instrText>
        </w:r>
        <w:r>
          <w:rPr>
            <w:noProof/>
            <w:webHidden/>
          </w:rPr>
        </w:r>
        <w:r>
          <w:rPr>
            <w:noProof/>
            <w:webHidden/>
          </w:rPr>
          <w:fldChar w:fldCharType="separate"/>
        </w:r>
        <w:r w:rsidR="000C3356">
          <w:rPr>
            <w:noProof/>
            <w:webHidden/>
          </w:rPr>
          <w:t>11</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6" w:history="1">
        <w:r w:rsidR="000C3356" w:rsidRPr="000E1262">
          <w:rPr>
            <w:rStyle w:val="Hyperlink"/>
            <w:noProof/>
          </w:rPr>
          <w:t>Figure 7: Tax as % of GDP</w:t>
        </w:r>
        <w:r w:rsidR="000C3356">
          <w:rPr>
            <w:noProof/>
            <w:webHidden/>
          </w:rPr>
          <w:tab/>
        </w:r>
        <w:r>
          <w:rPr>
            <w:noProof/>
            <w:webHidden/>
          </w:rPr>
          <w:fldChar w:fldCharType="begin"/>
        </w:r>
        <w:r w:rsidR="000C3356">
          <w:rPr>
            <w:noProof/>
            <w:webHidden/>
          </w:rPr>
          <w:instrText xml:space="preserve"> PAGEREF _Toc87715506 \h </w:instrText>
        </w:r>
        <w:r>
          <w:rPr>
            <w:noProof/>
            <w:webHidden/>
          </w:rPr>
        </w:r>
        <w:r>
          <w:rPr>
            <w:noProof/>
            <w:webHidden/>
          </w:rPr>
          <w:fldChar w:fldCharType="separate"/>
        </w:r>
        <w:r w:rsidR="000C3356">
          <w:rPr>
            <w:noProof/>
            <w:webHidden/>
          </w:rPr>
          <w:t>12</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7" w:history="1">
        <w:r w:rsidR="000C3356" w:rsidRPr="000E1262">
          <w:rPr>
            <w:rStyle w:val="Hyperlink"/>
            <w:noProof/>
          </w:rPr>
          <w:t>Figure 8: Main revenue source as % of GDP</w:t>
        </w:r>
        <w:r w:rsidR="000C3356">
          <w:rPr>
            <w:noProof/>
            <w:webHidden/>
          </w:rPr>
          <w:tab/>
        </w:r>
        <w:r>
          <w:rPr>
            <w:noProof/>
            <w:webHidden/>
          </w:rPr>
          <w:fldChar w:fldCharType="begin"/>
        </w:r>
        <w:r w:rsidR="000C3356">
          <w:rPr>
            <w:noProof/>
            <w:webHidden/>
          </w:rPr>
          <w:instrText xml:space="preserve"> PAGEREF _Toc87715507 \h </w:instrText>
        </w:r>
        <w:r>
          <w:rPr>
            <w:noProof/>
            <w:webHidden/>
          </w:rPr>
        </w:r>
        <w:r>
          <w:rPr>
            <w:noProof/>
            <w:webHidden/>
          </w:rPr>
          <w:fldChar w:fldCharType="separate"/>
        </w:r>
        <w:r w:rsidR="000C3356">
          <w:rPr>
            <w:noProof/>
            <w:webHidden/>
          </w:rPr>
          <w:t>12</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8" w:history="1">
        <w:r w:rsidR="000C3356" w:rsidRPr="000E1262">
          <w:rPr>
            <w:rStyle w:val="Hyperlink"/>
            <w:noProof/>
          </w:rPr>
          <w:t>Figure 9: Main budget revenue and expenditure, 2021 Budget vs 2021 MTBPS (R billion)</w:t>
        </w:r>
        <w:r w:rsidR="000C3356">
          <w:rPr>
            <w:noProof/>
            <w:webHidden/>
          </w:rPr>
          <w:tab/>
        </w:r>
        <w:r>
          <w:rPr>
            <w:noProof/>
            <w:webHidden/>
          </w:rPr>
          <w:fldChar w:fldCharType="begin"/>
        </w:r>
        <w:r w:rsidR="000C3356">
          <w:rPr>
            <w:noProof/>
            <w:webHidden/>
          </w:rPr>
          <w:instrText xml:space="preserve"> PAGEREF _Toc87715508 \h </w:instrText>
        </w:r>
        <w:r>
          <w:rPr>
            <w:noProof/>
            <w:webHidden/>
          </w:rPr>
        </w:r>
        <w:r>
          <w:rPr>
            <w:noProof/>
            <w:webHidden/>
          </w:rPr>
          <w:fldChar w:fldCharType="separate"/>
        </w:r>
        <w:r w:rsidR="000C3356">
          <w:rPr>
            <w:noProof/>
            <w:webHidden/>
          </w:rPr>
          <w:t>13</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09" w:history="1">
        <w:r w:rsidR="000C3356" w:rsidRPr="000E1262">
          <w:rPr>
            <w:rStyle w:val="Hyperlink"/>
            <w:noProof/>
          </w:rPr>
          <w:t>Figure 10: Primary deficit and debt-service costs, 2021 Budget vs 2021 MTBPS (R billion)</w:t>
        </w:r>
        <w:r w:rsidR="000C3356">
          <w:rPr>
            <w:noProof/>
            <w:webHidden/>
          </w:rPr>
          <w:tab/>
        </w:r>
        <w:r>
          <w:rPr>
            <w:noProof/>
            <w:webHidden/>
          </w:rPr>
          <w:fldChar w:fldCharType="begin"/>
        </w:r>
        <w:r w:rsidR="000C3356">
          <w:rPr>
            <w:noProof/>
            <w:webHidden/>
          </w:rPr>
          <w:instrText xml:space="preserve"> PAGEREF _Toc87715509 \h </w:instrText>
        </w:r>
        <w:r>
          <w:rPr>
            <w:noProof/>
            <w:webHidden/>
          </w:rPr>
        </w:r>
        <w:r>
          <w:rPr>
            <w:noProof/>
            <w:webHidden/>
          </w:rPr>
          <w:fldChar w:fldCharType="separate"/>
        </w:r>
        <w:r w:rsidR="000C3356">
          <w:rPr>
            <w:noProof/>
            <w:webHidden/>
          </w:rPr>
          <w:t>14</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0" w:history="1">
        <w:r w:rsidR="000C3356" w:rsidRPr="000E1262">
          <w:rPr>
            <w:rStyle w:val="Hyperlink"/>
            <w:noProof/>
          </w:rPr>
          <w:t>Figure 11:</w:t>
        </w:r>
        <w:r w:rsidR="000C3356" w:rsidRPr="000E1262">
          <w:rPr>
            <w:rStyle w:val="Hyperlink"/>
            <w:rFonts w:eastAsia="Times New Roman"/>
            <w:noProof/>
          </w:rPr>
          <w:t xml:space="preserve"> LG share of nationally raised revenue</w:t>
        </w:r>
        <w:r w:rsidR="000C3356">
          <w:rPr>
            <w:noProof/>
            <w:webHidden/>
          </w:rPr>
          <w:tab/>
        </w:r>
        <w:r>
          <w:rPr>
            <w:noProof/>
            <w:webHidden/>
          </w:rPr>
          <w:fldChar w:fldCharType="begin"/>
        </w:r>
        <w:r w:rsidR="000C3356">
          <w:rPr>
            <w:noProof/>
            <w:webHidden/>
          </w:rPr>
          <w:instrText xml:space="preserve"> PAGEREF _Toc87715510 \h </w:instrText>
        </w:r>
        <w:r>
          <w:rPr>
            <w:noProof/>
            <w:webHidden/>
          </w:rPr>
        </w:r>
        <w:r>
          <w:rPr>
            <w:noProof/>
            <w:webHidden/>
          </w:rPr>
          <w:fldChar w:fldCharType="separate"/>
        </w:r>
        <w:r w:rsidR="000C3356">
          <w:rPr>
            <w:noProof/>
            <w:webHidden/>
          </w:rPr>
          <w:t>21</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1" w:history="1">
        <w:r w:rsidR="000C3356" w:rsidRPr="000E1262">
          <w:rPr>
            <w:rStyle w:val="Hyperlink"/>
            <w:noProof/>
          </w:rPr>
          <w:t xml:space="preserve">Figure 12: </w:t>
        </w:r>
        <w:r w:rsidR="000C3356" w:rsidRPr="000E1262">
          <w:rPr>
            <w:rStyle w:val="Hyperlink"/>
            <w:rFonts w:eastAsia="Times New Roman"/>
            <w:noProof/>
          </w:rPr>
          <w:t>LES Real Growth Rates</w:t>
        </w:r>
        <w:r w:rsidR="000C3356">
          <w:rPr>
            <w:noProof/>
            <w:webHidden/>
          </w:rPr>
          <w:tab/>
        </w:r>
        <w:r>
          <w:rPr>
            <w:noProof/>
            <w:webHidden/>
          </w:rPr>
          <w:fldChar w:fldCharType="begin"/>
        </w:r>
        <w:r w:rsidR="000C3356">
          <w:rPr>
            <w:noProof/>
            <w:webHidden/>
          </w:rPr>
          <w:instrText xml:space="preserve"> PAGEREF _Toc87715511 \h </w:instrText>
        </w:r>
        <w:r>
          <w:rPr>
            <w:noProof/>
            <w:webHidden/>
          </w:rPr>
        </w:r>
        <w:r>
          <w:rPr>
            <w:noProof/>
            <w:webHidden/>
          </w:rPr>
          <w:fldChar w:fldCharType="separate"/>
        </w:r>
        <w:r w:rsidR="000C3356">
          <w:rPr>
            <w:noProof/>
            <w:webHidden/>
          </w:rPr>
          <w:t>22</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2" w:history="1">
        <w:r w:rsidR="000C3356" w:rsidRPr="000E1262">
          <w:rPr>
            <w:rStyle w:val="Hyperlink"/>
            <w:noProof/>
          </w:rPr>
          <w:t xml:space="preserve">Figure 13: </w:t>
        </w:r>
        <w:r w:rsidR="000C3356" w:rsidRPr="000E1262">
          <w:rPr>
            <w:rStyle w:val="Hyperlink"/>
            <w:rFonts w:eastAsia="Times New Roman"/>
            <w:noProof/>
          </w:rPr>
          <w:t xml:space="preserve">Local government </w:t>
        </w:r>
        <w:r w:rsidR="000C3356" w:rsidRPr="000E1262">
          <w:rPr>
            <w:rStyle w:val="Hyperlink"/>
            <w:noProof/>
          </w:rPr>
          <w:t>conditional</w:t>
        </w:r>
        <w:r w:rsidR="000C3356" w:rsidRPr="000E1262">
          <w:rPr>
            <w:rStyle w:val="Hyperlink"/>
            <w:rFonts w:eastAsia="Times New Roman"/>
            <w:noProof/>
          </w:rPr>
          <w:t xml:space="preserve"> grants</w:t>
        </w:r>
        <w:r w:rsidR="000C3356">
          <w:rPr>
            <w:noProof/>
            <w:webHidden/>
          </w:rPr>
          <w:tab/>
        </w:r>
        <w:r>
          <w:rPr>
            <w:noProof/>
            <w:webHidden/>
          </w:rPr>
          <w:fldChar w:fldCharType="begin"/>
        </w:r>
        <w:r w:rsidR="000C3356">
          <w:rPr>
            <w:noProof/>
            <w:webHidden/>
          </w:rPr>
          <w:instrText xml:space="preserve"> PAGEREF _Toc87715512 \h </w:instrText>
        </w:r>
        <w:r>
          <w:rPr>
            <w:noProof/>
            <w:webHidden/>
          </w:rPr>
        </w:r>
        <w:r>
          <w:rPr>
            <w:noProof/>
            <w:webHidden/>
          </w:rPr>
          <w:fldChar w:fldCharType="separate"/>
        </w:r>
        <w:r w:rsidR="000C3356">
          <w:rPr>
            <w:noProof/>
            <w:webHidden/>
          </w:rPr>
          <w:t>22</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3" w:history="1">
        <w:r w:rsidR="000C3356" w:rsidRPr="000E1262">
          <w:rPr>
            <w:rStyle w:val="Hyperlink"/>
            <w:noProof/>
          </w:rPr>
          <w:t>Figure 14: The primary balance and GDP growth rate, 2010-2020</w:t>
        </w:r>
        <w:r w:rsidR="000C3356">
          <w:rPr>
            <w:noProof/>
            <w:webHidden/>
          </w:rPr>
          <w:tab/>
        </w:r>
        <w:r>
          <w:rPr>
            <w:noProof/>
            <w:webHidden/>
          </w:rPr>
          <w:fldChar w:fldCharType="begin"/>
        </w:r>
        <w:r w:rsidR="000C3356">
          <w:rPr>
            <w:noProof/>
            <w:webHidden/>
          </w:rPr>
          <w:instrText xml:space="preserve"> PAGEREF _Toc87715513 \h </w:instrText>
        </w:r>
        <w:r>
          <w:rPr>
            <w:noProof/>
            <w:webHidden/>
          </w:rPr>
        </w:r>
        <w:r>
          <w:rPr>
            <w:noProof/>
            <w:webHidden/>
          </w:rPr>
          <w:fldChar w:fldCharType="separate"/>
        </w:r>
        <w:r w:rsidR="000C3356">
          <w:rPr>
            <w:noProof/>
            <w:webHidden/>
          </w:rPr>
          <w:t>24</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4" w:history="1">
        <w:r w:rsidR="000C3356" w:rsidRPr="000E1262">
          <w:rPr>
            <w:rStyle w:val="Hyperlink"/>
            <w:noProof/>
          </w:rPr>
          <w:t>Figure 15: Contingent liabilities, total government guarantees, and government guarantees to Eskom, 2010/11-2023/24</w:t>
        </w:r>
        <w:r w:rsidR="000C3356">
          <w:rPr>
            <w:noProof/>
            <w:webHidden/>
          </w:rPr>
          <w:tab/>
        </w:r>
        <w:r>
          <w:rPr>
            <w:noProof/>
            <w:webHidden/>
          </w:rPr>
          <w:fldChar w:fldCharType="begin"/>
        </w:r>
        <w:r w:rsidR="000C3356">
          <w:rPr>
            <w:noProof/>
            <w:webHidden/>
          </w:rPr>
          <w:instrText xml:space="preserve"> PAGEREF _Toc87715514 \h </w:instrText>
        </w:r>
        <w:r>
          <w:rPr>
            <w:noProof/>
            <w:webHidden/>
          </w:rPr>
        </w:r>
        <w:r>
          <w:rPr>
            <w:noProof/>
            <w:webHidden/>
          </w:rPr>
          <w:fldChar w:fldCharType="separate"/>
        </w:r>
        <w:r w:rsidR="000C3356">
          <w:rPr>
            <w:noProof/>
            <w:webHidden/>
          </w:rPr>
          <w:t>26</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5" w:history="1">
        <w:r w:rsidR="000C3356" w:rsidRPr="000E1262">
          <w:rPr>
            <w:rStyle w:val="Hyperlink"/>
            <w:noProof/>
          </w:rPr>
          <w:t>Figure 16: Compensation of employees as a percentage of total expenditure</w:t>
        </w:r>
        <w:r w:rsidR="000C3356">
          <w:rPr>
            <w:noProof/>
            <w:webHidden/>
          </w:rPr>
          <w:tab/>
        </w:r>
        <w:r>
          <w:rPr>
            <w:noProof/>
            <w:webHidden/>
          </w:rPr>
          <w:fldChar w:fldCharType="begin"/>
        </w:r>
        <w:r w:rsidR="000C3356">
          <w:rPr>
            <w:noProof/>
            <w:webHidden/>
          </w:rPr>
          <w:instrText xml:space="preserve"> PAGEREF _Toc87715515 \h </w:instrText>
        </w:r>
        <w:r>
          <w:rPr>
            <w:noProof/>
            <w:webHidden/>
          </w:rPr>
        </w:r>
        <w:r>
          <w:rPr>
            <w:noProof/>
            <w:webHidden/>
          </w:rPr>
          <w:fldChar w:fldCharType="separate"/>
        </w:r>
        <w:r w:rsidR="000C3356">
          <w:rPr>
            <w:noProof/>
            <w:webHidden/>
          </w:rPr>
          <w:t>27</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6" w:history="1">
        <w:r w:rsidR="000C3356" w:rsidRPr="000E1262">
          <w:rPr>
            <w:rStyle w:val="Hyperlink"/>
            <w:noProof/>
          </w:rPr>
          <w:t>Figure 17: Number of public sector employees from 2009-2019</w:t>
        </w:r>
        <w:r w:rsidR="000C3356">
          <w:rPr>
            <w:noProof/>
            <w:webHidden/>
          </w:rPr>
          <w:tab/>
        </w:r>
        <w:r>
          <w:rPr>
            <w:noProof/>
            <w:webHidden/>
          </w:rPr>
          <w:fldChar w:fldCharType="begin"/>
        </w:r>
        <w:r w:rsidR="000C3356">
          <w:rPr>
            <w:noProof/>
            <w:webHidden/>
          </w:rPr>
          <w:instrText xml:space="preserve"> PAGEREF _Toc87715516 \h </w:instrText>
        </w:r>
        <w:r>
          <w:rPr>
            <w:noProof/>
            <w:webHidden/>
          </w:rPr>
        </w:r>
        <w:r>
          <w:rPr>
            <w:noProof/>
            <w:webHidden/>
          </w:rPr>
          <w:fldChar w:fldCharType="separate"/>
        </w:r>
        <w:r w:rsidR="000C3356">
          <w:rPr>
            <w:noProof/>
            <w:webHidden/>
          </w:rPr>
          <w:t>28</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7" w:history="1">
        <w:r w:rsidR="000C3356" w:rsidRPr="000E1262">
          <w:rPr>
            <w:rStyle w:val="Hyperlink"/>
            <w:noProof/>
          </w:rPr>
          <w:t>Figure 18: Changes in employment between 2019/20 and 2020/21</w:t>
        </w:r>
        <w:r w:rsidR="000C3356">
          <w:rPr>
            <w:noProof/>
            <w:webHidden/>
          </w:rPr>
          <w:tab/>
        </w:r>
        <w:r>
          <w:rPr>
            <w:noProof/>
            <w:webHidden/>
          </w:rPr>
          <w:fldChar w:fldCharType="begin"/>
        </w:r>
        <w:r w:rsidR="000C3356">
          <w:rPr>
            <w:noProof/>
            <w:webHidden/>
          </w:rPr>
          <w:instrText xml:space="preserve"> PAGEREF _Toc87715517 \h </w:instrText>
        </w:r>
        <w:r>
          <w:rPr>
            <w:noProof/>
            <w:webHidden/>
          </w:rPr>
        </w:r>
        <w:r>
          <w:rPr>
            <w:noProof/>
            <w:webHidden/>
          </w:rPr>
          <w:fldChar w:fldCharType="separate"/>
        </w:r>
        <w:r w:rsidR="000C3356">
          <w:rPr>
            <w:noProof/>
            <w:webHidden/>
          </w:rPr>
          <w:t>28</w:t>
        </w:r>
        <w:r>
          <w:rPr>
            <w:noProof/>
            <w:webHidden/>
          </w:rPr>
          <w:fldChar w:fldCharType="end"/>
        </w:r>
      </w:hyperlink>
    </w:p>
    <w:p w:rsidR="006258C1" w:rsidRPr="006258C1" w:rsidRDefault="002B36AE" w:rsidP="00F072AE">
      <w:pPr>
        <w:spacing w:after="0"/>
        <w:rPr>
          <w:sz w:val="24"/>
          <w:szCs w:val="24"/>
        </w:rPr>
      </w:pPr>
      <w:r w:rsidRPr="006258C1">
        <w:rPr>
          <w:sz w:val="24"/>
          <w:szCs w:val="24"/>
        </w:rPr>
        <w:fldChar w:fldCharType="end"/>
      </w:r>
    </w:p>
    <w:p w:rsidR="006258C1" w:rsidRPr="006258C1" w:rsidRDefault="006258C1" w:rsidP="00F072AE">
      <w:pPr>
        <w:spacing w:after="0"/>
        <w:rPr>
          <w:b/>
          <w:bCs/>
          <w:color w:val="26724C"/>
          <w:sz w:val="24"/>
          <w:szCs w:val="28"/>
        </w:rPr>
      </w:pPr>
      <w:r w:rsidRPr="006258C1">
        <w:rPr>
          <w:b/>
          <w:bCs/>
          <w:color w:val="26724C"/>
          <w:sz w:val="24"/>
          <w:szCs w:val="28"/>
        </w:rPr>
        <w:t xml:space="preserve">List of Tables </w:t>
      </w:r>
    </w:p>
    <w:p w:rsidR="000C3356" w:rsidRDefault="002B36AE">
      <w:pPr>
        <w:pStyle w:val="TableofFigures"/>
        <w:tabs>
          <w:tab w:val="right" w:leader="dot" w:pos="9016"/>
        </w:tabs>
        <w:rPr>
          <w:rFonts w:asciiTheme="minorHAnsi" w:eastAsiaTheme="minorEastAsia" w:hAnsiTheme="minorHAnsi" w:cstheme="minorBidi"/>
          <w:noProof/>
          <w:lang w:eastAsia="zh-TW"/>
        </w:rPr>
      </w:pPr>
      <w:r>
        <w:rPr>
          <w:szCs w:val="24"/>
        </w:rPr>
        <w:fldChar w:fldCharType="begin"/>
      </w:r>
      <w:r w:rsidR="006258C1">
        <w:rPr>
          <w:szCs w:val="24"/>
        </w:rPr>
        <w:instrText xml:space="preserve"> TOC \h \z \c "Table" </w:instrText>
      </w:r>
      <w:r>
        <w:rPr>
          <w:szCs w:val="24"/>
        </w:rPr>
        <w:fldChar w:fldCharType="separate"/>
      </w:r>
      <w:hyperlink w:anchor="_Toc87715518" w:history="1">
        <w:r w:rsidR="000C3356" w:rsidRPr="00E1405F">
          <w:rPr>
            <w:rStyle w:val="Hyperlink"/>
            <w:noProof/>
          </w:rPr>
          <w:t>Table 1: Growth rates in expenditure on GDP (% change quarter-on-quarter)</w:t>
        </w:r>
        <w:r w:rsidR="000C3356">
          <w:rPr>
            <w:noProof/>
            <w:webHidden/>
          </w:rPr>
          <w:tab/>
        </w:r>
        <w:r>
          <w:rPr>
            <w:noProof/>
            <w:webHidden/>
          </w:rPr>
          <w:fldChar w:fldCharType="begin"/>
        </w:r>
        <w:r w:rsidR="000C3356">
          <w:rPr>
            <w:noProof/>
            <w:webHidden/>
          </w:rPr>
          <w:instrText xml:space="preserve"> PAGEREF _Toc87715518 \h </w:instrText>
        </w:r>
        <w:r>
          <w:rPr>
            <w:noProof/>
            <w:webHidden/>
          </w:rPr>
        </w:r>
        <w:r>
          <w:rPr>
            <w:noProof/>
            <w:webHidden/>
          </w:rPr>
          <w:fldChar w:fldCharType="separate"/>
        </w:r>
        <w:r w:rsidR="000C3356">
          <w:rPr>
            <w:noProof/>
            <w:webHidden/>
          </w:rPr>
          <w:t>9</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19" w:history="1">
        <w:r w:rsidR="000C3356" w:rsidRPr="00E1405F">
          <w:rPr>
            <w:rStyle w:val="Hyperlink"/>
            <w:noProof/>
          </w:rPr>
          <w:t>Table 2:  Growth rates in industry value added and GDP (% change quarter-on-quarter)</w:t>
        </w:r>
        <w:r w:rsidR="000C3356">
          <w:rPr>
            <w:noProof/>
            <w:webHidden/>
          </w:rPr>
          <w:tab/>
        </w:r>
        <w:r>
          <w:rPr>
            <w:noProof/>
            <w:webHidden/>
          </w:rPr>
          <w:fldChar w:fldCharType="begin"/>
        </w:r>
        <w:r w:rsidR="000C3356">
          <w:rPr>
            <w:noProof/>
            <w:webHidden/>
          </w:rPr>
          <w:instrText xml:space="preserve"> PAGEREF _Toc87715519 \h </w:instrText>
        </w:r>
        <w:r>
          <w:rPr>
            <w:noProof/>
            <w:webHidden/>
          </w:rPr>
        </w:r>
        <w:r>
          <w:rPr>
            <w:noProof/>
            <w:webHidden/>
          </w:rPr>
          <w:fldChar w:fldCharType="separate"/>
        </w:r>
        <w:r w:rsidR="000C3356">
          <w:rPr>
            <w:noProof/>
            <w:webHidden/>
          </w:rPr>
          <w:t>9</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20" w:history="1">
        <w:r w:rsidR="000C3356" w:rsidRPr="00E1405F">
          <w:rPr>
            <w:rStyle w:val="Hyperlink"/>
            <w:noProof/>
          </w:rPr>
          <w:t>Table 3: Adjusted Appropriation for Selected Key Votes, 2021/22</w:t>
        </w:r>
        <w:r w:rsidR="000C3356">
          <w:rPr>
            <w:noProof/>
            <w:webHidden/>
          </w:rPr>
          <w:tab/>
        </w:r>
        <w:r>
          <w:rPr>
            <w:noProof/>
            <w:webHidden/>
          </w:rPr>
          <w:fldChar w:fldCharType="begin"/>
        </w:r>
        <w:r w:rsidR="000C3356">
          <w:rPr>
            <w:noProof/>
            <w:webHidden/>
          </w:rPr>
          <w:instrText xml:space="preserve"> PAGEREF _Toc87715520 \h </w:instrText>
        </w:r>
        <w:r>
          <w:rPr>
            <w:noProof/>
            <w:webHidden/>
          </w:rPr>
        </w:r>
        <w:r>
          <w:rPr>
            <w:noProof/>
            <w:webHidden/>
          </w:rPr>
          <w:fldChar w:fldCharType="separate"/>
        </w:r>
        <w:r w:rsidR="000C3356">
          <w:rPr>
            <w:noProof/>
            <w:webHidden/>
          </w:rPr>
          <w:t>17</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21" w:history="1">
        <w:r w:rsidR="000C3356" w:rsidRPr="00E1405F">
          <w:rPr>
            <w:rStyle w:val="Hyperlink"/>
            <w:noProof/>
          </w:rPr>
          <w:t>Table 4: Provincial allocations – comparison to the 2020/21 baseline</w:t>
        </w:r>
        <w:r w:rsidR="000C3356">
          <w:rPr>
            <w:noProof/>
            <w:webHidden/>
          </w:rPr>
          <w:tab/>
        </w:r>
        <w:r>
          <w:rPr>
            <w:noProof/>
            <w:webHidden/>
          </w:rPr>
          <w:fldChar w:fldCharType="begin"/>
        </w:r>
        <w:r w:rsidR="000C3356">
          <w:rPr>
            <w:noProof/>
            <w:webHidden/>
          </w:rPr>
          <w:instrText xml:space="preserve"> PAGEREF _Toc87715521 \h </w:instrText>
        </w:r>
        <w:r>
          <w:rPr>
            <w:noProof/>
            <w:webHidden/>
          </w:rPr>
        </w:r>
        <w:r>
          <w:rPr>
            <w:noProof/>
            <w:webHidden/>
          </w:rPr>
          <w:fldChar w:fldCharType="separate"/>
        </w:r>
        <w:r w:rsidR="000C3356">
          <w:rPr>
            <w:noProof/>
            <w:webHidden/>
          </w:rPr>
          <w:t>20</w:t>
        </w:r>
        <w:r>
          <w:rPr>
            <w:noProof/>
            <w:webHidden/>
          </w:rPr>
          <w:fldChar w:fldCharType="end"/>
        </w:r>
      </w:hyperlink>
    </w:p>
    <w:p w:rsidR="000C3356" w:rsidRDefault="002B36AE">
      <w:pPr>
        <w:pStyle w:val="TableofFigures"/>
        <w:tabs>
          <w:tab w:val="right" w:leader="dot" w:pos="9016"/>
        </w:tabs>
        <w:rPr>
          <w:rFonts w:asciiTheme="minorHAnsi" w:eastAsiaTheme="minorEastAsia" w:hAnsiTheme="minorHAnsi" w:cstheme="minorBidi"/>
          <w:noProof/>
          <w:lang w:eastAsia="zh-TW"/>
        </w:rPr>
      </w:pPr>
      <w:hyperlink w:anchor="_Toc87715522" w:history="1">
        <w:r w:rsidR="000C3356" w:rsidRPr="00E1405F">
          <w:rPr>
            <w:rStyle w:val="Hyperlink"/>
            <w:noProof/>
          </w:rPr>
          <w:t>Table 5: Division of Revenue Focusing on Local Government and Real Growth Rates</w:t>
        </w:r>
        <w:r w:rsidR="000C3356">
          <w:rPr>
            <w:noProof/>
            <w:webHidden/>
          </w:rPr>
          <w:tab/>
        </w:r>
        <w:r>
          <w:rPr>
            <w:noProof/>
            <w:webHidden/>
          </w:rPr>
          <w:fldChar w:fldCharType="begin"/>
        </w:r>
        <w:r w:rsidR="000C3356">
          <w:rPr>
            <w:noProof/>
            <w:webHidden/>
          </w:rPr>
          <w:instrText xml:space="preserve"> PAGEREF _Toc87715522 \h </w:instrText>
        </w:r>
        <w:r>
          <w:rPr>
            <w:noProof/>
            <w:webHidden/>
          </w:rPr>
        </w:r>
        <w:r>
          <w:rPr>
            <w:noProof/>
            <w:webHidden/>
          </w:rPr>
          <w:fldChar w:fldCharType="separate"/>
        </w:r>
        <w:r w:rsidR="000C3356">
          <w:rPr>
            <w:noProof/>
            <w:webHidden/>
          </w:rPr>
          <w:t>21</w:t>
        </w:r>
        <w:r>
          <w:rPr>
            <w:noProof/>
            <w:webHidden/>
          </w:rPr>
          <w:fldChar w:fldCharType="end"/>
        </w:r>
      </w:hyperlink>
    </w:p>
    <w:p w:rsidR="006258C1" w:rsidRDefault="002B36AE" w:rsidP="00F072AE">
      <w:pPr>
        <w:spacing w:after="0"/>
        <w:rPr>
          <w:szCs w:val="24"/>
        </w:rPr>
      </w:pPr>
      <w:r>
        <w:rPr>
          <w:szCs w:val="24"/>
        </w:rPr>
        <w:fldChar w:fldCharType="end"/>
      </w:r>
    </w:p>
    <w:p w:rsidR="006258C1" w:rsidRPr="006258C1" w:rsidRDefault="006258C1">
      <w:pPr>
        <w:spacing w:after="0" w:line="240" w:lineRule="auto"/>
        <w:rPr>
          <w:b/>
          <w:bCs/>
          <w:color w:val="26724C"/>
          <w:sz w:val="24"/>
          <w:szCs w:val="28"/>
        </w:rPr>
      </w:pPr>
      <w:r w:rsidRPr="006258C1">
        <w:rPr>
          <w:b/>
          <w:bCs/>
          <w:color w:val="26724C"/>
          <w:sz w:val="24"/>
          <w:szCs w:val="28"/>
        </w:rPr>
        <w:t>List of acronyms</w:t>
      </w:r>
    </w:p>
    <w:p w:rsidR="006258C1" w:rsidRDefault="006258C1">
      <w:pPr>
        <w:spacing w:after="0" w:line="240" w:lineRule="auto"/>
        <w:rPr>
          <w:szCs w:val="24"/>
        </w:rPr>
      </w:pPr>
    </w:p>
    <w:p w:rsidR="00F411CA" w:rsidRDefault="00F411CA" w:rsidP="00F072AE">
      <w:pPr>
        <w:spacing w:after="0"/>
        <w:rPr>
          <w:sz w:val="24"/>
          <w:szCs w:val="24"/>
        </w:rPr>
      </w:pPr>
      <w:r>
        <w:rPr>
          <w:sz w:val="24"/>
          <w:szCs w:val="24"/>
        </w:rPr>
        <w:t>AENE</w:t>
      </w:r>
      <w:r>
        <w:rPr>
          <w:sz w:val="24"/>
          <w:szCs w:val="24"/>
        </w:rPr>
        <w:tab/>
      </w:r>
      <w:r>
        <w:rPr>
          <w:sz w:val="24"/>
          <w:szCs w:val="24"/>
        </w:rPr>
        <w:tab/>
        <w:t>Adjusted Estimates of National Expenditure</w:t>
      </w:r>
    </w:p>
    <w:p w:rsidR="006C39CE" w:rsidRPr="00F072AE" w:rsidRDefault="006C39CE" w:rsidP="00F072AE">
      <w:pPr>
        <w:spacing w:after="0"/>
        <w:rPr>
          <w:sz w:val="24"/>
          <w:szCs w:val="24"/>
        </w:rPr>
      </w:pPr>
      <w:r w:rsidRPr="00F072AE">
        <w:rPr>
          <w:sz w:val="24"/>
          <w:szCs w:val="24"/>
        </w:rPr>
        <w:t>ETI</w:t>
      </w:r>
      <w:r w:rsidRPr="00F072AE">
        <w:rPr>
          <w:sz w:val="24"/>
          <w:szCs w:val="24"/>
        </w:rPr>
        <w:tab/>
      </w:r>
      <w:r w:rsidRPr="00F072AE">
        <w:rPr>
          <w:sz w:val="24"/>
          <w:szCs w:val="24"/>
        </w:rPr>
        <w:tab/>
        <w:t xml:space="preserve">Employment Tax </w:t>
      </w:r>
      <w:r w:rsidR="005F6DBD">
        <w:rPr>
          <w:sz w:val="24"/>
          <w:szCs w:val="24"/>
        </w:rPr>
        <w:t>Incentive</w:t>
      </w:r>
      <w:r w:rsidRPr="00F072AE">
        <w:rPr>
          <w:sz w:val="24"/>
          <w:szCs w:val="24"/>
        </w:rPr>
        <w:t xml:space="preserve"> </w:t>
      </w:r>
    </w:p>
    <w:p w:rsidR="00EE5653" w:rsidRDefault="00EE5653" w:rsidP="00F072AE">
      <w:pPr>
        <w:spacing w:after="0"/>
        <w:rPr>
          <w:sz w:val="24"/>
          <w:szCs w:val="24"/>
        </w:rPr>
      </w:pPr>
      <w:r>
        <w:rPr>
          <w:sz w:val="24"/>
          <w:szCs w:val="24"/>
        </w:rPr>
        <w:t>COE</w:t>
      </w:r>
      <w:r>
        <w:rPr>
          <w:sz w:val="24"/>
          <w:szCs w:val="24"/>
        </w:rPr>
        <w:tab/>
      </w:r>
      <w:r>
        <w:rPr>
          <w:sz w:val="24"/>
          <w:szCs w:val="24"/>
        </w:rPr>
        <w:tab/>
        <w:t xml:space="preserve">Compensation of Employees </w:t>
      </w:r>
    </w:p>
    <w:p w:rsidR="006C39CE" w:rsidRPr="00F072AE" w:rsidRDefault="006C39CE" w:rsidP="00F072AE">
      <w:pPr>
        <w:spacing w:after="0"/>
        <w:rPr>
          <w:sz w:val="24"/>
          <w:szCs w:val="24"/>
        </w:rPr>
      </w:pPr>
      <w:r w:rsidRPr="00F072AE">
        <w:rPr>
          <w:sz w:val="24"/>
          <w:szCs w:val="24"/>
        </w:rPr>
        <w:t>GDP</w:t>
      </w:r>
      <w:r w:rsidRPr="00F072AE">
        <w:rPr>
          <w:sz w:val="24"/>
          <w:szCs w:val="24"/>
        </w:rPr>
        <w:tab/>
      </w:r>
      <w:r w:rsidRPr="00F072AE">
        <w:rPr>
          <w:sz w:val="24"/>
          <w:szCs w:val="24"/>
        </w:rPr>
        <w:tab/>
        <w:t xml:space="preserve">Gross Domestic Product </w:t>
      </w:r>
    </w:p>
    <w:p w:rsidR="006C39CE" w:rsidRPr="00F072AE" w:rsidRDefault="006C39CE" w:rsidP="00F072AE">
      <w:pPr>
        <w:spacing w:after="0"/>
        <w:rPr>
          <w:sz w:val="24"/>
          <w:szCs w:val="24"/>
        </w:rPr>
      </w:pPr>
      <w:r w:rsidRPr="00F072AE">
        <w:rPr>
          <w:sz w:val="24"/>
          <w:szCs w:val="24"/>
        </w:rPr>
        <w:t>MIG</w:t>
      </w:r>
      <w:r w:rsidRPr="00F072AE">
        <w:rPr>
          <w:sz w:val="24"/>
          <w:szCs w:val="24"/>
        </w:rPr>
        <w:tab/>
      </w:r>
      <w:r w:rsidRPr="00F072AE">
        <w:rPr>
          <w:sz w:val="24"/>
          <w:szCs w:val="24"/>
        </w:rPr>
        <w:tab/>
        <w:t xml:space="preserve">Municipal Infrastructure Grant </w:t>
      </w:r>
    </w:p>
    <w:p w:rsidR="006C39CE" w:rsidRPr="00F072AE" w:rsidRDefault="006C39CE" w:rsidP="00F072AE">
      <w:pPr>
        <w:spacing w:after="0"/>
        <w:rPr>
          <w:sz w:val="24"/>
          <w:szCs w:val="24"/>
        </w:rPr>
      </w:pPr>
      <w:r w:rsidRPr="00F072AE">
        <w:rPr>
          <w:sz w:val="24"/>
          <w:szCs w:val="24"/>
        </w:rPr>
        <w:t>MTBPS</w:t>
      </w:r>
      <w:r w:rsidRPr="00F072AE">
        <w:rPr>
          <w:sz w:val="24"/>
          <w:szCs w:val="24"/>
        </w:rPr>
        <w:tab/>
        <w:t xml:space="preserve">Medium Term Budget Policy Statement </w:t>
      </w:r>
    </w:p>
    <w:p w:rsidR="006C39CE" w:rsidRPr="00F072AE" w:rsidRDefault="006C39CE" w:rsidP="00F072AE">
      <w:pPr>
        <w:spacing w:after="0"/>
        <w:rPr>
          <w:sz w:val="24"/>
          <w:szCs w:val="24"/>
        </w:rPr>
      </w:pPr>
      <w:r w:rsidRPr="00F072AE">
        <w:rPr>
          <w:sz w:val="24"/>
          <w:szCs w:val="24"/>
        </w:rPr>
        <w:t>MTEF</w:t>
      </w:r>
      <w:r w:rsidRPr="00F072AE">
        <w:rPr>
          <w:sz w:val="24"/>
          <w:szCs w:val="24"/>
        </w:rPr>
        <w:tab/>
      </w:r>
      <w:r w:rsidRPr="00F072AE">
        <w:rPr>
          <w:sz w:val="24"/>
          <w:szCs w:val="24"/>
        </w:rPr>
        <w:tab/>
        <w:t>Medium Term Expenditure Framework</w:t>
      </w:r>
    </w:p>
    <w:p w:rsidR="006C39CE" w:rsidRPr="00F072AE" w:rsidRDefault="006C39CE" w:rsidP="00F072AE">
      <w:pPr>
        <w:spacing w:after="0"/>
        <w:rPr>
          <w:sz w:val="24"/>
          <w:szCs w:val="24"/>
        </w:rPr>
      </w:pPr>
      <w:r w:rsidRPr="00F072AE">
        <w:rPr>
          <w:sz w:val="24"/>
          <w:szCs w:val="24"/>
        </w:rPr>
        <w:t>PAYE</w:t>
      </w:r>
      <w:r w:rsidRPr="00F072AE">
        <w:rPr>
          <w:sz w:val="24"/>
          <w:szCs w:val="24"/>
        </w:rPr>
        <w:tab/>
      </w:r>
      <w:r w:rsidRPr="00F072AE">
        <w:rPr>
          <w:sz w:val="24"/>
          <w:szCs w:val="24"/>
        </w:rPr>
        <w:tab/>
        <w:t>Pay As You Earn</w:t>
      </w:r>
    </w:p>
    <w:p w:rsidR="006C39CE" w:rsidRPr="006E090B" w:rsidRDefault="006C39CE">
      <w:pPr>
        <w:spacing w:after="0" w:line="240" w:lineRule="auto"/>
        <w:rPr>
          <w:sz w:val="24"/>
          <w:szCs w:val="24"/>
        </w:rPr>
      </w:pPr>
      <w:r>
        <w:rPr>
          <w:szCs w:val="24"/>
        </w:rPr>
        <w:t>SAA</w:t>
      </w:r>
      <w:r>
        <w:rPr>
          <w:szCs w:val="24"/>
        </w:rPr>
        <w:tab/>
      </w:r>
      <w:r>
        <w:rPr>
          <w:szCs w:val="24"/>
        </w:rPr>
        <w:tab/>
      </w:r>
      <w:r w:rsidRPr="006E090B">
        <w:rPr>
          <w:sz w:val="24"/>
          <w:szCs w:val="24"/>
        </w:rPr>
        <w:t>South African Airways</w:t>
      </w:r>
    </w:p>
    <w:p w:rsidR="006C39CE" w:rsidRPr="006E090B" w:rsidRDefault="006C39CE">
      <w:pPr>
        <w:spacing w:after="0" w:line="240" w:lineRule="auto"/>
        <w:rPr>
          <w:sz w:val="24"/>
          <w:szCs w:val="24"/>
        </w:rPr>
      </w:pPr>
      <w:r w:rsidRPr="006E090B">
        <w:rPr>
          <w:sz w:val="24"/>
          <w:szCs w:val="24"/>
        </w:rPr>
        <w:t>SANRAL</w:t>
      </w:r>
      <w:r w:rsidRPr="006E090B">
        <w:rPr>
          <w:sz w:val="24"/>
          <w:szCs w:val="24"/>
        </w:rPr>
        <w:tab/>
        <w:t xml:space="preserve">South African National Roads Agency </w:t>
      </w:r>
    </w:p>
    <w:p w:rsidR="006C39CE" w:rsidRPr="006E090B" w:rsidRDefault="006C39CE">
      <w:pPr>
        <w:spacing w:after="0" w:line="240" w:lineRule="auto"/>
        <w:rPr>
          <w:sz w:val="24"/>
          <w:szCs w:val="24"/>
        </w:rPr>
      </w:pPr>
      <w:r w:rsidRPr="006E090B">
        <w:rPr>
          <w:sz w:val="24"/>
          <w:szCs w:val="24"/>
        </w:rPr>
        <w:t>SARB</w:t>
      </w:r>
      <w:r w:rsidRPr="006E090B">
        <w:rPr>
          <w:sz w:val="24"/>
          <w:szCs w:val="24"/>
        </w:rPr>
        <w:tab/>
      </w:r>
      <w:r w:rsidRPr="006E090B">
        <w:rPr>
          <w:sz w:val="24"/>
          <w:szCs w:val="24"/>
        </w:rPr>
        <w:tab/>
        <w:t>South African Reserve Bank</w:t>
      </w:r>
    </w:p>
    <w:p w:rsidR="006C39CE" w:rsidRPr="00F072AE" w:rsidRDefault="006C39CE" w:rsidP="00F072AE">
      <w:pPr>
        <w:spacing w:after="0"/>
        <w:rPr>
          <w:sz w:val="24"/>
          <w:szCs w:val="24"/>
        </w:rPr>
      </w:pPr>
      <w:r w:rsidRPr="00F072AE">
        <w:rPr>
          <w:sz w:val="24"/>
          <w:szCs w:val="24"/>
        </w:rPr>
        <w:t>SARS</w:t>
      </w:r>
      <w:r w:rsidRPr="00F072AE">
        <w:rPr>
          <w:sz w:val="24"/>
          <w:szCs w:val="24"/>
        </w:rPr>
        <w:tab/>
      </w:r>
      <w:r w:rsidRPr="00F072AE">
        <w:rPr>
          <w:sz w:val="24"/>
          <w:szCs w:val="24"/>
        </w:rPr>
        <w:tab/>
        <w:t>South African Revenue Services</w:t>
      </w:r>
    </w:p>
    <w:p w:rsidR="006C39CE" w:rsidRPr="00F072AE" w:rsidRDefault="006C39CE" w:rsidP="00F072AE">
      <w:pPr>
        <w:spacing w:after="0"/>
        <w:rPr>
          <w:sz w:val="24"/>
          <w:szCs w:val="24"/>
        </w:rPr>
      </w:pPr>
      <w:r w:rsidRPr="00F072AE">
        <w:rPr>
          <w:sz w:val="24"/>
          <w:szCs w:val="24"/>
        </w:rPr>
        <w:t>SASRIA</w:t>
      </w:r>
      <w:r w:rsidRPr="00F072AE">
        <w:rPr>
          <w:sz w:val="24"/>
          <w:szCs w:val="24"/>
        </w:rPr>
        <w:tab/>
        <w:t>South African Special Risk Insurance Association</w:t>
      </w:r>
    </w:p>
    <w:p w:rsidR="006C39CE" w:rsidRPr="00F072AE" w:rsidRDefault="006C39CE" w:rsidP="00F072AE">
      <w:pPr>
        <w:spacing w:after="0"/>
        <w:rPr>
          <w:sz w:val="24"/>
          <w:szCs w:val="24"/>
        </w:rPr>
      </w:pPr>
      <w:r w:rsidRPr="00F072AE">
        <w:rPr>
          <w:sz w:val="24"/>
          <w:szCs w:val="24"/>
        </w:rPr>
        <w:t>SOE</w:t>
      </w:r>
      <w:r w:rsidRPr="00F072AE">
        <w:rPr>
          <w:sz w:val="24"/>
          <w:szCs w:val="24"/>
        </w:rPr>
        <w:tab/>
      </w:r>
      <w:r w:rsidRPr="00F072AE">
        <w:rPr>
          <w:sz w:val="24"/>
          <w:szCs w:val="24"/>
        </w:rPr>
        <w:tab/>
        <w:t xml:space="preserve">State Owned Enterprise </w:t>
      </w:r>
    </w:p>
    <w:p w:rsidR="006C39CE" w:rsidRPr="00F072AE" w:rsidRDefault="006C39CE" w:rsidP="00F072AE">
      <w:pPr>
        <w:spacing w:after="0"/>
        <w:rPr>
          <w:sz w:val="24"/>
          <w:szCs w:val="24"/>
        </w:rPr>
      </w:pPr>
      <w:r w:rsidRPr="00F072AE">
        <w:rPr>
          <w:sz w:val="24"/>
          <w:szCs w:val="24"/>
        </w:rPr>
        <w:t>SRD</w:t>
      </w:r>
      <w:r w:rsidRPr="00F072AE">
        <w:rPr>
          <w:sz w:val="24"/>
          <w:szCs w:val="24"/>
        </w:rPr>
        <w:tab/>
      </w:r>
      <w:r w:rsidRPr="00F072AE">
        <w:rPr>
          <w:sz w:val="24"/>
          <w:szCs w:val="24"/>
        </w:rPr>
        <w:tab/>
        <w:t xml:space="preserve">Social Relief of Distress Grant </w:t>
      </w:r>
    </w:p>
    <w:p w:rsidR="006C39CE" w:rsidRDefault="006C39CE" w:rsidP="00F072AE">
      <w:pPr>
        <w:spacing w:after="0"/>
        <w:rPr>
          <w:sz w:val="24"/>
          <w:szCs w:val="24"/>
        </w:rPr>
      </w:pPr>
      <w:r w:rsidRPr="00F072AE">
        <w:rPr>
          <w:sz w:val="24"/>
          <w:szCs w:val="24"/>
        </w:rPr>
        <w:t>TALAB</w:t>
      </w:r>
      <w:r w:rsidRPr="00F072AE">
        <w:rPr>
          <w:sz w:val="24"/>
          <w:szCs w:val="24"/>
        </w:rPr>
        <w:tab/>
        <w:t>Tax Administration Laws Amendment Bill</w:t>
      </w:r>
    </w:p>
    <w:p w:rsidR="0054793A" w:rsidRDefault="00C62B48" w:rsidP="00866719">
      <w:pPr>
        <w:pStyle w:val="Heading1"/>
      </w:pPr>
      <w:bookmarkStart w:id="1" w:name="_Toc87715666"/>
      <w:r>
        <w:t>Submission</w:t>
      </w:r>
      <w:r w:rsidR="00F24A77">
        <w:t xml:space="preserve"> Summary</w:t>
      </w:r>
      <w:bookmarkEnd w:id="1"/>
    </w:p>
    <w:p w:rsidR="00886B7E" w:rsidRDefault="00886B7E" w:rsidP="0054793A">
      <w:pPr>
        <w:pStyle w:val="ListParagraph"/>
      </w:pPr>
      <w:r w:rsidRPr="00886B7E">
        <w:t>This submission is prepared in terms of Section 4 (4c) of the Money Bills Amendment Procedure and Related Matters Act (Act 9 of 2009)</w:t>
      </w:r>
      <w:r w:rsidR="00F560C3">
        <w:t xml:space="preserve"> as amended</w:t>
      </w:r>
      <w:r w:rsidR="00402A95">
        <w:t>,</w:t>
      </w:r>
      <w:r w:rsidRPr="00886B7E">
        <w:t xml:space="preserve"> which requires Parliamentary Committees to consider any recommendations of the Financial and Fiscal Commission (FFC) (hereafter the Commission) when considering Money Bills. It is also made in terms of the FFC Act (1997) as amended, which requires the Commission to respond to any requests for recommendations by any organ of state on financial and fiscal matters.</w:t>
      </w:r>
    </w:p>
    <w:p w:rsidR="007104A9" w:rsidRDefault="00615DE3" w:rsidP="00A6587B">
      <w:pPr>
        <w:pStyle w:val="ListParagraph"/>
      </w:pPr>
      <w:r>
        <w:t>The Commission welcomes</w:t>
      </w:r>
      <w:r w:rsidR="00984695">
        <w:t xml:space="preserve"> th</w:t>
      </w:r>
      <w:r w:rsidR="00C2591E">
        <w:t>e</w:t>
      </w:r>
      <w:r w:rsidR="00984695">
        <w:t xml:space="preserve"> 2021 MTBPS tabled</w:t>
      </w:r>
      <w:r w:rsidR="00BE6641">
        <w:t xml:space="preserve"> by the Minister of Finance</w:t>
      </w:r>
      <w:r>
        <w:t xml:space="preserve">, especially </w:t>
      </w:r>
      <w:r w:rsidR="00A37245">
        <w:t>given</w:t>
      </w:r>
      <w:r w:rsidR="0073738A">
        <w:t xml:space="preserve"> </w:t>
      </w:r>
      <w:r>
        <w:t xml:space="preserve">the context of declining investor confidence </w:t>
      </w:r>
      <w:r w:rsidR="00B27DBF">
        <w:t xml:space="preserve">compounded </w:t>
      </w:r>
      <w:r>
        <w:t xml:space="preserve">by </w:t>
      </w:r>
      <w:r w:rsidR="00B27DBF">
        <w:t xml:space="preserve">the </w:t>
      </w:r>
      <w:r>
        <w:t>recent nationwide civil unrest</w:t>
      </w:r>
      <w:r w:rsidR="009E2A9E">
        <w:t xml:space="preserve"> -</w:t>
      </w:r>
      <w:r w:rsidR="00AB390E">
        <w:t xml:space="preserve"> atop of </w:t>
      </w:r>
      <w:r w:rsidR="000F6AE4">
        <w:t xml:space="preserve">a </w:t>
      </w:r>
      <w:r w:rsidR="00E338C5">
        <w:t>prolonged</w:t>
      </w:r>
      <w:r w:rsidR="000F6AE4">
        <w:t xml:space="preserve"> precarious </w:t>
      </w:r>
      <w:r w:rsidR="00A01423">
        <w:t xml:space="preserve">country </w:t>
      </w:r>
      <w:r w:rsidR="000F6AE4">
        <w:t>fiscal position</w:t>
      </w:r>
      <w:r w:rsidR="00984695">
        <w:t xml:space="preserve">. In particular, the </w:t>
      </w:r>
      <w:r w:rsidR="00565C09">
        <w:t xml:space="preserve">Commission </w:t>
      </w:r>
      <w:r>
        <w:t>note</w:t>
      </w:r>
      <w:r w:rsidR="000B46B5">
        <w:t>s</w:t>
      </w:r>
      <w:r w:rsidR="00984695">
        <w:t xml:space="preserve"> the government</w:t>
      </w:r>
      <w:r w:rsidR="00A37245">
        <w:t>'s</w:t>
      </w:r>
      <w:r w:rsidR="00984695">
        <w:t xml:space="preserve"> effort</w:t>
      </w:r>
      <w:r w:rsidR="00A37245">
        <w:t>s</w:t>
      </w:r>
      <w:r w:rsidR="00984695">
        <w:t xml:space="preserve"> to maintain </w:t>
      </w:r>
      <w:r w:rsidR="00A37245">
        <w:t xml:space="preserve">a </w:t>
      </w:r>
      <w:r w:rsidR="00984695" w:rsidRPr="00930917">
        <w:t>modest</w:t>
      </w:r>
      <w:r w:rsidR="00984695">
        <w:t xml:space="preserve"> expenditure growth while making sure that core spending</w:t>
      </w:r>
      <w:r w:rsidR="007F0A0B">
        <w:t xml:space="preserve"> area</w:t>
      </w:r>
      <w:r w:rsidR="005D38C0">
        <w:t>s</w:t>
      </w:r>
      <w:r w:rsidR="00984695">
        <w:t xml:space="preserve"> </w:t>
      </w:r>
      <w:r w:rsidR="005D38C0">
        <w:t>are</w:t>
      </w:r>
      <w:r w:rsidR="00984695">
        <w:t xml:space="preserve"> </w:t>
      </w:r>
      <w:r w:rsidR="00A37245">
        <w:t>preserved</w:t>
      </w:r>
      <w:r w:rsidR="00984695">
        <w:t xml:space="preserve">. </w:t>
      </w:r>
    </w:p>
    <w:p w:rsidR="00AC4843" w:rsidRDefault="00CE27E4" w:rsidP="00AC4843">
      <w:pPr>
        <w:pStyle w:val="Heading2"/>
      </w:pPr>
      <w:bookmarkStart w:id="2" w:name="_Toc87715667"/>
      <w:r>
        <w:t>E</w:t>
      </w:r>
      <w:r w:rsidR="00AC4843">
        <w:t xml:space="preserve">conomic </w:t>
      </w:r>
      <w:r w:rsidR="00527D2C">
        <w:t>p</w:t>
      </w:r>
      <w:r w:rsidR="00AC4843">
        <w:t>ros</w:t>
      </w:r>
      <w:r w:rsidR="004B52EF">
        <w:t>p</w:t>
      </w:r>
      <w:r w:rsidR="00AC4843">
        <w:t>ect</w:t>
      </w:r>
      <w:bookmarkEnd w:id="2"/>
    </w:p>
    <w:p w:rsidR="00BC3BF1" w:rsidRDefault="00984695" w:rsidP="00A6587B">
      <w:pPr>
        <w:pStyle w:val="ListParagraph"/>
      </w:pPr>
      <w:r>
        <w:t xml:space="preserve">The recent </w:t>
      </w:r>
      <w:r w:rsidR="00456618">
        <w:t>economic</w:t>
      </w:r>
      <w:r>
        <w:t xml:space="preserve"> green shoots </w:t>
      </w:r>
      <w:r w:rsidR="005067A5">
        <w:t>exemplified by positive GDP growth in</w:t>
      </w:r>
      <w:r w:rsidR="000B46B5">
        <w:t xml:space="preserve"> the</w:t>
      </w:r>
      <w:r w:rsidR="005067A5">
        <w:t xml:space="preserve"> first and second quarter</w:t>
      </w:r>
      <w:r w:rsidR="00C33877">
        <w:t>s</w:t>
      </w:r>
      <w:r w:rsidR="005067A5">
        <w:t xml:space="preserve"> of 2021 auger well </w:t>
      </w:r>
      <w:r w:rsidR="00994C63">
        <w:t>as a foundation</w:t>
      </w:r>
      <w:r w:rsidR="005067A5">
        <w:t xml:space="preserve"> for </w:t>
      </w:r>
      <w:r w:rsidR="00266817">
        <w:t xml:space="preserve">a </w:t>
      </w:r>
      <w:r w:rsidR="00BC3BF1">
        <w:t xml:space="preserve">sustained </w:t>
      </w:r>
      <w:r w:rsidR="005067A5">
        <w:t xml:space="preserve">economic recovery and </w:t>
      </w:r>
      <w:r w:rsidR="00266817">
        <w:t xml:space="preserve">a </w:t>
      </w:r>
      <w:r w:rsidR="00BC3BF1">
        <w:t xml:space="preserve">stable </w:t>
      </w:r>
      <w:r w:rsidR="005067A5">
        <w:t>fiscal path.</w:t>
      </w:r>
      <w:r w:rsidR="00320008">
        <w:t xml:space="preserve"> </w:t>
      </w:r>
      <w:r w:rsidR="007104A9">
        <w:t>However, t</w:t>
      </w:r>
      <w:r w:rsidR="007104A9" w:rsidRPr="007104A9">
        <w:t>hreats to economic recovery continue to mount as pre-existing structural bottlenecks that severely constrained growth deepen. Intermittent energy supplies, unresolved corruption, poor policy</w:t>
      </w:r>
      <w:r w:rsidR="00E07186">
        <w:t>-</w:t>
      </w:r>
      <w:r w:rsidR="007104A9" w:rsidRPr="007104A9">
        <w:t xml:space="preserve">making and execution </w:t>
      </w:r>
      <w:r w:rsidR="001C2607">
        <w:t>etc.</w:t>
      </w:r>
      <w:r w:rsidR="007104A9" w:rsidRPr="007104A9">
        <w:t xml:space="preserve"> culminate in the loss of confidence or increased borrowing costs </w:t>
      </w:r>
      <w:r w:rsidR="00952859">
        <w:t>for</w:t>
      </w:r>
      <w:r w:rsidR="007104A9" w:rsidRPr="007104A9">
        <w:t xml:space="preserve"> the bonds we issue.</w:t>
      </w:r>
      <w:r w:rsidR="008C7B53" w:rsidRPr="008C7B53">
        <w:t xml:space="preserve"> South Africa can and must seek to avoid withdrawing its fiscal support </w:t>
      </w:r>
      <w:r w:rsidR="001708B0">
        <w:t xml:space="preserve">to </w:t>
      </w:r>
      <w:r w:rsidR="006E15F4">
        <w:t>vulnerable</w:t>
      </w:r>
      <w:r w:rsidR="001708B0">
        <w:t xml:space="preserve"> citizens and the domestic economy</w:t>
      </w:r>
      <w:r w:rsidR="008C7B53" w:rsidRPr="008C7B53">
        <w:t xml:space="preserve"> too early and still signal to the public that its debt levels are sustainable in the long</w:t>
      </w:r>
      <w:r w:rsidR="00775832">
        <w:t xml:space="preserve"> </w:t>
      </w:r>
      <w:r w:rsidR="008C7B53" w:rsidRPr="008C7B53">
        <w:t>run</w:t>
      </w:r>
      <w:r w:rsidR="00A0189C">
        <w:t>,</w:t>
      </w:r>
      <w:r w:rsidR="008C7B53" w:rsidRPr="008C7B53">
        <w:t xml:space="preserve"> by eliminating leakages and executing reprioritisations that are productive and constructive.</w:t>
      </w:r>
    </w:p>
    <w:p w:rsidR="00930917" w:rsidRDefault="005067A5" w:rsidP="00A6587B">
      <w:pPr>
        <w:pStyle w:val="ListParagraph"/>
      </w:pPr>
      <w:r>
        <w:t xml:space="preserve">Global </w:t>
      </w:r>
      <w:r w:rsidR="002B19C1">
        <w:t>COVID</w:t>
      </w:r>
      <w:r>
        <w:t xml:space="preserve">-19 vaccination acceleration and the resultant opening of major economies </w:t>
      </w:r>
      <w:r w:rsidR="005E379A">
        <w:t xml:space="preserve">are poised to improve </w:t>
      </w:r>
      <w:r w:rsidR="00AC4155">
        <w:t xml:space="preserve">the </w:t>
      </w:r>
      <w:r w:rsidR="005E379A">
        <w:t xml:space="preserve">near-term economic growth outlook. The World Bank </w:t>
      </w:r>
      <w:r w:rsidR="24CD0E78">
        <w:t>project</w:t>
      </w:r>
      <w:r w:rsidR="4F0878A4">
        <w:t>s</w:t>
      </w:r>
      <w:r w:rsidR="005E379A">
        <w:t xml:space="preserve"> that the global economy</w:t>
      </w:r>
      <w:r w:rsidR="24CD0E78">
        <w:t xml:space="preserve"> </w:t>
      </w:r>
      <w:r w:rsidR="7F0EE963">
        <w:t>will</w:t>
      </w:r>
      <w:r w:rsidR="005E379A">
        <w:t xml:space="preserve"> increase by 4% in 2021</w:t>
      </w:r>
      <w:r w:rsidR="001D2A94">
        <w:t>,</w:t>
      </w:r>
      <w:r w:rsidR="005E379A">
        <w:t xml:space="preserve"> while the IMF has </w:t>
      </w:r>
      <w:r w:rsidR="466B2FC2">
        <w:t>upwardly</w:t>
      </w:r>
      <w:r w:rsidR="24CD0E78">
        <w:t xml:space="preserve"> </w:t>
      </w:r>
      <w:r w:rsidR="005E379A">
        <w:t xml:space="preserve">revised South </w:t>
      </w:r>
      <w:r w:rsidR="00A37245">
        <w:t xml:space="preserve">Africa's </w:t>
      </w:r>
      <w:r w:rsidR="005E379A">
        <w:t>growth outlook from 3.8% to 4% - slight</w:t>
      </w:r>
      <w:r w:rsidR="00113794">
        <w:t>ly</w:t>
      </w:r>
      <w:r w:rsidR="005E379A">
        <w:t xml:space="preserve"> differen</w:t>
      </w:r>
      <w:r w:rsidR="00113794">
        <w:t xml:space="preserve">t to </w:t>
      </w:r>
      <w:r w:rsidR="005E379A">
        <w:t xml:space="preserve">the </w:t>
      </w:r>
      <w:r w:rsidR="008F24B0">
        <w:t>South African</w:t>
      </w:r>
      <w:r w:rsidR="005E379A">
        <w:t xml:space="preserve"> Reserve Bank growth estimate of 4.2%.</w:t>
      </w:r>
      <w:r w:rsidR="17E1A347">
        <w:t xml:space="preserve"> </w:t>
      </w:r>
      <w:r w:rsidR="633FADDB">
        <w:t xml:space="preserve">Economic growth prospects have since improved as </w:t>
      </w:r>
      <w:r w:rsidR="00446629">
        <w:t xml:space="preserve">the </w:t>
      </w:r>
      <w:r w:rsidR="73DD61A3">
        <w:t>2021</w:t>
      </w:r>
      <w:r w:rsidR="633FADDB">
        <w:t xml:space="preserve"> MTBPS project</w:t>
      </w:r>
      <w:r w:rsidR="00446629">
        <w:t>s</w:t>
      </w:r>
      <w:r w:rsidR="633FADDB">
        <w:t xml:space="preserve"> a much stronger growth outlook of 5.1</w:t>
      </w:r>
      <w:r w:rsidR="77963BF5">
        <w:t>% in 202</w:t>
      </w:r>
      <w:r w:rsidR="274536CE">
        <w:t xml:space="preserve">1. However, it </w:t>
      </w:r>
      <w:r w:rsidR="00AC4155">
        <w:t xml:space="preserve">is </w:t>
      </w:r>
      <w:r w:rsidR="274536CE">
        <w:t xml:space="preserve">worth </w:t>
      </w:r>
      <w:r w:rsidR="00044597">
        <w:t>emphas</w:t>
      </w:r>
      <w:r w:rsidR="00BD57D3">
        <w:t>is</w:t>
      </w:r>
      <w:r w:rsidR="00361B59">
        <w:t xml:space="preserve">ing </w:t>
      </w:r>
      <w:r w:rsidR="274536CE">
        <w:t xml:space="preserve">that </w:t>
      </w:r>
      <w:r w:rsidR="00361B59">
        <w:t xml:space="preserve">despite </w:t>
      </w:r>
      <w:r w:rsidR="274536CE">
        <w:t xml:space="preserve">the </w:t>
      </w:r>
      <w:r w:rsidR="00361B59">
        <w:t xml:space="preserve">positive </w:t>
      </w:r>
      <w:r w:rsidR="6BD4AD9E">
        <w:t>growth</w:t>
      </w:r>
      <w:r w:rsidR="00361B59">
        <w:t xml:space="preserve"> prospects</w:t>
      </w:r>
      <w:r w:rsidR="001E25AA">
        <w:t xml:space="preserve"> -</w:t>
      </w:r>
      <w:r w:rsidR="200084B8">
        <w:t xml:space="preserve"> </w:t>
      </w:r>
      <w:r w:rsidR="00F653A9">
        <w:t xml:space="preserve">economic activity </w:t>
      </w:r>
      <w:r w:rsidR="00044597">
        <w:t>in</w:t>
      </w:r>
      <w:r w:rsidR="00F653A9">
        <w:t xml:space="preserve"> terms of real Gross Domestic Product (GDP) </w:t>
      </w:r>
      <w:r w:rsidR="000F3C08">
        <w:t>as at quarter 2 of 2021</w:t>
      </w:r>
      <w:r w:rsidR="6BD4AD9E">
        <w:t xml:space="preserve"> </w:t>
      </w:r>
      <w:r w:rsidR="16DE664C">
        <w:t>remain</w:t>
      </w:r>
      <w:r w:rsidR="007359B6">
        <w:t>ed</w:t>
      </w:r>
      <w:r w:rsidR="16DE664C">
        <w:t xml:space="preserve"> </w:t>
      </w:r>
      <w:r w:rsidR="000F3C08">
        <w:t>at</w:t>
      </w:r>
      <w:r w:rsidR="16DE664C">
        <w:t xml:space="preserve"> the level last experi</w:t>
      </w:r>
      <w:r w:rsidR="0387BAA7">
        <w:t xml:space="preserve">enced in </w:t>
      </w:r>
      <w:r w:rsidR="00AC4155">
        <w:t xml:space="preserve">the </w:t>
      </w:r>
      <w:r w:rsidR="0387BAA7">
        <w:t>last quarter of 2017.</w:t>
      </w:r>
    </w:p>
    <w:p w:rsidR="00B563B8" w:rsidRDefault="00B563B8" w:rsidP="00B563B8">
      <w:pPr>
        <w:pStyle w:val="Heading2"/>
      </w:pPr>
      <w:bookmarkStart w:id="3" w:name="_Toc87715668"/>
      <w:r w:rsidRPr="00B563B8">
        <w:t>Tax collection surplus and expenditure adjustments</w:t>
      </w:r>
      <w:bookmarkEnd w:id="3"/>
    </w:p>
    <w:p w:rsidR="10701BE8" w:rsidRDefault="005E379A" w:rsidP="00A6587B">
      <w:pPr>
        <w:pStyle w:val="ListParagraph"/>
      </w:pPr>
      <w:r>
        <w:t xml:space="preserve">With </w:t>
      </w:r>
      <w:r w:rsidR="001D58F8">
        <w:t>near-term</w:t>
      </w:r>
      <w:r>
        <w:t xml:space="preserve"> improved economic growth prospects, total tax receipts are expected</w:t>
      </w:r>
      <w:r w:rsidR="00FD5AA5">
        <w:t xml:space="preserve"> to</w:t>
      </w:r>
      <w:r>
        <w:t xml:space="preserve"> improve from R</w:t>
      </w:r>
      <w:r w:rsidR="20D6E8FF">
        <w:t>1.365</w:t>
      </w:r>
      <w:r>
        <w:t xml:space="preserve"> </w:t>
      </w:r>
      <w:r w:rsidR="004322E7">
        <w:t>tr</w:t>
      </w:r>
      <w:r>
        <w:t xml:space="preserve">illion </w:t>
      </w:r>
      <w:r w:rsidR="00FD5AA5">
        <w:t xml:space="preserve">as </w:t>
      </w:r>
      <w:r>
        <w:t>table</w:t>
      </w:r>
      <w:r w:rsidR="00312E2F">
        <w:t>d</w:t>
      </w:r>
      <w:r>
        <w:t xml:space="preserve"> in the 2021 </w:t>
      </w:r>
      <w:r w:rsidR="00D37861">
        <w:t>B</w:t>
      </w:r>
      <w:r>
        <w:t xml:space="preserve">udget to </w:t>
      </w:r>
      <w:r w:rsidR="00312E2F">
        <w:t>R</w:t>
      </w:r>
      <w:r w:rsidR="0C68B0EF">
        <w:t>1.485</w:t>
      </w:r>
      <w:r w:rsidR="00312E2F">
        <w:t xml:space="preserve"> </w:t>
      </w:r>
      <w:r w:rsidR="004322E7">
        <w:t>tr</w:t>
      </w:r>
      <w:r w:rsidR="00312E2F">
        <w:t xml:space="preserve">illion. The country is already reaping the benefits of tax collection recovery used to finance </w:t>
      </w:r>
      <w:r w:rsidR="003E7283">
        <w:t xml:space="preserve">the </w:t>
      </w:r>
      <w:r w:rsidR="00312E2F">
        <w:t xml:space="preserve">extension of the Social Relief of Distress Grant </w:t>
      </w:r>
      <w:r w:rsidR="00F041E4">
        <w:t>in</w:t>
      </w:r>
      <w:r w:rsidR="00312E2F">
        <w:t xml:space="preserve"> the </w:t>
      </w:r>
      <w:r w:rsidR="00F041E4">
        <w:t>amount</w:t>
      </w:r>
      <w:r w:rsidR="00312E2F">
        <w:t xml:space="preserve"> of R</w:t>
      </w:r>
      <w:r w:rsidR="09A1A5A5">
        <w:t>32</w:t>
      </w:r>
      <w:r w:rsidR="00312E2F">
        <w:t xml:space="preserve"> billion. Whereas growth in tax collection </w:t>
      </w:r>
      <w:r w:rsidR="00936667">
        <w:t>associated with this</w:t>
      </w:r>
      <w:r w:rsidR="00312E2F">
        <w:t xml:space="preserve"> </w:t>
      </w:r>
      <w:r w:rsidR="005D42FA">
        <w:t xml:space="preserve">economic recovery is a welcome development, </w:t>
      </w:r>
      <w:r w:rsidR="003E7283">
        <w:t xml:space="preserve">the </w:t>
      </w:r>
      <w:r w:rsidR="005D42FA">
        <w:t xml:space="preserve">government must continue to focus on improving tax compliance and </w:t>
      </w:r>
      <w:r w:rsidR="59183283">
        <w:t>narrowing</w:t>
      </w:r>
      <w:r w:rsidR="005D42FA">
        <w:t xml:space="preserve"> the tax-to</w:t>
      </w:r>
      <w:r w:rsidR="00B10362">
        <w:t>-</w:t>
      </w:r>
      <w:r w:rsidR="005D42FA">
        <w:t xml:space="preserve">GDP gap. </w:t>
      </w:r>
      <w:r w:rsidR="007C68C5">
        <w:t xml:space="preserve">Closing the tax gap must be accompanied by stringent efforts to stem </w:t>
      </w:r>
      <w:r w:rsidR="004C1971">
        <w:t xml:space="preserve">tax </w:t>
      </w:r>
      <w:r w:rsidR="007C68C5">
        <w:t>base erosion and profit shifting a</w:t>
      </w:r>
      <w:r w:rsidR="00103077">
        <w:t>nd</w:t>
      </w:r>
      <w:r w:rsidR="007C68C5">
        <w:t xml:space="preserve"> broade</w:t>
      </w:r>
      <w:r w:rsidR="00C87E23">
        <w:t>n</w:t>
      </w:r>
      <w:r w:rsidR="007C68C5">
        <w:t xml:space="preserve"> governance measure</w:t>
      </w:r>
      <w:r w:rsidR="00103077">
        <w:t>s</w:t>
      </w:r>
      <w:r w:rsidR="007C68C5">
        <w:t xml:space="preserve"> to improve tax </w:t>
      </w:r>
      <w:r w:rsidR="00103077">
        <w:t>efficiency</w:t>
      </w:r>
      <w:r w:rsidR="007C68C5">
        <w:t>. Incessant</w:t>
      </w:r>
      <w:r w:rsidR="00A431F1">
        <w:t xml:space="preserve">, </w:t>
      </w:r>
      <w:r w:rsidR="0038548B">
        <w:t xml:space="preserve">unresolved </w:t>
      </w:r>
      <w:r w:rsidR="007C68C5">
        <w:t xml:space="preserve">corruption </w:t>
      </w:r>
      <w:r w:rsidR="00A431F1">
        <w:t xml:space="preserve">and </w:t>
      </w:r>
      <w:r w:rsidR="00170954">
        <w:t xml:space="preserve">widespread fiscal leakages </w:t>
      </w:r>
      <w:r w:rsidR="00A408E8">
        <w:t>ha</w:t>
      </w:r>
      <w:r w:rsidR="00170954">
        <w:t>ve</w:t>
      </w:r>
      <w:r w:rsidR="00A408E8">
        <w:t xml:space="preserve"> </w:t>
      </w:r>
      <w:r w:rsidR="00170954">
        <w:t>made the taxpayers</w:t>
      </w:r>
      <w:r w:rsidR="00071B62">
        <w:t xml:space="preserve"> and businesses</w:t>
      </w:r>
      <w:r w:rsidR="00170954">
        <w:t xml:space="preserve"> </w:t>
      </w:r>
      <w:r w:rsidR="000017A0">
        <w:t>despondent towards</w:t>
      </w:r>
      <w:r w:rsidR="00170954">
        <w:t xml:space="preserve"> </w:t>
      </w:r>
      <w:r w:rsidR="007C68C5">
        <w:t xml:space="preserve">tax morality. </w:t>
      </w:r>
      <w:r w:rsidR="1943DB34" w:rsidRPr="4ABFDA0A">
        <w:t xml:space="preserve">The Commission agrees that the revenue windfall should not be </w:t>
      </w:r>
      <w:r w:rsidR="004A35C2">
        <w:t xml:space="preserve">fully </w:t>
      </w:r>
      <w:r w:rsidR="0096125C">
        <w:t>committed to further</w:t>
      </w:r>
      <w:r w:rsidR="1943DB34" w:rsidRPr="498752F9">
        <w:t xml:space="preserve"> </w:t>
      </w:r>
      <w:r w:rsidR="0096125C">
        <w:t>expanding</w:t>
      </w:r>
      <w:r w:rsidR="1943DB34" w:rsidRPr="498752F9">
        <w:t xml:space="preserve"> expenditure</w:t>
      </w:r>
      <w:r w:rsidR="00EC1A48">
        <w:t>s</w:t>
      </w:r>
      <w:r w:rsidR="00A35EEB" w:rsidRPr="00A35EEB">
        <w:t xml:space="preserve"> </w:t>
      </w:r>
      <w:r w:rsidR="0096125C">
        <w:t xml:space="preserve">that </w:t>
      </w:r>
      <w:r w:rsidR="006E15CF">
        <w:t>ha</w:t>
      </w:r>
      <w:r w:rsidR="00956ECD">
        <w:t>ve</w:t>
      </w:r>
      <w:r w:rsidR="006E15CF">
        <w:t xml:space="preserve"> already grown far beyond our means of revenue</w:t>
      </w:r>
      <w:r w:rsidR="00A35EEB" w:rsidRPr="6201BA5E">
        <w:t>.</w:t>
      </w:r>
      <w:r w:rsidR="00A14DD0">
        <w:t xml:space="preserve"> Instead, </w:t>
      </w:r>
      <w:r w:rsidR="00956ECD">
        <w:t xml:space="preserve">the </w:t>
      </w:r>
      <w:r w:rsidR="00F62985">
        <w:t>revenue windfall</w:t>
      </w:r>
      <w:r w:rsidR="371F527E" w:rsidRPr="3D8EE3E2">
        <w:t xml:space="preserve"> </w:t>
      </w:r>
      <w:r w:rsidR="00A14DD0">
        <w:t xml:space="preserve">should be </w:t>
      </w:r>
      <w:r w:rsidR="371F527E" w:rsidRPr="3D8EE3E2">
        <w:t xml:space="preserve">used to </w:t>
      </w:r>
      <w:r w:rsidR="00D37713">
        <w:t xml:space="preserve">defray </w:t>
      </w:r>
      <w:r w:rsidR="00F62985">
        <w:t xml:space="preserve">as much as possible </w:t>
      </w:r>
      <w:r w:rsidR="00D37713">
        <w:t xml:space="preserve">the structural budget deficit and offload </w:t>
      </w:r>
      <w:r w:rsidR="00A14DD0">
        <w:t xml:space="preserve">the </w:t>
      </w:r>
      <w:r w:rsidR="00EB18A8">
        <w:t xml:space="preserve">growing </w:t>
      </w:r>
      <w:r w:rsidR="00A14DD0">
        <w:t>debt-service costs</w:t>
      </w:r>
      <w:r w:rsidR="00930917">
        <w:t xml:space="preserve"> with redemption requirements</w:t>
      </w:r>
      <w:r w:rsidR="371F527E" w:rsidRPr="204F1F03">
        <w:t xml:space="preserve">. </w:t>
      </w:r>
    </w:p>
    <w:p w:rsidR="00C54ACC" w:rsidRDefault="00C54ACC" w:rsidP="00C54ACC">
      <w:pPr>
        <w:pStyle w:val="Heading2"/>
      </w:pPr>
      <w:bookmarkStart w:id="4" w:name="_Toc87715669"/>
      <w:r>
        <w:t>Debt</w:t>
      </w:r>
      <w:r w:rsidR="00FF795B">
        <w:t xml:space="preserve"> and debt-service costs</w:t>
      </w:r>
      <w:bookmarkEnd w:id="4"/>
    </w:p>
    <w:p w:rsidR="006B100F" w:rsidRDefault="6795A27D" w:rsidP="00A6587B">
      <w:pPr>
        <w:pStyle w:val="ListParagraph"/>
      </w:pPr>
      <w:r>
        <w:t xml:space="preserve">National debt </w:t>
      </w:r>
      <w:r w:rsidR="4564E6EF">
        <w:t>and State-Owned Enterprises (S</w:t>
      </w:r>
      <w:r w:rsidR="00936860">
        <w:t>O</w:t>
      </w:r>
      <w:r w:rsidR="4564E6EF">
        <w:t>Es) remain</w:t>
      </w:r>
      <w:r>
        <w:t xml:space="preserve"> a </w:t>
      </w:r>
      <w:r w:rsidR="0A0DEF77">
        <w:t xml:space="preserve">glaring </w:t>
      </w:r>
      <w:r>
        <w:t xml:space="preserve">binding constraint to </w:t>
      </w:r>
      <w:r w:rsidR="0A0DEF77">
        <w:t xml:space="preserve">growth and risk to fiscal sustainability. </w:t>
      </w:r>
      <w:r w:rsidR="00242F9B">
        <w:t xml:space="preserve">Debt-service cost is the fastest growing expenditure line item with a 10% annual average growth rate over the 2022 MTEF and account for 12% of total consolidated total spending in 2021, rising to 16% in 2024/25. </w:t>
      </w:r>
      <w:r w:rsidR="0A0DEF77">
        <w:t xml:space="preserve">The </w:t>
      </w:r>
      <w:r w:rsidR="00242F9B">
        <w:t>detriment</w:t>
      </w:r>
      <w:r w:rsidR="00115469">
        <w:t xml:space="preserve">al effect </w:t>
      </w:r>
      <w:r w:rsidR="0A0DEF77">
        <w:t>of debt</w:t>
      </w:r>
      <w:r w:rsidR="00AF4262">
        <w:t>-</w:t>
      </w:r>
      <w:r w:rsidR="0A0DEF77">
        <w:t xml:space="preserve">service costs </w:t>
      </w:r>
      <w:r w:rsidR="00115469">
        <w:t xml:space="preserve">crowding-out </w:t>
      </w:r>
      <w:r w:rsidR="0A0DEF77">
        <w:t xml:space="preserve">social programmes could lead to </w:t>
      </w:r>
      <w:r w:rsidR="00AF4262">
        <w:t xml:space="preserve">the </w:t>
      </w:r>
      <w:r w:rsidR="0A0DEF77">
        <w:t xml:space="preserve">total collapse of basic </w:t>
      </w:r>
      <w:r w:rsidR="00AF4262">
        <w:t xml:space="preserve">and social </w:t>
      </w:r>
      <w:r w:rsidR="0A0DEF77">
        <w:t xml:space="preserve">services as funds intended </w:t>
      </w:r>
      <w:r w:rsidR="7CE05C33">
        <w:t xml:space="preserve">for core spending are </w:t>
      </w:r>
      <w:r w:rsidR="00F23101">
        <w:t>diverted</w:t>
      </w:r>
      <w:r w:rsidR="7CE05C33">
        <w:t xml:space="preserve"> to </w:t>
      </w:r>
      <w:r w:rsidR="00055AE6">
        <w:t>servicing</w:t>
      </w:r>
      <w:r w:rsidR="005B4B69">
        <w:t xml:space="preserve"> debt</w:t>
      </w:r>
      <w:r w:rsidR="7CE05C33">
        <w:t>. While the Commission acknowledge</w:t>
      </w:r>
      <w:r w:rsidR="00061837">
        <w:t>s</w:t>
      </w:r>
      <w:r w:rsidR="7CE05C33">
        <w:t xml:space="preserve"> the difficulties in </w:t>
      </w:r>
      <w:r w:rsidR="47B522B6">
        <w:t xml:space="preserve">moderating debt growth </w:t>
      </w:r>
      <w:r w:rsidR="1E7335F1">
        <w:t>with</w:t>
      </w:r>
      <w:r w:rsidR="2E188CBC">
        <w:t>in</w:t>
      </w:r>
      <w:r w:rsidR="47B522B6">
        <w:t xml:space="preserve"> a subdued economic environment</w:t>
      </w:r>
      <w:r w:rsidR="00061837">
        <w:t xml:space="preserve"> and</w:t>
      </w:r>
      <w:r w:rsidR="47B522B6">
        <w:t xml:space="preserve"> </w:t>
      </w:r>
      <w:r w:rsidR="00061837">
        <w:t xml:space="preserve">recommends </w:t>
      </w:r>
      <w:r w:rsidR="47B522B6">
        <w:t xml:space="preserve">improvements in </w:t>
      </w:r>
      <w:r w:rsidR="00285748">
        <w:t xml:space="preserve">cost-efficiencies of spending </w:t>
      </w:r>
      <w:r w:rsidR="00F90E4C">
        <w:t xml:space="preserve">and closing the fiscal leakages </w:t>
      </w:r>
      <w:r w:rsidR="00A54F5E">
        <w:t>to</w:t>
      </w:r>
      <w:r w:rsidR="47B522B6">
        <w:t xml:space="preserve"> offset the growing </w:t>
      </w:r>
      <w:r w:rsidR="00824ABC">
        <w:t xml:space="preserve">deficit and </w:t>
      </w:r>
      <w:r w:rsidR="47B522B6">
        <w:t xml:space="preserve">debt. </w:t>
      </w:r>
    </w:p>
    <w:p w:rsidR="006B100F" w:rsidRDefault="00B66C7F" w:rsidP="003A4F9E">
      <w:pPr>
        <w:pStyle w:val="Heading2"/>
      </w:pPr>
      <w:bookmarkStart w:id="5" w:name="_Toc87715670"/>
      <w:r>
        <w:t>Investment for future growth</w:t>
      </w:r>
      <w:bookmarkEnd w:id="5"/>
    </w:p>
    <w:p w:rsidR="00D47798" w:rsidRDefault="00B66C7F" w:rsidP="00A6587B">
      <w:pPr>
        <w:pStyle w:val="ListParagraph"/>
      </w:pPr>
      <w:r>
        <w:t xml:space="preserve">The 2021 MTBPS </w:t>
      </w:r>
      <w:r w:rsidR="00E304CF">
        <w:t>proposes</w:t>
      </w:r>
      <w:r w:rsidR="5012119E">
        <w:t xml:space="preserve"> </w:t>
      </w:r>
      <w:r>
        <w:t>R</w:t>
      </w:r>
      <w:r w:rsidR="37E24F83">
        <w:t>500</w:t>
      </w:r>
      <w:r>
        <w:t xml:space="preserve"> billion </w:t>
      </w:r>
      <w:r w:rsidR="4E3E0120">
        <w:t>MTEF allocation for</w:t>
      </w:r>
      <w:r w:rsidR="00295592">
        <w:t xml:space="preserve"> </w:t>
      </w:r>
      <w:r w:rsidR="00115F87" w:rsidRPr="00115F87">
        <w:t>general</w:t>
      </w:r>
      <w:r w:rsidR="00115F87">
        <w:t xml:space="preserve"> government </w:t>
      </w:r>
      <w:r w:rsidR="00295592">
        <w:t xml:space="preserve">infrastructure investment, in line with the </w:t>
      </w:r>
      <w:r w:rsidR="00A37245">
        <w:t xml:space="preserve">President's </w:t>
      </w:r>
      <w:r w:rsidR="00295592">
        <w:t xml:space="preserve">economic recovery plan and infrastructure-led growth strategy. </w:t>
      </w:r>
      <w:r w:rsidR="53FB98E9">
        <w:t>I</w:t>
      </w:r>
      <w:r w:rsidR="00295592">
        <w:t xml:space="preserve">nfrastructure allocation </w:t>
      </w:r>
      <w:r w:rsidR="2712054B">
        <w:t>is the fasted growing expenditure line item of total non-interest spending, grow</w:t>
      </w:r>
      <w:r w:rsidR="31D57910">
        <w:t>ing at an</w:t>
      </w:r>
      <w:r w:rsidR="00295592">
        <w:t xml:space="preserve"> </w:t>
      </w:r>
      <w:r w:rsidR="31D57910">
        <w:t>annual average growth rate of 9.7</w:t>
      </w:r>
      <w:r w:rsidR="00295592">
        <w:t xml:space="preserve">% </w:t>
      </w:r>
      <w:r w:rsidR="25FD65EE">
        <w:t>over</w:t>
      </w:r>
      <w:r w:rsidR="00295592">
        <w:t xml:space="preserve"> the </w:t>
      </w:r>
      <w:r w:rsidR="25FD65EE">
        <w:t>2022 MTEF</w:t>
      </w:r>
      <w:r w:rsidR="00295592">
        <w:t xml:space="preserve">. Much as the Commission welcomes </w:t>
      </w:r>
      <w:r w:rsidR="00824ABC">
        <w:t xml:space="preserve">the </w:t>
      </w:r>
      <w:r w:rsidR="00295592">
        <w:t xml:space="preserve">concerted focus on </w:t>
      </w:r>
      <w:r w:rsidR="00824ABC">
        <w:t xml:space="preserve">growth through </w:t>
      </w:r>
      <w:r w:rsidR="00295592">
        <w:t xml:space="preserve">public infrastructure investment, </w:t>
      </w:r>
      <w:r w:rsidR="00734C85">
        <w:t xml:space="preserve">the government has a poor track record of </w:t>
      </w:r>
      <w:r w:rsidR="00DB221C">
        <w:t>impacts and outcomes. M</w:t>
      </w:r>
      <w:r w:rsidR="00D47798">
        <w:t>any of the</w:t>
      </w:r>
      <w:r w:rsidR="00E61EA1">
        <w:t xml:space="preserve"> funded infrastructure</w:t>
      </w:r>
      <w:r w:rsidR="00D47798">
        <w:t xml:space="preserve"> projects are characterised by cost overruns, </w:t>
      </w:r>
      <w:r w:rsidR="002947CA">
        <w:t>wasteful contr</w:t>
      </w:r>
      <w:r w:rsidR="00936914">
        <w:t>a</w:t>
      </w:r>
      <w:r w:rsidR="002947CA">
        <w:t>cting</w:t>
      </w:r>
      <w:r w:rsidR="00CC7636">
        <w:t>,</w:t>
      </w:r>
      <w:r w:rsidR="003A0E46">
        <w:t xml:space="preserve"> maladministration,</w:t>
      </w:r>
      <w:r w:rsidR="00CC7636">
        <w:t xml:space="preserve"> malicious compliance</w:t>
      </w:r>
      <w:r w:rsidR="00995E8B">
        <w:t xml:space="preserve"> and noncompliance</w:t>
      </w:r>
      <w:r w:rsidR="00CC7636">
        <w:t xml:space="preserve">, </w:t>
      </w:r>
      <w:r w:rsidR="00D47798">
        <w:t>completion delays and poor workmanship.</w:t>
      </w:r>
    </w:p>
    <w:p w:rsidR="00F95603" w:rsidRDefault="005732C5" w:rsidP="00F95603">
      <w:pPr>
        <w:pStyle w:val="Heading2"/>
      </w:pPr>
      <w:bookmarkStart w:id="6" w:name="_Toc87715671"/>
      <w:r>
        <w:t xml:space="preserve">Expenditure </w:t>
      </w:r>
      <w:r w:rsidR="000F6B36">
        <w:t xml:space="preserve">management </w:t>
      </w:r>
      <w:r>
        <w:t>reforms</w:t>
      </w:r>
      <w:bookmarkEnd w:id="6"/>
      <w:r>
        <w:t xml:space="preserve"> </w:t>
      </w:r>
    </w:p>
    <w:p w:rsidR="00FA115C" w:rsidRDefault="00F038CE" w:rsidP="00A6587B">
      <w:pPr>
        <w:pStyle w:val="ListParagraph"/>
      </w:pPr>
      <w:r>
        <w:t>Expenditure management is beset by weak linkages between policy</w:t>
      </w:r>
      <w:r w:rsidR="001250EF">
        <w:t>-</w:t>
      </w:r>
      <w:r>
        <w:t>making, planning</w:t>
      </w:r>
      <w:r w:rsidR="001250EF">
        <w:t xml:space="preserve">, </w:t>
      </w:r>
      <w:r>
        <w:t xml:space="preserve">budgeting </w:t>
      </w:r>
      <w:r w:rsidR="00440AD3">
        <w:t>and execution</w:t>
      </w:r>
      <w:r>
        <w:t xml:space="preserve">. </w:t>
      </w:r>
      <w:r w:rsidR="001250EF">
        <w:t>Financial misalignments</w:t>
      </w:r>
      <w:r>
        <w:t xml:space="preserve"> of crucial programs, poor control</w:t>
      </w:r>
      <w:r w:rsidR="001250EF">
        <w:t>s environment</w:t>
      </w:r>
      <w:r>
        <w:t xml:space="preserve"> and </w:t>
      </w:r>
      <w:r w:rsidR="001250EF">
        <w:t>uncertainties</w:t>
      </w:r>
      <w:r>
        <w:t xml:space="preserve"> of </w:t>
      </w:r>
      <w:r w:rsidR="00436039">
        <w:t xml:space="preserve">allocated </w:t>
      </w:r>
      <w:r>
        <w:t xml:space="preserve">resources </w:t>
      </w:r>
      <w:r w:rsidR="00436039">
        <w:t>are</w:t>
      </w:r>
      <w:r>
        <w:t xml:space="preserve"> </w:t>
      </w:r>
      <w:r w:rsidR="00436039">
        <w:t>evident</w:t>
      </w:r>
      <w:r>
        <w:t xml:space="preserve"> by </w:t>
      </w:r>
      <w:r w:rsidR="00436039">
        <w:t xml:space="preserve">the </w:t>
      </w:r>
      <w:r w:rsidR="00E3351A">
        <w:t>unexplained</w:t>
      </w:r>
      <w:r>
        <w:t xml:space="preserve"> cuts on conditional grants and </w:t>
      </w:r>
      <w:r w:rsidR="00C37B90">
        <w:t>funding</w:t>
      </w:r>
      <w:r w:rsidR="00AF5F7D">
        <w:t xml:space="preserve"> of unviable SO</w:t>
      </w:r>
      <w:r>
        <w:t>Es</w:t>
      </w:r>
      <w:r w:rsidR="00BB5E89">
        <w:t xml:space="preserve"> over the last decade</w:t>
      </w:r>
      <w:r>
        <w:t xml:space="preserve">. </w:t>
      </w:r>
      <w:r w:rsidR="00851C6B">
        <w:t xml:space="preserve">As the budget implementation process unfolds with </w:t>
      </w:r>
      <w:r w:rsidR="00AE62DE">
        <w:t xml:space="preserve">the </w:t>
      </w:r>
      <w:r w:rsidR="00851C6B">
        <w:t>weak institutional framework</w:t>
      </w:r>
      <w:r w:rsidR="00AE62DE">
        <w:t xml:space="preserve"> for </w:t>
      </w:r>
      <w:r w:rsidR="00851C6B">
        <w:t>controlling and managing expenditure</w:t>
      </w:r>
      <w:r w:rsidR="00AE62DE">
        <w:t xml:space="preserve">, </w:t>
      </w:r>
      <w:r w:rsidR="00C37B90">
        <w:t xml:space="preserve">the </w:t>
      </w:r>
      <w:r w:rsidR="00995BDA">
        <w:t>process becomes susceptible for</w:t>
      </w:r>
      <w:r w:rsidR="00C37B90">
        <w:t xml:space="preserve"> </w:t>
      </w:r>
      <w:r w:rsidR="00F25FD6">
        <w:t>leakages</w:t>
      </w:r>
      <w:r w:rsidR="00C37B90">
        <w:t xml:space="preserve"> to keep many </w:t>
      </w:r>
      <w:r w:rsidR="00F25FD6">
        <w:t xml:space="preserve">unproductive </w:t>
      </w:r>
      <w:r w:rsidR="00C37B90">
        <w:t xml:space="preserve">projects and activities afloat. </w:t>
      </w:r>
      <w:r w:rsidR="00D47798">
        <w:t xml:space="preserve">In its 2021 </w:t>
      </w:r>
      <w:r w:rsidR="00782D57">
        <w:t>S</w:t>
      </w:r>
      <w:r w:rsidR="00D47798">
        <w:t xml:space="preserve">ubmission </w:t>
      </w:r>
      <w:r w:rsidR="00782D57">
        <w:t>for</w:t>
      </w:r>
      <w:r w:rsidR="00D47798">
        <w:t xml:space="preserve"> the </w:t>
      </w:r>
      <w:r w:rsidR="00782D57">
        <w:t>D</w:t>
      </w:r>
      <w:r w:rsidR="00D47798">
        <w:t xml:space="preserve">ivision of </w:t>
      </w:r>
      <w:r w:rsidR="00782D57">
        <w:t>R</w:t>
      </w:r>
      <w:r w:rsidR="00D47798">
        <w:t xml:space="preserve">evenue, the Commission highlighted </w:t>
      </w:r>
      <w:r w:rsidR="00782D57">
        <w:t xml:space="preserve">the </w:t>
      </w:r>
      <w:r w:rsidR="00223F80">
        <w:t>potential risk</w:t>
      </w:r>
      <w:r w:rsidR="00D47798">
        <w:t xml:space="preserve"> of </w:t>
      </w:r>
      <w:r w:rsidR="00223F80">
        <w:t>regression on socio-economic right</w:t>
      </w:r>
      <w:r w:rsidR="00782D57">
        <w:t>s</w:t>
      </w:r>
      <w:r w:rsidR="00D47798">
        <w:t xml:space="preserve"> due to budget cuts</w:t>
      </w:r>
      <w:r w:rsidR="0058707F">
        <w:t xml:space="preserve">. </w:t>
      </w:r>
      <w:r w:rsidR="00223F80">
        <w:t xml:space="preserve">Expenditure management reforms can help improve broader reprioritisation and determine spending floors necessary to meet the requisite delivery outcomes related to socio-economic rights. </w:t>
      </w:r>
    </w:p>
    <w:p w:rsidR="005040AB" w:rsidRPr="00FF2E8F" w:rsidRDefault="005040AB" w:rsidP="005040AB"/>
    <w:p w:rsidR="008C6A70" w:rsidRPr="00B87635" w:rsidRDefault="008C6A70" w:rsidP="008C6A70">
      <w:pPr>
        <w:pStyle w:val="Heading1"/>
      </w:pPr>
      <w:bookmarkStart w:id="7" w:name="_Toc87715672"/>
      <w:r>
        <w:t>Economic Overview</w:t>
      </w:r>
      <w:bookmarkEnd w:id="7"/>
      <w:r>
        <w:t xml:space="preserve"> </w:t>
      </w:r>
    </w:p>
    <w:p w:rsidR="00EB5DD1" w:rsidRDefault="00013904" w:rsidP="00EB5DD1">
      <w:pPr>
        <w:pStyle w:val="Heading2"/>
      </w:pPr>
      <w:bookmarkStart w:id="8" w:name="_Toc87715673"/>
      <w:r>
        <w:t>The g</w:t>
      </w:r>
      <w:r w:rsidR="00C34BB4">
        <w:t xml:space="preserve">lobal </w:t>
      </w:r>
      <w:r>
        <w:t>view</w:t>
      </w:r>
      <w:bookmarkEnd w:id="8"/>
    </w:p>
    <w:p w:rsidR="005E12C5" w:rsidRDefault="005E12C5" w:rsidP="00A6587B">
      <w:pPr>
        <w:pStyle w:val="ListParagraph"/>
      </w:pPr>
      <w:r>
        <w:t xml:space="preserve">The International Monetary Fund (IMF) 2021 report expects global economic growth to grow </w:t>
      </w:r>
      <w:r w:rsidR="001F7BCF">
        <w:t>5.9</w:t>
      </w:r>
      <w:r>
        <w:t>% in 2021 and 4.9</w:t>
      </w:r>
      <w:r w:rsidR="00AF5F7D">
        <w:t>% in</w:t>
      </w:r>
      <w:r>
        <w:t xml:space="preserve"> 2022. The projections for emerging markets and developing economies are revised for 2021 from 6.3% to </w:t>
      </w:r>
      <w:r w:rsidR="000D71E6">
        <w:t>6.</w:t>
      </w:r>
      <w:r w:rsidR="00FB6655">
        <w:t>4</w:t>
      </w:r>
      <w:r>
        <w:t xml:space="preserve">%. In </w:t>
      </w:r>
      <w:r w:rsidR="00EE30AB">
        <w:t>contrast</w:t>
      </w:r>
      <w:r>
        <w:t xml:space="preserve">, the IMF </w:t>
      </w:r>
      <w:r w:rsidR="00EE30AB">
        <w:t xml:space="preserve">revised down its </w:t>
      </w:r>
      <w:r>
        <w:t>forecasts for advanced economies</w:t>
      </w:r>
      <w:r w:rsidR="00A4211D">
        <w:t>,</w:t>
      </w:r>
      <w:r>
        <w:t xml:space="preserve"> reflect</w:t>
      </w:r>
      <w:r w:rsidR="00EE30AB">
        <w:t>ing</w:t>
      </w:r>
      <w:r>
        <w:t xml:space="preserve"> </w:t>
      </w:r>
      <w:r w:rsidR="00EE30AB">
        <w:t>the</w:t>
      </w:r>
      <w:r w:rsidR="00226193">
        <w:t xml:space="preserve"> mutating</w:t>
      </w:r>
      <w:r w:rsidR="00EE30AB">
        <w:t xml:space="preserve"> </w:t>
      </w:r>
      <w:r>
        <w:t xml:space="preserve">pandemic developments and </w:t>
      </w:r>
      <w:r w:rsidR="00226193">
        <w:t xml:space="preserve">the adapting </w:t>
      </w:r>
      <w:r>
        <w:t xml:space="preserve">changes in policy </w:t>
      </w:r>
      <w:r w:rsidR="00226193">
        <w:t>stance</w:t>
      </w:r>
      <w:r w:rsidR="00D61F2E">
        <w:t>s undertaken by different count</w:t>
      </w:r>
      <w:r w:rsidR="00DA47D4">
        <w:t>ri</w:t>
      </w:r>
      <w:r w:rsidR="00D61F2E">
        <w:t>es</w:t>
      </w:r>
      <w:r>
        <w:t xml:space="preserve">. Vaccination access has emerged as a critical driver of global recovery despite unequal access to vaccination and </w:t>
      </w:r>
      <w:r w:rsidR="00A37245">
        <w:t xml:space="preserve">countries' </w:t>
      </w:r>
      <w:r w:rsidR="003E0A99">
        <w:t xml:space="preserve">vaccine drive and </w:t>
      </w:r>
      <w:r>
        <w:t>rollout. Some countries are already on a path of resuming all economic activity (almost all advanced economies)</w:t>
      </w:r>
      <w:r w:rsidR="00D030E7">
        <w:t xml:space="preserve">, while </w:t>
      </w:r>
      <w:r>
        <w:t>some still face resurge</w:t>
      </w:r>
      <w:r w:rsidR="003B0178">
        <w:t>nt</w:t>
      </w:r>
      <w:r>
        <w:t xml:space="preserve"> infections and rising COVID death tolls. </w:t>
      </w:r>
    </w:p>
    <w:p w:rsidR="005E12C5" w:rsidRPr="005E12C5" w:rsidRDefault="005E12C5" w:rsidP="00F77D7A">
      <w:pPr>
        <w:pStyle w:val="Caption"/>
      </w:pPr>
      <w:bookmarkStart w:id="9" w:name="_Ref84837400"/>
      <w:bookmarkStart w:id="10" w:name="_Toc87715500"/>
      <w:r w:rsidRPr="005E12C5">
        <w:t xml:space="preserve">Figure </w:t>
      </w:r>
      <w:r w:rsidR="002B36AE">
        <w:fldChar w:fldCharType="begin"/>
      </w:r>
      <w:r w:rsidR="00DD51FB">
        <w:instrText xml:space="preserve"> SEQ Figure \* ARABIC </w:instrText>
      </w:r>
      <w:r w:rsidR="002B36AE">
        <w:fldChar w:fldCharType="separate"/>
      </w:r>
      <w:r w:rsidR="00C1609A">
        <w:rPr>
          <w:noProof/>
        </w:rPr>
        <w:t>1</w:t>
      </w:r>
      <w:r w:rsidR="002B36AE">
        <w:rPr>
          <w:noProof/>
        </w:rPr>
        <w:fldChar w:fldCharType="end"/>
      </w:r>
      <w:bookmarkEnd w:id="9"/>
      <w:r w:rsidRPr="005E12C5">
        <w:t>: Gross domestic product, constant prices</w:t>
      </w:r>
      <w:bookmarkEnd w:id="10"/>
      <w:r w:rsidRPr="005E12C5">
        <w:t xml:space="preserve"> </w:t>
      </w:r>
    </w:p>
    <w:p w:rsidR="005E12C5" w:rsidRPr="005E12C5" w:rsidRDefault="00991195" w:rsidP="0000104D">
      <w:pPr>
        <w:spacing w:after="0"/>
        <w:jc w:val="both"/>
        <w:rPr>
          <w:sz w:val="24"/>
          <w:szCs w:val="24"/>
        </w:rPr>
      </w:pPr>
      <w:r>
        <w:rPr>
          <w:noProof/>
          <w:lang w:eastAsia="en-ZA"/>
        </w:rPr>
        <w:drawing>
          <wp:inline distT="0" distB="0" distL="0" distR="0">
            <wp:extent cx="5400000" cy="3060000"/>
            <wp:effectExtent l="0" t="0" r="10795" b="7620"/>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21D2928-D3A1-4091-9174-4AB4A3C66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12C5" w:rsidRPr="006626BB" w:rsidRDefault="005E12C5" w:rsidP="006626BB">
      <w:pPr>
        <w:pStyle w:val="FootnoteText"/>
      </w:pPr>
      <w:r w:rsidRPr="006626BB">
        <w:t xml:space="preserve">Note: </w:t>
      </w:r>
      <w:r w:rsidR="007E5274" w:rsidRPr="006626BB">
        <w:t>D</w:t>
      </w:r>
      <w:r w:rsidRPr="006626BB">
        <w:t xml:space="preserve">otted lines are forecast values </w:t>
      </w:r>
    </w:p>
    <w:p w:rsidR="005E12C5" w:rsidRPr="006626BB" w:rsidRDefault="005E12C5" w:rsidP="006626BB">
      <w:pPr>
        <w:pStyle w:val="FootnoteText"/>
      </w:pPr>
      <w:r w:rsidRPr="006626BB">
        <w:t xml:space="preserve">Source: </w:t>
      </w:r>
      <w:bookmarkStart w:id="11" w:name="_Hlk84834041"/>
      <w:r w:rsidRPr="006626BB">
        <w:t xml:space="preserve">International Monetary Fund </w:t>
      </w:r>
      <w:bookmarkEnd w:id="11"/>
    </w:p>
    <w:p w:rsidR="005E12C5" w:rsidRPr="005E12C5" w:rsidRDefault="005E12C5" w:rsidP="005E12C5">
      <w:pPr>
        <w:spacing w:after="0" w:line="240" w:lineRule="auto"/>
        <w:ind w:left="612"/>
        <w:jc w:val="both"/>
        <w:rPr>
          <w:sz w:val="24"/>
          <w:szCs w:val="24"/>
        </w:rPr>
      </w:pPr>
    </w:p>
    <w:p w:rsidR="005E12C5" w:rsidRDefault="005E12C5" w:rsidP="00A6587B">
      <w:pPr>
        <w:pStyle w:val="ListParagraph"/>
      </w:pPr>
      <w:r>
        <w:t>The economic recovery is set to continue into 2022, with global growth starting to moderate to 4.</w:t>
      </w:r>
      <w:r w:rsidR="00593B69">
        <w:t>9</w:t>
      </w:r>
      <w:r>
        <w:t xml:space="preserve">% and </w:t>
      </w:r>
      <w:r w:rsidR="00EE4F2E">
        <w:t>4.5</w:t>
      </w:r>
      <w:r>
        <w:t xml:space="preserve">% for advanced economies (see </w:t>
      </w:r>
      <w:r w:rsidR="002B36AE">
        <w:fldChar w:fldCharType="begin"/>
      </w:r>
      <w:r>
        <w:instrText xml:space="preserve"> REF _Ref84837400 \h </w:instrText>
      </w:r>
      <w:r w:rsidR="002B36AE">
        <w:fldChar w:fldCharType="separate"/>
      </w:r>
      <w:r>
        <w:t xml:space="preserve">Figure </w:t>
      </w:r>
      <w:r w:rsidRPr="686E7548">
        <w:rPr>
          <w:noProof/>
        </w:rPr>
        <w:t>1</w:t>
      </w:r>
      <w:r w:rsidR="002B36AE">
        <w:fldChar w:fldCharType="end"/>
      </w:r>
      <w:r>
        <w:t xml:space="preserve">). The recovery is accelerating in developed economies as many countries are heading for widespread vaccination and reopening all economic activities. The growth of the emerging market and developing economies is </w:t>
      </w:r>
      <w:r w:rsidR="00F91A9A">
        <w:t>estimated</w:t>
      </w:r>
      <w:r>
        <w:t xml:space="preserve"> to moderate </w:t>
      </w:r>
      <w:r w:rsidR="00FF2170">
        <w:t xml:space="preserve">to </w:t>
      </w:r>
      <w:r w:rsidR="009610BA">
        <w:t>5.1</w:t>
      </w:r>
      <w:r>
        <w:t>% in 2022, as the effects of the pandemic gradually diminish and benefit from commodity prices due to improved external demand.</w:t>
      </w:r>
    </w:p>
    <w:p w:rsidR="00642EBB" w:rsidRPr="00642EBB" w:rsidRDefault="00642EBB" w:rsidP="00642EBB">
      <w:pPr>
        <w:pStyle w:val="ListParagraph"/>
      </w:pPr>
      <w:r w:rsidRPr="00642EBB">
        <w:t xml:space="preserve">Public debt, which was already at high levels before the pandemic, increased in 2020 due to the extraordinary fiscal support measures and declining tax revenues during the onset. Public debt for advanced economies grew from 103.8% of GDP in 2019 to 120.1% of GDP in 2020. Public debt is forecasted to moderate at 122.5% of GDP in 2021 before decreasing to 121.7% in 2022 (see Figure 2). As the impacts of the pandemic subside because of the vaccination rollout, a gradual move towards a stabilising macroeconomic environment to achieve price certainty and public debt sustainability is required. In emerging markets and developing economies, average public debt increased from 54.1% of GDP in 2019 to 63.4% in 2020. Worryingly, public debt is projected to continue to rise into the future in emerging markets and developing economies.  </w:t>
      </w:r>
    </w:p>
    <w:p w:rsidR="005E12C5" w:rsidRDefault="005E12C5" w:rsidP="00F77D7A">
      <w:pPr>
        <w:pStyle w:val="Caption"/>
      </w:pPr>
      <w:bookmarkStart w:id="12" w:name="_Ref84837360"/>
      <w:bookmarkStart w:id="13" w:name="_Toc87715501"/>
      <w:r w:rsidRPr="0000104D">
        <w:t xml:space="preserve">Figure </w:t>
      </w:r>
      <w:r w:rsidR="002B36AE">
        <w:fldChar w:fldCharType="begin"/>
      </w:r>
      <w:r w:rsidR="00DD51FB">
        <w:instrText xml:space="preserve"> SEQ Figure \* ARABIC </w:instrText>
      </w:r>
      <w:r w:rsidR="002B36AE">
        <w:fldChar w:fldCharType="separate"/>
      </w:r>
      <w:r w:rsidR="00C1609A">
        <w:rPr>
          <w:noProof/>
        </w:rPr>
        <w:t>2</w:t>
      </w:r>
      <w:r w:rsidR="002B36AE">
        <w:rPr>
          <w:noProof/>
        </w:rPr>
        <w:fldChar w:fldCharType="end"/>
      </w:r>
      <w:bookmarkEnd w:id="12"/>
      <w:r w:rsidRPr="0000104D">
        <w:t>: General government gross debt % of GDP</w:t>
      </w:r>
      <w:bookmarkEnd w:id="13"/>
    </w:p>
    <w:p w:rsidR="0000104D" w:rsidRPr="0000104D" w:rsidRDefault="0000104D" w:rsidP="0000104D">
      <w:pPr>
        <w:keepNext/>
        <w:spacing w:after="0"/>
        <w:jc w:val="both"/>
        <w:rPr>
          <w:b/>
          <w:sz w:val="24"/>
          <w:szCs w:val="24"/>
        </w:rPr>
      </w:pPr>
      <w:r w:rsidRPr="005E12C5">
        <w:rPr>
          <w:noProof/>
          <w:sz w:val="24"/>
          <w:szCs w:val="24"/>
          <w:lang w:eastAsia="en-ZA"/>
        </w:rPr>
        <w:drawing>
          <wp:inline distT="0" distB="0" distL="0" distR="0">
            <wp:extent cx="5400000" cy="3060000"/>
            <wp:effectExtent l="0" t="0" r="10795" b="7620"/>
            <wp:docPr id="4"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C7F6FE-C698-4EE6-A5A8-2FBC64643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12C5" w:rsidRPr="00847F0A" w:rsidRDefault="007E5274" w:rsidP="00847F0A">
      <w:pPr>
        <w:pStyle w:val="FootnoteText"/>
      </w:pPr>
      <w:r w:rsidRPr="00847F0A">
        <w:t xml:space="preserve">Note: </w:t>
      </w:r>
      <w:r w:rsidR="005E12C5" w:rsidRPr="00847F0A">
        <w:t xml:space="preserve">*Years represent forecasts </w:t>
      </w:r>
    </w:p>
    <w:p w:rsidR="005E12C5" w:rsidRPr="00847F0A" w:rsidRDefault="005E12C5" w:rsidP="00847F0A">
      <w:pPr>
        <w:pStyle w:val="FootnoteText"/>
      </w:pPr>
      <w:r w:rsidRPr="00847F0A">
        <w:t>Source: International Monetary Fund</w:t>
      </w:r>
    </w:p>
    <w:p w:rsidR="007E5274" w:rsidRPr="007E5274" w:rsidRDefault="007E5274" w:rsidP="007E5274">
      <w:pPr>
        <w:pStyle w:val="FootnoteText"/>
      </w:pPr>
    </w:p>
    <w:p w:rsidR="005E12C5" w:rsidRPr="005E12C5" w:rsidRDefault="005E12C5" w:rsidP="00A6587B">
      <w:pPr>
        <w:pStyle w:val="ListParagraph"/>
      </w:pPr>
      <w:r>
        <w:t>High public debt can have a significant adverse effect on economic activity</w:t>
      </w:r>
      <w:r w:rsidR="001B0D26">
        <w:t xml:space="preserve">. It requires more taxes to finance and drives up real interest rates, which crowds </w:t>
      </w:r>
      <w:r w:rsidR="00781C4A">
        <w:t>out</w:t>
      </w:r>
      <w:r w:rsidR="00A37245">
        <w:t xml:space="preserve"> </w:t>
      </w:r>
      <w:r>
        <w:t xml:space="preserve">private </w:t>
      </w:r>
      <w:r w:rsidR="001B0D26">
        <w:t xml:space="preserve">capital formation and </w:t>
      </w:r>
      <w:r>
        <w:t>investment</w:t>
      </w:r>
      <w:r w:rsidR="00F66B05">
        <w:t>s</w:t>
      </w:r>
      <w:r>
        <w:t xml:space="preserve">. Some developing countries </w:t>
      </w:r>
      <w:r w:rsidR="00F66B05">
        <w:t xml:space="preserve">are already </w:t>
      </w:r>
      <w:r>
        <w:t>fac</w:t>
      </w:r>
      <w:r w:rsidR="00F66B05">
        <w:t>ing</w:t>
      </w:r>
      <w:r>
        <w:t xml:space="preserve"> </w:t>
      </w:r>
      <w:r w:rsidR="003567CF">
        <w:t>the imminent threat of</w:t>
      </w:r>
      <w:r>
        <w:t xml:space="preserve"> costly debt defaults or distressed debt restructurings</w:t>
      </w:r>
      <w:r w:rsidR="003567CF">
        <w:t xml:space="preserve"> (e.g. Brazil)</w:t>
      </w:r>
      <w:r>
        <w:t xml:space="preserve">, </w:t>
      </w:r>
      <w:r w:rsidR="003567CF">
        <w:t>leading to</w:t>
      </w:r>
      <w:r>
        <w:t xml:space="preserve"> </w:t>
      </w:r>
      <w:r w:rsidR="00757B2E">
        <w:t xml:space="preserve">the </w:t>
      </w:r>
      <w:r w:rsidR="00361A59">
        <w:t xml:space="preserve">collapse of the </w:t>
      </w:r>
      <w:r>
        <w:t xml:space="preserve">fiscal </w:t>
      </w:r>
      <w:r w:rsidR="009439C3">
        <w:t>and</w:t>
      </w:r>
      <w:r w:rsidR="000B7E24">
        <w:t>,</w:t>
      </w:r>
      <w:r w:rsidR="009439C3">
        <w:t xml:space="preserve"> ultimately, the </w:t>
      </w:r>
      <w:r w:rsidR="008C5355">
        <w:t>public</w:t>
      </w:r>
      <w:r w:rsidR="009439C3">
        <w:t xml:space="preserve"> </w:t>
      </w:r>
      <w:r w:rsidR="00361A59">
        <w:t>system</w:t>
      </w:r>
      <w:r>
        <w:t xml:space="preserve">. Therefore, policymakers in emerging and developing economies will have to balance the risks of large and growing debt burdens and </w:t>
      </w:r>
      <w:r w:rsidR="000B7E24">
        <w:t xml:space="preserve">the pace </w:t>
      </w:r>
      <w:r w:rsidR="001B00F9">
        <w:t>of</w:t>
      </w:r>
      <w:r w:rsidR="000B7E24">
        <w:t xml:space="preserve"> </w:t>
      </w:r>
      <w:r w:rsidR="00333FF3">
        <w:t>step</w:t>
      </w:r>
      <w:r w:rsidR="000B7E24">
        <w:t>ping</w:t>
      </w:r>
      <w:r w:rsidR="00333FF3">
        <w:t xml:space="preserve"> down the f</w:t>
      </w:r>
      <w:r>
        <w:t>iscal support</w:t>
      </w:r>
      <w:r w:rsidR="00333FF3">
        <w:t>s</w:t>
      </w:r>
      <w:r w:rsidR="000B7E24">
        <w:t xml:space="preserve"> for COVID-19</w:t>
      </w:r>
      <w:r>
        <w:t>.</w:t>
      </w:r>
    </w:p>
    <w:p w:rsidR="005E12C5" w:rsidRDefault="005E12C5" w:rsidP="00A6587B">
      <w:pPr>
        <w:pStyle w:val="ListParagraph"/>
      </w:pPr>
      <w:r>
        <w:t>Inflation is forecas</w:t>
      </w:r>
      <w:r w:rsidR="2F62411D">
        <w:t>t</w:t>
      </w:r>
      <w:r w:rsidR="008723FD">
        <w:t>ed</w:t>
      </w:r>
      <w:r>
        <w:t xml:space="preserve"> to remain elevated into 2022 in some emerging markets and developing economies. In emerging markets and developing economies, inflation is expected to be at 4.9% in 2021 before moderating at 4.0% in 2022</w:t>
      </w:r>
      <w:r w:rsidR="00554FA2">
        <w:t xml:space="preserve"> (see </w:t>
      </w:r>
      <w:fldSimple w:instr=" REF _Ref87601072 \h  \* MERGEFORMAT ">
        <w:r w:rsidR="005B7340">
          <w:t xml:space="preserve">Figure </w:t>
        </w:r>
        <w:r w:rsidR="005B7340" w:rsidRPr="686E7548">
          <w:rPr>
            <w:noProof/>
          </w:rPr>
          <w:t>3</w:t>
        </w:r>
      </w:fldSimple>
      <w:r w:rsidR="005B7340">
        <w:t>)</w:t>
      </w:r>
      <w:r>
        <w:t>. The rises in oil prices, and a recovery in demand, are expected to return current account balances (increase in trade volumes) to surpluses and increase inflation in many oil</w:t>
      </w:r>
      <w:r w:rsidR="0010167A">
        <w:t>-</w:t>
      </w:r>
      <w:r>
        <w:t xml:space="preserve">exporting countries. In advanced economies, inflation is forecasted to increase to 1.6%. </w:t>
      </w:r>
    </w:p>
    <w:p w:rsidR="005E12C5" w:rsidRDefault="00E25D29" w:rsidP="00E25D29">
      <w:pPr>
        <w:pStyle w:val="ListParagraph"/>
      </w:pPr>
      <w:r w:rsidRPr="00E25D29">
        <w:t>The global economic outlook and prospects continue to face uncertainty and are subject to various risks.  The possible spread of COVID-19 and repeated outbreaks are still possible, especially considering the emergence of new variants in many developing countries due to the slow pace of vaccination. Similarly, increased debt levels make the financial system vulnerable to a sudden increase in interest rates, which could stem from a rise in risk aversion, inflation, or expectations of much-too-early monetary tightening.</w:t>
      </w:r>
    </w:p>
    <w:p w:rsidR="005E12C5" w:rsidRDefault="005E12C5" w:rsidP="00F77D7A">
      <w:pPr>
        <w:pStyle w:val="Caption"/>
      </w:pPr>
      <w:bookmarkStart w:id="14" w:name="_Ref87601072"/>
      <w:bookmarkStart w:id="15" w:name="_Toc87715502"/>
      <w:r w:rsidRPr="005E12C5">
        <w:t xml:space="preserve">Figure </w:t>
      </w:r>
      <w:r w:rsidR="002B36AE">
        <w:fldChar w:fldCharType="begin"/>
      </w:r>
      <w:r w:rsidR="00DD51FB">
        <w:instrText xml:space="preserve"> SEQ Figure \* ARABIC </w:instrText>
      </w:r>
      <w:r w:rsidR="002B36AE">
        <w:fldChar w:fldCharType="separate"/>
      </w:r>
      <w:r w:rsidR="00C1609A">
        <w:rPr>
          <w:noProof/>
        </w:rPr>
        <w:t>3</w:t>
      </w:r>
      <w:r w:rsidR="002B36AE">
        <w:rPr>
          <w:noProof/>
        </w:rPr>
        <w:fldChar w:fldCharType="end"/>
      </w:r>
      <w:bookmarkEnd w:id="14"/>
      <w:r w:rsidRPr="005E12C5">
        <w:t>: Inflation rate, average consumer prices (Annual percent change)</w:t>
      </w:r>
      <w:bookmarkEnd w:id="15"/>
    </w:p>
    <w:p w:rsidR="0000104D" w:rsidRPr="005E12C5" w:rsidRDefault="00BE1F9E" w:rsidP="0000104D">
      <w:pPr>
        <w:keepNext/>
        <w:spacing w:after="0"/>
        <w:jc w:val="both"/>
        <w:rPr>
          <w:b/>
          <w:sz w:val="24"/>
          <w:szCs w:val="24"/>
        </w:rPr>
      </w:pPr>
      <w:r w:rsidRPr="005E12C5">
        <w:rPr>
          <w:noProof/>
          <w:sz w:val="24"/>
          <w:szCs w:val="24"/>
          <w:lang w:eastAsia="en-ZA"/>
        </w:rPr>
        <w:drawing>
          <wp:inline distT="0" distB="0" distL="0" distR="0">
            <wp:extent cx="5399405" cy="2884714"/>
            <wp:effectExtent l="0" t="0" r="10795" b="11430"/>
            <wp:docPr id="5"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C5993E-9AC7-470F-B5DD-28780B830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12C5" w:rsidRPr="004569EC" w:rsidRDefault="005E12C5" w:rsidP="004569EC">
      <w:pPr>
        <w:pStyle w:val="FootnoteText"/>
      </w:pPr>
      <w:r w:rsidRPr="00EE5653">
        <w:t>Source: International Monetary Fund</w:t>
      </w:r>
    </w:p>
    <w:p w:rsidR="005E12C5" w:rsidRPr="005E12C5" w:rsidRDefault="00C766A2" w:rsidP="00EB5DD1">
      <w:pPr>
        <w:pStyle w:val="Heading2"/>
      </w:pPr>
      <w:bookmarkStart w:id="16" w:name="_Toc87715674"/>
      <w:r>
        <w:t>The d</w:t>
      </w:r>
      <w:r w:rsidR="005E12C5" w:rsidRPr="707E3BB7">
        <w:t>omestic</w:t>
      </w:r>
      <w:r w:rsidR="00A911BF">
        <w:t xml:space="preserve"> </w:t>
      </w:r>
      <w:r w:rsidR="006A2AD7">
        <w:t>view</w:t>
      </w:r>
      <w:bookmarkEnd w:id="16"/>
    </w:p>
    <w:p w:rsidR="005E12C5" w:rsidRDefault="006E6C84" w:rsidP="00A6587B">
      <w:pPr>
        <w:pStyle w:val="ListParagraph"/>
      </w:pPr>
      <w:r>
        <w:t>South Africa's r</w:t>
      </w:r>
      <w:r w:rsidR="005E12C5">
        <w:t>eal GDP has increased for the fourth quarter in a row, recovering at a faster-than-expected pace. Real gross domestic product (expenditure side) increased by 1</w:t>
      </w:r>
      <w:r>
        <w:t>.</w:t>
      </w:r>
      <w:r w:rsidR="00AF5F7D">
        <w:t>2</w:t>
      </w:r>
      <w:r w:rsidR="005E12C5">
        <w:t>% in the second quarter of 2021, and this follows an increase of 0</w:t>
      </w:r>
      <w:r>
        <w:t>.</w:t>
      </w:r>
      <w:r w:rsidR="00AF5F7D">
        <w:t>8</w:t>
      </w:r>
      <w:r w:rsidR="005E12C5">
        <w:t xml:space="preserve">% in the first quarter of 2021. However, the possibility of a fourth wave of </w:t>
      </w:r>
      <w:r w:rsidR="002B19C1">
        <w:t>COVID</w:t>
      </w:r>
      <w:r w:rsidR="005E12C5">
        <w:t xml:space="preserve">-19 infections that could lead to stricter lockdown measures amid vaccine hesitancy, electricity-supply constraints, and the slow pace of structural reforms could dampen output in the third quarter. The unrest and damage to property that occurred in KwaZulu-Natal and parts of Gauteng </w:t>
      </w:r>
      <w:r w:rsidR="00A578C1">
        <w:t>have significantly</w:t>
      </w:r>
      <w:r w:rsidR="005E12C5">
        <w:t xml:space="preserve"> </w:t>
      </w:r>
      <w:r w:rsidR="00D86C36">
        <w:t>impact</w:t>
      </w:r>
      <w:r w:rsidR="00A578C1">
        <w:t>ed</w:t>
      </w:r>
      <w:r w:rsidR="00D86C36">
        <w:t xml:space="preserve"> </w:t>
      </w:r>
      <w:r w:rsidR="00D256FA">
        <w:t>South Africa</w:t>
      </w:r>
      <w:r w:rsidR="008C6693">
        <w:t>'</w:t>
      </w:r>
      <w:r w:rsidR="00D256FA">
        <w:t>s</w:t>
      </w:r>
      <w:r w:rsidR="00D86C36">
        <w:t xml:space="preserve"> </w:t>
      </w:r>
      <w:r w:rsidR="00D256FA">
        <w:t>path</w:t>
      </w:r>
      <w:r w:rsidR="00533029">
        <w:t xml:space="preserve"> to</w:t>
      </w:r>
      <w:r w:rsidR="00D86C36">
        <w:t xml:space="preserve"> recover</w:t>
      </w:r>
      <w:r w:rsidR="005E12C5">
        <w:t>y.</w:t>
      </w:r>
    </w:p>
    <w:p w:rsidR="005E12C5" w:rsidRDefault="005E12C5" w:rsidP="00F77D7A">
      <w:pPr>
        <w:pStyle w:val="Caption"/>
      </w:pPr>
      <w:bookmarkStart w:id="17" w:name="_Toc87715503"/>
      <w:r w:rsidRPr="005E12C5">
        <w:t xml:space="preserve">Figure </w:t>
      </w:r>
      <w:r w:rsidR="002B36AE">
        <w:fldChar w:fldCharType="begin"/>
      </w:r>
      <w:r w:rsidR="00DD51FB">
        <w:instrText xml:space="preserve"> SEQ Figure \* ARABIC </w:instrText>
      </w:r>
      <w:r w:rsidR="002B36AE">
        <w:fldChar w:fldCharType="separate"/>
      </w:r>
      <w:r w:rsidR="00C1609A">
        <w:rPr>
          <w:noProof/>
        </w:rPr>
        <w:t>4</w:t>
      </w:r>
      <w:r w:rsidR="002B36AE">
        <w:rPr>
          <w:noProof/>
        </w:rPr>
        <w:fldChar w:fldCharType="end"/>
      </w:r>
      <w:r w:rsidRPr="005E12C5">
        <w:t>: GDP % change quarter-on-quarter (seasonally adjusted)</w:t>
      </w:r>
      <w:bookmarkEnd w:id="17"/>
    </w:p>
    <w:p w:rsidR="0000104D" w:rsidRPr="005E12C5" w:rsidRDefault="0000104D" w:rsidP="0000104D">
      <w:pPr>
        <w:keepNext/>
        <w:spacing w:after="0"/>
        <w:jc w:val="both"/>
        <w:rPr>
          <w:b/>
          <w:bCs/>
          <w:sz w:val="24"/>
          <w:szCs w:val="24"/>
        </w:rPr>
      </w:pPr>
      <w:r w:rsidRPr="005E12C5">
        <w:rPr>
          <w:noProof/>
          <w:sz w:val="24"/>
          <w:szCs w:val="24"/>
          <w:lang w:eastAsia="en-ZA"/>
        </w:rPr>
        <w:drawing>
          <wp:inline distT="0" distB="0" distL="0" distR="0">
            <wp:extent cx="5400000" cy="3060000"/>
            <wp:effectExtent l="0" t="0" r="10795" b="7620"/>
            <wp:docPr id="6"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A661B6-5F7A-4330-81E8-5A0DF42C7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12C5" w:rsidRPr="00846EB5" w:rsidRDefault="005E12C5" w:rsidP="000F41CD">
      <w:pPr>
        <w:pStyle w:val="FootnoteText"/>
      </w:pPr>
      <w:r w:rsidRPr="00EE5653">
        <w:t xml:space="preserve">Source: Statistics South </w:t>
      </w:r>
      <w:r w:rsidRPr="000F41CD">
        <w:t>Africa</w:t>
      </w:r>
    </w:p>
    <w:p w:rsidR="005E12C5" w:rsidRPr="005E12C5" w:rsidRDefault="005E12C5" w:rsidP="00C91766">
      <w:pPr>
        <w:pStyle w:val="ListParagraph"/>
      </w:pPr>
      <w:r>
        <w:t>On the demand side, growth in real final consumption expenditure by households alongside an increase in real gross fixed capital formation in the second quarter of 2021 has supported the recovery, following a contraction in the first quarter. General government spending contracted further in the second quarter. Final household consumption increased by 0</w:t>
      </w:r>
      <w:r w:rsidR="00123BB7">
        <w:t>.</w:t>
      </w:r>
      <w:r w:rsidR="00AF5F7D">
        <w:t>5</w:t>
      </w:r>
      <w:r>
        <w:t>% in the second quarter of 2021 and contributed 0</w:t>
      </w:r>
      <w:r w:rsidR="00123BB7">
        <w:t>.</w:t>
      </w:r>
      <w:r w:rsidR="00AF5F7D">
        <w:t>3</w:t>
      </w:r>
      <w:r>
        <w:t xml:space="preserve">% to total growth (see </w:t>
      </w:r>
      <w:r w:rsidR="002B36AE">
        <w:fldChar w:fldCharType="begin"/>
      </w:r>
      <w:r>
        <w:instrText xml:space="preserve"> REF _Ref84874357 \h </w:instrText>
      </w:r>
      <w:r w:rsidR="002B36AE">
        <w:fldChar w:fldCharType="separate"/>
      </w:r>
      <w:r>
        <w:t xml:space="preserve">Table </w:t>
      </w:r>
      <w:r w:rsidRPr="686E7548">
        <w:rPr>
          <w:noProof/>
        </w:rPr>
        <w:t>1</w:t>
      </w:r>
      <w:r w:rsidR="002B36AE">
        <w:fldChar w:fldCharType="end"/>
      </w:r>
      <w:r>
        <w:t>). Final consumption expenditure by the government experienced a decrease of 0</w:t>
      </w:r>
      <w:r w:rsidR="000E36A0">
        <w:t>.</w:t>
      </w:r>
      <w:r w:rsidR="00AF5F7D">
        <w:t>1</w:t>
      </w:r>
      <w:r>
        <w:t xml:space="preserve">% in the second quarter of 2021. </w:t>
      </w:r>
      <w:r w:rsidR="002748A1">
        <w:t>As shown by gross fixed capital formation, investment</w:t>
      </w:r>
      <w:r>
        <w:t xml:space="preserve"> experienced an increase of 0</w:t>
      </w:r>
      <w:r w:rsidR="000E36A0">
        <w:t>.</w:t>
      </w:r>
      <w:r w:rsidR="00AF5F7D">
        <w:t>9</w:t>
      </w:r>
      <w:r>
        <w:t>%, resulting in a contribution of 0</w:t>
      </w:r>
      <w:r w:rsidR="000E36A0">
        <w:t>.</w:t>
      </w:r>
      <w:r w:rsidR="00AF5F7D">
        <w:t>1</w:t>
      </w:r>
      <w:r>
        <w:t>% to total growth in the second quarter of 2021. Net exports contributed 0</w:t>
      </w:r>
      <w:r w:rsidR="000E36A0">
        <w:t>.</w:t>
      </w:r>
      <w:r w:rsidR="00AF5F7D">
        <w:t>9</w:t>
      </w:r>
      <w:r>
        <w:t xml:space="preserve">% to total growth, attributed </w:t>
      </w:r>
      <w:r w:rsidR="002748A1">
        <w:t xml:space="preserve">by </w:t>
      </w:r>
      <w:r>
        <w:t>a 4</w:t>
      </w:r>
      <w:r w:rsidR="000E36A0">
        <w:t>.</w:t>
      </w:r>
      <w:r w:rsidR="00AF5F7D">
        <w:t>0</w:t>
      </w:r>
      <w:r>
        <w:t xml:space="preserve">% increase in exports of goods and services. </w:t>
      </w:r>
    </w:p>
    <w:p w:rsidR="005E12C5" w:rsidRPr="005E12C5" w:rsidRDefault="005E12C5" w:rsidP="00F77D7A">
      <w:pPr>
        <w:pStyle w:val="Caption"/>
      </w:pPr>
      <w:bookmarkStart w:id="18" w:name="_Ref84874357"/>
      <w:bookmarkStart w:id="19" w:name="_Toc87715518"/>
      <w:r w:rsidRPr="005E12C5">
        <w:t xml:space="preserve">Table </w:t>
      </w:r>
      <w:r w:rsidR="002B36AE">
        <w:fldChar w:fldCharType="begin"/>
      </w:r>
      <w:r w:rsidR="00DD51FB">
        <w:instrText xml:space="preserve"> SEQ Table \* ARABIC </w:instrText>
      </w:r>
      <w:r w:rsidR="002B36AE">
        <w:fldChar w:fldCharType="separate"/>
      </w:r>
      <w:r w:rsidR="00B148F1">
        <w:rPr>
          <w:noProof/>
        </w:rPr>
        <w:t>1</w:t>
      </w:r>
      <w:r w:rsidR="002B36AE">
        <w:rPr>
          <w:noProof/>
        </w:rPr>
        <w:fldChar w:fldCharType="end"/>
      </w:r>
      <w:bookmarkEnd w:id="18"/>
      <w:r w:rsidRPr="005E12C5">
        <w:t>: Growth rates in expenditure on GDP (% change quarter-on-quarter)</w:t>
      </w:r>
      <w:bookmarkEnd w:id="19"/>
    </w:p>
    <w:tbl>
      <w:tblPr>
        <w:tblStyle w:val="GridTable1Light-Accent31"/>
        <w:tblW w:w="5000" w:type="pct"/>
        <w:tblLook w:val="04A0"/>
      </w:tblPr>
      <w:tblGrid>
        <w:gridCol w:w="3352"/>
        <w:gridCol w:w="572"/>
        <w:gridCol w:w="571"/>
        <w:gridCol w:w="571"/>
        <w:gridCol w:w="573"/>
        <w:gridCol w:w="571"/>
        <w:gridCol w:w="678"/>
        <w:gridCol w:w="606"/>
        <w:gridCol w:w="606"/>
        <w:gridCol w:w="571"/>
        <w:gridCol w:w="571"/>
      </w:tblGrid>
      <w:tr w:rsidR="00263E8C" w:rsidRPr="00263E8C" w:rsidTr="00D36BF2">
        <w:trPr>
          <w:cnfStyle w:val="100000000000"/>
          <w:trHeight w:val="157"/>
        </w:trPr>
        <w:tc>
          <w:tcPr>
            <w:cnfStyle w:val="001000000000"/>
            <w:tcW w:w="1813" w:type="pct"/>
            <w:shd w:val="clear" w:color="auto" w:fill="9BBB59" w:themeFill="accent3"/>
            <w:vAlign w:val="center"/>
            <w:hideMark/>
          </w:tcPr>
          <w:p w:rsidR="00263E8C" w:rsidRPr="00263E8C" w:rsidRDefault="00263E8C" w:rsidP="00D36BF2">
            <w:pPr>
              <w:spacing w:after="0" w:line="240" w:lineRule="auto"/>
              <w:jc w:val="center"/>
              <w:rPr>
                <w:rFonts w:eastAsia="Times New Roman"/>
                <w:color w:val="000000"/>
                <w:sz w:val="20"/>
                <w:szCs w:val="20"/>
                <w:lang w:eastAsia="zh-TW"/>
              </w:rPr>
            </w:pPr>
          </w:p>
        </w:tc>
        <w:tc>
          <w:tcPr>
            <w:tcW w:w="1237" w:type="pct"/>
            <w:gridSpan w:val="4"/>
            <w:shd w:val="clear" w:color="auto" w:fill="9BBB59" w:themeFill="accent3"/>
            <w:noWrap/>
            <w:vAlign w:val="center"/>
            <w:hideMark/>
          </w:tcPr>
          <w:p w:rsidR="00263E8C" w:rsidRPr="00263E8C" w:rsidRDefault="00263E8C" w:rsidP="00D36BF2">
            <w:pPr>
              <w:spacing w:after="0" w:line="240" w:lineRule="auto"/>
              <w:jc w:val="center"/>
              <w:cnfStyle w:val="100000000000"/>
              <w:rPr>
                <w:rFonts w:eastAsia="Times New Roman"/>
                <w:color w:val="000000"/>
                <w:sz w:val="20"/>
                <w:szCs w:val="20"/>
                <w:lang w:eastAsia="zh-TW"/>
              </w:rPr>
            </w:pPr>
            <w:r w:rsidRPr="00263E8C">
              <w:rPr>
                <w:rFonts w:eastAsia="Times New Roman"/>
                <w:color w:val="000000"/>
                <w:sz w:val="20"/>
                <w:szCs w:val="20"/>
                <w:lang w:eastAsia="en-ZA"/>
              </w:rPr>
              <w:t>2019</w:t>
            </w:r>
          </w:p>
        </w:tc>
        <w:tc>
          <w:tcPr>
            <w:tcW w:w="1332" w:type="pct"/>
            <w:gridSpan w:val="4"/>
            <w:shd w:val="clear" w:color="auto" w:fill="9BBB59" w:themeFill="accent3"/>
            <w:noWrap/>
            <w:vAlign w:val="center"/>
            <w:hideMark/>
          </w:tcPr>
          <w:p w:rsidR="00263E8C" w:rsidRPr="00263E8C" w:rsidRDefault="00263E8C" w:rsidP="00D36BF2">
            <w:pPr>
              <w:spacing w:after="0" w:line="240" w:lineRule="auto"/>
              <w:jc w:val="center"/>
              <w:cnfStyle w:val="100000000000"/>
              <w:rPr>
                <w:rFonts w:eastAsia="Times New Roman"/>
                <w:color w:val="000000"/>
                <w:sz w:val="20"/>
                <w:szCs w:val="20"/>
                <w:lang w:eastAsia="zh-TW"/>
              </w:rPr>
            </w:pPr>
            <w:r w:rsidRPr="00263E8C">
              <w:rPr>
                <w:rFonts w:eastAsia="Times New Roman"/>
                <w:color w:val="000000"/>
                <w:sz w:val="20"/>
                <w:szCs w:val="20"/>
                <w:lang w:eastAsia="en-ZA"/>
              </w:rPr>
              <w:t>2020</w:t>
            </w:r>
          </w:p>
        </w:tc>
        <w:tc>
          <w:tcPr>
            <w:tcW w:w="618" w:type="pct"/>
            <w:gridSpan w:val="2"/>
            <w:shd w:val="clear" w:color="auto" w:fill="9BBB59" w:themeFill="accent3"/>
            <w:noWrap/>
            <w:vAlign w:val="center"/>
            <w:hideMark/>
          </w:tcPr>
          <w:p w:rsidR="00263E8C" w:rsidRPr="00263E8C" w:rsidRDefault="00263E8C" w:rsidP="00D36BF2">
            <w:pPr>
              <w:spacing w:after="0" w:line="240" w:lineRule="auto"/>
              <w:jc w:val="center"/>
              <w:cnfStyle w:val="100000000000"/>
              <w:rPr>
                <w:rFonts w:eastAsia="Times New Roman"/>
                <w:color w:val="000000"/>
                <w:sz w:val="20"/>
                <w:szCs w:val="20"/>
                <w:lang w:eastAsia="zh-TW"/>
              </w:rPr>
            </w:pPr>
            <w:r w:rsidRPr="00263E8C">
              <w:rPr>
                <w:rFonts w:eastAsia="Times New Roman"/>
                <w:color w:val="000000"/>
                <w:sz w:val="20"/>
                <w:szCs w:val="20"/>
                <w:lang w:eastAsia="en-ZA"/>
              </w:rPr>
              <w:t>2021</w:t>
            </w:r>
          </w:p>
        </w:tc>
      </w:tr>
      <w:tr w:rsidR="00263E8C" w:rsidRPr="00263E8C" w:rsidTr="00D36BF2">
        <w:trPr>
          <w:trHeight w:val="157"/>
        </w:trPr>
        <w:tc>
          <w:tcPr>
            <w:cnfStyle w:val="001000000000"/>
            <w:tcW w:w="1813" w:type="pct"/>
            <w:shd w:val="clear" w:color="auto" w:fill="9BBB59" w:themeFill="accent3"/>
            <w:vAlign w:val="center"/>
            <w:hideMark/>
          </w:tcPr>
          <w:p w:rsidR="00263E8C" w:rsidRPr="00263E8C" w:rsidRDefault="00263E8C" w:rsidP="00D36BF2">
            <w:pPr>
              <w:spacing w:after="0" w:line="240" w:lineRule="auto"/>
              <w:jc w:val="center"/>
              <w:rPr>
                <w:rFonts w:eastAsia="Times New Roman"/>
                <w:color w:val="000000"/>
                <w:sz w:val="20"/>
                <w:szCs w:val="20"/>
                <w:lang w:eastAsia="zh-TW"/>
              </w:rPr>
            </w:pPr>
          </w:p>
        </w:tc>
        <w:tc>
          <w:tcPr>
            <w:tcW w:w="309"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Q1</w:t>
            </w:r>
          </w:p>
        </w:tc>
        <w:tc>
          <w:tcPr>
            <w:tcW w:w="309"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Q2</w:t>
            </w:r>
          </w:p>
        </w:tc>
        <w:tc>
          <w:tcPr>
            <w:tcW w:w="309"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Q3</w:t>
            </w:r>
          </w:p>
        </w:tc>
        <w:tc>
          <w:tcPr>
            <w:tcW w:w="309"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Q4</w:t>
            </w:r>
          </w:p>
        </w:tc>
        <w:tc>
          <w:tcPr>
            <w:tcW w:w="309"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Q1</w:t>
            </w:r>
          </w:p>
        </w:tc>
        <w:tc>
          <w:tcPr>
            <w:tcW w:w="367"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Q2</w:t>
            </w:r>
          </w:p>
        </w:tc>
        <w:tc>
          <w:tcPr>
            <w:tcW w:w="328"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Q3</w:t>
            </w:r>
          </w:p>
        </w:tc>
        <w:tc>
          <w:tcPr>
            <w:tcW w:w="328"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Q4</w:t>
            </w:r>
          </w:p>
        </w:tc>
        <w:tc>
          <w:tcPr>
            <w:tcW w:w="309"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Q1</w:t>
            </w:r>
          </w:p>
        </w:tc>
        <w:tc>
          <w:tcPr>
            <w:tcW w:w="309" w:type="pct"/>
            <w:shd w:val="clear" w:color="auto" w:fill="9BBB59" w:themeFill="accent3"/>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zh-TW"/>
              </w:rPr>
              <w:t>Q2</w:t>
            </w:r>
          </w:p>
        </w:tc>
      </w:tr>
      <w:tr w:rsidR="00263E8C" w:rsidRPr="00263E8C" w:rsidTr="00D36BF2">
        <w:trPr>
          <w:trHeight w:val="300"/>
        </w:trPr>
        <w:tc>
          <w:tcPr>
            <w:cnfStyle w:val="001000000000"/>
            <w:tcW w:w="1813" w:type="pct"/>
            <w:vAlign w:val="center"/>
            <w:hideMark/>
          </w:tcPr>
          <w:p w:rsidR="00263E8C" w:rsidRPr="00263E8C" w:rsidRDefault="00263E8C" w:rsidP="00D36BF2">
            <w:pPr>
              <w:spacing w:after="0" w:line="240" w:lineRule="auto"/>
              <w:jc w:val="center"/>
              <w:rPr>
                <w:rFonts w:eastAsia="Times New Roman"/>
                <w:color w:val="000000"/>
                <w:sz w:val="20"/>
                <w:szCs w:val="20"/>
                <w:lang w:eastAsia="zh-TW"/>
              </w:rPr>
            </w:pPr>
            <w:r w:rsidRPr="00263E8C">
              <w:rPr>
                <w:rFonts w:eastAsia="Times New Roman"/>
                <w:color w:val="000000"/>
                <w:sz w:val="20"/>
                <w:szCs w:val="20"/>
                <w:lang w:eastAsia="en-ZA"/>
              </w:rPr>
              <w:t>Households' consumption</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-0.2</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0.9</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0.1</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0.5</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0.6</w:t>
            </w:r>
          </w:p>
        </w:tc>
        <w:tc>
          <w:tcPr>
            <w:tcW w:w="367"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-20.7</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18.1</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3.1</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0.5</w:t>
            </w:r>
          </w:p>
        </w:tc>
      </w:tr>
      <w:tr w:rsidR="00263E8C" w:rsidRPr="00263E8C" w:rsidTr="00D36BF2">
        <w:trPr>
          <w:trHeight w:val="300"/>
        </w:trPr>
        <w:tc>
          <w:tcPr>
            <w:cnfStyle w:val="001000000000"/>
            <w:tcW w:w="1813" w:type="pct"/>
            <w:vAlign w:val="center"/>
            <w:hideMark/>
          </w:tcPr>
          <w:p w:rsidR="00263E8C" w:rsidRPr="00263E8C" w:rsidRDefault="00263E8C" w:rsidP="00D36BF2">
            <w:pPr>
              <w:spacing w:after="0" w:line="240" w:lineRule="auto"/>
              <w:jc w:val="center"/>
              <w:rPr>
                <w:rFonts w:eastAsia="Times New Roman"/>
                <w:color w:val="000000"/>
                <w:sz w:val="20"/>
                <w:szCs w:val="20"/>
                <w:lang w:eastAsia="zh-TW"/>
              </w:rPr>
            </w:pPr>
            <w:r w:rsidRPr="00263E8C">
              <w:rPr>
                <w:rFonts w:eastAsia="Times New Roman"/>
                <w:color w:val="000000"/>
                <w:sz w:val="20"/>
                <w:szCs w:val="20"/>
                <w:lang w:eastAsia="en-ZA"/>
              </w:rPr>
              <w:t>General government consumption</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1.6</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0.9</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0.9</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0.1</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0.5</w:t>
            </w:r>
          </w:p>
        </w:tc>
        <w:tc>
          <w:tcPr>
            <w:tcW w:w="367"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-0.2</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0.1</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0.6</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-0.4</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-0.1</w:t>
            </w:r>
          </w:p>
        </w:tc>
      </w:tr>
      <w:tr w:rsidR="00263E8C" w:rsidRPr="00263E8C" w:rsidTr="00D36BF2">
        <w:trPr>
          <w:trHeight w:val="300"/>
        </w:trPr>
        <w:tc>
          <w:tcPr>
            <w:cnfStyle w:val="001000000000"/>
            <w:tcW w:w="1813" w:type="pct"/>
            <w:vAlign w:val="center"/>
            <w:hideMark/>
          </w:tcPr>
          <w:p w:rsidR="00263E8C" w:rsidRPr="00263E8C" w:rsidRDefault="00263E8C" w:rsidP="00D36BF2">
            <w:pPr>
              <w:spacing w:after="0" w:line="240" w:lineRule="auto"/>
              <w:jc w:val="center"/>
              <w:rPr>
                <w:rFonts w:eastAsia="Times New Roman"/>
                <w:color w:val="000000"/>
                <w:sz w:val="20"/>
                <w:szCs w:val="20"/>
                <w:lang w:eastAsia="zh-TW"/>
              </w:rPr>
            </w:pPr>
            <w:r w:rsidRPr="00263E8C">
              <w:rPr>
                <w:rFonts w:eastAsia="Times New Roman"/>
                <w:color w:val="000000"/>
                <w:sz w:val="20"/>
                <w:szCs w:val="20"/>
                <w:lang w:eastAsia="en-ZA"/>
              </w:rPr>
              <w:t>Gross fixed Capital formation</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1.3</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-0.9</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1.2</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-3.4</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-3.1</w:t>
            </w:r>
          </w:p>
        </w:tc>
        <w:tc>
          <w:tcPr>
            <w:tcW w:w="367"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-21.8</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12.8</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5.3</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-3.1</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0.9</w:t>
            </w:r>
          </w:p>
        </w:tc>
      </w:tr>
      <w:tr w:rsidR="00263E8C" w:rsidRPr="00263E8C" w:rsidTr="00D36BF2">
        <w:trPr>
          <w:trHeight w:val="300"/>
        </w:trPr>
        <w:tc>
          <w:tcPr>
            <w:cnfStyle w:val="001000000000"/>
            <w:tcW w:w="1813" w:type="pct"/>
            <w:vAlign w:val="center"/>
            <w:hideMark/>
          </w:tcPr>
          <w:p w:rsidR="00263E8C" w:rsidRPr="00263E8C" w:rsidRDefault="00263E8C" w:rsidP="00D36BF2">
            <w:pPr>
              <w:spacing w:after="0" w:line="240" w:lineRule="auto"/>
              <w:jc w:val="center"/>
              <w:rPr>
                <w:rFonts w:eastAsia="Times New Roman"/>
                <w:color w:val="000000"/>
                <w:sz w:val="20"/>
                <w:szCs w:val="20"/>
                <w:lang w:eastAsia="zh-TW"/>
              </w:rPr>
            </w:pPr>
            <w:r w:rsidRPr="00263E8C">
              <w:rPr>
                <w:rFonts w:eastAsia="Times New Roman"/>
                <w:color w:val="000000"/>
                <w:sz w:val="20"/>
                <w:szCs w:val="20"/>
                <w:lang w:eastAsia="en-ZA"/>
              </w:rPr>
              <w:t>Exports of goods and services</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-6.6</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0.1</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-0.7</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0.3</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-0.6</w:t>
            </w:r>
          </w:p>
        </w:tc>
        <w:tc>
          <w:tcPr>
            <w:tcW w:w="367"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-29.8</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27.9</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6</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4</w:t>
            </w:r>
          </w:p>
        </w:tc>
      </w:tr>
      <w:tr w:rsidR="00263E8C" w:rsidRPr="00263E8C" w:rsidTr="00D36BF2">
        <w:trPr>
          <w:trHeight w:val="300"/>
        </w:trPr>
        <w:tc>
          <w:tcPr>
            <w:cnfStyle w:val="001000000000"/>
            <w:tcW w:w="1813" w:type="pct"/>
            <w:vAlign w:val="center"/>
            <w:hideMark/>
          </w:tcPr>
          <w:p w:rsidR="00263E8C" w:rsidRPr="00263E8C" w:rsidRDefault="00263E8C" w:rsidP="00D36BF2">
            <w:pPr>
              <w:spacing w:after="0" w:line="240" w:lineRule="auto"/>
              <w:jc w:val="center"/>
              <w:rPr>
                <w:rFonts w:eastAsia="Times New Roman"/>
                <w:color w:val="000000"/>
                <w:sz w:val="20"/>
                <w:szCs w:val="20"/>
                <w:lang w:eastAsia="zh-TW"/>
              </w:rPr>
            </w:pPr>
            <w:r w:rsidRPr="00263E8C">
              <w:rPr>
                <w:rFonts w:eastAsia="Times New Roman"/>
                <w:color w:val="000000"/>
                <w:sz w:val="20"/>
                <w:szCs w:val="20"/>
                <w:lang w:eastAsia="en-ZA"/>
              </w:rPr>
              <w:t>Imports of goods and services</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-0.9</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3.9</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-2</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-2.6</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-4.4</w:t>
            </w:r>
          </w:p>
        </w:tc>
        <w:tc>
          <w:tcPr>
            <w:tcW w:w="367"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-18.4</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-0.8</w:t>
            </w:r>
          </w:p>
        </w:tc>
        <w:tc>
          <w:tcPr>
            <w:tcW w:w="328"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11.2</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6.5</w:t>
            </w:r>
          </w:p>
        </w:tc>
        <w:tc>
          <w:tcPr>
            <w:tcW w:w="309" w:type="pct"/>
            <w:noWrap/>
            <w:vAlign w:val="center"/>
            <w:hideMark/>
          </w:tcPr>
          <w:p w:rsidR="00263E8C" w:rsidRPr="00263E8C" w:rsidRDefault="00263E8C" w:rsidP="00D36BF2">
            <w:pPr>
              <w:spacing w:after="0" w:line="240" w:lineRule="auto"/>
              <w:jc w:val="center"/>
              <w:cnfStyle w:val="000000000000"/>
              <w:rPr>
                <w:rFonts w:eastAsia="Times New Roman"/>
                <w:color w:val="000000"/>
                <w:sz w:val="20"/>
                <w:szCs w:val="20"/>
                <w:lang w:eastAsia="zh-TW"/>
              </w:rPr>
            </w:pPr>
            <w:r w:rsidRPr="00263E8C">
              <w:rPr>
                <w:rFonts w:eastAsia="Times New Roman"/>
                <w:color w:val="000000"/>
                <w:sz w:val="20"/>
                <w:szCs w:val="20"/>
                <w:lang w:eastAsia="en-ZA"/>
              </w:rPr>
              <w:t>0.4</w:t>
            </w:r>
          </w:p>
        </w:tc>
      </w:tr>
    </w:tbl>
    <w:p w:rsidR="005E12C5" w:rsidRPr="000E36A0" w:rsidRDefault="005E12C5" w:rsidP="000E36A0">
      <w:pPr>
        <w:pStyle w:val="FootnoteText"/>
      </w:pPr>
      <w:r w:rsidRPr="00EE5653">
        <w:t>Source: Statistics South Africa</w:t>
      </w:r>
    </w:p>
    <w:p w:rsidR="00454B4E" w:rsidRPr="005E12C5" w:rsidRDefault="00454B4E" w:rsidP="00AA2616">
      <w:pPr>
        <w:pStyle w:val="FootnoteText"/>
      </w:pPr>
    </w:p>
    <w:p w:rsidR="005E12C5" w:rsidRPr="005E12C5" w:rsidRDefault="005E12C5" w:rsidP="00301A3D">
      <w:pPr>
        <w:pStyle w:val="ListParagraph"/>
      </w:pPr>
      <w:r>
        <w:t xml:space="preserve">On the production side, the agriculture sector recorded strong growth in the second quarter of 2021. </w:t>
      </w:r>
      <w:r w:rsidR="1330FECD">
        <w:t xml:space="preserve">The </w:t>
      </w:r>
      <w:r w:rsidR="519580C5">
        <w:t>agriculture</w:t>
      </w:r>
      <w:r>
        <w:t>, forestry and fishing sectors increased by 6</w:t>
      </w:r>
      <w:r w:rsidR="00D36BF2">
        <w:t>.</w:t>
      </w:r>
      <w:r w:rsidR="00AF5F7D">
        <w:t>2</w:t>
      </w:r>
      <w:r>
        <w:t>% in the second quarter of 2021 and transport, storage and communication increased by 6</w:t>
      </w:r>
      <w:r w:rsidR="00D36BF2">
        <w:t>.</w:t>
      </w:r>
      <w:r w:rsidR="00AF5F7D">
        <w:t>9</w:t>
      </w:r>
      <w:r>
        <w:t xml:space="preserve"> in the second quarter. The increase in transport, storage and communication is potentially driven by the gradual opening of the economic activity. Manufacturing activity decreased by 0.8% due to weak domestic demand, rising input costs, electricity supply disruptions, and raw material shortages.</w:t>
      </w:r>
    </w:p>
    <w:p w:rsidR="005E12C5" w:rsidRPr="005E12C5" w:rsidRDefault="005E12C5" w:rsidP="00F77D7A">
      <w:pPr>
        <w:pStyle w:val="Caption"/>
      </w:pPr>
      <w:bookmarkStart w:id="20" w:name="_Toc87715519"/>
      <w:r w:rsidRPr="005E12C5">
        <w:t xml:space="preserve">Table </w:t>
      </w:r>
      <w:r w:rsidR="002B36AE">
        <w:fldChar w:fldCharType="begin"/>
      </w:r>
      <w:r w:rsidR="00DD51FB">
        <w:instrText xml:space="preserve"> SEQ Table \* ARABIC </w:instrText>
      </w:r>
      <w:r w:rsidR="002B36AE">
        <w:fldChar w:fldCharType="separate"/>
      </w:r>
      <w:r w:rsidR="00B148F1">
        <w:rPr>
          <w:noProof/>
        </w:rPr>
        <w:t>2</w:t>
      </w:r>
      <w:r w:rsidR="002B36AE">
        <w:rPr>
          <w:noProof/>
        </w:rPr>
        <w:fldChar w:fldCharType="end"/>
      </w:r>
      <w:r w:rsidRPr="005E12C5">
        <w:t>:  Growth rates in industry value added and GDP (% change quarter-on-quarter)</w:t>
      </w:r>
      <w:bookmarkEnd w:id="20"/>
    </w:p>
    <w:tbl>
      <w:tblPr>
        <w:tblStyle w:val="GridTable1Light-Accent31"/>
        <w:tblW w:w="5000" w:type="pct"/>
        <w:tblLook w:val="04A0"/>
      </w:tblPr>
      <w:tblGrid>
        <w:gridCol w:w="4352"/>
        <w:gridCol w:w="763"/>
        <w:gridCol w:w="660"/>
        <w:gridCol w:w="784"/>
        <w:gridCol w:w="701"/>
        <w:gridCol w:w="662"/>
        <w:gridCol w:w="660"/>
        <w:gridCol w:w="660"/>
      </w:tblGrid>
      <w:tr w:rsidR="00E23CDB" w:rsidRPr="00E23CDB" w:rsidTr="00E23CDB">
        <w:trPr>
          <w:cnfStyle w:val="100000000000"/>
          <w:trHeight w:val="288"/>
        </w:trPr>
        <w:tc>
          <w:tcPr>
            <w:cnfStyle w:val="001000000000"/>
            <w:tcW w:w="2355" w:type="pct"/>
            <w:shd w:val="clear" w:color="auto" w:fill="9BBB59" w:themeFill="accent3"/>
            <w:noWrap/>
            <w:vAlign w:val="center"/>
            <w:hideMark/>
          </w:tcPr>
          <w:p w:rsidR="00E23CDB" w:rsidRPr="00E23CDB" w:rsidRDefault="00E23CDB" w:rsidP="00E23CDB">
            <w:pPr>
              <w:spacing w:after="0" w:line="240" w:lineRule="auto"/>
              <w:jc w:val="center"/>
              <w:rPr>
                <w:rFonts w:eastAsia="Times New Roman"/>
                <w:color w:val="000000"/>
                <w:lang w:eastAsia="zh-TW"/>
              </w:rPr>
            </w:pPr>
          </w:p>
        </w:tc>
        <w:tc>
          <w:tcPr>
            <w:tcW w:w="413" w:type="pct"/>
            <w:shd w:val="clear" w:color="auto" w:fill="9BBB59" w:themeFill="accent3"/>
            <w:noWrap/>
            <w:vAlign w:val="center"/>
            <w:hideMark/>
          </w:tcPr>
          <w:p w:rsidR="00E23CDB" w:rsidRPr="00E23CDB" w:rsidRDefault="00E23CDB" w:rsidP="00E23CDB">
            <w:pPr>
              <w:spacing w:after="0" w:line="240" w:lineRule="auto"/>
              <w:jc w:val="center"/>
              <w:cnfStyle w:val="100000000000"/>
              <w:rPr>
                <w:rFonts w:eastAsia="Times New Roman"/>
                <w:color w:val="000000"/>
                <w:sz w:val="20"/>
                <w:szCs w:val="20"/>
                <w:lang w:eastAsia="zh-TW"/>
              </w:rPr>
            </w:pPr>
            <w:r w:rsidRPr="00E23CDB">
              <w:rPr>
                <w:rFonts w:eastAsia="Times New Roman"/>
                <w:color w:val="000000"/>
                <w:sz w:val="20"/>
                <w:szCs w:val="20"/>
                <w:lang w:eastAsia="zh-TW"/>
              </w:rPr>
              <w:t>2019</w:t>
            </w:r>
          </w:p>
        </w:tc>
        <w:tc>
          <w:tcPr>
            <w:tcW w:w="1518" w:type="pct"/>
            <w:gridSpan w:val="4"/>
            <w:shd w:val="clear" w:color="auto" w:fill="9BBB59" w:themeFill="accent3"/>
            <w:noWrap/>
            <w:vAlign w:val="center"/>
            <w:hideMark/>
          </w:tcPr>
          <w:p w:rsidR="00E23CDB" w:rsidRPr="00E23CDB" w:rsidRDefault="00E23CDB" w:rsidP="00E23CDB">
            <w:pPr>
              <w:spacing w:after="0" w:line="240" w:lineRule="auto"/>
              <w:jc w:val="center"/>
              <w:cnfStyle w:val="100000000000"/>
              <w:rPr>
                <w:rFonts w:eastAsia="Times New Roman"/>
                <w:color w:val="000000"/>
                <w:sz w:val="20"/>
                <w:szCs w:val="20"/>
                <w:lang w:eastAsia="zh-TW"/>
              </w:rPr>
            </w:pPr>
            <w:r w:rsidRPr="00E23CDB">
              <w:rPr>
                <w:rFonts w:eastAsia="Times New Roman"/>
                <w:color w:val="000000"/>
                <w:sz w:val="20"/>
                <w:szCs w:val="20"/>
                <w:lang w:eastAsia="zh-TW"/>
              </w:rPr>
              <w:t>2020</w:t>
            </w:r>
          </w:p>
        </w:tc>
        <w:tc>
          <w:tcPr>
            <w:tcW w:w="714" w:type="pct"/>
            <w:gridSpan w:val="2"/>
            <w:shd w:val="clear" w:color="auto" w:fill="9BBB59" w:themeFill="accent3"/>
            <w:noWrap/>
            <w:vAlign w:val="center"/>
            <w:hideMark/>
          </w:tcPr>
          <w:p w:rsidR="00E23CDB" w:rsidRPr="00E23CDB" w:rsidRDefault="00E23CDB" w:rsidP="00E23CDB">
            <w:pPr>
              <w:spacing w:after="0" w:line="240" w:lineRule="auto"/>
              <w:jc w:val="center"/>
              <w:cnfStyle w:val="100000000000"/>
              <w:rPr>
                <w:rFonts w:eastAsia="Times New Roman"/>
                <w:color w:val="000000"/>
                <w:sz w:val="20"/>
                <w:szCs w:val="20"/>
                <w:lang w:eastAsia="zh-TW"/>
              </w:rPr>
            </w:pPr>
            <w:r w:rsidRPr="00E23CDB">
              <w:rPr>
                <w:rFonts w:eastAsia="Times New Roman"/>
                <w:color w:val="000000"/>
                <w:sz w:val="20"/>
                <w:szCs w:val="20"/>
                <w:lang w:eastAsia="zh-TW"/>
              </w:rPr>
              <w:t>2021</w:t>
            </w:r>
          </w:p>
        </w:tc>
      </w:tr>
      <w:tr w:rsidR="00E23CDB" w:rsidRPr="00E23CDB" w:rsidTr="00E23CDB">
        <w:trPr>
          <w:trHeight w:val="288"/>
        </w:trPr>
        <w:tc>
          <w:tcPr>
            <w:cnfStyle w:val="001000000000"/>
            <w:tcW w:w="2355" w:type="pct"/>
            <w:shd w:val="clear" w:color="auto" w:fill="9BBB59" w:themeFill="accent3"/>
            <w:noWrap/>
            <w:vAlign w:val="center"/>
            <w:hideMark/>
          </w:tcPr>
          <w:p w:rsidR="00E23CDB" w:rsidRPr="00E23CDB" w:rsidRDefault="00E23CDB" w:rsidP="00E23CDB">
            <w:pPr>
              <w:spacing w:after="0" w:line="240" w:lineRule="auto"/>
              <w:jc w:val="center"/>
              <w:rPr>
                <w:rFonts w:eastAsia="Times New Roman"/>
                <w:color w:val="000000"/>
                <w:lang w:eastAsia="zh-TW"/>
              </w:rPr>
            </w:pPr>
          </w:p>
        </w:tc>
        <w:tc>
          <w:tcPr>
            <w:tcW w:w="413" w:type="pct"/>
            <w:shd w:val="clear" w:color="auto" w:fill="9BBB59" w:themeFill="accent3"/>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Q4</w:t>
            </w:r>
          </w:p>
        </w:tc>
        <w:tc>
          <w:tcPr>
            <w:tcW w:w="357" w:type="pct"/>
            <w:shd w:val="clear" w:color="auto" w:fill="9BBB59" w:themeFill="accent3"/>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Q1</w:t>
            </w:r>
          </w:p>
        </w:tc>
        <w:tc>
          <w:tcPr>
            <w:tcW w:w="424" w:type="pct"/>
            <w:shd w:val="clear" w:color="auto" w:fill="9BBB59" w:themeFill="accent3"/>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Q2</w:t>
            </w:r>
          </w:p>
        </w:tc>
        <w:tc>
          <w:tcPr>
            <w:tcW w:w="379" w:type="pct"/>
            <w:shd w:val="clear" w:color="auto" w:fill="9BBB59" w:themeFill="accent3"/>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Q3</w:t>
            </w:r>
          </w:p>
        </w:tc>
        <w:tc>
          <w:tcPr>
            <w:tcW w:w="357" w:type="pct"/>
            <w:shd w:val="clear" w:color="auto" w:fill="9BBB59" w:themeFill="accent3"/>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Q4</w:t>
            </w:r>
          </w:p>
        </w:tc>
        <w:tc>
          <w:tcPr>
            <w:tcW w:w="357" w:type="pct"/>
            <w:shd w:val="clear" w:color="auto" w:fill="9BBB59" w:themeFill="accent3"/>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Q1</w:t>
            </w:r>
          </w:p>
        </w:tc>
        <w:tc>
          <w:tcPr>
            <w:tcW w:w="357" w:type="pct"/>
            <w:shd w:val="clear" w:color="auto" w:fill="9BBB59" w:themeFill="accent3"/>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Q2</w:t>
            </w:r>
          </w:p>
        </w:tc>
      </w:tr>
      <w:tr w:rsidR="00E23CDB" w:rsidRPr="00E23CDB" w:rsidTr="00E23CDB">
        <w:trPr>
          <w:trHeight w:val="288"/>
        </w:trPr>
        <w:tc>
          <w:tcPr>
            <w:cnfStyle w:val="001000000000"/>
            <w:tcW w:w="2355" w:type="pct"/>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Agriculture, forestry and fishing</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0.2</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9.8</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-4.3</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6.6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6.2</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Mining</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-4.7</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-31.1</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45</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-0.9</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4.3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1.9</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Manufacturing</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-0.6</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-31.4</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35.3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5.3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0.5</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-0.8</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Electricity, gas and water</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-0.9</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-11.6</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12.6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0.7</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Construction</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-1.5</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-2.5</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-29.9</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1.5</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2.2</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Trade, catering and accommodation</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-0.8</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-26.7</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25.1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1.5</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2.2</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bookmarkStart w:id="21" w:name="RANGE!A9"/>
            <w:r w:rsidRPr="00E23CDB">
              <w:rPr>
                <w:rFonts w:eastAsia="Times New Roman"/>
                <w:color w:val="000000"/>
                <w:sz w:val="20"/>
                <w:szCs w:val="20"/>
                <w:lang w:eastAsia="zh-TW"/>
              </w:rPr>
              <w:t>Transport, storage and communication</w:t>
            </w:r>
            <w:bookmarkEnd w:id="21"/>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-1.3</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-26.7</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17.3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2.9</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6.9</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Finance, real estate and business services</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2.2</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2.7</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-10.5</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6.6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2.9</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-0.4</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General government services</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-0.2</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0.2</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-0.3</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0.2</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0.2</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0.3</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-0.9</w:t>
            </w:r>
          </w:p>
        </w:tc>
      </w:tr>
      <w:tr w:rsidR="00E23CDB" w:rsidRPr="00E23CDB" w:rsidTr="00E23CDB">
        <w:trPr>
          <w:trHeight w:val="288"/>
        </w:trPr>
        <w:tc>
          <w:tcPr>
            <w:cnfStyle w:val="001000000000"/>
            <w:tcW w:w="2355" w:type="pct"/>
            <w:noWrap/>
            <w:vAlign w:val="center"/>
            <w:hideMark/>
          </w:tcPr>
          <w:p w:rsidR="00E23CDB" w:rsidRPr="00E23CDB" w:rsidRDefault="00E23CDB" w:rsidP="00E23CDB">
            <w:pPr>
              <w:spacing w:after="0" w:line="240" w:lineRule="auto"/>
              <w:rPr>
                <w:rFonts w:eastAsia="Times New Roman"/>
                <w:color w:val="000000"/>
                <w:sz w:val="20"/>
                <w:szCs w:val="20"/>
                <w:lang w:eastAsia="zh-TW"/>
              </w:rPr>
            </w:pPr>
            <w:r w:rsidRPr="00E23CDB">
              <w:rPr>
                <w:rFonts w:eastAsia="Times New Roman"/>
                <w:color w:val="000000"/>
                <w:sz w:val="20"/>
                <w:szCs w:val="20"/>
                <w:lang w:eastAsia="zh-TW"/>
              </w:rPr>
              <w:t>Personal services</w:t>
            </w:r>
          </w:p>
        </w:tc>
        <w:tc>
          <w:tcPr>
            <w:tcW w:w="413"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-0.2</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-0.3</w:t>
            </w:r>
          </w:p>
        </w:tc>
        <w:tc>
          <w:tcPr>
            <w:tcW w:w="424"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-5.9</w:t>
            </w:r>
          </w:p>
        </w:tc>
        <w:tc>
          <w:tcPr>
            <w:tcW w:w="379"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4.1</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1.7</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0.6</w:t>
            </w:r>
          </w:p>
        </w:tc>
        <w:tc>
          <w:tcPr>
            <w:tcW w:w="357" w:type="pct"/>
            <w:noWrap/>
            <w:vAlign w:val="center"/>
            <w:hideMark/>
          </w:tcPr>
          <w:p w:rsidR="00E23CDB" w:rsidRPr="00E23CDB" w:rsidRDefault="00E23CDB" w:rsidP="00E23CDB">
            <w:pPr>
              <w:spacing w:after="0" w:line="240" w:lineRule="auto"/>
              <w:jc w:val="center"/>
              <w:cnfStyle w:val="000000000000"/>
              <w:rPr>
                <w:rFonts w:eastAsia="Times New Roman"/>
                <w:color w:val="000000"/>
                <w:sz w:val="20"/>
                <w:szCs w:val="20"/>
                <w:lang w:eastAsia="zh-TW"/>
              </w:rPr>
            </w:pPr>
            <w:r w:rsidRPr="00E23CDB">
              <w:rPr>
                <w:rFonts w:eastAsia="Times New Roman"/>
                <w:color w:val="000000"/>
                <w:sz w:val="20"/>
                <w:szCs w:val="20"/>
                <w:lang w:eastAsia="zh-TW"/>
              </w:rPr>
              <w:t>2.5</w:t>
            </w:r>
          </w:p>
        </w:tc>
      </w:tr>
    </w:tbl>
    <w:p w:rsidR="005E12C5" w:rsidRPr="008C4760" w:rsidRDefault="005E12C5" w:rsidP="008C4760">
      <w:pPr>
        <w:pStyle w:val="FootnoteText"/>
      </w:pPr>
      <w:r w:rsidRPr="00EE5653">
        <w:t xml:space="preserve">Source: Statistics South Africa </w:t>
      </w:r>
    </w:p>
    <w:p w:rsidR="00454B4E" w:rsidRPr="005E12C5" w:rsidRDefault="00454B4E" w:rsidP="00AA2616">
      <w:pPr>
        <w:pStyle w:val="FootnoteText"/>
      </w:pPr>
    </w:p>
    <w:p w:rsidR="009D57E2" w:rsidRDefault="007A3728" w:rsidP="00A6587B">
      <w:pPr>
        <w:pStyle w:val="ListParagraph"/>
      </w:pPr>
      <w:r>
        <w:t>In the 2021 MTBPS, t</w:t>
      </w:r>
      <w:r w:rsidR="00A56749">
        <w:t xml:space="preserve">he government has </w:t>
      </w:r>
      <w:r>
        <w:t>committed to</w:t>
      </w:r>
      <w:r w:rsidR="00261E2B">
        <w:t xml:space="preserve"> implementing reforms </w:t>
      </w:r>
      <w:r>
        <w:t>that could</w:t>
      </w:r>
      <w:r w:rsidR="00261E2B">
        <w:t xml:space="preserve"> creat</w:t>
      </w:r>
      <w:r w:rsidR="00195B05">
        <w:t>e</w:t>
      </w:r>
      <w:r w:rsidR="00261E2B">
        <w:t xml:space="preserve"> a competitive economy</w:t>
      </w:r>
      <w:r w:rsidR="00C31DC1">
        <w:t xml:space="preserve"> and boost long-term growth</w:t>
      </w:r>
      <w:r>
        <w:t xml:space="preserve">, which </w:t>
      </w:r>
      <w:r w:rsidR="0099165B">
        <w:t>the Commission welcomes</w:t>
      </w:r>
      <w:r w:rsidR="00261E2B">
        <w:t xml:space="preserve">. </w:t>
      </w:r>
      <w:r w:rsidR="003A0D76">
        <w:t xml:space="preserve">Some of these reforms are in electricity, water, </w:t>
      </w:r>
      <w:r w:rsidR="00EE5D37">
        <w:t>telecommunications,</w:t>
      </w:r>
      <w:r w:rsidR="003A0D76">
        <w:t xml:space="preserve"> </w:t>
      </w:r>
      <w:r w:rsidR="005D033C">
        <w:t xml:space="preserve">and transport. The Commission </w:t>
      </w:r>
      <w:r w:rsidR="0099165B">
        <w:t>looks forward to</w:t>
      </w:r>
      <w:r w:rsidR="005D033C">
        <w:t xml:space="preserve"> th</w:t>
      </w:r>
      <w:r w:rsidR="007E2162">
        <w:t>ese</w:t>
      </w:r>
      <w:r w:rsidR="005D033C">
        <w:t xml:space="preserve"> growth</w:t>
      </w:r>
      <w:r w:rsidR="0099165B">
        <w:t>-</w:t>
      </w:r>
      <w:r w:rsidR="005D033C">
        <w:t>enhancing agenda</w:t>
      </w:r>
      <w:r w:rsidR="0099165B">
        <w:t>s;</w:t>
      </w:r>
      <w:r w:rsidR="005D033C">
        <w:t xml:space="preserve"> however, </w:t>
      </w:r>
      <w:r w:rsidR="0099165B">
        <w:t xml:space="preserve">noting that </w:t>
      </w:r>
      <w:r w:rsidR="005D033C">
        <w:t>the pace of</w:t>
      </w:r>
      <w:r w:rsidR="007E2162">
        <w:t xml:space="preserve"> implementing such</w:t>
      </w:r>
      <w:r w:rsidR="005D033C">
        <w:t xml:space="preserve"> reforms </w:t>
      </w:r>
      <w:r w:rsidR="007E2162">
        <w:t xml:space="preserve">has been </w:t>
      </w:r>
      <w:r w:rsidR="00A66C55">
        <w:t xml:space="preserve">disappointing and </w:t>
      </w:r>
      <w:r w:rsidR="007E2162">
        <w:t>slow</w:t>
      </w:r>
      <w:r w:rsidR="005D033C">
        <w:t xml:space="preserve">. </w:t>
      </w:r>
      <w:r w:rsidR="000C60B9">
        <w:t>It</w:t>
      </w:r>
      <w:r w:rsidR="002E5681">
        <w:t xml:space="preserve"> is</w:t>
      </w:r>
      <w:r w:rsidR="000C60B9">
        <w:t xml:space="preserve"> also important to secure </w:t>
      </w:r>
      <w:r w:rsidR="002E5681">
        <w:t xml:space="preserve">a </w:t>
      </w:r>
      <w:r w:rsidR="009A658E">
        <w:t>consistent energy supply in the short-</w:t>
      </w:r>
      <w:r w:rsidR="00307130">
        <w:t xml:space="preserve">and-medium term to </w:t>
      </w:r>
      <w:r w:rsidR="002E5681">
        <w:t xml:space="preserve">sustain </w:t>
      </w:r>
      <w:r w:rsidR="00307130">
        <w:t xml:space="preserve">growth. </w:t>
      </w:r>
    </w:p>
    <w:p w:rsidR="0000104D" w:rsidRDefault="005E12C5" w:rsidP="00A6587B">
      <w:pPr>
        <w:pStyle w:val="ListParagraph"/>
      </w:pPr>
      <w:r>
        <w:t xml:space="preserve">Headline, consumer price inflation, accelerated from a low of 2.1% in May 2020 to 5.2% a year later before decelerating to 4.9% in August 2021 (see </w:t>
      </w:r>
      <w:r w:rsidR="002B36AE">
        <w:fldChar w:fldCharType="begin"/>
      </w:r>
      <w:r>
        <w:instrText xml:space="preserve"> REF _Ref84874323 \h </w:instrText>
      </w:r>
      <w:r w:rsidR="002B36AE">
        <w:fldChar w:fldCharType="separate"/>
      </w:r>
      <w:r>
        <w:t xml:space="preserve">Figure </w:t>
      </w:r>
      <w:r w:rsidRPr="686E7548">
        <w:rPr>
          <w:noProof/>
        </w:rPr>
        <w:t>5</w:t>
      </w:r>
      <w:r w:rsidR="002B36AE">
        <w:fldChar w:fldCharType="end"/>
      </w:r>
      <w:r>
        <w:t xml:space="preserve">). </w:t>
      </w:r>
      <w:r w:rsidR="00843064">
        <w:t xml:space="preserve">In </w:t>
      </w:r>
      <w:r w:rsidR="001B493A">
        <w:t xml:space="preserve">both </w:t>
      </w:r>
      <w:r w:rsidR="00843064">
        <w:t>the Annual Submission</w:t>
      </w:r>
      <w:r w:rsidR="001B493A">
        <w:t>s</w:t>
      </w:r>
      <w:r w:rsidR="00843064">
        <w:t xml:space="preserve"> for the </w:t>
      </w:r>
      <w:r w:rsidR="001B493A">
        <w:t xml:space="preserve">2021 and </w:t>
      </w:r>
      <w:r w:rsidR="00843064">
        <w:t xml:space="preserve">2022 Division of Revenue, the Commission </w:t>
      </w:r>
      <w:r w:rsidR="00E2655F">
        <w:t xml:space="preserve">emphasised </w:t>
      </w:r>
      <w:r w:rsidR="00843064">
        <w:t xml:space="preserve">the risk </w:t>
      </w:r>
      <w:r w:rsidR="003A01AE">
        <w:t>that</w:t>
      </w:r>
      <w:r w:rsidR="00FE297C">
        <w:t xml:space="preserve"> </w:t>
      </w:r>
      <w:r w:rsidR="006B7305">
        <w:t>throughout the waves of the COVID-19 pandemic,</w:t>
      </w:r>
      <w:r>
        <w:t xml:space="preserve"> </w:t>
      </w:r>
      <w:r w:rsidR="00FE297C">
        <w:t xml:space="preserve">accelerating </w:t>
      </w:r>
      <w:r>
        <w:t>headline consumer price inflation</w:t>
      </w:r>
      <w:r w:rsidR="003A01AE">
        <w:t xml:space="preserve"> was</w:t>
      </w:r>
      <w:r>
        <w:t xml:space="preserve"> primarily due to </w:t>
      </w:r>
      <w:r w:rsidR="003A01AE">
        <w:t>core-</w:t>
      </w:r>
      <w:r w:rsidR="001B493A">
        <w:t>inflation</w:t>
      </w:r>
      <w:r w:rsidR="006B7305">
        <w:t xml:space="preserve"> items: </w:t>
      </w:r>
      <w:r>
        <w:t>fuel, food, electricity</w:t>
      </w:r>
      <w:r w:rsidR="006B7305">
        <w:t xml:space="preserve"> etc.</w:t>
      </w:r>
      <w:r>
        <w:t xml:space="preserve"> which increased faster</w:t>
      </w:r>
      <w:r w:rsidR="001B493A">
        <w:t xml:space="preserve"> than non-core items</w:t>
      </w:r>
      <w:r>
        <w:t xml:space="preserve">. </w:t>
      </w:r>
      <w:r w:rsidR="00B30519">
        <w:t>And a</w:t>
      </w:r>
      <w:r>
        <w:t xml:space="preserve">lthough inflation has remained within the midpoint of the South African Reserve Bank target, some of the short-term </w:t>
      </w:r>
      <w:r w:rsidR="00B24FA3">
        <w:t xml:space="preserve">supply-push </w:t>
      </w:r>
      <w:r>
        <w:t xml:space="preserve">inflation risks include international crude oil prices and higher domestic electricity and other </w:t>
      </w:r>
      <w:r w:rsidR="00B24FA3">
        <w:t>associated</w:t>
      </w:r>
      <w:r>
        <w:t xml:space="preserve"> </w:t>
      </w:r>
      <w:r w:rsidR="00B24FA3">
        <w:t>costs</w:t>
      </w:r>
      <w:r>
        <w:t xml:space="preserve">. </w:t>
      </w:r>
      <w:r w:rsidR="00B24FA3">
        <w:t xml:space="preserve">Furthermore, </w:t>
      </w:r>
      <w:r>
        <w:t xml:space="preserve">the long-term inflation risks </w:t>
      </w:r>
      <w:r w:rsidR="007E65ED">
        <w:t>for</w:t>
      </w:r>
      <w:r w:rsidR="00E35173">
        <w:t>eseen</w:t>
      </w:r>
      <w:r w:rsidR="007E65ED">
        <w:t xml:space="preserve"> by the Commission </w:t>
      </w:r>
      <w:r>
        <w:t xml:space="preserve">include a </w:t>
      </w:r>
      <w:r w:rsidR="007E65ED">
        <w:t xml:space="preserve">permanently </w:t>
      </w:r>
      <w:r>
        <w:t>weaker currency</w:t>
      </w:r>
      <w:r w:rsidR="007E65ED">
        <w:t xml:space="preserve"> due to the lower-investment grade, </w:t>
      </w:r>
      <w:r w:rsidR="00194674">
        <w:t>underwhelming growth prospect</w:t>
      </w:r>
      <w:r>
        <w:t xml:space="preserve">, higher domestic import tariffs and escalating wage demands. </w:t>
      </w:r>
    </w:p>
    <w:p w:rsidR="005E12C5" w:rsidRDefault="005E12C5" w:rsidP="00F77D7A">
      <w:pPr>
        <w:pStyle w:val="Caption"/>
      </w:pPr>
      <w:bookmarkStart w:id="22" w:name="_Ref84874323"/>
      <w:bookmarkStart w:id="23" w:name="_Toc87715504"/>
      <w:r w:rsidRPr="005E12C5">
        <w:t xml:space="preserve">Figure </w:t>
      </w:r>
      <w:r w:rsidR="002B36AE">
        <w:fldChar w:fldCharType="begin"/>
      </w:r>
      <w:r w:rsidR="00DD51FB">
        <w:instrText xml:space="preserve"> SEQ Figure \* ARABIC </w:instrText>
      </w:r>
      <w:r w:rsidR="002B36AE">
        <w:fldChar w:fldCharType="separate"/>
      </w:r>
      <w:r w:rsidR="00C1609A">
        <w:rPr>
          <w:noProof/>
        </w:rPr>
        <w:t>5</w:t>
      </w:r>
      <w:r w:rsidR="002B36AE">
        <w:rPr>
          <w:noProof/>
        </w:rPr>
        <w:fldChar w:fldCharType="end"/>
      </w:r>
      <w:bookmarkEnd w:id="22"/>
      <w:r w:rsidRPr="005E12C5">
        <w:t>: CPI headline year-on-year rates</w:t>
      </w:r>
      <w:bookmarkEnd w:id="23"/>
    </w:p>
    <w:p w:rsidR="0000104D" w:rsidRPr="005E12C5" w:rsidRDefault="00623E9D" w:rsidP="0000104D">
      <w:pPr>
        <w:keepNext/>
        <w:spacing w:after="0"/>
        <w:jc w:val="both"/>
      </w:pPr>
      <w:r>
        <w:rPr>
          <w:noProof/>
          <w:lang w:eastAsia="en-ZA"/>
        </w:rPr>
        <w:drawing>
          <wp:inline distT="0" distB="0" distL="0" distR="0">
            <wp:extent cx="5399405" cy="2941320"/>
            <wp:effectExtent l="0" t="0" r="10795" b="11430"/>
            <wp:docPr id="28" name="Chart 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2C5C5E0-7EC6-44DB-9C7A-9C83275FD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12C5" w:rsidRDefault="005E12C5" w:rsidP="0099482D">
      <w:pPr>
        <w:pStyle w:val="FootnoteText"/>
      </w:pPr>
      <w:r w:rsidRPr="00EE5653">
        <w:t xml:space="preserve">Source: Statistics South Africa </w:t>
      </w:r>
    </w:p>
    <w:p w:rsidR="0099482D" w:rsidRPr="0099482D" w:rsidRDefault="0099482D" w:rsidP="0099482D">
      <w:pPr>
        <w:pStyle w:val="FootnoteText"/>
      </w:pPr>
    </w:p>
    <w:p w:rsidR="005E12C5" w:rsidRPr="005E12C5" w:rsidRDefault="005E12C5" w:rsidP="0099482D">
      <w:pPr>
        <w:pStyle w:val="ListParagraph"/>
      </w:pPr>
      <w:r>
        <w:t>The recovery in employment has so far been sluggish</w:t>
      </w:r>
      <w:r w:rsidR="0026124C">
        <w:t xml:space="preserve">, as the scaring of our labour market is </w:t>
      </w:r>
      <w:r w:rsidR="00C03E4F">
        <w:t xml:space="preserve">made </w:t>
      </w:r>
      <w:r w:rsidR="0026124C">
        <w:t>permanent</w:t>
      </w:r>
      <w:r w:rsidR="00C03E4F">
        <w:t xml:space="preserve"> by the pandemic</w:t>
      </w:r>
      <w:r>
        <w:t xml:space="preserve">. The </w:t>
      </w:r>
      <w:r w:rsidR="008C6693">
        <w:t xml:space="preserve">official </w:t>
      </w:r>
      <w:r>
        <w:t>unemployment rate</w:t>
      </w:r>
      <w:r w:rsidR="008C6693">
        <w:t xml:space="preserve"> for people actively looking for jobs</w:t>
      </w:r>
      <w:r>
        <w:t xml:space="preserve"> is at a record high of 34.8% in the second quarter</w:t>
      </w:r>
      <w:r w:rsidR="008C6693">
        <w:t xml:space="preserve">, with discouraged </w:t>
      </w:r>
      <w:r>
        <w:t>persons</w:t>
      </w:r>
      <w:r w:rsidR="008C6693">
        <w:t>' unemployment rate at</w:t>
      </w:r>
      <w:r>
        <w:t xml:space="preserve"> 44.4% in the second quarter of 2021. </w:t>
      </w:r>
      <w:r w:rsidR="00F25F71">
        <w:t>T</w:t>
      </w:r>
      <w:r w:rsidR="007657C5">
        <w:t xml:space="preserve">he </w:t>
      </w:r>
      <w:r w:rsidR="00D22892">
        <w:t>Presidential employment initiative phase 2</w:t>
      </w:r>
      <w:r w:rsidR="007657C5">
        <w:t xml:space="preserve"> received </w:t>
      </w:r>
      <w:r w:rsidR="00671DA8">
        <w:t xml:space="preserve">is provisionally </w:t>
      </w:r>
      <w:r w:rsidR="007657C5">
        <w:t>allocat</w:t>
      </w:r>
      <w:r w:rsidR="000E5793">
        <w:t>ed</w:t>
      </w:r>
      <w:r w:rsidR="007657C5">
        <w:t xml:space="preserve"> </w:t>
      </w:r>
      <w:r w:rsidR="00BA566B">
        <w:t>R1</w:t>
      </w:r>
      <w:r w:rsidR="000E5793">
        <w:t>1 billion</w:t>
      </w:r>
      <w:r w:rsidR="00BA566B">
        <w:t xml:space="preserve"> to boost employment creation. </w:t>
      </w:r>
      <w:r>
        <w:t xml:space="preserve">The </w:t>
      </w:r>
      <w:r w:rsidR="002B19C1">
        <w:t>COVID</w:t>
      </w:r>
      <w:r>
        <w:t xml:space="preserve">-19 crisis has hit South </w:t>
      </w:r>
      <w:r w:rsidR="00A37245">
        <w:t xml:space="preserve">Africa's </w:t>
      </w:r>
      <w:r>
        <w:t xml:space="preserve">labour market hard, </w:t>
      </w:r>
      <w:r w:rsidR="005E7D83">
        <w:t>ca</w:t>
      </w:r>
      <w:r w:rsidR="00A47B33">
        <w:t>u</w:t>
      </w:r>
      <w:r w:rsidR="005E7D83">
        <w:t>sing</w:t>
      </w:r>
      <w:r>
        <w:t xml:space="preserve"> </w:t>
      </w:r>
      <w:r w:rsidR="00A47B33">
        <w:t xml:space="preserve">both </w:t>
      </w:r>
      <w:r>
        <w:t xml:space="preserve">massive cyclical </w:t>
      </w:r>
      <w:r w:rsidR="00A47B33">
        <w:t xml:space="preserve">and structural </w:t>
      </w:r>
      <w:r>
        <w:t>under-employment</w:t>
      </w:r>
      <w:r w:rsidR="00A47B33">
        <w:t>,</w:t>
      </w:r>
      <w:r>
        <w:t xml:space="preserve"> expos</w:t>
      </w:r>
      <w:r w:rsidR="0086593F">
        <w:t>ing</w:t>
      </w:r>
      <w:r>
        <w:t xml:space="preserve"> long-standing structural weaknesses in the labour market</w:t>
      </w:r>
      <w:r w:rsidR="00E732F5">
        <w:t xml:space="preserve">, </w:t>
      </w:r>
      <w:r w:rsidR="00404C7E">
        <w:t xml:space="preserve">a </w:t>
      </w:r>
      <w:r w:rsidR="00E732F5">
        <w:t>testament to our failing education system that is not fit-for-purpose</w:t>
      </w:r>
      <w:r>
        <w:t xml:space="preserve">. South </w:t>
      </w:r>
      <w:r w:rsidR="00A37245">
        <w:t xml:space="preserve">Africa's </w:t>
      </w:r>
      <w:r>
        <w:t xml:space="preserve">employment problem is mainly structural, reflecting a mismatch between existing labour supply and demand at prevailing market wages. </w:t>
      </w:r>
    </w:p>
    <w:p w:rsidR="005E12C5" w:rsidRDefault="005E12C5" w:rsidP="00F77D7A">
      <w:pPr>
        <w:pStyle w:val="Caption"/>
      </w:pPr>
      <w:bookmarkStart w:id="24" w:name="_Toc87715505"/>
      <w:r w:rsidRPr="005E12C5">
        <w:t xml:space="preserve">Figure </w:t>
      </w:r>
      <w:r w:rsidR="002B36AE">
        <w:fldChar w:fldCharType="begin"/>
      </w:r>
      <w:r w:rsidR="00DD51FB">
        <w:instrText xml:space="preserve"> SEQ Figure \* ARABIC </w:instrText>
      </w:r>
      <w:r w:rsidR="002B36AE">
        <w:fldChar w:fldCharType="separate"/>
      </w:r>
      <w:r w:rsidR="00C1609A">
        <w:rPr>
          <w:noProof/>
        </w:rPr>
        <w:t>6</w:t>
      </w:r>
      <w:r w:rsidR="002B36AE">
        <w:rPr>
          <w:noProof/>
        </w:rPr>
        <w:fldChar w:fldCharType="end"/>
      </w:r>
      <w:r w:rsidRPr="005E12C5">
        <w:t xml:space="preserve">: Unemployment rate </w:t>
      </w:r>
      <w:r>
        <w:t xml:space="preserve">2014 </w:t>
      </w:r>
      <w:r w:rsidR="0000104D">
        <w:t>–</w:t>
      </w:r>
      <w:r>
        <w:t xml:space="preserve"> 2021</w:t>
      </w:r>
      <w:bookmarkEnd w:id="24"/>
    </w:p>
    <w:p w:rsidR="0000104D" w:rsidRPr="005E12C5" w:rsidRDefault="0000104D" w:rsidP="0000104D">
      <w:pPr>
        <w:keepNext/>
        <w:spacing w:after="0"/>
        <w:jc w:val="both"/>
        <w:rPr>
          <w:b/>
          <w:bCs/>
          <w:sz w:val="24"/>
          <w:szCs w:val="24"/>
        </w:rPr>
      </w:pPr>
      <w:r w:rsidRPr="005E12C5">
        <w:rPr>
          <w:noProof/>
          <w:sz w:val="24"/>
          <w:szCs w:val="24"/>
          <w:lang w:eastAsia="en-ZA"/>
        </w:rPr>
        <w:drawing>
          <wp:inline distT="0" distB="0" distL="0" distR="0">
            <wp:extent cx="5399405" cy="2590800"/>
            <wp:effectExtent l="0" t="0" r="10795" b="0"/>
            <wp:docPr id="8"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FB9F9FD-380C-41F2-9F9C-23B44A999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12C5" w:rsidRDefault="005E12C5" w:rsidP="0086593F">
      <w:pPr>
        <w:pStyle w:val="FootnoteText"/>
      </w:pPr>
      <w:r w:rsidRPr="00EE5653">
        <w:t>S</w:t>
      </w:r>
      <w:r w:rsidR="0000104D" w:rsidRPr="00EE5653">
        <w:t xml:space="preserve">ource: Statistics South Africa </w:t>
      </w:r>
    </w:p>
    <w:p w:rsidR="000875C9" w:rsidRPr="0086593F" w:rsidRDefault="000875C9" w:rsidP="0086593F">
      <w:pPr>
        <w:pStyle w:val="FootnoteText"/>
      </w:pPr>
    </w:p>
    <w:p w:rsidR="005E12C5" w:rsidRPr="005E12C5" w:rsidRDefault="005E12C5" w:rsidP="00A6587B">
      <w:pPr>
        <w:pStyle w:val="ListParagraph"/>
      </w:pPr>
      <w:r>
        <w:t>The economic outlook and recovery are still highly uncertain, with significant risks around the pandemic path and the slow rollout of vaccination. It is necessary that efforts to pursue widespread vaccination be intensified. In addition, to further suppor</w:t>
      </w:r>
      <w:r w:rsidR="1FE95C98">
        <w:t xml:space="preserve">t the recovery, </w:t>
      </w:r>
      <w:r>
        <w:t>policymakers will have to</w:t>
      </w:r>
      <w:r w:rsidR="0BE40691">
        <w:t xml:space="preserve"> continue </w:t>
      </w:r>
      <w:r w:rsidR="0042737B">
        <w:t>undertaking</w:t>
      </w:r>
      <w:r>
        <w:t xml:space="preserve"> growth-enhancing reforms and steering the economy onto an inclusive development path. </w:t>
      </w:r>
    </w:p>
    <w:p w:rsidR="005E12C5" w:rsidRPr="005E12C5" w:rsidRDefault="005E12C5" w:rsidP="00FB3C43">
      <w:pPr>
        <w:pStyle w:val="Heading2"/>
      </w:pPr>
      <w:bookmarkStart w:id="25" w:name="_Toc87715675"/>
      <w:r w:rsidRPr="005E12C5">
        <w:t>Recommendations</w:t>
      </w:r>
      <w:bookmarkEnd w:id="25"/>
    </w:p>
    <w:p w:rsidR="00FF2E8F" w:rsidRPr="00DB3FF6" w:rsidRDefault="005E12C5" w:rsidP="00D845E1">
      <w:pPr>
        <w:pStyle w:val="Recommendations"/>
        <w:rPr>
          <w:i/>
          <w:iCs/>
        </w:rPr>
      </w:pPr>
      <w:r w:rsidRPr="005E12C5">
        <w:t xml:space="preserve">The long-term growth prospects of the country require addressing structural constraints. Government should implement economic reforms that can help unlock private sector investment and create more jobs. Such reforms </w:t>
      </w:r>
      <w:r w:rsidRPr="0081394A">
        <w:t xml:space="preserve">should promote economic transformation, support labour-intensive growth, and create a competitive economy. </w:t>
      </w:r>
      <w:r w:rsidR="0081394A" w:rsidRPr="0081394A">
        <w:t>The Commission notes the reforms outlined in the MTBPS</w:t>
      </w:r>
      <w:r w:rsidR="00442ADF">
        <w:t xml:space="preserve"> </w:t>
      </w:r>
      <w:r w:rsidR="0081394A" w:rsidRPr="0081394A">
        <w:t>– focusing mainly on SOEs restructuring</w:t>
      </w:r>
      <w:r w:rsidR="00101A26">
        <w:t xml:space="preserve"> and encourages </w:t>
      </w:r>
      <w:r w:rsidR="0081394A" w:rsidRPr="0081394A">
        <w:t xml:space="preserve">other </w:t>
      </w:r>
      <w:r w:rsidR="0088224B">
        <w:t>crucial</w:t>
      </w:r>
      <w:r w:rsidR="0081394A" w:rsidRPr="0081394A">
        <w:t xml:space="preserve"> dimensions of structural transformation</w:t>
      </w:r>
      <w:r w:rsidR="00101A26">
        <w:t xml:space="preserve"> through </w:t>
      </w:r>
      <w:r w:rsidR="0081233F">
        <w:t xml:space="preserve">fiscal and </w:t>
      </w:r>
      <w:r w:rsidR="00101A26">
        <w:t>public finance management</w:t>
      </w:r>
      <w:r w:rsidR="0081233F">
        <w:t xml:space="preserve"> for greater productivity</w:t>
      </w:r>
      <w:r w:rsidR="00980091">
        <w:t xml:space="preserve"> and value within the public </w:t>
      </w:r>
      <w:r w:rsidR="00980091" w:rsidRPr="00D845E1">
        <w:t>sector</w:t>
      </w:r>
      <w:r w:rsidR="0088224B">
        <w:t xml:space="preserve"> -</w:t>
      </w:r>
      <w:r w:rsidR="00980091">
        <w:t xml:space="preserve"> not cost</w:t>
      </w:r>
      <w:r w:rsidR="002142EB">
        <w:t>.</w:t>
      </w:r>
    </w:p>
    <w:p w:rsidR="008C6A70" w:rsidRPr="00B87635" w:rsidRDefault="00E1257F" w:rsidP="709C6B7D">
      <w:pPr>
        <w:pStyle w:val="Heading1"/>
        <w:rPr>
          <w:rFonts w:eastAsiaTheme="majorEastAsia"/>
        </w:rPr>
      </w:pPr>
      <w:bookmarkStart w:id="26" w:name="_Toc87715676"/>
      <w:r>
        <w:rPr>
          <w:rFonts w:eastAsiaTheme="majorEastAsia"/>
        </w:rPr>
        <w:t>Fiscal Outlook</w:t>
      </w:r>
      <w:bookmarkEnd w:id="26"/>
      <w:r>
        <w:rPr>
          <w:rFonts w:eastAsiaTheme="majorEastAsia"/>
        </w:rPr>
        <w:t xml:space="preserve"> </w:t>
      </w:r>
    </w:p>
    <w:p w:rsidR="00284429" w:rsidRDefault="00284429" w:rsidP="00284429">
      <w:pPr>
        <w:pStyle w:val="Heading2"/>
        <w:rPr>
          <w:b w:val="0"/>
          <w:bCs w:val="0"/>
        </w:rPr>
      </w:pPr>
      <w:bookmarkStart w:id="27" w:name="_Toc87715677"/>
      <w:r w:rsidRPr="080C12A2">
        <w:t xml:space="preserve">Revenue </w:t>
      </w:r>
      <w:r w:rsidRPr="000540EA">
        <w:t>Performance and Outlook</w:t>
      </w:r>
      <w:bookmarkEnd w:id="27"/>
      <w:r>
        <w:rPr>
          <w:b w:val="0"/>
          <w:bCs w:val="0"/>
        </w:rPr>
        <w:t xml:space="preserve"> </w:t>
      </w:r>
    </w:p>
    <w:p w:rsidR="00284429" w:rsidRDefault="00284429" w:rsidP="00A6587B">
      <w:pPr>
        <w:pStyle w:val="ListParagraph"/>
      </w:pPr>
      <w:r>
        <w:t xml:space="preserve">Although the economy has begun with a tentative recovery, and in-year tax revenue collection increased to higher than estimated in the 2021 Budget, government expenditure remains high for the tax base for every financial year over the medium term. South Africa's tax-to-GDP ratio for the 2020/21 financial year stands at 24.6% and is forecasted to only rebound to the pre-COVID levels of 26.3% in the 2027/28 fiscal year. This is in spite of the estimated tax revenue for 2021/22 being revised higher by R120.3 billion. </w:t>
      </w:r>
    </w:p>
    <w:p w:rsidR="00284429" w:rsidRPr="00F77D7A" w:rsidRDefault="00284429" w:rsidP="00F77D7A">
      <w:pPr>
        <w:pStyle w:val="Caption"/>
      </w:pPr>
      <w:bookmarkStart w:id="28" w:name="_Toc87715506"/>
      <w:r w:rsidRPr="00F77D7A">
        <w:t xml:space="preserve">Figure </w:t>
      </w:r>
      <w:r w:rsidR="002B36AE">
        <w:fldChar w:fldCharType="begin"/>
      </w:r>
      <w:r w:rsidR="00DD51FB">
        <w:instrText xml:space="preserve"> SEQ Figure \* ARABIC </w:instrText>
      </w:r>
      <w:r w:rsidR="002B36AE">
        <w:fldChar w:fldCharType="separate"/>
      </w:r>
      <w:r w:rsidR="00C1609A" w:rsidRPr="00F77D7A">
        <w:t>7</w:t>
      </w:r>
      <w:r w:rsidR="002B36AE">
        <w:fldChar w:fldCharType="end"/>
      </w:r>
      <w:r w:rsidRPr="00F77D7A">
        <w:t>: Tax as % of GDP</w:t>
      </w:r>
      <w:bookmarkEnd w:id="28"/>
    </w:p>
    <w:p w:rsidR="00284429" w:rsidRDefault="00284429" w:rsidP="00284429">
      <w:pPr>
        <w:pStyle w:val="FootnoteText"/>
      </w:pPr>
      <w:r>
        <w:rPr>
          <w:noProof/>
          <w:lang w:eastAsia="en-ZA"/>
        </w:rPr>
        <w:drawing>
          <wp:inline distT="0" distB="0" distL="0" distR="0">
            <wp:extent cx="5399405" cy="3015343"/>
            <wp:effectExtent l="0" t="0" r="10795" b="13970"/>
            <wp:docPr id="21" name="Chart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32E0B67-5016-4DC7-87A1-D4207B8E4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E5653">
        <w:t xml:space="preserve">Source: South Africa Revenue Service </w:t>
      </w:r>
    </w:p>
    <w:p w:rsidR="00284429" w:rsidRDefault="00284429" w:rsidP="00284429">
      <w:pPr>
        <w:pStyle w:val="FootnoteText"/>
      </w:pPr>
    </w:p>
    <w:p w:rsidR="00284429" w:rsidRDefault="00284429" w:rsidP="00A6587B">
      <w:pPr>
        <w:pStyle w:val="ListParagraph"/>
      </w:pPr>
      <w:r>
        <w:t xml:space="preserve">The Commission sees that the commodity prices cycle is unlikely to persist in the medium- or the long term, so the revenue windfall should not circumvent difficult fiscal adjustments. Personal Income Tax (PIT) collections continue to be challenged by sluggish employment and lower wage growth. As shown in the Commission's Annual Submission research for the 2021 and 2022 Division of Revenue, the corporate income tax has been falling since the 2008 global financial crisis, as it continues to decline. </w:t>
      </w:r>
    </w:p>
    <w:p w:rsidR="00284429" w:rsidRDefault="00284429" w:rsidP="00E015F1">
      <w:pPr>
        <w:pStyle w:val="Caption"/>
      </w:pPr>
      <w:bookmarkStart w:id="29" w:name="_Toc87715507"/>
      <w:r w:rsidRPr="00A71235">
        <w:t xml:space="preserve">Figure </w:t>
      </w:r>
      <w:r w:rsidR="002B36AE">
        <w:fldChar w:fldCharType="begin"/>
      </w:r>
      <w:r w:rsidR="00DD51FB">
        <w:instrText xml:space="preserve"> SEQ Figure \* ARABIC </w:instrText>
      </w:r>
      <w:r w:rsidR="002B36AE">
        <w:fldChar w:fldCharType="separate"/>
      </w:r>
      <w:r w:rsidR="00C1609A">
        <w:rPr>
          <w:noProof/>
        </w:rPr>
        <w:t>8</w:t>
      </w:r>
      <w:r w:rsidR="002B36AE">
        <w:rPr>
          <w:noProof/>
        </w:rPr>
        <w:fldChar w:fldCharType="end"/>
      </w:r>
      <w:r w:rsidRPr="00A71235">
        <w:t>: Main revenue source as % of GDP</w:t>
      </w:r>
      <w:bookmarkEnd w:id="29"/>
    </w:p>
    <w:p w:rsidR="00284429" w:rsidRPr="00B148F1" w:rsidRDefault="00284429" w:rsidP="00284429">
      <w:pPr>
        <w:pStyle w:val="NoSpacing"/>
      </w:pPr>
      <w:r>
        <w:rPr>
          <w:noProof/>
          <w:lang w:eastAsia="en-ZA"/>
        </w:rPr>
        <w:drawing>
          <wp:inline distT="0" distB="0" distL="0" distR="0">
            <wp:extent cx="5400000" cy="3061335"/>
            <wp:effectExtent l="0" t="0" r="10795" b="5715"/>
            <wp:docPr id="22" name="Chart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AFC1DFB-F034-40CB-91EB-9AB3CBB12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4429" w:rsidRDefault="00284429" w:rsidP="000F41CD">
      <w:pPr>
        <w:pStyle w:val="FootnoteText"/>
      </w:pPr>
      <w:r w:rsidRPr="00EE5653">
        <w:t>Source: South African Revenue Service</w:t>
      </w:r>
    </w:p>
    <w:p w:rsidR="000875C9" w:rsidRDefault="000875C9" w:rsidP="000F41CD">
      <w:pPr>
        <w:pStyle w:val="FootnoteText"/>
      </w:pPr>
    </w:p>
    <w:p w:rsidR="000875C9" w:rsidRDefault="000875C9" w:rsidP="000F41CD">
      <w:pPr>
        <w:pStyle w:val="FootnoteText"/>
      </w:pPr>
    </w:p>
    <w:p w:rsidR="001B3107" w:rsidRPr="004A1417" w:rsidRDefault="00F459A8" w:rsidP="003E2BBB">
      <w:pPr>
        <w:pStyle w:val="Heading2"/>
      </w:pPr>
      <w:bookmarkStart w:id="30" w:name="_Toc87715678"/>
      <w:r>
        <w:t>The a</w:t>
      </w:r>
      <w:r w:rsidR="4D95D1F8" w:rsidRPr="080C12A2">
        <w:t xml:space="preserve">djusted </w:t>
      </w:r>
      <w:r w:rsidR="00C12305">
        <w:t>fiscal</w:t>
      </w:r>
      <w:r w:rsidR="00BB2838">
        <w:t xml:space="preserve"> </w:t>
      </w:r>
      <w:r w:rsidR="00C12305">
        <w:t>framework</w:t>
      </w:r>
      <w:bookmarkEnd w:id="30"/>
    </w:p>
    <w:p w:rsidR="000F41CD" w:rsidRDefault="008A10B6" w:rsidP="00A6587B">
      <w:pPr>
        <w:pStyle w:val="ListParagraph"/>
      </w:pPr>
      <w:r>
        <w:t xml:space="preserve">The </w:t>
      </w:r>
      <w:r w:rsidR="00E31F18">
        <w:t xml:space="preserve">fiscal framework as tabled in the </w:t>
      </w:r>
      <w:r>
        <w:t>2021 MTBPS is in line with the four main priorities stated by the President during the 2021 Budget Speech. Namely, to save the lives and livelihoods of South Africans by providing massive health responses and providing relief to households and businesses in response to the COVID-19 pandemic and accelerating economic recovery through the Economic Recovery and Reconstruction Plan while stabilising public finances over the medium-term and eradicating corruption.</w:t>
      </w:r>
      <w:r w:rsidR="007465C2">
        <w:t xml:space="preserve"> South Africa can and must seek to avoid withdrawing its fiscal support too early and still signal to the public that its debt level is sustainable in the long run by eliminating leakages and executing reprioritisations that are productive and constructive.</w:t>
      </w:r>
      <w:r w:rsidR="000F41CD" w:rsidRPr="000F41CD">
        <w:t xml:space="preserve"> </w:t>
      </w:r>
    </w:p>
    <w:p w:rsidR="00D95198" w:rsidRPr="007465C2" w:rsidRDefault="002B36AE" w:rsidP="00A6587B">
      <w:pPr>
        <w:pStyle w:val="ListParagraph"/>
      </w:pPr>
      <w:r>
        <w:fldChar w:fldCharType="begin"/>
      </w:r>
      <w:r w:rsidR="000F41CD">
        <w:instrText xml:space="preserve"> REF _Ref87704803 \h </w:instrText>
      </w:r>
      <w:r>
        <w:fldChar w:fldCharType="separate"/>
      </w:r>
      <w:r w:rsidR="000F41CD" w:rsidRPr="00EE5653">
        <w:t xml:space="preserve">Figure </w:t>
      </w:r>
      <w:r w:rsidR="000F41CD">
        <w:rPr>
          <w:noProof/>
        </w:rPr>
        <w:t>9</w:t>
      </w:r>
      <w:r>
        <w:fldChar w:fldCharType="end"/>
      </w:r>
      <w:r w:rsidR="000F41CD">
        <w:t xml:space="preserve"> shows that through containing expenditure at the margins and increased tax revenue buoyed by the commodity cycle, the main budget revenue and expenditure narrowed towards an envisaged primary balance in 2024/25. The first primary budget surplus since 2018 has been recorded during the first quarter of the 2021/2022 financial year. It is important to note that this narrowing of the budget deficit was despite the Personal Income Tax relief efforts made for the 2021 financial year with the bracket adjustment and the company tax reduction to facilitate the recovery. Based on this empirical evidence, the Commission believes that the government should continue growing the tax base instead of hiking the tax rate.</w:t>
      </w:r>
    </w:p>
    <w:p w:rsidR="00134C83" w:rsidRPr="00EE5653" w:rsidRDefault="00134C83" w:rsidP="00E015F1">
      <w:pPr>
        <w:pStyle w:val="Caption"/>
      </w:pPr>
      <w:bookmarkStart w:id="31" w:name="_Ref87704803"/>
      <w:bookmarkStart w:id="32" w:name="_Toc87715508"/>
      <w:r w:rsidRPr="00EE5653">
        <w:t xml:space="preserve">Figure </w:t>
      </w:r>
      <w:r w:rsidR="002B36AE" w:rsidRPr="00EE5653">
        <w:fldChar w:fldCharType="begin"/>
      </w:r>
      <w:r w:rsidRPr="00EE5653">
        <w:instrText>SEQ Figure \* ARABIC</w:instrText>
      </w:r>
      <w:r w:rsidR="002B36AE" w:rsidRPr="00EE5653">
        <w:fldChar w:fldCharType="separate"/>
      </w:r>
      <w:r w:rsidR="00C1609A">
        <w:rPr>
          <w:noProof/>
        </w:rPr>
        <w:t>9</w:t>
      </w:r>
      <w:r w:rsidR="002B36AE" w:rsidRPr="00EE5653">
        <w:fldChar w:fldCharType="end"/>
      </w:r>
      <w:bookmarkEnd w:id="31"/>
      <w:r w:rsidRPr="00EE5653">
        <w:t>: Main budget revenue and expenditure, 2021 Budget vs 2021 MTBPS (R billion)</w:t>
      </w:r>
      <w:bookmarkEnd w:id="32"/>
    </w:p>
    <w:p w:rsidR="008A5DAA" w:rsidRPr="00031703" w:rsidRDefault="00134C83" w:rsidP="00031703">
      <w:pPr>
        <w:pStyle w:val="FootnoteText"/>
      </w:pPr>
      <w:r>
        <w:rPr>
          <w:noProof/>
          <w:lang w:eastAsia="en-ZA"/>
        </w:rPr>
        <w:drawing>
          <wp:inline distT="0" distB="0" distL="0" distR="0">
            <wp:extent cx="5400000" cy="3060000"/>
            <wp:effectExtent l="0" t="0" r="10795" b="7620"/>
            <wp:docPr id="7"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23DEFE8-3E25-4FCB-95F8-31D0357C3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E5653">
        <w:t>Source: National Treasury</w:t>
      </w:r>
    </w:p>
    <w:p w:rsidR="000F41CD" w:rsidRDefault="000F41CD" w:rsidP="000F41CD">
      <w:pPr>
        <w:pStyle w:val="FootnoteText"/>
      </w:pPr>
    </w:p>
    <w:p w:rsidR="00B148F1" w:rsidRDefault="00D9708B" w:rsidP="00A6587B">
      <w:pPr>
        <w:pStyle w:val="ListParagraph"/>
      </w:pPr>
      <w:r>
        <w:t xml:space="preserve">Despite the narrowing primary balance (i.e. </w:t>
      </w:r>
      <w:r w:rsidR="00F1391A">
        <w:t xml:space="preserve">before debt-service costs) in the 2021 MTBPS relative to the 2021 Budget Review estimates, due to </w:t>
      </w:r>
      <w:r w:rsidR="006342CC">
        <w:t>stubbornly high rates of debt-service costs</w:t>
      </w:r>
      <w:r w:rsidR="00B85AFB">
        <w:t>.</w:t>
      </w:r>
      <w:r w:rsidR="00E03B18">
        <w:t xml:space="preserve"> </w:t>
      </w:r>
      <w:r w:rsidR="00284429">
        <w:t xml:space="preserve">At </w:t>
      </w:r>
      <w:r w:rsidR="001B644F">
        <w:t>just shy of five (5)</w:t>
      </w:r>
      <w:r w:rsidR="0015575D">
        <w:t xml:space="preserve"> per cent of GDP</w:t>
      </w:r>
      <w:r w:rsidR="00B85AFB">
        <w:t xml:space="preserve"> or</w:t>
      </w:r>
      <w:r w:rsidR="00DE440F">
        <w:t xml:space="preserve"> </w:t>
      </w:r>
      <w:r w:rsidR="009B2F0F">
        <w:t>R3</w:t>
      </w:r>
      <w:r w:rsidR="00D43BEA">
        <w:t>89</w:t>
      </w:r>
      <w:r w:rsidR="009B2F0F">
        <w:t xml:space="preserve"> billion</w:t>
      </w:r>
      <w:r w:rsidR="00B85AFB">
        <w:t xml:space="preserve">, </w:t>
      </w:r>
      <w:r w:rsidR="00D43BEA">
        <w:t>R338 billion of which are debt-service costs</w:t>
      </w:r>
      <w:r w:rsidR="00B85AFB">
        <w:t xml:space="preserve">, </w:t>
      </w:r>
      <w:r w:rsidR="00B85AFB" w:rsidRPr="00B85AFB">
        <w:t>the net main budget balance is therefore still deep in the negative territory over the medium term</w:t>
      </w:r>
      <w:r w:rsidR="0015575D">
        <w:t>.</w:t>
      </w:r>
      <w:r w:rsidR="00ED4D42">
        <w:t xml:space="preserve"> The Commission encourages </w:t>
      </w:r>
      <w:r w:rsidR="00284429">
        <w:t xml:space="preserve">more active management of the debt portfolio to stabilise debt by </w:t>
      </w:r>
      <w:r w:rsidR="00ED4D42">
        <w:t xml:space="preserve">securing domestic debt instead of foreign debt due to </w:t>
      </w:r>
      <w:r w:rsidR="0066195D">
        <w:t xml:space="preserve">the </w:t>
      </w:r>
      <w:r w:rsidR="00ED4D42">
        <w:t xml:space="preserve">expected volatilities and losses on foreign currency transactions attributed to the weakened South African rand. </w:t>
      </w:r>
    </w:p>
    <w:p w:rsidR="005600D2" w:rsidRPr="00EE5653" w:rsidRDefault="00C67085" w:rsidP="00E015F1">
      <w:pPr>
        <w:pStyle w:val="Caption"/>
      </w:pPr>
      <w:bookmarkStart w:id="33" w:name="_Toc87715509"/>
      <w:r w:rsidRPr="00EE5653">
        <w:t xml:space="preserve">Figure </w:t>
      </w:r>
      <w:r w:rsidR="002B36AE" w:rsidRPr="00EE5653">
        <w:fldChar w:fldCharType="begin"/>
      </w:r>
      <w:r w:rsidRPr="00EE5653">
        <w:instrText>SEQ Figure \* ARABIC</w:instrText>
      </w:r>
      <w:r w:rsidR="002B36AE" w:rsidRPr="00EE5653">
        <w:fldChar w:fldCharType="separate"/>
      </w:r>
      <w:r w:rsidR="00C1609A">
        <w:rPr>
          <w:noProof/>
        </w:rPr>
        <w:t>10</w:t>
      </w:r>
      <w:r w:rsidR="002B36AE" w:rsidRPr="00EE5653">
        <w:fldChar w:fldCharType="end"/>
      </w:r>
      <w:r w:rsidRPr="00EE5653">
        <w:t xml:space="preserve">: </w:t>
      </w:r>
      <w:r w:rsidR="009B2A4B" w:rsidRPr="00E015F1">
        <w:t>P</w:t>
      </w:r>
      <w:r w:rsidR="00F63008" w:rsidRPr="00E015F1">
        <w:t>rimary</w:t>
      </w:r>
      <w:r w:rsidR="00F63008" w:rsidRPr="00EE5653">
        <w:t xml:space="preserve"> </w:t>
      </w:r>
      <w:r w:rsidR="005F3062">
        <w:t>deficit</w:t>
      </w:r>
      <w:r w:rsidR="00F63008" w:rsidRPr="00EE5653">
        <w:t xml:space="preserve"> and debt-service costs, 2021 Budget </w:t>
      </w:r>
      <w:r w:rsidR="00E304CF" w:rsidRPr="00EE5653">
        <w:t>vs</w:t>
      </w:r>
      <w:r w:rsidR="00F63008" w:rsidRPr="00EE5653">
        <w:t xml:space="preserve"> 2021 MTBPS (R billion)</w:t>
      </w:r>
      <w:bookmarkEnd w:id="33"/>
    </w:p>
    <w:p w:rsidR="04917E71" w:rsidRDefault="00E45B5D" w:rsidP="0066195D">
      <w:pPr>
        <w:pStyle w:val="FootnoteText"/>
      </w:pPr>
      <w:r>
        <w:rPr>
          <w:noProof/>
          <w:lang w:eastAsia="en-ZA"/>
        </w:rPr>
        <w:drawing>
          <wp:inline distT="0" distB="0" distL="0" distR="0">
            <wp:extent cx="5399405" cy="2732315"/>
            <wp:effectExtent l="0" t="0" r="10795" b="11430"/>
            <wp:docPr id="10" name="Chart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03E1C46-2981-4A4D-8C0F-7AB7CCF1A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D6EF3" w:rsidRPr="00EE5653">
        <w:t>Source: National Treasury</w:t>
      </w:r>
    </w:p>
    <w:p w:rsidR="005600D2" w:rsidRDefault="005600D2" w:rsidP="005600D2">
      <w:pPr>
        <w:spacing w:after="0"/>
      </w:pPr>
    </w:p>
    <w:p w:rsidR="001B0942" w:rsidRPr="001B0942" w:rsidRDefault="00F333B3" w:rsidP="00A6587B">
      <w:pPr>
        <w:pStyle w:val="ListParagraph"/>
      </w:pPr>
      <w:r>
        <w:t>South Africa</w:t>
      </w:r>
      <w:r w:rsidR="00AC6B02">
        <w:t>'</w:t>
      </w:r>
      <w:r>
        <w:t>s</w:t>
      </w:r>
      <w:r w:rsidR="00B85AFB">
        <w:t xml:space="preserve"> </w:t>
      </w:r>
      <w:r w:rsidR="005D5DE9">
        <w:t xml:space="preserve">economy </w:t>
      </w:r>
      <w:r w:rsidR="009D1180">
        <w:t xml:space="preserve">must grow in tandem with the </w:t>
      </w:r>
      <w:r w:rsidR="005D5DE9">
        <w:t>tax base</w:t>
      </w:r>
      <w:r w:rsidR="00425091">
        <w:t xml:space="preserve"> </w:t>
      </w:r>
      <w:r w:rsidR="008E577A">
        <w:t>to</w:t>
      </w:r>
      <w:r w:rsidR="00220483">
        <w:t xml:space="preserve"> improve the fiscal framework by</w:t>
      </w:r>
      <w:r w:rsidR="0034464D">
        <w:t xml:space="preserve"> </w:t>
      </w:r>
      <w:r w:rsidR="005D5DE9">
        <w:t>generat</w:t>
      </w:r>
      <w:r w:rsidR="00220483">
        <w:t>ing</w:t>
      </w:r>
      <w:r w:rsidR="005D5DE9">
        <w:t xml:space="preserve"> </w:t>
      </w:r>
      <w:r w:rsidR="003A10E9">
        <w:t xml:space="preserve">higher </w:t>
      </w:r>
      <w:r w:rsidR="009D1180">
        <w:t xml:space="preserve">revenue </w:t>
      </w:r>
      <w:r w:rsidR="003A10E9">
        <w:t>envelop</w:t>
      </w:r>
      <w:r w:rsidR="00DF54D2">
        <w:t>e</w:t>
      </w:r>
      <w:r w:rsidR="00AE6534">
        <w:t xml:space="preserve"> </w:t>
      </w:r>
      <w:r w:rsidR="000E32A0">
        <w:t>and</w:t>
      </w:r>
      <w:r w:rsidR="008E768D">
        <w:t xml:space="preserve"> </w:t>
      </w:r>
      <w:r w:rsidR="004F09DB">
        <w:t xml:space="preserve">aggressively </w:t>
      </w:r>
      <w:r w:rsidR="002B4DC8">
        <w:t>eliminating</w:t>
      </w:r>
      <w:r w:rsidR="00425091">
        <w:t xml:space="preserve"> </w:t>
      </w:r>
      <w:r w:rsidR="002B4DC8">
        <w:t xml:space="preserve">the </w:t>
      </w:r>
      <w:r w:rsidR="004F09DB">
        <w:t xml:space="preserve">leakages and </w:t>
      </w:r>
      <w:r w:rsidR="0034464D">
        <w:t xml:space="preserve">unproductive </w:t>
      </w:r>
      <w:r w:rsidR="002B4DC8">
        <w:t>use of scarce resources</w:t>
      </w:r>
      <w:r w:rsidR="008E768D">
        <w:t>.</w:t>
      </w:r>
      <w:r w:rsidR="00447490">
        <w:t xml:space="preserve"> </w:t>
      </w:r>
      <w:r w:rsidR="003E5B25">
        <w:t xml:space="preserve">The economy has experienced immense instability accompanied by </w:t>
      </w:r>
      <w:r w:rsidR="00866D6E">
        <w:t xml:space="preserve">structural declines in </w:t>
      </w:r>
      <w:r w:rsidR="0082736D">
        <w:t xml:space="preserve">real GDP per capita </w:t>
      </w:r>
      <w:r w:rsidR="00C06E63">
        <w:t xml:space="preserve">even prior </w:t>
      </w:r>
      <w:r w:rsidR="00866D6E">
        <w:t>to the onset of COVID-19</w:t>
      </w:r>
      <w:r w:rsidR="003E5B25">
        <w:t xml:space="preserve">. </w:t>
      </w:r>
      <w:r w:rsidR="001B0942">
        <w:t xml:space="preserve">The Minister of Finance has emphasised the need for </w:t>
      </w:r>
      <w:r w:rsidR="00E2523B">
        <w:t xml:space="preserve">structural reforms, particularly in the electricity supply industry, </w:t>
      </w:r>
      <w:r w:rsidR="000911F1">
        <w:t xml:space="preserve">mass </w:t>
      </w:r>
      <w:r w:rsidR="00881B61">
        <w:t xml:space="preserve">industrialisation </w:t>
      </w:r>
      <w:r w:rsidR="000911F1">
        <w:t xml:space="preserve">for job creation, </w:t>
      </w:r>
      <w:r w:rsidR="00E2523B">
        <w:t xml:space="preserve">as well as promoting a green economy. </w:t>
      </w:r>
      <w:r w:rsidR="001B0942">
        <w:t xml:space="preserve">Mobilising both public sector and private sector </w:t>
      </w:r>
      <w:r w:rsidR="0DD4DFAE">
        <w:t>investment</w:t>
      </w:r>
      <w:r w:rsidR="00962E32">
        <w:t>s</w:t>
      </w:r>
      <w:r w:rsidR="001B0942">
        <w:t xml:space="preserve"> for an infrastructure-led recovery is </w:t>
      </w:r>
      <w:r w:rsidR="00AC6B02">
        <w:t>crucial</w:t>
      </w:r>
      <w:r w:rsidR="00A568EE">
        <w:t xml:space="preserve"> in realising this vision of transformation</w:t>
      </w:r>
      <w:r w:rsidR="001B0942">
        <w:t>.</w:t>
      </w:r>
    </w:p>
    <w:p w:rsidR="001B0942" w:rsidRDefault="0DD4DFAE" w:rsidP="00A6587B">
      <w:pPr>
        <w:pStyle w:val="ListParagraph"/>
      </w:pPr>
      <w:r>
        <w:t xml:space="preserve">Overall, </w:t>
      </w:r>
      <w:r w:rsidR="00665DBD">
        <w:t xml:space="preserve">South </w:t>
      </w:r>
      <w:r w:rsidR="00A37245">
        <w:t xml:space="preserve">Africa's </w:t>
      </w:r>
      <w:r>
        <w:t>fiscal prospect</w:t>
      </w:r>
      <w:r w:rsidR="00E6080E">
        <w:t xml:space="preserve"> </w:t>
      </w:r>
      <w:r w:rsidR="000E76FC">
        <w:t xml:space="preserve">remains </w:t>
      </w:r>
      <w:r w:rsidR="004F0596">
        <w:t>precarious</w:t>
      </w:r>
      <w:r w:rsidR="00AC6B02">
        <w:t>,</w:t>
      </w:r>
      <w:r w:rsidR="006968E1">
        <w:t xml:space="preserve"> with</w:t>
      </w:r>
      <w:r>
        <w:t xml:space="preserve"> </w:t>
      </w:r>
      <w:r w:rsidR="00A86D79">
        <w:t xml:space="preserve">a </w:t>
      </w:r>
      <w:r w:rsidR="00B2367A">
        <w:t xml:space="preserve">projected </w:t>
      </w:r>
      <w:r>
        <w:t xml:space="preserve">primary surplus </w:t>
      </w:r>
      <w:r w:rsidR="009C4608">
        <w:t>at</w:t>
      </w:r>
      <w:r w:rsidR="00B2367A">
        <w:t xml:space="preserve"> 0.2% of GDP </w:t>
      </w:r>
      <w:r>
        <w:t>in 2024/25</w:t>
      </w:r>
      <w:r w:rsidR="009C4608">
        <w:t>,</w:t>
      </w:r>
      <w:r>
        <w:t xml:space="preserve"> due to </w:t>
      </w:r>
      <w:r w:rsidR="003F2E5F">
        <w:t xml:space="preserve">the </w:t>
      </w:r>
      <w:r w:rsidR="00BE61B3">
        <w:t xml:space="preserve">marginal </w:t>
      </w:r>
      <w:r w:rsidR="009525A8">
        <w:t>recovery</w:t>
      </w:r>
      <w:r w:rsidR="00BE61B3">
        <w:t xml:space="preserve"> in GDP</w:t>
      </w:r>
      <w:r>
        <w:t xml:space="preserve"> </w:t>
      </w:r>
      <w:r w:rsidR="00E924E9">
        <w:t xml:space="preserve">(albeit from a lower base in post-COVID than pre-COVID) </w:t>
      </w:r>
      <w:r w:rsidR="003F2E5F">
        <w:t xml:space="preserve">and </w:t>
      </w:r>
      <w:r w:rsidR="009C4608">
        <w:t>the</w:t>
      </w:r>
      <w:r>
        <w:t xml:space="preserve"> </w:t>
      </w:r>
      <w:r w:rsidR="009C4608">
        <w:t xml:space="preserve">revenue </w:t>
      </w:r>
      <w:r>
        <w:t>windfalls</w:t>
      </w:r>
      <w:r w:rsidR="002757F9">
        <w:t xml:space="preserve"> </w:t>
      </w:r>
      <w:r w:rsidR="00693465">
        <w:t>from</w:t>
      </w:r>
      <w:r>
        <w:t xml:space="preserve"> mining profits. </w:t>
      </w:r>
      <w:r w:rsidR="004D28CF">
        <w:t>A</w:t>
      </w:r>
      <w:r w:rsidR="00A664C7">
        <w:t xml:space="preserve"> glimpse</w:t>
      </w:r>
      <w:r w:rsidR="001B0942">
        <w:t xml:space="preserve"> of </w:t>
      </w:r>
      <w:r w:rsidR="00A664C7">
        <w:t xml:space="preserve">relief </w:t>
      </w:r>
      <w:r w:rsidR="00F142EA">
        <w:t>to alleviate</w:t>
      </w:r>
      <w:r w:rsidR="00A664C7">
        <w:t xml:space="preserve"> </w:t>
      </w:r>
      <w:r w:rsidR="00D1698B">
        <w:t xml:space="preserve">the budget pressure </w:t>
      </w:r>
      <w:r w:rsidR="001C49A7">
        <w:t>appeared</w:t>
      </w:r>
      <w:r w:rsidR="00D1698B">
        <w:t xml:space="preserve"> </w:t>
      </w:r>
      <w:r w:rsidR="0012327E">
        <w:t xml:space="preserve">as a </w:t>
      </w:r>
      <w:r w:rsidR="001B0942">
        <w:t>lower public sector wage deal</w:t>
      </w:r>
      <w:r w:rsidR="001C6517">
        <w:t xml:space="preserve"> </w:t>
      </w:r>
      <w:r w:rsidR="001C49A7">
        <w:t xml:space="preserve">was in sight </w:t>
      </w:r>
      <w:r w:rsidR="001B0942">
        <w:t>in August</w:t>
      </w:r>
      <w:r w:rsidR="00D1698B">
        <w:t>. H</w:t>
      </w:r>
      <w:r w:rsidR="00A664C7">
        <w:t xml:space="preserve">owever, uncertainty </w:t>
      </w:r>
      <w:r w:rsidR="00D1698B">
        <w:t xml:space="preserve">remains </w:t>
      </w:r>
      <w:r w:rsidR="00B131BF">
        <w:t>as the legal process associated with public-service compensation</w:t>
      </w:r>
      <w:r w:rsidR="0046439B">
        <w:t xml:space="preserve"> and</w:t>
      </w:r>
      <w:r w:rsidR="00B131BF">
        <w:t xml:space="preserve"> wage negotiations</w:t>
      </w:r>
      <w:r w:rsidR="0046439B">
        <w:t xml:space="preserve"> dwell on</w:t>
      </w:r>
      <w:r w:rsidR="000B4689">
        <w:t xml:space="preserve">, notwithstanding that </w:t>
      </w:r>
      <w:r w:rsidR="00B131BF">
        <w:t>several</w:t>
      </w:r>
      <w:r w:rsidR="000B4689">
        <w:t xml:space="preserve"> </w:t>
      </w:r>
      <w:r w:rsidR="00B131BF">
        <w:t xml:space="preserve">state-owned companies and municipalities </w:t>
      </w:r>
      <w:r w:rsidR="000B4689">
        <w:t xml:space="preserve">still </w:t>
      </w:r>
      <w:r w:rsidR="00B131BF">
        <w:t>have insufficient funds to cover operational expenses.</w:t>
      </w:r>
      <w:r w:rsidR="00A664C7">
        <w:t xml:space="preserve"> </w:t>
      </w:r>
    </w:p>
    <w:p w:rsidR="001B0942" w:rsidRPr="001B0942" w:rsidRDefault="009346A1" w:rsidP="00DD0451">
      <w:pPr>
        <w:pStyle w:val="Heading2"/>
      </w:pPr>
      <w:bookmarkStart w:id="34" w:name="_Toc87715679"/>
      <w:r>
        <w:t xml:space="preserve">Highlights </w:t>
      </w:r>
      <w:r w:rsidR="0052289D">
        <w:t>of</w:t>
      </w:r>
      <w:r>
        <w:t xml:space="preserve"> the </w:t>
      </w:r>
      <w:r w:rsidR="001B0942" w:rsidRPr="001B0942">
        <w:t>Tax Matters and Revenue Laws Amendment Bills</w:t>
      </w:r>
      <w:bookmarkEnd w:id="34"/>
    </w:p>
    <w:p w:rsidR="001B0942" w:rsidRPr="001B0942" w:rsidRDefault="001B0942" w:rsidP="00A6587B">
      <w:pPr>
        <w:pStyle w:val="ListParagraph"/>
      </w:pPr>
      <w:r>
        <w:t>The key tax proposals within the Rates Bill include changes to personal income tax (PIT) brackets and rebates, excise taxes, fuel levies and carbon taxes. The PIT brackets and rebates are proposed to increase by 5 per</w:t>
      </w:r>
      <w:r w:rsidR="00B6399E">
        <w:t xml:space="preserve"> </w:t>
      </w:r>
      <w:r>
        <w:t>cent (more than inflation of 4 per</w:t>
      </w:r>
      <w:r w:rsidR="00B6399E">
        <w:t xml:space="preserve"> </w:t>
      </w:r>
      <w:r>
        <w:t xml:space="preserve">cent), which aims to provide tax relief, especially for lower- and middle-income households. </w:t>
      </w:r>
    </w:p>
    <w:p w:rsidR="001B0942" w:rsidRPr="001B0942" w:rsidRDefault="002908B3" w:rsidP="00A6587B">
      <w:pPr>
        <w:pStyle w:val="ListParagraph"/>
      </w:pPr>
      <w:r>
        <w:t>Notable changes</w:t>
      </w:r>
      <w:r w:rsidR="001B0942">
        <w:t xml:space="preserve"> to </w:t>
      </w:r>
      <w:r w:rsidR="00E52EEF">
        <w:t>consumption-based tax</w:t>
      </w:r>
      <w:r w:rsidR="00AB5AAE">
        <w:t>es include</w:t>
      </w:r>
      <w:r w:rsidR="001B0942">
        <w:t xml:space="preserve"> an 8 per</w:t>
      </w:r>
      <w:r w:rsidR="00B6399E">
        <w:t xml:space="preserve"> </w:t>
      </w:r>
      <w:r w:rsidR="001B0942">
        <w:t xml:space="preserve">cent increase for </w:t>
      </w:r>
      <w:r w:rsidR="0DD4DFAE">
        <w:t>excise duties</w:t>
      </w:r>
      <w:r w:rsidR="000D702B">
        <w:t xml:space="preserve"> on alcohol</w:t>
      </w:r>
      <w:r w:rsidR="001B0942">
        <w:t xml:space="preserve"> and </w:t>
      </w:r>
      <w:r w:rsidR="000D702B">
        <w:t>tobacco</w:t>
      </w:r>
      <w:r w:rsidR="004A40B0">
        <w:t xml:space="preserve"> as well as</w:t>
      </w:r>
      <w:r w:rsidR="001B0942">
        <w:t xml:space="preserve"> the Carbon Tax rate, </w:t>
      </w:r>
      <w:r w:rsidR="0006602A">
        <w:t>which shall</w:t>
      </w:r>
      <w:r w:rsidR="001B0942">
        <w:t xml:space="preserve"> increase from R127 to R134 for the 2021 calendar year.</w:t>
      </w:r>
    </w:p>
    <w:p w:rsidR="001B0942" w:rsidRPr="001B0942" w:rsidRDefault="00B6399E" w:rsidP="00A6587B">
      <w:pPr>
        <w:pStyle w:val="ListParagraph"/>
      </w:pPr>
      <w:r>
        <w:t>In an effort to</w:t>
      </w:r>
      <w:r w:rsidR="001B0942">
        <w:t xml:space="preserve"> curb the abuse of the Employment Tax Incentive (ETI), a programme implemented to encourage youth employment</w:t>
      </w:r>
      <w:r w:rsidR="00856F09">
        <w:t>;</w:t>
      </w:r>
      <w:r w:rsidR="001B0942">
        <w:t xml:space="preserve"> the </w:t>
      </w:r>
      <w:r w:rsidR="00565C09">
        <w:t xml:space="preserve">state </w:t>
      </w:r>
      <w:r w:rsidR="001B0942">
        <w:t>proposed an amendment to the definition of "employee</w:t>
      </w:r>
      <w:r w:rsidR="00A37245">
        <w:t xml:space="preserve">", </w:t>
      </w:r>
      <w:r w:rsidR="00AF5F7D">
        <w:t>which</w:t>
      </w:r>
      <w:r w:rsidR="001B0942">
        <w:t xml:space="preserve"> clarifies the ability for an employer to be eligible for the tax incentive. Employees need to </w:t>
      </w:r>
      <w:r>
        <w:t>participate in work as stipulated in the employment contract actively</w:t>
      </w:r>
      <w:r w:rsidR="001B0942">
        <w:t xml:space="preserve"> and must be documented in the </w:t>
      </w:r>
      <w:r w:rsidR="00A40386">
        <w:t>employer's records</w:t>
      </w:r>
      <w:r w:rsidR="001B0942">
        <w:t xml:space="preserve"> as envisaged by the Basic Conditions of Employment Act. </w:t>
      </w:r>
    </w:p>
    <w:p w:rsidR="001B0942" w:rsidRPr="001B0942" w:rsidRDefault="001B0942" w:rsidP="00A6587B">
      <w:pPr>
        <w:pStyle w:val="ListParagraph"/>
      </w:pPr>
      <w:r>
        <w:t xml:space="preserve">A notable proposal affecting the corporate sector is to restrict the balance of assessed losses </w:t>
      </w:r>
      <w:r w:rsidR="00660A6A">
        <w:t xml:space="preserve">to offset </w:t>
      </w:r>
      <w:r w:rsidR="00FA3B9B">
        <w:t xml:space="preserve">the firm's </w:t>
      </w:r>
      <w:r>
        <w:t xml:space="preserve">taxable income. Currently, taxpayers can offset the amount of taxable income due by carrying all assessed losses forwards into a new financial year, thereby reducing the tax burden on the firm. </w:t>
      </w:r>
      <w:r w:rsidR="0DD4DFAE">
        <w:t xml:space="preserve">The </w:t>
      </w:r>
      <w:r w:rsidR="00C70AEB">
        <w:t>Taxation Laws Amendment Bill (</w:t>
      </w:r>
      <w:r w:rsidR="0DD4DFAE">
        <w:t>TLAB</w:t>
      </w:r>
      <w:r w:rsidR="00C70AEB">
        <w:t>)</w:t>
      </w:r>
      <w:r>
        <w:t xml:space="preserve"> proposes that businesses are only able to carry over 80 per</w:t>
      </w:r>
      <w:r w:rsidR="00FA3B9B">
        <w:t xml:space="preserve"> </w:t>
      </w:r>
      <w:r>
        <w:t>cent of their assessed losses into the next financial year and are subject to 20 per</w:t>
      </w:r>
      <w:r w:rsidR="00FA3B9B">
        <w:t xml:space="preserve"> </w:t>
      </w:r>
      <w:r>
        <w:t xml:space="preserve">cent of the taxable income in the current financial year. As fewer accrued losses </w:t>
      </w:r>
      <w:r w:rsidR="00B277C8">
        <w:t>are</w:t>
      </w:r>
      <w:r>
        <w:t xml:space="preserve"> carried over, </w:t>
      </w:r>
      <w:r w:rsidR="00B277C8">
        <w:t>more profits are available for taxation,</w:t>
      </w:r>
      <w:r>
        <w:t xml:space="preserve"> increasing the corporate tax base</w:t>
      </w:r>
      <w:r w:rsidR="00B953AC">
        <w:t xml:space="preserve">, </w:t>
      </w:r>
      <w:r w:rsidR="00B14DE7">
        <w:t>allowing scope</w:t>
      </w:r>
      <w:r>
        <w:t xml:space="preserve"> to decrease the corporate tax rate from 28% to 27%, which aims to promote investor confidence</w:t>
      </w:r>
      <w:r w:rsidR="004072EF">
        <w:t xml:space="preserve"> and business activities</w:t>
      </w:r>
      <w:r w:rsidR="0DD4DFAE">
        <w:t>.</w:t>
      </w:r>
    </w:p>
    <w:p w:rsidR="002E34D7" w:rsidRPr="002E34D7" w:rsidRDefault="00AE095B" w:rsidP="002E34D7">
      <w:pPr>
        <w:pStyle w:val="ListParagraph"/>
        <w:rPr>
          <w:b/>
          <w:bCs/>
        </w:rPr>
      </w:pPr>
      <w:r>
        <w:t xml:space="preserve">In addressing </w:t>
      </w:r>
      <w:r w:rsidR="001B0942">
        <w:t xml:space="preserve">the hardship faced by South African businesses, the </w:t>
      </w:r>
      <w:r w:rsidR="00565C09">
        <w:t xml:space="preserve">state </w:t>
      </w:r>
      <w:r w:rsidR="001B0942">
        <w:t>released the Emergency Tax Measures in Response to the Continuing COVID-19 Pandemic and Recent Unrest. This</w:t>
      </w:r>
      <w:r>
        <w:t xml:space="preserve"> measure </w:t>
      </w:r>
      <w:r w:rsidR="001B0942">
        <w:t xml:space="preserve">included a reinstatement of the Employee Tax Incentive (ETI) for another limited four-month period. </w:t>
      </w:r>
      <w:r>
        <w:t>And</w:t>
      </w:r>
      <w:r w:rsidR="001B0942">
        <w:t xml:space="preserve"> for small or medium</w:t>
      </w:r>
      <w:r>
        <w:t>-</w:t>
      </w:r>
      <w:r w:rsidR="001B0942">
        <w:t>sized businesses, it was proposed that the payment deferral of employees' tax liability (PAYE) be reinstated for an additional three-month period. The relevant principles applying to this tax relief measure include a deferral of payment of 35% of the PAYE liability without the imposition of administrative penalties and interest for late payment.</w:t>
      </w:r>
    </w:p>
    <w:p w:rsidR="001B0942" w:rsidRPr="001B0942" w:rsidRDefault="001B0942" w:rsidP="00321C70">
      <w:pPr>
        <w:pStyle w:val="Heading2"/>
        <w:rPr>
          <w:b w:val="0"/>
          <w:bCs w:val="0"/>
        </w:rPr>
      </w:pPr>
      <w:bookmarkStart w:id="35" w:name="_Toc87715680"/>
      <w:r w:rsidRPr="001B0942">
        <w:t>Recommendations</w:t>
      </w:r>
      <w:bookmarkEnd w:id="35"/>
    </w:p>
    <w:p w:rsidR="001B0942" w:rsidRPr="001B0942" w:rsidRDefault="001B0942" w:rsidP="00D845E1">
      <w:pPr>
        <w:pStyle w:val="Recommendations"/>
      </w:pPr>
      <w:r w:rsidRPr="001B0942">
        <w:t xml:space="preserve">The Commission supports the </w:t>
      </w:r>
      <w:r w:rsidR="00991F62">
        <w:t xml:space="preserve">economic </w:t>
      </w:r>
      <w:r w:rsidRPr="001B0942">
        <w:t xml:space="preserve">reforms </w:t>
      </w:r>
      <w:r w:rsidR="00AD1DD2">
        <w:t>tabled</w:t>
      </w:r>
      <w:r w:rsidRPr="001B0942">
        <w:t xml:space="preserve"> by the Minister of Finance</w:t>
      </w:r>
      <w:r w:rsidR="004C52AD">
        <w:t>,</w:t>
      </w:r>
      <w:r w:rsidR="003E0C29">
        <w:t xml:space="preserve"> focusing on</w:t>
      </w:r>
      <w:r w:rsidRPr="001B0942">
        <w:t xml:space="preserve"> </w:t>
      </w:r>
      <w:r w:rsidR="00FF28BC">
        <w:t>improving competitiveness</w:t>
      </w:r>
      <w:r w:rsidR="009D54CF">
        <w:t xml:space="preserve"> </w:t>
      </w:r>
      <w:r w:rsidR="00D73283">
        <w:t>through</w:t>
      </w:r>
      <w:r w:rsidR="009D54CF">
        <w:t xml:space="preserve"> lower</w:t>
      </w:r>
      <w:r w:rsidR="00D73283">
        <w:t>ing</w:t>
      </w:r>
      <w:r w:rsidR="009D54CF">
        <w:t xml:space="preserve"> </w:t>
      </w:r>
      <w:r w:rsidR="00441650">
        <w:t>the</w:t>
      </w:r>
      <w:r w:rsidR="009D54CF">
        <w:t xml:space="preserve"> barriers</w:t>
      </w:r>
      <w:r w:rsidR="00C73541">
        <w:t xml:space="preserve"> </w:t>
      </w:r>
      <w:r w:rsidR="009D54CF">
        <w:t>to</w:t>
      </w:r>
      <w:r w:rsidR="00C73541">
        <w:t xml:space="preserve"> </w:t>
      </w:r>
      <w:r w:rsidR="009D54CF">
        <w:t xml:space="preserve">entry </w:t>
      </w:r>
      <w:r w:rsidR="00B84F01">
        <w:t>a</w:t>
      </w:r>
      <w:r w:rsidR="00355E16">
        <w:t xml:space="preserve">nd </w:t>
      </w:r>
      <w:r w:rsidR="00797332">
        <w:t>developing</w:t>
      </w:r>
      <w:r w:rsidRPr="001B0942">
        <w:t xml:space="preserve"> </w:t>
      </w:r>
      <w:r w:rsidR="002E40C1">
        <w:t>logistics</w:t>
      </w:r>
      <w:r w:rsidRPr="001B0942">
        <w:t xml:space="preserve"> </w:t>
      </w:r>
      <w:r w:rsidR="002E40C1">
        <w:t>infrastructure</w:t>
      </w:r>
      <w:r w:rsidR="004A5170">
        <w:t xml:space="preserve"> </w:t>
      </w:r>
      <w:r w:rsidR="00764B26">
        <w:t>to create</w:t>
      </w:r>
      <w:r w:rsidR="004A5170">
        <w:t xml:space="preserve"> employment</w:t>
      </w:r>
      <w:r w:rsidR="0089222B">
        <w:t xml:space="preserve">, </w:t>
      </w:r>
      <w:r w:rsidR="00C27C48">
        <w:t>over</w:t>
      </w:r>
      <w:r w:rsidR="00997D9E">
        <w:t xml:space="preserve"> </w:t>
      </w:r>
      <w:r w:rsidR="005C0C52">
        <w:t xml:space="preserve">bailing </w:t>
      </w:r>
      <w:r w:rsidR="004A2A85">
        <w:t xml:space="preserve">out </w:t>
      </w:r>
      <w:r w:rsidR="005C0C52">
        <w:t>state-owned companies</w:t>
      </w:r>
      <w:r w:rsidR="004A2A85">
        <w:t xml:space="preserve"> </w:t>
      </w:r>
      <w:r w:rsidR="00D66EBC">
        <w:t>that ha</w:t>
      </w:r>
      <w:r w:rsidR="00AE095B">
        <w:t>ve</w:t>
      </w:r>
      <w:r w:rsidR="00D66EBC">
        <w:t xml:space="preserve"> been tested and failed</w:t>
      </w:r>
      <w:r w:rsidR="00CD1262">
        <w:t xml:space="preserve"> for many years</w:t>
      </w:r>
      <w:r w:rsidR="002E40C1">
        <w:t>.</w:t>
      </w:r>
    </w:p>
    <w:p w:rsidR="001B0942" w:rsidRPr="001B0942" w:rsidRDefault="003D539F" w:rsidP="00D845E1">
      <w:pPr>
        <w:pStyle w:val="Recommendations"/>
      </w:pPr>
      <w:r>
        <w:t xml:space="preserve">During the </w:t>
      </w:r>
      <w:r w:rsidR="00B44572">
        <w:t xml:space="preserve">Second Special Appropriation </w:t>
      </w:r>
      <w:r w:rsidR="00F600EB">
        <w:t>Bill, t</w:t>
      </w:r>
      <w:r w:rsidR="001B0942" w:rsidRPr="001B0942">
        <w:t xml:space="preserve">he Commission </w:t>
      </w:r>
      <w:r w:rsidR="00F600EB">
        <w:t>noted</w:t>
      </w:r>
      <w:r w:rsidR="001B0942" w:rsidRPr="001B0942">
        <w:t xml:space="preserve"> the additional spending </w:t>
      </w:r>
      <w:r w:rsidR="00F600EB">
        <w:t>need</w:t>
      </w:r>
      <w:r w:rsidR="008E008F">
        <w:t>ed</w:t>
      </w:r>
      <w:r w:rsidR="00F600EB">
        <w:t xml:space="preserve"> </w:t>
      </w:r>
      <w:r w:rsidR="001B0942" w:rsidRPr="001B0942">
        <w:t xml:space="preserve">to counter the </w:t>
      </w:r>
      <w:r w:rsidR="00EA7077">
        <w:t xml:space="preserve">economic consequence of the </w:t>
      </w:r>
      <w:r w:rsidR="00D04A40">
        <w:t xml:space="preserve">pandemic </w:t>
      </w:r>
      <w:r w:rsidR="001B0942" w:rsidRPr="001B0942">
        <w:t>and social unrest</w:t>
      </w:r>
      <w:r w:rsidR="00B3755C">
        <w:t>.</w:t>
      </w:r>
      <w:r w:rsidR="004D557A" w:rsidRPr="004D557A">
        <w:t xml:space="preserve"> </w:t>
      </w:r>
      <w:r w:rsidR="004D557A">
        <w:t xml:space="preserve">The Commission remains firm on its stance that the need to exercise financial restraint to achieve fiscal prudence must </w:t>
      </w:r>
      <w:r w:rsidR="004D557A" w:rsidRPr="00583C08">
        <w:t>no</w:t>
      </w:r>
      <w:r w:rsidR="004D557A">
        <w:t>t</w:t>
      </w:r>
      <w:r w:rsidR="004D557A" w:rsidRPr="00583C08">
        <w:t xml:space="preserve"> </w:t>
      </w:r>
      <w:r w:rsidR="004D557A">
        <w:t xml:space="preserve">come at </w:t>
      </w:r>
      <w:r w:rsidR="00A8688B">
        <w:t>a</w:t>
      </w:r>
      <w:r w:rsidR="004D557A">
        <w:t xml:space="preserve"> </w:t>
      </w:r>
      <w:r w:rsidR="00A8688B">
        <w:t xml:space="preserve">net </w:t>
      </w:r>
      <w:r w:rsidR="004D557A">
        <w:t xml:space="preserve">cost for </w:t>
      </w:r>
      <w:r w:rsidR="004D557A" w:rsidRPr="00583C08">
        <w:t xml:space="preserve">the socio-economic conditions of </w:t>
      </w:r>
      <w:r w:rsidR="004D557A">
        <w:t>our</w:t>
      </w:r>
      <w:r w:rsidR="004D557A" w:rsidRPr="00583C08">
        <w:t xml:space="preserve"> </w:t>
      </w:r>
      <w:r w:rsidR="004D557A">
        <w:t xml:space="preserve">people to regress. South Africa can and must seek to </w:t>
      </w:r>
      <w:r w:rsidR="004D557A" w:rsidRPr="00DE3D1F">
        <w:t xml:space="preserve">avoid withdrawing </w:t>
      </w:r>
      <w:r w:rsidR="004D557A">
        <w:t xml:space="preserve">its </w:t>
      </w:r>
      <w:r w:rsidR="004D557A" w:rsidRPr="00DE3D1F">
        <w:t xml:space="preserve">fiscal support too early and </w:t>
      </w:r>
      <w:r w:rsidR="004D557A">
        <w:t>still</w:t>
      </w:r>
      <w:r w:rsidR="004D557A" w:rsidRPr="00DE3D1F">
        <w:t xml:space="preserve"> signal to the public that </w:t>
      </w:r>
      <w:r w:rsidR="004D557A">
        <w:t>its</w:t>
      </w:r>
      <w:r w:rsidR="004D557A" w:rsidRPr="00DE3D1F">
        <w:t xml:space="preserve"> debt level </w:t>
      </w:r>
      <w:r w:rsidR="00F00076">
        <w:t>is</w:t>
      </w:r>
      <w:r w:rsidR="004D557A" w:rsidRPr="00DE3D1F">
        <w:t xml:space="preserve"> sustainable in the long run</w:t>
      </w:r>
      <w:r w:rsidR="004D557A">
        <w:t xml:space="preserve"> by eliminating leakages and executing reprioritisations that are productive and constructive</w:t>
      </w:r>
      <w:r w:rsidR="004D557A" w:rsidRPr="00583C08">
        <w:t>.</w:t>
      </w:r>
    </w:p>
    <w:p w:rsidR="00FF2E8F" w:rsidRPr="00FF2E8F" w:rsidRDefault="001B0942" w:rsidP="00D845E1">
      <w:pPr>
        <w:pStyle w:val="Recommendations"/>
      </w:pPr>
      <w:r w:rsidRPr="001B0942">
        <w:t>The Commission supports the amendments found in the Tax Laws Amendments Bill, Tax Administration Laws Amendment Bill, Draft Rates Bill, and the proposals in the Emergency Tax Measures to combat the COVID-19 pandemic. The proposed amendments act to curb circumvention of current tax rules and increase the tax base, assisting with higher revenue collection. At the same time, there are specific measures, such as the Emergency Tax Measures and the changes to the rates and thresholds of the PIT tables, that seek to provide additional assistance to those adversely affected by the pandemic.</w:t>
      </w:r>
    </w:p>
    <w:p w:rsidR="008C6A70" w:rsidRDefault="008C6A70" w:rsidP="00EB681E">
      <w:pPr>
        <w:pStyle w:val="Heading1"/>
      </w:pPr>
      <w:bookmarkStart w:id="36" w:name="_Toc87715681"/>
      <w:r w:rsidRPr="00B87635">
        <w:t xml:space="preserve">2021 </w:t>
      </w:r>
      <w:r w:rsidR="00AE7745">
        <w:t xml:space="preserve">Adjustment </w:t>
      </w:r>
      <w:r w:rsidRPr="00B87635">
        <w:t>Appropriation Bill</w:t>
      </w:r>
      <w:bookmarkEnd w:id="36"/>
      <w:r w:rsidRPr="00B87635">
        <w:t xml:space="preserve"> </w:t>
      </w:r>
    </w:p>
    <w:p w:rsidR="00EB681E" w:rsidRPr="00EB681E" w:rsidRDefault="30CD0876" w:rsidP="00A6587B">
      <w:pPr>
        <w:pStyle w:val="ListParagraph"/>
      </w:pPr>
      <w:r w:rsidRPr="1A9B8228">
        <w:t>The aim of the Adjustments Appropriation Bill is to effect adjustments to the appropriations made in the Appropriation Bill of a particular year. The 2021 Adjustment Appropriation Bill thus effects changes to the appropriation of funds in respect of 2021/22. These adjustments are also referred to as in-year spending adjustments.</w:t>
      </w:r>
    </w:p>
    <w:p w:rsidR="00EB681E" w:rsidRPr="00EB681E" w:rsidRDefault="30CD0876" w:rsidP="00A6587B">
      <w:pPr>
        <w:pStyle w:val="ListParagraph"/>
      </w:pPr>
      <w:r w:rsidRPr="370A6901">
        <w:t xml:space="preserve">The 2021 Adjustment Appropriation Bill is preceded by a Second Special Appropriation Bill that was tabled in August 2021 and prompted by a combination of the ongoing and multiple impacts of the </w:t>
      </w:r>
      <w:r w:rsidR="001653AE">
        <w:t>COVID</w:t>
      </w:r>
      <w:r w:rsidRPr="370A6901">
        <w:t xml:space="preserve">-19 pandemic </w:t>
      </w:r>
      <w:r w:rsidR="0050736F">
        <w:t>and</w:t>
      </w:r>
      <w:r w:rsidRPr="370A6901">
        <w:t xml:space="preserve"> </w:t>
      </w:r>
      <w:r w:rsidR="0050736F">
        <w:t xml:space="preserve">the </w:t>
      </w:r>
      <w:r w:rsidRPr="370A6901">
        <w:t xml:space="preserve">civil unrest that occurred during July 2021. The Second Special Appropriation Bill proposed additional spending of R32.850 billion – the bulk of which (R26.7 billion) was to fund the extension of the Social Relief of Distress Grant located under the Social Development Vote. </w:t>
      </w:r>
    </w:p>
    <w:p w:rsidR="00EB681E" w:rsidRPr="00EB681E" w:rsidRDefault="30CD0876" w:rsidP="00A6587B">
      <w:pPr>
        <w:pStyle w:val="ListParagraph"/>
        <w:rPr>
          <w:color w:val="000000" w:themeColor="text1"/>
        </w:rPr>
      </w:pPr>
      <w:r w:rsidRPr="370A6901">
        <w:t xml:space="preserve">The 2021 Adjustment Appropriation Bill proposes additional adjustments to spending: R15.023 billion to vote appropriations and </w:t>
      </w:r>
      <w:r w:rsidRPr="370A6901">
        <w:rPr>
          <w:color w:val="000000" w:themeColor="text1"/>
        </w:rPr>
        <w:t xml:space="preserve">R26.936 billion to estimates of direct charges against the National Revenue Fund. </w:t>
      </w:r>
    </w:p>
    <w:p w:rsidR="00EB681E" w:rsidRPr="00EB681E" w:rsidRDefault="30CD0876" w:rsidP="00A6587B">
      <w:pPr>
        <w:pStyle w:val="ListParagraph"/>
      </w:pPr>
      <w:r w:rsidRPr="3FC446EA">
        <w:t>In terms of the adjustments to vote appropriations, the following is highlighted:</w:t>
      </w:r>
    </w:p>
    <w:p w:rsidR="00EB681E" w:rsidRPr="00EB681E" w:rsidRDefault="30CD0876" w:rsidP="00A6587B">
      <w:pPr>
        <w:pStyle w:val="ListParagraph"/>
        <w:numPr>
          <w:ilvl w:val="0"/>
          <w:numId w:val="34"/>
        </w:numPr>
      </w:pPr>
      <w:r w:rsidRPr="29A4ED73">
        <w:t>Total appropriation by vote increases by R15.023 billion from an initial appropriation of R980.584 billion to R1.028 trillion for 2021/22</w:t>
      </w:r>
    </w:p>
    <w:p w:rsidR="00EB681E" w:rsidRPr="00EB681E" w:rsidRDefault="30CD0876" w:rsidP="00A6587B">
      <w:pPr>
        <w:pStyle w:val="ListParagraph"/>
        <w:numPr>
          <w:ilvl w:val="0"/>
          <w:numId w:val="34"/>
        </w:numPr>
      </w:pPr>
      <w:r w:rsidRPr="29A4ED73">
        <w:t>R5.833 billion is in respect of public sector salary adjustments for national government departments (classified as significant and unforeseeable economic and financial events).</w:t>
      </w:r>
      <w:r w:rsidR="6A549022" w:rsidRPr="43C4A55B">
        <w:t xml:space="preserve"> </w:t>
      </w:r>
      <w:r w:rsidRPr="29A4ED73">
        <w:t xml:space="preserve">The </w:t>
      </w:r>
      <w:r w:rsidR="00774688">
        <w:t>most considerable</w:t>
      </w:r>
      <w:r w:rsidRPr="29A4ED73">
        <w:t xml:space="preserve"> additions were to the labour</w:t>
      </w:r>
      <w:r w:rsidR="2DCE19D4" w:rsidRPr="43C4A55B">
        <w:t>-</w:t>
      </w:r>
      <w:r w:rsidRPr="29A4ED73">
        <w:t>intensive Police (R2.868 billion) and Defence (R1.313 billion) votes</w:t>
      </w:r>
      <w:r w:rsidR="00774688">
        <w:t>, which</w:t>
      </w:r>
      <w:r w:rsidRPr="29A4ED73">
        <w:t xml:space="preserve"> account for 72% of the R5.833 billion.</w:t>
      </w:r>
    </w:p>
    <w:p w:rsidR="00EB681E" w:rsidRPr="00EB681E" w:rsidRDefault="30CD0876" w:rsidP="00A6587B">
      <w:pPr>
        <w:pStyle w:val="ListParagraph"/>
        <w:numPr>
          <w:ilvl w:val="0"/>
          <w:numId w:val="34"/>
        </w:numPr>
      </w:pPr>
      <w:r w:rsidRPr="29A4ED73">
        <w:t>R102.6 million is in respect of unforeseeable and unavoidable expenditure. Of this amount, R50.5 million is for the SA National Roads Agency (Transport Vote) as a result of loss of toll revenue</w:t>
      </w:r>
      <w:r w:rsidR="003B6AFD">
        <w:t>,</w:t>
      </w:r>
      <w:r w:rsidRPr="29A4ED73">
        <w:t xml:space="preserve"> while R40 million was to cover the cost of PPE required during the local government elections</w:t>
      </w:r>
      <w:r w:rsidR="003B6AFD">
        <w:t xml:space="preserve"> - </w:t>
      </w:r>
      <w:r w:rsidRPr="29A4ED73">
        <w:t>allocated to the Electoral Commission of South Africa located under Home Affairs.</w:t>
      </w:r>
    </w:p>
    <w:p w:rsidR="00EB681E" w:rsidRPr="00EB681E" w:rsidRDefault="00F23DAC" w:rsidP="00A6587B">
      <w:pPr>
        <w:pStyle w:val="ListParagraph"/>
        <w:numPr>
          <w:ilvl w:val="0"/>
          <w:numId w:val="34"/>
        </w:numPr>
      </w:pPr>
      <w:r>
        <w:t>Regarding</w:t>
      </w:r>
      <w:r w:rsidR="30CD0876" w:rsidRPr="29A4ED73">
        <w:t xml:space="preserve"> expenditure earmarked in the 2021 Budget Speech for future allocation, the bulk of the adjustment (R11 billion) relates to funding for Phase 2 of the Presidential Employment Initiative</w:t>
      </w:r>
      <w:r>
        <w:t>,</w:t>
      </w:r>
      <w:r w:rsidR="30CD0876" w:rsidRPr="29A4ED73">
        <w:t xml:space="preserve"> which will see a specific focus on youth employment (referred to as the Youth Employment Intervention). The bulk of the funds in respect of the youth employment intervention will be allocated via the National Treasury, Trade, Industry and Competition and Agriculture, Land Reform and Rural Development votes. Given current record levels of unemployment, spending via this initiative is welcomed. Additional earmarked expenditure announced in the 2021 Budget Speech related to R2.342 billion for the purchase of vaccines</w:t>
      </w:r>
      <w:r w:rsidR="00724221" w:rsidRPr="29A4ED73">
        <w:t xml:space="preserve">. </w:t>
      </w:r>
      <w:r w:rsidR="30CD0876" w:rsidRPr="29A4ED73">
        <w:t xml:space="preserve"> </w:t>
      </w:r>
    </w:p>
    <w:p w:rsidR="00EB681E" w:rsidRPr="00EB681E" w:rsidRDefault="30CD0876" w:rsidP="00A6587B">
      <w:pPr>
        <w:pStyle w:val="ListParagraph"/>
        <w:numPr>
          <w:ilvl w:val="0"/>
          <w:numId w:val="34"/>
        </w:numPr>
      </w:pPr>
      <w:r w:rsidRPr="29A4ED73">
        <w:t>Rollovers amount to R2.8 billion. A portion of the rollovers amounting to R250 million</w:t>
      </w:r>
      <w:r w:rsidR="424CF3D2" w:rsidRPr="147EE59A">
        <w:t>,</w:t>
      </w:r>
      <w:r w:rsidRPr="29A4ED73">
        <w:t xml:space="preserve"> which emanates from the Agriculture, Land Reform and Rural Development and the Sports, Arts and Culture votes</w:t>
      </w:r>
      <w:r w:rsidR="00231CAE">
        <w:t>,</w:t>
      </w:r>
      <w:r w:rsidRPr="29A4ED73">
        <w:t xml:space="preserve"> relates to Phase 1 of the Presidential Employment Initiative. Care must be taken to ensure that reasons for not spending the full amount </w:t>
      </w:r>
      <w:r w:rsidR="005A13EA">
        <w:t xml:space="preserve">resulting in rollovers </w:t>
      </w:r>
      <w:r w:rsidRPr="29A4ED73">
        <w:t xml:space="preserve">are addressed to avoid a </w:t>
      </w:r>
      <w:r w:rsidR="005A13EA">
        <w:t>wasteful repetition</w:t>
      </w:r>
      <w:r w:rsidRPr="29A4ED73">
        <w:t xml:space="preserve"> of thi</w:t>
      </w:r>
      <w:r w:rsidR="0041104B">
        <w:t>s</w:t>
      </w:r>
      <w:r w:rsidRPr="29A4ED73">
        <w:t xml:space="preserve"> in Phase 2 of the rollout. </w:t>
      </w:r>
    </w:p>
    <w:p w:rsidR="00EB681E" w:rsidRPr="00EB681E" w:rsidRDefault="30CD0876" w:rsidP="00A6587B">
      <w:pPr>
        <w:pStyle w:val="ListParagraph"/>
        <w:numPr>
          <w:ilvl w:val="0"/>
          <w:numId w:val="34"/>
        </w:numPr>
      </w:pPr>
      <w:r w:rsidRPr="00FB3C43">
        <w:t xml:space="preserve">Declared unspent funds amounting to R1.95 billion is </w:t>
      </w:r>
      <w:r w:rsidR="00934FC1">
        <w:t>driven mainly</w:t>
      </w:r>
      <w:r w:rsidRPr="00FB3C43">
        <w:t xml:space="preserve"> by the Transport Vote</w:t>
      </w:r>
      <w:r w:rsidR="00934FC1">
        <w:t>,</w:t>
      </w:r>
      <w:r w:rsidRPr="00FB3C43">
        <w:t xml:space="preserve"> where R1.34 billion relat</w:t>
      </w:r>
      <w:r w:rsidR="00D65D05">
        <w:t>es</w:t>
      </w:r>
      <w:r w:rsidRPr="00FB3C43">
        <w:t xml:space="preserve"> to the Public Transport Network Grant </w:t>
      </w:r>
      <w:r w:rsidR="00D031D5">
        <w:t>underspent</w:t>
      </w:r>
      <w:r w:rsidRPr="00FB3C43">
        <w:t>. The root causes of the challenges characterising this grant need to be established and addressed as issues around performance have been raised consistently in the 2020 MTBPS and the 2021 Budget Review</w:t>
      </w:r>
      <w:r w:rsidR="00777226">
        <w:rPr>
          <w:rStyle w:val="FootnoteReference"/>
        </w:rPr>
        <w:footnoteReference w:id="2"/>
      </w:r>
      <w:r w:rsidRPr="00FB3C43">
        <w:rPr>
          <w:sz w:val="22"/>
          <w:szCs w:val="22"/>
        </w:rPr>
        <w:t xml:space="preserve">. </w:t>
      </w:r>
      <w:r w:rsidRPr="00FB3C43">
        <w:rPr>
          <w:b/>
          <w:bCs/>
        </w:rPr>
        <w:t xml:space="preserve"> </w:t>
      </w:r>
    </w:p>
    <w:p w:rsidR="00EB681E" w:rsidRPr="00B148F1" w:rsidRDefault="30CD0876" w:rsidP="00E015F1">
      <w:pPr>
        <w:pStyle w:val="Caption"/>
      </w:pPr>
      <w:r w:rsidRPr="00B148F1">
        <w:t xml:space="preserve"> </w:t>
      </w:r>
      <w:bookmarkStart w:id="37" w:name="_Toc87715520"/>
      <w:r w:rsidR="00B148F1" w:rsidRPr="00B148F1">
        <w:t xml:space="preserve">Table </w:t>
      </w:r>
      <w:r w:rsidR="002B36AE">
        <w:fldChar w:fldCharType="begin"/>
      </w:r>
      <w:r w:rsidR="00DD51FB">
        <w:instrText xml:space="preserve"> SEQ Table \* ARABIC </w:instrText>
      </w:r>
      <w:r w:rsidR="002B36AE">
        <w:fldChar w:fldCharType="separate"/>
      </w:r>
      <w:r w:rsidR="00B148F1">
        <w:rPr>
          <w:noProof/>
        </w:rPr>
        <w:t>3</w:t>
      </w:r>
      <w:r w:rsidR="002B36AE">
        <w:rPr>
          <w:noProof/>
        </w:rPr>
        <w:fldChar w:fldCharType="end"/>
      </w:r>
      <w:r w:rsidR="00B148F1">
        <w:t xml:space="preserve">: </w:t>
      </w:r>
      <w:r w:rsidRPr="00B148F1">
        <w:t>Adjusted Appropriation for Selected Key Votes</w:t>
      </w:r>
      <w:r w:rsidR="201F9CC8" w:rsidRPr="00B148F1">
        <w:t>, 2021/22</w:t>
      </w:r>
      <w:bookmarkEnd w:id="37"/>
      <w:r w:rsidRPr="00B148F1">
        <w:t xml:space="preserve"> </w:t>
      </w:r>
    </w:p>
    <w:tbl>
      <w:tblPr>
        <w:tblW w:w="9330" w:type="dxa"/>
        <w:tblLook w:val="04A0"/>
      </w:tblPr>
      <w:tblGrid>
        <w:gridCol w:w="2158"/>
        <w:gridCol w:w="884"/>
        <w:gridCol w:w="884"/>
        <w:gridCol w:w="920"/>
        <w:gridCol w:w="905"/>
        <w:gridCol w:w="888"/>
        <w:gridCol w:w="880"/>
        <w:gridCol w:w="906"/>
        <w:gridCol w:w="905"/>
      </w:tblGrid>
      <w:tr w:rsidR="00DE1F97" w:rsidRPr="00DE1F97" w:rsidTr="00DE1F97">
        <w:trPr>
          <w:trHeight w:val="201"/>
        </w:trPr>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w:t>
            </w:r>
          </w:p>
        </w:tc>
        <w:tc>
          <w:tcPr>
            <w:tcW w:w="4499" w:type="dxa"/>
            <w:gridSpan w:val="5"/>
            <w:tcBorders>
              <w:top w:val="single" w:sz="4" w:space="0" w:color="auto"/>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2021/22 Adjustments Appropriation (R'billion) </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w:t>
            </w:r>
          </w:p>
        </w:tc>
      </w:tr>
      <w:tr w:rsidR="00DE1F97" w:rsidRPr="00DE1F97" w:rsidTr="00DE1F97">
        <w:trPr>
          <w:trHeight w:val="96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Selected Key Votes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Approp.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Special Approp.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Rollovers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Amounts Ann. in Budget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Declared Unspent Funds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Other Adjust-ments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Total Adj. Approps.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jc w:val="center"/>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Adj. Approps. </w:t>
            </w:r>
          </w:p>
        </w:tc>
      </w:tr>
      <w:tr w:rsidR="00DE1F97" w:rsidRPr="00DE1F97" w:rsidTr="00DE1F97">
        <w:trPr>
          <w:trHeight w:val="201"/>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Home Affairs</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8.7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0.7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0.7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9.4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National Treasury</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41.1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3.9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0.8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0.3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0.6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45.5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Public Works &amp; Infra.</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8.3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8.4 </w:t>
            </w:r>
          </w:p>
        </w:tc>
      </w:tr>
      <w:tr w:rsidR="00DE1F97" w:rsidRPr="00DE1F97" w:rsidTr="00DE1F97">
        <w:trPr>
          <w:trHeight w:val="201"/>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Basic Education</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27.0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27.2 </w:t>
            </w:r>
          </w:p>
        </w:tc>
      </w:tr>
      <w:tr w:rsidR="00DE1F97" w:rsidRPr="00DE1F97" w:rsidTr="00DE1F97">
        <w:trPr>
          <w:trHeight w:val="428"/>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Higher Education &amp;Training</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97.8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97.9 </w:t>
            </w:r>
          </w:p>
        </w:tc>
      </w:tr>
      <w:tr w:rsidR="00DE1F97" w:rsidRPr="00DE1F97" w:rsidTr="00DE1F97">
        <w:trPr>
          <w:trHeight w:val="201"/>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Health</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62.5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2.4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2.2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64.8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Social Development</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205.2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26.7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232.1 </w:t>
            </w:r>
          </w:p>
        </w:tc>
      </w:tr>
      <w:tr w:rsidR="00DE1F97" w:rsidRPr="00DE1F97" w:rsidTr="00DE1F97">
        <w:trPr>
          <w:trHeight w:val="428"/>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Women, Youth &amp; Persons with Disabilities</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0.8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0.4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0.4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1.2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Defence</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46.3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0.7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1.8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1.8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48.8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Police</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96.4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0.3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2.9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3.9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100.5 </w:t>
            </w:r>
          </w:p>
        </w:tc>
      </w:tr>
      <w:tr w:rsidR="00DE1F97" w:rsidRPr="00DE1F97" w:rsidTr="00DE1F97">
        <w:trPr>
          <w:trHeight w:val="428"/>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Agri., Land Reform and Rural Develop.</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16.9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0.8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1.1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18.0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Employment and Labour</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3.5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0.3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0.3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3.8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Human Settlements</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31.7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31.7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Science &amp; Innovation</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8.9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9.0 </w:t>
            </w:r>
          </w:p>
        </w:tc>
      </w:tr>
      <w:tr w:rsidR="00DE1F97" w:rsidRPr="00DE1F97" w:rsidTr="00DE1F97">
        <w:trPr>
          <w:trHeight w:val="201"/>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Tourism</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2.4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2.5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Trade, Industry &amp; Comp.</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9.7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1.3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0.8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0.8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11.8 </w:t>
            </w:r>
          </w:p>
        </w:tc>
      </w:tr>
      <w:tr w:rsidR="00DE1F97" w:rsidRPr="00DE1F97" w:rsidTr="00DE1F97">
        <w:trPr>
          <w:trHeight w:val="201"/>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Transport</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66.7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1.3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0.1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1.3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65.4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Water &amp; Sanitation</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16.9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0.6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0.2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0.8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color w:val="000000"/>
                <w:sz w:val="18"/>
                <w:szCs w:val="18"/>
                <w:lang w:eastAsia="zh-TW"/>
              </w:rPr>
            </w:pPr>
            <w:r w:rsidRPr="00DE1F97">
              <w:rPr>
                <w:rFonts w:ascii="Calibri" w:eastAsia="Times New Roman" w:hAnsi="Calibri" w:cs="Calibri"/>
                <w:color w:val="000000"/>
                <w:sz w:val="18"/>
                <w:szCs w:val="18"/>
                <w:lang w:eastAsia="zh-TW"/>
              </w:rPr>
              <w:t xml:space="preserve">       17.7 </w:t>
            </w:r>
          </w:p>
        </w:tc>
      </w:tr>
      <w:tr w:rsidR="00DE1F97" w:rsidRPr="00DE1F97" w:rsidTr="00DE1F97">
        <w:trPr>
          <w:trHeight w:val="28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Total Approp. by Vote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980.6 </w:t>
            </w:r>
          </w:p>
        </w:tc>
        <w:tc>
          <w:tcPr>
            <w:tcW w:w="884"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32.9 </w:t>
            </w:r>
          </w:p>
        </w:tc>
        <w:tc>
          <w:tcPr>
            <w:tcW w:w="92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2.8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7.1 </w:t>
            </w:r>
          </w:p>
        </w:tc>
        <w:tc>
          <w:tcPr>
            <w:tcW w:w="888"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2.0 </w:t>
            </w:r>
          </w:p>
        </w:tc>
        <w:tc>
          <w:tcPr>
            <w:tcW w:w="880"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7.0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15.0 </w:t>
            </w:r>
          </w:p>
        </w:tc>
        <w:tc>
          <w:tcPr>
            <w:tcW w:w="905" w:type="dxa"/>
            <w:tcBorders>
              <w:top w:val="nil"/>
              <w:left w:val="nil"/>
              <w:bottom w:val="single" w:sz="4" w:space="0" w:color="auto"/>
              <w:right w:val="single" w:sz="4" w:space="0" w:color="auto"/>
            </w:tcBorders>
            <w:shd w:val="clear" w:color="auto" w:fill="auto"/>
            <w:vAlign w:val="center"/>
            <w:hideMark/>
          </w:tcPr>
          <w:p w:rsidR="00DE1F97" w:rsidRPr="00DE1F97" w:rsidRDefault="00DE1F97" w:rsidP="00DE1F97">
            <w:pPr>
              <w:spacing w:after="0" w:line="240" w:lineRule="auto"/>
              <w:rPr>
                <w:rFonts w:ascii="Calibri" w:eastAsia="Times New Roman" w:hAnsi="Calibri" w:cs="Calibri"/>
                <w:b/>
                <w:bCs/>
                <w:color w:val="000000"/>
                <w:sz w:val="18"/>
                <w:szCs w:val="18"/>
                <w:lang w:eastAsia="zh-TW"/>
              </w:rPr>
            </w:pPr>
            <w:r w:rsidRPr="00DE1F97">
              <w:rPr>
                <w:rFonts w:ascii="Calibri" w:eastAsia="Times New Roman" w:hAnsi="Calibri" w:cs="Calibri"/>
                <w:b/>
                <w:bCs/>
                <w:color w:val="000000"/>
                <w:sz w:val="18"/>
                <w:szCs w:val="18"/>
                <w:lang w:eastAsia="zh-TW"/>
              </w:rPr>
              <w:t xml:space="preserve">  1 028.5 </w:t>
            </w:r>
          </w:p>
        </w:tc>
      </w:tr>
    </w:tbl>
    <w:p w:rsidR="00EB681E" w:rsidRDefault="30CD0876" w:rsidP="00DE1F97">
      <w:pPr>
        <w:pStyle w:val="FootnoteText"/>
      </w:pPr>
      <w:r w:rsidRPr="3FC446EA">
        <w:t xml:space="preserve">Source: AENE, Introductory Table </w:t>
      </w:r>
      <w:r w:rsidR="61417B65" w:rsidRPr="15D453AE">
        <w:t xml:space="preserve">No. </w:t>
      </w:r>
      <w:r w:rsidRPr="15D453AE">
        <w:t>2</w:t>
      </w:r>
      <w:r w:rsidRPr="3FC446EA">
        <w:t>.</w:t>
      </w:r>
    </w:p>
    <w:p w:rsidR="00EB681E" w:rsidRPr="00EB681E" w:rsidRDefault="30CD0876" w:rsidP="0081789F">
      <w:pPr>
        <w:pStyle w:val="ListParagraph"/>
      </w:pPr>
      <w:r w:rsidRPr="3FC446EA">
        <w:t xml:space="preserve">In terms of adjustments to estimates of direct charges against the National Revenue Fund, the following is noted: </w:t>
      </w:r>
    </w:p>
    <w:p w:rsidR="00EB681E" w:rsidRPr="00EB681E" w:rsidRDefault="30CD0876" w:rsidP="00A6587B">
      <w:pPr>
        <w:pStyle w:val="ListParagraph"/>
        <w:numPr>
          <w:ilvl w:val="0"/>
          <w:numId w:val="33"/>
        </w:numPr>
      </w:pPr>
      <w:r w:rsidRPr="24B3F33D">
        <w:t>The largest upward adjustment of R21.149 billion is to the PES</w:t>
      </w:r>
      <w:r w:rsidR="003B301D">
        <w:t xml:space="preserve">, </w:t>
      </w:r>
      <w:r w:rsidRPr="24B3F33D">
        <w:t xml:space="preserve">largely to </w:t>
      </w:r>
      <w:r w:rsidR="000F4D95">
        <w:t>provide</w:t>
      </w:r>
      <w:r w:rsidRPr="24B3F33D">
        <w:t xml:space="preserve"> public sector salary adjustments of R14.679 billion.</w:t>
      </w:r>
    </w:p>
    <w:p w:rsidR="00EB681E" w:rsidRPr="00EB681E" w:rsidRDefault="30CD0876" w:rsidP="00A6587B">
      <w:pPr>
        <w:pStyle w:val="ListParagraph"/>
        <w:numPr>
          <w:ilvl w:val="0"/>
          <w:numId w:val="33"/>
        </w:numPr>
      </w:pPr>
      <w:r w:rsidRPr="24B3F33D">
        <w:t>Downward adjustments are made to debt</w:t>
      </w:r>
      <w:r w:rsidR="000F4D95">
        <w:t>-</w:t>
      </w:r>
      <w:r w:rsidRPr="24B3F33D">
        <w:t xml:space="preserve">service costs (revised down by R507.139 million) and </w:t>
      </w:r>
      <w:r w:rsidR="00A37245" w:rsidRPr="24B3F33D">
        <w:t>magistrates</w:t>
      </w:r>
      <w:r w:rsidR="00A37245">
        <w:t>'</w:t>
      </w:r>
      <w:r w:rsidR="00A37245" w:rsidRPr="24B3F33D">
        <w:t xml:space="preserve"> </w:t>
      </w:r>
      <w:r w:rsidRPr="24B3F33D">
        <w:t>salaries which are reduced by R30 million.</w:t>
      </w:r>
    </w:p>
    <w:p w:rsidR="00EB681E" w:rsidRPr="00EB681E" w:rsidRDefault="30CD0876" w:rsidP="00A6587B">
      <w:pPr>
        <w:pStyle w:val="ListParagraph"/>
        <w:numPr>
          <w:ilvl w:val="0"/>
          <w:numId w:val="33"/>
        </w:numPr>
      </w:pPr>
      <w:r w:rsidRPr="24B3F33D">
        <w:t>A</w:t>
      </w:r>
      <w:r w:rsidR="003B301D">
        <w:t>n</w:t>
      </w:r>
      <w:r w:rsidRPr="24B3F33D">
        <w:t xml:space="preserve"> R2.9 billion adjustment is made to assist Denel in settling repayments. This adjustment is made in terms of Section 70 of the PFMA</w:t>
      </w:r>
      <w:r w:rsidR="003B301D">
        <w:t>,</w:t>
      </w:r>
      <w:r w:rsidRPr="24B3F33D">
        <w:t xml:space="preserve"> which relates to guarantees, indemnities and securities by cabinet ministers</w:t>
      </w:r>
      <w:r w:rsidR="006022E9">
        <w:rPr>
          <w:rStyle w:val="FootnoteReference"/>
        </w:rPr>
        <w:footnoteReference w:id="3"/>
      </w:r>
      <w:r w:rsidRPr="24B3F33D">
        <w:t xml:space="preserve">. </w:t>
      </w:r>
    </w:p>
    <w:p w:rsidR="00EB681E" w:rsidRPr="00EB681E" w:rsidRDefault="30CD0876" w:rsidP="0081789F">
      <w:pPr>
        <w:pStyle w:val="ListParagraph"/>
      </w:pPr>
      <w:r w:rsidRPr="7E77858F">
        <w:t>The adjustments outlined above are offset against: (a) Drawing down on the contingency reserve in the amount of R9.039 billion, (b) R4 billion from Infrastructure Funds not assigned to votes, (c) Projected national government underspending amounting to R3.775 billion and (d) R2.5 billion in respect of local government repayments to the National Revenue Fund.</w:t>
      </w:r>
    </w:p>
    <w:p w:rsidR="00EB681E" w:rsidRPr="0081789F" w:rsidRDefault="30CD0876" w:rsidP="0081789F">
      <w:pPr>
        <w:pStyle w:val="ListParagraph"/>
      </w:pPr>
      <w:r w:rsidRPr="5083D9E3">
        <w:t xml:space="preserve">Taken together, </w:t>
      </w:r>
      <w:r w:rsidR="006C592B">
        <w:t xml:space="preserve">the </w:t>
      </w:r>
      <w:r w:rsidRPr="5083D9E3">
        <w:t>total expenditure appropriated in the main budget (2021 Appropriation Bill) amounted to R1.834 trillion. The Second Special Appropriation Bill saw an upward adjustment of R32.850 billion</w:t>
      </w:r>
      <w:r w:rsidR="00CD3671">
        <w:t>,</w:t>
      </w:r>
      <w:r w:rsidR="00C23A15">
        <w:t xml:space="preserve"> and this</w:t>
      </w:r>
      <w:r w:rsidRPr="5083D9E3">
        <w:t xml:space="preserve"> 2021 Adjustment Appropriation Bill adjust</w:t>
      </w:r>
      <w:r w:rsidR="004B158D">
        <w:t xml:space="preserve">s </w:t>
      </w:r>
      <w:r w:rsidRPr="5083D9E3">
        <w:t>expenditure upwards by R26 billion. This increases the total estimated expenditure for 2021/22 to R1.893 trillion</w:t>
      </w:r>
      <w:r w:rsidR="0081789F">
        <w:t xml:space="preserve">. </w:t>
      </w:r>
      <w:r w:rsidR="004024A3">
        <w:t>The</w:t>
      </w:r>
      <w:r w:rsidR="00AD4B30">
        <w:t>refore, the main budget, non-interest spending, sees a net upward adjustment of R59.4 billion due to</w:t>
      </w:r>
      <w:r w:rsidRPr="5BF9E300">
        <w:t xml:space="preserve"> the total adjustments effected </w:t>
      </w:r>
      <w:r w:rsidR="00EB2EEA">
        <w:t>between the 2021 MTBPS and</w:t>
      </w:r>
      <w:r w:rsidR="00AD4B30">
        <w:t xml:space="preserve"> the 2021 Budget</w:t>
      </w:r>
      <w:r w:rsidR="3BA0C693" w:rsidRPr="5BF9E300">
        <w:t>.</w:t>
      </w:r>
      <w:r w:rsidRPr="5BF9E300">
        <w:t xml:space="preserve">  </w:t>
      </w:r>
    </w:p>
    <w:p w:rsidR="00EB681E" w:rsidRPr="00EB681E" w:rsidRDefault="30CD0876" w:rsidP="3FC446EA">
      <w:pPr>
        <w:pStyle w:val="Heading2"/>
      </w:pPr>
      <w:bookmarkStart w:id="38" w:name="_Toc87715682"/>
      <w:r w:rsidRPr="3FC446EA">
        <w:rPr>
          <w:rFonts w:eastAsia="Times New Roman"/>
        </w:rPr>
        <w:t>Recommendations</w:t>
      </w:r>
      <w:bookmarkEnd w:id="38"/>
    </w:p>
    <w:p w:rsidR="00EB681E" w:rsidRPr="00EB681E" w:rsidRDefault="30CD0876" w:rsidP="00D845E1">
      <w:pPr>
        <w:pStyle w:val="Recommendations"/>
      </w:pPr>
      <w:r w:rsidRPr="7495921E">
        <w:t>Overall, the 2021 adjustments were dominated by the following aspects - making provision to cover the increased costs associated with the 2021 public service wage agreement, implementing the Youth Employment Intervention, assisting Denel to meet its obligations and provi</w:t>
      </w:r>
      <w:r w:rsidR="007E0362">
        <w:t>de</w:t>
      </w:r>
      <w:r w:rsidRPr="7495921E">
        <w:t xml:space="preserve"> for the purchase of vaccines. In addition</w:t>
      </w:r>
      <w:r w:rsidR="4F0534DB" w:rsidRPr="7C4C9D4C">
        <w:t>,</w:t>
      </w:r>
      <w:r w:rsidRPr="7495921E">
        <w:t xml:space="preserve"> income support through the extension of the Social Relief of Distress Grant was the overriding focus of the adjustments proposed through the 2021 Second Special Appropriation Bill in August. The Commission supports the 2021 Adjustment Appropriation Bill and makes the following comments: </w:t>
      </w:r>
    </w:p>
    <w:p w:rsidR="00EB681E" w:rsidRPr="00EB681E" w:rsidRDefault="30CD0876" w:rsidP="00D845E1">
      <w:pPr>
        <w:pStyle w:val="Recommendations"/>
        <w:numPr>
          <w:ilvl w:val="1"/>
          <w:numId w:val="3"/>
        </w:numPr>
      </w:pPr>
      <w:r w:rsidRPr="24B3F33D">
        <w:t xml:space="preserve">In respect of </w:t>
      </w:r>
      <w:r w:rsidR="4D2A506B" w:rsidRPr="3B72340F">
        <w:t>adjustments</w:t>
      </w:r>
      <w:r w:rsidRPr="3B72340F">
        <w:t xml:space="preserve"> </w:t>
      </w:r>
      <w:r w:rsidRPr="3A70C315">
        <w:t>for</w:t>
      </w:r>
      <w:r w:rsidRPr="24B3F33D">
        <w:t xml:space="preserve"> wage increases, the purchase of vaccines and, to a lesser extent</w:t>
      </w:r>
      <w:r w:rsidR="71A0A054" w:rsidRPr="3B72340F">
        <w:t>,</w:t>
      </w:r>
      <w:r w:rsidRPr="24B3F33D">
        <w:t xml:space="preserve"> the assistance provided to </w:t>
      </w:r>
      <w:r w:rsidR="3AEFC33A" w:rsidRPr="3B72340F">
        <w:t>Denel</w:t>
      </w:r>
      <w:r w:rsidRPr="24B3F33D">
        <w:t xml:space="preserve">, </w:t>
      </w:r>
      <w:r w:rsidR="5DF0677F" w:rsidRPr="4EBEFC7C">
        <w:t xml:space="preserve">these </w:t>
      </w:r>
      <w:r w:rsidRPr="24B3F33D">
        <w:t xml:space="preserve">can be seen as necessary adjustments where </w:t>
      </w:r>
      <w:r w:rsidR="00DA13DA">
        <w:t xml:space="preserve">the </w:t>
      </w:r>
      <w:r w:rsidRPr="24B3F33D">
        <w:t xml:space="preserve">government had limited flexibility. Notwithstanding, </w:t>
      </w:r>
      <w:r w:rsidR="79466843" w:rsidRPr="34972538">
        <w:t>the need</w:t>
      </w:r>
      <w:r w:rsidR="2C85875B" w:rsidRPr="41373D16">
        <w:t xml:space="preserve"> </w:t>
      </w:r>
      <w:r w:rsidRPr="41373D16">
        <w:t>to</w:t>
      </w:r>
      <w:r w:rsidRPr="24B3F33D">
        <w:t xml:space="preserve"> restructure SOCs remains a long-standing challenge </w:t>
      </w:r>
      <w:r w:rsidR="00DA13DA">
        <w:t>requiring urgent action as they continue to drai</w:t>
      </w:r>
      <w:r w:rsidRPr="24B3F33D">
        <w:t>n already stretched state resources. In addition, the Commission awaits the details of the public sector remuneration strategy</w:t>
      </w:r>
      <w:r w:rsidR="00DA13DA">
        <w:t>,</w:t>
      </w:r>
      <w:r w:rsidRPr="24B3F33D">
        <w:t xml:space="preserve"> which is currently under development. The Commission is optimistic that the strategy will propose a sustainable solution to balancing public sector wage bill requirements relative to competing</w:t>
      </w:r>
      <w:r w:rsidR="00DA13DA">
        <w:t xml:space="preserve"> for</w:t>
      </w:r>
      <w:r w:rsidRPr="24B3F33D">
        <w:t xml:space="preserve"> expenditure demands in a </w:t>
      </w:r>
      <w:r w:rsidR="00DA13DA">
        <w:t>fair manne</w:t>
      </w:r>
      <w:r w:rsidRPr="24B3F33D">
        <w:t xml:space="preserve">r to all parties concerned. </w:t>
      </w:r>
    </w:p>
    <w:p w:rsidR="00EB681E" w:rsidRPr="00EB681E" w:rsidRDefault="30CD0876" w:rsidP="00D845E1">
      <w:pPr>
        <w:pStyle w:val="Recommendations"/>
        <w:numPr>
          <w:ilvl w:val="1"/>
          <w:numId w:val="3"/>
        </w:numPr>
      </w:pPr>
      <w:r w:rsidRPr="24B3F33D">
        <w:t>The Commission welcomes the second phase of the Presidential Employment Initiative that has a distinct focus on youth employment. Given the current dire levels of unemployment facing youth in South Africa</w:t>
      </w:r>
      <w:r w:rsidR="00DA13DA">
        <w:t>,</w:t>
      </w:r>
      <w:r w:rsidRPr="24B3F33D">
        <w:t xml:space="preserve"> it is anticipated that this programme will bring relief and build additional skills that could assist in gaining full</w:t>
      </w:r>
      <w:r w:rsidR="00E4667D">
        <w:t>-</w:t>
      </w:r>
      <w:r w:rsidRPr="24B3F33D">
        <w:t xml:space="preserve">time employment. </w:t>
      </w:r>
    </w:p>
    <w:p w:rsidR="00EB681E" w:rsidRPr="00EB681E" w:rsidRDefault="30CD0876" w:rsidP="00D845E1">
      <w:pPr>
        <w:pStyle w:val="Recommendations"/>
        <w:numPr>
          <w:ilvl w:val="1"/>
          <w:numId w:val="3"/>
        </w:numPr>
      </w:pPr>
      <w:r w:rsidRPr="24B3F33D">
        <w:t xml:space="preserve">The sentiment expressed by the Commission in its Submission to Parliament on the Second Special Appropriation Bill, 2021 </w:t>
      </w:r>
      <w:r w:rsidR="05FE2B94" w:rsidRPr="03CF221A">
        <w:t>is</w:t>
      </w:r>
      <w:r w:rsidRPr="24B3F33D">
        <w:t xml:space="preserve"> reiterated here: Whilst the Commission agreed with the adjustment required to extend the Social Relief of Distress Grant</w:t>
      </w:r>
      <w:r w:rsidR="001B2A90">
        <w:t>,</w:t>
      </w:r>
      <w:r w:rsidRPr="24B3F33D">
        <w:t xml:space="preserve"> given the experience of the implementation and relief brought by the grant, there </w:t>
      </w:r>
      <w:r w:rsidR="001B2A90">
        <w:t>was</w:t>
      </w:r>
      <w:r w:rsidRPr="24B3F33D">
        <w:t xml:space="preserve"> a need for the Minister of Finance to consider the policy options and affordability of some form of income protection/Basic Income Grant</w:t>
      </w:r>
      <w:r w:rsidR="001B2A90">
        <w:t>.</w:t>
      </w:r>
      <w:r w:rsidRPr="24B3F33D">
        <w:t xml:space="preserve"> </w:t>
      </w:r>
      <w:r w:rsidR="00D845E1">
        <w:t>T</w:t>
      </w:r>
      <w:r w:rsidRPr="24B3F33D">
        <w:t xml:space="preserve">his will enable better planning and prevent the need for stopping/reintroducing support measures for poor and vulnerable South Africans. </w:t>
      </w:r>
    </w:p>
    <w:p w:rsidR="008C6A70" w:rsidRDefault="008C6A70" w:rsidP="008C6A70">
      <w:pPr>
        <w:pStyle w:val="Heading1"/>
        <w:rPr>
          <w:rFonts w:eastAsiaTheme="majorEastAsia"/>
        </w:rPr>
      </w:pPr>
      <w:bookmarkStart w:id="39" w:name="_Toc87715683"/>
      <w:r w:rsidRPr="00B87635">
        <w:t>2021 Division of Revenue</w:t>
      </w:r>
      <w:r w:rsidR="00AE7745">
        <w:t xml:space="preserve"> Amendment</w:t>
      </w:r>
      <w:r w:rsidRPr="00B87635">
        <w:t xml:space="preserve"> Bill – Provinces</w:t>
      </w:r>
      <w:bookmarkEnd w:id="39"/>
      <w:r w:rsidRPr="00B87635">
        <w:t xml:space="preserve"> </w:t>
      </w:r>
    </w:p>
    <w:p w:rsidR="008C6A70" w:rsidRDefault="008C6A70" w:rsidP="008C6A70">
      <w:pPr>
        <w:pStyle w:val="Heading2"/>
        <w:adjustRightInd w:val="0"/>
        <w:rPr>
          <w:rFonts w:eastAsiaTheme="majorEastAsia"/>
        </w:rPr>
      </w:pPr>
      <w:bookmarkStart w:id="40" w:name="_Toc87715684"/>
      <w:r>
        <w:rPr>
          <w:rFonts w:eastAsiaTheme="majorEastAsia"/>
        </w:rPr>
        <w:t>Overview of provincial government allocation</w:t>
      </w:r>
      <w:bookmarkEnd w:id="40"/>
    </w:p>
    <w:p w:rsidR="00752755" w:rsidRDefault="6D66F64E" w:rsidP="00A029B1">
      <w:pPr>
        <w:pStyle w:val="ListParagraph"/>
      </w:pPr>
      <w:r>
        <w:t>The 202</w:t>
      </w:r>
      <w:r w:rsidR="7C6FBE7D">
        <w:t xml:space="preserve">1 MTBPS proposes </w:t>
      </w:r>
      <w:r w:rsidR="28AA03E2">
        <w:t>a</w:t>
      </w:r>
      <w:r w:rsidR="7C6FBE7D">
        <w:t xml:space="preserve"> </w:t>
      </w:r>
      <w:r w:rsidR="004D72C5">
        <w:t>total</w:t>
      </w:r>
      <w:r w:rsidR="30923F33">
        <w:t xml:space="preserve"> provincial</w:t>
      </w:r>
      <w:r w:rsidR="004D72C5">
        <w:t xml:space="preserve"> allocation of </w:t>
      </w:r>
      <w:r w:rsidR="7E5B7F2A">
        <w:t>R</w:t>
      </w:r>
      <w:r w:rsidR="4456C745">
        <w:t>1.9</w:t>
      </w:r>
      <w:r w:rsidR="004D72C5">
        <w:t xml:space="preserve"> </w:t>
      </w:r>
      <w:r w:rsidR="6FE916EB">
        <w:t>trillion</w:t>
      </w:r>
      <w:r w:rsidR="004D72C5">
        <w:t xml:space="preserve"> over the 2022 MTEF, </w:t>
      </w:r>
      <w:r w:rsidR="00C82B54">
        <w:t>representing</w:t>
      </w:r>
      <w:r w:rsidR="004D72C5">
        <w:t xml:space="preserve"> a </w:t>
      </w:r>
      <w:r w:rsidR="1C92D7C0">
        <w:t>nominal 3</w:t>
      </w:r>
      <w:r w:rsidR="004D72C5">
        <w:t>% increase from the 2021 budget allocation.</w:t>
      </w:r>
      <w:r w:rsidR="00EF6B59">
        <w:t xml:space="preserve"> </w:t>
      </w:r>
      <w:r w:rsidR="00C82B54">
        <w:t xml:space="preserve">Data </w:t>
      </w:r>
      <w:r w:rsidR="00EF6B59">
        <w:t>below</w:t>
      </w:r>
      <w:r w:rsidR="00E73438">
        <w:t xml:space="preserve"> shows that the 2</w:t>
      </w:r>
      <w:r w:rsidR="00EF6B59">
        <w:t xml:space="preserve">022 allocations to </w:t>
      </w:r>
      <w:r w:rsidR="00C82B54">
        <w:t xml:space="preserve">the </w:t>
      </w:r>
      <w:r w:rsidR="00EF6B59">
        <w:t xml:space="preserve">province are yet to recover to the 2020/21 total provincial baseline allocation. </w:t>
      </w:r>
      <w:r w:rsidR="00E73438">
        <w:t>Compared to the 2021 budget, provincial total allocation has been revised upwards by R20 billion in the 2021 MTBPS mainly to cater to</w:t>
      </w:r>
      <w:r w:rsidR="2DCDA9FA">
        <w:t xml:space="preserve"> CoE adjustments. </w:t>
      </w:r>
      <w:r w:rsidR="06F9DD11">
        <w:t>In l</w:t>
      </w:r>
      <w:r w:rsidR="0BB7337B">
        <w:t>ine with the government goals of budget consolidation, the equitable sh</w:t>
      </w:r>
      <w:r w:rsidR="00E304CF">
        <w:t xml:space="preserve">are is projected </w:t>
      </w:r>
      <w:r w:rsidR="002A109D">
        <w:t xml:space="preserve">to </w:t>
      </w:r>
      <w:r w:rsidR="0BB7337B">
        <w:t>d</w:t>
      </w:r>
      <w:r w:rsidR="6A1B05E1">
        <w:t xml:space="preserve">ecrease </w:t>
      </w:r>
      <w:r w:rsidR="35BF35A3">
        <w:t>slightly</w:t>
      </w:r>
      <w:r w:rsidR="6A1B05E1">
        <w:t xml:space="preserve"> in 2022/23 and 2023/24 before recovering to </w:t>
      </w:r>
      <w:r w:rsidR="002A109D">
        <w:t xml:space="preserve">a </w:t>
      </w:r>
      <w:r w:rsidR="1E4D1FC5">
        <w:t xml:space="preserve">level above the 2021 MTBPS revised allocation. The decrease is </w:t>
      </w:r>
      <w:r w:rsidR="01FCF3D7">
        <w:t>mainly</w:t>
      </w:r>
      <w:r w:rsidR="1E4D1FC5">
        <w:t xml:space="preserve"> based on the assumption </w:t>
      </w:r>
      <w:r w:rsidR="26B7C595">
        <w:t xml:space="preserve">that </w:t>
      </w:r>
      <w:r w:rsidR="162CC31A">
        <w:t>provincial</w:t>
      </w:r>
      <w:r w:rsidR="26B7C595">
        <w:t xml:space="preserve"> CoE baseline</w:t>
      </w:r>
      <w:r w:rsidR="6D2E9A7C">
        <w:t>s</w:t>
      </w:r>
      <w:r w:rsidR="26B7C595">
        <w:t xml:space="preserve"> shall remain </w:t>
      </w:r>
      <w:r w:rsidR="5947CF3B">
        <w:t>repressed</w:t>
      </w:r>
      <w:r w:rsidR="26B7C595">
        <w:t xml:space="preserve">. </w:t>
      </w:r>
      <w:r w:rsidR="61590BBE">
        <w:t xml:space="preserve">The growth rate of provincial conditional grant allocations is also expected to remain stagnant </w:t>
      </w:r>
      <w:r w:rsidR="67137540">
        <w:t xml:space="preserve">over the 2022 MTEF as </w:t>
      </w:r>
      <w:r w:rsidR="002A109D">
        <w:t xml:space="preserve">the </w:t>
      </w:r>
      <w:r w:rsidR="4959FF67">
        <w:t>government continues with expenditure moderation</w:t>
      </w:r>
      <w:r w:rsidR="00BF4603">
        <w:t xml:space="preserve">. </w:t>
      </w:r>
      <w:r w:rsidR="3B9497DA">
        <w:t xml:space="preserve">The </w:t>
      </w:r>
      <w:r w:rsidR="00565C09">
        <w:t xml:space="preserve">Commission </w:t>
      </w:r>
      <w:r w:rsidR="3B9497DA">
        <w:t>further welcome</w:t>
      </w:r>
      <w:r w:rsidR="002F4E30">
        <w:t>s the proposal to rationalise various sub-components of the HIV, TB, Malaria and Community Outreach Grant. This will minimise grant administration and provide</w:t>
      </w:r>
      <w:r w:rsidR="1A6391A7">
        <w:t xml:space="preserve"> provinces sufficient flexibility to spend the grant in accordance with their respective</w:t>
      </w:r>
      <w:r w:rsidR="3B9CD7A5">
        <w:t xml:space="preserve"> needs. </w:t>
      </w:r>
      <w:r w:rsidR="56D8E84E">
        <w:t>The Commission is currently conduction research on repurposing and realigning the system of conditional</w:t>
      </w:r>
      <w:r w:rsidR="4813EDFC">
        <w:t xml:space="preserve"> grant</w:t>
      </w:r>
      <w:r w:rsidR="002F4E30">
        <w:t>s</w:t>
      </w:r>
      <w:r w:rsidR="4813EDFC">
        <w:t xml:space="preserve"> to both the design of grants and the efficacy thereof. </w:t>
      </w:r>
    </w:p>
    <w:p w:rsidR="002377E3" w:rsidRDefault="002377E3" w:rsidP="002377E3"/>
    <w:p w:rsidR="00145003" w:rsidRDefault="00145003" w:rsidP="002377E3"/>
    <w:p w:rsidR="00EF6B59" w:rsidRPr="0058016D" w:rsidRDefault="00B148F1" w:rsidP="00E015F1">
      <w:pPr>
        <w:pStyle w:val="Caption"/>
      </w:pPr>
      <w:bookmarkStart w:id="41" w:name="_Toc87715521"/>
      <w:r w:rsidRPr="00B148F1">
        <w:t xml:space="preserve">Table </w:t>
      </w:r>
      <w:r w:rsidR="002B36AE">
        <w:fldChar w:fldCharType="begin"/>
      </w:r>
      <w:r w:rsidR="00DD51FB">
        <w:instrText xml:space="preserve"> SEQ Table \* ARABIC </w:instrText>
      </w:r>
      <w:r w:rsidR="002B36AE">
        <w:fldChar w:fldCharType="separate"/>
      </w:r>
      <w:r>
        <w:rPr>
          <w:noProof/>
        </w:rPr>
        <w:t>4</w:t>
      </w:r>
      <w:r w:rsidR="002B36AE">
        <w:rPr>
          <w:noProof/>
        </w:rPr>
        <w:fldChar w:fldCharType="end"/>
      </w:r>
      <w:r>
        <w:t xml:space="preserve">: </w:t>
      </w:r>
      <w:r w:rsidR="00EF6B59" w:rsidRPr="686E7548">
        <w:t>Provincial allocations – comparison to the 2020/21 baseline</w:t>
      </w:r>
      <w:bookmarkEnd w:id="41"/>
      <w:r w:rsidR="00EF6B59" w:rsidRPr="686E7548">
        <w:t xml:space="preserve"> </w:t>
      </w:r>
    </w:p>
    <w:tbl>
      <w:tblPr>
        <w:tblStyle w:val="GridTable1LightAccent3"/>
        <w:tblW w:w="5000" w:type="pct"/>
        <w:tblLook w:val="04A0"/>
      </w:tblPr>
      <w:tblGrid>
        <w:gridCol w:w="3531"/>
        <w:gridCol w:w="1143"/>
        <w:gridCol w:w="1142"/>
        <w:gridCol w:w="1142"/>
        <w:gridCol w:w="1142"/>
        <w:gridCol w:w="1142"/>
      </w:tblGrid>
      <w:tr w:rsidR="006529FB" w:rsidRPr="00E7716F" w:rsidTr="00E7716F">
        <w:trPr>
          <w:cnfStyle w:val="100000000000"/>
          <w:trHeight w:val="256"/>
        </w:trPr>
        <w:tc>
          <w:tcPr>
            <w:cnfStyle w:val="001000000000"/>
            <w:tcW w:w="1910" w:type="pct"/>
            <w:noWrap/>
            <w:vAlign w:val="center"/>
            <w:hideMark/>
          </w:tcPr>
          <w:p w:rsidR="00F41E23" w:rsidRPr="00E7716F" w:rsidRDefault="00F41E23" w:rsidP="001933DB">
            <w:pPr>
              <w:spacing w:after="0" w:line="240" w:lineRule="auto"/>
              <w:jc w:val="center"/>
              <w:rPr>
                <w:rFonts w:eastAsia="Times New Roman"/>
                <w:color w:val="000000"/>
                <w:sz w:val="20"/>
                <w:szCs w:val="20"/>
                <w:lang w:eastAsia="en-ZA"/>
              </w:rPr>
            </w:pPr>
            <w:r w:rsidRPr="00E7716F">
              <w:rPr>
                <w:rFonts w:eastAsia="Times New Roman"/>
                <w:color w:val="000000"/>
                <w:sz w:val="20"/>
                <w:szCs w:val="20"/>
                <w:lang w:eastAsia="en-ZA"/>
              </w:rPr>
              <w:t>Provincial budget allocations</w:t>
            </w:r>
          </w:p>
        </w:tc>
        <w:tc>
          <w:tcPr>
            <w:tcW w:w="618" w:type="pct"/>
            <w:noWrap/>
            <w:vAlign w:val="center"/>
            <w:hideMark/>
          </w:tcPr>
          <w:p w:rsidR="00F41E23" w:rsidRPr="00E7716F" w:rsidRDefault="00F41E23" w:rsidP="001933DB">
            <w:pPr>
              <w:spacing w:after="0" w:line="240" w:lineRule="auto"/>
              <w:jc w:val="center"/>
              <w:cnfStyle w:val="100000000000"/>
              <w:rPr>
                <w:rFonts w:eastAsia="Times New Roman"/>
                <w:color w:val="000000"/>
                <w:sz w:val="20"/>
                <w:szCs w:val="20"/>
                <w:lang w:eastAsia="en-ZA"/>
              </w:rPr>
            </w:pPr>
            <w:r w:rsidRPr="00E7716F">
              <w:rPr>
                <w:rFonts w:eastAsia="Times New Roman"/>
                <w:color w:val="000000"/>
                <w:sz w:val="20"/>
                <w:szCs w:val="20"/>
                <w:lang w:eastAsia="en-ZA"/>
              </w:rPr>
              <w:t>2020/21</w:t>
            </w:r>
          </w:p>
        </w:tc>
        <w:tc>
          <w:tcPr>
            <w:tcW w:w="618" w:type="pct"/>
            <w:noWrap/>
            <w:vAlign w:val="center"/>
            <w:hideMark/>
          </w:tcPr>
          <w:p w:rsidR="00F41E23" w:rsidRPr="00E7716F" w:rsidRDefault="00F41E23" w:rsidP="001933DB">
            <w:pPr>
              <w:spacing w:after="0" w:line="240" w:lineRule="auto"/>
              <w:jc w:val="center"/>
              <w:cnfStyle w:val="100000000000"/>
              <w:rPr>
                <w:rFonts w:eastAsia="Times New Roman"/>
                <w:color w:val="000000"/>
                <w:sz w:val="20"/>
                <w:szCs w:val="20"/>
                <w:lang w:eastAsia="en-ZA"/>
              </w:rPr>
            </w:pPr>
            <w:r w:rsidRPr="00E7716F">
              <w:rPr>
                <w:rFonts w:eastAsia="Times New Roman"/>
                <w:color w:val="000000"/>
                <w:sz w:val="20"/>
                <w:szCs w:val="20"/>
                <w:lang w:eastAsia="en-ZA"/>
              </w:rPr>
              <w:t>2021/22</w:t>
            </w:r>
          </w:p>
        </w:tc>
        <w:tc>
          <w:tcPr>
            <w:tcW w:w="618" w:type="pct"/>
            <w:noWrap/>
            <w:vAlign w:val="center"/>
            <w:hideMark/>
          </w:tcPr>
          <w:p w:rsidR="00F41E23" w:rsidRPr="00E7716F" w:rsidRDefault="00F41E23" w:rsidP="001933DB">
            <w:pPr>
              <w:spacing w:after="0" w:line="240" w:lineRule="auto"/>
              <w:jc w:val="center"/>
              <w:cnfStyle w:val="100000000000"/>
              <w:rPr>
                <w:rFonts w:eastAsia="Times New Roman"/>
                <w:color w:val="000000"/>
                <w:sz w:val="20"/>
                <w:szCs w:val="20"/>
                <w:lang w:eastAsia="en-ZA"/>
              </w:rPr>
            </w:pPr>
            <w:r w:rsidRPr="00E7716F">
              <w:rPr>
                <w:rFonts w:eastAsia="Times New Roman"/>
                <w:color w:val="000000"/>
                <w:sz w:val="20"/>
                <w:szCs w:val="20"/>
                <w:lang w:eastAsia="en-ZA"/>
              </w:rPr>
              <w:t>2022/23</w:t>
            </w:r>
          </w:p>
        </w:tc>
        <w:tc>
          <w:tcPr>
            <w:tcW w:w="618" w:type="pct"/>
            <w:noWrap/>
            <w:vAlign w:val="center"/>
            <w:hideMark/>
          </w:tcPr>
          <w:p w:rsidR="00F41E23" w:rsidRPr="00E7716F" w:rsidRDefault="00F41E23" w:rsidP="001933DB">
            <w:pPr>
              <w:spacing w:after="0" w:line="240" w:lineRule="auto"/>
              <w:jc w:val="center"/>
              <w:cnfStyle w:val="100000000000"/>
              <w:rPr>
                <w:rFonts w:eastAsia="Times New Roman"/>
                <w:color w:val="000000"/>
                <w:sz w:val="20"/>
                <w:szCs w:val="20"/>
                <w:lang w:eastAsia="en-ZA"/>
              </w:rPr>
            </w:pPr>
            <w:r w:rsidRPr="00E7716F">
              <w:rPr>
                <w:rFonts w:eastAsia="Times New Roman"/>
                <w:color w:val="000000"/>
                <w:sz w:val="20"/>
                <w:szCs w:val="20"/>
                <w:lang w:eastAsia="en-ZA"/>
              </w:rPr>
              <w:t>2023/24</w:t>
            </w:r>
          </w:p>
        </w:tc>
        <w:tc>
          <w:tcPr>
            <w:tcW w:w="618" w:type="pct"/>
            <w:noWrap/>
            <w:vAlign w:val="center"/>
            <w:hideMark/>
          </w:tcPr>
          <w:p w:rsidR="00F41E23" w:rsidRPr="00E7716F" w:rsidRDefault="00F41E23" w:rsidP="001933DB">
            <w:pPr>
              <w:spacing w:after="0" w:line="240" w:lineRule="auto"/>
              <w:jc w:val="center"/>
              <w:cnfStyle w:val="100000000000"/>
              <w:rPr>
                <w:rFonts w:eastAsia="Times New Roman"/>
                <w:color w:val="000000"/>
                <w:sz w:val="20"/>
                <w:szCs w:val="20"/>
                <w:lang w:eastAsia="en-ZA"/>
              </w:rPr>
            </w:pPr>
            <w:r w:rsidRPr="00E7716F">
              <w:rPr>
                <w:rFonts w:eastAsia="Times New Roman"/>
                <w:color w:val="000000"/>
                <w:sz w:val="20"/>
                <w:szCs w:val="20"/>
                <w:lang w:eastAsia="en-ZA"/>
              </w:rPr>
              <w:t>2024/25</w:t>
            </w: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rPr>
                <w:rFonts w:eastAsia="Times New Roman"/>
                <w:color w:val="000000"/>
                <w:sz w:val="20"/>
                <w:szCs w:val="20"/>
                <w:lang w:eastAsia="en-ZA"/>
              </w:rPr>
            </w:pPr>
            <w:r w:rsidRPr="00E7716F">
              <w:rPr>
                <w:rFonts w:eastAsia="Times New Roman"/>
                <w:color w:val="000000"/>
                <w:sz w:val="20"/>
                <w:szCs w:val="20"/>
                <w:lang w:eastAsia="en-ZA"/>
              </w:rPr>
              <w:t>2020 budget</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1933D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PES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538 472</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573 990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607 554</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Conditional grants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110 785</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117 962</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123 137</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color w:val="000000"/>
                <w:sz w:val="20"/>
                <w:szCs w:val="20"/>
                <w:lang w:eastAsia="en-ZA"/>
              </w:rPr>
            </w:pPr>
            <w:r w:rsidRPr="00E7716F">
              <w:rPr>
                <w:rFonts w:eastAsia="Times New Roman"/>
                <w:color w:val="000000"/>
                <w:sz w:val="20"/>
                <w:szCs w:val="20"/>
                <w:lang w:eastAsia="en-ZA"/>
              </w:rPr>
              <w:t>Total</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649 256</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691 951</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730 690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rPr>
                <w:rFonts w:eastAsia="Times New Roman"/>
                <w:color w:val="000000"/>
                <w:sz w:val="20"/>
                <w:szCs w:val="20"/>
                <w:lang w:eastAsia="en-ZA"/>
              </w:rPr>
            </w:pPr>
            <w:r w:rsidRPr="00E7716F">
              <w:rPr>
                <w:rFonts w:eastAsia="Times New Roman"/>
                <w:color w:val="000000"/>
                <w:sz w:val="20"/>
                <w:szCs w:val="20"/>
                <w:lang w:eastAsia="en-ZA"/>
              </w:rPr>
              <w:t>2020 supplementary budget</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1933D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PES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538 472</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Conditional grants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106 823</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color w:val="000000"/>
                <w:sz w:val="20"/>
                <w:szCs w:val="20"/>
                <w:lang w:eastAsia="en-ZA"/>
              </w:rPr>
            </w:pPr>
            <w:r w:rsidRPr="00E7716F">
              <w:rPr>
                <w:rFonts w:eastAsia="Times New Roman"/>
                <w:color w:val="000000"/>
                <w:sz w:val="20"/>
                <w:szCs w:val="20"/>
                <w:lang w:eastAsia="en-ZA"/>
              </w:rPr>
              <w:t>Total</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645 295</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rPr>
                <w:rFonts w:eastAsia="Times New Roman"/>
                <w:color w:val="000000"/>
                <w:sz w:val="20"/>
                <w:szCs w:val="20"/>
                <w:lang w:eastAsia="en-ZA"/>
              </w:rPr>
            </w:pPr>
            <w:r w:rsidRPr="00E7716F">
              <w:rPr>
                <w:rFonts w:eastAsia="Times New Roman"/>
                <w:color w:val="000000"/>
                <w:sz w:val="20"/>
                <w:szCs w:val="20"/>
                <w:lang w:eastAsia="en-ZA"/>
              </w:rPr>
              <w:t>2020 MTBPS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themeColor="text1"/>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1933D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PES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520 717</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513 973</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521 988</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523 111</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Conditional grants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107 594</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115 381</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119 766</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122 452</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color w:val="000000"/>
                <w:sz w:val="20"/>
                <w:szCs w:val="20"/>
                <w:lang w:eastAsia="en-ZA"/>
              </w:rPr>
            </w:pPr>
            <w:r w:rsidRPr="00E7716F">
              <w:rPr>
                <w:rFonts w:eastAsia="Times New Roman"/>
                <w:color w:val="000000"/>
                <w:sz w:val="20"/>
                <w:szCs w:val="20"/>
                <w:lang w:eastAsia="en-ZA"/>
              </w:rPr>
              <w:t>Total</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628 311</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629 354</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641 754</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645 563</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w:t>
            </w: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rPr>
                <w:rFonts w:eastAsia="Times New Roman"/>
                <w:color w:val="000000"/>
                <w:sz w:val="20"/>
                <w:szCs w:val="20"/>
                <w:lang w:eastAsia="en-ZA"/>
              </w:rPr>
            </w:pPr>
            <w:r w:rsidRPr="00E7716F">
              <w:rPr>
                <w:rFonts w:eastAsia="Times New Roman"/>
                <w:color w:val="000000"/>
                <w:sz w:val="20"/>
                <w:szCs w:val="20"/>
                <w:lang w:eastAsia="en-ZA"/>
              </w:rPr>
              <w:t>2021 budget</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1933D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PES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520 717</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523 686</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524 088</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525 304</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Conditional grants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107 594</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115 783</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themeColor="text1"/>
                <w:sz w:val="20"/>
                <w:szCs w:val="20"/>
                <w:lang w:eastAsia="en-ZA"/>
              </w:rPr>
              <w:t>119 260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r w:rsidRPr="00E7716F">
              <w:rPr>
                <w:rFonts w:eastAsia="Times New Roman"/>
                <w:color w:val="000000"/>
                <w:sz w:val="20"/>
                <w:szCs w:val="20"/>
                <w:lang w:eastAsia="en-ZA"/>
              </w:rPr>
              <w:t>121 520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color w:val="000000"/>
                <w:sz w:val="20"/>
                <w:szCs w:val="20"/>
                <w:lang w:eastAsia="en-ZA"/>
              </w:rPr>
            </w:pPr>
            <w:r w:rsidRPr="00E7716F">
              <w:rPr>
                <w:rFonts w:eastAsia="Times New Roman"/>
                <w:color w:val="000000"/>
                <w:sz w:val="20"/>
                <w:szCs w:val="20"/>
                <w:lang w:eastAsia="en-ZA"/>
              </w:rPr>
              <w:t>Total</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628 311</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639 469</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643 343</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sz w:val="20"/>
                <w:szCs w:val="20"/>
                <w:lang w:eastAsia="en-ZA"/>
              </w:rPr>
              <w:t>646 824</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rPr>
                <w:rFonts w:eastAsia="Times New Roman"/>
                <w:color w:val="000000"/>
                <w:sz w:val="20"/>
                <w:szCs w:val="20"/>
                <w:lang w:eastAsia="en-ZA"/>
              </w:rPr>
            </w:pPr>
            <w:r w:rsidRPr="00E7716F">
              <w:rPr>
                <w:rFonts w:eastAsia="Times New Roman"/>
                <w:color w:val="000000"/>
                <w:sz w:val="20"/>
                <w:szCs w:val="20"/>
                <w:lang w:eastAsia="en-ZA"/>
              </w:rPr>
              <w:t>2021 MTBPS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p>
        </w:tc>
      </w:tr>
      <w:tr w:rsidR="001933D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sz w:val="20"/>
                <w:szCs w:val="20"/>
                <w:lang w:eastAsia="en-ZA"/>
              </w:rPr>
              <w:t>PES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lang w:eastAsia="en-ZA"/>
              </w:rPr>
            </w:pPr>
            <w:r w:rsidRPr="00E7716F">
              <w:rPr>
                <w:rFonts w:eastAsia="Times New Roman"/>
                <w:sz w:val="20"/>
                <w:szCs w:val="20"/>
                <w:lang w:eastAsia="en-ZA"/>
              </w:rPr>
              <w:t>544 800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themeColor="text1"/>
                <w:sz w:val="20"/>
                <w:szCs w:val="20"/>
              </w:rPr>
            </w:pPr>
            <w:r w:rsidRPr="00E7716F">
              <w:rPr>
                <w:rFonts w:eastAsia="Times New Roman"/>
                <w:color w:val="000000" w:themeColor="text1"/>
                <w:sz w:val="20"/>
                <w:szCs w:val="20"/>
              </w:rPr>
              <w:t>538 800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rPr>
            </w:pPr>
            <w:r w:rsidRPr="00E7716F">
              <w:rPr>
                <w:rFonts w:eastAsia="Times New Roman"/>
                <w:color w:val="000000" w:themeColor="text1"/>
                <w:sz w:val="20"/>
                <w:szCs w:val="20"/>
              </w:rPr>
              <w:t>525 300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rPr>
            </w:pPr>
            <w:r w:rsidRPr="00E7716F">
              <w:rPr>
                <w:rFonts w:eastAsia="Times New Roman"/>
                <w:color w:val="000000" w:themeColor="text1"/>
                <w:sz w:val="20"/>
                <w:szCs w:val="20"/>
              </w:rPr>
              <w:t>548 900</w:t>
            </w:r>
          </w:p>
        </w:tc>
      </w:tr>
      <w:tr w:rsidR="006529FB" w:rsidRPr="00E7716F" w:rsidTr="00E7716F">
        <w:trPr>
          <w:trHeight w:val="256"/>
        </w:trPr>
        <w:tc>
          <w:tcPr>
            <w:cnfStyle w:val="001000000000"/>
            <w:tcW w:w="1910" w:type="pct"/>
            <w:noWrap/>
            <w:vAlign w:val="center"/>
            <w:hideMark/>
          </w:tcPr>
          <w:p w:rsidR="00F41E23" w:rsidRPr="00E7716F" w:rsidRDefault="00F41E23" w:rsidP="001933DB">
            <w:pPr>
              <w:spacing w:after="0" w:line="240" w:lineRule="auto"/>
              <w:ind w:left="113"/>
              <w:rPr>
                <w:rFonts w:eastAsia="Times New Roman"/>
                <w:b w:val="0"/>
                <w:bCs w:val="0"/>
                <w:color w:val="000000"/>
                <w:sz w:val="20"/>
                <w:szCs w:val="20"/>
                <w:lang w:eastAsia="en-ZA"/>
              </w:rPr>
            </w:pPr>
            <w:r w:rsidRPr="00E7716F">
              <w:rPr>
                <w:rFonts w:eastAsia="Times New Roman"/>
                <w:b w:val="0"/>
                <w:bCs w:val="0"/>
                <w:color w:val="000000" w:themeColor="text1"/>
                <w:sz w:val="20"/>
                <w:szCs w:val="20"/>
                <w:lang w:eastAsia="en-ZA"/>
              </w:rPr>
              <w:t>Conditional grants</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themeColor="text1"/>
                <w:sz w:val="20"/>
                <w:szCs w:val="20"/>
              </w:rPr>
            </w:pPr>
            <w:r w:rsidRPr="00E7716F">
              <w:rPr>
                <w:rFonts w:eastAsia="Times New Roman"/>
                <w:color w:val="000000" w:themeColor="text1"/>
                <w:sz w:val="20"/>
                <w:szCs w:val="20"/>
              </w:rPr>
              <w:t>116 400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themeColor="text1"/>
                <w:sz w:val="20"/>
                <w:szCs w:val="20"/>
              </w:rPr>
            </w:pPr>
            <w:r w:rsidRPr="00E7716F">
              <w:rPr>
                <w:rFonts w:eastAsia="Times New Roman"/>
                <w:color w:val="000000" w:themeColor="text1"/>
                <w:sz w:val="20"/>
                <w:szCs w:val="20"/>
              </w:rPr>
              <w:t>119 600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sz w:val="20"/>
                <w:szCs w:val="20"/>
              </w:rPr>
            </w:pPr>
            <w:r w:rsidRPr="00E7716F">
              <w:rPr>
                <w:rFonts w:eastAsia="Times New Roman"/>
                <w:color w:val="000000" w:themeColor="text1"/>
                <w:sz w:val="20"/>
                <w:szCs w:val="20"/>
              </w:rPr>
              <w:t>121 900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color w:val="000000" w:themeColor="text1"/>
                <w:sz w:val="20"/>
                <w:szCs w:val="20"/>
              </w:rPr>
            </w:pPr>
            <w:r w:rsidRPr="00E7716F">
              <w:rPr>
                <w:rFonts w:eastAsia="Times New Roman"/>
                <w:color w:val="000000" w:themeColor="text1"/>
                <w:sz w:val="20"/>
                <w:szCs w:val="20"/>
              </w:rPr>
              <w:t>127 200</w:t>
            </w:r>
          </w:p>
        </w:tc>
      </w:tr>
      <w:tr w:rsidR="006529FB" w:rsidRPr="00E7716F" w:rsidTr="00E7716F">
        <w:trPr>
          <w:trHeight w:val="269"/>
        </w:trPr>
        <w:tc>
          <w:tcPr>
            <w:cnfStyle w:val="001000000000"/>
            <w:tcW w:w="1910" w:type="pct"/>
            <w:noWrap/>
            <w:vAlign w:val="center"/>
            <w:hideMark/>
          </w:tcPr>
          <w:p w:rsidR="00F41E23" w:rsidRPr="00E7716F" w:rsidRDefault="00F41E23" w:rsidP="001933DB">
            <w:pPr>
              <w:spacing w:after="0" w:line="240" w:lineRule="auto"/>
              <w:ind w:left="113"/>
              <w:rPr>
                <w:rFonts w:eastAsia="Times New Roman"/>
                <w:color w:val="000000"/>
                <w:sz w:val="20"/>
                <w:szCs w:val="20"/>
                <w:lang w:eastAsia="en-ZA"/>
              </w:rPr>
            </w:pPr>
            <w:r w:rsidRPr="00E7716F">
              <w:rPr>
                <w:rFonts w:eastAsia="Times New Roman"/>
                <w:color w:val="000000"/>
                <w:sz w:val="20"/>
                <w:szCs w:val="20"/>
                <w:lang w:eastAsia="en-ZA"/>
              </w:rPr>
              <w:t>Total</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661 200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658 400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647 200</w:t>
            </w:r>
          </w:p>
        </w:tc>
        <w:tc>
          <w:tcPr>
            <w:tcW w:w="618" w:type="pct"/>
            <w:noWrap/>
            <w:vAlign w:val="center"/>
            <w:hideMark/>
          </w:tcPr>
          <w:p w:rsidR="00F41E23" w:rsidRPr="00E7716F" w:rsidRDefault="00F41E23" w:rsidP="001933DB">
            <w:pPr>
              <w:spacing w:after="0" w:line="240" w:lineRule="auto"/>
              <w:jc w:val="center"/>
              <w:cnfStyle w:val="000000000000"/>
              <w:rPr>
                <w:rFonts w:eastAsia="Times New Roman"/>
                <w:b/>
                <w:bCs/>
                <w:color w:val="000000"/>
                <w:sz w:val="20"/>
                <w:szCs w:val="20"/>
                <w:lang w:eastAsia="en-ZA"/>
              </w:rPr>
            </w:pPr>
            <w:r w:rsidRPr="00E7716F">
              <w:rPr>
                <w:rFonts w:eastAsia="Times New Roman"/>
                <w:b/>
                <w:bCs/>
                <w:color w:val="000000" w:themeColor="text1"/>
                <w:sz w:val="20"/>
                <w:szCs w:val="20"/>
                <w:lang w:eastAsia="en-ZA"/>
              </w:rPr>
              <w:t>676 100</w:t>
            </w:r>
          </w:p>
        </w:tc>
      </w:tr>
    </w:tbl>
    <w:p w:rsidR="002A5BB5" w:rsidRPr="002A5BB5" w:rsidRDefault="00304E92" w:rsidP="001933DB">
      <w:pPr>
        <w:pStyle w:val="FootnoteText"/>
      </w:pPr>
      <w:r w:rsidRPr="00AD542C">
        <w:t>Source: (National Treasury, 2020 – 2021)</w:t>
      </w:r>
    </w:p>
    <w:p w:rsidR="008C6A70" w:rsidRDefault="008C6A70" w:rsidP="008C6A70">
      <w:pPr>
        <w:pStyle w:val="Heading2"/>
      </w:pPr>
      <w:bookmarkStart w:id="42" w:name="_Toc87715685"/>
      <w:r>
        <w:t>Recommendations</w:t>
      </w:r>
      <w:bookmarkEnd w:id="42"/>
    </w:p>
    <w:p w:rsidR="002A5BB5" w:rsidRPr="002A5BB5" w:rsidRDefault="680B2B79" w:rsidP="00D845E1">
      <w:pPr>
        <w:pStyle w:val="Recommendations"/>
      </w:pPr>
      <w:r>
        <w:t xml:space="preserve">The </w:t>
      </w:r>
      <w:r w:rsidR="00565C09">
        <w:t xml:space="preserve">Commission </w:t>
      </w:r>
      <w:r w:rsidR="001933DB">
        <w:t>believes that expenditure moderation must be followed by comprehensive reports from the affected government departments indicating to Parliament</w:t>
      </w:r>
      <w:r>
        <w:t xml:space="preserve"> how they intend to manage tighter budgets and cushion delivery of </w:t>
      </w:r>
      <w:r w:rsidR="001933DB">
        <w:t>essential</w:t>
      </w:r>
      <w:r>
        <w:t xml:space="preserve"> social services.</w:t>
      </w:r>
    </w:p>
    <w:p w:rsidR="001933DB" w:rsidRDefault="1EBEDFA0" w:rsidP="001933DB">
      <w:pPr>
        <w:pStyle w:val="Heading1"/>
      </w:pPr>
      <w:bookmarkStart w:id="43" w:name="_Toc87715686"/>
      <w:r>
        <w:t>2021 Division of Revenue</w:t>
      </w:r>
      <w:r w:rsidR="0A7634D5">
        <w:t xml:space="preserve"> Amendment</w:t>
      </w:r>
      <w:r>
        <w:t xml:space="preserve"> Bill – Local Government</w:t>
      </w:r>
      <w:bookmarkEnd w:id="43"/>
    </w:p>
    <w:p w:rsidR="006A0E17" w:rsidRDefault="7E3209B2" w:rsidP="001933DB">
      <w:pPr>
        <w:pStyle w:val="ListParagraph"/>
      </w:pPr>
      <w:r>
        <w:t>The</w:t>
      </w:r>
      <w:r w:rsidRPr="686E7548">
        <w:t xml:space="preserve"> 2021 MTBPs was presented shortly after the local government elections. The elections resulted in 66 (31%) of the 213 contested municipalities having hung councils</w:t>
      </w:r>
      <w:r w:rsidR="00DE101F">
        <w:rPr>
          <w:rStyle w:val="FootnoteReference"/>
        </w:rPr>
        <w:footnoteReference w:id="4"/>
      </w:r>
      <w:r w:rsidRPr="686E7548">
        <w:t xml:space="preserve">, i.e., more than double the 27 hung councils borne out of the 2016 elections. Many hung councils will most likely end in coalition local governments. </w:t>
      </w:r>
    </w:p>
    <w:p w:rsidR="28CA6F8C" w:rsidRDefault="7E3209B2" w:rsidP="00866719">
      <w:pPr>
        <w:pStyle w:val="ListParagraph"/>
      </w:pPr>
      <w:r w:rsidRPr="686E7548">
        <w:t xml:space="preserve">Although </w:t>
      </w:r>
      <w:r w:rsidR="00460B88">
        <w:t>coalition councils have advantage</w:t>
      </w:r>
      <w:r w:rsidRPr="686E7548">
        <w:t xml:space="preserve">s (such as providing checks and balances or allowing a wider range of views), </w:t>
      </w:r>
      <w:r w:rsidR="00794FDE">
        <w:t>coalition councils have many disadvantages (instability, uncertainty, or lack of common ideology and purpose),</w:t>
      </w:r>
      <w:r w:rsidRPr="686E7548">
        <w:t xml:space="preserve"> which may result in suboptimal service delivery. If post</w:t>
      </w:r>
      <w:r w:rsidR="00794FDE">
        <w:t>-</w:t>
      </w:r>
      <w:r w:rsidRPr="686E7548">
        <w:t>2016 coalitions are anything to go by, they caused service delivery in many municipalities to ground to a halt. In this regard</w:t>
      </w:r>
      <w:r w:rsidR="00BF6C86">
        <w:t>,</w:t>
      </w:r>
      <w:r w:rsidRPr="686E7548">
        <w:t xml:space="preserve"> the Commission implores coalition councils to shun political bickering and place people at the centre of their decisions. As councils are being constituted, government and other stakeholders are called upon to set in motion programmes and resources to capacitate new councillors. The LGFF will also experience additional pressures as non-returning councillors are paid their once-off gratuities. The February budget statement proposed reprioriti</w:t>
      </w:r>
      <w:r w:rsidR="00775832">
        <w:t>s</w:t>
      </w:r>
      <w:r w:rsidRPr="686E7548">
        <w:t xml:space="preserve">ation of monies from the municipal infrastructure grant and the integrated urban development grant, to fund the gratuities of non-returning councillors. </w:t>
      </w:r>
    </w:p>
    <w:p w:rsidR="28CA6F8C" w:rsidRDefault="7E3209B2" w:rsidP="686E7548">
      <w:pPr>
        <w:pStyle w:val="Heading2"/>
        <w:spacing w:line="259" w:lineRule="auto"/>
        <w:rPr>
          <w:rFonts w:eastAsiaTheme="majorEastAsia"/>
        </w:rPr>
      </w:pPr>
      <w:bookmarkStart w:id="44" w:name="_Toc87715687"/>
      <w:r w:rsidRPr="686E7548">
        <w:rPr>
          <w:rFonts w:eastAsiaTheme="majorEastAsia"/>
        </w:rPr>
        <w:t xml:space="preserve">Local </w:t>
      </w:r>
      <w:r w:rsidR="006C2C86">
        <w:rPr>
          <w:rFonts w:eastAsiaTheme="majorEastAsia"/>
        </w:rPr>
        <w:t>g</w:t>
      </w:r>
      <w:r w:rsidRPr="686E7548">
        <w:rPr>
          <w:rFonts w:eastAsiaTheme="majorEastAsia"/>
        </w:rPr>
        <w:t xml:space="preserve">overnment </w:t>
      </w:r>
      <w:r w:rsidR="00A71413">
        <w:rPr>
          <w:rFonts w:eastAsiaTheme="majorEastAsia"/>
        </w:rPr>
        <w:t>f</w:t>
      </w:r>
      <w:r w:rsidRPr="686E7548">
        <w:rPr>
          <w:rFonts w:eastAsiaTheme="majorEastAsia"/>
        </w:rPr>
        <w:t xml:space="preserve">iscal </w:t>
      </w:r>
      <w:r w:rsidR="00A71413">
        <w:rPr>
          <w:rFonts w:eastAsiaTheme="majorEastAsia"/>
        </w:rPr>
        <w:t>f</w:t>
      </w:r>
      <w:r w:rsidRPr="686E7548">
        <w:rPr>
          <w:rFonts w:eastAsiaTheme="majorEastAsia"/>
        </w:rPr>
        <w:t xml:space="preserve">ramework </w:t>
      </w:r>
      <w:r w:rsidR="00A71413">
        <w:rPr>
          <w:rFonts w:eastAsiaTheme="majorEastAsia"/>
        </w:rPr>
        <w:t>c</w:t>
      </w:r>
      <w:r w:rsidRPr="686E7548">
        <w:rPr>
          <w:rFonts w:eastAsiaTheme="majorEastAsia"/>
        </w:rPr>
        <w:t>hanges</w:t>
      </w:r>
      <w:bookmarkEnd w:id="44"/>
    </w:p>
    <w:p w:rsidR="28CA6F8C" w:rsidRDefault="7E3209B2" w:rsidP="00866719">
      <w:pPr>
        <w:pStyle w:val="ListParagraph"/>
      </w:pPr>
      <w:r>
        <w:t>Over</w:t>
      </w:r>
      <w:r w:rsidRPr="686E7548">
        <w:t xml:space="preserve"> the 2021 MTEF, the local government sector is allocated R450.6 billion, divided into R254 billion in the form of unconditional grants and R149.7 billion in conditional grants (see Table 1 below). The total allocations are projected to decrease by 0.12% over the MTEF in real terms. Considering the poor growth in local government transfers, the Commission underscores the importance of prioritising own revenue-raising capacity in the local government sector to ensure sustainable service delivery. Municipalities should be encouraged to pursue alternative revenue sources.</w:t>
      </w:r>
      <w:r w:rsidR="28CA6F8C" w:rsidRPr="00E015F1">
        <w:rPr>
          <w:rFonts w:eastAsia="Times New Roman"/>
        </w:rPr>
        <w:t xml:space="preserve"> </w:t>
      </w:r>
    </w:p>
    <w:p w:rsidR="28CA6F8C" w:rsidRPr="00B148F1" w:rsidRDefault="00B148F1" w:rsidP="00E015F1">
      <w:pPr>
        <w:pStyle w:val="Caption"/>
      </w:pPr>
      <w:bookmarkStart w:id="45" w:name="_Toc87715510"/>
      <w:r w:rsidRPr="00B148F1">
        <w:t xml:space="preserve">Figure </w:t>
      </w:r>
      <w:r w:rsidR="002B36AE">
        <w:fldChar w:fldCharType="begin"/>
      </w:r>
      <w:r w:rsidR="00DD51FB">
        <w:instrText xml:space="preserve"> SEQ Figure \* ARABIC </w:instrText>
      </w:r>
      <w:r w:rsidR="002B36AE">
        <w:fldChar w:fldCharType="separate"/>
      </w:r>
      <w:r w:rsidR="00C1609A">
        <w:rPr>
          <w:noProof/>
        </w:rPr>
        <w:t>11</w:t>
      </w:r>
      <w:r w:rsidR="002B36AE">
        <w:rPr>
          <w:noProof/>
        </w:rPr>
        <w:fldChar w:fldCharType="end"/>
      </w:r>
      <w:r w:rsidRPr="00B148F1">
        <w:t>:</w:t>
      </w:r>
      <w:r w:rsidR="78BC6228" w:rsidRPr="00B148F1">
        <w:rPr>
          <w:rFonts w:eastAsia="Times New Roman"/>
        </w:rPr>
        <w:t xml:space="preserve"> LG share of national</w:t>
      </w:r>
      <w:r w:rsidR="00D962A5">
        <w:rPr>
          <w:rFonts w:eastAsia="Times New Roman"/>
        </w:rPr>
        <w:t>ly</w:t>
      </w:r>
      <w:r w:rsidR="78BC6228" w:rsidRPr="00B148F1">
        <w:rPr>
          <w:rFonts w:eastAsia="Times New Roman"/>
        </w:rPr>
        <w:t xml:space="preserve"> raised revenue</w:t>
      </w:r>
      <w:bookmarkEnd w:id="45"/>
    </w:p>
    <w:p w:rsidR="3E9F3E48" w:rsidRDefault="51B6213A" w:rsidP="00F67794">
      <w:pPr>
        <w:spacing w:after="0"/>
        <w:jc w:val="both"/>
      </w:pPr>
      <w:r>
        <w:rPr>
          <w:noProof/>
          <w:lang w:eastAsia="en-ZA"/>
        </w:rPr>
        <w:drawing>
          <wp:inline distT="0" distB="0" distL="0" distR="0">
            <wp:extent cx="4988379" cy="2658836"/>
            <wp:effectExtent l="19050" t="19050" r="22225" b="27305"/>
            <wp:docPr id="1226449960" name="Picture 1226449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8" t="1209" r="825" b="1477"/>
                    <a:stretch/>
                  </pic:blipFill>
                  <pic:spPr bwMode="auto">
                    <a:xfrm>
                      <a:off x="0" y="0"/>
                      <a:ext cx="4993626" cy="266163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800C3" w:rsidRDefault="28CA6F8C" w:rsidP="0067653D">
      <w:pPr>
        <w:pStyle w:val="FootnoteText"/>
      </w:pPr>
      <w:r w:rsidRPr="56FC4F6B">
        <w:t>Source: Commission calculations from National Treasury MTBPs data</w:t>
      </w:r>
    </w:p>
    <w:p w:rsidR="00DC5D44" w:rsidRPr="0067653D" w:rsidRDefault="00DC5D44" w:rsidP="00DC5D44">
      <w:pPr>
        <w:pStyle w:val="FootnoteText"/>
      </w:pPr>
    </w:p>
    <w:p w:rsidR="28CA6F8C" w:rsidRPr="00B148F1" w:rsidRDefault="00B148F1" w:rsidP="00E015F1">
      <w:pPr>
        <w:pStyle w:val="Caption"/>
      </w:pPr>
      <w:bookmarkStart w:id="46" w:name="_Toc87715522"/>
      <w:r w:rsidRPr="00B148F1">
        <w:t xml:space="preserve">Table </w:t>
      </w:r>
      <w:r w:rsidR="002B36AE">
        <w:fldChar w:fldCharType="begin"/>
      </w:r>
      <w:r w:rsidR="00DD51FB">
        <w:instrText xml:space="preserve"> SEQ Table \* ARABIC </w:instrText>
      </w:r>
      <w:r w:rsidR="002B36AE">
        <w:fldChar w:fldCharType="separate"/>
      </w:r>
      <w:r w:rsidRPr="00B148F1">
        <w:rPr>
          <w:noProof/>
        </w:rPr>
        <w:t>5</w:t>
      </w:r>
      <w:r w:rsidR="002B36AE">
        <w:rPr>
          <w:noProof/>
        </w:rPr>
        <w:fldChar w:fldCharType="end"/>
      </w:r>
      <w:r w:rsidR="28CA6F8C" w:rsidRPr="00B148F1">
        <w:t>: Division of Revenue Focusing on Local Government and Real Growth Rates</w:t>
      </w:r>
      <w:bookmarkEnd w:id="46"/>
    </w:p>
    <w:tbl>
      <w:tblPr>
        <w:tblStyle w:val="GridTable1Light-Accent31"/>
        <w:tblW w:w="9387" w:type="dxa"/>
        <w:tblLook w:val="04A0"/>
      </w:tblPr>
      <w:tblGrid>
        <w:gridCol w:w="1761"/>
        <w:gridCol w:w="911"/>
        <w:gridCol w:w="911"/>
        <w:gridCol w:w="911"/>
        <w:gridCol w:w="1136"/>
        <w:gridCol w:w="911"/>
        <w:gridCol w:w="911"/>
        <w:gridCol w:w="911"/>
        <w:gridCol w:w="1024"/>
      </w:tblGrid>
      <w:tr w:rsidR="00D23A47" w:rsidRPr="00D23A47" w:rsidTr="00D23A47">
        <w:trPr>
          <w:cnfStyle w:val="100000000000"/>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p>
        </w:tc>
        <w:tc>
          <w:tcPr>
            <w:tcW w:w="0" w:type="auto"/>
            <w:gridSpan w:val="3"/>
            <w:vAlign w:val="center"/>
            <w:hideMark/>
          </w:tcPr>
          <w:p w:rsidR="00D23A47" w:rsidRPr="00D23A47" w:rsidRDefault="00D23A47" w:rsidP="00D23A47">
            <w:pPr>
              <w:spacing w:after="0" w:line="240" w:lineRule="auto"/>
              <w:jc w:val="center"/>
              <w:cnfStyle w:val="1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Outcome</w:t>
            </w:r>
          </w:p>
        </w:tc>
        <w:tc>
          <w:tcPr>
            <w:tcW w:w="0" w:type="auto"/>
            <w:vAlign w:val="center"/>
            <w:hideMark/>
          </w:tcPr>
          <w:p w:rsidR="00D23A47" w:rsidRPr="00D23A47" w:rsidRDefault="00D23A47" w:rsidP="00D23A47">
            <w:pPr>
              <w:spacing w:after="0" w:line="240" w:lineRule="auto"/>
              <w:jc w:val="center"/>
              <w:cnfStyle w:val="1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Revised</w:t>
            </w:r>
          </w:p>
        </w:tc>
        <w:tc>
          <w:tcPr>
            <w:tcW w:w="0" w:type="auto"/>
            <w:gridSpan w:val="4"/>
            <w:vAlign w:val="center"/>
            <w:hideMark/>
          </w:tcPr>
          <w:p w:rsidR="00D23A47" w:rsidRPr="00D23A47" w:rsidRDefault="00D23A47" w:rsidP="00D23A47">
            <w:pPr>
              <w:spacing w:after="0" w:line="240" w:lineRule="auto"/>
              <w:jc w:val="center"/>
              <w:cnfStyle w:val="1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MTEF</w:t>
            </w:r>
          </w:p>
        </w:tc>
      </w:tr>
      <w:tr w:rsidR="00D23A47" w:rsidRPr="00D23A47" w:rsidTr="00D23A47">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R billion</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2018/19</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2019/20</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2020/21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2021/22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2022/23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2023/24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2024/25</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Total MTEF</w:t>
            </w:r>
          </w:p>
        </w:tc>
      </w:tr>
      <w:tr w:rsidR="00D23A47" w:rsidRPr="00D23A47" w:rsidTr="00D23A47">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Local government</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118.5</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123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137.1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137.6</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146.3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148.9</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155.4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450.6</w:t>
            </w:r>
          </w:p>
        </w:tc>
      </w:tr>
      <w:tr w:rsidR="00D23A47" w:rsidRPr="00D23A47" w:rsidTr="00D23A47">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Equitable share</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60.8</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65.6</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83.1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78</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83.1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83.6</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87.3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254</w:t>
            </w:r>
          </w:p>
        </w:tc>
      </w:tr>
      <w:tr w:rsidR="00D23A47" w:rsidRPr="00D23A47" w:rsidTr="00D23A47">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val="en-GB" w:eastAsia="zh-TW"/>
              </w:rPr>
              <w:t>General fuel levy</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12.5</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13.2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14.6</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15.3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15.4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16.1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46.9</w:t>
            </w:r>
          </w:p>
        </w:tc>
      </w:tr>
      <w:tr w:rsidR="00D23A47" w:rsidRPr="00D23A47" w:rsidTr="00D23A47">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Conditional grants</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45.3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44.2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40</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45</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47.9</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49.9</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51.9</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149.7</w:t>
            </w:r>
          </w:p>
        </w:tc>
      </w:tr>
      <w:tr w:rsidR="00D23A47" w:rsidRPr="00D23A47" w:rsidTr="00D23A47">
        <w:trPr>
          <w:trHeight w:val="905"/>
        </w:trPr>
        <w:tc>
          <w:tcPr>
            <w:cnfStyle w:val="001000000000"/>
            <w:tcW w:w="0" w:type="auto"/>
            <w:noWrap/>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Real Growth Rates</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2019/20</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2020/21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2021/22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Average 2019-2022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2022/23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2023/24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eastAsia="zh-TW"/>
              </w:rPr>
              <w:t>2024/25</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b/>
                <w:bCs/>
                <w:color w:val="000000"/>
                <w:sz w:val="20"/>
                <w:szCs w:val="20"/>
                <w:lang w:eastAsia="zh-TW"/>
              </w:rPr>
            </w:pPr>
            <w:r w:rsidRPr="00D23A47">
              <w:rPr>
                <w:rFonts w:ascii="Calibri" w:eastAsia="Times New Roman" w:hAnsi="Calibri" w:cs="Calibri"/>
                <w:b/>
                <w:bCs/>
                <w:color w:val="000000"/>
                <w:sz w:val="20"/>
                <w:szCs w:val="20"/>
                <w:lang w:val="en-GB" w:eastAsia="zh-TW"/>
              </w:rPr>
              <w:t>Average MTEF</w:t>
            </w:r>
          </w:p>
        </w:tc>
      </w:tr>
      <w:tr w:rsidR="00D23A47" w:rsidRPr="00D23A47" w:rsidTr="00903FDC">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Local government</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5.9%</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-3.3%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0.8%</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2.2%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-2.5%</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-0.1%</w:t>
            </w:r>
          </w:p>
        </w:tc>
        <w:tc>
          <w:tcPr>
            <w:tcW w:w="0" w:type="auto"/>
            <w:shd w:val="clear" w:color="auto" w:fill="C00000"/>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FFFFFF" w:themeColor="background1"/>
                <w:sz w:val="20"/>
                <w:szCs w:val="20"/>
                <w:lang w:eastAsia="zh-TW"/>
              </w:rPr>
            </w:pPr>
            <w:r w:rsidRPr="00D23A47">
              <w:rPr>
                <w:rFonts w:ascii="Calibri" w:eastAsia="Times New Roman" w:hAnsi="Calibri" w:cs="Calibri"/>
                <w:color w:val="FFFFFF" w:themeColor="background1"/>
                <w:sz w:val="20"/>
                <w:szCs w:val="20"/>
                <w:lang w:eastAsia="zh-TW"/>
              </w:rPr>
              <w:t>-0.1%</w:t>
            </w:r>
          </w:p>
        </w:tc>
      </w:tr>
      <w:tr w:rsidR="00D23A47" w:rsidRPr="00D23A47" w:rsidTr="00903FDC">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Equitable share</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3.8%</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20.3%</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-9.6%</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4.8%</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2.4%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-3.6%</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0.1%</w:t>
            </w:r>
          </w:p>
        </w:tc>
        <w:tc>
          <w:tcPr>
            <w:tcW w:w="0" w:type="auto"/>
            <w:shd w:val="clear" w:color="auto" w:fill="C00000"/>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FFFFFF" w:themeColor="background1"/>
                <w:sz w:val="20"/>
                <w:szCs w:val="20"/>
                <w:lang w:eastAsia="zh-TW"/>
              </w:rPr>
            </w:pPr>
            <w:r w:rsidRPr="00D23A47">
              <w:rPr>
                <w:rFonts w:ascii="Calibri" w:eastAsia="Times New Roman" w:hAnsi="Calibri" w:cs="Calibri"/>
                <w:color w:val="FFFFFF" w:themeColor="background1"/>
                <w:sz w:val="20"/>
                <w:szCs w:val="20"/>
                <w:lang w:eastAsia="zh-TW"/>
              </w:rPr>
              <w:t>-0.4%</w:t>
            </w:r>
          </w:p>
        </w:tc>
      </w:tr>
      <w:tr w:rsidR="00D23A47" w:rsidRPr="00D23A47" w:rsidTr="00903FDC">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val="en-GB" w:eastAsia="zh-TW"/>
              </w:rPr>
              <w:t>General fuel levy</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1.5%</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1.0%</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0.8%</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-3.6%</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0.1%</w:t>
            </w:r>
          </w:p>
        </w:tc>
        <w:tc>
          <w:tcPr>
            <w:tcW w:w="0" w:type="auto"/>
            <w:shd w:val="clear" w:color="auto" w:fill="C00000"/>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FFFFFF" w:themeColor="background1"/>
                <w:sz w:val="20"/>
                <w:szCs w:val="20"/>
                <w:lang w:eastAsia="zh-TW"/>
              </w:rPr>
            </w:pPr>
            <w:r w:rsidRPr="00D23A47">
              <w:rPr>
                <w:rFonts w:ascii="Calibri" w:eastAsia="Times New Roman" w:hAnsi="Calibri" w:cs="Calibri"/>
                <w:color w:val="FFFFFF" w:themeColor="background1"/>
                <w:sz w:val="20"/>
                <w:szCs w:val="20"/>
                <w:lang w:eastAsia="zh-TW"/>
              </w:rPr>
              <w:t>-0.9%</w:t>
            </w:r>
          </w:p>
        </w:tc>
      </w:tr>
      <w:tr w:rsidR="00D23A47" w:rsidRPr="00D23A47" w:rsidTr="00D23A47">
        <w:trPr>
          <w:trHeight w:val="310"/>
        </w:trPr>
        <w:tc>
          <w:tcPr>
            <w:cnfStyle w:val="001000000000"/>
            <w:tcW w:w="0" w:type="auto"/>
            <w:vAlign w:val="center"/>
            <w:hideMark/>
          </w:tcPr>
          <w:p w:rsidR="00D23A47" w:rsidRPr="00D23A47" w:rsidRDefault="00D23A47" w:rsidP="00D23A47">
            <w:pPr>
              <w:spacing w:after="0" w:line="240" w:lineRule="auto"/>
              <w:jc w:val="center"/>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Conditional grants</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-6.1%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-14.1%</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8.4%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-4.0%</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2.4%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-0.2%</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-0.4%</w:t>
            </w:r>
          </w:p>
        </w:tc>
        <w:tc>
          <w:tcPr>
            <w:tcW w:w="0" w:type="auto"/>
            <w:vAlign w:val="center"/>
            <w:hideMark/>
          </w:tcPr>
          <w:p w:rsidR="00D23A47" w:rsidRPr="00D23A47" w:rsidRDefault="00D23A47" w:rsidP="00D23A47">
            <w:pPr>
              <w:spacing w:after="0" w:line="240" w:lineRule="auto"/>
              <w:jc w:val="center"/>
              <w:cnfStyle w:val="000000000000"/>
              <w:rPr>
                <w:rFonts w:ascii="Calibri" w:eastAsia="Times New Roman" w:hAnsi="Calibri" w:cs="Calibri"/>
                <w:color w:val="000000"/>
                <w:sz w:val="20"/>
                <w:szCs w:val="20"/>
                <w:lang w:eastAsia="zh-TW"/>
              </w:rPr>
            </w:pPr>
            <w:r w:rsidRPr="00D23A47">
              <w:rPr>
                <w:rFonts w:ascii="Calibri" w:eastAsia="Times New Roman" w:hAnsi="Calibri" w:cs="Calibri"/>
                <w:color w:val="000000"/>
                <w:sz w:val="20"/>
                <w:szCs w:val="20"/>
                <w:lang w:eastAsia="zh-TW"/>
              </w:rPr>
              <w:t>0.6%</w:t>
            </w:r>
          </w:p>
        </w:tc>
      </w:tr>
    </w:tbl>
    <w:p w:rsidR="28CA6F8C" w:rsidRDefault="28CA6F8C" w:rsidP="00DC5D44">
      <w:pPr>
        <w:pStyle w:val="FootnoteText"/>
      </w:pPr>
      <w:r w:rsidRPr="686E7548">
        <w:t>Source: Commission calculations from National Treasury MTBPs data</w:t>
      </w:r>
    </w:p>
    <w:p w:rsidR="28CA6F8C" w:rsidRDefault="28CA6F8C" w:rsidP="00C66471">
      <w:pPr>
        <w:pStyle w:val="Heading2"/>
      </w:pPr>
      <w:bookmarkStart w:id="47" w:name="_Toc87715688"/>
      <w:r w:rsidRPr="56FC4F6B">
        <w:t xml:space="preserve">The </w:t>
      </w:r>
      <w:r w:rsidR="00D962A5">
        <w:t>local government equitable share</w:t>
      </w:r>
      <w:bookmarkEnd w:id="47"/>
      <w:r w:rsidR="00731623">
        <w:t xml:space="preserve"> and conditional grants</w:t>
      </w:r>
    </w:p>
    <w:p w:rsidR="686E7548" w:rsidRPr="00ED648F" w:rsidRDefault="7E3209B2" w:rsidP="00ED648F">
      <w:pPr>
        <w:pStyle w:val="ListParagraph"/>
      </w:pPr>
      <w:r>
        <w:t>The</w:t>
      </w:r>
      <w:r w:rsidRPr="686E7548">
        <w:t xml:space="preserve"> total LGES allocation is expected to increase from R78.0 billion in 2021/22 to R87.3 billion in 2024/25. On average</w:t>
      </w:r>
      <w:r w:rsidR="00C66471">
        <w:t>,</w:t>
      </w:r>
      <w:r w:rsidRPr="686E7548">
        <w:t xml:space="preserve"> the LGES will register a -0</w:t>
      </w:r>
      <w:r w:rsidR="00E304CF" w:rsidRPr="686E7548">
        <w:t>, 4</w:t>
      </w:r>
      <w:r w:rsidRPr="686E7548">
        <w:t>% growth over the 2021 MTEF</w:t>
      </w:r>
      <w:r w:rsidR="2AD495DF" w:rsidRPr="686E7548">
        <w:t xml:space="preserve"> (Figure 2)</w:t>
      </w:r>
      <w:r w:rsidRPr="686E7548">
        <w:t>. The Commission is concerned with this projected decrease in the LGES allocations. In a way</w:t>
      </w:r>
      <w:r w:rsidR="00C66471">
        <w:t>,</w:t>
      </w:r>
      <w:r w:rsidRPr="686E7548">
        <w:t xml:space="preserve"> such a trend will compromise the progressive realisation of basic rights of poor and vulnerable households who depend on transfers for services</w:t>
      </w:r>
      <w:r w:rsidR="00C66471">
        <w:t>.</w:t>
      </w:r>
      <w:r w:rsidRPr="686E7548">
        <w:t xml:space="preserve">  </w:t>
      </w:r>
    </w:p>
    <w:p w:rsidR="28CA6F8C" w:rsidRPr="000075BD" w:rsidRDefault="00B148F1" w:rsidP="000075BD">
      <w:pPr>
        <w:pStyle w:val="Caption"/>
      </w:pPr>
      <w:bookmarkStart w:id="48" w:name="_Toc87715511"/>
      <w:r w:rsidRPr="00B148F1">
        <w:t xml:space="preserve">Figure </w:t>
      </w:r>
      <w:r w:rsidR="002B36AE">
        <w:fldChar w:fldCharType="begin"/>
      </w:r>
      <w:r w:rsidR="00DD51FB">
        <w:instrText xml:space="preserve"> SEQ Figure \* ARABIC </w:instrText>
      </w:r>
      <w:r w:rsidR="002B36AE">
        <w:fldChar w:fldCharType="separate"/>
      </w:r>
      <w:r w:rsidR="00C1609A">
        <w:rPr>
          <w:noProof/>
        </w:rPr>
        <w:t>12</w:t>
      </w:r>
      <w:r w:rsidR="002B36AE">
        <w:rPr>
          <w:noProof/>
        </w:rPr>
        <w:fldChar w:fldCharType="end"/>
      </w:r>
      <w:r w:rsidRPr="00B148F1">
        <w:t xml:space="preserve">: </w:t>
      </w:r>
      <w:r w:rsidR="78BC6228" w:rsidRPr="00B148F1">
        <w:rPr>
          <w:rFonts w:eastAsia="Times New Roman"/>
        </w:rPr>
        <w:t>LES Real Growth Rates</w:t>
      </w:r>
      <w:bookmarkEnd w:id="48"/>
    </w:p>
    <w:p w:rsidR="56FC4F6B" w:rsidRDefault="008B7F03" w:rsidP="00F67794">
      <w:pPr>
        <w:spacing w:after="0"/>
      </w:pPr>
      <w:r w:rsidRPr="008B7F03">
        <w:rPr>
          <w:noProof/>
          <w:lang w:eastAsia="en-ZA"/>
        </w:rPr>
        <w:drawing>
          <wp:inline distT="0" distB="0" distL="0" distR="0">
            <wp:extent cx="4365171" cy="2307771"/>
            <wp:effectExtent l="0" t="0" r="16510" b="16510"/>
            <wp:docPr id="11"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631A4D0-19ED-482E-BAAF-F4F42A76D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75BD" w:rsidRDefault="28CA6F8C" w:rsidP="000075BD">
      <w:pPr>
        <w:pStyle w:val="FootnoteText"/>
      </w:pPr>
      <w:r w:rsidRPr="686E7548">
        <w:t>Source: Commission calculations from National Treasury MTBPs data</w:t>
      </w:r>
    </w:p>
    <w:p w:rsidR="00731623" w:rsidRDefault="00731623" w:rsidP="000075BD">
      <w:pPr>
        <w:pStyle w:val="FootnoteText"/>
      </w:pPr>
    </w:p>
    <w:p w:rsidR="00B148F1" w:rsidRPr="00922BBD" w:rsidRDefault="7E3209B2" w:rsidP="00E015F1">
      <w:pPr>
        <w:pStyle w:val="ListParagraph"/>
        <w:rPr>
          <w:lang w:val="en-US"/>
        </w:rPr>
      </w:pPr>
      <w:r w:rsidRPr="686E7548">
        <w:rPr>
          <w:lang w:val="en-US"/>
        </w:rPr>
        <w:t>A total of R149.8 billion is set to be transferred to municipalities in the form of conditional grants over the 2021 MTEF. In real terms are set to grow by 2.4% in the 2022/23 financial year, and in the two outer years (2023/24 and 2024/25)</w:t>
      </w:r>
      <w:r w:rsidR="00ED648F">
        <w:rPr>
          <w:lang w:val="en-US"/>
        </w:rPr>
        <w:t>,</w:t>
      </w:r>
      <w:r w:rsidRPr="686E7548">
        <w:rPr>
          <w:lang w:val="en-US"/>
        </w:rPr>
        <w:t xml:space="preserve"> transfers through this window are set to record negative growth rates of -0.2% and -0.4%, respectively (see Figure </w:t>
      </w:r>
      <w:r w:rsidR="443698BF" w:rsidRPr="686E7548">
        <w:rPr>
          <w:lang w:val="en-US"/>
        </w:rPr>
        <w:t>3</w:t>
      </w:r>
      <w:r w:rsidRPr="686E7548">
        <w:rPr>
          <w:lang w:val="en-US"/>
        </w:rPr>
        <w:t xml:space="preserve"> below). The FFC notes with concern this slow average growth (average 0.6%) over the 2021 MTEF. This will likely have detrimental effects </w:t>
      </w:r>
      <w:r w:rsidR="00922BBD">
        <w:rPr>
          <w:lang w:val="en-US"/>
        </w:rPr>
        <w:t>on service delivery and</w:t>
      </w:r>
      <w:r w:rsidR="11143440" w:rsidRPr="686E7548">
        <w:rPr>
          <w:lang w:val="en-US"/>
        </w:rPr>
        <w:t xml:space="preserve"> </w:t>
      </w:r>
      <w:r w:rsidRPr="686E7548">
        <w:rPr>
          <w:lang w:val="en-US"/>
        </w:rPr>
        <w:t>the recovery process in the sector. Ideally</w:t>
      </w:r>
      <w:r w:rsidR="77E3BAFF" w:rsidRPr="686E7548">
        <w:rPr>
          <w:lang w:val="en-US"/>
        </w:rPr>
        <w:t>,</w:t>
      </w:r>
      <w:r w:rsidRPr="686E7548">
        <w:rPr>
          <w:lang w:val="en-US"/>
        </w:rPr>
        <w:t xml:space="preserve"> conditional grants should exhibit upward growth over the 2021 MTEF in line with </w:t>
      </w:r>
      <w:r w:rsidR="169971FC" w:rsidRPr="686E7548">
        <w:rPr>
          <w:lang w:val="en-US"/>
        </w:rPr>
        <w:t xml:space="preserve">the </w:t>
      </w:r>
      <w:r w:rsidR="00A37245" w:rsidRPr="686E7548">
        <w:rPr>
          <w:lang w:val="en-US"/>
        </w:rPr>
        <w:t>government</w:t>
      </w:r>
      <w:r w:rsidR="00A37245">
        <w:rPr>
          <w:lang w:val="en-US"/>
        </w:rPr>
        <w:t>'</w:t>
      </w:r>
      <w:r w:rsidR="00A37245" w:rsidRPr="686E7548">
        <w:rPr>
          <w:lang w:val="en-US"/>
        </w:rPr>
        <w:t xml:space="preserve">s </w:t>
      </w:r>
      <w:r w:rsidRPr="686E7548">
        <w:rPr>
          <w:lang w:val="en-US"/>
        </w:rPr>
        <w:t>partly infrastructure driven economic recovery plan.</w:t>
      </w:r>
    </w:p>
    <w:p w:rsidR="28CA6F8C" w:rsidRPr="00EE5653" w:rsidRDefault="00B148F1" w:rsidP="00922BBD">
      <w:pPr>
        <w:pStyle w:val="Caption"/>
      </w:pPr>
      <w:bookmarkStart w:id="49" w:name="_Toc87715512"/>
      <w:r w:rsidRPr="00EE5653">
        <w:t xml:space="preserve">Figure </w:t>
      </w:r>
      <w:r w:rsidR="002B36AE">
        <w:fldChar w:fldCharType="begin"/>
      </w:r>
      <w:r w:rsidR="00DD51FB">
        <w:instrText xml:space="preserve"> SEQ Figure \* ARABIC </w:instrText>
      </w:r>
      <w:r w:rsidR="002B36AE">
        <w:fldChar w:fldCharType="separate"/>
      </w:r>
      <w:r w:rsidR="00C1609A">
        <w:rPr>
          <w:noProof/>
        </w:rPr>
        <w:t>13</w:t>
      </w:r>
      <w:r w:rsidR="002B36AE">
        <w:rPr>
          <w:noProof/>
        </w:rPr>
        <w:fldChar w:fldCharType="end"/>
      </w:r>
      <w:r w:rsidRPr="00EE5653">
        <w:t xml:space="preserve">: </w:t>
      </w:r>
      <w:r w:rsidR="78BC6228" w:rsidRPr="00EE5653">
        <w:rPr>
          <w:rFonts w:eastAsia="Times New Roman"/>
        </w:rPr>
        <w:t xml:space="preserve">Local government </w:t>
      </w:r>
      <w:r w:rsidR="78BC6228" w:rsidRPr="00922BBD">
        <w:t>conditional</w:t>
      </w:r>
      <w:r w:rsidR="78BC6228" w:rsidRPr="00EE5653">
        <w:rPr>
          <w:rFonts w:eastAsia="Times New Roman"/>
        </w:rPr>
        <w:t xml:space="preserve"> grants</w:t>
      </w:r>
      <w:bookmarkEnd w:id="49"/>
      <w:r w:rsidR="000F1807">
        <w:rPr>
          <w:rFonts w:eastAsia="Times New Roman"/>
        </w:rPr>
        <w:t xml:space="preserve"> – real growth rates</w:t>
      </w:r>
    </w:p>
    <w:p w:rsidR="56FC4F6B" w:rsidRDefault="009778BB" w:rsidP="00F67794">
      <w:pPr>
        <w:spacing w:after="0"/>
        <w:jc w:val="both"/>
      </w:pPr>
      <w:r w:rsidRPr="009778BB">
        <w:rPr>
          <w:noProof/>
          <w:lang w:eastAsia="en-ZA"/>
        </w:rPr>
        <w:drawing>
          <wp:inline distT="0" distB="0" distL="0" distR="0">
            <wp:extent cx="4659086" cy="2362200"/>
            <wp:effectExtent l="0" t="0" r="8255" b="0"/>
            <wp:docPr id="14" name="Chart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7F61088-E7D0-4724-A2DA-9874D61946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28CA6F8C" w:rsidRPr="00922BBD" w:rsidRDefault="28CA6F8C" w:rsidP="00922BBD">
      <w:pPr>
        <w:pStyle w:val="FootnoteText"/>
      </w:pPr>
      <w:r w:rsidRPr="56FC4F6B">
        <w:t>Source: Commission calculations from National Treasury MTBPs data</w:t>
      </w:r>
    </w:p>
    <w:p w:rsidR="009800C3" w:rsidRDefault="009800C3" w:rsidP="00FB3C43">
      <w:pPr>
        <w:pStyle w:val="FootnoteText"/>
      </w:pPr>
    </w:p>
    <w:p w:rsidR="00922BBD" w:rsidRPr="00922BBD" w:rsidRDefault="28CA6F8C" w:rsidP="00A6587B">
      <w:pPr>
        <w:pStyle w:val="ListParagraph"/>
        <w:rPr>
          <w:lang w:val="en-US"/>
        </w:rPr>
      </w:pPr>
      <w:r w:rsidRPr="686E7548">
        <w:rPr>
          <w:lang w:val="en-US"/>
        </w:rPr>
        <w:t xml:space="preserve">The FFC welcomes the additional allocation of R841 million to the direct component of the </w:t>
      </w:r>
      <w:r w:rsidR="00E304CF" w:rsidRPr="003F7BB5">
        <w:t>neighbo</w:t>
      </w:r>
      <w:r w:rsidR="00922BBD" w:rsidRPr="003F7BB5">
        <w:t>u</w:t>
      </w:r>
      <w:r w:rsidR="00E304CF" w:rsidRPr="003F7BB5">
        <w:t>rhood</w:t>
      </w:r>
      <w:r w:rsidRPr="686E7548">
        <w:rPr>
          <w:lang w:val="en-US"/>
        </w:rPr>
        <w:t xml:space="preserve"> development partnership grant (NDPG)</w:t>
      </w:r>
      <w:r w:rsidRPr="686E7548">
        <w:t xml:space="preserve"> allocated for the Presidential Youth Employment Initiative to create jobs given the high levels of unemployment in the country</w:t>
      </w:r>
      <w:r w:rsidR="00922BBD">
        <w:t>,</w:t>
      </w:r>
      <w:r w:rsidRPr="686E7548">
        <w:t xml:space="preserve"> especially for the youth. However, the Commission would recommend some consolidation of grants meant to support labour</w:t>
      </w:r>
      <w:r w:rsidR="00922BBD">
        <w:t>-intensive delivery of</w:t>
      </w:r>
      <w:r w:rsidRPr="686E7548">
        <w:t xml:space="preserve"> infrastructure services to municipalities.</w:t>
      </w:r>
      <w:r w:rsidRPr="686E7548">
        <w:rPr>
          <w:sz w:val="32"/>
          <w:szCs w:val="32"/>
        </w:rPr>
        <w:t xml:space="preserve"> </w:t>
      </w:r>
    </w:p>
    <w:p w:rsidR="28CA6F8C" w:rsidRPr="00AA5C41" w:rsidRDefault="28CA6F8C" w:rsidP="00A6587B">
      <w:pPr>
        <w:pStyle w:val="ListParagraph"/>
        <w:rPr>
          <w:lang w:val="en-US"/>
        </w:rPr>
      </w:pPr>
      <w:r w:rsidRPr="686E7548">
        <w:rPr>
          <w:lang w:val="en-US"/>
        </w:rPr>
        <w:t>The Commission notes the in-year conversion of a component of the MIG to an indirect grant in municipalities identified as in crisis. Although the targeted municipalities are in crisis, in principle</w:t>
      </w:r>
      <w:r w:rsidR="00922BBD">
        <w:rPr>
          <w:lang w:val="en-US"/>
        </w:rPr>
        <w:t>,</w:t>
      </w:r>
      <w:r w:rsidRPr="686E7548">
        <w:rPr>
          <w:lang w:val="en-US"/>
        </w:rPr>
        <w:t xml:space="preserve"> t</w:t>
      </w:r>
      <w:r w:rsidRPr="686E7548">
        <w:t xml:space="preserve">he FFC would like to caution </w:t>
      </w:r>
      <w:r w:rsidR="00922BBD">
        <w:t xml:space="preserve">the </w:t>
      </w:r>
      <w:r w:rsidRPr="686E7548">
        <w:t xml:space="preserve">government against converting direct to indirect grants as it assumes government departments would perform better.  The </w:t>
      </w:r>
      <w:r w:rsidR="00A37245" w:rsidRPr="686E7548">
        <w:t>Commission</w:t>
      </w:r>
      <w:r w:rsidR="00A37245">
        <w:t>'</w:t>
      </w:r>
      <w:r w:rsidR="00A37245" w:rsidRPr="686E7548">
        <w:t xml:space="preserve">s </w:t>
      </w:r>
      <w:r w:rsidRPr="686E7548">
        <w:t xml:space="preserve">previous submissions have shown that </w:t>
      </w:r>
      <w:r w:rsidRPr="686E7548">
        <w:rPr>
          <w:lang w:val="en-US"/>
        </w:rPr>
        <w:t xml:space="preserve">indirect grants do not necessarily perform better than direct grants. On the contrary, the Commission found out that direct grants perform better than indirect grants. The FFC highlighted the need to have principles in place to guide the reclassification of grants from direct to indirect (and vice versa). FFC also underscores the need for building </w:t>
      </w:r>
      <w:r w:rsidR="00922BBD">
        <w:rPr>
          <w:lang w:val="en-US"/>
        </w:rPr>
        <w:t>municipalities' capacity so that they can</w:t>
      </w:r>
      <w:r w:rsidRPr="686E7548">
        <w:rPr>
          <w:lang w:val="en-US"/>
        </w:rPr>
        <w:t xml:space="preserve"> utilise direct grants and that the use of indirect grants should be a matter of last resort.</w:t>
      </w:r>
    </w:p>
    <w:p w:rsidR="00987217" w:rsidRPr="00987217" w:rsidRDefault="7E3209B2" w:rsidP="00A6587B">
      <w:pPr>
        <w:pStyle w:val="ListParagraph"/>
      </w:pPr>
      <w:r w:rsidRPr="686E7548">
        <w:t xml:space="preserve">Municipalities are still dealing with the uncertainties emerging from the </w:t>
      </w:r>
      <w:r w:rsidR="00B161D4">
        <w:t>COVID</w:t>
      </w:r>
      <w:r w:rsidRPr="686E7548">
        <w:t xml:space="preserve">-19 crisis. The impact of the </w:t>
      </w:r>
      <w:r w:rsidR="00B161D4">
        <w:t>COVID</w:t>
      </w:r>
      <w:r w:rsidRPr="686E7548">
        <w:t xml:space="preserve">-19 pandemic on the sector has been devastating. The pandemic exposed numerous deficiencies in the local government space. Many municipalities are in distress and face </w:t>
      </w:r>
      <w:r w:rsidR="00922BBD">
        <w:t>substantial</w:t>
      </w:r>
      <w:r w:rsidRPr="686E7548">
        <w:t xml:space="preserve"> debt burdens. The Commission encourages municipalities to challenge the traditional way of doing things and focus on maximising efficiencies and pursuing policies that leave no one behind. </w:t>
      </w:r>
      <w:r w:rsidRPr="686E7548">
        <w:rPr>
          <w:color w:val="000000" w:themeColor="text1"/>
        </w:rPr>
        <w:t xml:space="preserve">The Commission is concerned with the projected decrease in the real growth rate of the LGES allocations. This will </w:t>
      </w:r>
      <w:r w:rsidR="00922BBD">
        <w:rPr>
          <w:color w:val="000000" w:themeColor="text1"/>
        </w:rPr>
        <w:t>have a negative impact on service delivery and</w:t>
      </w:r>
      <w:r w:rsidRPr="686E7548">
        <w:rPr>
          <w:color w:val="000000" w:themeColor="text1"/>
        </w:rPr>
        <w:t xml:space="preserve"> compromise the progressive realisation of basic rights of poor and vulnerable households who </w:t>
      </w:r>
      <w:r w:rsidR="2BB5557A" w:rsidRPr="686E7548">
        <w:rPr>
          <w:color w:val="000000" w:themeColor="text1"/>
        </w:rPr>
        <w:t>count on</w:t>
      </w:r>
      <w:r w:rsidRPr="686E7548">
        <w:rPr>
          <w:color w:val="000000" w:themeColor="text1"/>
        </w:rPr>
        <w:t xml:space="preserve"> transfers for their basic needs. The lacklustre growth in conditional grants will also compromise </w:t>
      </w:r>
      <w:r w:rsidR="533D5706" w:rsidRPr="686E7548">
        <w:rPr>
          <w:color w:val="000000" w:themeColor="text1"/>
        </w:rPr>
        <w:t xml:space="preserve">the </w:t>
      </w:r>
      <w:r w:rsidR="00A37245" w:rsidRPr="686E7548">
        <w:rPr>
          <w:color w:val="000000" w:themeColor="text1"/>
        </w:rPr>
        <w:t>government</w:t>
      </w:r>
      <w:r w:rsidR="00A37245">
        <w:rPr>
          <w:color w:val="000000" w:themeColor="text1"/>
        </w:rPr>
        <w:t>'</w:t>
      </w:r>
      <w:r w:rsidR="00A37245" w:rsidRPr="686E7548">
        <w:rPr>
          <w:color w:val="000000" w:themeColor="text1"/>
        </w:rPr>
        <w:t xml:space="preserve">s </w:t>
      </w:r>
      <w:r w:rsidRPr="686E7548">
        <w:rPr>
          <w:color w:val="000000" w:themeColor="text1"/>
        </w:rPr>
        <w:t>infrastructure</w:t>
      </w:r>
      <w:r w:rsidR="44A19700" w:rsidRPr="686E7548">
        <w:rPr>
          <w:color w:val="000000" w:themeColor="text1"/>
        </w:rPr>
        <w:t>-</w:t>
      </w:r>
      <w:r w:rsidRPr="686E7548">
        <w:rPr>
          <w:color w:val="000000" w:themeColor="text1"/>
        </w:rPr>
        <w:t xml:space="preserve">led recovery process. </w:t>
      </w:r>
    </w:p>
    <w:p w:rsidR="00987217" w:rsidRPr="00987217" w:rsidRDefault="55C7188A" w:rsidP="42F93316">
      <w:pPr>
        <w:pStyle w:val="Heading2"/>
      </w:pPr>
      <w:bookmarkStart w:id="50" w:name="_Toc87715690"/>
      <w:r>
        <w:t>Recommendations</w:t>
      </w:r>
      <w:bookmarkEnd w:id="50"/>
      <w:r w:rsidRPr="42F93316">
        <w:rPr>
          <w:rFonts w:eastAsia="Times New Roman"/>
          <w:b w:val="0"/>
          <w:bCs w:val="0"/>
          <w:color w:val="000000" w:themeColor="text1"/>
        </w:rPr>
        <w:t xml:space="preserve"> </w:t>
      </w:r>
    </w:p>
    <w:p w:rsidR="00987217" w:rsidRPr="00987217" w:rsidRDefault="7E5DB9FC" w:rsidP="00A44E35">
      <w:pPr>
        <w:pStyle w:val="Recommendations"/>
      </w:pPr>
      <w:r w:rsidRPr="11051E61">
        <w:t xml:space="preserve">The Commission implores coalition councils to shun </w:t>
      </w:r>
      <w:r w:rsidR="13179DFD" w:rsidRPr="11051E61">
        <w:t>adversarial</w:t>
      </w:r>
      <w:r w:rsidR="4B109FFE" w:rsidRPr="11051E61">
        <w:t xml:space="preserve"> politics</w:t>
      </w:r>
      <w:r w:rsidRPr="11051E61">
        <w:t xml:space="preserve"> and place people at the centre of their decisions. </w:t>
      </w:r>
    </w:p>
    <w:p w:rsidR="00987217" w:rsidRPr="00987217" w:rsidRDefault="55C7188A" w:rsidP="00A44E35">
      <w:pPr>
        <w:pStyle w:val="Recommendations"/>
      </w:pPr>
      <w:r w:rsidRPr="6895B2B1">
        <w:t>The</w:t>
      </w:r>
      <w:r w:rsidRPr="42F93316">
        <w:t xml:space="preserve"> government </w:t>
      </w:r>
      <w:r w:rsidRPr="6895B2B1">
        <w:t>should</w:t>
      </w:r>
      <w:r w:rsidRPr="42F93316">
        <w:t xml:space="preserve"> set in motion programmes and resources to capacitate new councillors.</w:t>
      </w:r>
      <w:r w:rsidR="28CA6F8C" w:rsidRPr="42F93316">
        <w:t xml:space="preserve"> </w:t>
      </w:r>
    </w:p>
    <w:p w:rsidR="2A0FFC6B" w:rsidRDefault="2A0FFC6B" w:rsidP="00A44E35">
      <w:pPr>
        <w:pStyle w:val="Recommendations"/>
      </w:pPr>
      <w:r w:rsidRPr="6312469A">
        <w:t xml:space="preserve">The Commission </w:t>
      </w:r>
      <w:r w:rsidRPr="1F0DEC98">
        <w:t xml:space="preserve">recommends </w:t>
      </w:r>
      <w:r w:rsidR="4E817424" w:rsidRPr="53E010BB">
        <w:t xml:space="preserve">the </w:t>
      </w:r>
      <w:r w:rsidRPr="1F0DEC98">
        <w:t xml:space="preserve">government </w:t>
      </w:r>
      <w:r w:rsidR="626C643B" w:rsidRPr="53E010BB">
        <w:t>protect</w:t>
      </w:r>
      <w:r w:rsidR="2548113E" w:rsidRPr="304C7935">
        <w:t xml:space="preserve"> the LES</w:t>
      </w:r>
      <w:r w:rsidR="2548113E" w:rsidRPr="46505529">
        <w:t xml:space="preserve"> as its </w:t>
      </w:r>
      <w:r w:rsidR="2548113E" w:rsidRPr="53E010BB">
        <w:t>contin</w:t>
      </w:r>
      <w:r w:rsidR="7DD8B040" w:rsidRPr="53E010BB">
        <w:t>u</w:t>
      </w:r>
      <w:r w:rsidR="2548113E" w:rsidRPr="53E010BB">
        <w:t>ous</w:t>
      </w:r>
      <w:r w:rsidR="2548113E" w:rsidRPr="46505529">
        <w:t xml:space="preserve"> decline will compromise gains </w:t>
      </w:r>
      <w:r w:rsidR="2548113E" w:rsidRPr="53E010BB">
        <w:t>achieve</w:t>
      </w:r>
      <w:r w:rsidR="5A798107" w:rsidRPr="53E010BB">
        <w:t>d in the progressive realisation of basic rights.</w:t>
      </w:r>
      <w:r w:rsidR="2548113E" w:rsidRPr="46505529">
        <w:t xml:space="preserve"> </w:t>
      </w:r>
    </w:p>
    <w:p w:rsidR="008C6A70" w:rsidRDefault="0A7634D5" w:rsidP="008C6A70">
      <w:pPr>
        <w:pStyle w:val="Heading1"/>
      </w:pPr>
      <w:bookmarkStart w:id="51" w:name="_Toc87715691"/>
      <w:r>
        <w:t>Fiscal Risk Statement</w:t>
      </w:r>
      <w:bookmarkEnd w:id="51"/>
    </w:p>
    <w:p w:rsidR="00AC719A" w:rsidRPr="00AC719A" w:rsidRDefault="00AC719A" w:rsidP="00FB3C43">
      <w:pPr>
        <w:pStyle w:val="Heading2"/>
      </w:pPr>
      <w:bookmarkStart w:id="52" w:name="_Toc87715692"/>
      <w:r w:rsidRPr="00AC719A">
        <w:t>Debt management risks</w:t>
      </w:r>
      <w:bookmarkEnd w:id="52"/>
    </w:p>
    <w:p w:rsidR="00AC719A" w:rsidRPr="00AC719A" w:rsidRDefault="75B96F56" w:rsidP="00A6587B">
      <w:pPr>
        <w:pStyle w:val="ListParagraph"/>
      </w:pPr>
      <w:r w:rsidRPr="686E7548">
        <w:t>A mixture of lacklustre GDP growth paralleling elevated and growing public debt</w:t>
      </w:r>
      <w:r w:rsidR="00223AB5">
        <w:t>, as well as surging debt-service costs,</w:t>
      </w:r>
      <w:r w:rsidRPr="686E7548">
        <w:t xml:space="preserve"> is presenting a significant risk to the sustainability of public finances. South Africa has been experiencing swelling government debt for more than a decade. The 2021 Medium Term Budget Policy Statement (MTBPS) is projecting that government debt will stabilise at </w:t>
      </w:r>
      <w:r w:rsidR="36705348" w:rsidRPr="686E7548">
        <w:t>78.1</w:t>
      </w:r>
      <w:r w:rsidRPr="686E7548">
        <w:t xml:space="preserve"> per</w:t>
      </w:r>
      <w:r w:rsidR="00223AB5">
        <w:t xml:space="preserve"> </w:t>
      </w:r>
      <w:r w:rsidRPr="686E7548">
        <w:t xml:space="preserve">cent of GDP in </w:t>
      </w:r>
      <w:r w:rsidR="1A3D1371" w:rsidRPr="686E7548">
        <w:t>2025/26</w:t>
      </w:r>
      <w:r w:rsidRPr="686E7548">
        <w:t xml:space="preserve">, </w:t>
      </w:r>
      <w:r w:rsidR="0F61289C" w:rsidRPr="686E7548">
        <w:t>compared</w:t>
      </w:r>
      <w:r w:rsidRPr="686E7548">
        <w:t xml:space="preserve"> with the 95</w:t>
      </w:r>
      <w:r w:rsidR="0D2B5F0F" w:rsidRPr="686E7548">
        <w:t>.3</w:t>
      </w:r>
      <w:r w:rsidRPr="686E7548">
        <w:t xml:space="preserve"> per</w:t>
      </w:r>
      <w:r w:rsidR="00223AB5">
        <w:t xml:space="preserve"> </w:t>
      </w:r>
      <w:r w:rsidRPr="686E7548">
        <w:t xml:space="preserve">cent of GDP target forecasted </w:t>
      </w:r>
      <w:r w:rsidR="00223AB5">
        <w:t xml:space="preserve">in </w:t>
      </w:r>
      <w:r w:rsidRPr="686E7548">
        <w:t>2020 MTBPS</w:t>
      </w:r>
      <w:r w:rsidR="1F3A78A4" w:rsidRPr="686E7548">
        <w:t>.</w:t>
      </w:r>
      <w:r w:rsidRPr="686E7548">
        <w:t xml:space="preserve"> This is partly because of the short-term relief offered by the improved 2020/21 revenue collections as well as the benchmarking and rebasing of South </w:t>
      </w:r>
      <w:r w:rsidR="00A37245" w:rsidRPr="686E7548">
        <w:t>Africa</w:t>
      </w:r>
      <w:r w:rsidR="00A37245">
        <w:t>'</w:t>
      </w:r>
      <w:r w:rsidR="00A37245" w:rsidRPr="686E7548">
        <w:t xml:space="preserve">s </w:t>
      </w:r>
      <w:r w:rsidRPr="686E7548">
        <w:t xml:space="preserve">national accounts by Statistics South Africa (Stats SA) and the South African Reserve Bank (SARB). Consequently, the gross loan debt as a ratio of GDP </w:t>
      </w:r>
      <w:r w:rsidR="5AAC3238" w:rsidRPr="686E7548">
        <w:t>at</w:t>
      </w:r>
      <w:r w:rsidRPr="686E7548">
        <w:t xml:space="preserve"> </w:t>
      </w:r>
      <w:r w:rsidR="0E99C23E" w:rsidRPr="686E7548">
        <w:t xml:space="preserve">69.9 </w:t>
      </w:r>
      <w:r w:rsidRPr="686E7548">
        <w:t>per</w:t>
      </w:r>
      <w:r w:rsidR="00223AB5">
        <w:t xml:space="preserve"> </w:t>
      </w:r>
      <w:r w:rsidRPr="686E7548">
        <w:t xml:space="preserve">cent is below the </w:t>
      </w:r>
      <w:r w:rsidR="10A6C7B2" w:rsidRPr="686E7548">
        <w:t>initially</w:t>
      </w:r>
      <w:r w:rsidRPr="686E7548">
        <w:t xml:space="preserve"> budgeted target of 81.9 per</w:t>
      </w:r>
      <w:r w:rsidR="00223AB5">
        <w:t xml:space="preserve"> </w:t>
      </w:r>
      <w:r w:rsidRPr="686E7548">
        <w:t xml:space="preserve">cent for 2021/22. </w:t>
      </w:r>
    </w:p>
    <w:p w:rsidR="00AC719A" w:rsidRPr="00AC719A" w:rsidRDefault="026A4CF2" w:rsidP="70D05C7F">
      <w:pPr>
        <w:numPr>
          <w:ilvl w:val="1"/>
          <w:numId w:val="1"/>
        </w:numPr>
        <w:spacing w:after="120"/>
        <w:ind w:left="612"/>
        <w:jc w:val="both"/>
        <w:rPr>
          <w:sz w:val="24"/>
          <w:szCs w:val="24"/>
        </w:rPr>
      </w:pPr>
      <w:r w:rsidRPr="686E7548">
        <w:rPr>
          <w:sz w:val="24"/>
          <w:szCs w:val="24"/>
        </w:rPr>
        <w:t>The increasing level of public debt is resulting in debt-service costs accounting for a growing share of expenditure. Consequently, debt-service costs were the fastest</w:t>
      </w:r>
      <w:r w:rsidR="0ACDCA25" w:rsidRPr="686E7548">
        <w:rPr>
          <w:sz w:val="24"/>
          <w:szCs w:val="24"/>
        </w:rPr>
        <w:t>-</w:t>
      </w:r>
      <w:r w:rsidRPr="686E7548">
        <w:rPr>
          <w:sz w:val="24"/>
          <w:szCs w:val="24"/>
        </w:rPr>
        <w:t>growing item in the 2021 Budget. Th</w:t>
      </w:r>
      <w:r w:rsidR="07BECA58" w:rsidRPr="686E7548">
        <w:rPr>
          <w:sz w:val="24"/>
          <w:szCs w:val="24"/>
        </w:rPr>
        <w:t xml:space="preserve">e 2021 MTBPS states </w:t>
      </w:r>
      <w:r w:rsidR="0EB07FB0" w:rsidRPr="686E7548">
        <w:rPr>
          <w:sz w:val="24"/>
          <w:szCs w:val="24"/>
        </w:rPr>
        <w:t>the debt-service costs will increase by an average of 10.8 per</w:t>
      </w:r>
      <w:r w:rsidR="00606520">
        <w:rPr>
          <w:sz w:val="24"/>
          <w:szCs w:val="24"/>
        </w:rPr>
        <w:t xml:space="preserve"> </w:t>
      </w:r>
      <w:r w:rsidR="0EB07FB0" w:rsidRPr="686E7548">
        <w:rPr>
          <w:sz w:val="24"/>
          <w:szCs w:val="24"/>
        </w:rPr>
        <w:t>cent o</w:t>
      </w:r>
      <w:r w:rsidR="15435B87" w:rsidRPr="686E7548">
        <w:rPr>
          <w:sz w:val="24"/>
          <w:szCs w:val="24"/>
        </w:rPr>
        <w:t>ver the MTEF period.</w:t>
      </w:r>
      <w:r w:rsidR="07BECA58" w:rsidRPr="686E7548">
        <w:rPr>
          <w:sz w:val="24"/>
          <w:szCs w:val="24"/>
        </w:rPr>
        <w:t xml:space="preserve"> </w:t>
      </w:r>
      <w:r w:rsidR="6E12A80B" w:rsidRPr="686E7548">
        <w:rPr>
          <w:sz w:val="24"/>
          <w:szCs w:val="24"/>
        </w:rPr>
        <w:t>As a share of the main budget expenditure, debt-service costs will increase from 14</w:t>
      </w:r>
      <w:r w:rsidR="0E535CBA" w:rsidRPr="686E7548">
        <w:rPr>
          <w:sz w:val="24"/>
          <w:szCs w:val="24"/>
        </w:rPr>
        <w:t>.2 per</w:t>
      </w:r>
      <w:r w:rsidR="00606520">
        <w:rPr>
          <w:sz w:val="24"/>
          <w:szCs w:val="24"/>
        </w:rPr>
        <w:t xml:space="preserve"> </w:t>
      </w:r>
      <w:r w:rsidR="0E535CBA" w:rsidRPr="686E7548">
        <w:rPr>
          <w:sz w:val="24"/>
          <w:szCs w:val="24"/>
        </w:rPr>
        <w:t>cent in 2021/22 to 17.9 per</w:t>
      </w:r>
      <w:r w:rsidR="00606520">
        <w:rPr>
          <w:sz w:val="24"/>
          <w:szCs w:val="24"/>
        </w:rPr>
        <w:t xml:space="preserve"> </w:t>
      </w:r>
      <w:r w:rsidR="0E535CBA" w:rsidRPr="686E7548">
        <w:rPr>
          <w:sz w:val="24"/>
          <w:szCs w:val="24"/>
        </w:rPr>
        <w:t>cent in 2024/25.</w:t>
      </w:r>
      <w:r w:rsidR="07BECA58" w:rsidRPr="686E7548">
        <w:rPr>
          <w:sz w:val="24"/>
          <w:szCs w:val="24"/>
        </w:rPr>
        <w:t xml:space="preserve"> </w:t>
      </w:r>
      <w:r w:rsidR="76693793" w:rsidRPr="686E7548">
        <w:rPr>
          <w:sz w:val="24"/>
          <w:szCs w:val="24"/>
        </w:rPr>
        <w:t>Th</w:t>
      </w:r>
      <w:r w:rsidR="75B96F56" w:rsidRPr="686E7548">
        <w:rPr>
          <w:sz w:val="24"/>
          <w:szCs w:val="24"/>
        </w:rPr>
        <w:t xml:space="preserve">is is resulting in fewer resources available for funding other government priorities. Most importantly, the increase in real interest rates on long-term government bonds means there is a real possibility of </w:t>
      </w:r>
      <w:r w:rsidR="7E86643A" w:rsidRPr="686E7548">
        <w:rPr>
          <w:sz w:val="24"/>
          <w:szCs w:val="24"/>
        </w:rPr>
        <w:t>further</w:t>
      </w:r>
      <w:r w:rsidR="75B96F56" w:rsidRPr="686E7548">
        <w:rPr>
          <w:sz w:val="24"/>
          <w:szCs w:val="24"/>
        </w:rPr>
        <w:t xml:space="preserve"> </w:t>
      </w:r>
      <w:r w:rsidR="0A1365C1" w:rsidRPr="686E7548">
        <w:rPr>
          <w:sz w:val="24"/>
          <w:szCs w:val="24"/>
        </w:rPr>
        <w:t xml:space="preserve">debt-cost </w:t>
      </w:r>
      <w:r w:rsidR="75B96F56" w:rsidRPr="686E7548">
        <w:rPr>
          <w:sz w:val="24"/>
          <w:szCs w:val="24"/>
        </w:rPr>
        <w:t xml:space="preserve">rising as the </w:t>
      </w:r>
      <w:r w:rsidR="00606520">
        <w:rPr>
          <w:sz w:val="24"/>
          <w:szCs w:val="24"/>
        </w:rPr>
        <w:t>debt stock</w:t>
      </w:r>
      <w:r w:rsidR="75B96F56" w:rsidRPr="686E7548">
        <w:rPr>
          <w:sz w:val="24"/>
          <w:szCs w:val="24"/>
        </w:rPr>
        <w:t xml:space="preserve"> is refinanced. </w:t>
      </w:r>
    </w:p>
    <w:p w:rsidR="00AC719A" w:rsidRDefault="75B96F56" w:rsidP="00AC719A">
      <w:pPr>
        <w:numPr>
          <w:ilvl w:val="1"/>
          <w:numId w:val="1"/>
        </w:numPr>
        <w:spacing w:after="120"/>
        <w:ind w:left="612"/>
        <w:jc w:val="both"/>
        <w:rPr>
          <w:sz w:val="24"/>
          <w:szCs w:val="24"/>
        </w:rPr>
      </w:pPr>
      <w:r w:rsidRPr="686E7548">
        <w:rPr>
          <w:sz w:val="24"/>
          <w:szCs w:val="24"/>
        </w:rPr>
        <w:t xml:space="preserve">The progression of the public debt-to-GDP ratio is fundamentally a function of the primary balance, which is essentially the interest rate that government pays on its debt </w:t>
      </w:r>
      <w:r w:rsidR="4C3F0ECE" w:rsidRPr="686E7548">
        <w:rPr>
          <w:sz w:val="24"/>
          <w:szCs w:val="24"/>
        </w:rPr>
        <w:t>in relation to</w:t>
      </w:r>
      <w:r w:rsidRPr="686E7548">
        <w:rPr>
          <w:sz w:val="24"/>
          <w:szCs w:val="24"/>
        </w:rPr>
        <w:t xml:space="preserve"> the GDP growth rate. </w:t>
      </w:r>
      <w:r w:rsidR="770C0396" w:rsidRPr="686E7548">
        <w:rPr>
          <w:sz w:val="24"/>
          <w:szCs w:val="24"/>
        </w:rPr>
        <w:t xml:space="preserve">In the past decade, </w:t>
      </w:r>
      <w:r w:rsidR="32F581E3" w:rsidRPr="686E7548">
        <w:rPr>
          <w:sz w:val="24"/>
          <w:szCs w:val="24"/>
        </w:rPr>
        <w:t>the</w:t>
      </w:r>
      <w:r w:rsidR="770C0396" w:rsidRPr="686E7548">
        <w:rPr>
          <w:sz w:val="24"/>
          <w:szCs w:val="24"/>
        </w:rPr>
        <w:t xml:space="preserve"> go</w:t>
      </w:r>
      <w:r w:rsidRPr="686E7548">
        <w:rPr>
          <w:sz w:val="24"/>
          <w:szCs w:val="24"/>
        </w:rPr>
        <w:t>vernment has</w:t>
      </w:r>
      <w:r w:rsidR="0E6FF033" w:rsidRPr="686E7548">
        <w:rPr>
          <w:sz w:val="24"/>
          <w:szCs w:val="24"/>
        </w:rPr>
        <w:t xml:space="preserve"> consta</w:t>
      </w:r>
      <w:r w:rsidRPr="686E7548">
        <w:rPr>
          <w:sz w:val="24"/>
          <w:szCs w:val="24"/>
        </w:rPr>
        <w:t>ntly posted a primary</w:t>
      </w:r>
      <w:r w:rsidR="4ACD95F2" w:rsidRPr="686E7548">
        <w:rPr>
          <w:sz w:val="24"/>
          <w:szCs w:val="24"/>
        </w:rPr>
        <w:t xml:space="preserve"> </w:t>
      </w:r>
      <w:r w:rsidR="1FE38771" w:rsidRPr="686E7548">
        <w:rPr>
          <w:sz w:val="24"/>
          <w:szCs w:val="24"/>
        </w:rPr>
        <w:t>balance</w:t>
      </w:r>
      <w:r w:rsidRPr="686E7548">
        <w:rPr>
          <w:sz w:val="24"/>
          <w:szCs w:val="24"/>
        </w:rPr>
        <w:t xml:space="preserve"> deficit while the GDP growth has also been sluggish</w:t>
      </w:r>
      <w:r w:rsidR="7504F7AF" w:rsidRPr="686E7548">
        <w:rPr>
          <w:sz w:val="24"/>
          <w:szCs w:val="24"/>
        </w:rPr>
        <w:t>,</w:t>
      </w:r>
      <w:r w:rsidRPr="686E7548">
        <w:rPr>
          <w:sz w:val="24"/>
          <w:szCs w:val="24"/>
        </w:rPr>
        <w:t xml:space="preserve"> as shown in Figure </w:t>
      </w:r>
      <w:r w:rsidR="00EE5653">
        <w:rPr>
          <w:sz w:val="24"/>
          <w:szCs w:val="24"/>
        </w:rPr>
        <w:t>14</w:t>
      </w:r>
      <w:r w:rsidRPr="686E7548">
        <w:rPr>
          <w:sz w:val="24"/>
          <w:szCs w:val="24"/>
        </w:rPr>
        <w:t xml:space="preserve"> below. The </w:t>
      </w:r>
      <w:r w:rsidR="00B161D4">
        <w:rPr>
          <w:sz w:val="24"/>
          <w:szCs w:val="24"/>
        </w:rPr>
        <w:t>COVID</w:t>
      </w:r>
      <w:r w:rsidRPr="686E7548">
        <w:rPr>
          <w:sz w:val="24"/>
          <w:szCs w:val="24"/>
        </w:rPr>
        <w:t>-19 pandemic shock severely impacted economic growth</w:t>
      </w:r>
      <w:r w:rsidR="00606520">
        <w:rPr>
          <w:sz w:val="24"/>
          <w:szCs w:val="24"/>
        </w:rPr>
        <w:t>,</w:t>
      </w:r>
      <w:r w:rsidRPr="686E7548">
        <w:rPr>
          <w:sz w:val="24"/>
          <w:szCs w:val="24"/>
        </w:rPr>
        <w:t xml:space="preserve"> and therefore tax revenues exacerbated the primary deficit and interest rate differential. This means that the stabilisation of government debt will require an uninterrupted period in which the primary budget must be surplus</w:t>
      </w:r>
      <w:r w:rsidR="0031238A">
        <w:rPr>
          <w:sz w:val="24"/>
          <w:szCs w:val="24"/>
        </w:rPr>
        <w:t>,</w:t>
      </w:r>
      <w:r w:rsidR="3CB42538" w:rsidRPr="686E7548">
        <w:rPr>
          <w:sz w:val="24"/>
          <w:szCs w:val="24"/>
        </w:rPr>
        <w:t xml:space="preserve"> g</w:t>
      </w:r>
      <w:r w:rsidRPr="686E7548">
        <w:rPr>
          <w:sz w:val="24"/>
          <w:szCs w:val="24"/>
        </w:rPr>
        <w:t xml:space="preserve">iven that the </w:t>
      </w:r>
      <w:r w:rsidR="0031238A">
        <w:rPr>
          <w:sz w:val="24"/>
          <w:szCs w:val="24"/>
        </w:rPr>
        <w:t>economy's potential growth rate</w:t>
      </w:r>
      <w:r w:rsidRPr="686E7548">
        <w:rPr>
          <w:sz w:val="24"/>
          <w:szCs w:val="24"/>
        </w:rPr>
        <w:t xml:space="preserve"> remains very low</w:t>
      </w:r>
      <w:r w:rsidR="2616B9C1" w:rsidRPr="686E7548">
        <w:rPr>
          <w:sz w:val="24"/>
          <w:szCs w:val="24"/>
        </w:rPr>
        <w:t xml:space="preserve">. </w:t>
      </w:r>
    </w:p>
    <w:p w:rsidR="00AC719A" w:rsidRDefault="0058016D" w:rsidP="00E015F1">
      <w:pPr>
        <w:pStyle w:val="Caption"/>
      </w:pPr>
      <w:bookmarkStart w:id="53" w:name="_Toc87715513"/>
      <w:r w:rsidRPr="0058016D">
        <w:t xml:space="preserve">Figure </w:t>
      </w:r>
      <w:r w:rsidR="002B36AE">
        <w:fldChar w:fldCharType="begin"/>
      </w:r>
      <w:r w:rsidR="00DD51FB">
        <w:instrText xml:space="preserve"> SEQ Figure \* ARABIC </w:instrText>
      </w:r>
      <w:r w:rsidR="002B36AE">
        <w:fldChar w:fldCharType="separate"/>
      </w:r>
      <w:r w:rsidR="00C1609A">
        <w:rPr>
          <w:noProof/>
        </w:rPr>
        <w:t>14</w:t>
      </w:r>
      <w:r w:rsidR="002B36AE">
        <w:rPr>
          <w:noProof/>
        </w:rPr>
        <w:fldChar w:fldCharType="end"/>
      </w:r>
      <w:r w:rsidR="00AC719A" w:rsidRPr="00AC719A">
        <w:t>: The primary balance and GDP growth rate, 2010-2020</w:t>
      </w:r>
      <w:bookmarkEnd w:id="53"/>
    </w:p>
    <w:p w:rsidR="00EE5653" w:rsidRPr="00EE5653" w:rsidRDefault="00EE5653" w:rsidP="0031238A">
      <w:pPr>
        <w:pStyle w:val="NoSpacing"/>
      </w:pPr>
      <w:r w:rsidRPr="00EE5653">
        <w:rPr>
          <w:noProof/>
          <w:lang w:eastAsia="en-ZA"/>
        </w:rPr>
        <w:drawing>
          <wp:inline distT="0" distB="0" distL="0" distR="0">
            <wp:extent cx="5399405" cy="2775857"/>
            <wp:effectExtent l="0" t="0" r="10795" b="5715"/>
            <wp:docPr id="13"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AF66536-E5E1-49A8-9B06-0859AE6B1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016D" w:rsidRDefault="00AC719A" w:rsidP="0031238A">
      <w:pPr>
        <w:pStyle w:val="FootnoteText"/>
      </w:pPr>
      <w:r w:rsidRPr="00EE5653">
        <w:t xml:space="preserve">Source: National Treasury Budget Reviews, various editions </w:t>
      </w:r>
    </w:p>
    <w:p w:rsidR="0098605F" w:rsidRPr="0098605F" w:rsidRDefault="0098605F" w:rsidP="0098605F">
      <w:pPr>
        <w:pStyle w:val="ListParagraph"/>
      </w:pPr>
      <w:r w:rsidRPr="0098605F">
        <w:t xml:space="preserve">In contrast, the real interest rate on the public debt average is relatively high, and a relatively higher primary surplus would be required to stabilise the government debt. The government has forecasted that real interest rates will moderate and GDP growth will improve. A primary balance between 1.6 per cent and 1.8 per cent of GDP will suffice to stabilise the debt. If economic growth improves, stabilising debt will be eased. However, if debt-service costs continue to increase, it will become more challenging. In essence, a persistent increase in government debt and the interest rate will translate into an increased debt burden, thus straining public finances and the economy. </w:t>
      </w:r>
    </w:p>
    <w:p w:rsidR="00AC719A" w:rsidRPr="00AC719A" w:rsidRDefault="75B96F56" w:rsidP="00AC719A">
      <w:pPr>
        <w:numPr>
          <w:ilvl w:val="1"/>
          <w:numId w:val="1"/>
        </w:numPr>
        <w:spacing w:after="120"/>
        <w:ind w:left="612"/>
        <w:jc w:val="both"/>
        <w:rPr>
          <w:sz w:val="24"/>
          <w:szCs w:val="24"/>
        </w:rPr>
      </w:pPr>
      <w:r w:rsidRPr="686E7548">
        <w:rPr>
          <w:sz w:val="24"/>
          <w:szCs w:val="24"/>
        </w:rPr>
        <w:t>Historical data on the primary balance show</w:t>
      </w:r>
      <w:r w:rsidR="1B83CCCA" w:rsidRPr="686E7548">
        <w:rPr>
          <w:sz w:val="24"/>
          <w:szCs w:val="24"/>
        </w:rPr>
        <w:t>s</w:t>
      </w:r>
      <w:r w:rsidRPr="686E7548">
        <w:rPr>
          <w:sz w:val="24"/>
          <w:szCs w:val="24"/>
        </w:rPr>
        <w:t xml:space="preserve"> that a primary surplus of more than 1.5 per</w:t>
      </w:r>
      <w:r w:rsidR="0031238A">
        <w:rPr>
          <w:sz w:val="24"/>
          <w:szCs w:val="24"/>
        </w:rPr>
        <w:t xml:space="preserve"> </w:t>
      </w:r>
      <w:r w:rsidRPr="686E7548">
        <w:rPr>
          <w:sz w:val="24"/>
          <w:szCs w:val="24"/>
        </w:rPr>
        <w:t xml:space="preserve">cent of GDP persisted for more than a decade between 1998 and 2008. This means that considering </w:t>
      </w:r>
      <w:r w:rsidR="757AF7B5" w:rsidRPr="686E7548">
        <w:rPr>
          <w:sz w:val="24"/>
          <w:szCs w:val="24"/>
        </w:rPr>
        <w:t>past</w:t>
      </w:r>
      <w:r w:rsidRPr="686E7548">
        <w:rPr>
          <w:sz w:val="24"/>
          <w:szCs w:val="24"/>
        </w:rPr>
        <w:t xml:space="preserve"> achievements, the primary surplus required to stabilise public debt could be achieved, and therefore the public debt is currently sustainable. However, adjudicating debt sustainability by financial metrics such as the size of the debt-to-GDP ratio can be misleading because of their arbitrary nature. This makes </w:t>
      </w:r>
      <w:r w:rsidR="5CDE8FF5" w:rsidRPr="686E7548">
        <w:rPr>
          <w:sz w:val="24"/>
          <w:szCs w:val="24"/>
        </w:rPr>
        <w:t>the trajectory</w:t>
      </w:r>
      <w:r w:rsidRPr="686E7548">
        <w:rPr>
          <w:sz w:val="24"/>
          <w:szCs w:val="24"/>
        </w:rPr>
        <w:t xml:space="preserve"> of the debt-to-GDP ratio more </w:t>
      </w:r>
      <w:r w:rsidR="0A817085" w:rsidRPr="686E7548">
        <w:rPr>
          <w:sz w:val="24"/>
          <w:szCs w:val="24"/>
        </w:rPr>
        <w:t>critical</w:t>
      </w:r>
      <w:r w:rsidRPr="686E7548">
        <w:rPr>
          <w:sz w:val="24"/>
          <w:szCs w:val="24"/>
        </w:rPr>
        <w:t xml:space="preserve"> than its ratio when conducting debt sustainability analysis. The government debt trajectory in South Africa remains very high. According to the International Monetary Fund (IMF) data, South </w:t>
      </w:r>
      <w:r w:rsidR="00A37245" w:rsidRPr="686E7548">
        <w:rPr>
          <w:sz w:val="24"/>
          <w:szCs w:val="24"/>
        </w:rPr>
        <w:t>Africa</w:t>
      </w:r>
      <w:r w:rsidR="00A37245">
        <w:rPr>
          <w:sz w:val="24"/>
          <w:szCs w:val="24"/>
        </w:rPr>
        <w:t>'</w:t>
      </w:r>
      <w:r w:rsidR="00A37245" w:rsidRPr="686E7548">
        <w:rPr>
          <w:sz w:val="24"/>
          <w:szCs w:val="24"/>
        </w:rPr>
        <w:t xml:space="preserve">s </w:t>
      </w:r>
      <w:r w:rsidRPr="686E7548">
        <w:rPr>
          <w:sz w:val="24"/>
          <w:szCs w:val="24"/>
        </w:rPr>
        <w:t>increase in government debt is the second</w:t>
      </w:r>
      <w:r w:rsidR="692C5824" w:rsidRPr="686E7548">
        <w:rPr>
          <w:sz w:val="24"/>
          <w:szCs w:val="24"/>
        </w:rPr>
        <w:t>-</w:t>
      </w:r>
      <w:r w:rsidRPr="686E7548">
        <w:rPr>
          <w:sz w:val="24"/>
          <w:szCs w:val="24"/>
        </w:rPr>
        <w:t>highest compared with 19 peer emerging market economies. Moreover, South Africa has the third</w:t>
      </w:r>
      <w:r w:rsidR="0493E0B5" w:rsidRPr="686E7548">
        <w:rPr>
          <w:sz w:val="24"/>
          <w:szCs w:val="24"/>
        </w:rPr>
        <w:t>-</w:t>
      </w:r>
      <w:r w:rsidRPr="686E7548">
        <w:rPr>
          <w:sz w:val="24"/>
          <w:szCs w:val="24"/>
        </w:rPr>
        <w:t xml:space="preserve">highest projected level of gross government debt for 2023 when compared with these economies. </w:t>
      </w:r>
    </w:p>
    <w:p w:rsidR="00AC719A" w:rsidRPr="00AC719A" w:rsidRDefault="75B96F56" w:rsidP="00AC719A">
      <w:pPr>
        <w:numPr>
          <w:ilvl w:val="1"/>
          <w:numId w:val="1"/>
        </w:numPr>
        <w:spacing w:after="120"/>
        <w:ind w:left="612"/>
        <w:jc w:val="both"/>
        <w:rPr>
          <w:sz w:val="24"/>
          <w:szCs w:val="24"/>
        </w:rPr>
      </w:pPr>
      <w:r w:rsidRPr="686E7548">
        <w:rPr>
          <w:sz w:val="24"/>
          <w:szCs w:val="24"/>
        </w:rPr>
        <w:t xml:space="preserve">The </w:t>
      </w:r>
      <w:r w:rsidR="00A37245" w:rsidRPr="686E7548">
        <w:rPr>
          <w:sz w:val="24"/>
          <w:szCs w:val="24"/>
        </w:rPr>
        <w:t>economy</w:t>
      </w:r>
      <w:r w:rsidR="00A37245">
        <w:rPr>
          <w:sz w:val="24"/>
          <w:szCs w:val="24"/>
        </w:rPr>
        <w:t>'</w:t>
      </w:r>
      <w:r w:rsidR="00A37245" w:rsidRPr="686E7548">
        <w:rPr>
          <w:sz w:val="24"/>
          <w:szCs w:val="24"/>
        </w:rPr>
        <w:t xml:space="preserve">s </w:t>
      </w:r>
      <w:r w:rsidR="3F362A2B" w:rsidRPr="686E7548">
        <w:rPr>
          <w:sz w:val="24"/>
          <w:szCs w:val="24"/>
        </w:rPr>
        <w:t>potential growth</w:t>
      </w:r>
      <w:r w:rsidRPr="686E7548">
        <w:rPr>
          <w:sz w:val="24"/>
          <w:szCs w:val="24"/>
        </w:rPr>
        <w:t xml:space="preserve"> is </w:t>
      </w:r>
      <w:r w:rsidR="00E304CF" w:rsidRPr="686E7548">
        <w:rPr>
          <w:sz w:val="24"/>
          <w:szCs w:val="24"/>
        </w:rPr>
        <w:t>meagre</w:t>
      </w:r>
      <w:r w:rsidR="19B04E4F" w:rsidRPr="686E7548">
        <w:rPr>
          <w:sz w:val="24"/>
          <w:szCs w:val="24"/>
        </w:rPr>
        <w:t>,</w:t>
      </w:r>
      <w:r w:rsidRPr="686E7548">
        <w:rPr>
          <w:sz w:val="24"/>
          <w:szCs w:val="24"/>
        </w:rPr>
        <w:t xml:space="preserve"> and the real interest rate on public debt is rising, implying an upward trend in the trajectory of the debt-to-GDP ratio. This also means a significant fiscal adjustment will be required to move the primary balance from the current primary deficit of -4.1 per</w:t>
      </w:r>
      <w:r w:rsidR="008C26E1">
        <w:rPr>
          <w:sz w:val="24"/>
          <w:szCs w:val="24"/>
        </w:rPr>
        <w:t xml:space="preserve"> </w:t>
      </w:r>
      <w:r w:rsidRPr="686E7548">
        <w:rPr>
          <w:sz w:val="24"/>
          <w:szCs w:val="24"/>
        </w:rPr>
        <w:t>cent of GDP for 2021</w:t>
      </w:r>
      <w:r w:rsidR="5EBC9DD5" w:rsidRPr="686E7548">
        <w:rPr>
          <w:sz w:val="24"/>
          <w:szCs w:val="24"/>
        </w:rPr>
        <w:t xml:space="preserve"> </w:t>
      </w:r>
      <w:r w:rsidRPr="686E7548">
        <w:rPr>
          <w:sz w:val="24"/>
          <w:szCs w:val="24"/>
        </w:rPr>
        <w:t xml:space="preserve">to the </w:t>
      </w:r>
      <w:r w:rsidR="0AA60111" w:rsidRPr="686E7548">
        <w:rPr>
          <w:sz w:val="24"/>
          <w:szCs w:val="24"/>
        </w:rPr>
        <w:t>necessary</w:t>
      </w:r>
      <w:r w:rsidRPr="686E7548">
        <w:rPr>
          <w:sz w:val="24"/>
          <w:szCs w:val="24"/>
        </w:rPr>
        <w:t xml:space="preserve"> primary surplus of more than 1.5 per</w:t>
      </w:r>
      <w:r w:rsidR="008C26E1">
        <w:rPr>
          <w:sz w:val="24"/>
          <w:szCs w:val="24"/>
        </w:rPr>
        <w:t xml:space="preserve"> </w:t>
      </w:r>
      <w:r w:rsidRPr="686E7548">
        <w:rPr>
          <w:sz w:val="24"/>
          <w:szCs w:val="24"/>
        </w:rPr>
        <w:t>cent. It is also worth noting that the macroeconomic strength and</w:t>
      </w:r>
      <w:r w:rsidR="1DD15E85" w:rsidRPr="686E7548">
        <w:rPr>
          <w:sz w:val="24"/>
          <w:szCs w:val="24"/>
        </w:rPr>
        <w:t>,</w:t>
      </w:r>
      <w:r w:rsidRPr="686E7548">
        <w:rPr>
          <w:sz w:val="24"/>
          <w:szCs w:val="24"/>
        </w:rPr>
        <w:t xml:space="preserve"> therefore</w:t>
      </w:r>
      <w:r w:rsidR="1A19F5BA" w:rsidRPr="686E7548">
        <w:rPr>
          <w:sz w:val="24"/>
          <w:szCs w:val="24"/>
        </w:rPr>
        <w:t>,</w:t>
      </w:r>
      <w:r w:rsidRPr="686E7548">
        <w:rPr>
          <w:sz w:val="24"/>
          <w:szCs w:val="24"/>
        </w:rPr>
        <w:t xml:space="preserve"> sustainability of the public finances requires a reduction in the stock of government debt </w:t>
      </w:r>
      <w:r w:rsidR="2BE1534A" w:rsidRPr="686E7548">
        <w:rPr>
          <w:sz w:val="24"/>
          <w:szCs w:val="24"/>
        </w:rPr>
        <w:t xml:space="preserve">instead of </w:t>
      </w:r>
      <w:r w:rsidRPr="686E7548">
        <w:rPr>
          <w:sz w:val="24"/>
          <w:szCs w:val="24"/>
        </w:rPr>
        <w:t xml:space="preserve">merely stabilisation. In this context, larger primary surpluses will be </w:t>
      </w:r>
      <w:r w:rsidR="14C36A2A" w:rsidRPr="686E7548">
        <w:rPr>
          <w:sz w:val="24"/>
          <w:szCs w:val="24"/>
        </w:rPr>
        <w:t>needed</w:t>
      </w:r>
      <w:r w:rsidRPr="686E7548">
        <w:rPr>
          <w:sz w:val="24"/>
          <w:szCs w:val="24"/>
        </w:rPr>
        <w:t xml:space="preserve"> to improve </w:t>
      </w:r>
      <w:r w:rsidR="5CDE8FF5" w:rsidRPr="686E7548">
        <w:rPr>
          <w:sz w:val="24"/>
          <w:szCs w:val="24"/>
        </w:rPr>
        <w:t>the GDP</w:t>
      </w:r>
      <w:r w:rsidRPr="686E7548">
        <w:rPr>
          <w:sz w:val="24"/>
          <w:szCs w:val="24"/>
        </w:rPr>
        <w:t xml:space="preserve"> growth differential dynamics.</w:t>
      </w:r>
    </w:p>
    <w:p w:rsidR="00AC719A" w:rsidRPr="00AE5872" w:rsidRDefault="00AC719A" w:rsidP="00AE5872">
      <w:pPr>
        <w:pStyle w:val="Heading2"/>
      </w:pPr>
      <w:bookmarkStart w:id="54" w:name="_Toc87715693"/>
      <w:r w:rsidRPr="00AC719A">
        <w:t>Contingent liabilities</w:t>
      </w:r>
      <w:bookmarkEnd w:id="54"/>
    </w:p>
    <w:p w:rsidR="00AC719A" w:rsidRPr="00AC719A" w:rsidRDefault="75B96F56" w:rsidP="00AC719A">
      <w:pPr>
        <w:numPr>
          <w:ilvl w:val="1"/>
          <w:numId w:val="1"/>
        </w:numPr>
        <w:spacing w:after="120"/>
        <w:ind w:left="612"/>
        <w:jc w:val="both"/>
        <w:rPr>
          <w:sz w:val="24"/>
          <w:szCs w:val="24"/>
        </w:rPr>
      </w:pPr>
      <w:r w:rsidRPr="686E7548">
        <w:rPr>
          <w:sz w:val="24"/>
          <w:szCs w:val="24"/>
        </w:rPr>
        <w:t xml:space="preserve">Contingent liabilities are obligations that only occur when specific discrete events take place in the future and are therefore differentiated from direct liabilities where the settlement date is agreed upon when the nominal obligation is </w:t>
      </w:r>
      <w:r w:rsidR="5CDE8FF5" w:rsidRPr="686E7548">
        <w:rPr>
          <w:sz w:val="24"/>
          <w:szCs w:val="24"/>
        </w:rPr>
        <w:t xml:space="preserve">made. </w:t>
      </w:r>
      <w:r w:rsidRPr="686E7548">
        <w:rPr>
          <w:sz w:val="24"/>
          <w:szCs w:val="24"/>
        </w:rPr>
        <w:t xml:space="preserve">This means they pose a risk relating to the increase in government debt resulting from unforeseen </w:t>
      </w:r>
      <w:r w:rsidR="6A94A21E" w:rsidRPr="686E7548">
        <w:rPr>
          <w:sz w:val="24"/>
          <w:szCs w:val="24"/>
        </w:rPr>
        <w:t>commitments</w:t>
      </w:r>
      <w:r w:rsidRPr="686E7548">
        <w:rPr>
          <w:sz w:val="24"/>
          <w:szCs w:val="24"/>
        </w:rPr>
        <w:t xml:space="preserve"> that may materiali</w:t>
      </w:r>
      <w:r w:rsidR="00775832">
        <w:rPr>
          <w:sz w:val="24"/>
          <w:szCs w:val="24"/>
        </w:rPr>
        <w:t>s</w:t>
      </w:r>
      <w:r w:rsidRPr="686E7548">
        <w:rPr>
          <w:sz w:val="24"/>
          <w:szCs w:val="24"/>
        </w:rPr>
        <w:t>e. Contingent liabilities</w:t>
      </w:r>
      <w:r w:rsidR="13F2E2A3" w:rsidRPr="686E7548">
        <w:rPr>
          <w:sz w:val="24"/>
          <w:szCs w:val="24"/>
        </w:rPr>
        <w:t>,</w:t>
      </w:r>
      <w:r w:rsidRPr="686E7548">
        <w:rPr>
          <w:sz w:val="24"/>
          <w:szCs w:val="24"/>
        </w:rPr>
        <w:t xml:space="preserve"> therefore</w:t>
      </w:r>
      <w:r w:rsidR="0726061C" w:rsidRPr="686E7548">
        <w:rPr>
          <w:sz w:val="24"/>
          <w:szCs w:val="24"/>
        </w:rPr>
        <w:t>,</w:t>
      </w:r>
      <w:r w:rsidRPr="686E7548">
        <w:rPr>
          <w:sz w:val="24"/>
          <w:szCs w:val="24"/>
        </w:rPr>
        <w:t xml:space="preserve"> represent </w:t>
      </w:r>
      <w:r w:rsidR="42C3ED73" w:rsidRPr="686E7548">
        <w:rPr>
          <w:sz w:val="24"/>
          <w:szCs w:val="24"/>
        </w:rPr>
        <w:t xml:space="preserve">high </w:t>
      </w:r>
      <w:r w:rsidRPr="686E7548">
        <w:rPr>
          <w:sz w:val="24"/>
          <w:szCs w:val="24"/>
        </w:rPr>
        <w:t xml:space="preserve">significant economic and fiscal costs. In the 2021 MTBPS, contingent liabilities amount </w:t>
      </w:r>
      <w:r w:rsidR="28006315" w:rsidRPr="686E7548">
        <w:rPr>
          <w:sz w:val="24"/>
          <w:szCs w:val="24"/>
        </w:rPr>
        <w:t xml:space="preserve">will reach R1.2 trillion </w:t>
      </w:r>
      <w:r w:rsidR="4F6F7D7E" w:rsidRPr="686E7548">
        <w:rPr>
          <w:sz w:val="24"/>
          <w:szCs w:val="24"/>
        </w:rPr>
        <w:t>or 20.5 per</w:t>
      </w:r>
      <w:r w:rsidR="00AE5872">
        <w:rPr>
          <w:sz w:val="24"/>
          <w:szCs w:val="24"/>
        </w:rPr>
        <w:t xml:space="preserve"> </w:t>
      </w:r>
      <w:r w:rsidR="4F6F7D7E" w:rsidRPr="686E7548">
        <w:rPr>
          <w:sz w:val="24"/>
          <w:szCs w:val="24"/>
        </w:rPr>
        <w:t>cent of GDP</w:t>
      </w:r>
      <w:r w:rsidR="28006315" w:rsidRPr="686E7548">
        <w:rPr>
          <w:sz w:val="24"/>
          <w:szCs w:val="24"/>
        </w:rPr>
        <w:t xml:space="preserve"> </w:t>
      </w:r>
      <w:r w:rsidR="6F7DA12A" w:rsidRPr="686E7548">
        <w:rPr>
          <w:sz w:val="24"/>
          <w:szCs w:val="24"/>
        </w:rPr>
        <w:t>in 2023/24</w:t>
      </w:r>
      <w:r w:rsidR="1826675F" w:rsidRPr="686E7548">
        <w:rPr>
          <w:sz w:val="24"/>
          <w:szCs w:val="24"/>
        </w:rPr>
        <w:t>.</w:t>
      </w:r>
      <w:r w:rsidR="28006315" w:rsidRPr="686E7548">
        <w:rPr>
          <w:sz w:val="24"/>
          <w:szCs w:val="24"/>
        </w:rPr>
        <w:t xml:space="preserve"> </w:t>
      </w:r>
      <w:r w:rsidRPr="686E7548">
        <w:rPr>
          <w:sz w:val="24"/>
          <w:szCs w:val="24"/>
        </w:rPr>
        <w:t xml:space="preserve">This represents a significant fiscal risk because if a contingent liability materialises, funds </w:t>
      </w:r>
      <w:r w:rsidR="00AE5872">
        <w:rPr>
          <w:sz w:val="24"/>
          <w:szCs w:val="24"/>
        </w:rPr>
        <w:t>must be redirected</w:t>
      </w:r>
      <w:r w:rsidRPr="686E7548">
        <w:rPr>
          <w:sz w:val="24"/>
          <w:szCs w:val="24"/>
        </w:rPr>
        <w:t xml:space="preserve"> from the fiscus</w:t>
      </w:r>
      <w:r w:rsidR="00141CF1">
        <w:rPr>
          <w:sz w:val="24"/>
          <w:szCs w:val="24"/>
        </w:rPr>
        <w:t xml:space="preserve"> committed elsewhere in the budget for spending</w:t>
      </w:r>
      <w:r w:rsidRPr="686E7548">
        <w:rPr>
          <w:sz w:val="24"/>
          <w:szCs w:val="24"/>
        </w:rPr>
        <w:t xml:space="preserve">. </w:t>
      </w:r>
    </w:p>
    <w:p w:rsidR="00AC719A" w:rsidRPr="00AC719A" w:rsidRDefault="75B96F56" w:rsidP="00AC719A">
      <w:pPr>
        <w:numPr>
          <w:ilvl w:val="1"/>
          <w:numId w:val="1"/>
        </w:numPr>
        <w:spacing w:after="120"/>
        <w:ind w:left="612"/>
        <w:jc w:val="both"/>
        <w:rPr>
          <w:sz w:val="24"/>
          <w:szCs w:val="24"/>
        </w:rPr>
      </w:pPr>
      <w:r w:rsidRPr="686E7548">
        <w:rPr>
          <w:sz w:val="24"/>
          <w:szCs w:val="24"/>
        </w:rPr>
        <w:t xml:space="preserve">Government guarantees are legally binding responsibilities offered by a government to accept liability for servicing debt on behalf of another entity under specific conditions, usually a default by that entity. The substantial accumulation of guarantees represents the risk of a fiscal shock because </w:t>
      </w:r>
      <w:r w:rsidR="68032200" w:rsidRPr="686E7548">
        <w:rPr>
          <w:sz w:val="24"/>
          <w:szCs w:val="24"/>
        </w:rPr>
        <w:t>the</w:t>
      </w:r>
      <w:r w:rsidRPr="686E7548">
        <w:rPr>
          <w:sz w:val="24"/>
          <w:szCs w:val="24"/>
        </w:rPr>
        <w:t xml:space="preserve"> government could lack adequate resources to service commitments emanating from guarantees. This risk is aggravated during times of crisis because of its correlated </w:t>
      </w:r>
      <w:r w:rsidR="5CDE8FF5" w:rsidRPr="686E7548">
        <w:rPr>
          <w:sz w:val="24"/>
          <w:szCs w:val="24"/>
        </w:rPr>
        <w:t xml:space="preserve">nature. </w:t>
      </w:r>
      <w:r w:rsidRPr="686E7548">
        <w:rPr>
          <w:sz w:val="24"/>
          <w:szCs w:val="24"/>
        </w:rPr>
        <w:t>Government guarantees to state</w:t>
      </w:r>
      <w:r w:rsidR="1DF80D00" w:rsidRPr="686E7548">
        <w:rPr>
          <w:sz w:val="24"/>
          <w:szCs w:val="24"/>
        </w:rPr>
        <w:t>-</w:t>
      </w:r>
      <w:r w:rsidRPr="686E7548">
        <w:rPr>
          <w:sz w:val="24"/>
          <w:szCs w:val="24"/>
        </w:rPr>
        <w:t xml:space="preserve">owned entities (SOEs) amounted to </w:t>
      </w:r>
      <w:r w:rsidR="6883087C" w:rsidRPr="686E7548">
        <w:rPr>
          <w:sz w:val="24"/>
          <w:szCs w:val="24"/>
        </w:rPr>
        <w:t>53.8</w:t>
      </w:r>
      <w:r w:rsidRPr="686E7548">
        <w:rPr>
          <w:sz w:val="24"/>
          <w:szCs w:val="24"/>
        </w:rPr>
        <w:t xml:space="preserve"> per</w:t>
      </w:r>
      <w:r w:rsidR="00B2487F">
        <w:rPr>
          <w:sz w:val="24"/>
          <w:szCs w:val="24"/>
        </w:rPr>
        <w:t xml:space="preserve"> </w:t>
      </w:r>
      <w:r w:rsidRPr="686E7548">
        <w:rPr>
          <w:sz w:val="24"/>
          <w:szCs w:val="24"/>
        </w:rPr>
        <w:t xml:space="preserve">cent of total contingent liabilities in </w:t>
      </w:r>
      <w:r w:rsidR="30EC080F" w:rsidRPr="686E7548">
        <w:rPr>
          <w:sz w:val="24"/>
          <w:szCs w:val="24"/>
        </w:rPr>
        <w:t>2020/21</w:t>
      </w:r>
      <w:r w:rsidR="6C58BD6A" w:rsidRPr="686E7548">
        <w:rPr>
          <w:sz w:val="24"/>
          <w:szCs w:val="24"/>
        </w:rPr>
        <w:t>.</w:t>
      </w:r>
      <w:r w:rsidRPr="686E7548">
        <w:rPr>
          <w:sz w:val="24"/>
          <w:szCs w:val="24"/>
        </w:rPr>
        <w:t xml:space="preserve"> According to the 2021 MTBPS, in </w:t>
      </w:r>
      <w:r w:rsidR="49A24C53" w:rsidRPr="686E7548">
        <w:rPr>
          <w:sz w:val="24"/>
          <w:szCs w:val="24"/>
        </w:rPr>
        <w:t>2023/24</w:t>
      </w:r>
      <w:r w:rsidRPr="686E7548">
        <w:rPr>
          <w:sz w:val="24"/>
          <w:szCs w:val="24"/>
        </w:rPr>
        <w:t xml:space="preserve">, the total amount for approved guarantee to SOEs is </w:t>
      </w:r>
      <w:r w:rsidR="478FFA6E" w:rsidRPr="686E7548">
        <w:rPr>
          <w:sz w:val="24"/>
          <w:szCs w:val="24"/>
        </w:rPr>
        <w:t>R566 billion</w:t>
      </w:r>
      <w:r w:rsidRPr="686E7548">
        <w:rPr>
          <w:sz w:val="24"/>
          <w:szCs w:val="24"/>
        </w:rPr>
        <w:t xml:space="preserve">, and more may be needed as the </w:t>
      </w:r>
      <w:r w:rsidR="00B161D4">
        <w:rPr>
          <w:sz w:val="24"/>
          <w:szCs w:val="24"/>
        </w:rPr>
        <w:t>COVID</w:t>
      </w:r>
      <w:r w:rsidRPr="686E7548">
        <w:rPr>
          <w:sz w:val="24"/>
          <w:szCs w:val="24"/>
        </w:rPr>
        <w:t xml:space="preserve">-19 shock continues to weaken the finances of many SOEs. The lack of financial performance of SOEs is putting considerable pressure on public finances. Contingent liabilities to SOEs represent a rating weakness that could translate to a credit rating downgrade for South Africa. </w:t>
      </w:r>
    </w:p>
    <w:p w:rsidR="00AC719A" w:rsidRPr="00AC719A" w:rsidRDefault="75B96F56" w:rsidP="00AC719A">
      <w:pPr>
        <w:numPr>
          <w:ilvl w:val="1"/>
          <w:numId w:val="1"/>
        </w:numPr>
        <w:spacing w:after="120"/>
        <w:ind w:left="612"/>
        <w:jc w:val="both"/>
        <w:rPr>
          <w:sz w:val="24"/>
          <w:szCs w:val="24"/>
        </w:rPr>
      </w:pPr>
      <w:r w:rsidRPr="686E7548">
        <w:rPr>
          <w:sz w:val="24"/>
          <w:szCs w:val="24"/>
        </w:rPr>
        <w:t xml:space="preserve">The 2021 budget review reported that SOEs continue to suffer from poor growth, high costs and elevated debt servicing costs, and several of them were at the brink of defaulting on their debts. The Zondo Commission of Inquiry into allegations of state capture in the public sector, including organs of state, has exposed corruption at the highest levels of entities such as Transnet, Eskom, SAA and Denel. The poor performance of SOEs, poor and unstable leadership, corruption, wasteful expenditure and mismanagement of funds and operational challenges confronting various major SOEs means that these entities will continue to require government guarantees in order to continue to survive. </w:t>
      </w:r>
    </w:p>
    <w:p w:rsidR="00AC719A" w:rsidRPr="00AC719A" w:rsidRDefault="75B96F56" w:rsidP="00AC719A">
      <w:pPr>
        <w:numPr>
          <w:ilvl w:val="1"/>
          <w:numId w:val="1"/>
        </w:numPr>
        <w:spacing w:after="120"/>
        <w:ind w:left="612"/>
        <w:jc w:val="both"/>
        <w:rPr>
          <w:sz w:val="24"/>
          <w:szCs w:val="24"/>
        </w:rPr>
      </w:pPr>
      <w:r w:rsidRPr="686E7548">
        <w:rPr>
          <w:sz w:val="24"/>
          <w:szCs w:val="24"/>
        </w:rPr>
        <w:t xml:space="preserve">The </w:t>
      </w:r>
      <w:r w:rsidR="00B03A4D">
        <w:rPr>
          <w:sz w:val="24"/>
          <w:szCs w:val="24"/>
        </w:rPr>
        <w:t>government's policy stance on ownership and control of SOEs</w:t>
      </w:r>
      <w:r w:rsidRPr="686E7548">
        <w:rPr>
          <w:sz w:val="24"/>
          <w:szCs w:val="24"/>
        </w:rPr>
        <w:t xml:space="preserve"> appears to be shifting towards some form of privatisation. </w:t>
      </w:r>
      <w:r w:rsidR="00B03A4D">
        <w:rPr>
          <w:sz w:val="24"/>
          <w:szCs w:val="24"/>
        </w:rPr>
        <w:t>The g</w:t>
      </w:r>
      <w:r w:rsidRPr="686E7548">
        <w:rPr>
          <w:sz w:val="24"/>
          <w:szCs w:val="24"/>
        </w:rPr>
        <w:t xml:space="preserve">overnment has announced the sale </w:t>
      </w:r>
      <w:r w:rsidR="5CDE8FF5" w:rsidRPr="686E7548">
        <w:rPr>
          <w:sz w:val="24"/>
          <w:szCs w:val="24"/>
        </w:rPr>
        <w:t>of 51</w:t>
      </w:r>
      <w:r w:rsidRPr="686E7548">
        <w:rPr>
          <w:sz w:val="24"/>
          <w:szCs w:val="24"/>
        </w:rPr>
        <w:t xml:space="preserve"> </w:t>
      </w:r>
      <w:r w:rsidR="779B3E11" w:rsidRPr="686E7548">
        <w:rPr>
          <w:sz w:val="24"/>
          <w:szCs w:val="24"/>
        </w:rPr>
        <w:t>per</w:t>
      </w:r>
      <w:r w:rsidR="00B03A4D">
        <w:rPr>
          <w:sz w:val="24"/>
          <w:szCs w:val="24"/>
        </w:rPr>
        <w:t xml:space="preserve"> </w:t>
      </w:r>
      <w:r w:rsidR="779B3E11" w:rsidRPr="686E7548">
        <w:rPr>
          <w:sz w:val="24"/>
          <w:szCs w:val="24"/>
        </w:rPr>
        <w:t>cent</w:t>
      </w:r>
      <w:r w:rsidR="1B5416CB" w:rsidRPr="686E7548">
        <w:rPr>
          <w:sz w:val="24"/>
          <w:szCs w:val="24"/>
        </w:rPr>
        <w:t xml:space="preserve"> </w:t>
      </w:r>
      <w:r w:rsidRPr="686E7548">
        <w:rPr>
          <w:sz w:val="24"/>
          <w:szCs w:val="24"/>
        </w:rPr>
        <w:t xml:space="preserve">of South African Airways to a private consortium. Permission has also been granted by </w:t>
      </w:r>
      <w:r w:rsidR="00B03A4D">
        <w:rPr>
          <w:sz w:val="24"/>
          <w:szCs w:val="24"/>
        </w:rPr>
        <w:t xml:space="preserve">the </w:t>
      </w:r>
      <w:r w:rsidRPr="686E7548">
        <w:rPr>
          <w:sz w:val="24"/>
          <w:szCs w:val="24"/>
        </w:rPr>
        <w:t xml:space="preserve">government to independent power producers to increase self-generation without obtaining a licence from 1MW to 100MW. These developments represent a major policy shift from </w:t>
      </w:r>
      <w:r w:rsidR="04503E8C" w:rsidRPr="686E7548">
        <w:rPr>
          <w:sz w:val="24"/>
          <w:szCs w:val="24"/>
        </w:rPr>
        <w:t xml:space="preserve">government </w:t>
      </w:r>
      <w:r w:rsidRPr="686E7548">
        <w:rPr>
          <w:sz w:val="24"/>
          <w:szCs w:val="24"/>
        </w:rPr>
        <w:t xml:space="preserve">ownership and control of SOEs that could lessen the requirements for guarantees to SOEs. </w:t>
      </w:r>
    </w:p>
    <w:p w:rsidR="00C1609A" w:rsidRPr="00C1609A" w:rsidRDefault="00C1609A" w:rsidP="00C1609A">
      <w:pPr>
        <w:pStyle w:val="Caption"/>
        <w:rPr>
          <w:b w:val="0"/>
          <w:bCs w:val="0"/>
        </w:rPr>
      </w:pPr>
      <w:bookmarkStart w:id="55" w:name="_Toc87715514"/>
      <w:r>
        <w:t xml:space="preserve">Figure </w:t>
      </w:r>
      <w:r w:rsidR="002B36AE">
        <w:fldChar w:fldCharType="begin"/>
      </w:r>
      <w:r w:rsidR="00DD51FB">
        <w:instrText xml:space="preserve"> SEQ Figure \* ARABIC </w:instrText>
      </w:r>
      <w:r w:rsidR="002B36AE">
        <w:fldChar w:fldCharType="separate"/>
      </w:r>
      <w:r>
        <w:rPr>
          <w:noProof/>
        </w:rPr>
        <w:t>15</w:t>
      </w:r>
      <w:r w:rsidR="002B36AE">
        <w:rPr>
          <w:noProof/>
        </w:rPr>
        <w:fldChar w:fldCharType="end"/>
      </w:r>
      <w:r>
        <w:t xml:space="preserve">: </w:t>
      </w:r>
      <w:r w:rsidRPr="00C1609A">
        <w:t>Contingent liabilities, total government guarantees, and government guarantees to Eskom, 2010/11-2023/24</w:t>
      </w:r>
      <w:bookmarkEnd w:id="55"/>
    </w:p>
    <w:p w:rsidR="390EF829" w:rsidRDefault="00FB6CB3" w:rsidP="00C1609A">
      <w:pPr>
        <w:pStyle w:val="NoSpacing"/>
        <w:rPr>
          <w:b/>
          <w:bCs/>
          <w:sz w:val="24"/>
          <w:szCs w:val="24"/>
        </w:rPr>
      </w:pPr>
      <w:r w:rsidRPr="00FB6CB3">
        <w:rPr>
          <w:b/>
          <w:bCs/>
          <w:noProof/>
          <w:sz w:val="24"/>
          <w:szCs w:val="24"/>
          <w:lang w:eastAsia="en-ZA"/>
        </w:rPr>
        <w:drawing>
          <wp:inline distT="0" distB="0" distL="0" distR="0">
            <wp:extent cx="5617029" cy="3178628"/>
            <wp:effectExtent l="0" t="0" r="3175" b="3175"/>
            <wp:docPr id="15" name="Chart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CEA8951-F4DF-40D3-9C81-CB49D0859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719A" w:rsidRPr="00EE5653" w:rsidRDefault="00AC719A" w:rsidP="00B03A4D">
      <w:pPr>
        <w:pStyle w:val="FootnoteText"/>
      </w:pPr>
      <w:r w:rsidRPr="00AC719A">
        <w:rPr>
          <w:b/>
        </w:rPr>
        <w:t xml:space="preserve"> </w:t>
      </w:r>
      <w:r w:rsidRPr="00EE5653">
        <w:t xml:space="preserve">Source: National Treasury </w:t>
      </w:r>
      <w:r w:rsidR="5E93EBDD" w:rsidRPr="00EE5653">
        <w:rPr>
          <w:iCs/>
        </w:rPr>
        <w:t>MTBPS</w:t>
      </w:r>
      <w:r w:rsidRPr="00EE5653">
        <w:t>, various editions</w:t>
      </w:r>
    </w:p>
    <w:p w:rsidR="0098605F" w:rsidRPr="0098605F" w:rsidRDefault="0098605F" w:rsidP="0098605F">
      <w:pPr>
        <w:pStyle w:val="ListParagraph"/>
        <w:numPr>
          <w:ilvl w:val="1"/>
          <w:numId w:val="42"/>
        </w:numPr>
      </w:pPr>
      <w:r w:rsidRPr="0098605F">
        <w:t>Government guarantees to SOEs remains a significant risk to South Africa's debt sustainability and to the economy. Government guarantees to Eskom, in particular, remain very high (see Figure X below). Government guarantees to SANRAL, the Trans-Caledon Tunnel Authority and South African Airways (SAA) are also relatively substantial.</w:t>
      </w:r>
    </w:p>
    <w:p w:rsidR="00AC719A" w:rsidRPr="00AC719A" w:rsidRDefault="00AC719A" w:rsidP="00FB3C43">
      <w:pPr>
        <w:pStyle w:val="Heading2"/>
      </w:pPr>
      <w:bookmarkStart w:id="56" w:name="_Toc87715694"/>
      <w:r w:rsidRPr="00AC719A">
        <w:t>Recommendations</w:t>
      </w:r>
      <w:bookmarkEnd w:id="56"/>
    </w:p>
    <w:p w:rsidR="002A5BB5" w:rsidRPr="00430C72" w:rsidRDefault="00622E27" w:rsidP="00866719">
      <w:pPr>
        <w:numPr>
          <w:ilvl w:val="0"/>
          <w:numId w:val="4"/>
        </w:numPr>
        <w:spacing w:after="120"/>
        <w:jc w:val="both"/>
        <w:rPr>
          <w:sz w:val="24"/>
          <w:szCs w:val="24"/>
        </w:rPr>
      </w:pPr>
      <w:r w:rsidRPr="00430C72">
        <w:rPr>
          <w:sz w:val="24"/>
          <w:szCs w:val="24"/>
        </w:rPr>
        <w:t xml:space="preserve">The Commission encourages the government to </w:t>
      </w:r>
      <w:r w:rsidR="00CE36B8">
        <w:rPr>
          <w:sz w:val="24"/>
          <w:szCs w:val="24"/>
        </w:rPr>
        <w:t>continue promoting</w:t>
      </w:r>
      <w:r w:rsidR="00A65A13" w:rsidRPr="00430C72">
        <w:rPr>
          <w:sz w:val="24"/>
          <w:szCs w:val="24"/>
        </w:rPr>
        <w:t xml:space="preserve"> a</w:t>
      </w:r>
      <w:r w:rsidR="00AC719A" w:rsidRPr="00430C72">
        <w:rPr>
          <w:sz w:val="24"/>
          <w:szCs w:val="24"/>
        </w:rPr>
        <w:t xml:space="preserve"> growth-</w:t>
      </w:r>
      <w:r w:rsidR="00331A64" w:rsidRPr="00430C72">
        <w:rPr>
          <w:sz w:val="24"/>
          <w:szCs w:val="24"/>
        </w:rPr>
        <w:t>friendly</w:t>
      </w:r>
      <w:r w:rsidR="00331A64">
        <w:rPr>
          <w:sz w:val="24"/>
          <w:szCs w:val="24"/>
        </w:rPr>
        <w:t xml:space="preserve">, </w:t>
      </w:r>
      <w:r w:rsidR="00331A64" w:rsidRPr="00430C72">
        <w:rPr>
          <w:sz w:val="24"/>
          <w:szCs w:val="24"/>
        </w:rPr>
        <w:t>fiscal</w:t>
      </w:r>
      <w:r w:rsidR="00AC719A" w:rsidRPr="00430C72">
        <w:rPr>
          <w:sz w:val="24"/>
          <w:szCs w:val="24"/>
        </w:rPr>
        <w:t xml:space="preserve"> consolidation geared towards stabilising and reducing government debt</w:t>
      </w:r>
      <w:r w:rsidR="001E0DD9">
        <w:rPr>
          <w:sz w:val="24"/>
          <w:szCs w:val="24"/>
        </w:rPr>
        <w:t xml:space="preserve"> by</w:t>
      </w:r>
      <w:r w:rsidR="0032534D" w:rsidRPr="00430C72">
        <w:rPr>
          <w:sz w:val="24"/>
          <w:szCs w:val="24"/>
        </w:rPr>
        <w:t xml:space="preserve"> r</w:t>
      </w:r>
      <w:r w:rsidR="00AC719A" w:rsidRPr="00430C72">
        <w:rPr>
          <w:sz w:val="24"/>
          <w:szCs w:val="24"/>
        </w:rPr>
        <w:t xml:space="preserve">eforming the evaluation criteria for granting government guarantees to SOEs. </w:t>
      </w:r>
      <w:r w:rsidR="007C351C" w:rsidRPr="00430C72">
        <w:rPr>
          <w:sz w:val="24"/>
          <w:szCs w:val="24"/>
        </w:rPr>
        <w:t xml:space="preserve">The first step </w:t>
      </w:r>
      <w:r w:rsidR="001E0DD9">
        <w:rPr>
          <w:sz w:val="24"/>
          <w:szCs w:val="24"/>
        </w:rPr>
        <w:t>would be</w:t>
      </w:r>
      <w:r w:rsidR="007C351C" w:rsidRPr="00430C72">
        <w:rPr>
          <w:sz w:val="24"/>
          <w:szCs w:val="24"/>
        </w:rPr>
        <w:t xml:space="preserve"> </w:t>
      </w:r>
      <w:r w:rsidR="00CE41A9">
        <w:rPr>
          <w:sz w:val="24"/>
          <w:szCs w:val="24"/>
        </w:rPr>
        <w:t xml:space="preserve">to establish </w:t>
      </w:r>
      <w:r w:rsidR="00A71F52">
        <w:rPr>
          <w:sz w:val="24"/>
          <w:szCs w:val="24"/>
        </w:rPr>
        <w:t>an</w:t>
      </w:r>
      <w:r w:rsidR="00AC719A" w:rsidRPr="00430C72">
        <w:rPr>
          <w:sz w:val="24"/>
          <w:szCs w:val="24"/>
        </w:rPr>
        <w:t xml:space="preserve"> SOE governance framework</w:t>
      </w:r>
      <w:r w:rsidR="00CE41A9">
        <w:rPr>
          <w:sz w:val="24"/>
          <w:szCs w:val="24"/>
        </w:rPr>
        <w:t xml:space="preserve"> </w:t>
      </w:r>
      <w:r w:rsidR="005820AE">
        <w:rPr>
          <w:sz w:val="24"/>
          <w:szCs w:val="24"/>
        </w:rPr>
        <w:t>with</w:t>
      </w:r>
      <w:r w:rsidR="00CE41A9">
        <w:rPr>
          <w:sz w:val="24"/>
          <w:szCs w:val="24"/>
        </w:rPr>
        <w:t xml:space="preserve"> </w:t>
      </w:r>
      <w:r w:rsidR="00285FB4">
        <w:rPr>
          <w:sz w:val="24"/>
          <w:szCs w:val="24"/>
        </w:rPr>
        <w:t xml:space="preserve">public </w:t>
      </w:r>
      <w:r w:rsidR="00CE41A9">
        <w:rPr>
          <w:sz w:val="24"/>
          <w:szCs w:val="24"/>
        </w:rPr>
        <w:t xml:space="preserve">reporting </w:t>
      </w:r>
      <w:r w:rsidR="00285FB4">
        <w:rPr>
          <w:sz w:val="24"/>
          <w:szCs w:val="24"/>
        </w:rPr>
        <w:t>criteria</w:t>
      </w:r>
      <w:r w:rsidR="00AC719A" w:rsidRPr="00430C72">
        <w:rPr>
          <w:sz w:val="24"/>
          <w:szCs w:val="24"/>
        </w:rPr>
        <w:t xml:space="preserve"> that clearly defines detailed and precise profitability and non-financial objectives</w:t>
      </w:r>
      <w:r w:rsidR="009A191A">
        <w:rPr>
          <w:sz w:val="24"/>
          <w:szCs w:val="24"/>
        </w:rPr>
        <w:t xml:space="preserve"> </w:t>
      </w:r>
      <w:r w:rsidR="00195DD8">
        <w:rPr>
          <w:sz w:val="24"/>
          <w:szCs w:val="24"/>
        </w:rPr>
        <w:t>for transp</w:t>
      </w:r>
      <w:r w:rsidR="00285FB4">
        <w:rPr>
          <w:sz w:val="24"/>
          <w:szCs w:val="24"/>
        </w:rPr>
        <w:t>a</w:t>
      </w:r>
      <w:r w:rsidR="00195DD8">
        <w:rPr>
          <w:sz w:val="24"/>
          <w:szCs w:val="24"/>
        </w:rPr>
        <w:t>rency</w:t>
      </w:r>
      <w:r w:rsidR="00AC719A" w:rsidRPr="00430C72">
        <w:rPr>
          <w:sz w:val="24"/>
          <w:szCs w:val="24"/>
        </w:rPr>
        <w:t xml:space="preserve">. </w:t>
      </w:r>
    </w:p>
    <w:p w:rsidR="008C6A70" w:rsidRPr="004958F1" w:rsidRDefault="0A7634D5" w:rsidP="008C6A70">
      <w:pPr>
        <w:pStyle w:val="Heading1"/>
      </w:pPr>
      <w:bookmarkStart w:id="57" w:name="_Toc87715695"/>
      <w:r>
        <w:t>Compensation Data</w:t>
      </w:r>
      <w:bookmarkEnd w:id="57"/>
      <w:r w:rsidR="1EBEDFA0">
        <w:t xml:space="preserve"> </w:t>
      </w:r>
    </w:p>
    <w:p w:rsidR="005D0B0E" w:rsidRPr="002A5BB5" w:rsidRDefault="005D0B0E" w:rsidP="005D0B0E">
      <w:pPr>
        <w:pStyle w:val="Heading2"/>
      </w:pPr>
      <w:bookmarkStart w:id="58" w:name="_Toc87715696"/>
      <w:r>
        <w:t>The drivers of rising compensation spending</w:t>
      </w:r>
      <w:bookmarkEnd w:id="58"/>
    </w:p>
    <w:p w:rsidR="009A49EE" w:rsidRPr="009A49EE" w:rsidRDefault="0025653D" w:rsidP="00A6587B">
      <w:pPr>
        <w:pStyle w:val="ListParagraph"/>
        <w:rPr>
          <w:color w:val="000000" w:themeColor="text1"/>
        </w:rPr>
      </w:pPr>
      <w:r>
        <w:t>C</w:t>
      </w:r>
      <w:r w:rsidR="097171E4">
        <w:t>ompensation of employees</w:t>
      </w:r>
      <w:r>
        <w:t xml:space="preserve"> (CoE)</w:t>
      </w:r>
      <w:r w:rsidR="097171E4">
        <w:t xml:space="preserve"> continues to be one of the largest expenditure items from the fiscus. According to the National Treasury, public-service </w:t>
      </w:r>
      <w:r w:rsidR="00030661">
        <w:t>CoE</w:t>
      </w:r>
      <w:r w:rsidR="097171E4">
        <w:t xml:space="preserve"> absorbed 41% of government revenue in 2019/20</w:t>
      </w:r>
      <w:r w:rsidR="00243B9E">
        <w:t>, which</w:t>
      </w:r>
      <w:r w:rsidR="097171E4">
        <w:t xml:space="preserve"> increased to 47% in 2020/21</w:t>
      </w:r>
      <w:r w:rsidR="005D0B0E">
        <w:rPr>
          <w:rStyle w:val="FootnoteReference"/>
        </w:rPr>
        <w:footnoteReference w:id="5"/>
      </w:r>
      <w:r w:rsidR="097171E4">
        <w:t xml:space="preserve">. This implies that per R1000 of government revenue in 2019/20, R410 was spent on </w:t>
      </w:r>
      <w:r w:rsidR="00030661">
        <w:t>CoE</w:t>
      </w:r>
      <w:r w:rsidR="097171E4">
        <w:t xml:space="preserve">. In 2020/21, R470 was spent </w:t>
      </w:r>
      <w:r w:rsidR="00243B9E">
        <w:t>on</w:t>
      </w:r>
      <w:r w:rsidR="097171E4">
        <w:t xml:space="preserve"> </w:t>
      </w:r>
      <w:r w:rsidR="00030661">
        <w:t>CoE</w:t>
      </w:r>
      <w:r w:rsidR="00243B9E" w:rsidRPr="00243B9E">
        <w:t xml:space="preserve"> </w:t>
      </w:r>
      <w:r w:rsidR="00243B9E">
        <w:t>for every R1000 of government revenue</w:t>
      </w:r>
      <w:r w:rsidR="097171E4">
        <w:t xml:space="preserve">. This clearly indicates that allowing </w:t>
      </w:r>
      <w:r w:rsidR="007070E2">
        <w:t xml:space="preserve">the </w:t>
      </w:r>
      <w:r w:rsidR="097171E4">
        <w:t>wage bill to continue rising at this rate is not sustainable.</w:t>
      </w:r>
      <w:r w:rsidR="11360412">
        <w:t xml:space="preserve"> </w:t>
      </w:r>
    </w:p>
    <w:p w:rsidR="005D0B0E" w:rsidRPr="006C0338" w:rsidRDefault="11360412" w:rsidP="00F52368">
      <w:pPr>
        <w:pStyle w:val="ListParagraph"/>
        <w:rPr>
          <w:color w:val="000000" w:themeColor="text1"/>
        </w:rPr>
      </w:pPr>
      <w:r w:rsidRPr="00EE5653">
        <w:rPr>
          <w:color w:val="000000" w:themeColor="text1"/>
        </w:rPr>
        <w:t>Figure</w:t>
      </w:r>
      <w:r w:rsidR="00EE5653" w:rsidRPr="00EE5653">
        <w:rPr>
          <w:color w:val="000000" w:themeColor="text1"/>
        </w:rPr>
        <w:t xml:space="preserve"> 16</w:t>
      </w:r>
      <w:r w:rsidRPr="00EE5653">
        <w:rPr>
          <w:color w:val="000000" w:themeColor="text1"/>
        </w:rPr>
        <w:t xml:space="preserve"> shows </w:t>
      </w:r>
      <w:r w:rsidR="00FB0B7C">
        <w:t xml:space="preserve">that the </w:t>
      </w:r>
      <w:r w:rsidR="00F52368">
        <w:t>CoE</w:t>
      </w:r>
      <w:r w:rsidR="189B2391" w:rsidRPr="6BC39506">
        <w:t xml:space="preserve"> </w:t>
      </w:r>
      <w:r w:rsidR="54E47574" w:rsidRPr="6BC39506">
        <w:t>as a percentage of total expenditure has been above 35% between 201</w:t>
      </w:r>
      <w:r w:rsidR="24119E77" w:rsidRPr="6BC39506">
        <w:t>6/17 and 2018/19 and decreased to just over 34% in 2019/20</w:t>
      </w:r>
      <w:r w:rsidR="46164174" w:rsidRPr="6BC39506">
        <w:t xml:space="preserve">. </w:t>
      </w:r>
      <w:r w:rsidR="7211B867" w:rsidRPr="6BC39506">
        <w:t xml:space="preserve">A further decrease </w:t>
      </w:r>
      <w:r w:rsidR="00190823">
        <w:t xml:space="preserve">is </w:t>
      </w:r>
      <w:r w:rsidR="00765D1A">
        <w:t>projected</w:t>
      </w:r>
      <w:r w:rsidR="7211B867" w:rsidRPr="6BC39506">
        <w:t xml:space="preserve"> </w:t>
      </w:r>
      <w:r w:rsidR="00190823">
        <w:t>for</w:t>
      </w:r>
      <w:r w:rsidR="7211B867" w:rsidRPr="6BC39506">
        <w:t xml:space="preserve"> 2021/22</w:t>
      </w:r>
      <w:r w:rsidR="00765D1A">
        <w:t>,</w:t>
      </w:r>
      <w:r w:rsidR="00774ADD">
        <w:t xml:space="preserve"> </w:t>
      </w:r>
      <w:r w:rsidR="00190823">
        <w:t>increas</w:t>
      </w:r>
      <w:r w:rsidR="00774ADD">
        <w:t>ing</w:t>
      </w:r>
      <w:r w:rsidR="00190823">
        <w:t xml:space="preserve"> </w:t>
      </w:r>
      <w:r w:rsidR="00774ADD">
        <w:t xml:space="preserve">to </w:t>
      </w:r>
      <w:r w:rsidR="3B5C77BA" w:rsidRPr="6BC39506">
        <w:t>2022/23</w:t>
      </w:r>
      <w:r w:rsidR="000356F2">
        <w:t>,</w:t>
      </w:r>
      <w:r w:rsidR="00433888">
        <w:t xml:space="preserve"> at R665.2 billion</w:t>
      </w:r>
      <w:r w:rsidR="59FBA2BC" w:rsidRPr="6BC39506">
        <w:t>.</w:t>
      </w:r>
    </w:p>
    <w:p w:rsidR="005D0B0E" w:rsidRDefault="005D0B0E" w:rsidP="00E015F1">
      <w:pPr>
        <w:pStyle w:val="Caption"/>
      </w:pPr>
      <w:bookmarkStart w:id="59" w:name="_Toc87715515"/>
      <w:r w:rsidRPr="0058016D">
        <w:t xml:space="preserve">Figure </w:t>
      </w:r>
      <w:r w:rsidR="002B36AE">
        <w:fldChar w:fldCharType="begin"/>
      </w:r>
      <w:r w:rsidR="00DD51FB">
        <w:instrText xml:space="preserve"> SEQ Figure \* ARABIC </w:instrText>
      </w:r>
      <w:r w:rsidR="002B36AE">
        <w:fldChar w:fldCharType="separate"/>
      </w:r>
      <w:r w:rsidR="00C1609A">
        <w:rPr>
          <w:noProof/>
        </w:rPr>
        <w:t>16</w:t>
      </w:r>
      <w:r w:rsidR="002B36AE">
        <w:rPr>
          <w:noProof/>
        </w:rPr>
        <w:fldChar w:fldCharType="end"/>
      </w:r>
      <w:r w:rsidRPr="0058016D">
        <w:t>:</w:t>
      </w:r>
      <w:r w:rsidR="0058016D" w:rsidRPr="0058016D">
        <w:t xml:space="preserve"> </w:t>
      </w:r>
      <w:r w:rsidRPr="0058016D">
        <w:t xml:space="preserve">Compensation of employees as a percentage of </w:t>
      </w:r>
      <w:r w:rsidR="66232641" w:rsidRPr="444FBD2A">
        <w:t>total</w:t>
      </w:r>
      <w:r w:rsidRPr="0058016D">
        <w:t xml:space="preserve"> expenditure</w:t>
      </w:r>
      <w:bookmarkEnd w:id="59"/>
      <w:r w:rsidR="00823AB8">
        <w:t xml:space="preserve"> (%)</w:t>
      </w:r>
    </w:p>
    <w:p w:rsidR="00EE5653" w:rsidRPr="00EE5653" w:rsidRDefault="00EE5653" w:rsidP="00433888">
      <w:pPr>
        <w:pStyle w:val="NoSpacing"/>
      </w:pPr>
      <w:r>
        <w:rPr>
          <w:noProof/>
          <w:lang w:eastAsia="en-ZA"/>
        </w:rPr>
        <w:drawing>
          <wp:inline distT="0" distB="0" distL="0" distR="0">
            <wp:extent cx="5293681" cy="2830286"/>
            <wp:effectExtent l="0" t="0" r="2540" b="8255"/>
            <wp:docPr id="1137820735" name="Picture 113782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40251" cy="2855185"/>
                    </a:xfrm>
                    <a:prstGeom prst="rect">
                      <a:avLst/>
                    </a:prstGeom>
                  </pic:spPr>
                </pic:pic>
              </a:graphicData>
            </a:graphic>
          </wp:inline>
        </w:drawing>
      </w:r>
    </w:p>
    <w:p w:rsidR="00433888" w:rsidRDefault="0B257F83" w:rsidP="00433888">
      <w:pPr>
        <w:pStyle w:val="FootnoteText"/>
      </w:pPr>
      <w:r w:rsidRPr="00EE5653">
        <w:t>Data Source: National Treasury, 2021 Medium Term Budget Po</w:t>
      </w:r>
      <w:r w:rsidR="3F03A1CF" w:rsidRPr="00EE5653">
        <w:t>licy Statement</w:t>
      </w:r>
    </w:p>
    <w:p w:rsidR="00A85E92" w:rsidRDefault="00A85E92" w:rsidP="00A85E92">
      <w:pPr>
        <w:pStyle w:val="Caption"/>
      </w:pPr>
      <w:bookmarkStart w:id="60" w:name="_Toc87715516"/>
      <w:r w:rsidRPr="0058016D">
        <w:t xml:space="preserve">Figure </w:t>
      </w:r>
      <w:r w:rsidR="002B36AE">
        <w:fldChar w:fldCharType="begin"/>
      </w:r>
      <w:r w:rsidR="00DD51FB">
        <w:instrText xml:space="preserve"> SEQ Figure \* ARABIC </w:instrText>
      </w:r>
      <w:r w:rsidR="002B36AE">
        <w:fldChar w:fldCharType="separate"/>
      </w:r>
      <w:r w:rsidR="00C1609A">
        <w:rPr>
          <w:noProof/>
        </w:rPr>
        <w:t>17</w:t>
      </w:r>
      <w:r w:rsidR="002B36AE">
        <w:rPr>
          <w:noProof/>
        </w:rPr>
        <w:fldChar w:fldCharType="end"/>
      </w:r>
      <w:r w:rsidRPr="0058016D">
        <w:t>: Number of public sector employees from 2009-2019</w:t>
      </w:r>
      <w:bookmarkEnd w:id="60"/>
    </w:p>
    <w:p w:rsidR="00A85E92" w:rsidRPr="00EE5653" w:rsidRDefault="00A85E92" w:rsidP="00A85E92">
      <w:pPr>
        <w:pStyle w:val="NoSpacing"/>
      </w:pPr>
      <w:r>
        <w:rPr>
          <w:noProof/>
          <w:lang w:eastAsia="en-ZA"/>
        </w:rPr>
        <w:drawing>
          <wp:inline distT="0" distB="0" distL="0" distR="0">
            <wp:extent cx="5138057" cy="2873828"/>
            <wp:effectExtent l="0" t="0" r="5715" b="3175"/>
            <wp:docPr id="12"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EAE306-C123-4532-A8FA-5E543932F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5E92" w:rsidRDefault="00A85E92" w:rsidP="00A85E92">
      <w:pPr>
        <w:pStyle w:val="FootnoteText"/>
      </w:pPr>
      <w:r w:rsidRPr="00EE5653">
        <w:t>Data Source: Statistics South Africa, Quarterly Employment Statistics, 2009-2019</w:t>
      </w:r>
    </w:p>
    <w:p w:rsidR="00110190" w:rsidRDefault="00110190" w:rsidP="00A85E92">
      <w:pPr>
        <w:pStyle w:val="FootnoteText"/>
      </w:pPr>
    </w:p>
    <w:p w:rsidR="00EE5653" w:rsidRDefault="097171E4" w:rsidP="00E015F1">
      <w:pPr>
        <w:pStyle w:val="ListParagraph"/>
      </w:pPr>
      <w:r w:rsidRPr="00A02B7C">
        <w:t>Key dr</w:t>
      </w:r>
      <w:r>
        <w:t xml:space="preserve">ivers </w:t>
      </w:r>
      <w:r w:rsidR="00B658B9">
        <w:t>for the CoE to increase</w:t>
      </w:r>
      <w:r>
        <w:t xml:space="preserve"> over </w:t>
      </w:r>
      <w:r w:rsidR="00DB05CE">
        <w:t xml:space="preserve">recent years include the salary adjustments, which have been </w:t>
      </w:r>
      <w:r w:rsidR="00472003">
        <w:t>grow</w:t>
      </w:r>
      <w:r w:rsidR="00DB05CE">
        <w:t>ing above inflation and the increased headcounts</w:t>
      </w:r>
      <w:r w:rsidR="00E85FE7">
        <w:t>.</w:t>
      </w:r>
      <w:r>
        <w:t xml:space="preserve"> While the government ha</w:t>
      </w:r>
      <w:r w:rsidR="00D86112">
        <w:t xml:space="preserve">s no systems to measure public sector productivity, it is doubtful if the increase in public sector employees is associated with improved </w:t>
      </w:r>
      <w:r w:rsidR="001F176D">
        <w:t>productivity</w:t>
      </w:r>
      <w:r>
        <w:t>.</w:t>
      </w:r>
    </w:p>
    <w:p w:rsidR="00DA78C7" w:rsidRPr="00813377" w:rsidRDefault="00733D8F" w:rsidP="00866719">
      <w:pPr>
        <w:pStyle w:val="ListParagraph"/>
        <w:rPr>
          <w:i/>
        </w:rPr>
      </w:pPr>
      <w:r>
        <w:t>In 2020, the government ha</w:t>
      </w:r>
      <w:r w:rsidR="0068472D">
        <w:t>d</w:t>
      </w:r>
      <w:r>
        <w:t xml:space="preserve"> reduced the number of public sector employees mainly in police, education and defence but increased employees in health </w:t>
      </w:r>
      <w:r w:rsidR="0068472D">
        <w:t>due to the</w:t>
      </w:r>
      <w:r>
        <w:t xml:space="preserve"> C</w:t>
      </w:r>
      <w:r w:rsidR="0068472D">
        <w:t>OVID</w:t>
      </w:r>
      <w:r>
        <w:t>-19 pandemic</w:t>
      </w:r>
      <w:r w:rsidR="00472003">
        <w:t>,</w:t>
      </w:r>
      <w:r>
        <w:t xml:space="preserve"> as illustrated in </w:t>
      </w:r>
      <w:r w:rsidRPr="005A4668">
        <w:rPr>
          <w:color w:val="000000" w:themeColor="text1"/>
        </w:rPr>
        <w:t xml:space="preserve">Figure 18. This </w:t>
      </w:r>
      <w:r>
        <w:t xml:space="preserve">reduction in public sector employees is insignificant to result in </w:t>
      </w:r>
      <w:r w:rsidR="00472003">
        <w:t xml:space="preserve">a </w:t>
      </w:r>
      <w:r>
        <w:t xml:space="preserve">material reduction </w:t>
      </w:r>
      <w:r w:rsidR="00472003">
        <w:t>i</w:t>
      </w:r>
      <w:r>
        <w:t xml:space="preserve">n the </w:t>
      </w:r>
      <w:r w:rsidR="00472003">
        <w:t>CoE</w:t>
      </w:r>
      <w:r w:rsidR="005A4668">
        <w:t xml:space="preserve">. </w:t>
      </w:r>
    </w:p>
    <w:p w:rsidR="76CC1665" w:rsidRPr="00EE5653" w:rsidRDefault="00EE5653" w:rsidP="00E015F1">
      <w:pPr>
        <w:pStyle w:val="Caption"/>
      </w:pPr>
      <w:bookmarkStart w:id="61" w:name="_Toc87715517"/>
      <w:r w:rsidRPr="00EE5653">
        <w:t xml:space="preserve">Figure </w:t>
      </w:r>
      <w:r w:rsidR="002B36AE">
        <w:fldChar w:fldCharType="begin"/>
      </w:r>
      <w:r w:rsidR="00DD51FB">
        <w:instrText xml:space="preserve"> SEQ Figure \* ARABIC </w:instrText>
      </w:r>
      <w:r w:rsidR="002B36AE">
        <w:fldChar w:fldCharType="separate"/>
      </w:r>
      <w:r w:rsidR="00C1609A">
        <w:rPr>
          <w:noProof/>
        </w:rPr>
        <w:t>18</w:t>
      </w:r>
      <w:r w:rsidR="002B36AE">
        <w:rPr>
          <w:noProof/>
        </w:rPr>
        <w:fldChar w:fldCharType="end"/>
      </w:r>
      <w:r w:rsidR="37DB8735" w:rsidRPr="00EE5653">
        <w:t>: Changes in employment between 2019/20 and 2020/21</w:t>
      </w:r>
      <w:bookmarkEnd w:id="61"/>
    </w:p>
    <w:p w:rsidR="76CC1665" w:rsidRDefault="1EE2C6B3" w:rsidP="00AE3FE3">
      <w:pPr>
        <w:pStyle w:val="NoSpacing"/>
      </w:pPr>
      <w:r>
        <w:t xml:space="preserve"> </w:t>
      </w:r>
      <w:r w:rsidR="00866719" w:rsidRPr="00866719">
        <w:rPr>
          <w:noProof/>
          <w:lang w:eastAsia="en-ZA"/>
        </w:rPr>
        <w:drawing>
          <wp:inline distT="0" distB="0" distL="0" distR="0">
            <wp:extent cx="3254829" cy="2574290"/>
            <wp:effectExtent l="0" t="0" r="3175" b="0"/>
            <wp:docPr id="26" name="Picture 2" descr="Chart, bar chart&#10;&#10;Description automatically generate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EFAE2EB-19AF-458B-8B0A-361599079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Chart, bar chart&#10;&#10;Description automatically generate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EFAE2EB-19AF-458B-8B0A-361599079B83}"/>
                        </a:ext>
                      </a:extLst>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0963" cy="2587051"/>
                    </a:xfrm>
                    <a:prstGeom prst="rect">
                      <a:avLst/>
                    </a:prstGeom>
                    <a:noFill/>
                  </pic:spPr>
                </pic:pic>
              </a:graphicData>
            </a:graphic>
          </wp:inline>
        </w:drawing>
      </w:r>
      <w:r w:rsidR="00866719" w:rsidRPr="00866719">
        <w:rPr>
          <w:noProof/>
          <w:lang w:eastAsia="en-ZA"/>
        </w:rPr>
        <w:drawing>
          <wp:inline distT="0" distB="0" distL="0" distR="0">
            <wp:extent cx="2383971" cy="2573655"/>
            <wp:effectExtent l="0" t="0" r="0" b="0"/>
            <wp:docPr id="27" name="Picture 4" descr="Chart, waterfall chart&#10;&#10;Description automatically generate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CCF867-128D-47C9-ABEB-DC6A6A0AD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Chart, waterfall chart&#10;&#10;Description automatically generate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CCF867-128D-47C9-ABEB-DC6A6A0ADE5E}"/>
                        </a:ext>
                      </a:extLst>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3375" cy="2583807"/>
                    </a:xfrm>
                    <a:prstGeom prst="rect">
                      <a:avLst/>
                    </a:prstGeom>
                    <a:noFill/>
                  </pic:spPr>
                </pic:pic>
              </a:graphicData>
            </a:graphic>
          </wp:inline>
        </w:drawing>
      </w:r>
    </w:p>
    <w:p w:rsidR="211E00BC" w:rsidRDefault="69AE5845" w:rsidP="00AE3FE3">
      <w:pPr>
        <w:pStyle w:val="FootnoteText"/>
      </w:pPr>
      <w:r w:rsidRPr="00EE5653">
        <w:t xml:space="preserve">Data source: </w:t>
      </w:r>
      <w:r w:rsidR="5DA6B518" w:rsidRPr="00EE5653">
        <w:t>National Treasury, 2021 Medium Term Budget Policy Statement</w:t>
      </w:r>
    </w:p>
    <w:p w:rsidR="00AE3FE3" w:rsidRPr="00EE5653" w:rsidRDefault="00AE3FE3" w:rsidP="00AE3FE3">
      <w:pPr>
        <w:pStyle w:val="FootnoteText"/>
      </w:pPr>
    </w:p>
    <w:p w:rsidR="2A454A27" w:rsidRDefault="005D0B0E" w:rsidP="00A6587B">
      <w:pPr>
        <w:pStyle w:val="ListParagraph"/>
      </w:pPr>
      <w:r>
        <w:t>The government has been implementing fiscal consolidation in recent years</w:t>
      </w:r>
      <w:r w:rsidR="00AE3FE3">
        <w:t>. The Commission is of the view that reducing public spending is key</w:t>
      </w:r>
      <w:r w:rsidR="004D6745" w:rsidRPr="004D6745">
        <w:t xml:space="preserve"> </w:t>
      </w:r>
      <w:r w:rsidR="004D6745">
        <w:t>to achieving fiscal consolidation measures</w:t>
      </w:r>
      <w:r w:rsidR="00CC6841">
        <w:t xml:space="preserve"> to boost</w:t>
      </w:r>
      <w:r>
        <w:t xml:space="preserve"> public sector productivity</w:t>
      </w:r>
      <w:r w:rsidR="00CC245C">
        <w:t>.</w:t>
      </w:r>
    </w:p>
    <w:p w:rsidR="008C6A70" w:rsidRDefault="008C6A70" w:rsidP="008C6A70">
      <w:pPr>
        <w:pStyle w:val="Heading2"/>
      </w:pPr>
      <w:bookmarkStart w:id="62" w:name="_Toc87715697"/>
      <w:r>
        <w:t>Recommendations</w:t>
      </w:r>
      <w:bookmarkEnd w:id="62"/>
    </w:p>
    <w:p w:rsidR="00A05438" w:rsidRDefault="00A05438" w:rsidP="00866719">
      <w:pPr>
        <w:pStyle w:val="Recommendations"/>
      </w:pPr>
      <w:r>
        <w:t xml:space="preserve">The Commission recommends that the government </w:t>
      </w:r>
      <w:r w:rsidR="55829D00">
        <w:t xml:space="preserve">should </w:t>
      </w:r>
      <w:r>
        <w:t xml:space="preserve">develop a long-term plan </w:t>
      </w:r>
      <w:r w:rsidR="008D46A0">
        <w:t xml:space="preserve">in an incremental manner </w:t>
      </w:r>
      <w:r>
        <w:t xml:space="preserve">to address unsustainable public sector wage bill and that the plan should </w:t>
      </w:r>
      <w:r w:rsidR="00825524">
        <w:t>seek</w:t>
      </w:r>
      <w:r>
        <w:t xml:space="preserve"> to </w:t>
      </w:r>
      <w:r w:rsidR="00825524">
        <w:t xml:space="preserve">improve </w:t>
      </w:r>
      <w:r>
        <w:t>public sector productivity</w:t>
      </w:r>
      <w:r w:rsidR="00825524">
        <w:t xml:space="preserve"> at a lower cost.</w:t>
      </w:r>
      <w:r w:rsidR="008D46A0">
        <w:t xml:space="preserve"> </w:t>
      </w:r>
    </w:p>
    <w:p w:rsidR="0050156E" w:rsidRDefault="0050156E">
      <w:pPr>
        <w:spacing w:after="0" w:line="240" w:lineRule="auto"/>
        <w:rPr>
          <w:b/>
          <w:bCs/>
          <w:color w:val="26724C"/>
          <w:sz w:val="24"/>
          <w:szCs w:val="28"/>
        </w:rPr>
      </w:pPr>
      <w:bookmarkStart w:id="63" w:name="_Toc87715698"/>
      <w:r>
        <w:br w:type="page"/>
      </w:r>
    </w:p>
    <w:p w:rsidR="002A5BB5" w:rsidRPr="0077141C" w:rsidRDefault="00631B04" w:rsidP="3B6A8B68">
      <w:pPr>
        <w:pStyle w:val="Heading1"/>
      </w:pPr>
      <w:r>
        <w:t xml:space="preserve">2021 </w:t>
      </w:r>
      <w:r w:rsidR="7E369805">
        <w:t xml:space="preserve">MTBPS and the </w:t>
      </w:r>
      <w:r w:rsidR="00A37245">
        <w:t xml:space="preserve">FFC's </w:t>
      </w:r>
      <w:r w:rsidR="7E369805">
        <w:t>Recommendations</w:t>
      </w:r>
      <w:bookmarkEnd w:id="63"/>
      <w:r w:rsidR="1EBEDFA0">
        <w:t xml:space="preserve"> </w:t>
      </w:r>
      <w:bookmarkStart w:id="64" w:name="_Toc339952187"/>
      <w:bookmarkEnd w:id="64"/>
    </w:p>
    <w:p w:rsidR="000117C0" w:rsidRDefault="005715AE" w:rsidP="00A6587B">
      <w:pPr>
        <w:pStyle w:val="ListParagraph"/>
      </w:pPr>
      <w:r>
        <w:t>The g</w:t>
      </w:r>
      <w:r w:rsidR="33D96C58">
        <w:t xml:space="preserve">radual relaxation of </w:t>
      </w:r>
      <w:r w:rsidR="005D6FB2">
        <w:t>COVID</w:t>
      </w:r>
      <w:r w:rsidR="33D96C58">
        <w:t>-19 economic restrictions, both locally and globally</w:t>
      </w:r>
      <w:r>
        <w:t>,</w:t>
      </w:r>
      <w:r w:rsidR="33D96C58">
        <w:t xml:space="preserve"> marks the </w:t>
      </w:r>
      <w:r w:rsidR="014E255D">
        <w:t>beginning</w:t>
      </w:r>
      <w:r w:rsidR="5696DBB2">
        <w:t xml:space="preserve"> of </w:t>
      </w:r>
      <w:r>
        <w:t xml:space="preserve">the </w:t>
      </w:r>
      <w:r w:rsidR="00C465DA">
        <w:t>much-needed</w:t>
      </w:r>
      <w:r w:rsidR="5696DBB2">
        <w:t xml:space="preserve"> economic recovery in South Africa</w:t>
      </w:r>
      <w:r w:rsidR="00FB1A52">
        <w:t xml:space="preserve">, </w:t>
      </w:r>
      <w:r w:rsidR="0FEF3B82">
        <w:t xml:space="preserve">enunciated by the 5.1% expected growth </w:t>
      </w:r>
      <w:r w:rsidR="00FB1A52">
        <w:t xml:space="preserve">rate </w:t>
      </w:r>
      <w:r w:rsidR="0FEF3B82">
        <w:t xml:space="preserve">in 2021. </w:t>
      </w:r>
      <w:r w:rsidR="00CD1F12">
        <w:t>However, it is important</w:t>
      </w:r>
      <w:r w:rsidR="003017D9">
        <w:t xml:space="preserve"> to recognise the reality:</w:t>
      </w:r>
      <w:r w:rsidR="00FC148B">
        <w:t xml:space="preserve"> </w:t>
      </w:r>
      <w:r w:rsidR="003017D9">
        <w:t xml:space="preserve">the </w:t>
      </w:r>
      <w:r w:rsidR="00FC148B">
        <w:t>country</w:t>
      </w:r>
      <w:r w:rsidR="003017D9">
        <w:t>'</w:t>
      </w:r>
      <w:r w:rsidR="00FC148B">
        <w:t xml:space="preserve">s economic activity </w:t>
      </w:r>
      <w:r w:rsidR="0FEF3B82">
        <w:t xml:space="preserve">remains at </w:t>
      </w:r>
      <w:r w:rsidR="00FC148B">
        <w:t>the</w:t>
      </w:r>
      <w:r w:rsidR="0FEF3B82">
        <w:t xml:space="preserve"> level</w:t>
      </w:r>
      <w:r w:rsidR="00FC148B">
        <w:t xml:space="preserve"> last</w:t>
      </w:r>
      <w:r w:rsidR="0FEF3B82">
        <w:t xml:space="preserve"> seen in 201</w:t>
      </w:r>
      <w:r w:rsidR="00FC148B">
        <w:t>7</w:t>
      </w:r>
      <w:r w:rsidR="003017D9">
        <w:t>, nearly</w:t>
      </w:r>
      <w:r w:rsidR="00FC148B">
        <w:t xml:space="preserve"> four years backward</w:t>
      </w:r>
      <w:r w:rsidR="00D2693B">
        <w:t>s</w:t>
      </w:r>
      <w:r w:rsidR="0D77D5B5">
        <w:t xml:space="preserve">. </w:t>
      </w:r>
      <w:r w:rsidR="003D5140">
        <w:t>Structural reforms must accompany the long walk to economic recovery to ensure sustainable and inclusive growth</w:t>
      </w:r>
      <w:r w:rsidR="38405015">
        <w:t xml:space="preserve">. </w:t>
      </w:r>
      <w:r w:rsidR="00465B04" w:rsidRPr="00465B04">
        <w:t>The Commission notes the reforms outlined in the MTBPS – focusing mainly on SOEs restructuring and encourages other crucial dimensions of structural transformation through fiscal and public finance management for greater productivity and value within the public sector - not cost.</w:t>
      </w:r>
      <w:r w:rsidR="00465B04">
        <w:t xml:space="preserve"> </w:t>
      </w:r>
    </w:p>
    <w:p w:rsidR="0EFD0413" w:rsidRDefault="1E245397" w:rsidP="00A6587B">
      <w:pPr>
        <w:pStyle w:val="ListParagraph"/>
      </w:pPr>
      <w:r>
        <w:t xml:space="preserve">The Commission further welcomes the R59 billion upward adjustment effected to the </w:t>
      </w:r>
      <w:r w:rsidR="43D811B7">
        <w:t>2021 budget made possible by the windfall tax collection in the mining sector</w:t>
      </w:r>
      <w:r w:rsidR="00EC4884">
        <w:t xml:space="preserve">. </w:t>
      </w:r>
      <w:r w:rsidR="694A6808">
        <w:t xml:space="preserve">The Commission agrees that the </w:t>
      </w:r>
      <w:r w:rsidR="01DE0D85">
        <w:t>revenue</w:t>
      </w:r>
      <w:r w:rsidR="009B654B">
        <w:t xml:space="preserve"> increase </w:t>
      </w:r>
      <w:r w:rsidR="01DE0D85">
        <w:t xml:space="preserve">should </w:t>
      </w:r>
      <w:r w:rsidR="008C7FE8">
        <w:t xml:space="preserve">not </w:t>
      </w:r>
      <w:r w:rsidR="00E3756E">
        <w:t xml:space="preserve">be committed to spending automatically, thereby </w:t>
      </w:r>
      <w:r w:rsidR="009131F5">
        <w:t>distrac</w:t>
      </w:r>
      <w:r w:rsidR="00E3756E">
        <w:t>ting</w:t>
      </w:r>
      <w:r w:rsidR="009131F5">
        <w:t xml:space="preserve"> </w:t>
      </w:r>
      <w:r w:rsidR="00E3756E">
        <w:t>the</w:t>
      </w:r>
      <w:r w:rsidR="009131F5">
        <w:t xml:space="preserve"> need to stay within</w:t>
      </w:r>
      <w:r w:rsidR="01DE0D85">
        <w:t xml:space="preserve"> </w:t>
      </w:r>
      <w:r w:rsidR="00B9740E">
        <w:t>the</w:t>
      </w:r>
      <w:r w:rsidR="7F15464C">
        <w:t xml:space="preserve"> path</w:t>
      </w:r>
      <w:r w:rsidR="00B9740E">
        <w:t xml:space="preserve"> of fiscal sustainabilit</w:t>
      </w:r>
      <w:r w:rsidR="003A3021">
        <w:t>y</w:t>
      </w:r>
      <w:r w:rsidR="0006107E" w:rsidRPr="0006107E">
        <w:t xml:space="preserve"> by eliminating leakages and executing reprioritisations that are productive and constructive.</w:t>
      </w:r>
    </w:p>
    <w:p w:rsidR="4A043F5F" w:rsidRDefault="428E3821" w:rsidP="00A6587B">
      <w:pPr>
        <w:pStyle w:val="ListParagraph"/>
        <w:rPr>
          <w:rFonts w:eastAsia="Times New Roman"/>
        </w:rPr>
      </w:pPr>
      <w:r>
        <w:t>When it comes to provincial and local government allocations, the Commission notes the R20 billion upward adjust</w:t>
      </w:r>
      <w:r w:rsidR="21B20860">
        <w:t xml:space="preserve">ment made to the provincial equitable share </w:t>
      </w:r>
      <w:r w:rsidR="66162C95">
        <w:t xml:space="preserve">the projected </w:t>
      </w:r>
      <w:r w:rsidR="5FA53205">
        <w:t>negative</w:t>
      </w:r>
      <w:r w:rsidR="66162C95">
        <w:t xml:space="preserve"> growth rate in local government allocations over the 2022 MTEF. </w:t>
      </w:r>
      <w:r w:rsidR="07209856">
        <w:t>While expenditure moderation is necessary</w:t>
      </w:r>
      <w:r w:rsidR="3079FBE3">
        <w:t xml:space="preserve"> for</w:t>
      </w:r>
      <w:r w:rsidR="07209856">
        <w:t xml:space="preserve"> </w:t>
      </w:r>
      <w:r w:rsidR="4A8C2B09">
        <w:t>public finances and de</w:t>
      </w:r>
      <w:r w:rsidR="1188D9A9">
        <w:t xml:space="preserve">bt stabilisation, </w:t>
      </w:r>
      <w:r w:rsidR="00441E93">
        <w:t>the executive must</w:t>
      </w:r>
      <w:r w:rsidR="1188D9A9">
        <w:t xml:space="preserve"> keep </w:t>
      </w:r>
      <w:r w:rsidR="0058707F">
        <w:t>P</w:t>
      </w:r>
      <w:r w:rsidR="1188D9A9">
        <w:t>arliament up</w:t>
      </w:r>
      <w:r w:rsidR="00441E93">
        <w:t>dated</w:t>
      </w:r>
      <w:r w:rsidR="1188D9A9">
        <w:t xml:space="preserve"> </w:t>
      </w:r>
      <w:r w:rsidR="71A0EC33">
        <w:t>on</w:t>
      </w:r>
      <w:r w:rsidR="16038DEF">
        <w:t xml:space="preserve"> </w:t>
      </w:r>
      <w:r w:rsidR="00441E93">
        <w:t>its impact</w:t>
      </w:r>
      <w:r w:rsidR="71A0EC33">
        <w:t xml:space="preserve"> on access to and quality of basic services. The Commission reiterates its stance </w:t>
      </w:r>
      <w:r w:rsidR="3412E541">
        <w:t xml:space="preserve">on </w:t>
      </w:r>
      <w:r w:rsidR="00E2139D">
        <w:t xml:space="preserve">the </w:t>
      </w:r>
      <w:r w:rsidR="3412E541">
        <w:t>need for the ex</w:t>
      </w:r>
      <w:r w:rsidR="2F26FA16">
        <w:t>ecutive to report timeously on how social services are affected by slow budget growth and historical budget cuts</w:t>
      </w:r>
      <w:r w:rsidR="3D3F6B4C">
        <w:t xml:space="preserve">. </w:t>
      </w:r>
    </w:p>
    <w:p w:rsidR="002A5BB5" w:rsidRDefault="3E309393" w:rsidP="42F93316">
      <w:pPr>
        <w:pStyle w:val="ListParagraph"/>
      </w:pPr>
      <w:r>
        <w:t>S</w:t>
      </w:r>
      <w:r w:rsidR="006A2EBA">
        <w:t>O</w:t>
      </w:r>
      <w:r>
        <w:t>E</w:t>
      </w:r>
      <w:r w:rsidR="239DB2D3">
        <w:t>s</w:t>
      </w:r>
      <w:r>
        <w:t xml:space="preserve"> continues to pose </w:t>
      </w:r>
      <w:r w:rsidR="005C7CF5">
        <w:t>a</w:t>
      </w:r>
      <w:r>
        <w:t xml:space="preserve"> </w:t>
      </w:r>
      <w:r w:rsidR="0AC0D9B6">
        <w:t>serious</w:t>
      </w:r>
      <w:r>
        <w:t xml:space="preserve"> risk to fiscal sustainability. The Commi</w:t>
      </w:r>
      <w:r w:rsidR="67204CE0">
        <w:t>ssion notes the equity injection</w:t>
      </w:r>
      <w:r w:rsidR="017F57E6">
        <w:t>/ recapitalisation of</w:t>
      </w:r>
      <w:r w:rsidR="67204CE0">
        <w:t xml:space="preserve"> </w:t>
      </w:r>
      <w:r w:rsidR="017F57E6">
        <w:t>R3 billion to Denel</w:t>
      </w:r>
      <w:r w:rsidR="52060946">
        <w:t xml:space="preserve"> </w:t>
      </w:r>
      <w:r w:rsidR="3FD13CA8">
        <w:t xml:space="preserve">in the 2021 MTBPS </w:t>
      </w:r>
      <w:r w:rsidR="52060946">
        <w:t>and the near</w:t>
      </w:r>
      <w:r w:rsidR="00A31B07">
        <w:t>ly</w:t>
      </w:r>
      <w:r w:rsidR="52060946">
        <w:t xml:space="preserve"> ex</w:t>
      </w:r>
      <w:r w:rsidR="45782392">
        <w:t xml:space="preserve">hausted drawdowns on </w:t>
      </w:r>
      <w:r w:rsidR="00A37245">
        <w:t xml:space="preserve">Eskom's </w:t>
      </w:r>
      <w:r w:rsidR="45782392">
        <w:t xml:space="preserve">credit guarantee facility. </w:t>
      </w:r>
      <w:r w:rsidR="001653AE" w:rsidRPr="001653AE">
        <w:t xml:space="preserve">SOE </w:t>
      </w:r>
      <w:r w:rsidR="3B2DB45E">
        <w:t xml:space="preserve">recapitalisation continues despite </w:t>
      </w:r>
      <w:r w:rsidR="008C414E">
        <w:t>the</w:t>
      </w:r>
      <w:r w:rsidR="3B2DB45E">
        <w:t xml:space="preserve"> government</w:t>
      </w:r>
      <w:r w:rsidR="00531316">
        <w:t>'</w:t>
      </w:r>
      <w:r w:rsidR="008C414E">
        <w:t>s</w:t>
      </w:r>
      <w:r w:rsidR="3B2DB45E">
        <w:t xml:space="preserve"> commitment to end </w:t>
      </w:r>
      <w:r w:rsidR="008C414E">
        <w:t xml:space="preserve">the fruitless </w:t>
      </w:r>
      <w:r w:rsidR="3B2DB45E">
        <w:t xml:space="preserve">bailouts. </w:t>
      </w:r>
      <w:r w:rsidR="2D308B3C">
        <w:t xml:space="preserve">The Commission appreciates the difficult position under which </w:t>
      </w:r>
      <w:r w:rsidR="008C414E">
        <w:t xml:space="preserve">the government finds itself </w:t>
      </w:r>
      <w:r w:rsidR="00531316">
        <w:t>concerning</w:t>
      </w:r>
      <w:r w:rsidR="008C414E">
        <w:t xml:space="preserve"> </w:t>
      </w:r>
      <w:r w:rsidR="001653AE" w:rsidRPr="001653AE">
        <w:t>SOE</w:t>
      </w:r>
      <w:r w:rsidR="008C414E">
        <w:t>s</w:t>
      </w:r>
      <w:r w:rsidR="00531316">
        <w:t>. Still,</w:t>
      </w:r>
      <w:r w:rsidR="008C414E">
        <w:t xml:space="preserve"> bailout undermines the fiscal integrity of the budget and exacerbates</w:t>
      </w:r>
      <w:r w:rsidR="02886D37">
        <w:t xml:space="preserve"> sovereign credit r</w:t>
      </w:r>
      <w:r w:rsidR="7F755D33">
        <w:t>isks</w:t>
      </w:r>
      <w:r w:rsidR="008C414E">
        <w:t xml:space="preserve"> for the country</w:t>
      </w:r>
      <w:r w:rsidR="7F755D33">
        <w:t xml:space="preserve">. </w:t>
      </w:r>
      <w:r w:rsidR="0B292AC3">
        <w:t>The</w:t>
      </w:r>
      <w:r w:rsidR="00E304CF">
        <w:t>re</w:t>
      </w:r>
      <w:r w:rsidR="0B292AC3">
        <w:t xml:space="preserve"> is </w:t>
      </w:r>
      <w:r w:rsidR="008C414E">
        <w:t xml:space="preserve">a </w:t>
      </w:r>
      <w:r w:rsidR="0B292AC3">
        <w:t xml:space="preserve">need to find a lasting solution to the </w:t>
      </w:r>
      <w:r w:rsidR="001653AE" w:rsidRPr="001653AE">
        <w:t>SOE</w:t>
      </w:r>
      <w:r w:rsidR="0B292AC3">
        <w:t xml:space="preserve"> governance and performance crises</w:t>
      </w:r>
      <w:r w:rsidR="00531316">
        <w:t xml:space="preserve"> by dealing with the underlying accountability failures, capacity inadequacies,</w:t>
      </w:r>
      <w:r w:rsidR="56F2E7D7">
        <w:t xml:space="preserve"> and</w:t>
      </w:r>
      <w:r w:rsidR="0B292AC3">
        <w:t xml:space="preserve"> </w:t>
      </w:r>
      <w:r w:rsidR="56F2E7D7">
        <w:t>corrup</w:t>
      </w:r>
      <w:r w:rsidR="081CF98C">
        <w:t xml:space="preserve">tion. </w:t>
      </w:r>
    </w:p>
    <w:p w:rsidR="0050156E" w:rsidRDefault="0050156E" w:rsidP="00C465DA">
      <w:pPr>
        <w:spacing w:after="0"/>
        <w:ind w:left="142"/>
      </w:pPr>
    </w:p>
    <w:p w:rsidR="00C94624" w:rsidRPr="0041026A" w:rsidRDefault="00C94624" w:rsidP="00C465DA">
      <w:pPr>
        <w:spacing w:after="0"/>
        <w:ind w:left="142"/>
        <w:rPr>
          <w:b/>
          <w:bCs/>
        </w:rPr>
      </w:pPr>
      <w:r w:rsidRPr="0041026A">
        <w:rPr>
          <w:b/>
          <w:bCs/>
        </w:rPr>
        <w:t>For and on behalf of the Financial and Fiscal Commission</w:t>
      </w:r>
    </w:p>
    <w:p w:rsidR="00C94624" w:rsidRDefault="00C94624" w:rsidP="00654897">
      <w:pPr>
        <w:spacing w:after="0"/>
      </w:pPr>
    </w:p>
    <w:p w:rsidR="00C94624" w:rsidRPr="00E96362" w:rsidRDefault="00C94624" w:rsidP="00C465DA">
      <w:pPr>
        <w:spacing w:after="0"/>
        <w:ind w:left="142"/>
      </w:pPr>
      <w:r w:rsidRPr="00E96362">
        <w:t xml:space="preserve">Dr </w:t>
      </w:r>
      <w:r w:rsidR="00E96362" w:rsidRPr="00E96362">
        <w:t>Patience Nombeko Mbava</w:t>
      </w:r>
    </w:p>
    <w:p w:rsidR="00E66FD8" w:rsidRPr="00C22AB8" w:rsidRDefault="00E66FD8" w:rsidP="00C465DA">
      <w:pPr>
        <w:spacing w:after="0"/>
        <w:ind w:left="142"/>
        <w:rPr>
          <w:b/>
          <w:bCs/>
        </w:rPr>
      </w:pPr>
      <w:r w:rsidRPr="00C22AB8">
        <w:rPr>
          <w:b/>
          <w:bCs/>
        </w:rPr>
        <w:t>Chairperson</w:t>
      </w:r>
    </w:p>
    <w:p w:rsidR="00E66FD8" w:rsidRDefault="00B420E4" w:rsidP="00C465DA">
      <w:pPr>
        <w:spacing w:after="0"/>
        <w:ind w:left="142"/>
      </w:pPr>
      <w:r>
        <w:t>Financial and Fiscal Commission</w:t>
      </w:r>
    </w:p>
    <w:p w:rsidR="00392B1E" w:rsidRDefault="00392B1E" w:rsidP="00C465DA">
      <w:pPr>
        <w:spacing w:after="0"/>
        <w:ind w:left="142"/>
      </w:pPr>
    </w:p>
    <w:p w:rsidR="00B420E4" w:rsidRDefault="00B420E4" w:rsidP="00C465DA">
      <w:pPr>
        <w:spacing w:after="0"/>
        <w:ind w:left="142"/>
      </w:pPr>
      <w:r>
        <w:t xml:space="preserve">Date: </w:t>
      </w:r>
      <w:r w:rsidR="00654897">
        <w:t>15 November 2021</w:t>
      </w:r>
    </w:p>
    <w:sectPr w:rsidR="00B420E4" w:rsidSect="0065081A">
      <w:headerReference w:type="default" r:id="rId28"/>
      <w:footerReference w:type="default" r:id="rId29"/>
      <w:pgSz w:w="11906" w:h="16838"/>
      <w:pgMar w:top="1440" w:right="1440" w:bottom="1440" w:left="1440" w:header="708" w:footer="708" w:gutter="0"/>
      <w:pgBorders w:display="firstPage" w:offsetFrom="page">
        <w:top w:val="single" w:sz="4" w:space="24" w:color="9BBB59" w:themeColor="accent3"/>
        <w:left w:val="single" w:sz="4" w:space="24" w:color="9BBB59" w:themeColor="accent3"/>
        <w:bottom w:val="single" w:sz="4" w:space="24" w:color="9BBB59" w:themeColor="accent3"/>
        <w:right w:val="single" w:sz="4" w:space="24" w:color="9BBB59" w:themeColor="accent3"/>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5F7" w:rsidRDefault="009C65F7" w:rsidP="00171865">
      <w:pPr>
        <w:spacing w:after="0" w:line="240" w:lineRule="auto"/>
      </w:pPr>
      <w:r>
        <w:separator/>
      </w:r>
    </w:p>
  </w:endnote>
  <w:endnote w:type="continuationSeparator" w:id="0">
    <w:p w:rsidR="009C65F7" w:rsidRDefault="009C65F7" w:rsidP="00171865">
      <w:pPr>
        <w:spacing w:after="0" w:line="240" w:lineRule="auto"/>
      </w:pPr>
      <w:r>
        <w:continuationSeparator/>
      </w:r>
    </w:p>
  </w:endnote>
  <w:endnote w:type="continuationNotice" w:id="1">
    <w:p w:rsidR="009C65F7" w:rsidRDefault="009C65F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611052"/>
      <w:docPartObj>
        <w:docPartGallery w:val="Page Numbers (Bottom of Page)"/>
        <w:docPartUnique/>
      </w:docPartObj>
    </w:sdtPr>
    <w:sdtContent>
      <w:sdt>
        <w:sdtPr>
          <w:id w:val="-1769616900"/>
          <w:docPartObj>
            <w:docPartGallery w:val="Page Numbers (Top of Page)"/>
            <w:docPartUnique/>
          </w:docPartObj>
        </w:sdtPr>
        <w:sdtContent>
          <w:p w:rsidR="00B148F1" w:rsidRDefault="00B148F1">
            <w:pPr>
              <w:pStyle w:val="Footer"/>
              <w:jc w:val="right"/>
            </w:pPr>
            <w:r>
              <w:t xml:space="preserve">Page </w:t>
            </w:r>
            <w:r w:rsidR="002B36AE">
              <w:rPr>
                <w:b/>
                <w:bCs/>
                <w:sz w:val="24"/>
                <w:szCs w:val="24"/>
              </w:rPr>
              <w:fldChar w:fldCharType="begin"/>
            </w:r>
            <w:r>
              <w:rPr>
                <w:b/>
                <w:bCs/>
              </w:rPr>
              <w:instrText xml:space="preserve"> PAGE </w:instrText>
            </w:r>
            <w:r w:rsidR="002B36AE">
              <w:rPr>
                <w:b/>
                <w:bCs/>
                <w:sz w:val="24"/>
                <w:szCs w:val="24"/>
              </w:rPr>
              <w:fldChar w:fldCharType="separate"/>
            </w:r>
            <w:r w:rsidR="009C65F7">
              <w:rPr>
                <w:b/>
                <w:bCs/>
                <w:noProof/>
              </w:rPr>
              <w:t>1</w:t>
            </w:r>
            <w:r w:rsidR="002B36AE">
              <w:rPr>
                <w:b/>
                <w:bCs/>
                <w:sz w:val="24"/>
                <w:szCs w:val="24"/>
              </w:rPr>
              <w:fldChar w:fldCharType="end"/>
            </w:r>
            <w:r>
              <w:t xml:space="preserve"> of </w:t>
            </w:r>
            <w:r w:rsidR="002B36AE">
              <w:rPr>
                <w:b/>
                <w:bCs/>
                <w:sz w:val="24"/>
                <w:szCs w:val="24"/>
              </w:rPr>
              <w:fldChar w:fldCharType="begin"/>
            </w:r>
            <w:r>
              <w:rPr>
                <w:b/>
                <w:bCs/>
              </w:rPr>
              <w:instrText xml:space="preserve"> NUMPAGES  </w:instrText>
            </w:r>
            <w:r w:rsidR="002B36AE">
              <w:rPr>
                <w:b/>
                <w:bCs/>
                <w:sz w:val="24"/>
                <w:szCs w:val="24"/>
              </w:rPr>
              <w:fldChar w:fldCharType="separate"/>
            </w:r>
            <w:r w:rsidR="009C65F7">
              <w:rPr>
                <w:b/>
                <w:bCs/>
                <w:noProof/>
              </w:rPr>
              <w:t>1</w:t>
            </w:r>
            <w:r w:rsidR="002B36AE">
              <w:rPr>
                <w:b/>
                <w:bCs/>
                <w:sz w:val="24"/>
                <w:szCs w:val="24"/>
              </w:rPr>
              <w:fldChar w:fldCharType="end"/>
            </w:r>
          </w:p>
        </w:sdtContent>
      </w:sdt>
    </w:sdtContent>
  </w:sdt>
  <w:p w:rsidR="00B148F1" w:rsidRDefault="00B148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5F7" w:rsidRDefault="009C65F7" w:rsidP="00171865">
      <w:pPr>
        <w:spacing w:after="0" w:line="240" w:lineRule="auto"/>
      </w:pPr>
      <w:r>
        <w:separator/>
      </w:r>
    </w:p>
  </w:footnote>
  <w:footnote w:type="continuationSeparator" w:id="0">
    <w:p w:rsidR="009C65F7" w:rsidRDefault="009C65F7" w:rsidP="00171865">
      <w:pPr>
        <w:spacing w:after="0" w:line="240" w:lineRule="auto"/>
      </w:pPr>
      <w:r>
        <w:continuationSeparator/>
      </w:r>
    </w:p>
  </w:footnote>
  <w:footnote w:type="continuationNotice" w:id="1">
    <w:p w:rsidR="009C65F7" w:rsidRDefault="009C65F7">
      <w:pPr>
        <w:spacing w:after="0" w:line="240" w:lineRule="auto"/>
      </w:pPr>
    </w:p>
  </w:footnote>
  <w:footnote w:id="2">
    <w:p w:rsidR="00777226" w:rsidRDefault="00777226">
      <w:pPr>
        <w:pStyle w:val="FootnoteText"/>
      </w:pPr>
      <w:r>
        <w:rPr>
          <w:rStyle w:val="FootnoteReference"/>
        </w:rPr>
        <w:footnoteRef/>
      </w:r>
      <w:r>
        <w:t xml:space="preserve"> </w:t>
      </w:r>
      <w:r w:rsidR="00845263" w:rsidRPr="00845263">
        <w:t>2021 Budget Review noted that of the local government grants, this grant experienced the largest proportional reduction (of R1.3 billion), because only six of the 13 cities receiving the grant have successfully launched public transport systems.</w:t>
      </w:r>
    </w:p>
  </w:footnote>
  <w:footnote w:id="3">
    <w:p w:rsidR="006022E9" w:rsidRDefault="006022E9">
      <w:pPr>
        <w:pStyle w:val="FootnoteText"/>
      </w:pPr>
      <w:r>
        <w:rPr>
          <w:rStyle w:val="FootnoteReference"/>
        </w:rPr>
        <w:footnoteRef/>
      </w:r>
      <w:r>
        <w:t xml:space="preserve"> </w:t>
      </w:r>
      <w:r w:rsidR="005C581E" w:rsidRPr="005C581E">
        <w:t>Section 70 of the PFMA states that: “A Cabinet member, with the written concurrence of the Minister… may issue a guarantee, indemnity or security which binds the National Revenue Fund in respect of a financial commitment incurred or to be incurred by the national executive. The section further states that any payment under a guarantee, indemnity or security issued in terms of the above, “is a direct charge against the National Revenue Fund, and any such payment must in the first instance be defrayed from the funds budgeted for the department that is concerned with the issue of the guarantee, indemnity or security in question”.</w:t>
      </w:r>
    </w:p>
  </w:footnote>
  <w:footnote w:id="4">
    <w:p w:rsidR="00DE101F" w:rsidRDefault="00DE101F">
      <w:pPr>
        <w:pStyle w:val="FootnoteText"/>
      </w:pPr>
      <w:r>
        <w:rPr>
          <w:rStyle w:val="FootnoteReference"/>
        </w:rPr>
        <w:footnoteRef/>
      </w:r>
      <w:r>
        <w:t xml:space="preserve"> </w:t>
      </w:r>
      <w:r w:rsidRPr="00DE101F">
        <w:t>A hung council refers to when no party has won the majority of the seats therefore making the parties with the most votes or seats as the key decision-makers or known as a coalition municipality.</w:t>
      </w:r>
    </w:p>
  </w:footnote>
  <w:footnote w:id="5">
    <w:p w:rsidR="00B148F1" w:rsidRDefault="00B148F1" w:rsidP="005D0B0E">
      <w:pPr>
        <w:pStyle w:val="FootnoteText"/>
      </w:pPr>
      <w:r>
        <w:rPr>
          <w:rStyle w:val="FootnoteReference"/>
        </w:rPr>
        <w:footnoteRef/>
      </w:r>
      <w:r>
        <w:t xml:space="preserve"> National Treasury, 2021- Budget Review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8F1" w:rsidRDefault="002B36AE">
    <w:pPr>
      <w:pStyle w:val="Header"/>
    </w:pPr>
    <w:r>
      <w:rPr>
        <w:noProof/>
        <w:lang w:eastAsia="en-ZA"/>
      </w:rPr>
      <w:pict>
        <v:shapetype id="_x0000_t202" coordsize="21600,21600" o:spt="202" path="m,l,21600r21600,l21600,xe">
          <v:stroke joinstyle="miter"/>
          <v:path gradientshapeok="t" o:connecttype="rect"/>
        </v:shapetype>
        <v:shape id="Text Box 1" o:spid="_x0000_s1026" type="#_x0000_t202" style="position:absolute;margin-left:0;margin-top:29.3pt;width:451.3pt;height:12.65pt;z-index:251658241;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" o:allowincell="f" filled="f" stroked="f">
          <v:textbox style="mso-fit-shape-to-text:t" inset=",0,,0">
            <w:txbxContent>
              <w:p w:rsidR="00B148F1" w:rsidRPr="00F6149D" w:rsidRDefault="00B148F1">
                <w:pPr>
                  <w:spacing w:after="0" w:line="240" w:lineRule="auto"/>
                  <w:rPr>
                    <w:color w:val="26724C"/>
                  </w:rPr>
                </w:pPr>
                <w:r w:rsidRPr="00F6149D">
                  <w:rPr>
                    <w:i/>
                    <w:iCs/>
                    <w:color w:val="26724C"/>
                  </w:rPr>
                  <w:t xml:space="preserve">Financial and Fiscal Commission: Response to the </w:t>
                </w:r>
                <w:r>
                  <w:rPr>
                    <w:i/>
                    <w:iCs/>
                    <w:color w:val="26724C"/>
                  </w:rPr>
                  <w:t>2021 MTBPS</w:t>
                </w:r>
              </w:p>
            </w:txbxContent>
          </v:textbox>
          <w10:wrap anchorx="margin" anchory="page"/>
        </v:shape>
      </w:pict>
    </w:r>
    <w:r>
      <w:rPr>
        <w:noProof/>
        <w:lang w:eastAsia="en-ZA"/>
      </w:rPr>
      <w:pict>
        <v:shape id="Text Box 2" o:spid="_x0000_s1027" type="#_x0000_t202" style="position:absolute;margin-left:0;margin-top:29.3pt;width:1in;height:12.65pt;z-index:251658240;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" o:allowincell="f" fillcolor="#396" stroked="f">
          <v:textbox style="mso-fit-shape-to-text:t" inset=",0,,0">
            <w:txbxContent>
              <w:p w:rsidR="00B148F1" w:rsidRPr="00171865" w:rsidRDefault="002B36AE">
                <w:pPr>
                  <w:spacing w:after="0" w:line="240" w:lineRule="auto"/>
                  <w:jc w:val="right"/>
                </w:pPr>
                <w:r>
                  <w:fldChar w:fldCharType="begin"/>
                </w:r>
                <w:r w:rsidR="00B148F1">
                  <w:instrText xml:space="preserve"> PAGE   \* MERGEFORMAT </w:instrText>
                </w:r>
                <w:r>
                  <w:fldChar w:fldCharType="separate"/>
                </w:r>
                <w:r w:rsidR="009C65F7">
                  <w:rPr>
                    <w:noProof/>
                  </w:rPr>
                  <w:t>1</w:t>
                </w:r>
                <w:r>
                  <w:rPr>
                    <w:noProof/>
                  </w:rPr>
                  <w:fldChar w:fldCharType="end"/>
                </w:r>
              </w:p>
            </w:txbxContent>
          </v:textbox>
          <w10:wrap anchorx="page" anchory="page"/>
        </v:shape>
      </w:pict>
    </w:r>
  </w:p>
</w:hdr>
</file>

<file path=word/intelligence.xml><?xml version="1.0" encoding="utf-8"?>
<int:Intelligence xmlns:int="http://schemas.microsoft.com/office/intelligence/2019/intelligence">
  <int:IntelligenceSettings/>
  <int:Manifest>
    <int:WordHash hashCode="XURs6I5Q95K3yS" id="CoKk2Vwf"/>
    <int:WordHash hashCode="d6vvkjI26POa0b" id="AxY6Yi47"/>
  </int:Manifest>
  <int:Observations>
    <int:Content id="CoKk2Vwf">
      <int:Rejection type="LegacyProofing"/>
    </int:Content>
    <int:Content id="AxY6Yi47">
      <int:Rejection type="LegacyProofing"/>
    </int:Content>
  </int:Observations>
</int: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CCA"/>
    <w:multiLevelType w:val="hybridMultilevel"/>
    <w:tmpl w:val="FFFFFFFF"/>
    <w:lvl w:ilvl="0" w:tplc="998E52FE">
      <w:start w:val="1"/>
      <w:numFmt w:val="bullet"/>
      <w:lvlText w:val="·"/>
      <w:lvlJc w:val="left"/>
      <w:pPr>
        <w:ind w:left="720" w:hanging="360"/>
      </w:pPr>
      <w:rPr>
        <w:rFonts w:ascii="Symbol" w:hAnsi="Symbol" w:hint="default"/>
      </w:rPr>
    </w:lvl>
    <w:lvl w:ilvl="1" w:tplc="5AC6CF3A">
      <w:start w:val="1"/>
      <w:numFmt w:val="bullet"/>
      <w:lvlText w:val="o"/>
      <w:lvlJc w:val="left"/>
      <w:pPr>
        <w:ind w:left="1440" w:hanging="360"/>
      </w:pPr>
      <w:rPr>
        <w:rFonts w:ascii="Courier New" w:hAnsi="Courier New" w:hint="default"/>
      </w:rPr>
    </w:lvl>
    <w:lvl w:ilvl="2" w:tplc="A0A2E77A">
      <w:start w:val="1"/>
      <w:numFmt w:val="bullet"/>
      <w:lvlText w:val=""/>
      <w:lvlJc w:val="left"/>
      <w:pPr>
        <w:ind w:left="2160" w:hanging="360"/>
      </w:pPr>
      <w:rPr>
        <w:rFonts w:ascii="Wingdings" w:hAnsi="Wingdings" w:hint="default"/>
      </w:rPr>
    </w:lvl>
    <w:lvl w:ilvl="3" w:tplc="EC4A745A">
      <w:start w:val="1"/>
      <w:numFmt w:val="bullet"/>
      <w:lvlText w:val=""/>
      <w:lvlJc w:val="left"/>
      <w:pPr>
        <w:ind w:left="2880" w:hanging="360"/>
      </w:pPr>
      <w:rPr>
        <w:rFonts w:ascii="Symbol" w:hAnsi="Symbol" w:hint="default"/>
      </w:rPr>
    </w:lvl>
    <w:lvl w:ilvl="4" w:tplc="0AA0FFC2">
      <w:start w:val="1"/>
      <w:numFmt w:val="bullet"/>
      <w:lvlText w:val="o"/>
      <w:lvlJc w:val="left"/>
      <w:pPr>
        <w:ind w:left="3600" w:hanging="360"/>
      </w:pPr>
      <w:rPr>
        <w:rFonts w:ascii="Courier New" w:hAnsi="Courier New" w:hint="default"/>
      </w:rPr>
    </w:lvl>
    <w:lvl w:ilvl="5" w:tplc="520ABF92">
      <w:start w:val="1"/>
      <w:numFmt w:val="bullet"/>
      <w:lvlText w:val=""/>
      <w:lvlJc w:val="left"/>
      <w:pPr>
        <w:ind w:left="4320" w:hanging="360"/>
      </w:pPr>
      <w:rPr>
        <w:rFonts w:ascii="Wingdings" w:hAnsi="Wingdings" w:hint="default"/>
      </w:rPr>
    </w:lvl>
    <w:lvl w:ilvl="6" w:tplc="ED184182">
      <w:start w:val="1"/>
      <w:numFmt w:val="bullet"/>
      <w:lvlText w:val=""/>
      <w:lvlJc w:val="left"/>
      <w:pPr>
        <w:ind w:left="5040" w:hanging="360"/>
      </w:pPr>
      <w:rPr>
        <w:rFonts w:ascii="Symbol" w:hAnsi="Symbol" w:hint="default"/>
      </w:rPr>
    </w:lvl>
    <w:lvl w:ilvl="7" w:tplc="A87ADF52">
      <w:start w:val="1"/>
      <w:numFmt w:val="bullet"/>
      <w:lvlText w:val="o"/>
      <w:lvlJc w:val="left"/>
      <w:pPr>
        <w:ind w:left="5760" w:hanging="360"/>
      </w:pPr>
      <w:rPr>
        <w:rFonts w:ascii="Courier New" w:hAnsi="Courier New" w:hint="default"/>
      </w:rPr>
    </w:lvl>
    <w:lvl w:ilvl="8" w:tplc="110C5128">
      <w:start w:val="1"/>
      <w:numFmt w:val="bullet"/>
      <w:lvlText w:val=""/>
      <w:lvlJc w:val="left"/>
      <w:pPr>
        <w:ind w:left="6480" w:hanging="360"/>
      </w:pPr>
      <w:rPr>
        <w:rFonts w:ascii="Wingdings" w:hAnsi="Wingdings" w:hint="default"/>
      </w:rPr>
    </w:lvl>
  </w:abstractNum>
  <w:abstractNum w:abstractNumId="1">
    <w:nsid w:val="03545657"/>
    <w:multiLevelType w:val="hybridMultilevel"/>
    <w:tmpl w:val="FFFFFFFF"/>
    <w:lvl w:ilvl="0" w:tplc="1FB81CCC">
      <w:numFmt w:val="none"/>
      <w:lvlText w:val=""/>
      <w:lvlJc w:val="left"/>
      <w:pPr>
        <w:tabs>
          <w:tab w:val="num" w:pos="360"/>
        </w:tabs>
      </w:pPr>
    </w:lvl>
    <w:lvl w:ilvl="1" w:tplc="05EC6DDA">
      <w:start w:val="1"/>
      <w:numFmt w:val="lowerLetter"/>
      <w:lvlText w:val="%2."/>
      <w:lvlJc w:val="left"/>
      <w:pPr>
        <w:ind w:left="1440" w:hanging="360"/>
      </w:pPr>
    </w:lvl>
    <w:lvl w:ilvl="2" w:tplc="A6AE05D8">
      <w:start w:val="1"/>
      <w:numFmt w:val="lowerRoman"/>
      <w:lvlText w:val="%3."/>
      <w:lvlJc w:val="right"/>
      <w:pPr>
        <w:ind w:left="2160" w:hanging="180"/>
      </w:pPr>
    </w:lvl>
    <w:lvl w:ilvl="3" w:tplc="92961810">
      <w:start w:val="1"/>
      <w:numFmt w:val="decimal"/>
      <w:lvlText w:val="%4."/>
      <w:lvlJc w:val="left"/>
      <w:pPr>
        <w:ind w:left="2880" w:hanging="360"/>
      </w:pPr>
    </w:lvl>
    <w:lvl w:ilvl="4" w:tplc="9CCE0E0A">
      <w:start w:val="1"/>
      <w:numFmt w:val="lowerLetter"/>
      <w:lvlText w:val="%5."/>
      <w:lvlJc w:val="left"/>
      <w:pPr>
        <w:ind w:left="3600" w:hanging="360"/>
      </w:pPr>
    </w:lvl>
    <w:lvl w:ilvl="5" w:tplc="E5F81B46">
      <w:start w:val="1"/>
      <w:numFmt w:val="lowerRoman"/>
      <w:lvlText w:val="%6."/>
      <w:lvlJc w:val="right"/>
      <w:pPr>
        <w:ind w:left="4320" w:hanging="180"/>
      </w:pPr>
    </w:lvl>
    <w:lvl w:ilvl="6" w:tplc="9E7C86E6">
      <w:start w:val="1"/>
      <w:numFmt w:val="decimal"/>
      <w:lvlText w:val="%7."/>
      <w:lvlJc w:val="left"/>
      <w:pPr>
        <w:ind w:left="5040" w:hanging="360"/>
      </w:pPr>
    </w:lvl>
    <w:lvl w:ilvl="7" w:tplc="8794CCDA">
      <w:start w:val="1"/>
      <w:numFmt w:val="lowerLetter"/>
      <w:lvlText w:val="%8."/>
      <w:lvlJc w:val="left"/>
      <w:pPr>
        <w:ind w:left="5760" w:hanging="360"/>
      </w:pPr>
    </w:lvl>
    <w:lvl w:ilvl="8" w:tplc="5994EDAA">
      <w:start w:val="1"/>
      <w:numFmt w:val="lowerRoman"/>
      <w:lvlText w:val="%9."/>
      <w:lvlJc w:val="right"/>
      <w:pPr>
        <w:ind w:left="6480" w:hanging="180"/>
      </w:pPr>
    </w:lvl>
  </w:abstractNum>
  <w:abstractNum w:abstractNumId="2">
    <w:nsid w:val="04AE4432"/>
    <w:multiLevelType w:val="hybridMultilevel"/>
    <w:tmpl w:val="FFFFFFFF"/>
    <w:lvl w:ilvl="0" w:tplc="DF60E60A">
      <w:start w:val="1"/>
      <w:numFmt w:val="bullet"/>
      <w:lvlText w:val="·"/>
      <w:lvlJc w:val="left"/>
      <w:pPr>
        <w:ind w:left="720" w:hanging="360"/>
      </w:pPr>
      <w:rPr>
        <w:rFonts w:ascii="Symbol" w:hAnsi="Symbol" w:hint="default"/>
      </w:rPr>
    </w:lvl>
    <w:lvl w:ilvl="1" w:tplc="CCE63A2C">
      <w:start w:val="1"/>
      <w:numFmt w:val="bullet"/>
      <w:lvlText w:val="o"/>
      <w:lvlJc w:val="left"/>
      <w:pPr>
        <w:ind w:left="1440" w:hanging="360"/>
      </w:pPr>
      <w:rPr>
        <w:rFonts w:ascii="Courier New" w:hAnsi="Courier New" w:hint="default"/>
      </w:rPr>
    </w:lvl>
    <w:lvl w:ilvl="2" w:tplc="F5BCCA4A">
      <w:start w:val="1"/>
      <w:numFmt w:val="bullet"/>
      <w:lvlText w:val=""/>
      <w:lvlJc w:val="left"/>
      <w:pPr>
        <w:ind w:left="2160" w:hanging="360"/>
      </w:pPr>
      <w:rPr>
        <w:rFonts w:ascii="Wingdings" w:hAnsi="Wingdings" w:hint="default"/>
      </w:rPr>
    </w:lvl>
    <w:lvl w:ilvl="3" w:tplc="0A4A37EE">
      <w:start w:val="1"/>
      <w:numFmt w:val="bullet"/>
      <w:lvlText w:val=""/>
      <w:lvlJc w:val="left"/>
      <w:pPr>
        <w:ind w:left="2880" w:hanging="360"/>
      </w:pPr>
      <w:rPr>
        <w:rFonts w:ascii="Symbol" w:hAnsi="Symbol" w:hint="default"/>
      </w:rPr>
    </w:lvl>
    <w:lvl w:ilvl="4" w:tplc="030A1808">
      <w:start w:val="1"/>
      <w:numFmt w:val="bullet"/>
      <w:lvlText w:val="o"/>
      <w:lvlJc w:val="left"/>
      <w:pPr>
        <w:ind w:left="3600" w:hanging="360"/>
      </w:pPr>
      <w:rPr>
        <w:rFonts w:ascii="Courier New" w:hAnsi="Courier New" w:hint="default"/>
      </w:rPr>
    </w:lvl>
    <w:lvl w:ilvl="5" w:tplc="44A82D9E">
      <w:start w:val="1"/>
      <w:numFmt w:val="bullet"/>
      <w:lvlText w:val=""/>
      <w:lvlJc w:val="left"/>
      <w:pPr>
        <w:ind w:left="4320" w:hanging="360"/>
      </w:pPr>
      <w:rPr>
        <w:rFonts w:ascii="Wingdings" w:hAnsi="Wingdings" w:hint="default"/>
      </w:rPr>
    </w:lvl>
    <w:lvl w:ilvl="6" w:tplc="4AB8D65C">
      <w:start w:val="1"/>
      <w:numFmt w:val="bullet"/>
      <w:lvlText w:val=""/>
      <w:lvlJc w:val="left"/>
      <w:pPr>
        <w:ind w:left="5040" w:hanging="360"/>
      </w:pPr>
      <w:rPr>
        <w:rFonts w:ascii="Symbol" w:hAnsi="Symbol" w:hint="default"/>
      </w:rPr>
    </w:lvl>
    <w:lvl w:ilvl="7" w:tplc="0196407A">
      <w:start w:val="1"/>
      <w:numFmt w:val="bullet"/>
      <w:lvlText w:val="o"/>
      <w:lvlJc w:val="left"/>
      <w:pPr>
        <w:ind w:left="5760" w:hanging="360"/>
      </w:pPr>
      <w:rPr>
        <w:rFonts w:ascii="Courier New" w:hAnsi="Courier New" w:hint="default"/>
      </w:rPr>
    </w:lvl>
    <w:lvl w:ilvl="8" w:tplc="DDDE104E">
      <w:start w:val="1"/>
      <w:numFmt w:val="bullet"/>
      <w:lvlText w:val=""/>
      <w:lvlJc w:val="left"/>
      <w:pPr>
        <w:ind w:left="6480" w:hanging="360"/>
      </w:pPr>
      <w:rPr>
        <w:rFonts w:ascii="Wingdings" w:hAnsi="Wingdings" w:hint="default"/>
      </w:rPr>
    </w:lvl>
  </w:abstractNum>
  <w:abstractNum w:abstractNumId="3">
    <w:nsid w:val="0A4B0182"/>
    <w:multiLevelType w:val="hybridMultilevel"/>
    <w:tmpl w:val="FFFFFFFF"/>
    <w:lvl w:ilvl="0" w:tplc="2F9CEF5A">
      <w:start w:val="1"/>
      <w:numFmt w:val="bullet"/>
      <w:lvlText w:val=""/>
      <w:lvlJc w:val="left"/>
      <w:pPr>
        <w:ind w:left="720" w:hanging="360"/>
      </w:pPr>
      <w:rPr>
        <w:rFonts w:ascii="Symbol" w:hAnsi="Symbol" w:hint="default"/>
      </w:rPr>
    </w:lvl>
    <w:lvl w:ilvl="1" w:tplc="FA0C30C6">
      <w:start w:val="1"/>
      <w:numFmt w:val="bullet"/>
      <w:lvlText w:val="o"/>
      <w:lvlJc w:val="left"/>
      <w:pPr>
        <w:ind w:left="1440" w:hanging="360"/>
      </w:pPr>
      <w:rPr>
        <w:rFonts w:ascii="&quot;Courier New&quot;" w:hAnsi="&quot;Courier New&quot;" w:hint="default"/>
      </w:rPr>
    </w:lvl>
    <w:lvl w:ilvl="2" w:tplc="A1B8B5EE">
      <w:start w:val="1"/>
      <w:numFmt w:val="bullet"/>
      <w:lvlText w:val=""/>
      <w:lvlJc w:val="left"/>
      <w:pPr>
        <w:ind w:left="2160" w:hanging="360"/>
      </w:pPr>
      <w:rPr>
        <w:rFonts w:ascii="Wingdings" w:hAnsi="Wingdings" w:hint="default"/>
      </w:rPr>
    </w:lvl>
    <w:lvl w:ilvl="3" w:tplc="1024AB1E">
      <w:start w:val="1"/>
      <w:numFmt w:val="bullet"/>
      <w:lvlText w:val=""/>
      <w:lvlJc w:val="left"/>
      <w:pPr>
        <w:ind w:left="2880" w:hanging="360"/>
      </w:pPr>
      <w:rPr>
        <w:rFonts w:ascii="Symbol" w:hAnsi="Symbol" w:hint="default"/>
      </w:rPr>
    </w:lvl>
    <w:lvl w:ilvl="4" w:tplc="08B0B81A">
      <w:start w:val="1"/>
      <w:numFmt w:val="bullet"/>
      <w:lvlText w:val="o"/>
      <w:lvlJc w:val="left"/>
      <w:pPr>
        <w:ind w:left="3600" w:hanging="360"/>
      </w:pPr>
      <w:rPr>
        <w:rFonts w:ascii="Courier New" w:hAnsi="Courier New" w:hint="default"/>
      </w:rPr>
    </w:lvl>
    <w:lvl w:ilvl="5" w:tplc="4F2A60D4">
      <w:start w:val="1"/>
      <w:numFmt w:val="bullet"/>
      <w:lvlText w:val=""/>
      <w:lvlJc w:val="left"/>
      <w:pPr>
        <w:ind w:left="4320" w:hanging="360"/>
      </w:pPr>
      <w:rPr>
        <w:rFonts w:ascii="Wingdings" w:hAnsi="Wingdings" w:hint="default"/>
      </w:rPr>
    </w:lvl>
    <w:lvl w:ilvl="6" w:tplc="0A54999C">
      <w:start w:val="1"/>
      <w:numFmt w:val="bullet"/>
      <w:lvlText w:val=""/>
      <w:lvlJc w:val="left"/>
      <w:pPr>
        <w:ind w:left="5040" w:hanging="360"/>
      </w:pPr>
      <w:rPr>
        <w:rFonts w:ascii="Symbol" w:hAnsi="Symbol" w:hint="default"/>
      </w:rPr>
    </w:lvl>
    <w:lvl w:ilvl="7" w:tplc="751C3112">
      <w:start w:val="1"/>
      <w:numFmt w:val="bullet"/>
      <w:lvlText w:val="o"/>
      <w:lvlJc w:val="left"/>
      <w:pPr>
        <w:ind w:left="5760" w:hanging="360"/>
      </w:pPr>
      <w:rPr>
        <w:rFonts w:ascii="Courier New" w:hAnsi="Courier New" w:hint="default"/>
      </w:rPr>
    </w:lvl>
    <w:lvl w:ilvl="8" w:tplc="CEEE04F6">
      <w:start w:val="1"/>
      <w:numFmt w:val="bullet"/>
      <w:lvlText w:val=""/>
      <w:lvlJc w:val="left"/>
      <w:pPr>
        <w:ind w:left="6480" w:hanging="360"/>
      </w:pPr>
      <w:rPr>
        <w:rFonts w:ascii="Wingdings" w:hAnsi="Wingdings" w:hint="default"/>
      </w:rPr>
    </w:lvl>
  </w:abstractNum>
  <w:abstractNum w:abstractNumId="4">
    <w:nsid w:val="0A8079CA"/>
    <w:multiLevelType w:val="hybridMultilevel"/>
    <w:tmpl w:val="FFFFFFFF"/>
    <w:lvl w:ilvl="0" w:tplc="086EADA2">
      <w:start w:val="1"/>
      <w:numFmt w:val="bullet"/>
      <w:lvlText w:val=""/>
      <w:lvlJc w:val="left"/>
      <w:pPr>
        <w:ind w:left="720" w:hanging="360"/>
      </w:pPr>
      <w:rPr>
        <w:rFonts w:ascii="Symbol" w:hAnsi="Symbol" w:hint="default"/>
      </w:rPr>
    </w:lvl>
    <w:lvl w:ilvl="1" w:tplc="B802BDB0">
      <w:start w:val="1"/>
      <w:numFmt w:val="bullet"/>
      <w:lvlText w:val="o"/>
      <w:lvlJc w:val="left"/>
      <w:pPr>
        <w:ind w:left="1440" w:hanging="360"/>
      </w:pPr>
      <w:rPr>
        <w:rFonts w:ascii="Courier New" w:hAnsi="Courier New" w:hint="default"/>
      </w:rPr>
    </w:lvl>
    <w:lvl w:ilvl="2" w:tplc="B5B0C632">
      <w:start w:val="1"/>
      <w:numFmt w:val="bullet"/>
      <w:lvlText w:val=""/>
      <w:lvlJc w:val="left"/>
      <w:pPr>
        <w:ind w:left="2160" w:hanging="360"/>
      </w:pPr>
      <w:rPr>
        <w:rFonts w:ascii="Wingdings" w:hAnsi="Wingdings" w:hint="default"/>
      </w:rPr>
    </w:lvl>
    <w:lvl w:ilvl="3" w:tplc="05B8E012">
      <w:start w:val="1"/>
      <w:numFmt w:val="bullet"/>
      <w:lvlText w:val=""/>
      <w:lvlJc w:val="left"/>
      <w:pPr>
        <w:ind w:left="2880" w:hanging="360"/>
      </w:pPr>
      <w:rPr>
        <w:rFonts w:ascii="Symbol" w:hAnsi="Symbol" w:hint="default"/>
      </w:rPr>
    </w:lvl>
    <w:lvl w:ilvl="4" w:tplc="CE1ECA62">
      <w:start w:val="1"/>
      <w:numFmt w:val="bullet"/>
      <w:lvlText w:val="o"/>
      <w:lvlJc w:val="left"/>
      <w:pPr>
        <w:ind w:left="3600" w:hanging="360"/>
      </w:pPr>
      <w:rPr>
        <w:rFonts w:ascii="Courier New" w:hAnsi="Courier New" w:hint="default"/>
      </w:rPr>
    </w:lvl>
    <w:lvl w:ilvl="5" w:tplc="961E741E">
      <w:start w:val="1"/>
      <w:numFmt w:val="bullet"/>
      <w:lvlText w:val=""/>
      <w:lvlJc w:val="left"/>
      <w:pPr>
        <w:ind w:left="4320" w:hanging="360"/>
      </w:pPr>
      <w:rPr>
        <w:rFonts w:ascii="Wingdings" w:hAnsi="Wingdings" w:hint="default"/>
      </w:rPr>
    </w:lvl>
    <w:lvl w:ilvl="6" w:tplc="227E9B32">
      <w:start w:val="1"/>
      <w:numFmt w:val="bullet"/>
      <w:lvlText w:val=""/>
      <w:lvlJc w:val="left"/>
      <w:pPr>
        <w:ind w:left="5040" w:hanging="360"/>
      </w:pPr>
      <w:rPr>
        <w:rFonts w:ascii="Symbol" w:hAnsi="Symbol" w:hint="default"/>
      </w:rPr>
    </w:lvl>
    <w:lvl w:ilvl="7" w:tplc="32DC6B6E">
      <w:start w:val="1"/>
      <w:numFmt w:val="bullet"/>
      <w:lvlText w:val="o"/>
      <w:lvlJc w:val="left"/>
      <w:pPr>
        <w:ind w:left="5760" w:hanging="360"/>
      </w:pPr>
      <w:rPr>
        <w:rFonts w:ascii="Courier New" w:hAnsi="Courier New" w:hint="default"/>
      </w:rPr>
    </w:lvl>
    <w:lvl w:ilvl="8" w:tplc="BA503D08">
      <w:start w:val="1"/>
      <w:numFmt w:val="bullet"/>
      <w:lvlText w:val=""/>
      <w:lvlJc w:val="left"/>
      <w:pPr>
        <w:ind w:left="6480" w:hanging="360"/>
      </w:pPr>
      <w:rPr>
        <w:rFonts w:ascii="Wingdings" w:hAnsi="Wingdings" w:hint="default"/>
      </w:rPr>
    </w:lvl>
  </w:abstractNum>
  <w:abstractNum w:abstractNumId="5">
    <w:nsid w:val="11BC1785"/>
    <w:multiLevelType w:val="hybridMultilevel"/>
    <w:tmpl w:val="22903F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35D79D4"/>
    <w:multiLevelType w:val="multilevel"/>
    <w:tmpl w:val="C1708CD6"/>
    <w:lvl w:ilvl="0">
      <w:start w:val="1"/>
      <w:numFmt w:val="decimal"/>
      <w:pStyle w:val="Heading1"/>
      <w:lvlText w:val="%1."/>
      <w:lvlJc w:val="left"/>
      <w:pPr>
        <w:ind w:left="360" w:hanging="360"/>
      </w:pPr>
      <w:rPr>
        <w:b/>
        <w:bCs/>
        <w:color w:val="006600"/>
      </w:rPr>
    </w:lvl>
    <w:lvl w:ilvl="1">
      <w:start w:val="1"/>
      <w:numFmt w:val="decimal"/>
      <w:pStyle w:val="ListParagraph"/>
      <w:lvlText w:val="%1.%2."/>
      <w:lvlJc w:val="left"/>
      <w:pPr>
        <w:ind w:left="574" w:hanging="432"/>
      </w:pPr>
      <w:rPr>
        <w:b w:val="0"/>
        <w:bCs w:val="0"/>
      </w:rPr>
    </w:lvl>
    <w:lvl w:ilvl="2">
      <w:start w:val="1"/>
      <w:numFmt w:val="bullet"/>
      <w:lvlText w:val=""/>
      <w:lvlJc w:val="left"/>
      <w:pPr>
        <w:ind w:left="1355" w:hanging="504"/>
      </w:pPr>
      <w:rPr>
        <w:rFonts w:ascii="Symbol" w:hAnsi="Symbol" w:hint="default"/>
        <w:b w:val="0"/>
        <w:sz w:val="24"/>
      </w:rPr>
    </w:lvl>
    <w:lvl w:ilvl="3">
      <w:start w:val="1"/>
      <w:numFmt w:val="lowerLetter"/>
      <w:lvlText w:val="%4."/>
      <w:lvlJc w:val="left"/>
      <w:pPr>
        <w:ind w:left="1728" w:hanging="648"/>
      </w:pPr>
      <w:rPr>
        <w:sz w:val="24"/>
        <w:szCs w:val="24"/>
      </w:rPr>
    </w:lvl>
    <w:lvl w:ilvl="4">
      <w:start w:val="1"/>
      <w:numFmt w:val="lowerRoman"/>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D5E52D5"/>
    <w:multiLevelType w:val="hybridMultilevel"/>
    <w:tmpl w:val="FFFFFFFF"/>
    <w:lvl w:ilvl="0" w:tplc="DF2AEAC0">
      <w:start w:val="1"/>
      <w:numFmt w:val="bullet"/>
      <w:lvlText w:val=""/>
      <w:lvlJc w:val="left"/>
      <w:pPr>
        <w:ind w:left="720" w:hanging="360"/>
      </w:pPr>
      <w:rPr>
        <w:rFonts w:ascii="Symbol" w:hAnsi="Symbol" w:hint="default"/>
      </w:rPr>
    </w:lvl>
    <w:lvl w:ilvl="1" w:tplc="671654C0">
      <w:start w:val="1"/>
      <w:numFmt w:val="bullet"/>
      <w:lvlText w:val="o"/>
      <w:lvlJc w:val="left"/>
      <w:pPr>
        <w:ind w:left="1440" w:hanging="360"/>
      </w:pPr>
      <w:rPr>
        <w:rFonts w:ascii="&quot;Courier New&quot;" w:hAnsi="&quot;Courier New&quot;" w:hint="default"/>
      </w:rPr>
    </w:lvl>
    <w:lvl w:ilvl="2" w:tplc="AFC0DDD2">
      <w:start w:val="1"/>
      <w:numFmt w:val="bullet"/>
      <w:lvlText w:val=""/>
      <w:lvlJc w:val="left"/>
      <w:pPr>
        <w:ind w:left="2160" w:hanging="360"/>
      </w:pPr>
      <w:rPr>
        <w:rFonts w:ascii="Wingdings" w:hAnsi="Wingdings" w:hint="default"/>
      </w:rPr>
    </w:lvl>
    <w:lvl w:ilvl="3" w:tplc="61928336">
      <w:start w:val="1"/>
      <w:numFmt w:val="bullet"/>
      <w:lvlText w:val=""/>
      <w:lvlJc w:val="left"/>
      <w:pPr>
        <w:ind w:left="2880" w:hanging="360"/>
      </w:pPr>
      <w:rPr>
        <w:rFonts w:ascii="Symbol" w:hAnsi="Symbol" w:hint="default"/>
      </w:rPr>
    </w:lvl>
    <w:lvl w:ilvl="4" w:tplc="2BCED200">
      <w:start w:val="1"/>
      <w:numFmt w:val="bullet"/>
      <w:lvlText w:val="o"/>
      <w:lvlJc w:val="left"/>
      <w:pPr>
        <w:ind w:left="3600" w:hanging="360"/>
      </w:pPr>
      <w:rPr>
        <w:rFonts w:ascii="Courier New" w:hAnsi="Courier New" w:hint="default"/>
      </w:rPr>
    </w:lvl>
    <w:lvl w:ilvl="5" w:tplc="DE782CDA">
      <w:start w:val="1"/>
      <w:numFmt w:val="bullet"/>
      <w:lvlText w:val=""/>
      <w:lvlJc w:val="left"/>
      <w:pPr>
        <w:ind w:left="4320" w:hanging="360"/>
      </w:pPr>
      <w:rPr>
        <w:rFonts w:ascii="Wingdings" w:hAnsi="Wingdings" w:hint="default"/>
      </w:rPr>
    </w:lvl>
    <w:lvl w:ilvl="6" w:tplc="F25EBF94">
      <w:start w:val="1"/>
      <w:numFmt w:val="bullet"/>
      <w:lvlText w:val=""/>
      <w:lvlJc w:val="left"/>
      <w:pPr>
        <w:ind w:left="5040" w:hanging="360"/>
      </w:pPr>
      <w:rPr>
        <w:rFonts w:ascii="Symbol" w:hAnsi="Symbol" w:hint="default"/>
      </w:rPr>
    </w:lvl>
    <w:lvl w:ilvl="7" w:tplc="14AC6288">
      <w:start w:val="1"/>
      <w:numFmt w:val="bullet"/>
      <w:lvlText w:val="o"/>
      <w:lvlJc w:val="left"/>
      <w:pPr>
        <w:ind w:left="5760" w:hanging="360"/>
      </w:pPr>
      <w:rPr>
        <w:rFonts w:ascii="Courier New" w:hAnsi="Courier New" w:hint="default"/>
      </w:rPr>
    </w:lvl>
    <w:lvl w:ilvl="8" w:tplc="644885D0">
      <w:start w:val="1"/>
      <w:numFmt w:val="bullet"/>
      <w:lvlText w:val=""/>
      <w:lvlJc w:val="left"/>
      <w:pPr>
        <w:ind w:left="6480" w:hanging="360"/>
      </w:pPr>
      <w:rPr>
        <w:rFonts w:ascii="Wingdings" w:hAnsi="Wingdings" w:hint="default"/>
      </w:rPr>
    </w:lvl>
  </w:abstractNum>
  <w:abstractNum w:abstractNumId="8">
    <w:nsid w:val="23AA6A35"/>
    <w:multiLevelType w:val="hybridMultilevel"/>
    <w:tmpl w:val="FFFFFFFF"/>
    <w:lvl w:ilvl="0" w:tplc="8D5A4290">
      <w:start w:val="1"/>
      <w:numFmt w:val="bullet"/>
      <w:lvlText w:val="·"/>
      <w:lvlJc w:val="left"/>
      <w:pPr>
        <w:ind w:left="720" w:hanging="360"/>
      </w:pPr>
      <w:rPr>
        <w:rFonts w:ascii="Symbol" w:hAnsi="Symbol" w:hint="default"/>
      </w:rPr>
    </w:lvl>
    <w:lvl w:ilvl="1" w:tplc="204AF7E0">
      <w:start w:val="1"/>
      <w:numFmt w:val="bullet"/>
      <w:lvlText w:val="o"/>
      <w:lvlJc w:val="left"/>
      <w:pPr>
        <w:ind w:left="1440" w:hanging="360"/>
      </w:pPr>
      <w:rPr>
        <w:rFonts w:ascii="Courier New" w:hAnsi="Courier New" w:hint="default"/>
      </w:rPr>
    </w:lvl>
    <w:lvl w:ilvl="2" w:tplc="0BA2B4B6">
      <w:start w:val="1"/>
      <w:numFmt w:val="bullet"/>
      <w:lvlText w:val=""/>
      <w:lvlJc w:val="left"/>
      <w:pPr>
        <w:ind w:left="2160" w:hanging="360"/>
      </w:pPr>
      <w:rPr>
        <w:rFonts w:ascii="Wingdings" w:hAnsi="Wingdings" w:hint="default"/>
      </w:rPr>
    </w:lvl>
    <w:lvl w:ilvl="3" w:tplc="5DD2987C">
      <w:start w:val="1"/>
      <w:numFmt w:val="bullet"/>
      <w:lvlText w:val=""/>
      <w:lvlJc w:val="left"/>
      <w:pPr>
        <w:ind w:left="2880" w:hanging="360"/>
      </w:pPr>
      <w:rPr>
        <w:rFonts w:ascii="Symbol" w:hAnsi="Symbol" w:hint="default"/>
      </w:rPr>
    </w:lvl>
    <w:lvl w:ilvl="4" w:tplc="364A2FBC">
      <w:start w:val="1"/>
      <w:numFmt w:val="bullet"/>
      <w:lvlText w:val="o"/>
      <w:lvlJc w:val="left"/>
      <w:pPr>
        <w:ind w:left="3600" w:hanging="360"/>
      </w:pPr>
      <w:rPr>
        <w:rFonts w:ascii="Courier New" w:hAnsi="Courier New" w:hint="default"/>
      </w:rPr>
    </w:lvl>
    <w:lvl w:ilvl="5" w:tplc="C7EE9E70">
      <w:start w:val="1"/>
      <w:numFmt w:val="bullet"/>
      <w:lvlText w:val=""/>
      <w:lvlJc w:val="left"/>
      <w:pPr>
        <w:ind w:left="4320" w:hanging="360"/>
      </w:pPr>
      <w:rPr>
        <w:rFonts w:ascii="Wingdings" w:hAnsi="Wingdings" w:hint="default"/>
      </w:rPr>
    </w:lvl>
    <w:lvl w:ilvl="6" w:tplc="9D7C4B3A">
      <w:start w:val="1"/>
      <w:numFmt w:val="bullet"/>
      <w:lvlText w:val=""/>
      <w:lvlJc w:val="left"/>
      <w:pPr>
        <w:ind w:left="5040" w:hanging="360"/>
      </w:pPr>
      <w:rPr>
        <w:rFonts w:ascii="Symbol" w:hAnsi="Symbol" w:hint="default"/>
      </w:rPr>
    </w:lvl>
    <w:lvl w:ilvl="7" w:tplc="86EA33B4">
      <w:start w:val="1"/>
      <w:numFmt w:val="bullet"/>
      <w:lvlText w:val="o"/>
      <w:lvlJc w:val="left"/>
      <w:pPr>
        <w:ind w:left="5760" w:hanging="360"/>
      </w:pPr>
      <w:rPr>
        <w:rFonts w:ascii="Courier New" w:hAnsi="Courier New" w:hint="default"/>
      </w:rPr>
    </w:lvl>
    <w:lvl w:ilvl="8" w:tplc="F6245992">
      <w:start w:val="1"/>
      <w:numFmt w:val="bullet"/>
      <w:lvlText w:val=""/>
      <w:lvlJc w:val="left"/>
      <w:pPr>
        <w:ind w:left="6480" w:hanging="360"/>
      </w:pPr>
      <w:rPr>
        <w:rFonts w:ascii="Wingdings" w:hAnsi="Wingdings" w:hint="default"/>
      </w:rPr>
    </w:lvl>
  </w:abstractNum>
  <w:abstractNum w:abstractNumId="9">
    <w:nsid w:val="26E14E38"/>
    <w:multiLevelType w:val="hybridMultilevel"/>
    <w:tmpl w:val="FFFFFFFF"/>
    <w:lvl w:ilvl="0" w:tplc="EABA88BE">
      <w:start w:val="1"/>
      <w:numFmt w:val="decimal"/>
      <w:lvlText w:val="%1."/>
      <w:lvlJc w:val="left"/>
      <w:pPr>
        <w:ind w:left="720" w:hanging="360"/>
      </w:pPr>
    </w:lvl>
    <w:lvl w:ilvl="1" w:tplc="78D2B662">
      <w:start w:val="1"/>
      <w:numFmt w:val="decimal"/>
      <w:lvlText w:val="%2."/>
      <w:lvlJc w:val="left"/>
      <w:pPr>
        <w:ind w:left="1440" w:hanging="360"/>
      </w:pPr>
    </w:lvl>
    <w:lvl w:ilvl="2" w:tplc="521C7208">
      <w:start w:val="1"/>
      <w:numFmt w:val="bullet"/>
      <w:lvlText w:val="·"/>
      <w:lvlJc w:val="left"/>
      <w:pPr>
        <w:ind w:left="2160" w:hanging="180"/>
      </w:pPr>
    </w:lvl>
    <w:lvl w:ilvl="3" w:tplc="39C6B036">
      <w:start w:val="1"/>
      <w:numFmt w:val="decimal"/>
      <w:lvlText w:val="%4."/>
      <w:lvlJc w:val="left"/>
      <w:pPr>
        <w:ind w:left="2880" w:hanging="360"/>
      </w:pPr>
    </w:lvl>
    <w:lvl w:ilvl="4" w:tplc="A1C0CD98">
      <w:start w:val="1"/>
      <w:numFmt w:val="lowerLetter"/>
      <w:lvlText w:val="%5."/>
      <w:lvlJc w:val="left"/>
      <w:pPr>
        <w:ind w:left="3600" w:hanging="360"/>
      </w:pPr>
    </w:lvl>
    <w:lvl w:ilvl="5" w:tplc="B4A6B138">
      <w:start w:val="1"/>
      <w:numFmt w:val="lowerRoman"/>
      <w:lvlText w:val="%6."/>
      <w:lvlJc w:val="right"/>
      <w:pPr>
        <w:ind w:left="4320" w:hanging="180"/>
      </w:pPr>
    </w:lvl>
    <w:lvl w:ilvl="6" w:tplc="2BA831B6">
      <w:start w:val="1"/>
      <w:numFmt w:val="decimal"/>
      <w:lvlText w:val="%7."/>
      <w:lvlJc w:val="left"/>
      <w:pPr>
        <w:ind w:left="5040" w:hanging="360"/>
      </w:pPr>
    </w:lvl>
    <w:lvl w:ilvl="7" w:tplc="9FB450EA">
      <w:start w:val="1"/>
      <w:numFmt w:val="lowerLetter"/>
      <w:lvlText w:val="%8."/>
      <w:lvlJc w:val="left"/>
      <w:pPr>
        <w:ind w:left="5760" w:hanging="360"/>
      </w:pPr>
    </w:lvl>
    <w:lvl w:ilvl="8" w:tplc="8E64F798">
      <w:start w:val="1"/>
      <w:numFmt w:val="lowerRoman"/>
      <w:lvlText w:val="%9."/>
      <w:lvlJc w:val="right"/>
      <w:pPr>
        <w:ind w:left="6480" w:hanging="180"/>
      </w:pPr>
    </w:lvl>
  </w:abstractNum>
  <w:abstractNum w:abstractNumId="10">
    <w:nsid w:val="26ED1505"/>
    <w:multiLevelType w:val="hybridMultilevel"/>
    <w:tmpl w:val="FFFFFFFF"/>
    <w:lvl w:ilvl="0" w:tplc="0E867CDA">
      <w:start w:val="1"/>
      <w:numFmt w:val="decimal"/>
      <w:lvlText w:val="%1."/>
      <w:lvlJc w:val="left"/>
      <w:pPr>
        <w:ind w:left="720" w:hanging="360"/>
      </w:pPr>
    </w:lvl>
    <w:lvl w:ilvl="1" w:tplc="57026948">
      <w:start w:val="1"/>
      <w:numFmt w:val="decimal"/>
      <w:lvlText w:val="%2."/>
      <w:lvlJc w:val="left"/>
      <w:pPr>
        <w:ind w:left="1440" w:hanging="360"/>
      </w:pPr>
    </w:lvl>
    <w:lvl w:ilvl="2" w:tplc="8CA86F02">
      <w:start w:val="1"/>
      <w:numFmt w:val="bullet"/>
      <w:lvlText w:val="·"/>
      <w:lvlJc w:val="left"/>
      <w:pPr>
        <w:ind w:left="2160" w:hanging="180"/>
      </w:pPr>
    </w:lvl>
    <w:lvl w:ilvl="3" w:tplc="04D827B6">
      <w:start w:val="1"/>
      <w:numFmt w:val="decimal"/>
      <w:lvlText w:val="%4."/>
      <w:lvlJc w:val="left"/>
      <w:pPr>
        <w:ind w:left="2880" w:hanging="360"/>
      </w:pPr>
    </w:lvl>
    <w:lvl w:ilvl="4" w:tplc="BA34D59C">
      <w:start w:val="1"/>
      <w:numFmt w:val="lowerLetter"/>
      <w:lvlText w:val="%5."/>
      <w:lvlJc w:val="left"/>
      <w:pPr>
        <w:ind w:left="3600" w:hanging="360"/>
      </w:pPr>
    </w:lvl>
    <w:lvl w:ilvl="5" w:tplc="50CC1F08">
      <w:start w:val="1"/>
      <w:numFmt w:val="lowerRoman"/>
      <w:lvlText w:val="%6."/>
      <w:lvlJc w:val="right"/>
      <w:pPr>
        <w:ind w:left="4320" w:hanging="180"/>
      </w:pPr>
    </w:lvl>
    <w:lvl w:ilvl="6" w:tplc="C346F924">
      <w:start w:val="1"/>
      <w:numFmt w:val="decimal"/>
      <w:lvlText w:val="%7."/>
      <w:lvlJc w:val="left"/>
      <w:pPr>
        <w:ind w:left="5040" w:hanging="360"/>
      </w:pPr>
    </w:lvl>
    <w:lvl w:ilvl="7" w:tplc="6EF65D02">
      <w:start w:val="1"/>
      <w:numFmt w:val="lowerLetter"/>
      <w:lvlText w:val="%8."/>
      <w:lvlJc w:val="left"/>
      <w:pPr>
        <w:ind w:left="5760" w:hanging="360"/>
      </w:pPr>
    </w:lvl>
    <w:lvl w:ilvl="8" w:tplc="8BC21C7C">
      <w:start w:val="1"/>
      <w:numFmt w:val="lowerRoman"/>
      <w:lvlText w:val="%9."/>
      <w:lvlJc w:val="right"/>
      <w:pPr>
        <w:ind w:left="6480" w:hanging="180"/>
      </w:pPr>
    </w:lvl>
  </w:abstractNum>
  <w:abstractNum w:abstractNumId="11">
    <w:nsid w:val="28836CF8"/>
    <w:multiLevelType w:val="hybridMultilevel"/>
    <w:tmpl w:val="77D6D2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A5D7F3C"/>
    <w:multiLevelType w:val="hybridMultilevel"/>
    <w:tmpl w:val="FFFFFFFF"/>
    <w:lvl w:ilvl="0" w:tplc="CCDEDC32">
      <w:numFmt w:val="none"/>
      <w:lvlText w:val=""/>
      <w:lvlJc w:val="left"/>
      <w:pPr>
        <w:tabs>
          <w:tab w:val="num" w:pos="360"/>
        </w:tabs>
      </w:pPr>
    </w:lvl>
    <w:lvl w:ilvl="1" w:tplc="E368A13E">
      <w:start w:val="1"/>
      <w:numFmt w:val="lowerLetter"/>
      <w:lvlText w:val="%2."/>
      <w:lvlJc w:val="left"/>
      <w:pPr>
        <w:ind w:left="1440" w:hanging="360"/>
      </w:pPr>
    </w:lvl>
    <w:lvl w:ilvl="2" w:tplc="69F2CD6C">
      <w:start w:val="1"/>
      <w:numFmt w:val="lowerRoman"/>
      <w:lvlText w:val="%3."/>
      <w:lvlJc w:val="right"/>
      <w:pPr>
        <w:ind w:left="2160" w:hanging="180"/>
      </w:pPr>
    </w:lvl>
    <w:lvl w:ilvl="3" w:tplc="36163B12">
      <w:start w:val="1"/>
      <w:numFmt w:val="decimal"/>
      <w:lvlText w:val="%4."/>
      <w:lvlJc w:val="left"/>
      <w:pPr>
        <w:ind w:left="2880" w:hanging="360"/>
      </w:pPr>
    </w:lvl>
    <w:lvl w:ilvl="4" w:tplc="9AE25B9C">
      <w:start w:val="1"/>
      <w:numFmt w:val="lowerLetter"/>
      <w:lvlText w:val="%5."/>
      <w:lvlJc w:val="left"/>
      <w:pPr>
        <w:ind w:left="3600" w:hanging="360"/>
      </w:pPr>
    </w:lvl>
    <w:lvl w:ilvl="5" w:tplc="F64ED200">
      <w:start w:val="1"/>
      <w:numFmt w:val="lowerRoman"/>
      <w:lvlText w:val="%6."/>
      <w:lvlJc w:val="right"/>
      <w:pPr>
        <w:ind w:left="4320" w:hanging="180"/>
      </w:pPr>
    </w:lvl>
    <w:lvl w:ilvl="6" w:tplc="FC444BC2">
      <w:start w:val="1"/>
      <w:numFmt w:val="decimal"/>
      <w:lvlText w:val="%7."/>
      <w:lvlJc w:val="left"/>
      <w:pPr>
        <w:ind w:left="5040" w:hanging="360"/>
      </w:pPr>
    </w:lvl>
    <w:lvl w:ilvl="7" w:tplc="CA2ECDEE">
      <w:start w:val="1"/>
      <w:numFmt w:val="lowerLetter"/>
      <w:lvlText w:val="%8."/>
      <w:lvlJc w:val="left"/>
      <w:pPr>
        <w:ind w:left="5760" w:hanging="360"/>
      </w:pPr>
    </w:lvl>
    <w:lvl w:ilvl="8" w:tplc="DA489880">
      <w:start w:val="1"/>
      <w:numFmt w:val="lowerRoman"/>
      <w:lvlText w:val="%9."/>
      <w:lvlJc w:val="right"/>
      <w:pPr>
        <w:ind w:left="6480" w:hanging="180"/>
      </w:pPr>
    </w:lvl>
  </w:abstractNum>
  <w:abstractNum w:abstractNumId="13">
    <w:nsid w:val="2B7E4E51"/>
    <w:multiLevelType w:val="hybridMultilevel"/>
    <w:tmpl w:val="FFFFFFFF"/>
    <w:lvl w:ilvl="0" w:tplc="9DC872C4">
      <w:start w:val="1"/>
      <w:numFmt w:val="bullet"/>
      <w:lvlText w:val="·"/>
      <w:lvlJc w:val="left"/>
      <w:pPr>
        <w:ind w:left="720" w:hanging="360"/>
      </w:pPr>
      <w:rPr>
        <w:rFonts w:ascii="Symbol" w:hAnsi="Symbol" w:hint="default"/>
      </w:rPr>
    </w:lvl>
    <w:lvl w:ilvl="1" w:tplc="68E69F72">
      <w:start w:val="1"/>
      <w:numFmt w:val="bullet"/>
      <w:lvlText w:val="o"/>
      <w:lvlJc w:val="left"/>
      <w:pPr>
        <w:ind w:left="1440" w:hanging="360"/>
      </w:pPr>
      <w:rPr>
        <w:rFonts w:ascii="Courier New" w:hAnsi="Courier New" w:hint="default"/>
      </w:rPr>
    </w:lvl>
    <w:lvl w:ilvl="2" w:tplc="813438D0">
      <w:start w:val="1"/>
      <w:numFmt w:val="bullet"/>
      <w:lvlText w:val=""/>
      <w:lvlJc w:val="left"/>
      <w:pPr>
        <w:ind w:left="2160" w:hanging="360"/>
      </w:pPr>
      <w:rPr>
        <w:rFonts w:ascii="Wingdings" w:hAnsi="Wingdings" w:hint="default"/>
      </w:rPr>
    </w:lvl>
    <w:lvl w:ilvl="3" w:tplc="0CCAEE4A">
      <w:start w:val="1"/>
      <w:numFmt w:val="bullet"/>
      <w:lvlText w:val=""/>
      <w:lvlJc w:val="left"/>
      <w:pPr>
        <w:ind w:left="2880" w:hanging="360"/>
      </w:pPr>
      <w:rPr>
        <w:rFonts w:ascii="Symbol" w:hAnsi="Symbol" w:hint="default"/>
      </w:rPr>
    </w:lvl>
    <w:lvl w:ilvl="4" w:tplc="2D34AA02">
      <w:start w:val="1"/>
      <w:numFmt w:val="bullet"/>
      <w:lvlText w:val="o"/>
      <w:lvlJc w:val="left"/>
      <w:pPr>
        <w:ind w:left="3600" w:hanging="360"/>
      </w:pPr>
      <w:rPr>
        <w:rFonts w:ascii="Courier New" w:hAnsi="Courier New" w:hint="default"/>
      </w:rPr>
    </w:lvl>
    <w:lvl w:ilvl="5" w:tplc="82AA3C8A">
      <w:start w:val="1"/>
      <w:numFmt w:val="bullet"/>
      <w:lvlText w:val=""/>
      <w:lvlJc w:val="left"/>
      <w:pPr>
        <w:ind w:left="4320" w:hanging="360"/>
      </w:pPr>
      <w:rPr>
        <w:rFonts w:ascii="Wingdings" w:hAnsi="Wingdings" w:hint="default"/>
      </w:rPr>
    </w:lvl>
    <w:lvl w:ilvl="6" w:tplc="E02CA6FC">
      <w:start w:val="1"/>
      <w:numFmt w:val="bullet"/>
      <w:lvlText w:val=""/>
      <w:lvlJc w:val="left"/>
      <w:pPr>
        <w:ind w:left="5040" w:hanging="360"/>
      </w:pPr>
      <w:rPr>
        <w:rFonts w:ascii="Symbol" w:hAnsi="Symbol" w:hint="default"/>
      </w:rPr>
    </w:lvl>
    <w:lvl w:ilvl="7" w:tplc="99084B18">
      <w:start w:val="1"/>
      <w:numFmt w:val="bullet"/>
      <w:lvlText w:val="o"/>
      <w:lvlJc w:val="left"/>
      <w:pPr>
        <w:ind w:left="5760" w:hanging="360"/>
      </w:pPr>
      <w:rPr>
        <w:rFonts w:ascii="Courier New" w:hAnsi="Courier New" w:hint="default"/>
      </w:rPr>
    </w:lvl>
    <w:lvl w:ilvl="8" w:tplc="42681ECE">
      <w:start w:val="1"/>
      <w:numFmt w:val="bullet"/>
      <w:lvlText w:val=""/>
      <w:lvlJc w:val="left"/>
      <w:pPr>
        <w:ind w:left="6480" w:hanging="360"/>
      </w:pPr>
      <w:rPr>
        <w:rFonts w:ascii="Wingdings" w:hAnsi="Wingdings" w:hint="default"/>
      </w:rPr>
    </w:lvl>
  </w:abstractNum>
  <w:abstractNum w:abstractNumId="14">
    <w:nsid w:val="38BD6E96"/>
    <w:multiLevelType w:val="hybridMultilevel"/>
    <w:tmpl w:val="FFFFFFFF"/>
    <w:lvl w:ilvl="0" w:tplc="9C107C30">
      <w:start w:val="1"/>
      <w:numFmt w:val="decimal"/>
      <w:lvlText w:val="%1.."/>
      <w:lvlJc w:val="left"/>
      <w:pPr>
        <w:ind w:left="720" w:hanging="360"/>
      </w:pPr>
    </w:lvl>
    <w:lvl w:ilvl="1" w:tplc="D5082C96">
      <w:start w:val="1"/>
      <w:numFmt w:val="lowerLetter"/>
      <w:lvlText w:val="%2."/>
      <w:lvlJc w:val="left"/>
      <w:pPr>
        <w:ind w:left="1440" w:hanging="360"/>
      </w:pPr>
    </w:lvl>
    <w:lvl w:ilvl="2" w:tplc="EBDACCC0">
      <w:start w:val="1"/>
      <w:numFmt w:val="lowerRoman"/>
      <w:lvlText w:val="%3."/>
      <w:lvlJc w:val="right"/>
      <w:pPr>
        <w:ind w:left="2160" w:hanging="180"/>
      </w:pPr>
    </w:lvl>
    <w:lvl w:ilvl="3" w:tplc="6048300A">
      <w:start w:val="1"/>
      <w:numFmt w:val="decimal"/>
      <w:lvlText w:val="%4."/>
      <w:lvlJc w:val="left"/>
      <w:pPr>
        <w:ind w:left="2880" w:hanging="360"/>
      </w:pPr>
    </w:lvl>
    <w:lvl w:ilvl="4" w:tplc="54F488FE">
      <w:start w:val="1"/>
      <w:numFmt w:val="lowerLetter"/>
      <w:lvlText w:val="%5."/>
      <w:lvlJc w:val="left"/>
      <w:pPr>
        <w:ind w:left="3600" w:hanging="360"/>
      </w:pPr>
    </w:lvl>
    <w:lvl w:ilvl="5" w:tplc="D850364E">
      <w:start w:val="1"/>
      <w:numFmt w:val="lowerRoman"/>
      <w:lvlText w:val="%6."/>
      <w:lvlJc w:val="right"/>
      <w:pPr>
        <w:ind w:left="4320" w:hanging="180"/>
      </w:pPr>
    </w:lvl>
    <w:lvl w:ilvl="6" w:tplc="9E8497D8">
      <w:start w:val="1"/>
      <w:numFmt w:val="decimal"/>
      <w:lvlText w:val="%7."/>
      <w:lvlJc w:val="left"/>
      <w:pPr>
        <w:ind w:left="5040" w:hanging="360"/>
      </w:pPr>
    </w:lvl>
    <w:lvl w:ilvl="7" w:tplc="E86C1872">
      <w:start w:val="1"/>
      <w:numFmt w:val="lowerLetter"/>
      <w:lvlText w:val="%8."/>
      <w:lvlJc w:val="left"/>
      <w:pPr>
        <w:ind w:left="5760" w:hanging="360"/>
      </w:pPr>
    </w:lvl>
    <w:lvl w:ilvl="8" w:tplc="52AADE78">
      <w:start w:val="1"/>
      <w:numFmt w:val="lowerRoman"/>
      <w:lvlText w:val="%9."/>
      <w:lvlJc w:val="right"/>
      <w:pPr>
        <w:ind w:left="6480" w:hanging="180"/>
      </w:pPr>
    </w:lvl>
  </w:abstractNum>
  <w:abstractNum w:abstractNumId="15">
    <w:nsid w:val="39ED077A"/>
    <w:multiLevelType w:val="hybridMultilevel"/>
    <w:tmpl w:val="FFFFFFFF"/>
    <w:lvl w:ilvl="0" w:tplc="F0E656F0">
      <w:start w:val="1"/>
      <w:numFmt w:val="bullet"/>
      <w:lvlText w:val=""/>
      <w:lvlJc w:val="left"/>
      <w:pPr>
        <w:ind w:left="720" w:hanging="360"/>
      </w:pPr>
      <w:rPr>
        <w:rFonts w:ascii="Symbol" w:hAnsi="Symbol" w:hint="default"/>
      </w:rPr>
    </w:lvl>
    <w:lvl w:ilvl="1" w:tplc="8D2A1A3C">
      <w:start w:val="1"/>
      <w:numFmt w:val="bullet"/>
      <w:lvlText w:val="o"/>
      <w:lvlJc w:val="left"/>
      <w:pPr>
        <w:ind w:left="1440" w:hanging="360"/>
      </w:pPr>
      <w:rPr>
        <w:rFonts w:ascii="Courier New" w:hAnsi="Courier New" w:hint="default"/>
      </w:rPr>
    </w:lvl>
    <w:lvl w:ilvl="2" w:tplc="E286E7EC">
      <w:start w:val="1"/>
      <w:numFmt w:val="bullet"/>
      <w:lvlText w:val=""/>
      <w:lvlJc w:val="left"/>
      <w:pPr>
        <w:ind w:left="2160" w:hanging="360"/>
      </w:pPr>
      <w:rPr>
        <w:rFonts w:ascii="Wingdings" w:hAnsi="Wingdings" w:hint="default"/>
      </w:rPr>
    </w:lvl>
    <w:lvl w:ilvl="3" w:tplc="C6E006D4">
      <w:start w:val="1"/>
      <w:numFmt w:val="bullet"/>
      <w:lvlText w:val=""/>
      <w:lvlJc w:val="left"/>
      <w:pPr>
        <w:ind w:left="2880" w:hanging="360"/>
      </w:pPr>
      <w:rPr>
        <w:rFonts w:ascii="Symbol" w:hAnsi="Symbol" w:hint="default"/>
      </w:rPr>
    </w:lvl>
    <w:lvl w:ilvl="4" w:tplc="6CA469C2">
      <w:start w:val="1"/>
      <w:numFmt w:val="bullet"/>
      <w:lvlText w:val="o"/>
      <w:lvlJc w:val="left"/>
      <w:pPr>
        <w:ind w:left="3600" w:hanging="360"/>
      </w:pPr>
      <w:rPr>
        <w:rFonts w:ascii="Courier New" w:hAnsi="Courier New" w:hint="default"/>
      </w:rPr>
    </w:lvl>
    <w:lvl w:ilvl="5" w:tplc="CA5243D2">
      <w:start w:val="1"/>
      <w:numFmt w:val="bullet"/>
      <w:lvlText w:val=""/>
      <w:lvlJc w:val="left"/>
      <w:pPr>
        <w:ind w:left="4320" w:hanging="360"/>
      </w:pPr>
      <w:rPr>
        <w:rFonts w:ascii="Wingdings" w:hAnsi="Wingdings" w:hint="default"/>
      </w:rPr>
    </w:lvl>
    <w:lvl w:ilvl="6" w:tplc="2B526492">
      <w:start w:val="1"/>
      <w:numFmt w:val="bullet"/>
      <w:lvlText w:val=""/>
      <w:lvlJc w:val="left"/>
      <w:pPr>
        <w:ind w:left="5040" w:hanging="360"/>
      </w:pPr>
      <w:rPr>
        <w:rFonts w:ascii="Symbol" w:hAnsi="Symbol" w:hint="default"/>
      </w:rPr>
    </w:lvl>
    <w:lvl w:ilvl="7" w:tplc="8EAA8BC8">
      <w:start w:val="1"/>
      <w:numFmt w:val="bullet"/>
      <w:lvlText w:val="o"/>
      <w:lvlJc w:val="left"/>
      <w:pPr>
        <w:ind w:left="5760" w:hanging="360"/>
      </w:pPr>
      <w:rPr>
        <w:rFonts w:ascii="Courier New" w:hAnsi="Courier New" w:hint="default"/>
      </w:rPr>
    </w:lvl>
    <w:lvl w:ilvl="8" w:tplc="EC36809C">
      <w:start w:val="1"/>
      <w:numFmt w:val="bullet"/>
      <w:lvlText w:val=""/>
      <w:lvlJc w:val="left"/>
      <w:pPr>
        <w:ind w:left="6480" w:hanging="360"/>
      </w:pPr>
      <w:rPr>
        <w:rFonts w:ascii="Wingdings" w:hAnsi="Wingdings" w:hint="default"/>
      </w:rPr>
    </w:lvl>
  </w:abstractNum>
  <w:abstractNum w:abstractNumId="16">
    <w:nsid w:val="3B305794"/>
    <w:multiLevelType w:val="hybridMultilevel"/>
    <w:tmpl w:val="FFFFFFFF"/>
    <w:lvl w:ilvl="0" w:tplc="294E0788">
      <w:start w:val="1"/>
      <w:numFmt w:val="bullet"/>
      <w:lvlText w:val=""/>
      <w:lvlJc w:val="left"/>
      <w:pPr>
        <w:ind w:left="720" w:hanging="360"/>
      </w:pPr>
      <w:rPr>
        <w:rFonts w:ascii="Symbol" w:hAnsi="Symbol" w:hint="default"/>
      </w:rPr>
    </w:lvl>
    <w:lvl w:ilvl="1" w:tplc="484ACDBC">
      <w:start w:val="1"/>
      <w:numFmt w:val="bullet"/>
      <w:lvlText w:val="o"/>
      <w:lvlJc w:val="left"/>
      <w:pPr>
        <w:ind w:left="1440" w:hanging="360"/>
      </w:pPr>
      <w:rPr>
        <w:rFonts w:ascii="Courier New" w:hAnsi="Courier New" w:hint="default"/>
      </w:rPr>
    </w:lvl>
    <w:lvl w:ilvl="2" w:tplc="2E18CD5E">
      <w:start w:val="1"/>
      <w:numFmt w:val="bullet"/>
      <w:lvlText w:val=""/>
      <w:lvlJc w:val="left"/>
      <w:pPr>
        <w:ind w:left="2160" w:hanging="360"/>
      </w:pPr>
      <w:rPr>
        <w:rFonts w:ascii="Wingdings" w:hAnsi="Wingdings" w:hint="default"/>
      </w:rPr>
    </w:lvl>
    <w:lvl w:ilvl="3" w:tplc="34226DFA">
      <w:start w:val="1"/>
      <w:numFmt w:val="bullet"/>
      <w:lvlText w:val=""/>
      <w:lvlJc w:val="left"/>
      <w:pPr>
        <w:ind w:left="2880" w:hanging="360"/>
      </w:pPr>
      <w:rPr>
        <w:rFonts w:ascii="Symbol" w:hAnsi="Symbol" w:hint="default"/>
      </w:rPr>
    </w:lvl>
    <w:lvl w:ilvl="4" w:tplc="9A18293A">
      <w:start w:val="1"/>
      <w:numFmt w:val="bullet"/>
      <w:lvlText w:val="o"/>
      <w:lvlJc w:val="left"/>
      <w:pPr>
        <w:ind w:left="3600" w:hanging="360"/>
      </w:pPr>
      <w:rPr>
        <w:rFonts w:ascii="Courier New" w:hAnsi="Courier New" w:hint="default"/>
      </w:rPr>
    </w:lvl>
    <w:lvl w:ilvl="5" w:tplc="1A161372">
      <w:start w:val="1"/>
      <w:numFmt w:val="bullet"/>
      <w:lvlText w:val=""/>
      <w:lvlJc w:val="left"/>
      <w:pPr>
        <w:ind w:left="4320" w:hanging="360"/>
      </w:pPr>
      <w:rPr>
        <w:rFonts w:ascii="Wingdings" w:hAnsi="Wingdings" w:hint="default"/>
      </w:rPr>
    </w:lvl>
    <w:lvl w:ilvl="6" w:tplc="79F40F1A">
      <w:start w:val="1"/>
      <w:numFmt w:val="bullet"/>
      <w:lvlText w:val=""/>
      <w:lvlJc w:val="left"/>
      <w:pPr>
        <w:ind w:left="5040" w:hanging="360"/>
      </w:pPr>
      <w:rPr>
        <w:rFonts w:ascii="Symbol" w:hAnsi="Symbol" w:hint="default"/>
      </w:rPr>
    </w:lvl>
    <w:lvl w:ilvl="7" w:tplc="AA46B832">
      <w:start w:val="1"/>
      <w:numFmt w:val="bullet"/>
      <w:lvlText w:val="o"/>
      <w:lvlJc w:val="left"/>
      <w:pPr>
        <w:ind w:left="5760" w:hanging="360"/>
      </w:pPr>
      <w:rPr>
        <w:rFonts w:ascii="Courier New" w:hAnsi="Courier New" w:hint="default"/>
      </w:rPr>
    </w:lvl>
    <w:lvl w:ilvl="8" w:tplc="FA064C50">
      <w:start w:val="1"/>
      <w:numFmt w:val="bullet"/>
      <w:lvlText w:val=""/>
      <w:lvlJc w:val="left"/>
      <w:pPr>
        <w:ind w:left="6480" w:hanging="360"/>
      </w:pPr>
      <w:rPr>
        <w:rFonts w:ascii="Wingdings" w:hAnsi="Wingdings" w:hint="default"/>
      </w:rPr>
    </w:lvl>
  </w:abstractNum>
  <w:abstractNum w:abstractNumId="17">
    <w:nsid w:val="439A372E"/>
    <w:multiLevelType w:val="hybridMultilevel"/>
    <w:tmpl w:val="FFFFFFFF"/>
    <w:lvl w:ilvl="0" w:tplc="58D0AFC0">
      <w:start w:val="1"/>
      <w:numFmt w:val="bullet"/>
      <w:lvlText w:val=""/>
      <w:lvlJc w:val="left"/>
      <w:pPr>
        <w:ind w:left="720" w:hanging="360"/>
      </w:pPr>
      <w:rPr>
        <w:rFonts w:ascii="Symbol" w:hAnsi="Symbol" w:hint="default"/>
      </w:rPr>
    </w:lvl>
    <w:lvl w:ilvl="1" w:tplc="F87895FC">
      <w:start w:val="1"/>
      <w:numFmt w:val="bullet"/>
      <w:lvlText w:val="o"/>
      <w:lvlJc w:val="left"/>
      <w:pPr>
        <w:ind w:left="1440" w:hanging="360"/>
      </w:pPr>
      <w:rPr>
        <w:rFonts w:ascii="&quot;Courier New&quot;" w:hAnsi="&quot;Courier New&quot;" w:hint="default"/>
      </w:rPr>
    </w:lvl>
    <w:lvl w:ilvl="2" w:tplc="7DAE155C">
      <w:start w:val="1"/>
      <w:numFmt w:val="bullet"/>
      <w:lvlText w:val=""/>
      <w:lvlJc w:val="left"/>
      <w:pPr>
        <w:ind w:left="2160" w:hanging="360"/>
      </w:pPr>
      <w:rPr>
        <w:rFonts w:ascii="Wingdings" w:hAnsi="Wingdings" w:hint="default"/>
      </w:rPr>
    </w:lvl>
    <w:lvl w:ilvl="3" w:tplc="C0981188">
      <w:start w:val="1"/>
      <w:numFmt w:val="bullet"/>
      <w:lvlText w:val=""/>
      <w:lvlJc w:val="left"/>
      <w:pPr>
        <w:ind w:left="2880" w:hanging="360"/>
      </w:pPr>
      <w:rPr>
        <w:rFonts w:ascii="Symbol" w:hAnsi="Symbol" w:hint="default"/>
      </w:rPr>
    </w:lvl>
    <w:lvl w:ilvl="4" w:tplc="11D0B4A8">
      <w:start w:val="1"/>
      <w:numFmt w:val="bullet"/>
      <w:lvlText w:val="o"/>
      <w:lvlJc w:val="left"/>
      <w:pPr>
        <w:ind w:left="3600" w:hanging="360"/>
      </w:pPr>
      <w:rPr>
        <w:rFonts w:ascii="Courier New" w:hAnsi="Courier New" w:hint="default"/>
      </w:rPr>
    </w:lvl>
    <w:lvl w:ilvl="5" w:tplc="29AC1B94">
      <w:start w:val="1"/>
      <w:numFmt w:val="bullet"/>
      <w:lvlText w:val=""/>
      <w:lvlJc w:val="left"/>
      <w:pPr>
        <w:ind w:left="4320" w:hanging="360"/>
      </w:pPr>
      <w:rPr>
        <w:rFonts w:ascii="Wingdings" w:hAnsi="Wingdings" w:hint="default"/>
      </w:rPr>
    </w:lvl>
    <w:lvl w:ilvl="6" w:tplc="4C2218F6">
      <w:start w:val="1"/>
      <w:numFmt w:val="bullet"/>
      <w:lvlText w:val=""/>
      <w:lvlJc w:val="left"/>
      <w:pPr>
        <w:ind w:left="5040" w:hanging="360"/>
      </w:pPr>
      <w:rPr>
        <w:rFonts w:ascii="Symbol" w:hAnsi="Symbol" w:hint="default"/>
      </w:rPr>
    </w:lvl>
    <w:lvl w:ilvl="7" w:tplc="EDD0E362">
      <w:start w:val="1"/>
      <w:numFmt w:val="bullet"/>
      <w:lvlText w:val="o"/>
      <w:lvlJc w:val="left"/>
      <w:pPr>
        <w:ind w:left="5760" w:hanging="360"/>
      </w:pPr>
      <w:rPr>
        <w:rFonts w:ascii="Courier New" w:hAnsi="Courier New" w:hint="default"/>
      </w:rPr>
    </w:lvl>
    <w:lvl w:ilvl="8" w:tplc="BF06E1E2">
      <w:start w:val="1"/>
      <w:numFmt w:val="bullet"/>
      <w:lvlText w:val=""/>
      <w:lvlJc w:val="left"/>
      <w:pPr>
        <w:ind w:left="6480" w:hanging="360"/>
      </w:pPr>
      <w:rPr>
        <w:rFonts w:ascii="Wingdings" w:hAnsi="Wingdings" w:hint="default"/>
      </w:rPr>
    </w:lvl>
  </w:abstractNum>
  <w:abstractNum w:abstractNumId="18">
    <w:nsid w:val="43A24E2C"/>
    <w:multiLevelType w:val="hybridMultilevel"/>
    <w:tmpl w:val="FFFFFFFF"/>
    <w:lvl w:ilvl="0" w:tplc="5694C0B8">
      <w:start w:val="1"/>
      <w:numFmt w:val="bullet"/>
      <w:lvlText w:val="·"/>
      <w:lvlJc w:val="left"/>
      <w:pPr>
        <w:ind w:left="720" w:hanging="360"/>
      </w:pPr>
      <w:rPr>
        <w:rFonts w:ascii="Symbol" w:hAnsi="Symbol" w:hint="default"/>
      </w:rPr>
    </w:lvl>
    <w:lvl w:ilvl="1" w:tplc="E2603ACE">
      <w:start w:val="1"/>
      <w:numFmt w:val="bullet"/>
      <w:lvlText w:val="o"/>
      <w:lvlJc w:val="left"/>
      <w:pPr>
        <w:ind w:left="1440" w:hanging="360"/>
      </w:pPr>
      <w:rPr>
        <w:rFonts w:ascii="Courier New" w:hAnsi="Courier New" w:hint="default"/>
      </w:rPr>
    </w:lvl>
    <w:lvl w:ilvl="2" w:tplc="40F0A6B2">
      <w:start w:val="1"/>
      <w:numFmt w:val="bullet"/>
      <w:lvlText w:val=""/>
      <w:lvlJc w:val="left"/>
      <w:pPr>
        <w:ind w:left="2160" w:hanging="360"/>
      </w:pPr>
      <w:rPr>
        <w:rFonts w:ascii="Wingdings" w:hAnsi="Wingdings" w:hint="default"/>
      </w:rPr>
    </w:lvl>
    <w:lvl w:ilvl="3" w:tplc="8D826050">
      <w:start w:val="1"/>
      <w:numFmt w:val="bullet"/>
      <w:lvlText w:val=""/>
      <w:lvlJc w:val="left"/>
      <w:pPr>
        <w:ind w:left="2880" w:hanging="360"/>
      </w:pPr>
      <w:rPr>
        <w:rFonts w:ascii="Symbol" w:hAnsi="Symbol" w:hint="default"/>
      </w:rPr>
    </w:lvl>
    <w:lvl w:ilvl="4" w:tplc="3342B6E8">
      <w:start w:val="1"/>
      <w:numFmt w:val="bullet"/>
      <w:lvlText w:val="o"/>
      <w:lvlJc w:val="left"/>
      <w:pPr>
        <w:ind w:left="3600" w:hanging="360"/>
      </w:pPr>
      <w:rPr>
        <w:rFonts w:ascii="Courier New" w:hAnsi="Courier New" w:hint="default"/>
      </w:rPr>
    </w:lvl>
    <w:lvl w:ilvl="5" w:tplc="76F898A6">
      <w:start w:val="1"/>
      <w:numFmt w:val="bullet"/>
      <w:lvlText w:val=""/>
      <w:lvlJc w:val="left"/>
      <w:pPr>
        <w:ind w:left="4320" w:hanging="360"/>
      </w:pPr>
      <w:rPr>
        <w:rFonts w:ascii="Wingdings" w:hAnsi="Wingdings" w:hint="default"/>
      </w:rPr>
    </w:lvl>
    <w:lvl w:ilvl="6" w:tplc="AAACFEE8">
      <w:start w:val="1"/>
      <w:numFmt w:val="bullet"/>
      <w:lvlText w:val=""/>
      <w:lvlJc w:val="left"/>
      <w:pPr>
        <w:ind w:left="5040" w:hanging="360"/>
      </w:pPr>
      <w:rPr>
        <w:rFonts w:ascii="Symbol" w:hAnsi="Symbol" w:hint="default"/>
      </w:rPr>
    </w:lvl>
    <w:lvl w:ilvl="7" w:tplc="9976CF76">
      <w:start w:val="1"/>
      <w:numFmt w:val="bullet"/>
      <w:lvlText w:val="o"/>
      <w:lvlJc w:val="left"/>
      <w:pPr>
        <w:ind w:left="5760" w:hanging="360"/>
      </w:pPr>
      <w:rPr>
        <w:rFonts w:ascii="Courier New" w:hAnsi="Courier New" w:hint="default"/>
      </w:rPr>
    </w:lvl>
    <w:lvl w:ilvl="8" w:tplc="95E058C4">
      <w:start w:val="1"/>
      <w:numFmt w:val="bullet"/>
      <w:lvlText w:val=""/>
      <w:lvlJc w:val="left"/>
      <w:pPr>
        <w:ind w:left="6480" w:hanging="360"/>
      </w:pPr>
      <w:rPr>
        <w:rFonts w:ascii="Wingdings" w:hAnsi="Wingdings" w:hint="default"/>
      </w:rPr>
    </w:lvl>
  </w:abstractNum>
  <w:abstractNum w:abstractNumId="19">
    <w:nsid w:val="461F690B"/>
    <w:multiLevelType w:val="hybridMultilevel"/>
    <w:tmpl w:val="FFFFFFFF"/>
    <w:lvl w:ilvl="0" w:tplc="0C822634">
      <w:start w:val="1"/>
      <w:numFmt w:val="bullet"/>
      <w:lvlText w:val=""/>
      <w:lvlJc w:val="left"/>
      <w:pPr>
        <w:ind w:left="720" w:hanging="360"/>
      </w:pPr>
      <w:rPr>
        <w:rFonts w:ascii="Symbol" w:hAnsi="Symbol" w:hint="default"/>
      </w:rPr>
    </w:lvl>
    <w:lvl w:ilvl="1" w:tplc="E9982460">
      <w:start w:val="1"/>
      <w:numFmt w:val="bullet"/>
      <w:lvlText w:val="o"/>
      <w:lvlJc w:val="left"/>
      <w:pPr>
        <w:ind w:left="1440" w:hanging="360"/>
      </w:pPr>
      <w:rPr>
        <w:rFonts w:ascii="Courier New" w:hAnsi="Courier New" w:hint="default"/>
      </w:rPr>
    </w:lvl>
    <w:lvl w:ilvl="2" w:tplc="D70685C6">
      <w:start w:val="1"/>
      <w:numFmt w:val="bullet"/>
      <w:lvlText w:val=""/>
      <w:lvlJc w:val="left"/>
      <w:pPr>
        <w:ind w:left="2160" w:hanging="360"/>
      </w:pPr>
      <w:rPr>
        <w:rFonts w:ascii="Wingdings" w:hAnsi="Wingdings" w:hint="default"/>
      </w:rPr>
    </w:lvl>
    <w:lvl w:ilvl="3" w:tplc="82D6C472">
      <w:start w:val="1"/>
      <w:numFmt w:val="bullet"/>
      <w:lvlText w:val=""/>
      <w:lvlJc w:val="left"/>
      <w:pPr>
        <w:ind w:left="2880" w:hanging="360"/>
      </w:pPr>
      <w:rPr>
        <w:rFonts w:ascii="Symbol" w:hAnsi="Symbol" w:hint="default"/>
      </w:rPr>
    </w:lvl>
    <w:lvl w:ilvl="4" w:tplc="D1C87DBA">
      <w:start w:val="1"/>
      <w:numFmt w:val="bullet"/>
      <w:lvlText w:val="o"/>
      <w:lvlJc w:val="left"/>
      <w:pPr>
        <w:ind w:left="3600" w:hanging="360"/>
      </w:pPr>
      <w:rPr>
        <w:rFonts w:ascii="Courier New" w:hAnsi="Courier New" w:hint="default"/>
      </w:rPr>
    </w:lvl>
    <w:lvl w:ilvl="5" w:tplc="EC3C662E">
      <w:start w:val="1"/>
      <w:numFmt w:val="bullet"/>
      <w:lvlText w:val=""/>
      <w:lvlJc w:val="left"/>
      <w:pPr>
        <w:ind w:left="4320" w:hanging="360"/>
      </w:pPr>
      <w:rPr>
        <w:rFonts w:ascii="Wingdings" w:hAnsi="Wingdings" w:hint="default"/>
      </w:rPr>
    </w:lvl>
    <w:lvl w:ilvl="6" w:tplc="7CB6EA90">
      <w:start w:val="1"/>
      <w:numFmt w:val="bullet"/>
      <w:lvlText w:val=""/>
      <w:lvlJc w:val="left"/>
      <w:pPr>
        <w:ind w:left="5040" w:hanging="360"/>
      </w:pPr>
      <w:rPr>
        <w:rFonts w:ascii="Symbol" w:hAnsi="Symbol" w:hint="default"/>
      </w:rPr>
    </w:lvl>
    <w:lvl w:ilvl="7" w:tplc="14488106">
      <w:start w:val="1"/>
      <w:numFmt w:val="bullet"/>
      <w:lvlText w:val="o"/>
      <w:lvlJc w:val="left"/>
      <w:pPr>
        <w:ind w:left="5760" w:hanging="360"/>
      </w:pPr>
      <w:rPr>
        <w:rFonts w:ascii="Courier New" w:hAnsi="Courier New" w:hint="default"/>
      </w:rPr>
    </w:lvl>
    <w:lvl w:ilvl="8" w:tplc="24A431C0">
      <w:start w:val="1"/>
      <w:numFmt w:val="bullet"/>
      <w:lvlText w:val=""/>
      <w:lvlJc w:val="left"/>
      <w:pPr>
        <w:ind w:left="6480" w:hanging="360"/>
      </w:pPr>
      <w:rPr>
        <w:rFonts w:ascii="Wingdings" w:hAnsi="Wingdings" w:hint="default"/>
      </w:rPr>
    </w:lvl>
  </w:abstractNum>
  <w:abstractNum w:abstractNumId="20">
    <w:nsid w:val="47901D52"/>
    <w:multiLevelType w:val="hybridMultilevel"/>
    <w:tmpl w:val="FFFFFFFF"/>
    <w:lvl w:ilvl="0" w:tplc="FA147A32">
      <w:start w:val="1"/>
      <w:numFmt w:val="decimal"/>
      <w:lvlText w:val="%1.."/>
      <w:lvlJc w:val="left"/>
      <w:pPr>
        <w:ind w:left="720" w:hanging="360"/>
      </w:pPr>
    </w:lvl>
    <w:lvl w:ilvl="1" w:tplc="6A861404">
      <w:start w:val="1"/>
      <w:numFmt w:val="lowerLetter"/>
      <w:lvlText w:val="%2."/>
      <w:lvlJc w:val="left"/>
      <w:pPr>
        <w:ind w:left="1440" w:hanging="360"/>
      </w:pPr>
    </w:lvl>
    <w:lvl w:ilvl="2" w:tplc="6510757E">
      <w:start w:val="1"/>
      <w:numFmt w:val="lowerRoman"/>
      <w:lvlText w:val="%3."/>
      <w:lvlJc w:val="right"/>
      <w:pPr>
        <w:ind w:left="2160" w:hanging="180"/>
      </w:pPr>
    </w:lvl>
    <w:lvl w:ilvl="3" w:tplc="DD3600A8">
      <w:start w:val="1"/>
      <w:numFmt w:val="decimal"/>
      <w:lvlText w:val="%4."/>
      <w:lvlJc w:val="left"/>
      <w:pPr>
        <w:ind w:left="2880" w:hanging="360"/>
      </w:pPr>
    </w:lvl>
    <w:lvl w:ilvl="4" w:tplc="726034B8">
      <w:start w:val="1"/>
      <w:numFmt w:val="lowerLetter"/>
      <w:lvlText w:val="%5."/>
      <w:lvlJc w:val="left"/>
      <w:pPr>
        <w:ind w:left="3600" w:hanging="360"/>
      </w:pPr>
    </w:lvl>
    <w:lvl w:ilvl="5" w:tplc="FF90BBEA">
      <w:start w:val="1"/>
      <w:numFmt w:val="lowerRoman"/>
      <w:lvlText w:val="%6."/>
      <w:lvlJc w:val="right"/>
      <w:pPr>
        <w:ind w:left="4320" w:hanging="180"/>
      </w:pPr>
    </w:lvl>
    <w:lvl w:ilvl="6" w:tplc="91E46404">
      <w:start w:val="1"/>
      <w:numFmt w:val="decimal"/>
      <w:lvlText w:val="%7."/>
      <w:lvlJc w:val="left"/>
      <w:pPr>
        <w:ind w:left="5040" w:hanging="360"/>
      </w:pPr>
    </w:lvl>
    <w:lvl w:ilvl="7" w:tplc="7E54DBC2">
      <w:start w:val="1"/>
      <w:numFmt w:val="lowerLetter"/>
      <w:lvlText w:val="%8."/>
      <w:lvlJc w:val="left"/>
      <w:pPr>
        <w:ind w:left="5760" w:hanging="360"/>
      </w:pPr>
    </w:lvl>
    <w:lvl w:ilvl="8" w:tplc="1AEE6242">
      <w:start w:val="1"/>
      <w:numFmt w:val="lowerRoman"/>
      <w:lvlText w:val="%9."/>
      <w:lvlJc w:val="right"/>
      <w:pPr>
        <w:ind w:left="6480" w:hanging="180"/>
      </w:pPr>
    </w:lvl>
  </w:abstractNum>
  <w:abstractNum w:abstractNumId="21">
    <w:nsid w:val="47AA7BF3"/>
    <w:multiLevelType w:val="hybridMultilevel"/>
    <w:tmpl w:val="FFFFFFFF"/>
    <w:lvl w:ilvl="0" w:tplc="C6FC37DC">
      <w:numFmt w:val="none"/>
      <w:lvlText w:val=""/>
      <w:lvlJc w:val="left"/>
      <w:pPr>
        <w:tabs>
          <w:tab w:val="num" w:pos="360"/>
        </w:tabs>
      </w:pPr>
    </w:lvl>
    <w:lvl w:ilvl="1" w:tplc="6D6640E0">
      <w:start w:val="1"/>
      <w:numFmt w:val="lowerLetter"/>
      <w:lvlText w:val="%2."/>
      <w:lvlJc w:val="left"/>
      <w:pPr>
        <w:ind w:left="1440" w:hanging="360"/>
      </w:pPr>
    </w:lvl>
    <w:lvl w:ilvl="2" w:tplc="3A2C0CF4">
      <w:start w:val="1"/>
      <w:numFmt w:val="lowerRoman"/>
      <w:lvlText w:val="%3."/>
      <w:lvlJc w:val="right"/>
      <w:pPr>
        <w:ind w:left="2160" w:hanging="180"/>
      </w:pPr>
    </w:lvl>
    <w:lvl w:ilvl="3" w:tplc="358802A2">
      <w:start w:val="1"/>
      <w:numFmt w:val="decimal"/>
      <w:lvlText w:val="%4."/>
      <w:lvlJc w:val="left"/>
      <w:pPr>
        <w:ind w:left="2880" w:hanging="360"/>
      </w:pPr>
    </w:lvl>
    <w:lvl w:ilvl="4" w:tplc="389AC916">
      <w:start w:val="1"/>
      <w:numFmt w:val="lowerLetter"/>
      <w:lvlText w:val="%5."/>
      <w:lvlJc w:val="left"/>
      <w:pPr>
        <w:ind w:left="3600" w:hanging="360"/>
      </w:pPr>
    </w:lvl>
    <w:lvl w:ilvl="5" w:tplc="0790663A">
      <w:start w:val="1"/>
      <w:numFmt w:val="lowerRoman"/>
      <w:lvlText w:val="%6."/>
      <w:lvlJc w:val="right"/>
      <w:pPr>
        <w:ind w:left="4320" w:hanging="180"/>
      </w:pPr>
    </w:lvl>
    <w:lvl w:ilvl="6" w:tplc="4DC6204A">
      <w:start w:val="1"/>
      <w:numFmt w:val="decimal"/>
      <w:lvlText w:val="%7."/>
      <w:lvlJc w:val="left"/>
      <w:pPr>
        <w:ind w:left="5040" w:hanging="360"/>
      </w:pPr>
    </w:lvl>
    <w:lvl w:ilvl="7" w:tplc="036225C8">
      <w:start w:val="1"/>
      <w:numFmt w:val="lowerLetter"/>
      <w:lvlText w:val="%8."/>
      <w:lvlJc w:val="left"/>
      <w:pPr>
        <w:ind w:left="5760" w:hanging="360"/>
      </w:pPr>
    </w:lvl>
    <w:lvl w:ilvl="8" w:tplc="DA12724C">
      <w:start w:val="1"/>
      <w:numFmt w:val="lowerRoman"/>
      <w:lvlText w:val="%9."/>
      <w:lvlJc w:val="right"/>
      <w:pPr>
        <w:ind w:left="6480" w:hanging="180"/>
      </w:pPr>
    </w:lvl>
  </w:abstractNum>
  <w:abstractNum w:abstractNumId="22">
    <w:nsid w:val="48CA420D"/>
    <w:multiLevelType w:val="hybridMultilevel"/>
    <w:tmpl w:val="FFFFFFFF"/>
    <w:lvl w:ilvl="0" w:tplc="3EDE5678">
      <w:start w:val="1"/>
      <w:numFmt w:val="decimal"/>
      <w:lvlText w:val="%1."/>
      <w:lvlJc w:val="left"/>
      <w:pPr>
        <w:ind w:left="720" w:hanging="360"/>
      </w:pPr>
    </w:lvl>
    <w:lvl w:ilvl="1" w:tplc="B906A51A">
      <w:start w:val="1"/>
      <w:numFmt w:val="decimal"/>
      <w:lvlText w:val="%2."/>
      <w:lvlJc w:val="left"/>
      <w:pPr>
        <w:ind w:left="1440" w:hanging="360"/>
      </w:pPr>
    </w:lvl>
    <w:lvl w:ilvl="2" w:tplc="52607CEC">
      <w:start w:val="1"/>
      <w:numFmt w:val="bullet"/>
      <w:lvlText w:val="·"/>
      <w:lvlJc w:val="left"/>
      <w:pPr>
        <w:ind w:left="2160" w:hanging="180"/>
      </w:pPr>
    </w:lvl>
    <w:lvl w:ilvl="3" w:tplc="FC8076AE">
      <w:start w:val="1"/>
      <w:numFmt w:val="decimal"/>
      <w:lvlText w:val="%4."/>
      <w:lvlJc w:val="left"/>
      <w:pPr>
        <w:ind w:left="2880" w:hanging="360"/>
      </w:pPr>
    </w:lvl>
    <w:lvl w:ilvl="4" w:tplc="95E01612">
      <w:start w:val="1"/>
      <w:numFmt w:val="lowerLetter"/>
      <w:lvlText w:val="%5."/>
      <w:lvlJc w:val="left"/>
      <w:pPr>
        <w:ind w:left="3600" w:hanging="360"/>
      </w:pPr>
    </w:lvl>
    <w:lvl w:ilvl="5" w:tplc="242037F2">
      <w:start w:val="1"/>
      <w:numFmt w:val="lowerRoman"/>
      <w:lvlText w:val="%6."/>
      <w:lvlJc w:val="right"/>
      <w:pPr>
        <w:ind w:left="4320" w:hanging="180"/>
      </w:pPr>
    </w:lvl>
    <w:lvl w:ilvl="6" w:tplc="9C2233DE">
      <w:start w:val="1"/>
      <w:numFmt w:val="decimal"/>
      <w:lvlText w:val="%7."/>
      <w:lvlJc w:val="left"/>
      <w:pPr>
        <w:ind w:left="5040" w:hanging="360"/>
      </w:pPr>
    </w:lvl>
    <w:lvl w:ilvl="7" w:tplc="15E8BD80">
      <w:start w:val="1"/>
      <w:numFmt w:val="lowerLetter"/>
      <w:lvlText w:val="%8."/>
      <w:lvlJc w:val="left"/>
      <w:pPr>
        <w:ind w:left="5760" w:hanging="360"/>
      </w:pPr>
    </w:lvl>
    <w:lvl w:ilvl="8" w:tplc="82C66368">
      <w:start w:val="1"/>
      <w:numFmt w:val="lowerRoman"/>
      <w:lvlText w:val="%9."/>
      <w:lvlJc w:val="right"/>
      <w:pPr>
        <w:ind w:left="6480" w:hanging="180"/>
      </w:pPr>
    </w:lvl>
  </w:abstractNum>
  <w:abstractNum w:abstractNumId="23">
    <w:nsid w:val="4D55770C"/>
    <w:multiLevelType w:val="hybridMultilevel"/>
    <w:tmpl w:val="AD008854"/>
    <w:lvl w:ilvl="0" w:tplc="885A779C">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83D7449"/>
    <w:multiLevelType w:val="hybridMultilevel"/>
    <w:tmpl w:val="FFFFFFFF"/>
    <w:lvl w:ilvl="0" w:tplc="EEEEA85E">
      <w:start w:val="1"/>
      <w:numFmt w:val="bullet"/>
      <w:lvlText w:val=""/>
      <w:lvlJc w:val="left"/>
      <w:pPr>
        <w:ind w:left="720" w:hanging="360"/>
      </w:pPr>
      <w:rPr>
        <w:rFonts w:ascii="Symbol" w:hAnsi="Symbol" w:hint="default"/>
      </w:rPr>
    </w:lvl>
    <w:lvl w:ilvl="1" w:tplc="CD62BDEA">
      <w:start w:val="1"/>
      <w:numFmt w:val="bullet"/>
      <w:lvlText w:val="o"/>
      <w:lvlJc w:val="left"/>
      <w:pPr>
        <w:ind w:left="1440" w:hanging="360"/>
      </w:pPr>
      <w:rPr>
        <w:rFonts w:ascii="Courier New" w:hAnsi="Courier New" w:hint="default"/>
      </w:rPr>
    </w:lvl>
    <w:lvl w:ilvl="2" w:tplc="6FBAD4FE">
      <w:start w:val="1"/>
      <w:numFmt w:val="bullet"/>
      <w:lvlText w:val=""/>
      <w:lvlJc w:val="left"/>
      <w:pPr>
        <w:ind w:left="2160" w:hanging="360"/>
      </w:pPr>
      <w:rPr>
        <w:rFonts w:ascii="Wingdings" w:hAnsi="Wingdings" w:hint="default"/>
      </w:rPr>
    </w:lvl>
    <w:lvl w:ilvl="3" w:tplc="C0B6947E">
      <w:start w:val="1"/>
      <w:numFmt w:val="bullet"/>
      <w:lvlText w:val=""/>
      <w:lvlJc w:val="left"/>
      <w:pPr>
        <w:ind w:left="2880" w:hanging="360"/>
      </w:pPr>
      <w:rPr>
        <w:rFonts w:ascii="Symbol" w:hAnsi="Symbol" w:hint="default"/>
      </w:rPr>
    </w:lvl>
    <w:lvl w:ilvl="4" w:tplc="39EEB07C">
      <w:start w:val="1"/>
      <w:numFmt w:val="bullet"/>
      <w:lvlText w:val="o"/>
      <w:lvlJc w:val="left"/>
      <w:pPr>
        <w:ind w:left="3600" w:hanging="360"/>
      </w:pPr>
      <w:rPr>
        <w:rFonts w:ascii="Courier New" w:hAnsi="Courier New" w:hint="default"/>
      </w:rPr>
    </w:lvl>
    <w:lvl w:ilvl="5" w:tplc="F4A613BC">
      <w:start w:val="1"/>
      <w:numFmt w:val="bullet"/>
      <w:lvlText w:val=""/>
      <w:lvlJc w:val="left"/>
      <w:pPr>
        <w:ind w:left="4320" w:hanging="360"/>
      </w:pPr>
      <w:rPr>
        <w:rFonts w:ascii="Wingdings" w:hAnsi="Wingdings" w:hint="default"/>
      </w:rPr>
    </w:lvl>
    <w:lvl w:ilvl="6" w:tplc="983E1370">
      <w:start w:val="1"/>
      <w:numFmt w:val="bullet"/>
      <w:lvlText w:val=""/>
      <w:lvlJc w:val="left"/>
      <w:pPr>
        <w:ind w:left="5040" w:hanging="360"/>
      </w:pPr>
      <w:rPr>
        <w:rFonts w:ascii="Symbol" w:hAnsi="Symbol" w:hint="default"/>
      </w:rPr>
    </w:lvl>
    <w:lvl w:ilvl="7" w:tplc="FEBC0500">
      <w:start w:val="1"/>
      <w:numFmt w:val="bullet"/>
      <w:lvlText w:val="o"/>
      <w:lvlJc w:val="left"/>
      <w:pPr>
        <w:ind w:left="5760" w:hanging="360"/>
      </w:pPr>
      <w:rPr>
        <w:rFonts w:ascii="Courier New" w:hAnsi="Courier New" w:hint="default"/>
      </w:rPr>
    </w:lvl>
    <w:lvl w:ilvl="8" w:tplc="3B024608">
      <w:start w:val="1"/>
      <w:numFmt w:val="bullet"/>
      <w:lvlText w:val=""/>
      <w:lvlJc w:val="left"/>
      <w:pPr>
        <w:ind w:left="6480" w:hanging="360"/>
      </w:pPr>
      <w:rPr>
        <w:rFonts w:ascii="Wingdings" w:hAnsi="Wingdings" w:hint="default"/>
      </w:rPr>
    </w:lvl>
  </w:abstractNum>
  <w:abstractNum w:abstractNumId="25">
    <w:nsid w:val="61A1181D"/>
    <w:multiLevelType w:val="hybridMultilevel"/>
    <w:tmpl w:val="FFFFFFFF"/>
    <w:lvl w:ilvl="0" w:tplc="869EDA66">
      <w:start w:val="1"/>
      <w:numFmt w:val="bullet"/>
      <w:lvlText w:val="·"/>
      <w:lvlJc w:val="left"/>
      <w:pPr>
        <w:ind w:left="720" w:hanging="360"/>
      </w:pPr>
      <w:rPr>
        <w:rFonts w:ascii="Symbol" w:hAnsi="Symbol" w:hint="default"/>
      </w:rPr>
    </w:lvl>
    <w:lvl w:ilvl="1" w:tplc="37AAE088">
      <w:start w:val="1"/>
      <w:numFmt w:val="bullet"/>
      <w:lvlText w:val="o"/>
      <w:lvlJc w:val="left"/>
      <w:pPr>
        <w:ind w:left="1440" w:hanging="360"/>
      </w:pPr>
      <w:rPr>
        <w:rFonts w:ascii="Courier New" w:hAnsi="Courier New" w:hint="default"/>
      </w:rPr>
    </w:lvl>
    <w:lvl w:ilvl="2" w:tplc="66506A02">
      <w:start w:val="1"/>
      <w:numFmt w:val="bullet"/>
      <w:lvlText w:val=""/>
      <w:lvlJc w:val="left"/>
      <w:pPr>
        <w:ind w:left="2160" w:hanging="360"/>
      </w:pPr>
      <w:rPr>
        <w:rFonts w:ascii="Wingdings" w:hAnsi="Wingdings" w:hint="default"/>
      </w:rPr>
    </w:lvl>
    <w:lvl w:ilvl="3" w:tplc="2D56A7E4">
      <w:start w:val="1"/>
      <w:numFmt w:val="bullet"/>
      <w:lvlText w:val=""/>
      <w:lvlJc w:val="left"/>
      <w:pPr>
        <w:ind w:left="2880" w:hanging="360"/>
      </w:pPr>
      <w:rPr>
        <w:rFonts w:ascii="Symbol" w:hAnsi="Symbol" w:hint="default"/>
      </w:rPr>
    </w:lvl>
    <w:lvl w:ilvl="4" w:tplc="6BA29492">
      <w:start w:val="1"/>
      <w:numFmt w:val="bullet"/>
      <w:lvlText w:val="o"/>
      <w:lvlJc w:val="left"/>
      <w:pPr>
        <w:ind w:left="3600" w:hanging="360"/>
      </w:pPr>
      <w:rPr>
        <w:rFonts w:ascii="Courier New" w:hAnsi="Courier New" w:hint="default"/>
      </w:rPr>
    </w:lvl>
    <w:lvl w:ilvl="5" w:tplc="165416D2">
      <w:start w:val="1"/>
      <w:numFmt w:val="bullet"/>
      <w:lvlText w:val=""/>
      <w:lvlJc w:val="left"/>
      <w:pPr>
        <w:ind w:left="4320" w:hanging="360"/>
      </w:pPr>
      <w:rPr>
        <w:rFonts w:ascii="Wingdings" w:hAnsi="Wingdings" w:hint="default"/>
      </w:rPr>
    </w:lvl>
    <w:lvl w:ilvl="6" w:tplc="C9C64E18">
      <w:start w:val="1"/>
      <w:numFmt w:val="bullet"/>
      <w:lvlText w:val=""/>
      <w:lvlJc w:val="left"/>
      <w:pPr>
        <w:ind w:left="5040" w:hanging="360"/>
      </w:pPr>
      <w:rPr>
        <w:rFonts w:ascii="Symbol" w:hAnsi="Symbol" w:hint="default"/>
      </w:rPr>
    </w:lvl>
    <w:lvl w:ilvl="7" w:tplc="80F47D36">
      <w:start w:val="1"/>
      <w:numFmt w:val="bullet"/>
      <w:lvlText w:val="o"/>
      <w:lvlJc w:val="left"/>
      <w:pPr>
        <w:ind w:left="5760" w:hanging="360"/>
      </w:pPr>
      <w:rPr>
        <w:rFonts w:ascii="Courier New" w:hAnsi="Courier New" w:hint="default"/>
      </w:rPr>
    </w:lvl>
    <w:lvl w:ilvl="8" w:tplc="F7E6EF74">
      <w:start w:val="1"/>
      <w:numFmt w:val="bullet"/>
      <w:lvlText w:val=""/>
      <w:lvlJc w:val="left"/>
      <w:pPr>
        <w:ind w:left="6480" w:hanging="360"/>
      </w:pPr>
      <w:rPr>
        <w:rFonts w:ascii="Wingdings" w:hAnsi="Wingdings" w:hint="default"/>
      </w:rPr>
    </w:lvl>
  </w:abstractNum>
  <w:abstractNum w:abstractNumId="26">
    <w:nsid w:val="62826970"/>
    <w:multiLevelType w:val="hybridMultilevel"/>
    <w:tmpl w:val="FFFFFFFF"/>
    <w:lvl w:ilvl="0" w:tplc="7CE02D68">
      <w:start w:val="1"/>
      <w:numFmt w:val="bullet"/>
      <w:lvlText w:val="·"/>
      <w:lvlJc w:val="left"/>
      <w:pPr>
        <w:ind w:left="720" w:hanging="360"/>
      </w:pPr>
      <w:rPr>
        <w:rFonts w:ascii="Symbol" w:hAnsi="Symbol" w:hint="default"/>
      </w:rPr>
    </w:lvl>
    <w:lvl w:ilvl="1" w:tplc="47F4E954">
      <w:start w:val="1"/>
      <w:numFmt w:val="bullet"/>
      <w:lvlText w:val="o"/>
      <w:lvlJc w:val="left"/>
      <w:pPr>
        <w:ind w:left="1440" w:hanging="360"/>
      </w:pPr>
      <w:rPr>
        <w:rFonts w:ascii="Courier New" w:hAnsi="Courier New" w:hint="default"/>
      </w:rPr>
    </w:lvl>
    <w:lvl w:ilvl="2" w:tplc="E690E638">
      <w:start w:val="1"/>
      <w:numFmt w:val="bullet"/>
      <w:lvlText w:val=""/>
      <w:lvlJc w:val="left"/>
      <w:pPr>
        <w:ind w:left="2160" w:hanging="360"/>
      </w:pPr>
      <w:rPr>
        <w:rFonts w:ascii="Wingdings" w:hAnsi="Wingdings" w:hint="default"/>
      </w:rPr>
    </w:lvl>
    <w:lvl w:ilvl="3" w:tplc="A512149C">
      <w:start w:val="1"/>
      <w:numFmt w:val="bullet"/>
      <w:lvlText w:val=""/>
      <w:lvlJc w:val="left"/>
      <w:pPr>
        <w:ind w:left="2880" w:hanging="360"/>
      </w:pPr>
      <w:rPr>
        <w:rFonts w:ascii="Symbol" w:hAnsi="Symbol" w:hint="default"/>
      </w:rPr>
    </w:lvl>
    <w:lvl w:ilvl="4" w:tplc="EAD44526">
      <w:start w:val="1"/>
      <w:numFmt w:val="bullet"/>
      <w:lvlText w:val="o"/>
      <w:lvlJc w:val="left"/>
      <w:pPr>
        <w:ind w:left="3600" w:hanging="360"/>
      </w:pPr>
      <w:rPr>
        <w:rFonts w:ascii="Courier New" w:hAnsi="Courier New" w:hint="default"/>
      </w:rPr>
    </w:lvl>
    <w:lvl w:ilvl="5" w:tplc="54BC3C5C">
      <w:start w:val="1"/>
      <w:numFmt w:val="bullet"/>
      <w:lvlText w:val=""/>
      <w:lvlJc w:val="left"/>
      <w:pPr>
        <w:ind w:left="4320" w:hanging="360"/>
      </w:pPr>
      <w:rPr>
        <w:rFonts w:ascii="Wingdings" w:hAnsi="Wingdings" w:hint="default"/>
      </w:rPr>
    </w:lvl>
    <w:lvl w:ilvl="6" w:tplc="1E621838">
      <w:start w:val="1"/>
      <w:numFmt w:val="bullet"/>
      <w:lvlText w:val=""/>
      <w:lvlJc w:val="left"/>
      <w:pPr>
        <w:ind w:left="5040" w:hanging="360"/>
      </w:pPr>
      <w:rPr>
        <w:rFonts w:ascii="Symbol" w:hAnsi="Symbol" w:hint="default"/>
      </w:rPr>
    </w:lvl>
    <w:lvl w:ilvl="7" w:tplc="77AC5E1E">
      <w:start w:val="1"/>
      <w:numFmt w:val="bullet"/>
      <w:lvlText w:val="o"/>
      <w:lvlJc w:val="left"/>
      <w:pPr>
        <w:ind w:left="5760" w:hanging="360"/>
      </w:pPr>
      <w:rPr>
        <w:rFonts w:ascii="Courier New" w:hAnsi="Courier New" w:hint="default"/>
      </w:rPr>
    </w:lvl>
    <w:lvl w:ilvl="8" w:tplc="0B343CF2">
      <w:start w:val="1"/>
      <w:numFmt w:val="bullet"/>
      <w:lvlText w:val=""/>
      <w:lvlJc w:val="left"/>
      <w:pPr>
        <w:ind w:left="6480" w:hanging="360"/>
      </w:pPr>
      <w:rPr>
        <w:rFonts w:ascii="Wingdings" w:hAnsi="Wingdings" w:hint="default"/>
      </w:rPr>
    </w:lvl>
  </w:abstractNum>
  <w:abstractNum w:abstractNumId="27">
    <w:nsid w:val="66273968"/>
    <w:multiLevelType w:val="hybridMultilevel"/>
    <w:tmpl w:val="FFFFFFFF"/>
    <w:lvl w:ilvl="0" w:tplc="2E24723C">
      <w:start w:val="1"/>
      <w:numFmt w:val="bullet"/>
      <w:lvlText w:val="·"/>
      <w:lvlJc w:val="left"/>
      <w:pPr>
        <w:ind w:left="720" w:hanging="360"/>
      </w:pPr>
      <w:rPr>
        <w:rFonts w:ascii="Symbol" w:hAnsi="Symbol" w:hint="default"/>
      </w:rPr>
    </w:lvl>
    <w:lvl w:ilvl="1" w:tplc="F03A8FF6">
      <w:start w:val="1"/>
      <w:numFmt w:val="bullet"/>
      <w:lvlText w:val="o"/>
      <w:lvlJc w:val="left"/>
      <w:pPr>
        <w:ind w:left="1440" w:hanging="360"/>
      </w:pPr>
      <w:rPr>
        <w:rFonts w:ascii="Courier New" w:hAnsi="Courier New" w:hint="default"/>
      </w:rPr>
    </w:lvl>
    <w:lvl w:ilvl="2" w:tplc="782801BA">
      <w:start w:val="1"/>
      <w:numFmt w:val="bullet"/>
      <w:lvlText w:val=""/>
      <w:lvlJc w:val="left"/>
      <w:pPr>
        <w:ind w:left="2160" w:hanging="360"/>
      </w:pPr>
      <w:rPr>
        <w:rFonts w:ascii="Wingdings" w:hAnsi="Wingdings" w:hint="default"/>
      </w:rPr>
    </w:lvl>
    <w:lvl w:ilvl="3" w:tplc="97D8D254">
      <w:start w:val="1"/>
      <w:numFmt w:val="bullet"/>
      <w:lvlText w:val=""/>
      <w:lvlJc w:val="left"/>
      <w:pPr>
        <w:ind w:left="2880" w:hanging="360"/>
      </w:pPr>
      <w:rPr>
        <w:rFonts w:ascii="Symbol" w:hAnsi="Symbol" w:hint="default"/>
      </w:rPr>
    </w:lvl>
    <w:lvl w:ilvl="4" w:tplc="91C811DC">
      <w:start w:val="1"/>
      <w:numFmt w:val="bullet"/>
      <w:lvlText w:val="o"/>
      <w:lvlJc w:val="left"/>
      <w:pPr>
        <w:ind w:left="3600" w:hanging="360"/>
      </w:pPr>
      <w:rPr>
        <w:rFonts w:ascii="Courier New" w:hAnsi="Courier New" w:hint="default"/>
      </w:rPr>
    </w:lvl>
    <w:lvl w:ilvl="5" w:tplc="6AB8970E">
      <w:start w:val="1"/>
      <w:numFmt w:val="bullet"/>
      <w:lvlText w:val=""/>
      <w:lvlJc w:val="left"/>
      <w:pPr>
        <w:ind w:left="4320" w:hanging="360"/>
      </w:pPr>
      <w:rPr>
        <w:rFonts w:ascii="Wingdings" w:hAnsi="Wingdings" w:hint="default"/>
      </w:rPr>
    </w:lvl>
    <w:lvl w:ilvl="6" w:tplc="8A2AE14C">
      <w:start w:val="1"/>
      <w:numFmt w:val="bullet"/>
      <w:lvlText w:val=""/>
      <w:lvlJc w:val="left"/>
      <w:pPr>
        <w:ind w:left="5040" w:hanging="360"/>
      </w:pPr>
      <w:rPr>
        <w:rFonts w:ascii="Symbol" w:hAnsi="Symbol" w:hint="default"/>
      </w:rPr>
    </w:lvl>
    <w:lvl w:ilvl="7" w:tplc="A2D0854E">
      <w:start w:val="1"/>
      <w:numFmt w:val="bullet"/>
      <w:lvlText w:val="o"/>
      <w:lvlJc w:val="left"/>
      <w:pPr>
        <w:ind w:left="5760" w:hanging="360"/>
      </w:pPr>
      <w:rPr>
        <w:rFonts w:ascii="Courier New" w:hAnsi="Courier New" w:hint="default"/>
      </w:rPr>
    </w:lvl>
    <w:lvl w:ilvl="8" w:tplc="A3AA55D0">
      <w:start w:val="1"/>
      <w:numFmt w:val="bullet"/>
      <w:lvlText w:val=""/>
      <w:lvlJc w:val="left"/>
      <w:pPr>
        <w:ind w:left="6480" w:hanging="360"/>
      </w:pPr>
      <w:rPr>
        <w:rFonts w:ascii="Wingdings" w:hAnsi="Wingdings" w:hint="default"/>
      </w:rPr>
    </w:lvl>
  </w:abstractNum>
  <w:abstractNum w:abstractNumId="28">
    <w:nsid w:val="6B77147C"/>
    <w:multiLevelType w:val="hybridMultilevel"/>
    <w:tmpl w:val="FFFFFFFF"/>
    <w:lvl w:ilvl="0" w:tplc="31C8202E">
      <w:start w:val="1"/>
      <w:numFmt w:val="bullet"/>
      <w:lvlText w:val=""/>
      <w:lvlJc w:val="left"/>
      <w:pPr>
        <w:ind w:left="720" w:hanging="360"/>
      </w:pPr>
      <w:rPr>
        <w:rFonts w:ascii="Symbol" w:hAnsi="Symbol" w:hint="default"/>
      </w:rPr>
    </w:lvl>
    <w:lvl w:ilvl="1" w:tplc="D9008EF0">
      <w:start w:val="1"/>
      <w:numFmt w:val="bullet"/>
      <w:lvlText w:val="o"/>
      <w:lvlJc w:val="left"/>
      <w:pPr>
        <w:ind w:left="1440" w:hanging="360"/>
      </w:pPr>
      <w:rPr>
        <w:rFonts w:ascii="&quot;Courier New&quot;" w:hAnsi="&quot;Courier New&quot;" w:hint="default"/>
      </w:rPr>
    </w:lvl>
    <w:lvl w:ilvl="2" w:tplc="086C9AFC">
      <w:start w:val="1"/>
      <w:numFmt w:val="bullet"/>
      <w:lvlText w:val=""/>
      <w:lvlJc w:val="left"/>
      <w:pPr>
        <w:ind w:left="2160" w:hanging="360"/>
      </w:pPr>
      <w:rPr>
        <w:rFonts w:ascii="Wingdings" w:hAnsi="Wingdings" w:hint="default"/>
      </w:rPr>
    </w:lvl>
    <w:lvl w:ilvl="3" w:tplc="614AD0DC">
      <w:start w:val="1"/>
      <w:numFmt w:val="bullet"/>
      <w:lvlText w:val=""/>
      <w:lvlJc w:val="left"/>
      <w:pPr>
        <w:ind w:left="2880" w:hanging="360"/>
      </w:pPr>
      <w:rPr>
        <w:rFonts w:ascii="Symbol" w:hAnsi="Symbol" w:hint="default"/>
      </w:rPr>
    </w:lvl>
    <w:lvl w:ilvl="4" w:tplc="42D096D2">
      <w:start w:val="1"/>
      <w:numFmt w:val="bullet"/>
      <w:lvlText w:val="o"/>
      <w:lvlJc w:val="left"/>
      <w:pPr>
        <w:ind w:left="3600" w:hanging="360"/>
      </w:pPr>
      <w:rPr>
        <w:rFonts w:ascii="Courier New" w:hAnsi="Courier New" w:hint="default"/>
      </w:rPr>
    </w:lvl>
    <w:lvl w:ilvl="5" w:tplc="7C262A26">
      <w:start w:val="1"/>
      <w:numFmt w:val="bullet"/>
      <w:lvlText w:val=""/>
      <w:lvlJc w:val="left"/>
      <w:pPr>
        <w:ind w:left="4320" w:hanging="360"/>
      </w:pPr>
      <w:rPr>
        <w:rFonts w:ascii="Wingdings" w:hAnsi="Wingdings" w:hint="default"/>
      </w:rPr>
    </w:lvl>
    <w:lvl w:ilvl="6" w:tplc="7346DA90">
      <w:start w:val="1"/>
      <w:numFmt w:val="bullet"/>
      <w:lvlText w:val=""/>
      <w:lvlJc w:val="left"/>
      <w:pPr>
        <w:ind w:left="5040" w:hanging="360"/>
      </w:pPr>
      <w:rPr>
        <w:rFonts w:ascii="Symbol" w:hAnsi="Symbol" w:hint="default"/>
      </w:rPr>
    </w:lvl>
    <w:lvl w:ilvl="7" w:tplc="79807F28">
      <w:start w:val="1"/>
      <w:numFmt w:val="bullet"/>
      <w:lvlText w:val="o"/>
      <w:lvlJc w:val="left"/>
      <w:pPr>
        <w:ind w:left="5760" w:hanging="360"/>
      </w:pPr>
      <w:rPr>
        <w:rFonts w:ascii="Courier New" w:hAnsi="Courier New" w:hint="default"/>
      </w:rPr>
    </w:lvl>
    <w:lvl w:ilvl="8" w:tplc="863891BC">
      <w:start w:val="1"/>
      <w:numFmt w:val="bullet"/>
      <w:lvlText w:val=""/>
      <w:lvlJc w:val="left"/>
      <w:pPr>
        <w:ind w:left="6480" w:hanging="360"/>
      </w:pPr>
      <w:rPr>
        <w:rFonts w:ascii="Wingdings" w:hAnsi="Wingdings" w:hint="default"/>
      </w:rPr>
    </w:lvl>
  </w:abstractNum>
  <w:abstractNum w:abstractNumId="29">
    <w:nsid w:val="6E41117B"/>
    <w:multiLevelType w:val="hybridMultilevel"/>
    <w:tmpl w:val="FFFFFFFF"/>
    <w:lvl w:ilvl="0" w:tplc="9D8EF0AA">
      <w:start w:val="1"/>
      <w:numFmt w:val="bullet"/>
      <w:lvlText w:val="·"/>
      <w:lvlJc w:val="left"/>
      <w:pPr>
        <w:ind w:left="720" w:hanging="360"/>
      </w:pPr>
      <w:rPr>
        <w:rFonts w:ascii="Symbol" w:hAnsi="Symbol" w:hint="default"/>
      </w:rPr>
    </w:lvl>
    <w:lvl w:ilvl="1" w:tplc="3E0A6188">
      <w:start w:val="1"/>
      <w:numFmt w:val="bullet"/>
      <w:lvlText w:val="o"/>
      <w:lvlJc w:val="left"/>
      <w:pPr>
        <w:ind w:left="1440" w:hanging="360"/>
      </w:pPr>
      <w:rPr>
        <w:rFonts w:ascii="Courier New" w:hAnsi="Courier New" w:hint="default"/>
      </w:rPr>
    </w:lvl>
    <w:lvl w:ilvl="2" w:tplc="2BE8E880">
      <w:start w:val="1"/>
      <w:numFmt w:val="bullet"/>
      <w:lvlText w:val=""/>
      <w:lvlJc w:val="left"/>
      <w:pPr>
        <w:ind w:left="2160" w:hanging="360"/>
      </w:pPr>
      <w:rPr>
        <w:rFonts w:ascii="Wingdings" w:hAnsi="Wingdings" w:hint="default"/>
      </w:rPr>
    </w:lvl>
    <w:lvl w:ilvl="3" w:tplc="1F8EDD3E">
      <w:start w:val="1"/>
      <w:numFmt w:val="bullet"/>
      <w:lvlText w:val=""/>
      <w:lvlJc w:val="left"/>
      <w:pPr>
        <w:ind w:left="2880" w:hanging="360"/>
      </w:pPr>
      <w:rPr>
        <w:rFonts w:ascii="Symbol" w:hAnsi="Symbol" w:hint="default"/>
      </w:rPr>
    </w:lvl>
    <w:lvl w:ilvl="4" w:tplc="53C8A1DC">
      <w:start w:val="1"/>
      <w:numFmt w:val="bullet"/>
      <w:lvlText w:val="o"/>
      <w:lvlJc w:val="left"/>
      <w:pPr>
        <w:ind w:left="3600" w:hanging="360"/>
      </w:pPr>
      <w:rPr>
        <w:rFonts w:ascii="Courier New" w:hAnsi="Courier New" w:hint="default"/>
      </w:rPr>
    </w:lvl>
    <w:lvl w:ilvl="5" w:tplc="F9ACDEC2">
      <w:start w:val="1"/>
      <w:numFmt w:val="bullet"/>
      <w:lvlText w:val=""/>
      <w:lvlJc w:val="left"/>
      <w:pPr>
        <w:ind w:left="4320" w:hanging="360"/>
      </w:pPr>
      <w:rPr>
        <w:rFonts w:ascii="Wingdings" w:hAnsi="Wingdings" w:hint="default"/>
      </w:rPr>
    </w:lvl>
    <w:lvl w:ilvl="6" w:tplc="70002A9E">
      <w:start w:val="1"/>
      <w:numFmt w:val="bullet"/>
      <w:lvlText w:val=""/>
      <w:lvlJc w:val="left"/>
      <w:pPr>
        <w:ind w:left="5040" w:hanging="360"/>
      </w:pPr>
      <w:rPr>
        <w:rFonts w:ascii="Symbol" w:hAnsi="Symbol" w:hint="default"/>
      </w:rPr>
    </w:lvl>
    <w:lvl w:ilvl="7" w:tplc="70F03858">
      <w:start w:val="1"/>
      <w:numFmt w:val="bullet"/>
      <w:lvlText w:val="o"/>
      <w:lvlJc w:val="left"/>
      <w:pPr>
        <w:ind w:left="5760" w:hanging="360"/>
      </w:pPr>
      <w:rPr>
        <w:rFonts w:ascii="Courier New" w:hAnsi="Courier New" w:hint="default"/>
      </w:rPr>
    </w:lvl>
    <w:lvl w:ilvl="8" w:tplc="CF9C4F7A">
      <w:start w:val="1"/>
      <w:numFmt w:val="bullet"/>
      <w:lvlText w:val=""/>
      <w:lvlJc w:val="left"/>
      <w:pPr>
        <w:ind w:left="6480" w:hanging="360"/>
      </w:pPr>
      <w:rPr>
        <w:rFonts w:ascii="Wingdings" w:hAnsi="Wingdings" w:hint="default"/>
      </w:rPr>
    </w:lvl>
  </w:abstractNum>
  <w:abstractNum w:abstractNumId="30">
    <w:nsid w:val="705A72D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0A71256"/>
    <w:multiLevelType w:val="hybridMultilevel"/>
    <w:tmpl w:val="FFFFFFFF"/>
    <w:lvl w:ilvl="0" w:tplc="5BA65624">
      <w:start w:val="1"/>
      <w:numFmt w:val="decimal"/>
      <w:lvlText w:val="%1."/>
      <w:lvlJc w:val="left"/>
      <w:pPr>
        <w:ind w:left="720" w:hanging="360"/>
      </w:pPr>
    </w:lvl>
    <w:lvl w:ilvl="1" w:tplc="31ACEF0C">
      <w:start w:val="1"/>
      <w:numFmt w:val="decimal"/>
      <w:lvlText w:val="%2."/>
      <w:lvlJc w:val="left"/>
      <w:pPr>
        <w:ind w:left="1440" w:hanging="360"/>
      </w:pPr>
    </w:lvl>
    <w:lvl w:ilvl="2" w:tplc="2F4E3848">
      <w:start w:val="1"/>
      <w:numFmt w:val="bullet"/>
      <w:lvlText w:val="·"/>
      <w:lvlJc w:val="left"/>
      <w:pPr>
        <w:ind w:left="2160" w:hanging="180"/>
      </w:pPr>
    </w:lvl>
    <w:lvl w:ilvl="3" w:tplc="920A2BA6">
      <w:start w:val="1"/>
      <w:numFmt w:val="decimal"/>
      <w:lvlText w:val="%4."/>
      <w:lvlJc w:val="left"/>
      <w:pPr>
        <w:ind w:left="2880" w:hanging="360"/>
      </w:pPr>
    </w:lvl>
    <w:lvl w:ilvl="4" w:tplc="D02A8B26">
      <w:start w:val="1"/>
      <w:numFmt w:val="lowerLetter"/>
      <w:lvlText w:val="%5."/>
      <w:lvlJc w:val="left"/>
      <w:pPr>
        <w:ind w:left="3600" w:hanging="360"/>
      </w:pPr>
    </w:lvl>
    <w:lvl w:ilvl="5" w:tplc="9DB005CC">
      <w:start w:val="1"/>
      <w:numFmt w:val="lowerRoman"/>
      <w:lvlText w:val="%6."/>
      <w:lvlJc w:val="right"/>
      <w:pPr>
        <w:ind w:left="4320" w:hanging="180"/>
      </w:pPr>
    </w:lvl>
    <w:lvl w:ilvl="6" w:tplc="D284BF84">
      <w:start w:val="1"/>
      <w:numFmt w:val="decimal"/>
      <w:lvlText w:val="%7."/>
      <w:lvlJc w:val="left"/>
      <w:pPr>
        <w:ind w:left="5040" w:hanging="360"/>
      </w:pPr>
    </w:lvl>
    <w:lvl w:ilvl="7" w:tplc="DDB2AE84">
      <w:start w:val="1"/>
      <w:numFmt w:val="lowerLetter"/>
      <w:lvlText w:val="%8."/>
      <w:lvlJc w:val="left"/>
      <w:pPr>
        <w:ind w:left="5760" w:hanging="360"/>
      </w:pPr>
    </w:lvl>
    <w:lvl w:ilvl="8" w:tplc="9EDCD382">
      <w:start w:val="1"/>
      <w:numFmt w:val="lowerRoman"/>
      <w:lvlText w:val="%9."/>
      <w:lvlJc w:val="right"/>
      <w:pPr>
        <w:ind w:left="6480" w:hanging="180"/>
      </w:pPr>
    </w:lvl>
  </w:abstractNum>
  <w:abstractNum w:abstractNumId="32">
    <w:nsid w:val="72027498"/>
    <w:multiLevelType w:val="hybridMultilevel"/>
    <w:tmpl w:val="0A769D70"/>
    <w:lvl w:ilvl="0" w:tplc="5E508592">
      <w:start w:val="1"/>
      <w:numFmt w:val="bullet"/>
      <w:pStyle w:val="Recommendations"/>
      <w:lvlText w:val=""/>
      <w:lvlJc w:val="left"/>
      <w:pPr>
        <w:ind w:left="501" w:hanging="360"/>
      </w:pPr>
      <w:rPr>
        <w:rFonts w:ascii="Symbol" w:hAnsi="Symbol" w:hint="default"/>
      </w:rPr>
    </w:lvl>
    <w:lvl w:ilvl="1" w:tplc="1C090003">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33">
    <w:nsid w:val="731E1E64"/>
    <w:multiLevelType w:val="hybridMultilevel"/>
    <w:tmpl w:val="FFFFFFFF"/>
    <w:lvl w:ilvl="0" w:tplc="0E9A855C">
      <w:start w:val="1"/>
      <w:numFmt w:val="bullet"/>
      <w:lvlText w:val="·"/>
      <w:lvlJc w:val="left"/>
      <w:pPr>
        <w:ind w:left="720" w:hanging="360"/>
      </w:pPr>
      <w:rPr>
        <w:rFonts w:ascii="Symbol" w:hAnsi="Symbol" w:hint="default"/>
      </w:rPr>
    </w:lvl>
    <w:lvl w:ilvl="1" w:tplc="89B4225C">
      <w:start w:val="1"/>
      <w:numFmt w:val="bullet"/>
      <w:lvlText w:val="o"/>
      <w:lvlJc w:val="left"/>
      <w:pPr>
        <w:ind w:left="1440" w:hanging="360"/>
      </w:pPr>
      <w:rPr>
        <w:rFonts w:ascii="Courier New" w:hAnsi="Courier New" w:hint="default"/>
      </w:rPr>
    </w:lvl>
    <w:lvl w:ilvl="2" w:tplc="94B0C0B6">
      <w:start w:val="1"/>
      <w:numFmt w:val="bullet"/>
      <w:lvlText w:val=""/>
      <w:lvlJc w:val="left"/>
      <w:pPr>
        <w:ind w:left="2160" w:hanging="360"/>
      </w:pPr>
      <w:rPr>
        <w:rFonts w:ascii="Wingdings" w:hAnsi="Wingdings" w:hint="default"/>
      </w:rPr>
    </w:lvl>
    <w:lvl w:ilvl="3" w:tplc="7CB49BE6">
      <w:start w:val="1"/>
      <w:numFmt w:val="bullet"/>
      <w:lvlText w:val=""/>
      <w:lvlJc w:val="left"/>
      <w:pPr>
        <w:ind w:left="2880" w:hanging="360"/>
      </w:pPr>
      <w:rPr>
        <w:rFonts w:ascii="Symbol" w:hAnsi="Symbol" w:hint="default"/>
      </w:rPr>
    </w:lvl>
    <w:lvl w:ilvl="4" w:tplc="6298B6F6">
      <w:start w:val="1"/>
      <w:numFmt w:val="bullet"/>
      <w:lvlText w:val="o"/>
      <w:lvlJc w:val="left"/>
      <w:pPr>
        <w:ind w:left="3600" w:hanging="360"/>
      </w:pPr>
      <w:rPr>
        <w:rFonts w:ascii="Courier New" w:hAnsi="Courier New" w:hint="default"/>
      </w:rPr>
    </w:lvl>
    <w:lvl w:ilvl="5" w:tplc="86F02AA0">
      <w:start w:val="1"/>
      <w:numFmt w:val="bullet"/>
      <w:lvlText w:val=""/>
      <w:lvlJc w:val="left"/>
      <w:pPr>
        <w:ind w:left="4320" w:hanging="360"/>
      </w:pPr>
      <w:rPr>
        <w:rFonts w:ascii="Wingdings" w:hAnsi="Wingdings" w:hint="default"/>
      </w:rPr>
    </w:lvl>
    <w:lvl w:ilvl="6" w:tplc="80C0D644">
      <w:start w:val="1"/>
      <w:numFmt w:val="bullet"/>
      <w:lvlText w:val=""/>
      <w:lvlJc w:val="left"/>
      <w:pPr>
        <w:ind w:left="5040" w:hanging="360"/>
      </w:pPr>
      <w:rPr>
        <w:rFonts w:ascii="Symbol" w:hAnsi="Symbol" w:hint="default"/>
      </w:rPr>
    </w:lvl>
    <w:lvl w:ilvl="7" w:tplc="945059CA">
      <w:start w:val="1"/>
      <w:numFmt w:val="bullet"/>
      <w:lvlText w:val="o"/>
      <w:lvlJc w:val="left"/>
      <w:pPr>
        <w:ind w:left="5760" w:hanging="360"/>
      </w:pPr>
      <w:rPr>
        <w:rFonts w:ascii="Courier New" w:hAnsi="Courier New" w:hint="default"/>
      </w:rPr>
    </w:lvl>
    <w:lvl w:ilvl="8" w:tplc="F7DC5D06">
      <w:start w:val="1"/>
      <w:numFmt w:val="bullet"/>
      <w:lvlText w:val=""/>
      <w:lvlJc w:val="left"/>
      <w:pPr>
        <w:ind w:left="6480" w:hanging="360"/>
      </w:pPr>
      <w:rPr>
        <w:rFonts w:ascii="Wingdings" w:hAnsi="Wingdings" w:hint="default"/>
      </w:rPr>
    </w:lvl>
  </w:abstractNum>
  <w:abstractNum w:abstractNumId="34">
    <w:nsid w:val="7EDE60EA"/>
    <w:multiLevelType w:val="hybridMultilevel"/>
    <w:tmpl w:val="FFFFFFFF"/>
    <w:lvl w:ilvl="0" w:tplc="52D64F84">
      <w:start w:val="1"/>
      <w:numFmt w:val="bullet"/>
      <w:lvlText w:val="·"/>
      <w:lvlJc w:val="left"/>
      <w:pPr>
        <w:ind w:left="720" w:hanging="360"/>
      </w:pPr>
      <w:rPr>
        <w:rFonts w:ascii="Symbol" w:hAnsi="Symbol" w:hint="default"/>
      </w:rPr>
    </w:lvl>
    <w:lvl w:ilvl="1" w:tplc="E282211E">
      <w:start w:val="1"/>
      <w:numFmt w:val="bullet"/>
      <w:lvlText w:val="o"/>
      <w:lvlJc w:val="left"/>
      <w:pPr>
        <w:ind w:left="1440" w:hanging="360"/>
      </w:pPr>
      <w:rPr>
        <w:rFonts w:ascii="Courier New" w:hAnsi="Courier New" w:hint="default"/>
      </w:rPr>
    </w:lvl>
    <w:lvl w:ilvl="2" w:tplc="F5B49500">
      <w:start w:val="1"/>
      <w:numFmt w:val="bullet"/>
      <w:lvlText w:val=""/>
      <w:lvlJc w:val="left"/>
      <w:pPr>
        <w:ind w:left="2160" w:hanging="360"/>
      </w:pPr>
      <w:rPr>
        <w:rFonts w:ascii="Wingdings" w:hAnsi="Wingdings" w:hint="default"/>
      </w:rPr>
    </w:lvl>
    <w:lvl w:ilvl="3" w:tplc="C0B0C400">
      <w:start w:val="1"/>
      <w:numFmt w:val="bullet"/>
      <w:lvlText w:val=""/>
      <w:lvlJc w:val="left"/>
      <w:pPr>
        <w:ind w:left="2880" w:hanging="360"/>
      </w:pPr>
      <w:rPr>
        <w:rFonts w:ascii="Symbol" w:hAnsi="Symbol" w:hint="default"/>
      </w:rPr>
    </w:lvl>
    <w:lvl w:ilvl="4" w:tplc="CEC87EA6">
      <w:start w:val="1"/>
      <w:numFmt w:val="bullet"/>
      <w:lvlText w:val="o"/>
      <w:lvlJc w:val="left"/>
      <w:pPr>
        <w:ind w:left="3600" w:hanging="360"/>
      </w:pPr>
      <w:rPr>
        <w:rFonts w:ascii="Courier New" w:hAnsi="Courier New" w:hint="default"/>
      </w:rPr>
    </w:lvl>
    <w:lvl w:ilvl="5" w:tplc="139485C4">
      <w:start w:val="1"/>
      <w:numFmt w:val="bullet"/>
      <w:lvlText w:val=""/>
      <w:lvlJc w:val="left"/>
      <w:pPr>
        <w:ind w:left="4320" w:hanging="360"/>
      </w:pPr>
      <w:rPr>
        <w:rFonts w:ascii="Wingdings" w:hAnsi="Wingdings" w:hint="default"/>
      </w:rPr>
    </w:lvl>
    <w:lvl w:ilvl="6" w:tplc="245C6516">
      <w:start w:val="1"/>
      <w:numFmt w:val="bullet"/>
      <w:lvlText w:val=""/>
      <w:lvlJc w:val="left"/>
      <w:pPr>
        <w:ind w:left="5040" w:hanging="360"/>
      </w:pPr>
      <w:rPr>
        <w:rFonts w:ascii="Symbol" w:hAnsi="Symbol" w:hint="default"/>
      </w:rPr>
    </w:lvl>
    <w:lvl w:ilvl="7" w:tplc="5566C5CC">
      <w:start w:val="1"/>
      <w:numFmt w:val="bullet"/>
      <w:lvlText w:val="o"/>
      <w:lvlJc w:val="left"/>
      <w:pPr>
        <w:ind w:left="5760" w:hanging="360"/>
      </w:pPr>
      <w:rPr>
        <w:rFonts w:ascii="Courier New" w:hAnsi="Courier New" w:hint="default"/>
      </w:rPr>
    </w:lvl>
    <w:lvl w:ilvl="8" w:tplc="CAD03572">
      <w:start w:val="1"/>
      <w:numFmt w:val="bullet"/>
      <w:lvlText w:val=""/>
      <w:lvlJc w:val="left"/>
      <w:pPr>
        <w:ind w:left="6480" w:hanging="360"/>
      </w:pPr>
      <w:rPr>
        <w:rFonts w:ascii="Wingdings" w:hAnsi="Wingdings" w:hint="default"/>
      </w:rPr>
    </w:lvl>
  </w:abstractNum>
  <w:abstractNum w:abstractNumId="35">
    <w:nsid w:val="7FDC6689"/>
    <w:multiLevelType w:val="hybridMultilevel"/>
    <w:tmpl w:val="FFFFFFFF"/>
    <w:lvl w:ilvl="0" w:tplc="CFCEC94E">
      <w:start w:val="1"/>
      <w:numFmt w:val="bullet"/>
      <w:lvlText w:val="·"/>
      <w:lvlJc w:val="left"/>
      <w:pPr>
        <w:ind w:left="720" w:hanging="360"/>
      </w:pPr>
      <w:rPr>
        <w:rFonts w:ascii="Symbol" w:hAnsi="Symbol" w:hint="default"/>
      </w:rPr>
    </w:lvl>
    <w:lvl w:ilvl="1" w:tplc="5A1C665A">
      <w:start w:val="1"/>
      <w:numFmt w:val="bullet"/>
      <w:lvlText w:val="o"/>
      <w:lvlJc w:val="left"/>
      <w:pPr>
        <w:ind w:left="1440" w:hanging="360"/>
      </w:pPr>
      <w:rPr>
        <w:rFonts w:ascii="Courier New" w:hAnsi="Courier New" w:hint="default"/>
      </w:rPr>
    </w:lvl>
    <w:lvl w:ilvl="2" w:tplc="1CFE7F86">
      <w:start w:val="1"/>
      <w:numFmt w:val="bullet"/>
      <w:lvlText w:val=""/>
      <w:lvlJc w:val="left"/>
      <w:pPr>
        <w:ind w:left="2160" w:hanging="360"/>
      </w:pPr>
      <w:rPr>
        <w:rFonts w:ascii="Wingdings" w:hAnsi="Wingdings" w:hint="default"/>
      </w:rPr>
    </w:lvl>
    <w:lvl w:ilvl="3" w:tplc="D50E2836">
      <w:start w:val="1"/>
      <w:numFmt w:val="bullet"/>
      <w:lvlText w:val=""/>
      <w:lvlJc w:val="left"/>
      <w:pPr>
        <w:ind w:left="2880" w:hanging="360"/>
      </w:pPr>
      <w:rPr>
        <w:rFonts w:ascii="Symbol" w:hAnsi="Symbol" w:hint="default"/>
      </w:rPr>
    </w:lvl>
    <w:lvl w:ilvl="4" w:tplc="E76A802A">
      <w:start w:val="1"/>
      <w:numFmt w:val="bullet"/>
      <w:lvlText w:val="o"/>
      <w:lvlJc w:val="left"/>
      <w:pPr>
        <w:ind w:left="3600" w:hanging="360"/>
      </w:pPr>
      <w:rPr>
        <w:rFonts w:ascii="Courier New" w:hAnsi="Courier New" w:hint="default"/>
      </w:rPr>
    </w:lvl>
    <w:lvl w:ilvl="5" w:tplc="6F2C7F0A">
      <w:start w:val="1"/>
      <w:numFmt w:val="bullet"/>
      <w:lvlText w:val=""/>
      <w:lvlJc w:val="left"/>
      <w:pPr>
        <w:ind w:left="4320" w:hanging="360"/>
      </w:pPr>
      <w:rPr>
        <w:rFonts w:ascii="Wingdings" w:hAnsi="Wingdings" w:hint="default"/>
      </w:rPr>
    </w:lvl>
    <w:lvl w:ilvl="6" w:tplc="44D62128">
      <w:start w:val="1"/>
      <w:numFmt w:val="bullet"/>
      <w:lvlText w:val=""/>
      <w:lvlJc w:val="left"/>
      <w:pPr>
        <w:ind w:left="5040" w:hanging="360"/>
      </w:pPr>
      <w:rPr>
        <w:rFonts w:ascii="Symbol" w:hAnsi="Symbol" w:hint="default"/>
      </w:rPr>
    </w:lvl>
    <w:lvl w:ilvl="7" w:tplc="525601EA">
      <w:start w:val="1"/>
      <w:numFmt w:val="bullet"/>
      <w:lvlText w:val="o"/>
      <w:lvlJc w:val="left"/>
      <w:pPr>
        <w:ind w:left="5760" w:hanging="360"/>
      </w:pPr>
      <w:rPr>
        <w:rFonts w:ascii="Courier New" w:hAnsi="Courier New" w:hint="default"/>
      </w:rPr>
    </w:lvl>
    <w:lvl w:ilvl="8" w:tplc="E9D09498">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32"/>
  </w:num>
  <w:num w:numId="4">
    <w:abstractNumId w:val="11"/>
  </w:num>
  <w:num w:numId="5">
    <w:abstractNumId w:val="5"/>
  </w:num>
  <w:num w:numId="6">
    <w:abstractNumId w:val="21"/>
  </w:num>
  <w:num w:numId="7">
    <w:abstractNumId w:val="17"/>
  </w:num>
  <w:num w:numId="8">
    <w:abstractNumId w:val="13"/>
  </w:num>
  <w:num w:numId="9">
    <w:abstractNumId w:val="2"/>
  </w:num>
  <w:num w:numId="10">
    <w:abstractNumId w:val="34"/>
  </w:num>
  <w:num w:numId="11">
    <w:abstractNumId w:val="31"/>
  </w:num>
  <w:num w:numId="12">
    <w:abstractNumId w:val="12"/>
  </w:num>
  <w:num w:numId="13">
    <w:abstractNumId w:val="3"/>
  </w:num>
  <w:num w:numId="14">
    <w:abstractNumId w:val="26"/>
  </w:num>
  <w:num w:numId="15">
    <w:abstractNumId w:val="18"/>
  </w:num>
  <w:num w:numId="16">
    <w:abstractNumId w:val="27"/>
  </w:num>
  <w:num w:numId="17">
    <w:abstractNumId w:val="22"/>
  </w:num>
  <w:num w:numId="18">
    <w:abstractNumId w:val="6"/>
  </w:num>
  <w:num w:numId="19">
    <w:abstractNumId w:val="6"/>
  </w:num>
  <w:num w:numId="20">
    <w:abstractNumId w:val="6"/>
  </w:num>
  <w:num w:numId="21">
    <w:abstractNumId w:val="30"/>
  </w:num>
  <w:num w:numId="22">
    <w:abstractNumId w:val="1"/>
  </w:num>
  <w:num w:numId="23">
    <w:abstractNumId w:val="6"/>
  </w:num>
  <w:num w:numId="24">
    <w:abstractNumId w:val="14"/>
  </w:num>
  <w:num w:numId="25">
    <w:abstractNumId w:val="7"/>
  </w:num>
  <w:num w:numId="26">
    <w:abstractNumId w:val="35"/>
  </w:num>
  <w:num w:numId="27">
    <w:abstractNumId w:val="0"/>
  </w:num>
  <w:num w:numId="28">
    <w:abstractNumId w:val="33"/>
  </w:num>
  <w:num w:numId="29">
    <w:abstractNumId w:val="9"/>
  </w:num>
  <w:num w:numId="30">
    <w:abstractNumId w:val="20"/>
  </w:num>
  <w:num w:numId="31">
    <w:abstractNumId w:val="28"/>
  </w:num>
  <w:num w:numId="32">
    <w:abstractNumId w:val="8"/>
  </w:num>
  <w:num w:numId="33">
    <w:abstractNumId w:val="25"/>
  </w:num>
  <w:num w:numId="34">
    <w:abstractNumId w:val="29"/>
  </w:num>
  <w:num w:numId="35">
    <w:abstractNumId w:val="10"/>
  </w:num>
  <w:num w:numId="36">
    <w:abstractNumId w:val="19"/>
  </w:num>
  <w:num w:numId="37">
    <w:abstractNumId w:val="24"/>
  </w:num>
  <w:num w:numId="38">
    <w:abstractNumId w:val="15"/>
  </w:num>
  <w:num w:numId="39">
    <w:abstractNumId w:val="4"/>
  </w:num>
  <w:num w:numId="40">
    <w:abstractNumId w:val="16"/>
  </w:num>
  <w:num w:numId="41">
    <w:abstractNumId w:val="6"/>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savePreviewPicture/>
  <w:doNotValidateAgainstSchema/>
  <w:doNotDemarcateInvalidXml/>
  <w:hdrShapeDefaults>
    <o:shapedefaults v:ext="edit" spidmax="4098"/>
    <o:shapelayout v:ext="edit">
      <o:idmap v:ext="edit" data="1"/>
    </o:shapelayout>
  </w:hdrShapeDefaults>
  <w:footnotePr>
    <w:footnote w:id="-1"/>
    <w:footnote w:id="0"/>
    <w:footnote w:id="1"/>
  </w:footnotePr>
  <w:endnotePr>
    <w:endnote w:id="-1"/>
    <w:endnote w:id="0"/>
    <w:endnote w:id="1"/>
  </w:endnotePr>
  <w:compat>
    <w:useFELayout/>
  </w:compat>
  <w:docVars>
    <w:docVar w:name="__Grammarly_42____i" w:val="H4sIAAAAAAAEAKtWckksSQxILCpxzi/NK1GyMqwFAAEhoTITAAAA"/>
    <w:docVar w:name="__Grammarly_42___1" w:val="H4sIAAAAAAAEAKtWcslP9kxRslIyNDYyNTUxMTWyNDUxMjY3sLRQ0lEKTi0uzszPAykwMq4FAHKg3B8tAAAA"/>
  </w:docVars>
  <w:rsids>
    <w:rsidRoot w:val="00D642BD"/>
    <w:rsid w:val="0000104D"/>
    <w:rsid w:val="0000142A"/>
    <w:rsid w:val="000017A0"/>
    <w:rsid w:val="00001B85"/>
    <w:rsid w:val="00001B89"/>
    <w:rsid w:val="0000223F"/>
    <w:rsid w:val="000024EC"/>
    <w:rsid w:val="00002ECB"/>
    <w:rsid w:val="000032FA"/>
    <w:rsid w:val="00003461"/>
    <w:rsid w:val="00003D3B"/>
    <w:rsid w:val="00003F42"/>
    <w:rsid w:val="00004286"/>
    <w:rsid w:val="00004636"/>
    <w:rsid w:val="00004C09"/>
    <w:rsid w:val="00005714"/>
    <w:rsid w:val="000058E3"/>
    <w:rsid w:val="000065D0"/>
    <w:rsid w:val="000075BD"/>
    <w:rsid w:val="0000793E"/>
    <w:rsid w:val="00007BFA"/>
    <w:rsid w:val="00007F19"/>
    <w:rsid w:val="00010A33"/>
    <w:rsid w:val="00010ADB"/>
    <w:rsid w:val="00010B55"/>
    <w:rsid w:val="00010BB9"/>
    <w:rsid w:val="00010E0F"/>
    <w:rsid w:val="0001173C"/>
    <w:rsid w:val="000117C0"/>
    <w:rsid w:val="000122BF"/>
    <w:rsid w:val="00013831"/>
    <w:rsid w:val="00013904"/>
    <w:rsid w:val="000146BE"/>
    <w:rsid w:val="0001505A"/>
    <w:rsid w:val="00015A05"/>
    <w:rsid w:val="000161F4"/>
    <w:rsid w:val="00017279"/>
    <w:rsid w:val="0001797C"/>
    <w:rsid w:val="00017A00"/>
    <w:rsid w:val="00017A71"/>
    <w:rsid w:val="0002016E"/>
    <w:rsid w:val="00020FE2"/>
    <w:rsid w:val="00021019"/>
    <w:rsid w:val="0002194F"/>
    <w:rsid w:val="00021D97"/>
    <w:rsid w:val="00022372"/>
    <w:rsid w:val="00022999"/>
    <w:rsid w:val="00022C36"/>
    <w:rsid w:val="0002389E"/>
    <w:rsid w:val="00023A4F"/>
    <w:rsid w:val="00023B97"/>
    <w:rsid w:val="00023BA0"/>
    <w:rsid w:val="00023F7B"/>
    <w:rsid w:val="00025A22"/>
    <w:rsid w:val="00025BBD"/>
    <w:rsid w:val="00025D82"/>
    <w:rsid w:val="00025DFB"/>
    <w:rsid w:val="00025ED5"/>
    <w:rsid w:val="00025FF6"/>
    <w:rsid w:val="00027543"/>
    <w:rsid w:val="00027697"/>
    <w:rsid w:val="00027C88"/>
    <w:rsid w:val="000302E8"/>
    <w:rsid w:val="00030661"/>
    <w:rsid w:val="00030ADB"/>
    <w:rsid w:val="000310B4"/>
    <w:rsid w:val="000314BF"/>
    <w:rsid w:val="00031703"/>
    <w:rsid w:val="000321F9"/>
    <w:rsid w:val="00032D5A"/>
    <w:rsid w:val="00033116"/>
    <w:rsid w:val="00033CDE"/>
    <w:rsid w:val="000346CD"/>
    <w:rsid w:val="0003485C"/>
    <w:rsid w:val="00035142"/>
    <w:rsid w:val="0003527E"/>
    <w:rsid w:val="000356F2"/>
    <w:rsid w:val="0003582F"/>
    <w:rsid w:val="0003600D"/>
    <w:rsid w:val="000368C6"/>
    <w:rsid w:val="00036B66"/>
    <w:rsid w:val="00037A7F"/>
    <w:rsid w:val="00037B51"/>
    <w:rsid w:val="00037BA0"/>
    <w:rsid w:val="00037FA0"/>
    <w:rsid w:val="00040504"/>
    <w:rsid w:val="000407B2"/>
    <w:rsid w:val="000410A5"/>
    <w:rsid w:val="00041370"/>
    <w:rsid w:val="00041420"/>
    <w:rsid w:val="000417A9"/>
    <w:rsid w:val="00041F21"/>
    <w:rsid w:val="00042195"/>
    <w:rsid w:val="0004235F"/>
    <w:rsid w:val="00042A07"/>
    <w:rsid w:val="000439F9"/>
    <w:rsid w:val="00043A7C"/>
    <w:rsid w:val="00043DF9"/>
    <w:rsid w:val="00043FEC"/>
    <w:rsid w:val="00044597"/>
    <w:rsid w:val="000449AC"/>
    <w:rsid w:val="0004554F"/>
    <w:rsid w:val="000478AA"/>
    <w:rsid w:val="0005077F"/>
    <w:rsid w:val="00050DF2"/>
    <w:rsid w:val="00051058"/>
    <w:rsid w:val="000518ED"/>
    <w:rsid w:val="000519E4"/>
    <w:rsid w:val="00051A52"/>
    <w:rsid w:val="00051E7F"/>
    <w:rsid w:val="000522F2"/>
    <w:rsid w:val="000527DF"/>
    <w:rsid w:val="00052CCA"/>
    <w:rsid w:val="0005356B"/>
    <w:rsid w:val="00054081"/>
    <w:rsid w:val="000540EA"/>
    <w:rsid w:val="000542EF"/>
    <w:rsid w:val="00054795"/>
    <w:rsid w:val="000551A1"/>
    <w:rsid w:val="00055267"/>
    <w:rsid w:val="000554F2"/>
    <w:rsid w:val="00055732"/>
    <w:rsid w:val="00055751"/>
    <w:rsid w:val="00055956"/>
    <w:rsid w:val="00055AE6"/>
    <w:rsid w:val="00055FD6"/>
    <w:rsid w:val="000562F1"/>
    <w:rsid w:val="00056BCE"/>
    <w:rsid w:val="0005726A"/>
    <w:rsid w:val="00060115"/>
    <w:rsid w:val="0006107E"/>
    <w:rsid w:val="000615D6"/>
    <w:rsid w:val="00061837"/>
    <w:rsid w:val="00061C1D"/>
    <w:rsid w:val="00061E3F"/>
    <w:rsid w:val="00061E91"/>
    <w:rsid w:val="000622CD"/>
    <w:rsid w:val="000625A3"/>
    <w:rsid w:val="00063606"/>
    <w:rsid w:val="00063F12"/>
    <w:rsid w:val="0006413D"/>
    <w:rsid w:val="000651A4"/>
    <w:rsid w:val="00065BA1"/>
    <w:rsid w:val="00065D86"/>
    <w:rsid w:val="0006602A"/>
    <w:rsid w:val="0006604C"/>
    <w:rsid w:val="00066109"/>
    <w:rsid w:val="00066534"/>
    <w:rsid w:val="00066664"/>
    <w:rsid w:val="00067613"/>
    <w:rsid w:val="00070658"/>
    <w:rsid w:val="000708DE"/>
    <w:rsid w:val="00070C2D"/>
    <w:rsid w:val="00071625"/>
    <w:rsid w:val="00071944"/>
    <w:rsid w:val="00071B62"/>
    <w:rsid w:val="00071B8F"/>
    <w:rsid w:val="00071E23"/>
    <w:rsid w:val="000729B5"/>
    <w:rsid w:val="00072B2C"/>
    <w:rsid w:val="00072CB2"/>
    <w:rsid w:val="00073436"/>
    <w:rsid w:val="000735ED"/>
    <w:rsid w:val="00073CEF"/>
    <w:rsid w:val="00075003"/>
    <w:rsid w:val="00075757"/>
    <w:rsid w:val="000766FF"/>
    <w:rsid w:val="00077BA9"/>
    <w:rsid w:val="00077E04"/>
    <w:rsid w:val="000803E8"/>
    <w:rsid w:val="00080BFE"/>
    <w:rsid w:val="00080F33"/>
    <w:rsid w:val="000811E9"/>
    <w:rsid w:val="00081C89"/>
    <w:rsid w:val="00082018"/>
    <w:rsid w:val="0008283B"/>
    <w:rsid w:val="00082D95"/>
    <w:rsid w:val="00083707"/>
    <w:rsid w:val="0008372D"/>
    <w:rsid w:val="00084DF4"/>
    <w:rsid w:val="00084EE6"/>
    <w:rsid w:val="0008501F"/>
    <w:rsid w:val="00085BC7"/>
    <w:rsid w:val="00085C92"/>
    <w:rsid w:val="00085FA3"/>
    <w:rsid w:val="000865F1"/>
    <w:rsid w:val="00086984"/>
    <w:rsid w:val="00086D5C"/>
    <w:rsid w:val="00086F6A"/>
    <w:rsid w:val="000871AD"/>
    <w:rsid w:val="00087357"/>
    <w:rsid w:val="00087388"/>
    <w:rsid w:val="000873D0"/>
    <w:rsid w:val="000873D7"/>
    <w:rsid w:val="00087449"/>
    <w:rsid w:val="000875C9"/>
    <w:rsid w:val="00087B3F"/>
    <w:rsid w:val="000903E6"/>
    <w:rsid w:val="00090505"/>
    <w:rsid w:val="0009090B"/>
    <w:rsid w:val="0009093E"/>
    <w:rsid w:val="00090BE7"/>
    <w:rsid w:val="00090F1B"/>
    <w:rsid w:val="000911F1"/>
    <w:rsid w:val="000916B2"/>
    <w:rsid w:val="00093673"/>
    <w:rsid w:val="00093733"/>
    <w:rsid w:val="00093EFF"/>
    <w:rsid w:val="00094133"/>
    <w:rsid w:val="00094CDA"/>
    <w:rsid w:val="0009531A"/>
    <w:rsid w:val="000956D3"/>
    <w:rsid w:val="00095887"/>
    <w:rsid w:val="00095BF6"/>
    <w:rsid w:val="000970CB"/>
    <w:rsid w:val="0009717C"/>
    <w:rsid w:val="000A0357"/>
    <w:rsid w:val="000A1433"/>
    <w:rsid w:val="000A144A"/>
    <w:rsid w:val="000A1755"/>
    <w:rsid w:val="000A1806"/>
    <w:rsid w:val="000A3500"/>
    <w:rsid w:val="000A35E4"/>
    <w:rsid w:val="000A36EF"/>
    <w:rsid w:val="000A37C7"/>
    <w:rsid w:val="000A3E04"/>
    <w:rsid w:val="000A41FE"/>
    <w:rsid w:val="000A4551"/>
    <w:rsid w:val="000A47F4"/>
    <w:rsid w:val="000A4867"/>
    <w:rsid w:val="000A5071"/>
    <w:rsid w:val="000A52B2"/>
    <w:rsid w:val="000A5760"/>
    <w:rsid w:val="000A57E7"/>
    <w:rsid w:val="000A581F"/>
    <w:rsid w:val="000A6ED0"/>
    <w:rsid w:val="000A7681"/>
    <w:rsid w:val="000A77E8"/>
    <w:rsid w:val="000B0241"/>
    <w:rsid w:val="000B0698"/>
    <w:rsid w:val="000B1B14"/>
    <w:rsid w:val="000B282C"/>
    <w:rsid w:val="000B2949"/>
    <w:rsid w:val="000B3C29"/>
    <w:rsid w:val="000B4689"/>
    <w:rsid w:val="000B46B5"/>
    <w:rsid w:val="000B48A1"/>
    <w:rsid w:val="000B4B3E"/>
    <w:rsid w:val="000B5CB3"/>
    <w:rsid w:val="000B5ECE"/>
    <w:rsid w:val="000B612B"/>
    <w:rsid w:val="000B657F"/>
    <w:rsid w:val="000B706C"/>
    <w:rsid w:val="000B7E24"/>
    <w:rsid w:val="000C0451"/>
    <w:rsid w:val="000C0941"/>
    <w:rsid w:val="000C09B6"/>
    <w:rsid w:val="000C0CDF"/>
    <w:rsid w:val="000C0F5D"/>
    <w:rsid w:val="000C105C"/>
    <w:rsid w:val="000C1602"/>
    <w:rsid w:val="000C172B"/>
    <w:rsid w:val="000C24BE"/>
    <w:rsid w:val="000C2EE2"/>
    <w:rsid w:val="000C312E"/>
    <w:rsid w:val="000C3184"/>
    <w:rsid w:val="000C3356"/>
    <w:rsid w:val="000C60AB"/>
    <w:rsid w:val="000C60B9"/>
    <w:rsid w:val="000C68B7"/>
    <w:rsid w:val="000C6D32"/>
    <w:rsid w:val="000C6F62"/>
    <w:rsid w:val="000C7B28"/>
    <w:rsid w:val="000D07FD"/>
    <w:rsid w:val="000D1F43"/>
    <w:rsid w:val="000D2517"/>
    <w:rsid w:val="000D26FE"/>
    <w:rsid w:val="000D2791"/>
    <w:rsid w:val="000D2FD2"/>
    <w:rsid w:val="000D3144"/>
    <w:rsid w:val="000D31FA"/>
    <w:rsid w:val="000D321E"/>
    <w:rsid w:val="000D32B9"/>
    <w:rsid w:val="000D3EA6"/>
    <w:rsid w:val="000D3F2B"/>
    <w:rsid w:val="000D41AB"/>
    <w:rsid w:val="000D453B"/>
    <w:rsid w:val="000D4958"/>
    <w:rsid w:val="000D49E0"/>
    <w:rsid w:val="000D4A5C"/>
    <w:rsid w:val="000D4AAA"/>
    <w:rsid w:val="000D5B55"/>
    <w:rsid w:val="000D6199"/>
    <w:rsid w:val="000D6339"/>
    <w:rsid w:val="000D6D26"/>
    <w:rsid w:val="000D6EF3"/>
    <w:rsid w:val="000D6F4A"/>
    <w:rsid w:val="000D702B"/>
    <w:rsid w:val="000D71E6"/>
    <w:rsid w:val="000D7B1C"/>
    <w:rsid w:val="000E0703"/>
    <w:rsid w:val="000E0909"/>
    <w:rsid w:val="000E1150"/>
    <w:rsid w:val="000E1373"/>
    <w:rsid w:val="000E18E6"/>
    <w:rsid w:val="000E1AC5"/>
    <w:rsid w:val="000E1E54"/>
    <w:rsid w:val="000E2FB8"/>
    <w:rsid w:val="000E32A0"/>
    <w:rsid w:val="000E36A0"/>
    <w:rsid w:val="000E3CE1"/>
    <w:rsid w:val="000E4236"/>
    <w:rsid w:val="000E42AB"/>
    <w:rsid w:val="000E4A9B"/>
    <w:rsid w:val="000E4AB9"/>
    <w:rsid w:val="000E4DBA"/>
    <w:rsid w:val="000E5565"/>
    <w:rsid w:val="000E5601"/>
    <w:rsid w:val="000E5793"/>
    <w:rsid w:val="000E604B"/>
    <w:rsid w:val="000E6324"/>
    <w:rsid w:val="000E6536"/>
    <w:rsid w:val="000E659F"/>
    <w:rsid w:val="000E66FF"/>
    <w:rsid w:val="000E670C"/>
    <w:rsid w:val="000E6D0A"/>
    <w:rsid w:val="000E70B4"/>
    <w:rsid w:val="000E7216"/>
    <w:rsid w:val="000E73AF"/>
    <w:rsid w:val="000E76FC"/>
    <w:rsid w:val="000F00AF"/>
    <w:rsid w:val="000F05BF"/>
    <w:rsid w:val="000F14E2"/>
    <w:rsid w:val="000F1807"/>
    <w:rsid w:val="000F3542"/>
    <w:rsid w:val="000F3595"/>
    <w:rsid w:val="000F38CE"/>
    <w:rsid w:val="000F3914"/>
    <w:rsid w:val="000F395F"/>
    <w:rsid w:val="000F3C08"/>
    <w:rsid w:val="000F3CF1"/>
    <w:rsid w:val="000F41CD"/>
    <w:rsid w:val="000F4C08"/>
    <w:rsid w:val="000F4D95"/>
    <w:rsid w:val="000F52C2"/>
    <w:rsid w:val="000F57B0"/>
    <w:rsid w:val="000F58AD"/>
    <w:rsid w:val="000F58E6"/>
    <w:rsid w:val="000F5B6B"/>
    <w:rsid w:val="000F622B"/>
    <w:rsid w:val="000F6AE4"/>
    <w:rsid w:val="000F6B36"/>
    <w:rsid w:val="000F760A"/>
    <w:rsid w:val="001001BB"/>
    <w:rsid w:val="00100920"/>
    <w:rsid w:val="00101214"/>
    <w:rsid w:val="00101594"/>
    <w:rsid w:val="0010167A"/>
    <w:rsid w:val="00101A26"/>
    <w:rsid w:val="00101C29"/>
    <w:rsid w:val="0010243D"/>
    <w:rsid w:val="001024CE"/>
    <w:rsid w:val="00102BD5"/>
    <w:rsid w:val="00102F59"/>
    <w:rsid w:val="00103077"/>
    <w:rsid w:val="00103614"/>
    <w:rsid w:val="001038CE"/>
    <w:rsid w:val="00103CE8"/>
    <w:rsid w:val="00104203"/>
    <w:rsid w:val="0010438F"/>
    <w:rsid w:val="00104E38"/>
    <w:rsid w:val="00104F21"/>
    <w:rsid w:val="00104FD9"/>
    <w:rsid w:val="00105A77"/>
    <w:rsid w:val="00105D03"/>
    <w:rsid w:val="00106054"/>
    <w:rsid w:val="001063A0"/>
    <w:rsid w:val="00106BF8"/>
    <w:rsid w:val="00106FF3"/>
    <w:rsid w:val="00107014"/>
    <w:rsid w:val="00107440"/>
    <w:rsid w:val="00107ADA"/>
    <w:rsid w:val="00110190"/>
    <w:rsid w:val="0011059D"/>
    <w:rsid w:val="00111BE7"/>
    <w:rsid w:val="001129D9"/>
    <w:rsid w:val="001129E9"/>
    <w:rsid w:val="00112B20"/>
    <w:rsid w:val="00113794"/>
    <w:rsid w:val="00115066"/>
    <w:rsid w:val="0011519E"/>
    <w:rsid w:val="00115469"/>
    <w:rsid w:val="00115644"/>
    <w:rsid w:val="00115DD7"/>
    <w:rsid w:val="00115F87"/>
    <w:rsid w:val="00116F74"/>
    <w:rsid w:val="00117043"/>
    <w:rsid w:val="00117412"/>
    <w:rsid w:val="001175CC"/>
    <w:rsid w:val="0012021D"/>
    <w:rsid w:val="0012024A"/>
    <w:rsid w:val="001202B0"/>
    <w:rsid w:val="001206E8"/>
    <w:rsid w:val="001209D1"/>
    <w:rsid w:val="00120B16"/>
    <w:rsid w:val="00120B51"/>
    <w:rsid w:val="00121310"/>
    <w:rsid w:val="00121EDB"/>
    <w:rsid w:val="00122F95"/>
    <w:rsid w:val="0012327E"/>
    <w:rsid w:val="00123703"/>
    <w:rsid w:val="001237F9"/>
    <w:rsid w:val="00123BB7"/>
    <w:rsid w:val="001240C1"/>
    <w:rsid w:val="00124A82"/>
    <w:rsid w:val="001250EF"/>
    <w:rsid w:val="0012579F"/>
    <w:rsid w:val="0012628D"/>
    <w:rsid w:val="0012630E"/>
    <w:rsid w:val="001277ED"/>
    <w:rsid w:val="00130497"/>
    <w:rsid w:val="00130582"/>
    <w:rsid w:val="00130B74"/>
    <w:rsid w:val="00130CFA"/>
    <w:rsid w:val="00130D0A"/>
    <w:rsid w:val="00131061"/>
    <w:rsid w:val="001310BD"/>
    <w:rsid w:val="00131BD6"/>
    <w:rsid w:val="00131D0E"/>
    <w:rsid w:val="00131DE3"/>
    <w:rsid w:val="001321F3"/>
    <w:rsid w:val="00132B83"/>
    <w:rsid w:val="001331AD"/>
    <w:rsid w:val="001336F4"/>
    <w:rsid w:val="00133F24"/>
    <w:rsid w:val="001342BB"/>
    <w:rsid w:val="00134A0E"/>
    <w:rsid w:val="00134C83"/>
    <w:rsid w:val="00134CD3"/>
    <w:rsid w:val="001350E6"/>
    <w:rsid w:val="0013563B"/>
    <w:rsid w:val="00135649"/>
    <w:rsid w:val="0013656F"/>
    <w:rsid w:val="00136A93"/>
    <w:rsid w:val="00136B25"/>
    <w:rsid w:val="00136DD9"/>
    <w:rsid w:val="001402AC"/>
    <w:rsid w:val="00140AB3"/>
    <w:rsid w:val="00140AF2"/>
    <w:rsid w:val="0014164A"/>
    <w:rsid w:val="00141970"/>
    <w:rsid w:val="00141CF1"/>
    <w:rsid w:val="0014200E"/>
    <w:rsid w:val="0014206F"/>
    <w:rsid w:val="0014228F"/>
    <w:rsid w:val="00142592"/>
    <w:rsid w:val="00142683"/>
    <w:rsid w:val="00142B80"/>
    <w:rsid w:val="001433A9"/>
    <w:rsid w:val="00143CFA"/>
    <w:rsid w:val="00144808"/>
    <w:rsid w:val="00144C34"/>
    <w:rsid w:val="00144DE8"/>
    <w:rsid w:val="00145003"/>
    <w:rsid w:val="00145858"/>
    <w:rsid w:val="00146EB2"/>
    <w:rsid w:val="00147001"/>
    <w:rsid w:val="00147436"/>
    <w:rsid w:val="001476E5"/>
    <w:rsid w:val="001478A2"/>
    <w:rsid w:val="00147FED"/>
    <w:rsid w:val="001501B9"/>
    <w:rsid w:val="001505DB"/>
    <w:rsid w:val="00151746"/>
    <w:rsid w:val="00151835"/>
    <w:rsid w:val="001525ED"/>
    <w:rsid w:val="00153207"/>
    <w:rsid w:val="001534F0"/>
    <w:rsid w:val="001538CE"/>
    <w:rsid w:val="0015397A"/>
    <w:rsid w:val="001545A1"/>
    <w:rsid w:val="00154BF3"/>
    <w:rsid w:val="0015575D"/>
    <w:rsid w:val="0015596C"/>
    <w:rsid w:val="00155AF6"/>
    <w:rsid w:val="00156125"/>
    <w:rsid w:val="00156623"/>
    <w:rsid w:val="00156BFB"/>
    <w:rsid w:val="001570F4"/>
    <w:rsid w:val="001577A6"/>
    <w:rsid w:val="0015792C"/>
    <w:rsid w:val="001607F7"/>
    <w:rsid w:val="00160A2D"/>
    <w:rsid w:val="00160C5A"/>
    <w:rsid w:val="001626C0"/>
    <w:rsid w:val="001626CB"/>
    <w:rsid w:val="00162965"/>
    <w:rsid w:val="00162D5F"/>
    <w:rsid w:val="00162DEB"/>
    <w:rsid w:val="00162E2C"/>
    <w:rsid w:val="001633F7"/>
    <w:rsid w:val="00163A30"/>
    <w:rsid w:val="00163A4D"/>
    <w:rsid w:val="00163F82"/>
    <w:rsid w:val="001640AB"/>
    <w:rsid w:val="00164F57"/>
    <w:rsid w:val="00165313"/>
    <w:rsid w:val="001653AE"/>
    <w:rsid w:val="001653C5"/>
    <w:rsid w:val="001665B3"/>
    <w:rsid w:val="001667A7"/>
    <w:rsid w:val="00166CD6"/>
    <w:rsid w:val="0016711F"/>
    <w:rsid w:val="00167876"/>
    <w:rsid w:val="001679A5"/>
    <w:rsid w:val="001708B0"/>
    <w:rsid w:val="00170954"/>
    <w:rsid w:val="001709B8"/>
    <w:rsid w:val="00170BF0"/>
    <w:rsid w:val="00170D70"/>
    <w:rsid w:val="00170EC0"/>
    <w:rsid w:val="00171133"/>
    <w:rsid w:val="0017129D"/>
    <w:rsid w:val="00171322"/>
    <w:rsid w:val="0017161E"/>
    <w:rsid w:val="00171865"/>
    <w:rsid w:val="001718AC"/>
    <w:rsid w:val="0017293E"/>
    <w:rsid w:val="00172B0B"/>
    <w:rsid w:val="00172E84"/>
    <w:rsid w:val="001731D8"/>
    <w:rsid w:val="00174DF5"/>
    <w:rsid w:val="0017583D"/>
    <w:rsid w:val="001761AC"/>
    <w:rsid w:val="0017686B"/>
    <w:rsid w:val="00176C1B"/>
    <w:rsid w:val="001771AE"/>
    <w:rsid w:val="00177DD3"/>
    <w:rsid w:val="00180101"/>
    <w:rsid w:val="001803C1"/>
    <w:rsid w:val="001804EC"/>
    <w:rsid w:val="00180C07"/>
    <w:rsid w:val="00180EF1"/>
    <w:rsid w:val="001813E8"/>
    <w:rsid w:val="001814AD"/>
    <w:rsid w:val="00181963"/>
    <w:rsid w:val="00182576"/>
    <w:rsid w:val="00182BC7"/>
    <w:rsid w:val="00182D28"/>
    <w:rsid w:val="001831B9"/>
    <w:rsid w:val="00183C64"/>
    <w:rsid w:val="0018435F"/>
    <w:rsid w:val="001852FD"/>
    <w:rsid w:val="0018597C"/>
    <w:rsid w:val="00186113"/>
    <w:rsid w:val="00186598"/>
    <w:rsid w:val="001868B9"/>
    <w:rsid w:val="001869B9"/>
    <w:rsid w:val="00186BC7"/>
    <w:rsid w:val="00187A0D"/>
    <w:rsid w:val="00187EF2"/>
    <w:rsid w:val="001905EA"/>
    <w:rsid w:val="00190823"/>
    <w:rsid w:val="00190C57"/>
    <w:rsid w:val="0019263B"/>
    <w:rsid w:val="0019295F"/>
    <w:rsid w:val="00193164"/>
    <w:rsid w:val="001933DB"/>
    <w:rsid w:val="00194674"/>
    <w:rsid w:val="0019561E"/>
    <w:rsid w:val="00195B05"/>
    <w:rsid w:val="00195DD8"/>
    <w:rsid w:val="001960E6"/>
    <w:rsid w:val="00197272"/>
    <w:rsid w:val="001974F1"/>
    <w:rsid w:val="00197B3B"/>
    <w:rsid w:val="001A1228"/>
    <w:rsid w:val="001A1385"/>
    <w:rsid w:val="001A1BE8"/>
    <w:rsid w:val="001A1EE3"/>
    <w:rsid w:val="001A2508"/>
    <w:rsid w:val="001A285F"/>
    <w:rsid w:val="001A2E3F"/>
    <w:rsid w:val="001A2EBE"/>
    <w:rsid w:val="001A2F80"/>
    <w:rsid w:val="001A4639"/>
    <w:rsid w:val="001A49D5"/>
    <w:rsid w:val="001A5239"/>
    <w:rsid w:val="001A553F"/>
    <w:rsid w:val="001A5961"/>
    <w:rsid w:val="001A5BA1"/>
    <w:rsid w:val="001B00F9"/>
    <w:rsid w:val="001B07DC"/>
    <w:rsid w:val="001B0942"/>
    <w:rsid w:val="001B0973"/>
    <w:rsid w:val="001B0D26"/>
    <w:rsid w:val="001B0D37"/>
    <w:rsid w:val="001B19AE"/>
    <w:rsid w:val="001B2A90"/>
    <w:rsid w:val="001B3107"/>
    <w:rsid w:val="001B39D6"/>
    <w:rsid w:val="001B3ACC"/>
    <w:rsid w:val="001B493A"/>
    <w:rsid w:val="001B4C41"/>
    <w:rsid w:val="001B4DBC"/>
    <w:rsid w:val="001B535E"/>
    <w:rsid w:val="001B5CD9"/>
    <w:rsid w:val="001B644F"/>
    <w:rsid w:val="001B6CA2"/>
    <w:rsid w:val="001B6F81"/>
    <w:rsid w:val="001B70DB"/>
    <w:rsid w:val="001B7313"/>
    <w:rsid w:val="001B7B13"/>
    <w:rsid w:val="001C0076"/>
    <w:rsid w:val="001C00C5"/>
    <w:rsid w:val="001C097E"/>
    <w:rsid w:val="001C1419"/>
    <w:rsid w:val="001C1431"/>
    <w:rsid w:val="001C14F4"/>
    <w:rsid w:val="001C1BCB"/>
    <w:rsid w:val="001C236E"/>
    <w:rsid w:val="001C25FA"/>
    <w:rsid w:val="001C2607"/>
    <w:rsid w:val="001C295D"/>
    <w:rsid w:val="001C3192"/>
    <w:rsid w:val="001C31B5"/>
    <w:rsid w:val="001C32A5"/>
    <w:rsid w:val="001C3EE3"/>
    <w:rsid w:val="001C40D9"/>
    <w:rsid w:val="001C41D1"/>
    <w:rsid w:val="001C44D8"/>
    <w:rsid w:val="001C49A7"/>
    <w:rsid w:val="001C4B56"/>
    <w:rsid w:val="001C5957"/>
    <w:rsid w:val="001C5DCC"/>
    <w:rsid w:val="001C5ED8"/>
    <w:rsid w:val="001C63B0"/>
    <w:rsid w:val="001C6517"/>
    <w:rsid w:val="001C6A74"/>
    <w:rsid w:val="001C70AA"/>
    <w:rsid w:val="001C7E4F"/>
    <w:rsid w:val="001D0F1E"/>
    <w:rsid w:val="001D125D"/>
    <w:rsid w:val="001D131B"/>
    <w:rsid w:val="001D1A3E"/>
    <w:rsid w:val="001D1D68"/>
    <w:rsid w:val="001D2A94"/>
    <w:rsid w:val="001D3052"/>
    <w:rsid w:val="001D344F"/>
    <w:rsid w:val="001D34A8"/>
    <w:rsid w:val="001D35B5"/>
    <w:rsid w:val="001D4357"/>
    <w:rsid w:val="001D479C"/>
    <w:rsid w:val="001D533A"/>
    <w:rsid w:val="001D552D"/>
    <w:rsid w:val="001D58F8"/>
    <w:rsid w:val="001D5F26"/>
    <w:rsid w:val="001D729C"/>
    <w:rsid w:val="001D7706"/>
    <w:rsid w:val="001D7CDA"/>
    <w:rsid w:val="001D7FA4"/>
    <w:rsid w:val="001D7FE8"/>
    <w:rsid w:val="001E04F9"/>
    <w:rsid w:val="001E097F"/>
    <w:rsid w:val="001E0DD9"/>
    <w:rsid w:val="001E0E8F"/>
    <w:rsid w:val="001E1D4B"/>
    <w:rsid w:val="001E1EC9"/>
    <w:rsid w:val="001E20EF"/>
    <w:rsid w:val="001E259F"/>
    <w:rsid w:val="001E25AA"/>
    <w:rsid w:val="001E2906"/>
    <w:rsid w:val="001E2B88"/>
    <w:rsid w:val="001E2D69"/>
    <w:rsid w:val="001E2E20"/>
    <w:rsid w:val="001E2F69"/>
    <w:rsid w:val="001E35BA"/>
    <w:rsid w:val="001E37D7"/>
    <w:rsid w:val="001E39EC"/>
    <w:rsid w:val="001E4B1F"/>
    <w:rsid w:val="001E4FFE"/>
    <w:rsid w:val="001E526F"/>
    <w:rsid w:val="001E5C24"/>
    <w:rsid w:val="001E60A7"/>
    <w:rsid w:val="001E67BA"/>
    <w:rsid w:val="001E6BA4"/>
    <w:rsid w:val="001E6BCE"/>
    <w:rsid w:val="001E6DA8"/>
    <w:rsid w:val="001E7B80"/>
    <w:rsid w:val="001F074F"/>
    <w:rsid w:val="001F1043"/>
    <w:rsid w:val="001F12A6"/>
    <w:rsid w:val="001F160D"/>
    <w:rsid w:val="001F176D"/>
    <w:rsid w:val="001F185C"/>
    <w:rsid w:val="001F1943"/>
    <w:rsid w:val="001F1989"/>
    <w:rsid w:val="001F291C"/>
    <w:rsid w:val="001F2C80"/>
    <w:rsid w:val="001F44E2"/>
    <w:rsid w:val="001F48EB"/>
    <w:rsid w:val="001F4D15"/>
    <w:rsid w:val="001F4FD3"/>
    <w:rsid w:val="001F5170"/>
    <w:rsid w:val="001F53E5"/>
    <w:rsid w:val="001F5772"/>
    <w:rsid w:val="001F607B"/>
    <w:rsid w:val="001F608F"/>
    <w:rsid w:val="001F7BCF"/>
    <w:rsid w:val="00200249"/>
    <w:rsid w:val="0020036E"/>
    <w:rsid w:val="0020041A"/>
    <w:rsid w:val="002006A3"/>
    <w:rsid w:val="00201022"/>
    <w:rsid w:val="00201DBC"/>
    <w:rsid w:val="00203C04"/>
    <w:rsid w:val="00204A16"/>
    <w:rsid w:val="00205018"/>
    <w:rsid w:val="002054B3"/>
    <w:rsid w:val="00205BD6"/>
    <w:rsid w:val="00205F9E"/>
    <w:rsid w:val="00206E81"/>
    <w:rsid w:val="0020728C"/>
    <w:rsid w:val="0020766E"/>
    <w:rsid w:val="0021015E"/>
    <w:rsid w:val="002103BC"/>
    <w:rsid w:val="00210EBD"/>
    <w:rsid w:val="0021108E"/>
    <w:rsid w:val="002110E4"/>
    <w:rsid w:val="00211BD4"/>
    <w:rsid w:val="0021262D"/>
    <w:rsid w:val="00212BE1"/>
    <w:rsid w:val="00212F1E"/>
    <w:rsid w:val="002134A9"/>
    <w:rsid w:val="00213742"/>
    <w:rsid w:val="002142EB"/>
    <w:rsid w:val="00214AD8"/>
    <w:rsid w:val="00214BA1"/>
    <w:rsid w:val="00214BFF"/>
    <w:rsid w:val="00215A50"/>
    <w:rsid w:val="00215A7B"/>
    <w:rsid w:val="00215FAB"/>
    <w:rsid w:val="0021624B"/>
    <w:rsid w:val="002172EF"/>
    <w:rsid w:val="00217433"/>
    <w:rsid w:val="00220483"/>
    <w:rsid w:val="00220A21"/>
    <w:rsid w:val="00221086"/>
    <w:rsid w:val="0022149C"/>
    <w:rsid w:val="002215D3"/>
    <w:rsid w:val="00221892"/>
    <w:rsid w:val="0022256C"/>
    <w:rsid w:val="002228A6"/>
    <w:rsid w:val="00222E05"/>
    <w:rsid w:val="00222EC8"/>
    <w:rsid w:val="002235E1"/>
    <w:rsid w:val="00223AB5"/>
    <w:rsid w:val="00223CF4"/>
    <w:rsid w:val="00223E1A"/>
    <w:rsid w:val="00223F80"/>
    <w:rsid w:val="0022400D"/>
    <w:rsid w:val="002240A2"/>
    <w:rsid w:val="002241BC"/>
    <w:rsid w:val="002242D3"/>
    <w:rsid w:val="00225A7F"/>
    <w:rsid w:val="00226193"/>
    <w:rsid w:val="002261FA"/>
    <w:rsid w:val="00226ABF"/>
    <w:rsid w:val="00226B5C"/>
    <w:rsid w:val="00227B54"/>
    <w:rsid w:val="00227DFC"/>
    <w:rsid w:val="00230924"/>
    <w:rsid w:val="00230EC3"/>
    <w:rsid w:val="00231835"/>
    <w:rsid w:val="00231C64"/>
    <w:rsid w:val="00231C92"/>
    <w:rsid w:val="00231CAE"/>
    <w:rsid w:val="00233255"/>
    <w:rsid w:val="00233852"/>
    <w:rsid w:val="002340EB"/>
    <w:rsid w:val="002343A5"/>
    <w:rsid w:val="00234717"/>
    <w:rsid w:val="00235218"/>
    <w:rsid w:val="00235728"/>
    <w:rsid w:val="00235B7F"/>
    <w:rsid w:val="002360D7"/>
    <w:rsid w:val="0023640E"/>
    <w:rsid w:val="00236439"/>
    <w:rsid w:val="00236FE2"/>
    <w:rsid w:val="002370B4"/>
    <w:rsid w:val="002371AD"/>
    <w:rsid w:val="002377E3"/>
    <w:rsid w:val="00237A03"/>
    <w:rsid w:val="00240177"/>
    <w:rsid w:val="00240A91"/>
    <w:rsid w:val="00240F85"/>
    <w:rsid w:val="0024184C"/>
    <w:rsid w:val="00241883"/>
    <w:rsid w:val="00241B29"/>
    <w:rsid w:val="00241CA4"/>
    <w:rsid w:val="00241EED"/>
    <w:rsid w:val="002422AB"/>
    <w:rsid w:val="00242F9B"/>
    <w:rsid w:val="0024325B"/>
    <w:rsid w:val="00243A43"/>
    <w:rsid w:val="00243B9E"/>
    <w:rsid w:val="00243C62"/>
    <w:rsid w:val="00244013"/>
    <w:rsid w:val="00244AF3"/>
    <w:rsid w:val="002453AE"/>
    <w:rsid w:val="002453D8"/>
    <w:rsid w:val="00245596"/>
    <w:rsid w:val="002463C0"/>
    <w:rsid w:val="00246E4F"/>
    <w:rsid w:val="002470E6"/>
    <w:rsid w:val="0024725E"/>
    <w:rsid w:val="0025040C"/>
    <w:rsid w:val="00251446"/>
    <w:rsid w:val="00251534"/>
    <w:rsid w:val="00251577"/>
    <w:rsid w:val="00251B58"/>
    <w:rsid w:val="0025285E"/>
    <w:rsid w:val="00253489"/>
    <w:rsid w:val="00253CD1"/>
    <w:rsid w:val="00254821"/>
    <w:rsid w:val="002555C9"/>
    <w:rsid w:val="002558C6"/>
    <w:rsid w:val="00255F34"/>
    <w:rsid w:val="00256498"/>
    <w:rsid w:val="0025653D"/>
    <w:rsid w:val="00256AB6"/>
    <w:rsid w:val="00256B9A"/>
    <w:rsid w:val="00256F1E"/>
    <w:rsid w:val="002570F7"/>
    <w:rsid w:val="00257C5C"/>
    <w:rsid w:val="0026022A"/>
    <w:rsid w:val="002608E3"/>
    <w:rsid w:val="002609E7"/>
    <w:rsid w:val="00260A56"/>
    <w:rsid w:val="00260AEC"/>
    <w:rsid w:val="00260D12"/>
    <w:rsid w:val="0026124C"/>
    <w:rsid w:val="00261D45"/>
    <w:rsid w:val="00261E2B"/>
    <w:rsid w:val="00263C5D"/>
    <w:rsid w:val="00263C83"/>
    <w:rsid w:val="00263E8C"/>
    <w:rsid w:val="00264ED7"/>
    <w:rsid w:val="002653D2"/>
    <w:rsid w:val="002657C0"/>
    <w:rsid w:val="00266590"/>
    <w:rsid w:val="00266817"/>
    <w:rsid w:val="0026682C"/>
    <w:rsid w:val="00266EEA"/>
    <w:rsid w:val="002679B7"/>
    <w:rsid w:val="00270193"/>
    <w:rsid w:val="002702EC"/>
    <w:rsid w:val="00270504"/>
    <w:rsid w:val="00270577"/>
    <w:rsid w:val="002707A2"/>
    <w:rsid w:val="002707CF"/>
    <w:rsid w:val="0027087C"/>
    <w:rsid w:val="0027103A"/>
    <w:rsid w:val="00271EF1"/>
    <w:rsid w:val="00272A9A"/>
    <w:rsid w:val="002735CD"/>
    <w:rsid w:val="0027435A"/>
    <w:rsid w:val="00274455"/>
    <w:rsid w:val="002746F6"/>
    <w:rsid w:val="00274762"/>
    <w:rsid w:val="002748A1"/>
    <w:rsid w:val="00274A52"/>
    <w:rsid w:val="00274EB9"/>
    <w:rsid w:val="002757F9"/>
    <w:rsid w:val="0027623F"/>
    <w:rsid w:val="0027639F"/>
    <w:rsid w:val="002767E6"/>
    <w:rsid w:val="002776CD"/>
    <w:rsid w:val="00277EDD"/>
    <w:rsid w:val="002804C6"/>
    <w:rsid w:val="0028066F"/>
    <w:rsid w:val="00280B2F"/>
    <w:rsid w:val="00280BC8"/>
    <w:rsid w:val="00280C8A"/>
    <w:rsid w:val="00280E6C"/>
    <w:rsid w:val="00281011"/>
    <w:rsid w:val="0028129E"/>
    <w:rsid w:val="002816B4"/>
    <w:rsid w:val="00281BE8"/>
    <w:rsid w:val="0028207E"/>
    <w:rsid w:val="002828A1"/>
    <w:rsid w:val="00282A1B"/>
    <w:rsid w:val="002835EB"/>
    <w:rsid w:val="002838B7"/>
    <w:rsid w:val="002839AB"/>
    <w:rsid w:val="00284085"/>
    <w:rsid w:val="00284131"/>
    <w:rsid w:val="00284429"/>
    <w:rsid w:val="002846B1"/>
    <w:rsid w:val="002847EE"/>
    <w:rsid w:val="00284B63"/>
    <w:rsid w:val="00284E21"/>
    <w:rsid w:val="00285748"/>
    <w:rsid w:val="00285C41"/>
    <w:rsid w:val="00285FB4"/>
    <w:rsid w:val="00286D45"/>
    <w:rsid w:val="002873A8"/>
    <w:rsid w:val="0028745C"/>
    <w:rsid w:val="002875D3"/>
    <w:rsid w:val="00287602"/>
    <w:rsid w:val="0028781C"/>
    <w:rsid w:val="00287D8F"/>
    <w:rsid w:val="002908B3"/>
    <w:rsid w:val="002918BC"/>
    <w:rsid w:val="0029236F"/>
    <w:rsid w:val="002923AB"/>
    <w:rsid w:val="002927BD"/>
    <w:rsid w:val="00292DA7"/>
    <w:rsid w:val="002947CA"/>
    <w:rsid w:val="00294A27"/>
    <w:rsid w:val="00294BE0"/>
    <w:rsid w:val="0029500E"/>
    <w:rsid w:val="00295592"/>
    <w:rsid w:val="0029576C"/>
    <w:rsid w:val="002959B3"/>
    <w:rsid w:val="00295BD7"/>
    <w:rsid w:val="00295D2D"/>
    <w:rsid w:val="002960FD"/>
    <w:rsid w:val="00297639"/>
    <w:rsid w:val="00297D43"/>
    <w:rsid w:val="00297FBE"/>
    <w:rsid w:val="002A0403"/>
    <w:rsid w:val="002A0CB2"/>
    <w:rsid w:val="002A109D"/>
    <w:rsid w:val="002A1122"/>
    <w:rsid w:val="002A1357"/>
    <w:rsid w:val="002A17FD"/>
    <w:rsid w:val="002A2088"/>
    <w:rsid w:val="002A2263"/>
    <w:rsid w:val="002A2564"/>
    <w:rsid w:val="002A26D7"/>
    <w:rsid w:val="002A318F"/>
    <w:rsid w:val="002A368D"/>
    <w:rsid w:val="002A3EFF"/>
    <w:rsid w:val="002A485A"/>
    <w:rsid w:val="002A50B7"/>
    <w:rsid w:val="002A56E1"/>
    <w:rsid w:val="002A5BB5"/>
    <w:rsid w:val="002A5CAB"/>
    <w:rsid w:val="002A6299"/>
    <w:rsid w:val="002A7180"/>
    <w:rsid w:val="002A76E4"/>
    <w:rsid w:val="002B02A5"/>
    <w:rsid w:val="002B0B8C"/>
    <w:rsid w:val="002B19C1"/>
    <w:rsid w:val="002B1F4D"/>
    <w:rsid w:val="002B21E4"/>
    <w:rsid w:val="002B36AE"/>
    <w:rsid w:val="002B4517"/>
    <w:rsid w:val="002B4DC8"/>
    <w:rsid w:val="002B5376"/>
    <w:rsid w:val="002B55AB"/>
    <w:rsid w:val="002B5AFD"/>
    <w:rsid w:val="002B5F53"/>
    <w:rsid w:val="002B60B6"/>
    <w:rsid w:val="002B61BD"/>
    <w:rsid w:val="002B657C"/>
    <w:rsid w:val="002B69A3"/>
    <w:rsid w:val="002B6C08"/>
    <w:rsid w:val="002B700C"/>
    <w:rsid w:val="002B71A6"/>
    <w:rsid w:val="002B7329"/>
    <w:rsid w:val="002B749B"/>
    <w:rsid w:val="002B7620"/>
    <w:rsid w:val="002B7EB1"/>
    <w:rsid w:val="002B7FB5"/>
    <w:rsid w:val="002C005E"/>
    <w:rsid w:val="002C0331"/>
    <w:rsid w:val="002C15D8"/>
    <w:rsid w:val="002C1738"/>
    <w:rsid w:val="002C1C90"/>
    <w:rsid w:val="002C202D"/>
    <w:rsid w:val="002C23B3"/>
    <w:rsid w:val="002C2A63"/>
    <w:rsid w:val="002C2FC5"/>
    <w:rsid w:val="002C3F73"/>
    <w:rsid w:val="002C3FFB"/>
    <w:rsid w:val="002C475D"/>
    <w:rsid w:val="002C4C79"/>
    <w:rsid w:val="002C4D71"/>
    <w:rsid w:val="002C5076"/>
    <w:rsid w:val="002C63F3"/>
    <w:rsid w:val="002C63FA"/>
    <w:rsid w:val="002C6B60"/>
    <w:rsid w:val="002C6EEC"/>
    <w:rsid w:val="002C73FC"/>
    <w:rsid w:val="002C7B81"/>
    <w:rsid w:val="002C7ECC"/>
    <w:rsid w:val="002D1312"/>
    <w:rsid w:val="002D146F"/>
    <w:rsid w:val="002D25A7"/>
    <w:rsid w:val="002D2686"/>
    <w:rsid w:val="002D2F0B"/>
    <w:rsid w:val="002D3CF5"/>
    <w:rsid w:val="002D4359"/>
    <w:rsid w:val="002D4AE5"/>
    <w:rsid w:val="002D5328"/>
    <w:rsid w:val="002D5E54"/>
    <w:rsid w:val="002D6B48"/>
    <w:rsid w:val="002D6ED2"/>
    <w:rsid w:val="002E0209"/>
    <w:rsid w:val="002E0FE0"/>
    <w:rsid w:val="002E195E"/>
    <w:rsid w:val="002E19B1"/>
    <w:rsid w:val="002E1B8C"/>
    <w:rsid w:val="002E256D"/>
    <w:rsid w:val="002E34D7"/>
    <w:rsid w:val="002E36FB"/>
    <w:rsid w:val="002E397A"/>
    <w:rsid w:val="002E3DB5"/>
    <w:rsid w:val="002E40C1"/>
    <w:rsid w:val="002E416F"/>
    <w:rsid w:val="002E463B"/>
    <w:rsid w:val="002E4E61"/>
    <w:rsid w:val="002E5681"/>
    <w:rsid w:val="002E56A3"/>
    <w:rsid w:val="002E598A"/>
    <w:rsid w:val="002E76DF"/>
    <w:rsid w:val="002EEC46"/>
    <w:rsid w:val="002F067E"/>
    <w:rsid w:val="002F0838"/>
    <w:rsid w:val="002F15B0"/>
    <w:rsid w:val="002F1682"/>
    <w:rsid w:val="002F21DC"/>
    <w:rsid w:val="002F2279"/>
    <w:rsid w:val="002F22AE"/>
    <w:rsid w:val="002F3582"/>
    <w:rsid w:val="002F367E"/>
    <w:rsid w:val="002F37EA"/>
    <w:rsid w:val="002F389F"/>
    <w:rsid w:val="002F3AE4"/>
    <w:rsid w:val="002F3D3C"/>
    <w:rsid w:val="002F47CF"/>
    <w:rsid w:val="002F4927"/>
    <w:rsid w:val="002F4C9A"/>
    <w:rsid w:val="002F4E30"/>
    <w:rsid w:val="002F547C"/>
    <w:rsid w:val="002F593D"/>
    <w:rsid w:val="002F5A49"/>
    <w:rsid w:val="002F624E"/>
    <w:rsid w:val="002F6588"/>
    <w:rsid w:val="002F675A"/>
    <w:rsid w:val="002F6D0C"/>
    <w:rsid w:val="002F75E2"/>
    <w:rsid w:val="002F7EEE"/>
    <w:rsid w:val="003004D2"/>
    <w:rsid w:val="00300554"/>
    <w:rsid w:val="00301577"/>
    <w:rsid w:val="003017D9"/>
    <w:rsid w:val="00301A3D"/>
    <w:rsid w:val="00302F3B"/>
    <w:rsid w:val="00303290"/>
    <w:rsid w:val="003039C0"/>
    <w:rsid w:val="00304189"/>
    <w:rsid w:val="00304427"/>
    <w:rsid w:val="00304512"/>
    <w:rsid w:val="00304E92"/>
    <w:rsid w:val="00305071"/>
    <w:rsid w:val="00306405"/>
    <w:rsid w:val="003066B1"/>
    <w:rsid w:val="00306CD8"/>
    <w:rsid w:val="00307130"/>
    <w:rsid w:val="003073B4"/>
    <w:rsid w:val="003075B3"/>
    <w:rsid w:val="003075F2"/>
    <w:rsid w:val="00307FD6"/>
    <w:rsid w:val="003108BC"/>
    <w:rsid w:val="00311635"/>
    <w:rsid w:val="003116C2"/>
    <w:rsid w:val="00311715"/>
    <w:rsid w:val="00311941"/>
    <w:rsid w:val="0031215B"/>
    <w:rsid w:val="0031238A"/>
    <w:rsid w:val="0031250A"/>
    <w:rsid w:val="0031274B"/>
    <w:rsid w:val="00312DEA"/>
    <w:rsid w:val="00312E2F"/>
    <w:rsid w:val="003134B2"/>
    <w:rsid w:val="003139D2"/>
    <w:rsid w:val="00314DDE"/>
    <w:rsid w:val="00316117"/>
    <w:rsid w:val="00316628"/>
    <w:rsid w:val="00317ACA"/>
    <w:rsid w:val="00317C36"/>
    <w:rsid w:val="00317F2B"/>
    <w:rsid w:val="00320008"/>
    <w:rsid w:val="00320635"/>
    <w:rsid w:val="00320A42"/>
    <w:rsid w:val="00320E0F"/>
    <w:rsid w:val="0032138E"/>
    <w:rsid w:val="00321A91"/>
    <w:rsid w:val="00321C70"/>
    <w:rsid w:val="00321E18"/>
    <w:rsid w:val="00321EA8"/>
    <w:rsid w:val="003220A4"/>
    <w:rsid w:val="00322ECB"/>
    <w:rsid w:val="003232B4"/>
    <w:rsid w:val="00324056"/>
    <w:rsid w:val="003246FF"/>
    <w:rsid w:val="00324A8C"/>
    <w:rsid w:val="00324CBD"/>
    <w:rsid w:val="0032534D"/>
    <w:rsid w:val="00325505"/>
    <w:rsid w:val="003257FC"/>
    <w:rsid w:val="00325845"/>
    <w:rsid w:val="00325A05"/>
    <w:rsid w:val="00326245"/>
    <w:rsid w:val="00326926"/>
    <w:rsid w:val="00326EE7"/>
    <w:rsid w:val="00327404"/>
    <w:rsid w:val="00327D2B"/>
    <w:rsid w:val="003308A8"/>
    <w:rsid w:val="00330A38"/>
    <w:rsid w:val="003318D8"/>
    <w:rsid w:val="00331A64"/>
    <w:rsid w:val="003323BB"/>
    <w:rsid w:val="0033290A"/>
    <w:rsid w:val="00332DE3"/>
    <w:rsid w:val="003334F8"/>
    <w:rsid w:val="00333C36"/>
    <w:rsid w:val="00333E00"/>
    <w:rsid w:val="00333FF3"/>
    <w:rsid w:val="00334128"/>
    <w:rsid w:val="00334698"/>
    <w:rsid w:val="00335D17"/>
    <w:rsid w:val="00335DF4"/>
    <w:rsid w:val="00335FF9"/>
    <w:rsid w:val="003363A1"/>
    <w:rsid w:val="003366E3"/>
    <w:rsid w:val="00336DFF"/>
    <w:rsid w:val="00336F3A"/>
    <w:rsid w:val="00336FBB"/>
    <w:rsid w:val="0033710B"/>
    <w:rsid w:val="00337455"/>
    <w:rsid w:val="003374F3"/>
    <w:rsid w:val="0033761A"/>
    <w:rsid w:val="00337774"/>
    <w:rsid w:val="003378FA"/>
    <w:rsid w:val="00337C5E"/>
    <w:rsid w:val="00337DFB"/>
    <w:rsid w:val="00340589"/>
    <w:rsid w:val="00340630"/>
    <w:rsid w:val="00341040"/>
    <w:rsid w:val="0034112F"/>
    <w:rsid w:val="00341415"/>
    <w:rsid w:val="003421CD"/>
    <w:rsid w:val="00342B1B"/>
    <w:rsid w:val="00342DDF"/>
    <w:rsid w:val="0034464D"/>
    <w:rsid w:val="003446AA"/>
    <w:rsid w:val="00345128"/>
    <w:rsid w:val="003456D4"/>
    <w:rsid w:val="003456F1"/>
    <w:rsid w:val="00345A0F"/>
    <w:rsid w:val="003463B2"/>
    <w:rsid w:val="00346969"/>
    <w:rsid w:val="00346BEB"/>
    <w:rsid w:val="003500B2"/>
    <w:rsid w:val="00350DFC"/>
    <w:rsid w:val="00351159"/>
    <w:rsid w:val="00351AE5"/>
    <w:rsid w:val="00351BAE"/>
    <w:rsid w:val="00352228"/>
    <w:rsid w:val="00352581"/>
    <w:rsid w:val="0035302A"/>
    <w:rsid w:val="00353183"/>
    <w:rsid w:val="003531BA"/>
    <w:rsid w:val="00353E82"/>
    <w:rsid w:val="00354349"/>
    <w:rsid w:val="00355C5A"/>
    <w:rsid w:val="00355E16"/>
    <w:rsid w:val="0035670C"/>
    <w:rsid w:val="003567CF"/>
    <w:rsid w:val="00356C31"/>
    <w:rsid w:val="003575BD"/>
    <w:rsid w:val="0036019A"/>
    <w:rsid w:val="00361220"/>
    <w:rsid w:val="003617A8"/>
    <w:rsid w:val="00361A59"/>
    <w:rsid w:val="00361B59"/>
    <w:rsid w:val="00361EFE"/>
    <w:rsid w:val="003622B7"/>
    <w:rsid w:val="003623A6"/>
    <w:rsid w:val="003623FD"/>
    <w:rsid w:val="00362410"/>
    <w:rsid w:val="00362A30"/>
    <w:rsid w:val="003636BB"/>
    <w:rsid w:val="00365441"/>
    <w:rsid w:val="00365964"/>
    <w:rsid w:val="003661B6"/>
    <w:rsid w:val="003676ED"/>
    <w:rsid w:val="00367B04"/>
    <w:rsid w:val="00370F36"/>
    <w:rsid w:val="00370FC9"/>
    <w:rsid w:val="00371CF8"/>
    <w:rsid w:val="00371F5C"/>
    <w:rsid w:val="00372197"/>
    <w:rsid w:val="00374329"/>
    <w:rsid w:val="00375ABE"/>
    <w:rsid w:val="00375F5F"/>
    <w:rsid w:val="0037612F"/>
    <w:rsid w:val="0037618D"/>
    <w:rsid w:val="0037650F"/>
    <w:rsid w:val="0037662F"/>
    <w:rsid w:val="00377558"/>
    <w:rsid w:val="003776AB"/>
    <w:rsid w:val="00380409"/>
    <w:rsid w:val="00380C79"/>
    <w:rsid w:val="00381037"/>
    <w:rsid w:val="00381844"/>
    <w:rsid w:val="00381D1F"/>
    <w:rsid w:val="00381EFF"/>
    <w:rsid w:val="00382056"/>
    <w:rsid w:val="003820AF"/>
    <w:rsid w:val="003821AC"/>
    <w:rsid w:val="00382AAA"/>
    <w:rsid w:val="00382AC9"/>
    <w:rsid w:val="00383D04"/>
    <w:rsid w:val="00383F1A"/>
    <w:rsid w:val="00384298"/>
    <w:rsid w:val="0038548B"/>
    <w:rsid w:val="003859DE"/>
    <w:rsid w:val="00385A9B"/>
    <w:rsid w:val="00385D9A"/>
    <w:rsid w:val="003865EB"/>
    <w:rsid w:val="00386B43"/>
    <w:rsid w:val="00386B46"/>
    <w:rsid w:val="00386CA7"/>
    <w:rsid w:val="003874AC"/>
    <w:rsid w:val="003878E9"/>
    <w:rsid w:val="0038C772"/>
    <w:rsid w:val="00390B26"/>
    <w:rsid w:val="00390D10"/>
    <w:rsid w:val="00390E7E"/>
    <w:rsid w:val="00390F01"/>
    <w:rsid w:val="00391630"/>
    <w:rsid w:val="00391B3D"/>
    <w:rsid w:val="00392B08"/>
    <w:rsid w:val="00392B1E"/>
    <w:rsid w:val="00392FC9"/>
    <w:rsid w:val="00393B60"/>
    <w:rsid w:val="00393ECE"/>
    <w:rsid w:val="0039463C"/>
    <w:rsid w:val="0039497F"/>
    <w:rsid w:val="00394D8C"/>
    <w:rsid w:val="00394F1A"/>
    <w:rsid w:val="00394FA8"/>
    <w:rsid w:val="003964EA"/>
    <w:rsid w:val="00396A19"/>
    <w:rsid w:val="003A0013"/>
    <w:rsid w:val="003A01AE"/>
    <w:rsid w:val="003A027B"/>
    <w:rsid w:val="003A0374"/>
    <w:rsid w:val="003A0D76"/>
    <w:rsid w:val="003A0E46"/>
    <w:rsid w:val="003A10E9"/>
    <w:rsid w:val="003A1948"/>
    <w:rsid w:val="003A196F"/>
    <w:rsid w:val="003A206E"/>
    <w:rsid w:val="003A2087"/>
    <w:rsid w:val="003A2562"/>
    <w:rsid w:val="003A2B7C"/>
    <w:rsid w:val="003A3021"/>
    <w:rsid w:val="003A3977"/>
    <w:rsid w:val="003A3B77"/>
    <w:rsid w:val="003A3BED"/>
    <w:rsid w:val="003A3F58"/>
    <w:rsid w:val="003A3F7A"/>
    <w:rsid w:val="003A427D"/>
    <w:rsid w:val="003A4F9E"/>
    <w:rsid w:val="003A5575"/>
    <w:rsid w:val="003A58DF"/>
    <w:rsid w:val="003A6220"/>
    <w:rsid w:val="003A6C46"/>
    <w:rsid w:val="003A6CB7"/>
    <w:rsid w:val="003A7B25"/>
    <w:rsid w:val="003B0178"/>
    <w:rsid w:val="003B07BE"/>
    <w:rsid w:val="003B09CF"/>
    <w:rsid w:val="003B105C"/>
    <w:rsid w:val="003B12CE"/>
    <w:rsid w:val="003B1759"/>
    <w:rsid w:val="003B1C1C"/>
    <w:rsid w:val="003B2858"/>
    <w:rsid w:val="003B301D"/>
    <w:rsid w:val="003B3B73"/>
    <w:rsid w:val="003B4B35"/>
    <w:rsid w:val="003B52B2"/>
    <w:rsid w:val="003B59A8"/>
    <w:rsid w:val="003B5C6E"/>
    <w:rsid w:val="003B6329"/>
    <w:rsid w:val="003B6AFD"/>
    <w:rsid w:val="003C0861"/>
    <w:rsid w:val="003C0A34"/>
    <w:rsid w:val="003C188D"/>
    <w:rsid w:val="003C1FB2"/>
    <w:rsid w:val="003C2140"/>
    <w:rsid w:val="003C222C"/>
    <w:rsid w:val="003C22D8"/>
    <w:rsid w:val="003C2332"/>
    <w:rsid w:val="003C26E9"/>
    <w:rsid w:val="003C2761"/>
    <w:rsid w:val="003C2CDF"/>
    <w:rsid w:val="003C3764"/>
    <w:rsid w:val="003C38EF"/>
    <w:rsid w:val="003C426D"/>
    <w:rsid w:val="003C4A0F"/>
    <w:rsid w:val="003C4C70"/>
    <w:rsid w:val="003C4E68"/>
    <w:rsid w:val="003C5010"/>
    <w:rsid w:val="003C52E1"/>
    <w:rsid w:val="003C7905"/>
    <w:rsid w:val="003D032F"/>
    <w:rsid w:val="003D18CF"/>
    <w:rsid w:val="003D207C"/>
    <w:rsid w:val="003D2250"/>
    <w:rsid w:val="003D2487"/>
    <w:rsid w:val="003D4968"/>
    <w:rsid w:val="003D49F4"/>
    <w:rsid w:val="003D5140"/>
    <w:rsid w:val="003D539F"/>
    <w:rsid w:val="003D58AB"/>
    <w:rsid w:val="003D5941"/>
    <w:rsid w:val="003D5C39"/>
    <w:rsid w:val="003D6615"/>
    <w:rsid w:val="003D7625"/>
    <w:rsid w:val="003D7687"/>
    <w:rsid w:val="003D7808"/>
    <w:rsid w:val="003D7897"/>
    <w:rsid w:val="003D7B83"/>
    <w:rsid w:val="003E03E3"/>
    <w:rsid w:val="003E0683"/>
    <w:rsid w:val="003E0A99"/>
    <w:rsid w:val="003E0C29"/>
    <w:rsid w:val="003E1062"/>
    <w:rsid w:val="003E1089"/>
    <w:rsid w:val="003E1ABC"/>
    <w:rsid w:val="003E28E6"/>
    <w:rsid w:val="003E2BBB"/>
    <w:rsid w:val="003E2C8D"/>
    <w:rsid w:val="003E378C"/>
    <w:rsid w:val="003E3E8B"/>
    <w:rsid w:val="003E416D"/>
    <w:rsid w:val="003E47A3"/>
    <w:rsid w:val="003E47F2"/>
    <w:rsid w:val="003E53A3"/>
    <w:rsid w:val="003E54C9"/>
    <w:rsid w:val="003E5622"/>
    <w:rsid w:val="003E5B25"/>
    <w:rsid w:val="003E5D89"/>
    <w:rsid w:val="003E6F27"/>
    <w:rsid w:val="003E7283"/>
    <w:rsid w:val="003E73DE"/>
    <w:rsid w:val="003E7525"/>
    <w:rsid w:val="003E7903"/>
    <w:rsid w:val="003E7A63"/>
    <w:rsid w:val="003F00F4"/>
    <w:rsid w:val="003F0157"/>
    <w:rsid w:val="003F059E"/>
    <w:rsid w:val="003F0B2D"/>
    <w:rsid w:val="003F1B94"/>
    <w:rsid w:val="003F23CD"/>
    <w:rsid w:val="003F27CE"/>
    <w:rsid w:val="003F2E5F"/>
    <w:rsid w:val="003F3241"/>
    <w:rsid w:val="003F355C"/>
    <w:rsid w:val="003F38AE"/>
    <w:rsid w:val="003F4EFF"/>
    <w:rsid w:val="003F50F1"/>
    <w:rsid w:val="003F527B"/>
    <w:rsid w:val="003F55D5"/>
    <w:rsid w:val="003F5AE1"/>
    <w:rsid w:val="003F5D6E"/>
    <w:rsid w:val="003F6423"/>
    <w:rsid w:val="003F7BB5"/>
    <w:rsid w:val="003F7BF4"/>
    <w:rsid w:val="003F7ED3"/>
    <w:rsid w:val="00400CA2"/>
    <w:rsid w:val="00400F76"/>
    <w:rsid w:val="004015C4"/>
    <w:rsid w:val="00401CDE"/>
    <w:rsid w:val="00401CEF"/>
    <w:rsid w:val="00402439"/>
    <w:rsid w:val="004024A3"/>
    <w:rsid w:val="00402822"/>
    <w:rsid w:val="00402A95"/>
    <w:rsid w:val="00403CD4"/>
    <w:rsid w:val="00403FA7"/>
    <w:rsid w:val="00404C7E"/>
    <w:rsid w:val="00404CCD"/>
    <w:rsid w:val="00404E88"/>
    <w:rsid w:val="00405F36"/>
    <w:rsid w:val="00406709"/>
    <w:rsid w:val="00406C01"/>
    <w:rsid w:val="004072EF"/>
    <w:rsid w:val="00407B72"/>
    <w:rsid w:val="0041026A"/>
    <w:rsid w:val="00410543"/>
    <w:rsid w:val="004106B3"/>
    <w:rsid w:val="00410BF8"/>
    <w:rsid w:val="00410D9E"/>
    <w:rsid w:val="0041104B"/>
    <w:rsid w:val="0041106A"/>
    <w:rsid w:val="004115E7"/>
    <w:rsid w:val="00411833"/>
    <w:rsid w:val="00411BB4"/>
    <w:rsid w:val="0041228D"/>
    <w:rsid w:val="0041294C"/>
    <w:rsid w:val="00412E1E"/>
    <w:rsid w:val="00413BE4"/>
    <w:rsid w:val="0041512C"/>
    <w:rsid w:val="004156C7"/>
    <w:rsid w:val="004159A4"/>
    <w:rsid w:val="004178E9"/>
    <w:rsid w:val="00417DC6"/>
    <w:rsid w:val="00420E1B"/>
    <w:rsid w:val="0042269E"/>
    <w:rsid w:val="004226BC"/>
    <w:rsid w:val="00424C30"/>
    <w:rsid w:val="00425091"/>
    <w:rsid w:val="00425BCA"/>
    <w:rsid w:val="0042622A"/>
    <w:rsid w:val="0042737B"/>
    <w:rsid w:val="00427571"/>
    <w:rsid w:val="004278A3"/>
    <w:rsid w:val="00427A32"/>
    <w:rsid w:val="00427BF2"/>
    <w:rsid w:val="00430C72"/>
    <w:rsid w:val="004311F1"/>
    <w:rsid w:val="0043177D"/>
    <w:rsid w:val="00432067"/>
    <w:rsid w:val="004322E7"/>
    <w:rsid w:val="00433888"/>
    <w:rsid w:val="004338BF"/>
    <w:rsid w:val="00434A88"/>
    <w:rsid w:val="00434B34"/>
    <w:rsid w:val="00434F08"/>
    <w:rsid w:val="00434FDB"/>
    <w:rsid w:val="004359A4"/>
    <w:rsid w:val="00435AED"/>
    <w:rsid w:val="00435C8F"/>
    <w:rsid w:val="00435FE6"/>
    <w:rsid w:val="00436039"/>
    <w:rsid w:val="004367B6"/>
    <w:rsid w:val="004367C7"/>
    <w:rsid w:val="00437229"/>
    <w:rsid w:val="0043739C"/>
    <w:rsid w:val="004374AB"/>
    <w:rsid w:val="00437809"/>
    <w:rsid w:val="004401F2"/>
    <w:rsid w:val="00440AD3"/>
    <w:rsid w:val="00440DFF"/>
    <w:rsid w:val="004411A0"/>
    <w:rsid w:val="00441650"/>
    <w:rsid w:val="004419A5"/>
    <w:rsid w:val="00441E93"/>
    <w:rsid w:val="00442971"/>
    <w:rsid w:val="00442ADF"/>
    <w:rsid w:val="0044305B"/>
    <w:rsid w:val="00443263"/>
    <w:rsid w:val="004433BB"/>
    <w:rsid w:val="0044376D"/>
    <w:rsid w:val="00443D4D"/>
    <w:rsid w:val="00444609"/>
    <w:rsid w:val="0044553F"/>
    <w:rsid w:val="0044597E"/>
    <w:rsid w:val="00446629"/>
    <w:rsid w:val="0044690F"/>
    <w:rsid w:val="00446C65"/>
    <w:rsid w:val="00447476"/>
    <w:rsid w:val="00447490"/>
    <w:rsid w:val="004475BE"/>
    <w:rsid w:val="00447DB8"/>
    <w:rsid w:val="00450A83"/>
    <w:rsid w:val="00450EFA"/>
    <w:rsid w:val="00450FFE"/>
    <w:rsid w:val="0045230C"/>
    <w:rsid w:val="0045268D"/>
    <w:rsid w:val="00452AE2"/>
    <w:rsid w:val="00452D0B"/>
    <w:rsid w:val="00453ED3"/>
    <w:rsid w:val="00454230"/>
    <w:rsid w:val="004543FD"/>
    <w:rsid w:val="00454761"/>
    <w:rsid w:val="00454B4E"/>
    <w:rsid w:val="00454D06"/>
    <w:rsid w:val="00454F09"/>
    <w:rsid w:val="004554E8"/>
    <w:rsid w:val="00456618"/>
    <w:rsid w:val="004569EC"/>
    <w:rsid w:val="00456FC6"/>
    <w:rsid w:val="004578F5"/>
    <w:rsid w:val="00457BC4"/>
    <w:rsid w:val="0046018E"/>
    <w:rsid w:val="00460B88"/>
    <w:rsid w:val="00460D01"/>
    <w:rsid w:val="0046182B"/>
    <w:rsid w:val="00461B30"/>
    <w:rsid w:val="004628A7"/>
    <w:rsid w:val="00462DD0"/>
    <w:rsid w:val="0046374E"/>
    <w:rsid w:val="00463910"/>
    <w:rsid w:val="00463B3C"/>
    <w:rsid w:val="0046439B"/>
    <w:rsid w:val="00464D19"/>
    <w:rsid w:val="004659BB"/>
    <w:rsid w:val="00465A5F"/>
    <w:rsid w:val="00465B04"/>
    <w:rsid w:val="00465C0E"/>
    <w:rsid w:val="004661B7"/>
    <w:rsid w:val="0046674D"/>
    <w:rsid w:val="00466C96"/>
    <w:rsid w:val="004671CD"/>
    <w:rsid w:val="00467367"/>
    <w:rsid w:val="00470C7F"/>
    <w:rsid w:val="00470DC6"/>
    <w:rsid w:val="00470E05"/>
    <w:rsid w:val="00471013"/>
    <w:rsid w:val="004714A6"/>
    <w:rsid w:val="00471BF7"/>
    <w:rsid w:val="00472003"/>
    <w:rsid w:val="004724E7"/>
    <w:rsid w:val="00472EC1"/>
    <w:rsid w:val="004730CF"/>
    <w:rsid w:val="004732CE"/>
    <w:rsid w:val="004737BF"/>
    <w:rsid w:val="00473ED0"/>
    <w:rsid w:val="00474969"/>
    <w:rsid w:val="00474C73"/>
    <w:rsid w:val="00474C95"/>
    <w:rsid w:val="00474CF8"/>
    <w:rsid w:val="0047520F"/>
    <w:rsid w:val="00475952"/>
    <w:rsid w:val="004762DF"/>
    <w:rsid w:val="00476A03"/>
    <w:rsid w:val="00476B4A"/>
    <w:rsid w:val="0047727E"/>
    <w:rsid w:val="0048051D"/>
    <w:rsid w:val="004811FC"/>
    <w:rsid w:val="00481899"/>
    <w:rsid w:val="00482178"/>
    <w:rsid w:val="0048276F"/>
    <w:rsid w:val="00482E6A"/>
    <w:rsid w:val="00482EC0"/>
    <w:rsid w:val="00483085"/>
    <w:rsid w:val="0048309E"/>
    <w:rsid w:val="00483584"/>
    <w:rsid w:val="004852BE"/>
    <w:rsid w:val="004858F1"/>
    <w:rsid w:val="00486261"/>
    <w:rsid w:val="004863CA"/>
    <w:rsid w:val="004865D7"/>
    <w:rsid w:val="004869A0"/>
    <w:rsid w:val="00486B94"/>
    <w:rsid w:val="0048719D"/>
    <w:rsid w:val="00487463"/>
    <w:rsid w:val="00491624"/>
    <w:rsid w:val="004926E5"/>
    <w:rsid w:val="00493863"/>
    <w:rsid w:val="00494AFE"/>
    <w:rsid w:val="00494E97"/>
    <w:rsid w:val="0049546A"/>
    <w:rsid w:val="004955CB"/>
    <w:rsid w:val="004957E4"/>
    <w:rsid w:val="00495A2F"/>
    <w:rsid w:val="00495B91"/>
    <w:rsid w:val="00495C9D"/>
    <w:rsid w:val="004978FD"/>
    <w:rsid w:val="00497CD0"/>
    <w:rsid w:val="004A0E05"/>
    <w:rsid w:val="004A1417"/>
    <w:rsid w:val="004A1712"/>
    <w:rsid w:val="004A18EA"/>
    <w:rsid w:val="004A1909"/>
    <w:rsid w:val="004A28E1"/>
    <w:rsid w:val="004A2A85"/>
    <w:rsid w:val="004A2E98"/>
    <w:rsid w:val="004A314A"/>
    <w:rsid w:val="004A35C2"/>
    <w:rsid w:val="004A38E6"/>
    <w:rsid w:val="004A3C5E"/>
    <w:rsid w:val="004A40B0"/>
    <w:rsid w:val="004A4C9E"/>
    <w:rsid w:val="004A4D22"/>
    <w:rsid w:val="004A5170"/>
    <w:rsid w:val="004A5FB1"/>
    <w:rsid w:val="004A6896"/>
    <w:rsid w:val="004A6DA8"/>
    <w:rsid w:val="004A6E79"/>
    <w:rsid w:val="004A71E3"/>
    <w:rsid w:val="004A74FF"/>
    <w:rsid w:val="004A77F9"/>
    <w:rsid w:val="004A7F3A"/>
    <w:rsid w:val="004B0D1F"/>
    <w:rsid w:val="004B12BB"/>
    <w:rsid w:val="004B158D"/>
    <w:rsid w:val="004B1810"/>
    <w:rsid w:val="004B1DB4"/>
    <w:rsid w:val="004B2D64"/>
    <w:rsid w:val="004B2E1B"/>
    <w:rsid w:val="004B52EF"/>
    <w:rsid w:val="004B550C"/>
    <w:rsid w:val="004B56ED"/>
    <w:rsid w:val="004B5740"/>
    <w:rsid w:val="004B5C9B"/>
    <w:rsid w:val="004B5E98"/>
    <w:rsid w:val="004B7197"/>
    <w:rsid w:val="004B724D"/>
    <w:rsid w:val="004B7A47"/>
    <w:rsid w:val="004C0341"/>
    <w:rsid w:val="004C1634"/>
    <w:rsid w:val="004C1971"/>
    <w:rsid w:val="004C1A5B"/>
    <w:rsid w:val="004C2378"/>
    <w:rsid w:val="004C279C"/>
    <w:rsid w:val="004C2900"/>
    <w:rsid w:val="004C292E"/>
    <w:rsid w:val="004C2E59"/>
    <w:rsid w:val="004C366D"/>
    <w:rsid w:val="004C3CD7"/>
    <w:rsid w:val="004C4182"/>
    <w:rsid w:val="004C49EB"/>
    <w:rsid w:val="004C52AD"/>
    <w:rsid w:val="004C569A"/>
    <w:rsid w:val="004C59E0"/>
    <w:rsid w:val="004C6A21"/>
    <w:rsid w:val="004C6B42"/>
    <w:rsid w:val="004C6E62"/>
    <w:rsid w:val="004C75B3"/>
    <w:rsid w:val="004C79CA"/>
    <w:rsid w:val="004C7C13"/>
    <w:rsid w:val="004C7C6B"/>
    <w:rsid w:val="004D0766"/>
    <w:rsid w:val="004D1B20"/>
    <w:rsid w:val="004D24ED"/>
    <w:rsid w:val="004D28CF"/>
    <w:rsid w:val="004D2FF2"/>
    <w:rsid w:val="004D45C0"/>
    <w:rsid w:val="004D469C"/>
    <w:rsid w:val="004D4A9C"/>
    <w:rsid w:val="004D5236"/>
    <w:rsid w:val="004D557A"/>
    <w:rsid w:val="004D5B2E"/>
    <w:rsid w:val="004D5C0B"/>
    <w:rsid w:val="004D5FC4"/>
    <w:rsid w:val="004D6745"/>
    <w:rsid w:val="004D6F7B"/>
    <w:rsid w:val="004D72C5"/>
    <w:rsid w:val="004D7BBF"/>
    <w:rsid w:val="004E08C4"/>
    <w:rsid w:val="004E0A0A"/>
    <w:rsid w:val="004E0C97"/>
    <w:rsid w:val="004E11CA"/>
    <w:rsid w:val="004E1793"/>
    <w:rsid w:val="004E2628"/>
    <w:rsid w:val="004E2EE6"/>
    <w:rsid w:val="004E3041"/>
    <w:rsid w:val="004E47CB"/>
    <w:rsid w:val="004E49A2"/>
    <w:rsid w:val="004E54B9"/>
    <w:rsid w:val="004E590A"/>
    <w:rsid w:val="004E5DB9"/>
    <w:rsid w:val="004E6057"/>
    <w:rsid w:val="004E6897"/>
    <w:rsid w:val="004E690D"/>
    <w:rsid w:val="004E6CFA"/>
    <w:rsid w:val="004E6EC7"/>
    <w:rsid w:val="004E7099"/>
    <w:rsid w:val="004E711C"/>
    <w:rsid w:val="004E752D"/>
    <w:rsid w:val="004F04BF"/>
    <w:rsid w:val="004F0596"/>
    <w:rsid w:val="004F06D3"/>
    <w:rsid w:val="004F0979"/>
    <w:rsid w:val="004F09DB"/>
    <w:rsid w:val="004F0FDD"/>
    <w:rsid w:val="004F1289"/>
    <w:rsid w:val="004F1531"/>
    <w:rsid w:val="004F2251"/>
    <w:rsid w:val="004F2AE3"/>
    <w:rsid w:val="004F2E5C"/>
    <w:rsid w:val="004F379B"/>
    <w:rsid w:val="004F3F64"/>
    <w:rsid w:val="004F46BD"/>
    <w:rsid w:val="004F495B"/>
    <w:rsid w:val="004F4B67"/>
    <w:rsid w:val="004F5D09"/>
    <w:rsid w:val="004F5FBD"/>
    <w:rsid w:val="004F6217"/>
    <w:rsid w:val="004F73B4"/>
    <w:rsid w:val="004F7417"/>
    <w:rsid w:val="00500403"/>
    <w:rsid w:val="00500B6C"/>
    <w:rsid w:val="00500C9C"/>
    <w:rsid w:val="005010FE"/>
    <w:rsid w:val="0050118D"/>
    <w:rsid w:val="0050156E"/>
    <w:rsid w:val="00501F0F"/>
    <w:rsid w:val="005020B8"/>
    <w:rsid w:val="00502528"/>
    <w:rsid w:val="00502638"/>
    <w:rsid w:val="005029AA"/>
    <w:rsid w:val="0050391A"/>
    <w:rsid w:val="005040AB"/>
    <w:rsid w:val="00504362"/>
    <w:rsid w:val="005044F3"/>
    <w:rsid w:val="00504D9B"/>
    <w:rsid w:val="00505322"/>
    <w:rsid w:val="00505768"/>
    <w:rsid w:val="00505B9C"/>
    <w:rsid w:val="00506694"/>
    <w:rsid w:val="005067A5"/>
    <w:rsid w:val="00506CD5"/>
    <w:rsid w:val="0050736F"/>
    <w:rsid w:val="00510386"/>
    <w:rsid w:val="00510733"/>
    <w:rsid w:val="00510BC5"/>
    <w:rsid w:val="00511241"/>
    <w:rsid w:val="00511720"/>
    <w:rsid w:val="005119BC"/>
    <w:rsid w:val="00511B51"/>
    <w:rsid w:val="00511F5C"/>
    <w:rsid w:val="00512169"/>
    <w:rsid w:val="005132F6"/>
    <w:rsid w:val="005135AF"/>
    <w:rsid w:val="00513FFB"/>
    <w:rsid w:val="00514B9C"/>
    <w:rsid w:val="00514D10"/>
    <w:rsid w:val="00515FAA"/>
    <w:rsid w:val="0051606C"/>
    <w:rsid w:val="00516552"/>
    <w:rsid w:val="005177D9"/>
    <w:rsid w:val="00517FA4"/>
    <w:rsid w:val="005202D6"/>
    <w:rsid w:val="00521962"/>
    <w:rsid w:val="00522130"/>
    <w:rsid w:val="00522490"/>
    <w:rsid w:val="0052289D"/>
    <w:rsid w:val="005230FB"/>
    <w:rsid w:val="00523E0C"/>
    <w:rsid w:val="00524292"/>
    <w:rsid w:val="0052432E"/>
    <w:rsid w:val="00524539"/>
    <w:rsid w:val="0052503A"/>
    <w:rsid w:val="00525130"/>
    <w:rsid w:val="00526148"/>
    <w:rsid w:val="00526340"/>
    <w:rsid w:val="005266F6"/>
    <w:rsid w:val="00526770"/>
    <w:rsid w:val="00526C15"/>
    <w:rsid w:val="00526D7D"/>
    <w:rsid w:val="005272B8"/>
    <w:rsid w:val="005275D1"/>
    <w:rsid w:val="0052775C"/>
    <w:rsid w:val="00527777"/>
    <w:rsid w:val="00527D15"/>
    <w:rsid w:val="00527D2C"/>
    <w:rsid w:val="00527FA7"/>
    <w:rsid w:val="00530155"/>
    <w:rsid w:val="00530AFD"/>
    <w:rsid w:val="00531316"/>
    <w:rsid w:val="00532109"/>
    <w:rsid w:val="00532363"/>
    <w:rsid w:val="00532539"/>
    <w:rsid w:val="00533029"/>
    <w:rsid w:val="00533263"/>
    <w:rsid w:val="00533687"/>
    <w:rsid w:val="00533847"/>
    <w:rsid w:val="005339D3"/>
    <w:rsid w:val="00533BB9"/>
    <w:rsid w:val="00533F05"/>
    <w:rsid w:val="00534209"/>
    <w:rsid w:val="00534545"/>
    <w:rsid w:val="00534B0F"/>
    <w:rsid w:val="005350A1"/>
    <w:rsid w:val="00535777"/>
    <w:rsid w:val="00535A16"/>
    <w:rsid w:val="00536412"/>
    <w:rsid w:val="0053689F"/>
    <w:rsid w:val="00536DB7"/>
    <w:rsid w:val="005375A6"/>
    <w:rsid w:val="00537A87"/>
    <w:rsid w:val="00537AF4"/>
    <w:rsid w:val="00537D23"/>
    <w:rsid w:val="0054037B"/>
    <w:rsid w:val="005405BF"/>
    <w:rsid w:val="00540AF5"/>
    <w:rsid w:val="005410FA"/>
    <w:rsid w:val="0054122E"/>
    <w:rsid w:val="005413D7"/>
    <w:rsid w:val="00541910"/>
    <w:rsid w:val="005428F0"/>
    <w:rsid w:val="00543F76"/>
    <w:rsid w:val="00544673"/>
    <w:rsid w:val="0054467D"/>
    <w:rsid w:val="00544707"/>
    <w:rsid w:val="00544955"/>
    <w:rsid w:val="00545049"/>
    <w:rsid w:val="00545707"/>
    <w:rsid w:val="0054739E"/>
    <w:rsid w:val="0054793A"/>
    <w:rsid w:val="00547E94"/>
    <w:rsid w:val="00547EE1"/>
    <w:rsid w:val="005504A7"/>
    <w:rsid w:val="00550824"/>
    <w:rsid w:val="00551207"/>
    <w:rsid w:val="00552F83"/>
    <w:rsid w:val="005531CC"/>
    <w:rsid w:val="00553685"/>
    <w:rsid w:val="00554008"/>
    <w:rsid w:val="005547D8"/>
    <w:rsid w:val="005547F6"/>
    <w:rsid w:val="00554A2F"/>
    <w:rsid w:val="00554C7F"/>
    <w:rsid w:val="00554D57"/>
    <w:rsid w:val="00554FA2"/>
    <w:rsid w:val="00555D18"/>
    <w:rsid w:val="005563C3"/>
    <w:rsid w:val="00556FA5"/>
    <w:rsid w:val="0055754E"/>
    <w:rsid w:val="0055757B"/>
    <w:rsid w:val="005577EB"/>
    <w:rsid w:val="005600D2"/>
    <w:rsid w:val="005600F7"/>
    <w:rsid w:val="00561A57"/>
    <w:rsid w:val="005633F2"/>
    <w:rsid w:val="0056381C"/>
    <w:rsid w:val="00563EC9"/>
    <w:rsid w:val="005646C0"/>
    <w:rsid w:val="00564B22"/>
    <w:rsid w:val="005650BC"/>
    <w:rsid w:val="00565919"/>
    <w:rsid w:val="00565BCF"/>
    <w:rsid w:val="00565C09"/>
    <w:rsid w:val="00565DC3"/>
    <w:rsid w:val="005665C4"/>
    <w:rsid w:val="005675FD"/>
    <w:rsid w:val="0056779E"/>
    <w:rsid w:val="00567BE0"/>
    <w:rsid w:val="005704BD"/>
    <w:rsid w:val="005705E3"/>
    <w:rsid w:val="00570A18"/>
    <w:rsid w:val="00570DCA"/>
    <w:rsid w:val="0057137B"/>
    <w:rsid w:val="005715AE"/>
    <w:rsid w:val="0057229F"/>
    <w:rsid w:val="005732C5"/>
    <w:rsid w:val="00573BB6"/>
    <w:rsid w:val="00573D99"/>
    <w:rsid w:val="00573EE0"/>
    <w:rsid w:val="00574087"/>
    <w:rsid w:val="00576856"/>
    <w:rsid w:val="00576A59"/>
    <w:rsid w:val="00576F43"/>
    <w:rsid w:val="0057721E"/>
    <w:rsid w:val="00577AE3"/>
    <w:rsid w:val="0058016D"/>
    <w:rsid w:val="005802D8"/>
    <w:rsid w:val="005808D8"/>
    <w:rsid w:val="00581287"/>
    <w:rsid w:val="00581BFF"/>
    <w:rsid w:val="0058208E"/>
    <w:rsid w:val="005820AE"/>
    <w:rsid w:val="005835CC"/>
    <w:rsid w:val="005838BE"/>
    <w:rsid w:val="00583F15"/>
    <w:rsid w:val="00586B7F"/>
    <w:rsid w:val="0058707F"/>
    <w:rsid w:val="00587897"/>
    <w:rsid w:val="00587D17"/>
    <w:rsid w:val="00590660"/>
    <w:rsid w:val="00591B87"/>
    <w:rsid w:val="00592228"/>
    <w:rsid w:val="00592B8C"/>
    <w:rsid w:val="00592EAF"/>
    <w:rsid w:val="005930AA"/>
    <w:rsid w:val="005934D0"/>
    <w:rsid w:val="005938C3"/>
    <w:rsid w:val="00593B69"/>
    <w:rsid w:val="0059466E"/>
    <w:rsid w:val="0059500F"/>
    <w:rsid w:val="00595B42"/>
    <w:rsid w:val="005977DD"/>
    <w:rsid w:val="005979C2"/>
    <w:rsid w:val="00597C50"/>
    <w:rsid w:val="005A0527"/>
    <w:rsid w:val="005A13EA"/>
    <w:rsid w:val="005A2515"/>
    <w:rsid w:val="005A2E2C"/>
    <w:rsid w:val="005A3158"/>
    <w:rsid w:val="005A31F7"/>
    <w:rsid w:val="005A3DD7"/>
    <w:rsid w:val="005A45A7"/>
    <w:rsid w:val="005A4668"/>
    <w:rsid w:val="005A490E"/>
    <w:rsid w:val="005A4C5F"/>
    <w:rsid w:val="005A5AA5"/>
    <w:rsid w:val="005A5B4E"/>
    <w:rsid w:val="005A5E4F"/>
    <w:rsid w:val="005A5EDB"/>
    <w:rsid w:val="005A63B6"/>
    <w:rsid w:val="005A6818"/>
    <w:rsid w:val="005A6B10"/>
    <w:rsid w:val="005A7858"/>
    <w:rsid w:val="005A7F51"/>
    <w:rsid w:val="005B09C3"/>
    <w:rsid w:val="005B0F72"/>
    <w:rsid w:val="005B1594"/>
    <w:rsid w:val="005B1623"/>
    <w:rsid w:val="005B1922"/>
    <w:rsid w:val="005B1E89"/>
    <w:rsid w:val="005B2048"/>
    <w:rsid w:val="005B25F5"/>
    <w:rsid w:val="005B27E7"/>
    <w:rsid w:val="005B2844"/>
    <w:rsid w:val="005B28F9"/>
    <w:rsid w:val="005B2DB2"/>
    <w:rsid w:val="005B318E"/>
    <w:rsid w:val="005B32FE"/>
    <w:rsid w:val="005B39A6"/>
    <w:rsid w:val="005B4B69"/>
    <w:rsid w:val="005B4CE5"/>
    <w:rsid w:val="005B4D22"/>
    <w:rsid w:val="005B5876"/>
    <w:rsid w:val="005B5ADA"/>
    <w:rsid w:val="005B5E70"/>
    <w:rsid w:val="005B637C"/>
    <w:rsid w:val="005B67D3"/>
    <w:rsid w:val="005B6EAA"/>
    <w:rsid w:val="005B7153"/>
    <w:rsid w:val="005B7340"/>
    <w:rsid w:val="005B7A7B"/>
    <w:rsid w:val="005B7EDC"/>
    <w:rsid w:val="005C0069"/>
    <w:rsid w:val="005C0C52"/>
    <w:rsid w:val="005C12F8"/>
    <w:rsid w:val="005C1577"/>
    <w:rsid w:val="005C2199"/>
    <w:rsid w:val="005C2343"/>
    <w:rsid w:val="005C2D00"/>
    <w:rsid w:val="005C31EC"/>
    <w:rsid w:val="005C395F"/>
    <w:rsid w:val="005C44F6"/>
    <w:rsid w:val="005C486F"/>
    <w:rsid w:val="005C4F7F"/>
    <w:rsid w:val="005C53A8"/>
    <w:rsid w:val="005C53CF"/>
    <w:rsid w:val="005C5571"/>
    <w:rsid w:val="005C5707"/>
    <w:rsid w:val="005C581E"/>
    <w:rsid w:val="005C592D"/>
    <w:rsid w:val="005C60C1"/>
    <w:rsid w:val="005C6917"/>
    <w:rsid w:val="005C7057"/>
    <w:rsid w:val="005C70AE"/>
    <w:rsid w:val="005C7CF5"/>
    <w:rsid w:val="005C7E1B"/>
    <w:rsid w:val="005C7F34"/>
    <w:rsid w:val="005C7F35"/>
    <w:rsid w:val="005D033C"/>
    <w:rsid w:val="005D03B6"/>
    <w:rsid w:val="005D0AD9"/>
    <w:rsid w:val="005D0B0E"/>
    <w:rsid w:val="005D1263"/>
    <w:rsid w:val="005D15D7"/>
    <w:rsid w:val="005D204B"/>
    <w:rsid w:val="005D2066"/>
    <w:rsid w:val="005D38C0"/>
    <w:rsid w:val="005D3F0C"/>
    <w:rsid w:val="005D42FA"/>
    <w:rsid w:val="005D44F5"/>
    <w:rsid w:val="005D46C2"/>
    <w:rsid w:val="005D4B9D"/>
    <w:rsid w:val="005D4DE3"/>
    <w:rsid w:val="005D53E3"/>
    <w:rsid w:val="005D540B"/>
    <w:rsid w:val="005D5737"/>
    <w:rsid w:val="005D5DE9"/>
    <w:rsid w:val="005D6981"/>
    <w:rsid w:val="005D6B97"/>
    <w:rsid w:val="005D6FB2"/>
    <w:rsid w:val="005D768C"/>
    <w:rsid w:val="005E04A8"/>
    <w:rsid w:val="005E0E6E"/>
    <w:rsid w:val="005E12C5"/>
    <w:rsid w:val="005E1611"/>
    <w:rsid w:val="005E1E1E"/>
    <w:rsid w:val="005E2AFE"/>
    <w:rsid w:val="005E350F"/>
    <w:rsid w:val="005E379A"/>
    <w:rsid w:val="005E38B5"/>
    <w:rsid w:val="005E438B"/>
    <w:rsid w:val="005E48BE"/>
    <w:rsid w:val="005E5395"/>
    <w:rsid w:val="005E57A4"/>
    <w:rsid w:val="005E5FCD"/>
    <w:rsid w:val="005E6461"/>
    <w:rsid w:val="005E68C7"/>
    <w:rsid w:val="005E7D82"/>
    <w:rsid w:val="005E7D83"/>
    <w:rsid w:val="005F0207"/>
    <w:rsid w:val="005F0B2D"/>
    <w:rsid w:val="005F2910"/>
    <w:rsid w:val="005F29C9"/>
    <w:rsid w:val="005F2D88"/>
    <w:rsid w:val="005F3062"/>
    <w:rsid w:val="005F3243"/>
    <w:rsid w:val="005F3733"/>
    <w:rsid w:val="005F3CB8"/>
    <w:rsid w:val="005F3EA1"/>
    <w:rsid w:val="005F4C3B"/>
    <w:rsid w:val="005F5693"/>
    <w:rsid w:val="005F6C99"/>
    <w:rsid w:val="005F6DBD"/>
    <w:rsid w:val="005F71EB"/>
    <w:rsid w:val="005F7D86"/>
    <w:rsid w:val="005F7F7A"/>
    <w:rsid w:val="006005C7"/>
    <w:rsid w:val="006008CA"/>
    <w:rsid w:val="00600E99"/>
    <w:rsid w:val="006014C9"/>
    <w:rsid w:val="0060152D"/>
    <w:rsid w:val="0060185D"/>
    <w:rsid w:val="00601AFE"/>
    <w:rsid w:val="00601CD8"/>
    <w:rsid w:val="006020BB"/>
    <w:rsid w:val="006022E9"/>
    <w:rsid w:val="00602D47"/>
    <w:rsid w:val="0060313A"/>
    <w:rsid w:val="00603997"/>
    <w:rsid w:val="006039A8"/>
    <w:rsid w:val="00603A45"/>
    <w:rsid w:val="00605234"/>
    <w:rsid w:val="006057C3"/>
    <w:rsid w:val="00605DE4"/>
    <w:rsid w:val="00606180"/>
    <w:rsid w:val="006064C0"/>
    <w:rsid w:val="00606520"/>
    <w:rsid w:val="00606965"/>
    <w:rsid w:val="00606D89"/>
    <w:rsid w:val="00607084"/>
    <w:rsid w:val="006071A5"/>
    <w:rsid w:val="00607D3F"/>
    <w:rsid w:val="0061003A"/>
    <w:rsid w:val="006103CB"/>
    <w:rsid w:val="00610540"/>
    <w:rsid w:val="00610571"/>
    <w:rsid w:val="006106BF"/>
    <w:rsid w:val="006110E0"/>
    <w:rsid w:val="006111B1"/>
    <w:rsid w:val="0061159F"/>
    <w:rsid w:val="006115B5"/>
    <w:rsid w:val="00611DF8"/>
    <w:rsid w:val="0061201A"/>
    <w:rsid w:val="00612191"/>
    <w:rsid w:val="0061252B"/>
    <w:rsid w:val="0061287F"/>
    <w:rsid w:val="006129ED"/>
    <w:rsid w:val="0061301C"/>
    <w:rsid w:val="006139B9"/>
    <w:rsid w:val="00614BB2"/>
    <w:rsid w:val="00614F04"/>
    <w:rsid w:val="006157E0"/>
    <w:rsid w:val="00615BD3"/>
    <w:rsid w:val="00615DE3"/>
    <w:rsid w:val="00617F15"/>
    <w:rsid w:val="006215F6"/>
    <w:rsid w:val="00621D71"/>
    <w:rsid w:val="00622747"/>
    <w:rsid w:val="006228E3"/>
    <w:rsid w:val="00622D7B"/>
    <w:rsid w:val="00622E27"/>
    <w:rsid w:val="00623273"/>
    <w:rsid w:val="00623E9D"/>
    <w:rsid w:val="0062438D"/>
    <w:rsid w:val="006258C1"/>
    <w:rsid w:val="00625C27"/>
    <w:rsid w:val="00625F14"/>
    <w:rsid w:val="00626265"/>
    <w:rsid w:val="006264F3"/>
    <w:rsid w:val="00626793"/>
    <w:rsid w:val="00626924"/>
    <w:rsid w:val="0063043A"/>
    <w:rsid w:val="00630887"/>
    <w:rsid w:val="00630CBA"/>
    <w:rsid w:val="00630EEF"/>
    <w:rsid w:val="006310BA"/>
    <w:rsid w:val="0063126C"/>
    <w:rsid w:val="00631B04"/>
    <w:rsid w:val="00631B3C"/>
    <w:rsid w:val="00632391"/>
    <w:rsid w:val="00632CE5"/>
    <w:rsid w:val="00632F48"/>
    <w:rsid w:val="006335A5"/>
    <w:rsid w:val="00633931"/>
    <w:rsid w:val="00633F47"/>
    <w:rsid w:val="00633F97"/>
    <w:rsid w:val="006342CC"/>
    <w:rsid w:val="00634B47"/>
    <w:rsid w:val="00635466"/>
    <w:rsid w:val="00635984"/>
    <w:rsid w:val="0063608D"/>
    <w:rsid w:val="00640D36"/>
    <w:rsid w:val="0064121A"/>
    <w:rsid w:val="006414A1"/>
    <w:rsid w:val="006418AC"/>
    <w:rsid w:val="00641911"/>
    <w:rsid w:val="00641D75"/>
    <w:rsid w:val="00642932"/>
    <w:rsid w:val="0064298B"/>
    <w:rsid w:val="00642EBB"/>
    <w:rsid w:val="00643831"/>
    <w:rsid w:val="00643E94"/>
    <w:rsid w:val="006440E8"/>
    <w:rsid w:val="00644E55"/>
    <w:rsid w:val="00645EF5"/>
    <w:rsid w:val="00646033"/>
    <w:rsid w:val="0064634E"/>
    <w:rsid w:val="00646641"/>
    <w:rsid w:val="00647072"/>
    <w:rsid w:val="00647475"/>
    <w:rsid w:val="00647BE5"/>
    <w:rsid w:val="0065081A"/>
    <w:rsid w:val="0065220B"/>
    <w:rsid w:val="0065266E"/>
    <w:rsid w:val="006529FB"/>
    <w:rsid w:val="00652F41"/>
    <w:rsid w:val="0065354C"/>
    <w:rsid w:val="0065362A"/>
    <w:rsid w:val="006536F5"/>
    <w:rsid w:val="0065381D"/>
    <w:rsid w:val="00653B9E"/>
    <w:rsid w:val="00653E50"/>
    <w:rsid w:val="00653EA1"/>
    <w:rsid w:val="006543FF"/>
    <w:rsid w:val="00654897"/>
    <w:rsid w:val="0065548D"/>
    <w:rsid w:val="00655D87"/>
    <w:rsid w:val="0065650C"/>
    <w:rsid w:val="0065656F"/>
    <w:rsid w:val="00656ACB"/>
    <w:rsid w:val="00656BDB"/>
    <w:rsid w:val="00657331"/>
    <w:rsid w:val="006576B7"/>
    <w:rsid w:val="0065798E"/>
    <w:rsid w:val="00657D75"/>
    <w:rsid w:val="00657D7D"/>
    <w:rsid w:val="00660229"/>
    <w:rsid w:val="00660A6A"/>
    <w:rsid w:val="00660C80"/>
    <w:rsid w:val="00660D86"/>
    <w:rsid w:val="00660E34"/>
    <w:rsid w:val="006613A7"/>
    <w:rsid w:val="006614D9"/>
    <w:rsid w:val="0066195D"/>
    <w:rsid w:val="006624D1"/>
    <w:rsid w:val="00662533"/>
    <w:rsid w:val="006626BB"/>
    <w:rsid w:val="00663EC2"/>
    <w:rsid w:val="006647D0"/>
    <w:rsid w:val="006648C3"/>
    <w:rsid w:val="0066514B"/>
    <w:rsid w:val="006651DB"/>
    <w:rsid w:val="00665DBD"/>
    <w:rsid w:val="00666086"/>
    <w:rsid w:val="0066657A"/>
    <w:rsid w:val="00666C04"/>
    <w:rsid w:val="00666D80"/>
    <w:rsid w:val="00667480"/>
    <w:rsid w:val="006676C5"/>
    <w:rsid w:val="006676F3"/>
    <w:rsid w:val="006706E1"/>
    <w:rsid w:val="00670708"/>
    <w:rsid w:val="0067075D"/>
    <w:rsid w:val="00670819"/>
    <w:rsid w:val="00670E71"/>
    <w:rsid w:val="00671DA8"/>
    <w:rsid w:val="00671FF9"/>
    <w:rsid w:val="00672B93"/>
    <w:rsid w:val="00672E7C"/>
    <w:rsid w:val="00673435"/>
    <w:rsid w:val="006739DE"/>
    <w:rsid w:val="00674834"/>
    <w:rsid w:val="00675040"/>
    <w:rsid w:val="00675068"/>
    <w:rsid w:val="00675A43"/>
    <w:rsid w:val="00675CE0"/>
    <w:rsid w:val="00675F16"/>
    <w:rsid w:val="0067653D"/>
    <w:rsid w:val="00676979"/>
    <w:rsid w:val="00676C52"/>
    <w:rsid w:val="006775FD"/>
    <w:rsid w:val="00677CE8"/>
    <w:rsid w:val="0068081D"/>
    <w:rsid w:val="00680EFF"/>
    <w:rsid w:val="00681C00"/>
    <w:rsid w:val="00682632"/>
    <w:rsid w:val="00682AF5"/>
    <w:rsid w:val="0068315E"/>
    <w:rsid w:val="006837FD"/>
    <w:rsid w:val="006838A8"/>
    <w:rsid w:val="0068456E"/>
    <w:rsid w:val="0068472D"/>
    <w:rsid w:val="0068486B"/>
    <w:rsid w:val="00684D38"/>
    <w:rsid w:val="00684DE7"/>
    <w:rsid w:val="0068539A"/>
    <w:rsid w:val="006858A1"/>
    <w:rsid w:val="006859FD"/>
    <w:rsid w:val="006863AF"/>
    <w:rsid w:val="00686725"/>
    <w:rsid w:val="00686C07"/>
    <w:rsid w:val="0068734A"/>
    <w:rsid w:val="0069002F"/>
    <w:rsid w:val="006901DA"/>
    <w:rsid w:val="0069039B"/>
    <w:rsid w:val="0069096F"/>
    <w:rsid w:val="00690A61"/>
    <w:rsid w:val="0069111B"/>
    <w:rsid w:val="006912D1"/>
    <w:rsid w:val="00691A08"/>
    <w:rsid w:val="00691AC6"/>
    <w:rsid w:val="00691B1D"/>
    <w:rsid w:val="00692961"/>
    <w:rsid w:val="006930DB"/>
    <w:rsid w:val="00693465"/>
    <w:rsid w:val="00694681"/>
    <w:rsid w:val="00694E38"/>
    <w:rsid w:val="00695277"/>
    <w:rsid w:val="0069536F"/>
    <w:rsid w:val="00695DDC"/>
    <w:rsid w:val="006968E1"/>
    <w:rsid w:val="00697A5F"/>
    <w:rsid w:val="00697C09"/>
    <w:rsid w:val="00697CA3"/>
    <w:rsid w:val="006A06C0"/>
    <w:rsid w:val="006A08EE"/>
    <w:rsid w:val="006A0A2B"/>
    <w:rsid w:val="006A0E17"/>
    <w:rsid w:val="006A18CC"/>
    <w:rsid w:val="006A1C2A"/>
    <w:rsid w:val="006A2172"/>
    <w:rsid w:val="006A22DD"/>
    <w:rsid w:val="006A233B"/>
    <w:rsid w:val="006A2AD7"/>
    <w:rsid w:val="006A2E40"/>
    <w:rsid w:val="006A2EBA"/>
    <w:rsid w:val="006A384C"/>
    <w:rsid w:val="006A3EAB"/>
    <w:rsid w:val="006A41BE"/>
    <w:rsid w:val="006A4561"/>
    <w:rsid w:val="006A4776"/>
    <w:rsid w:val="006A48AC"/>
    <w:rsid w:val="006A48BE"/>
    <w:rsid w:val="006A4A10"/>
    <w:rsid w:val="006A4E36"/>
    <w:rsid w:val="006A54F5"/>
    <w:rsid w:val="006A5A70"/>
    <w:rsid w:val="006A5A77"/>
    <w:rsid w:val="006A5DCA"/>
    <w:rsid w:val="006A79E1"/>
    <w:rsid w:val="006B007D"/>
    <w:rsid w:val="006B0902"/>
    <w:rsid w:val="006B0C4D"/>
    <w:rsid w:val="006B100F"/>
    <w:rsid w:val="006B1785"/>
    <w:rsid w:val="006B1DFD"/>
    <w:rsid w:val="006B1F28"/>
    <w:rsid w:val="006B38B2"/>
    <w:rsid w:val="006B3AE3"/>
    <w:rsid w:val="006B490F"/>
    <w:rsid w:val="006B5DCB"/>
    <w:rsid w:val="006B5F4E"/>
    <w:rsid w:val="006B7305"/>
    <w:rsid w:val="006B77F0"/>
    <w:rsid w:val="006B7CCC"/>
    <w:rsid w:val="006C0222"/>
    <w:rsid w:val="006C0338"/>
    <w:rsid w:val="006C05D4"/>
    <w:rsid w:val="006C0A2D"/>
    <w:rsid w:val="006C14A3"/>
    <w:rsid w:val="006C162B"/>
    <w:rsid w:val="006C167C"/>
    <w:rsid w:val="006C2C86"/>
    <w:rsid w:val="006C2D58"/>
    <w:rsid w:val="006C39CE"/>
    <w:rsid w:val="006C4622"/>
    <w:rsid w:val="006C47FD"/>
    <w:rsid w:val="006C49BE"/>
    <w:rsid w:val="006C4C9B"/>
    <w:rsid w:val="006C56B0"/>
    <w:rsid w:val="006C58F4"/>
    <w:rsid w:val="006C592B"/>
    <w:rsid w:val="006C671F"/>
    <w:rsid w:val="006C6A48"/>
    <w:rsid w:val="006C6CA9"/>
    <w:rsid w:val="006C6D37"/>
    <w:rsid w:val="006C75CC"/>
    <w:rsid w:val="006C7C45"/>
    <w:rsid w:val="006C7D24"/>
    <w:rsid w:val="006D0189"/>
    <w:rsid w:val="006D0231"/>
    <w:rsid w:val="006D072B"/>
    <w:rsid w:val="006D0C4E"/>
    <w:rsid w:val="006D1250"/>
    <w:rsid w:val="006D147B"/>
    <w:rsid w:val="006D238A"/>
    <w:rsid w:val="006D4485"/>
    <w:rsid w:val="006D453D"/>
    <w:rsid w:val="006D4BBB"/>
    <w:rsid w:val="006D5571"/>
    <w:rsid w:val="006D653D"/>
    <w:rsid w:val="006D6AFA"/>
    <w:rsid w:val="006D6E73"/>
    <w:rsid w:val="006D6E77"/>
    <w:rsid w:val="006D73D4"/>
    <w:rsid w:val="006D7409"/>
    <w:rsid w:val="006D7438"/>
    <w:rsid w:val="006D74B3"/>
    <w:rsid w:val="006D76D0"/>
    <w:rsid w:val="006E0181"/>
    <w:rsid w:val="006E049B"/>
    <w:rsid w:val="006E090B"/>
    <w:rsid w:val="006E09AB"/>
    <w:rsid w:val="006E15CF"/>
    <w:rsid w:val="006E15F4"/>
    <w:rsid w:val="006E1B03"/>
    <w:rsid w:val="006E2B9F"/>
    <w:rsid w:val="006E3298"/>
    <w:rsid w:val="006E3653"/>
    <w:rsid w:val="006E37D5"/>
    <w:rsid w:val="006E3F77"/>
    <w:rsid w:val="006E506A"/>
    <w:rsid w:val="006E50FE"/>
    <w:rsid w:val="006E5640"/>
    <w:rsid w:val="006E56BC"/>
    <w:rsid w:val="006E5D86"/>
    <w:rsid w:val="006E5F09"/>
    <w:rsid w:val="006E5F28"/>
    <w:rsid w:val="006E62F0"/>
    <w:rsid w:val="006E635D"/>
    <w:rsid w:val="006E6677"/>
    <w:rsid w:val="006E6C84"/>
    <w:rsid w:val="006E707A"/>
    <w:rsid w:val="006E7921"/>
    <w:rsid w:val="006E7BA4"/>
    <w:rsid w:val="006E7C81"/>
    <w:rsid w:val="006F0260"/>
    <w:rsid w:val="006F0435"/>
    <w:rsid w:val="006F0455"/>
    <w:rsid w:val="006F0ACF"/>
    <w:rsid w:val="006F11A0"/>
    <w:rsid w:val="006F13D2"/>
    <w:rsid w:val="006F1CB7"/>
    <w:rsid w:val="006F1DD5"/>
    <w:rsid w:val="006F20D8"/>
    <w:rsid w:val="006F2105"/>
    <w:rsid w:val="006F22DD"/>
    <w:rsid w:val="006F24F1"/>
    <w:rsid w:val="006F2538"/>
    <w:rsid w:val="006F28A4"/>
    <w:rsid w:val="006F31D5"/>
    <w:rsid w:val="006F33D2"/>
    <w:rsid w:val="006F35B6"/>
    <w:rsid w:val="006F48B5"/>
    <w:rsid w:val="006F4F1E"/>
    <w:rsid w:val="006F5BB9"/>
    <w:rsid w:val="006F5D8B"/>
    <w:rsid w:val="006F619C"/>
    <w:rsid w:val="006F63D0"/>
    <w:rsid w:val="006F7858"/>
    <w:rsid w:val="006F793C"/>
    <w:rsid w:val="006F7E8E"/>
    <w:rsid w:val="00700033"/>
    <w:rsid w:val="00700398"/>
    <w:rsid w:val="00700C9C"/>
    <w:rsid w:val="00700DE7"/>
    <w:rsid w:val="00700FCE"/>
    <w:rsid w:val="00701B3E"/>
    <w:rsid w:val="00702E30"/>
    <w:rsid w:val="0070386E"/>
    <w:rsid w:val="00703CEB"/>
    <w:rsid w:val="00703FF9"/>
    <w:rsid w:val="007041D4"/>
    <w:rsid w:val="007046EA"/>
    <w:rsid w:val="00704DCB"/>
    <w:rsid w:val="007050EF"/>
    <w:rsid w:val="00705243"/>
    <w:rsid w:val="00705A79"/>
    <w:rsid w:val="00706B5C"/>
    <w:rsid w:val="007070E2"/>
    <w:rsid w:val="00707708"/>
    <w:rsid w:val="00707722"/>
    <w:rsid w:val="00707D0D"/>
    <w:rsid w:val="007104A9"/>
    <w:rsid w:val="00710750"/>
    <w:rsid w:val="007109B4"/>
    <w:rsid w:val="00710EDF"/>
    <w:rsid w:val="00711076"/>
    <w:rsid w:val="00711905"/>
    <w:rsid w:val="00711B09"/>
    <w:rsid w:val="0071338F"/>
    <w:rsid w:val="00714E4D"/>
    <w:rsid w:val="00714F6B"/>
    <w:rsid w:val="00715431"/>
    <w:rsid w:val="00715D00"/>
    <w:rsid w:val="0071684A"/>
    <w:rsid w:val="00716CEC"/>
    <w:rsid w:val="00717326"/>
    <w:rsid w:val="007173B8"/>
    <w:rsid w:val="0071754F"/>
    <w:rsid w:val="00720B99"/>
    <w:rsid w:val="00720C54"/>
    <w:rsid w:val="00720D75"/>
    <w:rsid w:val="00721222"/>
    <w:rsid w:val="007224E6"/>
    <w:rsid w:val="007225E9"/>
    <w:rsid w:val="007233BA"/>
    <w:rsid w:val="00724221"/>
    <w:rsid w:val="00724305"/>
    <w:rsid w:val="00724310"/>
    <w:rsid w:val="007245EE"/>
    <w:rsid w:val="00724956"/>
    <w:rsid w:val="007249AA"/>
    <w:rsid w:val="00725727"/>
    <w:rsid w:val="0072581F"/>
    <w:rsid w:val="00725E59"/>
    <w:rsid w:val="00726BF1"/>
    <w:rsid w:val="00726E3E"/>
    <w:rsid w:val="00727301"/>
    <w:rsid w:val="007274B6"/>
    <w:rsid w:val="00727503"/>
    <w:rsid w:val="007278E0"/>
    <w:rsid w:val="007278EE"/>
    <w:rsid w:val="00727C78"/>
    <w:rsid w:val="00730E0F"/>
    <w:rsid w:val="00730F9C"/>
    <w:rsid w:val="007315F8"/>
    <w:rsid w:val="00731623"/>
    <w:rsid w:val="007325AC"/>
    <w:rsid w:val="007327FD"/>
    <w:rsid w:val="00732FA1"/>
    <w:rsid w:val="00733281"/>
    <w:rsid w:val="007339FC"/>
    <w:rsid w:val="00733D8F"/>
    <w:rsid w:val="00734C85"/>
    <w:rsid w:val="007359B6"/>
    <w:rsid w:val="00735D83"/>
    <w:rsid w:val="007368B9"/>
    <w:rsid w:val="00736D4F"/>
    <w:rsid w:val="0073738A"/>
    <w:rsid w:val="0073765E"/>
    <w:rsid w:val="00737757"/>
    <w:rsid w:val="00737DD4"/>
    <w:rsid w:val="00737E50"/>
    <w:rsid w:val="00740978"/>
    <w:rsid w:val="00740AA8"/>
    <w:rsid w:val="007419A0"/>
    <w:rsid w:val="00741C64"/>
    <w:rsid w:val="00741CE0"/>
    <w:rsid w:val="00741D22"/>
    <w:rsid w:val="007421D7"/>
    <w:rsid w:val="007441BF"/>
    <w:rsid w:val="0074427F"/>
    <w:rsid w:val="00744D95"/>
    <w:rsid w:val="00744F38"/>
    <w:rsid w:val="00745280"/>
    <w:rsid w:val="00746221"/>
    <w:rsid w:val="007465C2"/>
    <w:rsid w:val="007469AE"/>
    <w:rsid w:val="00746E7E"/>
    <w:rsid w:val="007474B4"/>
    <w:rsid w:val="007478A5"/>
    <w:rsid w:val="00750B80"/>
    <w:rsid w:val="00750EE8"/>
    <w:rsid w:val="007517B8"/>
    <w:rsid w:val="00752679"/>
    <w:rsid w:val="00752755"/>
    <w:rsid w:val="00753279"/>
    <w:rsid w:val="00753704"/>
    <w:rsid w:val="00754550"/>
    <w:rsid w:val="007548CB"/>
    <w:rsid w:val="00754D2F"/>
    <w:rsid w:val="00754EB8"/>
    <w:rsid w:val="00755DCB"/>
    <w:rsid w:val="00755F14"/>
    <w:rsid w:val="00756BAF"/>
    <w:rsid w:val="00756C68"/>
    <w:rsid w:val="00756E34"/>
    <w:rsid w:val="0075741D"/>
    <w:rsid w:val="00757652"/>
    <w:rsid w:val="00757B2E"/>
    <w:rsid w:val="00757D75"/>
    <w:rsid w:val="007601F7"/>
    <w:rsid w:val="0076042D"/>
    <w:rsid w:val="007604B6"/>
    <w:rsid w:val="00760A78"/>
    <w:rsid w:val="0076102A"/>
    <w:rsid w:val="00761308"/>
    <w:rsid w:val="00761446"/>
    <w:rsid w:val="007617B5"/>
    <w:rsid w:val="00761AC2"/>
    <w:rsid w:val="00761C55"/>
    <w:rsid w:val="00761D0A"/>
    <w:rsid w:val="007625CB"/>
    <w:rsid w:val="007637C8"/>
    <w:rsid w:val="00763DCC"/>
    <w:rsid w:val="0076487E"/>
    <w:rsid w:val="00764AAC"/>
    <w:rsid w:val="00764B26"/>
    <w:rsid w:val="00765484"/>
    <w:rsid w:val="007657C5"/>
    <w:rsid w:val="00765C2F"/>
    <w:rsid w:val="00765D1A"/>
    <w:rsid w:val="007669B7"/>
    <w:rsid w:val="00766AEB"/>
    <w:rsid w:val="007702E8"/>
    <w:rsid w:val="0077038A"/>
    <w:rsid w:val="00770462"/>
    <w:rsid w:val="0077085E"/>
    <w:rsid w:val="00770B90"/>
    <w:rsid w:val="00770BB8"/>
    <w:rsid w:val="007711AE"/>
    <w:rsid w:val="00771276"/>
    <w:rsid w:val="0077141C"/>
    <w:rsid w:val="007724C0"/>
    <w:rsid w:val="007725C5"/>
    <w:rsid w:val="007725D7"/>
    <w:rsid w:val="007730B5"/>
    <w:rsid w:val="00773EB5"/>
    <w:rsid w:val="007741FE"/>
    <w:rsid w:val="00774688"/>
    <w:rsid w:val="00774ADD"/>
    <w:rsid w:val="007750BA"/>
    <w:rsid w:val="0077526C"/>
    <w:rsid w:val="00775290"/>
    <w:rsid w:val="00775832"/>
    <w:rsid w:val="007759A3"/>
    <w:rsid w:val="00776156"/>
    <w:rsid w:val="0077708F"/>
    <w:rsid w:val="00777226"/>
    <w:rsid w:val="0077722E"/>
    <w:rsid w:val="00777849"/>
    <w:rsid w:val="00777FE7"/>
    <w:rsid w:val="00780435"/>
    <w:rsid w:val="00781159"/>
    <w:rsid w:val="0078193B"/>
    <w:rsid w:val="00781AB7"/>
    <w:rsid w:val="00781C4A"/>
    <w:rsid w:val="00781FC5"/>
    <w:rsid w:val="0078203D"/>
    <w:rsid w:val="007820E3"/>
    <w:rsid w:val="007826BE"/>
    <w:rsid w:val="00782D57"/>
    <w:rsid w:val="00783EBD"/>
    <w:rsid w:val="0078490F"/>
    <w:rsid w:val="00784970"/>
    <w:rsid w:val="00785201"/>
    <w:rsid w:val="007855CE"/>
    <w:rsid w:val="00785723"/>
    <w:rsid w:val="0078620F"/>
    <w:rsid w:val="00786743"/>
    <w:rsid w:val="00786845"/>
    <w:rsid w:val="00787070"/>
    <w:rsid w:val="0078723F"/>
    <w:rsid w:val="007879F6"/>
    <w:rsid w:val="00787C25"/>
    <w:rsid w:val="007904AD"/>
    <w:rsid w:val="00790696"/>
    <w:rsid w:val="0079159E"/>
    <w:rsid w:val="00791A75"/>
    <w:rsid w:val="00792C8D"/>
    <w:rsid w:val="0079301C"/>
    <w:rsid w:val="00794917"/>
    <w:rsid w:val="00794952"/>
    <w:rsid w:val="00794FDE"/>
    <w:rsid w:val="00795D7C"/>
    <w:rsid w:val="007960C3"/>
    <w:rsid w:val="007968BE"/>
    <w:rsid w:val="00797332"/>
    <w:rsid w:val="007973D4"/>
    <w:rsid w:val="007974AA"/>
    <w:rsid w:val="00797E80"/>
    <w:rsid w:val="007A2028"/>
    <w:rsid w:val="007A2841"/>
    <w:rsid w:val="007A2D0F"/>
    <w:rsid w:val="007A32C4"/>
    <w:rsid w:val="007A3728"/>
    <w:rsid w:val="007A3DA3"/>
    <w:rsid w:val="007A465F"/>
    <w:rsid w:val="007A4771"/>
    <w:rsid w:val="007A4D54"/>
    <w:rsid w:val="007A4F25"/>
    <w:rsid w:val="007A51F4"/>
    <w:rsid w:val="007A543B"/>
    <w:rsid w:val="007A6B10"/>
    <w:rsid w:val="007A6EB0"/>
    <w:rsid w:val="007B0C6D"/>
    <w:rsid w:val="007B115D"/>
    <w:rsid w:val="007B1D2D"/>
    <w:rsid w:val="007B3F58"/>
    <w:rsid w:val="007B40C4"/>
    <w:rsid w:val="007B4A13"/>
    <w:rsid w:val="007B4BB0"/>
    <w:rsid w:val="007B4E24"/>
    <w:rsid w:val="007B4E43"/>
    <w:rsid w:val="007B4E80"/>
    <w:rsid w:val="007B523C"/>
    <w:rsid w:val="007B52AC"/>
    <w:rsid w:val="007B54B0"/>
    <w:rsid w:val="007B5AE1"/>
    <w:rsid w:val="007B61CA"/>
    <w:rsid w:val="007B624C"/>
    <w:rsid w:val="007B76D2"/>
    <w:rsid w:val="007B7D79"/>
    <w:rsid w:val="007B7F69"/>
    <w:rsid w:val="007C0AA9"/>
    <w:rsid w:val="007C0E3C"/>
    <w:rsid w:val="007C0FBE"/>
    <w:rsid w:val="007C126C"/>
    <w:rsid w:val="007C1864"/>
    <w:rsid w:val="007C1F42"/>
    <w:rsid w:val="007C1FB3"/>
    <w:rsid w:val="007C2086"/>
    <w:rsid w:val="007C2DA9"/>
    <w:rsid w:val="007C33E6"/>
    <w:rsid w:val="007C340B"/>
    <w:rsid w:val="007C351C"/>
    <w:rsid w:val="007C3792"/>
    <w:rsid w:val="007C3E16"/>
    <w:rsid w:val="007C4C40"/>
    <w:rsid w:val="007C6627"/>
    <w:rsid w:val="007C68C5"/>
    <w:rsid w:val="007C7860"/>
    <w:rsid w:val="007D0FC4"/>
    <w:rsid w:val="007D241C"/>
    <w:rsid w:val="007D27AB"/>
    <w:rsid w:val="007D2C5C"/>
    <w:rsid w:val="007D2D07"/>
    <w:rsid w:val="007D2FD9"/>
    <w:rsid w:val="007D34F1"/>
    <w:rsid w:val="007D4152"/>
    <w:rsid w:val="007D44F7"/>
    <w:rsid w:val="007D524E"/>
    <w:rsid w:val="007D6F71"/>
    <w:rsid w:val="007D7687"/>
    <w:rsid w:val="007D7D25"/>
    <w:rsid w:val="007E0362"/>
    <w:rsid w:val="007E1566"/>
    <w:rsid w:val="007E2162"/>
    <w:rsid w:val="007E2874"/>
    <w:rsid w:val="007E2A59"/>
    <w:rsid w:val="007E2EF0"/>
    <w:rsid w:val="007E361D"/>
    <w:rsid w:val="007E3898"/>
    <w:rsid w:val="007E3ECF"/>
    <w:rsid w:val="007E469E"/>
    <w:rsid w:val="007E4D6C"/>
    <w:rsid w:val="007E50AC"/>
    <w:rsid w:val="007E5274"/>
    <w:rsid w:val="007E5423"/>
    <w:rsid w:val="007E5756"/>
    <w:rsid w:val="007E65ED"/>
    <w:rsid w:val="007E67AD"/>
    <w:rsid w:val="007E6F04"/>
    <w:rsid w:val="007E7836"/>
    <w:rsid w:val="007E7A9A"/>
    <w:rsid w:val="007E7B61"/>
    <w:rsid w:val="007E7C9C"/>
    <w:rsid w:val="007E7E61"/>
    <w:rsid w:val="007F0A0B"/>
    <w:rsid w:val="007F1161"/>
    <w:rsid w:val="007F1F2E"/>
    <w:rsid w:val="007F2525"/>
    <w:rsid w:val="007F2740"/>
    <w:rsid w:val="007F2DBE"/>
    <w:rsid w:val="007F3BAA"/>
    <w:rsid w:val="007F3D2A"/>
    <w:rsid w:val="007F4657"/>
    <w:rsid w:val="007F47D7"/>
    <w:rsid w:val="007F4958"/>
    <w:rsid w:val="007F52D6"/>
    <w:rsid w:val="007F5DE4"/>
    <w:rsid w:val="007F6158"/>
    <w:rsid w:val="007F6F96"/>
    <w:rsid w:val="007F70DB"/>
    <w:rsid w:val="008007F1"/>
    <w:rsid w:val="00800F7E"/>
    <w:rsid w:val="00801BA9"/>
    <w:rsid w:val="00801F51"/>
    <w:rsid w:val="00802708"/>
    <w:rsid w:val="008028EB"/>
    <w:rsid w:val="0080370B"/>
    <w:rsid w:val="00804690"/>
    <w:rsid w:val="00804995"/>
    <w:rsid w:val="00804D34"/>
    <w:rsid w:val="008050B6"/>
    <w:rsid w:val="008053EA"/>
    <w:rsid w:val="008055F9"/>
    <w:rsid w:val="00805CDF"/>
    <w:rsid w:val="008064EE"/>
    <w:rsid w:val="00806977"/>
    <w:rsid w:val="00807110"/>
    <w:rsid w:val="00807420"/>
    <w:rsid w:val="0081018E"/>
    <w:rsid w:val="00811694"/>
    <w:rsid w:val="00811842"/>
    <w:rsid w:val="00811F25"/>
    <w:rsid w:val="00812250"/>
    <w:rsid w:val="0081233F"/>
    <w:rsid w:val="0081255D"/>
    <w:rsid w:val="00812715"/>
    <w:rsid w:val="0081279F"/>
    <w:rsid w:val="008129C2"/>
    <w:rsid w:val="00812E75"/>
    <w:rsid w:val="00813006"/>
    <w:rsid w:val="00813133"/>
    <w:rsid w:val="00813160"/>
    <w:rsid w:val="00813377"/>
    <w:rsid w:val="0081364F"/>
    <w:rsid w:val="0081394A"/>
    <w:rsid w:val="008150E1"/>
    <w:rsid w:val="00815452"/>
    <w:rsid w:val="00815B2D"/>
    <w:rsid w:val="00815D74"/>
    <w:rsid w:val="00815EE0"/>
    <w:rsid w:val="0081691E"/>
    <w:rsid w:val="00816937"/>
    <w:rsid w:val="00817067"/>
    <w:rsid w:val="00817623"/>
    <w:rsid w:val="0081789F"/>
    <w:rsid w:val="008179B1"/>
    <w:rsid w:val="0082015A"/>
    <w:rsid w:val="008201D1"/>
    <w:rsid w:val="008203DF"/>
    <w:rsid w:val="008206FD"/>
    <w:rsid w:val="00821F76"/>
    <w:rsid w:val="00822396"/>
    <w:rsid w:val="00822454"/>
    <w:rsid w:val="00823AB8"/>
    <w:rsid w:val="00823AEB"/>
    <w:rsid w:val="008244E7"/>
    <w:rsid w:val="00824ABC"/>
    <w:rsid w:val="00825524"/>
    <w:rsid w:val="00825BC5"/>
    <w:rsid w:val="008268EF"/>
    <w:rsid w:val="008268F1"/>
    <w:rsid w:val="0082736D"/>
    <w:rsid w:val="008274E3"/>
    <w:rsid w:val="00827629"/>
    <w:rsid w:val="0082772C"/>
    <w:rsid w:val="008279F8"/>
    <w:rsid w:val="00827BEE"/>
    <w:rsid w:val="00827D8A"/>
    <w:rsid w:val="008306EF"/>
    <w:rsid w:val="00830C58"/>
    <w:rsid w:val="00830CD6"/>
    <w:rsid w:val="00830CE2"/>
    <w:rsid w:val="00831656"/>
    <w:rsid w:val="00832062"/>
    <w:rsid w:val="00832460"/>
    <w:rsid w:val="0083260E"/>
    <w:rsid w:val="00832684"/>
    <w:rsid w:val="00832BD7"/>
    <w:rsid w:val="00832C98"/>
    <w:rsid w:val="00834036"/>
    <w:rsid w:val="008346D7"/>
    <w:rsid w:val="00834A2B"/>
    <w:rsid w:val="00835820"/>
    <w:rsid w:val="00836917"/>
    <w:rsid w:val="00836F4A"/>
    <w:rsid w:val="008375EE"/>
    <w:rsid w:val="00837C27"/>
    <w:rsid w:val="00837C6B"/>
    <w:rsid w:val="00837F68"/>
    <w:rsid w:val="008400DA"/>
    <w:rsid w:val="00840657"/>
    <w:rsid w:val="00840735"/>
    <w:rsid w:val="00840A14"/>
    <w:rsid w:val="00840F39"/>
    <w:rsid w:val="0084168D"/>
    <w:rsid w:val="00841787"/>
    <w:rsid w:val="00841AD7"/>
    <w:rsid w:val="00842000"/>
    <w:rsid w:val="00842AC5"/>
    <w:rsid w:val="00843064"/>
    <w:rsid w:val="00843A6C"/>
    <w:rsid w:val="008440A5"/>
    <w:rsid w:val="00844195"/>
    <w:rsid w:val="008442D8"/>
    <w:rsid w:val="00844357"/>
    <w:rsid w:val="0084466A"/>
    <w:rsid w:val="008447C4"/>
    <w:rsid w:val="00844B24"/>
    <w:rsid w:val="00845263"/>
    <w:rsid w:val="00845275"/>
    <w:rsid w:val="008452F2"/>
    <w:rsid w:val="00845D68"/>
    <w:rsid w:val="008462D6"/>
    <w:rsid w:val="0084647F"/>
    <w:rsid w:val="00846EB5"/>
    <w:rsid w:val="008472BE"/>
    <w:rsid w:val="00847F0A"/>
    <w:rsid w:val="008509A8"/>
    <w:rsid w:val="00850D9F"/>
    <w:rsid w:val="00851777"/>
    <w:rsid w:val="00851C1D"/>
    <w:rsid w:val="00851C6B"/>
    <w:rsid w:val="00852073"/>
    <w:rsid w:val="008525E0"/>
    <w:rsid w:val="00852DB4"/>
    <w:rsid w:val="008531B9"/>
    <w:rsid w:val="008537A4"/>
    <w:rsid w:val="008538D0"/>
    <w:rsid w:val="00853BCD"/>
    <w:rsid w:val="00853FAC"/>
    <w:rsid w:val="00854B24"/>
    <w:rsid w:val="00854C93"/>
    <w:rsid w:val="00854E60"/>
    <w:rsid w:val="00855C36"/>
    <w:rsid w:val="00856C36"/>
    <w:rsid w:val="00856F09"/>
    <w:rsid w:val="00857762"/>
    <w:rsid w:val="00857857"/>
    <w:rsid w:val="0086034E"/>
    <w:rsid w:val="008606F8"/>
    <w:rsid w:val="00860B1D"/>
    <w:rsid w:val="00860F2C"/>
    <w:rsid w:val="00861DC9"/>
    <w:rsid w:val="00861EB8"/>
    <w:rsid w:val="008626CB"/>
    <w:rsid w:val="0086274F"/>
    <w:rsid w:val="0086275D"/>
    <w:rsid w:val="00862B89"/>
    <w:rsid w:val="008632A5"/>
    <w:rsid w:val="008636A2"/>
    <w:rsid w:val="00864F7A"/>
    <w:rsid w:val="00865195"/>
    <w:rsid w:val="008654A2"/>
    <w:rsid w:val="008654D5"/>
    <w:rsid w:val="00865897"/>
    <w:rsid w:val="0086593F"/>
    <w:rsid w:val="008659B9"/>
    <w:rsid w:val="00865C07"/>
    <w:rsid w:val="00865C57"/>
    <w:rsid w:val="00865CDF"/>
    <w:rsid w:val="00866125"/>
    <w:rsid w:val="0086621D"/>
    <w:rsid w:val="00866719"/>
    <w:rsid w:val="008669B6"/>
    <w:rsid w:val="00866D6E"/>
    <w:rsid w:val="00866E43"/>
    <w:rsid w:val="00867019"/>
    <w:rsid w:val="008671D9"/>
    <w:rsid w:val="00867820"/>
    <w:rsid w:val="00867B41"/>
    <w:rsid w:val="008701AB"/>
    <w:rsid w:val="0087024B"/>
    <w:rsid w:val="00870357"/>
    <w:rsid w:val="00871C23"/>
    <w:rsid w:val="008723FD"/>
    <w:rsid w:val="00872537"/>
    <w:rsid w:val="008725E5"/>
    <w:rsid w:val="008726E9"/>
    <w:rsid w:val="008742EE"/>
    <w:rsid w:val="008743DB"/>
    <w:rsid w:val="00874C8B"/>
    <w:rsid w:val="00874F56"/>
    <w:rsid w:val="00875A21"/>
    <w:rsid w:val="00875B9F"/>
    <w:rsid w:val="0087664F"/>
    <w:rsid w:val="00876A7A"/>
    <w:rsid w:val="00876EBB"/>
    <w:rsid w:val="008777AC"/>
    <w:rsid w:val="008777D0"/>
    <w:rsid w:val="008805F0"/>
    <w:rsid w:val="00881B61"/>
    <w:rsid w:val="0088224B"/>
    <w:rsid w:val="00882996"/>
    <w:rsid w:val="008837DC"/>
    <w:rsid w:val="0088380C"/>
    <w:rsid w:val="00883BD7"/>
    <w:rsid w:val="00884487"/>
    <w:rsid w:val="008845DF"/>
    <w:rsid w:val="00885167"/>
    <w:rsid w:val="00886B7E"/>
    <w:rsid w:val="00886CD8"/>
    <w:rsid w:val="00891056"/>
    <w:rsid w:val="0089222B"/>
    <w:rsid w:val="008924E9"/>
    <w:rsid w:val="00892D81"/>
    <w:rsid w:val="00893B99"/>
    <w:rsid w:val="00893E8D"/>
    <w:rsid w:val="00894584"/>
    <w:rsid w:val="008945E0"/>
    <w:rsid w:val="0089467F"/>
    <w:rsid w:val="00895403"/>
    <w:rsid w:val="0089564F"/>
    <w:rsid w:val="00895BDF"/>
    <w:rsid w:val="00896B01"/>
    <w:rsid w:val="00897449"/>
    <w:rsid w:val="0089745B"/>
    <w:rsid w:val="008A039A"/>
    <w:rsid w:val="008A0570"/>
    <w:rsid w:val="008A0BAB"/>
    <w:rsid w:val="008A0C2C"/>
    <w:rsid w:val="008A0DBB"/>
    <w:rsid w:val="008A10B6"/>
    <w:rsid w:val="008A309A"/>
    <w:rsid w:val="008A3193"/>
    <w:rsid w:val="008A3668"/>
    <w:rsid w:val="008A37AC"/>
    <w:rsid w:val="008A38C8"/>
    <w:rsid w:val="008A3AAC"/>
    <w:rsid w:val="008A4CA0"/>
    <w:rsid w:val="008A5631"/>
    <w:rsid w:val="008A5D1A"/>
    <w:rsid w:val="008A5DAA"/>
    <w:rsid w:val="008A68CB"/>
    <w:rsid w:val="008A69D9"/>
    <w:rsid w:val="008A6E56"/>
    <w:rsid w:val="008A7C63"/>
    <w:rsid w:val="008A7F31"/>
    <w:rsid w:val="008B03A3"/>
    <w:rsid w:val="008B06E9"/>
    <w:rsid w:val="008B0809"/>
    <w:rsid w:val="008B0985"/>
    <w:rsid w:val="008B2784"/>
    <w:rsid w:val="008B2AC9"/>
    <w:rsid w:val="008B2F77"/>
    <w:rsid w:val="008B32F6"/>
    <w:rsid w:val="008B4507"/>
    <w:rsid w:val="008B5618"/>
    <w:rsid w:val="008B58EB"/>
    <w:rsid w:val="008B5CB9"/>
    <w:rsid w:val="008B66FC"/>
    <w:rsid w:val="008B6B97"/>
    <w:rsid w:val="008B770F"/>
    <w:rsid w:val="008B7B61"/>
    <w:rsid w:val="008B7F03"/>
    <w:rsid w:val="008C0B94"/>
    <w:rsid w:val="008C16BB"/>
    <w:rsid w:val="008C1B55"/>
    <w:rsid w:val="008C210B"/>
    <w:rsid w:val="008C2255"/>
    <w:rsid w:val="008C22E1"/>
    <w:rsid w:val="008C24CF"/>
    <w:rsid w:val="008C2501"/>
    <w:rsid w:val="008C26E1"/>
    <w:rsid w:val="008C2803"/>
    <w:rsid w:val="008C331F"/>
    <w:rsid w:val="008C33B1"/>
    <w:rsid w:val="008C3877"/>
    <w:rsid w:val="008C38FA"/>
    <w:rsid w:val="008C3C3E"/>
    <w:rsid w:val="008C414E"/>
    <w:rsid w:val="008C417B"/>
    <w:rsid w:val="008C4760"/>
    <w:rsid w:val="008C4EE9"/>
    <w:rsid w:val="008C5279"/>
    <w:rsid w:val="008C52C5"/>
    <w:rsid w:val="008C5355"/>
    <w:rsid w:val="008C58DC"/>
    <w:rsid w:val="008C6693"/>
    <w:rsid w:val="008C6A70"/>
    <w:rsid w:val="008C70C1"/>
    <w:rsid w:val="008C7177"/>
    <w:rsid w:val="008C759E"/>
    <w:rsid w:val="008C7B53"/>
    <w:rsid w:val="008C7FE8"/>
    <w:rsid w:val="008D0C22"/>
    <w:rsid w:val="008D0DDD"/>
    <w:rsid w:val="008D10AF"/>
    <w:rsid w:val="008D144B"/>
    <w:rsid w:val="008D1C9D"/>
    <w:rsid w:val="008D1E94"/>
    <w:rsid w:val="008D2609"/>
    <w:rsid w:val="008D2680"/>
    <w:rsid w:val="008D28C6"/>
    <w:rsid w:val="008D2AB7"/>
    <w:rsid w:val="008D2E80"/>
    <w:rsid w:val="008D3235"/>
    <w:rsid w:val="008D3700"/>
    <w:rsid w:val="008D376D"/>
    <w:rsid w:val="008D38C4"/>
    <w:rsid w:val="008D46A0"/>
    <w:rsid w:val="008D5705"/>
    <w:rsid w:val="008D5D90"/>
    <w:rsid w:val="008D5EF8"/>
    <w:rsid w:val="008D61E1"/>
    <w:rsid w:val="008D6CBD"/>
    <w:rsid w:val="008D70FF"/>
    <w:rsid w:val="008D7244"/>
    <w:rsid w:val="008D7490"/>
    <w:rsid w:val="008D7CD9"/>
    <w:rsid w:val="008E008F"/>
    <w:rsid w:val="008E0252"/>
    <w:rsid w:val="008E25F4"/>
    <w:rsid w:val="008E284F"/>
    <w:rsid w:val="008E35CD"/>
    <w:rsid w:val="008E36BC"/>
    <w:rsid w:val="008E3924"/>
    <w:rsid w:val="008E3926"/>
    <w:rsid w:val="008E3B2F"/>
    <w:rsid w:val="008E49B2"/>
    <w:rsid w:val="008E501C"/>
    <w:rsid w:val="008E577A"/>
    <w:rsid w:val="008E5A4F"/>
    <w:rsid w:val="008E5B54"/>
    <w:rsid w:val="008E5B9B"/>
    <w:rsid w:val="008E6E7D"/>
    <w:rsid w:val="008E6FB5"/>
    <w:rsid w:val="008E7078"/>
    <w:rsid w:val="008E71F4"/>
    <w:rsid w:val="008E7283"/>
    <w:rsid w:val="008E758B"/>
    <w:rsid w:val="008E768D"/>
    <w:rsid w:val="008E7CF4"/>
    <w:rsid w:val="008F09F1"/>
    <w:rsid w:val="008F122A"/>
    <w:rsid w:val="008F17C4"/>
    <w:rsid w:val="008F200B"/>
    <w:rsid w:val="008F23B4"/>
    <w:rsid w:val="008F24B0"/>
    <w:rsid w:val="008F2834"/>
    <w:rsid w:val="008F2E4A"/>
    <w:rsid w:val="008F3032"/>
    <w:rsid w:val="008F361B"/>
    <w:rsid w:val="008F38D0"/>
    <w:rsid w:val="008F3F92"/>
    <w:rsid w:val="008F424E"/>
    <w:rsid w:val="008F4386"/>
    <w:rsid w:val="008F4793"/>
    <w:rsid w:val="008F47B0"/>
    <w:rsid w:val="008F4935"/>
    <w:rsid w:val="008F4BAF"/>
    <w:rsid w:val="008F592B"/>
    <w:rsid w:val="008F5B0A"/>
    <w:rsid w:val="008F5C6E"/>
    <w:rsid w:val="008F696B"/>
    <w:rsid w:val="008F7B65"/>
    <w:rsid w:val="008F7F9F"/>
    <w:rsid w:val="0090042D"/>
    <w:rsid w:val="00900E04"/>
    <w:rsid w:val="009011B8"/>
    <w:rsid w:val="0090261A"/>
    <w:rsid w:val="00902A6F"/>
    <w:rsid w:val="00902F6C"/>
    <w:rsid w:val="00903023"/>
    <w:rsid w:val="0090317D"/>
    <w:rsid w:val="009031A6"/>
    <w:rsid w:val="00903FDC"/>
    <w:rsid w:val="00904577"/>
    <w:rsid w:val="009047D4"/>
    <w:rsid w:val="00904F20"/>
    <w:rsid w:val="009051FB"/>
    <w:rsid w:val="00905220"/>
    <w:rsid w:val="009053B3"/>
    <w:rsid w:val="00905D08"/>
    <w:rsid w:val="009074B3"/>
    <w:rsid w:val="00910224"/>
    <w:rsid w:val="009102E8"/>
    <w:rsid w:val="00910E5A"/>
    <w:rsid w:val="00911A35"/>
    <w:rsid w:val="00911B20"/>
    <w:rsid w:val="00911BEA"/>
    <w:rsid w:val="00912A62"/>
    <w:rsid w:val="00912AA5"/>
    <w:rsid w:val="009131F5"/>
    <w:rsid w:val="00913A4C"/>
    <w:rsid w:val="0091423B"/>
    <w:rsid w:val="00914937"/>
    <w:rsid w:val="009151CD"/>
    <w:rsid w:val="00915654"/>
    <w:rsid w:val="00916B8E"/>
    <w:rsid w:val="009175BE"/>
    <w:rsid w:val="0092005C"/>
    <w:rsid w:val="0092072B"/>
    <w:rsid w:val="00920846"/>
    <w:rsid w:val="00921B82"/>
    <w:rsid w:val="00922613"/>
    <w:rsid w:val="009228EF"/>
    <w:rsid w:val="00922BBD"/>
    <w:rsid w:val="0092441C"/>
    <w:rsid w:val="009251C8"/>
    <w:rsid w:val="00925442"/>
    <w:rsid w:val="009255D2"/>
    <w:rsid w:val="00925644"/>
    <w:rsid w:val="00925BC6"/>
    <w:rsid w:val="00925BDA"/>
    <w:rsid w:val="00927D9F"/>
    <w:rsid w:val="00930468"/>
    <w:rsid w:val="00930917"/>
    <w:rsid w:val="00930C81"/>
    <w:rsid w:val="009314F6"/>
    <w:rsid w:val="0093158B"/>
    <w:rsid w:val="009317B9"/>
    <w:rsid w:val="00931813"/>
    <w:rsid w:val="009335B1"/>
    <w:rsid w:val="009336DD"/>
    <w:rsid w:val="009336E1"/>
    <w:rsid w:val="00933723"/>
    <w:rsid w:val="00933A01"/>
    <w:rsid w:val="0093438C"/>
    <w:rsid w:val="009346A1"/>
    <w:rsid w:val="009346C9"/>
    <w:rsid w:val="009348E1"/>
    <w:rsid w:val="0093495B"/>
    <w:rsid w:val="00934C5D"/>
    <w:rsid w:val="00934C75"/>
    <w:rsid w:val="00934FC1"/>
    <w:rsid w:val="00935963"/>
    <w:rsid w:val="00935AF6"/>
    <w:rsid w:val="009362D2"/>
    <w:rsid w:val="00936667"/>
    <w:rsid w:val="0093681F"/>
    <w:rsid w:val="00936860"/>
    <w:rsid w:val="00936914"/>
    <w:rsid w:val="00936A5D"/>
    <w:rsid w:val="00937665"/>
    <w:rsid w:val="00940022"/>
    <w:rsid w:val="00940B96"/>
    <w:rsid w:val="00941871"/>
    <w:rsid w:val="00941EE9"/>
    <w:rsid w:val="009426C9"/>
    <w:rsid w:val="00942E7D"/>
    <w:rsid w:val="009439C3"/>
    <w:rsid w:val="00943CF7"/>
    <w:rsid w:val="0094426F"/>
    <w:rsid w:val="009444D7"/>
    <w:rsid w:val="00944DD7"/>
    <w:rsid w:val="00944F78"/>
    <w:rsid w:val="00945434"/>
    <w:rsid w:val="0094552D"/>
    <w:rsid w:val="00946A5A"/>
    <w:rsid w:val="00946E5D"/>
    <w:rsid w:val="00946EE6"/>
    <w:rsid w:val="00946F7A"/>
    <w:rsid w:val="0094741D"/>
    <w:rsid w:val="00947775"/>
    <w:rsid w:val="00947DC3"/>
    <w:rsid w:val="00947E56"/>
    <w:rsid w:val="00950736"/>
    <w:rsid w:val="00950810"/>
    <w:rsid w:val="00950E7F"/>
    <w:rsid w:val="0095225C"/>
    <w:rsid w:val="009525A8"/>
    <w:rsid w:val="00952859"/>
    <w:rsid w:val="0095299A"/>
    <w:rsid w:val="00953492"/>
    <w:rsid w:val="00953C39"/>
    <w:rsid w:val="009540C1"/>
    <w:rsid w:val="00954528"/>
    <w:rsid w:val="00954F95"/>
    <w:rsid w:val="00955BB7"/>
    <w:rsid w:val="00955BDB"/>
    <w:rsid w:val="00956ECD"/>
    <w:rsid w:val="009570F0"/>
    <w:rsid w:val="00957478"/>
    <w:rsid w:val="00957919"/>
    <w:rsid w:val="00957D2D"/>
    <w:rsid w:val="00957D57"/>
    <w:rsid w:val="009604A3"/>
    <w:rsid w:val="00960AB7"/>
    <w:rsid w:val="00960E1A"/>
    <w:rsid w:val="009610BA"/>
    <w:rsid w:val="0096125C"/>
    <w:rsid w:val="0096165B"/>
    <w:rsid w:val="00961917"/>
    <w:rsid w:val="00962585"/>
    <w:rsid w:val="00962E32"/>
    <w:rsid w:val="009640B4"/>
    <w:rsid w:val="00964B88"/>
    <w:rsid w:val="009653E2"/>
    <w:rsid w:val="00965EDE"/>
    <w:rsid w:val="009661FC"/>
    <w:rsid w:val="009665B0"/>
    <w:rsid w:val="009665D4"/>
    <w:rsid w:val="009669CE"/>
    <w:rsid w:val="009671F6"/>
    <w:rsid w:val="00967EBA"/>
    <w:rsid w:val="00970210"/>
    <w:rsid w:val="00971656"/>
    <w:rsid w:val="00971AE3"/>
    <w:rsid w:val="00971C75"/>
    <w:rsid w:val="00971E21"/>
    <w:rsid w:val="00972072"/>
    <w:rsid w:val="009721EB"/>
    <w:rsid w:val="00972A8B"/>
    <w:rsid w:val="009732E0"/>
    <w:rsid w:val="00973E77"/>
    <w:rsid w:val="00974C49"/>
    <w:rsid w:val="00974DE9"/>
    <w:rsid w:val="00975A92"/>
    <w:rsid w:val="00975B45"/>
    <w:rsid w:val="009762AB"/>
    <w:rsid w:val="00976B06"/>
    <w:rsid w:val="00976C09"/>
    <w:rsid w:val="009770AC"/>
    <w:rsid w:val="0097722F"/>
    <w:rsid w:val="009778BB"/>
    <w:rsid w:val="00977BBD"/>
    <w:rsid w:val="00980091"/>
    <w:rsid w:val="009800C3"/>
    <w:rsid w:val="00980642"/>
    <w:rsid w:val="00980E81"/>
    <w:rsid w:val="00981BD4"/>
    <w:rsid w:val="00981C48"/>
    <w:rsid w:val="009821A4"/>
    <w:rsid w:val="009822D5"/>
    <w:rsid w:val="00982D19"/>
    <w:rsid w:val="00982D7F"/>
    <w:rsid w:val="00982E53"/>
    <w:rsid w:val="00983028"/>
    <w:rsid w:val="00983084"/>
    <w:rsid w:val="0098365C"/>
    <w:rsid w:val="0098388D"/>
    <w:rsid w:val="00983E42"/>
    <w:rsid w:val="00984365"/>
    <w:rsid w:val="00984394"/>
    <w:rsid w:val="00984695"/>
    <w:rsid w:val="00984D2B"/>
    <w:rsid w:val="009851F8"/>
    <w:rsid w:val="009852C7"/>
    <w:rsid w:val="009857F2"/>
    <w:rsid w:val="00985981"/>
    <w:rsid w:val="0098605F"/>
    <w:rsid w:val="0098700B"/>
    <w:rsid w:val="00987178"/>
    <w:rsid w:val="00987217"/>
    <w:rsid w:val="009879FD"/>
    <w:rsid w:val="00987C8C"/>
    <w:rsid w:val="00987F01"/>
    <w:rsid w:val="0098D8CD"/>
    <w:rsid w:val="0099055A"/>
    <w:rsid w:val="00990FAA"/>
    <w:rsid w:val="0099107A"/>
    <w:rsid w:val="00991195"/>
    <w:rsid w:val="0099165B"/>
    <w:rsid w:val="00991853"/>
    <w:rsid w:val="00991989"/>
    <w:rsid w:val="00991F62"/>
    <w:rsid w:val="009930D8"/>
    <w:rsid w:val="00993276"/>
    <w:rsid w:val="0099343C"/>
    <w:rsid w:val="00993CE6"/>
    <w:rsid w:val="00993E2A"/>
    <w:rsid w:val="00993E77"/>
    <w:rsid w:val="009946A0"/>
    <w:rsid w:val="0099482D"/>
    <w:rsid w:val="009948BB"/>
    <w:rsid w:val="009949F0"/>
    <w:rsid w:val="00994B74"/>
    <w:rsid w:val="00994C63"/>
    <w:rsid w:val="00994D35"/>
    <w:rsid w:val="0099563F"/>
    <w:rsid w:val="00995764"/>
    <w:rsid w:val="00995BDA"/>
    <w:rsid w:val="00995E8B"/>
    <w:rsid w:val="00996023"/>
    <w:rsid w:val="009962AB"/>
    <w:rsid w:val="009962BB"/>
    <w:rsid w:val="00997D9E"/>
    <w:rsid w:val="00997EB3"/>
    <w:rsid w:val="009A0053"/>
    <w:rsid w:val="009A0154"/>
    <w:rsid w:val="009A101D"/>
    <w:rsid w:val="009A1175"/>
    <w:rsid w:val="009A11F9"/>
    <w:rsid w:val="009A122E"/>
    <w:rsid w:val="009A16DD"/>
    <w:rsid w:val="009A191A"/>
    <w:rsid w:val="009A1A22"/>
    <w:rsid w:val="009A255C"/>
    <w:rsid w:val="009A25B3"/>
    <w:rsid w:val="009A27BE"/>
    <w:rsid w:val="009A2D76"/>
    <w:rsid w:val="009A3428"/>
    <w:rsid w:val="009A49EE"/>
    <w:rsid w:val="009A4B8A"/>
    <w:rsid w:val="009A4FAB"/>
    <w:rsid w:val="009A507B"/>
    <w:rsid w:val="009A5A79"/>
    <w:rsid w:val="009A5A9A"/>
    <w:rsid w:val="009A620C"/>
    <w:rsid w:val="009A658E"/>
    <w:rsid w:val="009A671B"/>
    <w:rsid w:val="009A6732"/>
    <w:rsid w:val="009A6D7E"/>
    <w:rsid w:val="009A7663"/>
    <w:rsid w:val="009AA79F"/>
    <w:rsid w:val="009B0A45"/>
    <w:rsid w:val="009B0C66"/>
    <w:rsid w:val="009B0E80"/>
    <w:rsid w:val="009B1422"/>
    <w:rsid w:val="009B19D9"/>
    <w:rsid w:val="009B1A2F"/>
    <w:rsid w:val="009B254A"/>
    <w:rsid w:val="009B25AF"/>
    <w:rsid w:val="009B2A4B"/>
    <w:rsid w:val="009B2CEB"/>
    <w:rsid w:val="009B2F0F"/>
    <w:rsid w:val="009B3183"/>
    <w:rsid w:val="009B499A"/>
    <w:rsid w:val="009B4E8B"/>
    <w:rsid w:val="009B56B1"/>
    <w:rsid w:val="009B5819"/>
    <w:rsid w:val="009B589B"/>
    <w:rsid w:val="009B5D5A"/>
    <w:rsid w:val="009B654B"/>
    <w:rsid w:val="009B679D"/>
    <w:rsid w:val="009B6958"/>
    <w:rsid w:val="009B69B0"/>
    <w:rsid w:val="009B6BAA"/>
    <w:rsid w:val="009B6C00"/>
    <w:rsid w:val="009C1E18"/>
    <w:rsid w:val="009C2651"/>
    <w:rsid w:val="009C28A5"/>
    <w:rsid w:val="009C39B3"/>
    <w:rsid w:val="009C3B34"/>
    <w:rsid w:val="009C3D2B"/>
    <w:rsid w:val="009C426A"/>
    <w:rsid w:val="009C44BE"/>
    <w:rsid w:val="009C4608"/>
    <w:rsid w:val="009C48BD"/>
    <w:rsid w:val="009C5309"/>
    <w:rsid w:val="009C5C71"/>
    <w:rsid w:val="009C64F0"/>
    <w:rsid w:val="009C65F7"/>
    <w:rsid w:val="009C66AD"/>
    <w:rsid w:val="009C6A2A"/>
    <w:rsid w:val="009C6AE6"/>
    <w:rsid w:val="009C70E9"/>
    <w:rsid w:val="009C753E"/>
    <w:rsid w:val="009C7A58"/>
    <w:rsid w:val="009C7EA9"/>
    <w:rsid w:val="009D0997"/>
    <w:rsid w:val="009D0D6C"/>
    <w:rsid w:val="009D1180"/>
    <w:rsid w:val="009D19EE"/>
    <w:rsid w:val="009D23EB"/>
    <w:rsid w:val="009D25F8"/>
    <w:rsid w:val="009D2B09"/>
    <w:rsid w:val="009D3324"/>
    <w:rsid w:val="009D3BFF"/>
    <w:rsid w:val="009D40A9"/>
    <w:rsid w:val="009D4367"/>
    <w:rsid w:val="009D4ABC"/>
    <w:rsid w:val="009D4D14"/>
    <w:rsid w:val="009D54CF"/>
    <w:rsid w:val="009D57E2"/>
    <w:rsid w:val="009D7333"/>
    <w:rsid w:val="009D746D"/>
    <w:rsid w:val="009D7555"/>
    <w:rsid w:val="009D7B97"/>
    <w:rsid w:val="009E0480"/>
    <w:rsid w:val="009E0A84"/>
    <w:rsid w:val="009E12AD"/>
    <w:rsid w:val="009E1B2A"/>
    <w:rsid w:val="009E1B7D"/>
    <w:rsid w:val="009E1DB3"/>
    <w:rsid w:val="009E1E7A"/>
    <w:rsid w:val="009E2707"/>
    <w:rsid w:val="009E2A9E"/>
    <w:rsid w:val="009E2EA2"/>
    <w:rsid w:val="009E2F91"/>
    <w:rsid w:val="009E36F2"/>
    <w:rsid w:val="009E3E9B"/>
    <w:rsid w:val="009E4116"/>
    <w:rsid w:val="009E4D26"/>
    <w:rsid w:val="009E4DAD"/>
    <w:rsid w:val="009E518A"/>
    <w:rsid w:val="009E657B"/>
    <w:rsid w:val="009E661D"/>
    <w:rsid w:val="009E6AEE"/>
    <w:rsid w:val="009E6BFA"/>
    <w:rsid w:val="009E6C1E"/>
    <w:rsid w:val="009E6F21"/>
    <w:rsid w:val="009F1A84"/>
    <w:rsid w:val="009F1AB9"/>
    <w:rsid w:val="009F1E06"/>
    <w:rsid w:val="009F1F28"/>
    <w:rsid w:val="009F3440"/>
    <w:rsid w:val="009F3BF7"/>
    <w:rsid w:val="009F3D6E"/>
    <w:rsid w:val="009F44A1"/>
    <w:rsid w:val="009F4C62"/>
    <w:rsid w:val="009F5675"/>
    <w:rsid w:val="009F578E"/>
    <w:rsid w:val="009F57CE"/>
    <w:rsid w:val="009F58DB"/>
    <w:rsid w:val="009F662E"/>
    <w:rsid w:val="009F727F"/>
    <w:rsid w:val="00A00FC0"/>
    <w:rsid w:val="00A01423"/>
    <w:rsid w:val="00A01749"/>
    <w:rsid w:val="00A01770"/>
    <w:rsid w:val="00A0189C"/>
    <w:rsid w:val="00A01FB8"/>
    <w:rsid w:val="00A02847"/>
    <w:rsid w:val="00A029B1"/>
    <w:rsid w:val="00A02B7C"/>
    <w:rsid w:val="00A02BB2"/>
    <w:rsid w:val="00A02EFD"/>
    <w:rsid w:val="00A0328F"/>
    <w:rsid w:val="00A03892"/>
    <w:rsid w:val="00A03D1F"/>
    <w:rsid w:val="00A04035"/>
    <w:rsid w:val="00A04C71"/>
    <w:rsid w:val="00A05438"/>
    <w:rsid w:val="00A067AF"/>
    <w:rsid w:val="00A0738B"/>
    <w:rsid w:val="00A07CC0"/>
    <w:rsid w:val="00A10AB2"/>
    <w:rsid w:val="00A10E47"/>
    <w:rsid w:val="00A11170"/>
    <w:rsid w:val="00A1140A"/>
    <w:rsid w:val="00A11D02"/>
    <w:rsid w:val="00A12488"/>
    <w:rsid w:val="00A12604"/>
    <w:rsid w:val="00A12773"/>
    <w:rsid w:val="00A12B65"/>
    <w:rsid w:val="00A133FD"/>
    <w:rsid w:val="00A13A13"/>
    <w:rsid w:val="00A13E97"/>
    <w:rsid w:val="00A140F6"/>
    <w:rsid w:val="00A142AF"/>
    <w:rsid w:val="00A1443D"/>
    <w:rsid w:val="00A14DD0"/>
    <w:rsid w:val="00A15938"/>
    <w:rsid w:val="00A15DBC"/>
    <w:rsid w:val="00A1625A"/>
    <w:rsid w:val="00A166BE"/>
    <w:rsid w:val="00A16F84"/>
    <w:rsid w:val="00A176A8"/>
    <w:rsid w:val="00A1791C"/>
    <w:rsid w:val="00A2081A"/>
    <w:rsid w:val="00A209ED"/>
    <w:rsid w:val="00A20C3F"/>
    <w:rsid w:val="00A20CF2"/>
    <w:rsid w:val="00A20DB6"/>
    <w:rsid w:val="00A20F74"/>
    <w:rsid w:val="00A2140A"/>
    <w:rsid w:val="00A2168E"/>
    <w:rsid w:val="00A21D70"/>
    <w:rsid w:val="00A21D8F"/>
    <w:rsid w:val="00A22213"/>
    <w:rsid w:val="00A2221E"/>
    <w:rsid w:val="00A2231C"/>
    <w:rsid w:val="00A22A10"/>
    <w:rsid w:val="00A22F02"/>
    <w:rsid w:val="00A2346A"/>
    <w:rsid w:val="00A23A9D"/>
    <w:rsid w:val="00A245FE"/>
    <w:rsid w:val="00A2483F"/>
    <w:rsid w:val="00A24864"/>
    <w:rsid w:val="00A249F9"/>
    <w:rsid w:val="00A24D8C"/>
    <w:rsid w:val="00A257C5"/>
    <w:rsid w:val="00A25E11"/>
    <w:rsid w:val="00A306CE"/>
    <w:rsid w:val="00A30981"/>
    <w:rsid w:val="00A316C1"/>
    <w:rsid w:val="00A318BD"/>
    <w:rsid w:val="00A31B07"/>
    <w:rsid w:val="00A31D99"/>
    <w:rsid w:val="00A31EA1"/>
    <w:rsid w:val="00A31F74"/>
    <w:rsid w:val="00A32205"/>
    <w:rsid w:val="00A32C02"/>
    <w:rsid w:val="00A32C04"/>
    <w:rsid w:val="00A3432E"/>
    <w:rsid w:val="00A351CE"/>
    <w:rsid w:val="00A3524D"/>
    <w:rsid w:val="00A35696"/>
    <w:rsid w:val="00A35EEB"/>
    <w:rsid w:val="00A3633A"/>
    <w:rsid w:val="00A36450"/>
    <w:rsid w:val="00A36451"/>
    <w:rsid w:val="00A37245"/>
    <w:rsid w:val="00A40386"/>
    <w:rsid w:val="00A4067C"/>
    <w:rsid w:val="00A408E8"/>
    <w:rsid w:val="00A4099C"/>
    <w:rsid w:val="00A4194F"/>
    <w:rsid w:val="00A41AC5"/>
    <w:rsid w:val="00A420F7"/>
    <w:rsid w:val="00A4211D"/>
    <w:rsid w:val="00A42568"/>
    <w:rsid w:val="00A426A0"/>
    <w:rsid w:val="00A4296F"/>
    <w:rsid w:val="00A42B8E"/>
    <w:rsid w:val="00A431F1"/>
    <w:rsid w:val="00A437B1"/>
    <w:rsid w:val="00A44665"/>
    <w:rsid w:val="00A44E35"/>
    <w:rsid w:val="00A45671"/>
    <w:rsid w:val="00A45AD6"/>
    <w:rsid w:val="00A47B33"/>
    <w:rsid w:val="00A47F5D"/>
    <w:rsid w:val="00A5038A"/>
    <w:rsid w:val="00A50668"/>
    <w:rsid w:val="00A5090D"/>
    <w:rsid w:val="00A52662"/>
    <w:rsid w:val="00A53140"/>
    <w:rsid w:val="00A53DFE"/>
    <w:rsid w:val="00A54375"/>
    <w:rsid w:val="00A54F5E"/>
    <w:rsid w:val="00A553B1"/>
    <w:rsid w:val="00A56749"/>
    <w:rsid w:val="00A568EE"/>
    <w:rsid w:val="00A569C4"/>
    <w:rsid w:val="00A56BA9"/>
    <w:rsid w:val="00A56C73"/>
    <w:rsid w:val="00A56EA3"/>
    <w:rsid w:val="00A5700C"/>
    <w:rsid w:val="00A578C1"/>
    <w:rsid w:val="00A60377"/>
    <w:rsid w:val="00A608AE"/>
    <w:rsid w:val="00A614C4"/>
    <w:rsid w:val="00A61730"/>
    <w:rsid w:val="00A61A31"/>
    <w:rsid w:val="00A61D49"/>
    <w:rsid w:val="00A61FDC"/>
    <w:rsid w:val="00A62E09"/>
    <w:rsid w:val="00A62E1C"/>
    <w:rsid w:val="00A640C4"/>
    <w:rsid w:val="00A64BE2"/>
    <w:rsid w:val="00A65653"/>
    <w:rsid w:val="00A656EE"/>
    <w:rsid w:val="00A65818"/>
    <w:rsid w:val="00A6587B"/>
    <w:rsid w:val="00A65A13"/>
    <w:rsid w:val="00A663DA"/>
    <w:rsid w:val="00A664C7"/>
    <w:rsid w:val="00A6669A"/>
    <w:rsid w:val="00A66C55"/>
    <w:rsid w:val="00A66D2F"/>
    <w:rsid w:val="00A67810"/>
    <w:rsid w:val="00A709DA"/>
    <w:rsid w:val="00A71235"/>
    <w:rsid w:val="00A71413"/>
    <w:rsid w:val="00A7192C"/>
    <w:rsid w:val="00A71CAD"/>
    <w:rsid w:val="00A71F52"/>
    <w:rsid w:val="00A724AC"/>
    <w:rsid w:val="00A7257F"/>
    <w:rsid w:val="00A73B80"/>
    <w:rsid w:val="00A73E5A"/>
    <w:rsid w:val="00A747E0"/>
    <w:rsid w:val="00A757BC"/>
    <w:rsid w:val="00A75DFE"/>
    <w:rsid w:val="00A7611D"/>
    <w:rsid w:val="00A7612B"/>
    <w:rsid w:val="00A7615A"/>
    <w:rsid w:val="00A7629B"/>
    <w:rsid w:val="00A76356"/>
    <w:rsid w:val="00A7742E"/>
    <w:rsid w:val="00A774EE"/>
    <w:rsid w:val="00A77B50"/>
    <w:rsid w:val="00A82BF4"/>
    <w:rsid w:val="00A83795"/>
    <w:rsid w:val="00A8407F"/>
    <w:rsid w:val="00A84424"/>
    <w:rsid w:val="00A8541C"/>
    <w:rsid w:val="00A854E5"/>
    <w:rsid w:val="00A85E92"/>
    <w:rsid w:val="00A86357"/>
    <w:rsid w:val="00A8688B"/>
    <w:rsid w:val="00A86D79"/>
    <w:rsid w:val="00A87203"/>
    <w:rsid w:val="00A87EFE"/>
    <w:rsid w:val="00A90AC8"/>
    <w:rsid w:val="00A90DC1"/>
    <w:rsid w:val="00A90F54"/>
    <w:rsid w:val="00A911BF"/>
    <w:rsid w:val="00A93446"/>
    <w:rsid w:val="00A93BB3"/>
    <w:rsid w:val="00A946FF"/>
    <w:rsid w:val="00A94C0D"/>
    <w:rsid w:val="00A94E90"/>
    <w:rsid w:val="00A94FDF"/>
    <w:rsid w:val="00A95310"/>
    <w:rsid w:val="00A9549C"/>
    <w:rsid w:val="00A95745"/>
    <w:rsid w:val="00A95B95"/>
    <w:rsid w:val="00A95E4B"/>
    <w:rsid w:val="00A96A9A"/>
    <w:rsid w:val="00A96C40"/>
    <w:rsid w:val="00A96D1C"/>
    <w:rsid w:val="00A96EA3"/>
    <w:rsid w:val="00A97716"/>
    <w:rsid w:val="00AA181A"/>
    <w:rsid w:val="00AA1B4E"/>
    <w:rsid w:val="00AA1B9B"/>
    <w:rsid w:val="00AA1FB2"/>
    <w:rsid w:val="00AA23FD"/>
    <w:rsid w:val="00AA2616"/>
    <w:rsid w:val="00AA4307"/>
    <w:rsid w:val="00AA4622"/>
    <w:rsid w:val="00AA4BCF"/>
    <w:rsid w:val="00AA4D7B"/>
    <w:rsid w:val="00AA55A2"/>
    <w:rsid w:val="00AA57B7"/>
    <w:rsid w:val="00AA5AFD"/>
    <w:rsid w:val="00AA5C41"/>
    <w:rsid w:val="00AA5DC3"/>
    <w:rsid w:val="00AA6361"/>
    <w:rsid w:val="00AA644E"/>
    <w:rsid w:val="00AA76D2"/>
    <w:rsid w:val="00AB0007"/>
    <w:rsid w:val="00AB0D1C"/>
    <w:rsid w:val="00AB1205"/>
    <w:rsid w:val="00AB2027"/>
    <w:rsid w:val="00AB297A"/>
    <w:rsid w:val="00AB3053"/>
    <w:rsid w:val="00AB390E"/>
    <w:rsid w:val="00AB3BB2"/>
    <w:rsid w:val="00AB3BEB"/>
    <w:rsid w:val="00AB3CF6"/>
    <w:rsid w:val="00AB4044"/>
    <w:rsid w:val="00AB4872"/>
    <w:rsid w:val="00AB49A2"/>
    <w:rsid w:val="00AB4EA9"/>
    <w:rsid w:val="00AB51F5"/>
    <w:rsid w:val="00AB5AAE"/>
    <w:rsid w:val="00AB6877"/>
    <w:rsid w:val="00AB6EA1"/>
    <w:rsid w:val="00AC03D8"/>
    <w:rsid w:val="00AC0FC9"/>
    <w:rsid w:val="00AC1AE2"/>
    <w:rsid w:val="00AC1D2A"/>
    <w:rsid w:val="00AC2117"/>
    <w:rsid w:val="00AC2A8F"/>
    <w:rsid w:val="00AC2E04"/>
    <w:rsid w:val="00AC2F18"/>
    <w:rsid w:val="00AC3B6C"/>
    <w:rsid w:val="00AC412F"/>
    <w:rsid w:val="00AC4155"/>
    <w:rsid w:val="00AC4843"/>
    <w:rsid w:val="00AC4B4D"/>
    <w:rsid w:val="00AC5694"/>
    <w:rsid w:val="00AC6B02"/>
    <w:rsid w:val="00AC7143"/>
    <w:rsid w:val="00AC719A"/>
    <w:rsid w:val="00AC7AB7"/>
    <w:rsid w:val="00AC7F99"/>
    <w:rsid w:val="00AD00B3"/>
    <w:rsid w:val="00AD03E4"/>
    <w:rsid w:val="00AD0D39"/>
    <w:rsid w:val="00AD0F86"/>
    <w:rsid w:val="00AD1DD2"/>
    <w:rsid w:val="00AD22A5"/>
    <w:rsid w:val="00AD2D33"/>
    <w:rsid w:val="00AD4B30"/>
    <w:rsid w:val="00AD4DB3"/>
    <w:rsid w:val="00AD4FF5"/>
    <w:rsid w:val="00AD53EE"/>
    <w:rsid w:val="00AD542C"/>
    <w:rsid w:val="00AD5573"/>
    <w:rsid w:val="00AD5782"/>
    <w:rsid w:val="00AD5E6D"/>
    <w:rsid w:val="00AD6214"/>
    <w:rsid w:val="00AE0101"/>
    <w:rsid w:val="00AE03A8"/>
    <w:rsid w:val="00AE05B0"/>
    <w:rsid w:val="00AE06C3"/>
    <w:rsid w:val="00AE095B"/>
    <w:rsid w:val="00AE0D83"/>
    <w:rsid w:val="00AE0DE9"/>
    <w:rsid w:val="00AE1A39"/>
    <w:rsid w:val="00AE1F6C"/>
    <w:rsid w:val="00AE25EC"/>
    <w:rsid w:val="00AE2C8E"/>
    <w:rsid w:val="00AE3C11"/>
    <w:rsid w:val="00AE3FE3"/>
    <w:rsid w:val="00AE3FFF"/>
    <w:rsid w:val="00AE40FE"/>
    <w:rsid w:val="00AE5872"/>
    <w:rsid w:val="00AE5B40"/>
    <w:rsid w:val="00AE6209"/>
    <w:rsid w:val="00AE62DE"/>
    <w:rsid w:val="00AE6534"/>
    <w:rsid w:val="00AE6602"/>
    <w:rsid w:val="00AE6B07"/>
    <w:rsid w:val="00AE7745"/>
    <w:rsid w:val="00AE7AA8"/>
    <w:rsid w:val="00AF02FC"/>
    <w:rsid w:val="00AF0D5B"/>
    <w:rsid w:val="00AF0F52"/>
    <w:rsid w:val="00AF1DEF"/>
    <w:rsid w:val="00AF2520"/>
    <w:rsid w:val="00AF28AE"/>
    <w:rsid w:val="00AF2E39"/>
    <w:rsid w:val="00AF34F3"/>
    <w:rsid w:val="00AF4262"/>
    <w:rsid w:val="00AF4432"/>
    <w:rsid w:val="00AF5F7D"/>
    <w:rsid w:val="00AF6595"/>
    <w:rsid w:val="00AF7206"/>
    <w:rsid w:val="00AF7ACB"/>
    <w:rsid w:val="00AF7EC0"/>
    <w:rsid w:val="00B002A4"/>
    <w:rsid w:val="00B0089A"/>
    <w:rsid w:val="00B01516"/>
    <w:rsid w:val="00B016FC"/>
    <w:rsid w:val="00B01D7D"/>
    <w:rsid w:val="00B020CE"/>
    <w:rsid w:val="00B0247D"/>
    <w:rsid w:val="00B027BA"/>
    <w:rsid w:val="00B02E06"/>
    <w:rsid w:val="00B03364"/>
    <w:rsid w:val="00B03823"/>
    <w:rsid w:val="00B03A4D"/>
    <w:rsid w:val="00B04287"/>
    <w:rsid w:val="00B043AA"/>
    <w:rsid w:val="00B04B51"/>
    <w:rsid w:val="00B04F96"/>
    <w:rsid w:val="00B051F6"/>
    <w:rsid w:val="00B05F92"/>
    <w:rsid w:val="00B06527"/>
    <w:rsid w:val="00B06591"/>
    <w:rsid w:val="00B078AC"/>
    <w:rsid w:val="00B07BFB"/>
    <w:rsid w:val="00B101E3"/>
    <w:rsid w:val="00B10362"/>
    <w:rsid w:val="00B10530"/>
    <w:rsid w:val="00B10951"/>
    <w:rsid w:val="00B10AE9"/>
    <w:rsid w:val="00B11402"/>
    <w:rsid w:val="00B11955"/>
    <w:rsid w:val="00B1221A"/>
    <w:rsid w:val="00B12378"/>
    <w:rsid w:val="00B12C55"/>
    <w:rsid w:val="00B12FBF"/>
    <w:rsid w:val="00B1318C"/>
    <w:rsid w:val="00B131BF"/>
    <w:rsid w:val="00B14737"/>
    <w:rsid w:val="00B148F1"/>
    <w:rsid w:val="00B149A9"/>
    <w:rsid w:val="00B14C9D"/>
    <w:rsid w:val="00B14DE7"/>
    <w:rsid w:val="00B14FAE"/>
    <w:rsid w:val="00B15099"/>
    <w:rsid w:val="00B15421"/>
    <w:rsid w:val="00B159AD"/>
    <w:rsid w:val="00B15FA0"/>
    <w:rsid w:val="00B1607B"/>
    <w:rsid w:val="00B161D4"/>
    <w:rsid w:val="00B16508"/>
    <w:rsid w:val="00B167F6"/>
    <w:rsid w:val="00B1682F"/>
    <w:rsid w:val="00B16B62"/>
    <w:rsid w:val="00B16B89"/>
    <w:rsid w:val="00B16E7F"/>
    <w:rsid w:val="00B17380"/>
    <w:rsid w:val="00B174B3"/>
    <w:rsid w:val="00B1785F"/>
    <w:rsid w:val="00B21615"/>
    <w:rsid w:val="00B219C1"/>
    <w:rsid w:val="00B21A6C"/>
    <w:rsid w:val="00B21CF8"/>
    <w:rsid w:val="00B21CFD"/>
    <w:rsid w:val="00B22694"/>
    <w:rsid w:val="00B23082"/>
    <w:rsid w:val="00B230AF"/>
    <w:rsid w:val="00B234AC"/>
    <w:rsid w:val="00B23511"/>
    <w:rsid w:val="00B2367A"/>
    <w:rsid w:val="00B236C8"/>
    <w:rsid w:val="00B23C5E"/>
    <w:rsid w:val="00B23F35"/>
    <w:rsid w:val="00B2487F"/>
    <w:rsid w:val="00B24AC7"/>
    <w:rsid w:val="00B24D18"/>
    <w:rsid w:val="00B24FA3"/>
    <w:rsid w:val="00B2522C"/>
    <w:rsid w:val="00B2524C"/>
    <w:rsid w:val="00B260CE"/>
    <w:rsid w:val="00B27308"/>
    <w:rsid w:val="00B2740E"/>
    <w:rsid w:val="00B277C8"/>
    <w:rsid w:val="00B27DBF"/>
    <w:rsid w:val="00B30519"/>
    <w:rsid w:val="00B3059B"/>
    <w:rsid w:val="00B307BA"/>
    <w:rsid w:val="00B30A0C"/>
    <w:rsid w:val="00B31110"/>
    <w:rsid w:val="00B318F9"/>
    <w:rsid w:val="00B31C66"/>
    <w:rsid w:val="00B32976"/>
    <w:rsid w:val="00B32E0D"/>
    <w:rsid w:val="00B32E29"/>
    <w:rsid w:val="00B33422"/>
    <w:rsid w:val="00B337F9"/>
    <w:rsid w:val="00B35D10"/>
    <w:rsid w:val="00B366F1"/>
    <w:rsid w:val="00B373B7"/>
    <w:rsid w:val="00B3755C"/>
    <w:rsid w:val="00B40063"/>
    <w:rsid w:val="00B405C6"/>
    <w:rsid w:val="00B4098A"/>
    <w:rsid w:val="00B41236"/>
    <w:rsid w:val="00B41406"/>
    <w:rsid w:val="00B420E4"/>
    <w:rsid w:val="00B42E33"/>
    <w:rsid w:val="00B43853"/>
    <w:rsid w:val="00B43E97"/>
    <w:rsid w:val="00B44572"/>
    <w:rsid w:val="00B45163"/>
    <w:rsid w:val="00B4578D"/>
    <w:rsid w:val="00B459EB"/>
    <w:rsid w:val="00B463D3"/>
    <w:rsid w:val="00B47E56"/>
    <w:rsid w:val="00B50480"/>
    <w:rsid w:val="00B507E1"/>
    <w:rsid w:val="00B51285"/>
    <w:rsid w:val="00B51616"/>
    <w:rsid w:val="00B516EF"/>
    <w:rsid w:val="00B51989"/>
    <w:rsid w:val="00B5225B"/>
    <w:rsid w:val="00B52D4B"/>
    <w:rsid w:val="00B53D4B"/>
    <w:rsid w:val="00B5421B"/>
    <w:rsid w:val="00B54C76"/>
    <w:rsid w:val="00B54F16"/>
    <w:rsid w:val="00B55C70"/>
    <w:rsid w:val="00B563B8"/>
    <w:rsid w:val="00B5681F"/>
    <w:rsid w:val="00B56AEA"/>
    <w:rsid w:val="00B56F1D"/>
    <w:rsid w:val="00B5708D"/>
    <w:rsid w:val="00B5712E"/>
    <w:rsid w:val="00B57A84"/>
    <w:rsid w:val="00B57CEE"/>
    <w:rsid w:val="00B60CAE"/>
    <w:rsid w:val="00B60D59"/>
    <w:rsid w:val="00B6110B"/>
    <w:rsid w:val="00B61F0C"/>
    <w:rsid w:val="00B6299C"/>
    <w:rsid w:val="00B629F5"/>
    <w:rsid w:val="00B62D96"/>
    <w:rsid w:val="00B63306"/>
    <w:rsid w:val="00B63674"/>
    <w:rsid w:val="00B6399E"/>
    <w:rsid w:val="00B64C45"/>
    <w:rsid w:val="00B64C70"/>
    <w:rsid w:val="00B658B9"/>
    <w:rsid w:val="00B65E9D"/>
    <w:rsid w:val="00B663FA"/>
    <w:rsid w:val="00B66C7F"/>
    <w:rsid w:val="00B66DFD"/>
    <w:rsid w:val="00B677F5"/>
    <w:rsid w:val="00B702B4"/>
    <w:rsid w:val="00B711C7"/>
    <w:rsid w:val="00B73F44"/>
    <w:rsid w:val="00B7496B"/>
    <w:rsid w:val="00B749E9"/>
    <w:rsid w:val="00B74B4F"/>
    <w:rsid w:val="00B7510A"/>
    <w:rsid w:val="00B751E2"/>
    <w:rsid w:val="00B75398"/>
    <w:rsid w:val="00B76327"/>
    <w:rsid w:val="00B76492"/>
    <w:rsid w:val="00B767AE"/>
    <w:rsid w:val="00B778F4"/>
    <w:rsid w:val="00B80436"/>
    <w:rsid w:val="00B812C0"/>
    <w:rsid w:val="00B81F3F"/>
    <w:rsid w:val="00B8203D"/>
    <w:rsid w:val="00B82C27"/>
    <w:rsid w:val="00B83AAE"/>
    <w:rsid w:val="00B846FC"/>
    <w:rsid w:val="00B84C02"/>
    <w:rsid w:val="00B84D24"/>
    <w:rsid w:val="00B84F01"/>
    <w:rsid w:val="00B851C1"/>
    <w:rsid w:val="00B853CE"/>
    <w:rsid w:val="00B8559A"/>
    <w:rsid w:val="00B85AFB"/>
    <w:rsid w:val="00B85E75"/>
    <w:rsid w:val="00B87E3C"/>
    <w:rsid w:val="00B90869"/>
    <w:rsid w:val="00B90B1D"/>
    <w:rsid w:val="00B9102C"/>
    <w:rsid w:val="00B9112E"/>
    <w:rsid w:val="00B91336"/>
    <w:rsid w:val="00B914B3"/>
    <w:rsid w:val="00B92D43"/>
    <w:rsid w:val="00B92F27"/>
    <w:rsid w:val="00B932A5"/>
    <w:rsid w:val="00B94107"/>
    <w:rsid w:val="00B941F2"/>
    <w:rsid w:val="00B94CD7"/>
    <w:rsid w:val="00B95067"/>
    <w:rsid w:val="00B953AC"/>
    <w:rsid w:val="00B955A5"/>
    <w:rsid w:val="00B957C5"/>
    <w:rsid w:val="00B95F1F"/>
    <w:rsid w:val="00B960F4"/>
    <w:rsid w:val="00B962EC"/>
    <w:rsid w:val="00B96B16"/>
    <w:rsid w:val="00B96B2B"/>
    <w:rsid w:val="00B96DA0"/>
    <w:rsid w:val="00B9740E"/>
    <w:rsid w:val="00B9753B"/>
    <w:rsid w:val="00B97886"/>
    <w:rsid w:val="00BA0957"/>
    <w:rsid w:val="00BA0D07"/>
    <w:rsid w:val="00BA10CF"/>
    <w:rsid w:val="00BA1218"/>
    <w:rsid w:val="00BA1FD8"/>
    <w:rsid w:val="00BA2250"/>
    <w:rsid w:val="00BA2293"/>
    <w:rsid w:val="00BA4635"/>
    <w:rsid w:val="00BA46B1"/>
    <w:rsid w:val="00BA4744"/>
    <w:rsid w:val="00BA4B04"/>
    <w:rsid w:val="00BA50CD"/>
    <w:rsid w:val="00BA54E7"/>
    <w:rsid w:val="00BA566B"/>
    <w:rsid w:val="00BA581E"/>
    <w:rsid w:val="00BA5DFC"/>
    <w:rsid w:val="00BA665E"/>
    <w:rsid w:val="00BA673D"/>
    <w:rsid w:val="00BA6D27"/>
    <w:rsid w:val="00BA77A0"/>
    <w:rsid w:val="00BA7930"/>
    <w:rsid w:val="00BAAB79"/>
    <w:rsid w:val="00BB00F2"/>
    <w:rsid w:val="00BB084C"/>
    <w:rsid w:val="00BB0C26"/>
    <w:rsid w:val="00BB0D36"/>
    <w:rsid w:val="00BB1B60"/>
    <w:rsid w:val="00BB2526"/>
    <w:rsid w:val="00BB2838"/>
    <w:rsid w:val="00BB2B1D"/>
    <w:rsid w:val="00BB33AC"/>
    <w:rsid w:val="00BB34EB"/>
    <w:rsid w:val="00BB3DCC"/>
    <w:rsid w:val="00BB4615"/>
    <w:rsid w:val="00BB4762"/>
    <w:rsid w:val="00BB53E0"/>
    <w:rsid w:val="00BB57C9"/>
    <w:rsid w:val="00BB5CC6"/>
    <w:rsid w:val="00BB5E89"/>
    <w:rsid w:val="00BB63E7"/>
    <w:rsid w:val="00BB6C30"/>
    <w:rsid w:val="00BB742F"/>
    <w:rsid w:val="00BB7920"/>
    <w:rsid w:val="00BB7BE5"/>
    <w:rsid w:val="00BC0329"/>
    <w:rsid w:val="00BC0FDC"/>
    <w:rsid w:val="00BC115A"/>
    <w:rsid w:val="00BC1B44"/>
    <w:rsid w:val="00BC1D21"/>
    <w:rsid w:val="00BC247A"/>
    <w:rsid w:val="00BC2C69"/>
    <w:rsid w:val="00BC3369"/>
    <w:rsid w:val="00BC3BF1"/>
    <w:rsid w:val="00BC3F82"/>
    <w:rsid w:val="00BC44AC"/>
    <w:rsid w:val="00BC4544"/>
    <w:rsid w:val="00BC543C"/>
    <w:rsid w:val="00BC60C1"/>
    <w:rsid w:val="00BC63DC"/>
    <w:rsid w:val="00BC63FA"/>
    <w:rsid w:val="00BC650C"/>
    <w:rsid w:val="00BC6C11"/>
    <w:rsid w:val="00BC73BE"/>
    <w:rsid w:val="00BC7ADA"/>
    <w:rsid w:val="00BD020A"/>
    <w:rsid w:val="00BD0CC0"/>
    <w:rsid w:val="00BD0CDC"/>
    <w:rsid w:val="00BD0D72"/>
    <w:rsid w:val="00BD118D"/>
    <w:rsid w:val="00BD17C9"/>
    <w:rsid w:val="00BD2571"/>
    <w:rsid w:val="00BD3B53"/>
    <w:rsid w:val="00BD3E42"/>
    <w:rsid w:val="00BD4242"/>
    <w:rsid w:val="00BD424C"/>
    <w:rsid w:val="00BD57D3"/>
    <w:rsid w:val="00BD5C99"/>
    <w:rsid w:val="00BD63D1"/>
    <w:rsid w:val="00BD6DE1"/>
    <w:rsid w:val="00BD7117"/>
    <w:rsid w:val="00BD79F2"/>
    <w:rsid w:val="00BD7AD4"/>
    <w:rsid w:val="00BE0044"/>
    <w:rsid w:val="00BE02A7"/>
    <w:rsid w:val="00BE02B1"/>
    <w:rsid w:val="00BE0A80"/>
    <w:rsid w:val="00BE0B89"/>
    <w:rsid w:val="00BE0B99"/>
    <w:rsid w:val="00BE13CE"/>
    <w:rsid w:val="00BE1575"/>
    <w:rsid w:val="00BE1F9E"/>
    <w:rsid w:val="00BE27D4"/>
    <w:rsid w:val="00BE2E63"/>
    <w:rsid w:val="00BE38AF"/>
    <w:rsid w:val="00BE3994"/>
    <w:rsid w:val="00BE3CF4"/>
    <w:rsid w:val="00BE3F25"/>
    <w:rsid w:val="00BE4643"/>
    <w:rsid w:val="00BE496E"/>
    <w:rsid w:val="00BE4FB7"/>
    <w:rsid w:val="00BE4FBA"/>
    <w:rsid w:val="00BE61B3"/>
    <w:rsid w:val="00BE64DE"/>
    <w:rsid w:val="00BE6641"/>
    <w:rsid w:val="00BE690C"/>
    <w:rsid w:val="00BE7044"/>
    <w:rsid w:val="00BE7511"/>
    <w:rsid w:val="00BE77DC"/>
    <w:rsid w:val="00BF015E"/>
    <w:rsid w:val="00BF0CF5"/>
    <w:rsid w:val="00BF1382"/>
    <w:rsid w:val="00BF170D"/>
    <w:rsid w:val="00BF19D3"/>
    <w:rsid w:val="00BF1AC7"/>
    <w:rsid w:val="00BF1F4F"/>
    <w:rsid w:val="00BF2169"/>
    <w:rsid w:val="00BF2293"/>
    <w:rsid w:val="00BF2855"/>
    <w:rsid w:val="00BF2D73"/>
    <w:rsid w:val="00BF4603"/>
    <w:rsid w:val="00BF4C3D"/>
    <w:rsid w:val="00BF5780"/>
    <w:rsid w:val="00BF5918"/>
    <w:rsid w:val="00BF5E67"/>
    <w:rsid w:val="00BF62E6"/>
    <w:rsid w:val="00BF63B3"/>
    <w:rsid w:val="00BF663E"/>
    <w:rsid w:val="00BF6C86"/>
    <w:rsid w:val="00BF70E0"/>
    <w:rsid w:val="00BF748F"/>
    <w:rsid w:val="00BF76EF"/>
    <w:rsid w:val="00C003C3"/>
    <w:rsid w:val="00C006DD"/>
    <w:rsid w:val="00C007F2"/>
    <w:rsid w:val="00C0083D"/>
    <w:rsid w:val="00C00C90"/>
    <w:rsid w:val="00C00EB2"/>
    <w:rsid w:val="00C01356"/>
    <w:rsid w:val="00C01EC6"/>
    <w:rsid w:val="00C02617"/>
    <w:rsid w:val="00C039B5"/>
    <w:rsid w:val="00C03E4F"/>
    <w:rsid w:val="00C04692"/>
    <w:rsid w:val="00C0476D"/>
    <w:rsid w:val="00C05BEA"/>
    <w:rsid w:val="00C06317"/>
    <w:rsid w:val="00C066B0"/>
    <w:rsid w:val="00C06AF8"/>
    <w:rsid w:val="00C06B7D"/>
    <w:rsid w:val="00C06E63"/>
    <w:rsid w:val="00C07793"/>
    <w:rsid w:val="00C10631"/>
    <w:rsid w:val="00C10AB1"/>
    <w:rsid w:val="00C10DE9"/>
    <w:rsid w:val="00C10F05"/>
    <w:rsid w:val="00C11195"/>
    <w:rsid w:val="00C111CA"/>
    <w:rsid w:val="00C112E7"/>
    <w:rsid w:val="00C11B1F"/>
    <w:rsid w:val="00C12305"/>
    <w:rsid w:val="00C1296E"/>
    <w:rsid w:val="00C12AB9"/>
    <w:rsid w:val="00C12B1F"/>
    <w:rsid w:val="00C13271"/>
    <w:rsid w:val="00C135C6"/>
    <w:rsid w:val="00C142E4"/>
    <w:rsid w:val="00C14407"/>
    <w:rsid w:val="00C14BE0"/>
    <w:rsid w:val="00C15DE5"/>
    <w:rsid w:val="00C1609A"/>
    <w:rsid w:val="00C168DE"/>
    <w:rsid w:val="00C16AB3"/>
    <w:rsid w:val="00C17718"/>
    <w:rsid w:val="00C20909"/>
    <w:rsid w:val="00C20A99"/>
    <w:rsid w:val="00C21A07"/>
    <w:rsid w:val="00C22104"/>
    <w:rsid w:val="00C227D7"/>
    <w:rsid w:val="00C22AB8"/>
    <w:rsid w:val="00C22F79"/>
    <w:rsid w:val="00C234D4"/>
    <w:rsid w:val="00C23612"/>
    <w:rsid w:val="00C23A15"/>
    <w:rsid w:val="00C23DB2"/>
    <w:rsid w:val="00C23F20"/>
    <w:rsid w:val="00C240F7"/>
    <w:rsid w:val="00C24164"/>
    <w:rsid w:val="00C2422A"/>
    <w:rsid w:val="00C24DC4"/>
    <w:rsid w:val="00C2514A"/>
    <w:rsid w:val="00C2591E"/>
    <w:rsid w:val="00C25B81"/>
    <w:rsid w:val="00C265E9"/>
    <w:rsid w:val="00C26B6F"/>
    <w:rsid w:val="00C273F1"/>
    <w:rsid w:val="00C27BA3"/>
    <w:rsid w:val="00C27BF9"/>
    <w:rsid w:val="00C27C48"/>
    <w:rsid w:val="00C27C57"/>
    <w:rsid w:val="00C30048"/>
    <w:rsid w:val="00C310B1"/>
    <w:rsid w:val="00C31DC1"/>
    <w:rsid w:val="00C31DEE"/>
    <w:rsid w:val="00C31EA9"/>
    <w:rsid w:val="00C31F15"/>
    <w:rsid w:val="00C3298C"/>
    <w:rsid w:val="00C32D83"/>
    <w:rsid w:val="00C330D1"/>
    <w:rsid w:val="00C335C4"/>
    <w:rsid w:val="00C33877"/>
    <w:rsid w:val="00C33A3C"/>
    <w:rsid w:val="00C33AFF"/>
    <w:rsid w:val="00C34115"/>
    <w:rsid w:val="00C3438D"/>
    <w:rsid w:val="00C345C9"/>
    <w:rsid w:val="00C34BB4"/>
    <w:rsid w:val="00C34FE2"/>
    <w:rsid w:val="00C3579E"/>
    <w:rsid w:val="00C35F52"/>
    <w:rsid w:val="00C3632A"/>
    <w:rsid w:val="00C37158"/>
    <w:rsid w:val="00C372A6"/>
    <w:rsid w:val="00C3768D"/>
    <w:rsid w:val="00C37B90"/>
    <w:rsid w:val="00C37E17"/>
    <w:rsid w:val="00C40158"/>
    <w:rsid w:val="00C401FD"/>
    <w:rsid w:val="00C4035F"/>
    <w:rsid w:val="00C407E2"/>
    <w:rsid w:val="00C40B5D"/>
    <w:rsid w:val="00C40FC6"/>
    <w:rsid w:val="00C41152"/>
    <w:rsid w:val="00C4123E"/>
    <w:rsid w:val="00C41612"/>
    <w:rsid w:val="00C4267C"/>
    <w:rsid w:val="00C43443"/>
    <w:rsid w:val="00C439E8"/>
    <w:rsid w:val="00C43AB2"/>
    <w:rsid w:val="00C446D0"/>
    <w:rsid w:val="00C44C0F"/>
    <w:rsid w:val="00C44E1B"/>
    <w:rsid w:val="00C44F61"/>
    <w:rsid w:val="00C457C5"/>
    <w:rsid w:val="00C459A4"/>
    <w:rsid w:val="00C465DA"/>
    <w:rsid w:val="00C46863"/>
    <w:rsid w:val="00C4785E"/>
    <w:rsid w:val="00C5071C"/>
    <w:rsid w:val="00C50961"/>
    <w:rsid w:val="00C509D1"/>
    <w:rsid w:val="00C509E3"/>
    <w:rsid w:val="00C50C8E"/>
    <w:rsid w:val="00C50EAA"/>
    <w:rsid w:val="00C5140B"/>
    <w:rsid w:val="00C52BA4"/>
    <w:rsid w:val="00C53FCC"/>
    <w:rsid w:val="00C54615"/>
    <w:rsid w:val="00C54A72"/>
    <w:rsid w:val="00C54ACC"/>
    <w:rsid w:val="00C54B0B"/>
    <w:rsid w:val="00C55128"/>
    <w:rsid w:val="00C5543F"/>
    <w:rsid w:val="00C5551C"/>
    <w:rsid w:val="00C55A0D"/>
    <w:rsid w:val="00C55C44"/>
    <w:rsid w:val="00C56026"/>
    <w:rsid w:val="00C56A17"/>
    <w:rsid w:val="00C56A9B"/>
    <w:rsid w:val="00C56E3D"/>
    <w:rsid w:val="00C57008"/>
    <w:rsid w:val="00C600F4"/>
    <w:rsid w:val="00C605AB"/>
    <w:rsid w:val="00C60A60"/>
    <w:rsid w:val="00C60B2F"/>
    <w:rsid w:val="00C613AF"/>
    <w:rsid w:val="00C61851"/>
    <w:rsid w:val="00C61D59"/>
    <w:rsid w:val="00C61FAD"/>
    <w:rsid w:val="00C62B48"/>
    <w:rsid w:val="00C639F0"/>
    <w:rsid w:val="00C63B7C"/>
    <w:rsid w:val="00C64175"/>
    <w:rsid w:val="00C648F3"/>
    <w:rsid w:val="00C65346"/>
    <w:rsid w:val="00C66471"/>
    <w:rsid w:val="00C667CC"/>
    <w:rsid w:val="00C66E95"/>
    <w:rsid w:val="00C67085"/>
    <w:rsid w:val="00C6728B"/>
    <w:rsid w:val="00C6783F"/>
    <w:rsid w:val="00C67B2D"/>
    <w:rsid w:val="00C67E13"/>
    <w:rsid w:val="00C67E53"/>
    <w:rsid w:val="00C7014F"/>
    <w:rsid w:val="00C701D0"/>
    <w:rsid w:val="00C70AEB"/>
    <w:rsid w:val="00C70E2D"/>
    <w:rsid w:val="00C70E64"/>
    <w:rsid w:val="00C7172D"/>
    <w:rsid w:val="00C718E0"/>
    <w:rsid w:val="00C72057"/>
    <w:rsid w:val="00C730DB"/>
    <w:rsid w:val="00C73541"/>
    <w:rsid w:val="00C736DB"/>
    <w:rsid w:val="00C739E4"/>
    <w:rsid w:val="00C74698"/>
    <w:rsid w:val="00C74D3E"/>
    <w:rsid w:val="00C75036"/>
    <w:rsid w:val="00C766A2"/>
    <w:rsid w:val="00C7671E"/>
    <w:rsid w:val="00C76EE3"/>
    <w:rsid w:val="00C7771D"/>
    <w:rsid w:val="00C77BF2"/>
    <w:rsid w:val="00C80818"/>
    <w:rsid w:val="00C80AEF"/>
    <w:rsid w:val="00C827BA"/>
    <w:rsid w:val="00C82B54"/>
    <w:rsid w:val="00C831F4"/>
    <w:rsid w:val="00C83359"/>
    <w:rsid w:val="00C83492"/>
    <w:rsid w:val="00C837A9"/>
    <w:rsid w:val="00C83EB1"/>
    <w:rsid w:val="00C83EFF"/>
    <w:rsid w:val="00C843B1"/>
    <w:rsid w:val="00C856CB"/>
    <w:rsid w:val="00C85977"/>
    <w:rsid w:val="00C86986"/>
    <w:rsid w:val="00C86C2E"/>
    <w:rsid w:val="00C8730E"/>
    <w:rsid w:val="00C87C52"/>
    <w:rsid w:val="00C87E23"/>
    <w:rsid w:val="00C9057D"/>
    <w:rsid w:val="00C90DC3"/>
    <w:rsid w:val="00C914B0"/>
    <w:rsid w:val="00C91766"/>
    <w:rsid w:val="00C9193C"/>
    <w:rsid w:val="00C91C0E"/>
    <w:rsid w:val="00C91D3F"/>
    <w:rsid w:val="00C92B03"/>
    <w:rsid w:val="00C92C5D"/>
    <w:rsid w:val="00C92D6E"/>
    <w:rsid w:val="00C92DF3"/>
    <w:rsid w:val="00C92DF5"/>
    <w:rsid w:val="00C93686"/>
    <w:rsid w:val="00C93F52"/>
    <w:rsid w:val="00C94624"/>
    <w:rsid w:val="00C94BE4"/>
    <w:rsid w:val="00C95C63"/>
    <w:rsid w:val="00C97524"/>
    <w:rsid w:val="00CA0B89"/>
    <w:rsid w:val="00CA0EFC"/>
    <w:rsid w:val="00CA10A5"/>
    <w:rsid w:val="00CA15EB"/>
    <w:rsid w:val="00CA18FB"/>
    <w:rsid w:val="00CA1B82"/>
    <w:rsid w:val="00CA2071"/>
    <w:rsid w:val="00CA20CB"/>
    <w:rsid w:val="00CA252A"/>
    <w:rsid w:val="00CA274B"/>
    <w:rsid w:val="00CA2BE9"/>
    <w:rsid w:val="00CA2E6E"/>
    <w:rsid w:val="00CA3479"/>
    <w:rsid w:val="00CA413C"/>
    <w:rsid w:val="00CA4586"/>
    <w:rsid w:val="00CA4670"/>
    <w:rsid w:val="00CA47EA"/>
    <w:rsid w:val="00CA4CF4"/>
    <w:rsid w:val="00CA612B"/>
    <w:rsid w:val="00CA6FDE"/>
    <w:rsid w:val="00CA7D17"/>
    <w:rsid w:val="00CA7D3D"/>
    <w:rsid w:val="00CA7FA0"/>
    <w:rsid w:val="00CB089A"/>
    <w:rsid w:val="00CB1355"/>
    <w:rsid w:val="00CB140A"/>
    <w:rsid w:val="00CB1980"/>
    <w:rsid w:val="00CB2975"/>
    <w:rsid w:val="00CB2DC3"/>
    <w:rsid w:val="00CB37C3"/>
    <w:rsid w:val="00CB39D9"/>
    <w:rsid w:val="00CB3AD6"/>
    <w:rsid w:val="00CB48DA"/>
    <w:rsid w:val="00CB5682"/>
    <w:rsid w:val="00CB582B"/>
    <w:rsid w:val="00CB5DD3"/>
    <w:rsid w:val="00CB63D6"/>
    <w:rsid w:val="00CB6581"/>
    <w:rsid w:val="00CB6872"/>
    <w:rsid w:val="00CB69CE"/>
    <w:rsid w:val="00CB7176"/>
    <w:rsid w:val="00CB7257"/>
    <w:rsid w:val="00CB7E25"/>
    <w:rsid w:val="00CB7F8D"/>
    <w:rsid w:val="00CC0440"/>
    <w:rsid w:val="00CC0DE6"/>
    <w:rsid w:val="00CC1681"/>
    <w:rsid w:val="00CC17C8"/>
    <w:rsid w:val="00CC1990"/>
    <w:rsid w:val="00CC1ECC"/>
    <w:rsid w:val="00CC245C"/>
    <w:rsid w:val="00CC2DB3"/>
    <w:rsid w:val="00CC3348"/>
    <w:rsid w:val="00CC3A97"/>
    <w:rsid w:val="00CC3DBA"/>
    <w:rsid w:val="00CC3E09"/>
    <w:rsid w:val="00CC4608"/>
    <w:rsid w:val="00CC55BA"/>
    <w:rsid w:val="00CC5A79"/>
    <w:rsid w:val="00CC5EFC"/>
    <w:rsid w:val="00CC63EF"/>
    <w:rsid w:val="00CC6841"/>
    <w:rsid w:val="00CC6900"/>
    <w:rsid w:val="00CC690F"/>
    <w:rsid w:val="00CC6BDC"/>
    <w:rsid w:val="00CC7636"/>
    <w:rsid w:val="00CC763F"/>
    <w:rsid w:val="00CC7D8F"/>
    <w:rsid w:val="00CD0498"/>
    <w:rsid w:val="00CD052E"/>
    <w:rsid w:val="00CD060C"/>
    <w:rsid w:val="00CD1262"/>
    <w:rsid w:val="00CD148E"/>
    <w:rsid w:val="00CD1F12"/>
    <w:rsid w:val="00CD3671"/>
    <w:rsid w:val="00CD4542"/>
    <w:rsid w:val="00CD4C29"/>
    <w:rsid w:val="00CD4CF9"/>
    <w:rsid w:val="00CD518C"/>
    <w:rsid w:val="00CD5869"/>
    <w:rsid w:val="00CD595F"/>
    <w:rsid w:val="00CD736F"/>
    <w:rsid w:val="00CD7857"/>
    <w:rsid w:val="00CD7BE0"/>
    <w:rsid w:val="00CE0235"/>
    <w:rsid w:val="00CE0C6C"/>
    <w:rsid w:val="00CE10AB"/>
    <w:rsid w:val="00CE186E"/>
    <w:rsid w:val="00CE18F6"/>
    <w:rsid w:val="00CE27E4"/>
    <w:rsid w:val="00CE36B8"/>
    <w:rsid w:val="00CE41A9"/>
    <w:rsid w:val="00CE502F"/>
    <w:rsid w:val="00CE5100"/>
    <w:rsid w:val="00CE5382"/>
    <w:rsid w:val="00CE581D"/>
    <w:rsid w:val="00CE584F"/>
    <w:rsid w:val="00CE5ADF"/>
    <w:rsid w:val="00CE6105"/>
    <w:rsid w:val="00CE639F"/>
    <w:rsid w:val="00CE6BE3"/>
    <w:rsid w:val="00CE721A"/>
    <w:rsid w:val="00CE7A55"/>
    <w:rsid w:val="00CE9E2B"/>
    <w:rsid w:val="00CF054B"/>
    <w:rsid w:val="00CF088E"/>
    <w:rsid w:val="00CF0E16"/>
    <w:rsid w:val="00CF1D3E"/>
    <w:rsid w:val="00CF26B1"/>
    <w:rsid w:val="00CF297E"/>
    <w:rsid w:val="00CF2B50"/>
    <w:rsid w:val="00CF2B5C"/>
    <w:rsid w:val="00CF3369"/>
    <w:rsid w:val="00CF3A8B"/>
    <w:rsid w:val="00CF3B35"/>
    <w:rsid w:val="00CF3FCD"/>
    <w:rsid w:val="00CF43F5"/>
    <w:rsid w:val="00CF52D2"/>
    <w:rsid w:val="00CF54E1"/>
    <w:rsid w:val="00CF5D75"/>
    <w:rsid w:val="00CF690D"/>
    <w:rsid w:val="00CF73DF"/>
    <w:rsid w:val="00CF7886"/>
    <w:rsid w:val="00CF7E7E"/>
    <w:rsid w:val="00D00052"/>
    <w:rsid w:val="00D00466"/>
    <w:rsid w:val="00D00E61"/>
    <w:rsid w:val="00D027FD"/>
    <w:rsid w:val="00D02F61"/>
    <w:rsid w:val="00D030E7"/>
    <w:rsid w:val="00D031D5"/>
    <w:rsid w:val="00D0325F"/>
    <w:rsid w:val="00D04297"/>
    <w:rsid w:val="00D044C8"/>
    <w:rsid w:val="00D04A40"/>
    <w:rsid w:val="00D052FE"/>
    <w:rsid w:val="00D0558E"/>
    <w:rsid w:val="00D057AF"/>
    <w:rsid w:val="00D05C55"/>
    <w:rsid w:val="00D05FF6"/>
    <w:rsid w:val="00D061FD"/>
    <w:rsid w:val="00D0627B"/>
    <w:rsid w:val="00D064A5"/>
    <w:rsid w:val="00D066A3"/>
    <w:rsid w:val="00D0772E"/>
    <w:rsid w:val="00D106DF"/>
    <w:rsid w:val="00D107B7"/>
    <w:rsid w:val="00D10918"/>
    <w:rsid w:val="00D1095D"/>
    <w:rsid w:val="00D10B4D"/>
    <w:rsid w:val="00D10CDD"/>
    <w:rsid w:val="00D120CC"/>
    <w:rsid w:val="00D126B8"/>
    <w:rsid w:val="00D12D60"/>
    <w:rsid w:val="00D13494"/>
    <w:rsid w:val="00D137C2"/>
    <w:rsid w:val="00D140B6"/>
    <w:rsid w:val="00D147AE"/>
    <w:rsid w:val="00D1481C"/>
    <w:rsid w:val="00D155DB"/>
    <w:rsid w:val="00D158CA"/>
    <w:rsid w:val="00D15E07"/>
    <w:rsid w:val="00D162A7"/>
    <w:rsid w:val="00D1698B"/>
    <w:rsid w:val="00D174C7"/>
    <w:rsid w:val="00D20074"/>
    <w:rsid w:val="00D20F2F"/>
    <w:rsid w:val="00D20F58"/>
    <w:rsid w:val="00D21326"/>
    <w:rsid w:val="00D213AF"/>
    <w:rsid w:val="00D21555"/>
    <w:rsid w:val="00D22892"/>
    <w:rsid w:val="00D22984"/>
    <w:rsid w:val="00D22AA9"/>
    <w:rsid w:val="00D23A47"/>
    <w:rsid w:val="00D23EC8"/>
    <w:rsid w:val="00D23F81"/>
    <w:rsid w:val="00D24C68"/>
    <w:rsid w:val="00D24E06"/>
    <w:rsid w:val="00D2505C"/>
    <w:rsid w:val="00D256FA"/>
    <w:rsid w:val="00D2693B"/>
    <w:rsid w:val="00D2697F"/>
    <w:rsid w:val="00D26FD3"/>
    <w:rsid w:val="00D275BF"/>
    <w:rsid w:val="00D27B2D"/>
    <w:rsid w:val="00D30CAD"/>
    <w:rsid w:val="00D312C2"/>
    <w:rsid w:val="00D312D3"/>
    <w:rsid w:val="00D3173F"/>
    <w:rsid w:val="00D32528"/>
    <w:rsid w:val="00D32F6B"/>
    <w:rsid w:val="00D33144"/>
    <w:rsid w:val="00D33305"/>
    <w:rsid w:val="00D336FC"/>
    <w:rsid w:val="00D33BB3"/>
    <w:rsid w:val="00D33D26"/>
    <w:rsid w:val="00D34A2F"/>
    <w:rsid w:val="00D3506C"/>
    <w:rsid w:val="00D35AC7"/>
    <w:rsid w:val="00D35BFF"/>
    <w:rsid w:val="00D36288"/>
    <w:rsid w:val="00D36BF2"/>
    <w:rsid w:val="00D37713"/>
    <w:rsid w:val="00D377F3"/>
    <w:rsid w:val="00D37861"/>
    <w:rsid w:val="00D37F04"/>
    <w:rsid w:val="00D4007E"/>
    <w:rsid w:val="00D40112"/>
    <w:rsid w:val="00D408A5"/>
    <w:rsid w:val="00D40950"/>
    <w:rsid w:val="00D4181B"/>
    <w:rsid w:val="00D41959"/>
    <w:rsid w:val="00D43472"/>
    <w:rsid w:val="00D43BEA"/>
    <w:rsid w:val="00D44B3E"/>
    <w:rsid w:val="00D454D7"/>
    <w:rsid w:val="00D46202"/>
    <w:rsid w:val="00D46C13"/>
    <w:rsid w:val="00D46E26"/>
    <w:rsid w:val="00D47330"/>
    <w:rsid w:val="00D47798"/>
    <w:rsid w:val="00D5073E"/>
    <w:rsid w:val="00D516E3"/>
    <w:rsid w:val="00D525E1"/>
    <w:rsid w:val="00D5297A"/>
    <w:rsid w:val="00D54010"/>
    <w:rsid w:val="00D54A38"/>
    <w:rsid w:val="00D55166"/>
    <w:rsid w:val="00D55319"/>
    <w:rsid w:val="00D55546"/>
    <w:rsid w:val="00D55B92"/>
    <w:rsid w:val="00D55C02"/>
    <w:rsid w:val="00D56400"/>
    <w:rsid w:val="00D564CB"/>
    <w:rsid w:val="00D56F1D"/>
    <w:rsid w:val="00D56FDD"/>
    <w:rsid w:val="00D570E9"/>
    <w:rsid w:val="00D57597"/>
    <w:rsid w:val="00D57738"/>
    <w:rsid w:val="00D60682"/>
    <w:rsid w:val="00D60C7B"/>
    <w:rsid w:val="00D61A9E"/>
    <w:rsid w:val="00D61DAE"/>
    <w:rsid w:val="00D61F2E"/>
    <w:rsid w:val="00D6262E"/>
    <w:rsid w:val="00D62E6F"/>
    <w:rsid w:val="00D62ED9"/>
    <w:rsid w:val="00D63D6A"/>
    <w:rsid w:val="00D64229"/>
    <w:rsid w:val="00D642BD"/>
    <w:rsid w:val="00D64536"/>
    <w:rsid w:val="00D64DBA"/>
    <w:rsid w:val="00D64F26"/>
    <w:rsid w:val="00D65D05"/>
    <w:rsid w:val="00D65DFA"/>
    <w:rsid w:val="00D662D3"/>
    <w:rsid w:val="00D668F3"/>
    <w:rsid w:val="00D669B7"/>
    <w:rsid w:val="00D66A12"/>
    <w:rsid w:val="00D66E8B"/>
    <w:rsid w:val="00D66EBC"/>
    <w:rsid w:val="00D67268"/>
    <w:rsid w:val="00D67436"/>
    <w:rsid w:val="00D70155"/>
    <w:rsid w:val="00D70A32"/>
    <w:rsid w:val="00D7249E"/>
    <w:rsid w:val="00D72521"/>
    <w:rsid w:val="00D72BB5"/>
    <w:rsid w:val="00D73283"/>
    <w:rsid w:val="00D73998"/>
    <w:rsid w:val="00D74216"/>
    <w:rsid w:val="00D74AE5"/>
    <w:rsid w:val="00D752EE"/>
    <w:rsid w:val="00D75457"/>
    <w:rsid w:val="00D75D6B"/>
    <w:rsid w:val="00D763E6"/>
    <w:rsid w:val="00D76BBD"/>
    <w:rsid w:val="00D77106"/>
    <w:rsid w:val="00D7743B"/>
    <w:rsid w:val="00D774F3"/>
    <w:rsid w:val="00D776EB"/>
    <w:rsid w:val="00D806BD"/>
    <w:rsid w:val="00D806DE"/>
    <w:rsid w:val="00D8094F"/>
    <w:rsid w:val="00D81B99"/>
    <w:rsid w:val="00D828BA"/>
    <w:rsid w:val="00D82B8E"/>
    <w:rsid w:val="00D83CCF"/>
    <w:rsid w:val="00D845E1"/>
    <w:rsid w:val="00D84CDA"/>
    <w:rsid w:val="00D84E1C"/>
    <w:rsid w:val="00D8586C"/>
    <w:rsid w:val="00D86008"/>
    <w:rsid w:val="00D86112"/>
    <w:rsid w:val="00D867CB"/>
    <w:rsid w:val="00D86A5C"/>
    <w:rsid w:val="00D86B7F"/>
    <w:rsid w:val="00D86B96"/>
    <w:rsid w:val="00D86C36"/>
    <w:rsid w:val="00D87A6B"/>
    <w:rsid w:val="00D900AA"/>
    <w:rsid w:val="00D90919"/>
    <w:rsid w:val="00D90E41"/>
    <w:rsid w:val="00D9169F"/>
    <w:rsid w:val="00D916AC"/>
    <w:rsid w:val="00D917BB"/>
    <w:rsid w:val="00D9219C"/>
    <w:rsid w:val="00D9229E"/>
    <w:rsid w:val="00D938B0"/>
    <w:rsid w:val="00D9418C"/>
    <w:rsid w:val="00D94F5E"/>
    <w:rsid w:val="00D95198"/>
    <w:rsid w:val="00D9522B"/>
    <w:rsid w:val="00D962A5"/>
    <w:rsid w:val="00D9647C"/>
    <w:rsid w:val="00D9708B"/>
    <w:rsid w:val="00D9722E"/>
    <w:rsid w:val="00DA0002"/>
    <w:rsid w:val="00DA06B8"/>
    <w:rsid w:val="00DA07A5"/>
    <w:rsid w:val="00DA0B23"/>
    <w:rsid w:val="00DA0B2F"/>
    <w:rsid w:val="00DA1164"/>
    <w:rsid w:val="00DA1269"/>
    <w:rsid w:val="00DA13DA"/>
    <w:rsid w:val="00DA1A9E"/>
    <w:rsid w:val="00DA2774"/>
    <w:rsid w:val="00DA2C12"/>
    <w:rsid w:val="00DA30EA"/>
    <w:rsid w:val="00DA3A32"/>
    <w:rsid w:val="00DA3EB6"/>
    <w:rsid w:val="00DA47D4"/>
    <w:rsid w:val="00DA480F"/>
    <w:rsid w:val="00DA54CD"/>
    <w:rsid w:val="00DA5E58"/>
    <w:rsid w:val="00DA65FF"/>
    <w:rsid w:val="00DA67C4"/>
    <w:rsid w:val="00DA6A9C"/>
    <w:rsid w:val="00DA6DE7"/>
    <w:rsid w:val="00DA76B9"/>
    <w:rsid w:val="00DA78C7"/>
    <w:rsid w:val="00DA78DD"/>
    <w:rsid w:val="00DA7AA8"/>
    <w:rsid w:val="00DA7C0B"/>
    <w:rsid w:val="00DB05CE"/>
    <w:rsid w:val="00DB0EF4"/>
    <w:rsid w:val="00DB1F1F"/>
    <w:rsid w:val="00DB221C"/>
    <w:rsid w:val="00DB26C8"/>
    <w:rsid w:val="00DB2D37"/>
    <w:rsid w:val="00DB2F47"/>
    <w:rsid w:val="00DB3578"/>
    <w:rsid w:val="00DB37C3"/>
    <w:rsid w:val="00DB38C4"/>
    <w:rsid w:val="00DB3FA9"/>
    <w:rsid w:val="00DB3FF6"/>
    <w:rsid w:val="00DB47F6"/>
    <w:rsid w:val="00DB49C8"/>
    <w:rsid w:val="00DB4CFE"/>
    <w:rsid w:val="00DB5878"/>
    <w:rsid w:val="00DB64B8"/>
    <w:rsid w:val="00DB6873"/>
    <w:rsid w:val="00DB69D0"/>
    <w:rsid w:val="00DB7201"/>
    <w:rsid w:val="00DB764A"/>
    <w:rsid w:val="00DB768B"/>
    <w:rsid w:val="00DB789E"/>
    <w:rsid w:val="00DB7C38"/>
    <w:rsid w:val="00DC056D"/>
    <w:rsid w:val="00DC072C"/>
    <w:rsid w:val="00DC0D2C"/>
    <w:rsid w:val="00DC26F7"/>
    <w:rsid w:val="00DC2B00"/>
    <w:rsid w:val="00DC2DC2"/>
    <w:rsid w:val="00DC414D"/>
    <w:rsid w:val="00DC48BA"/>
    <w:rsid w:val="00DC4EED"/>
    <w:rsid w:val="00DC50A0"/>
    <w:rsid w:val="00DC5D44"/>
    <w:rsid w:val="00DC5F91"/>
    <w:rsid w:val="00DC62BC"/>
    <w:rsid w:val="00DC6922"/>
    <w:rsid w:val="00DC6A1A"/>
    <w:rsid w:val="00DC7041"/>
    <w:rsid w:val="00DC78AB"/>
    <w:rsid w:val="00DC7B23"/>
    <w:rsid w:val="00DC7FF8"/>
    <w:rsid w:val="00DD0451"/>
    <w:rsid w:val="00DD37E8"/>
    <w:rsid w:val="00DD3913"/>
    <w:rsid w:val="00DD39B3"/>
    <w:rsid w:val="00DD4204"/>
    <w:rsid w:val="00DD475B"/>
    <w:rsid w:val="00DD4F6F"/>
    <w:rsid w:val="00DD51FB"/>
    <w:rsid w:val="00DD5CDB"/>
    <w:rsid w:val="00DD711A"/>
    <w:rsid w:val="00DD7308"/>
    <w:rsid w:val="00DD7615"/>
    <w:rsid w:val="00DD7692"/>
    <w:rsid w:val="00DD76FD"/>
    <w:rsid w:val="00DD7849"/>
    <w:rsid w:val="00DD7C5F"/>
    <w:rsid w:val="00DE02FF"/>
    <w:rsid w:val="00DE04B8"/>
    <w:rsid w:val="00DE0765"/>
    <w:rsid w:val="00DE07CA"/>
    <w:rsid w:val="00DE08EF"/>
    <w:rsid w:val="00DE0F2D"/>
    <w:rsid w:val="00DE101F"/>
    <w:rsid w:val="00DE13ED"/>
    <w:rsid w:val="00DE1703"/>
    <w:rsid w:val="00DE1F97"/>
    <w:rsid w:val="00DE2512"/>
    <w:rsid w:val="00DE2E22"/>
    <w:rsid w:val="00DE32F8"/>
    <w:rsid w:val="00DE3550"/>
    <w:rsid w:val="00DE4215"/>
    <w:rsid w:val="00DE4407"/>
    <w:rsid w:val="00DE440F"/>
    <w:rsid w:val="00DE56AE"/>
    <w:rsid w:val="00DE5AC7"/>
    <w:rsid w:val="00DE66CC"/>
    <w:rsid w:val="00DE72DF"/>
    <w:rsid w:val="00DF0261"/>
    <w:rsid w:val="00DF0510"/>
    <w:rsid w:val="00DF0694"/>
    <w:rsid w:val="00DF0746"/>
    <w:rsid w:val="00DF0904"/>
    <w:rsid w:val="00DF1528"/>
    <w:rsid w:val="00DF1DAB"/>
    <w:rsid w:val="00DF1E44"/>
    <w:rsid w:val="00DF245E"/>
    <w:rsid w:val="00DF462E"/>
    <w:rsid w:val="00DF5049"/>
    <w:rsid w:val="00DF504E"/>
    <w:rsid w:val="00DF52DC"/>
    <w:rsid w:val="00DF52F7"/>
    <w:rsid w:val="00DF54D2"/>
    <w:rsid w:val="00DF54DB"/>
    <w:rsid w:val="00DF5AC6"/>
    <w:rsid w:val="00DF6669"/>
    <w:rsid w:val="00DF709D"/>
    <w:rsid w:val="00DF7223"/>
    <w:rsid w:val="00DF7D90"/>
    <w:rsid w:val="00E00DB3"/>
    <w:rsid w:val="00E01416"/>
    <w:rsid w:val="00E015F1"/>
    <w:rsid w:val="00E021EB"/>
    <w:rsid w:val="00E02A0B"/>
    <w:rsid w:val="00E02D81"/>
    <w:rsid w:val="00E02FB3"/>
    <w:rsid w:val="00E0323A"/>
    <w:rsid w:val="00E036D9"/>
    <w:rsid w:val="00E03831"/>
    <w:rsid w:val="00E03B18"/>
    <w:rsid w:val="00E040F6"/>
    <w:rsid w:val="00E04465"/>
    <w:rsid w:val="00E04540"/>
    <w:rsid w:val="00E04A56"/>
    <w:rsid w:val="00E04AB0"/>
    <w:rsid w:val="00E05468"/>
    <w:rsid w:val="00E0572D"/>
    <w:rsid w:val="00E05AC1"/>
    <w:rsid w:val="00E07186"/>
    <w:rsid w:val="00E07934"/>
    <w:rsid w:val="00E07D32"/>
    <w:rsid w:val="00E1031B"/>
    <w:rsid w:val="00E1060A"/>
    <w:rsid w:val="00E10758"/>
    <w:rsid w:val="00E112C7"/>
    <w:rsid w:val="00E116B4"/>
    <w:rsid w:val="00E1257F"/>
    <w:rsid w:val="00E1307F"/>
    <w:rsid w:val="00E138A7"/>
    <w:rsid w:val="00E14547"/>
    <w:rsid w:val="00E15F14"/>
    <w:rsid w:val="00E164DB"/>
    <w:rsid w:val="00E16F70"/>
    <w:rsid w:val="00E1715B"/>
    <w:rsid w:val="00E17621"/>
    <w:rsid w:val="00E20062"/>
    <w:rsid w:val="00E20152"/>
    <w:rsid w:val="00E204B9"/>
    <w:rsid w:val="00E20D56"/>
    <w:rsid w:val="00E2113E"/>
    <w:rsid w:val="00E2139D"/>
    <w:rsid w:val="00E21488"/>
    <w:rsid w:val="00E21CAD"/>
    <w:rsid w:val="00E21F98"/>
    <w:rsid w:val="00E23CB8"/>
    <w:rsid w:val="00E23CDB"/>
    <w:rsid w:val="00E24024"/>
    <w:rsid w:val="00E2523B"/>
    <w:rsid w:val="00E2539F"/>
    <w:rsid w:val="00E253EC"/>
    <w:rsid w:val="00E258DF"/>
    <w:rsid w:val="00E25D29"/>
    <w:rsid w:val="00E2655F"/>
    <w:rsid w:val="00E26772"/>
    <w:rsid w:val="00E26884"/>
    <w:rsid w:val="00E26B81"/>
    <w:rsid w:val="00E27991"/>
    <w:rsid w:val="00E27FA1"/>
    <w:rsid w:val="00E304CF"/>
    <w:rsid w:val="00E30C6C"/>
    <w:rsid w:val="00E313E8"/>
    <w:rsid w:val="00E313FC"/>
    <w:rsid w:val="00E3149B"/>
    <w:rsid w:val="00E31F18"/>
    <w:rsid w:val="00E3228D"/>
    <w:rsid w:val="00E32DC0"/>
    <w:rsid w:val="00E33423"/>
    <w:rsid w:val="00E3351A"/>
    <w:rsid w:val="00E338C5"/>
    <w:rsid w:val="00E33CA9"/>
    <w:rsid w:val="00E34789"/>
    <w:rsid w:val="00E34E22"/>
    <w:rsid w:val="00E35173"/>
    <w:rsid w:val="00E35B4C"/>
    <w:rsid w:val="00E3652A"/>
    <w:rsid w:val="00E365E8"/>
    <w:rsid w:val="00E366B0"/>
    <w:rsid w:val="00E3727B"/>
    <w:rsid w:val="00E3756E"/>
    <w:rsid w:val="00E37F28"/>
    <w:rsid w:val="00E400CF"/>
    <w:rsid w:val="00E40550"/>
    <w:rsid w:val="00E408BE"/>
    <w:rsid w:val="00E40E0B"/>
    <w:rsid w:val="00E41832"/>
    <w:rsid w:val="00E418D8"/>
    <w:rsid w:val="00E4196F"/>
    <w:rsid w:val="00E429EE"/>
    <w:rsid w:val="00E42AE8"/>
    <w:rsid w:val="00E437F0"/>
    <w:rsid w:val="00E43A01"/>
    <w:rsid w:val="00E43E0A"/>
    <w:rsid w:val="00E43E15"/>
    <w:rsid w:val="00E442E6"/>
    <w:rsid w:val="00E45B5D"/>
    <w:rsid w:val="00E45E7A"/>
    <w:rsid w:val="00E4667D"/>
    <w:rsid w:val="00E466C3"/>
    <w:rsid w:val="00E46D80"/>
    <w:rsid w:val="00E472B2"/>
    <w:rsid w:val="00E4765B"/>
    <w:rsid w:val="00E478A8"/>
    <w:rsid w:val="00E47AEF"/>
    <w:rsid w:val="00E47C6B"/>
    <w:rsid w:val="00E47FD1"/>
    <w:rsid w:val="00E50A24"/>
    <w:rsid w:val="00E50B26"/>
    <w:rsid w:val="00E50F18"/>
    <w:rsid w:val="00E5168B"/>
    <w:rsid w:val="00E51A8E"/>
    <w:rsid w:val="00E52002"/>
    <w:rsid w:val="00E52EEF"/>
    <w:rsid w:val="00E536BA"/>
    <w:rsid w:val="00E53943"/>
    <w:rsid w:val="00E54338"/>
    <w:rsid w:val="00E5491F"/>
    <w:rsid w:val="00E55396"/>
    <w:rsid w:val="00E5543B"/>
    <w:rsid w:val="00E55B54"/>
    <w:rsid w:val="00E55D14"/>
    <w:rsid w:val="00E56534"/>
    <w:rsid w:val="00E566D9"/>
    <w:rsid w:val="00E56745"/>
    <w:rsid w:val="00E57761"/>
    <w:rsid w:val="00E57FC2"/>
    <w:rsid w:val="00E6020B"/>
    <w:rsid w:val="00E6080E"/>
    <w:rsid w:val="00E60812"/>
    <w:rsid w:val="00E615E7"/>
    <w:rsid w:val="00E61938"/>
    <w:rsid w:val="00E61EA1"/>
    <w:rsid w:val="00E62143"/>
    <w:rsid w:val="00E621D1"/>
    <w:rsid w:val="00E63059"/>
    <w:rsid w:val="00E630CB"/>
    <w:rsid w:val="00E630ED"/>
    <w:rsid w:val="00E639DA"/>
    <w:rsid w:val="00E63ACF"/>
    <w:rsid w:val="00E641FF"/>
    <w:rsid w:val="00E6481D"/>
    <w:rsid w:val="00E648C1"/>
    <w:rsid w:val="00E64D5C"/>
    <w:rsid w:val="00E64FD6"/>
    <w:rsid w:val="00E653FA"/>
    <w:rsid w:val="00E65B7D"/>
    <w:rsid w:val="00E66899"/>
    <w:rsid w:val="00E66CFB"/>
    <w:rsid w:val="00E66FD8"/>
    <w:rsid w:val="00E670E4"/>
    <w:rsid w:val="00E67557"/>
    <w:rsid w:val="00E67CFF"/>
    <w:rsid w:val="00E67DD4"/>
    <w:rsid w:val="00E705E7"/>
    <w:rsid w:val="00E705EC"/>
    <w:rsid w:val="00E70629"/>
    <w:rsid w:val="00E72308"/>
    <w:rsid w:val="00E725DA"/>
    <w:rsid w:val="00E728D8"/>
    <w:rsid w:val="00E72F6F"/>
    <w:rsid w:val="00E732F5"/>
    <w:rsid w:val="00E7337C"/>
    <w:rsid w:val="00E73438"/>
    <w:rsid w:val="00E73C5C"/>
    <w:rsid w:val="00E74106"/>
    <w:rsid w:val="00E749A4"/>
    <w:rsid w:val="00E75007"/>
    <w:rsid w:val="00E75686"/>
    <w:rsid w:val="00E766A9"/>
    <w:rsid w:val="00E76E05"/>
    <w:rsid w:val="00E76F68"/>
    <w:rsid w:val="00E7716F"/>
    <w:rsid w:val="00E77A1B"/>
    <w:rsid w:val="00E77F9A"/>
    <w:rsid w:val="00E80120"/>
    <w:rsid w:val="00E80144"/>
    <w:rsid w:val="00E80310"/>
    <w:rsid w:val="00E807D2"/>
    <w:rsid w:val="00E80915"/>
    <w:rsid w:val="00E80A22"/>
    <w:rsid w:val="00E812CA"/>
    <w:rsid w:val="00E812F1"/>
    <w:rsid w:val="00E81334"/>
    <w:rsid w:val="00E83568"/>
    <w:rsid w:val="00E8413B"/>
    <w:rsid w:val="00E84363"/>
    <w:rsid w:val="00E85261"/>
    <w:rsid w:val="00E859A4"/>
    <w:rsid w:val="00E85FE7"/>
    <w:rsid w:val="00E871F9"/>
    <w:rsid w:val="00E87C7E"/>
    <w:rsid w:val="00E908A6"/>
    <w:rsid w:val="00E90E6E"/>
    <w:rsid w:val="00E91A96"/>
    <w:rsid w:val="00E91C6E"/>
    <w:rsid w:val="00E924E9"/>
    <w:rsid w:val="00E936EF"/>
    <w:rsid w:val="00E937D5"/>
    <w:rsid w:val="00E945E4"/>
    <w:rsid w:val="00E94635"/>
    <w:rsid w:val="00E9465B"/>
    <w:rsid w:val="00E94C5B"/>
    <w:rsid w:val="00E96362"/>
    <w:rsid w:val="00E96A05"/>
    <w:rsid w:val="00E97233"/>
    <w:rsid w:val="00E97593"/>
    <w:rsid w:val="00E97A38"/>
    <w:rsid w:val="00EA0604"/>
    <w:rsid w:val="00EA0750"/>
    <w:rsid w:val="00EA0B83"/>
    <w:rsid w:val="00EA1ACA"/>
    <w:rsid w:val="00EA2211"/>
    <w:rsid w:val="00EA2370"/>
    <w:rsid w:val="00EA2748"/>
    <w:rsid w:val="00EA2795"/>
    <w:rsid w:val="00EA363B"/>
    <w:rsid w:val="00EA37AF"/>
    <w:rsid w:val="00EA3DF4"/>
    <w:rsid w:val="00EA3FDB"/>
    <w:rsid w:val="00EA4B64"/>
    <w:rsid w:val="00EA5572"/>
    <w:rsid w:val="00EA5698"/>
    <w:rsid w:val="00EA60EE"/>
    <w:rsid w:val="00EA6D0B"/>
    <w:rsid w:val="00EA7077"/>
    <w:rsid w:val="00EA70B1"/>
    <w:rsid w:val="00EA72C4"/>
    <w:rsid w:val="00EA7995"/>
    <w:rsid w:val="00EA7E09"/>
    <w:rsid w:val="00EB1608"/>
    <w:rsid w:val="00EB18A8"/>
    <w:rsid w:val="00EB252F"/>
    <w:rsid w:val="00EB2D50"/>
    <w:rsid w:val="00EB2EEA"/>
    <w:rsid w:val="00EB3201"/>
    <w:rsid w:val="00EB3561"/>
    <w:rsid w:val="00EB3F8B"/>
    <w:rsid w:val="00EB40C4"/>
    <w:rsid w:val="00EB4427"/>
    <w:rsid w:val="00EB498F"/>
    <w:rsid w:val="00EB521B"/>
    <w:rsid w:val="00EB5BEA"/>
    <w:rsid w:val="00EB5DD1"/>
    <w:rsid w:val="00EB5DFE"/>
    <w:rsid w:val="00EB681E"/>
    <w:rsid w:val="00EB6A9E"/>
    <w:rsid w:val="00EB6DC1"/>
    <w:rsid w:val="00EB7275"/>
    <w:rsid w:val="00EC03CE"/>
    <w:rsid w:val="00EC04EE"/>
    <w:rsid w:val="00EC0B3D"/>
    <w:rsid w:val="00EC0F3C"/>
    <w:rsid w:val="00EC1A48"/>
    <w:rsid w:val="00EC1D65"/>
    <w:rsid w:val="00EC28C5"/>
    <w:rsid w:val="00EC2C37"/>
    <w:rsid w:val="00EC30E0"/>
    <w:rsid w:val="00EC3715"/>
    <w:rsid w:val="00EC3C62"/>
    <w:rsid w:val="00EC4884"/>
    <w:rsid w:val="00EC4BEB"/>
    <w:rsid w:val="00EC4F01"/>
    <w:rsid w:val="00EC50FB"/>
    <w:rsid w:val="00EC67F1"/>
    <w:rsid w:val="00EC6A4A"/>
    <w:rsid w:val="00EC6B7F"/>
    <w:rsid w:val="00EC6C95"/>
    <w:rsid w:val="00EC6CD5"/>
    <w:rsid w:val="00EC7058"/>
    <w:rsid w:val="00EC7A20"/>
    <w:rsid w:val="00ED0DA5"/>
    <w:rsid w:val="00ED0E53"/>
    <w:rsid w:val="00ED1139"/>
    <w:rsid w:val="00ED15ED"/>
    <w:rsid w:val="00ED1EF1"/>
    <w:rsid w:val="00ED323E"/>
    <w:rsid w:val="00ED3910"/>
    <w:rsid w:val="00ED3DB9"/>
    <w:rsid w:val="00ED42DC"/>
    <w:rsid w:val="00ED4484"/>
    <w:rsid w:val="00ED4D42"/>
    <w:rsid w:val="00ED5AA4"/>
    <w:rsid w:val="00ED5ADB"/>
    <w:rsid w:val="00ED5D3B"/>
    <w:rsid w:val="00ED63CC"/>
    <w:rsid w:val="00ED648F"/>
    <w:rsid w:val="00ED6670"/>
    <w:rsid w:val="00ED778C"/>
    <w:rsid w:val="00ED7C64"/>
    <w:rsid w:val="00ED7D49"/>
    <w:rsid w:val="00EE072D"/>
    <w:rsid w:val="00EE0C34"/>
    <w:rsid w:val="00EE0CE1"/>
    <w:rsid w:val="00EE14B3"/>
    <w:rsid w:val="00EE169B"/>
    <w:rsid w:val="00EE20E2"/>
    <w:rsid w:val="00EE2441"/>
    <w:rsid w:val="00EE24A2"/>
    <w:rsid w:val="00EE2DF4"/>
    <w:rsid w:val="00EE30AB"/>
    <w:rsid w:val="00EE3D57"/>
    <w:rsid w:val="00EE3FD8"/>
    <w:rsid w:val="00EE4022"/>
    <w:rsid w:val="00EE411E"/>
    <w:rsid w:val="00EE4F2E"/>
    <w:rsid w:val="00EE5653"/>
    <w:rsid w:val="00EE5D37"/>
    <w:rsid w:val="00EE61BD"/>
    <w:rsid w:val="00EE6AE8"/>
    <w:rsid w:val="00EE6B7C"/>
    <w:rsid w:val="00EE6E07"/>
    <w:rsid w:val="00EE6FB6"/>
    <w:rsid w:val="00EE7314"/>
    <w:rsid w:val="00EE7AF5"/>
    <w:rsid w:val="00EE7B08"/>
    <w:rsid w:val="00EF05B9"/>
    <w:rsid w:val="00EF0894"/>
    <w:rsid w:val="00EF1545"/>
    <w:rsid w:val="00EF1B3C"/>
    <w:rsid w:val="00EF3E41"/>
    <w:rsid w:val="00EF43E1"/>
    <w:rsid w:val="00EF5362"/>
    <w:rsid w:val="00EF616D"/>
    <w:rsid w:val="00EF6B59"/>
    <w:rsid w:val="00EF7873"/>
    <w:rsid w:val="00F00076"/>
    <w:rsid w:val="00F0067C"/>
    <w:rsid w:val="00F01AD0"/>
    <w:rsid w:val="00F01ADC"/>
    <w:rsid w:val="00F01EE6"/>
    <w:rsid w:val="00F0271D"/>
    <w:rsid w:val="00F02B21"/>
    <w:rsid w:val="00F032E6"/>
    <w:rsid w:val="00F038CE"/>
    <w:rsid w:val="00F03928"/>
    <w:rsid w:val="00F0393F"/>
    <w:rsid w:val="00F041E4"/>
    <w:rsid w:val="00F043A7"/>
    <w:rsid w:val="00F0586B"/>
    <w:rsid w:val="00F0604B"/>
    <w:rsid w:val="00F06205"/>
    <w:rsid w:val="00F06287"/>
    <w:rsid w:val="00F0696E"/>
    <w:rsid w:val="00F072AE"/>
    <w:rsid w:val="00F074DB"/>
    <w:rsid w:val="00F07A53"/>
    <w:rsid w:val="00F07C5B"/>
    <w:rsid w:val="00F07D40"/>
    <w:rsid w:val="00F1017C"/>
    <w:rsid w:val="00F10AB0"/>
    <w:rsid w:val="00F11D71"/>
    <w:rsid w:val="00F12503"/>
    <w:rsid w:val="00F12A9C"/>
    <w:rsid w:val="00F12C22"/>
    <w:rsid w:val="00F12DC7"/>
    <w:rsid w:val="00F1352F"/>
    <w:rsid w:val="00F1391A"/>
    <w:rsid w:val="00F13D96"/>
    <w:rsid w:val="00F142EA"/>
    <w:rsid w:val="00F144F6"/>
    <w:rsid w:val="00F14683"/>
    <w:rsid w:val="00F146DD"/>
    <w:rsid w:val="00F148E3"/>
    <w:rsid w:val="00F14A30"/>
    <w:rsid w:val="00F15567"/>
    <w:rsid w:val="00F1612B"/>
    <w:rsid w:val="00F1623D"/>
    <w:rsid w:val="00F1634A"/>
    <w:rsid w:val="00F179A2"/>
    <w:rsid w:val="00F204FB"/>
    <w:rsid w:val="00F21686"/>
    <w:rsid w:val="00F21D2A"/>
    <w:rsid w:val="00F2200B"/>
    <w:rsid w:val="00F22D9A"/>
    <w:rsid w:val="00F23101"/>
    <w:rsid w:val="00F23BD7"/>
    <w:rsid w:val="00F23DAC"/>
    <w:rsid w:val="00F2482F"/>
    <w:rsid w:val="00F2486A"/>
    <w:rsid w:val="00F24A77"/>
    <w:rsid w:val="00F24B10"/>
    <w:rsid w:val="00F25F71"/>
    <w:rsid w:val="00F25FD6"/>
    <w:rsid w:val="00F279B3"/>
    <w:rsid w:val="00F30EE6"/>
    <w:rsid w:val="00F30EE8"/>
    <w:rsid w:val="00F3147C"/>
    <w:rsid w:val="00F32A70"/>
    <w:rsid w:val="00F32BFF"/>
    <w:rsid w:val="00F333A7"/>
    <w:rsid w:val="00F333B3"/>
    <w:rsid w:val="00F33B06"/>
    <w:rsid w:val="00F33BCA"/>
    <w:rsid w:val="00F3424B"/>
    <w:rsid w:val="00F35766"/>
    <w:rsid w:val="00F36167"/>
    <w:rsid w:val="00F362F8"/>
    <w:rsid w:val="00F36964"/>
    <w:rsid w:val="00F37886"/>
    <w:rsid w:val="00F378E1"/>
    <w:rsid w:val="00F379C6"/>
    <w:rsid w:val="00F37C03"/>
    <w:rsid w:val="00F40519"/>
    <w:rsid w:val="00F4067E"/>
    <w:rsid w:val="00F40DD5"/>
    <w:rsid w:val="00F411CA"/>
    <w:rsid w:val="00F4192F"/>
    <w:rsid w:val="00F41D36"/>
    <w:rsid w:val="00F41E23"/>
    <w:rsid w:val="00F41F6C"/>
    <w:rsid w:val="00F43ADA"/>
    <w:rsid w:val="00F444A4"/>
    <w:rsid w:val="00F44ACA"/>
    <w:rsid w:val="00F44C05"/>
    <w:rsid w:val="00F459A8"/>
    <w:rsid w:val="00F45F46"/>
    <w:rsid w:val="00F46B5F"/>
    <w:rsid w:val="00F47381"/>
    <w:rsid w:val="00F473C6"/>
    <w:rsid w:val="00F47A8A"/>
    <w:rsid w:val="00F50315"/>
    <w:rsid w:val="00F51175"/>
    <w:rsid w:val="00F51323"/>
    <w:rsid w:val="00F5168E"/>
    <w:rsid w:val="00F51913"/>
    <w:rsid w:val="00F52368"/>
    <w:rsid w:val="00F52C45"/>
    <w:rsid w:val="00F534FA"/>
    <w:rsid w:val="00F538B9"/>
    <w:rsid w:val="00F53BFB"/>
    <w:rsid w:val="00F53EC0"/>
    <w:rsid w:val="00F53FA1"/>
    <w:rsid w:val="00F53FEA"/>
    <w:rsid w:val="00F54598"/>
    <w:rsid w:val="00F5488A"/>
    <w:rsid w:val="00F551EC"/>
    <w:rsid w:val="00F5528C"/>
    <w:rsid w:val="00F560C3"/>
    <w:rsid w:val="00F5728E"/>
    <w:rsid w:val="00F600EB"/>
    <w:rsid w:val="00F6059D"/>
    <w:rsid w:val="00F605DF"/>
    <w:rsid w:val="00F607B4"/>
    <w:rsid w:val="00F6086C"/>
    <w:rsid w:val="00F60A5C"/>
    <w:rsid w:val="00F60CA1"/>
    <w:rsid w:val="00F61282"/>
    <w:rsid w:val="00F6149D"/>
    <w:rsid w:val="00F61C40"/>
    <w:rsid w:val="00F61FDC"/>
    <w:rsid w:val="00F626BD"/>
    <w:rsid w:val="00F62985"/>
    <w:rsid w:val="00F63008"/>
    <w:rsid w:val="00F6339B"/>
    <w:rsid w:val="00F6360E"/>
    <w:rsid w:val="00F63640"/>
    <w:rsid w:val="00F64731"/>
    <w:rsid w:val="00F653A9"/>
    <w:rsid w:val="00F66194"/>
    <w:rsid w:val="00F6642D"/>
    <w:rsid w:val="00F66B05"/>
    <w:rsid w:val="00F66DBA"/>
    <w:rsid w:val="00F67794"/>
    <w:rsid w:val="00F70A2A"/>
    <w:rsid w:val="00F71D0D"/>
    <w:rsid w:val="00F71E5C"/>
    <w:rsid w:val="00F740CD"/>
    <w:rsid w:val="00F741F4"/>
    <w:rsid w:val="00F74269"/>
    <w:rsid w:val="00F75065"/>
    <w:rsid w:val="00F7516E"/>
    <w:rsid w:val="00F75270"/>
    <w:rsid w:val="00F7568B"/>
    <w:rsid w:val="00F7596B"/>
    <w:rsid w:val="00F7634E"/>
    <w:rsid w:val="00F765CB"/>
    <w:rsid w:val="00F76793"/>
    <w:rsid w:val="00F7799E"/>
    <w:rsid w:val="00F77D7A"/>
    <w:rsid w:val="00F804C9"/>
    <w:rsid w:val="00F805CE"/>
    <w:rsid w:val="00F80780"/>
    <w:rsid w:val="00F81ADB"/>
    <w:rsid w:val="00F81B8D"/>
    <w:rsid w:val="00F824F0"/>
    <w:rsid w:val="00F82F06"/>
    <w:rsid w:val="00F83052"/>
    <w:rsid w:val="00F83130"/>
    <w:rsid w:val="00F846CB"/>
    <w:rsid w:val="00F84B77"/>
    <w:rsid w:val="00F84D79"/>
    <w:rsid w:val="00F84DCD"/>
    <w:rsid w:val="00F85D57"/>
    <w:rsid w:val="00F874D8"/>
    <w:rsid w:val="00F87E20"/>
    <w:rsid w:val="00F9029E"/>
    <w:rsid w:val="00F90E4C"/>
    <w:rsid w:val="00F90FF6"/>
    <w:rsid w:val="00F91A9A"/>
    <w:rsid w:val="00F91ADE"/>
    <w:rsid w:val="00F91B65"/>
    <w:rsid w:val="00F91D4F"/>
    <w:rsid w:val="00F925E2"/>
    <w:rsid w:val="00F926E7"/>
    <w:rsid w:val="00F92A1A"/>
    <w:rsid w:val="00F92FD2"/>
    <w:rsid w:val="00F937CC"/>
    <w:rsid w:val="00F93839"/>
    <w:rsid w:val="00F94534"/>
    <w:rsid w:val="00F94DF0"/>
    <w:rsid w:val="00F9523C"/>
    <w:rsid w:val="00F95394"/>
    <w:rsid w:val="00F95603"/>
    <w:rsid w:val="00F95B5A"/>
    <w:rsid w:val="00F95C44"/>
    <w:rsid w:val="00F95E59"/>
    <w:rsid w:val="00F9603E"/>
    <w:rsid w:val="00F968C0"/>
    <w:rsid w:val="00F96D82"/>
    <w:rsid w:val="00F9705D"/>
    <w:rsid w:val="00F97256"/>
    <w:rsid w:val="00F978E0"/>
    <w:rsid w:val="00FA03A7"/>
    <w:rsid w:val="00FA0808"/>
    <w:rsid w:val="00FA0DAF"/>
    <w:rsid w:val="00FA115C"/>
    <w:rsid w:val="00FA12A9"/>
    <w:rsid w:val="00FA1C5C"/>
    <w:rsid w:val="00FA2360"/>
    <w:rsid w:val="00FA2802"/>
    <w:rsid w:val="00FA2B73"/>
    <w:rsid w:val="00FA2FBF"/>
    <w:rsid w:val="00FA30F3"/>
    <w:rsid w:val="00FA3B9B"/>
    <w:rsid w:val="00FA49C8"/>
    <w:rsid w:val="00FA4E6F"/>
    <w:rsid w:val="00FA5048"/>
    <w:rsid w:val="00FA5513"/>
    <w:rsid w:val="00FA56CD"/>
    <w:rsid w:val="00FA5757"/>
    <w:rsid w:val="00FA5F25"/>
    <w:rsid w:val="00FA62CA"/>
    <w:rsid w:val="00FA630D"/>
    <w:rsid w:val="00FA638E"/>
    <w:rsid w:val="00FA6961"/>
    <w:rsid w:val="00FA6B39"/>
    <w:rsid w:val="00FA6E90"/>
    <w:rsid w:val="00FA75AD"/>
    <w:rsid w:val="00FA76CD"/>
    <w:rsid w:val="00FB005C"/>
    <w:rsid w:val="00FB09A4"/>
    <w:rsid w:val="00FB0AA2"/>
    <w:rsid w:val="00FB0B7C"/>
    <w:rsid w:val="00FB0BF3"/>
    <w:rsid w:val="00FB0DB6"/>
    <w:rsid w:val="00FB0E76"/>
    <w:rsid w:val="00FB16CC"/>
    <w:rsid w:val="00FB1A52"/>
    <w:rsid w:val="00FB1A79"/>
    <w:rsid w:val="00FB234E"/>
    <w:rsid w:val="00FB25EE"/>
    <w:rsid w:val="00FB2849"/>
    <w:rsid w:val="00FB2A6A"/>
    <w:rsid w:val="00FB2DDA"/>
    <w:rsid w:val="00FB3442"/>
    <w:rsid w:val="00FB3C43"/>
    <w:rsid w:val="00FB3CB8"/>
    <w:rsid w:val="00FB4123"/>
    <w:rsid w:val="00FB458E"/>
    <w:rsid w:val="00FB45D4"/>
    <w:rsid w:val="00FB4705"/>
    <w:rsid w:val="00FB4754"/>
    <w:rsid w:val="00FB4F29"/>
    <w:rsid w:val="00FB5C6B"/>
    <w:rsid w:val="00FB5CAC"/>
    <w:rsid w:val="00FB5E34"/>
    <w:rsid w:val="00FB65D0"/>
    <w:rsid w:val="00FB65F0"/>
    <w:rsid w:val="00FB6655"/>
    <w:rsid w:val="00FB6CB3"/>
    <w:rsid w:val="00FB70A8"/>
    <w:rsid w:val="00FC027B"/>
    <w:rsid w:val="00FC0337"/>
    <w:rsid w:val="00FC079C"/>
    <w:rsid w:val="00FC11A9"/>
    <w:rsid w:val="00FC148B"/>
    <w:rsid w:val="00FC1C98"/>
    <w:rsid w:val="00FC1CDA"/>
    <w:rsid w:val="00FC28E9"/>
    <w:rsid w:val="00FC2951"/>
    <w:rsid w:val="00FC348E"/>
    <w:rsid w:val="00FC3C61"/>
    <w:rsid w:val="00FC482A"/>
    <w:rsid w:val="00FC4B1D"/>
    <w:rsid w:val="00FC4CC5"/>
    <w:rsid w:val="00FC4ED7"/>
    <w:rsid w:val="00FC5394"/>
    <w:rsid w:val="00FC54A9"/>
    <w:rsid w:val="00FC57A7"/>
    <w:rsid w:val="00FC5ACB"/>
    <w:rsid w:val="00FC5DCD"/>
    <w:rsid w:val="00FC5E07"/>
    <w:rsid w:val="00FC5FEB"/>
    <w:rsid w:val="00FC60B4"/>
    <w:rsid w:val="00FC6A5D"/>
    <w:rsid w:val="00FC6B82"/>
    <w:rsid w:val="00FC7934"/>
    <w:rsid w:val="00FC7DED"/>
    <w:rsid w:val="00FD0063"/>
    <w:rsid w:val="00FD0808"/>
    <w:rsid w:val="00FD0D8D"/>
    <w:rsid w:val="00FD0DE1"/>
    <w:rsid w:val="00FD15FB"/>
    <w:rsid w:val="00FD16A6"/>
    <w:rsid w:val="00FD20DB"/>
    <w:rsid w:val="00FD2954"/>
    <w:rsid w:val="00FD301A"/>
    <w:rsid w:val="00FD30B8"/>
    <w:rsid w:val="00FD3704"/>
    <w:rsid w:val="00FD3CBC"/>
    <w:rsid w:val="00FD5189"/>
    <w:rsid w:val="00FD5AA5"/>
    <w:rsid w:val="00FD5B01"/>
    <w:rsid w:val="00FD638F"/>
    <w:rsid w:val="00FD6930"/>
    <w:rsid w:val="00FD6D3A"/>
    <w:rsid w:val="00FD7470"/>
    <w:rsid w:val="00FD7A46"/>
    <w:rsid w:val="00FE02B1"/>
    <w:rsid w:val="00FE1233"/>
    <w:rsid w:val="00FE1259"/>
    <w:rsid w:val="00FE1818"/>
    <w:rsid w:val="00FE2008"/>
    <w:rsid w:val="00FE2365"/>
    <w:rsid w:val="00FE23AF"/>
    <w:rsid w:val="00FE297C"/>
    <w:rsid w:val="00FE2CF5"/>
    <w:rsid w:val="00FE2DB0"/>
    <w:rsid w:val="00FE2FC6"/>
    <w:rsid w:val="00FE35A9"/>
    <w:rsid w:val="00FE3D1A"/>
    <w:rsid w:val="00FE5F38"/>
    <w:rsid w:val="00FE634A"/>
    <w:rsid w:val="00FE7087"/>
    <w:rsid w:val="00FE7328"/>
    <w:rsid w:val="00FE7681"/>
    <w:rsid w:val="00FE79DF"/>
    <w:rsid w:val="00FE7B4E"/>
    <w:rsid w:val="00FE7E7D"/>
    <w:rsid w:val="00FF00CB"/>
    <w:rsid w:val="00FF0140"/>
    <w:rsid w:val="00FF035A"/>
    <w:rsid w:val="00FF045F"/>
    <w:rsid w:val="00FF0582"/>
    <w:rsid w:val="00FF081B"/>
    <w:rsid w:val="00FF10F8"/>
    <w:rsid w:val="00FF2170"/>
    <w:rsid w:val="00FF28BC"/>
    <w:rsid w:val="00FF2E8F"/>
    <w:rsid w:val="00FF3AFA"/>
    <w:rsid w:val="00FF4088"/>
    <w:rsid w:val="00FF4977"/>
    <w:rsid w:val="00FF4B9B"/>
    <w:rsid w:val="00FF4EB1"/>
    <w:rsid w:val="00FF51DE"/>
    <w:rsid w:val="00FF52C0"/>
    <w:rsid w:val="00FF5D89"/>
    <w:rsid w:val="00FF61B6"/>
    <w:rsid w:val="00FF6344"/>
    <w:rsid w:val="00FF6564"/>
    <w:rsid w:val="00FF6FEF"/>
    <w:rsid w:val="00FF795B"/>
    <w:rsid w:val="01195CE9"/>
    <w:rsid w:val="0124E9F8"/>
    <w:rsid w:val="01339777"/>
    <w:rsid w:val="013A790A"/>
    <w:rsid w:val="0145E8B5"/>
    <w:rsid w:val="014E255D"/>
    <w:rsid w:val="01659166"/>
    <w:rsid w:val="016E7EEB"/>
    <w:rsid w:val="01711537"/>
    <w:rsid w:val="01732801"/>
    <w:rsid w:val="0173B01D"/>
    <w:rsid w:val="01769424"/>
    <w:rsid w:val="01778E51"/>
    <w:rsid w:val="017B0593"/>
    <w:rsid w:val="017F57E6"/>
    <w:rsid w:val="01909D03"/>
    <w:rsid w:val="01915FE4"/>
    <w:rsid w:val="019A876B"/>
    <w:rsid w:val="01C5D687"/>
    <w:rsid w:val="01CD4F8B"/>
    <w:rsid w:val="01D0E246"/>
    <w:rsid w:val="01D9E0CF"/>
    <w:rsid w:val="01DE0D85"/>
    <w:rsid w:val="01DEEC92"/>
    <w:rsid w:val="01FCF3D7"/>
    <w:rsid w:val="01FFEB93"/>
    <w:rsid w:val="02045066"/>
    <w:rsid w:val="021AB13D"/>
    <w:rsid w:val="0245CA32"/>
    <w:rsid w:val="026A4CF2"/>
    <w:rsid w:val="02715DEB"/>
    <w:rsid w:val="027656E5"/>
    <w:rsid w:val="0286C0F8"/>
    <w:rsid w:val="02886D37"/>
    <w:rsid w:val="029A455D"/>
    <w:rsid w:val="029E94DF"/>
    <w:rsid w:val="02A7A9B1"/>
    <w:rsid w:val="02AB7713"/>
    <w:rsid w:val="02D24721"/>
    <w:rsid w:val="02E5729F"/>
    <w:rsid w:val="02FBD58F"/>
    <w:rsid w:val="030F7672"/>
    <w:rsid w:val="0332400C"/>
    <w:rsid w:val="033A0BAB"/>
    <w:rsid w:val="0354CFBD"/>
    <w:rsid w:val="03590421"/>
    <w:rsid w:val="035D656B"/>
    <w:rsid w:val="03661DC9"/>
    <w:rsid w:val="036B5FC8"/>
    <w:rsid w:val="0387BAA7"/>
    <w:rsid w:val="03ACA3E7"/>
    <w:rsid w:val="03B7010A"/>
    <w:rsid w:val="03CF221A"/>
    <w:rsid w:val="03D918F1"/>
    <w:rsid w:val="03DB3886"/>
    <w:rsid w:val="04245B25"/>
    <w:rsid w:val="0430FC67"/>
    <w:rsid w:val="04462BCD"/>
    <w:rsid w:val="044B8430"/>
    <w:rsid w:val="04503E8C"/>
    <w:rsid w:val="045C3692"/>
    <w:rsid w:val="0463AF5A"/>
    <w:rsid w:val="046E1DFF"/>
    <w:rsid w:val="04917E71"/>
    <w:rsid w:val="0493E0B5"/>
    <w:rsid w:val="04958E9E"/>
    <w:rsid w:val="049C4220"/>
    <w:rsid w:val="049F3C52"/>
    <w:rsid w:val="04AD25CA"/>
    <w:rsid w:val="04BD3B38"/>
    <w:rsid w:val="04D335DE"/>
    <w:rsid w:val="04DD0875"/>
    <w:rsid w:val="04E03CE0"/>
    <w:rsid w:val="04E1C9B1"/>
    <w:rsid w:val="04F32925"/>
    <w:rsid w:val="04F51A49"/>
    <w:rsid w:val="04FE67BD"/>
    <w:rsid w:val="04FF78D1"/>
    <w:rsid w:val="051D37C6"/>
    <w:rsid w:val="0521FFEC"/>
    <w:rsid w:val="0528F37D"/>
    <w:rsid w:val="053B7DCC"/>
    <w:rsid w:val="053C620C"/>
    <w:rsid w:val="05439B35"/>
    <w:rsid w:val="0561A6BA"/>
    <w:rsid w:val="05620AFA"/>
    <w:rsid w:val="0565B31B"/>
    <w:rsid w:val="056854FA"/>
    <w:rsid w:val="05717EE5"/>
    <w:rsid w:val="058E0635"/>
    <w:rsid w:val="05B2EFD5"/>
    <w:rsid w:val="05C3B660"/>
    <w:rsid w:val="05C8C62B"/>
    <w:rsid w:val="05F46F61"/>
    <w:rsid w:val="05F83E81"/>
    <w:rsid w:val="05FE2B94"/>
    <w:rsid w:val="05FE97A9"/>
    <w:rsid w:val="060EBEAA"/>
    <w:rsid w:val="062076DA"/>
    <w:rsid w:val="06333922"/>
    <w:rsid w:val="0635C00F"/>
    <w:rsid w:val="063EEDC2"/>
    <w:rsid w:val="06691517"/>
    <w:rsid w:val="0669F8C8"/>
    <w:rsid w:val="06761514"/>
    <w:rsid w:val="0682C587"/>
    <w:rsid w:val="06AC0F23"/>
    <w:rsid w:val="06B4FEDB"/>
    <w:rsid w:val="06B57F1C"/>
    <w:rsid w:val="06B6694B"/>
    <w:rsid w:val="06B717DC"/>
    <w:rsid w:val="06C453E4"/>
    <w:rsid w:val="06CB3D73"/>
    <w:rsid w:val="06D43FC8"/>
    <w:rsid w:val="06E5B6F4"/>
    <w:rsid w:val="06F443E5"/>
    <w:rsid w:val="06F543CC"/>
    <w:rsid w:val="06F9DD11"/>
    <w:rsid w:val="070BFD7E"/>
    <w:rsid w:val="07209856"/>
    <w:rsid w:val="0726061C"/>
    <w:rsid w:val="073FA4DB"/>
    <w:rsid w:val="0745E60B"/>
    <w:rsid w:val="074940DC"/>
    <w:rsid w:val="07540BF8"/>
    <w:rsid w:val="07603C46"/>
    <w:rsid w:val="0775A901"/>
    <w:rsid w:val="077742BC"/>
    <w:rsid w:val="07857BFA"/>
    <w:rsid w:val="07A9897C"/>
    <w:rsid w:val="07AAC064"/>
    <w:rsid w:val="07BAC05A"/>
    <w:rsid w:val="07BECA58"/>
    <w:rsid w:val="07D6DD14"/>
    <w:rsid w:val="08009F71"/>
    <w:rsid w:val="080C12A2"/>
    <w:rsid w:val="081CF98C"/>
    <w:rsid w:val="0822338B"/>
    <w:rsid w:val="083CE809"/>
    <w:rsid w:val="086140C5"/>
    <w:rsid w:val="0867FF42"/>
    <w:rsid w:val="086E1AF1"/>
    <w:rsid w:val="087B9F72"/>
    <w:rsid w:val="088DE74A"/>
    <w:rsid w:val="0899185E"/>
    <w:rsid w:val="089A5332"/>
    <w:rsid w:val="08BD98AE"/>
    <w:rsid w:val="08C2BB1A"/>
    <w:rsid w:val="08D488ED"/>
    <w:rsid w:val="08D8052B"/>
    <w:rsid w:val="08E64B46"/>
    <w:rsid w:val="08F12FB9"/>
    <w:rsid w:val="0908D901"/>
    <w:rsid w:val="090DCDE7"/>
    <w:rsid w:val="091B324E"/>
    <w:rsid w:val="092D38F8"/>
    <w:rsid w:val="0932EC1D"/>
    <w:rsid w:val="096DA51E"/>
    <w:rsid w:val="096F6481"/>
    <w:rsid w:val="097171E4"/>
    <w:rsid w:val="0986F43A"/>
    <w:rsid w:val="099873AD"/>
    <w:rsid w:val="09A1A5A5"/>
    <w:rsid w:val="09C309AF"/>
    <w:rsid w:val="09DC0F7E"/>
    <w:rsid w:val="09DCC7D2"/>
    <w:rsid w:val="09E70561"/>
    <w:rsid w:val="09EA6362"/>
    <w:rsid w:val="09EAB159"/>
    <w:rsid w:val="09FF41C7"/>
    <w:rsid w:val="0A0DEF77"/>
    <w:rsid w:val="0A1365C1"/>
    <w:rsid w:val="0A19844C"/>
    <w:rsid w:val="0A20348F"/>
    <w:rsid w:val="0A2EA22F"/>
    <w:rsid w:val="0A3081A3"/>
    <w:rsid w:val="0A44BD8D"/>
    <w:rsid w:val="0A4D3A16"/>
    <w:rsid w:val="0A5E6CB7"/>
    <w:rsid w:val="0A70CD67"/>
    <w:rsid w:val="0A7547DA"/>
    <w:rsid w:val="0A75FC3A"/>
    <w:rsid w:val="0A7634D5"/>
    <w:rsid w:val="0A7C15F0"/>
    <w:rsid w:val="0A817085"/>
    <w:rsid w:val="0A852ED7"/>
    <w:rsid w:val="0A9B79B6"/>
    <w:rsid w:val="0A9DA22A"/>
    <w:rsid w:val="0AA2C0B4"/>
    <w:rsid w:val="0AA60111"/>
    <w:rsid w:val="0AC0D9B6"/>
    <w:rsid w:val="0AC733EE"/>
    <w:rsid w:val="0ACA7805"/>
    <w:rsid w:val="0ACDCA25"/>
    <w:rsid w:val="0AE31CD0"/>
    <w:rsid w:val="0AF2E686"/>
    <w:rsid w:val="0AF363CF"/>
    <w:rsid w:val="0AF705B6"/>
    <w:rsid w:val="0B04CD68"/>
    <w:rsid w:val="0B0739D6"/>
    <w:rsid w:val="0B0D92E3"/>
    <w:rsid w:val="0B18C75F"/>
    <w:rsid w:val="0B257F83"/>
    <w:rsid w:val="0B292AC3"/>
    <w:rsid w:val="0B372E2C"/>
    <w:rsid w:val="0B529AE3"/>
    <w:rsid w:val="0B710442"/>
    <w:rsid w:val="0B7BEEBB"/>
    <w:rsid w:val="0B80AF13"/>
    <w:rsid w:val="0B8CDC3C"/>
    <w:rsid w:val="0B976BC7"/>
    <w:rsid w:val="0BB7337B"/>
    <w:rsid w:val="0BBC5635"/>
    <w:rsid w:val="0BD83BC1"/>
    <w:rsid w:val="0BE40691"/>
    <w:rsid w:val="0BFCC407"/>
    <w:rsid w:val="0C019CF6"/>
    <w:rsid w:val="0C08EF97"/>
    <w:rsid w:val="0C140002"/>
    <w:rsid w:val="0C1B88EE"/>
    <w:rsid w:val="0C20270D"/>
    <w:rsid w:val="0C27DF8B"/>
    <w:rsid w:val="0C2B5368"/>
    <w:rsid w:val="0C2BE1AB"/>
    <w:rsid w:val="0C33355B"/>
    <w:rsid w:val="0C624146"/>
    <w:rsid w:val="0C64D5FB"/>
    <w:rsid w:val="0C68B0EF"/>
    <w:rsid w:val="0C6D6C2F"/>
    <w:rsid w:val="0C7E2D25"/>
    <w:rsid w:val="0C87AB51"/>
    <w:rsid w:val="0C92879B"/>
    <w:rsid w:val="0C9E7DA5"/>
    <w:rsid w:val="0CC30279"/>
    <w:rsid w:val="0CD1DCD6"/>
    <w:rsid w:val="0CD357BC"/>
    <w:rsid w:val="0CDD4C0E"/>
    <w:rsid w:val="0CE72B63"/>
    <w:rsid w:val="0D017F43"/>
    <w:rsid w:val="0D037B6C"/>
    <w:rsid w:val="0D1D75AC"/>
    <w:rsid w:val="0D2B5F0F"/>
    <w:rsid w:val="0D38995F"/>
    <w:rsid w:val="0D51419B"/>
    <w:rsid w:val="0D57372D"/>
    <w:rsid w:val="0D76B8E4"/>
    <w:rsid w:val="0D77D5B5"/>
    <w:rsid w:val="0D81E6B3"/>
    <w:rsid w:val="0D856624"/>
    <w:rsid w:val="0D898FC3"/>
    <w:rsid w:val="0D959049"/>
    <w:rsid w:val="0DAC0DC6"/>
    <w:rsid w:val="0DB42A0E"/>
    <w:rsid w:val="0DB58350"/>
    <w:rsid w:val="0DC8737C"/>
    <w:rsid w:val="0DCCC310"/>
    <w:rsid w:val="0DCE48F3"/>
    <w:rsid w:val="0DD4DFAE"/>
    <w:rsid w:val="0DE736BA"/>
    <w:rsid w:val="0DF36295"/>
    <w:rsid w:val="0DF7C84A"/>
    <w:rsid w:val="0E001E90"/>
    <w:rsid w:val="0E087425"/>
    <w:rsid w:val="0E0B0AF4"/>
    <w:rsid w:val="0E2455CE"/>
    <w:rsid w:val="0E35480D"/>
    <w:rsid w:val="0E535CBA"/>
    <w:rsid w:val="0E59D8FC"/>
    <w:rsid w:val="0E612E0A"/>
    <w:rsid w:val="0E6FF033"/>
    <w:rsid w:val="0E70A5BE"/>
    <w:rsid w:val="0E891949"/>
    <w:rsid w:val="0E8FBE3E"/>
    <w:rsid w:val="0E94D3AA"/>
    <w:rsid w:val="0E99C23E"/>
    <w:rsid w:val="0E9EFCBA"/>
    <w:rsid w:val="0EA26151"/>
    <w:rsid w:val="0EB07FB0"/>
    <w:rsid w:val="0EB81309"/>
    <w:rsid w:val="0EC3D9FE"/>
    <w:rsid w:val="0ECDF30F"/>
    <w:rsid w:val="0EE26387"/>
    <w:rsid w:val="0EE4B47F"/>
    <w:rsid w:val="0EEA416C"/>
    <w:rsid w:val="0EEC44CD"/>
    <w:rsid w:val="0EF12E1F"/>
    <w:rsid w:val="0EFD0413"/>
    <w:rsid w:val="0F0CCD95"/>
    <w:rsid w:val="0F169E17"/>
    <w:rsid w:val="0F29DB0D"/>
    <w:rsid w:val="0F2B393D"/>
    <w:rsid w:val="0F4D9D6F"/>
    <w:rsid w:val="0F4E0F2E"/>
    <w:rsid w:val="0F61289C"/>
    <w:rsid w:val="0F73A26A"/>
    <w:rsid w:val="0FA1FD53"/>
    <w:rsid w:val="0FA23839"/>
    <w:rsid w:val="0FA76DD0"/>
    <w:rsid w:val="0FAA6B93"/>
    <w:rsid w:val="0FAE704A"/>
    <w:rsid w:val="0FBD2C7E"/>
    <w:rsid w:val="0FCE2BA5"/>
    <w:rsid w:val="0FD45997"/>
    <w:rsid w:val="0FD90EC9"/>
    <w:rsid w:val="0FEF3B82"/>
    <w:rsid w:val="0FF8EB4C"/>
    <w:rsid w:val="10081DE8"/>
    <w:rsid w:val="1042D737"/>
    <w:rsid w:val="10486BC7"/>
    <w:rsid w:val="104E32FC"/>
    <w:rsid w:val="104FB8A7"/>
    <w:rsid w:val="10701BE8"/>
    <w:rsid w:val="10706687"/>
    <w:rsid w:val="1083BF37"/>
    <w:rsid w:val="1088876F"/>
    <w:rsid w:val="10A6C7B2"/>
    <w:rsid w:val="10A7E2AB"/>
    <w:rsid w:val="10C57118"/>
    <w:rsid w:val="10C88AD5"/>
    <w:rsid w:val="10DCBCA6"/>
    <w:rsid w:val="10E23C69"/>
    <w:rsid w:val="10ED44D5"/>
    <w:rsid w:val="11051E61"/>
    <w:rsid w:val="11143440"/>
    <w:rsid w:val="11155E03"/>
    <w:rsid w:val="11251EA1"/>
    <w:rsid w:val="11360412"/>
    <w:rsid w:val="113A78A8"/>
    <w:rsid w:val="113C7970"/>
    <w:rsid w:val="1147289C"/>
    <w:rsid w:val="11511471"/>
    <w:rsid w:val="1175F1DF"/>
    <w:rsid w:val="1188D9A9"/>
    <w:rsid w:val="11C42D5F"/>
    <w:rsid w:val="11CC4103"/>
    <w:rsid w:val="11E7A582"/>
    <w:rsid w:val="11E99778"/>
    <w:rsid w:val="11F0FE7F"/>
    <w:rsid w:val="11F27A6F"/>
    <w:rsid w:val="120E56AB"/>
    <w:rsid w:val="121BC641"/>
    <w:rsid w:val="121BDD69"/>
    <w:rsid w:val="12292AE4"/>
    <w:rsid w:val="1238E5F8"/>
    <w:rsid w:val="12390AD7"/>
    <w:rsid w:val="123A3E0C"/>
    <w:rsid w:val="123B7028"/>
    <w:rsid w:val="124EA45C"/>
    <w:rsid w:val="1257285F"/>
    <w:rsid w:val="1263DB47"/>
    <w:rsid w:val="126A90E6"/>
    <w:rsid w:val="128F2146"/>
    <w:rsid w:val="128F4E62"/>
    <w:rsid w:val="129E8321"/>
    <w:rsid w:val="12AD0932"/>
    <w:rsid w:val="12AF2DC6"/>
    <w:rsid w:val="12CDC40B"/>
    <w:rsid w:val="12D50E22"/>
    <w:rsid w:val="12FF71D3"/>
    <w:rsid w:val="1303D5B1"/>
    <w:rsid w:val="131720C8"/>
    <w:rsid w:val="13179DFD"/>
    <w:rsid w:val="13212010"/>
    <w:rsid w:val="1323A6DB"/>
    <w:rsid w:val="132DCD74"/>
    <w:rsid w:val="1330FECD"/>
    <w:rsid w:val="1349CE65"/>
    <w:rsid w:val="1370E82B"/>
    <w:rsid w:val="1371F9AD"/>
    <w:rsid w:val="1381019B"/>
    <w:rsid w:val="13A317F7"/>
    <w:rsid w:val="13B25D9D"/>
    <w:rsid w:val="13BDAA0C"/>
    <w:rsid w:val="13C8E129"/>
    <w:rsid w:val="13D67834"/>
    <w:rsid w:val="13EF3223"/>
    <w:rsid w:val="13F2E2A3"/>
    <w:rsid w:val="13F76BC7"/>
    <w:rsid w:val="1414EE4D"/>
    <w:rsid w:val="143192E1"/>
    <w:rsid w:val="14332476"/>
    <w:rsid w:val="14332A66"/>
    <w:rsid w:val="1434F0DD"/>
    <w:rsid w:val="14413A69"/>
    <w:rsid w:val="14549070"/>
    <w:rsid w:val="146CEF63"/>
    <w:rsid w:val="1475A557"/>
    <w:rsid w:val="147EE59A"/>
    <w:rsid w:val="14842D91"/>
    <w:rsid w:val="148524E7"/>
    <w:rsid w:val="1490741E"/>
    <w:rsid w:val="14921D84"/>
    <w:rsid w:val="14986E0B"/>
    <w:rsid w:val="149873C1"/>
    <w:rsid w:val="14A86DC2"/>
    <w:rsid w:val="14BA5ACF"/>
    <w:rsid w:val="14C2ED60"/>
    <w:rsid w:val="14C36A2A"/>
    <w:rsid w:val="14D89D70"/>
    <w:rsid w:val="14DA9E7A"/>
    <w:rsid w:val="15021071"/>
    <w:rsid w:val="1506B93C"/>
    <w:rsid w:val="150FD9FF"/>
    <w:rsid w:val="1511BE1A"/>
    <w:rsid w:val="1513D201"/>
    <w:rsid w:val="151E0CD5"/>
    <w:rsid w:val="15231647"/>
    <w:rsid w:val="152F9395"/>
    <w:rsid w:val="15314C8E"/>
    <w:rsid w:val="15435B87"/>
    <w:rsid w:val="15795A06"/>
    <w:rsid w:val="1592A4B0"/>
    <w:rsid w:val="159B5176"/>
    <w:rsid w:val="15A2AA6A"/>
    <w:rsid w:val="15AA5C01"/>
    <w:rsid w:val="15B1A630"/>
    <w:rsid w:val="15B511C3"/>
    <w:rsid w:val="15B8969C"/>
    <w:rsid w:val="15CE2C90"/>
    <w:rsid w:val="15D0A217"/>
    <w:rsid w:val="15D2B484"/>
    <w:rsid w:val="15D453AE"/>
    <w:rsid w:val="15D665F1"/>
    <w:rsid w:val="15DA4FF1"/>
    <w:rsid w:val="15E667EA"/>
    <w:rsid w:val="16038DEF"/>
    <w:rsid w:val="16118F87"/>
    <w:rsid w:val="161AB531"/>
    <w:rsid w:val="162076DA"/>
    <w:rsid w:val="162BD6A3"/>
    <w:rsid w:val="162CC31A"/>
    <w:rsid w:val="163BD1C3"/>
    <w:rsid w:val="163DEC32"/>
    <w:rsid w:val="164263B7"/>
    <w:rsid w:val="164859DA"/>
    <w:rsid w:val="164BDE40"/>
    <w:rsid w:val="16699CA9"/>
    <w:rsid w:val="167AFA98"/>
    <w:rsid w:val="16843168"/>
    <w:rsid w:val="16910328"/>
    <w:rsid w:val="16959F9D"/>
    <w:rsid w:val="169971FC"/>
    <w:rsid w:val="16BCFCEE"/>
    <w:rsid w:val="16C30EC3"/>
    <w:rsid w:val="16C92A4E"/>
    <w:rsid w:val="16D614F8"/>
    <w:rsid w:val="16DE664C"/>
    <w:rsid w:val="16DE8189"/>
    <w:rsid w:val="16E02AB9"/>
    <w:rsid w:val="16E1AD80"/>
    <w:rsid w:val="17008396"/>
    <w:rsid w:val="170D58B5"/>
    <w:rsid w:val="17137C86"/>
    <w:rsid w:val="1715419E"/>
    <w:rsid w:val="1721CFBF"/>
    <w:rsid w:val="1725F36C"/>
    <w:rsid w:val="175CCDDA"/>
    <w:rsid w:val="176B3DBE"/>
    <w:rsid w:val="177D15D7"/>
    <w:rsid w:val="1790DACB"/>
    <w:rsid w:val="17BED5BB"/>
    <w:rsid w:val="17C6A4FC"/>
    <w:rsid w:val="17D5BBE9"/>
    <w:rsid w:val="17D6D1F6"/>
    <w:rsid w:val="17E1A347"/>
    <w:rsid w:val="17F5A187"/>
    <w:rsid w:val="17FA66E4"/>
    <w:rsid w:val="1805AD87"/>
    <w:rsid w:val="1809C1E1"/>
    <w:rsid w:val="1826675F"/>
    <w:rsid w:val="1839C8FB"/>
    <w:rsid w:val="183B234A"/>
    <w:rsid w:val="1842580A"/>
    <w:rsid w:val="184298B2"/>
    <w:rsid w:val="184502D6"/>
    <w:rsid w:val="18484696"/>
    <w:rsid w:val="18501B94"/>
    <w:rsid w:val="18538288"/>
    <w:rsid w:val="185F31C2"/>
    <w:rsid w:val="188724C3"/>
    <w:rsid w:val="189B2391"/>
    <w:rsid w:val="18A1D8AD"/>
    <w:rsid w:val="18A6DA20"/>
    <w:rsid w:val="18B8D0A3"/>
    <w:rsid w:val="18B9DE42"/>
    <w:rsid w:val="18C54A40"/>
    <w:rsid w:val="18CC0B86"/>
    <w:rsid w:val="18D5DDEB"/>
    <w:rsid w:val="18ED75B9"/>
    <w:rsid w:val="18FCFBBE"/>
    <w:rsid w:val="18FE09FF"/>
    <w:rsid w:val="1903D498"/>
    <w:rsid w:val="1935661D"/>
    <w:rsid w:val="1943DB34"/>
    <w:rsid w:val="194BB0C9"/>
    <w:rsid w:val="19500B07"/>
    <w:rsid w:val="19526F5F"/>
    <w:rsid w:val="19552A52"/>
    <w:rsid w:val="195969FF"/>
    <w:rsid w:val="195E749F"/>
    <w:rsid w:val="19642B89"/>
    <w:rsid w:val="19811FF9"/>
    <w:rsid w:val="198404F1"/>
    <w:rsid w:val="1985131F"/>
    <w:rsid w:val="199EA5D2"/>
    <w:rsid w:val="19A6222E"/>
    <w:rsid w:val="19A9D87D"/>
    <w:rsid w:val="19B04E4F"/>
    <w:rsid w:val="19B37DF5"/>
    <w:rsid w:val="19B599D2"/>
    <w:rsid w:val="19BEC5EC"/>
    <w:rsid w:val="19D10B20"/>
    <w:rsid w:val="19F73F74"/>
    <w:rsid w:val="19F88893"/>
    <w:rsid w:val="1A0CEA98"/>
    <w:rsid w:val="1A0FD075"/>
    <w:rsid w:val="1A16CF73"/>
    <w:rsid w:val="1A19F5BA"/>
    <w:rsid w:val="1A219C14"/>
    <w:rsid w:val="1A326344"/>
    <w:rsid w:val="1A3D1371"/>
    <w:rsid w:val="1A5BA69E"/>
    <w:rsid w:val="1A6391A7"/>
    <w:rsid w:val="1A67ABC8"/>
    <w:rsid w:val="1A74EAA9"/>
    <w:rsid w:val="1A88343B"/>
    <w:rsid w:val="1A9B730A"/>
    <w:rsid w:val="1A9B8228"/>
    <w:rsid w:val="1ABEF78E"/>
    <w:rsid w:val="1AC17A22"/>
    <w:rsid w:val="1AC2F004"/>
    <w:rsid w:val="1ACA7EE5"/>
    <w:rsid w:val="1ACF7691"/>
    <w:rsid w:val="1AD036AB"/>
    <w:rsid w:val="1AD6D549"/>
    <w:rsid w:val="1AD789EF"/>
    <w:rsid w:val="1ADC971C"/>
    <w:rsid w:val="1AEA5DE0"/>
    <w:rsid w:val="1B00AB4A"/>
    <w:rsid w:val="1B054B44"/>
    <w:rsid w:val="1B091D01"/>
    <w:rsid w:val="1B1C9D2E"/>
    <w:rsid w:val="1B33F801"/>
    <w:rsid w:val="1B41E1B7"/>
    <w:rsid w:val="1B540D28"/>
    <w:rsid w:val="1B5416CB"/>
    <w:rsid w:val="1B83CCCA"/>
    <w:rsid w:val="1B844B9D"/>
    <w:rsid w:val="1B8968EF"/>
    <w:rsid w:val="1B9C6D91"/>
    <w:rsid w:val="1BA5A5D9"/>
    <w:rsid w:val="1BAE7D70"/>
    <w:rsid w:val="1BB983B6"/>
    <w:rsid w:val="1BBD82D3"/>
    <w:rsid w:val="1BC21128"/>
    <w:rsid w:val="1BF1083E"/>
    <w:rsid w:val="1C0A93EC"/>
    <w:rsid w:val="1C0EC6A0"/>
    <w:rsid w:val="1C1419EE"/>
    <w:rsid w:val="1C3C0DB0"/>
    <w:rsid w:val="1C43CE7E"/>
    <w:rsid w:val="1C4B5063"/>
    <w:rsid w:val="1C80A896"/>
    <w:rsid w:val="1C87C6B3"/>
    <w:rsid w:val="1C92D7C0"/>
    <w:rsid w:val="1C974CD2"/>
    <w:rsid w:val="1C9EF12F"/>
    <w:rsid w:val="1CA7BF77"/>
    <w:rsid w:val="1CAA396E"/>
    <w:rsid w:val="1CC81590"/>
    <w:rsid w:val="1CC9D07E"/>
    <w:rsid w:val="1CE46FCC"/>
    <w:rsid w:val="1D1166E2"/>
    <w:rsid w:val="1D1B4564"/>
    <w:rsid w:val="1D4B6773"/>
    <w:rsid w:val="1D593707"/>
    <w:rsid w:val="1D5C1C03"/>
    <w:rsid w:val="1D729FFB"/>
    <w:rsid w:val="1D7C210E"/>
    <w:rsid w:val="1D7CFE2E"/>
    <w:rsid w:val="1D9BE15F"/>
    <w:rsid w:val="1DA078E9"/>
    <w:rsid w:val="1DABDD50"/>
    <w:rsid w:val="1DCC81ED"/>
    <w:rsid w:val="1DD15E85"/>
    <w:rsid w:val="1DD1EFDD"/>
    <w:rsid w:val="1DD81CB5"/>
    <w:rsid w:val="1DDF55E3"/>
    <w:rsid w:val="1DDFF3BD"/>
    <w:rsid w:val="1DF80D00"/>
    <w:rsid w:val="1DF852EB"/>
    <w:rsid w:val="1DFCBFAF"/>
    <w:rsid w:val="1E0868EC"/>
    <w:rsid w:val="1E245397"/>
    <w:rsid w:val="1E35CDD4"/>
    <w:rsid w:val="1E485377"/>
    <w:rsid w:val="1E4D1FC5"/>
    <w:rsid w:val="1E5BBA39"/>
    <w:rsid w:val="1E6159EC"/>
    <w:rsid w:val="1E6A43FD"/>
    <w:rsid w:val="1E7335F1"/>
    <w:rsid w:val="1E81965B"/>
    <w:rsid w:val="1E8230BA"/>
    <w:rsid w:val="1E833A2A"/>
    <w:rsid w:val="1E90C6E6"/>
    <w:rsid w:val="1E92E0C9"/>
    <w:rsid w:val="1E932257"/>
    <w:rsid w:val="1E9A1D24"/>
    <w:rsid w:val="1EBEDFA0"/>
    <w:rsid w:val="1EC34986"/>
    <w:rsid w:val="1ECFA479"/>
    <w:rsid w:val="1ED64FB4"/>
    <w:rsid w:val="1EE03233"/>
    <w:rsid w:val="1EE2C6B3"/>
    <w:rsid w:val="1EED31D8"/>
    <w:rsid w:val="1EF427F0"/>
    <w:rsid w:val="1EFBCDEE"/>
    <w:rsid w:val="1F0DEC98"/>
    <w:rsid w:val="1F1569C9"/>
    <w:rsid w:val="1F16A385"/>
    <w:rsid w:val="1F1B8731"/>
    <w:rsid w:val="1F35D741"/>
    <w:rsid w:val="1F3A78A4"/>
    <w:rsid w:val="1F473445"/>
    <w:rsid w:val="1F6FC125"/>
    <w:rsid w:val="1F87B6D1"/>
    <w:rsid w:val="1F8ACCCB"/>
    <w:rsid w:val="1F93891C"/>
    <w:rsid w:val="1FA16D8D"/>
    <w:rsid w:val="1FA404C6"/>
    <w:rsid w:val="1FC45AC8"/>
    <w:rsid w:val="1FD00ACE"/>
    <w:rsid w:val="1FD25D1A"/>
    <w:rsid w:val="1FE0F243"/>
    <w:rsid w:val="1FE38771"/>
    <w:rsid w:val="1FE95C98"/>
    <w:rsid w:val="200084B8"/>
    <w:rsid w:val="200961FE"/>
    <w:rsid w:val="200DB4E4"/>
    <w:rsid w:val="20104D47"/>
    <w:rsid w:val="201D5590"/>
    <w:rsid w:val="201F9CC8"/>
    <w:rsid w:val="20416848"/>
    <w:rsid w:val="204F1F03"/>
    <w:rsid w:val="20539AE3"/>
    <w:rsid w:val="206BE12F"/>
    <w:rsid w:val="20823EE5"/>
    <w:rsid w:val="208433FA"/>
    <w:rsid w:val="20929D85"/>
    <w:rsid w:val="2099D15D"/>
    <w:rsid w:val="20A818BC"/>
    <w:rsid w:val="20AADD5B"/>
    <w:rsid w:val="20D6E8FF"/>
    <w:rsid w:val="20E6D287"/>
    <w:rsid w:val="20F42B05"/>
    <w:rsid w:val="20FD8965"/>
    <w:rsid w:val="21150284"/>
    <w:rsid w:val="211E00BC"/>
    <w:rsid w:val="21234F0E"/>
    <w:rsid w:val="212A8221"/>
    <w:rsid w:val="2132CB39"/>
    <w:rsid w:val="21422E86"/>
    <w:rsid w:val="2144CC1F"/>
    <w:rsid w:val="2145729D"/>
    <w:rsid w:val="214A429C"/>
    <w:rsid w:val="214E9468"/>
    <w:rsid w:val="2155DCA1"/>
    <w:rsid w:val="21667985"/>
    <w:rsid w:val="2174B036"/>
    <w:rsid w:val="21774F51"/>
    <w:rsid w:val="21829E7A"/>
    <w:rsid w:val="21844553"/>
    <w:rsid w:val="21971B7E"/>
    <w:rsid w:val="21A4911B"/>
    <w:rsid w:val="21A49D4E"/>
    <w:rsid w:val="21B20860"/>
    <w:rsid w:val="21B3B9E9"/>
    <w:rsid w:val="21B95CDF"/>
    <w:rsid w:val="21BA583B"/>
    <w:rsid w:val="21BFE83C"/>
    <w:rsid w:val="21CFBD9D"/>
    <w:rsid w:val="21D09912"/>
    <w:rsid w:val="21D9CBBE"/>
    <w:rsid w:val="21F21AA9"/>
    <w:rsid w:val="21F77B23"/>
    <w:rsid w:val="21FC35B5"/>
    <w:rsid w:val="21FE6808"/>
    <w:rsid w:val="22115B88"/>
    <w:rsid w:val="221D5E4B"/>
    <w:rsid w:val="224A8ADE"/>
    <w:rsid w:val="2250194B"/>
    <w:rsid w:val="2252C5A7"/>
    <w:rsid w:val="2255676B"/>
    <w:rsid w:val="226CCEA1"/>
    <w:rsid w:val="2278F431"/>
    <w:rsid w:val="228212A5"/>
    <w:rsid w:val="2285320C"/>
    <w:rsid w:val="2285F974"/>
    <w:rsid w:val="229A85B1"/>
    <w:rsid w:val="22BBF4F5"/>
    <w:rsid w:val="22C1678F"/>
    <w:rsid w:val="22C4F1E5"/>
    <w:rsid w:val="22D2883B"/>
    <w:rsid w:val="22F6B65C"/>
    <w:rsid w:val="23008C62"/>
    <w:rsid w:val="2306533A"/>
    <w:rsid w:val="23199FEB"/>
    <w:rsid w:val="231AC8EA"/>
    <w:rsid w:val="232FB007"/>
    <w:rsid w:val="233FE753"/>
    <w:rsid w:val="235BB784"/>
    <w:rsid w:val="236A14AF"/>
    <w:rsid w:val="236C568C"/>
    <w:rsid w:val="2370FF9A"/>
    <w:rsid w:val="238684BA"/>
    <w:rsid w:val="2395FA24"/>
    <w:rsid w:val="239DB2D3"/>
    <w:rsid w:val="23B114F8"/>
    <w:rsid w:val="23D1349E"/>
    <w:rsid w:val="23E90561"/>
    <w:rsid w:val="23EFA435"/>
    <w:rsid w:val="24119E77"/>
    <w:rsid w:val="24183256"/>
    <w:rsid w:val="24217C37"/>
    <w:rsid w:val="243C7DEF"/>
    <w:rsid w:val="244C3E9F"/>
    <w:rsid w:val="244DE349"/>
    <w:rsid w:val="245ECAF8"/>
    <w:rsid w:val="246B74A6"/>
    <w:rsid w:val="2481E35E"/>
    <w:rsid w:val="249263CA"/>
    <w:rsid w:val="2494A84F"/>
    <w:rsid w:val="2495260A"/>
    <w:rsid w:val="24963355"/>
    <w:rsid w:val="24AB17A2"/>
    <w:rsid w:val="24B3F33D"/>
    <w:rsid w:val="24BF8521"/>
    <w:rsid w:val="24CD0E78"/>
    <w:rsid w:val="24D351D3"/>
    <w:rsid w:val="24D8F99C"/>
    <w:rsid w:val="24D94577"/>
    <w:rsid w:val="24F70E94"/>
    <w:rsid w:val="251031F2"/>
    <w:rsid w:val="25178729"/>
    <w:rsid w:val="2518A941"/>
    <w:rsid w:val="251A8FE3"/>
    <w:rsid w:val="251B4F30"/>
    <w:rsid w:val="252C3FF5"/>
    <w:rsid w:val="2535BE9E"/>
    <w:rsid w:val="253EB2BD"/>
    <w:rsid w:val="2548113E"/>
    <w:rsid w:val="254F0E8E"/>
    <w:rsid w:val="25522477"/>
    <w:rsid w:val="2558FCF5"/>
    <w:rsid w:val="255CCECE"/>
    <w:rsid w:val="2575CBF8"/>
    <w:rsid w:val="2578409F"/>
    <w:rsid w:val="257C1101"/>
    <w:rsid w:val="25A9482F"/>
    <w:rsid w:val="25B93014"/>
    <w:rsid w:val="25BEB460"/>
    <w:rsid w:val="25D81CC1"/>
    <w:rsid w:val="25FD65EE"/>
    <w:rsid w:val="2616B9C1"/>
    <w:rsid w:val="2629E959"/>
    <w:rsid w:val="262CEB39"/>
    <w:rsid w:val="262EDFCE"/>
    <w:rsid w:val="264B85B0"/>
    <w:rsid w:val="265FCB81"/>
    <w:rsid w:val="2660E288"/>
    <w:rsid w:val="26622E36"/>
    <w:rsid w:val="266F30C5"/>
    <w:rsid w:val="2671A4B0"/>
    <w:rsid w:val="26774F1B"/>
    <w:rsid w:val="26792BC7"/>
    <w:rsid w:val="2698D2DD"/>
    <w:rsid w:val="26A1032B"/>
    <w:rsid w:val="26B7C595"/>
    <w:rsid w:val="26C1D098"/>
    <w:rsid w:val="26D1CB6C"/>
    <w:rsid w:val="26D76C25"/>
    <w:rsid w:val="26DCE97E"/>
    <w:rsid w:val="26EA6D64"/>
    <w:rsid w:val="26F1174B"/>
    <w:rsid w:val="26F29C70"/>
    <w:rsid w:val="26F461DD"/>
    <w:rsid w:val="26F6FD26"/>
    <w:rsid w:val="27020077"/>
    <w:rsid w:val="270666FD"/>
    <w:rsid w:val="270F9281"/>
    <w:rsid w:val="271111F2"/>
    <w:rsid w:val="2712054B"/>
    <w:rsid w:val="2712DD2F"/>
    <w:rsid w:val="272BC06D"/>
    <w:rsid w:val="273D945A"/>
    <w:rsid w:val="274536CE"/>
    <w:rsid w:val="2746ADBF"/>
    <w:rsid w:val="277EABB7"/>
    <w:rsid w:val="27935F63"/>
    <w:rsid w:val="2795AE59"/>
    <w:rsid w:val="279FE5F0"/>
    <w:rsid w:val="27A158C4"/>
    <w:rsid w:val="27B2582B"/>
    <w:rsid w:val="27B31AA3"/>
    <w:rsid w:val="27BBB9C7"/>
    <w:rsid w:val="27C61306"/>
    <w:rsid w:val="27CDBA7E"/>
    <w:rsid w:val="27DD8056"/>
    <w:rsid w:val="28006315"/>
    <w:rsid w:val="2814F699"/>
    <w:rsid w:val="282F6C78"/>
    <w:rsid w:val="284EB606"/>
    <w:rsid w:val="28567DBC"/>
    <w:rsid w:val="285BF0BC"/>
    <w:rsid w:val="286D5274"/>
    <w:rsid w:val="286E36D5"/>
    <w:rsid w:val="2890630B"/>
    <w:rsid w:val="289AEC75"/>
    <w:rsid w:val="28A95137"/>
    <w:rsid w:val="28AA03E2"/>
    <w:rsid w:val="28CA6F8C"/>
    <w:rsid w:val="28CBA265"/>
    <w:rsid w:val="28E8F3BA"/>
    <w:rsid w:val="28EBFF3D"/>
    <w:rsid w:val="290DF51A"/>
    <w:rsid w:val="29247963"/>
    <w:rsid w:val="29256289"/>
    <w:rsid w:val="292647A4"/>
    <w:rsid w:val="29367B9B"/>
    <w:rsid w:val="29405053"/>
    <w:rsid w:val="29468F25"/>
    <w:rsid w:val="295D068D"/>
    <w:rsid w:val="295EDBA6"/>
    <w:rsid w:val="2999B944"/>
    <w:rsid w:val="29A07B1F"/>
    <w:rsid w:val="29A4ED73"/>
    <w:rsid w:val="29CF01EC"/>
    <w:rsid w:val="29D2C0B9"/>
    <w:rsid w:val="29D7C513"/>
    <w:rsid w:val="29E3866F"/>
    <w:rsid w:val="29E74AF8"/>
    <w:rsid w:val="29FFAD18"/>
    <w:rsid w:val="2A01EAF1"/>
    <w:rsid w:val="2A0FFC6B"/>
    <w:rsid w:val="2A454A27"/>
    <w:rsid w:val="2A47FA04"/>
    <w:rsid w:val="2A48092E"/>
    <w:rsid w:val="2A507B8B"/>
    <w:rsid w:val="2A5B1B99"/>
    <w:rsid w:val="2A640F13"/>
    <w:rsid w:val="2A67FFDB"/>
    <w:rsid w:val="2A6A4A65"/>
    <w:rsid w:val="2A70C2A0"/>
    <w:rsid w:val="2A7B6BB1"/>
    <w:rsid w:val="2A805899"/>
    <w:rsid w:val="2AA79B9D"/>
    <w:rsid w:val="2AB1097B"/>
    <w:rsid w:val="2AB4CE91"/>
    <w:rsid w:val="2AC5D834"/>
    <w:rsid w:val="2AD495DF"/>
    <w:rsid w:val="2AD67FFB"/>
    <w:rsid w:val="2AE46520"/>
    <w:rsid w:val="2B12C4BB"/>
    <w:rsid w:val="2B1E4409"/>
    <w:rsid w:val="2B2788C5"/>
    <w:rsid w:val="2B30F9BF"/>
    <w:rsid w:val="2B734E41"/>
    <w:rsid w:val="2B8279F0"/>
    <w:rsid w:val="2B903A65"/>
    <w:rsid w:val="2B9C2F2C"/>
    <w:rsid w:val="2BB5557A"/>
    <w:rsid w:val="2BC49730"/>
    <w:rsid w:val="2BC5FD74"/>
    <w:rsid w:val="2BD31DBE"/>
    <w:rsid w:val="2BDB27DC"/>
    <w:rsid w:val="2BDBE8E8"/>
    <w:rsid w:val="2BE1534A"/>
    <w:rsid w:val="2BFCBC70"/>
    <w:rsid w:val="2BFEA989"/>
    <w:rsid w:val="2C0012EF"/>
    <w:rsid w:val="2C1FDCBD"/>
    <w:rsid w:val="2C277B73"/>
    <w:rsid w:val="2C2ECB5F"/>
    <w:rsid w:val="2C33AFC0"/>
    <w:rsid w:val="2C3BED46"/>
    <w:rsid w:val="2C43714D"/>
    <w:rsid w:val="2C454B64"/>
    <w:rsid w:val="2C578D21"/>
    <w:rsid w:val="2C5F61B5"/>
    <w:rsid w:val="2C79BC90"/>
    <w:rsid w:val="2C85875B"/>
    <w:rsid w:val="2C8854AD"/>
    <w:rsid w:val="2C902C08"/>
    <w:rsid w:val="2C915592"/>
    <w:rsid w:val="2C9FCE36"/>
    <w:rsid w:val="2CBFAAD1"/>
    <w:rsid w:val="2CC4D8AC"/>
    <w:rsid w:val="2CD08A71"/>
    <w:rsid w:val="2CDAE9B5"/>
    <w:rsid w:val="2CDCD0BD"/>
    <w:rsid w:val="2CEE1AEF"/>
    <w:rsid w:val="2CF05280"/>
    <w:rsid w:val="2D03636F"/>
    <w:rsid w:val="2D1219B5"/>
    <w:rsid w:val="2D308B3C"/>
    <w:rsid w:val="2D4E4E9A"/>
    <w:rsid w:val="2D58FAE3"/>
    <w:rsid w:val="2D6722BD"/>
    <w:rsid w:val="2D79A1DB"/>
    <w:rsid w:val="2D79E874"/>
    <w:rsid w:val="2D7C6717"/>
    <w:rsid w:val="2DAF0552"/>
    <w:rsid w:val="2DB9F31A"/>
    <w:rsid w:val="2DC0DBBE"/>
    <w:rsid w:val="2DC43534"/>
    <w:rsid w:val="2DC8B716"/>
    <w:rsid w:val="2DCDA9FA"/>
    <w:rsid w:val="2DCE19D4"/>
    <w:rsid w:val="2DCF3C55"/>
    <w:rsid w:val="2DCF4501"/>
    <w:rsid w:val="2DD293DE"/>
    <w:rsid w:val="2DD36D6E"/>
    <w:rsid w:val="2E08D419"/>
    <w:rsid w:val="2E0CC051"/>
    <w:rsid w:val="2E0D2A37"/>
    <w:rsid w:val="2E188CBC"/>
    <w:rsid w:val="2E18D7C6"/>
    <w:rsid w:val="2E1C7FB1"/>
    <w:rsid w:val="2E36817E"/>
    <w:rsid w:val="2E3A116D"/>
    <w:rsid w:val="2E6B6E4A"/>
    <w:rsid w:val="2E855BD8"/>
    <w:rsid w:val="2E9C4F33"/>
    <w:rsid w:val="2EA5E8F8"/>
    <w:rsid w:val="2EA9B5EB"/>
    <w:rsid w:val="2EBAA4FB"/>
    <w:rsid w:val="2EC61B02"/>
    <w:rsid w:val="2EEBD350"/>
    <w:rsid w:val="2EEEFD7E"/>
    <w:rsid w:val="2F0A2F94"/>
    <w:rsid w:val="2F26FA16"/>
    <w:rsid w:val="2F2E8FB2"/>
    <w:rsid w:val="2F3C6E8F"/>
    <w:rsid w:val="2F40CF2C"/>
    <w:rsid w:val="2F45E3FA"/>
    <w:rsid w:val="2F48AE24"/>
    <w:rsid w:val="2F5FAA77"/>
    <w:rsid w:val="2F62411D"/>
    <w:rsid w:val="2F89D647"/>
    <w:rsid w:val="2F902FCE"/>
    <w:rsid w:val="2F98DB77"/>
    <w:rsid w:val="2F9A7779"/>
    <w:rsid w:val="2F9FE22D"/>
    <w:rsid w:val="2FA18553"/>
    <w:rsid w:val="2FB3CF6C"/>
    <w:rsid w:val="2FC16848"/>
    <w:rsid w:val="2FCA3542"/>
    <w:rsid w:val="2FE0A8F2"/>
    <w:rsid w:val="2FFA6880"/>
    <w:rsid w:val="300283B4"/>
    <w:rsid w:val="30033305"/>
    <w:rsid w:val="3009E5B3"/>
    <w:rsid w:val="3020A1C4"/>
    <w:rsid w:val="3037A0C4"/>
    <w:rsid w:val="304500E4"/>
    <w:rsid w:val="304C7935"/>
    <w:rsid w:val="306819E1"/>
    <w:rsid w:val="30718F52"/>
    <w:rsid w:val="3072E115"/>
    <w:rsid w:val="30772B2E"/>
    <w:rsid w:val="3079FBE3"/>
    <w:rsid w:val="30923F33"/>
    <w:rsid w:val="309B401F"/>
    <w:rsid w:val="30AAB8F7"/>
    <w:rsid w:val="30B7EF40"/>
    <w:rsid w:val="30C3AF19"/>
    <w:rsid w:val="30CD0876"/>
    <w:rsid w:val="30CEAA1E"/>
    <w:rsid w:val="30D7E217"/>
    <w:rsid w:val="30E46FE7"/>
    <w:rsid w:val="30EC080F"/>
    <w:rsid w:val="30EE17CD"/>
    <w:rsid w:val="30FB7420"/>
    <w:rsid w:val="30FE1C52"/>
    <w:rsid w:val="31016126"/>
    <w:rsid w:val="310F5DEA"/>
    <w:rsid w:val="311840BB"/>
    <w:rsid w:val="3151FDAD"/>
    <w:rsid w:val="316E93C5"/>
    <w:rsid w:val="317538A5"/>
    <w:rsid w:val="31A37DEE"/>
    <w:rsid w:val="31AD8D40"/>
    <w:rsid w:val="31C0CB9D"/>
    <w:rsid w:val="31C0D2B9"/>
    <w:rsid w:val="31C2719C"/>
    <w:rsid w:val="31C2FA7D"/>
    <w:rsid w:val="31C67440"/>
    <w:rsid w:val="31C9009C"/>
    <w:rsid w:val="31D57910"/>
    <w:rsid w:val="31D96CBE"/>
    <w:rsid w:val="31DFC768"/>
    <w:rsid w:val="31E049C5"/>
    <w:rsid w:val="31E1B352"/>
    <w:rsid w:val="31E8F365"/>
    <w:rsid w:val="31F4F8D1"/>
    <w:rsid w:val="3205022E"/>
    <w:rsid w:val="3214053D"/>
    <w:rsid w:val="32213311"/>
    <w:rsid w:val="32232922"/>
    <w:rsid w:val="3253DF9F"/>
    <w:rsid w:val="326E8E59"/>
    <w:rsid w:val="32769F07"/>
    <w:rsid w:val="3279C1FB"/>
    <w:rsid w:val="327A22A2"/>
    <w:rsid w:val="327BAD01"/>
    <w:rsid w:val="3292051B"/>
    <w:rsid w:val="329435B8"/>
    <w:rsid w:val="32A36612"/>
    <w:rsid w:val="32AAA2F5"/>
    <w:rsid w:val="32BC4C0C"/>
    <w:rsid w:val="32C233B2"/>
    <w:rsid w:val="32C989B3"/>
    <w:rsid w:val="32CFEF49"/>
    <w:rsid w:val="32D95D65"/>
    <w:rsid w:val="32EC5139"/>
    <w:rsid w:val="32EFE84B"/>
    <w:rsid w:val="32F581E3"/>
    <w:rsid w:val="32FF5749"/>
    <w:rsid w:val="33188FA0"/>
    <w:rsid w:val="33280C43"/>
    <w:rsid w:val="3330576D"/>
    <w:rsid w:val="333BB3D5"/>
    <w:rsid w:val="333C4102"/>
    <w:rsid w:val="335519E8"/>
    <w:rsid w:val="336DB7EA"/>
    <w:rsid w:val="337C71F7"/>
    <w:rsid w:val="338D4C7B"/>
    <w:rsid w:val="339261B0"/>
    <w:rsid w:val="33B53838"/>
    <w:rsid w:val="33BEF995"/>
    <w:rsid w:val="33CA2CE8"/>
    <w:rsid w:val="33CE6BC5"/>
    <w:rsid w:val="33D37C70"/>
    <w:rsid w:val="33D96C58"/>
    <w:rsid w:val="33E0A6FC"/>
    <w:rsid w:val="33E9D975"/>
    <w:rsid w:val="33EE6890"/>
    <w:rsid w:val="33FCF15F"/>
    <w:rsid w:val="33FCFCA6"/>
    <w:rsid w:val="33FDCA77"/>
    <w:rsid w:val="3402F9FE"/>
    <w:rsid w:val="3412E541"/>
    <w:rsid w:val="342E7584"/>
    <w:rsid w:val="342F2B7B"/>
    <w:rsid w:val="3437F49D"/>
    <w:rsid w:val="344F943B"/>
    <w:rsid w:val="345039E5"/>
    <w:rsid w:val="3472B858"/>
    <w:rsid w:val="34763889"/>
    <w:rsid w:val="34926656"/>
    <w:rsid w:val="34972538"/>
    <w:rsid w:val="34A697A4"/>
    <w:rsid w:val="34B9904E"/>
    <w:rsid w:val="34BC3CAA"/>
    <w:rsid w:val="34E1ED7D"/>
    <w:rsid w:val="34F659D7"/>
    <w:rsid w:val="3529A09D"/>
    <w:rsid w:val="352E63EC"/>
    <w:rsid w:val="35355AEC"/>
    <w:rsid w:val="3547C6EA"/>
    <w:rsid w:val="3553CF63"/>
    <w:rsid w:val="3563F31F"/>
    <w:rsid w:val="35709F7A"/>
    <w:rsid w:val="35802C95"/>
    <w:rsid w:val="358AC269"/>
    <w:rsid w:val="359B3780"/>
    <w:rsid w:val="35A3FA5D"/>
    <w:rsid w:val="35A7C5F8"/>
    <w:rsid w:val="35A7ECF2"/>
    <w:rsid w:val="35BF2A93"/>
    <w:rsid w:val="35BF35A3"/>
    <w:rsid w:val="35C3FCFB"/>
    <w:rsid w:val="35CD97B3"/>
    <w:rsid w:val="35EEBF1B"/>
    <w:rsid w:val="35FD1ECA"/>
    <w:rsid w:val="360AA07D"/>
    <w:rsid w:val="3616BE97"/>
    <w:rsid w:val="3638017F"/>
    <w:rsid w:val="364DB567"/>
    <w:rsid w:val="3654664F"/>
    <w:rsid w:val="365571DB"/>
    <w:rsid w:val="365CFFFB"/>
    <w:rsid w:val="366F4D5B"/>
    <w:rsid w:val="36705348"/>
    <w:rsid w:val="3680E17F"/>
    <w:rsid w:val="368648FF"/>
    <w:rsid w:val="3689BD79"/>
    <w:rsid w:val="3689F1A8"/>
    <w:rsid w:val="368DF191"/>
    <w:rsid w:val="3691F5DA"/>
    <w:rsid w:val="36BE2A0E"/>
    <w:rsid w:val="36BFAA5B"/>
    <w:rsid w:val="36C0D8C8"/>
    <w:rsid w:val="36CC46B8"/>
    <w:rsid w:val="36F609E1"/>
    <w:rsid w:val="36F693DC"/>
    <w:rsid w:val="37027859"/>
    <w:rsid w:val="370A6901"/>
    <w:rsid w:val="371F527E"/>
    <w:rsid w:val="37218EA4"/>
    <w:rsid w:val="3722953F"/>
    <w:rsid w:val="372B5748"/>
    <w:rsid w:val="3732B502"/>
    <w:rsid w:val="373756A3"/>
    <w:rsid w:val="3751B9B3"/>
    <w:rsid w:val="375BD944"/>
    <w:rsid w:val="37636A5D"/>
    <w:rsid w:val="3778E50C"/>
    <w:rsid w:val="37836E3C"/>
    <w:rsid w:val="3788C05A"/>
    <w:rsid w:val="37924EB0"/>
    <w:rsid w:val="3795DDB8"/>
    <w:rsid w:val="3797EAEA"/>
    <w:rsid w:val="37B31BFD"/>
    <w:rsid w:val="37B46B8B"/>
    <w:rsid w:val="37B7B4E5"/>
    <w:rsid w:val="37D3D9D4"/>
    <w:rsid w:val="37D5ED11"/>
    <w:rsid w:val="37D7AF9F"/>
    <w:rsid w:val="37D8A4CC"/>
    <w:rsid w:val="37DB8735"/>
    <w:rsid w:val="37E24F83"/>
    <w:rsid w:val="37F27101"/>
    <w:rsid w:val="37F389D8"/>
    <w:rsid w:val="37F7DC80"/>
    <w:rsid w:val="3813D399"/>
    <w:rsid w:val="3813F3B4"/>
    <w:rsid w:val="38273A76"/>
    <w:rsid w:val="38405015"/>
    <w:rsid w:val="38421099"/>
    <w:rsid w:val="3845B914"/>
    <w:rsid w:val="38729469"/>
    <w:rsid w:val="38833E4A"/>
    <w:rsid w:val="38A034BC"/>
    <w:rsid w:val="38A88117"/>
    <w:rsid w:val="38B29B42"/>
    <w:rsid w:val="38BE0B14"/>
    <w:rsid w:val="38BE9CB3"/>
    <w:rsid w:val="38D2E44B"/>
    <w:rsid w:val="38F103B7"/>
    <w:rsid w:val="38F362FC"/>
    <w:rsid w:val="390EF829"/>
    <w:rsid w:val="3914DC38"/>
    <w:rsid w:val="39177AC5"/>
    <w:rsid w:val="391DE415"/>
    <w:rsid w:val="394222E1"/>
    <w:rsid w:val="394E73A6"/>
    <w:rsid w:val="39534C0D"/>
    <w:rsid w:val="396EA9A3"/>
    <w:rsid w:val="3985FB75"/>
    <w:rsid w:val="398D865A"/>
    <w:rsid w:val="39944667"/>
    <w:rsid w:val="3996C3D1"/>
    <w:rsid w:val="399D454F"/>
    <w:rsid w:val="39A4391A"/>
    <w:rsid w:val="39AF5DE6"/>
    <w:rsid w:val="39C9D694"/>
    <w:rsid w:val="39D10868"/>
    <w:rsid w:val="39D34D2F"/>
    <w:rsid w:val="39E42EB5"/>
    <w:rsid w:val="39EB1FA2"/>
    <w:rsid w:val="39F5100A"/>
    <w:rsid w:val="3A08A29E"/>
    <w:rsid w:val="3A18AB75"/>
    <w:rsid w:val="3A33D8D7"/>
    <w:rsid w:val="3A468D75"/>
    <w:rsid w:val="3A4DEE40"/>
    <w:rsid w:val="3A51A89C"/>
    <w:rsid w:val="3A532F6A"/>
    <w:rsid w:val="3A5EE744"/>
    <w:rsid w:val="3A647978"/>
    <w:rsid w:val="3A6B0732"/>
    <w:rsid w:val="3A6BF225"/>
    <w:rsid w:val="3A6DC671"/>
    <w:rsid w:val="3A70C315"/>
    <w:rsid w:val="3A85ACFB"/>
    <w:rsid w:val="3A90FE02"/>
    <w:rsid w:val="3AA7E143"/>
    <w:rsid w:val="3ACB8A0A"/>
    <w:rsid w:val="3ACF0A99"/>
    <w:rsid w:val="3AEFA382"/>
    <w:rsid w:val="3AEFC33A"/>
    <w:rsid w:val="3AFBC717"/>
    <w:rsid w:val="3B2DB45E"/>
    <w:rsid w:val="3B39B29A"/>
    <w:rsid w:val="3B4A198B"/>
    <w:rsid w:val="3B5C77BA"/>
    <w:rsid w:val="3B6843B3"/>
    <w:rsid w:val="3B6A8B68"/>
    <w:rsid w:val="3B6B15A7"/>
    <w:rsid w:val="3B71CC6E"/>
    <w:rsid w:val="3B72340F"/>
    <w:rsid w:val="3B82D162"/>
    <w:rsid w:val="3B87726B"/>
    <w:rsid w:val="3B944C8C"/>
    <w:rsid w:val="3B9497DA"/>
    <w:rsid w:val="3B9B58BC"/>
    <w:rsid w:val="3B9CD7A5"/>
    <w:rsid w:val="3BA0C693"/>
    <w:rsid w:val="3BC02787"/>
    <w:rsid w:val="3BCDD094"/>
    <w:rsid w:val="3BE29BF4"/>
    <w:rsid w:val="3BF35DAB"/>
    <w:rsid w:val="3BF3AE2B"/>
    <w:rsid w:val="3BF816BF"/>
    <w:rsid w:val="3BFD8786"/>
    <w:rsid w:val="3C00E442"/>
    <w:rsid w:val="3C044ED6"/>
    <w:rsid w:val="3C1F350B"/>
    <w:rsid w:val="3C4BB48B"/>
    <w:rsid w:val="3C6EF84E"/>
    <w:rsid w:val="3C7209D7"/>
    <w:rsid w:val="3C76C591"/>
    <w:rsid w:val="3C802C91"/>
    <w:rsid w:val="3C9ECB9C"/>
    <w:rsid w:val="3CA07DC4"/>
    <w:rsid w:val="3CA6A148"/>
    <w:rsid w:val="3CB42538"/>
    <w:rsid w:val="3CBC018A"/>
    <w:rsid w:val="3CC6F480"/>
    <w:rsid w:val="3CC72249"/>
    <w:rsid w:val="3CD34E8E"/>
    <w:rsid w:val="3CD87853"/>
    <w:rsid w:val="3CE513F0"/>
    <w:rsid w:val="3CF16DDF"/>
    <w:rsid w:val="3CF35686"/>
    <w:rsid w:val="3CF61B74"/>
    <w:rsid w:val="3D013840"/>
    <w:rsid w:val="3D222126"/>
    <w:rsid w:val="3D3085B1"/>
    <w:rsid w:val="3D3E5FCB"/>
    <w:rsid w:val="3D3F6B4C"/>
    <w:rsid w:val="3D74B385"/>
    <w:rsid w:val="3D759946"/>
    <w:rsid w:val="3D86282B"/>
    <w:rsid w:val="3D863BC4"/>
    <w:rsid w:val="3D8EE3E2"/>
    <w:rsid w:val="3D90CF11"/>
    <w:rsid w:val="3D949D24"/>
    <w:rsid w:val="3DA1A541"/>
    <w:rsid w:val="3DA36814"/>
    <w:rsid w:val="3DC21D39"/>
    <w:rsid w:val="3DEB7716"/>
    <w:rsid w:val="3E22387A"/>
    <w:rsid w:val="3E309393"/>
    <w:rsid w:val="3E382AD8"/>
    <w:rsid w:val="3E4323F0"/>
    <w:rsid w:val="3E731C10"/>
    <w:rsid w:val="3E77C1DE"/>
    <w:rsid w:val="3E78FA8D"/>
    <w:rsid w:val="3E7ADF90"/>
    <w:rsid w:val="3E84EDEB"/>
    <w:rsid w:val="3E89BC49"/>
    <w:rsid w:val="3E9F3E48"/>
    <w:rsid w:val="3ED0B87B"/>
    <w:rsid w:val="3EE682F5"/>
    <w:rsid w:val="3EE8A9FA"/>
    <w:rsid w:val="3EF371DF"/>
    <w:rsid w:val="3F03A1CF"/>
    <w:rsid w:val="3F0A6595"/>
    <w:rsid w:val="3F232D9F"/>
    <w:rsid w:val="3F273055"/>
    <w:rsid w:val="3F362A2B"/>
    <w:rsid w:val="3F4010EB"/>
    <w:rsid w:val="3F4C95E9"/>
    <w:rsid w:val="3F60C7C3"/>
    <w:rsid w:val="3F874773"/>
    <w:rsid w:val="3F959D28"/>
    <w:rsid w:val="3F9AA39E"/>
    <w:rsid w:val="3FB7F84A"/>
    <w:rsid w:val="3FB7FB5E"/>
    <w:rsid w:val="3FC446EA"/>
    <w:rsid w:val="3FD13CA8"/>
    <w:rsid w:val="3FE7E65D"/>
    <w:rsid w:val="3FE85614"/>
    <w:rsid w:val="3FF5C8BA"/>
    <w:rsid w:val="40007201"/>
    <w:rsid w:val="40054B5E"/>
    <w:rsid w:val="40282F5D"/>
    <w:rsid w:val="4029D2E6"/>
    <w:rsid w:val="402ECFE9"/>
    <w:rsid w:val="40333D05"/>
    <w:rsid w:val="403B4E5B"/>
    <w:rsid w:val="405101A7"/>
    <w:rsid w:val="406F8895"/>
    <w:rsid w:val="40769B0A"/>
    <w:rsid w:val="4086ABA5"/>
    <w:rsid w:val="408EBE39"/>
    <w:rsid w:val="40A08DB9"/>
    <w:rsid w:val="40A6DC6A"/>
    <w:rsid w:val="40AA7282"/>
    <w:rsid w:val="40BCD1B1"/>
    <w:rsid w:val="40D54152"/>
    <w:rsid w:val="40E344CE"/>
    <w:rsid w:val="40FA66AB"/>
    <w:rsid w:val="40FF7653"/>
    <w:rsid w:val="41008884"/>
    <w:rsid w:val="410884C5"/>
    <w:rsid w:val="412B44CC"/>
    <w:rsid w:val="412B7DD1"/>
    <w:rsid w:val="412DCA03"/>
    <w:rsid w:val="41373D16"/>
    <w:rsid w:val="416045FF"/>
    <w:rsid w:val="41647AAE"/>
    <w:rsid w:val="4171AC31"/>
    <w:rsid w:val="41738668"/>
    <w:rsid w:val="417907D8"/>
    <w:rsid w:val="41800941"/>
    <w:rsid w:val="418DF3A9"/>
    <w:rsid w:val="419B6763"/>
    <w:rsid w:val="41A5549A"/>
    <w:rsid w:val="41AB688C"/>
    <w:rsid w:val="41B23F37"/>
    <w:rsid w:val="41C2066A"/>
    <w:rsid w:val="41C82051"/>
    <w:rsid w:val="41CD08D4"/>
    <w:rsid w:val="41CEBFAE"/>
    <w:rsid w:val="41CF26AF"/>
    <w:rsid w:val="41D18652"/>
    <w:rsid w:val="41DA0556"/>
    <w:rsid w:val="41DE5507"/>
    <w:rsid w:val="41F913E7"/>
    <w:rsid w:val="42029AB7"/>
    <w:rsid w:val="42225AAE"/>
    <w:rsid w:val="4238670A"/>
    <w:rsid w:val="4246247E"/>
    <w:rsid w:val="424B514B"/>
    <w:rsid w:val="424CF3D2"/>
    <w:rsid w:val="425ADF3D"/>
    <w:rsid w:val="425CE92E"/>
    <w:rsid w:val="4274ED17"/>
    <w:rsid w:val="42839548"/>
    <w:rsid w:val="428615EF"/>
    <w:rsid w:val="4287A123"/>
    <w:rsid w:val="428CCFC6"/>
    <w:rsid w:val="428E3821"/>
    <w:rsid w:val="428F4BF3"/>
    <w:rsid w:val="42B3C6A3"/>
    <w:rsid w:val="42B999B1"/>
    <w:rsid w:val="42C3ED73"/>
    <w:rsid w:val="42D1B69B"/>
    <w:rsid w:val="42E35E16"/>
    <w:rsid w:val="42E5522C"/>
    <w:rsid w:val="42E564B3"/>
    <w:rsid w:val="42E94340"/>
    <w:rsid w:val="42EB8E4E"/>
    <w:rsid w:val="42F93316"/>
    <w:rsid w:val="42FFCB36"/>
    <w:rsid w:val="4312F1F0"/>
    <w:rsid w:val="431E6A69"/>
    <w:rsid w:val="43345A6C"/>
    <w:rsid w:val="433AF3F3"/>
    <w:rsid w:val="434B22CB"/>
    <w:rsid w:val="434CD3F2"/>
    <w:rsid w:val="43532280"/>
    <w:rsid w:val="4376E07B"/>
    <w:rsid w:val="4389F71C"/>
    <w:rsid w:val="43901454"/>
    <w:rsid w:val="4394FDDB"/>
    <w:rsid w:val="439670CE"/>
    <w:rsid w:val="4398087C"/>
    <w:rsid w:val="43B78DD1"/>
    <w:rsid w:val="43BD0562"/>
    <w:rsid w:val="43C43B44"/>
    <w:rsid w:val="43C4A55B"/>
    <w:rsid w:val="43D57FFE"/>
    <w:rsid w:val="43D811B7"/>
    <w:rsid w:val="44037128"/>
    <w:rsid w:val="44067830"/>
    <w:rsid w:val="442EE013"/>
    <w:rsid w:val="443698BF"/>
    <w:rsid w:val="44431BFB"/>
    <w:rsid w:val="4446B532"/>
    <w:rsid w:val="4447AEED"/>
    <w:rsid w:val="444FBD2A"/>
    <w:rsid w:val="4453753C"/>
    <w:rsid w:val="4456C745"/>
    <w:rsid w:val="446C2E42"/>
    <w:rsid w:val="4471F651"/>
    <w:rsid w:val="447809E6"/>
    <w:rsid w:val="4478C66A"/>
    <w:rsid w:val="4486CCAD"/>
    <w:rsid w:val="448FC7FE"/>
    <w:rsid w:val="44939B0F"/>
    <w:rsid w:val="4497CE67"/>
    <w:rsid w:val="44A19700"/>
    <w:rsid w:val="44AE2AD9"/>
    <w:rsid w:val="44D08AB1"/>
    <w:rsid w:val="44DEB1E4"/>
    <w:rsid w:val="44DF93C2"/>
    <w:rsid w:val="44DFEEB3"/>
    <w:rsid w:val="44E4152E"/>
    <w:rsid w:val="44E687F3"/>
    <w:rsid w:val="44F37631"/>
    <w:rsid w:val="44FA2720"/>
    <w:rsid w:val="450D9293"/>
    <w:rsid w:val="452C8EB8"/>
    <w:rsid w:val="4533E2A8"/>
    <w:rsid w:val="453E3309"/>
    <w:rsid w:val="453ED66B"/>
    <w:rsid w:val="454AE91C"/>
    <w:rsid w:val="454EBD5B"/>
    <w:rsid w:val="4564E6EF"/>
    <w:rsid w:val="456D83A4"/>
    <w:rsid w:val="45782392"/>
    <w:rsid w:val="457DC96B"/>
    <w:rsid w:val="458CF44F"/>
    <w:rsid w:val="45AAFC51"/>
    <w:rsid w:val="45D1A033"/>
    <w:rsid w:val="45D5D7A7"/>
    <w:rsid w:val="45DBEB73"/>
    <w:rsid w:val="45EDE975"/>
    <w:rsid w:val="45F0D517"/>
    <w:rsid w:val="45F1A37D"/>
    <w:rsid w:val="460AA3A1"/>
    <w:rsid w:val="460B1A56"/>
    <w:rsid w:val="460B6CF2"/>
    <w:rsid w:val="46164174"/>
    <w:rsid w:val="46206DDE"/>
    <w:rsid w:val="46217A67"/>
    <w:rsid w:val="4629D955"/>
    <w:rsid w:val="4630F8A8"/>
    <w:rsid w:val="463DCC9E"/>
    <w:rsid w:val="46476FA1"/>
    <w:rsid w:val="46486174"/>
    <w:rsid w:val="464AA1D1"/>
    <w:rsid w:val="46505529"/>
    <w:rsid w:val="46534C2B"/>
    <w:rsid w:val="4657E3CE"/>
    <w:rsid w:val="466AFD02"/>
    <w:rsid w:val="466B2FC2"/>
    <w:rsid w:val="467F1FF7"/>
    <w:rsid w:val="4689A504"/>
    <w:rsid w:val="468FA231"/>
    <w:rsid w:val="46B70990"/>
    <w:rsid w:val="46CAFE97"/>
    <w:rsid w:val="46CDCCF0"/>
    <w:rsid w:val="46FC622E"/>
    <w:rsid w:val="47359CD6"/>
    <w:rsid w:val="47375EBE"/>
    <w:rsid w:val="47471416"/>
    <w:rsid w:val="47493BE0"/>
    <w:rsid w:val="47848E6A"/>
    <w:rsid w:val="478FFA6E"/>
    <w:rsid w:val="479C63D7"/>
    <w:rsid w:val="479FDCD2"/>
    <w:rsid w:val="47B522B6"/>
    <w:rsid w:val="47C44B91"/>
    <w:rsid w:val="47FBF85E"/>
    <w:rsid w:val="4813EDFC"/>
    <w:rsid w:val="481EA0A4"/>
    <w:rsid w:val="482A52BF"/>
    <w:rsid w:val="482F76D4"/>
    <w:rsid w:val="4857152C"/>
    <w:rsid w:val="48581139"/>
    <w:rsid w:val="4865B382"/>
    <w:rsid w:val="486D0FF2"/>
    <w:rsid w:val="487D54C7"/>
    <w:rsid w:val="48937A93"/>
    <w:rsid w:val="48A14490"/>
    <w:rsid w:val="48ADFA09"/>
    <w:rsid w:val="48B0C734"/>
    <w:rsid w:val="48C3B64A"/>
    <w:rsid w:val="48D4AD6A"/>
    <w:rsid w:val="48DD7F23"/>
    <w:rsid w:val="48E807FC"/>
    <w:rsid w:val="48F1D91C"/>
    <w:rsid w:val="48F5DC74"/>
    <w:rsid w:val="490EE8EE"/>
    <w:rsid w:val="4912F59E"/>
    <w:rsid w:val="4919B2FD"/>
    <w:rsid w:val="492D5E0C"/>
    <w:rsid w:val="49303B7A"/>
    <w:rsid w:val="4936D992"/>
    <w:rsid w:val="493BF1CC"/>
    <w:rsid w:val="4946A167"/>
    <w:rsid w:val="4959FF67"/>
    <w:rsid w:val="49638704"/>
    <w:rsid w:val="498752F9"/>
    <w:rsid w:val="498BCDA6"/>
    <w:rsid w:val="499FF90E"/>
    <w:rsid w:val="49A1F31B"/>
    <w:rsid w:val="49A24C53"/>
    <w:rsid w:val="49C7D0C2"/>
    <w:rsid w:val="49C929BE"/>
    <w:rsid w:val="49D535A8"/>
    <w:rsid w:val="49DF7FFB"/>
    <w:rsid w:val="49E67B51"/>
    <w:rsid w:val="49F741BE"/>
    <w:rsid w:val="49FC2420"/>
    <w:rsid w:val="4A043F5F"/>
    <w:rsid w:val="4A09257F"/>
    <w:rsid w:val="4A09F739"/>
    <w:rsid w:val="4A159C47"/>
    <w:rsid w:val="4A205783"/>
    <w:rsid w:val="4A23B25C"/>
    <w:rsid w:val="4A27F191"/>
    <w:rsid w:val="4A297AAF"/>
    <w:rsid w:val="4A4DAC17"/>
    <w:rsid w:val="4A55E294"/>
    <w:rsid w:val="4A68D1E7"/>
    <w:rsid w:val="4A83671E"/>
    <w:rsid w:val="4A8C2B09"/>
    <w:rsid w:val="4A95987B"/>
    <w:rsid w:val="4A9BA602"/>
    <w:rsid w:val="4AAB1DF8"/>
    <w:rsid w:val="4ABFDA0A"/>
    <w:rsid w:val="4ACD81F3"/>
    <w:rsid w:val="4ACD95F2"/>
    <w:rsid w:val="4AD356BE"/>
    <w:rsid w:val="4AD8E20E"/>
    <w:rsid w:val="4AE75A69"/>
    <w:rsid w:val="4AEC9F61"/>
    <w:rsid w:val="4B0A1635"/>
    <w:rsid w:val="4B0ACBB6"/>
    <w:rsid w:val="4B109FFE"/>
    <w:rsid w:val="4B17A94A"/>
    <w:rsid w:val="4B24E4B7"/>
    <w:rsid w:val="4B544084"/>
    <w:rsid w:val="4B59BF39"/>
    <w:rsid w:val="4B6D1E50"/>
    <w:rsid w:val="4B6D708A"/>
    <w:rsid w:val="4B7482D8"/>
    <w:rsid w:val="4B863745"/>
    <w:rsid w:val="4B87172D"/>
    <w:rsid w:val="4B945EF4"/>
    <w:rsid w:val="4B95BABD"/>
    <w:rsid w:val="4BA39C8A"/>
    <w:rsid w:val="4BB35285"/>
    <w:rsid w:val="4BE87D4E"/>
    <w:rsid w:val="4BEA7334"/>
    <w:rsid w:val="4BEBBDCF"/>
    <w:rsid w:val="4BF6D8FE"/>
    <w:rsid w:val="4BFE9064"/>
    <w:rsid w:val="4C01D260"/>
    <w:rsid w:val="4C233F08"/>
    <w:rsid w:val="4C255809"/>
    <w:rsid w:val="4C26FCCC"/>
    <w:rsid w:val="4C3E2417"/>
    <w:rsid w:val="4C3F0ECE"/>
    <w:rsid w:val="4C64BF52"/>
    <w:rsid w:val="4C673DF5"/>
    <w:rsid w:val="4C6771EA"/>
    <w:rsid w:val="4C800355"/>
    <w:rsid w:val="4C90F386"/>
    <w:rsid w:val="4C972B5B"/>
    <w:rsid w:val="4CC1D63D"/>
    <w:rsid w:val="4CD92216"/>
    <w:rsid w:val="4CDFBD0C"/>
    <w:rsid w:val="4CF17742"/>
    <w:rsid w:val="4CF227F2"/>
    <w:rsid w:val="4CF6BDAB"/>
    <w:rsid w:val="4D0D0CEB"/>
    <w:rsid w:val="4D10A7A1"/>
    <w:rsid w:val="4D11F39C"/>
    <w:rsid w:val="4D24C62D"/>
    <w:rsid w:val="4D2A506B"/>
    <w:rsid w:val="4D2DFF3F"/>
    <w:rsid w:val="4D2F051E"/>
    <w:rsid w:val="4D3058C5"/>
    <w:rsid w:val="4D445029"/>
    <w:rsid w:val="4D5C5DF7"/>
    <w:rsid w:val="4D5F6564"/>
    <w:rsid w:val="4D6B5C46"/>
    <w:rsid w:val="4D71AAA2"/>
    <w:rsid w:val="4D90E2F7"/>
    <w:rsid w:val="4D91FB62"/>
    <w:rsid w:val="4D95D1F8"/>
    <w:rsid w:val="4D9EAC41"/>
    <w:rsid w:val="4DB38154"/>
    <w:rsid w:val="4DB50C40"/>
    <w:rsid w:val="4DBD4901"/>
    <w:rsid w:val="4DBD5F2C"/>
    <w:rsid w:val="4DC0F694"/>
    <w:rsid w:val="4DD0A741"/>
    <w:rsid w:val="4DD61E96"/>
    <w:rsid w:val="4DDA4D49"/>
    <w:rsid w:val="4DE45236"/>
    <w:rsid w:val="4E01AD60"/>
    <w:rsid w:val="4E129863"/>
    <w:rsid w:val="4E130D10"/>
    <w:rsid w:val="4E13511D"/>
    <w:rsid w:val="4E3086AA"/>
    <w:rsid w:val="4E30F668"/>
    <w:rsid w:val="4E3847DA"/>
    <w:rsid w:val="4E3DEC19"/>
    <w:rsid w:val="4E3E0120"/>
    <w:rsid w:val="4E41D392"/>
    <w:rsid w:val="4E4FE88F"/>
    <w:rsid w:val="4E62A87C"/>
    <w:rsid w:val="4E6422C9"/>
    <w:rsid w:val="4E74B9A2"/>
    <w:rsid w:val="4E817424"/>
    <w:rsid w:val="4E8AE8CC"/>
    <w:rsid w:val="4E8BD690"/>
    <w:rsid w:val="4E910956"/>
    <w:rsid w:val="4E92A2FA"/>
    <w:rsid w:val="4E98EB6D"/>
    <w:rsid w:val="4EA12355"/>
    <w:rsid w:val="4EA48068"/>
    <w:rsid w:val="4EA9E18F"/>
    <w:rsid w:val="4EBEFC7C"/>
    <w:rsid w:val="4ED11943"/>
    <w:rsid w:val="4EDE098F"/>
    <w:rsid w:val="4EE04391"/>
    <w:rsid w:val="4F0534DB"/>
    <w:rsid w:val="4F0878A4"/>
    <w:rsid w:val="4F132654"/>
    <w:rsid w:val="4F23AA9D"/>
    <w:rsid w:val="4F58FDFD"/>
    <w:rsid w:val="4F69E418"/>
    <w:rsid w:val="4F6F4D62"/>
    <w:rsid w:val="4F6F7D7E"/>
    <w:rsid w:val="4F7DE08D"/>
    <w:rsid w:val="4F8D52A3"/>
    <w:rsid w:val="4FB939DB"/>
    <w:rsid w:val="4FC66FCD"/>
    <w:rsid w:val="4FCB4FFE"/>
    <w:rsid w:val="4FF27F8A"/>
    <w:rsid w:val="5012119E"/>
    <w:rsid w:val="5019982C"/>
    <w:rsid w:val="5023594D"/>
    <w:rsid w:val="50279BE5"/>
    <w:rsid w:val="50522EAB"/>
    <w:rsid w:val="506AB4E9"/>
    <w:rsid w:val="507A4EC7"/>
    <w:rsid w:val="5083D9E3"/>
    <w:rsid w:val="5084BF6E"/>
    <w:rsid w:val="50A1BAE9"/>
    <w:rsid w:val="50AACF79"/>
    <w:rsid w:val="50C37939"/>
    <w:rsid w:val="50D761AB"/>
    <w:rsid w:val="50DB082E"/>
    <w:rsid w:val="50FBCAD8"/>
    <w:rsid w:val="5104EA0B"/>
    <w:rsid w:val="510EFD2C"/>
    <w:rsid w:val="511BF311"/>
    <w:rsid w:val="512180DE"/>
    <w:rsid w:val="5131B6BE"/>
    <w:rsid w:val="51342353"/>
    <w:rsid w:val="5168B14E"/>
    <w:rsid w:val="516A899E"/>
    <w:rsid w:val="518D96BA"/>
    <w:rsid w:val="51909B62"/>
    <w:rsid w:val="5192DF97"/>
    <w:rsid w:val="519580C5"/>
    <w:rsid w:val="51AD2856"/>
    <w:rsid w:val="51AD3CC2"/>
    <w:rsid w:val="51B6213A"/>
    <w:rsid w:val="51C2E4BA"/>
    <w:rsid w:val="51C512C9"/>
    <w:rsid w:val="51CCAEA5"/>
    <w:rsid w:val="51D09592"/>
    <w:rsid w:val="51FA7F05"/>
    <w:rsid w:val="51FCA161"/>
    <w:rsid w:val="52060946"/>
    <w:rsid w:val="521718BA"/>
    <w:rsid w:val="521CF966"/>
    <w:rsid w:val="522053E0"/>
    <w:rsid w:val="5228E54C"/>
    <w:rsid w:val="523D9E11"/>
    <w:rsid w:val="5242B835"/>
    <w:rsid w:val="52431179"/>
    <w:rsid w:val="5257CEBA"/>
    <w:rsid w:val="525E5453"/>
    <w:rsid w:val="5266A16B"/>
    <w:rsid w:val="5268F2E9"/>
    <w:rsid w:val="52907017"/>
    <w:rsid w:val="52B001AC"/>
    <w:rsid w:val="52B37DD1"/>
    <w:rsid w:val="52B7A0C5"/>
    <w:rsid w:val="52BF4EF6"/>
    <w:rsid w:val="52C0F440"/>
    <w:rsid w:val="52CBA8FC"/>
    <w:rsid w:val="52CE72E8"/>
    <w:rsid w:val="52CFEEB5"/>
    <w:rsid w:val="52D9B856"/>
    <w:rsid w:val="52E83522"/>
    <w:rsid w:val="53095405"/>
    <w:rsid w:val="531357C7"/>
    <w:rsid w:val="53343064"/>
    <w:rsid w:val="533D5706"/>
    <w:rsid w:val="534B77D3"/>
    <w:rsid w:val="53519F2E"/>
    <w:rsid w:val="53610432"/>
    <w:rsid w:val="53A7B18C"/>
    <w:rsid w:val="53BBB3F1"/>
    <w:rsid w:val="53CD83A7"/>
    <w:rsid w:val="53D4148A"/>
    <w:rsid w:val="53E010BB"/>
    <w:rsid w:val="53FB98E9"/>
    <w:rsid w:val="5400ABBF"/>
    <w:rsid w:val="5407F55B"/>
    <w:rsid w:val="54232919"/>
    <w:rsid w:val="5424069B"/>
    <w:rsid w:val="5435C69F"/>
    <w:rsid w:val="5442D33A"/>
    <w:rsid w:val="545CC5B1"/>
    <w:rsid w:val="547DB30A"/>
    <w:rsid w:val="547EFB0D"/>
    <w:rsid w:val="5487D110"/>
    <w:rsid w:val="5496C959"/>
    <w:rsid w:val="549BE3C6"/>
    <w:rsid w:val="549CABE9"/>
    <w:rsid w:val="549FA26C"/>
    <w:rsid w:val="54B886E5"/>
    <w:rsid w:val="54DDED92"/>
    <w:rsid w:val="54E2D36C"/>
    <w:rsid w:val="54E47574"/>
    <w:rsid w:val="54F19EC5"/>
    <w:rsid w:val="551151BD"/>
    <w:rsid w:val="55162D9D"/>
    <w:rsid w:val="551D17A3"/>
    <w:rsid w:val="551F42B3"/>
    <w:rsid w:val="5521B907"/>
    <w:rsid w:val="55222E8E"/>
    <w:rsid w:val="55229D31"/>
    <w:rsid w:val="5524BADB"/>
    <w:rsid w:val="55587DD0"/>
    <w:rsid w:val="556001DA"/>
    <w:rsid w:val="5573C9F3"/>
    <w:rsid w:val="557E9617"/>
    <w:rsid w:val="55829D00"/>
    <w:rsid w:val="558D33E4"/>
    <w:rsid w:val="558D70F8"/>
    <w:rsid w:val="558F2AD2"/>
    <w:rsid w:val="559C048C"/>
    <w:rsid w:val="55C420C4"/>
    <w:rsid w:val="55C7188A"/>
    <w:rsid w:val="55C7BB45"/>
    <w:rsid w:val="55D244C7"/>
    <w:rsid w:val="55D41E2D"/>
    <w:rsid w:val="55DC2D10"/>
    <w:rsid w:val="55EBA0AB"/>
    <w:rsid w:val="55ED8126"/>
    <w:rsid w:val="55FC3413"/>
    <w:rsid w:val="561DC35E"/>
    <w:rsid w:val="564360BB"/>
    <w:rsid w:val="56570E3A"/>
    <w:rsid w:val="5662B9FE"/>
    <w:rsid w:val="56723E6C"/>
    <w:rsid w:val="5672A80F"/>
    <w:rsid w:val="5676AD08"/>
    <w:rsid w:val="568BF2AE"/>
    <w:rsid w:val="5696DBB2"/>
    <w:rsid w:val="56976B59"/>
    <w:rsid w:val="5698D767"/>
    <w:rsid w:val="569ACC19"/>
    <w:rsid w:val="56A66EEB"/>
    <w:rsid w:val="56B59FFC"/>
    <w:rsid w:val="56C1C840"/>
    <w:rsid w:val="56D8726F"/>
    <w:rsid w:val="56D8E84E"/>
    <w:rsid w:val="56E63D29"/>
    <w:rsid w:val="56EAF7EE"/>
    <w:rsid w:val="56F2CD26"/>
    <w:rsid w:val="56F2E7D7"/>
    <w:rsid w:val="56FC4F6B"/>
    <w:rsid w:val="57035A1F"/>
    <w:rsid w:val="570A9D5B"/>
    <w:rsid w:val="5718252E"/>
    <w:rsid w:val="57366894"/>
    <w:rsid w:val="573876FD"/>
    <w:rsid w:val="5767EA06"/>
    <w:rsid w:val="576C3315"/>
    <w:rsid w:val="578EE726"/>
    <w:rsid w:val="57B3F306"/>
    <w:rsid w:val="57C517B2"/>
    <w:rsid w:val="57CE4986"/>
    <w:rsid w:val="57EA4F05"/>
    <w:rsid w:val="580401CB"/>
    <w:rsid w:val="58107377"/>
    <w:rsid w:val="5828FC97"/>
    <w:rsid w:val="5832B4FD"/>
    <w:rsid w:val="5836412A"/>
    <w:rsid w:val="584A7127"/>
    <w:rsid w:val="584F7DEB"/>
    <w:rsid w:val="5852583D"/>
    <w:rsid w:val="5879DC20"/>
    <w:rsid w:val="5899DE41"/>
    <w:rsid w:val="589AEA9E"/>
    <w:rsid w:val="58A49FDE"/>
    <w:rsid w:val="58C00E79"/>
    <w:rsid w:val="58C7751F"/>
    <w:rsid w:val="58D740D2"/>
    <w:rsid w:val="58DA8623"/>
    <w:rsid w:val="58DD95AA"/>
    <w:rsid w:val="58F22016"/>
    <w:rsid w:val="59068D81"/>
    <w:rsid w:val="5909970D"/>
    <w:rsid w:val="5917C7DA"/>
    <w:rsid w:val="59183283"/>
    <w:rsid w:val="59395D91"/>
    <w:rsid w:val="59457281"/>
    <w:rsid w:val="5947CF3B"/>
    <w:rsid w:val="594DB2A0"/>
    <w:rsid w:val="5981334E"/>
    <w:rsid w:val="5984D495"/>
    <w:rsid w:val="59ABDFE1"/>
    <w:rsid w:val="59B61240"/>
    <w:rsid w:val="59B8C2E9"/>
    <w:rsid w:val="59C7809B"/>
    <w:rsid w:val="59D344AB"/>
    <w:rsid w:val="59F06BD6"/>
    <w:rsid w:val="59FBA2BC"/>
    <w:rsid w:val="59FF6FA7"/>
    <w:rsid w:val="5A11F6DF"/>
    <w:rsid w:val="5A2165EC"/>
    <w:rsid w:val="5A347597"/>
    <w:rsid w:val="5A6062BB"/>
    <w:rsid w:val="5A67DE1B"/>
    <w:rsid w:val="5A798107"/>
    <w:rsid w:val="5A83E005"/>
    <w:rsid w:val="5AAB7E85"/>
    <w:rsid w:val="5AAC3238"/>
    <w:rsid w:val="5AB167AF"/>
    <w:rsid w:val="5AC04588"/>
    <w:rsid w:val="5AC1AB66"/>
    <w:rsid w:val="5AD7A6E2"/>
    <w:rsid w:val="5B093104"/>
    <w:rsid w:val="5B314C9C"/>
    <w:rsid w:val="5B3FD7E8"/>
    <w:rsid w:val="5B61E4B8"/>
    <w:rsid w:val="5B7F31A9"/>
    <w:rsid w:val="5B8FE99B"/>
    <w:rsid w:val="5B90BDEC"/>
    <w:rsid w:val="5B962B5B"/>
    <w:rsid w:val="5BA1B346"/>
    <w:rsid w:val="5BB4D1E2"/>
    <w:rsid w:val="5BC8BF35"/>
    <w:rsid w:val="5BCC0605"/>
    <w:rsid w:val="5BE10B22"/>
    <w:rsid w:val="5BEDA157"/>
    <w:rsid w:val="5BEFB951"/>
    <w:rsid w:val="5BF9E300"/>
    <w:rsid w:val="5BFF3A12"/>
    <w:rsid w:val="5C016696"/>
    <w:rsid w:val="5C26D67B"/>
    <w:rsid w:val="5C60FEC0"/>
    <w:rsid w:val="5C7FAC69"/>
    <w:rsid w:val="5C864475"/>
    <w:rsid w:val="5C947A0D"/>
    <w:rsid w:val="5C9911C5"/>
    <w:rsid w:val="5CA39DF5"/>
    <w:rsid w:val="5CA4E8C2"/>
    <w:rsid w:val="5CA58C17"/>
    <w:rsid w:val="5CA9E840"/>
    <w:rsid w:val="5CB2D3A2"/>
    <w:rsid w:val="5CB9EF40"/>
    <w:rsid w:val="5CBA0D71"/>
    <w:rsid w:val="5CD6030B"/>
    <w:rsid w:val="5CD97891"/>
    <w:rsid w:val="5CDE38CA"/>
    <w:rsid w:val="5CDE8FF5"/>
    <w:rsid w:val="5CDF61F0"/>
    <w:rsid w:val="5CE748E2"/>
    <w:rsid w:val="5D026207"/>
    <w:rsid w:val="5D0DD9F0"/>
    <w:rsid w:val="5D2723BE"/>
    <w:rsid w:val="5D30AEA9"/>
    <w:rsid w:val="5D341D05"/>
    <w:rsid w:val="5D471B97"/>
    <w:rsid w:val="5D52F146"/>
    <w:rsid w:val="5D66D548"/>
    <w:rsid w:val="5D78C93C"/>
    <w:rsid w:val="5D7FEDAF"/>
    <w:rsid w:val="5DA37AEC"/>
    <w:rsid w:val="5DA6B518"/>
    <w:rsid w:val="5DA98564"/>
    <w:rsid w:val="5DAE458E"/>
    <w:rsid w:val="5DE7101A"/>
    <w:rsid w:val="5DEEEA4A"/>
    <w:rsid w:val="5DF0677F"/>
    <w:rsid w:val="5DF65EA2"/>
    <w:rsid w:val="5E060629"/>
    <w:rsid w:val="5E17A921"/>
    <w:rsid w:val="5E19548A"/>
    <w:rsid w:val="5E222CF1"/>
    <w:rsid w:val="5E2338BA"/>
    <w:rsid w:val="5E307D4A"/>
    <w:rsid w:val="5E4990FA"/>
    <w:rsid w:val="5E4FC6D3"/>
    <w:rsid w:val="5E6E62C8"/>
    <w:rsid w:val="5E7B5B12"/>
    <w:rsid w:val="5E84418E"/>
    <w:rsid w:val="5E86224F"/>
    <w:rsid w:val="5E87D8F5"/>
    <w:rsid w:val="5E8B2CD2"/>
    <w:rsid w:val="5E91C1C3"/>
    <w:rsid w:val="5E93EBDD"/>
    <w:rsid w:val="5EBC9DD5"/>
    <w:rsid w:val="5EBD2953"/>
    <w:rsid w:val="5ED7B14E"/>
    <w:rsid w:val="5EDB2D45"/>
    <w:rsid w:val="5EDFDA43"/>
    <w:rsid w:val="5EE84E38"/>
    <w:rsid w:val="5EEEE01B"/>
    <w:rsid w:val="5EFD106A"/>
    <w:rsid w:val="5F0498F3"/>
    <w:rsid w:val="5F0B8888"/>
    <w:rsid w:val="5F1715E3"/>
    <w:rsid w:val="5F43BC93"/>
    <w:rsid w:val="5F485731"/>
    <w:rsid w:val="5F5B14F3"/>
    <w:rsid w:val="5F6275D7"/>
    <w:rsid w:val="5F96E8B0"/>
    <w:rsid w:val="5F9C91BF"/>
    <w:rsid w:val="5FA52BE3"/>
    <w:rsid w:val="5FA53205"/>
    <w:rsid w:val="5FBABFA2"/>
    <w:rsid w:val="5FC04133"/>
    <w:rsid w:val="5FC0A6A1"/>
    <w:rsid w:val="5FD0D534"/>
    <w:rsid w:val="5FE93FE6"/>
    <w:rsid w:val="5FFF65B2"/>
    <w:rsid w:val="600042CD"/>
    <w:rsid w:val="600969C2"/>
    <w:rsid w:val="600F7ED2"/>
    <w:rsid w:val="601EB4B5"/>
    <w:rsid w:val="6027D371"/>
    <w:rsid w:val="602EC518"/>
    <w:rsid w:val="6031F171"/>
    <w:rsid w:val="60400924"/>
    <w:rsid w:val="6081E085"/>
    <w:rsid w:val="6089BC29"/>
    <w:rsid w:val="608DE2E7"/>
    <w:rsid w:val="60E49220"/>
    <w:rsid w:val="60E65838"/>
    <w:rsid w:val="60EE8BCF"/>
    <w:rsid w:val="6113113E"/>
    <w:rsid w:val="6123AE22"/>
    <w:rsid w:val="6128C0B2"/>
    <w:rsid w:val="612CD9F6"/>
    <w:rsid w:val="612E581B"/>
    <w:rsid w:val="6130B919"/>
    <w:rsid w:val="6134B8AD"/>
    <w:rsid w:val="61417B65"/>
    <w:rsid w:val="614BC489"/>
    <w:rsid w:val="6151189C"/>
    <w:rsid w:val="61590BBE"/>
    <w:rsid w:val="616B7E0E"/>
    <w:rsid w:val="616F64D7"/>
    <w:rsid w:val="617CB4E4"/>
    <w:rsid w:val="619C5C1D"/>
    <w:rsid w:val="61A44221"/>
    <w:rsid w:val="61CA27F9"/>
    <w:rsid w:val="61F619AC"/>
    <w:rsid w:val="6201BA5E"/>
    <w:rsid w:val="62183E57"/>
    <w:rsid w:val="622DC21A"/>
    <w:rsid w:val="62322998"/>
    <w:rsid w:val="6236368F"/>
    <w:rsid w:val="62373867"/>
    <w:rsid w:val="623FEA62"/>
    <w:rsid w:val="625A40CF"/>
    <w:rsid w:val="626C643B"/>
    <w:rsid w:val="6277AADE"/>
    <w:rsid w:val="627CE479"/>
    <w:rsid w:val="628D5A37"/>
    <w:rsid w:val="629B2743"/>
    <w:rsid w:val="62A625BC"/>
    <w:rsid w:val="62B2B2D4"/>
    <w:rsid w:val="62C3F919"/>
    <w:rsid w:val="62C7177A"/>
    <w:rsid w:val="62CB8995"/>
    <w:rsid w:val="62D68B24"/>
    <w:rsid w:val="62E02DDF"/>
    <w:rsid w:val="62E98FC2"/>
    <w:rsid w:val="62FE2716"/>
    <w:rsid w:val="6300B92F"/>
    <w:rsid w:val="63029770"/>
    <w:rsid w:val="6312469A"/>
    <w:rsid w:val="633D2E81"/>
    <w:rsid w:val="633FADDB"/>
    <w:rsid w:val="634B2F52"/>
    <w:rsid w:val="635A41FC"/>
    <w:rsid w:val="63666A62"/>
    <w:rsid w:val="6366C8C0"/>
    <w:rsid w:val="636AE0F1"/>
    <w:rsid w:val="637F07A5"/>
    <w:rsid w:val="63931D8C"/>
    <w:rsid w:val="63971E9F"/>
    <w:rsid w:val="639B7383"/>
    <w:rsid w:val="639F243C"/>
    <w:rsid w:val="63A76D4B"/>
    <w:rsid w:val="63AB0CE6"/>
    <w:rsid w:val="63B5AD5F"/>
    <w:rsid w:val="63BFDAAD"/>
    <w:rsid w:val="63C20FC7"/>
    <w:rsid w:val="63C4BC07"/>
    <w:rsid w:val="63C86287"/>
    <w:rsid w:val="63F0AB88"/>
    <w:rsid w:val="6400B895"/>
    <w:rsid w:val="6405DF78"/>
    <w:rsid w:val="64203313"/>
    <w:rsid w:val="64242A18"/>
    <w:rsid w:val="6428BF82"/>
    <w:rsid w:val="64403844"/>
    <w:rsid w:val="644A679A"/>
    <w:rsid w:val="644DF1F5"/>
    <w:rsid w:val="646A43C7"/>
    <w:rsid w:val="646CBCB6"/>
    <w:rsid w:val="646EBACC"/>
    <w:rsid w:val="646F1C1C"/>
    <w:rsid w:val="64788A73"/>
    <w:rsid w:val="6481CF83"/>
    <w:rsid w:val="648AFE5B"/>
    <w:rsid w:val="6495254E"/>
    <w:rsid w:val="64969A18"/>
    <w:rsid w:val="64B1513F"/>
    <w:rsid w:val="64B4B924"/>
    <w:rsid w:val="64CD8EA7"/>
    <w:rsid w:val="64E9DCB0"/>
    <w:rsid w:val="64F119C9"/>
    <w:rsid w:val="6518A44B"/>
    <w:rsid w:val="6519E6AA"/>
    <w:rsid w:val="6521A9B4"/>
    <w:rsid w:val="65266479"/>
    <w:rsid w:val="653C7296"/>
    <w:rsid w:val="65828B33"/>
    <w:rsid w:val="65841E23"/>
    <w:rsid w:val="65856EB8"/>
    <w:rsid w:val="658E00D6"/>
    <w:rsid w:val="65934915"/>
    <w:rsid w:val="65984A58"/>
    <w:rsid w:val="65BC4F5D"/>
    <w:rsid w:val="65C66648"/>
    <w:rsid w:val="65DD5F70"/>
    <w:rsid w:val="65DF7FE7"/>
    <w:rsid w:val="65EB8C0F"/>
    <w:rsid w:val="65F84D3A"/>
    <w:rsid w:val="65FF93B1"/>
    <w:rsid w:val="660D46B7"/>
    <w:rsid w:val="66162C95"/>
    <w:rsid w:val="66175118"/>
    <w:rsid w:val="661C40FB"/>
    <w:rsid w:val="661EBD0B"/>
    <w:rsid w:val="66232641"/>
    <w:rsid w:val="66239719"/>
    <w:rsid w:val="663906AD"/>
    <w:rsid w:val="6648A32C"/>
    <w:rsid w:val="665E16A9"/>
    <w:rsid w:val="667C6E09"/>
    <w:rsid w:val="66854183"/>
    <w:rsid w:val="66AA7C59"/>
    <w:rsid w:val="66ACD771"/>
    <w:rsid w:val="66BB009C"/>
    <w:rsid w:val="66BCCD6D"/>
    <w:rsid w:val="66C97E73"/>
    <w:rsid w:val="66F724F6"/>
    <w:rsid w:val="67137540"/>
    <w:rsid w:val="67204CE0"/>
    <w:rsid w:val="6720757D"/>
    <w:rsid w:val="67215FC3"/>
    <w:rsid w:val="67280EC2"/>
    <w:rsid w:val="67303B01"/>
    <w:rsid w:val="6732901B"/>
    <w:rsid w:val="6755BE04"/>
    <w:rsid w:val="675F7E09"/>
    <w:rsid w:val="6768D6EA"/>
    <w:rsid w:val="677BF8EC"/>
    <w:rsid w:val="67802512"/>
    <w:rsid w:val="67834866"/>
    <w:rsid w:val="6784F524"/>
    <w:rsid w:val="6795A27D"/>
    <w:rsid w:val="67968AE8"/>
    <w:rsid w:val="67A11AF6"/>
    <w:rsid w:val="67AC028F"/>
    <w:rsid w:val="67ACD554"/>
    <w:rsid w:val="67AFC096"/>
    <w:rsid w:val="67B7E6E3"/>
    <w:rsid w:val="67BF8543"/>
    <w:rsid w:val="67E4C166"/>
    <w:rsid w:val="68032200"/>
    <w:rsid w:val="6807530A"/>
    <w:rsid w:val="680B2B79"/>
    <w:rsid w:val="680C7693"/>
    <w:rsid w:val="68106922"/>
    <w:rsid w:val="684C1D8A"/>
    <w:rsid w:val="684DEF05"/>
    <w:rsid w:val="685D73CB"/>
    <w:rsid w:val="68608894"/>
    <w:rsid w:val="686180DF"/>
    <w:rsid w:val="6867F98C"/>
    <w:rsid w:val="686E7548"/>
    <w:rsid w:val="6882A6DA"/>
    <w:rsid w:val="6883087C"/>
    <w:rsid w:val="688E2ACD"/>
    <w:rsid w:val="6893A865"/>
    <w:rsid w:val="6895B2B1"/>
    <w:rsid w:val="68A31DCF"/>
    <w:rsid w:val="68A904FD"/>
    <w:rsid w:val="68AB8F2D"/>
    <w:rsid w:val="68E8768D"/>
    <w:rsid w:val="690613A4"/>
    <w:rsid w:val="690B74F5"/>
    <w:rsid w:val="6923E1FE"/>
    <w:rsid w:val="692C24BE"/>
    <w:rsid w:val="692C5824"/>
    <w:rsid w:val="6934ECBE"/>
    <w:rsid w:val="6939B46B"/>
    <w:rsid w:val="694A6808"/>
    <w:rsid w:val="6965D7FB"/>
    <w:rsid w:val="6969A333"/>
    <w:rsid w:val="6976E559"/>
    <w:rsid w:val="6987E8DE"/>
    <w:rsid w:val="69901FB0"/>
    <w:rsid w:val="69A1D1D6"/>
    <w:rsid w:val="69AE5845"/>
    <w:rsid w:val="69B0A4FC"/>
    <w:rsid w:val="69C261D5"/>
    <w:rsid w:val="69C2697F"/>
    <w:rsid w:val="69C486E8"/>
    <w:rsid w:val="69FA1029"/>
    <w:rsid w:val="6A036650"/>
    <w:rsid w:val="6A1B05E1"/>
    <w:rsid w:val="6A4C4550"/>
    <w:rsid w:val="6A549022"/>
    <w:rsid w:val="6A94A21E"/>
    <w:rsid w:val="6A9805D7"/>
    <w:rsid w:val="6A9A7E96"/>
    <w:rsid w:val="6AB1C6FE"/>
    <w:rsid w:val="6AB58267"/>
    <w:rsid w:val="6AB63384"/>
    <w:rsid w:val="6ABC0E02"/>
    <w:rsid w:val="6AD0A7D6"/>
    <w:rsid w:val="6AD4F0D4"/>
    <w:rsid w:val="6AE3EA9B"/>
    <w:rsid w:val="6AF6C3A1"/>
    <w:rsid w:val="6B0A980D"/>
    <w:rsid w:val="6B170A3C"/>
    <w:rsid w:val="6B264E7A"/>
    <w:rsid w:val="6B2EC640"/>
    <w:rsid w:val="6B346A74"/>
    <w:rsid w:val="6B4906A5"/>
    <w:rsid w:val="6B4E5349"/>
    <w:rsid w:val="6B58795A"/>
    <w:rsid w:val="6B5AEDFC"/>
    <w:rsid w:val="6B625A1F"/>
    <w:rsid w:val="6B66F2A5"/>
    <w:rsid w:val="6B6C72A6"/>
    <w:rsid w:val="6B70FB25"/>
    <w:rsid w:val="6B8ECAEC"/>
    <w:rsid w:val="6B93441B"/>
    <w:rsid w:val="6B9EB04C"/>
    <w:rsid w:val="6BBC4B6D"/>
    <w:rsid w:val="6BC39506"/>
    <w:rsid w:val="6BD3D3BE"/>
    <w:rsid w:val="6BD4AD9E"/>
    <w:rsid w:val="6BDCFED0"/>
    <w:rsid w:val="6BF390B5"/>
    <w:rsid w:val="6BF96522"/>
    <w:rsid w:val="6C12867D"/>
    <w:rsid w:val="6C15A461"/>
    <w:rsid w:val="6C32DCA0"/>
    <w:rsid w:val="6C390FB3"/>
    <w:rsid w:val="6C40EB2B"/>
    <w:rsid w:val="6C58BD6A"/>
    <w:rsid w:val="6C792B1A"/>
    <w:rsid w:val="6C7D175A"/>
    <w:rsid w:val="6C86CEA2"/>
    <w:rsid w:val="6C8A9311"/>
    <w:rsid w:val="6CA3F213"/>
    <w:rsid w:val="6CA483B2"/>
    <w:rsid w:val="6CD0FF2C"/>
    <w:rsid w:val="6CD2D6A7"/>
    <w:rsid w:val="6CE8B9BF"/>
    <w:rsid w:val="6CEAAFB2"/>
    <w:rsid w:val="6CECC77D"/>
    <w:rsid w:val="6CFFFAF6"/>
    <w:rsid w:val="6D0DCC27"/>
    <w:rsid w:val="6D126C85"/>
    <w:rsid w:val="6D158576"/>
    <w:rsid w:val="6D1BA0BE"/>
    <w:rsid w:val="6D2E9A7C"/>
    <w:rsid w:val="6D3CF809"/>
    <w:rsid w:val="6D50078A"/>
    <w:rsid w:val="6D567CBD"/>
    <w:rsid w:val="6D66F64E"/>
    <w:rsid w:val="6D6A3294"/>
    <w:rsid w:val="6D6D1D85"/>
    <w:rsid w:val="6D8EB3BA"/>
    <w:rsid w:val="6DA50D90"/>
    <w:rsid w:val="6DA5D347"/>
    <w:rsid w:val="6DA8850C"/>
    <w:rsid w:val="6DB19B94"/>
    <w:rsid w:val="6DB413B4"/>
    <w:rsid w:val="6DC371E2"/>
    <w:rsid w:val="6DCE00D4"/>
    <w:rsid w:val="6DD6D852"/>
    <w:rsid w:val="6DE2831A"/>
    <w:rsid w:val="6DE31736"/>
    <w:rsid w:val="6DF7A1D6"/>
    <w:rsid w:val="6E06FB4A"/>
    <w:rsid w:val="6E083410"/>
    <w:rsid w:val="6E115C44"/>
    <w:rsid w:val="6E12A80B"/>
    <w:rsid w:val="6E1D68DA"/>
    <w:rsid w:val="6E22A99B"/>
    <w:rsid w:val="6E4065D2"/>
    <w:rsid w:val="6E4500E4"/>
    <w:rsid w:val="6E51AEE2"/>
    <w:rsid w:val="6E5BD494"/>
    <w:rsid w:val="6E603097"/>
    <w:rsid w:val="6E6B2923"/>
    <w:rsid w:val="6E706B52"/>
    <w:rsid w:val="6E7FAD05"/>
    <w:rsid w:val="6E92DCA3"/>
    <w:rsid w:val="6E9C37FB"/>
    <w:rsid w:val="6EC78C7F"/>
    <w:rsid w:val="6ECBB40F"/>
    <w:rsid w:val="6ED51DCE"/>
    <w:rsid w:val="6EDCBBC8"/>
    <w:rsid w:val="6EEF729E"/>
    <w:rsid w:val="6F0259E7"/>
    <w:rsid w:val="6F05A0AD"/>
    <w:rsid w:val="6F119B9E"/>
    <w:rsid w:val="6F155730"/>
    <w:rsid w:val="6F293AE3"/>
    <w:rsid w:val="6F462CF4"/>
    <w:rsid w:val="6F51EA45"/>
    <w:rsid w:val="6F5B6875"/>
    <w:rsid w:val="6F607ED8"/>
    <w:rsid w:val="6F6B0188"/>
    <w:rsid w:val="6F6CBE34"/>
    <w:rsid w:val="6F74C42B"/>
    <w:rsid w:val="6F7DA12A"/>
    <w:rsid w:val="6F7E3B61"/>
    <w:rsid w:val="6F83C51B"/>
    <w:rsid w:val="6F8487BF"/>
    <w:rsid w:val="6F857E6A"/>
    <w:rsid w:val="6F8E71F2"/>
    <w:rsid w:val="6F9B8DBF"/>
    <w:rsid w:val="6FA8E55F"/>
    <w:rsid w:val="6FB1CF4F"/>
    <w:rsid w:val="6FC6B179"/>
    <w:rsid w:val="6FC9760E"/>
    <w:rsid w:val="6FE916EB"/>
    <w:rsid w:val="6FF1628E"/>
    <w:rsid w:val="6FF63AFC"/>
    <w:rsid w:val="7018B375"/>
    <w:rsid w:val="7034668C"/>
    <w:rsid w:val="7049A1ED"/>
    <w:rsid w:val="704AF3CD"/>
    <w:rsid w:val="70597807"/>
    <w:rsid w:val="7079322F"/>
    <w:rsid w:val="707C9C0A"/>
    <w:rsid w:val="707E3BB7"/>
    <w:rsid w:val="7096756E"/>
    <w:rsid w:val="709C6B7D"/>
    <w:rsid w:val="70B4FF5D"/>
    <w:rsid w:val="70B51E91"/>
    <w:rsid w:val="70BFFEBE"/>
    <w:rsid w:val="70D05C7F"/>
    <w:rsid w:val="70DBF684"/>
    <w:rsid w:val="70DC6D39"/>
    <w:rsid w:val="70E02BF8"/>
    <w:rsid w:val="70FFEA99"/>
    <w:rsid w:val="71115A38"/>
    <w:rsid w:val="71143F6B"/>
    <w:rsid w:val="711E2E41"/>
    <w:rsid w:val="712285FA"/>
    <w:rsid w:val="7124D991"/>
    <w:rsid w:val="71324E74"/>
    <w:rsid w:val="713884BE"/>
    <w:rsid w:val="713F0537"/>
    <w:rsid w:val="71419739"/>
    <w:rsid w:val="7141BE77"/>
    <w:rsid w:val="714626C3"/>
    <w:rsid w:val="715AFC04"/>
    <w:rsid w:val="7177CFF6"/>
    <w:rsid w:val="718075E8"/>
    <w:rsid w:val="71908173"/>
    <w:rsid w:val="71A0A054"/>
    <w:rsid w:val="71A0EC33"/>
    <w:rsid w:val="71B117C0"/>
    <w:rsid w:val="71BC5692"/>
    <w:rsid w:val="71C50DE5"/>
    <w:rsid w:val="71D937F3"/>
    <w:rsid w:val="71DB7607"/>
    <w:rsid w:val="7201F324"/>
    <w:rsid w:val="72076D64"/>
    <w:rsid w:val="7211B867"/>
    <w:rsid w:val="721606AD"/>
    <w:rsid w:val="72239B23"/>
    <w:rsid w:val="7234358A"/>
    <w:rsid w:val="724829A3"/>
    <w:rsid w:val="7254C053"/>
    <w:rsid w:val="725B3471"/>
    <w:rsid w:val="72601674"/>
    <w:rsid w:val="7279CD8C"/>
    <w:rsid w:val="7291992F"/>
    <w:rsid w:val="729212E7"/>
    <w:rsid w:val="72927C5E"/>
    <w:rsid w:val="7294C7C9"/>
    <w:rsid w:val="72A32AFA"/>
    <w:rsid w:val="72A5ECDC"/>
    <w:rsid w:val="72A9D2CF"/>
    <w:rsid w:val="72EA52CE"/>
    <w:rsid w:val="72FBB66E"/>
    <w:rsid w:val="7304E289"/>
    <w:rsid w:val="730B70A0"/>
    <w:rsid w:val="730FA3B1"/>
    <w:rsid w:val="7319CD8C"/>
    <w:rsid w:val="73286DA1"/>
    <w:rsid w:val="735D43FE"/>
    <w:rsid w:val="73654ECF"/>
    <w:rsid w:val="73839970"/>
    <w:rsid w:val="73CAEE5C"/>
    <w:rsid w:val="73D25D57"/>
    <w:rsid w:val="73D43542"/>
    <w:rsid w:val="73DD61A3"/>
    <w:rsid w:val="73E39689"/>
    <w:rsid w:val="73E937B2"/>
    <w:rsid w:val="740F90C1"/>
    <w:rsid w:val="74219E39"/>
    <w:rsid w:val="742C8176"/>
    <w:rsid w:val="7447FA86"/>
    <w:rsid w:val="744F168B"/>
    <w:rsid w:val="745DBFC8"/>
    <w:rsid w:val="74611092"/>
    <w:rsid w:val="748D29C6"/>
    <w:rsid w:val="7495921E"/>
    <w:rsid w:val="74A807DF"/>
    <w:rsid w:val="74B6CE44"/>
    <w:rsid w:val="74C58735"/>
    <w:rsid w:val="74CFE505"/>
    <w:rsid w:val="74F3B6EA"/>
    <w:rsid w:val="75031A46"/>
    <w:rsid w:val="75033FDF"/>
    <w:rsid w:val="7504F7AF"/>
    <w:rsid w:val="751ACAC6"/>
    <w:rsid w:val="752700EB"/>
    <w:rsid w:val="753AB7E5"/>
    <w:rsid w:val="754420B9"/>
    <w:rsid w:val="754C6753"/>
    <w:rsid w:val="754F5A44"/>
    <w:rsid w:val="7553C877"/>
    <w:rsid w:val="756071CA"/>
    <w:rsid w:val="75719A89"/>
    <w:rsid w:val="757662EC"/>
    <w:rsid w:val="757AF7B5"/>
    <w:rsid w:val="758E5F23"/>
    <w:rsid w:val="758F2AE9"/>
    <w:rsid w:val="7593DDD7"/>
    <w:rsid w:val="75990F47"/>
    <w:rsid w:val="75A16DF2"/>
    <w:rsid w:val="75A34B6E"/>
    <w:rsid w:val="75A5E067"/>
    <w:rsid w:val="75B96F56"/>
    <w:rsid w:val="75CE8430"/>
    <w:rsid w:val="75D198DE"/>
    <w:rsid w:val="75F32712"/>
    <w:rsid w:val="7602021E"/>
    <w:rsid w:val="762B0890"/>
    <w:rsid w:val="763CF80E"/>
    <w:rsid w:val="7659185A"/>
    <w:rsid w:val="765C3051"/>
    <w:rsid w:val="7668E2BD"/>
    <w:rsid w:val="76693793"/>
    <w:rsid w:val="7674B87B"/>
    <w:rsid w:val="7682A074"/>
    <w:rsid w:val="768A9A3D"/>
    <w:rsid w:val="768BF4FB"/>
    <w:rsid w:val="769E8AC1"/>
    <w:rsid w:val="76CA9F0A"/>
    <w:rsid w:val="76CC1665"/>
    <w:rsid w:val="76D7F489"/>
    <w:rsid w:val="76FE0612"/>
    <w:rsid w:val="770C0396"/>
    <w:rsid w:val="7727FEAA"/>
    <w:rsid w:val="7731B6A4"/>
    <w:rsid w:val="7739A846"/>
    <w:rsid w:val="77695893"/>
    <w:rsid w:val="7783A5A7"/>
    <w:rsid w:val="778B92F2"/>
    <w:rsid w:val="77963BF5"/>
    <w:rsid w:val="779B3E11"/>
    <w:rsid w:val="779DA21F"/>
    <w:rsid w:val="779E02C4"/>
    <w:rsid w:val="77B87D35"/>
    <w:rsid w:val="77C061B5"/>
    <w:rsid w:val="77C0B2CE"/>
    <w:rsid w:val="77D30BBA"/>
    <w:rsid w:val="77E264C7"/>
    <w:rsid w:val="77E3BAFF"/>
    <w:rsid w:val="77E93552"/>
    <w:rsid w:val="77F510B0"/>
    <w:rsid w:val="77F6DF4D"/>
    <w:rsid w:val="77FADB0E"/>
    <w:rsid w:val="7801480C"/>
    <w:rsid w:val="780CF21F"/>
    <w:rsid w:val="780E82D4"/>
    <w:rsid w:val="78173B78"/>
    <w:rsid w:val="78289525"/>
    <w:rsid w:val="7828CF51"/>
    <w:rsid w:val="78333110"/>
    <w:rsid w:val="7839218F"/>
    <w:rsid w:val="783C0C8D"/>
    <w:rsid w:val="784DC6DF"/>
    <w:rsid w:val="785184A8"/>
    <w:rsid w:val="786FAD5F"/>
    <w:rsid w:val="787A0F1E"/>
    <w:rsid w:val="787CF9E4"/>
    <w:rsid w:val="78968642"/>
    <w:rsid w:val="789BC02B"/>
    <w:rsid w:val="789DAF1E"/>
    <w:rsid w:val="78A620A8"/>
    <w:rsid w:val="78AF38B4"/>
    <w:rsid w:val="78BA4382"/>
    <w:rsid w:val="78BC6228"/>
    <w:rsid w:val="78C517DC"/>
    <w:rsid w:val="78D1D183"/>
    <w:rsid w:val="78EF4B67"/>
    <w:rsid w:val="78FAC3B4"/>
    <w:rsid w:val="790D67E0"/>
    <w:rsid w:val="79139A32"/>
    <w:rsid w:val="792CB793"/>
    <w:rsid w:val="79466843"/>
    <w:rsid w:val="7947217A"/>
    <w:rsid w:val="795435FF"/>
    <w:rsid w:val="795D371E"/>
    <w:rsid w:val="795F33A8"/>
    <w:rsid w:val="796D968D"/>
    <w:rsid w:val="79821BB0"/>
    <w:rsid w:val="79845C2D"/>
    <w:rsid w:val="79852676"/>
    <w:rsid w:val="798A2FD0"/>
    <w:rsid w:val="79A11AF7"/>
    <w:rsid w:val="79C32C17"/>
    <w:rsid w:val="79E05C07"/>
    <w:rsid w:val="79E94AD7"/>
    <w:rsid w:val="79EF44BB"/>
    <w:rsid w:val="79F15094"/>
    <w:rsid w:val="79F7CE0A"/>
    <w:rsid w:val="79FA4058"/>
    <w:rsid w:val="79FF4DCD"/>
    <w:rsid w:val="7A02ED6F"/>
    <w:rsid w:val="7A11C539"/>
    <w:rsid w:val="7A138636"/>
    <w:rsid w:val="7A259893"/>
    <w:rsid w:val="7A3511E2"/>
    <w:rsid w:val="7A38DDE5"/>
    <w:rsid w:val="7A6BA9A6"/>
    <w:rsid w:val="7A7CB5D2"/>
    <w:rsid w:val="7A82D036"/>
    <w:rsid w:val="7A845D9D"/>
    <w:rsid w:val="7AA85F94"/>
    <w:rsid w:val="7AAA8C8F"/>
    <w:rsid w:val="7AABA593"/>
    <w:rsid w:val="7AAF1E2A"/>
    <w:rsid w:val="7AC92C36"/>
    <w:rsid w:val="7ACD65F3"/>
    <w:rsid w:val="7AE1EAF5"/>
    <w:rsid w:val="7AE2CBDE"/>
    <w:rsid w:val="7AE6B45E"/>
    <w:rsid w:val="7AEA4309"/>
    <w:rsid w:val="7B11E2DF"/>
    <w:rsid w:val="7B2E7AFC"/>
    <w:rsid w:val="7B5601A7"/>
    <w:rsid w:val="7B5D3DBA"/>
    <w:rsid w:val="7B6843D6"/>
    <w:rsid w:val="7BB47FA4"/>
    <w:rsid w:val="7BBF0D6E"/>
    <w:rsid w:val="7BDC45EA"/>
    <w:rsid w:val="7BDD44DA"/>
    <w:rsid w:val="7BEE222A"/>
    <w:rsid w:val="7BEF545D"/>
    <w:rsid w:val="7BF2730D"/>
    <w:rsid w:val="7BFC9EB8"/>
    <w:rsid w:val="7C1FB362"/>
    <w:rsid w:val="7C36FCC0"/>
    <w:rsid w:val="7C46508E"/>
    <w:rsid w:val="7C4C11E8"/>
    <w:rsid w:val="7C4C9D4C"/>
    <w:rsid w:val="7C6FBE7D"/>
    <w:rsid w:val="7CA0D76F"/>
    <w:rsid w:val="7CA0F27F"/>
    <w:rsid w:val="7CC4678C"/>
    <w:rsid w:val="7CDCCD20"/>
    <w:rsid w:val="7CE05C33"/>
    <w:rsid w:val="7CEA3FD8"/>
    <w:rsid w:val="7CF582C4"/>
    <w:rsid w:val="7CFCD859"/>
    <w:rsid w:val="7D09DCA1"/>
    <w:rsid w:val="7D129BB6"/>
    <w:rsid w:val="7D14DB2A"/>
    <w:rsid w:val="7D214CF1"/>
    <w:rsid w:val="7D248C09"/>
    <w:rsid w:val="7D27DD9D"/>
    <w:rsid w:val="7D28A19F"/>
    <w:rsid w:val="7D503955"/>
    <w:rsid w:val="7D50A477"/>
    <w:rsid w:val="7DA3A894"/>
    <w:rsid w:val="7DB8DB5D"/>
    <w:rsid w:val="7DBE6F20"/>
    <w:rsid w:val="7DC6CAB1"/>
    <w:rsid w:val="7DC7A741"/>
    <w:rsid w:val="7DD8B040"/>
    <w:rsid w:val="7DDFC768"/>
    <w:rsid w:val="7DFA34A7"/>
    <w:rsid w:val="7E01DEE1"/>
    <w:rsid w:val="7E109540"/>
    <w:rsid w:val="7E151C17"/>
    <w:rsid w:val="7E172C98"/>
    <w:rsid w:val="7E22E125"/>
    <w:rsid w:val="7E240025"/>
    <w:rsid w:val="7E3209B2"/>
    <w:rsid w:val="7E369805"/>
    <w:rsid w:val="7E3E942D"/>
    <w:rsid w:val="7E42FDD2"/>
    <w:rsid w:val="7E4E5852"/>
    <w:rsid w:val="7E5B7F2A"/>
    <w:rsid w:val="7E5DB9FC"/>
    <w:rsid w:val="7E615DA9"/>
    <w:rsid w:val="7E77858F"/>
    <w:rsid w:val="7E834E8B"/>
    <w:rsid w:val="7E86643A"/>
    <w:rsid w:val="7E8F7EFC"/>
    <w:rsid w:val="7EB5EC28"/>
    <w:rsid w:val="7EBD6CD1"/>
    <w:rsid w:val="7ED101A4"/>
    <w:rsid w:val="7EF79CF0"/>
    <w:rsid w:val="7EF9B412"/>
    <w:rsid w:val="7EFD92B6"/>
    <w:rsid w:val="7F09C583"/>
    <w:rsid w:val="7F0B5DCA"/>
    <w:rsid w:val="7F0CFB79"/>
    <w:rsid w:val="7F0EE963"/>
    <w:rsid w:val="7F127C9B"/>
    <w:rsid w:val="7F15464C"/>
    <w:rsid w:val="7F2BA388"/>
    <w:rsid w:val="7F2C2B98"/>
    <w:rsid w:val="7F2E6CF7"/>
    <w:rsid w:val="7F2FF600"/>
    <w:rsid w:val="7F37E8A3"/>
    <w:rsid w:val="7F42C8F8"/>
    <w:rsid w:val="7F682D68"/>
    <w:rsid w:val="7F755D33"/>
    <w:rsid w:val="7F78DB38"/>
    <w:rsid w:val="7F9303BB"/>
    <w:rsid w:val="7F9862AA"/>
    <w:rsid w:val="7FC66891"/>
    <w:rsid w:val="7FCE863F"/>
    <w:rsid w:val="7FE216A7"/>
    <w:rsid w:val="7FFD75CF"/>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Normal">
    <w:name w:val="Normal"/>
    <w:qFormat/>
    <w:rsid w:val="00564B22"/>
    <w:pPr>
      <w:spacing w:after="200" w:line="276" w:lineRule="auto"/>
    </w:pPr>
    <w:rPr>
      <w:lang w:eastAsia="en-US"/>
    </w:rPr>
  </w:style>
  <w:style w:type="paragraph" w:styleId="Heading1">
    <w:name w:val="heading 1"/>
    <w:basedOn w:val="Normal"/>
    <w:next w:val="Normal"/>
    <w:link w:val="Heading1Char"/>
    <w:uiPriority w:val="99"/>
    <w:qFormat/>
    <w:rsid w:val="005F3EA1"/>
    <w:pPr>
      <w:keepNext/>
      <w:keepLines/>
      <w:numPr>
        <w:numId w:val="1"/>
      </w:numPr>
      <w:spacing w:before="240" w:after="120"/>
      <w:ind w:left="357" w:hanging="357"/>
      <w:outlineLvl w:val="0"/>
    </w:pPr>
    <w:rPr>
      <w:b/>
      <w:bCs/>
      <w:color w:val="26724C"/>
      <w:sz w:val="24"/>
      <w:szCs w:val="28"/>
    </w:rPr>
  </w:style>
  <w:style w:type="paragraph" w:styleId="Heading2">
    <w:name w:val="heading 2"/>
    <w:next w:val="ListParagraph"/>
    <w:link w:val="Heading2Char"/>
    <w:uiPriority w:val="99"/>
    <w:qFormat/>
    <w:rsid w:val="00B3059B"/>
    <w:pPr>
      <w:spacing w:before="200" w:after="120"/>
      <w:outlineLvl w:val="1"/>
    </w:pPr>
    <w:rPr>
      <w:b/>
      <w:bCs/>
      <w:sz w:val="24"/>
      <w:szCs w:val="24"/>
      <w:lang w:eastAsia="en-US"/>
    </w:rPr>
  </w:style>
  <w:style w:type="paragraph" w:styleId="Heading3">
    <w:name w:val="heading 3"/>
    <w:basedOn w:val="Normal"/>
    <w:next w:val="Normal"/>
    <w:link w:val="Heading3Char"/>
    <w:unhideWhenUsed/>
    <w:qFormat/>
    <w:locked/>
    <w:rsid w:val="00163A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locked/>
    <w:rsid w:val="00C648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locked/>
    <w:rsid w:val="00C648F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locked/>
    <w:rsid w:val="00C648F3"/>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locked/>
    <w:rsid w:val="00C648F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locked/>
    <w:rsid w:val="00C648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3EA1"/>
    <w:rPr>
      <w:b/>
      <w:bCs/>
      <w:color w:val="26724C"/>
      <w:sz w:val="24"/>
      <w:szCs w:val="28"/>
      <w:lang w:eastAsia="en-US"/>
    </w:rPr>
  </w:style>
  <w:style w:type="character" w:customStyle="1" w:styleId="Heading2Char">
    <w:name w:val="Heading 2 Char"/>
    <w:basedOn w:val="DefaultParagraphFont"/>
    <w:link w:val="Heading2"/>
    <w:uiPriority w:val="99"/>
    <w:locked/>
    <w:rsid w:val="00D41959"/>
    <w:rPr>
      <w:b/>
      <w:bCs/>
      <w:sz w:val="24"/>
      <w:szCs w:val="24"/>
      <w:lang w:eastAsia="en-US"/>
    </w:rPr>
  </w:style>
  <w:style w:type="paragraph" w:styleId="BalloonText">
    <w:name w:val="Balloon Text"/>
    <w:basedOn w:val="Normal"/>
    <w:link w:val="BalloonTextChar"/>
    <w:uiPriority w:val="99"/>
    <w:semiHidden/>
    <w:rsid w:val="00D64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2BD"/>
    <w:rPr>
      <w:rFonts w:ascii="Tahoma" w:hAnsi="Tahoma" w:cs="Tahoma"/>
      <w:sz w:val="16"/>
      <w:szCs w:val="16"/>
    </w:rPr>
  </w:style>
  <w:style w:type="paragraph" w:styleId="Title">
    <w:name w:val="Title"/>
    <w:basedOn w:val="Normal"/>
    <w:next w:val="Normal"/>
    <w:link w:val="TitleChar"/>
    <w:uiPriority w:val="99"/>
    <w:qFormat/>
    <w:rsid w:val="00D642BD"/>
    <w:pPr>
      <w:pBdr>
        <w:bottom w:val="single" w:sz="8" w:space="4" w:color="339966"/>
      </w:pBdr>
      <w:spacing w:after="300" w:line="240" w:lineRule="auto"/>
    </w:pPr>
    <w:rPr>
      <w:color w:val="000000"/>
      <w:spacing w:val="5"/>
      <w:kern w:val="28"/>
      <w:sz w:val="52"/>
      <w:szCs w:val="52"/>
    </w:rPr>
  </w:style>
  <w:style w:type="character" w:customStyle="1" w:styleId="TitleChar">
    <w:name w:val="Title Char"/>
    <w:basedOn w:val="DefaultParagraphFont"/>
    <w:link w:val="Title"/>
    <w:uiPriority w:val="99"/>
    <w:locked/>
    <w:rsid w:val="00D642BD"/>
    <w:rPr>
      <w:rFonts w:ascii="Times New Roman" w:hAnsi="Times New Roman" w:cs="Times New Roman"/>
      <w:color w:val="000000"/>
      <w:spacing w:val="5"/>
      <w:kern w:val="28"/>
      <w:sz w:val="52"/>
      <w:szCs w:val="52"/>
    </w:rPr>
  </w:style>
  <w:style w:type="paragraph" w:styleId="Subtitle">
    <w:name w:val="Subtitle"/>
    <w:basedOn w:val="Normal"/>
    <w:next w:val="Normal"/>
    <w:link w:val="SubtitleChar"/>
    <w:uiPriority w:val="99"/>
    <w:qFormat/>
    <w:rsid w:val="00D642BD"/>
    <w:pPr>
      <w:numPr>
        <w:ilvl w:val="1"/>
      </w:numPr>
    </w:pPr>
    <w:rPr>
      <w:i/>
      <w:iCs/>
      <w:color w:val="339966"/>
      <w:spacing w:val="15"/>
      <w:sz w:val="24"/>
      <w:szCs w:val="24"/>
    </w:rPr>
  </w:style>
  <w:style w:type="character" w:customStyle="1" w:styleId="SubtitleChar">
    <w:name w:val="Subtitle Char"/>
    <w:basedOn w:val="DefaultParagraphFont"/>
    <w:link w:val="Subtitle"/>
    <w:uiPriority w:val="99"/>
    <w:locked/>
    <w:rsid w:val="00D642BD"/>
    <w:rPr>
      <w:rFonts w:ascii="Times New Roman" w:hAnsi="Times New Roman" w:cs="Times New Roman"/>
      <w:i/>
      <w:iCs/>
      <w:color w:val="339966"/>
      <w:spacing w:val="15"/>
      <w:sz w:val="24"/>
      <w:szCs w:val="24"/>
    </w:rPr>
  </w:style>
  <w:style w:type="character" w:styleId="SubtleEmphasis">
    <w:name w:val="Subtle Emphasis"/>
    <w:basedOn w:val="DefaultParagraphFont"/>
    <w:uiPriority w:val="99"/>
    <w:qFormat/>
    <w:rsid w:val="00E77A1B"/>
    <w:rPr>
      <w:color w:val="808080"/>
    </w:rPr>
  </w:style>
  <w:style w:type="paragraph" w:styleId="Header">
    <w:name w:val="header"/>
    <w:basedOn w:val="Normal"/>
    <w:link w:val="HeaderChar"/>
    <w:uiPriority w:val="99"/>
    <w:semiHidden/>
    <w:rsid w:val="0017186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71865"/>
    <w:rPr>
      <w:rFonts w:cs="Times New Roman"/>
    </w:rPr>
  </w:style>
  <w:style w:type="paragraph" w:styleId="Footer">
    <w:name w:val="footer"/>
    <w:basedOn w:val="Normal"/>
    <w:link w:val="FooterChar"/>
    <w:uiPriority w:val="99"/>
    <w:rsid w:val="0017186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71865"/>
    <w:rPr>
      <w:rFonts w:cs="Times New Roman"/>
    </w:rPr>
  </w:style>
  <w:style w:type="paragraph" w:styleId="ListParagraph">
    <w:name w:val="List Paragraph"/>
    <w:basedOn w:val="Normal"/>
    <w:link w:val="ListParagraphChar"/>
    <w:uiPriority w:val="34"/>
    <w:qFormat/>
    <w:rsid w:val="00A6587B"/>
    <w:pPr>
      <w:numPr>
        <w:ilvl w:val="1"/>
        <w:numId w:val="1"/>
      </w:numPr>
      <w:spacing w:after="120"/>
      <w:jc w:val="both"/>
    </w:pPr>
    <w:rPr>
      <w:sz w:val="24"/>
      <w:szCs w:val="24"/>
    </w:rPr>
  </w:style>
  <w:style w:type="paragraph" w:styleId="TOCHeading">
    <w:name w:val="TOC Heading"/>
    <w:basedOn w:val="Heading1"/>
    <w:next w:val="Normal"/>
    <w:uiPriority w:val="99"/>
    <w:rsid w:val="00453ED3"/>
    <w:pPr>
      <w:outlineLvl w:val="9"/>
    </w:pPr>
    <w:rPr>
      <w:lang w:val="en-US"/>
    </w:rPr>
  </w:style>
  <w:style w:type="paragraph" w:styleId="TOC1">
    <w:name w:val="toc 1"/>
    <w:basedOn w:val="Normal"/>
    <w:next w:val="Normal"/>
    <w:autoRedefine/>
    <w:uiPriority w:val="39"/>
    <w:rsid w:val="00B30A0C"/>
    <w:pPr>
      <w:tabs>
        <w:tab w:val="left" w:pos="284"/>
        <w:tab w:val="right" w:leader="dot" w:pos="9016"/>
      </w:tabs>
      <w:spacing w:after="100"/>
      <w:ind w:left="284" w:hanging="284"/>
    </w:pPr>
  </w:style>
  <w:style w:type="character" w:styleId="Hyperlink">
    <w:name w:val="Hyperlink"/>
    <w:basedOn w:val="DefaultParagraphFont"/>
    <w:uiPriority w:val="99"/>
    <w:rsid w:val="00453ED3"/>
    <w:rPr>
      <w:rFonts w:cs="Times New Roman"/>
      <w:color w:val="00CC00"/>
      <w:u w:val="single"/>
    </w:rPr>
  </w:style>
  <w:style w:type="paragraph" w:styleId="TOC2">
    <w:name w:val="toc 2"/>
    <w:basedOn w:val="Normal"/>
    <w:next w:val="Normal"/>
    <w:autoRedefine/>
    <w:uiPriority w:val="39"/>
    <w:rsid w:val="00320A42"/>
    <w:pPr>
      <w:spacing w:after="100"/>
      <w:ind w:left="220"/>
    </w:pPr>
    <w:rPr>
      <w:lang w:val="en-US"/>
    </w:rPr>
  </w:style>
  <w:style w:type="paragraph" w:styleId="TOC3">
    <w:name w:val="toc 3"/>
    <w:basedOn w:val="Normal"/>
    <w:next w:val="Normal"/>
    <w:autoRedefine/>
    <w:uiPriority w:val="39"/>
    <w:rsid w:val="00320A42"/>
    <w:pPr>
      <w:spacing w:after="100"/>
      <w:ind w:left="440"/>
    </w:pPr>
    <w:rPr>
      <w:lang w:val="en-US"/>
    </w:rPr>
  </w:style>
  <w:style w:type="character" w:styleId="CommentReference">
    <w:name w:val="annotation reference"/>
    <w:basedOn w:val="DefaultParagraphFont"/>
    <w:uiPriority w:val="99"/>
    <w:semiHidden/>
    <w:rsid w:val="0067075D"/>
    <w:rPr>
      <w:rFonts w:cs="Times New Roman"/>
      <w:sz w:val="16"/>
      <w:szCs w:val="16"/>
    </w:rPr>
  </w:style>
  <w:style w:type="paragraph" w:styleId="CommentText">
    <w:name w:val="annotation text"/>
    <w:basedOn w:val="Normal"/>
    <w:link w:val="CommentTextChar"/>
    <w:uiPriority w:val="99"/>
    <w:rsid w:val="0067075D"/>
    <w:rPr>
      <w:sz w:val="20"/>
      <w:szCs w:val="20"/>
    </w:rPr>
  </w:style>
  <w:style w:type="character" w:customStyle="1" w:styleId="CommentTextChar">
    <w:name w:val="Comment Text Char"/>
    <w:basedOn w:val="DefaultParagraphFont"/>
    <w:link w:val="CommentText"/>
    <w:uiPriority w:val="99"/>
    <w:locked/>
    <w:rsid w:val="00C11195"/>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67075D"/>
    <w:rPr>
      <w:b/>
      <w:bCs/>
    </w:rPr>
  </w:style>
  <w:style w:type="character" w:customStyle="1" w:styleId="CommentSubjectChar">
    <w:name w:val="Comment Subject Char"/>
    <w:basedOn w:val="CommentTextChar"/>
    <w:link w:val="CommentSubject"/>
    <w:uiPriority w:val="99"/>
    <w:semiHidden/>
    <w:locked/>
    <w:rsid w:val="00C11195"/>
    <w:rPr>
      <w:rFonts w:cs="Times New Roman"/>
      <w:b/>
      <w:bCs/>
      <w:sz w:val="20"/>
      <w:szCs w:val="20"/>
      <w:lang w:eastAsia="en-US"/>
    </w:rPr>
  </w:style>
  <w:style w:type="paragraph" w:styleId="NormalWeb">
    <w:name w:val="Normal (Web)"/>
    <w:basedOn w:val="Normal"/>
    <w:uiPriority w:val="99"/>
    <w:rsid w:val="0093495B"/>
    <w:pPr>
      <w:spacing w:before="100" w:beforeAutospacing="1" w:after="100" w:afterAutospacing="1" w:line="240" w:lineRule="auto"/>
    </w:pPr>
    <w:rPr>
      <w:sz w:val="24"/>
      <w:szCs w:val="24"/>
      <w:lang w:val="en-GB" w:eastAsia="en-GB"/>
    </w:rPr>
  </w:style>
  <w:style w:type="paragraph" w:styleId="FootnoteText">
    <w:name w:val="footnote text"/>
    <w:aliases w:val="Footnote Text1,fn,Footnote Text Char Char,Footnote Text Char Char Char Char,Note de bas de page Car Car,Note de bas de page1 Car Car Car,Note de bas de page Car Car Car,Note de bas de page1 Car Car Car Car Car Car Car Car,Car,Car Car Car,f"/>
    <w:basedOn w:val="Normal"/>
    <w:link w:val="FootnoteTextChar"/>
    <w:uiPriority w:val="99"/>
    <w:qFormat/>
    <w:rsid w:val="0086593F"/>
    <w:pPr>
      <w:spacing w:after="0"/>
    </w:pPr>
    <w:rPr>
      <w:i/>
      <w:sz w:val="20"/>
      <w:szCs w:val="20"/>
    </w:rPr>
  </w:style>
  <w:style w:type="character" w:customStyle="1" w:styleId="FootnoteTextChar">
    <w:name w:val="Footnote Text Char"/>
    <w:aliases w:val="Footnote Text1 Char,fn Char,Footnote Text Char Char Char,Footnote Text Char Char Char Char Char,Note de bas de page Car Car Char,Note de bas de page1 Car Car Car Char,Note de bas de page Car Car Car Char,Car Char,Car Car Car Char"/>
    <w:basedOn w:val="DefaultParagraphFont"/>
    <w:link w:val="FootnoteText"/>
    <w:uiPriority w:val="99"/>
    <w:locked/>
    <w:rsid w:val="0086593F"/>
    <w:rPr>
      <w:i/>
      <w:sz w:val="20"/>
      <w:szCs w:val="20"/>
      <w:lang w:eastAsia="en-US"/>
    </w:rPr>
  </w:style>
  <w:style w:type="character" w:styleId="FootnoteReference">
    <w:name w:val="footnote reference"/>
    <w:aliases w:val="SUPERS,ftref,Footnote Reference Number,Style 6,Char Char Char Char Car Char,16 Point,Superscript 6 Point,Footnote Reference_LVL6,Footnote Reference_LVL61,Footnote Reference_LVL62,Footnote Reference_LVL63,Footnote Reference_LVL64"/>
    <w:basedOn w:val="DefaultParagraphFont"/>
    <w:uiPriority w:val="99"/>
    <w:rsid w:val="00C80AEF"/>
    <w:rPr>
      <w:rFonts w:cs="Times New Roman"/>
      <w:vertAlign w:val="superscript"/>
    </w:rPr>
  </w:style>
  <w:style w:type="paragraph" w:customStyle="1" w:styleId="Char1">
    <w:name w:val="Char1"/>
    <w:basedOn w:val="Normal"/>
    <w:uiPriority w:val="99"/>
    <w:rsid w:val="00442971"/>
    <w:pPr>
      <w:spacing w:after="160" w:line="240" w:lineRule="exact"/>
    </w:pPr>
    <w:rPr>
      <w:rFonts w:ascii="Verdana" w:hAnsi="Verdana" w:cs="Verdana"/>
      <w:sz w:val="20"/>
      <w:szCs w:val="20"/>
      <w:lang w:val="en-US"/>
    </w:rPr>
  </w:style>
  <w:style w:type="paragraph" w:customStyle="1" w:styleId="default">
    <w:name w:val="default"/>
    <w:basedOn w:val="Normal"/>
    <w:uiPriority w:val="99"/>
    <w:rsid w:val="00B22694"/>
    <w:pPr>
      <w:spacing w:before="100" w:beforeAutospacing="1" w:after="100" w:afterAutospacing="1" w:line="240" w:lineRule="auto"/>
    </w:pPr>
    <w:rPr>
      <w:sz w:val="24"/>
      <w:szCs w:val="24"/>
      <w:lang w:eastAsia="en-ZA"/>
    </w:rPr>
  </w:style>
  <w:style w:type="table" w:customStyle="1" w:styleId="LightShading1">
    <w:name w:val="Light Shading1"/>
    <w:uiPriority w:val="99"/>
    <w:rsid w:val="00B22694"/>
    <w:rPr>
      <w:rFonts w:ascii="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Default0">
    <w:name w:val="Default"/>
    <w:uiPriority w:val="99"/>
    <w:rsid w:val="009762AB"/>
    <w:pPr>
      <w:autoSpaceDE w:val="0"/>
      <w:autoSpaceDN w:val="0"/>
      <w:adjustRightInd w:val="0"/>
    </w:pPr>
    <w:rPr>
      <w:rFonts w:ascii="Arial" w:hAnsi="Arial" w:cs="Arial"/>
      <w:color w:val="000000"/>
      <w:sz w:val="24"/>
      <w:szCs w:val="24"/>
      <w:lang w:val="en-GB" w:eastAsia="en-GB"/>
    </w:rPr>
  </w:style>
  <w:style w:type="paragraph" w:styleId="Caption">
    <w:name w:val="caption"/>
    <w:aliases w:val="Caption Char Char Char,Caption Char Char,Map"/>
    <w:basedOn w:val="Normal"/>
    <w:next w:val="Normal"/>
    <w:link w:val="CaptionChar"/>
    <w:uiPriority w:val="99"/>
    <w:qFormat/>
    <w:locked/>
    <w:rsid w:val="00E015F1"/>
    <w:pPr>
      <w:spacing w:after="0"/>
    </w:pPr>
    <w:rPr>
      <w:b/>
      <w:bCs/>
      <w:sz w:val="24"/>
      <w:szCs w:val="24"/>
    </w:rPr>
  </w:style>
  <w:style w:type="table" w:styleId="LightShading-Accent3">
    <w:name w:val="Light Shading Accent 3"/>
    <w:basedOn w:val="TableNormal"/>
    <w:uiPriority w:val="99"/>
    <w:rsid w:val="008D2E80"/>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IntenseEmphasis">
    <w:name w:val="Intense Emphasis"/>
    <w:basedOn w:val="DefaultParagraphFont"/>
    <w:uiPriority w:val="21"/>
    <w:rsid w:val="001F5170"/>
    <w:rPr>
      <w:rFonts w:cs="Times New Roman"/>
      <w:b/>
      <w:bCs/>
      <w:i/>
      <w:iCs/>
      <w:color w:val="72A376"/>
    </w:rPr>
  </w:style>
  <w:style w:type="character" w:styleId="Emphasis">
    <w:name w:val="Emphasis"/>
    <w:basedOn w:val="DefaultParagraphFont"/>
    <w:uiPriority w:val="99"/>
    <w:qFormat/>
    <w:locked/>
    <w:rsid w:val="001F5170"/>
    <w:rPr>
      <w:rFonts w:cs="Times New Roman"/>
      <w:i/>
      <w:iCs/>
    </w:rPr>
  </w:style>
  <w:style w:type="table" w:styleId="MediumShading1-Accent3">
    <w:name w:val="Medium Shading 1 Accent 3"/>
    <w:basedOn w:val="TableNormal"/>
    <w:uiPriority w:val="99"/>
    <w:rsid w:val="00B17380"/>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List1-Accent3">
    <w:name w:val="Medium List 1 Accent 3"/>
    <w:basedOn w:val="TableNormal"/>
    <w:uiPriority w:val="65"/>
    <w:rsid w:val="009053B3"/>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List-Accent3">
    <w:name w:val="Light List Accent 3"/>
    <w:basedOn w:val="TableNormal"/>
    <w:uiPriority w:val="61"/>
    <w:rsid w:val="009053B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6E37D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eGrid">
    <w:name w:val="Table Grid"/>
    <w:basedOn w:val="TableNormal"/>
    <w:uiPriority w:val="39"/>
    <w:locked/>
    <w:rsid w:val="006E3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3">
    <w:name w:val="Medium List 2 Accent 3"/>
    <w:basedOn w:val="TableNormal"/>
    <w:uiPriority w:val="66"/>
    <w:rsid w:val="006E37D5"/>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ableofFigures">
    <w:name w:val="table of figures"/>
    <w:basedOn w:val="Normal"/>
    <w:next w:val="Normal"/>
    <w:uiPriority w:val="99"/>
    <w:unhideWhenUsed/>
    <w:rsid w:val="00FC57A7"/>
    <w:pPr>
      <w:spacing w:after="0"/>
    </w:pPr>
  </w:style>
  <w:style w:type="table" w:customStyle="1" w:styleId="MediumList1-Accent11">
    <w:name w:val="Medium List 1 - Accent 11"/>
    <w:basedOn w:val="TableNormal"/>
    <w:uiPriority w:val="65"/>
    <w:rsid w:val="00A245FE"/>
    <w:rPr>
      <w:rFonts w:asciiTheme="minorHAnsi" w:eastAsiaTheme="minorHAnsi" w:hAnsiTheme="minorHAnsi" w:cstheme="minorBid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GridTable2Accent3">
    <w:name w:val="Grid Table 2 Accent 3"/>
    <w:basedOn w:val="TableNormal"/>
    <w:uiPriority w:val="47"/>
    <w:rsid w:val="00F0696E"/>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3Char">
    <w:name w:val="Heading 3 Char"/>
    <w:basedOn w:val="DefaultParagraphFont"/>
    <w:link w:val="Heading3"/>
    <w:rsid w:val="00163A30"/>
    <w:rPr>
      <w:rFonts w:asciiTheme="majorHAnsi" w:eastAsiaTheme="majorEastAsia" w:hAnsiTheme="majorHAnsi" w:cstheme="majorBidi"/>
      <w:color w:val="243F60" w:themeColor="accent1" w:themeShade="7F"/>
      <w:sz w:val="24"/>
      <w:szCs w:val="24"/>
      <w:lang w:eastAsia="en-US"/>
    </w:rPr>
  </w:style>
  <w:style w:type="character" w:customStyle="1" w:styleId="ListParagraphChar">
    <w:name w:val="List Paragraph Char"/>
    <w:link w:val="ListParagraph"/>
    <w:uiPriority w:val="34"/>
    <w:locked/>
    <w:rsid w:val="00A6587B"/>
    <w:rPr>
      <w:sz w:val="24"/>
      <w:szCs w:val="24"/>
      <w:lang w:eastAsia="en-US"/>
    </w:rPr>
  </w:style>
  <w:style w:type="table" w:customStyle="1" w:styleId="GridTable1LightAccent3">
    <w:name w:val="Grid Table 1 Light Accent 3"/>
    <w:basedOn w:val="TableNormal"/>
    <w:uiPriority w:val="46"/>
    <w:rsid w:val="009A25B3"/>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E14547"/>
    <w:rPr>
      <w:rFonts w:ascii="Calibri" w:eastAsia="Calibri" w:hAnsi="Calibri"/>
      <w:lang w:eastAsia="en-US"/>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E14547"/>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C648F3"/>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rsid w:val="00C648F3"/>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rsid w:val="00C648F3"/>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rsid w:val="00C648F3"/>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rsid w:val="00C648F3"/>
    <w:rPr>
      <w:rFonts w:asciiTheme="majorHAnsi" w:eastAsiaTheme="majorEastAsia" w:hAnsiTheme="majorHAnsi" w:cstheme="majorBidi"/>
      <w:color w:val="272727" w:themeColor="text1" w:themeTint="D8"/>
      <w:sz w:val="21"/>
      <w:szCs w:val="21"/>
      <w:lang w:eastAsia="en-US"/>
    </w:rPr>
  </w:style>
  <w:style w:type="character" w:customStyle="1" w:styleId="CaptionChar">
    <w:name w:val="Caption Char"/>
    <w:aliases w:val="Caption Char Char Char Char,Caption Char Char Char1,Map Char"/>
    <w:basedOn w:val="DefaultParagraphFont"/>
    <w:link w:val="Caption"/>
    <w:uiPriority w:val="99"/>
    <w:locked/>
    <w:rsid w:val="00E015F1"/>
    <w:rPr>
      <w:b/>
      <w:bCs/>
      <w:sz w:val="24"/>
      <w:szCs w:val="24"/>
      <w:lang w:eastAsia="en-US"/>
    </w:rPr>
  </w:style>
  <w:style w:type="table" w:customStyle="1" w:styleId="GridTable1Light-Accent31">
    <w:name w:val="Grid Table 1 Light - Accent 31"/>
    <w:basedOn w:val="TableNormal"/>
    <w:uiPriority w:val="46"/>
    <w:rsid w:val="00C605AB"/>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Heading0">
    <w:name w:val="Heading 0"/>
    <w:link w:val="Heading0Char"/>
    <w:rsid w:val="00643E94"/>
    <w:rPr>
      <w:b/>
      <w:bCs/>
      <w:color w:val="26724C"/>
      <w:sz w:val="24"/>
      <w:szCs w:val="28"/>
      <w:lang w:eastAsia="en-US"/>
    </w:rPr>
  </w:style>
  <w:style w:type="character" w:customStyle="1" w:styleId="UnresolvedMention1">
    <w:name w:val="Unresolved Mention1"/>
    <w:basedOn w:val="DefaultParagraphFont"/>
    <w:uiPriority w:val="99"/>
    <w:semiHidden/>
    <w:unhideWhenUsed/>
    <w:rsid w:val="008D5D90"/>
    <w:rPr>
      <w:color w:val="605E5C"/>
      <w:shd w:val="clear" w:color="auto" w:fill="E1DFDD"/>
    </w:rPr>
  </w:style>
  <w:style w:type="character" w:customStyle="1" w:styleId="Heading0Char">
    <w:name w:val="Heading 0 Char"/>
    <w:basedOn w:val="Heading1Char"/>
    <w:link w:val="Heading0"/>
    <w:rsid w:val="00643E94"/>
    <w:rPr>
      <w:b/>
      <w:bCs/>
      <w:color w:val="26724C"/>
      <w:sz w:val="24"/>
      <w:szCs w:val="28"/>
      <w:lang w:eastAsia="en-US"/>
    </w:rPr>
  </w:style>
  <w:style w:type="paragraph" w:customStyle="1" w:styleId="Recommendations">
    <w:name w:val="Recommendations"/>
    <w:basedOn w:val="ListParagraph"/>
    <w:link w:val="RecommendationsChar"/>
    <w:qFormat/>
    <w:rsid w:val="00D845E1"/>
    <w:pPr>
      <w:numPr>
        <w:ilvl w:val="0"/>
        <w:numId w:val="3"/>
      </w:numPr>
    </w:pPr>
  </w:style>
  <w:style w:type="character" w:customStyle="1" w:styleId="RecommendationsChar">
    <w:name w:val="Recommendations Char"/>
    <w:basedOn w:val="ListParagraphChar"/>
    <w:link w:val="Recommendations"/>
    <w:rsid w:val="00D845E1"/>
    <w:rPr>
      <w:sz w:val="24"/>
      <w:szCs w:val="24"/>
      <w:lang w:eastAsia="en-US"/>
    </w:rPr>
  </w:style>
  <w:style w:type="table" w:customStyle="1" w:styleId="ListTable4Accent3">
    <w:name w:val="List Table 4 Accent 3"/>
    <w:basedOn w:val="TableNormal"/>
    <w:uiPriority w:val="49"/>
    <w:rsid w:val="00893E8D"/>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
    <w:name w:val="Grid Table 4 Accent 3"/>
    <w:basedOn w:val="TableNormal"/>
    <w:uiPriority w:val="49"/>
    <w:rsid w:val="00893E8D"/>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
    <w:name w:val="List Table 6 Colorful"/>
    <w:basedOn w:val="TableNormal"/>
    <w:uiPriority w:val="51"/>
    <w:rsid w:val="005E12C5"/>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987217"/>
    <w:rPr>
      <w:rFonts w:asciiTheme="minorHAnsi" w:eastAsiaTheme="minorHAnsi" w:hAnsiTheme="minorHAnsi" w:cstheme="minorBidi"/>
      <w:lang w:eastAsia="en-US"/>
    </w:rPr>
  </w:style>
  <w:style w:type="table" w:customStyle="1" w:styleId="GridTable5DarkAccent6">
    <w:name w:val="Grid Table 5 Dark Accent 6"/>
    <w:basedOn w:val="TableNormal"/>
    <w:uiPriority w:val="50"/>
    <w:rsid w:val="002B36A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3">
    <w:name w:val="Grid Table 5 Dark Accent 3"/>
    <w:basedOn w:val="TableNormal"/>
    <w:uiPriority w:val="50"/>
    <w:rsid w:val="00263E8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FollowedHyperlink">
    <w:name w:val="FollowedHyperlink"/>
    <w:basedOn w:val="DefaultParagraphFont"/>
    <w:uiPriority w:val="99"/>
    <w:semiHidden/>
    <w:unhideWhenUsed/>
    <w:rsid w:val="00934F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0855876">
      <w:bodyDiv w:val="1"/>
      <w:marLeft w:val="0"/>
      <w:marRight w:val="0"/>
      <w:marTop w:val="0"/>
      <w:marBottom w:val="0"/>
      <w:divBdr>
        <w:top w:val="none" w:sz="0" w:space="0" w:color="auto"/>
        <w:left w:val="none" w:sz="0" w:space="0" w:color="auto"/>
        <w:bottom w:val="none" w:sz="0" w:space="0" w:color="auto"/>
        <w:right w:val="none" w:sz="0" w:space="0" w:color="auto"/>
      </w:divBdr>
    </w:div>
    <w:div w:id="270817163">
      <w:bodyDiv w:val="1"/>
      <w:marLeft w:val="0"/>
      <w:marRight w:val="0"/>
      <w:marTop w:val="0"/>
      <w:marBottom w:val="0"/>
      <w:divBdr>
        <w:top w:val="none" w:sz="0" w:space="0" w:color="auto"/>
        <w:left w:val="none" w:sz="0" w:space="0" w:color="auto"/>
        <w:bottom w:val="none" w:sz="0" w:space="0" w:color="auto"/>
        <w:right w:val="none" w:sz="0" w:space="0" w:color="auto"/>
      </w:divBdr>
    </w:div>
    <w:div w:id="330766574">
      <w:bodyDiv w:val="1"/>
      <w:marLeft w:val="0"/>
      <w:marRight w:val="0"/>
      <w:marTop w:val="0"/>
      <w:marBottom w:val="0"/>
      <w:divBdr>
        <w:top w:val="none" w:sz="0" w:space="0" w:color="auto"/>
        <w:left w:val="none" w:sz="0" w:space="0" w:color="auto"/>
        <w:bottom w:val="none" w:sz="0" w:space="0" w:color="auto"/>
        <w:right w:val="none" w:sz="0" w:space="0" w:color="auto"/>
      </w:divBdr>
    </w:div>
    <w:div w:id="426777859">
      <w:bodyDiv w:val="1"/>
      <w:marLeft w:val="0"/>
      <w:marRight w:val="0"/>
      <w:marTop w:val="0"/>
      <w:marBottom w:val="0"/>
      <w:divBdr>
        <w:top w:val="none" w:sz="0" w:space="0" w:color="auto"/>
        <w:left w:val="none" w:sz="0" w:space="0" w:color="auto"/>
        <w:bottom w:val="none" w:sz="0" w:space="0" w:color="auto"/>
        <w:right w:val="none" w:sz="0" w:space="0" w:color="auto"/>
      </w:divBdr>
    </w:div>
    <w:div w:id="437918482">
      <w:bodyDiv w:val="1"/>
      <w:marLeft w:val="0"/>
      <w:marRight w:val="0"/>
      <w:marTop w:val="0"/>
      <w:marBottom w:val="0"/>
      <w:divBdr>
        <w:top w:val="none" w:sz="0" w:space="0" w:color="auto"/>
        <w:left w:val="none" w:sz="0" w:space="0" w:color="auto"/>
        <w:bottom w:val="none" w:sz="0" w:space="0" w:color="auto"/>
        <w:right w:val="none" w:sz="0" w:space="0" w:color="auto"/>
      </w:divBdr>
    </w:div>
    <w:div w:id="483277069">
      <w:bodyDiv w:val="1"/>
      <w:marLeft w:val="0"/>
      <w:marRight w:val="0"/>
      <w:marTop w:val="0"/>
      <w:marBottom w:val="0"/>
      <w:divBdr>
        <w:top w:val="none" w:sz="0" w:space="0" w:color="auto"/>
        <w:left w:val="none" w:sz="0" w:space="0" w:color="auto"/>
        <w:bottom w:val="none" w:sz="0" w:space="0" w:color="auto"/>
        <w:right w:val="none" w:sz="0" w:space="0" w:color="auto"/>
      </w:divBdr>
    </w:div>
    <w:div w:id="532159725">
      <w:bodyDiv w:val="1"/>
      <w:marLeft w:val="0"/>
      <w:marRight w:val="0"/>
      <w:marTop w:val="0"/>
      <w:marBottom w:val="0"/>
      <w:divBdr>
        <w:top w:val="none" w:sz="0" w:space="0" w:color="auto"/>
        <w:left w:val="none" w:sz="0" w:space="0" w:color="auto"/>
        <w:bottom w:val="none" w:sz="0" w:space="0" w:color="auto"/>
        <w:right w:val="none" w:sz="0" w:space="0" w:color="auto"/>
      </w:divBdr>
    </w:div>
    <w:div w:id="539172455">
      <w:bodyDiv w:val="1"/>
      <w:marLeft w:val="0"/>
      <w:marRight w:val="0"/>
      <w:marTop w:val="0"/>
      <w:marBottom w:val="0"/>
      <w:divBdr>
        <w:top w:val="none" w:sz="0" w:space="0" w:color="auto"/>
        <w:left w:val="none" w:sz="0" w:space="0" w:color="auto"/>
        <w:bottom w:val="none" w:sz="0" w:space="0" w:color="auto"/>
        <w:right w:val="none" w:sz="0" w:space="0" w:color="auto"/>
      </w:divBdr>
    </w:div>
    <w:div w:id="802502220">
      <w:bodyDiv w:val="1"/>
      <w:marLeft w:val="0"/>
      <w:marRight w:val="0"/>
      <w:marTop w:val="0"/>
      <w:marBottom w:val="0"/>
      <w:divBdr>
        <w:top w:val="none" w:sz="0" w:space="0" w:color="auto"/>
        <w:left w:val="none" w:sz="0" w:space="0" w:color="auto"/>
        <w:bottom w:val="none" w:sz="0" w:space="0" w:color="auto"/>
        <w:right w:val="none" w:sz="0" w:space="0" w:color="auto"/>
      </w:divBdr>
    </w:div>
    <w:div w:id="871963649">
      <w:bodyDiv w:val="1"/>
      <w:marLeft w:val="0"/>
      <w:marRight w:val="0"/>
      <w:marTop w:val="0"/>
      <w:marBottom w:val="0"/>
      <w:divBdr>
        <w:top w:val="none" w:sz="0" w:space="0" w:color="auto"/>
        <w:left w:val="none" w:sz="0" w:space="0" w:color="auto"/>
        <w:bottom w:val="none" w:sz="0" w:space="0" w:color="auto"/>
        <w:right w:val="none" w:sz="0" w:space="0" w:color="auto"/>
      </w:divBdr>
    </w:div>
    <w:div w:id="902103241">
      <w:bodyDiv w:val="1"/>
      <w:marLeft w:val="0"/>
      <w:marRight w:val="0"/>
      <w:marTop w:val="0"/>
      <w:marBottom w:val="0"/>
      <w:divBdr>
        <w:top w:val="none" w:sz="0" w:space="0" w:color="auto"/>
        <w:left w:val="none" w:sz="0" w:space="0" w:color="auto"/>
        <w:bottom w:val="none" w:sz="0" w:space="0" w:color="auto"/>
        <w:right w:val="none" w:sz="0" w:space="0" w:color="auto"/>
      </w:divBdr>
    </w:div>
    <w:div w:id="1117601203">
      <w:bodyDiv w:val="1"/>
      <w:marLeft w:val="0"/>
      <w:marRight w:val="0"/>
      <w:marTop w:val="0"/>
      <w:marBottom w:val="0"/>
      <w:divBdr>
        <w:top w:val="none" w:sz="0" w:space="0" w:color="auto"/>
        <w:left w:val="none" w:sz="0" w:space="0" w:color="auto"/>
        <w:bottom w:val="none" w:sz="0" w:space="0" w:color="auto"/>
        <w:right w:val="none" w:sz="0" w:space="0" w:color="auto"/>
      </w:divBdr>
    </w:div>
    <w:div w:id="1231773404">
      <w:bodyDiv w:val="1"/>
      <w:marLeft w:val="0"/>
      <w:marRight w:val="0"/>
      <w:marTop w:val="0"/>
      <w:marBottom w:val="0"/>
      <w:divBdr>
        <w:top w:val="none" w:sz="0" w:space="0" w:color="auto"/>
        <w:left w:val="none" w:sz="0" w:space="0" w:color="auto"/>
        <w:bottom w:val="none" w:sz="0" w:space="0" w:color="auto"/>
        <w:right w:val="none" w:sz="0" w:space="0" w:color="auto"/>
      </w:divBdr>
    </w:div>
    <w:div w:id="1258950674">
      <w:bodyDiv w:val="1"/>
      <w:marLeft w:val="0"/>
      <w:marRight w:val="0"/>
      <w:marTop w:val="0"/>
      <w:marBottom w:val="0"/>
      <w:divBdr>
        <w:top w:val="none" w:sz="0" w:space="0" w:color="auto"/>
        <w:left w:val="none" w:sz="0" w:space="0" w:color="auto"/>
        <w:bottom w:val="none" w:sz="0" w:space="0" w:color="auto"/>
        <w:right w:val="none" w:sz="0" w:space="0" w:color="auto"/>
      </w:divBdr>
    </w:div>
    <w:div w:id="1300040551">
      <w:bodyDiv w:val="1"/>
      <w:marLeft w:val="0"/>
      <w:marRight w:val="0"/>
      <w:marTop w:val="0"/>
      <w:marBottom w:val="0"/>
      <w:divBdr>
        <w:top w:val="none" w:sz="0" w:space="0" w:color="auto"/>
        <w:left w:val="none" w:sz="0" w:space="0" w:color="auto"/>
        <w:bottom w:val="none" w:sz="0" w:space="0" w:color="auto"/>
        <w:right w:val="none" w:sz="0" w:space="0" w:color="auto"/>
      </w:divBdr>
    </w:div>
    <w:div w:id="1409621416">
      <w:bodyDiv w:val="1"/>
      <w:marLeft w:val="0"/>
      <w:marRight w:val="0"/>
      <w:marTop w:val="0"/>
      <w:marBottom w:val="0"/>
      <w:divBdr>
        <w:top w:val="none" w:sz="0" w:space="0" w:color="auto"/>
        <w:left w:val="none" w:sz="0" w:space="0" w:color="auto"/>
        <w:bottom w:val="none" w:sz="0" w:space="0" w:color="auto"/>
        <w:right w:val="none" w:sz="0" w:space="0" w:color="auto"/>
      </w:divBdr>
    </w:div>
    <w:div w:id="1782332768">
      <w:bodyDiv w:val="1"/>
      <w:marLeft w:val="0"/>
      <w:marRight w:val="0"/>
      <w:marTop w:val="0"/>
      <w:marBottom w:val="0"/>
      <w:divBdr>
        <w:top w:val="none" w:sz="0" w:space="0" w:color="auto"/>
        <w:left w:val="none" w:sz="0" w:space="0" w:color="auto"/>
        <w:bottom w:val="none" w:sz="0" w:space="0" w:color="auto"/>
        <w:right w:val="none" w:sz="0" w:space="0" w:color="auto"/>
      </w:divBdr>
    </w:div>
    <w:div w:id="2022002638">
      <w:marLeft w:val="0"/>
      <w:marRight w:val="0"/>
      <w:marTop w:val="0"/>
      <w:marBottom w:val="0"/>
      <w:divBdr>
        <w:top w:val="none" w:sz="0" w:space="0" w:color="auto"/>
        <w:left w:val="none" w:sz="0" w:space="0" w:color="auto"/>
        <w:bottom w:val="none" w:sz="0" w:space="0" w:color="auto"/>
        <w:right w:val="none" w:sz="0" w:space="0" w:color="auto"/>
      </w:divBdr>
    </w:div>
    <w:div w:id="2022002639">
      <w:marLeft w:val="0"/>
      <w:marRight w:val="0"/>
      <w:marTop w:val="0"/>
      <w:marBottom w:val="0"/>
      <w:divBdr>
        <w:top w:val="none" w:sz="0" w:space="0" w:color="auto"/>
        <w:left w:val="none" w:sz="0" w:space="0" w:color="auto"/>
        <w:bottom w:val="none" w:sz="0" w:space="0" w:color="auto"/>
        <w:right w:val="none" w:sz="0" w:space="0" w:color="auto"/>
      </w:divBdr>
    </w:div>
    <w:div w:id="2022002640">
      <w:marLeft w:val="0"/>
      <w:marRight w:val="0"/>
      <w:marTop w:val="0"/>
      <w:marBottom w:val="0"/>
      <w:divBdr>
        <w:top w:val="none" w:sz="0" w:space="0" w:color="auto"/>
        <w:left w:val="none" w:sz="0" w:space="0" w:color="auto"/>
        <w:bottom w:val="none" w:sz="0" w:space="0" w:color="auto"/>
        <w:right w:val="none" w:sz="0" w:space="0" w:color="auto"/>
      </w:divBdr>
    </w:div>
    <w:div w:id="2022002641">
      <w:marLeft w:val="0"/>
      <w:marRight w:val="0"/>
      <w:marTop w:val="0"/>
      <w:marBottom w:val="0"/>
      <w:divBdr>
        <w:top w:val="none" w:sz="0" w:space="0" w:color="auto"/>
        <w:left w:val="none" w:sz="0" w:space="0" w:color="auto"/>
        <w:bottom w:val="none" w:sz="0" w:space="0" w:color="auto"/>
        <w:right w:val="none" w:sz="0" w:space="0" w:color="auto"/>
      </w:divBdr>
    </w:div>
    <w:div w:id="20220026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png"/><Relationship Id="R4bd44830bb4e4d2d" Type="http://schemas.microsoft.com/office/2019/09/relationships/intelligence" Target="intelligenc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https://ffcsouthafrica-my.sharepoint.com/personal/chen_ffc_co_za/Documents/01.%20Financial%20&amp;%20Fiscal%20Commission/03.%20Parliament%20&amp;%20Salga/2021-11-16%20Joint%20Meeting%20of%20App%20&amp;%20Fin%20MTBPS/MTBP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onewas\Downloads\MTBP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https://ffcsouthafrica-my.sharepoint.com/personal/chen_ffc_co_za/Documents/01.%20Financial%20&amp;%20Fiscal%20Commission/03.%20Parliament%20&amp;%20Salga/2021-11-16%20Joint%20Meeting%20of%20App%20&amp;%20Fin%20MTBPS/MTB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plotArea>
      <c:layout>
        <c:manualLayout>
          <c:layoutTarget val="inner"/>
          <c:xMode val="edge"/>
          <c:yMode val="edge"/>
          <c:x val="8.3850164971881233E-2"/>
          <c:y val="5.2397995705082349E-2"/>
          <c:w val="0.890897237751197"/>
          <c:h val="0.71710580075373542"/>
        </c:manualLayout>
      </c:layout>
      <c:lineChart>
        <c:grouping val="standard"/>
        <c:ser>
          <c:idx val="0"/>
          <c:order val="0"/>
          <c:tx>
            <c:strRef>
              <c:f>WEO_Data!$D$27</c:f>
              <c:strCache>
                <c:ptCount val="1"/>
                <c:pt idx="0">
                  <c:v>World</c:v>
                </c:pt>
              </c:strCache>
            </c:strRef>
          </c:tx>
          <c:spPr>
            <a:ln w="28575" cap="rnd">
              <a:solidFill>
                <a:schemeClr val="bg1">
                  <a:lumMod val="65000"/>
                </a:schemeClr>
              </a:solidFill>
              <a:round/>
            </a:ln>
            <a:effectLst/>
          </c:spPr>
          <c:marker>
            <c:symbol val="none"/>
          </c:marker>
          <c:cat>
            <c:numRef>
              <c:f>WEO_Data!$C$28:$C$36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WEO_Data!$D$28:$D$36</c:f>
              <c:numCache>
                <c:formatCode>0.00</c:formatCode>
                <c:ptCount val="9"/>
                <c:pt idx="0">
                  <c:v>3.5609999999999999</c:v>
                </c:pt>
                <c:pt idx="1">
                  <c:v>3.4870000000000001</c:v>
                </c:pt>
                <c:pt idx="2">
                  <c:v>3.2909999999999999</c:v>
                </c:pt>
                <c:pt idx="3">
                  <c:v>3.762</c:v>
                </c:pt>
                <c:pt idx="4">
                  <c:v>3.5680000000000001</c:v>
                </c:pt>
                <c:pt idx="5">
                  <c:v>2.7640000000000002</c:v>
                </c:pt>
                <c:pt idx="6">
                  <c:v>-3.2669999999999999</c:v>
                </c:pt>
              </c:numCache>
            </c:numRef>
          </c:val>
          <c:extLst xmlns:c16r2="http://schemas.microsoft.com/office/drawing/2015/06/chart">
            <c:ext xmlns:c16="http://schemas.microsoft.com/office/drawing/2014/chart" uri="{C3380CC4-5D6E-409C-BE32-E72D297353CC}">
              <c16:uniqueId val="{00000000-5C50-4BF2-A80A-B3201DA2A30F}"/>
            </c:ext>
          </c:extLst>
        </c:ser>
        <c:ser>
          <c:idx val="1"/>
          <c:order val="1"/>
          <c:tx>
            <c:strRef>
              <c:f>WEO_Data!$G$27</c:f>
              <c:strCache>
                <c:ptCount val="1"/>
                <c:pt idx="0">
                  <c:v>World</c:v>
                </c:pt>
              </c:strCache>
            </c:strRef>
          </c:tx>
          <c:spPr>
            <a:ln w="28575" cap="rnd">
              <a:solidFill>
                <a:schemeClr val="bg1">
                  <a:lumMod val="65000"/>
                </a:schemeClr>
              </a:solidFill>
              <a:prstDash val="sysDash"/>
              <a:round/>
            </a:ln>
            <a:effectLst/>
          </c:spPr>
          <c:marker>
            <c:symbol val="none"/>
          </c:marker>
          <c:cat>
            <c:numRef>
              <c:f>WEO_Data!$C$28:$C$36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WEO_Data!$G$28:$G$36</c:f>
              <c:numCache>
                <c:formatCode>General</c:formatCode>
                <c:ptCount val="9"/>
                <c:pt idx="6" formatCode="0.00">
                  <c:v>-3.2669999999999999</c:v>
                </c:pt>
                <c:pt idx="7" formatCode="0.00">
                  <c:v>5.9</c:v>
                </c:pt>
                <c:pt idx="8" formatCode="0.00">
                  <c:v>4.9000000000000004</c:v>
                </c:pt>
              </c:numCache>
            </c:numRef>
          </c:val>
          <c:extLst xmlns:c16r2="http://schemas.microsoft.com/office/drawing/2015/06/chart">
            <c:ext xmlns:c16="http://schemas.microsoft.com/office/drawing/2014/chart" uri="{C3380CC4-5D6E-409C-BE32-E72D297353CC}">
              <c16:uniqueId val="{00000001-5C50-4BF2-A80A-B3201DA2A30F}"/>
            </c:ext>
          </c:extLst>
        </c:ser>
        <c:ser>
          <c:idx val="2"/>
          <c:order val="2"/>
          <c:tx>
            <c:strRef>
              <c:f>WEO_Data!$E$27</c:f>
              <c:strCache>
                <c:ptCount val="1"/>
                <c:pt idx="0">
                  <c:v>Advanced economies</c:v>
                </c:pt>
              </c:strCache>
            </c:strRef>
          </c:tx>
          <c:spPr>
            <a:ln w="28575" cap="rnd">
              <a:solidFill>
                <a:schemeClr val="tx1"/>
              </a:solidFill>
              <a:round/>
            </a:ln>
            <a:effectLst/>
          </c:spPr>
          <c:marker>
            <c:symbol val="none"/>
          </c:marker>
          <c:cat>
            <c:numRef>
              <c:f>WEO_Data!$C$28:$C$36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WEO_Data!$E$28:$E$36</c:f>
              <c:numCache>
                <c:formatCode>0.00</c:formatCode>
                <c:ptCount val="9"/>
                <c:pt idx="0">
                  <c:v>2.0819999999999999</c:v>
                </c:pt>
                <c:pt idx="1">
                  <c:v>2.4369999999999989</c:v>
                </c:pt>
                <c:pt idx="2">
                  <c:v>1.7729999999999997</c:v>
                </c:pt>
                <c:pt idx="3">
                  <c:v>2.4649999999999999</c:v>
                </c:pt>
                <c:pt idx="4">
                  <c:v>2.2999999999999998</c:v>
                </c:pt>
                <c:pt idx="5">
                  <c:v>1.6379999999999995</c:v>
                </c:pt>
                <c:pt idx="6">
                  <c:v>-4.7130000000000001</c:v>
                </c:pt>
              </c:numCache>
            </c:numRef>
          </c:val>
          <c:extLst xmlns:c16r2="http://schemas.microsoft.com/office/drawing/2015/06/chart">
            <c:ext xmlns:c16="http://schemas.microsoft.com/office/drawing/2014/chart" uri="{C3380CC4-5D6E-409C-BE32-E72D297353CC}">
              <c16:uniqueId val="{00000002-5C50-4BF2-A80A-B3201DA2A30F}"/>
            </c:ext>
          </c:extLst>
        </c:ser>
        <c:ser>
          <c:idx val="3"/>
          <c:order val="3"/>
          <c:tx>
            <c:strRef>
              <c:f>WEO_Data!$H$27</c:f>
              <c:strCache>
                <c:ptCount val="1"/>
                <c:pt idx="0">
                  <c:v>Advanced economies</c:v>
                </c:pt>
              </c:strCache>
            </c:strRef>
          </c:tx>
          <c:spPr>
            <a:ln w="28575" cap="rnd">
              <a:solidFill>
                <a:schemeClr val="tx1"/>
              </a:solidFill>
              <a:prstDash val="sysDash"/>
              <a:round/>
            </a:ln>
            <a:effectLst/>
          </c:spPr>
          <c:marker>
            <c:symbol val="none"/>
          </c:marker>
          <c:dLbls>
            <c:dLbl>
              <c:idx val="6"/>
              <c:layout>
                <c:manualLayout>
                  <c:x val="-4.3573319652813599E-3"/>
                  <c:y val="3.52532988170997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45-47E2-9806-C86B74DA54FD}"/>
                </c:ext>
              </c:extLst>
            </c:dLbl>
            <c:dLbl>
              <c:idx val="7"/>
              <c:layout>
                <c:manualLayout>
                  <c:x val="-2.228634451388644E-2"/>
                  <c:y val="0.10582199952278691"/>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45-47E2-9806-C86B74DA54FD}"/>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WEO_Data!$C$28:$C$36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WEO_Data!$H$28:$H$36</c:f>
              <c:numCache>
                <c:formatCode>General</c:formatCode>
                <c:ptCount val="9"/>
                <c:pt idx="6" formatCode="0.00">
                  <c:v>-4.7130000000000001</c:v>
                </c:pt>
                <c:pt idx="7" formatCode="0.00">
                  <c:v>5.2</c:v>
                </c:pt>
                <c:pt idx="8" formatCode="0.00">
                  <c:v>4.5</c:v>
                </c:pt>
              </c:numCache>
            </c:numRef>
          </c:val>
          <c:extLst xmlns:c16r2="http://schemas.microsoft.com/office/drawing/2015/06/chart">
            <c:ext xmlns:c16="http://schemas.microsoft.com/office/drawing/2014/chart" uri="{C3380CC4-5D6E-409C-BE32-E72D297353CC}">
              <c16:uniqueId val="{00000003-5C50-4BF2-A80A-B3201DA2A30F}"/>
            </c:ext>
          </c:extLst>
        </c:ser>
        <c:ser>
          <c:idx val="4"/>
          <c:order val="4"/>
          <c:tx>
            <c:strRef>
              <c:f>WEO_Data!$F$27</c:f>
              <c:strCache>
                <c:ptCount val="1"/>
                <c:pt idx="0">
                  <c:v>Emerging market and developing economies</c:v>
                </c:pt>
              </c:strCache>
            </c:strRef>
          </c:tx>
          <c:spPr>
            <a:ln w="28575" cap="rnd">
              <a:solidFill>
                <a:srgbClr val="006600"/>
              </a:solidFill>
              <a:round/>
            </a:ln>
            <a:effectLst/>
          </c:spPr>
          <c:marker>
            <c:symbol val="none"/>
          </c:marker>
          <c:cat>
            <c:numRef>
              <c:f>WEO_Data!$C$28:$C$36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WEO_Data!$F$28:$F$36</c:f>
              <c:numCache>
                <c:formatCode>0.00</c:formatCode>
                <c:ptCount val="9"/>
                <c:pt idx="0">
                  <c:v>4.7169999999999996</c:v>
                </c:pt>
                <c:pt idx="1">
                  <c:v>4.3269999999999982</c:v>
                </c:pt>
                <c:pt idx="2">
                  <c:v>4.5039999999999996</c:v>
                </c:pt>
                <c:pt idx="3">
                  <c:v>4.7830000000000004</c:v>
                </c:pt>
                <c:pt idx="4">
                  <c:v>4.5460000000000003</c:v>
                </c:pt>
                <c:pt idx="5">
                  <c:v>3.617</c:v>
                </c:pt>
                <c:pt idx="6">
                  <c:v>-2.198</c:v>
                </c:pt>
              </c:numCache>
            </c:numRef>
          </c:val>
          <c:extLst xmlns:c16r2="http://schemas.microsoft.com/office/drawing/2015/06/chart">
            <c:ext xmlns:c16="http://schemas.microsoft.com/office/drawing/2014/chart" uri="{C3380CC4-5D6E-409C-BE32-E72D297353CC}">
              <c16:uniqueId val="{00000004-5C50-4BF2-A80A-B3201DA2A30F}"/>
            </c:ext>
          </c:extLst>
        </c:ser>
        <c:ser>
          <c:idx val="5"/>
          <c:order val="5"/>
          <c:tx>
            <c:strRef>
              <c:f>WEO_Data!$I$27</c:f>
              <c:strCache>
                <c:ptCount val="1"/>
                <c:pt idx="0">
                  <c:v>Emerging market and developing economies</c:v>
                </c:pt>
              </c:strCache>
            </c:strRef>
          </c:tx>
          <c:spPr>
            <a:ln w="28575" cap="rnd">
              <a:solidFill>
                <a:srgbClr val="006600"/>
              </a:solidFill>
              <a:prstDash val="sysDash"/>
              <a:round/>
            </a:ln>
            <a:effectLst/>
          </c:spPr>
          <c:marker>
            <c:symbol val="none"/>
          </c:marker>
          <c:dLbls>
            <c:dLbl>
              <c:idx val="6"/>
              <c:layout>
                <c:manualLayout>
                  <c:x val="-4.4343219299163628E-2"/>
                  <c:y val="-0.1680885001454520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45-47E2-9806-C86B74DA54FD}"/>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WEO_Data!$C$28:$C$36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WEO_Data!$I$28:$I$36</c:f>
              <c:numCache>
                <c:formatCode>General</c:formatCode>
                <c:ptCount val="9"/>
                <c:pt idx="6" formatCode="0.00">
                  <c:v>-2.198</c:v>
                </c:pt>
                <c:pt idx="7" formatCode="0.00">
                  <c:v>6.4</c:v>
                </c:pt>
                <c:pt idx="8" formatCode="0.00">
                  <c:v>5.0999999999999996</c:v>
                </c:pt>
              </c:numCache>
            </c:numRef>
          </c:val>
          <c:extLst xmlns:c16r2="http://schemas.microsoft.com/office/drawing/2015/06/chart">
            <c:ext xmlns:c16="http://schemas.microsoft.com/office/drawing/2014/chart" uri="{C3380CC4-5D6E-409C-BE32-E72D297353CC}">
              <c16:uniqueId val="{00000005-5C50-4BF2-A80A-B3201DA2A30F}"/>
            </c:ext>
          </c:extLst>
        </c:ser>
        <c:marker val="1"/>
        <c:axId val="160934528"/>
        <c:axId val="160948608"/>
      </c:lineChart>
      <c:catAx>
        <c:axId val="16093452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0948608"/>
        <c:crosses val="autoZero"/>
        <c:auto val="1"/>
        <c:lblAlgn val="ctr"/>
        <c:lblOffset val="100"/>
      </c:catAx>
      <c:valAx>
        <c:axId val="16094860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0934528"/>
        <c:crosses val="autoZero"/>
        <c:crossBetween val="between"/>
      </c:valAx>
      <c:spPr>
        <a:solidFill>
          <a:sysClr val="window" lastClr="FFFFFF"/>
        </a:solidFill>
        <a:ln>
          <a:noFill/>
        </a:ln>
        <a:effectLst/>
      </c:spPr>
    </c:plotArea>
    <c:legend>
      <c:legendPos val="b"/>
      <c:legendEntry>
        <c:idx val="1"/>
        <c:delete val="1"/>
      </c:legendEntry>
      <c:legendEntry>
        <c:idx val="3"/>
        <c:delete val="1"/>
      </c:legendEntry>
      <c:legendEntry>
        <c:idx val="5"/>
        <c:delete val="1"/>
      </c:legendEntry>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ZA"/>
  <c:style val="5"/>
  <c:chart>
    <c:autoTitleDeleted val="1"/>
    <c:plotArea>
      <c:layout/>
      <c:barChart>
        <c:barDir val="col"/>
        <c:grouping val="stacked"/>
        <c:ser>
          <c:idx val="1"/>
          <c:order val="1"/>
          <c:tx>
            <c:strRef>
              <c:f>'Sheet6 (2)'!$B$9</c:f>
              <c:strCache>
                <c:ptCount val="1"/>
                <c:pt idx="0">
                  <c:v>Primary balance (2021 MTBPS)</c:v>
                </c:pt>
              </c:strCache>
            </c:strRef>
          </c:tx>
          <c:spPr>
            <a:solidFill>
              <a:schemeClr val="accent3"/>
            </a:solidFill>
            <a:ln>
              <a:noFill/>
            </a:ln>
            <a:effectLst/>
          </c:spPr>
          <c:val>
            <c:numRef>
              <c:f>'Sheet6 (2)'!$C$9:$I$9</c:f>
              <c:numCache>
                <c:formatCode>General</c:formatCode>
                <c:ptCount val="7"/>
                <c:pt idx="3" formatCode="_(* #\ ##0.0_);_*\ \-#\ ##0.0_);_(* &quot;–&quot;_);_(@_)">
                  <c:v>318.03099999999989</c:v>
                </c:pt>
                <c:pt idx="4" formatCode="_(* #\ ##0.0_);_*\ \-#\ ##0.0_);_(* &quot;–&quot;_);_(@_)">
                  <c:v>140.667</c:v>
                </c:pt>
                <c:pt idx="5" formatCode="_(* #\ ##0.0_);_*\ \-#\ ##0.0_);_(* &quot;–&quot;_);_(@_)">
                  <c:v>77.215000000000003</c:v>
                </c:pt>
                <c:pt idx="6" formatCode="_(* #\ ##0.0_);_*\ \-#\ ##0.0_);_(* &quot;–&quot;_);_(@_)">
                  <c:v>20.792000000000002</c:v>
                </c:pt>
              </c:numCache>
            </c:numRef>
          </c:val>
          <c:extLst xmlns:c16r2="http://schemas.microsoft.com/office/drawing/2015/06/chart">
            <c:ext xmlns:c16="http://schemas.microsoft.com/office/drawing/2014/chart" uri="{C3380CC4-5D6E-409C-BE32-E72D297353CC}">
              <c16:uniqueId val="{00000000-CC2E-4839-8285-A421D81BC3E1}"/>
            </c:ext>
          </c:extLst>
        </c:ser>
        <c:ser>
          <c:idx val="2"/>
          <c:order val="2"/>
          <c:tx>
            <c:strRef>
              <c:f>'Sheet6 (2)'!$B$10</c:f>
              <c:strCache>
                <c:ptCount val="1"/>
                <c:pt idx="0">
                  <c:v>Debt-service costs (2021 MTBPS)</c:v>
                </c:pt>
              </c:strCache>
            </c:strRef>
          </c:tx>
          <c:spPr>
            <a:solidFill>
              <a:schemeClr val="accent3">
                <a:tint val="65000"/>
              </a:schemeClr>
            </a:solidFill>
            <a:ln>
              <a:noFill/>
            </a:ln>
            <a:effectLst/>
          </c:spPr>
          <c:val>
            <c:numRef>
              <c:f>'Sheet6 (2)'!$C$10:$I$10</c:f>
              <c:numCache>
                <c:formatCode>General</c:formatCode>
                <c:ptCount val="7"/>
                <c:pt idx="3" formatCode="_(* #\ ##0.0_);_*\ \-#\ ##0.0_);_(* &quot;–&quot;_);_(@_)">
                  <c:v>232.596</c:v>
                </c:pt>
                <c:pt idx="4" formatCode="_(* #\ ##0.0_);_*\ \-#\ ##0.0_);_(* &quot;–&quot;_);_(@_)">
                  <c:v>269.23399999999975</c:v>
                </c:pt>
                <c:pt idx="5" formatCode="_(* #\ ##0.0_);_*\ \-#\ ##0.0_);_(* &quot;–&quot;_);_(@_)">
                  <c:v>303.14100000000002</c:v>
                </c:pt>
                <c:pt idx="6" formatCode="_(* #\ ##0.0_);_*\ \-#\ ##0.0_);_(* &quot;–&quot;_);_(@_)">
                  <c:v>334.57499999999999</c:v>
                </c:pt>
              </c:numCache>
            </c:numRef>
          </c:val>
          <c:extLst xmlns:c16r2="http://schemas.microsoft.com/office/drawing/2015/06/chart">
            <c:ext xmlns:c16="http://schemas.microsoft.com/office/drawing/2014/chart" uri="{C3380CC4-5D6E-409C-BE32-E72D297353CC}">
              <c16:uniqueId val="{00000001-CC2E-4839-8285-A421D81BC3E1}"/>
            </c:ext>
          </c:extLst>
        </c:ser>
        <c:gapWidth val="219"/>
        <c:overlap val="100"/>
        <c:axId val="176721280"/>
        <c:axId val="176723072"/>
      </c:barChart>
      <c:lineChart>
        <c:grouping val="standard"/>
        <c:ser>
          <c:idx val="0"/>
          <c:order val="0"/>
          <c:tx>
            <c:strRef>
              <c:f>'Sheet6 (2)'!$B$8</c:f>
              <c:strCache>
                <c:ptCount val="1"/>
                <c:pt idx="0">
                  <c:v>Primary balance (2021 Budget Review)</c:v>
                </c:pt>
              </c:strCache>
            </c:strRef>
          </c:tx>
          <c:spPr>
            <a:ln w="28575" cap="rnd">
              <a:solidFill>
                <a:schemeClr val="accent3">
                  <a:shade val="65000"/>
                </a:schemeClr>
              </a:solidFill>
              <a:round/>
            </a:ln>
            <a:effectLst/>
          </c:spPr>
          <c:marker>
            <c:symbol val="square"/>
            <c:size val="5"/>
            <c:spPr>
              <a:solidFill>
                <a:schemeClr val="accent3">
                  <a:shade val="65000"/>
                </a:schemeClr>
              </a:solidFill>
              <a:ln w="9525">
                <a:solidFill>
                  <a:schemeClr val="accent3">
                    <a:shade val="65000"/>
                  </a:schemeClr>
                </a:solidFill>
              </a:ln>
              <a:effectLst/>
            </c:spPr>
          </c:marker>
          <c:cat>
            <c:strRef>
              <c:f>'Sheet6 (2)'!$C$2:$I$2</c:f>
              <c:strCache>
                <c:ptCount val="7"/>
                <c:pt idx="0">
                  <c:v>2017/18</c:v>
                </c:pt>
                <c:pt idx="1">
                  <c:v>2018/19</c:v>
                </c:pt>
                <c:pt idx="2">
                  <c:v>2019/20</c:v>
                </c:pt>
                <c:pt idx="3">
                  <c:v>2020/21</c:v>
                </c:pt>
                <c:pt idx="4">
                  <c:v>2021/22</c:v>
                </c:pt>
                <c:pt idx="5">
                  <c:v>2022/23</c:v>
                </c:pt>
                <c:pt idx="6">
                  <c:v>2023/24</c:v>
                </c:pt>
              </c:strCache>
            </c:strRef>
          </c:cat>
          <c:val>
            <c:numRef>
              <c:f>'Sheet6 (2)'!$C$8:$I$8</c:f>
              <c:numCache>
                <c:formatCode>_(* #\ ##0.0_);_*\ \-#\ ##0.0_);_(* "–"_);_(@_)</c:formatCode>
                <c:ptCount val="7"/>
                <c:pt idx="0">
                  <c:v>45.933</c:v>
                </c:pt>
                <c:pt idx="1">
                  <c:v>49.484999999999999</c:v>
                </c:pt>
                <c:pt idx="2">
                  <c:v>140.28399999999999</c:v>
                </c:pt>
                <c:pt idx="3">
                  <c:v>370.53699999999975</c:v>
                </c:pt>
                <c:pt idx="4">
                  <c:v>212.839</c:v>
                </c:pt>
                <c:pt idx="5">
                  <c:v>109.151</c:v>
                </c:pt>
                <c:pt idx="6">
                  <c:v>50.42</c:v>
                </c:pt>
              </c:numCache>
            </c:numRef>
          </c:val>
          <c:extLst xmlns:c16r2="http://schemas.microsoft.com/office/drawing/2015/06/chart">
            <c:ext xmlns:c16="http://schemas.microsoft.com/office/drawing/2014/chart" uri="{C3380CC4-5D6E-409C-BE32-E72D297353CC}">
              <c16:uniqueId val="{00000002-CC2E-4839-8285-A421D81BC3E1}"/>
            </c:ext>
          </c:extLst>
        </c:ser>
        <c:marker val="1"/>
        <c:axId val="176721280"/>
        <c:axId val="176723072"/>
      </c:lineChart>
      <c:catAx>
        <c:axId val="17672128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723072"/>
        <c:crosses val="autoZero"/>
        <c:auto val="1"/>
        <c:lblAlgn val="ctr"/>
        <c:lblOffset val="100"/>
      </c:catAx>
      <c:valAx>
        <c:axId val="176723072"/>
        <c:scaling>
          <c:orientation val="minMax"/>
        </c:scaling>
        <c:axPos val="l"/>
        <c:majorGridlines>
          <c:spPr>
            <a:ln w="9525" cap="flat" cmpd="sng" algn="ctr">
              <a:solidFill>
                <a:schemeClr val="tx1">
                  <a:lumMod val="15000"/>
                  <a:lumOff val="85000"/>
                </a:schemeClr>
              </a:solidFill>
              <a:round/>
            </a:ln>
            <a:effectLst/>
          </c:spPr>
        </c:majorGridlines>
        <c:numFmt formatCode="_(* #\ ##0.0_);_*\ \-#\ ##0.0_);_(* &quot;–&quot;_);_(@_)" sourceLinked="0"/>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721280"/>
        <c:crosses val="autoZero"/>
        <c:crossBetween val="between"/>
      </c:val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ZA"/>
  <c:chart>
    <c:autoTitleDeleted val="1"/>
    <c:plotArea>
      <c:layout/>
      <c:lineChart>
        <c:grouping val="stacked"/>
        <c:ser>
          <c:idx val="1"/>
          <c:order val="0"/>
          <c:tx>
            <c:strRef>
              <c:f>Sheet3!$A$3</c:f>
              <c:strCache>
                <c:ptCount val="1"/>
                <c:pt idx="0">
                  <c:v>LES growth rate in real terms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Sheet3!$B$1:$I$1</c:f>
              <c:strCache>
                <c:ptCount val="8"/>
                <c:pt idx="0">
                  <c:v>2017/18</c:v>
                </c:pt>
                <c:pt idx="1">
                  <c:v>2018/19</c:v>
                </c:pt>
                <c:pt idx="2">
                  <c:v>2019/20</c:v>
                </c:pt>
                <c:pt idx="3">
                  <c:v>2020/21</c:v>
                </c:pt>
                <c:pt idx="4">
                  <c:v>2021/22</c:v>
                </c:pt>
                <c:pt idx="5">
                  <c:v>2022/23</c:v>
                </c:pt>
                <c:pt idx="6">
                  <c:v>2023/2024</c:v>
                </c:pt>
                <c:pt idx="7">
                  <c:v>2024/2025</c:v>
                </c:pt>
              </c:strCache>
            </c:strRef>
          </c:cat>
          <c:val>
            <c:numRef>
              <c:f>Sheet3!$B$3:$I$3</c:f>
              <c:numCache>
                <c:formatCode>0%</c:formatCode>
                <c:ptCount val="8"/>
                <c:pt idx="0">
                  <c:v>4.7337278106508902E-2</c:v>
                </c:pt>
                <c:pt idx="1">
                  <c:v>6.0000000000000019E-2</c:v>
                </c:pt>
                <c:pt idx="2">
                  <c:v>3.7242453641982004E-2</c:v>
                </c:pt>
                <c:pt idx="3">
                  <c:v>0.24080949413567193</c:v>
                </c:pt>
                <c:pt idx="4">
                  <c:v>-0.12337420572745215</c:v>
                </c:pt>
                <c:pt idx="5">
                  <c:v>2.3970970160116602E-2</c:v>
                </c:pt>
                <c:pt idx="6">
                  <c:v>-3.6174279340474652E-2</c:v>
                </c:pt>
                <c:pt idx="7">
                  <c:v>1.7496579577317082E-4</c:v>
                </c:pt>
              </c:numCache>
            </c:numRef>
          </c:val>
          <c:extLst xmlns:c16r2="http://schemas.microsoft.com/office/drawing/2015/06/chart">
            <c:ext xmlns:c16="http://schemas.microsoft.com/office/drawing/2014/chart" uri="{C3380CC4-5D6E-409C-BE32-E72D297353CC}">
              <c16:uniqueId val="{00000000-0C04-40B7-9DB0-196054D8AED1}"/>
            </c:ext>
          </c:extLst>
        </c:ser>
        <c:marker val="1"/>
        <c:axId val="176736128"/>
        <c:axId val="176737664"/>
      </c:lineChart>
      <c:catAx>
        <c:axId val="17673612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737664"/>
        <c:crosses val="autoZero"/>
        <c:auto val="1"/>
        <c:lblAlgn val="ctr"/>
        <c:lblOffset val="100"/>
      </c:catAx>
      <c:valAx>
        <c:axId val="17673766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736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ZA"/>
  <c:chart>
    <c:autoTitleDeleted val="1"/>
    <c:plotArea>
      <c:layout>
        <c:manualLayout>
          <c:layoutTarget val="inner"/>
          <c:xMode val="edge"/>
          <c:yMode val="edge"/>
          <c:x val="6.2269720733244757E-2"/>
          <c:y val="7.5109220218440464E-2"/>
          <c:w val="0.85450102436255049"/>
          <c:h val="0.8170861908390481"/>
        </c:manualLayout>
      </c:layout>
      <c:lineChart>
        <c:grouping val="standard"/>
        <c:ser>
          <c:idx val="0"/>
          <c:order val="0"/>
          <c:tx>
            <c:strRef>
              <c:f>Sheet1!$B$9:$C$9</c:f>
              <c:strCache>
                <c:ptCount val="2"/>
                <c:pt idx="0">
                  <c:v>Conditional grants</c:v>
                </c:pt>
              </c:strCache>
            </c:strRef>
          </c:tx>
          <c:spPr>
            <a:ln w="28575" cap="rnd">
              <a:solidFill>
                <a:schemeClr val="accent1"/>
              </a:solidFill>
              <a:round/>
            </a:ln>
            <a:effectLst/>
          </c:spPr>
          <c:marker>
            <c:symbol val="none"/>
          </c:marker>
          <c:cat>
            <c:strRef>
              <c:f>Sheet1!$D$8:$K$8</c:f>
              <c:strCache>
                <c:ptCount val="8"/>
                <c:pt idx="0">
                  <c:v>2017/18</c:v>
                </c:pt>
                <c:pt idx="1">
                  <c:v> 2018/19</c:v>
                </c:pt>
                <c:pt idx="2">
                  <c:v> 2019/20</c:v>
                </c:pt>
                <c:pt idx="3">
                  <c:v>2020/21</c:v>
                </c:pt>
                <c:pt idx="4">
                  <c:v>2021/22</c:v>
                </c:pt>
                <c:pt idx="5">
                  <c:v>2022/23</c:v>
                </c:pt>
                <c:pt idx="6">
                  <c:v>2023/24</c:v>
                </c:pt>
                <c:pt idx="7">
                  <c:v>2024/25</c:v>
                </c:pt>
              </c:strCache>
            </c:strRef>
          </c:cat>
          <c:val>
            <c:numRef>
              <c:f>Sheet1!$D$9:$K$9</c:f>
              <c:numCache>
                <c:formatCode>0.0%</c:formatCode>
                <c:ptCount val="8"/>
                <c:pt idx="0">
                  <c:v>1.499154497871686E-2</c:v>
                </c:pt>
                <c:pt idx="1">
                  <c:v>-3.2948147831438138E-3</c:v>
                </c:pt>
                <c:pt idx="2">
                  <c:v>-6.140094462596233E-2</c:v>
                </c:pt>
                <c:pt idx="3">
                  <c:v>-0.14095170821813982</c:v>
                </c:pt>
                <c:pt idx="4">
                  <c:v>8.3653435214995867E-2</c:v>
                </c:pt>
                <c:pt idx="5">
                  <c:v>2.4007715491510272E-2</c:v>
                </c:pt>
                <c:pt idx="6">
                  <c:v>-1.7254521206643808E-3</c:v>
                </c:pt>
                <c:pt idx="7">
                  <c:v>-4.0164515186280588E-3</c:v>
                </c:pt>
              </c:numCache>
            </c:numRef>
          </c:val>
          <c:extLst xmlns:c16r2="http://schemas.microsoft.com/office/drawing/2015/06/chart">
            <c:ext xmlns:c16="http://schemas.microsoft.com/office/drawing/2014/chart" uri="{C3380CC4-5D6E-409C-BE32-E72D297353CC}">
              <c16:uniqueId val="{00000000-1590-4CB2-BEFE-43C889335609}"/>
            </c:ext>
          </c:extLst>
        </c:ser>
        <c:marker val="1"/>
        <c:axId val="176676864"/>
        <c:axId val="176678400"/>
      </c:lineChart>
      <c:catAx>
        <c:axId val="176676864"/>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6678400"/>
        <c:crosses val="autoZero"/>
        <c:auto val="1"/>
        <c:lblAlgn val="ctr"/>
        <c:lblOffset val="100"/>
      </c:catAx>
      <c:valAx>
        <c:axId val="17667840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66768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ZA"/>
  <c:chart>
    <c:autoTitleDeleted val="1"/>
    <c:plotArea>
      <c:layout/>
      <c:barChart>
        <c:barDir val="col"/>
        <c:grouping val="clustered"/>
        <c:ser>
          <c:idx val="0"/>
          <c:order val="0"/>
          <c:tx>
            <c:strRef>
              <c:f>Sheet1!$C$6</c:f>
              <c:strCache>
                <c:ptCount val="1"/>
                <c:pt idx="0">
                  <c:v>Primary balance </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Sheet1!$D$5:$N$5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Sheet1!$D$6:$N$6</c:f>
              <c:numCache>
                <c:formatCode>General</c:formatCode>
                <c:ptCount val="11"/>
                <c:pt idx="0">
                  <c:v>-1.5</c:v>
                </c:pt>
                <c:pt idx="1">
                  <c:v>-1</c:v>
                </c:pt>
                <c:pt idx="2">
                  <c:v>-1.3</c:v>
                </c:pt>
                <c:pt idx="3">
                  <c:v>-0.70000000000000018</c:v>
                </c:pt>
                <c:pt idx="4">
                  <c:v>-0.3000000000000001</c:v>
                </c:pt>
                <c:pt idx="5">
                  <c:v>-0.1</c:v>
                </c:pt>
                <c:pt idx="6">
                  <c:v>0</c:v>
                </c:pt>
                <c:pt idx="7">
                  <c:v>-0.4</c:v>
                </c:pt>
                <c:pt idx="8">
                  <c:v>-0.1</c:v>
                </c:pt>
                <c:pt idx="9">
                  <c:v>-1.5</c:v>
                </c:pt>
                <c:pt idx="10">
                  <c:v>-9.1</c:v>
                </c:pt>
              </c:numCache>
            </c:numRef>
          </c:val>
          <c:extLst xmlns:c16r2="http://schemas.microsoft.com/office/drawing/2015/06/chart">
            <c:ext xmlns:c16="http://schemas.microsoft.com/office/drawing/2014/chart" uri="{C3380CC4-5D6E-409C-BE32-E72D297353CC}">
              <c16:uniqueId val="{00000000-A3BA-4482-8B44-E20D3E039FA3}"/>
            </c:ext>
          </c:extLst>
        </c:ser>
        <c:gapWidth val="219"/>
        <c:overlap val="-27"/>
        <c:axId val="185847168"/>
        <c:axId val="185853056"/>
      </c:barChart>
      <c:lineChart>
        <c:grouping val="standard"/>
        <c:ser>
          <c:idx val="1"/>
          <c:order val="1"/>
          <c:tx>
            <c:strRef>
              <c:f>Sheet1!$C$7</c:f>
              <c:strCache>
                <c:ptCount val="1"/>
                <c:pt idx="0">
                  <c:v>Real GDP</c:v>
                </c:pt>
              </c:strCache>
            </c:strRef>
          </c:tx>
          <c:spPr>
            <a:ln w="28575" cap="rnd">
              <a:solidFill>
                <a:schemeClr val="accent3"/>
              </a:solidFill>
              <a:round/>
            </a:ln>
            <a:effectLst/>
          </c:spPr>
          <c:marker>
            <c:symbol val="none"/>
          </c:marker>
          <c:cat>
            <c:numRef>
              <c:f>Sheet1!$D$5:$N$5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Sheet1!$D$7:$N$7</c:f>
              <c:numCache>
                <c:formatCode>General</c:formatCode>
                <c:ptCount val="11"/>
                <c:pt idx="0">
                  <c:v>3</c:v>
                </c:pt>
                <c:pt idx="1">
                  <c:v>3.2</c:v>
                </c:pt>
                <c:pt idx="2">
                  <c:v>2.4</c:v>
                </c:pt>
                <c:pt idx="3">
                  <c:v>2.5</c:v>
                </c:pt>
                <c:pt idx="4">
                  <c:v>1.4</c:v>
                </c:pt>
                <c:pt idx="5">
                  <c:v>1.3</c:v>
                </c:pt>
                <c:pt idx="6">
                  <c:v>0.70000000000000018</c:v>
                </c:pt>
                <c:pt idx="7">
                  <c:v>1.2</c:v>
                </c:pt>
                <c:pt idx="8">
                  <c:v>1.5</c:v>
                </c:pt>
                <c:pt idx="9">
                  <c:v>0.1</c:v>
                </c:pt>
                <c:pt idx="10">
                  <c:v>-6.4</c:v>
                </c:pt>
              </c:numCache>
            </c:numRef>
          </c:val>
          <c:extLst xmlns:c16r2="http://schemas.microsoft.com/office/drawing/2015/06/chart">
            <c:ext xmlns:c16="http://schemas.microsoft.com/office/drawing/2014/chart" uri="{C3380CC4-5D6E-409C-BE32-E72D297353CC}">
              <c16:uniqueId val="{00000001-A3BA-4482-8B44-E20D3E039FA3}"/>
            </c:ext>
          </c:extLst>
        </c:ser>
        <c:marker val="1"/>
        <c:axId val="185847168"/>
        <c:axId val="185853056"/>
      </c:lineChart>
      <c:catAx>
        <c:axId val="18584716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185853056"/>
        <c:crosses val="autoZero"/>
        <c:auto val="1"/>
        <c:lblAlgn val="ctr"/>
        <c:lblOffset val="100"/>
      </c:catAx>
      <c:valAx>
        <c:axId val="1858530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185847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mn-lt"/>
          <a:cs typeface="Times New Roman" panose="02020603050405020304" pitchFamily="18"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ZA"/>
  <c:chart>
    <c:autoTitleDeleted val="1"/>
    <c:plotArea>
      <c:layout/>
      <c:barChart>
        <c:barDir val="col"/>
        <c:grouping val="clustered"/>
        <c:ser>
          <c:idx val="0"/>
          <c:order val="0"/>
          <c:tx>
            <c:strRef>
              <c:f>Sheet1!$D$29</c:f>
              <c:strCache>
                <c:ptCount val="1"/>
                <c:pt idx="0">
                  <c:v>Total contingent liabilities </c:v>
                </c:pt>
              </c:strCache>
            </c:strRef>
          </c:tx>
          <c:spPr>
            <a:solidFill>
              <a:schemeClr val="accent1"/>
            </a:solidFill>
            <a:ln>
              <a:noFill/>
            </a:ln>
            <a:effectLst/>
          </c:spPr>
          <c:cat>
            <c:strRef>
              <c:f>Sheet1!$E$28:$R$28</c:f>
              <c:strCache>
                <c:ptCount val="14"/>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2021/22</c:v>
                </c:pt>
                <c:pt idx="12">
                  <c:v>2022/23</c:v>
                </c:pt>
                <c:pt idx="13">
                  <c:v>2023/24</c:v>
                </c:pt>
              </c:strCache>
            </c:strRef>
          </c:cat>
          <c:val>
            <c:numRef>
              <c:f>Sheet1!$E$29:$R$29</c:f>
              <c:numCache>
                <c:formatCode>General</c:formatCode>
                <c:ptCount val="14"/>
                <c:pt idx="0">
                  <c:v>302</c:v>
                </c:pt>
                <c:pt idx="1">
                  <c:v>342</c:v>
                </c:pt>
                <c:pt idx="2">
                  <c:v>433</c:v>
                </c:pt>
                <c:pt idx="3">
                  <c:v>491</c:v>
                </c:pt>
                <c:pt idx="4">
                  <c:v>575</c:v>
                </c:pt>
                <c:pt idx="5">
                  <c:v>601</c:v>
                </c:pt>
                <c:pt idx="6">
                  <c:v>664</c:v>
                </c:pt>
                <c:pt idx="7">
                  <c:v>723</c:v>
                </c:pt>
                <c:pt idx="8">
                  <c:v>829</c:v>
                </c:pt>
                <c:pt idx="9">
                  <c:v>1056</c:v>
                </c:pt>
                <c:pt idx="10">
                  <c:v>1105</c:v>
                </c:pt>
                <c:pt idx="11">
                  <c:v>1130</c:v>
                </c:pt>
                <c:pt idx="12">
                  <c:v>1156</c:v>
                </c:pt>
                <c:pt idx="13">
                  <c:v>1232</c:v>
                </c:pt>
              </c:numCache>
            </c:numRef>
          </c:val>
          <c:extLst xmlns:c16r2="http://schemas.microsoft.com/office/drawing/2015/06/chart">
            <c:ext xmlns:c16="http://schemas.microsoft.com/office/drawing/2014/chart" uri="{C3380CC4-5D6E-409C-BE32-E72D297353CC}">
              <c16:uniqueId val="{00000000-4621-427A-8E41-2EEC24297938}"/>
            </c:ext>
          </c:extLst>
        </c:ser>
        <c:ser>
          <c:idx val="1"/>
          <c:order val="1"/>
          <c:tx>
            <c:strRef>
              <c:f>Sheet1!$D$30</c:f>
              <c:strCache>
                <c:ptCount val="1"/>
                <c:pt idx="0">
                  <c:v>Total government gurantees </c:v>
                </c:pt>
              </c:strCache>
            </c:strRef>
          </c:tx>
          <c:spPr>
            <a:solidFill>
              <a:schemeClr val="accent2"/>
            </a:solidFill>
            <a:ln>
              <a:noFill/>
            </a:ln>
            <a:effectLst/>
          </c:spPr>
          <c:cat>
            <c:strRef>
              <c:f>Sheet1!$E$28:$R$28</c:f>
              <c:strCache>
                <c:ptCount val="14"/>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2021/22</c:v>
                </c:pt>
                <c:pt idx="12">
                  <c:v>2022/23</c:v>
                </c:pt>
                <c:pt idx="13">
                  <c:v>2023/24</c:v>
                </c:pt>
              </c:strCache>
            </c:strRef>
          </c:cat>
          <c:val>
            <c:numRef>
              <c:f>Sheet1!$E$30:$R$30</c:f>
              <c:numCache>
                <c:formatCode>General</c:formatCode>
                <c:ptCount val="14"/>
                <c:pt idx="0">
                  <c:v>160</c:v>
                </c:pt>
                <c:pt idx="1">
                  <c:v>164</c:v>
                </c:pt>
                <c:pt idx="2">
                  <c:v>225</c:v>
                </c:pt>
                <c:pt idx="3">
                  <c:v>288</c:v>
                </c:pt>
                <c:pt idx="4">
                  <c:v>327</c:v>
                </c:pt>
                <c:pt idx="5">
                  <c:v>380</c:v>
                </c:pt>
                <c:pt idx="6">
                  <c:v>426</c:v>
                </c:pt>
                <c:pt idx="7">
                  <c:v>459</c:v>
                </c:pt>
                <c:pt idx="8">
                  <c:v>526</c:v>
                </c:pt>
                <c:pt idx="9">
                  <c:v>584</c:v>
                </c:pt>
                <c:pt idx="10">
                  <c:v>595</c:v>
                </c:pt>
                <c:pt idx="11">
                  <c:v>571</c:v>
                </c:pt>
                <c:pt idx="12">
                  <c:v>552</c:v>
                </c:pt>
                <c:pt idx="13">
                  <c:v>566</c:v>
                </c:pt>
              </c:numCache>
            </c:numRef>
          </c:val>
          <c:extLst xmlns:c16r2="http://schemas.microsoft.com/office/drawing/2015/06/chart">
            <c:ext xmlns:c16="http://schemas.microsoft.com/office/drawing/2014/chart" uri="{C3380CC4-5D6E-409C-BE32-E72D297353CC}">
              <c16:uniqueId val="{00000001-4621-427A-8E41-2EEC24297938}"/>
            </c:ext>
          </c:extLst>
        </c:ser>
        <c:ser>
          <c:idx val="2"/>
          <c:order val="2"/>
          <c:tx>
            <c:strRef>
              <c:f>Sheet1!$D$31</c:f>
              <c:strCache>
                <c:ptCount val="1"/>
                <c:pt idx="0">
                  <c:v>Government guarantees to Eskom</c:v>
                </c:pt>
              </c:strCache>
            </c:strRef>
          </c:tx>
          <c:spPr>
            <a:solidFill>
              <a:schemeClr val="accent3"/>
            </a:solidFill>
            <a:ln>
              <a:noFill/>
            </a:ln>
            <a:effectLst/>
          </c:spPr>
          <c:cat>
            <c:strRef>
              <c:f>Sheet1!$E$28:$R$28</c:f>
              <c:strCache>
                <c:ptCount val="14"/>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2021/22</c:v>
                </c:pt>
                <c:pt idx="12">
                  <c:v>2022/23</c:v>
                </c:pt>
                <c:pt idx="13">
                  <c:v>2023/24</c:v>
                </c:pt>
              </c:strCache>
            </c:strRef>
          </c:cat>
          <c:val>
            <c:numRef>
              <c:f>Sheet1!$E$31:$R$31</c:f>
              <c:numCache>
                <c:formatCode>General</c:formatCode>
                <c:ptCount val="14"/>
                <c:pt idx="0">
                  <c:v>67</c:v>
                </c:pt>
                <c:pt idx="1">
                  <c:v>77</c:v>
                </c:pt>
                <c:pt idx="2">
                  <c:v>104</c:v>
                </c:pt>
                <c:pt idx="3">
                  <c:v>125</c:v>
                </c:pt>
                <c:pt idx="4">
                  <c:v>150</c:v>
                </c:pt>
                <c:pt idx="5">
                  <c:v>175</c:v>
                </c:pt>
                <c:pt idx="6">
                  <c:v>203</c:v>
                </c:pt>
                <c:pt idx="7">
                  <c:v>251</c:v>
                </c:pt>
                <c:pt idx="8">
                  <c:v>286</c:v>
                </c:pt>
                <c:pt idx="9">
                  <c:v>327</c:v>
                </c:pt>
                <c:pt idx="10">
                  <c:v>317</c:v>
                </c:pt>
                <c:pt idx="11">
                  <c:v>312</c:v>
                </c:pt>
                <c:pt idx="12">
                  <c:v>300</c:v>
                </c:pt>
                <c:pt idx="13">
                  <c:v>321</c:v>
                </c:pt>
              </c:numCache>
            </c:numRef>
          </c:val>
          <c:extLst xmlns:c16r2="http://schemas.microsoft.com/office/drawing/2015/06/chart">
            <c:ext xmlns:c16="http://schemas.microsoft.com/office/drawing/2014/chart" uri="{C3380CC4-5D6E-409C-BE32-E72D297353CC}">
              <c16:uniqueId val="{00000002-4621-427A-8E41-2EEC24297938}"/>
            </c:ext>
          </c:extLst>
        </c:ser>
        <c:gapWidth val="219"/>
        <c:overlap val="-27"/>
        <c:axId val="185895552"/>
        <c:axId val="185917824"/>
      </c:barChart>
      <c:lineChart>
        <c:grouping val="standard"/>
        <c:ser>
          <c:idx val="3"/>
          <c:order val="3"/>
          <c:tx>
            <c:strRef>
              <c:f>Sheet1!$D$32</c:f>
              <c:strCache>
                <c:ptCount val="1"/>
                <c:pt idx="0">
                  <c:v>Total contingent liabilities as % of GDP</c:v>
                </c:pt>
              </c:strCache>
            </c:strRef>
          </c:tx>
          <c:spPr>
            <a:ln w="28575" cap="rnd">
              <a:solidFill>
                <a:schemeClr val="accent4"/>
              </a:solidFill>
              <a:round/>
            </a:ln>
            <a:effectLst/>
          </c:spPr>
          <c:marker>
            <c:symbol val="none"/>
          </c:marker>
          <c:cat>
            <c:strRef>
              <c:f>Sheet1!$E$28:$R$28</c:f>
              <c:strCache>
                <c:ptCount val="14"/>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2021/22</c:v>
                </c:pt>
                <c:pt idx="12">
                  <c:v>2022/23</c:v>
                </c:pt>
                <c:pt idx="13">
                  <c:v>2023/24</c:v>
                </c:pt>
              </c:strCache>
            </c:strRef>
          </c:cat>
          <c:val>
            <c:numRef>
              <c:f>Sheet1!$E$32:$R$32</c:f>
              <c:numCache>
                <c:formatCode>0.0</c:formatCode>
                <c:ptCount val="14"/>
                <c:pt idx="0">
                  <c:v>10.690114122277915</c:v>
                </c:pt>
                <c:pt idx="1">
                  <c:v>11.10960239967412</c:v>
                </c:pt>
                <c:pt idx="2">
                  <c:v>13.039211287319468</c:v>
                </c:pt>
                <c:pt idx="3">
                  <c:v>13.584328941066971</c:v>
                </c:pt>
                <c:pt idx="4">
                  <c:v>14.876644160244489</c:v>
                </c:pt>
                <c:pt idx="5">
                  <c:v>14.570742530857975</c:v>
                </c:pt>
                <c:pt idx="6">
                  <c:v>15.024538193439568</c:v>
                </c:pt>
                <c:pt idx="7">
                  <c:v>15.38715617261197</c:v>
                </c:pt>
                <c:pt idx="8">
                  <c:v>16.83580661283677</c:v>
                </c:pt>
                <c:pt idx="9">
                  <c:v>20.509426178884141</c:v>
                </c:pt>
                <c:pt idx="10">
                  <c:v>22.45496357317198</c:v>
                </c:pt>
                <c:pt idx="11">
                  <c:v>21.112671414339733</c:v>
                </c:pt>
                <c:pt idx="12">
                  <c:v>20.401201270733633</c:v>
                </c:pt>
                <c:pt idx="13">
                  <c:v>20.543070748868296</c:v>
                </c:pt>
              </c:numCache>
            </c:numRef>
          </c:val>
          <c:extLst xmlns:c16r2="http://schemas.microsoft.com/office/drawing/2015/06/chart">
            <c:ext xmlns:c16="http://schemas.microsoft.com/office/drawing/2014/chart" uri="{C3380CC4-5D6E-409C-BE32-E72D297353CC}">
              <c16:uniqueId val="{00000003-4621-427A-8E41-2EEC24297938}"/>
            </c:ext>
          </c:extLst>
        </c:ser>
        <c:ser>
          <c:idx val="4"/>
          <c:order val="4"/>
          <c:tx>
            <c:strRef>
              <c:f>Sheet1!$D$33</c:f>
              <c:strCache>
                <c:ptCount val="1"/>
                <c:pt idx="0">
                  <c:v>Total government gurantees as % of GDP </c:v>
                </c:pt>
              </c:strCache>
            </c:strRef>
          </c:tx>
          <c:spPr>
            <a:ln w="28575" cap="rnd">
              <a:solidFill>
                <a:schemeClr val="accent5"/>
              </a:solidFill>
              <a:round/>
            </a:ln>
            <a:effectLst/>
          </c:spPr>
          <c:marker>
            <c:symbol val="none"/>
          </c:marker>
          <c:cat>
            <c:strRef>
              <c:f>Sheet1!$E$28:$R$28</c:f>
              <c:strCache>
                <c:ptCount val="14"/>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2021/22</c:v>
                </c:pt>
                <c:pt idx="12">
                  <c:v>2022/23</c:v>
                </c:pt>
                <c:pt idx="13">
                  <c:v>2023/24</c:v>
                </c:pt>
              </c:strCache>
            </c:strRef>
          </c:cat>
          <c:val>
            <c:numRef>
              <c:f>Sheet1!$E$33:$R$33</c:f>
              <c:numCache>
                <c:formatCode>0.0</c:formatCode>
                <c:ptCount val="14"/>
                <c:pt idx="0">
                  <c:v>5.6636366210743905</c:v>
                </c:pt>
                <c:pt idx="1">
                  <c:v>5.3274116770367064</c:v>
                </c:pt>
                <c:pt idx="2">
                  <c:v>6.7755716850967262</c:v>
                </c:pt>
                <c:pt idx="3">
                  <c:v>7.9679974236808357</c:v>
                </c:pt>
                <c:pt idx="4">
                  <c:v>8.4602828528694758</c:v>
                </c:pt>
                <c:pt idx="5">
                  <c:v>9.2127822990449779</c:v>
                </c:pt>
                <c:pt idx="6">
                  <c:v>9.6392368530199715</c:v>
                </c:pt>
                <c:pt idx="7">
                  <c:v>9.7686095203719141</c:v>
                </c:pt>
                <c:pt idx="8">
                  <c:v>10.682309141558671</c:v>
                </c:pt>
                <c:pt idx="9">
                  <c:v>11.342334174685936</c:v>
                </c:pt>
                <c:pt idx="10">
                  <c:v>12.091134231708001</c:v>
                </c:pt>
                <c:pt idx="11">
                  <c:v>10.668438387246004</c:v>
                </c:pt>
                <c:pt idx="12">
                  <c:v>9.7417500877551628</c:v>
                </c:pt>
                <c:pt idx="13">
                  <c:v>9.4378068537820248</c:v>
                </c:pt>
              </c:numCache>
            </c:numRef>
          </c:val>
          <c:extLst xmlns:c16r2="http://schemas.microsoft.com/office/drawing/2015/06/chart">
            <c:ext xmlns:c16="http://schemas.microsoft.com/office/drawing/2014/chart" uri="{C3380CC4-5D6E-409C-BE32-E72D297353CC}">
              <c16:uniqueId val="{00000004-4621-427A-8E41-2EEC24297938}"/>
            </c:ext>
          </c:extLst>
        </c:ser>
        <c:ser>
          <c:idx val="5"/>
          <c:order val="5"/>
          <c:tx>
            <c:strRef>
              <c:f>Sheet1!$D$34</c:f>
              <c:strCache>
                <c:ptCount val="1"/>
                <c:pt idx="0">
                  <c:v>Government guarantees to Eskom as % GDP</c:v>
                </c:pt>
              </c:strCache>
            </c:strRef>
          </c:tx>
          <c:spPr>
            <a:ln w="28575" cap="rnd">
              <a:solidFill>
                <a:schemeClr val="accent6"/>
              </a:solidFill>
              <a:round/>
            </a:ln>
            <a:effectLst/>
          </c:spPr>
          <c:marker>
            <c:symbol val="none"/>
          </c:marker>
          <c:cat>
            <c:strRef>
              <c:f>Sheet1!$E$28:$R$28</c:f>
              <c:strCache>
                <c:ptCount val="14"/>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2021/22</c:v>
                </c:pt>
                <c:pt idx="12">
                  <c:v>2022/23</c:v>
                </c:pt>
                <c:pt idx="13">
                  <c:v>2023/24</c:v>
                </c:pt>
              </c:strCache>
            </c:strRef>
          </c:cat>
          <c:val>
            <c:numRef>
              <c:f>Sheet1!$E$34:$R$34</c:f>
              <c:numCache>
                <c:formatCode>0.0</c:formatCode>
                <c:ptCount val="14"/>
                <c:pt idx="0">
                  <c:v>2.3716478350748997</c:v>
                </c:pt>
                <c:pt idx="1">
                  <c:v>2.5012847508038218</c:v>
                </c:pt>
                <c:pt idx="2">
                  <c:v>3.1318198011113747</c:v>
                </c:pt>
                <c:pt idx="3">
                  <c:v>3.4583322151392508</c:v>
                </c:pt>
                <c:pt idx="4">
                  <c:v>3.8808636939768197</c:v>
                </c:pt>
                <c:pt idx="5">
                  <c:v>4.2427286903496606</c:v>
                </c:pt>
                <c:pt idx="6">
                  <c:v>4.5933452609461343</c:v>
                </c:pt>
                <c:pt idx="7">
                  <c:v>5.3418757943645998</c:v>
                </c:pt>
                <c:pt idx="8">
                  <c:v>5.8082517385661214</c:v>
                </c:pt>
                <c:pt idx="9">
                  <c:v>6.3509302656203745</c:v>
                </c:pt>
                <c:pt idx="10">
                  <c:v>6.4418311789099718</c:v>
                </c:pt>
                <c:pt idx="11">
                  <c:v>5.8293393639592876</c:v>
                </c:pt>
                <c:pt idx="12">
                  <c:v>5.2944293955191153</c:v>
                </c:pt>
                <c:pt idx="13">
                  <c:v>5.3525371025866262</c:v>
                </c:pt>
              </c:numCache>
            </c:numRef>
          </c:val>
          <c:extLst xmlns:c16r2="http://schemas.microsoft.com/office/drawing/2015/06/chart">
            <c:ext xmlns:c16="http://schemas.microsoft.com/office/drawing/2014/chart" uri="{C3380CC4-5D6E-409C-BE32-E72D297353CC}">
              <c16:uniqueId val="{00000005-4621-427A-8E41-2EEC24297938}"/>
            </c:ext>
          </c:extLst>
        </c:ser>
        <c:marker val="1"/>
        <c:axId val="185663872"/>
        <c:axId val="185919744"/>
      </c:lineChart>
      <c:catAx>
        <c:axId val="185895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917824"/>
        <c:crosses val="autoZero"/>
        <c:auto val="1"/>
        <c:lblAlgn val="ctr"/>
        <c:lblOffset val="100"/>
      </c:catAx>
      <c:valAx>
        <c:axId val="1859178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ZA" dirty="0">
                    <a:latin typeface="Times New Roman" panose="02020603050405020304" pitchFamily="18" charset="0"/>
                    <a:cs typeface="Times New Roman" panose="02020603050405020304" pitchFamily="18" charset="0"/>
                  </a:rPr>
                  <a:t>R’ billions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895552"/>
        <c:crosses val="autoZero"/>
        <c:crossBetween val="between"/>
      </c:valAx>
      <c:valAx>
        <c:axId val="185919744"/>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ZA" dirty="0">
                    <a:latin typeface="Times New Roman" panose="02020603050405020304" pitchFamily="18" charset="0"/>
                    <a:cs typeface="Times New Roman" panose="02020603050405020304" pitchFamily="18" charset="0"/>
                  </a:rPr>
                  <a:t>Percentage </a:t>
                </a:r>
              </a:p>
            </c:rich>
          </c:tx>
          <c:layout>
            <c:manualLayout>
              <c:xMode val="edge"/>
              <c:yMode val="edge"/>
              <c:x val="0.95138496325607691"/>
              <c:y val="0.22610869445515114"/>
            </c:manualLayout>
          </c:layout>
          <c:spPr>
            <a:noFill/>
            <a:ln>
              <a:noFill/>
            </a:ln>
            <a:effectLst/>
          </c:spPr>
        </c:title>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663872"/>
        <c:crosses val="max"/>
        <c:crossBetween val="between"/>
      </c:valAx>
      <c:catAx>
        <c:axId val="185663872"/>
        <c:scaling>
          <c:orientation val="minMax"/>
        </c:scaling>
        <c:delete val="1"/>
        <c:axPos val="b"/>
        <c:numFmt formatCode="General" sourceLinked="1"/>
        <c:tickLblPos val="none"/>
        <c:crossAx val="185919744"/>
        <c:crosses val="autoZero"/>
        <c:auto val="1"/>
        <c:lblAlgn val="ctr"/>
        <c:lblOffset val="100"/>
      </c:catAx>
      <c:spPr>
        <a:noFill/>
        <a:ln>
          <a:noFill/>
        </a:ln>
        <a:effectLst/>
      </c:spPr>
    </c:plotArea>
    <c:legend>
      <c:legendPos val="b"/>
      <c:layout>
        <c:manualLayout>
          <c:xMode val="edge"/>
          <c:yMode val="edge"/>
          <c:x val="1.3217752696824929E-2"/>
          <c:y val="0.79204623083384851"/>
          <c:w val="0.97121219838111772"/>
          <c:h val="0.1913493690001079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ZA"/>
  <c:style val="5"/>
  <c:chart>
    <c:autoTitleDeleted val="1"/>
    <c:plotArea>
      <c:layout/>
      <c:barChart>
        <c:barDir val="col"/>
        <c:grouping val="clustered"/>
        <c:ser>
          <c:idx val="0"/>
          <c:order val="0"/>
          <c:spPr>
            <a:solidFill>
              <a:schemeClr val="accent3"/>
            </a:solidFill>
            <a:ln>
              <a:noFill/>
            </a:ln>
            <a:effectLst/>
          </c:spPr>
          <c:cat>
            <c:numRef>
              <c:f>Sheet1!$B$25:$L$25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Sheet1!$B$26:$L$26</c:f>
              <c:numCache>
                <c:formatCode>#,##0</c:formatCode>
                <c:ptCount val="11"/>
                <c:pt idx="0">
                  <c:v>1780553</c:v>
                </c:pt>
                <c:pt idx="1">
                  <c:v>1847075</c:v>
                </c:pt>
                <c:pt idx="2">
                  <c:v>1906053</c:v>
                </c:pt>
                <c:pt idx="3">
                  <c:v>1948934</c:v>
                </c:pt>
                <c:pt idx="4">
                  <c:v>1999717</c:v>
                </c:pt>
                <c:pt idx="5">
                  <c:v>2069751</c:v>
                </c:pt>
                <c:pt idx="6">
                  <c:v>2077881</c:v>
                </c:pt>
                <c:pt idx="7">
                  <c:v>2056697</c:v>
                </c:pt>
                <c:pt idx="8">
                  <c:v>2046550</c:v>
                </c:pt>
                <c:pt idx="9">
                  <c:v>2055606</c:v>
                </c:pt>
                <c:pt idx="10">
                  <c:v>2108125</c:v>
                </c:pt>
              </c:numCache>
            </c:numRef>
          </c:val>
          <c:extLst xmlns:c16r2="http://schemas.microsoft.com/office/drawing/2015/06/chart">
            <c:ext xmlns:c16="http://schemas.microsoft.com/office/drawing/2014/chart" uri="{C3380CC4-5D6E-409C-BE32-E72D297353CC}">
              <c16:uniqueId val="{00000000-C1E9-45B6-B0BA-016A749B550F}"/>
            </c:ext>
          </c:extLst>
        </c:ser>
        <c:gapWidth val="219"/>
        <c:overlap val="-27"/>
        <c:axId val="185930112"/>
        <c:axId val="185932032"/>
      </c:barChart>
      <c:catAx>
        <c:axId val="18593011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Year</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32032"/>
        <c:crosses val="autoZero"/>
        <c:auto val="1"/>
        <c:lblAlgn val="ctr"/>
        <c:lblOffset val="100"/>
      </c:catAx>
      <c:valAx>
        <c:axId val="1859320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Number of public sector employees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30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A"/>
  <c:chart>
    <c:autoTitleDeleted val="1"/>
    <c:plotArea>
      <c:layout/>
      <c:barChart>
        <c:barDir val="col"/>
        <c:grouping val="clustered"/>
        <c:ser>
          <c:idx val="0"/>
          <c:order val="0"/>
          <c:tx>
            <c:strRef>
              <c:f>'WEO_Data (3)'!$E$37</c:f>
              <c:strCache>
                <c:ptCount val="1"/>
                <c:pt idx="0">
                  <c:v>Advanced economies</c:v>
                </c:pt>
              </c:strCache>
            </c:strRef>
          </c:tx>
          <c:spPr>
            <a:solidFill>
              <a:schemeClr val="accent1">
                <a:alpha val="70000"/>
              </a:schemeClr>
            </a:solidFill>
            <a:ln>
              <a:noFill/>
            </a:ln>
            <a:effectLst/>
          </c:spPr>
          <c:cat>
            <c:strRef>
              <c:f>'WEO_Data (3)'!$F$36:$R$36</c:f>
              <c:strCach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strCache>
            </c:strRef>
          </c:cat>
          <c:val>
            <c:numRef>
              <c:f>'WEO_Data (3)'!$F$37:$R$37</c:f>
              <c:numCache>
                <c:formatCode>0.0</c:formatCode>
                <c:ptCount val="13"/>
                <c:pt idx="0">
                  <c:v>103.646</c:v>
                </c:pt>
                <c:pt idx="1">
                  <c:v>103.04700000000003</c:v>
                </c:pt>
                <c:pt idx="2">
                  <c:v>105.489</c:v>
                </c:pt>
                <c:pt idx="3">
                  <c:v>103.117</c:v>
                </c:pt>
                <c:pt idx="4">
                  <c:v>102.524</c:v>
                </c:pt>
                <c:pt idx="5">
                  <c:v>103.78</c:v>
                </c:pt>
                <c:pt idx="6">
                  <c:v>120.12199999999999</c:v>
                </c:pt>
                <c:pt idx="7">
                  <c:v>122.51400000000002</c:v>
                </c:pt>
                <c:pt idx="8">
                  <c:v>121.64999999999999</c:v>
                </c:pt>
                <c:pt idx="9">
                  <c:v>121.75</c:v>
                </c:pt>
                <c:pt idx="10">
                  <c:v>121.51600000000002</c:v>
                </c:pt>
                <c:pt idx="11">
                  <c:v>121.371</c:v>
                </c:pt>
                <c:pt idx="12">
                  <c:v>121.098</c:v>
                </c:pt>
              </c:numCache>
            </c:numRef>
          </c:val>
          <c:extLst xmlns:c16r2="http://schemas.microsoft.com/office/drawing/2015/06/chart">
            <c:ext xmlns:c16="http://schemas.microsoft.com/office/drawing/2014/chart" uri="{C3380CC4-5D6E-409C-BE32-E72D297353CC}">
              <c16:uniqueId val="{00000000-A423-44A2-A1E7-DAF46C1E552A}"/>
            </c:ext>
          </c:extLst>
        </c:ser>
        <c:ser>
          <c:idx val="1"/>
          <c:order val="1"/>
          <c:tx>
            <c:strRef>
              <c:f>'WEO_Data (3)'!$E$38</c:f>
              <c:strCache>
                <c:ptCount val="1"/>
                <c:pt idx="0">
                  <c:v>Emerging market and developing economies</c:v>
                </c:pt>
              </c:strCache>
            </c:strRef>
          </c:tx>
          <c:spPr>
            <a:solidFill>
              <a:schemeClr val="accent3">
                <a:alpha val="70000"/>
              </a:schemeClr>
            </a:solidFill>
            <a:ln>
              <a:noFill/>
            </a:ln>
            <a:effectLst/>
          </c:spPr>
          <c:cat>
            <c:strRef>
              <c:f>'WEO_Data (3)'!$F$36:$R$36</c:f>
              <c:strCache>
                <c:ptCount val="13"/>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strCache>
            </c:strRef>
          </c:cat>
          <c:val>
            <c:numRef>
              <c:f>'WEO_Data (3)'!$F$38:$R$38</c:f>
              <c:numCache>
                <c:formatCode>0.0</c:formatCode>
                <c:ptCount val="13"/>
                <c:pt idx="0">
                  <c:v>39.869</c:v>
                </c:pt>
                <c:pt idx="1">
                  <c:v>43.122000000000014</c:v>
                </c:pt>
                <c:pt idx="2">
                  <c:v>47.821000000000005</c:v>
                </c:pt>
                <c:pt idx="3">
                  <c:v>49.986000000000004</c:v>
                </c:pt>
                <c:pt idx="4">
                  <c:v>51.844000000000001</c:v>
                </c:pt>
                <c:pt idx="5">
                  <c:v>54.074000000000005</c:v>
                </c:pt>
                <c:pt idx="6">
                  <c:v>63.35</c:v>
                </c:pt>
                <c:pt idx="7">
                  <c:v>63.987000000000002</c:v>
                </c:pt>
                <c:pt idx="8">
                  <c:v>65.992999999999995</c:v>
                </c:pt>
                <c:pt idx="9">
                  <c:v>67.688999999999979</c:v>
                </c:pt>
                <c:pt idx="10">
                  <c:v>69.172999999999988</c:v>
                </c:pt>
                <c:pt idx="11">
                  <c:v>70.338999999999999</c:v>
                </c:pt>
                <c:pt idx="12">
                  <c:v>71.233999999999995</c:v>
                </c:pt>
              </c:numCache>
            </c:numRef>
          </c:val>
          <c:extLst xmlns:c16r2="http://schemas.microsoft.com/office/drawing/2015/06/chart">
            <c:ext xmlns:c16="http://schemas.microsoft.com/office/drawing/2014/chart" uri="{C3380CC4-5D6E-409C-BE32-E72D297353CC}">
              <c16:uniqueId val="{00000001-A423-44A2-A1E7-DAF46C1E552A}"/>
            </c:ext>
          </c:extLst>
        </c:ser>
        <c:gapWidth val="31"/>
        <c:overlap val="25"/>
        <c:axId val="160641024"/>
        <c:axId val="160642560"/>
      </c:barChart>
      <c:catAx>
        <c:axId val="160641024"/>
        <c:scaling>
          <c:orientation val="minMax"/>
        </c:scaling>
        <c:axPos val="b"/>
        <c:numFmt formatCode="General" sourceLinked="1"/>
        <c:majorTickMark val="none"/>
        <c:tickLblPos val="nextTo"/>
        <c:spPr>
          <a:noFill/>
          <a:ln w="15875" cap="flat" cmpd="sng" algn="ctr">
            <a:solidFill>
              <a:schemeClr val="tx1">
                <a:lumMod val="25000"/>
                <a:lumOff val="75000"/>
              </a:schemeClr>
            </a:solidFill>
            <a:round/>
          </a:ln>
          <a:effectLst/>
        </c:spPr>
        <c:txPr>
          <a:bodyPr rot="-2700000" spcFirstLastPara="1" vertOverflow="ellipsis" wrap="square" anchor="ctr" anchorCtr="1"/>
          <a:lstStyle/>
          <a:p>
            <a:pPr>
              <a:defRPr sz="1000" b="0" i="0" u="none" strike="noStrike" kern="1200" cap="none" spc="20" normalizeH="0" baseline="0">
                <a:solidFill>
                  <a:schemeClr val="tx1">
                    <a:lumMod val="65000"/>
                    <a:lumOff val="35000"/>
                  </a:schemeClr>
                </a:solidFill>
                <a:latin typeface="+mn-lt"/>
                <a:ea typeface="+mn-ea"/>
                <a:cs typeface="+mn-cs"/>
              </a:defRPr>
            </a:pPr>
            <a:endParaRPr lang="en-US"/>
          </a:p>
        </c:txPr>
        <c:crossAx val="160642560"/>
        <c:crosses val="autoZero"/>
        <c:auto val="1"/>
        <c:lblAlgn val="ctr"/>
        <c:lblOffset val="100"/>
      </c:catAx>
      <c:valAx>
        <c:axId val="160642560"/>
        <c:scaling>
          <c:orientation val="minMax"/>
        </c:scaling>
        <c:axPos val="l"/>
        <c:majorGridlines>
          <c:spPr>
            <a:ln w="9525" cap="flat" cmpd="sng" algn="ctr">
              <a:solidFill>
                <a:schemeClr val="tx1">
                  <a:lumMod val="5000"/>
                  <a:lumOff val="9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mn-lt"/>
                <a:ea typeface="+mn-ea"/>
                <a:cs typeface="+mn-cs"/>
              </a:defRPr>
            </a:pPr>
            <a:endParaRPr lang="en-US"/>
          </a:p>
        </c:txPr>
        <c:crossAx val="160641024"/>
        <c:crosses val="autoZero"/>
        <c:crossBetween val="between"/>
      </c:val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ZA"/>
  <c:chart>
    <c:autoTitleDeleted val="1"/>
    <c:plotArea>
      <c:layout>
        <c:manualLayout>
          <c:layoutTarget val="inner"/>
          <c:xMode val="edge"/>
          <c:yMode val="edge"/>
          <c:x val="5.0596373579290393E-2"/>
          <c:y val="4.8715677590788327E-2"/>
          <c:w val="0.92456732025678978"/>
          <c:h val="0.69033951026272289"/>
        </c:manualLayout>
      </c:layout>
      <c:lineChart>
        <c:grouping val="standard"/>
        <c:ser>
          <c:idx val="0"/>
          <c:order val="0"/>
          <c:tx>
            <c:strRef>
              <c:f>'WEO_Data (3)'!$D$74</c:f>
              <c:strCache>
                <c:ptCount val="1"/>
                <c:pt idx="0">
                  <c:v>World</c:v>
                </c:pt>
              </c:strCache>
            </c:strRef>
          </c:tx>
          <c:spPr>
            <a:ln w="28575" cap="rnd">
              <a:solidFill>
                <a:schemeClr val="accent1"/>
              </a:solidFill>
              <a:round/>
            </a:ln>
            <a:effectLst/>
          </c:spPr>
          <c:marker>
            <c:symbol val="none"/>
          </c:marker>
          <c:cat>
            <c:strRef>
              <c:f>'WEO_Data (3)'!$C$75:$C$85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'WEO_Data (3)'!$D$75:$D$85</c:f>
              <c:numCache>
                <c:formatCode>General</c:formatCode>
                <c:ptCount val="11"/>
                <c:pt idx="0">
                  <c:v>3.1959999999999997</c:v>
                </c:pt>
                <c:pt idx="1">
                  <c:v>2.71</c:v>
                </c:pt>
                <c:pt idx="2">
                  <c:v>2.6959999999999997</c:v>
                </c:pt>
                <c:pt idx="3">
                  <c:v>3.22</c:v>
                </c:pt>
                <c:pt idx="4">
                  <c:v>3.585</c:v>
                </c:pt>
                <c:pt idx="5">
                  <c:v>3.4749999999999992</c:v>
                </c:pt>
                <c:pt idx="6">
                  <c:v>3.1949999999999998</c:v>
                </c:pt>
                <c:pt idx="7">
                  <c:v>3.4959999999999991</c:v>
                </c:pt>
                <c:pt idx="8">
                  <c:v>3.24</c:v>
                </c:pt>
                <c:pt idx="9">
                  <c:v>3.1070000000000002</c:v>
                </c:pt>
                <c:pt idx="10">
                  <c:v>3.1030000000000002</c:v>
                </c:pt>
              </c:numCache>
            </c:numRef>
          </c:val>
          <c:extLst xmlns:c16r2="http://schemas.microsoft.com/office/drawing/2015/06/chart">
            <c:ext xmlns:c16="http://schemas.microsoft.com/office/drawing/2014/chart" uri="{C3380CC4-5D6E-409C-BE32-E72D297353CC}">
              <c16:uniqueId val="{00000000-C838-4F65-959F-004A4FD40068}"/>
            </c:ext>
          </c:extLst>
        </c:ser>
        <c:ser>
          <c:idx val="1"/>
          <c:order val="1"/>
          <c:tx>
            <c:strRef>
              <c:f>'WEO_Data (3)'!$E$74</c:f>
              <c:strCache>
                <c:ptCount val="1"/>
                <c:pt idx="0">
                  <c:v>Advanced economies</c:v>
                </c:pt>
              </c:strCache>
            </c:strRef>
          </c:tx>
          <c:spPr>
            <a:ln w="28575" cap="rnd">
              <a:solidFill>
                <a:schemeClr val="accent3"/>
              </a:solidFill>
              <a:round/>
            </a:ln>
            <a:effectLst/>
          </c:spPr>
          <c:marker>
            <c:symbol val="none"/>
          </c:marker>
          <c:cat>
            <c:strRef>
              <c:f>'WEO_Data (3)'!$C$75:$C$85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'WEO_Data (3)'!$E$75:$E$85</c:f>
              <c:numCache>
                <c:formatCode>General</c:formatCode>
                <c:ptCount val="11"/>
                <c:pt idx="0">
                  <c:v>1.3779999999999994</c:v>
                </c:pt>
                <c:pt idx="1">
                  <c:v>0.30500000000000016</c:v>
                </c:pt>
                <c:pt idx="2">
                  <c:v>0.74700000000000022</c:v>
                </c:pt>
                <c:pt idx="3">
                  <c:v>1.7149999999999996</c:v>
                </c:pt>
                <c:pt idx="4">
                  <c:v>1.9560000000000004</c:v>
                </c:pt>
                <c:pt idx="5">
                  <c:v>1.397</c:v>
                </c:pt>
                <c:pt idx="6">
                  <c:v>0.68400000000000005</c:v>
                </c:pt>
                <c:pt idx="7">
                  <c:v>1.6060000000000001</c:v>
                </c:pt>
                <c:pt idx="8">
                  <c:v>1.677</c:v>
                </c:pt>
                <c:pt idx="9">
                  <c:v>1.8340000000000001</c:v>
                </c:pt>
                <c:pt idx="10">
                  <c:v>1.9039999999999995</c:v>
                </c:pt>
              </c:numCache>
            </c:numRef>
          </c:val>
          <c:extLst xmlns:c16r2="http://schemas.microsoft.com/office/drawing/2015/06/chart">
            <c:ext xmlns:c16="http://schemas.microsoft.com/office/drawing/2014/chart" uri="{C3380CC4-5D6E-409C-BE32-E72D297353CC}">
              <c16:uniqueId val="{00000001-C838-4F65-959F-004A4FD40068}"/>
            </c:ext>
          </c:extLst>
        </c:ser>
        <c:ser>
          <c:idx val="2"/>
          <c:order val="2"/>
          <c:tx>
            <c:strRef>
              <c:f>'WEO_Data (3)'!$F$74</c:f>
              <c:strCache>
                <c:ptCount val="1"/>
                <c:pt idx="0">
                  <c:v>Emerging market and developing economies</c:v>
                </c:pt>
              </c:strCache>
            </c:strRef>
          </c:tx>
          <c:spPr>
            <a:ln w="28575" cap="rnd">
              <a:solidFill>
                <a:schemeClr val="accent5"/>
              </a:solidFill>
              <a:round/>
            </a:ln>
            <a:effectLst/>
          </c:spPr>
          <c:marker>
            <c:symbol val="none"/>
          </c:marker>
          <c:cat>
            <c:strRef>
              <c:f>'WEO_Data (3)'!$C$75:$C$85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'WEO_Data (3)'!$F$75:$F$85</c:f>
              <c:numCache>
                <c:formatCode>General</c:formatCode>
                <c:ptCount val="11"/>
                <c:pt idx="0">
                  <c:v>4.6760000000000002</c:v>
                </c:pt>
                <c:pt idx="1">
                  <c:v>4.7210000000000001</c:v>
                </c:pt>
                <c:pt idx="2">
                  <c:v>4.3159999999999981</c:v>
                </c:pt>
                <c:pt idx="3">
                  <c:v>4.4300000000000015</c:v>
                </c:pt>
                <c:pt idx="4">
                  <c:v>4.8659999999999979</c:v>
                </c:pt>
                <c:pt idx="5">
                  <c:v>5.0830000000000002</c:v>
                </c:pt>
                <c:pt idx="6">
                  <c:v>5.0960000000000001</c:v>
                </c:pt>
                <c:pt idx="7">
                  <c:v>4.9020000000000001</c:v>
                </c:pt>
                <c:pt idx="8">
                  <c:v>4.383</c:v>
                </c:pt>
                <c:pt idx="9">
                  <c:v>4.01</c:v>
                </c:pt>
                <c:pt idx="10">
                  <c:v>3.9289999999999998</c:v>
                </c:pt>
              </c:numCache>
            </c:numRef>
          </c:val>
          <c:extLst xmlns:c16r2="http://schemas.microsoft.com/office/drawing/2015/06/chart">
            <c:ext xmlns:c16="http://schemas.microsoft.com/office/drawing/2014/chart" uri="{C3380CC4-5D6E-409C-BE32-E72D297353CC}">
              <c16:uniqueId val="{00000002-C838-4F65-959F-004A4FD40068}"/>
            </c:ext>
          </c:extLst>
        </c:ser>
        <c:marker val="1"/>
        <c:axId val="160691328"/>
        <c:axId val="160692864"/>
      </c:lineChart>
      <c:catAx>
        <c:axId val="160691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0692864"/>
        <c:crosses val="autoZero"/>
        <c:auto val="1"/>
        <c:lblAlgn val="ctr"/>
        <c:lblOffset val="100"/>
      </c:catAx>
      <c:valAx>
        <c:axId val="1606928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0691328"/>
        <c:crosses val="autoZero"/>
        <c:crossBetween val="between"/>
      </c:val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A"/>
  <c:style val="5"/>
  <c:chart>
    <c:autoTitleDeleted val="1"/>
    <c:plotArea>
      <c:layout>
        <c:manualLayout>
          <c:layoutTarget val="inner"/>
          <c:xMode val="edge"/>
          <c:yMode val="edge"/>
          <c:x val="8.408982100805551E-2"/>
          <c:y val="6.2266500622665012E-2"/>
          <c:w val="0.89003695777590286"/>
          <c:h val="0.73111037023236358"/>
        </c:manualLayout>
      </c:layout>
      <c:lineChart>
        <c:grouping val="standard"/>
        <c:ser>
          <c:idx val="0"/>
          <c:order val="0"/>
          <c:tx>
            <c:strRef>
              <c:f>WEO_Data!$D$46</c:f>
              <c:strCache>
                <c:ptCount val="1"/>
                <c:pt idx="0">
                  <c:v>GDP % change quarter-on-quarter (seasonally adjusted)</c:v>
                </c:pt>
              </c:strCache>
            </c:strRef>
          </c:tx>
          <c:spPr>
            <a:ln w="28575" cap="rnd">
              <a:solidFill>
                <a:schemeClr val="accent3">
                  <a:alpha val="70000"/>
                </a:schemeClr>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WEO_Data!$C$47:$C$60</c:f>
              <c:strCache>
                <c:ptCount val="14"/>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strCache>
            </c:strRef>
          </c:cat>
          <c:val>
            <c:numRef>
              <c:f>WEO_Data!$D$47:$D$60</c:f>
              <c:numCache>
                <c:formatCode>General</c:formatCode>
                <c:ptCount val="14"/>
                <c:pt idx="0">
                  <c:v>0.5</c:v>
                </c:pt>
                <c:pt idx="1">
                  <c:v>-0.4</c:v>
                </c:pt>
                <c:pt idx="2">
                  <c:v>1.1000000000000001</c:v>
                </c:pt>
                <c:pt idx="3">
                  <c:v>0.3000000000000001</c:v>
                </c:pt>
                <c:pt idx="4">
                  <c:v>-1</c:v>
                </c:pt>
                <c:pt idx="5">
                  <c:v>0.5</c:v>
                </c:pt>
                <c:pt idx="6">
                  <c:v>-0.1</c:v>
                </c:pt>
                <c:pt idx="7">
                  <c:v>0.1</c:v>
                </c:pt>
                <c:pt idx="8">
                  <c:v>0.2</c:v>
                </c:pt>
                <c:pt idx="9">
                  <c:v>-17.399999999999999</c:v>
                </c:pt>
                <c:pt idx="10">
                  <c:v>13.6</c:v>
                </c:pt>
                <c:pt idx="11">
                  <c:v>2.8</c:v>
                </c:pt>
                <c:pt idx="12">
                  <c:v>0.8</c:v>
                </c:pt>
                <c:pt idx="13">
                  <c:v>1.2</c:v>
                </c:pt>
              </c:numCache>
            </c:numRef>
          </c:val>
          <c:extLst xmlns:c16r2="http://schemas.microsoft.com/office/drawing/2015/06/chart">
            <c:ext xmlns:c16="http://schemas.microsoft.com/office/drawing/2014/chart" uri="{C3380CC4-5D6E-409C-BE32-E72D297353CC}">
              <c16:uniqueId val="{00000000-53A2-4EB3-B3E1-310311762B6A}"/>
            </c:ext>
          </c:extLst>
        </c:ser>
        <c:dLbls>
          <c:showVal val="1"/>
        </c:dLbls>
        <c:marker val="1"/>
        <c:axId val="161115520"/>
        <c:axId val="162337920"/>
      </c:lineChart>
      <c:catAx>
        <c:axId val="161115520"/>
        <c:scaling>
          <c:orientation val="minMax"/>
        </c:scaling>
        <c:axPos val="b"/>
        <c:numFmt formatCode="General" sourceLinked="1"/>
        <c:majorTickMark val="none"/>
        <c:tickLblPos val="low"/>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mn-lt"/>
                <a:ea typeface="+mn-ea"/>
                <a:cs typeface="+mn-cs"/>
              </a:defRPr>
            </a:pPr>
            <a:endParaRPr lang="en-US"/>
          </a:p>
        </c:txPr>
        <c:crossAx val="162337920"/>
        <c:crosses val="autoZero"/>
        <c:auto val="1"/>
        <c:lblAlgn val="ctr"/>
        <c:lblOffset val="100"/>
      </c:catAx>
      <c:valAx>
        <c:axId val="162337920"/>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mn-lt"/>
                <a:ea typeface="+mn-ea"/>
                <a:cs typeface="+mn-cs"/>
              </a:defRPr>
            </a:pPr>
            <a:endParaRPr lang="en-US"/>
          </a:p>
        </c:txPr>
        <c:crossAx val="161115520"/>
        <c:crosses val="autoZero"/>
        <c:crossBetween val="between"/>
      </c:valAx>
      <c:spPr>
        <a:solidFill>
          <a:schemeClr val="bg1"/>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autoTitleDeleted val="1"/>
    <c:plotArea>
      <c:layout/>
      <c:areaChart>
        <c:grouping val="standard"/>
        <c:ser>
          <c:idx val="1"/>
          <c:order val="1"/>
          <c:tx>
            <c:strRef>
              <c:f>WEO_Data!$E$101</c:f>
              <c:strCache>
                <c:ptCount val="1"/>
                <c:pt idx="0">
                  <c:v>Shaded area</c:v>
                </c:pt>
              </c:strCache>
            </c:strRef>
          </c:tx>
          <c:spPr>
            <a:solidFill>
              <a:srgbClr val="009999"/>
            </a:solidFill>
            <a:ln w="9525" cap="flat" cmpd="sng" algn="ctr">
              <a:solidFill>
                <a:srgbClr val="009999"/>
              </a:solidFill>
              <a:round/>
            </a:ln>
            <a:effectLst/>
          </c:spPr>
          <c:cat>
            <c:strRef>
              <c:f>WEO_Data!$C$102:$C$122</c:f>
              <c:strCache>
                <c:ptCount val="21"/>
                <c:pt idx="0">
                  <c:v>Jan</c:v>
                </c:pt>
                <c:pt idx="1">
                  <c:v>Feb </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strCache>
            </c:strRef>
          </c:cat>
          <c:val>
            <c:numRef>
              <c:f>WEO_Data!$E$102:$E$122</c:f>
              <c:numCache>
                <c:formatCode>0.0%</c:formatCode>
                <c:ptCount val="21"/>
                <c:pt idx="0">
                  <c:v>4.5000000000000012E-2</c:v>
                </c:pt>
                <c:pt idx="1">
                  <c:v>4.5999999999999999E-2</c:v>
                </c:pt>
                <c:pt idx="2">
                  <c:v>4.1000000000000002E-2</c:v>
                </c:pt>
                <c:pt idx="3">
                  <c:v>3.0000000000000002E-2</c:v>
                </c:pt>
                <c:pt idx="4">
                  <c:v>2.1000000000000008E-2</c:v>
                </c:pt>
                <c:pt idx="5">
                  <c:v>2.1999999999999999E-2</c:v>
                </c:pt>
                <c:pt idx="6">
                  <c:v>3.2000000000000015E-2</c:v>
                </c:pt>
                <c:pt idx="7">
                  <c:v>3.100000000000001E-2</c:v>
                </c:pt>
                <c:pt idx="8">
                  <c:v>3.0000000000000002E-2</c:v>
                </c:pt>
                <c:pt idx="9">
                  <c:v>3.3000000000000002E-2</c:v>
                </c:pt>
                <c:pt idx="10">
                  <c:v>3.2000000000000015E-2</c:v>
                </c:pt>
                <c:pt idx="11">
                  <c:v>3.100000000000001E-2</c:v>
                </c:pt>
                <c:pt idx="12">
                  <c:v>3.2000000000000015E-2</c:v>
                </c:pt>
                <c:pt idx="13">
                  <c:v>2.9000000000000001E-2</c:v>
                </c:pt>
                <c:pt idx="14">
                  <c:v>3.2000000000000015E-2</c:v>
                </c:pt>
                <c:pt idx="15">
                  <c:v>4.3999999999999997E-2</c:v>
                </c:pt>
                <c:pt idx="16">
                  <c:v>5.1999999999999998E-2</c:v>
                </c:pt>
                <c:pt idx="17">
                  <c:v>4.9000000000000016E-2</c:v>
                </c:pt>
                <c:pt idx="18">
                  <c:v>4.5999999999999999E-2</c:v>
                </c:pt>
                <c:pt idx="19">
                  <c:v>4.9000000000000016E-2</c:v>
                </c:pt>
                <c:pt idx="20">
                  <c:v>0.05</c:v>
                </c:pt>
              </c:numCache>
            </c:numRef>
          </c:val>
          <c:extLst xmlns:c16r2="http://schemas.microsoft.com/office/drawing/2015/06/chart">
            <c:ext xmlns:c16="http://schemas.microsoft.com/office/drawing/2014/chart" uri="{C3380CC4-5D6E-409C-BE32-E72D297353CC}">
              <c16:uniqueId val="{00000000-BAF3-4B31-B630-17950A370A5B}"/>
            </c:ext>
          </c:extLst>
        </c:ser>
        <c:axId val="161383552"/>
        <c:axId val="161385088"/>
      </c:areaChart>
      <c:lineChart>
        <c:grouping val="standard"/>
        <c:ser>
          <c:idx val="0"/>
          <c:order val="0"/>
          <c:tx>
            <c:strRef>
              <c:f>WEO_Data!$D$101</c:f>
              <c:strCache>
                <c:ptCount val="1"/>
                <c:pt idx="0">
                  <c:v>Inflation</c:v>
                </c:pt>
              </c:strCache>
            </c:strRef>
          </c:tx>
          <c:spPr>
            <a:ln w="38100" cap="rnd">
              <a:solidFill>
                <a:srgbClr val="006600"/>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F3-4B31-B630-17950A370A5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F3-4B31-B630-17950A370A5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F3-4B31-B630-17950A370A5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F3-4B31-B630-17950A370A5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F3-4B31-B630-17950A370A5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F3-4B31-B630-17950A370A5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F3-4B31-B630-17950A370A5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F3-4B31-B630-17950A370A5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F3-4B31-B630-17950A370A5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F3-4B31-B630-17950A370A5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F3-4B31-B630-17950A370A5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AF3-4B31-B630-17950A370A5B}"/>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F3-4B31-B630-17950A370A5B}"/>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AF3-4B31-B630-17950A370A5B}"/>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AF3-4B31-B630-17950A370A5B}"/>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AF3-4B31-B630-17950A370A5B}"/>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AF3-4B31-B630-17950A370A5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AF3-4B31-B630-17950A370A5B}"/>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AF3-4B31-B630-17950A370A5B}"/>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AF3-4B31-B630-17950A370A5B}"/>
                </c:ext>
              </c:extLst>
            </c:dLbl>
            <c:dLbl>
              <c:idx val="20"/>
              <c:layout>
                <c:manualLayout>
                  <c:x val="-5.9547022029458087E-2"/>
                  <c:y val="-9.94215473608098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AF3-4B31-B630-17950A370A5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WEO_Data!$C$102:$C$122</c:f>
              <c:strCache>
                <c:ptCount val="21"/>
                <c:pt idx="0">
                  <c:v>Jan</c:v>
                </c:pt>
                <c:pt idx="1">
                  <c:v>Feb </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strCache>
            </c:strRef>
          </c:cat>
          <c:val>
            <c:numRef>
              <c:f>WEO_Data!$D$102:$D$122</c:f>
              <c:numCache>
                <c:formatCode>0.0%</c:formatCode>
                <c:ptCount val="21"/>
                <c:pt idx="0">
                  <c:v>4.5000000000000012E-2</c:v>
                </c:pt>
                <c:pt idx="1">
                  <c:v>4.5999999999999999E-2</c:v>
                </c:pt>
                <c:pt idx="2">
                  <c:v>4.1000000000000002E-2</c:v>
                </c:pt>
                <c:pt idx="3">
                  <c:v>3.0000000000000002E-2</c:v>
                </c:pt>
                <c:pt idx="4">
                  <c:v>2.1000000000000008E-2</c:v>
                </c:pt>
                <c:pt idx="5">
                  <c:v>2.1999999999999999E-2</c:v>
                </c:pt>
                <c:pt idx="6">
                  <c:v>3.2000000000000015E-2</c:v>
                </c:pt>
                <c:pt idx="7">
                  <c:v>3.100000000000001E-2</c:v>
                </c:pt>
                <c:pt idx="8">
                  <c:v>3.0000000000000002E-2</c:v>
                </c:pt>
                <c:pt idx="9">
                  <c:v>3.3000000000000002E-2</c:v>
                </c:pt>
                <c:pt idx="10">
                  <c:v>3.2000000000000015E-2</c:v>
                </c:pt>
                <c:pt idx="11">
                  <c:v>3.100000000000001E-2</c:v>
                </c:pt>
                <c:pt idx="12">
                  <c:v>3.2000000000000015E-2</c:v>
                </c:pt>
                <c:pt idx="13">
                  <c:v>2.9000000000000001E-2</c:v>
                </c:pt>
                <c:pt idx="14">
                  <c:v>3.2000000000000015E-2</c:v>
                </c:pt>
                <c:pt idx="15">
                  <c:v>4.3999999999999997E-2</c:v>
                </c:pt>
                <c:pt idx="16">
                  <c:v>5.1999999999999998E-2</c:v>
                </c:pt>
                <c:pt idx="17">
                  <c:v>4.9000000000000016E-2</c:v>
                </c:pt>
                <c:pt idx="18">
                  <c:v>4.5999999999999999E-2</c:v>
                </c:pt>
                <c:pt idx="19">
                  <c:v>4.9000000000000016E-2</c:v>
                </c:pt>
                <c:pt idx="20">
                  <c:v>0.05</c:v>
                </c:pt>
              </c:numCache>
            </c:numRef>
          </c:val>
          <c:smooth val="1"/>
          <c:extLst xmlns:c16r2="http://schemas.microsoft.com/office/drawing/2015/06/chart">
            <c:ext xmlns:c16="http://schemas.microsoft.com/office/drawing/2014/chart" uri="{C3380CC4-5D6E-409C-BE32-E72D297353CC}">
              <c16:uniqueId val="{00000016-BAF3-4B31-B630-17950A370A5B}"/>
            </c:ext>
          </c:extLst>
        </c:ser>
        <c:marker val="1"/>
        <c:axId val="161383552"/>
        <c:axId val="161385088"/>
      </c:lineChart>
      <c:catAx>
        <c:axId val="161383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crossAx val="161385088"/>
        <c:crosses val="autoZero"/>
        <c:auto val="1"/>
        <c:lblAlgn val="ctr"/>
        <c:lblOffset val="100"/>
      </c:catAx>
      <c:valAx>
        <c:axId val="161385088"/>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crossAx val="161383552"/>
        <c:crosses val="autoZero"/>
        <c:crossBetween val="between"/>
      </c:valAx>
      <c:spPr>
        <a:solidFill>
          <a:sysClr val="window" lastClr="FFFFFF"/>
        </a:solidFill>
        <a:ln>
          <a:noFill/>
        </a:ln>
        <a:effectLst/>
      </c:spPr>
    </c:plotArea>
    <c:legend>
      <c:legendPos val="b"/>
      <c:legendEntry>
        <c:idx val="0"/>
        <c:delete val="1"/>
      </c:legendEntry>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lang val="en-ZA"/>
  <c:style val="5"/>
  <c:chart>
    <c:autoTitleDeleted val="1"/>
    <c:plotArea>
      <c:layout>
        <c:manualLayout>
          <c:layoutTarget val="inner"/>
          <c:xMode val="edge"/>
          <c:yMode val="edge"/>
          <c:x val="0.10234492563429569"/>
          <c:y val="5.0925925925925923E-2"/>
          <c:w val="0.83385192475940528"/>
          <c:h val="0.63841477535896241"/>
        </c:manualLayout>
      </c:layout>
      <c:barChart>
        <c:barDir val="col"/>
        <c:grouping val="clustered"/>
        <c:ser>
          <c:idx val="0"/>
          <c:order val="0"/>
          <c:tx>
            <c:strRef>
              <c:f>'Unemployment '!$C$2</c:f>
              <c:strCache>
                <c:ptCount val="1"/>
                <c:pt idx="0">
                  <c:v>Unemployment </c:v>
                </c:pt>
              </c:strCache>
            </c:strRef>
          </c:tx>
          <c:spPr>
            <a:gradFill rotWithShape="1">
              <a:gsLst>
                <a:gs pos="0">
                  <a:schemeClr val="accent3">
                    <a:shade val="76000"/>
                    <a:tint val="50000"/>
                    <a:satMod val="300000"/>
                  </a:schemeClr>
                </a:gs>
                <a:gs pos="35000">
                  <a:schemeClr val="accent3">
                    <a:shade val="76000"/>
                    <a:tint val="37000"/>
                    <a:satMod val="300000"/>
                  </a:schemeClr>
                </a:gs>
                <a:gs pos="100000">
                  <a:schemeClr val="accent3">
                    <a:shade val="76000"/>
                    <a:tint val="15000"/>
                    <a:satMod val="350000"/>
                  </a:schemeClr>
                </a:gs>
              </a:gsLst>
              <a:lin ang="16200000" scaled="1"/>
            </a:gradFill>
            <a:ln w="9525" cap="flat" cmpd="sng" algn="ctr">
              <a:solidFill>
                <a:schemeClr val="accent3">
                  <a:shade val="76000"/>
                  <a:shade val="95000"/>
                </a:schemeClr>
              </a:solidFill>
              <a:round/>
            </a:ln>
            <a:effectLst/>
          </c:spPr>
          <c:cat>
            <c:multiLvlStrRef>
              <c:f>'Unemployment '!$A$3:$B$30</c:f>
              <c:multiLvlStrCache>
                <c:ptCount val="28"/>
                <c:lvl>
                  <c:pt idx="0">
                    <c:v>Q3</c:v>
                  </c:pt>
                  <c:pt idx="1">
                    <c:v>Q4</c:v>
                  </c:pt>
                  <c:pt idx="2">
                    <c:v>Q1</c:v>
                  </c:pt>
                  <c:pt idx="3">
                    <c:v>Q2</c:v>
                  </c:pt>
                  <c:pt idx="4">
                    <c:v>Q3</c:v>
                  </c:pt>
                  <c:pt idx="5">
                    <c:v>Q4</c:v>
                  </c:pt>
                  <c:pt idx="6">
                    <c:v>Q1</c:v>
                  </c:pt>
                  <c:pt idx="7">
                    <c:v>Q2</c:v>
                  </c:pt>
                  <c:pt idx="8">
                    <c:v>Q3</c:v>
                  </c:pt>
                  <c:pt idx="9">
                    <c:v>Q4</c:v>
                  </c:pt>
                  <c:pt idx="10">
                    <c:v>Q1</c:v>
                  </c:pt>
                  <c:pt idx="11">
                    <c:v>Q2</c:v>
                  </c:pt>
                  <c:pt idx="12">
                    <c:v>Q3</c:v>
                  </c:pt>
                  <c:pt idx="13">
                    <c:v>Q4</c:v>
                  </c:pt>
                  <c:pt idx="14">
                    <c:v>Q1</c:v>
                  </c:pt>
                  <c:pt idx="15">
                    <c:v>Q2</c:v>
                  </c:pt>
                  <c:pt idx="16">
                    <c:v>Q3</c:v>
                  </c:pt>
                  <c:pt idx="17">
                    <c:v>Q4</c:v>
                  </c:pt>
                  <c:pt idx="18">
                    <c:v>Q1</c:v>
                  </c:pt>
                  <c:pt idx="19">
                    <c:v>Q2</c:v>
                  </c:pt>
                  <c:pt idx="20">
                    <c:v>Q3</c:v>
                  </c:pt>
                  <c:pt idx="21">
                    <c:v>Q4</c:v>
                  </c:pt>
                  <c:pt idx="22">
                    <c:v>Q1</c:v>
                  </c:pt>
                  <c:pt idx="23">
                    <c:v>Q2</c:v>
                  </c:pt>
                  <c:pt idx="24">
                    <c:v>Q3</c:v>
                  </c:pt>
                  <c:pt idx="25">
                    <c:v>Q4</c:v>
                  </c:pt>
                  <c:pt idx="26">
                    <c:v>Q1</c:v>
                  </c:pt>
                  <c:pt idx="27">
                    <c:v>Q2</c:v>
                  </c:pt>
                </c:lvl>
                <c:lvl>
                  <c:pt idx="0">
                    <c:v>2014</c:v>
                  </c:pt>
                  <c:pt idx="2">
                    <c:v>2015</c:v>
                  </c:pt>
                  <c:pt idx="6">
                    <c:v>2016</c:v>
                  </c:pt>
                  <c:pt idx="10">
                    <c:v>2017</c:v>
                  </c:pt>
                  <c:pt idx="14">
                    <c:v>2018</c:v>
                  </c:pt>
                  <c:pt idx="18">
                    <c:v>2019</c:v>
                  </c:pt>
                  <c:pt idx="22">
                    <c:v>2020</c:v>
                  </c:pt>
                  <c:pt idx="26">
                    <c:v>2021</c:v>
                  </c:pt>
                </c:lvl>
              </c:multiLvlStrCache>
            </c:multiLvlStrRef>
          </c:cat>
          <c:val>
            <c:numRef>
              <c:f>'Unemployment '!$C$3:$C$30</c:f>
              <c:numCache>
                <c:formatCode>General</c:formatCode>
                <c:ptCount val="28"/>
                <c:pt idx="0">
                  <c:v>-3</c:v>
                </c:pt>
                <c:pt idx="1">
                  <c:v>-242</c:v>
                </c:pt>
                <c:pt idx="2">
                  <c:v>626</c:v>
                </c:pt>
                <c:pt idx="3">
                  <c:v>-305</c:v>
                </c:pt>
                <c:pt idx="4">
                  <c:v>188</c:v>
                </c:pt>
                <c:pt idx="5">
                  <c:v>-225</c:v>
                </c:pt>
                <c:pt idx="6">
                  <c:v>530</c:v>
                </c:pt>
                <c:pt idx="7">
                  <c:v>-90</c:v>
                </c:pt>
                <c:pt idx="8">
                  <c:v>239</c:v>
                </c:pt>
                <c:pt idx="9">
                  <c:v>-92</c:v>
                </c:pt>
                <c:pt idx="10">
                  <c:v>433</c:v>
                </c:pt>
                <c:pt idx="11">
                  <c:v>-37</c:v>
                </c:pt>
                <c:pt idx="12">
                  <c:v>33</c:v>
                </c:pt>
                <c:pt idx="13">
                  <c:v>-330</c:v>
                </c:pt>
                <c:pt idx="14">
                  <c:v>100</c:v>
                </c:pt>
                <c:pt idx="15">
                  <c:v>102</c:v>
                </c:pt>
                <c:pt idx="16">
                  <c:v>127</c:v>
                </c:pt>
                <c:pt idx="17">
                  <c:v>-70</c:v>
                </c:pt>
                <c:pt idx="18">
                  <c:v>62</c:v>
                </c:pt>
                <c:pt idx="19">
                  <c:v>455</c:v>
                </c:pt>
                <c:pt idx="20">
                  <c:v>78</c:v>
                </c:pt>
                <c:pt idx="21">
                  <c:v>-8</c:v>
                </c:pt>
                <c:pt idx="22">
                  <c:v>344</c:v>
                </c:pt>
                <c:pt idx="23">
                  <c:v>-2775</c:v>
                </c:pt>
                <c:pt idx="24">
                  <c:v>2238</c:v>
                </c:pt>
                <c:pt idx="25">
                  <c:v>701</c:v>
                </c:pt>
                <c:pt idx="26">
                  <c:v>8</c:v>
                </c:pt>
                <c:pt idx="27">
                  <c:v>584</c:v>
                </c:pt>
              </c:numCache>
            </c:numRef>
          </c:val>
          <c:extLst xmlns:c16r2="http://schemas.microsoft.com/office/drawing/2015/06/chart">
            <c:ext xmlns:c16="http://schemas.microsoft.com/office/drawing/2014/chart" uri="{C3380CC4-5D6E-409C-BE32-E72D297353CC}">
              <c16:uniqueId val="{00000000-BEED-4A0D-A714-FF561137C6A0}"/>
            </c:ext>
          </c:extLst>
        </c:ser>
        <c:gapWidth val="30"/>
        <c:axId val="160716672"/>
        <c:axId val="160718208"/>
      </c:barChart>
      <c:lineChart>
        <c:grouping val="standard"/>
        <c:ser>
          <c:idx val="1"/>
          <c:order val="1"/>
          <c:tx>
            <c:strRef>
              <c:f>'Unemployment '!$D$2</c:f>
              <c:strCache>
                <c:ptCount val="1"/>
                <c:pt idx="0">
                  <c:v>Unemployment rate</c:v>
                </c:pt>
              </c:strCache>
            </c:strRef>
          </c:tx>
          <c:spPr>
            <a:ln w="15875" cap="rnd">
              <a:solidFill>
                <a:schemeClr val="accent3">
                  <a:tint val="77000"/>
                </a:schemeClr>
              </a:solidFill>
              <a:round/>
            </a:ln>
            <a:effectLst/>
          </c:spPr>
          <c:marker>
            <c:symbol val="none"/>
          </c:marker>
          <c:dLbls>
            <c:dLbl>
              <c:idx val="27"/>
              <c:layout>
                <c:manualLayout>
                  <c:x val="-2.5514298051908302E-2"/>
                  <c:y val="-4.01688906807330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ED-4A0D-A714-FF561137C6A0}"/>
                </c:ext>
              </c:extLst>
            </c:dLbl>
            <c:delete val="1"/>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'Unemployment '!$A$3:$B$30</c:f>
              <c:multiLvlStrCache>
                <c:ptCount val="28"/>
                <c:lvl>
                  <c:pt idx="0">
                    <c:v>Q3</c:v>
                  </c:pt>
                  <c:pt idx="1">
                    <c:v>Q4</c:v>
                  </c:pt>
                  <c:pt idx="2">
                    <c:v>Q1</c:v>
                  </c:pt>
                  <c:pt idx="3">
                    <c:v>Q2</c:v>
                  </c:pt>
                  <c:pt idx="4">
                    <c:v>Q3</c:v>
                  </c:pt>
                  <c:pt idx="5">
                    <c:v>Q4</c:v>
                  </c:pt>
                  <c:pt idx="6">
                    <c:v>Q1</c:v>
                  </c:pt>
                  <c:pt idx="7">
                    <c:v>Q2</c:v>
                  </c:pt>
                  <c:pt idx="8">
                    <c:v>Q3</c:v>
                  </c:pt>
                  <c:pt idx="9">
                    <c:v>Q4</c:v>
                  </c:pt>
                  <c:pt idx="10">
                    <c:v>Q1</c:v>
                  </c:pt>
                  <c:pt idx="11">
                    <c:v>Q2</c:v>
                  </c:pt>
                  <c:pt idx="12">
                    <c:v>Q3</c:v>
                  </c:pt>
                  <c:pt idx="13">
                    <c:v>Q4</c:v>
                  </c:pt>
                  <c:pt idx="14">
                    <c:v>Q1</c:v>
                  </c:pt>
                  <c:pt idx="15">
                    <c:v>Q2</c:v>
                  </c:pt>
                  <c:pt idx="16">
                    <c:v>Q3</c:v>
                  </c:pt>
                  <c:pt idx="17">
                    <c:v>Q4</c:v>
                  </c:pt>
                  <c:pt idx="18">
                    <c:v>Q1</c:v>
                  </c:pt>
                  <c:pt idx="19">
                    <c:v>Q2</c:v>
                  </c:pt>
                  <c:pt idx="20">
                    <c:v>Q3</c:v>
                  </c:pt>
                  <c:pt idx="21">
                    <c:v>Q4</c:v>
                  </c:pt>
                  <c:pt idx="22">
                    <c:v>Q1</c:v>
                  </c:pt>
                  <c:pt idx="23">
                    <c:v>Q2</c:v>
                  </c:pt>
                  <c:pt idx="24">
                    <c:v>Q3</c:v>
                  </c:pt>
                  <c:pt idx="25">
                    <c:v>Q4</c:v>
                  </c:pt>
                  <c:pt idx="26">
                    <c:v>Q1</c:v>
                  </c:pt>
                  <c:pt idx="27">
                    <c:v>Q2</c:v>
                  </c:pt>
                </c:lvl>
                <c:lvl>
                  <c:pt idx="0">
                    <c:v>2014</c:v>
                  </c:pt>
                  <c:pt idx="2">
                    <c:v>2015</c:v>
                  </c:pt>
                  <c:pt idx="6">
                    <c:v>2016</c:v>
                  </c:pt>
                  <c:pt idx="10">
                    <c:v>2017</c:v>
                  </c:pt>
                  <c:pt idx="14">
                    <c:v>2018</c:v>
                  </c:pt>
                  <c:pt idx="18">
                    <c:v>2019</c:v>
                  </c:pt>
                  <c:pt idx="22">
                    <c:v>2020</c:v>
                  </c:pt>
                  <c:pt idx="26">
                    <c:v>2021</c:v>
                  </c:pt>
                </c:lvl>
              </c:multiLvlStrCache>
            </c:multiLvlStrRef>
          </c:cat>
          <c:val>
            <c:numRef>
              <c:f>'Unemployment '!$D$3:$D$30</c:f>
              <c:numCache>
                <c:formatCode>General</c:formatCode>
                <c:ptCount val="28"/>
                <c:pt idx="0">
                  <c:v>24.3</c:v>
                </c:pt>
                <c:pt idx="1">
                  <c:v>26.4</c:v>
                </c:pt>
                <c:pt idx="2">
                  <c:v>25</c:v>
                </c:pt>
                <c:pt idx="3">
                  <c:v>25.5</c:v>
                </c:pt>
                <c:pt idx="4">
                  <c:v>24.5</c:v>
                </c:pt>
                <c:pt idx="5">
                  <c:v>26.7</c:v>
                </c:pt>
                <c:pt idx="6">
                  <c:v>26.6</c:v>
                </c:pt>
                <c:pt idx="7">
                  <c:v>27.1</c:v>
                </c:pt>
                <c:pt idx="8">
                  <c:v>26.5</c:v>
                </c:pt>
                <c:pt idx="9">
                  <c:v>26.5</c:v>
                </c:pt>
                <c:pt idx="10">
                  <c:v>27.7</c:v>
                </c:pt>
                <c:pt idx="11">
                  <c:v>27.7</c:v>
                </c:pt>
                <c:pt idx="12">
                  <c:v>27.7</c:v>
                </c:pt>
                <c:pt idx="13">
                  <c:v>26.7</c:v>
                </c:pt>
                <c:pt idx="14">
                  <c:v>26.7</c:v>
                </c:pt>
                <c:pt idx="15">
                  <c:v>27.2</c:v>
                </c:pt>
                <c:pt idx="16">
                  <c:v>27.5</c:v>
                </c:pt>
                <c:pt idx="17">
                  <c:v>27.1</c:v>
                </c:pt>
                <c:pt idx="18">
                  <c:v>27.6</c:v>
                </c:pt>
                <c:pt idx="19">
                  <c:v>29</c:v>
                </c:pt>
                <c:pt idx="20">
                  <c:v>29.1</c:v>
                </c:pt>
                <c:pt idx="21">
                  <c:v>29.1</c:v>
                </c:pt>
                <c:pt idx="22">
                  <c:v>30.1</c:v>
                </c:pt>
                <c:pt idx="23">
                  <c:v>23.3</c:v>
                </c:pt>
                <c:pt idx="24">
                  <c:v>30.8</c:v>
                </c:pt>
                <c:pt idx="25">
                  <c:v>32.5</c:v>
                </c:pt>
                <c:pt idx="26">
                  <c:v>32.6</c:v>
                </c:pt>
                <c:pt idx="27">
                  <c:v>34.4</c:v>
                </c:pt>
              </c:numCache>
            </c:numRef>
          </c:val>
          <c:extLst xmlns:c16r2="http://schemas.microsoft.com/office/drawing/2015/06/chart">
            <c:ext xmlns:c16="http://schemas.microsoft.com/office/drawing/2014/chart" uri="{C3380CC4-5D6E-409C-BE32-E72D297353CC}">
              <c16:uniqueId val="{00000002-BEED-4A0D-A714-FF561137C6A0}"/>
            </c:ext>
          </c:extLst>
        </c:ser>
        <c:marker val="1"/>
        <c:axId val="162454144"/>
        <c:axId val="162452608"/>
      </c:lineChart>
      <c:catAx>
        <c:axId val="160716672"/>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crossAx val="160718208"/>
        <c:crosses val="autoZero"/>
        <c:auto val="1"/>
        <c:lblAlgn val="ctr"/>
        <c:lblOffset val="100"/>
      </c:catAx>
      <c:valAx>
        <c:axId val="160718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crossAx val="160716672"/>
        <c:crosses val="autoZero"/>
        <c:crossBetween val="between"/>
      </c:valAx>
      <c:valAx>
        <c:axId val="162452608"/>
        <c:scaling>
          <c:orientation val="minMax"/>
        </c:scaling>
        <c:axPos val="r"/>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crossAx val="162454144"/>
        <c:crosses val="max"/>
        <c:crossBetween val="between"/>
      </c:valAx>
      <c:catAx>
        <c:axId val="162454144"/>
        <c:scaling>
          <c:orientation val="minMax"/>
        </c:scaling>
        <c:delete val="1"/>
        <c:axPos val="b"/>
        <c:numFmt formatCode="General" sourceLinked="1"/>
        <c:majorTickMark val="none"/>
        <c:tickLblPos val="none"/>
        <c:crossAx val="162452608"/>
        <c:crosses val="autoZero"/>
        <c:auto val="1"/>
        <c:lblAlgn val="ctr"/>
        <c:lblOffset val="100"/>
      </c:cat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ZA"/>
  <c:style val="5"/>
  <c:chart>
    <c:autoTitleDeleted val="1"/>
    <c:plotArea>
      <c:layout>
        <c:manualLayout>
          <c:layoutTarget val="inner"/>
          <c:xMode val="edge"/>
          <c:yMode val="edge"/>
          <c:x val="8.3639215802481945E-2"/>
          <c:y val="4.5040647809490374E-2"/>
          <c:w val="0.89133802706038912"/>
          <c:h val="0.76142435035377198"/>
        </c:manualLayout>
      </c:layout>
      <c:barChart>
        <c:barDir val="col"/>
        <c:grouping val="clustered"/>
        <c:ser>
          <c:idx val="0"/>
          <c:order val="0"/>
          <c:tx>
            <c:strRef>
              <c:f>Sheet1!$B$2</c:f>
              <c:strCache>
                <c:ptCount val="1"/>
                <c:pt idx="0">
                  <c:v>Tax revenue as 
% of GDP</c:v>
                </c:pt>
              </c:strCache>
            </c:strRef>
          </c:tx>
          <c:spPr>
            <a:solidFill>
              <a:schemeClr val="accent3">
                <a:alpha val="70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Sheet1!$A$17:$A$29</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Sheet1!$B$17:$B$29</c:f>
              <c:numCache>
                <c:formatCode>0.0%</c:formatCode>
                <c:ptCount val="13"/>
                <c:pt idx="0">
                  <c:v>0.25952183161906872</c:v>
                </c:pt>
                <c:pt idx="1">
                  <c:v>0.23465392837812737</c:v>
                </c:pt>
                <c:pt idx="2">
                  <c:v>0.23864537357795731</c:v>
                </c:pt>
                <c:pt idx="3">
                  <c:v>0.24124403481729706</c:v>
                </c:pt>
                <c:pt idx="4">
                  <c:v>0.24507261342507913</c:v>
                </c:pt>
                <c:pt idx="5">
                  <c:v>0.24900399312636196</c:v>
                </c:pt>
                <c:pt idx="6">
                  <c:v>0.25517840655931306</c:v>
                </c:pt>
                <c:pt idx="7">
                  <c:v>0.25940830108359331</c:v>
                </c:pt>
                <c:pt idx="8">
                  <c:v>0.25887480099200527</c:v>
                </c:pt>
                <c:pt idx="9">
                  <c:v>0.25889237285841382</c:v>
                </c:pt>
                <c:pt idx="10">
                  <c:v>0.2616462077113168</c:v>
                </c:pt>
                <c:pt idx="11">
                  <c:v>0.26334241036082789</c:v>
                </c:pt>
                <c:pt idx="12">
                  <c:v>0.24600000000000005</c:v>
                </c:pt>
              </c:numCache>
            </c:numRef>
          </c:val>
          <c:extLst xmlns:c16r2="http://schemas.microsoft.com/office/drawing/2015/06/chart">
            <c:ext xmlns:c16="http://schemas.microsoft.com/office/drawing/2014/chart" uri="{C3380CC4-5D6E-409C-BE32-E72D297353CC}">
              <c16:uniqueId val="{00000000-CF6A-4277-B0EE-B7417ABCC28F}"/>
            </c:ext>
          </c:extLst>
        </c:ser>
        <c:dLbls>
          <c:showVal val="1"/>
        </c:dLbls>
        <c:gapWidth val="80"/>
        <c:overlap val="25"/>
        <c:axId val="163052928"/>
        <c:axId val="162923648"/>
      </c:barChart>
      <c:catAx>
        <c:axId val="163052928"/>
        <c:scaling>
          <c:orientation val="minMax"/>
        </c:scaling>
        <c:axPos val="b"/>
        <c:numFmt formatCode="General" sourceLinked="1"/>
        <c:maj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mn-lt"/>
                <a:ea typeface="+mn-ea"/>
                <a:cs typeface="+mn-cs"/>
              </a:defRPr>
            </a:pPr>
            <a:endParaRPr lang="en-US"/>
          </a:p>
        </c:txPr>
        <c:crossAx val="162923648"/>
        <c:crosses val="autoZero"/>
        <c:auto val="1"/>
        <c:lblAlgn val="ctr"/>
        <c:lblOffset val="100"/>
      </c:catAx>
      <c:valAx>
        <c:axId val="162923648"/>
        <c:scaling>
          <c:orientation val="minMax"/>
        </c:scaling>
        <c:axPos val="l"/>
        <c:majorGridlines>
          <c:spPr>
            <a:ln w="9525" cap="flat" cmpd="sng" algn="ctr">
              <a:solidFill>
                <a:schemeClr val="tx1">
                  <a:lumMod val="5000"/>
                  <a:lumOff val="9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mn-lt"/>
                <a:ea typeface="+mn-ea"/>
                <a:cs typeface="+mn-cs"/>
              </a:defRPr>
            </a:pPr>
            <a:endParaRPr lang="en-US"/>
          </a:p>
        </c:txPr>
        <c:crossAx val="163052928"/>
        <c:crosses val="autoZero"/>
        <c:crossBetween val="between"/>
      </c:valAx>
      <c:spPr>
        <a:solidFill>
          <a:sysClr val="window" lastClr="FFFFFF"/>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'Fig 1.5'!$C$28</c:f>
              <c:strCache>
                <c:ptCount val="1"/>
                <c:pt idx="0">
                  <c:v>Personal income tax</c:v>
                </c:pt>
              </c:strCache>
            </c:strRef>
          </c:tx>
          <c:spPr>
            <a:ln w="19050" cap="flat">
              <a:solidFill>
                <a:srgbClr val="51D03C"/>
              </a:solidFill>
              <a:round/>
            </a:ln>
            <a:effectLst/>
          </c:spPr>
          <c:marker>
            <c:symbol val="none"/>
          </c:marker>
          <c:cat>
            <c:strRef>
              <c:f>'Fig 1.5'!$B$39:$B$55</c:f>
              <c:strCache>
                <c:ptCount val="17"/>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strCache>
            </c:strRef>
          </c:cat>
          <c:val>
            <c:numRef>
              <c:f>'Fig 1.5'!$C$39:$C$55</c:f>
              <c:numCache>
                <c:formatCode>0.0%</c:formatCode>
                <c:ptCount val="17"/>
                <c:pt idx="0">
                  <c:v>7.6590993223005915E-2</c:v>
                </c:pt>
                <c:pt idx="1">
                  <c:v>7.7856248435381581E-2</c:v>
                </c:pt>
                <c:pt idx="2">
                  <c:v>7.6702959957179434E-2</c:v>
                </c:pt>
                <c:pt idx="3">
                  <c:v>7.0387339620464451E-2</c:v>
                </c:pt>
                <c:pt idx="4">
                  <c:v>7.6846027662708274E-2</c:v>
                </c:pt>
                <c:pt idx="5">
                  <c:v>8.0928230634100679E-2</c:v>
                </c:pt>
                <c:pt idx="6">
                  <c:v>8.0740792893010296E-2</c:v>
                </c:pt>
                <c:pt idx="7">
                  <c:v>8.1645584641698854E-2</c:v>
                </c:pt>
                <c:pt idx="8">
                  <c:v>8.331800250697699E-2</c:v>
                </c:pt>
                <c:pt idx="9">
                  <c:v>8.6023660424518755E-2</c:v>
                </c:pt>
                <c:pt idx="10">
                  <c:v>9.1567185828839201E-2</c:v>
                </c:pt>
                <c:pt idx="11">
                  <c:v>9.437759906453852E-2</c:v>
                </c:pt>
                <c:pt idx="12">
                  <c:v>9.6375177349533492E-2</c:v>
                </c:pt>
                <c:pt idx="13">
                  <c:v>9.8516768955740949E-2</c:v>
                </c:pt>
                <c:pt idx="14">
                  <c:v>0.10034123377076354</c:v>
                </c:pt>
                <c:pt idx="15">
                  <c:v>0.10278580426292012</c:v>
                </c:pt>
                <c:pt idx="16">
                  <c:v>9.8000000000000032E-2</c:v>
                </c:pt>
              </c:numCache>
            </c:numRef>
          </c:val>
          <c:extLst xmlns:c16r2="http://schemas.microsoft.com/office/drawing/2015/06/chart">
            <c:ext xmlns:c16="http://schemas.microsoft.com/office/drawing/2014/chart" uri="{C3380CC4-5D6E-409C-BE32-E72D297353CC}">
              <c16:uniqueId val="{00000000-7298-4F43-9495-64E30F16D3BF}"/>
            </c:ext>
          </c:extLst>
        </c:ser>
        <c:ser>
          <c:idx val="1"/>
          <c:order val="1"/>
          <c:tx>
            <c:strRef>
              <c:f>'Fig 1.5'!$D$28</c:f>
              <c:strCache>
                <c:ptCount val="1"/>
                <c:pt idx="0">
                  <c:v>Corporate income tax</c:v>
                </c:pt>
              </c:strCache>
            </c:strRef>
          </c:tx>
          <c:spPr>
            <a:ln w="19050" cap="flat">
              <a:solidFill>
                <a:schemeClr val="accent3">
                  <a:lumMod val="50000"/>
                </a:schemeClr>
              </a:solidFill>
              <a:round/>
            </a:ln>
            <a:effectLst/>
          </c:spPr>
          <c:marker>
            <c:symbol val="none"/>
          </c:marker>
          <c:cat>
            <c:strRef>
              <c:f>'Fig 1.5'!$B$39:$B$55</c:f>
              <c:strCache>
                <c:ptCount val="17"/>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strCache>
            </c:strRef>
          </c:cat>
          <c:val>
            <c:numRef>
              <c:f>'Fig 1.5'!$D$39:$D$55</c:f>
              <c:numCache>
                <c:formatCode>0.0%</c:formatCode>
                <c:ptCount val="17"/>
                <c:pt idx="0">
                  <c:v>4.8848098024871979E-2</c:v>
                </c:pt>
                <c:pt idx="1">
                  <c:v>5.3389599284179315E-2</c:v>
                </c:pt>
                <c:pt idx="2">
                  <c:v>6.492851612565291E-2</c:v>
                </c:pt>
                <c:pt idx="3">
                  <c:v>5.880255627667072E-2</c:v>
                </c:pt>
                <c:pt idx="4">
                  <c:v>6.5532496560399514E-2</c:v>
                </c:pt>
                <c:pt idx="5">
                  <c:v>5.3686516654375696E-2</c:v>
                </c:pt>
                <c:pt idx="6">
                  <c:v>4.7657730741056281E-2</c:v>
                </c:pt>
                <c:pt idx="7">
                  <c:v>4.978928585506931E-2</c:v>
                </c:pt>
                <c:pt idx="8">
                  <c:v>4.8451588017585007E-2</c:v>
                </c:pt>
                <c:pt idx="9">
                  <c:v>4.966721787208208E-2</c:v>
                </c:pt>
                <c:pt idx="10">
                  <c:v>4.8283515336311103E-2</c:v>
                </c:pt>
                <c:pt idx="11">
                  <c:v>4.6884644164429862E-2</c:v>
                </c:pt>
                <c:pt idx="12">
                  <c:v>4.6844716263428121E-2</c:v>
                </c:pt>
                <c:pt idx="13">
                  <c:v>4.6871989852989591E-2</c:v>
                </c:pt>
                <c:pt idx="14">
                  <c:v>4.3561645526545394E-2</c:v>
                </c:pt>
                <c:pt idx="15">
                  <c:v>4.1758629858871944E-2</c:v>
                </c:pt>
                <c:pt idx="16">
                  <c:v>3.7999999999999999E-2</c:v>
                </c:pt>
              </c:numCache>
            </c:numRef>
          </c:val>
          <c:extLst xmlns:c16r2="http://schemas.microsoft.com/office/drawing/2015/06/chart">
            <c:ext xmlns:c16="http://schemas.microsoft.com/office/drawing/2014/chart" uri="{C3380CC4-5D6E-409C-BE32-E72D297353CC}">
              <c16:uniqueId val="{00000001-7298-4F43-9495-64E30F16D3BF}"/>
            </c:ext>
          </c:extLst>
        </c:ser>
        <c:ser>
          <c:idx val="2"/>
          <c:order val="2"/>
          <c:tx>
            <c:strRef>
              <c:f>'Fig 1.5'!$E$28</c:f>
              <c:strCache>
                <c:ptCount val="1"/>
                <c:pt idx="0">
                  <c:v>Value added tax </c:v>
                </c:pt>
              </c:strCache>
            </c:strRef>
          </c:tx>
          <c:spPr>
            <a:ln w="28575" cap="rnd">
              <a:solidFill>
                <a:schemeClr val="accent3"/>
              </a:solidFill>
              <a:round/>
            </a:ln>
            <a:effectLst/>
          </c:spPr>
          <c:marker>
            <c:symbol val="none"/>
          </c:marker>
          <c:cat>
            <c:strRef>
              <c:f>'Fig 1.5'!$B$39:$B$55</c:f>
              <c:strCache>
                <c:ptCount val="17"/>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strCache>
            </c:strRef>
          </c:cat>
          <c:val>
            <c:numRef>
              <c:f>'Fig 1.5'!$E$39:$E$55</c:f>
              <c:numCache>
                <c:formatCode>0.0%</c:formatCode>
                <c:ptCount val="17"/>
                <c:pt idx="0">
                  <c:v>6.7740869691239602E-2</c:v>
                </c:pt>
                <c:pt idx="1">
                  <c:v>7.0858091277050853E-2</c:v>
                </c:pt>
                <c:pt idx="2">
                  <c:v>7.3366059332275912E-2</c:v>
                </c:pt>
                <c:pt idx="3">
                  <c:v>6.2459116214421732E-2</c:v>
                </c:pt>
                <c:pt idx="4">
                  <c:v>6.0492551092938905E-2</c:v>
                </c:pt>
                <c:pt idx="5">
                  <c:v>5.7983458787704487E-2</c:v>
                </c:pt>
                <c:pt idx="6">
                  <c:v>6.4980079984709463E-2</c:v>
                </c:pt>
                <c:pt idx="7">
                  <c:v>6.2051439083348939E-2</c:v>
                </c:pt>
                <c:pt idx="8">
                  <c:v>6.4751272586957273E-2</c:v>
                </c:pt>
                <c:pt idx="9">
                  <c:v>6.5754399152292239E-2</c:v>
                </c:pt>
                <c:pt idx="10">
                  <c:v>6.760328941368364E-2</c:v>
                </c:pt>
                <c:pt idx="11">
                  <c:v>6.8153103871418291E-2</c:v>
                </c:pt>
                <c:pt idx="12">
                  <c:v>6.5430663219511076E-2</c:v>
                </c:pt>
                <c:pt idx="13">
                  <c:v>6.3420956367232259E-2</c:v>
                </c:pt>
                <c:pt idx="14">
                  <c:v>6.5989306885183674E-2</c:v>
                </c:pt>
                <c:pt idx="15">
                  <c:v>6.7354395168904235E-2</c:v>
                </c:pt>
                <c:pt idx="16">
                  <c:v>6.6000000000000003E-2</c:v>
                </c:pt>
              </c:numCache>
            </c:numRef>
          </c:val>
          <c:extLst xmlns:c16r2="http://schemas.microsoft.com/office/drawing/2015/06/chart">
            <c:ext xmlns:c16="http://schemas.microsoft.com/office/drawing/2014/chart" uri="{C3380CC4-5D6E-409C-BE32-E72D297353CC}">
              <c16:uniqueId val="{00000002-7298-4F43-9495-64E30F16D3BF}"/>
            </c:ext>
          </c:extLst>
        </c:ser>
        <c:marker val="1"/>
        <c:axId val="161440896"/>
        <c:axId val="161442432"/>
      </c:lineChart>
      <c:catAx>
        <c:axId val="161440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1442432"/>
        <c:crosses val="autoZero"/>
        <c:auto val="1"/>
        <c:lblAlgn val="ctr"/>
        <c:lblOffset val="100"/>
      </c:catAx>
      <c:valAx>
        <c:axId val="16144243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1440896"/>
        <c:crosses val="autoZero"/>
        <c:crossBetween val="between"/>
      </c:valAx>
      <c:spPr>
        <a:solidFill>
          <a:sysClr val="window" lastClr="FFFFFF"/>
        </a:solid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ZA"/>
  <c:chart>
    <c:autoTitleDeleted val="1"/>
    <c:plotArea>
      <c:layout/>
      <c:lineChart>
        <c:grouping val="standard"/>
        <c:ser>
          <c:idx val="0"/>
          <c:order val="0"/>
          <c:tx>
            <c:strRef>
              <c:f>'Sheet6 (2)'!$B$4</c:f>
              <c:strCache>
                <c:ptCount val="1"/>
                <c:pt idx="0">
                  <c:v>Revenue (2021 Budget Review)</c:v>
                </c:pt>
              </c:strCache>
            </c:strRef>
          </c:tx>
          <c:spPr>
            <a:ln w="19050" cap="rnd">
              <a:solidFill>
                <a:srgbClr val="00B050"/>
              </a:solidFill>
              <a:round/>
            </a:ln>
            <a:effectLst/>
          </c:spPr>
          <c:marker>
            <c:symbol val="none"/>
          </c:marker>
          <c:cat>
            <c:strRef>
              <c:f>'Sheet6 (2)'!$C$2:$I$2</c:f>
              <c:strCache>
                <c:ptCount val="7"/>
                <c:pt idx="0">
                  <c:v>2017/18</c:v>
                </c:pt>
                <c:pt idx="1">
                  <c:v>2018/19</c:v>
                </c:pt>
                <c:pt idx="2">
                  <c:v>2019/20</c:v>
                </c:pt>
                <c:pt idx="3">
                  <c:v>2020/21</c:v>
                </c:pt>
                <c:pt idx="4">
                  <c:v>2021/22</c:v>
                </c:pt>
                <c:pt idx="5">
                  <c:v>2022/23</c:v>
                </c:pt>
                <c:pt idx="6">
                  <c:v>2023/24</c:v>
                </c:pt>
              </c:strCache>
            </c:strRef>
          </c:cat>
          <c:val>
            <c:numRef>
              <c:f>'Sheet6 (2)'!$C$4:$I$4</c:f>
              <c:numCache>
                <c:formatCode>_(* #\ ##0.0_);_*\ \-#\ ##0.0_);_(* "–"_);_(@_)</c:formatCode>
                <c:ptCount val="7"/>
                <c:pt idx="0">
                  <c:v>1196.3619999999999</c:v>
                </c:pt>
                <c:pt idx="1">
                  <c:v>1275.271</c:v>
                </c:pt>
                <c:pt idx="2">
                  <c:v>1345.87</c:v>
                </c:pt>
                <c:pt idx="3">
                  <c:v>1200.7860000000001</c:v>
                </c:pt>
                <c:pt idx="4">
                  <c:v>1351.6719999999998</c:v>
                </c:pt>
                <c:pt idx="5">
                  <c:v>1453.6689999999999</c:v>
                </c:pt>
                <c:pt idx="6">
                  <c:v>1522.0350000000001</c:v>
                </c:pt>
              </c:numCache>
            </c:numRef>
          </c:val>
          <c:extLst xmlns:c16r2="http://schemas.microsoft.com/office/drawing/2015/06/chart">
            <c:ext xmlns:c16="http://schemas.microsoft.com/office/drawing/2014/chart" uri="{C3380CC4-5D6E-409C-BE32-E72D297353CC}">
              <c16:uniqueId val="{00000000-1EED-47D6-AD14-C9B60E3FF1EC}"/>
            </c:ext>
          </c:extLst>
        </c:ser>
        <c:ser>
          <c:idx val="1"/>
          <c:order val="1"/>
          <c:tx>
            <c:strRef>
              <c:f>'Sheet6 (2)'!$B$5</c:f>
              <c:strCache>
                <c:ptCount val="1"/>
                <c:pt idx="0">
                  <c:v>Revenue (2021 MTBPS)</c:v>
                </c:pt>
              </c:strCache>
            </c:strRef>
          </c:tx>
          <c:spPr>
            <a:ln w="19050" cap="rnd">
              <a:solidFill>
                <a:srgbClr val="00B050"/>
              </a:solidFill>
              <a:prstDash val="dash"/>
              <a:round/>
            </a:ln>
            <a:effectLst/>
          </c:spPr>
          <c:marker>
            <c:symbol val="square"/>
            <c:size val="5"/>
            <c:spPr>
              <a:solidFill>
                <a:srgbClr val="00B050"/>
              </a:solidFill>
              <a:ln w="9525">
                <a:solidFill>
                  <a:srgbClr val="00B050"/>
                </a:solidFill>
              </a:ln>
              <a:effectLst/>
            </c:spPr>
          </c:marker>
          <c:cat>
            <c:strRef>
              <c:f>'Sheet6 (2)'!$C$2:$I$2</c:f>
              <c:strCache>
                <c:ptCount val="7"/>
                <c:pt idx="0">
                  <c:v>2017/18</c:v>
                </c:pt>
                <c:pt idx="1">
                  <c:v>2018/19</c:v>
                </c:pt>
                <c:pt idx="2">
                  <c:v>2019/20</c:v>
                </c:pt>
                <c:pt idx="3">
                  <c:v>2020/21</c:v>
                </c:pt>
                <c:pt idx="4">
                  <c:v>2021/22</c:v>
                </c:pt>
                <c:pt idx="5">
                  <c:v>2022/23</c:v>
                </c:pt>
                <c:pt idx="6">
                  <c:v>2023/24</c:v>
                </c:pt>
              </c:strCache>
            </c:strRef>
          </c:cat>
          <c:val>
            <c:numRef>
              <c:f>'Sheet6 (2)'!$C$5:$I$5</c:f>
              <c:numCache>
                <c:formatCode>General</c:formatCode>
                <c:ptCount val="7"/>
                <c:pt idx="3" formatCode="_(* #\ ##0.0_);_*\ \-#\ ##0.0_);_(* &quot;–&quot;_);_(@_)">
                  <c:v>1238.3689999999999</c:v>
                </c:pt>
                <c:pt idx="4" formatCode="_(* #\ ##0.0_);_*\ \-#\ ##0.0_);_(* &quot;–&quot;_);_(@_)">
                  <c:v>1483.201</c:v>
                </c:pt>
                <c:pt idx="5" formatCode="_(* #\ ##0.0_);_*\ \-#\ ##0.0_);_(* &quot;–&quot;_);_(@_)">
                  <c:v>1517.5419999999999</c:v>
                </c:pt>
                <c:pt idx="6" formatCode="_(* #\ ##0.0_);_*\ \-#\ ##0.0_);_(* &quot;–&quot;_);_(@_)">
                  <c:v>1581.29</c:v>
                </c:pt>
              </c:numCache>
            </c:numRef>
          </c:val>
          <c:extLst xmlns:c16r2="http://schemas.microsoft.com/office/drawing/2015/06/chart">
            <c:ext xmlns:c16="http://schemas.microsoft.com/office/drawing/2014/chart" uri="{C3380CC4-5D6E-409C-BE32-E72D297353CC}">
              <c16:uniqueId val="{00000001-1EED-47D6-AD14-C9B60E3FF1EC}"/>
            </c:ext>
          </c:extLst>
        </c:ser>
        <c:ser>
          <c:idx val="2"/>
          <c:order val="2"/>
          <c:tx>
            <c:strRef>
              <c:f>'Sheet6 (2)'!$B$6</c:f>
              <c:strCache>
                <c:ptCount val="1"/>
                <c:pt idx="0">
                  <c:v>Expenditure (2021 Budget Review)</c:v>
                </c:pt>
              </c:strCache>
            </c:strRef>
          </c:tx>
          <c:spPr>
            <a:ln w="19050" cap="rnd">
              <a:solidFill>
                <a:srgbClr val="C00000"/>
              </a:solidFill>
              <a:round/>
            </a:ln>
            <a:effectLst/>
          </c:spPr>
          <c:marker>
            <c:symbol val="none"/>
          </c:marker>
          <c:cat>
            <c:strRef>
              <c:f>'Sheet6 (2)'!$C$2:$I$2</c:f>
              <c:strCache>
                <c:ptCount val="7"/>
                <c:pt idx="0">
                  <c:v>2017/18</c:v>
                </c:pt>
                <c:pt idx="1">
                  <c:v>2018/19</c:v>
                </c:pt>
                <c:pt idx="2">
                  <c:v>2019/20</c:v>
                </c:pt>
                <c:pt idx="3">
                  <c:v>2020/21</c:v>
                </c:pt>
                <c:pt idx="4">
                  <c:v>2021/22</c:v>
                </c:pt>
                <c:pt idx="5">
                  <c:v>2022/23</c:v>
                </c:pt>
                <c:pt idx="6">
                  <c:v>2023/24</c:v>
                </c:pt>
              </c:strCache>
            </c:strRef>
          </c:cat>
          <c:val>
            <c:numRef>
              <c:f>'Sheet6 (2)'!$C$6:$I$6</c:f>
              <c:numCache>
                <c:formatCode>_(* #\ ##0.0_);_*\ \-#\ ##0.0_);_(* "–"_);_(@_)</c:formatCode>
                <c:ptCount val="7"/>
                <c:pt idx="0">
                  <c:v>1404.94</c:v>
                </c:pt>
                <c:pt idx="1">
                  <c:v>1506.605</c:v>
                </c:pt>
                <c:pt idx="2">
                  <c:v>1690.923</c:v>
                </c:pt>
                <c:pt idx="3">
                  <c:v>1804.1739999999998</c:v>
                </c:pt>
                <c:pt idx="4">
                  <c:v>1834.252</c:v>
                </c:pt>
                <c:pt idx="5">
                  <c:v>1870.8329999999999</c:v>
                </c:pt>
                <c:pt idx="6">
                  <c:v>1911.046</c:v>
                </c:pt>
              </c:numCache>
            </c:numRef>
          </c:val>
          <c:extLst xmlns:c16r2="http://schemas.microsoft.com/office/drawing/2015/06/chart">
            <c:ext xmlns:c16="http://schemas.microsoft.com/office/drawing/2014/chart" uri="{C3380CC4-5D6E-409C-BE32-E72D297353CC}">
              <c16:uniqueId val="{00000002-1EED-47D6-AD14-C9B60E3FF1EC}"/>
            </c:ext>
          </c:extLst>
        </c:ser>
        <c:ser>
          <c:idx val="3"/>
          <c:order val="3"/>
          <c:tx>
            <c:strRef>
              <c:f>'Sheet6 (2)'!$B$7</c:f>
              <c:strCache>
                <c:ptCount val="1"/>
                <c:pt idx="0">
                  <c:v>Expenditure (2021 MTBPS)</c:v>
                </c:pt>
              </c:strCache>
            </c:strRef>
          </c:tx>
          <c:spPr>
            <a:ln w="19050" cap="rnd">
              <a:solidFill>
                <a:srgbClr val="C00000"/>
              </a:solidFill>
              <a:prstDash val="dash"/>
              <a:round/>
            </a:ln>
            <a:effectLst/>
          </c:spPr>
          <c:marker>
            <c:symbol val="square"/>
            <c:size val="5"/>
            <c:spPr>
              <a:solidFill>
                <a:srgbClr val="C00000"/>
              </a:solidFill>
              <a:ln w="9525">
                <a:solidFill>
                  <a:srgbClr val="C00000"/>
                </a:solidFill>
              </a:ln>
              <a:effectLst/>
            </c:spPr>
          </c:marker>
          <c:cat>
            <c:strRef>
              <c:f>'Sheet6 (2)'!$C$2:$I$2</c:f>
              <c:strCache>
                <c:ptCount val="7"/>
                <c:pt idx="0">
                  <c:v>2017/18</c:v>
                </c:pt>
                <c:pt idx="1">
                  <c:v>2018/19</c:v>
                </c:pt>
                <c:pt idx="2">
                  <c:v>2019/20</c:v>
                </c:pt>
                <c:pt idx="3">
                  <c:v>2020/21</c:v>
                </c:pt>
                <c:pt idx="4">
                  <c:v>2021/22</c:v>
                </c:pt>
                <c:pt idx="5">
                  <c:v>2022/23</c:v>
                </c:pt>
                <c:pt idx="6">
                  <c:v>2023/24</c:v>
                </c:pt>
              </c:strCache>
            </c:strRef>
          </c:cat>
          <c:val>
            <c:numRef>
              <c:f>'Sheet6 (2)'!$C$7:$I$7</c:f>
              <c:numCache>
                <c:formatCode>General</c:formatCode>
                <c:ptCount val="7"/>
                <c:pt idx="3" formatCode="_(* #\ ##0.0_);_*\ \-#\ ##0.0_);_(* &quot;–&quot;_);_(@_)">
                  <c:v>1788.9960000000001</c:v>
                </c:pt>
                <c:pt idx="4" formatCode="_(* #\ ##0.0_);_*\ \-#\ ##0.0_);_(* &quot;–&quot;_);_(@_)">
                  <c:v>1893.1029999999998</c:v>
                </c:pt>
                <c:pt idx="5" formatCode="_(* #\ ##0.0_);_*\ \-#\ ##0.0_);_(* &quot;–&quot;_);_(@_)">
                  <c:v>1897.8979999999999</c:v>
                </c:pt>
                <c:pt idx="6" formatCode="_(* #\ ##0.0_);_*\ \-#\ ##0.0_);_(* &quot;–&quot;_);_(@_)">
                  <c:v>1936.6569999999999</c:v>
                </c:pt>
              </c:numCache>
            </c:numRef>
          </c:val>
          <c:extLst xmlns:c16r2="http://schemas.microsoft.com/office/drawing/2015/06/chart">
            <c:ext xmlns:c16="http://schemas.microsoft.com/office/drawing/2014/chart" uri="{C3380CC4-5D6E-409C-BE32-E72D297353CC}">
              <c16:uniqueId val="{00000003-1EED-47D6-AD14-C9B60E3FF1EC}"/>
            </c:ext>
          </c:extLst>
        </c:ser>
        <c:marker val="1"/>
        <c:axId val="176689152"/>
        <c:axId val="176690688"/>
      </c:lineChart>
      <c:catAx>
        <c:axId val="176689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690688"/>
        <c:crosses val="autoZero"/>
        <c:auto val="1"/>
        <c:lblAlgn val="ctr"/>
        <c:lblOffset val="100"/>
      </c:catAx>
      <c:valAx>
        <c:axId val="176690688"/>
        <c:scaling>
          <c:orientation val="minMax"/>
          <c:min val="1000"/>
        </c:scaling>
        <c:axPos val="l"/>
        <c:majorGridlines>
          <c:spPr>
            <a:ln w="9525" cap="flat" cmpd="sng" algn="ctr">
              <a:solidFill>
                <a:schemeClr val="tx1">
                  <a:lumMod val="15000"/>
                  <a:lumOff val="85000"/>
                </a:schemeClr>
              </a:solidFill>
              <a:round/>
            </a:ln>
            <a:effectLst/>
          </c:spPr>
        </c:majorGridlines>
        <c:numFmt formatCode="_(* #\ ##0.0_);_*\ \-#\ ##0.0_);_(* &quot;–&quot;_);_(@_)"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689152"/>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000">
          <a:latin typeface="+mn-lt"/>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0.06637</cdr:x>
      <cdr:y>0.23663</cdr:y>
    </cdr:from>
    <cdr:to>
      <cdr:x>0.95726</cdr:x>
      <cdr:y>0.23868</cdr:y>
    </cdr:to>
    <cdr:cxnSp macro="">
      <cdr:nvCxnSpPr>
        <cdr:cNvPr id="4" name="Straight Connector 3">
          <a:extLst xmlns:a="http://schemas.openxmlformats.org/drawingml/2006/main">
            <a:ext uri="{FF2B5EF4-FFF2-40B4-BE49-F238E27FC236}">
              <a16:creationId xmlns="" xmlns:a16="http://schemas.microsoft.com/office/drawing/2014/main" id="{78BAD301-1449-4058-A7B7-366CEEB21274}"/>
            </a:ext>
          </a:extLst>
        </cdr:cNvPr>
        <cdr:cNvCxnSpPr/>
      </cdr:nvCxnSpPr>
      <cdr:spPr>
        <a:xfrm xmlns:a="http://schemas.openxmlformats.org/drawingml/2006/main">
          <a:off x="449580" y="876300"/>
          <a:ext cx="6035040" cy="7620"/>
        </a:xfrm>
        <a:prstGeom xmlns:a="http://schemas.openxmlformats.org/drawingml/2006/main" prst="line">
          <a:avLst/>
        </a:prstGeom>
        <a:ln xmlns:a="http://schemas.openxmlformats.org/drawingml/2006/main" w="2222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0.1676</cdr:x>
      <cdr:y>0.03292</cdr:y>
    </cdr:from>
    <cdr:to>
      <cdr:x>0.33183</cdr:x>
      <cdr:y>0.21193</cdr:y>
    </cdr:to>
    <cdr:sp macro="" textlink="">
      <cdr:nvSpPr>
        <cdr:cNvPr id="7" name="Speech Bubble: Oval 6">
          <a:extLst xmlns:a="http://schemas.openxmlformats.org/drawingml/2006/main">
            <a:ext uri="{FF2B5EF4-FFF2-40B4-BE49-F238E27FC236}">
              <a16:creationId xmlns="" xmlns:a16="http://schemas.microsoft.com/office/drawing/2014/main" id="{172849BA-5FC4-4DCB-A479-D6D044492DD5}"/>
            </a:ext>
          </a:extLst>
        </cdr:cNvPr>
        <cdr:cNvSpPr/>
      </cdr:nvSpPr>
      <cdr:spPr>
        <a:xfrm xmlns:a="http://schemas.openxmlformats.org/drawingml/2006/main">
          <a:off x="1135380" y="121920"/>
          <a:ext cx="1112520" cy="662940"/>
        </a:xfrm>
        <a:prstGeom xmlns:a="http://schemas.openxmlformats.org/drawingml/2006/main" prst="wedgeEllipseCallou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b="1">
              <a:latin typeface="Times New Roman" panose="02020603050405020304" pitchFamily="18" charset="0"/>
              <a:cs typeface="Times New Roman" panose="02020603050405020304" pitchFamily="18" charset="0"/>
            </a:rPr>
            <a:t>SARB Midpoint</a:t>
          </a:r>
          <a:r>
            <a:rPr lang="en-US" sz="800" b="1" baseline="0">
              <a:latin typeface="Times New Roman" panose="02020603050405020304" pitchFamily="18" charset="0"/>
              <a:cs typeface="Times New Roman" panose="02020603050405020304" pitchFamily="18" charset="0"/>
            </a:rPr>
            <a:t> of 4,5%</a:t>
          </a:r>
          <a:endParaRPr lang="en-US" sz="8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0.79426</cdr:x>
      <cdr:y>0.1219</cdr:y>
    </cdr:from>
    <cdr:to>
      <cdr:x>0.85632</cdr:x>
      <cdr:y>0.29647</cdr:y>
    </cdr:to>
    <cdr:sp macro="" textlink="">
      <cdr:nvSpPr>
        <cdr:cNvPr id="2" name="Arrow: Down 1">
          <a:extLst xmlns:a="http://schemas.openxmlformats.org/drawingml/2006/main">
            <a:ext uri="{FF2B5EF4-FFF2-40B4-BE49-F238E27FC236}">
              <a16:creationId xmlns="" xmlns:a16="http://schemas.microsoft.com/office/drawing/2014/main" id="{1CCA61D4-6901-4237-AB7C-259DDD604052}"/>
            </a:ext>
          </a:extLst>
        </cdr:cNvPr>
        <cdr:cNvSpPr/>
      </cdr:nvSpPr>
      <cdr:spPr>
        <a:xfrm xmlns:a="http://schemas.openxmlformats.org/drawingml/2006/main">
          <a:off x="3700435" y="287963"/>
          <a:ext cx="289158" cy="412355"/>
        </a:xfrm>
        <a:prstGeom xmlns:a="http://schemas.openxmlformats.org/drawingml/2006/main" prst="downArrow">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0.46571</cdr:x>
      <cdr:y>0.78802</cdr:y>
    </cdr:from>
    <cdr:to>
      <cdr:x>0.49767</cdr:x>
      <cdr:y>0.89851</cdr:y>
    </cdr:to>
    <cdr:sp macro="" textlink="">
      <cdr:nvSpPr>
        <cdr:cNvPr id="3" name="Arrow: Up 2">
          <a:extLst xmlns:a="http://schemas.openxmlformats.org/drawingml/2006/main">
            <a:ext uri="{FF2B5EF4-FFF2-40B4-BE49-F238E27FC236}">
              <a16:creationId xmlns="" xmlns:a16="http://schemas.microsoft.com/office/drawing/2014/main" id="{27C8AD64-B195-4E23-8D3E-142F845A6ACF}"/>
            </a:ext>
          </a:extLst>
        </cdr:cNvPr>
        <cdr:cNvSpPr/>
      </cdr:nvSpPr>
      <cdr:spPr>
        <a:xfrm xmlns:a="http://schemas.openxmlformats.org/drawingml/2006/main">
          <a:off x="2169732" y="1861457"/>
          <a:ext cx="148926" cy="261015"/>
        </a:xfrm>
        <a:prstGeom xmlns:a="http://schemas.openxmlformats.org/drawingml/2006/main" prst="up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FA089-4844-423C-9356-913D48AB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10175</Words>
  <Characters>57998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Financial and Fiscal Commission: Response to the Medium Term Budget Policy Statement 2010</vt:lpstr>
    </vt:vector>
  </TitlesOfParts>
  <Company>HP</Company>
  <LinksUpToDate>false</LinksUpToDate>
  <CharactersWithSpaces>68037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and Fiscal Commission: Response to the Medium Term Budget Policy Statement 2010</dc:title>
  <dc:creator>Ramos Mabugu;Sasha Peters</dc:creator>
  <cp:lastModifiedBy>USER</cp:lastModifiedBy>
  <cp:revision>2</cp:revision>
  <cp:lastPrinted>2019-10-03T13:34:00Z</cp:lastPrinted>
  <dcterms:created xsi:type="dcterms:W3CDTF">2021-11-16T15:01:00Z</dcterms:created>
  <dcterms:modified xsi:type="dcterms:W3CDTF">2021-11-16T15:01:00Z</dcterms:modified>
</cp:coreProperties>
</file>