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32" w:rsidRPr="00B57F32" w:rsidRDefault="00B57F32" w:rsidP="0071072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57F32">
        <w:rPr>
          <w:rFonts w:ascii="Arial" w:hAnsi="Arial" w:cs="Arial"/>
          <w:b/>
        </w:rPr>
        <w:t xml:space="preserve">SUMMARY OF COMMENTS: </w:t>
      </w:r>
      <w:r w:rsidR="007A513D">
        <w:rPr>
          <w:rFonts w:ascii="Arial" w:hAnsi="Arial" w:cs="Arial"/>
          <w:b/>
        </w:rPr>
        <w:t>CRIMINAL PROCEDURE AMENDMENT BILL</w:t>
      </w:r>
    </w:p>
    <w:p w:rsidR="00B57F32" w:rsidRPr="00B57F32" w:rsidRDefault="007A513D" w:rsidP="00710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[B12</w:t>
      </w:r>
      <w:r w:rsidR="00B57F32" w:rsidRPr="00B57F3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B57F32" w:rsidRPr="00B57F32">
        <w:rPr>
          <w:rFonts w:ascii="Arial" w:hAnsi="Arial" w:cs="Arial"/>
          <w:b/>
        </w:rPr>
        <w:t>1]</w:t>
      </w:r>
    </w:p>
    <w:p w:rsidR="006C17D7" w:rsidRPr="00B57F32" w:rsidRDefault="00B57F32" w:rsidP="002F379E">
      <w:pPr>
        <w:jc w:val="both"/>
        <w:rPr>
          <w:rFonts w:ascii="Arial" w:hAnsi="Arial" w:cs="Arial"/>
        </w:rPr>
      </w:pPr>
      <w:r w:rsidRPr="00B57F32">
        <w:rPr>
          <w:rFonts w:ascii="Arial" w:hAnsi="Arial" w:cs="Arial"/>
        </w:rPr>
        <w:t xml:space="preserve">The table below contains a summary of submissions received from the </w:t>
      </w:r>
      <w:r w:rsidR="007A513D">
        <w:rPr>
          <w:rFonts w:ascii="Arial" w:hAnsi="Arial" w:cs="Arial"/>
        </w:rPr>
        <w:t>Portfolio Committee on Justice</w:t>
      </w:r>
      <w:r w:rsidRPr="00B57F32">
        <w:rPr>
          <w:rFonts w:ascii="Arial" w:hAnsi="Arial" w:cs="Arial"/>
        </w:rPr>
        <w:t>.</w:t>
      </w:r>
    </w:p>
    <w:tbl>
      <w:tblPr>
        <w:tblStyle w:val="TableGrid"/>
        <w:tblW w:w="10260" w:type="dxa"/>
        <w:tblInd w:w="-432" w:type="dxa"/>
        <w:tblLayout w:type="fixed"/>
        <w:tblLook w:val="04A0"/>
      </w:tblPr>
      <w:tblGrid>
        <w:gridCol w:w="1620"/>
        <w:gridCol w:w="1440"/>
        <w:gridCol w:w="4230"/>
        <w:gridCol w:w="2970"/>
      </w:tblGrid>
      <w:tr w:rsidR="00B57F32" w:rsidRPr="00B57F32" w:rsidTr="00AB034F">
        <w:tc>
          <w:tcPr>
            <w:tcW w:w="1620" w:type="dxa"/>
            <w:shd w:val="clear" w:color="auto" w:fill="A6A6A6" w:themeFill="background1" w:themeFillShade="A6"/>
          </w:tcPr>
          <w:p w:rsidR="00B57F32" w:rsidRPr="006C17D7" w:rsidRDefault="00B57F32" w:rsidP="002F379E">
            <w:pPr>
              <w:jc w:val="both"/>
              <w:rPr>
                <w:rFonts w:ascii="Arial" w:hAnsi="Arial" w:cs="Arial"/>
                <w:b/>
              </w:rPr>
            </w:pPr>
            <w:r w:rsidRPr="006C17D7">
              <w:rPr>
                <w:rFonts w:ascii="Arial" w:hAnsi="Arial" w:cs="Arial"/>
                <w:b/>
              </w:rPr>
              <w:t>CLAUSE/THEME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B57F32" w:rsidRPr="00B57F32" w:rsidRDefault="00B57F32" w:rsidP="002F379E">
            <w:pPr>
              <w:jc w:val="both"/>
              <w:rPr>
                <w:rFonts w:ascii="Arial" w:hAnsi="Arial" w:cs="Arial"/>
                <w:b/>
              </w:rPr>
            </w:pPr>
            <w:r w:rsidRPr="00B57F32">
              <w:rPr>
                <w:rFonts w:ascii="Arial" w:hAnsi="Arial" w:cs="Arial"/>
                <w:b/>
              </w:rPr>
              <w:t>COMMENTATOR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:rsidR="00B57F32" w:rsidRPr="00B57F32" w:rsidRDefault="00B57F32" w:rsidP="002F379E">
            <w:pPr>
              <w:jc w:val="both"/>
              <w:rPr>
                <w:rFonts w:ascii="Arial" w:hAnsi="Arial" w:cs="Arial"/>
                <w:b/>
              </w:rPr>
            </w:pPr>
            <w:r w:rsidRPr="00B57F32">
              <w:rPr>
                <w:rFonts w:ascii="Arial" w:hAnsi="Arial" w:cs="Arial"/>
                <w:b/>
              </w:rPr>
              <w:t>SUBMISSION/RECOMMENDATION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B57F32" w:rsidRPr="00B57F32" w:rsidRDefault="00B57F32" w:rsidP="002F379E">
            <w:pPr>
              <w:jc w:val="both"/>
              <w:rPr>
                <w:rFonts w:ascii="Arial" w:hAnsi="Arial" w:cs="Arial"/>
                <w:b/>
              </w:rPr>
            </w:pPr>
            <w:r w:rsidRPr="00B57F32">
              <w:rPr>
                <w:rFonts w:ascii="Arial" w:hAnsi="Arial" w:cs="Arial"/>
                <w:b/>
              </w:rPr>
              <w:t>RESPONSES BY THE DEPARTMENT</w:t>
            </w:r>
          </w:p>
        </w:tc>
      </w:tr>
      <w:tr w:rsidR="00B57F32" w:rsidTr="00AB034F">
        <w:tc>
          <w:tcPr>
            <w:tcW w:w="1620" w:type="dxa"/>
            <w:shd w:val="clear" w:color="auto" w:fill="A6A6A6" w:themeFill="background1" w:themeFillShade="A6"/>
          </w:tcPr>
          <w:p w:rsidR="00B57F32" w:rsidRDefault="007A513D" w:rsidP="002F37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15</w:t>
            </w:r>
            <w:r w:rsidR="002675FF">
              <w:rPr>
                <w:rFonts w:ascii="Arial" w:hAnsi="Arial" w:cs="Arial"/>
                <w:b/>
              </w:rPr>
              <w:t>4(3</w:t>
            </w:r>
            <w:r>
              <w:rPr>
                <w:rFonts w:ascii="Arial" w:hAnsi="Arial" w:cs="Arial"/>
                <w:b/>
              </w:rPr>
              <w:t>)</w:t>
            </w:r>
            <w:r w:rsidR="006A2E43">
              <w:rPr>
                <w:rFonts w:ascii="Arial" w:hAnsi="Arial" w:cs="Arial"/>
                <w:b/>
              </w:rPr>
              <w:t>-</w:t>
            </w:r>
            <w:r w:rsidR="002675FF">
              <w:rPr>
                <w:rFonts w:ascii="Arial" w:hAnsi="Arial" w:cs="Arial"/>
                <w:b/>
              </w:rPr>
              <w:t>The meaning of "p</w:t>
            </w:r>
            <w:r w:rsidR="006A2E43">
              <w:rPr>
                <w:rFonts w:ascii="Arial" w:hAnsi="Arial" w:cs="Arial"/>
                <w:b/>
              </w:rPr>
              <w:t>ublish</w:t>
            </w:r>
            <w:r w:rsidR="002675FF">
              <w:rPr>
                <w:rFonts w:ascii="Arial" w:hAnsi="Arial" w:cs="Arial"/>
                <w:b/>
              </w:rPr>
              <w:t>"</w:t>
            </w: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6A2E43" w:rsidRPr="006C17D7" w:rsidRDefault="006A2E43" w:rsidP="002F37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B57F32" w:rsidRDefault="007A513D" w:rsidP="007A513D">
            <w:pPr>
              <w:jc w:val="both"/>
              <w:rPr>
                <w:rFonts w:ascii="Arial" w:hAnsi="Arial" w:cs="Arial"/>
              </w:rPr>
            </w:pPr>
            <w:r w:rsidRPr="007A513D">
              <w:rPr>
                <w:rFonts w:ascii="Arial" w:hAnsi="Arial" w:cs="Arial"/>
              </w:rPr>
              <w:t>The Centre for Child Law</w:t>
            </w:r>
          </w:p>
        </w:tc>
        <w:tc>
          <w:tcPr>
            <w:tcW w:w="4230" w:type="dxa"/>
          </w:tcPr>
          <w:p w:rsidR="00DD15FF" w:rsidRDefault="00DD15FF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commentator is of the view that the proposed amendment to s</w:t>
            </w:r>
            <w:r w:rsidRPr="00DD15FF">
              <w:rPr>
                <w:rFonts w:ascii="Arial" w:hAnsi="Arial" w:cs="Arial"/>
              </w:rPr>
              <w:t xml:space="preserve">ection 154(3) of the CPA does not change the wording in so far as </w:t>
            </w:r>
            <w:r>
              <w:rPr>
                <w:rFonts w:ascii="Arial" w:hAnsi="Arial" w:cs="Arial"/>
              </w:rPr>
              <w:t>publication of the identity of the child</w:t>
            </w:r>
            <w:r w:rsidRPr="00DD15FF">
              <w:rPr>
                <w:rFonts w:ascii="Arial" w:hAnsi="Arial" w:cs="Arial"/>
              </w:rPr>
              <w:t xml:space="preserve"> is concerned. </w:t>
            </w:r>
            <w:r w:rsidR="0060481B">
              <w:rPr>
                <w:rFonts w:ascii="Arial" w:hAnsi="Arial" w:cs="Arial"/>
              </w:rPr>
              <w:t xml:space="preserve">Its </w:t>
            </w:r>
            <w:r w:rsidRPr="00DD15FF">
              <w:rPr>
                <w:rFonts w:ascii="Arial" w:hAnsi="Arial" w:cs="Arial"/>
              </w:rPr>
              <w:t>concern</w:t>
            </w:r>
            <w:r>
              <w:rPr>
                <w:rFonts w:ascii="Arial" w:hAnsi="Arial" w:cs="Arial"/>
              </w:rPr>
              <w:t xml:space="preserve"> is</w:t>
            </w:r>
            <w:r w:rsidRPr="00DD15FF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 xml:space="preserve">the </w:t>
            </w:r>
            <w:r w:rsidRPr="00DD15FF">
              <w:rPr>
                <w:rFonts w:ascii="Arial" w:hAnsi="Arial" w:cs="Arial"/>
              </w:rPr>
              <w:t>section might be construed by the public and some members of the media to refer only to traditional forms of media publications.</w:t>
            </w:r>
            <w:r>
              <w:rPr>
                <w:rFonts w:ascii="Arial" w:hAnsi="Arial" w:cs="Arial"/>
              </w:rPr>
              <w:t xml:space="preserve"> </w:t>
            </w:r>
          </w:p>
          <w:p w:rsidR="00DD15FF" w:rsidRDefault="00DD15FF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D15FF" w:rsidRDefault="00DD15FF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order to </w:t>
            </w:r>
            <w:r w:rsidR="0060481B" w:rsidRPr="0060481B">
              <w:rPr>
                <w:rFonts w:ascii="Arial" w:hAnsi="Arial" w:cs="Arial"/>
              </w:rPr>
              <w:t xml:space="preserve">provide clarity, minimize misinterpretations and avoid violations of rights of vulnerable groups </w:t>
            </w:r>
            <w:r>
              <w:rPr>
                <w:rFonts w:ascii="Arial" w:hAnsi="Arial" w:cs="Arial"/>
              </w:rPr>
              <w:t>that may arise, the commentat</w:t>
            </w:r>
            <w:r w:rsidR="0060481B">
              <w:rPr>
                <w:rFonts w:ascii="Arial" w:hAnsi="Arial" w:cs="Arial"/>
              </w:rPr>
              <w:t xml:space="preserve">or proposes that in addition </w:t>
            </w:r>
            <w:r>
              <w:rPr>
                <w:rFonts w:ascii="Arial" w:hAnsi="Arial" w:cs="Arial"/>
              </w:rPr>
              <w:t xml:space="preserve">to prohibition relating to </w:t>
            </w:r>
            <w:r w:rsidRPr="00DD15FF">
              <w:rPr>
                <w:rFonts w:ascii="Arial" w:hAnsi="Arial" w:cs="Arial"/>
              </w:rPr>
              <w:t>traditio</w:t>
            </w:r>
            <w:r>
              <w:rPr>
                <w:rFonts w:ascii="Arial" w:hAnsi="Arial" w:cs="Arial"/>
              </w:rPr>
              <w:t xml:space="preserve">nal forms of media publications, such prohibition be extended to </w:t>
            </w:r>
            <w:r w:rsidR="002675FF">
              <w:rPr>
                <w:rFonts w:ascii="Arial" w:hAnsi="Arial" w:cs="Arial"/>
              </w:rPr>
              <w:t xml:space="preserve">include </w:t>
            </w:r>
            <w:r>
              <w:rPr>
                <w:rFonts w:ascii="Arial" w:hAnsi="Arial" w:cs="Arial"/>
              </w:rPr>
              <w:t>social media and other online platforms.</w:t>
            </w:r>
          </w:p>
          <w:p w:rsidR="00DD15FF" w:rsidRDefault="00DD15FF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57F32" w:rsidRDefault="006A2E43" w:rsidP="00D57D83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0481B">
              <w:rPr>
                <w:rFonts w:ascii="Arial" w:hAnsi="Arial" w:cs="Arial"/>
              </w:rPr>
              <w:t xml:space="preserve">inclusion of the </w:t>
            </w:r>
            <w:r>
              <w:rPr>
                <w:rFonts w:ascii="Arial" w:hAnsi="Arial" w:cs="Arial"/>
              </w:rPr>
              <w:t>following wording in section 154(3)</w:t>
            </w:r>
            <w:r w:rsidR="0060481B">
              <w:rPr>
                <w:rFonts w:ascii="Arial" w:hAnsi="Arial" w:cs="Arial"/>
              </w:rPr>
              <w:t xml:space="preserve"> is proposed</w:t>
            </w:r>
            <w:r w:rsidR="00DD15FF">
              <w:rPr>
                <w:rFonts w:ascii="Arial" w:hAnsi="Arial" w:cs="Arial"/>
              </w:rPr>
              <w:t xml:space="preserve"> </w:t>
            </w:r>
            <w:r w:rsidRPr="006A2E43">
              <w:rPr>
                <w:rFonts w:ascii="Arial" w:hAnsi="Arial" w:cs="Arial"/>
                <w:u w:val="single"/>
              </w:rPr>
              <w:t>“…including on any social media or electronic platform…”</w:t>
            </w:r>
            <w:r>
              <w:rPr>
                <w:rFonts w:ascii="Arial" w:hAnsi="Arial" w:cs="Arial"/>
                <w:u w:val="single"/>
              </w:rPr>
              <w:t>.</w:t>
            </w:r>
          </w:p>
          <w:p w:rsidR="006A2E43" w:rsidRDefault="006A2E43" w:rsidP="00D57D83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  <w:p w:rsidR="006913BC" w:rsidRDefault="006913BC" w:rsidP="006A2E43">
            <w:pPr>
              <w:jc w:val="both"/>
              <w:rPr>
                <w:rFonts w:ascii="Arial" w:hAnsi="Arial" w:cs="Arial"/>
                <w:u w:val="single"/>
              </w:rPr>
            </w:pPr>
          </w:p>
          <w:p w:rsidR="006913BC" w:rsidRDefault="006913BC" w:rsidP="006A2E43">
            <w:pPr>
              <w:jc w:val="both"/>
              <w:rPr>
                <w:rFonts w:ascii="Arial" w:hAnsi="Arial" w:cs="Arial"/>
                <w:u w:val="single"/>
              </w:rPr>
            </w:pPr>
          </w:p>
          <w:p w:rsidR="006913BC" w:rsidRDefault="006913BC" w:rsidP="006A2E43">
            <w:pPr>
              <w:jc w:val="both"/>
              <w:rPr>
                <w:rFonts w:ascii="Arial" w:hAnsi="Arial" w:cs="Arial"/>
                <w:u w:val="single"/>
              </w:rPr>
            </w:pPr>
          </w:p>
          <w:p w:rsidR="006A2E43" w:rsidRDefault="006A2E43" w:rsidP="006913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B272B" w:rsidRDefault="00D57D83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Department agrees with the submission. </w:t>
            </w:r>
            <w:r w:rsidR="00FB272B">
              <w:rPr>
                <w:rFonts w:ascii="Arial" w:hAnsi="Arial" w:cs="Arial"/>
              </w:rPr>
              <w:t>The provision seeks to secure t</w:t>
            </w:r>
            <w:r w:rsidR="00FB272B" w:rsidRPr="00FB272B">
              <w:rPr>
                <w:rFonts w:ascii="Arial" w:hAnsi="Arial" w:cs="Arial"/>
              </w:rPr>
              <w:t>he</w:t>
            </w:r>
            <w:r w:rsidR="00FB272B">
              <w:rPr>
                <w:rFonts w:ascii="Arial" w:hAnsi="Arial" w:cs="Arial"/>
              </w:rPr>
              <w:t xml:space="preserve"> </w:t>
            </w:r>
            <w:r w:rsidR="00FB272B" w:rsidRPr="00FB272B">
              <w:rPr>
                <w:rFonts w:ascii="Arial" w:hAnsi="Arial" w:cs="Arial"/>
              </w:rPr>
              <w:t xml:space="preserve">rights </w:t>
            </w:r>
            <w:r w:rsidR="00FB272B">
              <w:rPr>
                <w:rFonts w:ascii="Arial" w:hAnsi="Arial" w:cs="Arial"/>
              </w:rPr>
              <w:t xml:space="preserve">of the child which include ensuring </w:t>
            </w:r>
            <w:r w:rsidR="00FB272B" w:rsidRPr="00FB272B">
              <w:rPr>
                <w:rFonts w:ascii="Arial" w:hAnsi="Arial" w:cs="Arial"/>
              </w:rPr>
              <w:t>dignity and privacy</w:t>
            </w:r>
            <w:r w:rsidR="00FB272B">
              <w:rPr>
                <w:rFonts w:ascii="Arial" w:hAnsi="Arial" w:cs="Arial"/>
              </w:rPr>
              <w:t xml:space="preserve">. The </w:t>
            </w:r>
            <w:r w:rsidR="007A48ED">
              <w:rPr>
                <w:rFonts w:ascii="Arial" w:hAnsi="Arial" w:cs="Arial"/>
              </w:rPr>
              <w:t>proposal</w:t>
            </w:r>
            <w:r w:rsidR="00FB272B">
              <w:rPr>
                <w:rFonts w:ascii="Arial" w:hAnsi="Arial" w:cs="Arial"/>
              </w:rPr>
              <w:t xml:space="preserve"> </w:t>
            </w:r>
            <w:r w:rsidR="006913BC">
              <w:rPr>
                <w:rFonts w:ascii="Arial" w:hAnsi="Arial" w:cs="Arial"/>
              </w:rPr>
              <w:t xml:space="preserve">seeks to </w:t>
            </w:r>
            <w:r w:rsidR="00FB272B">
              <w:rPr>
                <w:rFonts w:ascii="Arial" w:hAnsi="Arial" w:cs="Arial"/>
              </w:rPr>
              <w:t xml:space="preserve">ensure that </w:t>
            </w:r>
            <w:r w:rsidR="00FB272B" w:rsidRPr="00FB272B">
              <w:rPr>
                <w:rFonts w:ascii="Arial" w:hAnsi="Arial" w:cs="Arial"/>
              </w:rPr>
              <w:t>"the best interests of the child"</w:t>
            </w:r>
            <w:r w:rsidR="00FB272B">
              <w:rPr>
                <w:rFonts w:ascii="Arial" w:hAnsi="Arial" w:cs="Arial"/>
              </w:rPr>
              <w:t xml:space="preserve"> is </w:t>
            </w:r>
            <w:r w:rsidR="000424E1">
              <w:rPr>
                <w:rFonts w:ascii="Arial" w:hAnsi="Arial" w:cs="Arial"/>
              </w:rPr>
              <w:t>realized</w:t>
            </w:r>
            <w:r w:rsidR="00FB272B" w:rsidRPr="00FB272B">
              <w:rPr>
                <w:rFonts w:ascii="Arial" w:hAnsi="Arial" w:cs="Arial"/>
              </w:rPr>
              <w:t xml:space="preserve">. </w:t>
            </w:r>
          </w:p>
          <w:p w:rsidR="00FB272B" w:rsidRDefault="00FB272B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B272B" w:rsidRDefault="006913BC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A48ED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</w:t>
            </w:r>
            <w:r w:rsidR="007A48ED"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</w:rPr>
              <w:t>enable</w:t>
            </w:r>
            <w:r w:rsidR="00FB272B" w:rsidRPr="00FB272B">
              <w:rPr>
                <w:rFonts w:ascii="Arial" w:hAnsi="Arial" w:cs="Arial"/>
              </w:rPr>
              <w:t xml:space="preserve"> the criminal justice system </w:t>
            </w:r>
            <w:r>
              <w:rPr>
                <w:rFonts w:ascii="Arial" w:hAnsi="Arial" w:cs="Arial"/>
              </w:rPr>
              <w:t xml:space="preserve">to </w:t>
            </w:r>
            <w:r w:rsidR="00FB272B" w:rsidRPr="00FB272B">
              <w:rPr>
                <w:rFonts w:ascii="Arial" w:hAnsi="Arial" w:cs="Arial"/>
              </w:rPr>
              <w:t>ensure on-going protection of children and not expose</w:t>
            </w:r>
            <w:r>
              <w:rPr>
                <w:rFonts w:ascii="Arial" w:hAnsi="Arial" w:cs="Arial"/>
              </w:rPr>
              <w:t xml:space="preserve"> them</w:t>
            </w:r>
            <w:r w:rsidR="00FB272B" w:rsidRPr="00FB272B">
              <w:rPr>
                <w:rFonts w:ascii="Arial" w:hAnsi="Arial" w:cs="Arial"/>
              </w:rPr>
              <w:t xml:space="preserve"> to harsh circumstances that would have adverse effects on their development. </w:t>
            </w:r>
          </w:p>
          <w:p w:rsidR="00FB272B" w:rsidRDefault="00FB272B" w:rsidP="002F379E">
            <w:pPr>
              <w:jc w:val="both"/>
              <w:rPr>
                <w:rFonts w:ascii="Arial" w:hAnsi="Arial" w:cs="Arial"/>
              </w:rPr>
            </w:pPr>
          </w:p>
          <w:p w:rsidR="006913BC" w:rsidRDefault="006913BC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2F379E">
            <w:pPr>
              <w:jc w:val="both"/>
              <w:rPr>
                <w:rFonts w:ascii="Arial" w:hAnsi="Arial" w:cs="Arial"/>
              </w:rPr>
            </w:pPr>
          </w:p>
          <w:p w:rsidR="00505851" w:rsidRDefault="00505851" w:rsidP="00505851">
            <w:pPr>
              <w:jc w:val="both"/>
              <w:rPr>
                <w:rFonts w:ascii="Arial" w:hAnsi="Arial" w:cs="Arial"/>
              </w:rPr>
            </w:pPr>
          </w:p>
        </w:tc>
      </w:tr>
      <w:tr w:rsidR="00B57F32" w:rsidTr="00AB034F">
        <w:tc>
          <w:tcPr>
            <w:tcW w:w="1620" w:type="dxa"/>
            <w:shd w:val="clear" w:color="auto" w:fill="A6A6A6" w:themeFill="background1" w:themeFillShade="A6"/>
          </w:tcPr>
          <w:p w:rsidR="006913BC" w:rsidRDefault="006913BC" w:rsidP="002F379E">
            <w:pPr>
              <w:jc w:val="both"/>
              <w:rPr>
                <w:rFonts w:ascii="Arial" w:hAnsi="Arial" w:cs="Arial"/>
                <w:b/>
              </w:rPr>
            </w:pPr>
          </w:p>
          <w:p w:rsidR="00B57F32" w:rsidRPr="006913BC" w:rsidRDefault="006913BC" w:rsidP="002F379E">
            <w:pPr>
              <w:jc w:val="both"/>
              <w:rPr>
                <w:rFonts w:ascii="Arial" w:hAnsi="Arial" w:cs="Arial"/>
                <w:b/>
              </w:rPr>
            </w:pPr>
            <w:r w:rsidRPr="006913BC">
              <w:rPr>
                <w:rFonts w:ascii="Arial" w:hAnsi="Arial" w:cs="Arial"/>
                <w:b/>
              </w:rPr>
              <w:t>Protection beyond 18 years and upon conclusion of proceedings</w:t>
            </w:r>
          </w:p>
        </w:tc>
        <w:tc>
          <w:tcPr>
            <w:tcW w:w="1440" w:type="dxa"/>
          </w:tcPr>
          <w:p w:rsidR="00D57D83" w:rsidRDefault="00D57D83" w:rsidP="002F379E">
            <w:pPr>
              <w:jc w:val="both"/>
              <w:rPr>
                <w:rFonts w:ascii="Arial" w:hAnsi="Arial" w:cs="Arial"/>
              </w:rPr>
            </w:pPr>
          </w:p>
          <w:p w:rsidR="00B57F32" w:rsidRDefault="006913BC" w:rsidP="002F379E">
            <w:pPr>
              <w:jc w:val="both"/>
              <w:rPr>
                <w:rFonts w:ascii="Arial" w:hAnsi="Arial" w:cs="Arial"/>
              </w:rPr>
            </w:pPr>
            <w:r w:rsidRPr="006913BC">
              <w:rPr>
                <w:rFonts w:ascii="Arial" w:hAnsi="Arial" w:cs="Arial"/>
              </w:rPr>
              <w:t>The Centre for Child Law</w:t>
            </w:r>
          </w:p>
        </w:tc>
        <w:tc>
          <w:tcPr>
            <w:tcW w:w="4230" w:type="dxa"/>
          </w:tcPr>
          <w:p w:rsidR="006913BC" w:rsidRDefault="006913BC" w:rsidP="006913BC">
            <w:pPr>
              <w:jc w:val="both"/>
              <w:rPr>
                <w:rFonts w:ascii="Arial" w:hAnsi="Arial" w:cs="Arial"/>
              </w:rPr>
            </w:pPr>
          </w:p>
          <w:p w:rsidR="006913BC" w:rsidRPr="006913BC" w:rsidRDefault="006913BC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913BC">
              <w:rPr>
                <w:rFonts w:ascii="Arial" w:hAnsi="Arial" w:cs="Arial"/>
              </w:rPr>
              <w:t>The commentator is of further view that an accused, a witness or person contemplated in subsection (3)</w:t>
            </w:r>
            <w:r w:rsidRPr="000C130B">
              <w:rPr>
                <w:rFonts w:ascii="Arial" w:hAnsi="Arial" w:cs="Arial"/>
                <w:i/>
              </w:rPr>
              <w:t>(a)</w:t>
            </w:r>
            <w:r w:rsidRPr="006913BC">
              <w:rPr>
                <w:rFonts w:ascii="Arial" w:hAnsi="Arial" w:cs="Arial"/>
              </w:rPr>
              <w:t xml:space="preserve">(iii) should be able to publish or reveal their own identity without needing a court order, except if there had been a court order </w:t>
            </w:r>
            <w:r w:rsidR="000424E1" w:rsidRPr="006913BC">
              <w:rPr>
                <w:rFonts w:ascii="Arial" w:hAnsi="Arial" w:cs="Arial"/>
              </w:rPr>
              <w:t>authorizing</w:t>
            </w:r>
            <w:r w:rsidRPr="006913BC">
              <w:rPr>
                <w:rFonts w:ascii="Arial" w:hAnsi="Arial" w:cs="Arial"/>
              </w:rPr>
              <w:t xml:space="preserve"> their protection.</w:t>
            </w:r>
          </w:p>
          <w:p w:rsidR="006913BC" w:rsidRPr="006913BC" w:rsidRDefault="006913BC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913BC" w:rsidRPr="006913BC" w:rsidRDefault="00D57D83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913BC" w:rsidRPr="006913BC">
              <w:rPr>
                <w:rFonts w:ascii="Arial" w:hAnsi="Arial" w:cs="Arial"/>
              </w:rPr>
              <w:t>t is actually cumbersome as it will require an accused, a witness or a person contemplated in section 3(a)(iii) to obtain legal representation and bring an application where t</w:t>
            </w:r>
            <w:r>
              <w:rPr>
                <w:rFonts w:ascii="Arial" w:hAnsi="Arial" w:cs="Arial"/>
              </w:rPr>
              <w:t xml:space="preserve">here is no other party affected or </w:t>
            </w:r>
            <w:r w:rsidR="006913BC" w:rsidRPr="006913BC">
              <w:rPr>
                <w:rFonts w:ascii="Arial" w:hAnsi="Arial" w:cs="Arial"/>
              </w:rPr>
              <w:t>prejudiced by the publication of one’s own identifying information.</w:t>
            </w:r>
          </w:p>
          <w:p w:rsidR="00B57F32" w:rsidRDefault="00B57F32" w:rsidP="002F37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913BC" w:rsidRPr="006913BC" w:rsidRDefault="006913BC" w:rsidP="006913BC">
            <w:pPr>
              <w:jc w:val="both"/>
              <w:rPr>
                <w:rFonts w:ascii="Arial" w:hAnsi="Arial" w:cs="Arial"/>
              </w:rPr>
            </w:pPr>
          </w:p>
          <w:p w:rsidR="000C130B" w:rsidRDefault="00351342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view is supported. </w:t>
            </w:r>
            <w:r w:rsidR="000C130B">
              <w:rPr>
                <w:rFonts w:ascii="Arial" w:hAnsi="Arial" w:cs="Arial"/>
              </w:rPr>
              <w:t xml:space="preserve">An individual contemplated in section </w:t>
            </w:r>
            <w:r w:rsidR="00B16146">
              <w:rPr>
                <w:rFonts w:ascii="Arial" w:hAnsi="Arial" w:cs="Arial"/>
              </w:rPr>
              <w:t>154(</w:t>
            </w:r>
            <w:r w:rsidR="000C130B">
              <w:rPr>
                <w:rFonts w:ascii="Arial" w:hAnsi="Arial" w:cs="Arial"/>
              </w:rPr>
              <w:t>3</w:t>
            </w:r>
            <w:r w:rsidR="00B16146">
              <w:rPr>
                <w:rFonts w:ascii="Arial" w:hAnsi="Arial" w:cs="Arial"/>
              </w:rPr>
              <w:t>)</w:t>
            </w:r>
            <w:r w:rsidR="000C130B" w:rsidRPr="000C130B">
              <w:rPr>
                <w:rFonts w:ascii="Arial" w:hAnsi="Arial" w:cs="Arial"/>
                <w:i/>
              </w:rPr>
              <w:t>(a)</w:t>
            </w:r>
            <w:r w:rsidR="000C130B">
              <w:rPr>
                <w:rFonts w:ascii="Arial" w:hAnsi="Arial" w:cs="Arial"/>
              </w:rPr>
              <w:t xml:space="preserve"> should be able to publish or reveal their own identity without needing a court order</w:t>
            </w:r>
            <w:r w:rsidR="001A1F01">
              <w:rPr>
                <w:rFonts w:ascii="Arial" w:hAnsi="Arial" w:cs="Arial"/>
              </w:rPr>
              <w:t xml:space="preserve"> once they reach adulthood</w:t>
            </w:r>
            <w:r w:rsidR="000C130B">
              <w:rPr>
                <w:rFonts w:ascii="Arial" w:hAnsi="Arial" w:cs="Arial"/>
              </w:rPr>
              <w:t xml:space="preserve">. </w:t>
            </w:r>
            <w:r w:rsidR="006913BC" w:rsidRPr="006913BC">
              <w:rPr>
                <w:rFonts w:ascii="Arial" w:hAnsi="Arial" w:cs="Arial"/>
              </w:rPr>
              <w:t>Th</w:t>
            </w:r>
            <w:r w:rsidR="000C130B">
              <w:rPr>
                <w:rFonts w:ascii="Arial" w:hAnsi="Arial" w:cs="Arial"/>
              </w:rPr>
              <w:t>is will make the process less cumbersome and more user-friendly.</w:t>
            </w:r>
          </w:p>
          <w:p w:rsidR="000C130B" w:rsidRDefault="000C130B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C130B" w:rsidRDefault="000C130B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give effect to this position we recommend that the words </w:t>
            </w:r>
            <w:r w:rsidRPr="000C130B">
              <w:rPr>
                <w:rFonts w:ascii="Arial" w:hAnsi="Arial" w:cs="Arial"/>
                <w:u w:val="single"/>
              </w:rPr>
              <w:t>"…and where the court has granted an order that extends into adulthood,</w:t>
            </w:r>
            <w:r>
              <w:rPr>
                <w:rFonts w:ascii="Arial" w:hAnsi="Arial" w:cs="Arial"/>
              </w:rPr>
              <w:t>", be inserted after the words "18 years," in section 154(3B)</w:t>
            </w:r>
            <w:r w:rsidRPr="000C130B">
              <w:rPr>
                <w:rFonts w:ascii="Arial" w:hAnsi="Arial" w:cs="Arial"/>
                <w:i/>
              </w:rPr>
              <w:t>(a)</w:t>
            </w:r>
            <w:r>
              <w:rPr>
                <w:rFonts w:ascii="Arial" w:hAnsi="Arial" w:cs="Arial"/>
                <w:i/>
              </w:rPr>
              <w:t>.</w:t>
            </w:r>
          </w:p>
          <w:p w:rsidR="000C130B" w:rsidRDefault="000C130B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0481B" w:rsidRPr="0060481B" w:rsidRDefault="0060481B" w:rsidP="00D57D8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0481B" w:rsidRDefault="0060481B" w:rsidP="0060481B">
            <w:pPr>
              <w:jc w:val="both"/>
              <w:rPr>
                <w:rFonts w:ascii="Arial" w:hAnsi="Arial" w:cs="Arial"/>
              </w:rPr>
            </w:pPr>
          </w:p>
          <w:p w:rsidR="0060481B" w:rsidRDefault="0060481B" w:rsidP="006913BC">
            <w:pPr>
              <w:jc w:val="both"/>
              <w:rPr>
                <w:rFonts w:ascii="Arial" w:hAnsi="Arial" w:cs="Arial"/>
              </w:rPr>
            </w:pPr>
          </w:p>
          <w:p w:rsidR="0060481B" w:rsidRDefault="0060481B" w:rsidP="006913BC">
            <w:pPr>
              <w:jc w:val="both"/>
              <w:rPr>
                <w:rFonts w:ascii="Arial" w:hAnsi="Arial" w:cs="Arial"/>
              </w:rPr>
            </w:pPr>
          </w:p>
        </w:tc>
      </w:tr>
    </w:tbl>
    <w:p w:rsidR="00B57F32" w:rsidRPr="00B57F32" w:rsidRDefault="00B57F32">
      <w:pPr>
        <w:rPr>
          <w:rFonts w:ascii="Arial" w:hAnsi="Arial" w:cs="Arial"/>
        </w:rPr>
      </w:pPr>
    </w:p>
    <w:sectPr w:rsidR="00B57F32" w:rsidRPr="00B57F32" w:rsidSect="00295B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04" w:rsidRDefault="00887304" w:rsidP="00FD407F">
      <w:pPr>
        <w:spacing w:after="0" w:line="240" w:lineRule="auto"/>
      </w:pPr>
      <w:r>
        <w:separator/>
      </w:r>
    </w:p>
  </w:endnote>
  <w:endnote w:type="continuationSeparator" w:id="0">
    <w:p w:rsidR="00887304" w:rsidRDefault="00887304" w:rsidP="00FD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9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13D" w:rsidRDefault="00295BEA">
        <w:pPr>
          <w:pStyle w:val="Footer"/>
          <w:jc w:val="right"/>
        </w:pPr>
        <w:r>
          <w:fldChar w:fldCharType="begin"/>
        </w:r>
        <w:r w:rsidR="007A513D">
          <w:instrText xml:space="preserve"> PAGE   \* MERGEFORMAT </w:instrText>
        </w:r>
        <w:r>
          <w:fldChar w:fldCharType="separate"/>
        </w:r>
        <w:r w:rsidR="00887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13D" w:rsidRDefault="007A5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04" w:rsidRDefault="00887304" w:rsidP="00FD407F">
      <w:pPr>
        <w:spacing w:after="0" w:line="240" w:lineRule="auto"/>
      </w:pPr>
      <w:r>
        <w:separator/>
      </w:r>
    </w:p>
  </w:footnote>
  <w:footnote w:type="continuationSeparator" w:id="0">
    <w:p w:rsidR="00887304" w:rsidRDefault="00887304" w:rsidP="00FD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41F"/>
    <w:multiLevelType w:val="hybridMultilevel"/>
    <w:tmpl w:val="8600133E"/>
    <w:lvl w:ilvl="0" w:tplc="C5F4D9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290"/>
    <w:multiLevelType w:val="hybridMultilevel"/>
    <w:tmpl w:val="CBE6CBBA"/>
    <w:lvl w:ilvl="0" w:tplc="FE8844A4">
      <w:start w:val="1"/>
      <w:numFmt w:val="lowerLetter"/>
      <w:lvlText w:val="(%1)"/>
      <w:lvlJc w:val="left"/>
      <w:pPr>
        <w:ind w:left="144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E9836E7"/>
    <w:multiLevelType w:val="hybridMultilevel"/>
    <w:tmpl w:val="0CCAF358"/>
    <w:lvl w:ilvl="0" w:tplc="76EEF24C">
      <w:start w:val="1"/>
      <w:numFmt w:val="lowerRoman"/>
      <w:lvlText w:val="(%1)"/>
      <w:lvlJc w:val="left"/>
      <w:pPr>
        <w:ind w:left="216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3C36305"/>
    <w:multiLevelType w:val="hybridMultilevel"/>
    <w:tmpl w:val="68B2DC6C"/>
    <w:lvl w:ilvl="0" w:tplc="4B3E1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36446"/>
    <w:multiLevelType w:val="hybridMultilevel"/>
    <w:tmpl w:val="4036BBD0"/>
    <w:lvl w:ilvl="0" w:tplc="8B941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7F32"/>
    <w:rsid w:val="00001F63"/>
    <w:rsid w:val="00016EFA"/>
    <w:rsid w:val="000424E1"/>
    <w:rsid w:val="000445C4"/>
    <w:rsid w:val="000B6D90"/>
    <w:rsid w:val="000C130B"/>
    <w:rsid w:val="00147287"/>
    <w:rsid w:val="00171BA6"/>
    <w:rsid w:val="001A05BF"/>
    <w:rsid w:val="001A1F01"/>
    <w:rsid w:val="001C700E"/>
    <w:rsid w:val="002675FF"/>
    <w:rsid w:val="00295BEA"/>
    <w:rsid w:val="002B765B"/>
    <w:rsid w:val="002E754F"/>
    <w:rsid w:val="002F379E"/>
    <w:rsid w:val="00351342"/>
    <w:rsid w:val="00505851"/>
    <w:rsid w:val="005268DF"/>
    <w:rsid w:val="0055779B"/>
    <w:rsid w:val="00576EE4"/>
    <w:rsid w:val="0060481B"/>
    <w:rsid w:val="006070EC"/>
    <w:rsid w:val="00637760"/>
    <w:rsid w:val="00653487"/>
    <w:rsid w:val="00664488"/>
    <w:rsid w:val="006913BC"/>
    <w:rsid w:val="006A2E43"/>
    <w:rsid w:val="006C01C1"/>
    <w:rsid w:val="006C17D7"/>
    <w:rsid w:val="00710726"/>
    <w:rsid w:val="00717F9C"/>
    <w:rsid w:val="00736153"/>
    <w:rsid w:val="007A48ED"/>
    <w:rsid w:val="007A513D"/>
    <w:rsid w:val="00813649"/>
    <w:rsid w:val="00832DA7"/>
    <w:rsid w:val="00887304"/>
    <w:rsid w:val="009F0860"/>
    <w:rsid w:val="009F3A02"/>
    <w:rsid w:val="00A223BE"/>
    <w:rsid w:val="00A907CE"/>
    <w:rsid w:val="00AB034F"/>
    <w:rsid w:val="00B031E3"/>
    <w:rsid w:val="00B15D8E"/>
    <w:rsid w:val="00B16146"/>
    <w:rsid w:val="00B45773"/>
    <w:rsid w:val="00B57F32"/>
    <w:rsid w:val="00B6483F"/>
    <w:rsid w:val="00BD61C3"/>
    <w:rsid w:val="00C07B51"/>
    <w:rsid w:val="00C36545"/>
    <w:rsid w:val="00C51837"/>
    <w:rsid w:val="00D41AFC"/>
    <w:rsid w:val="00D56D95"/>
    <w:rsid w:val="00D57D83"/>
    <w:rsid w:val="00DD15FF"/>
    <w:rsid w:val="00E142EC"/>
    <w:rsid w:val="00EF30E4"/>
    <w:rsid w:val="00F542D2"/>
    <w:rsid w:val="00FB0672"/>
    <w:rsid w:val="00FB272B"/>
    <w:rsid w:val="00FD407F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7F"/>
  </w:style>
  <w:style w:type="paragraph" w:styleId="Footer">
    <w:name w:val="footer"/>
    <w:basedOn w:val="Normal"/>
    <w:link w:val="FooterChar"/>
    <w:uiPriority w:val="99"/>
    <w:unhideWhenUsed/>
    <w:rsid w:val="00FD4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7F"/>
  </w:style>
  <w:style w:type="paragraph" w:styleId="BalloonText">
    <w:name w:val="Balloon Text"/>
    <w:basedOn w:val="Normal"/>
    <w:link w:val="BalloonTextChar"/>
    <w:uiPriority w:val="99"/>
    <w:semiHidden/>
    <w:unhideWhenUsed/>
    <w:rsid w:val="00AB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Mangena Dingaan</dc:creator>
  <cp:lastModifiedBy>USER</cp:lastModifiedBy>
  <cp:revision>2</cp:revision>
  <cp:lastPrinted>2020-08-20T07:40:00Z</cp:lastPrinted>
  <dcterms:created xsi:type="dcterms:W3CDTF">2021-09-07T11:24:00Z</dcterms:created>
  <dcterms:modified xsi:type="dcterms:W3CDTF">2021-09-07T11:24:00Z</dcterms:modified>
</cp:coreProperties>
</file>